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08A6" w14:textId="77777777" w:rsidR="00DE2EA3" w:rsidRPr="004277CE" w:rsidRDefault="00D74017" w:rsidP="004277CE">
      <w:pPr>
        <w:pStyle w:val="Title"/>
        <w:rPr>
          <w:rFonts w:ascii="Calibri" w:hAnsi="Calibri"/>
        </w:rPr>
      </w:pPr>
      <w:r w:rsidRPr="004277CE">
        <w:rPr>
          <w:rFonts w:ascii="Calibri" w:hAnsi="Calibri"/>
        </w:rPr>
        <w:t>R</w:t>
      </w:r>
      <w:r w:rsidR="00EF2B6B" w:rsidRPr="004277CE">
        <w:rPr>
          <w:rFonts w:ascii="Calibri" w:hAnsi="Calibri"/>
        </w:rPr>
        <w:t xml:space="preserve">apports </w:t>
      </w:r>
      <w:proofErr w:type="spellStart"/>
      <w:r w:rsidR="00EF2B6B" w:rsidRPr="004277CE">
        <w:rPr>
          <w:rFonts w:ascii="Calibri" w:hAnsi="Calibri"/>
        </w:rPr>
        <w:t>annuels</w:t>
      </w:r>
      <w:proofErr w:type="spellEnd"/>
      <w:r w:rsidR="00EF2B6B" w:rsidRPr="004277CE">
        <w:rPr>
          <w:rFonts w:ascii="Calibri" w:hAnsi="Calibri"/>
        </w:rPr>
        <w:t xml:space="preserve"> </w:t>
      </w:r>
      <w:proofErr w:type="spellStart"/>
      <w:r w:rsidR="00C104EF" w:rsidRPr="004277CE">
        <w:rPr>
          <w:rFonts w:ascii="Calibri" w:hAnsi="Calibri"/>
        </w:rPr>
        <w:t>d’avancement</w:t>
      </w:r>
      <w:proofErr w:type="spellEnd"/>
    </w:p>
    <w:p w14:paraId="41F493AF" w14:textId="77777777" w:rsidR="00243251" w:rsidRPr="00CB024C" w:rsidRDefault="00C104EF" w:rsidP="00696CD2">
      <w:pPr>
        <w:contextualSpacing/>
        <w:rPr>
          <w:i/>
          <w:color w:val="0076AF"/>
          <w:sz w:val="28"/>
          <w:szCs w:val="28"/>
          <w:lang w:val="fr-BE"/>
        </w:rPr>
      </w:pPr>
      <w:r w:rsidRPr="00CB024C">
        <w:rPr>
          <w:i/>
          <w:color w:val="0076AF"/>
          <w:sz w:val="28"/>
          <w:szCs w:val="28"/>
          <w:lang w:val="fr-BE"/>
        </w:rPr>
        <w:t>Note d’orientation 5 – Exigences 7</w:t>
      </w:r>
      <w:r w:rsidR="00696CD2" w:rsidRPr="00CB024C">
        <w:rPr>
          <w:i/>
          <w:color w:val="0076AF"/>
          <w:sz w:val="28"/>
          <w:szCs w:val="28"/>
          <w:lang w:val="fr-BE"/>
        </w:rPr>
        <w:t>.4 et 8.</w:t>
      </w:r>
      <w:r w:rsidR="007355F4" w:rsidRPr="00CB024C">
        <w:rPr>
          <w:i/>
          <w:color w:val="0076AF"/>
          <w:sz w:val="28"/>
          <w:szCs w:val="28"/>
          <w:lang w:val="fr-BE"/>
        </w:rPr>
        <w:t>4</w:t>
      </w:r>
    </w:p>
    <w:p w14:paraId="5ED27012" w14:textId="77777777" w:rsidR="00696CD2" w:rsidRDefault="00696CD2" w:rsidP="00696CD2">
      <w:pPr>
        <w:contextualSpacing/>
        <w:rPr>
          <w:rFonts w:ascii="Myriad Pro" w:hAnsi="Myriad Pro"/>
          <w:i/>
          <w:color w:val="0076AF"/>
          <w:sz w:val="28"/>
          <w:szCs w:val="28"/>
          <w:lang w:val="fr-BE"/>
        </w:rPr>
      </w:pPr>
    </w:p>
    <w:p w14:paraId="4A225807" w14:textId="77777777" w:rsidR="00696CD2" w:rsidRPr="00696CD2" w:rsidRDefault="00696CD2" w:rsidP="004277CE">
      <w:pPr>
        <w:keepNext/>
        <w:keepLines/>
        <w:numPr>
          <w:ilvl w:val="0"/>
          <w:numId w:val="24"/>
        </w:numPr>
        <w:spacing w:before="200" w:after="240" w:line="240" w:lineRule="auto"/>
        <w:ind w:left="0" w:firstLine="0"/>
        <w:outlineLvl w:val="0"/>
        <w:rPr>
          <w:b/>
          <w:bCs/>
          <w:sz w:val="32"/>
          <w:szCs w:val="26"/>
        </w:rPr>
      </w:pPr>
      <w:r>
        <w:rPr>
          <w:b/>
          <w:bCs/>
          <w:sz w:val="32"/>
          <w:szCs w:val="26"/>
        </w:rPr>
        <w:t>Résumé</w:t>
      </w:r>
    </w:p>
    <w:p w14:paraId="2297D731" w14:textId="77777777" w:rsidR="00104C78" w:rsidRDefault="00104C78" w:rsidP="004277CE">
      <w:pPr>
        <w:spacing w:before="120" w:after="120" w:line="23" w:lineRule="atLeast"/>
        <w:rPr>
          <w:rFonts w:eastAsia="Calibri"/>
          <w:sz w:val="23"/>
          <w:lang w:val="fr-FR"/>
        </w:rPr>
      </w:pPr>
      <w:r>
        <w:rPr>
          <w:sz w:val="23"/>
          <w:lang w:val="fr-FR"/>
        </w:rPr>
        <w:t>Le rapport annuel d’avancement</w:t>
      </w:r>
      <w:r>
        <w:rPr>
          <w:sz w:val="23"/>
          <w:vertAlign w:val="superscript"/>
        </w:rPr>
        <w:footnoteReference w:id="1"/>
      </w:r>
      <w:r>
        <w:rPr>
          <w:sz w:val="23"/>
          <w:lang w:val="fr-FR"/>
        </w:rPr>
        <w:t xml:space="preserve"> est un outil important dans la gestion du processus de mise en œuvre de l’ITIE. Il peut aider un pays mettant en œuvre l’ITIE à évaluer de manière critique ses progrès par rapport aux Exigences ITIE. Il permet également au Groupe multipartite (MSG) de vérifier s’il est en train d’atteindre ses propres objectifs de mise en œuvre, tels qu’établis dans le plan de travail dudit Groupe, et si le processus ITIE donne les résultats escomptés. Sur la base d’une telle évaluation, le Groupe multipartite peut décider de revoir son plan de travail ou ses objectifs, afin d’exploiter les possibilités de renforcer la mise en œuvre. Les rapports permettent également de faire le point sur les efforts faits pour appliquer les recommandations issues des Rapports ITIE et de la Validation, ainsi que de cerner les problèmes qui doivent être traités entre les Validations</w:t>
      </w:r>
      <w:r>
        <w:rPr>
          <w:rFonts w:eastAsia="Calibri"/>
          <w:bCs/>
          <w:sz w:val="23"/>
          <w:lang w:val="fr-FR"/>
        </w:rPr>
        <w:t>.</w:t>
      </w:r>
    </w:p>
    <w:p w14:paraId="362733B1" w14:textId="77777777" w:rsidR="00104C78" w:rsidRDefault="00104C78" w:rsidP="004277CE">
      <w:pPr>
        <w:spacing w:before="120" w:after="120" w:line="23" w:lineRule="atLeast"/>
        <w:rPr>
          <w:rFonts w:eastAsia="Calibri"/>
          <w:sz w:val="23"/>
          <w:lang w:val="fr-FR"/>
        </w:rPr>
      </w:pPr>
      <w:r>
        <w:rPr>
          <w:sz w:val="23"/>
          <w:lang w:val="fr-FR"/>
        </w:rPr>
        <w:t>En outre, un rapport annuel d’avancement annuel est un outil de communication important. Il permet de montrer ce que le pays mettant en œuvre l’ITIE a fait pour améliorer la transparence et gérer plus rigoureusement ses ressources naturelles par le biais de l’ITIE. Il peut également être un moyen pour les membres du Groupe multipartite de rendre compte de leur travail à leurs collèges et aux parties prenantes au sens large</w:t>
      </w:r>
      <w:r>
        <w:rPr>
          <w:rFonts w:eastAsia="Calibri"/>
          <w:sz w:val="23"/>
          <w:lang w:val="fr-FR"/>
        </w:rPr>
        <w:t xml:space="preserve">. </w:t>
      </w:r>
    </w:p>
    <w:p w14:paraId="18F6CC51" w14:textId="77777777" w:rsidR="00104C78" w:rsidRPr="00104C78" w:rsidRDefault="00104C78" w:rsidP="004277CE">
      <w:pPr>
        <w:spacing w:before="120" w:after="120" w:line="23" w:lineRule="atLeast"/>
        <w:rPr>
          <w:rFonts w:ascii="Times New Roman" w:hAnsi="Times New Roman"/>
          <w:sz w:val="24"/>
          <w:szCs w:val="24"/>
          <w:lang w:val="fr-FR" w:eastAsia="nb-NO"/>
        </w:rPr>
      </w:pPr>
      <w:r>
        <w:rPr>
          <w:sz w:val="23"/>
          <w:lang w:val="fr-FR"/>
        </w:rPr>
        <w:t>Il est demandé aux pays mettant en œuvre l’ITIE d’examiner les résultats et l’impact de la mise en œuvre de l’ITIE sur la gouvernance des ressources naturelles, et de publier des rapports annuels d’avancement résumant les progrès réalisés au cours de l’année précédente (Exigence ITIE 7.2). Cette note d’orientation fournit un modèle de rédaction d’un rapport annuel d’avancement. Les Groupes multipartites et les secrétariats nationaux peuvent modifier ce modèle s’ils le souhaitent ou utiliser leur propre modèle</w:t>
      </w:r>
      <w:r>
        <w:rPr>
          <w:rFonts w:eastAsia="Calibri"/>
          <w:bCs/>
          <w:sz w:val="23"/>
          <w:lang w:val="fr-FR"/>
        </w:rPr>
        <w:t>.</w:t>
      </w:r>
      <w:r w:rsidRPr="00104C78">
        <w:rPr>
          <w:rFonts w:ascii="Times New Roman" w:hAnsi="Times New Roman"/>
          <w:sz w:val="24"/>
          <w:szCs w:val="24"/>
          <w:lang w:val="fr-FR" w:eastAsia="nb-NO"/>
        </w:rPr>
        <w:t xml:space="preserve"> </w:t>
      </w:r>
    </w:p>
    <w:p w14:paraId="3385E354" w14:textId="7D7D4D69" w:rsidR="006312F4" w:rsidRPr="00CB024C" w:rsidRDefault="00696CD2" w:rsidP="006312F4">
      <w:pPr>
        <w:keepNext/>
        <w:keepLines/>
        <w:numPr>
          <w:ilvl w:val="0"/>
          <w:numId w:val="24"/>
        </w:numPr>
        <w:spacing w:before="200" w:after="240" w:line="240" w:lineRule="auto"/>
        <w:ind w:left="0" w:firstLine="0"/>
        <w:outlineLvl w:val="0"/>
        <w:rPr>
          <w:b/>
          <w:bCs/>
          <w:sz w:val="32"/>
          <w:szCs w:val="26"/>
          <w:lang w:val="fr-FR"/>
        </w:rPr>
      </w:pPr>
      <w:r w:rsidRPr="00696CD2">
        <w:rPr>
          <w:b/>
          <w:bCs/>
          <w:sz w:val="32"/>
          <w:szCs w:val="26"/>
          <w:lang w:val="fr-FR"/>
        </w:rPr>
        <w:br w:type="column"/>
      </w:r>
      <w:r w:rsidRPr="00CB024C">
        <w:rPr>
          <w:b/>
          <w:bCs/>
          <w:sz w:val="32"/>
          <w:szCs w:val="26"/>
          <w:lang w:val="fr-FR"/>
        </w:rPr>
        <w:lastRenderedPageBreak/>
        <w:t>Exigences couvrant ce thème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606"/>
      </w:tblGrid>
      <w:tr w:rsidR="006312F4" w14:paraId="4F53E12E" w14:textId="77777777" w:rsidTr="00F51F56">
        <w:tc>
          <w:tcPr>
            <w:tcW w:w="9606" w:type="dxa"/>
            <w:shd w:val="clear" w:color="auto" w:fill="EEECE1" w:themeFill="background2"/>
          </w:tcPr>
          <w:p w14:paraId="2CE5C1EE" w14:textId="77777777" w:rsidR="00F51F56" w:rsidRDefault="00F51F56" w:rsidP="00F51F56">
            <w:pPr>
              <w:ind w:left="284" w:right="176"/>
              <w:rPr>
                <w:b/>
                <w:bCs/>
                <w:lang w:val="fr-FR"/>
              </w:rPr>
            </w:pPr>
          </w:p>
          <w:p w14:paraId="74E1C9E5" w14:textId="77777777" w:rsidR="00F51F56" w:rsidRPr="00F51F56" w:rsidRDefault="00F51F56" w:rsidP="00F51F56">
            <w:pPr>
              <w:ind w:left="284" w:right="176"/>
              <w:rPr>
                <w:b/>
                <w:bCs/>
                <w:lang w:val="fr-FR"/>
              </w:rPr>
            </w:pPr>
            <w:r w:rsidRPr="00F51F56">
              <w:rPr>
                <w:b/>
                <w:bCs/>
                <w:lang w:val="fr-FR"/>
              </w:rPr>
              <w:t xml:space="preserve">L’exigence 7.4 stipule que le Groupe multipartite est tenu d’évaluer les résultats et l’impact de la mise en œuvre de l’ITIE sur la gouvernance des ressources naturelles. </w:t>
            </w:r>
          </w:p>
          <w:p w14:paraId="150B3D12" w14:textId="77777777" w:rsidR="00F51F56" w:rsidRPr="00F51F56" w:rsidRDefault="00F51F56" w:rsidP="00F51F56">
            <w:pPr>
              <w:ind w:left="284" w:right="176"/>
              <w:rPr>
                <w:lang w:val="fr-FR"/>
              </w:rPr>
            </w:pPr>
            <w:r w:rsidRPr="00F51F56">
              <w:rPr>
                <w:lang w:val="fr-FR"/>
              </w:rPr>
              <w:t xml:space="preserve">a) Le Groupe multipartite est tenu de publier des rapports annuels d’avancement. Les rapports annuels d’avancement doivent inclure : </w:t>
            </w:r>
          </w:p>
          <w:p w14:paraId="6B329E26" w14:textId="77777777" w:rsidR="00F51F56" w:rsidRPr="00F51F56" w:rsidRDefault="00F51F56" w:rsidP="00F51F56">
            <w:pPr>
              <w:ind w:left="284" w:right="176"/>
              <w:rPr>
                <w:lang w:val="fr-FR"/>
              </w:rPr>
            </w:pPr>
            <w:r w:rsidRPr="00F51F56">
              <w:rPr>
                <w:lang w:val="fr-FR"/>
              </w:rPr>
              <w:t>i. Un résumé des activités entreprises dans le cadre de l’ITIE durant l’année écoulée.</w:t>
            </w:r>
          </w:p>
          <w:p w14:paraId="0FEA0401" w14:textId="77777777" w:rsidR="00F51F56" w:rsidRPr="00F51F56" w:rsidRDefault="00F51F56" w:rsidP="00F51F56">
            <w:pPr>
              <w:ind w:left="284" w:right="176"/>
              <w:rPr>
                <w:lang w:val="fr-FR"/>
              </w:rPr>
            </w:pPr>
            <w:r w:rsidRPr="00F51F56">
              <w:rPr>
                <w:lang w:val="fr-FR"/>
              </w:rPr>
              <w:t>ii. Une évaluation des progrès accomplis en matière de mise en conformité – ou de maintien de celle-ci – par rapport à chaque Exigence de l’ITIE ainsi que de toute mesure prise dans le but de dépasser les Exigences. Cette évaluation devra porter sur les actions entreprises pour répondre aux questions telles que la gestion des revenus et des dépenses (5.3), les paiements de frais de transport (4.4), les dépenses sociales discrétionnaires (6.1), les transferts infranationaux ponctuels (5.2), l’identité des propriétaires réels (2.5) et les contrats (2.4).</w:t>
            </w:r>
          </w:p>
          <w:p w14:paraId="1FA858EE" w14:textId="77777777" w:rsidR="00F51F56" w:rsidRPr="00F51F56" w:rsidRDefault="00F51F56" w:rsidP="00F51F56">
            <w:pPr>
              <w:ind w:left="284" w:right="176"/>
              <w:rPr>
                <w:lang w:val="fr-FR"/>
              </w:rPr>
            </w:pPr>
            <w:r w:rsidRPr="00F51F56">
              <w:rPr>
                <w:lang w:val="fr-FR"/>
              </w:rPr>
              <w:t>iii. Un aperçu des réponses du Groupe multipartite aux recommandations issues de la réconciliation et de la Validation, et des progrès accomplis, conformément à la Disposition 7.3. Le Groupe multipartite est tenu d’établir une liste des recommandations et des activités qui ont été entreprises en vue de répondre à chacune d’entre elles ainsi que le niveau de progrès dans la mise en œuvre de chaque recommandation. Lorsque le gouvernement ou le Groupe multipartite a décidé de ne pas mettre en œuvre une recommandation, il est exigé du Groupe multipartite d’expliciter le raisonnement sous-tendant cette décision dans le rapport annuel d’avancement.</w:t>
            </w:r>
          </w:p>
          <w:p w14:paraId="18686FA4" w14:textId="77777777" w:rsidR="00F51F56" w:rsidRPr="00F51F56" w:rsidRDefault="00F51F56" w:rsidP="00F51F56">
            <w:pPr>
              <w:ind w:left="284" w:right="176"/>
              <w:rPr>
                <w:lang w:val="fr-FR"/>
              </w:rPr>
            </w:pPr>
            <w:r w:rsidRPr="00F51F56">
              <w:rPr>
                <w:lang w:val="fr-FR"/>
              </w:rPr>
              <w:t>iv. Une évaluation des progrès accomplis dans la réalisation des objectifs définis dans le plan de travail du Groupe multipartite (Exigence 1.5), y compris l’évaluation de l’impact et des résultats à la lumière des objectifs énoncés. v. Un compte rendu narratif des efforts entrepris pour renforcer l’impact de la mise en œuvre de l’ITIE sur la gouvernance des ressources naturelles, y compris toute action visant à rendre les déclarations de l’ITIE plus détaillées et à élargir leur portée ou à accroître l’implication des parties prenantes.</w:t>
            </w:r>
          </w:p>
          <w:p w14:paraId="798F9D7F" w14:textId="77777777" w:rsidR="00F51F56" w:rsidRDefault="00F51F56" w:rsidP="00F51F56">
            <w:pPr>
              <w:ind w:left="284" w:right="176"/>
              <w:rPr>
                <w:lang w:val="fr-FR"/>
              </w:rPr>
            </w:pPr>
            <w:r w:rsidRPr="00F51F56">
              <w:rPr>
                <w:lang w:val="fr-FR"/>
              </w:rPr>
              <w:t>b) Toutes les parties prenantes devront être en mesure de participer à la publication du rapport annuel d’avancement et d’évaluer l’impact de la mise en œuvre de l’ITIE. Les groupes de la société civile et les entreprises impliqués dans le processus ITIE, en particulier, mais pas uniquement ceux qui siègent au sein du Groupe multipartite, devront pouvoir donner leur point de vue sur ledit processus et voir leurs avis reflétés dans le rapport annuel d’avancement.</w:t>
            </w:r>
          </w:p>
          <w:p w14:paraId="731D7652" w14:textId="77777777" w:rsidR="008B13D1" w:rsidRDefault="008B13D1" w:rsidP="00F51F56">
            <w:pPr>
              <w:ind w:left="284" w:right="176"/>
              <w:rPr>
                <w:lang w:val="fr-FR"/>
              </w:rPr>
            </w:pPr>
          </w:p>
          <w:p w14:paraId="4C511795" w14:textId="77777777" w:rsidR="008B13D1" w:rsidRPr="00F51F56" w:rsidRDefault="008B13D1" w:rsidP="00F51F56">
            <w:pPr>
              <w:ind w:left="284" w:right="176"/>
              <w:rPr>
                <w:lang w:val="fr-FR"/>
              </w:rPr>
            </w:pPr>
          </w:p>
          <w:p w14:paraId="2AE2F2B9" w14:textId="77777777" w:rsidR="008B13D1" w:rsidRDefault="008B13D1" w:rsidP="008B13D1">
            <w:pPr>
              <w:ind w:left="284"/>
              <w:rPr>
                <w:lang w:val="fr-FR"/>
              </w:rPr>
            </w:pPr>
          </w:p>
          <w:p w14:paraId="0B1C586D" w14:textId="77777777" w:rsidR="008B13D1" w:rsidRPr="008B13D1" w:rsidRDefault="008B13D1" w:rsidP="008B13D1">
            <w:pPr>
              <w:ind w:left="284"/>
              <w:rPr>
                <w:b/>
                <w:bCs/>
                <w:lang w:val="fr-FR"/>
              </w:rPr>
            </w:pPr>
            <w:r w:rsidRPr="008B13D1">
              <w:rPr>
                <w:b/>
                <w:bCs/>
                <w:lang w:val="fr-FR"/>
              </w:rPr>
              <w:t>L’Exigence 8.5 établit les échéances pour la publication des rapports annuels d’avancement :</w:t>
            </w:r>
          </w:p>
          <w:p w14:paraId="059C9FCF" w14:textId="77777777" w:rsidR="008B13D1" w:rsidRPr="008B13D1" w:rsidRDefault="008B13D1" w:rsidP="008B13D1">
            <w:pPr>
              <w:ind w:left="284"/>
              <w:rPr>
                <w:lang w:val="fr-FR"/>
              </w:rPr>
            </w:pPr>
            <w:r w:rsidRPr="008B13D1">
              <w:rPr>
                <w:lang w:val="fr-FR"/>
              </w:rPr>
              <w:t>Les Groupes multipartites sont tenus de publier des rapports annuels d’avancement (Exigence 7.4). Les rapports relatifs aux activités d’une année doivent être publiés pour le 1er juillet de l’année suivante. Le Conseil d’administration de l’ITIE fixera des échéances appropriées pour les nouveaux pays candidats à l’ITIE. Si le rapport annuel d’avancement n’est pas publié dans les six mois de l’échéance (d’ici le 31 décembre de l’année suivante au plus tard), le pays sera suspendu jusqu’à ce que le Conseil d’administration de l’ITIE confirme que le rapport d’avancement manquant a bien été publié.</w:t>
            </w:r>
          </w:p>
          <w:p w14:paraId="64AB80B1" w14:textId="77777777" w:rsidR="008B13D1" w:rsidRPr="008B13D1" w:rsidRDefault="008B13D1" w:rsidP="008B13D1">
            <w:pPr>
              <w:ind w:left="284"/>
              <w:rPr>
                <w:b/>
                <w:bCs/>
                <w:i/>
                <w:iCs/>
                <w:lang w:val="fr-FR"/>
              </w:rPr>
            </w:pPr>
            <w:r w:rsidRPr="008B13D1">
              <w:rPr>
                <w:i/>
                <w:iCs/>
                <w:lang w:val="fr-FR"/>
              </w:rPr>
              <w:t xml:space="preserve">Source : </w:t>
            </w:r>
            <w:r w:rsidRPr="008B13D1">
              <w:rPr>
                <w:b/>
                <w:bCs/>
                <w:i/>
                <w:iCs/>
                <w:lang w:val="fr-FR"/>
              </w:rPr>
              <w:t>Norme ITIE 2016, pages 31 et 36</w:t>
            </w:r>
          </w:p>
          <w:p w14:paraId="62C58A34" w14:textId="77777777" w:rsidR="006312F4" w:rsidRDefault="006312F4" w:rsidP="008B13D1">
            <w:pPr>
              <w:ind w:left="284"/>
              <w:rPr>
                <w:lang w:val="fr-FR"/>
              </w:rPr>
            </w:pPr>
          </w:p>
        </w:tc>
      </w:tr>
    </w:tbl>
    <w:p w14:paraId="33C96D68" w14:textId="77777777" w:rsidR="00B26B1A" w:rsidRDefault="00B26B1A" w:rsidP="00B26B1A">
      <w:pPr>
        <w:rPr>
          <w:lang w:val="fr-FR"/>
        </w:rPr>
      </w:pPr>
    </w:p>
    <w:p w14:paraId="1BACED63" w14:textId="77777777" w:rsidR="00B26B1A" w:rsidRPr="00B26B1A" w:rsidRDefault="00B26B1A" w:rsidP="00B26B1A">
      <w:pPr>
        <w:rPr>
          <w:lang w:val="fr-FR"/>
        </w:rPr>
      </w:pPr>
      <w:r w:rsidRPr="00B26B1A">
        <w:rPr>
          <w:lang w:val="fr-FR"/>
        </w:rPr>
        <w:t>L’Exigence 8.5 stipule également que le rapport portant sur les activités de l’année précédente doit être publié au 1</w:t>
      </w:r>
      <w:r w:rsidRPr="00B26B1A">
        <w:rPr>
          <w:vertAlign w:val="superscript"/>
          <w:lang w:val="fr-FR"/>
        </w:rPr>
        <w:t>er</w:t>
      </w:r>
      <w:r w:rsidRPr="00B26B1A">
        <w:rPr>
          <w:lang w:val="fr-FR"/>
        </w:rPr>
        <w:t xml:space="preserve"> juillet de l’année suivante. Par </w:t>
      </w:r>
      <w:proofErr w:type="spellStart"/>
      <w:r w:rsidRPr="00B26B1A">
        <w:rPr>
          <w:lang w:val="fr-FR"/>
        </w:rPr>
        <w:t>example</w:t>
      </w:r>
      <w:proofErr w:type="spellEnd"/>
      <w:r w:rsidRPr="00B26B1A">
        <w:rPr>
          <w:lang w:val="fr-FR"/>
        </w:rPr>
        <w:t>, le rapport d’avancement 2015 doit être publié au 1</w:t>
      </w:r>
      <w:r w:rsidRPr="00B26B1A">
        <w:rPr>
          <w:vertAlign w:val="superscript"/>
          <w:lang w:val="fr-FR"/>
        </w:rPr>
        <w:t>er</w:t>
      </w:r>
      <w:r w:rsidRPr="00B26B1A">
        <w:rPr>
          <w:lang w:val="fr-FR"/>
        </w:rPr>
        <w:t xml:space="preserve"> juillet 2016.</w:t>
      </w:r>
    </w:p>
    <w:p w14:paraId="7117C56D" w14:textId="77777777" w:rsidR="002927AE" w:rsidRPr="00CB024C" w:rsidRDefault="007355F4" w:rsidP="007355F4">
      <w:pPr>
        <w:rPr>
          <w:rFonts w:eastAsia="Calibri"/>
          <w:b/>
          <w:sz w:val="32"/>
          <w:szCs w:val="32"/>
          <w:lang w:val="fr-FR"/>
        </w:rPr>
      </w:pPr>
      <w:r>
        <w:rPr>
          <w:rFonts w:eastAsia="Calibri"/>
          <w:lang w:val="fr-FR"/>
        </w:rPr>
        <w:br w:type="page"/>
      </w:r>
    </w:p>
    <w:p w14:paraId="37FDD5CB" w14:textId="77777777" w:rsidR="00C104EF" w:rsidRPr="00CB024C" w:rsidRDefault="00C104EF" w:rsidP="00B26B1A">
      <w:pPr>
        <w:keepNext/>
        <w:numPr>
          <w:ilvl w:val="0"/>
          <w:numId w:val="24"/>
        </w:numPr>
        <w:spacing w:after="0" w:line="240" w:lineRule="auto"/>
        <w:ind w:left="0" w:firstLine="0"/>
        <w:contextualSpacing/>
        <w:rPr>
          <w:rFonts w:eastAsia="Calibri"/>
          <w:b/>
          <w:sz w:val="32"/>
          <w:szCs w:val="32"/>
          <w:lang w:val="fr-FR"/>
        </w:rPr>
      </w:pPr>
      <w:r w:rsidRPr="00CB024C">
        <w:rPr>
          <w:rFonts w:eastAsia="Calibri"/>
          <w:b/>
          <w:sz w:val="32"/>
          <w:szCs w:val="32"/>
          <w:lang w:val="fr-FR"/>
        </w:rPr>
        <w:lastRenderedPageBreak/>
        <w:t>Modèle de rapport annuel d’avancement</w:t>
      </w:r>
    </w:p>
    <w:p w14:paraId="1FFF9581" w14:textId="77777777" w:rsidR="00C104EF" w:rsidRPr="00CB024C" w:rsidRDefault="00C104EF" w:rsidP="00A562F5">
      <w:pPr>
        <w:keepNext/>
        <w:spacing w:after="0" w:line="240" w:lineRule="auto"/>
        <w:contextualSpacing/>
        <w:rPr>
          <w:rFonts w:eastAsia="Calibri"/>
          <w:bCs/>
          <w:lang w:val="fr-FR"/>
        </w:rPr>
      </w:pPr>
    </w:p>
    <w:p w14:paraId="2B1737A7" w14:textId="77777777" w:rsidR="00A562F5" w:rsidRPr="00CB024C" w:rsidRDefault="00243251" w:rsidP="00A562F5">
      <w:pPr>
        <w:keepNext/>
        <w:spacing w:after="0" w:line="240" w:lineRule="auto"/>
        <w:contextualSpacing/>
        <w:rPr>
          <w:rFonts w:eastAsia="Calibri"/>
          <w:bCs/>
          <w:sz w:val="23"/>
          <w:szCs w:val="23"/>
          <w:lang w:val="fr-FR"/>
        </w:rPr>
      </w:pPr>
      <w:r w:rsidRPr="00CB024C">
        <w:rPr>
          <w:rFonts w:eastAsia="Calibri"/>
          <w:bCs/>
          <w:sz w:val="23"/>
          <w:szCs w:val="23"/>
          <w:lang w:val="fr-FR"/>
        </w:rPr>
        <w:t>Le format d’un rapport annuel d’activités peut ressembler à ceci :</w:t>
      </w:r>
    </w:p>
    <w:p w14:paraId="34BEC794" w14:textId="77777777" w:rsidR="00C104EF" w:rsidRPr="00A562F5" w:rsidRDefault="00C104EF" w:rsidP="00A562F5">
      <w:pPr>
        <w:keepNext/>
        <w:spacing w:after="0" w:line="240" w:lineRule="auto"/>
        <w:contextualSpacing/>
        <w:rPr>
          <w:rFonts w:ascii="Myriad Pro" w:eastAsia="Calibri" w:hAnsi="Myriad Pro"/>
          <w:bCs/>
          <w:lang w:val="fr-FR"/>
        </w:rPr>
      </w:pPr>
    </w:p>
    <w:p w14:paraId="15FB3E4D" w14:textId="77777777" w:rsidR="00243251" w:rsidRPr="00A562F5" w:rsidRDefault="00A562F5" w:rsidP="00A562F5">
      <w:pPr>
        <w:keepNext/>
        <w:spacing w:after="0" w:line="240" w:lineRule="auto"/>
        <w:contextualSpacing/>
        <w:rPr>
          <w:rFonts w:ascii="Myriad Pro" w:eastAsia="Calibri" w:hAnsi="Myriad Pro"/>
          <w:bCs/>
          <w:lang w:val="en-US"/>
        </w:rPr>
      </w:pPr>
      <w:r w:rsidRPr="00E81A22">
        <w:rPr>
          <w:rFonts w:ascii="Myriad Pro" w:eastAsia="Calibri" w:hAnsi="Myriad Pro"/>
          <w:bCs/>
          <w:sz w:val="20"/>
          <w:szCs w:val="20"/>
          <w:lang w:val="fr-FR"/>
        </w:rPr>
        <w:t>-------------------------</w:t>
      </w:r>
      <w:r w:rsidR="00243251" w:rsidRPr="00E81A22">
        <w:rPr>
          <w:rFonts w:ascii="Myriad Pro" w:eastAsia="Calibri" w:hAnsi="Myriad Pro"/>
          <w:bCs/>
          <w:sz w:val="20"/>
          <w:szCs w:val="20"/>
          <w:lang w:val="fr-FR"/>
        </w:rPr>
        <w:t>-----------------------------------------------------------------------------------------------------------------------------------</w:t>
      </w:r>
    </w:p>
    <w:p w14:paraId="6291D907" w14:textId="77777777" w:rsidR="00E81A22" w:rsidRDefault="00E81A22" w:rsidP="00243251">
      <w:pPr>
        <w:spacing w:after="0" w:line="240" w:lineRule="auto"/>
        <w:contextualSpacing/>
        <w:rPr>
          <w:rFonts w:ascii="Myriad Pro" w:eastAsia="Calibri" w:hAnsi="Myriad Pro"/>
          <w:bCs/>
          <w:sz w:val="20"/>
          <w:szCs w:val="20"/>
          <w:lang w:val="fr-FR"/>
        </w:rPr>
      </w:pPr>
    </w:p>
    <w:p w14:paraId="103FBF35" w14:textId="77777777" w:rsidR="00243251" w:rsidRPr="00CB024C" w:rsidRDefault="00243251" w:rsidP="00C104EF">
      <w:pPr>
        <w:spacing w:after="0" w:line="240" w:lineRule="auto"/>
        <w:contextualSpacing/>
        <w:rPr>
          <w:rFonts w:eastAsia="Calibri"/>
          <w:sz w:val="32"/>
          <w:szCs w:val="32"/>
          <w:lang w:val="fr-FR"/>
        </w:rPr>
      </w:pPr>
      <w:r w:rsidRPr="00CB024C">
        <w:rPr>
          <w:rFonts w:eastAsia="Calibri"/>
          <w:sz w:val="32"/>
          <w:szCs w:val="32"/>
          <w:lang w:val="fr-FR"/>
        </w:rPr>
        <w:t>&lt;Pays&gt;</w:t>
      </w:r>
      <w:r w:rsidRPr="00CB024C">
        <w:rPr>
          <w:rFonts w:eastAsia="Calibri"/>
          <w:color w:val="000000"/>
          <w:sz w:val="32"/>
          <w:szCs w:val="32"/>
          <w:lang w:val="fr-FR"/>
        </w:rPr>
        <w:tab/>
      </w:r>
      <w:r w:rsidRPr="00CB024C">
        <w:rPr>
          <w:rFonts w:eastAsia="Calibri"/>
          <w:color w:val="000000"/>
          <w:sz w:val="32"/>
          <w:szCs w:val="32"/>
          <w:lang w:val="fr-FR"/>
        </w:rPr>
        <w:tab/>
        <w:t xml:space="preserve">Rapport annuel </w:t>
      </w:r>
      <w:r w:rsidR="00C104EF" w:rsidRPr="00CB024C">
        <w:rPr>
          <w:rFonts w:eastAsia="Calibri"/>
          <w:color w:val="000000"/>
          <w:sz w:val="32"/>
          <w:szCs w:val="32"/>
          <w:lang w:val="fr-FR"/>
        </w:rPr>
        <w:t>d’avancement</w:t>
      </w:r>
      <w:r w:rsidRPr="00CB024C">
        <w:rPr>
          <w:rFonts w:eastAsia="Calibri"/>
          <w:color w:val="000000"/>
          <w:sz w:val="32"/>
          <w:szCs w:val="32"/>
          <w:lang w:val="fr-FR"/>
        </w:rPr>
        <w:t xml:space="preserve"> ITIE &lt;année&gt;</w:t>
      </w:r>
    </w:p>
    <w:p w14:paraId="789709AD" w14:textId="77777777" w:rsidR="00243251" w:rsidRPr="00C104EF" w:rsidRDefault="00243251" w:rsidP="00243251">
      <w:pPr>
        <w:spacing w:after="0" w:line="240" w:lineRule="auto"/>
        <w:contextualSpacing/>
        <w:rPr>
          <w:rFonts w:ascii="Myriad Pro" w:eastAsia="Calibri" w:hAnsi="Myriad Pro"/>
          <w:bCs/>
          <w:sz w:val="20"/>
          <w:szCs w:val="20"/>
          <w:lang w:val="fr-FR"/>
        </w:rPr>
      </w:pPr>
    </w:p>
    <w:p w14:paraId="555B1F3E" w14:textId="77777777" w:rsidR="00E81A22" w:rsidRPr="00C104EF" w:rsidRDefault="00E81A22" w:rsidP="00243251">
      <w:pPr>
        <w:spacing w:after="0" w:line="240" w:lineRule="auto"/>
        <w:contextualSpacing/>
        <w:rPr>
          <w:rFonts w:ascii="Myriad Pro" w:eastAsia="Calibri" w:hAnsi="Myriad Pro"/>
          <w:bCs/>
          <w:sz w:val="20"/>
          <w:szCs w:val="20"/>
          <w:lang w:val="fr-FR"/>
        </w:rPr>
      </w:pPr>
    </w:p>
    <w:p w14:paraId="23CA6EDB" w14:textId="77777777" w:rsidR="00243251" w:rsidRPr="00CB024C" w:rsidRDefault="00243251" w:rsidP="00243251">
      <w:pPr>
        <w:numPr>
          <w:ilvl w:val="0"/>
          <w:numId w:val="19"/>
        </w:numPr>
        <w:spacing w:after="0" w:line="240" w:lineRule="auto"/>
        <w:ind w:hanging="720"/>
        <w:contextualSpacing/>
        <w:rPr>
          <w:rFonts w:eastAsia="Calibri"/>
          <w:b/>
          <w:bCs/>
          <w:sz w:val="23"/>
          <w:szCs w:val="23"/>
          <w:lang w:val="en-US"/>
        </w:rPr>
      </w:pPr>
      <w:r w:rsidRPr="00CB024C">
        <w:rPr>
          <w:rFonts w:eastAsia="Calibri"/>
          <w:b/>
          <w:bCs/>
          <w:sz w:val="23"/>
          <w:szCs w:val="23"/>
          <w:lang w:val="fr-FR"/>
        </w:rPr>
        <w:t>Évaluation générale de la performance annuelle</w:t>
      </w:r>
    </w:p>
    <w:p w14:paraId="280B9F87" w14:textId="77777777" w:rsidR="00243251" w:rsidRDefault="00243251" w:rsidP="00243251">
      <w:pPr>
        <w:spacing w:after="0" w:line="240" w:lineRule="auto"/>
        <w:contextualSpacing/>
        <w:rPr>
          <w:rFonts w:ascii="Myriad Pro" w:eastAsia="Calibri" w:hAnsi="Myriad Pro"/>
          <w:bCs/>
          <w:sz w:val="20"/>
          <w:szCs w:val="20"/>
          <w:lang w:val="nb-NO"/>
        </w:rPr>
      </w:pPr>
    </w:p>
    <w:p w14:paraId="60F3BAF5" w14:textId="77777777" w:rsidR="00E81A22" w:rsidRPr="00E81A22" w:rsidRDefault="00E81A22" w:rsidP="00243251">
      <w:pPr>
        <w:spacing w:after="0" w:line="240" w:lineRule="auto"/>
        <w:contextualSpacing/>
        <w:rPr>
          <w:rFonts w:ascii="Myriad Pro" w:eastAsia="Calibri" w:hAnsi="Myriad Pro"/>
          <w:bCs/>
          <w:sz w:val="20"/>
          <w:szCs w:val="20"/>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43251" w:rsidRPr="00E81A22" w14:paraId="26C92388" w14:textId="77777777" w:rsidTr="00AA7766">
        <w:tc>
          <w:tcPr>
            <w:tcW w:w="9639" w:type="dxa"/>
            <w:tcBorders>
              <w:top w:val="single" w:sz="4" w:space="0" w:color="auto"/>
              <w:left w:val="single" w:sz="4" w:space="0" w:color="auto"/>
              <w:bottom w:val="single" w:sz="4" w:space="0" w:color="auto"/>
              <w:right w:val="single" w:sz="4" w:space="0" w:color="auto"/>
            </w:tcBorders>
          </w:tcPr>
          <w:p w14:paraId="01583CB3" w14:textId="77777777" w:rsidR="00243251" w:rsidRPr="00CB024C" w:rsidRDefault="00243251" w:rsidP="00AA7766">
            <w:pPr>
              <w:spacing w:after="0"/>
              <w:contextualSpacing/>
              <w:rPr>
                <w:sz w:val="23"/>
                <w:szCs w:val="23"/>
                <w:lang w:val="en-US"/>
              </w:rPr>
            </w:pPr>
          </w:p>
          <w:p w14:paraId="311D3D86" w14:textId="77777777" w:rsidR="00243251" w:rsidRPr="00CB024C" w:rsidRDefault="00BD0A6D" w:rsidP="00AA7766">
            <w:pPr>
              <w:spacing w:after="0"/>
              <w:contextualSpacing/>
              <w:rPr>
                <w:i/>
                <w:sz w:val="23"/>
                <w:szCs w:val="23"/>
                <w:lang w:val="en-US"/>
              </w:rPr>
            </w:pPr>
            <w:r w:rsidRPr="00CB024C">
              <w:rPr>
                <w:rFonts w:eastAsia="Calibri"/>
                <w:bCs/>
                <w:i/>
                <w:sz w:val="23"/>
                <w:szCs w:val="23"/>
                <w:lang w:val="fr-FR"/>
              </w:rPr>
              <w:t>Conformément à l’Exigence 7.4</w:t>
            </w:r>
            <w:r w:rsidR="00243251" w:rsidRPr="00CB024C">
              <w:rPr>
                <w:rFonts w:eastAsia="Calibri"/>
                <w:bCs/>
                <w:i/>
                <w:sz w:val="23"/>
                <w:szCs w:val="23"/>
                <w:lang w:val="fr-FR"/>
              </w:rPr>
              <w:t>(a)(i), décrivez brièvement les activités ITIE entreprises durant l’année écoulée. Le Groupe multipartite peut souhaiter préciser le lien entre ces activités et les objectifs figurant dans le plan de travail.</w:t>
            </w:r>
          </w:p>
          <w:p w14:paraId="49CE14BF" w14:textId="77777777" w:rsidR="00243251" w:rsidRPr="00E81A22" w:rsidRDefault="00243251" w:rsidP="00AA7766">
            <w:pPr>
              <w:spacing w:after="0"/>
              <w:contextualSpacing/>
              <w:rPr>
                <w:rFonts w:ascii="Myriad Pro" w:hAnsi="Myriad Pro"/>
                <w:sz w:val="20"/>
                <w:szCs w:val="20"/>
                <w:lang w:val="en-US"/>
              </w:rPr>
            </w:pPr>
          </w:p>
          <w:p w14:paraId="01FECB47" w14:textId="77777777" w:rsidR="00243251" w:rsidRPr="00E81A22" w:rsidRDefault="00243251" w:rsidP="00AA7766">
            <w:pPr>
              <w:spacing w:after="0"/>
              <w:contextualSpacing/>
              <w:rPr>
                <w:rFonts w:ascii="Myriad Pro" w:hAnsi="Myriad Pro"/>
                <w:sz w:val="20"/>
                <w:szCs w:val="20"/>
                <w:lang w:val="en-US"/>
              </w:rPr>
            </w:pPr>
          </w:p>
        </w:tc>
      </w:tr>
    </w:tbl>
    <w:p w14:paraId="0D64EFDA" w14:textId="77777777" w:rsidR="00243251" w:rsidRPr="00E81A22" w:rsidRDefault="00243251" w:rsidP="00243251">
      <w:pPr>
        <w:spacing w:after="0" w:line="240" w:lineRule="auto"/>
        <w:contextualSpacing/>
        <w:rPr>
          <w:rFonts w:ascii="Myriad Pro" w:eastAsia="Calibri" w:hAnsi="Myriad Pro"/>
          <w:bCs/>
          <w:sz w:val="20"/>
          <w:szCs w:val="20"/>
          <w:lang w:val="en-US"/>
        </w:rPr>
      </w:pPr>
    </w:p>
    <w:p w14:paraId="745247B2" w14:textId="77777777" w:rsidR="00243251" w:rsidRPr="00CB024C" w:rsidRDefault="00243251" w:rsidP="00243251">
      <w:pPr>
        <w:pStyle w:val="ColorfulList-Accent11"/>
        <w:numPr>
          <w:ilvl w:val="0"/>
          <w:numId w:val="19"/>
        </w:numPr>
        <w:spacing w:after="0" w:line="240" w:lineRule="auto"/>
        <w:ind w:hanging="720"/>
        <w:rPr>
          <w:rFonts w:eastAsia="Calibri"/>
          <w:b/>
          <w:bCs/>
          <w:sz w:val="23"/>
          <w:szCs w:val="23"/>
          <w:lang w:val="en-US"/>
        </w:rPr>
      </w:pPr>
      <w:r w:rsidRPr="00CB024C">
        <w:rPr>
          <w:rFonts w:eastAsia="Calibri"/>
          <w:b/>
          <w:bCs/>
          <w:sz w:val="23"/>
          <w:szCs w:val="23"/>
          <w:lang w:val="fr-FR"/>
        </w:rPr>
        <w:t>Évaluation des performances vis-à-vis des objectifs et des activités définis dans le plan de</w:t>
      </w:r>
      <w:r w:rsidR="00BD0A6D" w:rsidRPr="00CB024C">
        <w:rPr>
          <w:rFonts w:eastAsia="Calibri"/>
          <w:b/>
          <w:bCs/>
          <w:sz w:val="23"/>
          <w:szCs w:val="23"/>
          <w:lang w:val="fr-FR"/>
        </w:rPr>
        <w:t xml:space="preserve"> travail</w:t>
      </w:r>
    </w:p>
    <w:p w14:paraId="13957F23" w14:textId="77777777" w:rsidR="00243251" w:rsidRDefault="00243251" w:rsidP="00243251">
      <w:pPr>
        <w:spacing w:after="0" w:line="240" w:lineRule="auto"/>
        <w:ind w:left="720" w:hanging="720"/>
        <w:contextualSpacing/>
        <w:rPr>
          <w:rFonts w:ascii="Myriad Pro" w:eastAsia="Calibri" w:hAnsi="Myriad Pro"/>
          <w:bCs/>
          <w:sz w:val="20"/>
          <w:szCs w:val="20"/>
          <w:lang w:val="nb-NO"/>
        </w:rPr>
      </w:pPr>
    </w:p>
    <w:p w14:paraId="693B24C6" w14:textId="77777777" w:rsidR="00E81A22" w:rsidRPr="00E81A22" w:rsidRDefault="00E81A22" w:rsidP="00243251">
      <w:pPr>
        <w:spacing w:after="0" w:line="240" w:lineRule="auto"/>
        <w:ind w:left="720" w:hanging="720"/>
        <w:contextualSpacing/>
        <w:rPr>
          <w:rFonts w:ascii="Myriad Pro" w:eastAsia="Calibri" w:hAnsi="Myriad Pro"/>
          <w:bCs/>
          <w:sz w:val="20"/>
          <w:szCs w:val="20"/>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43251" w:rsidRPr="00E81A22" w14:paraId="11E47666" w14:textId="77777777" w:rsidTr="00AA7766">
        <w:tc>
          <w:tcPr>
            <w:tcW w:w="9639" w:type="dxa"/>
            <w:tcBorders>
              <w:top w:val="single" w:sz="4" w:space="0" w:color="auto"/>
              <w:left w:val="single" w:sz="4" w:space="0" w:color="auto"/>
              <w:bottom w:val="single" w:sz="4" w:space="0" w:color="auto"/>
              <w:right w:val="single" w:sz="4" w:space="0" w:color="auto"/>
            </w:tcBorders>
          </w:tcPr>
          <w:p w14:paraId="1CFEAF93" w14:textId="77777777" w:rsidR="00243251" w:rsidRPr="00E81A22" w:rsidRDefault="00243251" w:rsidP="00AA7766">
            <w:pPr>
              <w:spacing w:after="0"/>
              <w:contextualSpacing/>
              <w:rPr>
                <w:rFonts w:ascii="Myriad Pro" w:hAnsi="Myriad Pro"/>
                <w:sz w:val="20"/>
                <w:szCs w:val="20"/>
                <w:lang w:val="en-US"/>
              </w:rPr>
            </w:pPr>
          </w:p>
          <w:p w14:paraId="71A2669A" w14:textId="77777777" w:rsidR="00243251" w:rsidRPr="00CB024C" w:rsidRDefault="00243251" w:rsidP="00AA7766">
            <w:pPr>
              <w:spacing w:after="0"/>
              <w:contextualSpacing/>
              <w:rPr>
                <w:rFonts w:eastAsia="Calibri"/>
                <w:i/>
                <w:sz w:val="23"/>
                <w:szCs w:val="23"/>
                <w:lang w:val="en-US"/>
              </w:rPr>
            </w:pPr>
            <w:r w:rsidRPr="00CB024C">
              <w:rPr>
                <w:rFonts w:eastAsia="Calibri"/>
                <w:bCs/>
                <w:i/>
                <w:sz w:val="23"/>
                <w:szCs w:val="23"/>
                <w:lang w:val="fr-FR"/>
              </w:rPr>
              <w:t>Évaluez les progrès accomplis dans la réalisation des objectifs fixés dans le plan de travail du G</w:t>
            </w:r>
            <w:r w:rsidR="00BD0A6D" w:rsidRPr="00CB024C">
              <w:rPr>
                <w:rFonts w:eastAsia="Calibri"/>
                <w:bCs/>
                <w:i/>
                <w:sz w:val="23"/>
                <w:szCs w:val="23"/>
                <w:lang w:val="fr-FR"/>
              </w:rPr>
              <w:t>roupe multipartite (Exigence 1.5</w:t>
            </w:r>
            <w:r w:rsidRPr="00CB024C">
              <w:rPr>
                <w:rFonts w:eastAsia="Calibri"/>
                <w:bCs/>
                <w:i/>
                <w:sz w:val="23"/>
                <w:szCs w:val="23"/>
                <w:lang w:val="fr-FR"/>
              </w:rPr>
              <w:t>), en incluant une évaluation de l’impact et des résultats des</w:t>
            </w:r>
            <w:r w:rsidR="00BD0A6D" w:rsidRPr="00CB024C">
              <w:rPr>
                <w:rFonts w:eastAsia="Calibri"/>
                <w:bCs/>
                <w:i/>
                <w:sz w:val="23"/>
                <w:szCs w:val="23"/>
                <w:lang w:val="fr-FR"/>
              </w:rPr>
              <w:t xml:space="preserve"> objectifs énoncés (Exigence 7.4</w:t>
            </w:r>
            <w:r w:rsidRPr="00CB024C">
              <w:rPr>
                <w:rFonts w:eastAsia="Calibri"/>
                <w:bCs/>
                <w:i/>
                <w:sz w:val="23"/>
                <w:szCs w:val="23"/>
                <w:lang w:val="fr-FR"/>
              </w:rPr>
              <w:t>(a)(iv)).</w:t>
            </w:r>
          </w:p>
          <w:p w14:paraId="7E4717BB" w14:textId="77777777" w:rsidR="00243251" w:rsidRPr="00CB024C" w:rsidRDefault="00243251" w:rsidP="00AA7766">
            <w:pPr>
              <w:spacing w:after="0"/>
              <w:contextualSpacing/>
              <w:rPr>
                <w:rFonts w:eastAsia="Calibri"/>
                <w:sz w:val="23"/>
                <w:szCs w:val="23"/>
                <w:lang w:val="en-US"/>
              </w:rPr>
            </w:pPr>
          </w:p>
          <w:p w14:paraId="08664F75" w14:textId="77777777" w:rsidR="00243251" w:rsidRPr="00CB024C" w:rsidRDefault="00243251" w:rsidP="00AA7766">
            <w:pPr>
              <w:spacing w:after="0"/>
              <w:contextualSpacing/>
              <w:rPr>
                <w:bCs/>
                <w:i/>
                <w:sz w:val="23"/>
                <w:szCs w:val="23"/>
                <w:lang w:val="en-US"/>
              </w:rPr>
            </w:pPr>
            <w:r w:rsidRPr="00CB024C">
              <w:rPr>
                <w:rFonts w:eastAsia="Calibri"/>
                <w:i/>
                <w:sz w:val="23"/>
                <w:szCs w:val="23"/>
                <w:lang w:val="fr-FR"/>
              </w:rPr>
              <w:t>Le Groupe multipartite peut souhaiter :</w:t>
            </w:r>
            <w:r w:rsidRPr="00CB024C">
              <w:rPr>
                <w:rFonts w:eastAsia="Calibri"/>
                <w:sz w:val="23"/>
                <w:szCs w:val="23"/>
                <w:lang w:val="fr-FR"/>
              </w:rPr>
              <w:t xml:space="preserve"> </w:t>
            </w:r>
          </w:p>
          <w:p w14:paraId="5802EBFB" w14:textId="77777777" w:rsidR="00243251" w:rsidRPr="00CB024C" w:rsidRDefault="00243251" w:rsidP="00243251">
            <w:pPr>
              <w:pStyle w:val="ColorfulList-Accent11"/>
              <w:numPr>
                <w:ilvl w:val="0"/>
                <w:numId w:val="21"/>
              </w:numPr>
              <w:spacing w:after="0"/>
              <w:rPr>
                <w:sz w:val="23"/>
                <w:szCs w:val="23"/>
                <w:lang w:val="en-US"/>
              </w:rPr>
            </w:pPr>
            <w:r w:rsidRPr="00CB024C">
              <w:rPr>
                <w:rFonts w:eastAsia="Calibri"/>
                <w:bCs/>
                <w:i/>
                <w:color w:val="000000"/>
                <w:sz w:val="23"/>
                <w:szCs w:val="23"/>
                <w:lang w:val="fr-FR"/>
              </w:rPr>
              <w:t xml:space="preserve">Citer les objectifs fixés dans le plan de travail, et indiquer les progrès accomplis dans leur réalisation ; </w:t>
            </w:r>
          </w:p>
          <w:p w14:paraId="0323EA08" w14:textId="77777777" w:rsidR="00243251" w:rsidRPr="00CB024C" w:rsidRDefault="00243251" w:rsidP="00243251">
            <w:pPr>
              <w:pStyle w:val="ColorfulList-Accent11"/>
              <w:numPr>
                <w:ilvl w:val="0"/>
                <w:numId w:val="21"/>
              </w:numPr>
              <w:spacing w:after="0"/>
              <w:rPr>
                <w:sz w:val="23"/>
                <w:szCs w:val="23"/>
                <w:lang w:val="en-US"/>
              </w:rPr>
            </w:pPr>
            <w:r w:rsidRPr="00CB024C">
              <w:rPr>
                <w:rFonts w:eastAsia="Calibri"/>
                <w:bCs/>
                <w:i/>
                <w:sz w:val="23"/>
                <w:szCs w:val="23"/>
                <w:lang w:val="fr-FR"/>
              </w:rPr>
              <w:t>Décrire les activités du plan de travail, en mentionnant si ces activités ont été menées à bien.</w:t>
            </w:r>
            <w:r w:rsidRPr="00CB024C">
              <w:rPr>
                <w:rFonts w:eastAsia="Calibri"/>
                <w:bCs/>
                <w:sz w:val="23"/>
                <w:szCs w:val="23"/>
                <w:lang w:val="fr-FR"/>
              </w:rPr>
              <w:t xml:space="preserve"> </w:t>
            </w:r>
            <w:r w:rsidRPr="00CB024C">
              <w:rPr>
                <w:rFonts w:eastAsia="Calibri"/>
                <w:bCs/>
                <w:i/>
                <w:color w:val="000000"/>
                <w:sz w:val="23"/>
                <w:szCs w:val="23"/>
                <w:lang w:val="fr-FR"/>
              </w:rPr>
              <w:t>Incluez toutes les activités supplémentaires non prévues dans le plan de travail, mais ayant contribué à la réalisation des objectifs généraux.</w:t>
            </w:r>
          </w:p>
          <w:p w14:paraId="13D5F353" w14:textId="77777777" w:rsidR="00243251" w:rsidRPr="00E81A22" w:rsidRDefault="00243251" w:rsidP="00AA7766">
            <w:pPr>
              <w:spacing w:after="0"/>
              <w:contextualSpacing/>
              <w:rPr>
                <w:rFonts w:ascii="Myriad Pro" w:hAnsi="Myriad Pro"/>
                <w:sz w:val="20"/>
                <w:szCs w:val="20"/>
                <w:lang w:val="en-US"/>
              </w:rPr>
            </w:pPr>
          </w:p>
        </w:tc>
      </w:tr>
    </w:tbl>
    <w:p w14:paraId="049ED6DD" w14:textId="77777777" w:rsidR="00243251" w:rsidRPr="00E81A22" w:rsidRDefault="00243251" w:rsidP="00243251">
      <w:pPr>
        <w:spacing w:after="0" w:line="240" w:lineRule="auto"/>
        <w:contextualSpacing/>
        <w:rPr>
          <w:rFonts w:ascii="Myriad Pro" w:eastAsia="Calibri" w:hAnsi="Myriad Pro"/>
          <w:bCs/>
          <w:sz w:val="20"/>
          <w:szCs w:val="20"/>
          <w:lang w:val="en-US"/>
        </w:rPr>
      </w:pPr>
    </w:p>
    <w:p w14:paraId="5CA58B6A" w14:textId="77777777" w:rsidR="00243251" w:rsidRPr="00CB024C" w:rsidRDefault="00243251" w:rsidP="00243251">
      <w:pPr>
        <w:numPr>
          <w:ilvl w:val="0"/>
          <w:numId w:val="19"/>
        </w:numPr>
        <w:spacing w:after="0" w:line="240" w:lineRule="auto"/>
        <w:ind w:hanging="720"/>
        <w:contextualSpacing/>
        <w:rPr>
          <w:rFonts w:eastAsia="Calibri"/>
          <w:b/>
          <w:bCs/>
          <w:sz w:val="23"/>
          <w:szCs w:val="23"/>
          <w:lang w:val="en-US"/>
        </w:rPr>
      </w:pPr>
      <w:r w:rsidRPr="00CB024C">
        <w:rPr>
          <w:rFonts w:eastAsia="Calibri"/>
          <w:b/>
          <w:bCs/>
          <w:sz w:val="23"/>
          <w:szCs w:val="23"/>
          <w:lang w:val="fr-FR"/>
        </w:rPr>
        <w:t>Évaluation des performances par rapport aux Exigences de l’ITIE</w:t>
      </w:r>
    </w:p>
    <w:p w14:paraId="55E24503" w14:textId="77777777" w:rsidR="00243251" w:rsidRDefault="00243251" w:rsidP="00243251">
      <w:pPr>
        <w:spacing w:after="0" w:line="240" w:lineRule="auto"/>
        <w:ind w:left="720"/>
        <w:contextualSpacing/>
        <w:rPr>
          <w:rFonts w:ascii="Myriad Pro" w:eastAsia="Calibri" w:hAnsi="Myriad Pro"/>
          <w:b/>
          <w:bCs/>
          <w:sz w:val="20"/>
          <w:szCs w:val="20"/>
          <w:lang w:val="nb-NO"/>
        </w:rPr>
      </w:pPr>
    </w:p>
    <w:p w14:paraId="647E6652" w14:textId="77777777" w:rsidR="00E81A22" w:rsidRPr="00E81A22" w:rsidRDefault="00E81A22" w:rsidP="00243251">
      <w:pPr>
        <w:spacing w:after="0" w:line="240" w:lineRule="auto"/>
        <w:ind w:left="720"/>
        <w:contextualSpacing/>
        <w:rPr>
          <w:rFonts w:ascii="Myriad Pro" w:eastAsia="Calibri" w:hAnsi="Myriad Pro"/>
          <w:b/>
          <w:bCs/>
          <w:sz w:val="20"/>
          <w:szCs w:val="20"/>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966"/>
      </w:tblGrid>
      <w:tr w:rsidR="00243251" w:rsidRPr="00E81A22" w14:paraId="25D50EDC" w14:textId="77777777" w:rsidTr="00AA7766">
        <w:tc>
          <w:tcPr>
            <w:tcW w:w="9741" w:type="dxa"/>
            <w:gridSpan w:val="2"/>
            <w:tcBorders>
              <w:top w:val="single" w:sz="4" w:space="0" w:color="auto"/>
              <w:left w:val="single" w:sz="4" w:space="0" w:color="auto"/>
              <w:bottom w:val="single" w:sz="4" w:space="0" w:color="auto"/>
              <w:right w:val="single" w:sz="4" w:space="0" w:color="auto"/>
            </w:tcBorders>
          </w:tcPr>
          <w:p w14:paraId="602836A6" w14:textId="77777777" w:rsidR="00BD0A6D" w:rsidRPr="00CB024C" w:rsidRDefault="00243251" w:rsidP="00BD0A6D">
            <w:pPr>
              <w:contextualSpacing/>
              <w:rPr>
                <w:rFonts w:eastAsia="Calibri"/>
                <w:bCs/>
                <w:iCs/>
                <w:color w:val="000000"/>
                <w:sz w:val="23"/>
                <w:szCs w:val="23"/>
                <w:lang w:val="fr-FR"/>
              </w:rPr>
            </w:pPr>
            <w:r w:rsidRPr="00CB024C">
              <w:rPr>
                <w:rFonts w:eastAsia="Calibri"/>
                <w:bCs/>
                <w:i/>
                <w:sz w:val="23"/>
                <w:szCs w:val="23"/>
                <w:lang w:val="fr-FR"/>
              </w:rPr>
              <w:t xml:space="preserve">Évaluez les progrès accomplis pour satisfaire et/ou rester conforme à chaque </w:t>
            </w:r>
            <w:r w:rsidR="00BD0A6D" w:rsidRPr="00CB024C">
              <w:rPr>
                <w:rFonts w:eastAsia="Calibri"/>
                <w:bCs/>
                <w:i/>
                <w:sz w:val="23"/>
                <w:szCs w:val="23"/>
                <w:lang w:val="fr-FR"/>
              </w:rPr>
              <w:t>Exigence de l’ITIE (Exigence 7.4</w:t>
            </w:r>
            <w:r w:rsidRPr="00CB024C">
              <w:rPr>
                <w:rFonts w:eastAsia="Calibri"/>
                <w:bCs/>
                <w:i/>
                <w:sz w:val="23"/>
                <w:szCs w:val="23"/>
                <w:lang w:val="fr-FR"/>
              </w:rPr>
              <w:t>(a)(ii)).</w:t>
            </w:r>
            <w:r w:rsidRPr="00CB024C">
              <w:rPr>
                <w:rFonts w:eastAsia="Calibri"/>
                <w:bCs/>
                <w:sz w:val="23"/>
                <w:szCs w:val="23"/>
                <w:lang w:val="fr-FR"/>
              </w:rPr>
              <w:t xml:space="preserve"> </w:t>
            </w:r>
            <w:r w:rsidRPr="00CB024C">
              <w:rPr>
                <w:rFonts w:eastAsia="Calibri"/>
                <w:bCs/>
                <w:i/>
                <w:color w:val="000000"/>
                <w:sz w:val="23"/>
                <w:szCs w:val="23"/>
                <w:lang w:val="fr-FR"/>
              </w:rPr>
              <w:t xml:space="preserve">Cette évaluation devra porter sur les actions entreprises en préparation à la </w:t>
            </w:r>
            <w:r w:rsidRPr="00CB024C">
              <w:rPr>
                <w:rFonts w:eastAsia="Calibri"/>
                <w:bCs/>
                <w:i/>
                <w:color w:val="000000"/>
                <w:sz w:val="23"/>
                <w:szCs w:val="23"/>
                <w:lang w:val="fr-FR"/>
              </w:rPr>
              <w:lastRenderedPageBreak/>
              <w:t>mise en œuvre de la Norme ITIE, y compris dans des domaines tels que la gestion des revenus et des dépenses (</w:t>
            </w:r>
            <w:r w:rsidR="00BD0A6D" w:rsidRPr="00CB024C">
              <w:rPr>
                <w:rFonts w:eastAsia="Calibri"/>
                <w:bCs/>
                <w:i/>
                <w:color w:val="000000"/>
                <w:sz w:val="23"/>
                <w:szCs w:val="23"/>
                <w:lang w:val="fr-FR"/>
              </w:rPr>
              <w:t>5.3</w:t>
            </w:r>
            <w:r w:rsidRPr="00CB024C">
              <w:rPr>
                <w:rFonts w:eastAsia="Calibri"/>
                <w:bCs/>
                <w:i/>
                <w:color w:val="000000"/>
                <w:sz w:val="23"/>
                <w:szCs w:val="23"/>
                <w:lang w:val="fr-FR"/>
              </w:rPr>
              <w:t>), les paiements de frais de transport (</w:t>
            </w:r>
            <w:r w:rsidR="00BD0A6D" w:rsidRPr="00CB024C">
              <w:rPr>
                <w:rFonts w:eastAsia="Calibri"/>
                <w:bCs/>
                <w:i/>
                <w:color w:val="000000"/>
                <w:sz w:val="23"/>
                <w:szCs w:val="23"/>
                <w:lang w:val="fr-FR"/>
              </w:rPr>
              <w:t>4.4</w:t>
            </w:r>
            <w:r w:rsidRPr="00CB024C">
              <w:rPr>
                <w:rFonts w:eastAsia="Calibri"/>
                <w:bCs/>
                <w:i/>
                <w:color w:val="000000"/>
                <w:sz w:val="23"/>
                <w:szCs w:val="23"/>
                <w:lang w:val="fr-FR"/>
              </w:rPr>
              <w:t>), les dépenses sociales discrétionnaires (</w:t>
            </w:r>
            <w:r w:rsidR="00BD0A6D" w:rsidRPr="00CB024C">
              <w:rPr>
                <w:rFonts w:eastAsia="Calibri"/>
                <w:bCs/>
                <w:i/>
                <w:color w:val="000000"/>
                <w:sz w:val="23"/>
                <w:szCs w:val="23"/>
                <w:lang w:val="fr-FR"/>
              </w:rPr>
              <w:t>6.1),</w:t>
            </w:r>
            <w:r w:rsidRPr="00CB024C">
              <w:rPr>
                <w:rFonts w:eastAsia="Calibri"/>
                <w:bCs/>
                <w:i/>
                <w:color w:val="000000"/>
                <w:sz w:val="23"/>
                <w:szCs w:val="23"/>
                <w:lang w:val="fr-FR"/>
              </w:rPr>
              <w:t xml:space="preserve"> les transferts infranationaux ponctuels (</w:t>
            </w:r>
            <w:r w:rsidR="00BD0A6D" w:rsidRPr="00CB024C">
              <w:rPr>
                <w:rFonts w:eastAsia="Calibri"/>
                <w:bCs/>
                <w:i/>
                <w:color w:val="000000"/>
                <w:sz w:val="23"/>
                <w:szCs w:val="23"/>
                <w:lang w:val="fr-FR"/>
              </w:rPr>
              <w:t>5.2)</w:t>
            </w:r>
            <w:r w:rsidRPr="00CB024C">
              <w:rPr>
                <w:rFonts w:eastAsia="Calibri"/>
                <w:bCs/>
                <w:i/>
                <w:color w:val="000000"/>
                <w:sz w:val="23"/>
                <w:szCs w:val="23"/>
                <w:lang w:val="fr-FR"/>
              </w:rPr>
              <w:t xml:space="preserve"> la propriété réelle</w:t>
            </w:r>
            <w:r w:rsidR="00BD0A6D" w:rsidRPr="00CB024C">
              <w:rPr>
                <w:rFonts w:eastAsia="Calibri"/>
                <w:bCs/>
                <w:i/>
                <w:color w:val="000000"/>
                <w:sz w:val="23"/>
                <w:szCs w:val="23"/>
                <w:lang w:val="fr-FR"/>
              </w:rPr>
              <w:t xml:space="preserve"> et les progrès sur la feuille de route</w:t>
            </w:r>
            <w:r w:rsidRPr="00CB024C">
              <w:rPr>
                <w:rFonts w:eastAsia="Calibri"/>
                <w:bCs/>
                <w:i/>
                <w:color w:val="000000"/>
                <w:sz w:val="23"/>
                <w:szCs w:val="23"/>
                <w:lang w:val="fr-FR"/>
              </w:rPr>
              <w:t xml:space="preserve"> </w:t>
            </w:r>
            <w:r w:rsidR="00BD0A6D" w:rsidRPr="00CB024C">
              <w:rPr>
                <w:rFonts w:eastAsia="Calibri"/>
                <w:bCs/>
                <w:i/>
                <w:color w:val="000000"/>
                <w:sz w:val="23"/>
                <w:szCs w:val="23"/>
                <w:lang w:val="fr-FR"/>
              </w:rPr>
              <w:t>(2.5) et les contrats (2.4</w:t>
            </w:r>
            <w:r w:rsidRPr="00CB024C">
              <w:rPr>
                <w:rFonts w:eastAsia="Calibri"/>
                <w:bCs/>
                <w:i/>
                <w:color w:val="000000"/>
                <w:sz w:val="23"/>
                <w:szCs w:val="23"/>
                <w:lang w:val="fr-FR"/>
              </w:rPr>
              <w:t>).</w:t>
            </w:r>
          </w:p>
          <w:p w14:paraId="01C55680" w14:textId="77777777" w:rsidR="00243251" w:rsidRPr="00CB024C" w:rsidRDefault="00243251" w:rsidP="00BD0A6D">
            <w:pPr>
              <w:spacing w:after="0"/>
              <w:contextualSpacing/>
              <w:rPr>
                <w:rFonts w:eastAsia="Calibri"/>
                <w:bCs/>
                <w:i/>
                <w:iCs/>
                <w:color w:val="000000"/>
                <w:sz w:val="23"/>
                <w:szCs w:val="23"/>
                <w:lang w:val="fr-FR"/>
              </w:rPr>
            </w:pPr>
            <w:r w:rsidRPr="00CB024C">
              <w:rPr>
                <w:rFonts w:eastAsia="Calibri"/>
                <w:bCs/>
                <w:i/>
                <w:iCs/>
                <w:color w:val="000000"/>
                <w:sz w:val="23"/>
                <w:szCs w:val="23"/>
                <w:lang w:val="fr-FR"/>
              </w:rPr>
              <w:t>Le Groupe multipartite peut souhaiter mener une évaluat</w:t>
            </w:r>
            <w:r w:rsidR="00BD0A6D" w:rsidRPr="00CB024C">
              <w:rPr>
                <w:rFonts w:eastAsia="Calibri"/>
                <w:bCs/>
                <w:i/>
                <w:iCs/>
                <w:color w:val="000000"/>
                <w:sz w:val="23"/>
                <w:szCs w:val="23"/>
                <w:lang w:val="fr-FR"/>
              </w:rPr>
              <w:t>ion exigence par e</w:t>
            </w:r>
            <w:r w:rsidRPr="00CB024C">
              <w:rPr>
                <w:rFonts w:eastAsia="Calibri"/>
                <w:bCs/>
                <w:i/>
                <w:iCs/>
                <w:color w:val="000000"/>
                <w:sz w:val="23"/>
                <w:szCs w:val="23"/>
                <w:lang w:val="fr-FR"/>
              </w:rPr>
              <w:t xml:space="preserve">xigence, en </w:t>
            </w:r>
            <w:r w:rsidR="00BD0A6D" w:rsidRPr="00CB024C">
              <w:rPr>
                <w:rFonts w:eastAsia="Calibri"/>
                <w:bCs/>
                <w:i/>
                <w:iCs/>
                <w:color w:val="000000"/>
                <w:sz w:val="23"/>
                <w:szCs w:val="23"/>
                <w:lang w:val="fr-FR"/>
              </w:rPr>
              <w:t>utilisant le tableau ci-dessous ou utiliser les outils de pré-Validation afin de mener aune auto-évaluation de la conformité aux exigences ITIE. Ces outils sont disponibles ici (lien à ajouter).</w:t>
            </w:r>
          </w:p>
          <w:p w14:paraId="0A9417F6" w14:textId="77777777" w:rsidR="00BD0A6D" w:rsidRPr="00CB024C" w:rsidRDefault="00BD0A6D" w:rsidP="00BD0A6D">
            <w:pPr>
              <w:spacing w:after="0"/>
              <w:contextualSpacing/>
              <w:rPr>
                <w:rFonts w:eastAsia="Calibri"/>
                <w:bCs/>
                <w:iCs/>
                <w:color w:val="000000"/>
                <w:sz w:val="23"/>
                <w:szCs w:val="23"/>
                <w:lang w:val="fr-FR"/>
              </w:rPr>
            </w:pPr>
            <w:r w:rsidRPr="00CB024C">
              <w:rPr>
                <w:rFonts w:eastAsia="Calibri"/>
                <w:bCs/>
                <w:i/>
                <w:iCs/>
                <w:color w:val="000000"/>
                <w:sz w:val="23"/>
                <w:szCs w:val="23"/>
                <w:lang w:val="fr-FR"/>
              </w:rPr>
              <w:t>Le Groupe multipartite peut aussi envisager un examen par les pairs des progrès sur la conformité aux exigences ITIE avec un autre pays de mise en œuvre de l’ITIE. Il est possible soit d’entrer en contact avec le pays pair directement ou avec le soutien du Secrétariat international.</w:t>
            </w:r>
          </w:p>
          <w:p w14:paraId="6E67F954" w14:textId="77777777" w:rsidR="00243251" w:rsidRPr="00E81A22" w:rsidRDefault="00243251" w:rsidP="00AA7766">
            <w:pPr>
              <w:contextualSpacing/>
              <w:rPr>
                <w:rFonts w:ascii="Myriad Pro" w:eastAsia="Calibri" w:hAnsi="Myriad Pro"/>
                <w:sz w:val="20"/>
                <w:szCs w:val="20"/>
                <w:lang w:val="en-US"/>
              </w:rPr>
            </w:pPr>
          </w:p>
        </w:tc>
      </w:tr>
      <w:tr w:rsidR="00243251" w:rsidRPr="00E81A22" w14:paraId="4C2DD6DE" w14:textId="77777777" w:rsidTr="00AA7766">
        <w:tc>
          <w:tcPr>
            <w:tcW w:w="3686" w:type="dxa"/>
            <w:tcBorders>
              <w:top w:val="single" w:sz="4" w:space="0" w:color="auto"/>
              <w:left w:val="single" w:sz="4" w:space="0" w:color="auto"/>
              <w:bottom w:val="single" w:sz="4" w:space="0" w:color="auto"/>
              <w:right w:val="single" w:sz="4" w:space="0" w:color="auto"/>
            </w:tcBorders>
          </w:tcPr>
          <w:p w14:paraId="79A7C225" w14:textId="77777777" w:rsidR="00243251" w:rsidRPr="00CB024C" w:rsidRDefault="00243251" w:rsidP="00AA7766">
            <w:pPr>
              <w:spacing w:after="0"/>
              <w:contextualSpacing/>
              <w:rPr>
                <w:rFonts w:eastAsia="Calibri"/>
                <w:sz w:val="23"/>
                <w:szCs w:val="23"/>
                <w:lang w:val="en-US"/>
              </w:rPr>
            </w:pPr>
            <w:r w:rsidRPr="00CB024C">
              <w:rPr>
                <w:rFonts w:eastAsia="Calibri"/>
                <w:b/>
                <w:sz w:val="23"/>
                <w:szCs w:val="23"/>
                <w:lang w:val="fr-FR"/>
              </w:rPr>
              <w:lastRenderedPageBreak/>
              <w:t>Exigence</w:t>
            </w:r>
          </w:p>
        </w:tc>
        <w:tc>
          <w:tcPr>
            <w:tcW w:w="6055" w:type="dxa"/>
            <w:tcBorders>
              <w:top w:val="single" w:sz="4" w:space="0" w:color="auto"/>
              <w:left w:val="single" w:sz="4" w:space="0" w:color="auto"/>
              <w:bottom w:val="single" w:sz="4" w:space="0" w:color="auto"/>
              <w:right w:val="single" w:sz="4" w:space="0" w:color="auto"/>
            </w:tcBorders>
          </w:tcPr>
          <w:p w14:paraId="33CFF66F" w14:textId="77777777" w:rsidR="00243251" w:rsidRPr="00CB024C" w:rsidRDefault="00243251" w:rsidP="00AA7766">
            <w:pPr>
              <w:spacing w:after="0"/>
              <w:contextualSpacing/>
              <w:rPr>
                <w:rFonts w:eastAsia="Calibri"/>
                <w:sz w:val="23"/>
                <w:szCs w:val="23"/>
                <w:lang w:val="en-US"/>
              </w:rPr>
            </w:pPr>
            <w:r w:rsidRPr="00CB024C">
              <w:rPr>
                <w:rFonts w:eastAsia="Calibri"/>
                <w:b/>
                <w:sz w:val="23"/>
                <w:szCs w:val="23"/>
                <w:lang w:val="fr-FR"/>
              </w:rPr>
              <w:t>Progrès</w:t>
            </w:r>
          </w:p>
        </w:tc>
      </w:tr>
      <w:tr w:rsidR="00243251" w:rsidRPr="00E81A22" w14:paraId="5D03857F" w14:textId="77777777" w:rsidTr="00AA7766">
        <w:tc>
          <w:tcPr>
            <w:tcW w:w="3686" w:type="dxa"/>
            <w:tcBorders>
              <w:top w:val="single" w:sz="4" w:space="0" w:color="auto"/>
              <w:left w:val="single" w:sz="4" w:space="0" w:color="auto"/>
              <w:bottom w:val="single" w:sz="4" w:space="0" w:color="auto"/>
              <w:right w:val="single" w:sz="4" w:space="0" w:color="auto"/>
            </w:tcBorders>
          </w:tcPr>
          <w:p w14:paraId="1598D49F" w14:textId="77777777" w:rsidR="00243251" w:rsidRPr="00E81A22" w:rsidRDefault="00243251" w:rsidP="00AA7766">
            <w:pPr>
              <w:spacing w:after="0"/>
              <w:contextualSpacing/>
              <w:rPr>
                <w:rFonts w:ascii="Myriad Pro" w:hAnsi="Myriad Pro"/>
                <w:sz w:val="20"/>
                <w:szCs w:val="20"/>
                <w:lang w:val="en-US"/>
              </w:rPr>
            </w:pPr>
          </w:p>
        </w:tc>
        <w:tc>
          <w:tcPr>
            <w:tcW w:w="6055" w:type="dxa"/>
            <w:tcBorders>
              <w:top w:val="single" w:sz="4" w:space="0" w:color="auto"/>
              <w:left w:val="single" w:sz="4" w:space="0" w:color="auto"/>
              <w:bottom w:val="single" w:sz="4" w:space="0" w:color="auto"/>
              <w:right w:val="single" w:sz="4" w:space="0" w:color="auto"/>
            </w:tcBorders>
          </w:tcPr>
          <w:p w14:paraId="2321A6AA" w14:textId="77777777" w:rsidR="00243251" w:rsidRPr="00E81A22" w:rsidRDefault="00243251" w:rsidP="00AA7766">
            <w:pPr>
              <w:spacing w:after="0"/>
              <w:contextualSpacing/>
              <w:rPr>
                <w:rFonts w:ascii="Myriad Pro" w:eastAsia="Calibri" w:hAnsi="Myriad Pro"/>
                <w:sz w:val="20"/>
                <w:szCs w:val="20"/>
                <w:lang w:val="en-US"/>
              </w:rPr>
            </w:pPr>
          </w:p>
        </w:tc>
      </w:tr>
      <w:tr w:rsidR="00243251" w:rsidRPr="00E81A22" w14:paraId="05D06FB4" w14:textId="77777777" w:rsidTr="00AA7766">
        <w:tc>
          <w:tcPr>
            <w:tcW w:w="3686" w:type="dxa"/>
            <w:tcBorders>
              <w:top w:val="single" w:sz="4" w:space="0" w:color="auto"/>
              <w:left w:val="single" w:sz="4" w:space="0" w:color="auto"/>
              <w:bottom w:val="single" w:sz="4" w:space="0" w:color="auto"/>
              <w:right w:val="single" w:sz="4" w:space="0" w:color="auto"/>
            </w:tcBorders>
          </w:tcPr>
          <w:p w14:paraId="6B254CC0" w14:textId="77777777" w:rsidR="00243251" w:rsidRPr="00E81A22" w:rsidRDefault="00243251" w:rsidP="00AA7766">
            <w:pPr>
              <w:spacing w:after="0"/>
              <w:contextualSpacing/>
              <w:rPr>
                <w:rFonts w:ascii="Myriad Pro" w:eastAsia="Calibri" w:hAnsi="Myriad Pro"/>
                <w:i/>
                <w:sz w:val="20"/>
                <w:szCs w:val="20"/>
                <w:lang w:val="en-US"/>
              </w:rPr>
            </w:pPr>
          </w:p>
        </w:tc>
        <w:tc>
          <w:tcPr>
            <w:tcW w:w="6055" w:type="dxa"/>
            <w:tcBorders>
              <w:top w:val="single" w:sz="4" w:space="0" w:color="auto"/>
              <w:left w:val="single" w:sz="4" w:space="0" w:color="auto"/>
              <w:bottom w:val="single" w:sz="4" w:space="0" w:color="auto"/>
              <w:right w:val="single" w:sz="4" w:space="0" w:color="auto"/>
            </w:tcBorders>
          </w:tcPr>
          <w:p w14:paraId="10FE4602" w14:textId="77777777" w:rsidR="00243251" w:rsidRPr="00E81A22" w:rsidRDefault="00243251" w:rsidP="00AA7766">
            <w:pPr>
              <w:spacing w:after="0"/>
              <w:contextualSpacing/>
              <w:rPr>
                <w:rFonts w:ascii="Myriad Pro" w:eastAsia="Calibri" w:hAnsi="Myriad Pro"/>
                <w:sz w:val="20"/>
                <w:szCs w:val="20"/>
                <w:lang w:val="en-US"/>
              </w:rPr>
            </w:pPr>
          </w:p>
        </w:tc>
      </w:tr>
      <w:tr w:rsidR="00243251" w:rsidRPr="00E81A22" w14:paraId="502A46AC" w14:textId="77777777" w:rsidTr="00AA7766">
        <w:tc>
          <w:tcPr>
            <w:tcW w:w="3686" w:type="dxa"/>
            <w:tcBorders>
              <w:top w:val="single" w:sz="4" w:space="0" w:color="auto"/>
              <w:left w:val="single" w:sz="4" w:space="0" w:color="auto"/>
              <w:bottom w:val="single" w:sz="4" w:space="0" w:color="auto"/>
              <w:right w:val="single" w:sz="4" w:space="0" w:color="auto"/>
            </w:tcBorders>
          </w:tcPr>
          <w:p w14:paraId="285A0FFA" w14:textId="77777777" w:rsidR="00243251" w:rsidRPr="00E81A22" w:rsidRDefault="00243251" w:rsidP="00AA7766">
            <w:pPr>
              <w:spacing w:after="0"/>
              <w:contextualSpacing/>
              <w:rPr>
                <w:rFonts w:ascii="Myriad Pro" w:eastAsia="Calibri" w:hAnsi="Myriad Pro"/>
                <w:i/>
                <w:sz w:val="20"/>
                <w:szCs w:val="20"/>
                <w:lang w:val="en-US"/>
              </w:rPr>
            </w:pPr>
          </w:p>
        </w:tc>
        <w:tc>
          <w:tcPr>
            <w:tcW w:w="6055" w:type="dxa"/>
            <w:tcBorders>
              <w:top w:val="single" w:sz="4" w:space="0" w:color="auto"/>
              <w:left w:val="single" w:sz="4" w:space="0" w:color="auto"/>
              <w:bottom w:val="single" w:sz="4" w:space="0" w:color="auto"/>
              <w:right w:val="single" w:sz="4" w:space="0" w:color="auto"/>
            </w:tcBorders>
          </w:tcPr>
          <w:p w14:paraId="2223BD84" w14:textId="77777777" w:rsidR="00243251" w:rsidRPr="00E81A22" w:rsidRDefault="00243251" w:rsidP="00AA7766">
            <w:pPr>
              <w:spacing w:after="0"/>
              <w:contextualSpacing/>
              <w:rPr>
                <w:rFonts w:ascii="Myriad Pro" w:eastAsia="Calibri" w:hAnsi="Myriad Pro"/>
                <w:sz w:val="20"/>
                <w:szCs w:val="20"/>
                <w:lang w:val="en-US"/>
              </w:rPr>
            </w:pPr>
          </w:p>
        </w:tc>
      </w:tr>
      <w:tr w:rsidR="00243251" w:rsidRPr="00E81A22" w14:paraId="655B0E69" w14:textId="77777777" w:rsidTr="00AA7766">
        <w:tc>
          <w:tcPr>
            <w:tcW w:w="3686" w:type="dxa"/>
            <w:tcBorders>
              <w:top w:val="single" w:sz="4" w:space="0" w:color="auto"/>
              <w:left w:val="single" w:sz="4" w:space="0" w:color="auto"/>
              <w:bottom w:val="single" w:sz="4" w:space="0" w:color="auto"/>
              <w:right w:val="single" w:sz="4" w:space="0" w:color="auto"/>
            </w:tcBorders>
          </w:tcPr>
          <w:p w14:paraId="00E60689" w14:textId="77777777" w:rsidR="00243251" w:rsidRPr="00E81A22" w:rsidRDefault="00243251" w:rsidP="00AA7766">
            <w:pPr>
              <w:spacing w:after="0"/>
              <w:contextualSpacing/>
              <w:rPr>
                <w:rFonts w:ascii="Myriad Pro" w:eastAsia="Calibri" w:hAnsi="Myriad Pro"/>
                <w:i/>
                <w:sz w:val="20"/>
                <w:szCs w:val="20"/>
                <w:lang w:val="en-US"/>
              </w:rPr>
            </w:pPr>
          </w:p>
        </w:tc>
        <w:tc>
          <w:tcPr>
            <w:tcW w:w="6055" w:type="dxa"/>
            <w:tcBorders>
              <w:top w:val="single" w:sz="4" w:space="0" w:color="auto"/>
              <w:left w:val="single" w:sz="4" w:space="0" w:color="auto"/>
              <w:bottom w:val="single" w:sz="4" w:space="0" w:color="auto"/>
              <w:right w:val="single" w:sz="4" w:space="0" w:color="auto"/>
            </w:tcBorders>
          </w:tcPr>
          <w:p w14:paraId="13956547" w14:textId="77777777" w:rsidR="00243251" w:rsidRPr="00E81A22" w:rsidRDefault="00243251" w:rsidP="00AA7766">
            <w:pPr>
              <w:spacing w:after="0"/>
              <w:contextualSpacing/>
              <w:rPr>
                <w:rFonts w:ascii="Myriad Pro" w:eastAsia="Calibri" w:hAnsi="Myriad Pro"/>
                <w:sz w:val="20"/>
                <w:szCs w:val="20"/>
                <w:lang w:val="en-US"/>
              </w:rPr>
            </w:pPr>
          </w:p>
        </w:tc>
      </w:tr>
      <w:tr w:rsidR="00243251" w:rsidRPr="00E81A22" w14:paraId="29F20C02" w14:textId="77777777" w:rsidTr="00AA7766">
        <w:tc>
          <w:tcPr>
            <w:tcW w:w="3686" w:type="dxa"/>
            <w:tcBorders>
              <w:top w:val="single" w:sz="4" w:space="0" w:color="auto"/>
              <w:left w:val="single" w:sz="4" w:space="0" w:color="auto"/>
              <w:bottom w:val="single" w:sz="4" w:space="0" w:color="auto"/>
              <w:right w:val="single" w:sz="4" w:space="0" w:color="auto"/>
            </w:tcBorders>
          </w:tcPr>
          <w:p w14:paraId="7144D1A2" w14:textId="77777777" w:rsidR="00243251" w:rsidRPr="00E81A22" w:rsidRDefault="00243251" w:rsidP="00AA7766">
            <w:pPr>
              <w:spacing w:after="0"/>
              <w:contextualSpacing/>
              <w:rPr>
                <w:rFonts w:ascii="Myriad Pro" w:eastAsia="Calibri" w:hAnsi="Myriad Pro"/>
                <w:i/>
                <w:sz w:val="20"/>
                <w:szCs w:val="20"/>
                <w:lang w:val="en-US"/>
              </w:rPr>
            </w:pPr>
          </w:p>
        </w:tc>
        <w:tc>
          <w:tcPr>
            <w:tcW w:w="6055" w:type="dxa"/>
            <w:tcBorders>
              <w:top w:val="single" w:sz="4" w:space="0" w:color="auto"/>
              <w:left w:val="single" w:sz="4" w:space="0" w:color="auto"/>
              <w:bottom w:val="single" w:sz="4" w:space="0" w:color="auto"/>
              <w:right w:val="single" w:sz="4" w:space="0" w:color="auto"/>
            </w:tcBorders>
          </w:tcPr>
          <w:p w14:paraId="782B2331" w14:textId="77777777" w:rsidR="00243251" w:rsidRPr="00E81A22" w:rsidRDefault="00243251" w:rsidP="00AA7766">
            <w:pPr>
              <w:spacing w:after="0"/>
              <w:contextualSpacing/>
              <w:rPr>
                <w:rFonts w:ascii="Myriad Pro" w:eastAsia="Calibri" w:hAnsi="Myriad Pro"/>
                <w:sz w:val="20"/>
                <w:szCs w:val="20"/>
                <w:lang w:val="en-US"/>
              </w:rPr>
            </w:pPr>
          </w:p>
        </w:tc>
      </w:tr>
      <w:tr w:rsidR="00243251" w:rsidRPr="00E81A22" w14:paraId="17CD3067" w14:textId="77777777" w:rsidTr="00AA7766">
        <w:tc>
          <w:tcPr>
            <w:tcW w:w="3686" w:type="dxa"/>
            <w:tcBorders>
              <w:top w:val="single" w:sz="4" w:space="0" w:color="auto"/>
              <w:left w:val="single" w:sz="4" w:space="0" w:color="auto"/>
              <w:bottom w:val="single" w:sz="4" w:space="0" w:color="auto"/>
              <w:right w:val="single" w:sz="4" w:space="0" w:color="auto"/>
            </w:tcBorders>
          </w:tcPr>
          <w:p w14:paraId="45C37048" w14:textId="77777777" w:rsidR="00243251" w:rsidRPr="00E81A22" w:rsidRDefault="00243251" w:rsidP="00AA7766">
            <w:pPr>
              <w:spacing w:after="0"/>
              <w:contextualSpacing/>
              <w:rPr>
                <w:rFonts w:ascii="Myriad Pro" w:eastAsia="Calibri" w:hAnsi="Myriad Pro"/>
                <w:i/>
                <w:sz w:val="20"/>
                <w:szCs w:val="20"/>
                <w:lang w:val="en-US"/>
              </w:rPr>
            </w:pPr>
          </w:p>
        </w:tc>
        <w:tc>
          <w:tcPr>
            <w:tcW w:w="6055" w:type="dxa"/>
            <w:tcBorders>
              <w:top w:val="single" w:sz="4" w:space="0" w:color="auto"/>
              <w:left w:val="single" w:sz="4" w:space="0" w:color="auto"/>
              <w:bottom w:val="single" w:sz="4" w:space="0" w:color="auto"/>
              <w:right w:val="single" w:sz="4" w:space="0" w:color="auto"/>
            </w:tcBorders>
          </w:tcPr>
          <w:p w14:paraId="75B765E6" w14:textId="77777777" w:rsidR="00243251" w:rsidRPr="00E81A22" w:rsidRDefault="00243251" w:rsidP="00AA7766">
            <w:pPr>
              <w:spacing w:after="0"/>
              <w:contextualSpacing/>
              <w:rPr>
                <w:rFonts w:ascii="Myriad Pro" w:eastAsia="Calibri" w:hAnsi="Myriad Pro"/>
                <w:sz w:val="20"/>
                <w:szCs w:val="20"/>
                <w:lang w:val="en-US"/>
              </w:rPr>
            </w:pPr>
          </w:p>
        </w:tc>
      </w:tr>
      <w:tr w:rsidR="00243251" w:rsidRPr="00E81A22" w14:paraId="039AF5F7" w14:textId="77777777" w:rsidTr="00AA7766">
        <w:tc>
          <w:tcPr>
            <w:tcW w:w="3686" w:type="dxa"/>
            <w:tcBorders>
              <w:top w:val="single" w:sz="4" w:space="0" w:color="auto"/>
              <w:left w:val="single" w:sz="4" w:space="0" w:color="auto"/>
              <w:bottom w:val="single" w:sz="4" w:space="0" w:color="auto"/>
              <w:right w:val="single" w:sz="4" w:space="0" w:color="auto"/>
            </w:tcBorders>
          </w:tcPr>
          <w:p w14:paraId="35C69F08" w14:textId="77777777" w:rsidR="00243251" w:rsidRPr="00E81A22" w:rsidRDefault="00243251" w:rsidP="00AA7766">
            <w:pPr>
              <w:spacing w:after="0"/>
              <w:contextualSpacing/>
              <w:rPr>
                <w:rFonts w:ascii="Myriad Pro" w:eastAsia="Calibri" w:hAnsi="Myriad Pro"/>
                <w:i/>
                <w:sz w:val="20"/>
                <w:szCs w:val="20"/>
                <w:lang w:val="en-US"/>
              </w:rPr>
            </w:pPr>
          </w:p>
        </w:tc>
        <w:tc>
          <w:tcPr>
            <w:tcW w:w="6055" w:type="dxa"/>
            <w:tcBorders>
              <w:top w:val="single" w:sz="4" w:space="0" w:color="auto"/>
              <w:left w:val="single" w:sz="4" w:space="0" w:color="auto"/>
              <w:bottom w:val="single" w:sz="4" w:space="0" w:color="auto"/>
              <w:right w:val="single" w:sz="4" w:space="0" w:color="auto"/>
            </w:tcBorders>
          </w:tcPr>
          <w:p w14:paraId="1FCFD7EA" w14:textId="77777777" w:rsidR="00243251" w:rsidRPr="00E81A22" w:rsidRDefault="00243251" w:rsidP="00AA7766">
            <w:pPr>
              <w:spacing w:after="0"/>
              <w:contextualSpacing/>
              <w:rPr>
                <w:rFonts w:ascii="Myriad Pro" w:eastAsia="Calibri" w:hAnsi="Myriad Pro"/>
                <w:sz w:val="20"/>
                <w:szCs w:val="20"/>
                <w:lang w:val="en-US"/>
              </w:rPr>
            </w:pPr>
          </w:p>
        </w:tc>
      </w:tr>
    </w:tbl>
    <w:p w14:paraId="6ADAC2EB" w14:textId="77777777" w:rsidR="00E81A22" w:rsidRPr="00BD0A6D" w:rsidRDefault="00E81A22" w:rsidP="00243251">
      <w:pPr>
        <w:spacing w:after="0" w:line="240" w:lineRule="auto"/>
        <w:contextualSpacing/>
        <w:rPr>
          <w:rFonts w:ascii="Myriad Pro" w:eastAsia="Calibri" w:hAnsi="Myriad Pro"/>
          <w:b/>
          <w:bCs/>
          <w:sz w:val="20"/>
          <w:szCs w:val="20"/>
          <w:lang w:val="fr-FR"/>
        </w:rPr>
      </w:pPr>
    </w:p>
    <w:p w14:paraId="6574A86E" w14:textId="77777777" w:rsidR="00243251" w:rsidRPr="00CB024C" w:rsidRDefault="00243251" w:rsidP="00243251">
      <w:pPr>
        <w:numPr>
          <w:ilvl w:val="0"/>
          <w:numId w:val="19"/>
        </w:numPr>
        <w:spacing w:after="0" w:line="240" w:lineRule="auto"/>
        <w:ind w:hanging="720"/>
        <w:contextualSpacing/>
        <w:rPr>
          <w:rFonts w:eastAsia="Calibri"/>
          <w:b/>
          <w:color w:val="000000"/>
          <w:sz w:val="23"/>
          <w:szCs w:val="23"/>
          <w:lang w:val="en-US"/>
        </w:rPr>
      </w:pPr>
      <w:r w:rsidRPr="00CB024C">
        <w:rPr>
          <w:rFonts w:eastAsia="Calibri"/>
          <w:b/>
          <w:sz w:val="23"/>
          <w:szCs w:val="23"/>
          <w:lang w:val="fr-FR"/>
        </w:rPr>
        <w:t>Aperçu des réponses du Groupe multipartite aux recommandations issues de la réconciliation et de la Validation, le cas échéant</w:t>
      </w:r>
    </w:p>
    <w:p w14:paraId="476E75ED" w14:textId="77777777" w:rsidR="00243251" w:rsidRDefault="00243251" w:rsidP="00243251">
      <w:pPr>
        <w:spacing w:after="0" w:line="240" w:lineRule="auto"/>
        <w:contextualSpacing/>
        <w:rPr>
          <w:rFonts w:ascii="Myriad Pro" w:eastAsia="Calibri" w:hAnsi="Myriad Pro"/>
          <w:sz w:val="20"/>
          <w:szCs w:val="20"/>
          <w:lang w:val="nb-NO"/>
        </w:rPr>
      </w:pPr>
    </w:p>
    <w:p w14:paraId="73AEE980" w14:textId="77777777" w:rsidR="00E81A22" w:rsidRPr="00E81A22" w:rsidRDefault="00E81A22" w:rsidP="00243251">
      <w:pPr>
        <w:spacing w:after="0" w:line="240" w:lineRule="auto"/>
        <w:contextualSpacing/>
        <w:rPr>
          <w:rFonts w:ascii="Myriad Pro" w:eastAsia="Calibri" w:hAnsi="Myriad Pro"/>
          <w:sz w:val="20"/>
          <w:szCs w:val="20"/>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5929"/>
      </w:tblGrid>
      <w:tr w:rsidR="00243251" w:rsidRPr="00E81A22" w14:paraId="70C87AD4" w14:textId="77777777" w:rsidTr="00AA7766">
        <w:tc>
          <w:tcPr>
            <w:tcW w:w="9639" w:type="dxa"/>
            <w:gridSpan w:val="2"/>
            <w:tcBorders>
              <w:top w:val="single" w:sz="4" w:space="0" w:color="auto"/>
              <w:left w:val="single" w:sz="4" w:space="0" w:color="auto"/>
              <w:bottom w:val="single" w:sz="4" w:space="0" w:color="auto"/>
              <w:right w:val="single" w:sz="4" w:space="0" w:color="auto"/>
            </w:tcBorders>
          </w:tcPr>
          <w:p w14:paraId="1840BCA1" w14:textId="77777777" w:rsidR="00243251" w:rsidRPr="00E81A22" w:rsidRDefault="00243251" w:rsidP="00AA7766">
            <w:pPr>
              <w:spacing w:after="0"/>
              <w:contextualSpacing/>
              <w:rPr>
                <w:rFonts w:ascii="Myriad Pro" w:hAnsi="Myriad Pro"/>
                <w:sz w:val="20"/>
                <w:szCs w:val="20"/>
                <w:lang w:val="en-US"/>
              </w:rPr>
            </w:pPr>
          </w:p>
          <w:p w14:paraId="069119F9" w14:textId="77777777" w:rsidR="00243251" w:rsidRPr="00CB024C" w:rsidRDefault="00243251" w:rsidP="00FA70A3">
            <w:pPr>
              <w:spacing w:after="0"/>
              <w:contextualSpacing/>
              <w:rPr>
                <w:rFonts w:eastAsia="Calibri"/>
                <w:bCs/>
                <w:color w:val="000000"/>
                <w:sz w:val="23"/>
                <w:szCs w:val="23"/>
                <w:lang w:val="en-US"/>
              </w:rPr>
            </w:pPr>
            <w:r w:rsidRPr="00CB024C">
              <w:rPr>
                <w:rFonts w:eastAsia="Calibri"/>
                <w:bCs/>
                <w:i/>
                <w:sz w:val="23"/>
                <w:szCs w:val="23"/>
                <w:lang w:val="fr-FR"/>
              </w:rPr>
              <w:t>Conformément à l’Exig</w:t>
            </w:r>
            <w:r w:rsidR="00FA70A3" w:rsidRPr="00CB024C">
              <w:rPr>
                <w:rFonts w:eastAsia="Calibri"/>
                <w:bCs/>
                <w:i/>
                <w:sz w:val="23"/>
                <w:szCs w:val="23"/>
                <w:lang w:val="fr-FR"/>
              </w:rPr>
              <w:t>ence 7.4</w:t>
            </w:r>
            <w:r w:rsidRPr="00CB024C">
              <w:rPr>
                <w:rFonts w:eastAsia="Calibri"/>
                <w:bCs/>
                <w:i/>
                <w:sz w:val="23"/>
                <w:szCs w:val="23"/>
                <w:lang w:val="fr-FR"/>
              </w:rPr>
              <w:t>(a)(iii), donnez un aperçu des réponses du Groupe multipartite aux recommandations issues de la réconciliation et de la Validation, et des progrès accom</w:t>
            </w:r>
            <w:r w:rsidR="00FA70A3" w:rsidRPr="00CB024C">
              <w:rPr>
                <w:rFonts w:eastAsia="Calibri"/>
                <w:bCs/>
                <w:i/>
                <w:sz w:val="23"/>
                <w:szCs w:val="23"/>
                <w:lang w:val="fr-FR"/>
              </w:rPr>
              <w:t>plis, en vertu de l’Exigence 7.3</w:t>
            </w:r>
            <w:r w:rsidRPr="00CB024C">
              <w:rPr>
                <w:rFonts w:eastAsia="Calibri"/>
                <w:bCs/>
                <w:i/>
                <w:sz w:val="23"/>
                <w:szCs w:val="23"/>
                <w:lang w:val="fr-FR"/>
              </w:rPr>
              <w:t>.</w:t>
            </w:r>
            <w:r w:rsidRPr="00CB024C">
              <w:rPr>
                <w:rFonts w:eastAsia="Calibri"/>
                <w:bCs/>
                <w:sz w:val="23"/>
                <w:szCs w:val="23"/>
                <w:lang w:val="fr-FR"/>
              </w:rPr>
              <w:t xml:space="preserve"> </w:t>
            </w:r>
            <w:r w:rsidRPr="00CB024C">
              <w:rPr>
                <w:rFonts w:eastAsia="Calibri"/>
                <w:bCs/>
                <w:i/>
                <w:sz w:val="23"/>
                <w:szCs w:val="23"/>
                <w:lang w:val="fr-FR"/>
              </w:rPr>
              <w:t xml:space="preserve">Le Groupe multipartite est encouragé à établir une liste des recommandations et des activités qui ont été entreprises en vue de répondre </w:t>
            </w:r>
            <w:r w:rsidR="00FA70A3" w:rsidRPr="00CB024C">
              <w:rPr>
                <w:rFonts w:eastAsia="Calibri"/>
                <w:bCs/>
                <w:i/>
                <w:sz w:val="23"/>
                <w:szCs w:val="23"/>
                <w:lang w:val="fr-FR"/>
              </w:rPr>
              <w:t>aux recommandations et le niveau de progrès atteint dans la mise en œuvre de chacune d’entre elles</w:t>
            </w:r>
            <w:r w:rsidRPr="00CB024C">
              <w:rPr>
                <w:rFonts w:eastAsia="Calibri"/>
                <w:bCs/>
                <w:i/>
                <w:sz w:val="23"/>
                <w:szCs w:val="23"/>
                <w:lang w:val="fr-FR"/>
              </w:rPr>
              <w:t>.</w:t>
            </w:r>
            <w:r w:rsidR="00FA70A3" w:rsidRPr="00CB024C">
              <w:rPr>
                <w:rFonts w:eastAsia="Calibri"/>
                <w:bCs/>
                <w:i/>
                <w:sz w:val="23"/>
                <w:szCs w:val="23"/>
                <w:lang w:val="fr-FR"/>
              </w:rPr>
              <w:t xml:space="preserve"> Le Groupe multipartite peut souhaiter s’inspirer de l’aperçu des progrès par rapport aux recommandations sur le rapportage ITIE compilées par l’Administrateur Indépendant. Dans les cas où le gouvernement ou le Groupe multipartite a décidé de ne pas mettre en œuvre une recommandation, le Groupe multipartite doit étayer cette décision dans le rapport annuel d’avancement.</w:t>
            </w:r>
          </w:p>
          <w:p w14:paraId="079E22C1" w14:textId="77777777" w:rsidR="00243251" w:rsidRPr="00CB024C" w:rsidRDefault="00243251" w:rsidP="00AA7766">
            <w:pPr>
              <w:spacing w:after="0"/>
              <w:contextualSpacing/>
              <w:rPr>
                <w:rFonts w:eastAsia="Calibri"/>
                <w:bCs/>
                <w:color w:val="000000"/>
                <w:sz w:val="23"/>
                <w:szCs w:val="23"/>
                <w:lang w:val="en-US"/>
              </w:rPr>
            </w:pPr>
          </w:p>
          <w:p w14:paraId="58A7E98E" w14:textId="77777777" w:rsidR="00243251" w:rsidRPr="00CB024C" w:rsidRDefault="00243251" w:rsidP="00AA7766">
            <w:pPr>
              <w:spacing w:after="0"/>
              <w:contextualSpacing/>
              <w:rPr>
                <w:rFonts w:eastAsia="Calibri"/>
                <w:bCs/>
                <w:color w:val="000000"/>
                <w:sz w:val="23"/>
                <w:szCs w:val="23"/>
                <w:lang w:val="fr-FR"/>
              </w:rPr>
            </w:pPr>
            <w:r w:rsidRPr="00CB024C">
              <w:rPr>
                <w:rFonts w:eastAsia="Calibri"/>
                <w:bCs/>
                <w:i/>
                <w:color w:val="000000"/>
                <w:sz w:val="23"/>
                <w:szCs w:val="23"/>
                <w:lang w:val="fr-FR"/>
              </w:rPr>
              <w:t>Le Groupe multipartite peut également indiquer la manière dont le plan de travail a été actualisé pour intégrer ces recommandations.</w:t>
            </w:r>
            <w:r w:rsidRPr="00CB024C">
              <w:rPr>
                <w:rFonts w:eastAsia="Calibri"/>
                <w:bCs/>
                <w:color w:val="000000"/>
                <w:sz w:val="23"/>
                <w:szCs w:val="23"/>
                <w:lang w:val="fr-FR"/>
              </w:rPr>
              <w:t xml:space="preserve"> </w:t>
            </w:r>
          </w:p>
          <w:p w14:paraId="3CB7C334" w14:textId="77777777" w:rsidR="00243251" w:rsidRPr="00FA70A3" w:rsidRDefault="00243251" w:rsidP="00AA7766">
            <w:pPr>
              <w:spacing w:after="0"/>
              <w:contextualSpacing/>
              <w:rPr>
                <w:rFonts w:ascii="Myriad Pro" w:hAnsi="Myriad Pro"/>
                <w:sz w:val="20"/>
                <w:szCs w:val="20"/>
                <w:lang w:val="fr-FR"/>
              </w:rPr>
            </w:pPr>
          </w:p>
        </w:tc>
      </w:tr>
      <w:tr w:rsidR="00FA70A3" w:rsidRPr="00FA70A3" w14:paraId="4254BB90" w14:textId="77777777" w:rsidTr="00FA70A3">
        <w:tc>
          <w:tcPr>
            <w:tcW w:w="3686" w:type="dxa"/>
            <w:tcBorders>
              <w:top w:val="single" w:sz="4" w:space="0" w:color="auto"/>
              <w:left w:val="single" w:sz="4" w:space="0" w:color="auto"/>
              <w:bottom w:val="single" w:sz="4" w:space="0" w:color="auto"/>
              <w:right w:val="single" w:sz="4" w:space="0" w:color="auto"/>
            </w:tcBorders>
          </w:tcPr>
          <w:p w14:paraId="561D0828" w14:textId="77777777" w:rsidR="00FA70A3" w:rsidRPr="00FA70A3" w:rsidRDefault="00FA70A3" w:rsidP="00CB024C">
            <w:pPr>
              <w:spacing w:after="0"/>
              <w:contextualSpacing/>
              <w:rPr>
                <w:rFonts w:eastAsia="Calibri"/>
                <w:sz w:val="23"/>
                <w:szCs w:val="23"/>
                <w:lang w:val="en-US"/>
              </w:rPr>
            </w:pPr>
            <w:r>
              <w:rPr>
                <w:rFonts w:eastAsia="Calibri"/>
                <w:b/>
                <w:sz w:val="23"/>
                <w:szCs w:val="23"/>
                <w:lang w:val="fr-FR"/>
              </w:rPr>
              <w:t>Recommandation :</w:t>
            </w:r>
          </w:p>
        </w:tc>
        <w:tc>
          <w:tcPr>
            <w:tcW w:w="5953" w:type="dxa"/>
            <w:tcBorders>
              <w:top w:val="single" w:sz="4" w:space="0" w:color="auto"/>
              <w:left w:val="single" w:sz="4" w:space="0" w:color="auto"/>
              <w:bottom w:val="single" w:sz="4" w:space="0" w:color="auto"/>
              <w:right w:val="single" w:sz="4" w:space="0" w:color="auto"/>
            </w:tcBorders>
          </w:tcPr>
          <w:p w14:paraId="32CECB29" w14:textId="77777777" w:rsidR="00FA70A3" w:rsidRPr="00FA70A3" w:rsidRDefault="00FA70A3" w:rsidP="00CB024C">
            <w:pPr>
              <w:spacing w:after="0"/>
              <w:contextualSpacing/>
              <w:rPr>
                <w:rFonts w:eastAsia="Calibri"/>
                <w:sz w:val="23"/>
                <w:szCs w:val="23"/>
                <w:lang w:val="en-US"/>
              </w:rPr>
            </w:pPr>
            <w:r>
              <w:rPr>
                <w:rFonts w:eastAsia="Calibri"/>
                <w:b/>
                <w:sz w:val="23"/>
                <w:szCs w:val="23"/>
                <w:lang w:val="fr-FR"/>
              </w:rPr>
              <w:t>Statut/progrès :</w:t>
            </w:r>
          </w:p>
        </w:tc>
      </w:tr>
      <w:tr w:rsidR="00FA70A3" w:rsidRPr="00E81A22" w14:paraId="285EBA65" w14:textId="77777777" w:rsidTr="00FA70A3">
        <w:tc>
          <w:tcPr>
            <w:tcW w:w="3686" w:type="dxa"/>
            <w:tcBorders>
              <w:top w:val="single" w:sz="4" w:space="0" w:color="auto"/>
              <w:left w:val="single" w:sz="4" w:space="0" w:color="auto"/>
              <w:bottom w:val="single" w:sz="4" w:space="0" w:color="auto"/>
              <w:right w:val="single" w:sz="4" w:space="0" w:color="auto"/>
            </w:tcBorders>
          </w:tcPr>
          <w:p w14:paraId="47AC4AB8" w14:textId="77777777" w:rsidR="00FA70A3" w:rsidRPr="00E81A22" w:rsidRDefault="00FA70A3" w:rsidP="00CB024C">
            <w:pPr>
              <w:spacing w:after="0"/>
              <w:contextualSpacing/>
              <w:rPr>
                <w:rFonts w:ascii="Myriad Pro" w:hAnsi="Myriad Pro"/>
                <w:sz w:val="20"/>
                <w:szCs w:val="20"/>
                <w:lang w:val="en-US"/>
              </w:rPr>
            </w:pPr>
          </w:p>
        </w:tc>
        <w:tc>
          <w:tcPr>
            <w:tcW w:w="5953" w:type="dxa"/>
            <w:tcBorders>
              <w:top w:val="single" w:sz="4" w:space="0" w:color="auto"/>
              <w:left w:val="single" w:sz="4" w:space="0" w:color="auto"/>
              <w:bottom w:val="single" w:sz="4" w:space="0" w:color="auto"/>
              <w:right w:val="single" w:sz="4" w:space="0" w:color="auto"/>
            </w:tcBorders>
          </w:tcPr>
          <w:p w14:paraId="37BB52A8" w14:textId="77777777" w:rsidR="00FA70A3" w:rsidRPr="00E81A22" w:rsidRDefault="00FA70A3" w:rsidP="00CB024C">
            <w:pPr>
              <w:spacing w:after="0"/>
              <w:contextualSpacing/>
              <w:rPr>
                <w:rFonts w:ascii="Myriad Pro" w:eastAsia="Calibri" w:hAnsi="Myriad Pro"/>
                <w:sz w:val="20"/>
                <w:szCs w:val="20"/>
                <w:lang w:val="en-US"/>
              </w:rPr>
            </w:pPr>
          </w:p>
        </w:tc>
      </w:tr>
      <w:tr w:rsidR="00FA70A3" w:rsidRPr="00E81A22" w14:paraId="71948B1F" w14:textId="77777777" w:rsidTr="00FA70A3">
        <w:tc>
          <w:tcPr>
            <w:tcW w:w="3686" w:type="dxa"/>
            <w:tcBorders>
              <w:top w:val="single" w:sz="4" w:space="0" w:color="auto"/>
              <w:left w:val="single" w:sz="4" w:space="0" w:color="auto"/>
              <w:bottom w:val="single" w:sz="4" w:space="0" w:color="auto"/>
              <w:right w:val="single" w:sz="4" w:space="0" w:color="auto"/>
            </w:tcBorders>
          </w:tcPr>
          <w:p w14:paraId="5521737B" w14:textId="77777777" w:rsidR="00FA70A3" w:rsidRPr="00E81A22" w:rsidRDefault="00FA70A3" w:rsidP="00CB024C">
            <w:pPr>
              <w:spacing w:after="0"/>
              <w:contextualSpacing/>
              <w:rPr>
                <w:rFonts w:ascii="Myriad Pro" w:eastAsia="Calibri" w:hAnsi="Myriad Pro"/>
                <w:i/>
                <w:sz w:val="20"/>
                <w:szCs w:val="20"/>
                <w:lang w:val="en-US"/>
              </w:rPr>
            </w:pPr>
          </w:p>
        </w:tc>
        <w:tc>
          <w:tcPr>
            <w:tcW w:w="5953" w:type="dxa"/>
            <w:tcBorders>
              <w:top w:val="single" w:sz="4" w:space="0" w:color="auto"/>
              <w:left w:val="single" w:sz="4" w:space="0" w:color="auto"/>
              <w:bottom w:val="single" w:sz="4" w:space="0" w:color="auto"/>
              <w:right w:val="single" w:sz="4" w:space="0" w:color="auto"/>
            </w:tcBorders>
          </w:tcPr>
          <w:p w14:paraId="7F5817C3" w14:textId="77777777" w:rsidR="00FA70A3" w:rsidRPr="00E81A22" w:rsidRDefault="00FA70A3" w:rsidP="00CB024C">
            <w:pPr>
              <w:spacing w:after="0"/>
              <w:contextualSpacing/>
              <w:rPr>
                <w:rFonts w:ascii="Myriad Pro" w:eastAsia="Calibri" w:hAnsi="Myriad Pro"/>
                <w:sz w:val="20"/>
                <w:szCs w:val="20"/>
                <w:lang w:val="en-US"/>
              </w:rPr>
            </w:pPr>
          </w:p>
        </w:tc>
      </w:tr>
      <w:tr w:rsidR="00FA70A3" w:rsidRPr="00E81A22" w14:paraId="22574F8F" w14:textId="77777777" w:rsidTr="00FA70A3">
        <w:tc>
          <w:tcPr>
            <w:tcW w:w="3686" w:type="dxa"/>
            <w:tcBorders>
              <w:top w:val="single" w:sz="4" w:space="0" w:color="auto"/>
              <w:left w:val="single" w:sz="4" w:space="0" w:color="auto"/>
              <w:bottom w:val="single" w:sz="4" w:space="0" w:color="auto"/>
              <w:right w:val="single" w:sz="4" w:space="0" w:color="auto"/>
            </w:tcBorders>
          </w:tcPr>
          <w:p w14:paraId="6AAA2B0E" w14:textId="77777777" w:rsidR="00FA70A3" w:rsidRPr="00E81A22" w:rsidRDefault="00FA70A3" w:rsidP="00CB024C">
            <w:pPr>
              <w:spacing w:after="0"/>
              <w:contextualSpacing/>
              <w:rPr>
                <w:rFonts w:ascii="Myriad Pro" w:eastAsia="Calibri" w:hAnsi="Myriad Pro"/>
                <w:i/>
                <w:sz w:val="20"/>
                <w:szCs w:val="20"/>
                <w:lang w:val="en-US"/>
              </w:rPr>
            </w:pPr>
          </w:p>
        </w:tc>
        <w:tc>
          <w:tcPr>
            <w:tcW w:w="5953" w:type="dxa"/>
            <w:tcBorders>
              <w:top w:val="single" w:sz="4" w:space="0" w:color="auto"/>
              <w:left w:val="single" w:sz="4" w:space="0" w:color="auto"/>
              <w:bottom w:val="single" w:sz="4" w:space="0" w:color="auto"/>
              <w:right w:val="single" w:sz="4" w:space="0" w:color="auto"/>
            </w:tcBorders>
          </w:tcPr>
          <w:p w14:paraId="1D42AF99" w14:textId="77777777" w:rsidR="00FA70A3" w:rsidRPr="00E81A22" w:rsidRDefault="00FA70A3" w:rsidP="00CB024C">
            <w:pPr>
              <w:spacing w:after="0"/>
              <w:contextualSpacing/>
              <w:rPr>
                <w:rFonts w:ascii="Myriad Pro" w:eastAsia="Calibri" w:hAnsi="Myriad Pro"/>
                <w:sz w:val="20"/>
                <w:szCs w:val="20"/>
                <w:lang w:val="en-US"/>
              </w:rPr>
            </w:pPr>
          </w:p>
        </w:tc>
      </w:tr>
      <w:tr w:rsidR="00FA70A3" w:rsidRPr="00E81A22" w14:paraId="7950F24E" w14:textId="77777777" w:rsidTr="00FA70A3">
        <w:tc>
          <w:tcPr>
            <w:tcW w:w="3686" w:type="dxa"/>
            <w:tcBorders>
              <w:top w:val="single" w:sz="4" w:space="0" w:color="auto"/>
              <w:left w:val="single" w:sz="4" w:space="0" w:color="auto"/>
              <w:bottom w:val="single" w:sz="4" w:space="0" w:color="auto"/>
              <w:right w:val="single" w:sz="4" w:space="0" w:color="auto"/>
            </w:tcBorders>
          </w:tcPr>
          <w:p w14:paraId="0A93E5A9" w14:textId="77777777" w:rsidR="00FA70A3" w:rsidRPr="00E81A22" w:rsidRDefault="00FA70A3" w:rsidP="00CB024C">
            <w:pPr>
              <w:spacing w:after="0"/>
              <w:contextualSpacing/>
              <w:rPr>
                <w:rFonts w:ascii="Myriad Pro" w:eastAsia="Calibri" w:hAnsi="Myriad Pro"/>
                <w:i/>
                <w:sz w:val="20"/>
                <w:szCs w:val="20"/>
                <w:lang w:val="en-US"/>
              </w:rPr>
            </w:pPr>
          </w:p>
        </w:tc>
        <w:tc>
          <w:tcPr>
            <w:tcW w:w="5953" w:type="dxa"/>
            <w:tcBorders>
              <w:top w:val="single" w:sz="4" w:space="0" w:color="auto"/>
              <w:left w:val="single" w:sz="4" w:space="0" w:color="auto"/>
              <w:bottom w:val="single" w:sz="4" w:space="0" w:color="auto"/>
              <w:right w:val="single" w:sz="4" w:space="0" w:color="auto"/>
            </w:tcBorders>
          </w:tcPr>
          <w:p w14:paraId="66DE4D86" w14:textId="77777777" w:rsidR="00FA70A3" w:rsidRPr="00E81A22" w:rsidRDefault="00FA70A3" w:rsidP="00CB024C">
            <w:pPr>
              <w:spacing w:after="0"/>
              <w:contextualSpacing/>
              <w:rPr>
                <w:rFonts w:ascii="Myriad Pro" w:eastAsia="Calibri" w:hAnsi="Myriad Pro"/>
                <w:sz w:val="20"/>
                <w:szCs w:val="20"/>
                <w:lang w:val="en-US"/>
              </w:rPr>
            </w:pPr>
          </w:p>
        </w:tc>
      </w:tr>
      <w:tr w:rsidR="00FA70A3" w:rsidRPr="00E81A22" w14:paraId="53338623" w14:textId="77777777" w:rsidTr="00FA70A3">
        <w:tc>
          <w:tcPr>
            <w:tcW w:w="3686" w:type="dxa"/>
            <w:tcBorders>
              <w:top w:val="single" w:sz="4" w:space="0" w:color="auto"/>
              <w:left w:val="single" w:sz="4" w:space="0" w:color="auto"/>
              <w:bottom w:val="single" w:sz="4" w:space="0" w:color="auto"/>
              <w:right w:val="single" w:sz="4" w:space="0" w:color="auto"/>
            </w:tcBorders>
          </w:tcPr>
          <w:p w14:paraId="316C985E" w14:textId="77777777" w:rsidR="00FA70A3" w:rsidRPr="00E81A22" w:rsidRDefault="00FA70A3" w:rsidP="00CB024C">
            <w:pPr>
              <w:spacing w:after="0"/>
              <w:contextualSpacing/>
              <w:rPr>
                <w:rFonts w:ascii="Myriad Pro" w:eastAsia="Calibri" w:hAnsi="Myriad Pro"/>
                <w:i/>
                <w:sz w:val="20"/>
                <w:szCs w:val="20"/>
                <w:lang w:val="en-US"/>
              </w:rPr>
            </w:pPr>
          </w:p>
        </w:tc>
        <w:tc>
          <w:tcPr>
            <w:tcW w:w="5953" w:type="dxa"/>
            <w:tcBorders>
              <w:top w:val="single" w:sz="4" w:space="0" w:color="auto"/>
              <w:left w:val="single" w:sz="4" w:space="0" w:color="auto"/>
              <w:bottom w:val="single" w:sz="4" w:space="0" w:color="auto"/>
              <w:right w:val="single" w:sz="4" w:space="0" w:color="auto"/>
            </w:tcBorders>
          </w:tcPr>
          <w:p w14:paraId="2E1E15B5" w14:textId="77777777" w:rsidR="00FA70A3" w:rsidRPr="00E81A22" w:rsidRDefault="00FA70A3" w:rsidP="00CB024C">
            <w:pPr>
              <w:spacing w:after="0"/>
              <w:contextualSpacing/>
              <w:rPr>
                <w:rFonts w:ascii="Myriad Pro" w:eastAsia="Calibri" w:hAnsi="Myriad Pro"/>
                <w:sz w:val="20"/>
                <w:szCs w:val="20"/>
                <w:lang w:val="en-US"/>
              </w:rPr>
            </w:pPr>
          </w:p>
        </w:tc>
      </w:tr>
      <w:tr w:rsidR="00FA70A3" w:rsidRPr="00E81A22" w14:paraId="4DDC7937" w14:textId="77777777" w:rsidTr="00FA70A3">
        <w:tc>
          <w:tcPr>
            <w:tcW w:w="3686" w:type="dxa"/>
            <w:tcBorders>
              <w:top w:val="single" w:sz="4" w:space="0" w:color="auto"/>
              <w:left w:val="single" w:sz="4" w:space="0" w:color="auto"/>
              <w:bottom w:val="single" w:sz="4" w:space="0" w:color="auto"/>
              <w:right w:val="single" w:sz="4" w:space="0" w:color="auto"/>
            </w:tcBorders>
          </w:tcPr>
          <w:p w14:paraId="7AADCE31" w14:textId="77777777" w:rsidR="00FA70A3" w:rsidRPr="00E81A22" w:rsidRDefault="00FA70A3" w:rsidP="00CB024C">
            <w:pPr>
              <w:spacing w:after="0"/>
              <w:contextualSpacing/>
              <w:rPr>
                <w:rFonts w:ascii="Myriad Pro" w:eastAsia="Calibri" w:hAnsi="Myriad Pro"/>
                <w:i/>
                <w:sz w:val="20"/>
                <w:szCs w:val="20"/>
                <w:lang w:val="en-US"/>
              </w:rPr>
            </w:pPr>
          </w:p>
        </w:tc>
        <w:tc>
          <w:tcPr>
            <w:tcW w:w="5953" w:type="dxa"/>
            <w:tcBorders>
              <w:top w:val="single" w:sz="4" w:space="0" w:color="auto"/>
              <w:left w:val="single" w:sz="4" w:space="0" w:color="auto"/>
              <w:bottom w:val="single" w:sz="4" w:space="0" w:color="auto"/>
              <w:right w:val="single" w:sz="4" w:space="0" w:color="auto"/>
            </w:tcBorders>
          </w:tcPr>
          <w:p w14:paraId="78CC3A10" w14:textId="77777777" w:rsidR="00FA70A3" w:rsidRPr="00E81A22" w:rsidRDefault="00FA70A3" w:rsidP="00CB024C">
            <w:pPr>
              <w:spacing w:after="0"/>
              <w:contextualSpacing/>
              <w:rPr>
                <w:rFonts w:ascii="Myriad Pro" w:eastAsia="Calibri" w:hAnsi="Myriad Pro"/>
                <w:sz w:val="20"/>
                <w:szCs w:val="20"/>
                <w:lang w:val="en-US"/>
              </w:rPr>
            </w:pPr>
          </w:p>
        </w:tc>
      </w:tr>
    </w:tbl>
    <w:p w14:paraId="1E230122" w14:textId="77777777" w:rsidR="00243251" w:rsidRPr="00E81A22" w:rsidRDefault="00243251" w:rsidP="00243251">
      <w:pPr>
        <w:spacing w:after="0" w:line="240" w:lineRule="auto"/>
        <w:contextualSpacing/>
        <w:rPr>
          <w:rFonts w:ascii="Myriad Pro" w:eastAsia="Calibri" w:hAnsi="Myriad Pro"/>
          <w:sz w:val="20"/>
          <w:szCs w:val="20"/>
          <w:lang w:val="en-US"/>
        </w:rPr>
      </w:pPr>
    </w:p>
    <w:p w14:paraId="3FEF3A23" w14:textId="77777777" w:rsidR="00243251" w:rsidRPr="00E81A22" w:rsidRDefault="00243251" w:rsidP="00243251">
      <w:pPr>
        <w:spacing w:after="0" w:line="240" w:lineRule="auto"/>
        <w:contextualSpacing/>
        <w:rPr>
          <w:rFonts w:ascii="Myriad Pro" w:eastAsia="Calibri" w:hAnsi="Myriad Pro"/>
          <w:b/>
          <w:bCs/>
          <w:sz w:val="20"/>
          <w:szCs w:val="20"/>
          <w:lang w:val="en-US"/>
        </w:rPr>
      </w:pPr>
    </w:p>
    <w:p w14:paraId="579620D0" w14:textId="77777777" w:rsidR="00243251" w:rsidRPr="00CB024C" w:rsidRDefault="00243251" w:rsidP="00243251">
      <w:pPr>
        <w:numPr>
          <w:ilvl w:val="0"/>
          <w:numId w:val="19"/>
        </w:numPr>
        <w:spacing w:after="0" w:line="240" w:lineRule="auto"/>
        <w:ind w:hanging="720"/>
        <w:contextualSpacing/>
        <w:rPr>
          <w:rFonts w:eastAsia="Calibri"/>
          <w:b/>
          <w:bCs/>
          <w:sz w:val="23"/>
          <w:szCs w:val="23"/>
          <w:lang w:val="en-US"/>
        </w:rPr>
      </w:pPr>
      <w:r w:rsidRPr="00CB024C">
        <w:rPr>
          <w:rFonts w:eastAsia="Calibri"/>
          <w:b/>
          <w:bCs/>
          <w:sz w:val="23"/>
          <w:szCs w:val="23"/>
          <w:lang w:val="fr-FR"/>
        </w:rPr>
        <w:t>Points forts ou faiblesses identifiées dans le processus ITIE</w:t>
      </w:r>
    </w:p>
    <w:p w14:paraId="3575AC12" w14:textId="77777777" w:rsidR="00243251" w:rsidRDefault="00243251" w:rsidP="00243251">
      <w:pPr>
        <w:spacing w:after="0" w:line="240" w:lineRule="auto"/>
        <w:ind w:left="720" w:hanging="720"/>
        <w:contextualSpacing/>
        <w:rPr>
          <w:rFonts w:ascii="Myriad Pro" w:eastAsia="Calibri" w:hAnsi="Myriad Pro"/>
          <w:b/>
          <w:bCs/>
          <w:sz w:val="20"/>
          <w:szCs w:val="20"/>
          <w:lang w:val="nb-NO"/>
        </w:rPr>
      </w:pPr>
    </w:p>
    <w:p w14:paraId="7E570694" w14:textId="77777777" w:rsidR="00E81A22" w:rsidRPr="00E81A22" w:rsidRDefault="00E81A22" w:rsidP="00243251">
      <w:pPr>
        <w:spacing w:after="0" w:line="240" w:lineRule="auto"/>
        <w:ind w:left="720" w:hanging="720"/>
        <w:contextualSpacing/>
        <w:rPr>
          <w:rFonts w:ascii="Myriad Pro" w:eastAsia="Calibri" w:hAnsi="Myriad Pro"/>
          <w:b/>
          <w:bCs/>
          <w:sz w:val="20"/>
          <w:szCs w:val="20"/>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43251" w:rsidRPr="00E81A22" w14:paraId="7BA773E1" w14:textId="77777777" w:rsidTr="00AA7766">
        <w:tc>
          <w:tcPr>
            <w:tcW w:w="9639" w:type="dxa"/>
            <w:tcBorders>
              <w:top w:val="single" w:sz="4" w:space="0" w:color="auto"/>
              <w:left w:val="single" w:sz="4" w:space="0" w:color="auto"/>
              <w:bottom w:val="single" w:sz="4" w:space="0" w:color="auto"/>
              <w:right w:val="single" w:sz="4" w:space="0" w:color="auto"/>
            </w:tcBorders>
          </w:tcPr>
          <w:p w14:paraId="6BA44603" w14:textId="77777777" w:rsidR="00243251" w:rsidRPr="00E81A22" w:rsidRDefault="00243251" w:rsidP="00AA7766">
            <w:pPr>
              <w:spacing w:after="0"/>
              <w:contextualSpacing/>
              <w:rPr>
                <w:rFonts w:ascii="Myriad Pro" w:hAnsi="Myriad Pro"/>
                <w:b/>
                <w:sz w:val="20"/>
                <w:szCs w:val="20"/>
                <w:lang w:val="en-US"/>
              </w:rPr>
            </w:pPr>
          </w:p>
          <w:p w14:paraId="181ED0D0" w14:textId="77777777" w:rsidR="00243251" w:rsidRPr="00CB024C" w:rsidRDefault="00243251" w:rsidP="00AA7766">
            <w:pPr>
              <w:spacing w:after="0" w:line="240" w:lineRule="auto"/>
              <w:contextualSpacing/>
              <w:rPr>
                <w:rFonts w:eastAsia="Calibri"/>
                <w:i/>
                <w:sz w:val="23"/>
                <w:szCs w:val="23"/>
                <w:lang w:val="fr-FR"/>
              </w:rPr>
            </w:pPr>
            <w:r w:rsidRPr="00CB024C">
              <w:rPr>
                <w:rFonts w:eastAsia="Calibri"/>
                <w:i/>
                <w:sz w:val="23"/>
                <w:szCs w:val="23"/>
                <w:lang w:val="fr-FR"/>
              </w:rPr>
              <w:t>Faites un compte rendu narratif des efforts entrepris pour renforcer la mise en œuvre de l’ITIE, y compris toute action visant à rendre les déclarations de l’ITIE plus détaillées et à élargir leur portée, ou à accroître l’implication des</w:t>
            </w:r>
            <w:r w:rsidR="00FA70A3" w:rsidRPr="00CB024C">
              <w:rPr>
                <w:rFonts w:eastAsia="Calibri"/>
                <w:i/>
                <w:sz w:val="23"/>
                <w:szCs w:val="23"/>
                <w:lang w:val="fr-FR"/>
              </w:rPr>
              <w:t xml:space="preserve"> parties prenantes (Exigence 7.4</w:t>
            </w:r>
            <w:r w:rsidRPr="00CB024C">
              <w:rPr>
                <w:rFonts w:eastAsia="Calibri"/>
                <w:i/>
                <w:sz w:val="23"/>
                <w:szCs w:val="23"/>
                <w:lang w:val="fr-FR"/>
              </w:rPr>
              <w:t>(a)(v)).</w:t>
            </w:r>
          </w:p>
          <w:p w14:paraId="713D6871" w14:textId="77777777" w:rsidR="00FA70A3" w:rsidRPr="00CB024C" w:rsidRDefault="00FA70A3" w:rsidP="00AA7766">
            <w:pPr>
              <w:spacing w:after="0" w:line="240" w:lineRule="auto"/>
              <w:contextualSpacing/>
              <w:rPr>
                <w:rFonts w:eastAsia="Calibri"/>
                <w:bCs/>
                <w:i/>
                <w:sz w:val="23"/>
                <w:szCs w:val="23"/>
                <w:lang w:val="en-US"/>
              </w:rPr>
            </w:pPr>
          </w:p>
          <w:p w14:paraId="5BDCAFAF" w14:textId="77777777" w:rsidR="00243251" w:rsidRPr="00CB024C" w:rsidRDefault="00243251" w:rsidP="00AA7766">
            <w:pPr>
              <w:spacing w:after="0" w:line="240" w:lineRule="auto"/>
              <w:contextualSpacing/>
              <w:rPr>
                <w:i/>
                <w:sz w:val="23"/>
                <w:szCs w:val="23"/>
                <w:lang w:val="fr-BE"/>
              </w:rPr>
            </w:pPr>
            <w:r w:rsidRPr="00CB024C">
              <w:rPr>
                <w:rFonts w:eastAsia="Calibri"/>
                <w:bCs/>
                <w:i/>
                <w:sz w:val="23"/>
                <w:szCs w:val="23"/>
                <w:lang w:val="fr-FR"/>
              </w:rPr>
              <w:t>Le Groupe multipartite peut souhaiter inclure des informations sur :</w:t>
            </w:r>
          </w:p>
          <w:p w14:paraId="3C4CB77F" w14:textId="77777777" w:rsidR="00243251" w:rsidRPr="00913C7F" w:rsidRDefault="00243251" w:rsidP="00243251">
            <w:pPr>
              <w:numPr>
                <w:ilvl w:val="0"/>
                <w:numId w:val="20"/>
              </w:numPr>
              <w:spacing w:after="0" w:line="240" w:lineRule="auto"/>
              <w:contextualSpacing/>
              <w:rPr>
                <w:rFonts w:eastAsia="Calibri"/>
                <w:i/>
                <w:color w:val="000000"/>
                <w:sz w:val="23"/>
                <w:szCs w:val="23"/>
                <w:lang w:val="fr-BE"/>
              </w:rPr>
            </w:pPr>
            <w:proofErr w:type="gramStart"/>
            <w:r w:rsidRPr="00CB024C">
              <w:rPr>
                <w:rFonts w:eastAsia="Calibri"/>
                <w:bCs/>
                <w:i/>
                <w:sz w:val="23"/>
                <w:szCs w:val="23"/>
                <w:lang w:val="fr-FR"/>
              </w:rPr>
              <w:t>la</w:t>
            </w:r>
            <w:proofErr w:type="gramEnd"/>
            <w:r w:rsidRPr="00CB024C">
              <w:rPr>
                <w:rFonts w:eastAsia="Calibri"/>
                <w:bCs/>
                <w:i/>
                <w:sz w:val="23"/>
                <w:szCs w:val="23"/>
                <w:lang w:val="fr-FR"/>
              </w:rPr>
              <w:t xml:space="preserve"> manière dont le périmètre d’application du processus de déclaration ITIE a été élargi afin de réaliser les objectifs définis dans le plan de travail ;</w:t>
            </w:r>
          </w:p>
          <w:p w14:paraId="662864B1" w14:textId="77777777" w:rsidR="00243251" w:rsidRPr="00CB024C" w:rsidRDefault="00243251" w:rsidP="00243251">
            <w:pPr>
              <w:numPr>
                <w:ilvl w:val="0"/>
                <w:numId w:val="20"/>
              </w:numPr>
              <w:spacing w:after="0" w:line="240" w:lineRule="auto"/>
              <w:contextualSpacing/>
              <w:rPr>
                <w:rFonts w:eastAsia="Calibri"/>
                <w:i/>
                <w:color w:val="000000"/>
                <w:sz w:val="23"/>
                <w:szCs w:val="23"/>
                <w:lang w:val="en-US"/>
              </w:rPr>
            </w:pPr>
            <w:r w:rsidRPr="00CB024C">
              <w:rPr>
                <w:rFonts w:eastAsia="Calibri"/>
                <w:bCs/>
                <w:i/>
                <w:sz w:val="23"/>
                <w:szCs w:val="23"/>
                <w:lang w:val="fr-FR"/>
              </w:rPr>
              <w:t>les efforts accomplis pour que le rapport ITIE contribue à une meilleure prise de conscience du public, tout particulièrement en ce qui concerne la contribution fiscale des industries extractives et la manière dont ces revenus sont attribués et dépensés ;</w:t>
            </w:r>
          </w:p>
          <w:p w14:paraId="36ABC72C" w14:textId="77777777" w:rsidR="00243251" w:rsidRPr="00CB024C" w:rsidRDefault="00243251" w:rsidP="00243251">
            <w:pPr>
              <w:numPr>
                <w:ilvl w:val="0"/>
                <w:numId w:val="20"/>
              </w:numPr>
              <w:spacing w:after="0" w:line="240" w:lineRule="auto"/>
              <w:contextualSpacing/>
              <w:rPr>
                <w:rFonts w:eastAsia="Calibri"/>
                <w:i/>
                <w:color w:val="000000"/>
                <w:sz w:val="23"/>
                <w:szCs w:val="23"/>
                <w:lang w:val="en-US"/>
              </w:rPr>
            </w:pPr>
            <w:r w:rsidRPr="00CB024C">
              <w:rPr>
                <w:rFonts w:eastAsia="Calibri"/>
                <w:i/>
                <w:sz w:val="23"/>
                <w:szCs w:val="23"/>
                <w:lang w:val="fr-FR"/>
              </w:rPr>
              <w:t>les efforts accomplis pour susciter la prise de conscience et le soutien des parties prenantes, et pour renforcer leurs capacités ;</w:t>
            </w:r>
          </w:p>
          <w:p w14:paraId="7704B9E6" w14:textId="77777777" w:rsidR="00243251" w:rsidRPr="00CB024C" w:rsidRDefault="00243251" w:rsidP="00243251">
            <w:pPr>
              <w:numPr>
                <w:ilvl w:val="0"/>
                <w:numId w:val="20"/>
              </w:numPr>
              <w:spacing w:after="0" w:line="240" w:lineRule="auto"/>
              <w:contextualSpacing/>
              <w:rPr>
                <w:i/>
                <w:sz w:val="23"/>
                <w:szCs w:val="23"/>
                <w:lang w:val="en-US"/>
              </w:rPr>
            </w:pPr>
            <w:r w:rsidRPr="00CB024C">
              <w:rPr>
                <w:rFonts w:eastAsia="Calibri"/>
                <w:i/>
                <w:color w:val="000000"/>
                <w:sz w:val="23"/>
                <w:szCs w:val="23"/>
                <w:lang w:val="fr-FR"/>
              </w:rPr>
              <w:t>toute faiblesse identifiée dans le processus ITIE, ainsi que les actions entreprises pour y remédier.</w:t>
            </w:r>
          </w:p>
          <w:p w14:paraId="0B5CA15F" w14:textId="77777777" w:rsidR="00243251" w:rsidRPr="00E81A22" w:rsidRDefault="00243251" w:rsidP="00AA7766">
            <w:pPr>
              <w:spacing w:after="0" w:line="240" w:lineRule="auto"/>
              <w:contextualSpacing/>
              <w:rPr>
                <w:rFonts w:ascii="Myriad Pro" w:hAnsi="Myriad Pro"/>
                <w:sz w:val="20"/>
                <w:szCs w:val="20"/>
                <w:lang w:val="en-US"/>
              </w:rPr>
            </w:pPr>
          </w:p>
        </w:tc>
      </w:tr>
    </w:tbl>
    <w:p w14:paraId="62156BAF" w14:textId="77777777" w:rsidR="00243251" w:rsidRPr="00E81A22" w:rsidRDefault="00243251" w:rsidP="00243251">
      <w:pPr>
        <w:spacing w:after="0" w:line="240" w:lineRule="auto"/>
        <w:contextualSpacing/>
        <w:rPr>
          <w:rFonts w:ascii="Myriad Pro" w:eastAsia="Calibri" w:hAnsi="Myriad Pro"/>
          <w:bCs/>
          <w:sz w:val="20"/>
          <w:szCs w:val="20"/>
          <w:lang w:val="en-US"/>
        </w:rPr>
      </w:pPr>
    </w:p>
    <w:p w14:paraId="6AD0F69B" w14:textId="77777777" w:rsidR="00243251" w:rsidRPr="00CB024C" w:rsidRDefault="00243251" w:rsidP="00243251">
      <w:pPr>
        <w:numPr>
          <w:ilvl w:val="0"/>
          <w:numId w:val="19"/>
        </w:numPr>
        <w:spacing w:after="0" w:line="240" w:lineRule="auto"/>
        <w:ind w:hanging="720"/>
        <w:contextualSpacing/>
        <w:rPr>
          <w:rFonts w:eastAsia="Calibri"/>
          <w:b/>
          <w:bCs/>
          <w:sz w:val="23"/>
          <w:szCs w:val="23"/>
          <w:lang w:val="en-US"/>
        </w:rPr>
      </w:pPr>
      <w:r w:rsidRPr="00CB024C">
        <w:rPr>
          <w:rFonts w:eastAsia="Calibri"/>
          <w:b/>
          <w:bCs/>
          <w:sz w:val="23"/>
          <w:szCs w:val="23"/>
          <w:lang w:val="fr-FR"/>
        </w:rPr>
        <w:t>Coûts totaux de mise en œuvre</w:t>
      </w:r>
    </w:p>
    <w:p w14:paraId="6D9196EF" w14:textId="77777777" w:rsidR="00243251" w:rsidRDefault="00243251" w:rsidP="00243251">
      <w:pPr>
        <w:spacing w:after="0" w:line="240" w:lineRule="auto"/>
        <w:ind w:left="720" w:hanging="720"/>
        <w:contextualSpacing/>
        <w:rPr>
          <w:rFonts w:ascii="Myriad Pro" w:eastAsia="Calibri" w:hAnsi="Myriad Pro"/>
          <w:b/>
          <w:bCs/>
          <w:sz w:val="20"/>
          <w:szCs w:val="20"/>
          <w:lang w:val="nb-NO"/>
        </w:rPr>
      </w:pPr>
    </w:p>
    <w:p w14:paraId="05584E22" w14:textId="77777777" w:rsidR="00E81A22" w:rsidRPr="00E81A22" w:rsidRDefault="00E81A22" w:rsidP="00243251">
      <w:pPr>
        <w:spacing w:after="0" w:line="240" w:lineRule="auto"/>
        <w:ind w:left="720" w:hanging="720"/>
        <w:contextualSpacing/>
        <w:rPr>
          <w:rFonts w:ascii="Myriad Pro" w:eastAsia="Calibri" w:hAnsi="Myriad Pro"/>
          <w:b/>
          <w:bCs/>
          <w:sz w:val="20"/>
          <w:szCs w:val="20"/>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43251" w:rsidRPr="00E81A22" w14:paraId="455ADC30" w14:textId="77777777" w:rsidTr="00AA7766">
        <w:tc>
          <w:tcPr>
            <w:tcW w:w="9639" w:type="dxa"/>
            <w:tcBorders>
              <w:top w:val="single" w:sz="4" w:space="0" w:color="auto"/>
              <w:left w:val="single" w:sz="4" w:space="0" w:color="auto"/>
              <w:bottom w:val="single" w:sz="4" w:space="0" w:color="auto"/>
              <w:right w:val="single" w:sz="4" w:space="0" w:color="auto"/>
            </w:tcBorders>
          </w:tcPr>
          <w:p w14:paraId="27BA12D8" w14:textId="77777777" w:rsidR="00243251" w:rsidRPr="00E81A22" w:rsidRDefault="00243251" w:rsidP="00AA7766">
            <w:pPr>
              <w:spacing w:after="0"/>
              <w:contextualSpacing/>
              <w:rPr>
                <w:rFonts w:ascii="Myriad Pro" w:hAnsi="Myriad Pro"/>
                <w:b/>
                <w:sz w:val="20"/>
                <w:szCs w:val="20"/>
                <w:lang w:val="en-US"/>
              </w:rPr>
            </w:pPr>
          </w:p>
          <w:p w14:paraId="2871AD8E" w14:textId="77777777" w:rsidR="00243251" w:rsidRPr="00CB024C" w:rsidRDefault="00243251" w:rsidP="00AA7766">
            <w:pPr>
              <w:spacing w:after="0" w:line="240" w:lineRule="auto"/>
              <w:contextualSpacing/>
              <w:rPr>
                <w:i/>
                <w:sz w:val="23"/>
                <w:szCs w:val="23"/>
                <w:lang w:val="en-US"/>
              </w:rPr>
            </w:pPr>
            <w:r w:rsidRPr="00CB024C">
              <w:rPr>
                <w:rFonts w:eastAsia="Calibri"/>
                <w:i/>
                <w:sz w:val="23"/>
                <w:szCs w:val="23"/>
                <w:lang w:val="fr-FR"/>
              </w:rPr>
              <w:t>Le Groupe multipartite peut souhaiter inclure des informations sur les coûts de la mise en œuvre.</w:t>
            </w:r>
            <w:r w:rsidRPr="00CB024C">
              <w:rPr>
                <w:rFonts w:eastAsia="Calibri"/>
                <w:sz w:val="23"/>
                <w:szCs w:val="23"/>
                <w:lang w:val="fr-FR"/>
              </w:rPr>
              <w:t xml:space="preserve"> </w:t>
            </w:r>
            <w:r w:rsidRPr="00CB024C">
              <w:rPr>
                <w:rFonts w:eastAsia="Calibri"/>
                <w:i/>
                <w:sz w:val="23"/>
                <w:szCs w:val="23"/>
                <w:lang w:val="fr-FR"/>
              </w:rPr>
              <w:t>Ces informations peuvent inclure une comparaison des coûts réels par rapport aux coûts budgétés dans le plan de travail, ventilés par contributeur et par poste budgétaire.</w:t>
            </w:r>
            <w:r w:rsidRPr="00CB024C">
              <w:rPr>
                <w:rFonts w:eastAsia="Calibri"/>
                <w:sz w:val="23"/>
                <w:szCs w:val="23"/>
                <w:lang w:val="fr-FR"/>
              </w:rPr>
              <w:t xml:space="preserve">  </w:t>
            </w:r>
            <w:r w:rsidRPr="00CB024C">
              <w:rPr>
                <w:rFonts w:eastAsia="Calibri"/>
                <w:i/>
                <w:color w:val="000000"/>
                <w:sz w:val="23"/>
                <w:szCs w:val="23"/>
                <w:lang w:val="fr-FR"/>
              </w:rPr>
              <w:t>Elles peuvent aussi porter sur le nombre de personnes travaillant au sein du secrétariat national.</w:t>
            </w:r>
          </w:p>
          <w:p w14:paraId="2C1BE632" w14:textId="77777777" w:rsidR="00243251" w:rsidRPr="00E81A22" w:rsidRDefault="00243251" w:rsidP="00AA7766">
            <w:pPr>
              <w:spacing w:after="0" w:line="240" w:lineRule="auto"/>
              <w:contextualSpacing/>
              <w:rPr>
                <w:rFonts w:ascii="Myriad Pro" w:hAnsi="Myriad Pro"/>
                <w:sz w:val="20"/>
                <w:szCs w:val="20"/>
                <w:lang w:val="en-US"/>
              </w:rPr>
            </w:pPr>
          </w:p>
        </w:tc>
      </w:tr>
    </w:tbl>
    <w:p w14:paraId="49BDF6FA" w14:textId="77777777" w:rsidR="00243251" w:rsidRPr="00E81A22" w:rsidRDefault="00243251" w:rsidP="00243251">
      <w:pPr>
        <w:spacing w:after="0" w:line="240" w:lineRule="auto"/>
        <w:contextualSpacing/>
        <w:rPr>
          <w:rFonts w:ascii="Myriad Pro" w:eastAsia="Calibri" w:hAnsi="Myriad Pro"/>
          <w:bCs/>
          <w:sz w:val="20"/>
          <w:szCs w:val="20"/>
          <w:lang w:val="en-US"/>
        </w:rPr>
      </w:pPr>
    </w:p>
    <w:p w14:paraId="17B8B0FC" w14:textId="77777777" w:rsidR="00243251" w:rsidRPr="00E81A22" w:rsidRDefault="00243251" w:rsidP="00243251">
      <w:pPr>
        <w:spacing w:after="0" w:line="240" w:lineRule="auto"/>
        <w:contextualSpacing/>
        <w:rPr>
          <w:rFonts w:ascii="Myriad Pro" w:eastAsia="Calibri" w:hAnsi="Myriad Pro"/>
          <w:b/>
          <w:bCs/>
          <w:sz w:val="20"/>
          <w:szCs w:val="20"/>
          <w:lang w:val="en-US"/>
        </w:rPr>
      </w:pPr>
    </w:p>
    <w:p w14:paraId="236A770F" w14:textId="77777777" w:rsidR="00243251" w:rsidRPr="00CB024C" w:rsidRDefault="00243251" w:rsidP="00243251">
      <w:pPr>
        <w:numPr>
          <w:ilvl w:val="0"/>
          <w:numId w:val="19"/>
        </w:numPr>
        <w:spacing w:after="0" w:line="240" w:lineRule="auto"/>
        <w:ind w:hanging="720"/>
        <w:contextualSpacing/>
        <w:rPr>
          <w:rFonts w:eastAsia="Calibri"/>
          <w:b/>
          <w:bCs/>
          <w:sz w:val="23"/>
          <w:szCs w:val="23"/>
          <w:lang w:val="en-US"/>
        </w:rPr>
      </w:pPr>
      <w:proofErr w:type="spellStart"/>
      <w:r w:rsidRPr="00CB024C">
        <w:rPr>
          <w:rFonts w:eastAsia="Calibri"/>
          <w:b/>
          <w:bCs/>
          <w:sz w:val="23"/>
          <w:szCs w:val="23"/>
        </w:rPr>
        <w:t>Commentaires</w:t>
      </w:r>
      <w:proofErr w:type="spellEnd"/>
      <w:r w:rsidRPr="00CB024C">
        <w:rPr>
          <w:rFonts w:eastAsia="Calibri"/>
          <w:b/>
          <w:bCs/>
          <w:sz w:val="23"/>
          <w:szCs w:val="23"/>
        </w:rPr>
        <w:t xml:space="preserve"> </w:t>
      </w:r>
      <w:proofErr w:type="spellStart"/>
      <w:r w:rsidRPr="00CB024C">
        <w:rPr>
          <w:rFonts w:eastAsia="Calibri"/>
          <w:b/>
          <w:bCs/>
          <w:sz w:val="23"/>
          <w:szCs w:val="23"/>
        </w:rPr>
        <w:t>supplémentaires</w:t>
      </w:r>
      <w:proofErr w:type="spellEnd"/>
    </w:p>
    <w:p w14:paraId="4666472D" w14:textId="77777777" w:rsidR="00243251" w:rsidRDefault="00243251" w:rsidP="00243251">
      <w:pPr>
        <w:spacing w:after="0" w:line="240" w:lineRule="auto"/>
        <w:contextualSpacing/>
        <w:rPr>
          <w:rFonts w:ascii="Myriad Pro" w:eastAsia="Calibri" w:hAnsi="Myriad Pro"/>
          <w:bCs/>
          <w:sz w:val="20"/>
          <w:szCs w:val="20"/>
          <w:lang w:val="nb-NO"/>
        </w:rPr>
      </w:pPr>
    </w:p>
    <w:p w14:paraId="5CC5632F" w14:textId="77777777" w:rsidR="00E81A22" w:rsidRPr="00E81A22" w:rsidRDefault="00E81A22" w:rsidP="00243251">
      <w:pPr>
        <w:spacing w:after="0" w:line="240" w:lineRule="auto"/>
        <w:contextualSpacing/>
        <w:rPr>
          <w:rFonts w:ascii="Myriad Pro" w:eastAsia="Calibri" w:hAnsi="Myriad Pro"/>
          <w:bCs/>
          <w:sz w:val="20"/>
          <w:szCs w:val="20"/>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43251" w:rsidRPr="00E81A22" w14:paraId="5C15AB89" w14:textId="77777777" w:rsidTr="00A562F5">
        <w:trPr>
          <w:trHeight w:val="1213"/>
        </w:trPr>
        <w:tc>
          <w:tcPr>
            <w:tcW w:w="9669" w:type="dxa"/>
            <w:tcBorders>
              <w:top w:val="single" w:sz="4" w:space="0" w:color="auto"/>
              <w:left w:val="single" w:sz="4" w:space="0" w:color="auto"/>
              <w:bottom w:val="single" w:sz="4" w:space="0" w:color="auto"/>
              <w:right w:val="single" w:sz="4" w:space="0" w:color="auto"/>
            </w:tcBorders>
          </w:tcPr>
          <w:p w14:paraId="1B7AFA1D" w14:textId="77777777" w:rsidR="00243251" w:rsidRPr="00E81A22" w:rsidRDefault="00243251" w:rsidP="00AA7766">
            <w:pPr>
              <w:spacing w:after="0" w:line="240" w:lineRule="auto"/>
              <w:contextualSpacing/>
              <w:rPr>
                <w:rFonts w:ascii="Myriad Pro" w:hAnsi="Myriad Pro"/>
                <w:sz w:val="20"/>
                <w:szCs w:val="20"/>
                <w:lang w:val="en-US"/>
              </w:rPr>
            </w:pPr>
          </w:p>
          <w:p w14:paraId="57D9DD8F" w14:textId="77777777" w:rsidR="00243251" w:rsidRPr="00E81A22" w:rsidRDefault="00243251" w:rsidP="00AA7766">
            <w:pPr>
              <w:spacing w:after="0" w:line="240" w:lineRule="auto"/>
              <w:contextualSpacing/>
              <w:rPr>
                <w:rFonts w:ascii="Myriad Pro" w:hAnsi="Myriad Pro"/>
                <w:sz w:val="20"/>
                <w:szCs w:val="20"/>
                <w:lang w:val="en-US"/>
              </w:rPr>
            </w:pPr>
          </w:p>
        </w:tc>
      </w:tr>
    </w:tbl>
    <w:p w14:paraId="466298E3" w14:textId="77777777" w:rsidR="00243251" w:rsidRDefault="00243251" w:rsidP="00243251">
      <w:pPr>
        <w:spacing w:after="0" w:line="240" w:lineRule="auto"/>
        <w:contextualSpacing/>
        <w:rPr>
          <w:rFonts w:ascii="Myriad Pro" w:eastAsia="Calibri" w:hAnsi="Myriad Pro"/>
          <w:bCs/>
          <w:sz w:val="20"/>
          <w:szCs w:val="20"/>
          <w:lang w:val="nb-NO"/>
        </w:rPr>
      </w:pPr>
    </w:p>
    <w:p w14:paraId="63A0B7EE" w14:textId="21E58B24" w:rsidR="00E81A22" w:rsidRDefault="009B630F" w:rsidP="00243251">
      <w:pPr>
        <w:spacing w:after="0" w:line="240" w:lineRule="auto"/>
        <w:contextualSpacing/>
        <w:rPr>
          <w:rFonts w:ascii="Myriad Pro" w:eastAsia="Calibri" w:hAnsi="Myriad Pro"/>
          <w:bCs/>
          <w:sz w:val="20"/>
          <w:szCs w:val="20"/>
          <w:lang w:val="nb-NO"/>
        </w:rPr>
      </w:pPr>
      <w:r>
        <w:rPr>
          <w:rFonts w:ascii="Myriad Pro" w:eastAsia="Calibri" w:hAnsi="Myriad Pro"/>
          <w:bCs/>
          <w:sz w:val="20"/>
          <w:szCs w:val="20"/>
          <w:lang w:val="nb-NO"/>
        </w:rPr>
        <w:br w:type="column"/>
      </w:r>
    </w:p>
    <w:p w14:paraId="27BD2058" w14:textId="77777777" w:rsidR="00243251" w:rsidRPr="00CB024C" w:rsidRDefault="00243251" w:rsidP="00243251">
      <w:pPr>
        <w:numPr>
          <w:ilvl w:val="0"/>
          <w:numId w:val="19"/>
        </w:numPr>
        <w:spacing w:after="0" w:line="240" w:lineRule="auto"/>
        <w:ind w:hanging="720"/>
        <w:contextualSpacing/>
        <w:rPr>
          <w:rFonts w:eastAsia="Calibri"/>
          <w:b/>
          <w:bCs/>
          <w:sz w:val="23"/>
          <w:szCs w:val="23"/>
          <w:lang w:val="en-US"/>
        </w:rPr>
      </w:pPr>
      <w:r w:rsidRPr="00CB024C">
        <w:rPr>
          <w:rFonts w:eastAsia="Calibri"/>
          <w:b/>
          <w:bCs/>
          <w:sz w:val="23"/>
          <w:szCs w:val="23"/>
          <w:lang w:val="fr-FR"/>
        </w:rPr>
        <w:t>Ce rapport d’activités a-t-il été discuté en dehors du Groupe multipartite ?</w:t>
      </w:r>
    </w:p>
    <w:p w14:paraId="1D8EA59D" w14:textId="77777777" w:rsidR="00243251" w:rsidRPr="00A562F5" w:rsidRDefault="00243251" w:rsidP="00243251">
      <w:pPr>
        <w:spacing w:after="0" w:line="240" w:lineRule="auto"/>
        <w:contextualSpacing/>
        <w:rPr>
          <w:rFonts w:ascii="Myriad Pro" w:eastAsia="Calibri" w:hAnsi="Myriad Pro"/>
          <w:bCs/>
          <w:sz w:val="20"/>
          <w:szCs w:val="20"/>
          <w:lang w:val="fr-FR"/>
        </w:rPr>
      </w:pPr>
    </w:p>
    <w:p w14:paraId="0474431E" w14:textId="77777777" w:rsidR="00E81A22" w:rsidRPr="00A562F5" w:rsidRDefault="00E81A22" w:rsidP="00243251">
      <w:pPr>
        <w:spacing w:after="0" w:line="240" w:lineRule="auto"/>
        <w:contextualSpacing/>
        <w:rPr>
          <w:rFonts w:ascii="Myriad Pro" w:eastAsia="Calibri" w:hAnsi="Myriad Pro"/>
          <w:bCs/>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43251" w:rsidRPr="00E81A22" w14:paraId="701D28B1" w14:textId="77777777" w:rsidTr="00AA7766">
        <w:tc>
          <w:tcPr>
            <w:tcW w:w="9639" w:type="dxa"/>
            <w:tcBorders>
              <w:top w:val="single" w:sz="4" w:space="0" w:color="auto"/>
              <w:left w:val="single" w:sz="4" w:space="0" w:color="auto"/>
              <w:bottom w:val="single" w:sz="4" w:space="0" w:color="auto"/>
              <w:right w:val="single" w:sz="4" w:space="0" w:color="auto"/>
            </w:tcBorders>
          </w:tcPr>
          <w:p w14:paraId="7B3F8985" w14:textId="77777777" w:rsidR="00243251" w:rsidRPr="00E81A22" w:rsidRDefault="00243251" w:rsidP="00AA7766">
            <w:pPr>
              <w:spacing w:after="0" w:line="240" w:lineRule="auto"/>
              <w:contextualSpacing/>
              <w:rPr>
                <w:rFonts w:ascii="Myriad Pro" w:hAnsi="Myriad Pro"/>
                <w:sz w:val="20"/>
                <w:szCs w:val="20"/>
                <w:lang w:val="en-US"/>
              </w:rPr>
            </w:pPr>
          </w:p>
          <w:p w14:paraId="4F8BB94A" w14:textId="77777777" w:rsidR="00243251" w:rsidRPr="00CB024C" w:rsidRDefault="00FA70A3" w:rsidP="00FA70A3">
            <w:pPr>
              <w:spacing w:after="0" w:line="240" w:lineRule="auto"/>
              <w:contextualSpacing/>
              <w:rPr>
                <w:rFonts w:eastAsia="Calibri"/>
                <w:sz w:val="23"/>
                <w:szCs w:val="23"/>
                <w:lang w:val="en-US"/>
              </w:rPr>
            </w:pPr>
            <w:r w:rsidRPr="00CB024C">
              <w:rPr>
                <w:rFonts w:eastAsia="Calibri"/>
                <w:i/>
                <w:sz w:val="23"/>
                <w:szCs w:val="23"/>
                <w:lang w:val="fr-FR"/>
              </w:rPr>
              <w:t>Conformément à l’Exigence 7.4</w:t>
            </w:r>
            <w:r w:rsidR="00243251" w:rsidRPr="00CB024C">
              <w:rPr>
                <w:rFonts w:eastAsia="Calibri"/>
                <w:i/>
                <w:sz w:val="23"/>
                <w:szCs w:val="23"/>
                <w:lang w:val="fr-FR"/>
              </w:rPr>
              <w:t xml:space="preserve">(b), toutes les parties prenantes devront être en mesure de participer à la publication du rapport annuel </w:t>
            </w:r>
            <w:r w:rsidRPr="00CB024C">
              <w:rPr>
                <w:rFonts w:eastAsia="Calibri"/>
                <w:i/>
                <w:sz w:val="23"/>
                <w:szCs w:val="23"/>
                <w:lang w:val="fr-FR"/>
              </w:rPr>
              <w:t>d’avancement</w:t>
            </w:r>
            <w:r w:rsidR="00243251" w:rsidRPr="00CB024C">
              <w:rPr>
                <w:rFonts w:eastAsia="Calibri"/>
                <w:i/>
                <w:sz w:val="23"/>
                <w:szCs w:val="23"/>
                <w:lang w:val="fr-FR"/>
              </w:rPr>
              <w:t xml:space="preserve"> et d’évaluer l’impact de la mise en œuvre de l’ITIE.</w:t>
            </w:r>
            <w:r w:rsidR="00243251" w:rsidRPr="00CB024C">
              <w:rPr>
                <w:rFonts w:eastAsia="Calibri"/>
                <w:sz w:val="23"/>
                <w:szCs w:val="23"/>
                <w:lang w:val="fr-FR"/>
              </w:rPr>
              <w:t xml:space="preserve"> </w:t>
            </w:r>
            <w:r w:rsidR="00243251" w:rsidRPr="00CB024C">
              <w:rPr>
                <w:rFonts w:eastAsia="Calibri"/>
                <w:i/>
                <w:sz w:val="23"/>
                <w:szCs w:val="23"/>
                <w:lang w:val="fr-FR"/>
              </w:rPr>
              <w:t>Les groupes de la société civile et les entreprises participant au processus ITIE, et en particulier, mais pas uniquement, ceux qui siègent au sein du Groupe multipartite, devront pouvoir donner leur avis sur le processus, et voir leurs avis reflétés dans le rapport annuel d’activités.</w:t>
            </w:r>
          </w:p>
          <w:p w14:paraId="3E501D08" w14:textId="77777777" w:rsidR="00243251" w:rsidRPr="00CB024C" w:rsidRDefault="00243251" w:rsidP="00AA7766">
            <w:pPr>
              <w:spacing w:after="0" w:line="240" w:lineRule="auto"/>
              <w:contextualSpacing/>
              <w:rPr>
                <w:rFonts w:eastAsia="Calibri"/>
                <w:sz w:val="23"/>
                <w:szCs w:val="23"/>
                <w:lang w:val="en-US"/>
              </w:rPr>
            </w:pPr>
          </w:p>
          <w:p w14:paraId="22768AE2" w14:textId="77777777" w:rsidR="00243251" w:rsidRPr="00CB024C" w:rsidRDefault="00243251" w:rsidP="00AA7766">
            <w:pPr>
              <w:spacing w:after="0" w:line="240" w:lineRule="auto"/>
              <w:contextualSpacing/>
              <w:rPr>
                <w:i/>
                <w:sz w:val="23"/>
                <w:szCs w:val="23"/>
                <w:lang w:val="en-US"/>
              </w:rPr>
            </w:pPr>
            <w:r w:rsidRPr="00CB024C">
              <w:rPr>
                <w:rFonts w:eastAsia="Calibri"/>
                <w:i/>
                <w:sz w:val="23"/>
                <w:szCs w:val="23"/>
                <w:lang w:val="fr-FR"/>
              </w:rPr>
              <w:t>Il s’agit d’une occasion pour les Groupes multipartites d’améliorer l’appropriation du processus, et de faire en sorte que l’ITIE s’enracine plus profondément dans le processus de réformes plus larges au sein du pays.</w:t>
            </w:r>
            <w:r w:rsidRPr="00CB024C">
              <w:rPr>
                <w:rFonts w:eastAsia="Calibri"/>
                <w:sz w:val="23"/>
                <w:szCs w:val="23"/>
                <w:lang w:val="fr-FR"/>
              </w:rPr>
              <w:t xml:space="preserve"> </w:t>
            </w:r>
            <w:r w:rsidRPr="00CB024C">
              <w:rPr>
                <w:rFonts w:eastAsia="Calibri"/>
                <w:i/>
                <w:sz w:val="23"/>
                <w:szCs w:val="23"/>
                <w:lang w:val="fr-FR"/>
              </w:rPr>
              <w:t>Les pays peuvent souhaiter décrire toutes les initiatives plus larges auxquelles ont participé les autres parties prenantes, telles que la société civile et les entreprises. Ils devront en outre indiquer comment les parties prenantes ont été invitées à formuler leurs commentaires sur le processus, et veiller à ce que l’évaluation reflète leur opinion.</w:t>
            </w:r>
            <w:r w:rsidRPr="00CB024C">
              <w:rPr>
                <w:rFonts w:eastAsia="Calibri"/>
                <w:sz w:val="23"/>
                <w:szCs w:val="23"/>
                <w:lang w:val="fr-FR"/>
              </w:rPr>
              <w:t xml:space="preserve">  </w:t>
            </w:r>
          </w:p>
          <w:p w14:paraId="38BAC4D0" w14:textId="77777777" w:rsidR="00243251" w:rsidRPr="00E81A22" w:rsidRDefault="00243251" w:rsidP="00AA7766">
            <w:pPr>
              <w:spacing w:after="0" w:line="240" w:lineRule="auto"/>
              <w:contextualSpacing/>
              <w:rPr>
                <w:rFonts w:ascii="Myriad Pro" w:hAnsi="Myriad Pro"/>
                <w:sz w:val="20"/>
                <w:szCs w:val="20"/>
                <w:lang w:val="en-US"/>
              </w:rPr>
            </w:pPr>
          </w:p>
        </w:tc>
      </w:tr>
    </w:tbl>
    <w:p w14:paraId="29AEF2EE" w14:textId="77777777" w:rsidR="00243251" w:rsidRDefault="00243251" w:rsidP="00243251">
      <w:pPr>
        <w:spacing w:after="0" w:line="240" w:lineRule="auto"/>
        <w:contextualSpacing/>
        <w:rPr>
          <w:rFonts w:ascii="Myriad Pro" w:eastAsia="Calibri" w:hAnsi="Myriad Pro"/>
          <w:bCs/>
          <w:sz w:val="20"/>
          <w:szCs w:val="20"/>
          <w:lang w:val="nb-NO"/>
        </w:rPr>
      </w:pPr>
    </w:p>
    <w:p w14:paraId="37AA6C34" w14:textId="77777777" w:rsidR="00E81A22" w:rsidRPr="00E81A22" w:rsidRDefault="00E81A22" w:rsidP="00243251">
      <w:pPr>
        <w:spacing w:after="0" w:line="240" w:lineRule="auto"/>
        <w:contextualSpacing/>
        <w:rPr>
          <w:rFonts w:ascii="Myriad Pro" w:eastAsia="Calibri" w:hAnsi="Myriad Pro"/>
          <w:bCs/>
          <w:sz w:val="20"/>
          <w:szCs w:val="20"/>
          <w:lang w:val="nb-NO"/>
        </w:rPr>
      </w:pPr>
    </w:p>
    <w:p w14:paraId="2005D545" w14:textId="77777777" w:rsidR="00243251" w:rsidRPr="00CB024C" w:rsidRDefault="00243251" w:rsidP="00243251">
      <w:pPr>
        <w:pStyle w:val="ColorfulList-Accent11"/>
        <w:numPr>
          <w:ilvl w:val="0"/>
          <w:numId w:val="19"/>
        </w:numPr>
        <w:spacing w:after="0" w:line="240" w:lineRule="auto"/>
        <w:ind w:hanging="720"/>
        <w:rPr>
          <w:rFonts w:eastAsia="Calibri"/>
          <w:bCs/>
          <w:sz w:val="23"/>
          <w:szCs w:val="23"/>
          <w:lang w:val="en-US"/>
        </w:rPr>
      </w:pPr>
      <w:r w:rsidRPr="00CB024C">
        <w:rPr>
          <w:rFonts w:eastAsia="Calibri"/>
          <w:b/>
          <w:bCs/>
          <w:sz w:val="23"/>
          <w:szCs w:val="23"/>
          <w:lang w:val="fr-FR"/>
        </w:rPr>
        <w:t>Composition détaillée du Groupe multipartite durant la période concernée</w:t>
      </w:r>
      <w:r w:rsidRPr="00CB024C">
        <w:rPr>
          <w:rFonts w:eastAsia="Calibri"/>
          <w:bCs/>
          <w:sz w:val="23"/>
          <w:szCs w:val="23"/>
          <w:lang w:val="fr-FR"/>
        </w:rPr>
        <w:t xml:space="preserve"> (y compris le détail du nombre de réunions et des présences)</w:t>
      </w:r>
    </w:p>
    <w:p w14:paraId="1AD36B65" w14:textId="77777777" w:rsidR="00243251" w:rsidRPr="00CB024C" w:rsidRDefault="00243251" w:rsidP="00243251">
      <w:pPr>
        <w:spacing w:after="0" w:line="240" w:lineRule="auto"/>
        <w:ind w:left="360"/>
        <w:rPr>
          <w:rFonts w:eastAsia="Calibri"/>
          <w:bCs/>
          <w:sz w:val="23"/>
          <w:szCs w:val="23"/>
          <w:lang w:val="nb-NO"/>
        </w:rPr>
      </w:pPr>
    </w:p>
    <w:p w14:paraId="3BCBC56D" w14:textId="77777777" w:rsidR="00E81A22" w:rsidRPr="00CB024C" w:rsidRDefault="00E81A22" w:rsidP="00243251">
      <w:pPr>
        <w:spacing w:after="0" w:line="240" w:lineRule="auto"/>
        <w:ind w:left="360"/>
        <w:rPr>
          <w:rFonts w:eastAsia="Calibri"/>
          <w:bCs/>
          <w:sz w:val="23"/>
          <w:szCs w:val="23"/>
          <w:lang w:val="nb-NO"/>
        </w:rPr>
      </w:pPr>
    </w:p>
    <w:p w14:paraId="1361C83B" w14:textId="77777777" w:rsidR="00243251" w:rsidRPr="00CB024C" w:rsidRDefault="00243251" w:rsidP="00243251">
      <w:pPr>
        <w:spacing w:after="0" w:line="240" w:lineRule="auto"/>
        <w:ind w:left="360" w:hanging="360"/>
        <w:rPr>
          <w:rFonts w:eastAsia="Calibri"/>
          <w:bCs/>
          <w:sz w:val="23"/>
          <w:szCs w:val="23"/>
          <w:lang w:val="en-US"/>
        </w:rPr>
      </w:pPr>
      <w:r w:rsidRPr="00CB024C">
        <w:rPr>
          <w:rFonts w:eastAsia="Calibri"/>
          <w:bCs/>
          <w:sz w:val="23"/>
          <w:szCs w:val="23"/>
          <w:lang w:val="fr-FR"/>
        </w:rPr>
        <w:t>Approuvé par le Groupe multipartite :</w:t>
      </w:r>
    </w:p>
    <w:p w14:paraId="294B4CE9" w14:textId="77777777" w:rsidR="00243251" w:rsidRPr="00CB024C" w:rsidRDefault="00243251" w:rsidP="00243251">
      <w:pPr>
        <w:spacing w:after="0" w:line="240" w:lineRule="auto"/>
        <w:contextualSpacing/>
        <w:rPr>
          <w:rFonts w:eastAsia="Calibri"/>
          <w:bCs/>
          <w:sz w:val="23"/>
          <w:szCs w:val="23"/>
          <w:lang w:val="en-US"/>
        </w:rPr>
      </w:pPr>
      <w:proofErr w:type="gramStart"/>
      <w:r w:rsidRPr="00CB024C">
        <w:rPr>
          <w:rFonts w:eastAsia="Calibri"/>
          <w:bCs/>
          <w:sz w:val="23"/>
          <w:szCs w:val="23"/>
        </w:rPr>
        <w:t>Date :</w:t>
      </w:r>
      <w:proofErr w:type="gramEnd"/>
    </w:p>
    <w:p w14:paraId="48D25971" w14:textId="77777777" w:rsidR="00243251" w:rsidRPr="00E81A22" w:rsidRDefault="00243251" w:rsidP="00243251">
      <w:pPr>
        <w:spacing w:after="0" w:line="240" w:lineRule="auto"/>
        <w:contextualSpacing/>
        <w:rPr>
          <w:rFonts w:ascii="Myriad Pro" w:eastAsia="Calibri" w:hAnsi="Myriad Pro"/>
          <w:bCs/>
          <w:sz w:val="20"/>
          <w:szCs w:val="20"/>
          <w:lang w:val="en-US"/>
        </w:rPr>
      </w:pPr>
    </w:p>
    <w:p w14:paraId="3EE6F883" w14:textId="55E8C415" w:rsidR="009B630F" w:rsidRDefault="00243251" w:rsidP="009B630F">
      <w:pPr>
        <w:spacing w:after="0" w:line="240" w:lineRule="auto"/>
        <w:contextualSpacing/>
        <w:rPr>
          <w:rFonts w:ascii="Myriad Pro" w:eastAsia="Calibri" w:hAnsi="Myriad Pro"/>
          <w:bCs/>
          <w:sz w:val="20"/>
          <w:szCs w:val="20"/>
          <w:lang w:val="en-US"/>
        </w:rPr>
      </w:pPr>
      <w:r w:rsidRPr="00E81A22">
        <w:rPr>
          <w:rFonts w:ascii="Myriad Pro" w:eastAsia="Calibri" w:hAnsi="Myriad Pro"/>
          <w:bCs/>
          <w:sz w:val="20"/>
          <w:szCs w:val="20"/>
        </w:rPr>
        <w:t>-----------------------------------------------------------------------------------------------------------------------------------</w:t>
      </w:r>
    </w:p>
    <w:p w14:paraId="221D378C" w14:textId="77777777" w:rsidR="007355F4" w:rsidRPr="009B630F" w:rsidRDefault="009B630F" w:rsidP="009B630F">
      <w:pPr>
        <w:spacing w:after="0" w:line="240" w:lineRule="auto"/>
        <w:contextualSpacing/>
        <w:rPr>
          <w:rFonts w:ascii="Myriad Pro" w:eastAsia="Calibri" w:hAnsi="Myriad Pro"/>
          <w:bCs/>
          <w:sz w:val="20"/>
          <w:szCs w:val="20"/>
          <w:lang w:val="en-US"/>
        </w:rPr>
      </w:pPr>
      <w:r>
        <w:rPr>
          <w:rFonts w:ascii="Myriad Pro" w:eastAsia="Calibri" w:hAnsi="Myriad Pro"/>
          <w:bCs/>
          <w:sz w:val="20"/>
          <w:szCs w:val="20"/>
          <w:lang w:val="en-US"/>
        </w:rPr>
        <w:br w:type="column"/>
      </w:r>
    </w:p>
    <w:p w14:paraId="3DD88AF6" w14:textId="77777777" w:rsidR="002927AE" w:rsidRPr="002927AE" w:rsidRDefault="002927AE" w:rsidP="009B630F">
      <w:pPr>
        <w:keepNext/>
        <w:keepLines/>
        <w:numPr>
          <w:ilvl w:val="0"/>
          <w:numId w:val="24"/>
        </w:numPr>
        <w:spacing w:before="200" w:after="240" w:line="240" w:lineRule="auto"/>
        <w:ind w:left="426" w:hanging="426"/>
        <w:outlineLvl w:val="0"/>
        <w:rPr>
          <w:b/>
          <w:bCs/>
          <w:sz w:val="32"/>
          <w:szCs w:val="26"/>
          <w:lang w:val="fr-FR"/>
        </w:rPr>
      </w:pPr>
      <w:r w:rsidRPr="002927AE">
        <w:rPr>
          <w:b/>
          <w:bCs/>
          <w:sz w:val="32"/>
          <w:szCs w:val="26"/>
          <w:lang w:val="fr-FR"/>
        </w:rPr>
        <w:t xml:space="preserve">Utiliser le rapport annuel d’avancement pour renforcer la mise en </w:t>
      </w:r>
      <w:proofErr w:type="spellStart"/>
      <w:r w:rsidRPr="002927AE">
        <w:rPr>
          <w:b/>
          <w:bCs/>
          <w:sz w:val="32"/>
          <w:szCs w:val="26"/>
          <w:lang w:val="fr-FR"/>
        </w:rPr>
        <w:t>oeuvre</w:t>
      </w:r>
      <w:proofErr w:type="spellEnd"/>
      <w:r w:rsidRPr="002927AE">
        <w:rPr>
          <w:b/>
          <w:bCs/>
          <w:sz w:val="32"/>
          <w:szCs w:val="26"/>
          <w:lang w:val="fr-FR"/>
        </w:rPr>
        <w:t xml:space="preserve"> et communiquer l’impact</w:t>
      </w:r>
    </w:p>
    <w:p w14:paraId="3757E33F" w14:textId="77777777" w:rsidR="00104C78" w:rsidRDefault="00104C78" w:rsidP="00104C78">
      <w:pPr>
        <w:keepNext/>
        <w:keepLines/>
        <w:spacing w:before="200" w:after="240" w:line="240" w:lineRule="auto"/>
        <w:outlineLvl w:val="1"/>
        <w:rPr>
          <w:b/>
          <w:bCs/>
          <w:color w:val="007FBD"/>
          <w:sz w:val="23"/>
          <w:lang w:val="fr-FR"/>
        </w:rPr>
      </w:pPr>
      <w:r>
        <w:rPr>
          <w:color w:val="007FBD"/>
          <w:sz w:val="23"/>
          <w:lang w:val="fr-FR"/>
        </w:rPr>
        <w:t xml:space="preserve">Les Groupes multipartites et les secrétariats nationaux peuvent utiliser leurs rapports annuels d’avancement de différentes manières. Voici quelques recommandations d’utilisation : </w:t>
      </w:r>
      <w:r>
        <w:rPr>
          <w:b/>
          <w:color w:val="007FBD"/>
          <w:sz w:val="23"/>
          <w:lang w:val="fr-FR"/>
        </w:rPr>
        <w:t>Utiliser le rapport annuel d’avancement pour renforcer la mise en œuvre de l’ITIE</w:t>
      </w:r>
    </w:p>
    <w:p w14:paraId="41B5C699" w14:textId="77777777" w:rsidR="00104C78" w:rsidRDefault="00104C78" w:rsidP="00104C78">
      <w:pPr>
        <w:numPr>
          <w:ilvl w:val="0"/>
          <w:numId w:val="27"/>
        </w:numPr>
        <w:spacing w:before="120" w:after="120" w:line="240" w:lineRule="auto"/>
        <w:ind w:left="357" w:hanging="357"/>
        <w:rPr>
          <w:rFonts w:eastAsia="Calibri"/>
          <w:sz w:val="23"/>
          <w:lang w:val="fr-FR"/>
        </w:rPr>
      </w:pPr>
      <w:r>
        <w:rPr>
          <w:b/>
          <w:sz w:val="23"/>
          <w:lang w:val="fr-FR"/>
        </w:rPr>
        <w:t>Examiner régulièrement les objectifs d’un pays dans le cadre de la mise en œuvre de l’ITIE</w:t>
      </w:r>
      <w:r>
        <w:rPr>
          <w:lang w:val="fr-FR"/>
        </w:rPr>
        <w:t> </w:t>
      </w:r>
      <w:r>
        <w:rPr>
          <w:sz w:val="23"/>
          <w:lang w:val="fr-FR"/>
        </w:rPr>
        <w:t>: les objectifs de la mise en œuvre de l’ITIE peuvent changer en fonction des priorités nationales. Les activités de sensibilisation à l’ITIE permettent de savoir comment les problèmes sont abordés par les différents secteurs. Le rapport annuel d’avancement permet de documenter comment les débats ont évolué au sein du secteur extractif au fil des ans et s’il est nécessaire d’aligner les objectifs et les activités d’un pays sur les priorités nationales</w:t>
      </w:r>
      <w:r>
        <w:rPr>
          <w:rFonts w:eastAsia="Calibri"/>
          <w:sz w:val="23"/>
          <w:lang w:val="fr-FR"/>
        </w:rPr>
        <w:t xml:space="preserve">. </w:t>
      </w:r>
    </w:p>
    <w:p w14:paraId="7590A5D5" w14:textId="77777777" w:rsidR="00104C78" w:rsidRDefault="00104C78" w:rsidP="00104C78">
      <w:pPr>
        <w:numPr>
          <w:ilvl w:val="0"/>
          <w:numId w:val="27"/>
        </w:numPr>
        <w:spacing w:before="120" w:after="120" w:line="240" w:lineRule="auto"/>
        <w:ind w:left="357" w:hanging="357"/>
        <w:rPr>
          <w:rFonts w:eastAsia="Calibri"/>
          <w:sz w:val="23"/>
          <w:lang w:val="fr-FR"/>
        </w:rPr>
      </w:pPr>
      <w:r>
        <w:rPr>
          <w:b/>
          <w:sz w:val="23"/>
          <w:lang w:val="fr-FR"/>
        </w:rPr>
        <w:t>Mettre en lumière et résoudre les problèmes liés à la mise en œuvre de l’ITIE</w:t>
      </w:r>
      <w:r>
        <w:rPr>
          <w:lang w:val="fr-FR"/>
        </w:rPr>
        <w:t> </w:t>
      </w:r>
      <w:r>
        <w:rPr>
          <w:sz w:val="23"/>
          <w:lang w:val="fr-FR"/>
        </w:rPr>
        <w:t>: le Groupe multipartite peut utiliser l’évaluation faite par rapport au plan de travail et aux Exigences ITIE pour identifier les lacunes et revoir ce plan de travail ou d’autres plans stratégiques pour le reste de l’année. Le rapport peut être un outil utile à la préparation des Rapports ITIE ou de la Validation si les lacunes et les difficultés ont été identifiées. Le rapport annuel d’activité des États-Unis comprend une évaluation détaillée des progrès accomplis dans la réalisation des objectifs du plan de travail, tels que le développement d’un programme de données pilote en ligne et interactif</w:t>
      </w:r>
      <w:r>
        <w:rPr>
          <w:rFonts w:eastAsia="Calibri"/>
          <w:sz w:val="23"/>
          <w:lang w:val="fr-FR"/>
        </w:rPr>
        <w:t>.</w:t>
      </w:r>
    </w:p>
    <w:p w14:paraId="4936DCCE" w14:textId="77777777" w:rsidR="00104C78" w:rsidRDefault="00104C78" w:rsidP="00104C78">
      <w:pPr>
        <w:numPr>
          <w:ilvl w:val="0"/>
          <w:numId w:val="27"/>
        </w:numPr>
        <w:spacing w:before="120" w:after="120" w:line="240" w:lineRule="auto"/>
        <w:ind w:left="357" w:hanging="357"/>
        <w:rPr>
          <w:rFonts w:eastAsia="Calibri"/>
          <w:sz w:val="23"/>
          <w:lang w:val="fr-FR"/>
        </w:rPr>
      </w:pPr>
      <w:r>
        <w:rPr>
          <w:b/>
          <w:sz w:val="23"/>
          <w:lang w:val="fr-FR"/>
        </w:rPr>
        <w:t>Examiner le mandat et la structure de l’ITIE :</w:t>
      </w:r>
      <w:r>
        <w:rPr>
          <w:sz w:val="23"/>
          <w:lang w:val="fr-FR"/>
        </w:rPr>
        <w:t xml:space="preserve"> les nouveaux besoins en matière de gouvernance du secteur pourraient nécessiter une modification de la composition du Groupe multipartite, par exemple lorsque de nouveaux secteurs doivent être inclus, ou dans le rôle que le Groupe multipartite souhaite jouer dans la gestion des ressources naturelles. Dans certains pays, les organismes publics ont compté sur l’expertise technique des membres du Groupe multipartite pour améliorer les systèmes gouvernementaux. Le rapport annuel d’avancement peut documenter ces évolutions et aider le Groupe multipartite à redéfinir son rôle, et à mettre à jour en conséquence ses documents internes tels que ses Termes de Référence ou son Règlement intérieur</w:t>
      </w:r>
      <w:r>
        <w:rPr>
          <w:rFonts w:eastAsia="Calibri"/>
          <w:sz w:val="23"/>
          <w:lang w:val="fr-FR"/>
        </w:rPr>
        <w:t>.</w:t>
      </w:r>
    </w:p>
    <w:p w14:paraId="58C1B190" w14:textId="77777777" w:rsidR="00104C78" w:rsidRDefault="00104C78" w:rsidP="00104C78">
      <w:pPr>
        <w:numPr>
          <w:ilvl w:val="0"/>
          <w:numId w:val="27"/>
        </w:numPr>
        <w:spacing w:before="120" w:after="120" w:line="240" w:lineRule="auto"/>
        <w:rPr>
          <w:rFonts w:eastAsia="Calibri"/>
          <w:sz w:val="23"/>
          <w:lang w:val="fr-FR"/>
        </w:rPr>
      </w:pPr>
      <w:r>
        <w:rPr>
          <w:b/>
          <w:sz w:val="23"/>
          <w:lang w:val="fr-FR"/>
        </w:rPr>
        <w:t>Évaluer l’engagement des parties prenantes :</w:t>
      </w:r>
      <w:r>
        <w:rPr>
          <w:sz w:val="23"/>
          <w:lang w:val="fr-FR"/>
        </w:rPr>
        <w:t xml:space="preserve"> certains pays utilisent le rapport annuel d’avancement pour faire état de la présence des membres du Groupe multipartite aux réunions. Les pays peuvent également inclure dans le rapport annuel d’avancement les activités relatives à l’ITIE qui ont été menées par les organisations de la société civile et par le secteur séparément de celles du Secrétariat national. C’est un bon moyen d’évaluer la régularité et l’efficacité avec lesquelles ces secteurs parviennent à impliquer leurs propres collèges. Le rapport annuel d’activité 2014-2015 des Philippines en est un exemple ; ce rapport inclut en effet les activités menées séparément par les organisations de la société civile et le secteur, ainsi qu’un résumé de la participation aux réunions du Groupe multipartite. De son côté, le gouvernement peut utiliser le rapport annuel d’avancement pour rendre compte de la manière dont l’ITIE a contribué aux dialogues nationaux, en examinant dans quelle mesure l’ITIE a été impliquée dans les débats </w:t>
      </w:r>
      <w:r>
        <w:rPr>
          <w:sz w:val="23"/>
          <w:lang w:val="fr-FR"/>
        </w:rPr>
        <w:lastRenderedPageBreak/>
        <w:t>législatifs et si elle a été mentionnée dans les documents de politique. Le rapport peut être ainsi utilisé pour déterminer s’il est nécessaire de renforcer ou de renouveler l’engagement politique</w:t>
      </w:r>
      <w:r>
        <w:rPr>
          <w:rFonts w:eastAsia="Calibri"/>
          <w:sz w:val="23"/>
          <w:lang w:val="fr-FR"/>
        </w:rPr>
        <w:t>.</w:t>
      </w:r>
    </w:p>
    <w:p w14:paraId="19C5BC47" w14:textId="77777777" w:rsidR="00104C78" w:rsidRDefault="00104C78" w:rsidP="00104C78">
      <w:pPr>
        <w:numPr>
          <w:ilvl w:val="0"/>
          <w:numId w:val="27"/>
        </w:numPr>
        <w:spacing w:before="120" w:after="60" w:line="240" w:lineRule="auto"/>
        <w:rPr>
          <w:rFonts w:eastAsia="Calibri"/>
          <w:color w:val="000000"/>
          <w:sz w:val="23"/>
          <w:lang w:val="fr-FR"/>
        </w:rPr>
      </w:pPr>
      <w:r>
        <w:rPr>
          <w:b/>
          <w:sz w:val="23"/>
          <w:lang w:val="fr-FR"/>
        </w:rPr>
        <w:t>Documenter l’impact</w:t>
      </w:r>
      <w:r>
        <w:rPr>
          <w:lang w:val="fr-FR"/>
        </w:rPr>
        <w:t> </w:t>
      </w:r>
      <w:r>
        <w:rPr>
          <w:sz w:val="23"/>
          <w:lang w:val="fr-FR"/>
        </w:rPr>
        <w:t>: le Groupe multipartite est tenu d’évaluer les résultats et l’impact de la mise en œuvre de l’ITIE sur la gouvernance des ressources naturelles (Exigence 7.4). Le rapport annuel d’avancement peut recourir au mode narratif pour présenter l’impact des résultats de la mise en œuvre de l’ITIE dans un pays donné. Les Rapports pourraient avoir mis en lumière d’importantes observations ou lacunes dans la façon dont le secteur est géré et avoir contribué aux débats politiques ou à des réformes, ou le processus ITIE pourrait avoir fourni aux parties prenantes une plateforme leur permettant de s’engager dans les discussions politiques. Le rapport annuel d’avancement est l’occasion pour les pays de documenter et de communiquer ces résultats, par exemple en fournissant un r</w:t>
      </w:r>
      <w:r>
        <w:rPr>
          <w:color w:val="000000"/>
          <w:sz w:val="23"/>
          <w:lang w:val="fr-FR"/>
        </w:rPr>
        <w:t>ésumé qui retrace clairement l’impact ou les résultats de la mise en œuvre de l’ITIE</w:t>
      </w:r>
      <w:r>
        <w:rPr>
          <w:rFonts w:eastAsia="Calibri"/>
          <w:color w:val="000000"/>
          <w:sz w:val="23"/>
          <w:lang w:val="fr-FR"/>
        </w:rPr>
        <w:t xml:space="preserve">. </w:t>
      </w:r>
    </w:p>
    <w:p w14:paraId="51D4B6E6" w14:textId="77777777" w:rsidR="00104C78" w:rsidRDefault="00104C78" w:rsidP="00104C78">
      <w:pPr>
        <w:spacing w:before="120" w:after="60" w:line="240" w:lineRule="auto"/>
        <w:ind w:left="360"/>
        <w:rPr>
          <w:rFonts w:eastAsia="Calibri"/>
          <w:color w:val="000000"/>
          <w:sz w:val="23"/>
          <w:lang w:val="fr-FR"/>
        </w:rPr>
      </w:pPr>
      <w:r>
        <w:rPr>
          <w:sz w:val="23"/>
          <w:lang w:val="fr-FR"/>
        </w:rPr>
        <w:t>Pour rendre compte de cet impact,</w:t>
      </w:r>
      <w:r>
        <w:rPr>
          <w:b/>
          <w:sz w:val="23"/>
          <w:lang w:val="fr-FR"/>
        </w:rPr>
        <w:t xml:space="preserve"> </w:t>
      </w:r>
      <w:r>
        <w:rPr>
          <w:sz w:val="23"/>
          <w:lang w:val="fr-FR"/>
        </w:rPr>
        <w:t xml:space="preserve">il </w:t>
      </w:r>
      <w:r>
        <w:rPr>
          <w:color w:val="000000"/>
          <w:sz w:val="23"/>
          <w:lang w:val="fr-FR"/>
        </w:rPr>
        <w:t>n’est pas nécessaire de mettre uniquement l’accent sur les changements opérés dans le processus ITIE, tels que de meilleurs systèmes de collecte des données pour les Rapports ITIE ; il est également possible de fouiller plus profondément pour montrer comment ces changements ont influé sur les réformes liées au secteur extractif et sur les citoyens ordinaires. Voici quelques questions types permettant d’évaluer l’impact de l’ITIE </w:t>
      </w:r>
      <w:r>
        <w:rPr>
          <w:rFonts w:eastAsia="Calibri"/>
          <w:color w:val="000000"/>
          <w:sz w:val="23"/>
          <w:lang w:val="fr-FR"/>
        </w:rPr>
        <w:t xml:space="preserve">: </w:t>
      </w:r>
    </w:p>
    <w:p w14:paraId="68797DDA" w14:textId="77777777" w:rsidR="00104C78" w:rsidRDefault="00104C78" w:rsidP="00104C78">
      <w:pPr>
        <w:numPr>
          <w:ilvl w:val="0"/>
          <w:numId w:val="28"/>
        </w:numPr>
        <w:spacing w:before="120" w:after="60" w:line="240" w:lineRule="auto"/>
        <w:contextualSpacing/>
        <w:rPr>
          <w:color w:val="000000"/>
          <w:sz w:val="23"/>
          <w:lang w:val="fr-FR"/>
        </w:rPr>
      </w:pPr>
      <w:r>
        <w:rPr>
          <w:color w:val="000000"/>
          <w:sz w:val="23"/>
          <w:lang w:val="fr-FR"/>
        </w:rPr>
        <w:t>En quoi l’ITIE a-t-elle contribué à instaurer la confiance au niveau politique et local dans le pays ?</w:t>
      </w:r>
    </w:p>
    <w:p w14:paraId="17DE0E68" w14:textId="77777777" w:rsidR="00104C78" w:rsidRDefault="00104C78" w:rsidP="00104C78">
      <w:pPr>
        <w:numPr>
          <w:ilvl w:val="0"/>
          <w:numId w:val="28"/>
        </w:numPr>
        <w:spacing w:before="120" w:after="60" w:line="240" w:lineRule="auto"/>
        <w:contextualSpacing/>
        <w:rPr>
          <w:color w:val="000000"/>
          <w:sz w:val="23"/>
          <w:lang w:val="fr-FR"/>
        </w:rPr>
      </w:pPr>
      <w:r>
        <w:rPr>
          <w:color w:val="000000"/>
          <w:sz w:val="23"/>
          <w:lang w:val="fr-FR"/>
        </w:rPr>
        <w:t xml:space="preserve">Comment l’ITIE s’y est-elle prise pour informer les citoyens et les autres parties prenantes à propos du processus de prise de décision dans leur secteur extractif (par exemple, en termes d’explications et </w:t>
      </w:r>
      <w:proofErr w:type="gramStart"/>
      <w:r>
        <w:rPr>
          <w:color w:val="000000"/>
          <w:sz w:val="23"/>
          <w:lang w:val="fr-FR"/>
        </w:rPr>
        <w:t>d’une visualisation claires</w:t>
      </w:r>
      <w:proofErr w:type="gramEnd"/>
      <w:r>
        <w:rPr>
          <w:color w:val="000000"/>
          <w:sz w:val="23"/>
          <w:lang w:val="fr-FR"/>
        </w:rPr>
        <w:t xml:space="preserve"> du processus qui a influé sur l’engagement des citoyens) ?</w:t>
      </w:r>
    </w:p>
    <w:p w14:paraId="3CDB6913" w14:textId="77777777" w:rsidR="00104C78" w:rsidRDefault="00104C78" w:rsidP="00104C78">
      <w:pPr>
        <w:spacing w:before="120" w:after="60" w:line="240" w:lineRule="auto"/>
        <w:ind w:left="1080"/>
        <w:contextualSpacing/>
        <w:rPr>
          <w:rFonts w:eastAsia="Calibri"/>
          <w:sz w:val="23"/>
          <w:lang w:val="fr-FR"/>
        </w:rPr>
      </w:pPr>
      <w:r>
        <w:rPr>
          <w:color w:val="000000"/>
          <w:sz w:val="23"/>
          <w:lang w:val="fr-FR"/>
        </w:rPr>
        <w:t>Quels progrès l’ITIE a-t-elle faits face aux principales difficultés rencontrées dans le secteur extractif du pays ?</w:t>
      </w:r>
    </w:p>
    <w:p w14:paraId="485AC7B5" w14:textId="77777777" w:rsidR="00104C78" w:rsidRDefault="00104C78" w:rsidP="00104C78">
      <w:pPr>
        <w:spacing w:before="120" w:after="60" w:line="240" w:lineRule="auto"/>
        <w:ind w:left="360"/>
        <w:rPr>
          <w:rFonts w:eastAsia="Calibri"/>
          <w:sz w:val="23"/>
          <w:lang w:val="fr-FR"/>
        </w:rPr>
      </w:pPr>
      <w:r>
        <w:rPr>
          <w:sz w:val="23"/>
          <w:lang w:val="fr-FR"/>
        </w:rPr>
        <w:t>Le rapport d’avancement du Secrétariat international de l’ITIE fournit des exemples d’impact dans certains pays : progrep.eiti.org/</w:t>
      </w:r>
      <w:proofErr w:type="spellStart"/>
      <w:r>
        <w:rPr>
          <w:sz w:val="23"/>
          <w:lang w:val="fr-FR"/>
        </w:rPr>
        <w:t>fr</w:t>
      </w:r>
      <w:proofErr w:type="spellEnd"/>
      <w:r>
        <w:rPr>
          <w:sz w:val="23"/>
          <w:lang w:val="fr-FR"/>
        </w:rPr>
        <w:t xml:space="preserve"> ou eiti.org/document/</w:t>
      </w:r>
      <w:proofErr w:type="spellStart"/>
      <w:r>
        <w:rPr>
          <w:sz w:val="23"/>
          <w:lang w:val="fr-FR"/>
        </w:rPr>
        <w:t>progress</w:t>
      </w:r>
      <w:proofErr w:type="spellEnd"/>
      <w:r>
        <w:rPr>
          <w:sz w:val="23"/>
          <w:lang w:val="fr-FR"/>
        </w:rPr>
        <w:t>-report (PDF).</w:t>
      </w:r>
    </w:p>
    <w:p w14:paraId="5DAC415F" w14:textId="77777777" w:rsidR="00104C78" w:rsidRDefault="00104C78" w:rsidP="00104C78">
      <w:pPr>
        <w:keepNext/>
        <w:keepLines/>
        <w:spacing w:before="200" w:after="240" w:line="240" w:lineRule="auto"/>
        <w:outlineLvl w:val="1"/>
        <w:rPr>
          <w:bCs/>
          <w:color w:val="007FBD"/>
          <w:sz w:val="28"/>
          <w:lang w:val="fr-FR"/>
        </w:rPr>
      </w:pPr>
      <w:r>
        <w:rPr>
          <w:b/>
          <w:color w:val="007FBD"/>
          <w:sz w:val="28"/>
          <w:lang w:val="fr-FR"/>
        </w:rPr>
        <w:t>Communiquer les conclusions du rapport annuel d’avancement</w:t>
      </w:r>
    </w:p>
    <w:p w14:paraId="3454B274" w14:textId="77777777" w:rsidR="00104C78" w:rsidRDefault="00104C78" w:rsidP="00104C78">
      <w:pPr>
        <w:numPr>
          <w:ilvl w:val="0"/>
          <w:numId w:val="27"/>
        </w:numPr>
        <w:spacing w:before="120" w:after="120" w:line="264" w:lineRule="auto"/>
        <w:ind w:left="357" w:hanging="357"/>
        <w:rPr>
          <w:rFonts w:eastAsia="Calibri"/>
          <w:sz w:val="23"/>
          <w:lang w:val="fr-FR"/>
        </w:rPr>
      </w:pPr>
      <w:r>
        <w:rPr>
          <w:b/>
          <w:sz w:val="23"/>
          <w:lang w:val="fr-FR"/>
        </w:rPr>
        <w:t>Sensibiliser les parties prenantes et les partenaires</w:t>
      </w:r>
      <w:r>
        <w:rPr>
          <w:lang w:val="fr-FR"/>
        </w:rPr>
        <w:t> </w:t>
      </w:r>
      <w:r>
        <w:rPr>
          <w:sz w:val="23"/>
          <w:lang w:val="fr-FR"/>
        </w:rPr>
        <w:t xml:space="preserve">: Le rapport annuel d’avancement peut aider à mettre en évidence et à documenter les différentes façons dont les parties prenantes et les partenaires peuvent utiliser l’ITIE. Il peut s’agir de parties prenantes au niveau national, telles que des représentants du gouvernement, des entreprises et des organisations de la société civile, ou de partenaires internationaux tels que les donateurs. Cela pourrait favoriser le soutien à la mise en œuvre des recommandations de l’ITIE. Aux Philippines, le rapport a été utilisé pour associer l’ITIE à des priorités de réformes plus vastes, comme l’aide aux administrations locales pour quantifier la contribution des sociétés minières et donc pour évaluer la valeur, l’impact et la désirabilité de l’activité minière dans la région. </w:t>
      </w:r>
      <w:r>
        <w:rPr>
          <w:b/>
          <w:sz w:val="23"/>
          <w:lang w:val="fr-FR"/>
        </w:rPr>
        <w:t>Consulter et impliquer les parties prenantes </w:t>
      </w:r>
      <w:r>
        <w:rPr>
          <w:sz w:val="23"/>
          <w:lang w:val="fr-FR"/>
        </w:rPr>
        <w:t xml:space="preserve">: le rapport annuel d’avancement peut servir de mécanisme de retour d’informations, permettant à l’ensemble des parties prenantes de faire part au Groupe multipartite des résultats et de l’impact actuels de l’ITIE dans le pays, et d’indiquer les questions qu’elles souhaitent voir figurer (ou non) à l’ordre du jour de l’ITIE dans le pays. Cela peut favoriser une meilleure appropriation du </w:t>
      </w:r>
      <w:r>
        <w:rPr>
          <w:sz w:val="23"/>
          <w:lang w:val="fr-FR"/>
        </w:rPr>
        <w:lastRenderedPageBreak/>
        <w:t>processus par les pays, une meilleure connaissance de l’ITIE et de son utilité en matière de gouvernance des ressources naturelles, et une plus forte redevabilité de la part des parties prenantes. Au Togo par exemple, une Assemblée de l’ITIE est tenue chaque année, au cours de laquelle les parties prenantes discutent du Rapport et de l’impact de l’ITIE dans le pays</w:t>
      </w:r>
      <w:r>
        <w:rPr>
          <w:rFonts w:eastAsia="Calibri"/>
          <w:sz w:val="23"/>
          <w:lang w:val="fr-FR"/>
        </w:rPr>
        <w:t>.</w:t>
      </w:r>
    </w:p>
    <w:p w14:paraId="304ED6EC" w14:textId="77777777" w:rsidR="00104C78" w:rsidRDefault="00104C78" w:rsidP="00104C78">
      <w:pPr>
        <w:autoSpaceDE w:val="0"/>
        <w:autoSpaceDN w:val="0"/>
        <w:adjustRightInd w:val="0"/>
        <w:spacing w:before="120" w:after="0" w:line="240" w:lineRule="auto"/>
        <w:rPr>
          <w:rFonts w:eastAsia="Calibri"/>
          <w:sz w:val="23"/>
          <w:lang w:val="fr-FR"/>
        </w:rPr>
      </w:pPr>
      <w:r>
        <w:rPr>
          <w:b/>
          <w:sz w:val="23"/>
          <w:lang w:val="fr-FR"/>
        </w:rPr>
        <w:t>Communiquer le rapport au grand public</w:t>
      </w:r>
      <w:r>
        <w:rPr>
          <w:lang w:val="fr-FR"/>
        </w:rPr>
        <w:t> :</w:t>
      </w:r>
      <w:r>
        <w:rPr>
          <w:sz w:val="23"/>
          <w:lang w:val="fr-FR"/>
        </w:rPr>
        <w:t xml:space="preserve"> diffuser le rapport en le publiant en ligne pourrait contribuer à accroître la sensibilisation en matière de transparence dans le secteur extractif et à faire connaître l’impact de l’ITIE. En République démocratique du Congo par exemple, le rapport annuel d’activité a servi à rendre compte des résultats concrets de la mise en œuvre de l’ITIE, notamment la création d’un cadastre en ligne pour le secteur minier, la publication des contrats et la divulgation de renseignements préliminaires concernant la propriété réelle. Il a également été utilisé pour mettre en évidence les réformes en cours, telles que les codes des hydrocarbures et des mines et la mise en place d’une commission chargée d’examiner les paiements effectués mensuellement à la banque centrale</w:t>
      </w:r>
      <w:r>
        <w:rPr>
          <w:rFonts w:eastAsia="Calibri"/>
          <w:sz w:val="23"/>
          <w:lang w:val="fr-FR"/>
        </w:rPr>
        <w:t xml:space="preserve">. </w:t>
      </w:r>
    </w:p>
    <w:p w14:paraId="5B97D9D9" w14:textId="77777777" w:rsidR="007355F4" w:rsidRPr="00104C78" w:rsidRDefault="007355F4" w:rsidP="002927AE">
      <w:pPr>
        <w:autoSpaceDE w:val="0"/>
        <w:autoSpaceDN w:val="0"/>
        <w:adjustRightInd w:val="0"/>
        <w:spacing w:before="120" w:after="0" w:line="240" w:lineRule="auto"/>
        <w:rPr>
          <w:rFonts w:eastAsia="Calibri" w:cs="Calibri"/>
          <w:sz w:val="23"/>
          <w:lang w:val="fr-FR"/>
        </w:rPr>
      </w:pPr>
    </w:p>
    <w:p w14:paraId="6B8D49EC" w14:textId="77777777" w:rsidR="002927AE" w:rsidRPr="002927AE" w:rsidRDefault="002927AE" w:rsidP="002927AE">
      <w:pPr>
        <w:keepNext/>
        <w:keepLines/>
        <w:numPr>
          <w:ilvl w:val="0"/>
          <w:numId w:val="24"/>
        </w:numPr>
        <w:spacing w:before="200" w:after="240" w:line="240" w:lineRule="auto"/>
        <w:outlineLvl w:val="0"/>
        <w:rPr>
          <w:b/>
          <w:bCs/>
          <w:sz w:val="32"/>
          <w:szCs w:val="26"/>
          <w:lang w:val="fr-FR"/>
        </w:rPr>
      </w:pPr>
      <w:r w:rsidRPr="002927AE">
        <w:rPr>
          <w:b/>
          <w:bCs/>
          <w:sz w:val="32"/>
          <w:szCs w:val="26"/>
          <w:lang w:val="fr-FR"/>
        </w:rPr>
        <w:t>Exemples d’anciens rapports annuels d’activité:</w:t>
      </w:r>
    </w:p>
    <w:p w14:paraId="2659D8C0" w14:textId="77777777" w:rsidR="002927AE" w:rsidRDefault="002927AE" w:rsidP="002927AE">
      <w:pPr>
        <w:autoSpaceDE w:val="0"/>
        <w:autoSpaceDN w:val="0"/>
        <w:adjustRightInd w:val="0"/>
        <w:spacing w:before="120" w:after="0" w:line="240" w:lineRule="auto"/>
        <w:rPr>
          <w:rFonts w:eastAsia="Calibri" w:cs="Calibri"/>
          <w:sz w:val="23"/>
          <w:lang w:val="fr-FR"/>
        </w:rPr>
      </w:pPr>
      <w:r>
        <w:rPr>
          <w:rFonts w:eastAsia="Calibri" w:cs="Calibri"/>
          <w:sz w:val="23"/>
          <w:lang w:val="fr-FR"/>
        </w:rPr>
        <w:t xml:space="preserve">Rapport annuel d’activité du Cameroun </w:t>
      </w:r>
      <w:r w:rsidRPr="002927AE">
        <w:rPr>
          <w:rFonts w:eastAsia="Calibri" w:cs="Calibri"/>
          <w:sz w:val="23"/>
          <w:lang w:val="fr-FR"/>
        </w:rPr>
        <w:t>2014</w:t>
      </w:r>
    </w:p>
    <w:p w14:paraId="5FDCF485" w14:textId="77777777" w:rsidR="002927AE" w:rsidRPr="002927AE" w:rsidRDefault="00913C7F" w:rsidP="002927AE">
      <w:pPr>
        <w:autoSpaceDE w:val="0"/>
        <w:autoSpaceDN w:val="0"/>
        <w:adjustRightInd w:val="0"/>
        <w:spacing w:before="120" w:after="0" w:line="240" w:lineRule="auto"/>
        <w:rPr>
          <w:rFonts w:eastAsia="Calibri" w:cs="Calibri"/>
          <w:sz w:val="23"/>
          <w:lang w:val="fr-FR"/>
        </w:rPr>
      </w:pPr>
      <w:hyperlink r:id="rId10" w:history="1">
        <w:r w:rsidR="002927AE" w:rsidRPr="002927AE">
          <w:rPr>
            <w:rFonts w:eastAsia="Calibri" w:cs="Calibri"/>
            <w:color w:val="0000FF"/>
            <w:sz w:val="23"/>
            <w:u w:val="single"/>
            <w:lang w:val="fr-FR"/>
          </w:rPr>
          <w:t>https://eiti.org/files/Cameroon/Cameroon-2014-AAR-s.pdf</w:t>
        </w:r>
      </w:hyperlink>
    </w:p>
    <w:p w14:paraId="3A9D8A0D" w14:textId="77777777" w:rsidR="002927AE" w:rsidRPr="002927AE" w:rsidRDefault="002927AE" w:rsidP="002927AE">
      <w:pPr>
        <w:autoSpaceDE w:val="0"/>
        <w:autoSpaceDN w:val="0"/>
        <w:adjustRightInd w:val="0"/>
        <w:spacing w:before="120" w:after="0" w:line="240" w:lineRule="auto"/>
        <w:rPr>
          <w:rFonts w:eastAsia="Calibri" w:cs="Calibri"/>
          <w:sz w:val="23"/>
          <w:lang w:val="fr-FR"/>
        </w:rPr>
      </w:pPr>
    </w:p>
    <w:p w14:paraId="48C5F89A" w14:textId="77777777" w:rsidR="002927AE" w:rsidRPr="002927AE" w:rsidRDefault="002927AE" w:rsidP="002927AE">
      <w:pPr>
        <w:autoSpaceDE w:val="0"/>
        <w:autoSpaceDN w:val="0"/>
        <w:adjustRightInd w:val="0"/>
        <w:spacing w:before="120" w:after="0" w:line="240" w:lineRule="auto"/>
        <w:rPr>
          <w:rFonts w:eastAsia="Calibri" w:cs="Calibri"/>
          <w:sz w:val="23"/>
          <w:lang w:val="fr-FR"/>
        </w:rPr>
      </w:pPr>
      <w:r>
        <w:rPr>
          <w:rFonts w:eastAsia="Calibri" w:cs="Calibri"/>
          <w:sz w:val="23"/>
          <w:lang w:val="fr-FR"/>
        </w:rPr>
        <w:t xml:space="preserve">Rapport annuel d’activité de la République démocratique du Congo </w:t>
      </w:r>
      <w:r w:rsidRPr="002927AE">
        <w:rPr>
          <w:rFonts w:eastAsia="Calibri" w:cs="Calibri"/>
          <w:sz w:val="23"/>
          <w:lang w:val="fr-FR"/>
        </w:rPr>
        <w:t xml:space="preserve">2014: </w:t>
      </w:r>
      <w:hyperlink r:id="rId11" w:history="1">
        <w:r w:rsidRPr="002927AE">
          <w:rPr>
            <w:rFonts w:eastAsia="Calibri" w:cs="Calibri"/>
            <w:color w:val="0000FF"/>
            <w:sz w:val="23"/>
            <w:u w:val="single"/>
            <w:lang w:val="fr-FR"/>
          </w:rPr>
          <w:t>https://eiti.org/files/drc_2014_aar.pdf</w:t>
        </w:r>
      </w:hyperlink>
      <w:r w:rsidRPr="002927AE">
        <w:rPr>
          <w:rFonts w:eastAsia="Calibri" w:cs="Calibri"/>
          <w:sz w:val="23"/>
          <w:lang w:val="fr-FR"/>
        </w:rPr>
        <w:t xml:space="preserve"> </w:t>
      </w:r>
    </w:p>
    <w:p w14:paraId="6DDF0AA7" w14:textId="77777777" w:rsidR="002927AE" w:rsidRPr="002927AE" w:rsidRDefault="002927AE" w:rsidP="002927AE">
      <w:pPr>
        <w:autoSpaceDE w:val="0"/>
        <w:autoSpaceDN w:val="0"/>
        <w:adjustRightInd w:val="0"/>
        <w:spacing w:before="120" w:after="0" w:line="240" w:lineRule="auto"/>
        <w:rPr>
          <w:rFonts w:eastAsia="Calibri" w:cs="Calibri"/>
          <w:sz w:val="23"/>
          <w:lang w:val="fr-FR"/>
        </w:rPr>
      </w:pPr>
      <w:r>
        <w:rPr>
          <w:rFonts w:eastAsia="Calibri" w:cs="Calibri"/>
          <w:sz w:val="23"/>
          <w:lang w:val="fr-FR"/>
        </w:rPr>
        <w:t xml:space="preserve">Rapport annuel d’activité du </w:t>
      </w:r>
      <w:r w:rsidRPr="002927AE">
        <w:rPr>
          <w:rFonts w:eastAsia="Calibri" w:cs="Calibri"/>
          <w:sz w:val="23"/>
          <w:lang w:val="fr-FR"/>
        </w:rPr>
        <w:t xml:space="preserve">Nigeria 2014: </w:t>
      </w:r>
      <w:hyperlink r:id="rId12" w:history="1">
        <w:r w:rsidRPr="002927AE">
          <w:rPr>
            <w:rFonts w:eastAsia="Calibri" w:cs="Calibri"/>
            <w:color w:val="0000FF"/>
            <w:sz w:val="23"/>
            <w:u w:val="single"/>
            <w:lang w:val="fr-FR"/>
          </w:rPr>
          <w:t>https://eiti.org/files/NEITI%20Annual%20Activity%20Report%202014.pdf</w:t>
        </w:r>
      </w:hyperlink>
      <w:r w:rsidRPr="002927AE">
        <w:rPr>
          <w:rFonts w:eastAsia="Calibri" w:cs="Calibri"/>
          <w:sz w:val="23"/>
          <w:lang w:val="fr-FR"/>
        </w:rPr>
        <w:t xml:space="preserve"> </w:t>
      </w:r>
    </w:p>
    <w:p w14:paraId="20A8994A" w14:textId="77777777" w:rsidR="002927AE" w:rsidRPr="002927AE" w:rsidRDefault="002927AE" w:rsidP="002927AE">
      <w:pPr>
        <w:autoSpaceDE w:val="0"/>
        <w:autoSpaceDN w:val="0"/>
        <w:adjustRightInd w:val="0"/>
        <w:spacing w:before="120" w:after="0" w:line="240" w:lineRule="auto"/>
        <w:rPr>
          <w:rFonts w:eastAsia="Calibri" w:cs="Calibri"/>
          <w:sz w:val="23"/>
          <w:lang w:val="fr-FR"/>
        </w:rPr>
      </w:pPr>
    </w:p>
    <w:p w14:paraId="7F0D5FA8" w14:textId="77777777" w:rsidR="002927AE" w:rsidRDefault="002927AE" w:rsidP="002927AE">
      <w:pPr>
        <w:autoSpaceDE w:val="0"/>
        <w:autoSpaceDN w:val="0"/>
        <w:adjustRightInd w:val="0"/>
        <w:spacing w:before="120" w:after="0" w:line="240" w:lineRule="auto"/>
        <w:rPr>
          <w:rFonts w:eastAsia="Calibri" w:cs="Calibri"/>
          <w:sz w:val="23"/>
          <w:lang w:val="fr-FR"/>
        </w:rPr>
      </w:pPr>
      <w:r>
        <w:rPr>
          <w:rFonts w:eastAsia="Calibri" w:cs="Calibri"/>
          <w:sz w:val="23"/>
          <w:lang w:val="fr-FR"/>
        </w:rPr>
        <w:t xml:space="preserve">Rapport annuel d’activité des Philippines </w:t>
      </w:r>
      <w:r w:rsidRPr="002927AE">
        <w:rPr>
          <w:rFonts w:eastAsia="Calibri" w:cs="Calibri"/>
          <w:sz w:val="23"/>
          <w:lang w:val="fr-FR"/>
        </w:rPr>
        <w:t>2014-2015</w:t>
      </w:r>
      <w:r>
        <w:rPr>
          <w:rFonts w:eastAsia="Calibri" w:cs="Calibri"/>
          <w:sz w:val="23"/>
          <w:lang w:val="fr-FR"/>
        </w:rPr>
        <w:t xml:space="preserve"> (en anglais)</w:t>
      </w:r>
      <w:r w:rsidRPr="002927AE">
        <w:rPr>
          <w:rFonts w:eastAsia="Calibri" w:cs="Calibri"/>
          <w:sz w:val="23"/>
          <w:lang w:val="fr-FR"/>
        </w:rPr>
        <w:t>:</w:t>
      </w:r>
    </w:p>
    <w:p w14:paraId="3F1B9D94" w14:textId="77777777" w:rsidR="002927AE" w:rsidRPr="002927AE" w:rsidRDefault="002927AE" w:rsidP="002927AE">
      <w:pPr>
        <w:autoSpaceDE w:val="0"/>
        <w:autoSpaceDN w:val="0"/>
        <w:adjustRightInd w:val="0"/>
        <w:spacing w:before="120" w:after="0" w:line="240" w:lineRule="auto"/>
        <w:rPr>
          <w:rFonts w:eastAsia="Calibri" w:cs="Calibri"/>
          <w:sz w:val="23"/>
          <w:lang w:val="fr-FR"/>
        </w:rPr>
      </w:pPr>
      <w:r w:rsidRPr="002927AE">
        <w:rPr>
          <w:rFonts w:eastAsia="Calibri" w:cs="Calibri"/>
          <w:sz w:val="23"/>
          <w:lang w:val="fr-FR"/>
        </w:rPr>
        <w:t xml:space="preserve"> </w:t>
      </w:r>
      <w:hyperlink r:id="rId13" w:history="1">
        <w:r w:rsidRPr="002927AE">
          <w:rPr>
            <w:rFonts w:eastAsia="Calibri" w:cs="Calibri"/>
            <w:color w:val="0000FF"/>
            <w:sz w:val="23"/>
            <w:u w:val="single"/>
            <w:lang w:val="fr-FR"/>
          </w:rPr>
          <w:t>http://www.ph-eiti.org/document/2015/07/06/2nd-PH-EITI-Annual-Activity-Report.pdf</w:t>
        </w:r>
      </w:hyperlink>
      <w:r w:rsidRPr="002927AE">
        <w:rPr>
          <w:rFonts w:eastAsia="Calibri" w:cs="Calibri"/>
          <w:sz w:val="23"/>
          <w:lang w:val="fr-FR"/>
        </w:rPr>
        <w:t xml:space="preserve"> </w:t>
      </w:r>
    </w:p>
    <w:p w14:paraId="2178FFD3" w14:textId="77777777" w:rsidR="002927AE" w:rsidRPr="002927AE" w:rsidRDefault="002927AE" w:rsidP="002927AE">
      <w:pPr>
        <w:autoSpaceDE w:val="0"/>
        <w:autoSpaceDN w:val="0"/>
        <w:adjustRightInd w:val="0"/>
        <w:spacing w:before="120" w:after="0" w:line="240" w:lineRule="auto"/>
        <w:rPr>
          <w:rFonts w:eastAsia="Calibri" w:cs="Calibri"/>
          <w:sz w:val="23"/>
          <w:lang w:val="fr-FR"/>
        </w:rPr>
      </w:pPr>
    </w:p>
    <w:p w14:paraId="39FAF8F3" w14:textId="77777777" w:rsidR="002927AE" w:rsidRPr="002927AE" w:rsidRDefault="002927AE" w:rsidP="002927AE">
      <w:pPr>
        <w:autoSpaceDE w:val="0"/>
        <w:autoSpaceDN w:val="0"/>
        <w:adjustRightInd w:val="0"/>
        <w:spacing w:before="120" w:after="0" w:line="240" w:lineRule="auto"/>
        <w:rPr>
          <w:rFonts w:eastAsia="Calibri" w:cs="Calibri"/>
          <w:sz w:val="23"/>
          <w:lang w:val="fr-FR"/>
        </w:rPr>
      </w:pPr>
      <w:r w:rsidRPr="002927AE">
        <w:rPr>
          <w:rFonts w:eastAsia="Calibri" w:cs="Calibri"/>
          <w:sz w:val="23"/>
          <w:lang w:val="fr-FR"/>
        </w:rPr>
        <w:t xml:space="preserve">Rapport annuel d’activité de Sao Tome </w:t>
      </w:r>
      <w:r>
        <w:rPr>
          <w:rFonts w:eastAsia="Calibri" w:cs="Calibri"/>
          <w:sz w:val="23"/>
          <w:lang w:val="fr-FR"/>
        </w:rPr>
        <w:t>et</w:t>
      </w:r>
      <w:r w:rsidRPr="002927AE">
        <w:rPr>
          <w:rFonts w:eastAsia="Calibri" w:cs="Calibri"/>
          <w:sz w:val="23"/>
          <w:lang w:val="fr-FR"/>
        </w:rPr>
        <w:t xml:space="preserve"> Principe 2014 (</w:t>
      </w:r>
      <w:r>
        <w:rPr>
          <w:rFonts w:eastAsia="Calibri" w:cs="Calibri"/>
          <w:sz w:val="23"/>
          <w:lang w:val="fr-FR"/>
        </w:rPr>
        <w:t>en portugais</w:t>
      </w:r>
      <w:r w:rsidRPr="002927AE">
        <w:rPr>
          <w:rFonts w:eastAsia="Calibri" w:cs="Calibri"/>
          <w:sz w:val="23"/>
          <w:lang w:val="fr-FR"/>
        </w:rPr>
        <w:t xml:space="preserve">): </w:t>
      </w:r>
      <w:hyperlink r:id="rId14" w:history="1">
        <w:r w:rsidRPr="002927AE">
          <w:rPr>
            <w:rFonts w:eastAsia="Calibri" w:cs="Calibri"/>
            <w:color w:val="0000FF"/>
            <w:sz w:val="23"/>
            <w:u w:val="single"/>
            <w:lang w:val="fr-FR"/>
          </w:rPr>
          <w:t>https://eiti.org/files/RELATORIO%20ACTIVIDADES%202014.pdf</w:t>
        </w:r>
      </w:hyperlink>
    </w:p>
    <w:p w14:paraId="6C2D5E10" w14:textId="77777777" w:rsidR="002927AE" w:rsidRPr="002927AE" w:rsidRDefault="002927AE" w:rsidP="002927AE">
      <w:pPr>
        <w:autoSpaceDE w:val="0"/>
        <w:autoSpaceDN w:val="0"/>
        <w:adjustRightInd w:val="0"/>
        <w:spacing w:before="120" w:after="0" w:line="240" w:lineRule="auto"/>
        <w:rPr>
          <w:rFonts w:eastAsia="Calibri" w:cs="Calibri"/>
          <w:sz w:val="23"/>
          <w:lang w:val="fr-FR"/>
        </w:rPr>
      </w:pPr>
    </w:p>
    <w:p w14:paraId="237E7936" w14:textId="77777777" w:rsidR="002927AE" w:rsidRDefault="002927AE" w:rsidP="002927AE">
      <w:pPr>
        <w:autoSpaceDE w:val="0"/>
        <w:autoSpaceDN w:val="0"/>
        <w:adjustRightInd w:val="0"/>
        <w:spacing w:before="120" w:after="0" w:line="240" w:lineRule="auto"/>
        <w:rPr>
          <w:rFonts w:eastAsia="Calibri" w:cs="Calibri"/>
          <w:sz w:val="23"/>
          <w:lang w:val="fr-FR"/>
        </w:rPr>
      </w:pPr>
      <w:r w:rsidRPr="002927AE">
        <w:rPr>
          <w:rFonts w:eastAsia="Calibri" w:cs="Calibri"/>
          <w:sz w:val="23"/>
          <w:lang w:val="fr-FR"/>
        </w:rPr>
        <w:t>Rapport annuel d’activité des Etats-Unis 2014:</w:t>
      </w:r>
    </w:p>
    <w:p w14:paraId="45FCC796" w14:textId="77777777" w:rsidR="002927AE" w:rsidRPr="002927AE" w:rsidRDefault="002927AE" w:rsidP="002927AE">
      <w:pPr>
        <w:autoSpaceDE w:val="0"/>
        <w:autoSpaceDN w:val="0"/>
        <w:adjustRightInd w:val="0"/>
        <w:spacing w:before="120" w:after="0" w:line="240" w:lineRule="auto"/>
        <w:rPr>
          <w:rFonts w:eastAsia="Calibri" w:cs="Calibri"/>
          <w:sz w:val="23"/>
          <w:lang w:val="fr-FR"/>
        </w:rPr>
      </w:pPr>
      <w:r w:rsidRPr="002927AE">
        <w:rPr>
          <w:rFonts w:eastAsia="Calibri" w:cs="Calibri"/>
          <w:sz w:val="23"/>
          <w:lang w:val="fr-FR"/>
        </w:rPr>
        <w:t xml:space="preserve"> </w:t>
      </w:r>
      <w:hyperlink r:id="rId15" w:history="1">
        <w:r w:rsidRPr="002927AE">
          <w:rPr>
            <w:rFonts w:eastAsia="Calibri" w:cs="Calibri"/>
            <w:color w:val="0000FF"/>
            <w:sz w:val="23"/>
            <w:u w:val="single"/>
            <w:lang w:val="fr-FR"/>
          </w:rPr>
          <w:t>https://eiti.org/files/usa_2014_annual_activity_report_aar.pdf</w:t>
        </w:r>
      </w:hyperlink>
    </w:p>
    <w:p w14:paraId="0D819D76" w14:textId="77777777" w:rsidR="00DE2EA3" w:rsidRPr="002927AE" w:rsidRDefault="00DE2EA3" w:rsidP="002927AE">
      <w:pPr>
        <w:pStyle w:val="Heading1"/>
        <w:rPr>
          <w:rFonts w:ascii="Myriad Pro" w:hAnsi="Myriad Pro"/>
          <w:sz w:val="20"/>
          <w:szCs w:val="20"/>
          <w:lang w:val="fr-FR"/>
        </w:rPr>
      </w:pPr>
    </w:p>
    <w:sectPr w:rsidR="00DE2EA3" w:rsidRPr="002927AE" w:rsidSect="00864D08">
      <w:headerReference w:type="even" r:id="rId16"/>
      <w:headerReference w:type="default" r:id="rId17"/>
      <w:footerReference w:type="even" r:id="rId18"/>
      <w:footerReference w:type="default" r:id="rId19"/>
      <w:headerReference w:type="first" r:id="rId20"/>
      <w:footerReference w:type="first" r:id="rId21"/>
      <w:pgSz w:w="11906" w:h="16838"/>
      <w:pgMar w:top="784" w:right="1274" w:bottom="720" w:left="1134" w:header="1077"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5A09" w14:textId="77777777" w:rsidR="00116FCD" w:rsidRDefault="00116FCD">
      <w:pPr>
        <w:spacing w:after="0" w:line="240" w:lineRule="auto"/>
        <w:rPr>
          <w:lang w:val="fr-BE"/>
        </w:rPr>
      </w:pPr>
      <w:r>
        <w:rPr>
          <w:lang w:val="fr-BE"/>
        </w:rPr>
        <w:separator/>
      </w:r>
    </w:p>
  </w:endnote>
  <w:endnote w:type="continuationSeparator" w:id="0">
    <w:p w14:paraId="68B5974C" w14:textId="77777777" w:rsidR="00116FCD" w:rsidRDefault="00116FCD">
      <w:pPr>
        <w:spacing w:after="0" w:line="240" w:lineRule="auto"/>
        <w:rPr>
          <w:lang w:val="fr-BE"/>
        </w:rPr>
      </w:pPr>
      <w:r>
        <w:rPr>
          <w:lang w:val="fr-B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SemiCond">
    <w:altName w:val="Segoe UI"/>
    <w:charset w:val="00"/>
    <w:family w:val="auto"/>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Segoe UI Light"/>
    <w:charset w:val="00"/>
    <w:family w:val="auto"/>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694F" w14:textId="77777777" w:rsidR="00116FCD" w:rsidRDefault="00116FCD">
    <w:pPr>
      <w:pStyle w:val="Footer"/>
      <w:framePr w:wrap="around" w:vAnchor="text" w:hAnchor="margin" w:xAlign="right" w:y="1"/>
      <w:rPr>
        <w:rStyle w:val="PageNumber"/>
        <w:lang w:val="fr-BE"/>
      </w:rPr>
    </w:pPr>
    <w:r>
      <w:rPr>
        <w:rStyle w:val="PageNumber"/>
        <w:lang w:val="fr-BE"/>
      </w:rPr>
      <w:fldChar w:fldCharType="begin"/>
    </w:r>
    <w:r>
      <w:rPr>
        <w:rStyle w:val="PageNumber"/>
        <w:lang w:val="fr-BE"/>
      </w:rPr>
      <w:instrText xml:space="preserve">PAGE  </w:instrText>
    </w:r>
    <w:r>
      <w:rPr>
        <w:rStyle w:val="PageNumber"/>
        <w:lang w:val="fr-BE"/>
      </w:rPr>
      <w:fldChar w:fldCharType="end"/>
    </w:r>
  </w:p>
  <w:p w14:paraId="3CC8D4A4" w14:textId="77777777" w:rsidR="00116FCD" w:rsidRDefault="00116FCD">
    <w:pPr>
      <w:pStyle w:val="Footer"/>
      <w:ind w:right="360"/>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74F0" w14:textId="60739EB0" w:rsidR="00116FCD" w:rsidRPr="00116FCD" w:rsidRDefault="00116FCD">
    <w:pPr>
      <w:pStyle w:val="Footer"/>
      <w:ind w:right="360"/>
      <w:rPr>
        <w:color w:val="808080"/>
        <w:lang w:val="fr-BE"/>
      </w:rPr>
    </w:pPr>
    <w:r w:rsidRPr="00116FCD">
      <w:rPr>
        <w:color w:val="808080"/>
        <w:lang w:val="fr-BE"/>
      </w:rPr>
      <w:t>___________________________________________________________________________________</w:t>
    </w:r>
  </w:p>
  <w:p w14:paraId="14F5827C" w14:textId="77777777" w:rsidR="002231EC" w:rsidRPr="00E05851" w:rsidRDefault="002231EC" w:rsidP="002231EC">
    <w:pPr>
      <w:pStyle w:val="Footer"/>
      <w:framePr w:w="355" w:h="360" w:hRule="exact" w:wrap="around" w:vAnchor="text" w:hAnchor="page" w:x="10135" w:y="205"/>
      <w:rPr>
        <w:rStyle w:val="PageNumber"/>
        <w:color w:val="0076AF"/>
        <w:sz w:val="24"/>
        <w:szCs w:val="24"/>
        <w:lang w:val="fr-BE"/>
      </w:rPr>
    </w:pPr>
    <w:r w:rsidRPr="00E05851">
      <w:rPr>
        <w:rStyle w:val="PageNumber"/>
        <w:color w:val="0076AF"/>
        <w:sz w:val="24"/>
        <w:szCs w:val="24"/>
        <w:lang w:val="fr-BE"/>
      </w:rPr>
      <w:fldChar w:fldCharType="begin"/>
    </w:r>
    <w:r w:rsidRPr="00E05851">
      <w:rPr>
        <w:rStyle w:val="PageNumber"/>
        <w:color w:val="0076AF"/>
        <w:sz w:val="24"/>
        <w:szCs w:val="24"/>
        <w:lang w:val="fr-BE"/>
      </w:rPr>
      <w:instrText xml:space="preserve">PAGE  </w:instrText>
    </w:r>
    <w:r w:rsidRPr="00E05851">
      <w:rPr>
        <w:rStyle w:val="PageNumber"/>
        <w:color w:val="0076AF"/>
        <w:sz w:val="24"/>
        <w:szCs w:val="24"/>
        <w:lang w:val="fr-BE"/>
      </w:rPr>
      <w:fldChar w:fldCharType="separate"/>
    </w:r>
    <w:r>
      <w:rPr>
        <w:rStyle w:val="PageNumber"/>
        <w:noProof/>
        <w:color w:val="0076AF"/>
        <w:sz w:val="24"/>
        <w:szCs w:val="24"/>
        <w:lang w:val="fr-BE"/>
      </w:rPr>
      <w:t>10</w:t>
    </w:r>
    <w:r w:rsidRPr="00E05851">
      <w:rPr>
        <w:rStyle w:val="PageNumber"/>
        <w:color w:val="0076AF"/>
        <w:sz w:val="24"/>
        <w:szCs w:val="24"/>
        <w:lang w:val="fr-BE"/>
      </w:rPr>
      <w:fldChar w:fldCharType="end"/>
    </w:r>
  </w:p>
  <w:p w14:paraId="24EDF1CE" w14:textId="016CDE0D" w:rsidR="00116FCD" w:rsidRPr="00116FCD" w:rsidRDefault="00F40E2E">
    <w:pPr>
      <w:pStyle w:val="Footer"/>
      <w:ind w:right="360"/>
      <w:rPr>
        <w:color w:val="0076AF"/>
        <w:sz w:val="18"/>
        <w:szCs w:val="18"/>
        <w:lang w:val="fr-BE"/>
      </w:rPr>
    </w:pPr>
    <w:r>
      <w:rPr>
        <w:sz w:val="18"/>
        <w:szCs w:val="18"/>
        <w:lang w:val="fr-BE"/>
      </w:rPr>
      <w:br/>
    </w:r>
    <w:r w:rsidR="00116FCD" w:rsidRPr="00116FCD">
      <w:rPr>
        <w:sz w:val="18"/>
        <w:szCs w:val="18"/>
        <w:lang w:val="fr-BE"/>
      </w:rPr>
      <w:t xml:space="preserve">Site Internet </w:t>
    </w:r>
    <w:r w:rsidR="00116FCD" w:rsidRPr="00116FCD">
      <w:rPr>
        <w:color w:val="0076AF"/>
        <w:sz w:val="18"/>
        <w:szCs w:val="18"/>
        <w:lang w:val="fr-BE"/>
      </w:rPr>
      <w:t>www.eiti.org</w:t>
    </w:r>
    <w:r w:rsidR="00116FCD" w:rsidRPr="00116FCD">
      <w:rPr>
        <w:color w:val="000000"/>
        <w:sz w:val="18"/>
        <w:szCs w:val="18"/>
        <w:lang w:val="fr-BE"/>
      </w:rPr>
      <w:t xml:space="preserve"> Email </w:t>
    </w:r>
    <w:r w:rsidR="00116FCD" w:rsidRPr="00116FCD">
      <w:rPr>
        <w:color w:val="0076AF"/>
        <w:sz w:val="18"/>
        <w:szCs w:val="18"/>
        <w:lang w:val="fr-BE"/>
      </w:rPr>
      <w:t>secretariat@eiti.org</w:t>
    </w:r>
    <w:r w:rsidR="00116FCD" w:rsidRPr="00116FCD">
      <w:rPr>
        <w:color w:val="000000"/>
        <w:sz w:val="18"/>
        <w:szCs w:val="18"/>
        <w:lang w:val="fr-BE"/>
      </w:rPr>
      <w:t xml:space="preserve"> Téléphone </w:t>
    </w:r>
    <w:r w:rsidR="00116FCD" w:rsidRPr="00116FCD">
      <w:rPr>
        <w:color w:val="0076AF"/>
        <w:sz w:val="18"/>
        <w:szCs w:val="18"/>
        <w:lang w:val="fr-BE"/>
      </w:rPr>
      <w:t>+47 22 20 08  00</w:t>
    </w:r>
    <w:r w:rsidR="00116FCD" w:rsidRPr="00116FCD">
      <w:rPr>
        <w:color w:val="000000"/>
        <w:sz w:val="18"/>
        <w:szCs w:val="18"/>
        <w:lang w:val="fr-BE"/>
      </w:rPr>
      <w:t xml:space="preserve"> Fax </w:t>
    </w:r>
    <w:r w:rsidR="00116FCD" w:rsidRPr="00116FCD">
      <w:rPr>
        <w:color w:val="0076AF"/>
        <w:sz w:val="18"/>
        <w:szCs w:val="18"/>
        <w:lang w:val="fr-BE"/>
      </w:rPr>
      <w:t>+47 22 83 08 02</w:t>
    </w:r>
  </w:p>
  <w:p w14:paraId="22EB5109" w14:textId="3890824A" w:rsidR="00116FCD" w:rsidRDefault="00116FCD" w:rsidP="00116FCD">
    <w:pPr>
      <w:pStyle w:val="Footer"/>
      <w:ind w:right="360"/>
      <w:rPr>
        <w:color w:val="0076AF"/>
        <w:sz w:val="18"/>
        <w:szCs w:val="18"/>
        <w:lang w:val="fr-BE"/>
      </w:rPr>
    </w:pPr>
    <w:r w:rsidRPr="00116FCD">
      <w:rPr>
        <w:sz w:val="18"/>
        <w:szCs w:val="18"/>
        <w:lang w:val="fr-BE"/>
      </w:rPr>
      <w:t xml:space="preserve">Adresse </w:t>
    </w:r>
    <w:r w:rsidRPr="00116FCD">
      <w:rPr>
        <w:color w:val="0076AF"/>
        <w:sz w:val="18"/>
        <w:szCs w:val="18"/>
        <w:lang w:val="fr-BE"/>
      </w:rPr>
      <w:t>Secrétariat de l'ITIE, Ruseløkkveien 26, 0251 Oslo, Norvège</w:t>
    </w:r>
  </w:p>
  <w:p w14:paraId="6FF55112" w14:textId="77777777" w:rsidR="00116FCD" w:rsidRDefault="00116FCD">
    <w:pPr>
      <w:pStyle w:val="Footer"/>
      <w:ind w:right="360"/>
      <w:jc w:val="right"/>
      <w:rPr>
        <w:lang w:val="fr-BE"/>
      </w:rPr>
    </w:pPr>
  </w:p>
  <w:p w14:paraId="14858B73" w14:textId="77777777" w:rsidR="00116FCD" w:rsidRDefault="00116FCD">
    <w:pPr>
      <w:pStyle w:val="Footer"/>
      <w:ind w:right="360"/>
      <w:jc w:val="right"/>
      <w:rPr>
        <w:lang w:val="fr-BE"/>
      </w:rPr>
    </w:pPr>
  </w:p>
  <w:p w14:paraId="624374B2" w14:textId="77777777" w:rsidR="00116FCD" w:rsidRDefault="00116FCD">
    <w:pPr>
      <w:pStyle w:val="Footer"/>
      <w:ind w:right="360"/>
      <w:jc w:val="righ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A7C1" w14:textId="77777777" w:rsidR="002231EC" w:rsidRDefault="0022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74C9" w14:textId="77777777" w:rsidR="00116FCD" w:rsidRDefault="00116FCD">
      <w:pPr>
        <w:spacing w:after="0" w:line="240" w:lineRule="auto"/>
        <w:rPr>
          <w:lang w:val="fr-BE"/>
        </w:rPr>
      </w:pPr>
      <w:r>
        <w:rPr>
          <w:lang w:val="fr-BE"/>
        </w:rPr>
        <w:separator/>
      </w:r>
    </w:p>
  </w:footnote>
  <w:footnote w:type="continuationSeparator" w:id="0">
    <w:p w14:paraId="5ACAEB31" w14:textId="77777777" w:rsidR="00116FCD" w:rsidRDefault="00116FCD">
      <w:pPr>
        <w:spacing w:after="0" w:line="240" w:lineRule="auto"/>
        <w:rPr>
          <w:lang w:val="fr-BE"/>
        </w:rPr>
      </w:pPr>
      <w:r>
        <w:rPr>
          <w:lang w:val="fr-BE"/>
        </w:rPr>
        <w:continuationSeparator/>
      </w:r>
    </w:p>
  </w:footnote>
  <w:footnote w:id="1">
    <w:p w14:paraId="26AF9220" w14:textId="77777777" w:rsidR="00116FCD" w:rsidRDefault="00116FCD" w:rsidP="00104C78">
      <w:pPr>
        <w:pStyle w:val="FootnoteText"/>
        <w:rPr>
          <w:lang w:val="fr-FR"/>
        </w:rPr>
      </w:pPr>
      <w:r>
        <w:rPr>
          <w:rStyle w:val="FootnoteReference"/>
        </w:rPr>
        <w:footnoteRef/>
      </w:r>
      <w:r>
        <w:rPr>
          <w:lang w:val="fr-FR"/>
        </w:rPr>
        <w:t xml:space="preserve"> Avec l’adoption des modifications apportées à la Norme ITIE en février 2016, le rapport annuel d’activité a été renommé rapport annuel </w:t>
      </w:r>
      <w:r>
        <w:rPr>
          <w:i/>
          <w:lang w:val="fr-FR"/>
        </w:rPr>
        <w:t xml:space="preserve">d’avancement, </w:t>
      </w:r>
      <w:r>
        <w:rPr>
          <w:lang w:val="fr-FR"/>
        </w:rPr>
        <w:t>afin que l’accent soit davantage mis sur les résultats et l’impact plutôt que sur les activités.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C949" w14:textId="77777777" w:rsidR="002231EC" w:rsidRDefault="00223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DB10" w14:textId="77777777" w:rsidR="00116FCD" w:rsidRDefault="00116FCD" w:rsidP="00244DA9">
    <w:pPr>
      <w:rPr>
        <w:i/>
        <w:iCs/>
        <w:color w:val="808080"/>
        <w:sz w:val="20"/>
        <w:szCs w:val="20"/>
        <w:lang w:val="en-US"/>
      </w:rPr>
    </w:pPr>
    <w:r>
      <w:rPr>
        <w:rFonts w:ascii="Arial" w:hAnsi="Arial"/>
        <w:i/>
        <w:noProof/>
        <w:lang w:val="en-US"/>
      </w:rPr>
      <mc:AlternateContent>
        <mc:Choice Requires="wpg">
          <w:drawing>
            <wp:anchor distT="0" distB="0" distL="114300" distR="114300" simplePos="0" relativeHeight="251666432" behindDoc="0" locked="0" layoutInCell="1" allowOverlap="1" wp14:anchorId="7A46D9ED" wp14:editId="0B23473F">
              <wp:simplePos x="0" y="0"/>
              <wp:positionH relativeFrom="column">
                <wp:posOffset>0</wp:posOffset>
              </wp:positionH>
              <wp:positionV relativeFrom="paragraph">
                <wp:posOffset>45720</wp:posOffset>
              </wp:positionV>
              <wp:extent cx="6057900" cy="158750"/>
              <wp:effectExtent l="0" t="0" r="12700" b="0"/>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40"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41" name="Rektangel 3"/>
                      <wps:cNvSpPr>
                        <a:spLocks noChangeArrowheads="1"/>
                      </wps:cNvSpPr>
                      <wps:spPr bwMode="auto">
                        <a:xfrm>
                          <a:off x="2346" y="1230"/>
                          <a:ext cx="910" cy="208"/>
                        </a:xfrm>
                        <a:prstGeom prst="rect">
                          <a:avLst/>
                        </a:prstGeom>
                        <a:solidFill>
                          <a:srgbClr val="56ADD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BBB5F" id="Group 15" o:spid="_x0000_s1026" style="position:absolute;margin-left:0;margin-top:3.6pt;width:477pt;height:12.5pt;z-index:251666432"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" fillcolor="#0076af" stroked="f"/>
              <v:rect id="Rektangel 3" o:spid="_x0000_s1028" style="position:absolute;left:2346;top:1230;width:91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" fillcolor="#56add6" stroked="f"/>
            </v:group>
          </w:pict>
        </mc:Fallback>
      </mc:AlternateContent>
    </w:r>
  </w:p>
  <w:p w14:paraId="79DFDCF6" w14:textId="30DB4355" w:rsidR="00116FCD" w:rsidRPr="005A27EA" w:rsidRDefault="00116FCD" w:rsidP="00244DA9">
    <w:pPr>
      <w:tabs>
        <w:tab w:val="right" w:pos="9498"/>
      </w:tabs>
      <w:rPr>
        <w:rFonts w:ascii="Myriad Pro Light" w:hAnsi="Myriad Pro Light"/>
        <w:color w:val="FF0000"/>
        <w:sz w:val="36"/>
      </w:rPr>
    </w:pPr>
    <w:r w:rsidRPr="00244DA9">
      <w:rPr>
        <w:iCs/>
        <w:color w:val="808080"/>
        <w:sz w:val="20"/>
        <w:szCs w:val="20"/>
        <w:lang w:val="fr-BE"/>
      </w:rPr>
      <w:t>Note d’orientation 5</w:t>
    </w:r>
    <w:r>
      <w:rPr>
        <w:i/>
        <w:iCs/>
        <w:color w:val="808080"/>
        <w:sz w:val="20"/>
        <w:szCs w:val="20"/>
        <w:lang w:val="en-US"/>
      </w:rPr>
      <w:tab/>
    </w:r>
    <w:r w:rsidRPr="00244DA9">
      <w:rPr>
        <w:iCs/>
        <w:color w:val="808080"/>
        <w:sz w:val="20"/>
        <w:szCs w:val="20"/>
        <w:lang w:val="fr-BE"/>
      </w:rPr>
      <w:t>mise à jour avril 2016</w:t>
    </w:r>
  </w:p>
  <w:p w14:paraId="41D3FC0C" w14:textId="1BC6E963" w:rsidR="00116FCD" w:rsidRPr="00244DA9" w:rsidRDefault="00116FCD" w:rsidP="00244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53B6" w14:textId="67B90A33" w:rsidR="00116FCD" w:rsidRDefault="00116FCD" w:rsidP="00864D08">
    <w:pPr>
      <w:spacing w:after="0"/>
      <w:jc w:val="right"/>
      <w:rPr>
        <w:rFonts w:ascii="Arial" w:hAnsi="Arial"/>
        <w:i/>
        <w:iCs/>
        <w:color w:val="808080"/>
        <w:sz w:val="20"/>
        <w:szCs w:val="20"/>
        <w:lang w:val="en-US"/>
      </w:rPr>
    </w:pPr>
    <w:r>
      <w:rPr>
        <w:rFonts w:ascii="Arial" w:hAnsi="Arial"/>
        <w:i/>
        <w:noProof/>
        <w:lang w:val="en-US"/>
      </w:rPr>
      <mc:AlternateContent>
        <mc:Choice Requires="wpg">
          <w:drawing>
            <wp:anchor distT="0" distB="0" distL="114300" distR="114300" simplePos="0" relativeHeight="251663360" behindDoc="0" locked="0" layoutInCell="1" allowOverlap="1" wp14:anchorId="6DE89BF3" wp14:editId="40C93725">
              <wp:simplePos x="0" y="0"/>
              <wp:positionH relativeFrom="column">
                <wp:posOffset>0</wp:posOffset>
              </wp:positionH>
              <wp:positionV relativeFrom="paragraph">
                <wp:posOffset>623570</wp:posOffset>
              </wp:positionV>
              <wp:extent cx="6057900" cy="158750"/>
              <wp:effectExtent l="0" t="0" r="12700" b="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10"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11"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68218" id="Group 15" o:spid="_x0000_s1026" style="position:absolute;margin-left:0;margin-top:49.1pt;width:477pt;height:12.5pt;z-index:251663360"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" fillcolor="#0076af" stroked="f"/>
              <v:rect id="Rektangel 3" o:spid="_x0000_s1028" style="position:absolute;left:2298;top:1230;width:75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" fillcolor="#56add6" stroked="f"/>
            </v:group>
          </w:pict>
        </mc:Fallback>
      </mc:AlternateContent>
    </w:r>
    <w:r w:rsidRPr="00CB024C">
      <w:rPr>
        <w:sz w:val="28"/>
        <w:szCs w:val="28"/>
        <w:lang w:val="fr-BE"/>
      </w:rPr>
      <w:t>Note d’orientation 5</w:t>
    </w:r>
    <w:r>
      <w:rPr>
        <w:sz w:val="28"/>
        <w:szCs w:val="28"/>
        <w:lang w:val="fr-BE"/>
      </w:rPr>
      <w:br/>
    </w:r>
    <w:r>
      <w:rPr>
        <w:noProof/>
        <w:lang w:val="en-US"/>
      </w:rPr>
      <w:drawing>
        <wp:anchor distT="0" distB="0" distL="114300" distR="114300" simplePos="0" relativeHeight="251664384" behindDoc="1" locked="0" layoutInCell="1" allowOverlap="1" wp14:anchorId="7A10D5C2" wp14:editId="72E574A6">
          <wp:simplePos x="0" y="0"/>
          <wp:positionH relativeFrom="page">
            <wp:posOffset>720090</wp:posOffset>
          </wp:positionH>
          <wp:positionV relativeFrom="page">
            <wp:posOffset>558165</wp:posOffset>
          </wp:positionV>
          <wp:extent cx="2485593" cy="508635"/>
          <wp:effectExtent l="0" t="0" r="3810" b="0"/>
          <wp:wrapNone/>
          <wp:docPr id="12" name="Picture 12"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692" cy="5086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8"/>
        <w:szCs w:val="32"/>
      </w:rPr>
      <w:tab/>
    </w:r>
    <w:r>
      <w:rPr>
        <w:color w:val="000000"/>
        <w:sz w:val="28"/>
        <w:szCs w:val="32"/>
      </w:rPr>
      <w:tab/>
    </w:r>
    <w:r w:rsidRPr="00C12136">
      <w:rPr>
        <w:color w:val="008BAB"/>
        <w:sz w:val="28"/>
        <w:szCs w:val="32"/>
        <w:lang w:val="fr-BE"/>
      </w:rPr>
      <w:t>mise à jour avril 2016</w:t>
    </w:r>
    <w:r>
      <w:rPr>
        <w:color w:val="000000"/>
        <w:sz w:val="28"/>
        <w:szCs w:val="32"/>
      </w:rPr>
      <w:br/>
    </w:r>
  </w:p>
  <w:p w14:paraId="7FAB375E" w14:textId="77777777" w:rsidR="00116FCD" w:rsidRDefault="00116FCD" w:rsidP="00864D08">
    <w:pPr>
      <w:tabs>
        <w:tab w:val="left" w:pos="3800"/>
        <w:tab w:val="right" w:pos="9498"/>
      </w:tabs>
      <w:rPr>
        <w:i/>
        <w:iCs/>
        <w:color w:val="808080"/>
        <w:sz w:val="20"/>
        <w:szCs w:val="20"/>
        <w:lang w:val="fr-BE"/>
      </w:rPr>
    </w:pPr>
  </w:p>
  <w:p w14:paraId="66781193" w14:textId="77777777" w:rsidR="00116FCD" w:rsidRDefault="00116FCD" w:rsidP="00864D08">
    <w:pPr>
      <w:tabs>
        <w:tab w:val="left" w:pos="3800"/>
        <w:tab w:val="right" w:pos="9498"/>
      </w:tabs>
      <w:spacing w:after="120"/>
      <w:rPr>
        <w:i/>
        <w:iCs/>
        <w:color w:val="808080"/>
        <w:sz w:val="20"/>
        <w:szCs w:val="20"/>
        <w:lang w:val="fr-BE"/>
      </w:rPr>
    </w:pPr>
  </w:p>
  <w:p w14:paraId="27471B22" w14:textId="77777777" w:rsidR="00116FCD" w:rsidRPr="004277CE" w:rsidRDefault="00116FCD" w:rsidP="00864D08">
    <w:pPr>
      <w:tabs>
        <w:tab w:val="left" w:pos="3800"/>
        <w:tab w:val="right" w:pos="9498"/>
      </w:tabs>
      <w:rPr>
        <w:i/>
        <w:iCs/>
        <w:color w:val="808080"/>
        <w:sz w:val="20"/>
        <w:szCs w:val="20"/>
        <w:lang w:val="fr-BE"/>
      </w:rPr>
    </w:pPr>
    <w:r w:rsidRPr="004277CE">
      <w:rPr>
        <w:i/>
        <w:iCs/>
        <w:color w:val="808080"/>
        <w:sz w:val="20"/>
        <w:szCs w:val="20"/>
        <w:lang w:val="fr-BE"/>
      </w:rPr>
      <w:t>Cette note a été publiée par le Secrétariat international de l’ITIE pour apporter des conseils aux pays mettant en œuvre l’ITIE sur la manière de satisfaire aux Exigences de la Norme ITIE. Les lecteurs sont invités à se référer directement à la Norme ITIE, et à contacter le Secrétariat international pour obtenir de plus amples informations. Les coordonnées de contact figurent sur le site Internet www.eiti.org/fr</w:t>
    </w:r>
    <w:r>
      <w:rPr>
        <w:i/>
        <w:iCs/>
        <w:color w:val="808080"/>
        <w:sz w:val="20"/>
        <w:szCs w:val="20"/>
        <w:lang w:val="fr-BE"/>
      </w:rPr>
      <w:t>.</w:t>
    </w:r>
  </w:p>
  <w:p w14:paraId="338AFD9F" w14:textId="77777777" w:rsidR="00116FCD" w:rsidRDefault="00116FCD">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D09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D3751"/>
    <w:multiLevelType w:val="hybridMultilevel"/>
    <w:tmpl w:val="2110A5A8"/>
    <w:lvl w:ilvl="0" w:tplc="FFFFFFFF">
      <w:start w:val="1"/>
      <w:numFmt w:val="decimal"/>
      <w:lvlText w:val="%1."/>
      <w:lvlJc w:val="left"/>
      <w:pPr>
        <w:ind w:left="720" w:hanging="360"/>
      </w:pPr>
      <w:rPr>
        <w:rFonts w:cs="Times New Roman" w:hint="cs"/>
        <w:b/>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2" w15:restartNumberingAfterBreak="0">
    <w:nsid w:val="08142182"/>
    <w:multiLevelType w:val="hybridMultilevel"/>
    <w:tmpl w:val="841A4DC0"/>
    <w:lvl w:ilvl="0" w:tplc="0414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0508E0"/>
    <w:multiLevelType w:val="hybridMultilevel"/>
    <w:tmpl w:val="CEAC50CA"/>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4" w15:restartNumberingAfterBreak="0">
    <w:nsid w:val="2A454309"/>
    <w:multiLevelType w:val="hybridMultilevel"/>
    <w:tmpl w:val="AD123B9C"/>
    <w:lvl w:ilvl="0" w:tplc="CF86C638">
      <w:start w:val="1"/>
      <w:numFmt w:val="bullet"/>
      <w:lvlText w:val=""/>
      <w:lvlJc w:val="left"/>
      <w:pPr>
        <w:ind w:left="360" w:hanging="360"/>
      </w:pPr>
      <w:rPr>
        <w:rFonts w:ascii="Symbol" w:hAnsi="Symbol" w:hint="default"/>
      </w:rPr>
    </w:lvl>
    <w:lvl w:ilvl="1" w:tplc="B0B6D578">
      <w:start w:val="42"/>
      <w:numFmt w:val="bullet"/>
      <w:lvlText w:val="-"/>
      <w:lvlJc w:val="left"/>
      <w:pPr>
        <w:ind w:left="1080" w:hanging="360"/>
      </w:pPr>
      <w:rPr>
        <w:rFonts w:ascii="Cambria" w:eastAsia="Times New Roman" w:hAnsi="Cambria"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D2804EF"/>
    <w:multiLevelType w:val="hybridMultilevel"/>
    <w:tmpl w:val="15A4A2B4"/>
    <w:lvl w:ilvl="0" w:tplc="0414000F">
      <w:start w:val="1"/>
      <w:numFmt w:val="decimal"/>
      <w:lvlText w:val="%1."/>
      <w:lvlJc w:val="left"/>
      <w:pPr>
        <w:ind w:left="360" w:hanging="360"/>
      </w:pPr>
      <w:rPr>
        <w:rFonts w:cs="Times New Roman"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6" w15:restartNumberingAfterBreak="0">
    <w:nsid w:val="2EC73B99"/>
    <w:multiLevelType w:val="hybridMultilevel"/>
    <w:tmpl w:val="67268CC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FB55D10"/>
    <w:multiLevelType w:val="hybridMultilevel"/>
    <w:tmpl w:val="8C6ED35A"/>
    <w:lvl w:ilvl="0" w:tplc="DD6E8516">
      <w:start w:val="1"/>
      <w:numFmt w:val="decimal"/>
      <w:lvlText w:val="%1."/>
      <w:lvlJc w:val="left"/>
      <w:pPr>
        <w:ind w:left="360" w:hanging="360"/>
      </w:pPr>
      <w:rPr>
        <w:rFonts w:cs="Times New Roman" w:hint="default"/>
        <w:b/>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8" w15:restartNumberingAfterBreak="0">
    <w:nsid w:val="2FB57843"/>
    <w:multiLevelType w:val="hybridMultilevel"/>
    <w:tmpl w:val="DA3A65B4"/>
    <w:lvl w:ilvl="0" w:tplc="04140003">
      <w:start w:val="1"/>
      <w:numFmt w:val="bullet"/>
      <w:lvlText w:val="o"/>
      <w:lvlJc w:val="left"/>
      <w:pPr>
        <w:ind w:left="1788" w:hanging="360"/>
      </w:pPr>
      <w:rPr>
        <w:rFonts w:ascii="Courier New" w:hAnsi="Courier New"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9" w15:restartNumberingAfterBreak="0">
    <w:nsid w:val="352D3F1D"/>
    <w:multiLevelType w:val="hybridMultilevel"/>
    <w:tmpl w:val="CEECC3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A5D541B"/>
    <w:multiLevelType w:val="hybridMultilevel"/>
    <w:tmpl w:val="9FE4940C"/>
    <w:lvl w:ilvl="0" w:tplc="A4EA2D5E">
      <w:start w:val="1"/>
      <w:numFmt w:val="decimal"/>
      <w:lvlText w:val="%1."/>
      <w:lvlJc w:val="left"/>
      <w:pPr>
        <w:ind w:left="720" w:hanging="360"/>
      </w:pPr>
      <w:rPr>
        <w:rFonts w:ascii="Calibri" w:eastAsia="Calibri" w:hAnsi="Calibri" w:cs="Myriad Pro SemiCond"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BF30E41"/>
    <w:multiLevelType w:val="hybridMultilevel"/>
    <w:tmpl w:val="140C81F6"/>
    <w:lvl w:ilvl="0" w:tplc="04140017">
      <w:start w:val="1"/>
      <w:numFmt w:val="lowerLetter"/>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2" w15:restartNumberingAfterBreak="0">
    <w:nsid w:val="3D826D61"/>
    <w:multiLevelType w:val="hybridMultilevel"/>
    <w:tmpl w:val="D296559A"/>
    <w:lvl w:ilvl="0" w:tplc="FFFFFFFF">
      <w:start w:val="1"/>
      <w:numFmt w:val="bullet"/>
      <w:lvlText w:val=""/>
      <w:lvlJc w:val="left"/>
      <w:pPr>
        <w:ind w:left="360" w:hanging="360"/>
      </w:pPr>
      <w:rPr>
        <w:rFonts w:ascii="Symbol" w:hAnsi="Symbol"/>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13" w15:restartNumberingAfterBreak="0">
    <w:nsid w:val="3F1E1CE5"/>
    <w:multiLevelType w:val="hybridMultilevel"/>
    <w:tmpl w:val="649C10A0"/>
    <w:lvl w:ilvl="0" w:tplc="0414000F">
      <w:start w:val="1"/>
      <w:numFmt w:val="decimal"/>
      <w:lvlText w:val="%1."/>
      <w:lvlJc w:val="left"/>
      <w:pPr>
        <w:ind w:left="363" w:hanging="360"/>
      </w:pPr>
      <w:rPr>
        <w:rFonts w:cs="Times New Roman" w:hint="default"/>
      </w:rPr>
    </w:lvl>
    <w:lvl w:ilvl="1" w:tplc="04140019" w:tentative="1">
      <w:start w:val="1"/>
      <w:numFmt w:val="lowerLetter"/>
      <w:lvlText w:val="%2."/>
      <w:lvlJc w:val="left"/>
      <w:pPr>
        <w:ind w:left="1083" w:hanging="360"/>
      </w:pPr>
      <w:rPr>
        <w:rFonts w:cs="Times New Roman"/>
      </w:rPr>
    </w:lvl>
    <w:lvl w:ilvl="2" w:tplc="0414001B" w:tentative="1">
      <w:start w:val="1"/>
      <w:numFmt w:val="lowerRoman"/>
      <w:lvlText w:val="%3."/>
      <w:lvlJc w:val="right"/>
      <w:pPr>
        <w:ind w:left="1803" w:hanging="180"/>
      </w:pPr>
      <w:rPr>
        <w:rFonts w:cs="Times New Roman"/>
      </w:rPr>
    </w:lvl>
    <w:lvl w:ilvl="3" w:tplc="0414000F" w:tentative="1">
      <w:start w:val="1"/>
      <w:numFmt w:val="decimal"/>
      <w:lvlText w:val="%4."/>
      <w:lvlJc w:val="left"/>
      <w:pPr>
        <w:ind w:left="2523" w:hanging="360"/>
      </w:pPr>
      <w:rPr>
        <w:rFonts w:cs="Times New Roman"/>
      </w:rPr>
    </w:lvl>
    <w:lvl w:ilvl="4" w:tplc="04140019" w:tentative="1">
      <w:start w:val="1"/>
      <w:numFmt w:val="lowerLetter"/>
      <w:lvlText w:val="%5."/>
      <w:lvlJc w:val="left"/>
      <w:pPr>
        <w:ind w:left="3243" w:hanging="360"/>
      </w:pPr>
      <w:rPr>
        <w:rFonts w:cs="Times New Roman"/>
      </w:rPr>
    </w:lvl>
    <w:lvl w:ilvl="5" w:tplc="0414001B" w:tentative="1">
      <w:start w:val="1"/>
      <w:numFmt w:val="lowerRoman"/>
      <w:lvlText w:val="%6."/>
      <w:lvlJc w:val="right"/>
      <w:pPr>
        <w:ind w:left="3963" w:hanging="180"/>
      </w:pPr>
      <w:rPr>
        <w:rFonts w:cs="Times New Roman"/>
      </w:rPr>
    </w:lvl>
    <w:lvl w:ilvl="6" w:tplc="0414000F" w:tentative="1">
      <w:start w:val="1"/>
      <w:numFmt w:val="decimal"/>
      <w:lvlText w:val="%7."/>
      <w:lvlJc w:val="left"/>
      <w:pPr>
        <w:ind w:left="4683" w:hanging="360"/>
      </w:pPr>
      <w:rPr>
        <w:rFonts w:cs="Times New Roman"/>
      </w:rPr>
    </w:lvl>
    <w:lvl w:ilvl="7" w:tplc="04140019" w:tentative="1">
      <w:start w:val="1"/>
      <w:numFmt w:val="lowerLetter"/>
      <w:lvlText w:val="%8."/>
      <w:lvlJc w:val="left"/>
      <w:pPr>
        <w:ind w:left="5403" w:hanging="360"/>
      </w:pPr>
      <w:rPr>
        <w:rFonts w:cs="Times New Roman"/>
      </w:rPr>
    </w:lvl>
    <w:lvl w:ilvl="8" w:tplc="0414001B" w:tentative="1">
      <w:start w:val="1"/>
      <w:numFmt w:val="lowerRoman"/>
      <w:lvlText w:val="%9."/>
      <w:lvlJc w:val="right"/>
      <w:pPr>
        <w:ind w:left="6123" w:hanging="180"/>
      </w:pPr>
      <w:rPr>
        <w:rFonts w:cs="Times New Roman"/>
      </w:rPr>
    </w:lvl>
  </w:abstractNum>
  <w:abstractNum w:abstractNumId="14" w15:restartNumberingAfterBreak="0">
    <w:nsid w:val="40C46D2B"/>
    <w:multiLevelType w:val="hybridMultilevel"/>
    <w:tmpl w:val="0FF22E78"/>
    <w:lvl w:ilvl="0" w:tplc="04429DE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8FD563F"/>
    <w:multiLevelType w:val="hybridMultilevel"/>
    <w:tmpl w:val="6F3CDF08"/>
    <w:lvl w:ilvl="0" w:tplc="883A901E">
      <w:start w:val="1"/>
      <w:numFmt w:val="lowerRoman"/>
      <w:lvlText w:val="%1."/>
      <w:lvlJc w:val="left"/>
      <w:pPr>
        <w:ind w:left="1788" w:hanging="720"/>
      </w:pPr>
      <w:rPr>
        <w:rFonts w:eastAsia="Times New Roman" w:cs="Times New Roman" w:hint="default"/>
        <w:color w:val="000000"/>
      </w:rPr>
    </w:lvl>
    <w:lvl w:ilvl="1" w:tplc="04140019" w:tentative="1">
      <w:start w:val="1"/>
      <w:numFmt w:val="lowerLetter"/>
      <w:lvlText w:val="%2."/>
      <w:lvlJc w:val="left"/>
      <w:pPr>
        <w:ind w:left="2148" w:hanging="360"/>
      </w:pPr>
      <w:rPr>
        <w:rFonts w:cs="Times New Roman"/>
      </w:rPr>
    </w:lvl>
    <w:lvl w:ilvl="2" w:tplc="0414001B" w:tentative="1">
      <w:start w:val="1"/>
      <w:numFmt w:val="lowerRoman"/>
      <w:lvlText w:val="%3."/>
      <w:lvlJc w:val="right"/>
      <w:pPr>
        <w:ind w:left="2868" w:hanging="180"/>
      </w:pPr>
      <w:rPr>
        <w:rFonts w:cs="Times New Roman"/>
      </w:rPr>
    </w:lvl>
    <w:lvl w:ilvl="3" w:tplc="0414000F" w:tentative="1">
      <w:start w:val="1"/>
      <w:numFmt w:val="decimal"/>
      <w:lvlText w:val="%4."/>
      <w:lvlJc w:val="left"/>
      <w:pPr>
        <w:ind w:left="3588" w:hanging="360"/>
      </w:pPr>
      <w:rPr>
        <w:rFonts w:cs="Times New Roman"/>
      </w:rPr>
    </w:lvl>
    <w:lvl w:ilvl="4" w:tplc="04140019" w:tentative="1">
      <w:start w:val="1"/>
      <w:numFmt w:val="lowerLetter"/>
      <w:lvlText w:val="%5."/>
      <w:lvlJc w:val="left"/>
      <w:pPr>
        <w:ind w:left="4308" w:hanging="360"/>
      </w:pPr>
      <w:rPr>
        <w:rFonts w:cs="Times New Roman"/>
      </w:rPr>
    </w:lvl>
    <w:lvl w:ilvl="5" w:tplc="0414001B" w:tentative="1">
      <w:start w:val="1"/>
      <w:numFmt w:val="lowerRoman"/>
      <w:lvlText w:val="%6."/>
      <w:lvlJc w:val="right"/>
      <w:pPr>
        <w:ind w:left="5028" w:hanging="180"/>
      </w:pPr>
      <w:rPr>
        <w:rFonts w:cs="Times New Roman"/>
      </w:rPr>
    </w:lvl>
    <w:lvl w:ilvl="6" w:tplc="0414000F" w:tentative="1">
      <w:start w:val="1"/>
      <w:numFmt w:val="decimal"/>
      <w:lvlText w:val="%7."/>
      <w:lvlJc w:val="left"/>
      <w:pPr>
        <w:ind w:left="5748" w:hanging="360"/>
      </w:pPr>
      <w:rPr>
        <w:rFonts w:cs="Times New Roman"/>
      </w:rPr>
    </w:lvl>
    <w:lvl w:ilvl="7" w:tplc="04140019" w:tentative="1">
      <w:start w:val="1"/>
      <w:numFmt w:val="lowerLetter"/>
      <w:lvlText w:val="%8."/>
      <w:lvlJc w:val="left"/>
      <w:pPr>
        <w:ind w:left="6468" w:hanging="360"/>
      </w:pPr>
      <w:rPr>
        <w:rFonts w:cs="Times New Roman"/>
      </w:rPr>
    </w:lvl>
    <w:lvl w:ilvl="8" w:tplc="0414001B" w:tentative="1">
      <w:start w:val="1"/>
      <w:numFmt w:val="lowerRoman"/>
      <w:lvlText w:val="%9."/>
      <w:lvlJc w:val="right"/>
      <w:pPr>
        <w:ind w:left="7188" w:hanging="180"/>
      </w:pPr>
      <w:rPr>
        <w:rFonts w:cs="Times New Roman"/>
      </w:rPr>
    </w:lvl>
  </w:abstractNum>
  <w:abstractNum w:abstractNumId="16" w15:restartNumberingAfterBreak="0">
    <w:nsid w:val="4A310741"/>
    <w:multiLevelType w:val="hybridMultilevel"/>
    <w:tmpl w:val="0E402942"/>
    <w:lvl w:ilvl="0" w:tplc="04140003">
      <w:start w:val="1"/>
      <w:numFmt w:val="bullet"/>
      <w:lvlText w:val="o"/>
      <w:lvlJc w:val="left"/>
      <w:pPr>
        <w:ind w:left="1788" w:hanging="720"/>
      </w:pPr>
      <w:rPr>
        <w:rFonts w:ascii="Courier New" w:hAnsi="Courier New" w:hint="default"/>
        <w:color w:val="000000"/>
      </w:rPr>
    </w:lvl>
    <w:lvl w:ilvl="1" w:tplc="04140019" w:tentative="1">
      <w:start w:val="1"/>
      <w:numFmt w:val="lowerLetter"/>
      <w:lvlText w:val="%2."/>
      <w:lvlJc w:val="left"/>
      <w:pPr>
        <w:ind w:left="2148" w:hanging="360"/>
      </w:pPr>
      <w:rPr>
        <w:rFonts w:cs="Times New Roman"/>
      </w:rPr>
    </w:lvl>
    <w:lvl w:ilvl="2" w:tplc="0414001B" w:tentative="1">
      <w:start w:val="1"/>
      <w:numFmt w:val="lowerRoman"/>
      <w:lvlText w:val="%3."/>
      <w:lvlJc w:val="right"/>
      <w:pPr>
        <w:ind w:left="2868" w:hanging="180"/>
      </w:pPr>
      <w:rPr>
        <w:rFonts w:cs="Times New Roman"/>
      </w:rPr>
    </w:lvl>
    <w:lvl w:ilvl="3" w:tplc="0414000F" w:tentative="1">
      <w:start w:val="1"/>
      <w:numFmt w:val="decimal"/>
      <w:lvlText w:val="%4."/>
      <w:lvlJc w:val="left"/>
      <w:pPr>
        <w:ind w:left="3588" w:hanging="360"/>
      </w:pPr>
      <w:rPr>
        <w:rFonts w:cs="Times New Roman"/>
      </w:rPr>
    </w:lvl>
    <w:lvl w:ilvl="4" w:tplc="04140019" w:tentative="1">
      <w:start w:val="1"/>
      <w:numFmt w:val="lowerLetter"/>
      <w:lvlText w:val="%5."/>
      <w:lvlJc w:val="left"/>
      <w:pPr>
        <w:ind w:left="4308" w:hanging="360"/>
      </w:pPr>
      <w:rPr>
        <w:rFonts w:cs="Times New Roman"/>
      </w:rPr>
    </w:lvl>
    <w:lvl w:ilvl="5" w:tplc="0414001B" w:tentative="1">
      <w:start w:val="1"/>
      <w:numFmt w:val="lowerRoman"/>
      <w:lvlText w:val="%6."/>
      <w:lvlJc w:val="right"/>
      <w:pPr>
        <w:ind w:left="5028" w:hanging="180"/>
      </w:pPr>
      <w:rPr>
        <w:rFonts w:cs="Times New Roman"/>
      </w:rPr>
    </w:lvl>
    <w:lvl w:ilvl="6" w:tplc="0414000F" w:tentative="1">
      <w:start w:val="1"/>
      <w:numFmt w:val="decimal"/>
      <w:lvlText w:val="%7."/>
      <w:lvlJc w:val="left"/>
      <w:pPr>
        <w:ind w:left="5748" w:hanging="360"/>
      </w:pPr>
      <w:rPr>
        <w:rFonts w:cs="Times New Roman"/>
      </w:rPr>
    </w:lvl>
    <w:lvl w:ilvl="7" w:tplc="04140019" w:tentative="1">
      <w:start w:val="1"/>
      <w:numFmt w:val="lowerLetter"/>
      <w:lvlText w:val="%8."/>
      <w:lvlJc w:val="left"/>
      <w:pPr>
        <w:ind w:left="6468" w:hanging="360"/>
      </w:pPr>
      <w:rPr>
        <w:rFonts w:cs="Times New Roman"/>
      </w:rPr>
    </w:lvl>
    <w:lvl w:ilvl="8" w:tplc="0414001B" w:tentative="1">
      <w:start w:val="1"/>
      <w:numFmt w:val="lowerRoman"/>
      <w:lvlText w:val="%9."/>
      <w:lvlJc w:val="right"/>
      <w:pPr>
        <w:ind w:left="7188" w:hanging="180"/>
      </w:pPr>
      <w:rPr>
        <w:rFonts w:cs="Times New Roman"/>
      </w:rPr>
    </w:lvl>
  </w:abstractNum>
  <w:abstractNum w:abstractNumId="17" w15:restartNumberingAfterBreak="0">
    <w:nsid w:val="51C420F9"/>
    <w:multiLevelType w:val="hybridMultilevel"/>
    <w:tmpl w:val="55B67B92"/>
    <w:lvl w:ilvl="0" w:tplc="04140017">
      <w:start w:val="1"/>
      <w:numFmt w:val="lowerLetter"/>
      <w:lvlText w:val="%1)"/>
      <w:lvlJc w:val="left"/>
      <w:pPr>
        <w:ind w:left="624" w:hanging="360"/>
      </w:pPr>
      <w:rPr>
        <w:rFonts w:cs="Times New Roman"/>
      </w:rPr>
    </w:lvl>
    <w:lvl w:ilvl="1" w:tplc="04140019" w:tentative="1">
      <w:start w:val="1"/>
      <w:numFmt w:val="lowerLetter"/>
      <w:lvlText w:val="%2."/>
      <w:lvlJc w:val="left"/>
      <w:pPr>
        <w:ind w:left="1344" w:hanging="360"/>
      </w:pPr>
      <w:rPr>
        <w:rFonts w:cs="Times New Roman"/>
      </w:rPr>
    </w:lvl>
    <w:lvl w:ilvl="2" w:tplc="0414001B" w:tentative="1">
      <w:start w:val="1"/>
      <w:numFmt w:val="lowerRoman"/>
      <w:lvlText w:val="%3."/>
      <w:lvlJc w:val="right"/>
      <w:pPr>
        <w:ind w:left="2064" w:hanging="180"/>
      </w:pPr>
      <w:rPr>
        <w:rFonts w:cs="Times New Roman"/>
      </w:rPr>
    </w:lvl>
    <w:lvl w:ilvl="3" w:tplc="0414000F" w:tentative="1">
      <w:start w:val="1"/>
      <w:numFmt w:val="decimal"/>
      <w:lvlText w:val="%4."/>
      <w:lvlJc w:val="left"/>
      <w:pPr>
        <w:ind w:left="2784" w:hanging="360"/>
      </w:pPr>
      <w:rPr>
        <w:rFonts w:cs="Times New Roman"/>
      </w:rPr>
    </w:lvl>
    <w:lvl w:ilvl="4" w:tplc="04140019" w:tentative="1">
      <w:start w:val="1"/>
      <w:numFmt w:val="lowerLetter"/>
      <w:lvlText w:val="%5."/>
      <w:lvlJc w:val="left"/>
      <w:pPr>
        <w:ind w:left="3504" w:hanging="360"/>
      </w:pPr>
      <w:rPr>
        <w:rFonts w:cs="Times New Roman"/>
      </w:rPr>
    </w:lvl>
    <w:lvl w:ilvl="5" w:tplc="0414001B" w:tentative="1">
      <w:start w:val="1"/>
      <w:numFmt w:val="lowerRoman"/>
      <w:lvlText w:val="%6."/>
      <w:lvlJc w:val="right"/>
      <w:pPr>
        <w:ind w:left="4224" w:hanging="180"/>
      </w:pPr>
      <w:rPr>
        <w:rFonts w:cs="Times New Roman"/>
      </w:rPr>
    </w:lvl>
    <w:lvl w:ilvl="6" w:tplc="0414000F" w:tentative="1">
      <w:start w:val="1"/>
      <w:numFmt w:val="decimal"/>
      <w:lvlText w:val="%7."/>
      <w:lvlJc w:val="left"/>
      <w:pPr>
        <w:ind w:left="4944" w:hanging="360"/>
      </w:pPr>
      <w:rPr>
        <w:rFonts w:cs="Times New Roman"/>
      </w:rPr>
    </w:lvl>
    <w:lvl w:ilvl="7" w:tplc="04140019" w:tentative="1">
      <w:start w:val="1"/>
      <w:numFmt w:val="lowerLetter"/>
      <w:lvlText w:val="%8."/>
      <w:lvlJc w:val="left"/>
      <w:pPr>
        <w:ind w:left="5664" w:hanging="360"/>
      </w:pPr>
      <w:rPr>
        <w:rFonts w:cs="Times New Roman"/>
      </w:rPr>
    </w:lvl>
    <w:lvl w:ilvl="8" w:tplc="0414001B" w:tentative="1">
      <w:start w:val="1"/>
      <w:numFmt w:val="lowerRoman"/>
      <w:lvlText w:val="%9."/>
      <w:lvlJc w:val="right"/>
      <w:pPr>
        <w:ind w:left="6384" w:hanging="180"/>
      </w:pPr>
      <w:rPr>
        <w:rFonts w:cs="Times New Roman"/>
      </w:rPr>
    </w:lvl>
  </w:abstractNum>
  <w:abstractNum w:abstractNumId="18" w15:restartNumberingAfterBreak="0">
    <w:nsid w:val="51E50192"/>
    <w:multiLevelType w:val="hybridMultilevel"/>
    <w:tmpl w:val="6F3CDF08"/>
    <w:lvl w:ilvl="0" w:tplc="883A901E">
      <w:start w:val="1"/>
      <w:numFmt w:val="lowerRoman"/>
      <w:lvlText w:val="%1."/>
      <w:lvlJc w:val="left"/>
      <w:pPr>
        <w:ind w:left="1788" w:hanging="720"/>
      </w:pPr>
      <w:rPr>
        <w:rFonts w:eastAsia="Times New Roman" w:cs="Times New Roman" w:hint="default"/>
        <w:color w:val="000000"/>
      </w:rPr>
    </w:lvl>
    <w:lvl w:ilvl="1" w:tplc="04140019" w:tentative="1">
      <w:start w:val="1"/>
      <w:numFmt w:val="lowerLetter"/>
      <w:lvlText w:val="%2."/>
      <w:lvlJc w:val="left"/>
      <w:pPr>
        <w:ind w:left="2148" w:hanging="360"/>
      </w:pPr>
      <w:rPr>
        <w:rFonts w:cs="Times New Roman"/>
      </w:rPr>
    </w:lvl>
    <w:lvl w:ilvl="2" w:tplc="0414001B" w:tentative="1">
      <w:start w:val="1"/>
      <w:numFmt w:val="lowerRoman"/>
      <w:lvlText w:val="%3."/>
      <w:lvlJc w:val="right"/>
      <w:pPr>
        <w:ind w:left="2868" w:hanging="180"/>
      </w:pPr>
      <w:rPr>
        <w:rFonts w:cs="Times New Roman"/>
      </w:rPr>
    </w:lvl>
    <w:lvl w:ilvl="3" w:tplc="0414000F" w:tentative="1">
      <w:start w:val="1"/>
      <w:numFmt w:val="decimal"/>
      <w:lvlText w:val="%4."/>
      <w:lvlJc w:val="left"/>
      <w:pPr>
        <w:ind w:left="3588" w:hanging="360"/>
      </w:pPr>
      <w:rPr>
        <w:rFonts w:cs="Times New Roman"/>
      </w:rPr>
    </w:lvl>
    <w:lvl w:ilvl="4" w:tplc="04140019" w:tentative="1">
      <w:start w:val="1"/>
      <w:numFmt w:val="lowerLetter"/>
      <w:lvlText w:val="%5."/>
      <w:lvlJc w:val="left"/>
      <w:pPr>
        <w:ind w:left="4308" w:hanging="360"/>
      </w:pPr>
      <w:rPr>
        <w:rFonts w:cs="Times New Roman"/>
      </w:rPr>
    </w:lvl>
    <w:lvl w:ilvl="5" w:tplc="0414001B" w:tentative="1">
      <w:start w:val="1"/>
      <w:numFmt w:val="lowerRoman"/>
      <w:lvlText w:val="%6."/>
      <w:lvlJc w:val="right"/>
      <w:pPr>
        <w:ind w:left="5028" w:hanging="180"/>
      </w:pPr>
      <w:rPr>
        <w:rFonts w:cs="Times New Roman"/>
      </w:rPr>
    </w:lvl>
    <w:lvl w:ilvl="6" w:tplc="0414000F" w:tentative="1">
      <w:start w:val="1"/>
      <w:numFmt w:val="decimal"/>
      <w:lvlText w:val="%7."/>
      <w:lvlJc w:val="left"/>
      <w:pPr>
        <w:ind w:left="5748" w:hanging="360"/>
      </w:pPr>
      <w:rPr>
        <w:rFonts w:cs="Times New Roman"/>
      </w:rPr>
    </w:lvl>
    <w:lvl w:ilvl="7" w:tplc="04140019" w:tentative="1">
      <w:start w:val="1"/>
      <w:numFmt w:val="lowerLetter"/>
      <w:lvlText w:val="%8."/>
      <w:lvlJc w:val="left"/>
      <w:pPr>
        <w:ind w:left="6468" w:hanging="360"/>
      </w:pPr>
      <w:rPr>
        <w:rFonts w:cs="Times New Roman"/>
      </w:rPr>
    </w:lvl>
    <w:lvl w:ilvl="8" w:tplc="0414001B" w:tentative="1">
      <w:start w:val="1"/>
      <w:numFmt w:val="lowerRoman"/>
      <w:lvlText w:val="%9."/>
      <w:lvlJc w:val="right"/>
      <w:pPr>
        <w:ind w:left="7188" w:hanging="180"/>
      </w:pPr>
      <w:rPr>
        <w:rFonts w:cs="Times New Roman"/>
      </w:rPr>
    </w:lvl>
  </w:abstractNum>
  <w:abstractNum w:abstractNumId="19" w15:restartNumberingAfterBreak="0">
    <w:nsid w:val="56280352"/>
    <w:multiLevelType w:val="hybridMultilevel"/>
    <w:tmpl w:val="37DEBE92"/>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0" w15:restartNumberingAfterBreak="0">
    <w:nsid w:val="56D97DEF"/>
    <w:multiLevelType w:val="hybridMultilevel"/>
    <w:tmpl w:val="6F3CDF08"/>
    <w:lvl w:ilvl="0" w:tplc="883A901E">
      <w:start w:val="1"/>
      <w:numFmt w:val="lowerRoman"/>
      <w:lvlText w:val="%1."/>
      <w:lvlJc w:val="left"/>
      <w:pPr>
        <w:ind w:left="1788" w:hanging="720"/>
      </w:pPr>
      <w:rPr>
        <w:rFonts w:eastAsia="Times New Roman" w:cs="Times New Roman" w:hint="default"/>
        <w:color w:val="000000"/>
      </w:rPr>
    </w:lvl>
    <w:lvl w:ilvl="1" w:tplc="04140019" w:tentative="1">
      <w:start w:val="1"/>
      <w:numFmt w:val="lowerLetter"/>
      <w:lvlText w:val="%2."/>
      <w:lvlJc w:val="left"/>
      <w:pPr>
        <w:ind w:left="2148" w:hanging="360"/>
      </w:pPr>
      <w:rPr>
        <w:rFonts w:cs="Times New Roman"/>
      </w:rPr>
    </w:lvl>
    <w:lvl w:ilvl="2" w:tplc="0414001B" w:tentative="1">
      <w:start w:val="1"/>
      <w:numFmt w:val="lowerRoman"/>
      <w:lvlText w:val="%3."/>
      <w:lvlJc w:val="right"/>
      <w:pPr>
        <w:ind w:left="2868" w:hanging="180"/>
      </w:pPr>
      <w:rPr>
        <w:rFonts w:cs="Times New Roman"/>
      </w:rPr>
    </w:lvl>
    <w:lvl w:ilvl="3" w:tplc="0414000F" w:tentative="1">
      <w:start w:val="1"/>
      <w:numFmt w:val="decimal"/>
      <w:lvlText w:val="%4."/>
      <w:lvlJc w:val="left"/>
      <w:pPr>
        <w:ind w:left="3588" w:hanging="360"/>
      </w:pPr>
      <w:rPr>
        <w:rFonts w:cs="Times New Roman"/>
      </w:rPr>
    </w:lvl>
    <w:lvl w:ilvl="4" w:tplc="04140019" w:tentative="1">
      <w:start w:val="1"/>
      <w:numFmt w:val="lowerLetter"/>
      <w:lvlText w:val="%5."/>
      <w:lvlJc w:val="left"/>
      <w:pPr>
        <w:ind w:left="4308" w:hanging="360"/>
      </w:pPr>
      <w:rPr>
        <w:rFonts w:cs="Times New Roman"/>
      </w:rPr>
    </w:lvl>
    <w:lvl w:ilvl="5" w:tplc="0414001B" w:tentative="1">
      <w:start w:val="1"/>
      <w:numFmt w:val="lowerRoman"/>
      <w:lvlText w:val="%6."/>
      <w:lvlJc w:val="right"/>
      <w:pPr>
        <w:ind w:left="5028" w:hanging="180"/>
      </w:pPr>
      <w:rPr>
        <w:rFonts w:cs="Times New Roman"/>
      </w:rPr>
    </w:lvl>
    <w:lvl w:ilvl="6" w:tplc="0414000F" w:tentative="1">
      <w:start w:val="1"/>
      <w:numFmt w:val="decimal"/>
      <w:lvlText w:val="%7."/>
      <w:lvlJc w:val="left"/>
      <w:pPr>
        <w:ind w:left="5748" w:hanging="360"/>
      </w:pPr>
      <w:rPr>
        <w:rFonts w:cs="Times New Roman"/>
      </w:rPr>
    </w:lvl>
    <w:lvl w:ilvl="7" w:tplc="04140019" w:tentative="1">
      <w:start w:val="1"/>
      <w:numFmt w:val="lowerLetter"/>
      <w:lvlText w:val="%8."/>
      <w:lvlJc w:val="left"/>
      <w:pPr>
        <w:ind w:left="6468" w:hanging="360"/>
      </w:pPr>
      <w:rPr>
        <w:rFonts w:cs="Times New Roman"/>
      </w:rPr>
    </w:lvl>
    <w:lvl w:ilvl="8" w:tplc="0414001B" w:tentative="1">
      <w:start w:val="1"/>
      <w:numFmt w:val="lowerRoman"/>
      <w:lvlText w:val="%9."/>
      <w:lvlJc w:val="right"/>
      <w:pPr>
        <w:ind w:left="7188" w:hanging="180"/>
      </w:pPr>
      <w:rPr>
        <w:rFonts w:cs="Times New Roman"/>
      </w:rPr>
    </w:lvl>
  </w:abstractNum>
  <w:abstractNum w:abstractNumId="21" w15:restartNumberingAfterBreak="0">
    <w:nsid w:val="588F2A7E"/>
    <w:multiLevelType w:val="hybridMultilevel"/>
    <w:tmpl w:val="C7EC3892"/>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2" w15:restartNumberingAfterBreak="0">
    <w:nsid w:val="5B0D5B4A"/>
    <w:multiLevelType w:val="hybridMultilevel"/>
    <w:tmpl w:val="C4AA1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2180423"/>
    <w:multiLevelType w:val="hybridMultilevel"/>
    <w:tmpl w:val="789C543E"/>
    <w:lvl w:ilvl="0" w:tplc="5F1C0E16">
      <w:start w:val="1"/>
      <w:numFmt w:val="decimal"/>
      <w:lvlText w:val="%1."/>
      <w:lvlJc w:val="left"/>
      <w:pPr>
        <w:ind w:left="360" w:hanging="360"/>
      </w:pPr>
      <w:rPr>
        <w:rFonts w:cs="Times New Roman" w:hint="default"/>
        <w:b/>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24" w15:restartNumberingAfterBreak="0">
    <w:nsid w:val="67EE5016"/>
    <w:multiLevelType w:val="hybridMultilevel"/>
    <w:tmpl w:val="4748F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CD64E4"/>
    <w:multiLevelType w:val="hybridMultilevel"/>
    <w:tmpl w:val="3F3095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17"/>
  </w:num>
  <w:num w:numId="3">
    <w:abstractNumId w:val="21"/>
  </w:num>
  <w:num w:numId="4">
    <w:abstractNumId w:val="23"/>
  </w:num>
  <w:num w:numId="5">
    <w:abstractNumId w:val="5"/>
  </w:num>
  <w:num w:numId="6">
    <w:abstractNumId w:val="22"/>
  </w:num>
  <w:num w:numId="7">
    <w:abstractNumId w:val="20"/>
  </w:num>
  <w:num w:numId="8">
    <w:abstractNumId w:val="18"/>
  </w:num>
  <w:num w:numId="9">
    <w:abstractNumId w:val="16"/>
  </w:num>
  <w:num w:numId="10">
    <w:abstractNumId w:val="14"/>
  </w:num>
  <w:num w:numId="11">
    <w:abstractNumId w:val="13"/>
  </w:num>
  <w:num w:numId="12">
    <w:abstractNumId w:val="19"/>
  </w:num>
  <w:num w:numId="13">
    <w:abstractNumId w:val="7"/>
  </w:num>
  <w:num w:numId="14">
    <w:abstractNumId w:val="8"/>
  </w:num>
  <w:num w:numId="15">
    <w:abstractNumId w:val="6"/>
  </w:num>
  <w:num w:numId="16">
    <w:abstractNumId w:val="24"/>
  </w:num>
  <w:num w:numId="17">
    <w:abstractNumId w:val="11"/>
  </w:num>
  <w:num w:numId="18">
    <w:abstractNumId w:val="0"/>
  </w:num>
  <w:num w:numId="19">
    <w:abstractNumId w:val="1"/>
  </w:num>
  <w:num w:numId="20">
    <w:abstractNumId w:val="12"/>
  </w:num>
  <w:num w:numId="21">
    <w:abstractNumId w:val="3"/>
  </w:num>
  <w:num w:numId="22">
    <w:abstractNumId w:val="9"/>
  </w:num>
  <w:num w:numId="23">
    <w:abstractNumId w:val="25"/>
  </w:num>
  <w:num w:numId="24">
    <w:abstractNumId w:val="10"/>
  </w:num>
  <w:num w:numId="25">
    <w:abstractNumId w:val="4"/>
  </w:num>
  <w:num w:numId="26">
    <w:abstractNumId w:val="2"/>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CA6"/>
    <w:rsid w:val="00044EBC"/>
    <w:rsid w:val="000C5E39"/>
    <w:rsid w:val="000D52E1"/>
    <w:rsid w:val="001009A9"/>
    <w:rsid w:val="00104C78"/>
    <w:rsid w:val="001149EC"/>
    <w:rsid w:val="00116FCD"/>
    <w:rsid w:val="00130522"/>
    <w:rsid w:val="001510A5"/>
    <w:rsid w:val="001A2CA6"/>
    <w:rsid w:val="001A6FD8"/>
    <w:rsid w:val="0020327C"/>
    <w:rsid w:val="002231EC"/>
    <w:rsid w:val="00243251"/>
    <w:rsid w:val="00244DA9"/>
    <w:rsid w:val="00261B7F"/>
    <w:rsid w:val="00270499"/>
    <w:rsid w:val="00270A33"/>
    <w:rsid w:val="00276D88"/>
    <w:rsid w:val="002927AE"/>
    <w:rsid w:val="00293853"/>
    <w:rsid w:val="00295155"/>
    <w:rsid w:val="002A383A"/>
    <w:rsid w:val="004003D3"/>
    <w:rsid w:val="004277CE"/>
    <w:rsid w:val="0044411F"/>
    <w:rsid w:val="004D2436"/>
    <w:rsid w:val="00535195"/>
    <w:rsid w:val="00541D8F"/>
    <w:rsid w:val="006312F4"/>
    <w:rsid w:val="0068610F"/>
    <w:rsid w:val="00696CD2"/>
    <w:rsid w:val="006E5116"/>
    <w:rsid w:val="00722D4A"/>
    <w:rsid w:val="007265C9"/>
    <w:rsid w:val="007265CC"/>
    <w:rsid w:val="007355F4"/>
    <w:rsid w:val="007647CA"/>
    <w:rsid w:val="008122DF"/>
    <w:rsid w:val="00820766"/>
    <w:rsid w:val="008508D2"/>
    <w:rsid w:val="00864D08"/>
    <w:rsid w:val="008717E6"/>
    <w:rsid w:val="008B13D1"/>
    <w:rsid w:val="008E4242"/>
    <w:rsid w:val="00913C7F"/>
    <w:rsid w:val="00984A9C"/>
    <w:rsid w:val="009A7F74"/>
    <w:rsid w:val="009B630F"/>
    <w:rsid w:val="00A15186"/>
    <w:rsid w:val="00A311BA"/>
    <w:rsid w:val="00A562F5"/>
    <w:rsid w:val="00AA7766"/>
    <w:rsid w:val="00AC2B5E"/>
    <w:rsid w:val="00B0703A"/>
    <w:rsid w:val="00B07D86"/>
    <w:rsid w:val="00B22B28"/>
    <w:rsid w:val="00B26B1A"/>
    <w:rsid w:val="00B67D9C"/>
    <w:rsid w:val="00BB3A90"/>
    <w:rsid w:val="00BD0A6D"/>
    <w:rsid w:val="00C104EF"/>
    <w:rsid w:val="00C12136"/>
    <w:rsid w:val="00C553DF"/>
    <w:rsid w:val="00CB024C"/>
    <w:rsid w:val="00D35E8E"/>
    <w:rsid w:val="00D74017"/>
    <w:rsid w:val="00D801C5"/>
    <w:rsid w:val="00DC3D46"/>
    <w:rsid w:val="00DE2EA3"/>
    <w:rsid w:val="00E05851"/>
    <w:rsid w:val="00E81A22"/>
    <w:rsid w:val="00EC2D69"/>
    <w:rsid w:val="00EF2B6B"/>
    <w:rsid w:val="00F40E2E"/>
    <w:rsid w:val="00F51F56"/>
    <w:rsid w:val="00F54584"/>
    <w:rsid w:val="00F95A2A"/>
    <w:rsid w:val="00FA70A3"/>
    <w:rsid w:val="00FD1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7957233A"/>
  <w14:defaultImageDpi w14:val="0"/>
  <w15:docId w15:val="{C32E2BA8-A0A7-4005-A3E1-61FB4784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F95A2A"/>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4D2436"/>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MS Gothic" w:hAnsi="Cambria"/>
      <w:b/>
      <w:color w:val="365F91"/>
      <w:sz w:val="28"/>
    </w:rPr>
  </w:style>
  <w:style w:type="character" w:customStyle="1" w:styleId="Heading2Char">
    <w:name w:val="Heading 2 Char"/>
    <w:link w:val="Heading2"/>
    <w:uiPriority w:val="9"/>
    <w:locked/>
    <w:rPr>
      <w:rFonts w:ascii="Cambria" w:eastAsia="MS Gothic" w:hAnsi="Cambria"/>
      <w:b/>
      <w:color w:val="4F81BD"/>
      <w:sz w:val="26"/>
    </w:rPr>
  </w:style>
  <w:style w:type="paragraph" w:styleId="Title">
    <w:name w:val="Title"/>
    <w:basedOn w:val="Normal"/>
    <w:next w:val="Normal"/>
    <w:link w:val="TitleChar"/>
    <w:uiPriority w:val="10"/>
    <w:qFormat/>
    <w:rsid w:val="004277CE"/>
    <w:pPr>
      <w:pBdr>
        <w:bottom w:val="single" w:sz="8" w:space="4" w:color="000000"/>
      </w:pBdr>
      <w:spacing w:before="480" w:after="300" w:line="240" w:lineRule="auto"/>
      <w:contextualSpacing/>
    </w:pPr>
    <w:rPr>
      <w:rFonts w:asciiTheme="minorHAnsi" w:eastAsia="MS Gothic" w:hAnsiTheme="minorHAnsi"/>
      <w:color w:val="000000"/>
      <w:spacing w:val="5"/>
      <w:kern w:val="28"/>
      <w:sz w:val="56"/>
      <w:szCs w:val="52"/>
    </w:rPr>
  </w:style>
  <w:style w:type="character" w:customStyle="1" w:styleId="TitleChar">
    <w:name w:val="Title Char"/>
    <w:link w:val="Title"/>
    <w:uiPriority w:val="10"/>
    <w:locked/>
    <w:rsid w:val="004277CE"/>
    <w:rPr>
      <w:rFonts w:asciiTheme="minorHAnsi" w:eastAsia="MS Gothic" w:hAnsiTheme="minorHAnsi"/>
      <w:color w:val="000000"/>
      <w:spacing w:val="5"/>
      <w:kern w:val="28"/>
      <w:sz w:val="56"/>
      <w:szCs w:val="52"/>
      <w:lang w:val="en-GB"/>
    </w:rPr>
  </w:style>
  <w:style w:type="paragraph" w:customStyle="1" w:styleId="ColorfulList-Accent11">
    <w:name w:val="Colorful List - Accent 11"/>
    <w:basedOn w:val="Normal"/>
    <w:uiPriority w:val="34"/>
    <w:qFormat/>
    <w:rsid w:val="00F95A2A"/>
    <w:pPr>
      <w:ind w:left="720"/>
      <w:contextualSpacing/>
    </w:p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character" w:styleId="Hyperlink">
    <w:name w:val="Hyperlink"/>
    <w:uiPriority w:val="99"/>
    <w:unhideWhenUsed/>
    <w:rPr>
      <w:color w:val="0000FF"/>
      <w:u w:val="single"/>
    </w:rPr>
  </w:style>
  <w:style w:type="paragraph" w:customStyle="1" w:styleId="Heading21">
    <w:name w:val="Heading 21"/>
    <w:basedOn w:val="Normal"/>
    <w:next w:val="Normal"/>
    <w:uiPriority w:val="9"/>
    <w:unhideWhenUsed/>
    <w:qFormat/>
    <w:rsid w:val="00907CF4"/>
    <w:pPr>
      <w:keepNext/>
      <w:keepLines/>
      <w:spacing w:before="200" w:after="0" w:line="240" w:lineRule="auto"/>
      <w:outlineLvl w:val="1"/>
    </w:pPr>
    <w:rPr>
      <w:rFonts w:ascii="Myriad Pro SemiCond" w:hAnsi="Myriad Pro SemiCond"/>
      <w:b/>
      <w:bCs/>
      <w:color w:val="4F81BD"/>
      <w:sz w:val="26"/>
      <w:szCs w:val="26"/>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link w:val="CommentSubject"/>
    <w:uiPriority w:val="99"/>
    <w:semiHidden/>
    <w:locked/>
    <w:rPr>
      <w:b/>
      <w:sz w:val="20"/>
    </w:rPr>
  </w:style>
  <w:style w:type="paragraph" w:styleId="FootnoteText">
    <w:name w:val="footnote text"/>
    <w:basedOn w:val="Normal"/>
    <w:link w:val="FootnoteTextChar"/>
    <w:uiPriority w:val="99"/>
    <w:semiHidden/>
    <w:unhideWhenUsed/>
    <w:rsid w:val="00B53CE2"/>
    <w:pPr>
      <w:spacing w:after="0" w:line="240" w:lineRule="auto"/>
    </w:pPr>
    <w:rPr>
      <w:sz w:val="20"/>
      <w:szCs w:val="20"/>
    </w:rPr>
  </w:style>
  <w:style w:type="character" w:customStyle="1" w:styleId="FootnoteTextChar">
    <w:name w:val="Footnote Text Char"/>
    <w:link w:val="FootnoteText"/>
    <w:uiPriority w:val="99"/>
    <w:semiHidden/>
    <w:locked/>
    <w:rPr>
      <w:sz w:val="20"/>
    </w:rPr>
  </w:style>
  <w:style w:type="character" w:styleId="FootnoteReference">
    <w:name w:val="footnote reference"/>
    <w:uiPriority w:val="99"/>
    <w:unhideWhenUsed/>
    <w:rPr>
      <w:vertAlign w:val="superscript"/>
    </w:rPr>
  </w:style>
  <w:style w:type="paragraph" w:customStyle="1" w:styleId="ColorfulShading-Accent11">
    <w:name w:val="Colorful Shading - Accent 11"/>
    <w:hidden/>
    <w:uiPriority w:val="99"/>
    <w:semiHidden/>
    <w:rsid w:val="00B53CE2"/>
    <w:rPr>
      <w:sz w:val="22"/>
      <w:szCs w:val="22"/>
      <w:lang w:val="en-GB"/>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link w:val="Header"/>
    <w:uiPriority w:val="99"/>
    <w:locked/>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link w:val="Footer"/>
    <w:uiPriority w:val="99"/>
    <w:locked/>
  </w:style>
  <w:style w:type="paragraph" w:styleId="NormalWeb">
    <w:name w:val="Normal (Web)"/>
    <w:basedOn w:val="Normal"/>
    <w:uiPriority w:val="99"/>
    <w:semiHidden/>
    <w:unhideWhenUsed/>
    <w:rsid w:val="003B6BD1"/>
    <w:pPr>
      <w:spacing w:before="100" w:beforeAutospacing="1" w:after="100" w:afterAutospacing="1" w:line="240" w:lineRule="auto"/>
    </w:pPr>
    <w:rPr>
      <w:rFonts w:ascii="Times" w:eastAsia="MS Mincho" w:hAnsi="Times"/>
      <w:sz w:val="20"/>
      <w:szCs w:val="20"/>
      <w:lang w:val="nb-NO" w:eastAsia="nb-NO"/>
    </w:rPr>
  </w:style>
  <w:style w:type="character" w:styleId="PageNumber">
    <w:name w:val="page number"/>
    <w:uiPriority w:val="99"/>
    <w:semiHidden/>
    <w:unhideWhenUsed/>
    <w:rPr>
      <w:rFonts w:cs="Times New Roman"/>
    </w:rPr>
  </w:style>
  <w:style w:type="character" w:customStyle="1" w:styleId="tw4winMark">
    <w:name w:val="tw4winMark"/>
    <w:uiPriority w:val="99"/>
    <w:rPr>
      <w:rFonts w:ascii="Courier New" w:hAnsi="Courier New"/>
      <w:vanish/>
      <w:color w:val="800080"/>
      <w:vertAlign w:val="subscript"/>
    </w:rPr>
  </w:style>
  <w:style w:type="table" w:styleId="TableGrid">
    <w:name w:val="Table Grid"/>
    <w:basedOn w:val="TableNormal"/>
    <w:uiPriority w:val="59"/>
    <w:rsid w:val="00631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2672">
      <w:bodyDiv w:val="1"/>
      <w:marLeft w:val="0"/>
      <w:marRight w:val="0"/>
      <w:marTop w:val="0"/>
      <w:marBottom w:val="0"/>
      <w:divBdr>
        <w:top w:val="none" w:sz="0" w:space="0" w:color="auto"/>
        <w:left w:val="none" w:sz="0" w:space="0" w:color="auto"/>
        <w:bottom w:val="none" w:sz="0" w:space="0" w:color="auto"/>
        <w:right w:val="none" w:sz="0" w:space="0" w:color="auto"/>
      </w:divBdr>
    </w:div>
    <w:div w:id="217672568">
      <w:marLeft w:val="0"/>
      <w:marRight w:val="0"/>
      <w:marTop w:val="0"/>
      <w:marBottom w:val="0"/>
      <w:divBdr>
        <w:top w:val="none" w:sz="0" w:space="0" w:color="auto"/>
        <w:left w:val="none" w:sz="0" w:space="0" w:color="auto"/>
        <w:bottom w:val="none" w:sz="0" w:space="0" w:color="auto"/>
        <w:right w:val="none" w:sz="0" w:space="0" w:color="auto"/>
      </w:divBdr>
      <w:divsChild>
        <w:div w:id="217672572">
          <w:marLeft w:val="547"/>
          <w:marRight w:val="0"/>
          <w:marTop w:val="0"/>
          <w:marBottom w:val="0"/>
          <w:divBdr>
            <w:top w:val="none" w:sz="0" w:space="0" w:color="auto"/>
            <w:left w:val="none" w:sz="0" w:space="0" w:color="auto"/>
            <w:bottom w:val="none" w:sz="0" w:space="0" w:color="auto"/>
            <w:right w:val="none" w:sz="0" w:space="0" w:color="auto"/>
          </w:divBdr>
        </w:div>
        <w:div w:id="217672573">
          <w:marLeft w:val="547"/>
          <w:marRight w:val="0"/>
          <w:marTop w:val="0"/>
          <w:marBottom w:val="0"/>
          <w:divBdr>
            <w:top w:val="none" w:sz="0" w:space="0" w:color="auto"/>
            <w:left w:val="none" w:sz="0" w:space="0" w:color="auto"/>
            <w:bottom w:val="none" w:sz="0" w:space="0" w:color="auto"/>
            <w:right w:val="none" w:sz="0" w:space="0" w:color="auto"/>
          </w:divBdr>
        </w:div>
        <w:div w:id="217672575">
          <w:marLeft w:val="547"/>
          <w:marRight w:val="0"/>
          <w:marTop w:val="0"/>
          <w:marBottom w:val="0"/>
          <w:divBdr>
            <w:top w:val="none" w:sz="0" w:space="0" w:color="auto"/>
            <w:left w:val="none" w:sz="0" w:space="0" w:color="auto"/>
            <w:bottom w:val="none" w:sz="0" w:space="0" w:color="auto"/>
            <w:right w:val="none" w:sz="0" w:space="0" w:color="auto"/>
          </w:divBdr>
        </w:div>
      </w:divsChild>
    </w:div>
    <w:div w:id="217672569">
      <w:marLeft w:val="0"/>
      <w:marRight w:val="0"/>
      <w:marTop w:val="0"/>
      <w:marBottom w:val="0"/>
      <w:divBdr>
        <w:top w:val="none" w:sz="0" w:space="0" w:color="auto"/>
        <w:left w:val="none" w:sz="0" w:space="0" w:color="auto"/>
        <w:bottom w:val="none" w:sz="0" w:space="0" w:color="auto"/>
        <w:right w:val="none" w:sz="0" w:space="0" w:color="auto"/>
      </w:divBdr>
      <w:divsChild>
        <w:div w:id="217672570">
          <w:marLeft w:val="547"/>
          <w:marRight w:val="0"/>
          <w:marTop w:val="0"/>
          <w:marBottom w:val="0"/>
          <w:divBdr>
            <w:top w:val="none" w:sz="0" w:space="0" w:color="auto"/>
            <w:left w:val="none" w:sz="0" w:space="0" w:color="auto"/>
            <w:bottom w:val="none" w:sz="0" w:space="0" w:color="auto"/>
            <w:right w:val="none" w:sz="0" w:space="0" w:color="auto"/>
          </w:divBdr>
        </w:div>
        <w:div w:id="217672571">
          <w:marLeft w:val="547"/>
          <w:marRight w:val="0"/>
          <w:marTop w:val="0"/>
          <w:marBottom w:val="0"/>
          <w:divBdr>
            <w:top w:val="none" w:sz="0" w:space="0" w:color="auto"/>
            <w:left w:val="none" w:sz="0" w:space="0" w:color="auto"/>
            <w:bottom w:val="none" w:sz="0" w:space="0" w:color="auto"/>
            <w:right w:val="none" w:sz="0" w:space="0" w:color="auto"/>
          </w:divBdr>
        </w:div>
        <w:div w:id="217672574">
          <w:marLeft w:val="547"/>
          <w:marRight w:val="0"/>
          <w:marTop w:val="0"/>
          <w:marBottom w:val="0"/>
          <w:divBdr>
            <w:top w:val="none" w:sz="0" w:space="0" w:color="auto"/>
            <w:left w:val="none" w:sz="0" w:space="0" w:color="auto"/>
            <w:bottom w:val="none" w:sz="0" w:space="0" w:color="auto"/>
            <w:right w:val="none" w:sz="0" w:space="0" w:color="auto"/>
          </w:divBdr>
        </w:div>
      </w:divsChild>
    </w:div>
    <w:div w:id="577860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h-eiti.org/document/2015/07/06/2nd-PH-EITI-Annual-Activity-Repor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iti.org/files/NEITI%20Annual%20Activity%20Report%202014.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ti.org/files/drc_2014_aar.pdf" TargetMode="External"/><Relationship Id="rId5" Type="http://schemas.openxmlformats.org/officeDocument/2006/relationships/styles" Target="styles.xml"/><Relationship Id="rId15" Type="http://schemas.openxmlformats.org/officeDocument/2006/relationships/hyperlink" Target="https://eiti.org/files/usa_2014_annual_activity_report_aar.pdf" TargetMode="External"/><Relationship Id="rId23" Type="http://schemas.openxmlformats.org/officeDocument/2006/relationships/theme" Target="theme/theme1.xml"/><Relationship Id="rId10" Type="http://schemas.openxmlformats.org/officeDocument/2006/relationships/hyperlink" Target="https://eiti.org/files/Cameroon/Cameroon-2014-AAR-s.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iti.org/files/RELATORIO%20ACTIVIDADES%202014.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B1D86-AA22-46A8-8AF7-FE9884E6B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071007-62E0-5E42-89D8-16E08428DD65}">
  <ds:schemaRefs>
    <ds:schemaRef ds:uri="http://schemas.openxmlformats.org/officeDocument/2006/bibliography"/>
  </ds:schemaRefs>
</ds:datastoreItem>
</file>

<file path=customXml/itemProps3.xml><?xml version="1.0" encoding="utf-8"?>
<ds:datastoreItem xmlns:ds="http://schemas.openxmlformats.org/officeDocument/2006/customXml" ds:itemID="{CAC6FB93-0455-474C-9709-7346A5C35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3421</Words>
  <Characters>18133</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Intility AS</Company>
  <LinksUpToDate>false</LinksUpToDate>
  <CharactersWithSpaces>21511</CharactersWithSpaces>
  <SharedDoc>false</SharedDoc>
  <HLinks>
    <vt:vector size="36" baseType="variant">
      <vt:variant>
        <vt:i4>7077894</vt:i4>
      </vt:variant>
      <vt:variant>
        <vt:i4>15</vt:i4>
      </vt:variant>
      <vt:variant>
        <vt:i4>0</vt:i4>
      </vt:variant>
      <vt:variant>
        <vt:i4>5</vt:i4>
      </vt:variant>
      <vt:variant>
        <vt:lpwstr>https://eiti.org/files/usa_2014_annual_activity_report_aar.pdf</vt:lpwstr>
      </vt:variant>
      <vt:variant>
        <vt:lpwstr/>
      </vt:variant>
      <vt:variant>
        <vt:i4>5111824</vt:i4>
      </vt:variant>
      <vt:variant>
        <vt:i4>12</vt:i4>
      </vt:variant>
      <vt:variant>
        <vt:i4>0</vt:i4>
      </vt:variant>
      <vt:variant>
        <vt:i4>5</vt:i4>
      </vt:variant>
      <vt:variant>
        <vt:lpwstr>https://eiti.org/files/RELATORIO ACTIVIDADES 2014.pdf</vt:lpwstr>
      </vt:variant>
      <vt:variant>
        <vt:lpwstr/>
      </vt:variant>
      <vt:variant>
        <vt:i4>1114113</vt:i4>
      </vt:variant>
      <vt:variant>
        <vt:i4>9</vt:i4>
      </vt:variant>
      <vt:variant>
        <vt:i4>0</vt:i4>
      </vt:variant>
      <vt:variant>
        <vt:i4>5</vt:i4>
      </vt:variant>
      <vt:variant>
        <vt:lpwstr>http://www.ph-eiti.org/document/2015/07/06/2nd-PH-EITI-Annual-Activity-Report.pdf</vt:lpwstr>
      </vt:variant>
      <vt:variant>
        <vt:lpwstr/>
      </vt:variant>
      <vt:variant>
        <vt:i4>1572935</vt:i4>
      </vt:variant>
      <vt:variant>
        <vt:i4>6</vt:i4>
      </vt:variant>
      <vt:variant>
        <vt:i4>0</vt:i4>
      </vt:variant>
      <vt:variant>
        <vt:i4>5</vt:i4>
      </vt:variant>
      <vt:variant>
        <vt:lpwstr>https://eiti.org/files/NEITI Annual Activity Report 2014.pdf</vt:lpwstr>
      </vt:variant>
      <vt:variant>
        <vt:lpwstr/>
      </vt:variant>
      <vt:variant>
        <vt:i4>1048651</vt:i4>
      </vt:variant>
      <vt:variant>
        <vt:i4>3</vt:i4>
      </vt:variant>
      <vt:variant>
        <vt:i4>0</vt:i4>
      </vt:variant>
      <vt:variant>
        <vt:i4>5</vt:i4>
      </vt:variant>
      <vt:variant>
        <vt:lpwstr>https://eiti.org/files/drc_2014_aar.pdf</vt:lpwstr>
      </vt:variant>
      <vt:variant>
        <vt:lpwstr/>
      </vt:variant>
      <vt:variant>
        <vt:i4>7405614</vt:i4>
      </vt:variant>
      <vt:variant>
        <vt:i4>0</vt:i4>
      </vt:variant>
      <vt:variant>
        <vt:i4>0</vt:i4>
      </vt:variant>
      <vt:variant>
        <vt:i4>5</vt:i4>
      </vt:variant>
      <vt:variant>
        <vt:lpwstr>https://eiti.org/files/Cameroon/Cameroon-2014-AAR-s.pdf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Dyveke Rogan</dc:creator>
  <cp:keywords/>
  <cp:lastModifiedBy>Anlaug Øvergaard Østby</cp:lastModifiedBy>
  <cp:revision>2</cp:revision>
  <dcterms:created xsi:type="dcterms:W3CDTF">2022-01-24T11:19:00Z</dcterms:created>
  <dcterms:modified xsi:type="dcterms:W3CDTF">2022-01-24T11:19:00Z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