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7E7" w14:textId="58DBD44E" w:rsidR="00C96BED" w:rsidRPr="00E90C39" w:rsidRDefault="004B4B22" w:rsidP="00627E14">
      <w:pPr>
        <w:pStyle w:val="MainTitle"/>
      </w:pPr>
      <w:bookmarkStart w:id="0" w:name="_GoBack"/>
      <w:bookmarkEnd w:id="0"/>
      <w:r>
        <w:t>Papua New Guinea</w:t>
      </w:r>
      <w:r w:rsidR="00C6608B">
        <w:t xml:space="preserve">, </w:t>
      </w:r>
      <w:r w:rsidR="00704ADA">
        <w:t xml:space="preserve">2017 to March </w:t>
      </w:r>
      <w:r>
        <w:t>2022</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0856C11D"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sidR="00EC2E32">
              <w:rPr>
                <w:noProof/>
                <w:webHidden/>
              </w:rPr>
              <w:t>1</w:t>
            </w:r>
            <w:r>
              <w:rPr>
                <w:noProof/>
                <w:webHidden/>
              </w:rPr>
              <w:fldChar w:fldCharType="end"/>
            </w:r>
          </w:hyperlink>
        </w:p>
        <w:p w14:paraId="3BF309CA" w14:textId="214A9A2B" w:rsidR="00C6608B" w:rsidRDefault="006F55C9">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EC2E32">
              <w:rPr>
                <w:noProof/>
                <w:webHidden/>
              </w:rPr>
              <w:t>2</w:t>
            </w:r>
            <w:r w:rsidR="00C6608B">
              <w:rPr>
                <w:noProof/>
                <w:webHidden/>
              </w:rPr>
              <w:fldChar w:fldCharType="end"/>
            </w:r>
          </w:hyperlink>
        </w:p>
        <w:p w14:paraId="75CB6651" w14:textId="66C7FA92" w:rsidR="00C6608B" w:rsidRDefault="006F55C9">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EC2E32">
              <w:rPr>
                <w:noProof/>
                <w:webHidden/>
              </w:rPr>
              <w:t>2</w:t>
            </w:r>
            <w:r w:rsidR="00C6608B">
              <w:rPr>
                <w:noProof/>
                <w:webHidden/>
              </w:rPr>
              <w:fldChar w:fldCharType="end"/>
            </w:r>
          </w:hyperlink>
        </w:p>
        <w:p w14:paraId="17212CC3" w14:textId="4E3D8FCE" w:rsidR="00C6608B" w:rsidRDefault="006F55C9">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EC2E32">
              <w:rPr>
                <w:noProof/>
                <w:webHidden/>
              </w:rPr>
              <w:t>10</w:t>
            </w:r>
            <w:r w:rsidR="00C6608B">
              <w:rPr>
                <w:noProof/>
                <w:webHidden/>
              </w:rPr>
              <w:fldChar w:fldCharType="end"/>
            </w:r>
          </w:hyperlink>
        </w:p>
        <w:p w14:paraId="6EBEE7B7" w14:textId="2C006DC6" w:rsidR="00C6608B" w:rsidRDefault="006F55C9">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EC2E32">
              <w:rPr>
                <w:noProof/>
                <w:webHidden/>
              </w:rPr>
              <w:t>25</w:t>
            </w:r>
            <w:r w:rsidR="00C6608B">
              <w:rPr>
                <w:noProof/>
                <w:webHidden/>
              </w:rPr>
              <w:fldChar w:fldCharType="end"/>
            </w:r>
          </w:hyperlink>
        </w:p>
        <w:p w14:paraId="2CCC3E22" w14:textId="4E3012CF" w:rsidR="00C6608B" w:rsidRDefault="006F55C9">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EC2E32">
              <w:rPr>
                <w:noProof/>
                <w:webHidden/>
              </w:rPr>
              <w:t>32</w:t>
            </w:r>
            <w:r w:rsidR="00C6608B">
              <w:rPr>
                <w:noProof/>
                <w:webHidden/>
              </w:rPr>
              <w:fldChar w:fldCharType="end"/>
            </w:r>
          </w:hyperlink>
        </w:p>
        <w:p w14:paraId="3278727F" w14:textId="164E4BCB" w:rsidR="00C6608B" w:rsidRDefault="006F55C9">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EC2E32">
              <w:rPr>
                <w:noProof/>
                <w:webHidden/>
              </w:rPr>
              <w:t>32</w:t>
            </w:r>
            <w:r w:rsidR="00C6608B">
              <w:rPr>
                <w:noProof/>
                <w:webHidden/>
              </w:rPr>
              <w:fldChar w:fldCharType="end"/>
            </w:r>
          </w:hyperlink>
        </w:p>
        <w:p w14:paraId="51CD4B4D" w14:textId="1943F3E6" w:rsidR="00C6608B" w:rsidRDefault="006F55C9">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EC2E32">
              <w:rPr>
                <w:noProof/>
                <w:webHidden/>
              </w:rPr>
              <w:t>33</w:t>
            </w:r>
            <w:r w:rsidR="00C6608B">
              <w:rPr>
                <w:noProof/>
                <w:webHidden/>
              </w:rPr>
              <w:fldChar w:fldCharType="end"/>
            </w:r>
          </w:hyperlink>
        </w:p>
        <w:p w14:paraId="4BCEA8A8" w14:textId="34859470" w:rsidR="00C6608B" w:rsidRDefault="006F55C9">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EC2E32">
              <w:rPr>
                <w:noProof/>
                <w:webHidden/>
              </w:rPr>
              <w:t>45</w:t>
            </w:r>
            <w:r w:rsidR="00C6608B">
              <w:rPr>
                <w:noProof/>
                <w:webHidden/>
              </w:rPr>
              <w:fldChar w:fldCharType="end"/>
            </w:r>
          </w:hyperlink>
        </w:p>
        <w:p w14:paraId="52290D25" w14:textId="63278F37" w:rsidR="00C6608B" w:rsidRDefault="006F55C9">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EC2E32">
              <w:rPr>
                <w:noProof/>
                <w:webHidden/>
              </w:rPr>
              <w:t>53</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1" w:name="_Toc57973524"/>
      <w:r w:rsidRPr="0060568E">
        <w:rPr>
          <w:rFonts w:ascii="Franklin Gothic Book" w:hAnsi="Franklin Gothic Book"/>
        </w:rPr>
        <w:t>Introduction</w:t>
      </w:r>
      <w:bookmarkEnd w:id="1"/>
    </w:p>
    <w:p w14:paraId="6992DC14" w14:textId="77777777" w:rsidR="00C6608B" w:rsidRDefault="00C6608B" w:rsidP="00704ADA">
      <w:pPr>
        <w:jc w:val="both"/>
      </w:pPr>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704ADA">
      <w:pPr>
        <w:jc w:val="both"/>
      </w:pPr>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704ADA">
      <w:pPr>
        <w:jc w:val="both"/>
      </w:pPr>
      <w: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704ADA">
      <w:pPr>
        <w:jc w:val="both"/>
      </w:pPr>
      <w:r>
        <w:lastRenderedPageBreak/>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704ADA">
      <w:pPr>
        <w:jc w:val="both"/>
      </w:pPr>
      <w:r>
        <w:t>The MSG’s annual review of the outcomes and impact of EITI implementation should be publicly available, and stakeholders beyond MSG members should have an opportunity to provide feedback on the EITI process (Requirement 7.4).</w:t>
      </w:r>
    </w:p>
    <w:p w14:paraId="353E1B3A" w14:textId="77777777" w:rsidR="00C6608B" w:rsidRPr="0060568E" w:rsidRDefault="00C6608B" w:rsidP="00C6608B">
      <w:pPr>
        <w:pStyle w:val="Heading1"/>
        <w:rPr>
          <w:rFonts w:ascii="Franklin Gothic Book" w:hAnsi="Franklin Gothic Book"/>
        </w:rPr>
      </w:pPr>
      <w:r w:rsidRPr="0060568E">
        <w:rPr>
          <w:rFonts w:ascii="Franklin Gothic Book" w:hAnsi="Franklin Gothic Book"/>
        </w:rPr>
        <w:br/>
      </w:r>
      <w:bookmarkStart w:id="2" w:name="_Toc57973525"/>
      <w:r w:rsidRPr="0060568E">
        <w:rPr>
          <w:rFonts w:ascii="Franklin Gothic Book" w:hAnsi="Franklin Gothic Book"/>
        </w:rPr>
        <w:t>Part I: Relevance of EITI implementation</w:t>
      </w:r>
      <w:bookmarkEnd w:id="2"/>
    </w:p>
    <w:p w14:paraId="6FDB00B4" w14:textId="77777777" w:rsidR="00C6608B" w:rsidRPr="0060568E" w:rsidRDefault="00C6608B" w:rsidP="00C6608B">
      <w:pPr>
        <w:pStyle w:val="Heading2"/>
      </w:pPr>
      <w:bookmarkStart w:id="3" w:name="_Toc57973526"/>
      <w:r w:rsidRPr="0060568E">
        <w:t>Work plan</w:t>
      </w:r>
      <w:r>
        <w:t xml:space="preserve"> (Requirement 1.5)</w:t>
      </w:r>
      <w:bookmarkEnd w:id="3"/>
    </w:p>
    <w:p w14:paraId="3FB6F0D4" w14:textId="77777777" w:rsidR="00C6608B" w:rsidRPr="00627159" w:rsidRDefault="00C6608B" w:rsidP="00C6608B">
      <w:pPr>
        <w:rPr>
          <w:b/>
          <w:bCs/>
        </w:rPr>
      </w:pPr>
      <w:r w:rsidRPr="00627159">
        <w:rPr>
          <w:b/>
          <w:bCs/>
        </w:rPr>
        <w:t>1. Basic information about the current EITI work plan.</w:t>
      </w:r>
    </w:p>
    <w:tbl>
      <w:tblPr>
        <w:tblStyle w:val="TableGrid"/>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91"/>
        <w:gridCol w:w="8632"/>
      </w:tblGrid>
      <w:tr w:rsidR="00C6608B" w14:paraId="3AB307A1" w14:textId="77777777" w:rsidTr="00485EE9">
        <w:tc>
          <w:tcPr>
            <w:tcW w:w="1291" w:type="dxa"/>
          </w:tcPr>
          <w:p w14:paraId="6841BD2B" w14:textId="77777777" w:rsidR="00C6608B" w:rsidRDefault="00C6608B" w:rsidP="003A45E9">
            <w:r>
              <w:t>Period covered by the current EITI work plan</w:t>
            </w:r>
          </w:p>
        </w:tc>
        <w:tc>
          <w:tcPr>
            <w:tcW w:w="8632" w:type="dxa"/>
          </w:tcPr>
          <w:p w14:paraId="42B32702" w14:textId="77777777" w:rsidR="00C6608B" w:rsidRPr="002143B4" w:rsidRDefault="00D8350B" w:rsidP="000C24EC">
            <w:pPr>
              <w:jc w:val="both"/>
            </w:pPr>
            <w:r w:rsidRPr="002143B4">
              <w:t>January – December 2022</w:t>
            </w:r>
          </w:p>
          <w:p w14:paraId="4C7B4255" w14:textId="124421EA" w:rsidR="00D8350B" w:rsidRPr="002143B4" w:rsidRDefault="00D8350B" w:rsidP="000C24EC">
            <w:pPr>
              <w:jc w:val="both"/>
            </w:pPr>
            <w:r w:rsidRPr="002143B4">
              <w:t>2022 Workplan</w:t>
            </w:r>
            <w:r w:rsidR="002143B4">
              <w:t xml:space="preserve"> can be</w:t>
            </w:r>
            <w:r w:rsidRPr="002143B4">
              <w:t xml:space="preserve"> accessed via this link</w:t>
            </w:r>
          </w:p>
          <w:p w14:paraId="1D994C14" w14:textId="41ECB96D" w:rsidR="00D8350B" w:rsidRPr="0068384F" w:rsidRDefault="006F55C9" w:rsidP="000C24EC">
            <w:pPr>
              <w:jc w:val="both"/>
              <w:rPr>
                <w:i/>
                <w:iCs/>
              </w:rPr>
            </w:pPr>
            <w:hyperlink r:id="rId11" w:history="1">
              <w:r w:rsidR="002143B4" w:rsidRPr="0068384F">
                <w:rPr>
                  <w:rStyle w:val="Hyperlink"/>
                  <w:i/>
                  <w:iCs/>
                </w:rPr>
                <w:t>http://www.pngeiti.org.pg/wp-content/uploads/2021/12/2022-Workplan.pdf</w:t>
              </w:r>
            </w:hyperlink>
          </w:p>
          <w:p w14:paraId="732099BE" w14:textId="761DCEDC" w:rsidR="002143B4" w:rsidRDefault="002143B4" w:rsidP="000C24EC">
            <w:pPr>
              <w:jc w:val="both"/>
            </w:pPr>
            <w:r w:rsidRPr="002143B4">
              <w:t>Minutes Approving</w:t>
            </w:r>
            <w:r>
              <w:t xml:space="preserve"> 2022 workplan can be accessed via this link:</w:t>
            </w:r>
          </w:p>
          <w:p w14:paraId="3D0317C0" w14:textId="5AD5B738" w:rsidR="002143B4" w:rsidRPr="0068384F" w:rsidRDefault="006F55C9" w:rsidP="000C24EC">
            <w:pPr>
              <w:jc w:val="both"/>
              <w:rPr>
                <w:i/>
                <w:iCs/>
              </w:rPr>
            </w:pPr>
            <w:hyperlink r:id="rId12" w:history="1">
              <w:r w:rsidR="002143B4" w:rsidRPr="0068384F">
                <w:rPr>
                  <w:rStyle w:val="Hyperlink"/>
                  <w:i/>
                  <w:iCs/>
                </w:rPr>
                <w:t>http://www.pngeiti.org.pg/wp-content/uploads/2018/04/Minutes-of-MSG-Meeting-No.03-of-2021.pdf</w:t>
              </w:r>
            </w:hyperlink>
          </w:p>
        </w:tc>
      </w:tr>
      <w:tr w:rsidR="00C6608B" w14:paraId="2BC59BD5" w14:textId="77777777" w:rsidTr="00485EE9">
        <w:tc>
          <w:tcPr>
            <w:tcW w:w="1291" w:type="dxa"/>
          </w:tcPr>
          <w:p w14:paraId="01386E07" w14:textId="77777777" w:rsidR="00C6608B" w:rsidRDefault="00C6608B" w:rsidP="003A45E9">
            <w:r>
              <w:t>Information on how the public can access the work plan.</w:t>
            </w:r>
          </w:p>
        </w:tc>
        <w:tc>
          <w:tcPr>
            <w:tcW w:w="8632" w:type="dxa"/>
          </w:tcPr>
          <w:p w14:paraId="3B575837" w14:textId="72359A6B" w:rsidR="002143B4" w:rsidRPr="002143B4" w:rsidRDefault="002143B4" w:rsidP="003A45E9">
            <w:r>
              <w:t>The work plan is publicly accessible via this link:</w:t>
            </w:r>
          </w:p>
          <w:p w14:paraId="6CE1C168" w14:textId="27026294" w:rsidR="0068384F" w:rsidRPr="0068384F" w:rsidRDefault="006F55C9" w:rsidP="003A45E9">
            <w:pPr>
              <w:rPr>
                <w:i/>
                <w:iCs/>
              </w:rPr>
            </w:pPr>
            <w:hyperlink r:id="rId13" w:history="1">
              <w:r w:rsidR="0068384F" w:rsidRPr="00530F4D">
                <w:rPr>
                  <w:rStyle w:val="Hyperlink"/>
                  <w:i/>
                  <w:iCs/>
                </w:rPr>
                <w:t>http://www.pngeiti.org.pg/pngeiti-annual-workplans/</w:t>
              </w:r>
            </w:hyperlink>
          </w:p>
        </w:tc>
      </w:tr>
      <w:tr w:rsidR="00C6608B" w14:paraId="55D17F07" w14:textId="77777777" w:rsidTr="00485EE9">
        <w:tc>
          <w:tcPr>
            <w:tcW w:w="1291" w:type="dxa"/>
          </w:tcPr>
          <w:p w14:paraId="56F812B8" w14:textId="77777777" w:rsidR="00C6608B" w:rsidRDefault="00C6608B" w:rsidP="003A45E9">
            <w:r>
              <w:t>Process for producing the current EITI work plan</w:t>
            </w:r>
          </w:p>
        </w:tc>
        <w:tc>
          <w:tcPr>
            <w:tcW w:w="8632" w:type="dxa"/>
          </w:tcPr>
          <w:p w14:paraId="33BFA0D3" w14:textId="77777777" w:rsidR="00C6608B" w:rsidRDefault="00C6608B" w:rsidP="000C24EC">
            <w:pPr>
              <w:jc w:val="both"/>
              <w:rPr>
                <w:i/>
                <w:iCs/>
              </w:rPr>
            </w:pPr>
            <w:r>
              <w:rPr>
                <w:i/>
                <w:iCs/>
              </w:rPr>
              <w:t>[Summarise the process here. Include references to MSG meetings and other events where the work plan was discussed.]</w:t>
            </w:r>
          </w:p>
          <w:p w14:paraId="6237560E" w14:textId="0375DC6B" w:rsidR="00F266E6" w:rsidRDefault="00F266E6" w:rsidP="000C24EC">
            <w:pPr>
              <w:jc w:val="both"/>
            </w:pPr>
            <w:r>
              <w:t xml:space="preserve">The </w:t>
            </w:r>
            <w:r w:rsidR="00C60A05">
              <w:t>PNGEITI</w:t>
            </w:r>
            <w:r>
              <w:t xml:space="preserve"> </w:t>
            </w:r>
            <w:hyperlink r:id="rId14" w:history="1">
              <w:r w:rsidRPr="00801B92">
                <w:rPr>
                  <w:rStyle w:val="Hyperlink"/>
                </w:rPr>
                <w:t>workplan for 2022</w:t>
              </w:r>
            </w:hyperlink>
            <w:r>
              <w:t xml:space="preserve"> was prepared by the National Secretariat, reviewed, discussed and </w:t>
            </w:r>
            <w:r w:rsidR="00485EE9">
              <w:t>approved by</w:t>
            </w:r>
            <w:r>
              <w:t xml:space="preserve"> the MSG</w:t>
            </w:r>
            <w:r w:rsidR="00801B92">
              <w:t xml:space="preserve"> </w:t>
            </w:r>
            <w:r>
              <w:t xml:space="preserve">in </w:t>
            </w:r>
            <w:hyperlink r:id="rId15" w:history="1">
              <w:r w:rsidRPr="00801B92">
                <w:rPr>
                  <w:rStyle w:val="Hyperlink"/>
                </w:rPr>
                <w:t>the 3</w:t>
              </w:r>
              <w:r w:rsidRPr="00801B92">
                <w:rPr>
                  <w:rStyle w:val="Hyperlink"/>
                  <w:vertAlign w:val="superscript"/>
                </w:rPr>
                <w:t>rd</w:t>
              </w:r>
              <w:r w:rsidRPr="00801B92">
                <w:rPr>
                  <w:rStyle w:val="Hyperlink"/>
                </w:rPr>
                <w:t xml:space="preserve"> quarter MSG meeting on the 15</w:t>
              </w:r>
              <w:r w:rsidRPr="00801B92">
                <w:rPr>
                  <w:rStyle w:val="Hyperlink"/>
                  <w:vertAlign w:val="superscript"/>
                </w:rPr>
                <w:t>th</w:t>
              </w:r>
              <w:r w:rsidRPr="00801B92">
                <w:rPr>
                  <w:rStyle w:val="Hyperlink"/>
                </w:rPr>
                <w:t xml:space="preserve"> of December 2021</w:t>
              </w:r>
            </w:hyperlink>
          </w:p>
          <w:p w14:paraId="3C4D0B6F" w14:textId="77777777" w:rsidR="00801B92" w:rsidRDefault="00801B92" w:rsidP="000C24EC">
            <w:pPr>
              <w:jc w:val="both"/>
            </w:pPr>
            <w:r>
              <w:t>The 2022 annual plan objectives are:</w:t>
            </w:r>
          </w:p>
          <w:p w14:paraId="3B3EE27F" w14:textId="5B959816" w:rsidR="00801B92" w:rsidRDefault="00801B92" w:rsidP="00CA5D09">
            <w:pPr>
              <w:pStyle w:val="ListParagraph"/>
              <w:numPr>
                <w:ilvl w:val="0"/>
                <w:numId w:val="3"/>
              </w:numPr>
              <w:jc w:val="both"/>
            </w:pPr>
            <w:r>
              <w:t>Ensuring a well</w:t>
            </w:r>
            <w:r w:rsidR="000C24EC">
              <w:t>-established and fully functional National Secretariat Office and MSG</w:t>
            </w:r>
          </w:p>
          <w:p w14:paraId="5C20527E" w14:textId="77777777" w:rsidR="000C24EC" w:rsidRDefault="000C24EC" w:rsidP="00CA5D09">
            <w:pPr>
              <w:pStyle w:val="ListParagraph"/>
              <w:numPr>
                <w:ilvl w:val="0"/>
                <w:numId w:val="3"/>
              </w:numPr>
              <w:jc w:val="both"/>
            </w:pPr>
            <w:r>
              <w:t>Show extractive industries contribution (direct and indirect) to the PNG Economy</w:t>
            </w:r>
          </w:p>
          <w:p w14:paraId="65DA6A0B" w14:textId="77777777" w:rsidR="000C24EC" w:rsidRDefault="000C24EC" w:rsidP="00CA5D09">
            <w:pPr>
              <w:pStyle w:val="ListParagraph"/>
              <w:numPr>
                <w:ilvl w:val="0"/>
                <w:numId w:val="3"/>
              </w:numPr>
              <w:jc w:val="both"/>
            </w:pPr>
            <w:r>
              <w:lastRenderedPageBreak/>
              <w:t>Improving public understanding in the management of extractive industries</w:t>
            </w:r>
          </w:p>
          <w:p w14:paraId="34960E29" w14:textId="77777777" w:rsidR="000C24EC" w:rsidRDefault="000C24EC" w:rsidP="00CA5D09">
            <w:pPr>
              <w:pStyle w:val="ListParagraph"/>
              <w:numPr>
                <w:ilvl w:val="0"/>
                <w:numId w:val="3"/>
              </w:numPr>
              <w:jc w:val="both"/>
            </w:pPr>
            <w:r>
              <w:t>Strengthen revenue generation and collection that is consistent with government policy setting and national development priorities</w:t>
            </w:r>
          </w:p>
          <w:p w14:paraId="05A78D52" w14:textId="77777777" w:rsidR="000C24EC" w:rsidRDefault="000C24EC" w:rsidP="00CA5D09">
            <w:pPr>
              <w:pStyle w:val="ListParagraph"/>
              <w:numPr>
                <w:ilvl w:val="0"/>
                <w:numId w:val="3"/>
              </w:numPr>
              <w:jc w:val="both"/>
            </w:pPr>
            <w:r>
              <w:t>Endeavour to fully implement PNGEITI report recommendation as directed by cabinet</w:t>
            </w:r>
          </w:p>
          <w:p w14:paraId="3A5E0CD8" w14:textId="1956AD7B" w:rsidR="000C24EC" w:rsidRDefault="000C24EC" w:rsidP="00CA5D09">
            <w:pPr>
              <w:pStyle w:val="ListParagraph"/>
              <w:numPr>
                <w:ilvl w:val="0"/>
                <w:numId w:val="3"/>
              </w:numPr>
              <w:jc w:val="both"/>
            </w:pPr>
            <w:r>
              <w:t>Monitoring and evaluation (M&amp;E)</w:t>
            </w:r>
          </w:p>
          <w:p w14:paraId="462023F3" w14:textId="411A5F6C" w:rsidR="000C24EC" w:rsidRDefault="000C24EC" w:rsidP="00C53F47">
            <w:pPr>
              <w:jc w:val="both"/>
              <w:rPr>
                <w:rStyle w:val="normaltextrun"/>
                <w:color w:val="262626"/>
                <w:shd w:val="clear" w:color="auto" w:fill="FFFFFF"/>
              </w:rPr>
            </w:pPr>
            <w:r>
              <w:rPr>
                <w:rStyle w:val="normaltextrun"/>
                <w:color w:val="262626"/>
                <w:shd w:val="clear" w:color="auto" w:fill="FFFFFF"/>
              </w:rPr>
              <w:t xml:space="preserve">The plan </w:t>
            </w:r>
            <w:r w:rsidR="00485EE9">
              <w:rPr>
                <w:rStyle w:val="normaltextrun"/>
                <w:color w:val="262626"/>
                <w:shd w:val="clear" w:color="auto" w:fill="FFFFFF"/>
              </w:rPr>
              <w:t>emphasizes</w:t>
            </w:r>
            <w:r>
              <w:rPr>
                <w:rStyle w:val="normaltextrun"/>
                <w:color w:val="262626"/>
                <w:shd w:val="clear" w:color="auto" w:fill="FFFFFF"/>
              </w:rPr>
              <w:t xml:space="preserve"> global objectives of sustaining transparency and accountability in the extractive sector by ensuring systematic data disclosures and making data more relevant and meaningful to the public.</w:t>
            </w:r>
          </w:p>
          <w:p w14:paraId="71C4DE5F" w14:textId="4DEB8291" w:rsidR="00173301" w:rsidRDefault="000C24EC" w:rsidP="00A33824">
            <w:pPr>
              <w:contextualSpacing/>
              <w:jc w:val="both"/>
              <w:rPr>
                <w:rStyle w:val="normaltextrun"/>
                <w:color w:val="000000"/>
                <w:shd w:val="clear" w:color="auto" w:fill="FFFFFF"/>
              </w:rPr>
            </w:pPr>
            <w:r>
              <w:rPr>
                <w:rStyle w:val="normaltextrun"/>
                <w:color w:val="000000"/>
                <w:shd w:val="clear" w:color="auto" w:fill="FFFFFF"/>
              </w:rPr>
              <w:t>The 2022 annual workplan has been developed by reviewing the PNGEITI’s progress in implementing its previous annual work plans; taking into consideration outstanding activities that needed to be actioned fro</w:t>
            </w:r>
            <w:r w:rsidR="00173301">
              <w:rPr>
                <w:rStyle w:val="normaltextrun"/>
                <w:color w:val="000000"/>
                <w:shd w:val="clear" w:color="auto" w:fill="FFFFFF"/>
              </w:rPr>
              <w:t>m</w:t>
            </w:r>
            <w:r w:rsidR="00A33824">
              <w:rPr>
                <w:rStyle w:val="normaltextrun"/>
                <w:color w:val="000000"/>
                <w:shd w:val="clear" w:color="auto" w:fill="FFFFFF"/>
              </w:rPr>
              <w:t xml:space="preserve">; </w:t>
            </w:r>
            <w:r>
              <w:rPr>
                <w:rStyle w:val="normaltextrun"/>
                <w:color w:val="000000"/>
                <w:shd w:val="clear" w:color="auto" w:fill="FFFFFF"/>
              </w:rPr>
              <w:t xml:space="preserve"> </w:t>
            </w:r>
          </w:p>
          <w:p w14:paraId="0EF943E1" w14:textId="6C2698E3"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previous </w:t>
            </w:r>
            <w:r w:rsidR="00A33824">
              <w:rPr>
                <w:rStyle w:val="normaltextrun"/>
                <w:color w:val="000000"/>
                <w:shd w:val="clear" w:color="auto" w:fill="FFFFFF"/>
              </w:rPr>
              <w:t xml:space="preserve">annual </w:t>
            </w:r>
            <w:r w:rsidR="00173301">
              <w:rPr>
                <w:rStyle w:val="normaltextrun"/>
                <w:color w:val="000000"/>
                <w:shd w:val="clear" w:color="auto" w:fill="FFFFFF"/>
              </w:rPr>
              <w:t>work</w:t>
            </w:r>
            <w:r w:rsidRPr="00173301">
              <w:rPr>
                <w:rStyle w:val="normaltextrun"/>
                <w:color w:val="000000"/>
                <w:shd w:val="clear" w:color="auto" w:fill="FFFFFF"/>
              </w:rPr>
              <w:t xml:space="preserve">plans, </w:t>
            </w:r>
          </w:p>
          <w:p w14:paraId="1E470D78" w14:textId="1EABF4EE" w:rsidR="00173301" w:rsidRP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recommendations from previous PNGEITI reports (8 reports)</w:t>
            </w:r>
            <w:r w:rsidR="00173301">
              <w:rPr>
                <w:rStyle w:val="normaltextrun"/>
                <w:color w:val="000000"/>
                <w:shd w:val="clear" w:color="auto" w:fill="FFFFFF"/>
              </w:rPr>
              <w:t xml:space="preserve"> </w:t>
            </w:r>
            <w:r w:rsidRPr="00173301">
              <w:rPr>
                <w:rStyle w:val="normaltextrun"/>
                <w:color w:val="000000"/>
                <w:shd w:val="clear" w:color="auto" w:fill="FFFFFF"/>
              </w:rPr>
              <w:t xml:space="preserve">including NEC Directives from these recommendations, </w:t>
            </w:r>
          </w:p>
          <w:p w14:paraId="4182BA26" w14:textId="77777777"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recommendations from various scoping study reports (SOE, Sub-national payments, Beneficial Ownership disclosure, Contract Transparency etc.) that have been published, </w:t>
            </w:r>
          </w:p>
          <w:p w14:paraId="68A2A9D2" w14:textId="77777777" w:rsid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actions areas (gaps identified) from PNG’s first validation, </w:t>
            </w:r>
          </w:p>
          <w:p w14:paraId="17E2395C" w14:textId="0E1C440B" w:rsidR="000C24EC" w:rsidRPr="00173301" w:rsidRDefault="000C24EC" w:rsidP="00134395">
            <w:pPr>
              <w:pStyle w:val="ListParagraph"/>
              <w:numPr>
                <w:ilvl w:val="0"/>
                <w:numId w:val="26"/>
              </w:numPr>
              <w:contextualSpacing/>
              <w:jc w:val="both"/>
              <w:rPr>
                <w:rStyle w:val="normaltextrun"/>
                <w:color w:val="000000"/>
                <w:shd w:val="clear" w:color="auto" w:fill="FFFFFF"/>
              </w:rPr>
            </w:pPr>
            <w:r w:rsidRPr="00173301">
              <w:rPr>
                <w:rStyle w:val="normaltextrun"/>
                <w:color w:val="000000"/>
                <w:shd w:val="clear" w:color="auto" w:fill="FFFFFF"/>
              </w:rPr>
              <w:t xml:space="preserve">other </w:t>
            </w:r>
            <w:r w:rsidR="00173301">
              <w:rPr>
                <w:rStyle w:val="normaltextrun"/>
                <w:color w:val="000000"/>
                <w:shd w:val="clear" w:color="auto" w:fill="FFFFFF"/>
              </w:rPr>
              <w:t>priority</w:t>
            </w:r>
            <w:r w:rsidRPr="00173301">
              <w:rPr>
                <w:rStyle w:val="normaltextrun"/>
                <w:color w:val="000000"/>
                <w:shd w:val="clear" w:color="auto" w:fill="FFFFFF"/>
              </w:rPr>
              <w:t xml:space="preserve"> areas that are </w:t>
            </w:r>
            <w:r w:rsidR="00A42CCA">
              <w:rPr>
                <w:rStyle w:val="normaltextrun"/>
                <w:color w:val="000000"/>
                <w:shd w:val="clear" w:color="auto" w:fill="FFFFFF"/>
              </w:rPr>
              <w:t xml:space="preserve">not directly provisioned under the </w:t>
            </w:r>
            <w:r w:rsidRPr="00173301">
              <w:rPr>
                <w:rStyle w:val="normaltextrun"/>
                <w:color w:val="000000"/>
                <w:shd w:val="clear" w:color="auto" w:fill="FFFFFF"/>
              </w:rPr>
              <w:t>EITI Standard such as the establish</w:t>
            </w:r>
            <w:r w:rsidR="00A42CCA">
              <w:rPr>
                <w:rStyle w:val="normaltextrun"/>
                <w:color w:val="000000"/>
                <w:shd w:val="clear" w:color="auto" w:fill="FFFFFF"/>
              </w:rPr>
              <w:t>ment PNGEITI as a statutory body</w:t>
            </w:r>
            <w:r w:rsidRPr="00173301">
              <w:rPr>
                <w:rStyle w:val="normaltextrun"/>
                <w:color w:val="000000"/>
                <w:shd w:val="clear" w:color="auto" w:fill="FFFFFF"/>
              </w:rPr>
              <w:t xml:space="preserve"> with the drafting of the PNGEIT Commission Bill </w:t>
            </w:r>
            <w:r w:rsidR="00A42CCA">
              <w:rPr>
                <w:rStyle w:val="normaltextrun"/>
                <w:color w:val="000000"/>
                <w:shd w:val="clear" w:color="auto" w:fill="FFFFFF"/>
              </w:rPr>
              <w:t>to be followed by a</w:t>
            </w:r>
            <w:r w:rsidRPr="00173301">
              <w:rPr>
                <w:rStyle w:val="normaltextrun"/>
                <w:color w:val="000000"/>
                <w:shd w:val="clear" w:color="auto" w:fill="FFFFFF"/>
              </w:rPr>
              <w:t xml:space="preserve"> reporting law.</w:t>
            </w:r>
          </w:p>
          <w:p w14:paraId="2476AE40" w14:textId="71A5E593" w:rsidR="000C24EC" w:rsidRDefault="000C24EC" w:rsidP="00C53F47">
            <w:pPr>
              <w:jc w:val="both"/>
              <w:rPr>
                <w:rStyle w:val="normaltextrun"/>
                <w:color w:val="000000"/>
                <w:shd w:val="clear" w:color="auto" w:fill="FFFFFF"/>
              </w:rPr>
            </w:pPr>
            <w:r>
              <w:rPr>
                <w:rStyle w:val="normaltextrun"/>
                <w:color w:val="000000"/>
                <w:shd w:val="clear" w:color="auto" w:fill="FFFFFF"/>
              </w:rPr>
              <w:t>These annual workplans (past and current) have been mainly aligned to meeting the requirements of the EITI Standard (2016 and 2019) and the strategic priorities of the EITI in ensuring transparency and accountability in the extractive sector through systematic disclosures of financial data and information that are comprehensive, reliable, relevant and meaningful  to public users, and are consistent with and complementary to PNG’s development strategies</w:t>
            </w:r>
            <w:r w:rsidR="00FA686F">
              <w:rPr>
                <w:rStyle w:val="FootnoteReference"/>
                <w:color w:val="000000"/>
                <w:shd w:val="clear" w:color="auto" w:fill="FFFFFF"/>
              </w:rPr>
              <w:footnoteReference w:id="2"/>
            </w:r>
            <w:r>
              <w:rPr>
                <w:rStyle w:val="normaltextrun"/>
                <w:color w:val="000000"/>
                <w:shd w:val="clear" w:color="auto" w:fill="FFFFFF"/>
              </w:rPr>
              <w:t>, goals, initiatives, reform efforts and the overall government’s commitment to implementation of EITI in the country to enhance better management and</w:t>
            </w:r>
            <w:r w:rsidR="00A33824">
              <w:rPr>
                <w:rStyle w:val="normaltextrun"/>
                <w:color w:val="000000"/>
                <w:shd w:val="clear" w:color="auto" w:fill="FFFFFF"/>
              </w:rPr>
              <w:t xml:space="preserve"> good</w:t>
            </w:r>
            <w:r>
              <w:rPr>
                <w:rStyle w:val="normaltextrun"/>
                <w:color w:val="000000"/>
                <w:shd w:val="clear" w:color="auto" w:fill="FFFFFF"/>
              </w:rPr>
              <w:t xml:space="preserve"> governance in the extractive sector.</w:t>
            </w:r>
          </w:p>
          <w:p w14:paraId="5E23F4E5" w14:textId="3F9A1BFE" w:rsidR="00BC7FF4" w:rsidRDefault="00485EE9" w:rsidP="00C53F47">
            <w:pPr>
              <w:jc w:val="both"/>
            </w:pPr>
            <w:r w:rsidRPr="00C53F47">
              <w:t xml:space="preserve">Due to Covid-19 pandemic restrictions and lockdowns in </w:t>
            </w:r>
            <w:r w:rsidR="00A33824">
              <w:t xml:space="preserve">late 2019 through to </w:t>
            </w:r>
            <w:r w:rsidRPr="00C53F47">
              <w:t>2020 and 2021, much of the activities that were listed in the annual work plans were</w:t>
            </w:r>
            <w:r w:rsidR="00A33824">
              <w:t xml:space="preserve"> put on hold. Only meetings were</w:t>
            </w:r>
            <w:r w:rsidRPr="00C53F47">
              <w:t xml:space="preserve"> held virtually until restrictions were </w:t>
            </w:r>
            <w:r w:rsidR="00A33824">
              <w:t>uplifted</w:t>
            </w:r>
            <w:r w:rsidRPr="00C53F47">
              <w:t xml:space="preserve">. </w:t>
            </w:r>
            <w:r w:rsidR="00A33824">
              <w:t>C</w:t>
            </w:r>
            <w:r w:rsidR="00A33824" w:rsidRPr="00C53F47">
              <w:t xml:space="preserve">onsidering </w:t>
            </w:r>
            <w:r w:rsidR="00A33824">
              <w:t xml:space="preserve">the onset of </w:t>
            </w:r>
            <w:r w:rsidR="00A33824" w:rsidRPr="00C53F47">
              <w:t>Covid-19</w:t>
            </w:r>
            <w:r w:rsidR="00A33824">
              <w:t>, implementation of EITI activities</w:t>
            </w:r>
            <w:r w:rsidR="00A33824" w:rsidRPr="00C53F47">
              <w:t xml:space="preserve"> has been challenging.</w:t>
            </w:r>
            <w:r w:rsidR="00A33824">
              <w:t xml:space="preserve"> </w:t>
            </w:r>
            <w:r w:rsidRPr="00C53F47">
              <w:t xml:space="preserve"> </w:t>
            </w:r>
          </w:p>
          <w:p w14:paraId="5AC6B44E" w14:textId="206D6E0E" w:rsidR="00485EE9" w:rsidRDefault="00BC7FF4" w:rsidP="00C53F47">
            <w:pPr>
              <w:jc w:val="both"/>
            </w:pPr>
            <w:r>
              <w:t>The plans and activities</w:t>
            </w:r>
            <w:r w:rsidR="00B80C06">
              <w:t xml:space="preserve"> listed</w:t>
            </w:r>
            <w:r>
              <w:t xml:space="preserve"> in the 2022 annual workplan will be implemented with a total budget of PGK4,499,300</w:t>
            </w:r>
            <w:r w:rsidR="006D0FC1">
              <w:t>, i.e., about (USD1.0 million)</w:t>
            </w:r>
            <w:r w:rsidR="00B80C06">
              <w:t>. This</w:t>
            </w:r>
            <w:r w:rsidR="006D0FC1">
              <w:t xml:space="preserve"> will be funded from the </w:t>
            </w:r>
            <w:r w:rsidR="006D0FC1">
              <w:lastRenderedPageBreak/>
              <w:t>government allocated funds</w:t>
            </w:r>
            <w:r w:rsidR="00B80C06">
              <w:t xml:space="preserve">. </w:t>
            </w:r>
            <w:r w:rsidR="00F66D27">
              <w:t>Also note that some of the activities in the workp</w:t>
            </w:r>
            <w:r w:rsidR="00975621">
              <w:t>lan</w:t>
            </w:r>
            <w:r w:rsidR="00F66D27">
              <w:t xml:space="preserve">s are provided through technical support by development (donor) partners. </w:t>
            </w:r>
          </w:p>
          <w:p w14:paraId="5435C8EB" w14:textId="00616A16" w:rsidR="00485EE9" w:rsidRDefault="00485EE9" w:rsidP="00C53F47">
            <w:pPr>
              <w:jc w:val="both"/>
            </w:pPr>
            <w:r>
              <w:t>The MSG approved the 2022 workplan</w:t>
            </w:r>
            <w:r w:rsidR="00B80C06">
              <w:t xml:space="preserve"> during the third quarter MSG meeting dated</w:t>
            </w:r>
            <w:r>
              <w:t xml:space="preserve"> 15th December 2021</w:t>
            </w:r>
            <w:r w:rsidR="00B80C06">
              <w:t>. Meeting minutes</w:t>
            </w:r>
            <w:r>
              <w:t xml:space="preserve"> can be accessed </w:t>
            </w:r>
            <w:r w:rsidR="00B80C06">
              <w:t xml:space="preserve">via </w:t>
            </w:r>
            <w:r>
              <w:t>the link below</w:t>
            </w:r>
            <w:r w:rsidR="003978F9">
              <w:t>:</w:t>
            </w:r>
          </w:p>
          <w:p w14:paraId="05F2FC9B" w14:textId="7389BEF9" w:rsidR="003978F9" w:rsidRPr="000C24EC" w:rsidRDefault="006F55C9" w:rsidP="003978F9">
            <w:pPr>
              <w:ind w:left="360"/>
              <w:jc w:val="both"/>
            </w:pPr>
            <w:hyperlink r:id="rId16" w:tgtFrame="_blank" w:history="1">
              <w:r w:rsidR="003978F9">
                <w:rPr>
                  <w:rStyle w:val="normaltextrun"/>
                  <w:rFonts w:cs="Segoe UI"/>
                  <w:color w:val="0000FF"/>
                  <w:szCs w:val="22"/>
                  <w:u w:val="single"/>
                  <w:shd w:val="clear" w:color="auto" w:fill="FFFFFF"/>
                </w:rPr>
                <w:t>http://www.pngeiti.org.pg/wp-content/uploads/2021/12/2022-Workplan.pdf</w:t>
              </w:r>
            </w:hyperlink>
          </w:p>
        </w:tc>
      </w:tr>
      <w:tr w:rsidR="00C6608B" w14:paraId="5DF292B8" w14:textId="77777777" w:rsidTr="00485EE9">
        <w:tc>
          <w:tcPr>
            <w:tcW w:w="1291" w:type="dxa"/>
          </w:tcPr>
          <w:p w14:paraId="61031CA3" w14:textId="77777777" w:rsidR="00C6608B" w:rsidRDefault="00C6608B" w:rsidP="003A45E9">
            <w:r>
              <w:lastRenderedPageBreak/>
              <w:t>MSG approval of the work plan</w:t>
            </w:r>
          </w:p>
        </w:tc>
        <w:tc>
          <w:tcPr>
            <w:tcW w:w="8632" w:type="dxa"/>
          </w:tcPr>
          <w:p w14:paraId="4F6E8509" w14:textId="2A79D922" w:rsidR="00C6608B" w:rsidRPr="0004396D" w:rsidRDefault="006F55C9" w:rsidP="003A45E9">
            <w:hyperlink r:id="rId17" w:history="1">
              <w:r w:rsidR="0004396D" w:rsidRPr="0004396D">
                <w:rPr>
                  <w:rStyle w:val="Hyperlink"/>
                </w:rPr>
                <w:t>15</w:t>
              </w:r>
              <w:r w:rsidR="0004396D" w:rsidRPr="0004396D">
                <w:rPr>
                  <w:rStyle w:val="Hyperlink"/>
                  <w:vertAlign w:val="superscript"/>
                </w:rPr>
                <w:t>th</w:t>
              </w:r>
              <w:r w:rsidR="0004396D" w:rsidRPr="0004396D">
                <w:rPr>
                  <w:rStyle w:val="Hyperlink"/>
                </w:rPr>
                <w:t xml:space="preserve"> December 2021</w:t>
              </w:r>
            </w:hyperlink>
          </w:p>
        </w:tc>
      </w:tr>
    </w:tbl>
    <w:p w14:paraId="3DF37EA0" w14:textId="77777777" w:rsidR="00C6608B" w:rsidRDefault="00C6608B" w:rsidP="00C6608B"/>
    <w:p w14:paraId="414D9B8A" w14:textId="77777777" w:rsidR="00C6608B" w:rsidRPr="00627159" w:rsidRDefault="00C6608B" w:rsidP="00C6608B">
      <w:pPr>
        <w:rPr>
          <w:b/>
          <w:bCs/>
        </w:rPr>
      </w:pPr>
      <w:r w:rsidRPr="00627159">
        <w:rPr>
          <w:b/>
          <w:bCs/>
        </w:rPr>
        <w:t>2. Explain how the work plan’s objectives reflect national priorities for the extractive industry. Provide links to supporting documentation,</w:t>
      </w:r>
      <w:r>
        <w:rPr>
          <w:b/>
          <w:bCs/>
        </w:rPr>
        <w:t xml:space="preserve"> such as studies or national development plans,</w:t>
      </w:r>
      <w:r w:rsidRPr="00627159">
        <w:rPr>
          <w:b/>
          <w:bCs/>
        </w:rPr>
        <w:t xml:space="preserve"> if available.</w:t>
      </w:r>
    </w:p>
    <w:tbl>
      <w:tblPr>
        <w:tblStyle w:val="TableGrid"/>
        <w:tblW w:w="10283" w:type="dxa"/>
        <w:tblInd w:w="-365" w:type="dxa"/>
        <w:tblLook w:val="04A0" w:firstRow="1" w:lastRow="0" w:firstColumn="1" w:lastColumn="0" w:noHBand="0" w:noVBand="1"/>
      </w:tblPr>
      <w:tblGrid>
        <w:gridCol w:w="10283"/>
      </w:tblGrid>
      <w:tr w:rsidR="00C6608B" w14:paraId="17330D1A" w14:textId="77777777" w:rsidTr="00977767">
        <w:tc>
          <w:tcPr>
            <w:tcW w:w="10283" w:type="dxa"/>
          </w:tcPr>
          <w:p w14:paraId="0D715D7F" w14:textId="77777777" w:rsidR="00E852E1" w:rsidRDefault="00E852E1" w:rsidP="00C53F47">
            <w:pPr>
              <w:jc w:val="both"/>
            </w:pPr>
            <w:r w:rsidRPr="00C53F47">
              <w:t>P</w:t>
            </w:r>
            <w:r>
              <w:t>revious</w:t>
            </w:r>
            <w:r w:rsidRPr="00C53F47">
              <w:t xml:space="preserve"> annual work plans</w:t>
            </w:r>
            <w:r>
              <w:t xml:space="preserve"> dating from</w:t>
            </w:r>
            <w:r w:rsidRPr="00C53F47">
              <w:t xml:space="preserve"> 2015 to 202</w:t>
            </w:r>
            <w:r>
              <w:t>1</w:t>
            </w:r>
            <w:r w:rsidRPr="00C53F47">
              <w:t xml:space="preserve"> </w:t>
            </w:r>
            <w:r>
              <w:t>were reflective and</w:t>
            </w:r>
            <w:r w:rsidRPr="00C53F47">
              <w:t xml:space="preserve"> consistent with the above broad objectives.</w:t>
            </w:r>
          </w:p>
          <w:p w14:paraId="5954C7AF" w14:textId="0C860B6F" w:rsidR="00C6608B" w:rsidRDefault="004A2FC7" w:rsidP="00C53F47">
            <w:pPr>
              <w:jc w:val="both"/>
            </w:pPr>
            <w:r w:rsidRPr="004A2FC7">
              <w:t>The objective</w:t>
            </w:r>
            <w:r w:rsidR="00B80C06">
              <w:t>s</w:t>
            </w:r>
            <w:r w:rsidRPr="004A2FC7">
              <w:t xml:space="preserve"> of PNGEITI’s annual plans are aligned to EITI’s mission of </w:t>
            </w:r>
            <w:r w:rsidR="00B80C06">
              <w:t>promoting</w:t>
            </w:r>
            <w:r w:rsidRPr="004A2FC7">
              <w:t xml:space="preserve"> transparency and accountability </w:t>
            </w:r>
            <w:r w:rsidR="00B80C06">
              <w:t>as well as s</w:t>
            </w:r>
            <w:r w:rsidRPr="004A2FC7">
              <w:t xml:space="preserve">trengthening </w:t>
            </w:r>
            <w:r w:rsidR="00B80C06">
              <w:t>good</w:t>
            </w:r>
            <w:r w:rsidRPr="004A2FC7">
              <w:t xml:space="preserve"> governance and</w:t>
            </w:r>
            <w:r w:rsidR="00B80C06">
              <w:t xml:space="preserve"> </w:t>
            </w:r>
            <w:r w:rsidRPr="004A2FC7">
              <w:t>resource management</w:t>
            </w:r>
            <w:r w:rsidR="00927758">
              <w:t xml:space="preserve"> in the extractive sector</w:t>
            </w:r>
            <w:r w:rsidRPr="004A2FC7">
              <w:t>.</w:t>
            </w:r>
          </w:p>
          <w:p w14:paraId="4D467626" w14:textId="77777777" w:rsidR="00E852E1" w:rsidRDefault="00302984" w:rsidP="006C7FA0">
            <w:pPr>
              <w:jc w:val="both"/>
            </w:pPr>
            <w:r w:rsidRPr="00302984">
              <w:t>As out</w:t>
            </w:r>
            <w:r>
              <w:t>lined</w:t>
            </w:r>
            <w:r w:rsidRPr="00302984">
              <w:t xml:space="preserve"> above, </w:t>
            </w:r>
            <w:r w:rsidR="00C60A05">
              <w:t>PNGEITI</w:t>
            </w:r>
            <w:r w:rsidRPr="00302984">
              <w:t>’s annual work plans are also in accordance with</w:t>
            </w:r>
            <w:r>
              <w:t xml:space="preserve"> </w:t>
            </w:r>
            <w:hyperlink r:id="rId18" w:history="1">
              <w:r w:rsidRPr="00302984">
                <w:rPr>
                  <w:rStyle w:val="Hyperlink"/>
                </w:rPr>
                <w:t>NEC Decision No.47/2011</w:t>
              </w:r>
            </w:hyperlink>
            <w:r w:rsidR="00DA211B">
              <w:t xml:space="preserve"> </w:t>
            </w:r>
            <w:r w:rsidRPr="00302984">
              <w:t>in which the government approved further investigations into</w:t>
            </w:r>
            <w:r w:rsidR="006C7FA0">
              <w:t xml:space="preserve"> the</w:t>
            </w:r>
            <w:r w:rsidRPr="00302984">
              <w:t xml:space="preserve"> implementation of extractive industries transparency initiative in PNG.</w:t>
            </w:r>
            <w:r w:rsidR="00DA211B">
              <w:t xml:space="preserve"> </w:t>
            </w:r>
          </w:p>
          <w:p w14:paraId="103F86D5" w14:textId="77777777" w:rsidR="003349EF" w:rsidRDefault="00E852E1" w:rsidP="006C7FA0">
            <w:pPr>
              <w:jc w:val="both"/>
            </w:pPr>
            <w:r>
              <w:t xml:space="preserve">The </w:t>
            </w:r>
            <w:hyperlink r:id="rId19" w:history="1">
              <w:r w:rsidR="00DA211B" w:rsidRPr="00DA211B">
                <w:rPr>
                  <w:rStyle w:val="Hyperlink"/>
                </w:rPr>
                <w:t>NEC Decision No.91/2017</w:t>
              </w:r>
            </w:hyperlink>
            <w:r w:rsidR="006C7FA0">
              <w:t xml:space="preserve"> </w:t>
            </w:r>
            <w:r w:rsidR="00DA211B" w:rsidRPr="00DA211B">
              <w:t xml:space="preserve">which endorsed recommendations from PNG’s first EITI report and that Decision directed the MSG to work with concerned entities (mainly government departments) to implement the recommendations. </w:t>
            </w:r>
          </w:p>
          <w:p w14:paraId="15ECD615" w14:textId="77179FD4" w:rsidR="006C7FA0" w:rsidRDefault="00DA211B" w:rsidP="006C7FA0">
            <w:pPr>
              <w:jc w:val="both"/>
            </w:pPr>
            <w:r w:rsidRPr="00DA211B">
              <w:t>Further</w:t>
            </w:r>
            <w:r>
              <w:t>more</w:t>
            </w:r>
            <w:r w:rsidRPr="00DA211B">
              <w:t>, the</w:t>
            </w:r>
            <w:r>
              <w:t xml:space="preserve"> </w:t>
            </w:r>
            <w:hyperlink r:id="rId20" w:history="1">
              <w:r w:rsidRPr="00DA211B">
                <w:rPr>
                  <w:rStyle w:val="Hyperlink"/>
                </w:rPr>
                <w:t>NEC Decision No.80/2019</w:t>
              </w:r>
            </w:hyperlink>
            <w:r>
              <w:t xml:space="preserve"> </w:t>
            </w:r>
            <w:r w:rsidR="006C7FA0">
              <w:t xml:space="preserve">approved the National Policy for Transparency and Accountability in the Extractive Sector which set the basis for the MSG to include activities in the work plans to work towards </w:t>
            </w:r>
            <w:r w:rsidR="003349EF">
              <w:t>establishing PNGEITI as an independent statutory body.</w:t>
            </w:r>
          </w:p>
          <w:p w14:paraId="224CB8F2" w14:textId="3BFDDC10" w:rsidR="00903579" w:rsidRDefault="006C7FA0" w:rsidP="006C7FA0">
            <w:pPr>
              <w:jc w:val="both"/>
            </w:pPr>
            <w:r>
              <w:t xml:space="preserve">A summary milestone </w:t>
            </w:r>
            <w:r w:rsidR="00657DEF">
              <w:t xml:space="preserve">of the </w:t>
            </w:r>
            <w:r>
              <w:t xml:space="preserve">activities </w:t>
            </w:r>
            <w:r w:rsidR="009B6882">
              <w:t xml:space="preserve">for the period under review </w:t>
            </w:r>
            <w:r w:rsidR="00903579">
              <w:t>ar</w:t>
            </w:r>
            <w:r w:rsidR="009B6882">
              <w:t xml:space="preserve">e listed below; </w:t>
            </w:r>
          </w:p>
          <w:p w14:paraId="13A6B393" w14:textId="61892F9E" w:rsidR="006C7FA0" w:rsidRPr="00657DEF" w:rsidRDefault="00657DEF" w:rsidP="007816E4">
            <w:pPr>
              <w:pStyle w:val="ListParagraph"/>
              <w:numPr>
                <w:ilvl w:val="0"/>
                <w:numId w:val="4"/>
              </w:numPr>
              <w:spacing w:after="0"/>
              <w:jc w:val="both"/>
            </w:pPr>
            <w:r>
              <w:t xml:space="preserve">May 2021 - </w:t>
            </w:r>
            <w:r w:rsidR="006C7FA0">
              <w:t>Publication of the SOE Scoping Study Report</w:t>
            </w:r>
            <w:r>
              <w:t xml:space="preserve"> </w:t>
            </w:r>
            <w:r w:rsidR="00A71C04">
              <w:t>address</w:t>
            </w:r>
            <w:r>
              <w:t>ed the following requirements</w:t>
            </w:r>
            <w:r w:rsidR="00A71C04">
              <w:t xml:space="preserve"> </w:t>
            </w:r>
            <w:r w:rsidR="00A71C04" w:rsidRPr="00657DEF">
              <w:t>2.1 legal framework, 2.6 state participation, 4.2 sale of state assets share and 4.5 transactions relating to quasi-fiscal expenditure</w:t>
            </w:r>
            <w:r w:rsidR="00367C82" w:rsidRPr="00657DEF">
              <w:t>.</w:t>
            </w:r>
          </w:p>
          <w:p w14:paraId="1213CD7E" w14:textId="0695696F" w:rsidR="006C7FA0" w:rsidRDefault="006F55C9" w:rsidP="006C7FA0">
            <w:pPr>
              <w:pStyle w:val="ListParagraph"/>
              <w:spacing w:before="0" w:after="0"/>
              <w:jc w:val="both"/>
            </w:pPr>
            <w:hyperlink r:id="rId21" w:history="1">
              <w:r w:rsidR="006C7FA0" w:rsidRPr="00530F4D">
                <w:rPr>
                  <w:rStyle w:val="Hyperlink"/>
                </w:rPr>
                <w:t>http://www.pngeiti.org.pg/wp-content/uploads/2021/07/PNGEITI-SOE-Scoping-Study-Report-090721.pdf</w:t>
              </w:r>
            </w:hyperlink>
          </w:p>
          <w:p w14:paraId="3E1B286A" w14:textId="2CFA86F1" w:rsidR="006C7FA0" w:rsidRDefault="006C7FA0" w:rsidP="006C7FA0">
            <w:pPr>
              <w:pStyle w:val="ListParagraph"/>
              <w:spacing w:before="0" w:after="0"/>
              <w:jc w:val="both"/>
            </w:pPr>
          </w:p>
          <w:p w14:paraId="22178732" w14:textId="32D89542" w:rsidR="006C7FA0" w:rsidRPr="006C7FA0" w:rsidRDefault="00657DEF" w:rsidP="007816E4">
            <w:pPr>
              <w:pStyle w:val="ListParagraph"/>
              <w:numPr>
                <w:ilvl w:val="0"/>
                <w:numId w:val="4"/>
              </w:numPr>
              <w:spacing w:before="0" w:after="0"/>
              <w:jc w:val="both"/>
            </w:pPr>
            <w:r>
              <w:t xml:space="preserve">December 2020 - </w:t>
            </w:r>
            <w:r w:rsidR="006C7FA0">
              <w:t xml:space="preserve">Publication of the first Beneficial </w:t>
            </w:r>
            <w:r w:rsidR="642D5025">
              <w:t>Ownership</w:t>
            </w:r>
            <w:r w:rsidR="006C7FA0">
              <w:t xml:space="preserve"> Disclosure Report</w:t>
            </w:r>
            <w:r w:rsidR="00367C82">
              <w:t xml:space="preserve"> address</w:t>
            </w:r>
            <w:r>
              <w:t>ed the following</w:t>
            </w:r>
            <w:r w:rsidR="00367C82">
              <w:t xml:space="preserve"> requirement</w:t>
            </w:r>
            <w:r>
              <w:t>s</w:t>
            </w:r>
            <w:r w:rsidR="00367C82">
              <w:t xml:space="preserve"> 2.5 public disclosure of beneficial ownership information.</w:t>
            </w:r>
          </w:p>
          <w:p w14:paraId="06A57EA1" w14:textId="44BED1D1" w:rsidR="00C6608B" w:rsidRDefault="006F55C9" w:rsidP="006C7FA0">
            <w:pPr>
              <w:spacing w:before="0" w:after="0"/>
              <w:ind w:left="733"/>
            </w:pPr>
            <w:hyperlink r:id="rId22" w:history="1">
              <w:r w:rsidR="006C7FA0" w:rsidRPr="00530F4D">
                <w:rPr>
                  <w:rStyle w:val="Hyperlink"/>
                </w:rPr>
                <w:t>http://www.pngeiti.org.pg/wp-content/uploads/2021/06/PNGEITI-BO-Report.pdf</w:t>
              </w:r>
            </w:hyperlink>
          </w:p>
          <w:p w14:paraId="531E38B5" w14:textId="77777777" w:rsidR="006C7FA0" w:rsidRDefault="006C7FA0" w:rsidP="006C7FA0">
            <w:pPr>
              <w:spacing w:before="0" w:after="0"/>
              <w:ind w:left="733"/>
            </w:pPr>
          </w:p>
          <w:p w14:paraId="37374CF6" w14:textId="054BCAB7" w:rsidR="00A81382" w:rsidRDefault="00657DEF" w:rsidP="007816E4">
            <w:pPr>
              <w:pStyle w:val="ListParagraph"/>
              <w:numPr>
                <w:ilvl w:val="0"/>
                <w:numId w:val="4"/>
              </w:numPr>
              <w:spacing w:before="0" w:after="0"/>
            </w:pPr>
            <w:r>
              <w:lastRenderedPageBreak/>
              <w:t xml:space="preserve">April 2019 - </w:t>
            </w:r>
            <w:r w:rsidR="00D0279B" w:rsidRPr="00657DEF">
              <w:t>Publication of Su</w:t>
            </w:r>
            <w:r>
              <w:t>b</w:t>
            </w:r>
            <w:r w:rsidR="00D0279B" w:rsidRPr="00657DEF">
              <w:t>national Payments</w:t>
            </w:r>
            <w:r>
              <w:t xml:space="preserve"> Scoping Study</w:t>
            </w:r>
            <w:r w:rsidR="00D0279B" w:rsidRPr="00657DEF">
              <w:t xml:space="preserve"> Report</w:t>
            </w:r>
            <w:r w:rsidR="002D63C3">
              <w:t xml:space="preserve"> </w:t>
            </w:r>
            <w:r w:rsidR="00A81382">
              <w:t xml:space="preserve">addressed </w:t>
            </w:r>
            <w:r w:rsidR="00672053">
              <w:t xml:space="preserve">the following requirement 4.6 </w:t>
            </w:r>
            <w:r w:rsidR="00A81382">
              <w:t>subnation</w:t>
            </w:r>
            <w:r w:rsidR="00672053">
              <w:t xml:space="preserve">al payments from extractive companies to subnational government entities. </w:t>
            </w:r>
          </w:p>
          <w:p w14:paraId="72CA0F10" w14:textId="253F6FF8" w:rsidR="00D0279B" w:rsidRPr="00657DEF" w:rsidRDefault="006F55C9" w:rsidP="00A81382">
            <w:pPr>
              <w:pStyle w:val="ListParagraph"/>
              <w:spacing w:before="0" w:after="0"/>
            </w:pPr>
            <w:hyperlink r:id="rId23" w:history="1">
              <w:r w:rsidR="00A81382" w:rsidRPr="00873785">
                <w:rPr>
                  <w:rStyle w:val="Hyperlink"/>
                </w:rPr>
                <w:t>http://www.pngeiti.org.pg/wp-content/uploads/2019/07/PNGEITI-Subnational-Payments-Report-May-2019.pdf</w:t>
              </w:r>
            </w:hyperlink>
          </w:p>
          <w:p w14:paraId="6B2F8DCE" w14:textId="77777777" w:rsidR="00D0279B" w:rsidRDefault="00D0279B" w:rsidP="00D0279B">
            <w:pPr>
              <w:pStyle w:val="ListParagraph"/>
              <w:spacing w:before="0" w:after="0"/>
            </w:pPr>
          </w:p>
          <w:p w14:paraId="272C7212" w14:textId="2773AD57" w:rsidR="00D0279B" w:rsidRPr="00D0279B" w:rsidRDefault="00A81382" w:rsidP="007816E4">
            <w:pPr>
              <w:pStyle w:val="ListParagraph"/>
              <w:numPr>
                <w:ilvl w:val="0"/>
                <w:numId w:val="4"/>
              </w:numPr>
              <w:spacing w:before="0" w:after="0"/>
            </w:pPr>
            <w:r>
              <w:t xml:space="preserve">2021 - </w:t>
            </w:r>
            <w:r w:rsidR="00D0279B" w:rsidRPr="00D0279B">
              <w:t xml:space="preserve">Publication of a Scoping Study </w:t>
            </w:r>
            <w:r>
              <w:t xml:space="preserve">Report </w:t>
            </w:r>
            <w:r w:rsidR="00D0279B" w:rsidRPr="00D0279B">
              <w:t xml:space="preserve">on Education Mainstreaming </w:t>
            </w:r>
            <w:r w:rsidR="00D0279B" w:rsidRPr="00D0279B">
              <w:rPr>
                <w:i/>
                <w:iCs/>
              </w:rPr>
              <w:t xml:space="preserve">(Funded by development partner - World Bank and executed jointly </w:t>
            </w:r>
            <w:r w:rsidR="00EC44FB">
              <w:rPr>
                <w:i/>
                <w:iCs/>
              </w:rPr>
              <w:t xml:space="preserve">with the </w:t>
            </w:r>
            <w:r w:rsidR="00D0279B" w:rsidRPr="00D0279B">
              <w:rPr>
                <w:i/>
                <w:iCs/>
              </w:rPr>
              <w:t>PNGEITI National Secretariat)</w:t>
            </w:r>
          </w:p>
          <w:p w14:paraId="7725065B" w14:textId="0D1C4BA9" w:rsidR="00D0279B" w:rsidRDefault="006F55C9" w:rsidP="00D0279B">
            <w:pPr>
              <w:pStyle w:val="ListParagraph"/>
              <w:spacing w:before="0" w:after="0"/>
            </w:pPr>
            <w:hyperlink r:id="rId24" w:history="1">
              <w:r w:rsidR="00D0279B" w:rsidRPr="00530F4D">
                <w:rPr>
                  <w:rStyle w:val="Hyperlink"/>
                </w:rPr>
                <w:t>http://www.pngeiti.org.pg/wp-content/uploads/2018/04/2020-Education-Mainstreaming-Draft-Report.pdf</w:t>
              </w:r>
            </w:hyperlink>
          </w:p>
          <w:p w14:paraId="118F39CF" w14:textId="3EA98281" w:rsidR="00D0279B" w:rsidRDefault="00D0279B" w:rsidP="00D0279B">
            <w:pPr>
              <w:pStyle w:val="ListParagraph"/>
              <w:spacing w:before="0" w:after="0"/>
            </w:pPr>
          </w:p>
          <w:p w14:paraId="08007392" w14:textId="4B59A45C" w:rsidR="00D0279B" w:rsidRPr="002B5906" w:rsidRDefault="00BF0E82" w:rsidP="007816E4">
            <w:pPr>
              <w:pStyle w:val="ListParagraph"/>
              <w:numPr>
                <w:ilvl w:val="0"/>
                <w:numId w:val="4"/>
              </w:numPr>
              <w:spacing w:before="0" w:after="0"/>
            </w:pPr>
            <w:r>
              <w:t xml:space="preserve">2021 - </w:t>
            </w:r>
            <w:r w:rsidR="00D0279B" w:rsidRPr="00D0279B">
              <w:t xml:space="preserve">Publication of a Scoping Study </w:t>
            </w:r>
            <w:r>
              <w:t xml:space="preserve">Report </w:t>
            </w:r>
            <w:r w:rsidR="00D0279B" w:rsidRPr="00D0279B">
              <w:t>on EITI Electronic Data P</w:t>
            </w:r>
            <w:r w:rsidR="00646F60">
              <w:t>ortal</w:t>
            </w:r>
            <w:r w:rsidR="00D0279B" w:rsidRPr="00D0279B">
              <w:t xml:space="preserve"> </w:t>
            </w:r>
            <w:r w:rsidR="00D0279B" w:rsidRPr="00D0279B">
              <w:rPr>
                <w:i/>
                <w:iCs/>
              </w:rPr>
              <w:t>(Funded by development partner - World Bank and executed jointly</w:t>
            </w:r>
            <w:r w:rsidR="00646F60">
              <w:rPr>
                <w:i/>
                <w:iCs/>
              </w:rPr>
              <w:t xml:space="preserve"> with the</w:t>
            </w:r>
            <w:r w:rsidR="00D0279B" w:rsidRPr="00D0279B">
              <w:rPr>
                <w:i/>
                <w:iCs/>
              </w:rPr>
              <w:t xml:space="preserve"> PNGEITI National Secretariat)</w:t>
            </w:r>
          </w:p>
          <w:p w14:paraId="07EA1F94" w14:textId="5F180451" w:rsidR="002B5906" w:rsidRDefault="006F55C9" w:rsidP="002B5906">
            <w:pPr>
              <w:pStyle w:val="ListParagraph"/>
              <w:spacing w:before="0" w:after="0"/>
            </w:pPr>
            <w:hyperlink r:id="rId25" w:history="1">
              <w:r w:rsidR="002B5906" w:rsidRPr="00530F4D">
                <w:rPr>
                  <w:rStyle w:val="Hyperlink"/>
                </w:rPr>
                <w:t>http://www.pngeiti.org.pg/wp-content/uploads/2018/04/Terms-of-Reference-TOR-Electronic-data-platform-EITI.pdf</w:t>
              </w:r>
            </w:hyperlink>
          </w:p>
          <w:p w14:paraId="07037C18" w14:textId="17AA6BEC" w:rsidR="002B5906" w:rsidRDefault="002B5906" w:rsidP="002B5906">
            <w:pPr>
              <w:pStyle w:val="ListParagraph"/>
              <w:spacing w:before="0" w:after="0"/>
            </w:pPr>
          </w:p>
          <w:p w14:paraId="7FFB0C14" w14:textId="785B6E08" w:rsidR="002B5906" w:rsidRPr="00A07F08" w:rsidRDefault="00184860" w:rsidP="007816E4">
            <w:pPr>
              <w:pStyle w:val="ListParagraph"/>
              <w:numPr>
                <w:ilvl w:val="0"/>
                <w:numId w:val="4"/>
              </w:numPr>
              <w:spacing w:before="0" w:after="0"/>
            </w:pPr>
            <w:r>
              <w:t xml:space="preserve">2021 - </w:t>
            </w:r>
            <w:r w:rsidR="00A07F08" w:rsidRPr="00A07F08">
              <w:t xml:space="preserve">Publication of a Scoping Study </w:t>
            </w:r>
            <w:r>
              <w:t xml:space="preserve">Report </w:t>
            </w:r>
            <w:r w:rsidR="00A07F08" w:rsidRPr="00A07F08">
              <w:t xml:space="preserve">on CSO Capacity Assessment </w:t>
            </w:r>
            <w:r w:rsidR="00A07F08" w:rsidRPr="00A07F08">
              <w:rPr>
                <w:i/>
                <w:iCs/>
              </w:rPr>
              <w:t>(Funded by development partner - World Bank and executed</w:t>
            </w:r>
            <w:r>
              <w:rPr>
                <w:i/>
                <w:iCs/>
              </w:rPr>
              <w:t xml:space="preserve"> with the</w:t>
            </w:r>
            <w:r w:rsidR="00A07F08" w:rsidRPr="00A07F08">
              <w:rPr>
                <w:i/>
                <w:iCs/>
              </w:rPr>
              <w:t xml:space="preserve"> PNGEITI National Secretariat)</w:t>
            </w:r>
          </w:p>
          <w:p w14:paraId="4DF14197" w14:textId="368F6357" w:rsidR="00A07F08" w:rsidRDefault="006F55C9" w:rsidP="00A07F08">
            <w:pPr>
              <w:pStyle w:val="ListParagraph"/>
              <w:spacing w:before="0" w:after="0"/>
            </w:pPr>
            <w:hyperlink r:id="rId26" w:history="1">
              <w:r w:rsidR="00A07F08" w:rsidRPr="00530F4D">
                <w:rPr>
                  <w:rStyle w:val="Hyperlink"/>
                </w:rPr>
                <w:t>http://www.pngeiti.org.pg/wp-content/uploads/2018/04/2020-PNGRGC-Roadmap-v1_Draft-Report.pdf</w:t>
              </w:r>
            </w:hyperlink>
          </w:p>
          <w:p w14:paraId="40823BFD" w14:textId="17F16634" w:rsidR="00A07F08" w:rsidRDefault="00A07F08" w:rsidP="00A07F08">
            <w:pPr>
              <w:pStyle w:val="ListParagraph"/>
              <w:spacing w:before="0" w:after="0"/>
            </w:pPr>
          </w:p>
          <w:p w14:paraId="22EA906A" w14:textId="2C402310" w:rsidR="00AF6875" w:rsidRDefault="00184860" w:rsidP="007816E4">
            <w:pPr>
              <w:pStyle w:val="ListParagraph"/>
              <w:numPr>
                <w:ilvl w:val="0"/>
                <w:numId w:val="4"/>
              </w:numPr>
              <w:spacing w:before="0" w:after="0"/>
            </w:pPr>
            <w:r>
              <w:t xml:space="preserve">2021 - </w:t>
            </w:r>
            <w:r w:rsidR="00AF6875">
              <w:t xml:space="preserve">Publication of a Scoping Study </w:t>
            </w:r>
            <w:r>
              <w:t xml:space="preserve">Report </w:t>
            </w:r>
            <w:r w:rsidR="00AF6875">
              <w:t>on Contract Transparency</w:t>
            </w:r>
          </w:p>
          <w:p w14:paraId="61A01520" w14:textId="5A68309D" w:rsidR="00AF6875" w:rsidRDefault="006F55C9" w:rsidP="00AF6875">
            <w:pPr>
              <w:pStyle w:val="ListParagraph"/>
              <w:spacing w:before="0" w:after="0"/>
            </w:pPr>
            <w:hyperlink r:id="rId27" w:history="1">
              <w:r w:rsidR="00AF6875" w:rsidRPr="00530F4D">
                <w:rPr>
                  <w:rStyle w:val="Hyperlink"/>
                </w:rPr>
                <w:t>http://www.pngeiti.org.pg/wp-content/uploads/2022/02/PNGEITI-Contract-Transparency-Report-Final-Copy.pdf</w:t>
              </w:r>
            </w:hyperlink>
          </w:p>
          <w:p w14:paraId="188199CE" w14:textId="664A34E9" w:rsidR="00AF6875" w:rsidRDefault="00AF6875" w:rsidP="00AF6875">
            <w:pPr>
              <w:pStyle w:val="ListParagraph"/>
              <w:spacing w:before="0" w:after="0"/>
            </w:pPr>
          </w:p>
          <w:p w14:paraId="47DCC542" w14:textId="3AEAE0B8" w:rsidR="00AF6875" w:rsidRDefault="009A3C9B" w:rsidP="007816E4">
            <w:pPr>
              <w:pStyle w:val="ListParagraph"/>
              <w:numPr>
                <w:ilvl w:val="0"/>
                <w:numId w:val="4"/>
              </w:numPr>
              <w:spacing w:before="0" w:after="0"/>
            </w:pPr>
            <w:r>
              <w:t xml:space="preserve">2022 - </w:t>
            </w:r>
            <w:r w:rsidR="00AF6875">
              <w:t xml:space="preserve">Resource Related Revenue Management Project from 2018 </w:t>
            </w:r>
            <w:r>
              <w:t>was completed in</w:t>
            </w:r>
            <w:r w:rsidR="00AF6875">
              <w:t xml:space="preserve"> 2022</w:t>
            </w:r>
            <w:r>
              <w:t>. The project was a technical support undertaken</w:t>
            </w:r>
            <w:r w:rsidR="00AF6875">
              <w:t xml:space="preserve"> by JICA (Funded project by the Government of Japan)</w:t>
            </w:r>
          </w:p>
          <w:p w14:paraId="2D1D5F4B" w14:textId="4FF1FD56" w:rsidR="000D4382" w:rsidRDefault="006F55C9" w:rsidP="000D4382">
            <w:pPr>
              <w:pStyle w:val="ListParagraph"/>
              <w:spacing w:before="0" w:after="0"/>
            </w:pPr>
            <w:hyperlink r:id="rId28" w:history="1">
              <w:r w:rsidR="00B41EB9" w:rsidRPr="00530F4D">
                <w:rPr>
                  <w:rStyle w:val="Hyperlink"/>
                </w:rPr>
                <w:t>http://www.pngeiti.org.pg/wp-content/uploads/2018/04/2022-Signed-Project-Completion-Report-by-JICA-Expert-team..pdf</w:t>
              </w:r>
            </w:hyperlink>
          </w:p>
          <w:p w14:paraId="0B0ACF63" w14:textId="772813AA" w:rsidR="009A74AD" w:rsidRPr="009A74AD" w:rsidRDefault="00DE611A" w:rsidP="003A45E9">
            <w:pPr>
              <w:spacing w:after="0"/>
              <w:jc w:val="both"/>
              <w:rPr>
                <w:b/>
                <w:bCs/>
                <w:u w:val="single"/>
              </w:rPr>
            </w:pPr>
            <w:r>
              <w:rPr>
                <w:b/>
                <w:bCs/>
                <w:u w:val="single"/>
              </w:rPr>
              <w:t>Specific Activities under</w:t>
            </w:r>
            <w:r w:rsidR="004D5302">
              <w:rPr>
                <w:b/>
                <w:bCs/>
                <w:u w:val="single"/>
              </w:rPr>
              <w:t xml:space="preserve"> </w:t>
            </w:r>
            <w:r w:rsidR="009A74AD" w:rsidRPr="009A74AD">
              <w:rPr>
                <w:b/>
                <w:bCs/>
                <w:u w:val="single"/>
              </w:rPr>
              <w:t xml:space="preserve">Resource Related </w:t>
            </w:r>
            <w:r w:rsidR="6FF8A64D" w:rsidRPr="1817EF55">
              <w:rPr>
                <w:b/>
                <w:bCs/>
                <w:u w:val="single"/>
              </w:rPr>
              <w:t>Revenue</w:t>
            </w:r>
            <w:r w:rsidR="009A74AD" w:rsidRPr="009A74AD">
              <w:rPr>
                <w:b/>
                <w:bCs/>
                <w:u w:val="single"/>
              </w:rPr>
              <w:t xml:space="preserve"> Management Project</w:t>
            </w:r>
          </w:p>
          <w:p w14:paraId="1B730B9D" w14:textId="7A663E35" w:rsidR="003A45E9" w:rsidRDefault="00B41EB9" w:rsidP="009A74AD">
            <w:pPr>
              <w:spacing w:before="120" w:after="0"/>
              <w:jc w:val="both"/>
            </w:pPr>
            <w:r>
              <w:t>T</w:t>
            </w:r>
            <w:r w:rsidR="00AD4A2C">
              <w:t>his</w:t>
            </w:r>
            <w:r>
              <w:t xml:space="preserve"> project commenced in January 2018 and completed in March 2022.</w:t>
            </w:r>
            <w:r w:rsidR="003A45E9">
              <w:t xml:space="preserve"> </w:t>
            </w:r>
            <w:r w:rsidR="0032040A">
              <w:t>The project’s initial</w:t>
            </w:r>
            <w:r w:rsidR="003A45E9">
              <w:t xml:space="preserve"> expected date of completion was December 2020. However due to </w:t>
            </w:r>
            <w:r w:rsidR="00AD4A2C">
              <w:t>C</w:t>
            </w:r>
            <w:r w:rsidR="003A45E9">
              <w:t>ovid-19 pandemic disruption</w:t>
            </w:r>
            <w:r w:rsidR="00AD4A2C">
              <w:t>s</w:t>
            </w:r>
            <w:r w:rsidR="0032040A">
              <w:t xml:space="preserve">, the project was further extended on two occasions. </w:t>
            </w:r>
            <w:r w:rsidR="00F368EE">
              <w:t xml:space="preserve">The </w:t>
            </w:r>
            <w:r w:rsidR="0032040A">
              <w:t>first e</w:t>
            </w:r>
            <w:r w:rsidR="00F368EE">
              <w:t>xtension was</w:t>
            </w:r>
            <w:r w:rsidR="0032040A">
              <w:t xml:space="preserve"> to December 2021 and second</w:t>
            </w:r>
            <w:r w:rsidR="00F368EE">
              <w:t xml:space="preserve"> was </w:t>
            </w:r>
            <w:r w:rsidR="0032040A">
              <w:t>to February 2022.</w:t>
            </w:r>
            <w:r>
              <w:t xml:space="preserve"> The </w:t>
            </w:r>
            <w:r w:rsidR="003A45E9">
              <w:t>Project’s primary goal was to promote resource related revenue management and reporting in accordance with EITI standards 4 and 5 on revenue collection and allocation. The project</w:t>
            </w:r>
            <w:r w:rsidR="0032040A">
              <w:t>’s aim</w:t>
            </w:r>
            <w:r w:rsidR="003A45E9">
              <w:t xml:space="preserve"> was to achieve </w:t>
            </w:r>
            <w:r w:rsidR="0032040A">
              <w:t>the following results</w:t>
            </w:r>
            <w:r w:rsidR="003A45E9">
              <w:t>:</w:t>
            </w:r>
          </w:p>
          <w:p w14:paraId="793A38B2" w14:textId="6ACAE1A3" w:rsidR="00B41EB9" w:rsidRPr="003A45E9" w:rsidRDefault="003A45E9" w:rsidP="007816E4">
            <w:pPr>
              <w:pStyle w:val="ListParagraph"/>
              <w:numPr>
                <w:ilvl w:val="0"/>
                <w:numId w:val="4"/>
              </w:numPr>
              <w:contextualSpacing/>
              <w:jc w:val="both"/>
            </w:pPr>
            <w:r w:rsidRPr="003A45E9">
              <w:t>improving management of relevant data and information at the Department of Petroleum and Energy</w:t>
            </w:r>
          </w:p>
          <w:p w14:paraId="043F0C86" w14:textId="318BCE45" w:rsidR="003A45E9" w:rsidRPr="003A45E9" w:rsidRDefault="003A45E9" w:rsidP="007816E4">
            <w:pPr>
              <w:pStyle w:val="ListParagraph"/>
              <w:numPr>
                <w:ilvl w:val="0"/>
                <w:numId w:val="4"/>
              </w:numPr>
              <w:contextualSpacing/>
              <w:jc w:val="both"/>
            </w:pPr>
            <w:r w:rsidRPr="003A45E9">
              <w:t>Enhancing reporting mechanisms among extractive sector companies and government agencies and</w:t>
            </w:r>
          </w:p>
          <w:p w14:paraId="5B74F8D1" w14:textId="7C403937" w:rsidR="003A45E9" w:rsidRDefault="003A45E9" w:rsidP="007816E4">
            <w:pPr>
              <w:pStyle w:val="ListParagraph"/>
              <w:numPr>
                <w:ilvl w:val="0"/>
                <w:numId w:val="4"/>
              </w:numPr>
              <w:contextualSpacing/>
              <w:jc w:val="both"/>
            </w:pPr>
            <w:r w:rsidRPr="003A45E9">
              <w:t>enhancing awareness and implementation structures for PNGEITI in country.</w:t>
            </w:r>
          </w:p>
          <w:p w14:paraId="46DFE971" w14:textId="44C8587B" w:rsidR="006D4450" w:rsidRDefault="006D4450" w:rsidP="006D4450">
            <w:pPr>
              <w:spacing w:before="120" w:after="0"/>
              <w:jc w:val="both"/>
            </w:pPr>
            <w:r>
              <w:t xml:space="preserve">To achieve the above results, </w:t>
            </w:r>
            <w:r w:rsidR="00442A93">
              <w:t>a set</w:t>
            </w:r>
            <w:r>
              <w:t xml:space="preserve"> </w:t>
            </w:r>
            <w:r w:rsidR="0041449C">
              <w:t xml:space="preserve">of </w:t>
            </w:r>
            <w:r>
              <w:t xml:space="preserve">activities were implemented by </w:t>
            </w:r>
            <w:r w:rsidR="00442A93">
              <w:t xml:space="preserve">the </w:t>
            </w:r>
            <w:r>
              <w:t>JICA</w:t>
            </w:r>
            <w:r w:rsidR="0041449C">
              <w:t xml:space="preserve"> team</w:t>
            </w:r>
            <w:r w:rsidR="00442A93">
              <w:t>. A completion report on this project</w:t>
            </w:r>
            <w:r w:rsidR="00D645C8">
              <w:t xml:space="preserve"> ca</w:t>
            </w:r>
            <w:r w:rsidR="002454C9">
              <w:t>n</w:t>
            </w:r>
            <w:r w:rsidR="00D645C8">
              <w:t xml:space="preserve"> be accessed through:</w:t>
            </w:r>
          </w:p>
          <w:p w14:paraId="2BDF3475" w14:textId="52A05A7A" w:rsidR="00832F2A" w:rsidRDefault="006F55C9" w:rsidP="00D645C8">
            <w:pPr>
              <w:spacing w:before="0" w:after="0"/>
              <w:jc w:val="both"/>
            </w:pPr>
            <w:hyperlink r:id="rId29" w:history="1">
              <w:r w:rsidR="00D645C8" w:rsidRPr="00530F4D">
                <w:rPr>
                  <w:rStyle w:val="Hyperlink"/>
                </w:rPr>
                <w:t>http://www.pngeiti.org.pg/wp-content/uploads/2018/04/2022-Signed-Project-Completion-Report-by-JICA-Expert-team..pdf</w:t>
              </w:r>
            </w:hyperlink>
          </w:p>
          <w:p w14:paraId="3595B6E7" w14:textId="3E59EFCF" w:rsidR="002C4E7F" w:rsidRDefault="006E5941" w:rsidP="006D4450">
            <w:pPr>
              <w:spacing w:before="120" w:after="0"/>
              <w:jc w:val="both"/>
            </w:pPr>
            <w:r>
              <w:t xml:space="preserve">The following are the activities implemented under this project: </w:t>
            </w:r>
          </w:p>
          <w:p w14:paraId="1B51B231" w14:textId="77777777" w:rsidR="006E5941" w:rsidRDefault="006E5941" w:rsidP="006D4450">
            <w:pPr>
              <w:spacing w:before="120" w:after="0"/>
              <w:jc w:val="both"/>
            </w:pPr>
          </w:p>
          <w:tbl>
            <w:tblPr>
              <w:tblStyle w:val="TableGrid"/>
              <w:tblW w:w="9516" w:type="dxa"/>
              <w:tblLook w:val="04A0" w:firstRow="1" w:lastRow="0" w:firstColumn="1" w:lastColumn="0" w:noHBand="0" w:noVBand="1"/>
            </w:tblPr>
            <w:tblGrid>
              <w:gridCol w:w="2710"/>
              <w:gridCol w:w="6806"/>
            </w:tblGrid>
            <w:tr w:rsidR="006D4450" w14:paraId="07494C43" w14:textId="77777777" w:rsidTr="00D15456">
              <w:tc>
                <w:tcPr>
                  <w:tcW w:w="2710" w:type="dxa"/>
                </w:tcPr>
                <w:p w14:paraId="082C8040" w14:textId="23B4215B" w:rsidR="006D4450" w:rsidRPr="006D4450" w:rsidRDefault="006D4450" w:rsidP="006D4450">
                  <w:pPr>
                    <w:spacing w:before="0" w:after="0"/>
                    <w:jc w:val="center"/>
                    <w:rPr>
                      <w:b/>
                      <w:bCs/>
                    </w:rPr>
                  </w:pPr>
                  <w:r w:rsidRPr="006D4450">
                    <w:rPr>
                      <w:b/>
                      <w:bCs/>
                    </w:rPr>
                    <w:t>Results/Output</w:t>
                  </w:r>
                </w:p>
              </w:tc>
              <w:tc>
                <w:tcPr>
                  <w:tcW w:w="6806" w:type="dxa"/>
                </w:tcPr>
                <w:p w14:paraId="2E40CEC6" w14:textId="18E611BA" w:rsidR="006D4450" w:rsidRPr="006D4450" w:rsidRDefault="006D4450" w:rsidP="006D4450">
                  <w:pPr>
                    <w:spacing w:before="0" w:after="0"/>
                    <w:jc w:val="both"/>
                    <w:rPr>
                      <w:b/>
                      <w:bCs/>
                    </w:rPr>
                  </w:pPr>
                  <w:r w:rsidRPr="006D4450">
                    <w:rPr>
                      <w:b/>
                      <w:bCs/>
                    </w:rPr>
                    <w:t>Specific Activities implemented by JICA</w:t>
                  </w:r>
                </w:p>
              </w:tc>
            </w:tr>
            <w:tr w:rsidR="006D4450" w14:paraId="7EF81479" w14:textId="77777777" w:rsidTr="00D15456">
              <w:tc>
                <w:tcPr>
                  <w:tcW w:w="2710" w:type="dxa"/>
                </w:tcPr>
                <w:p w14:paraId="21FF6103" w14:textId="1E931CD8" w:rsidR="006D4450" w:rsidRPr="006D4450" w:rsidRDefault="006D4450" w:rsidP="007816E4">
                  <w:pPr>
                    <w:pStyle w:val="ListParagraph"/>
                    <w:numPr>
                      <w:ilvl w:val="0"/>
                      <w:numId w:val="5"/>
                    </w:numPr>
                    <w:ind w:left="331" w:hanging="283"/>
                  </w:pPr>
                  <w:r>
                    <w:lastRenderedPageBreak/>
                    <w:t>I</w:t>
                  </w:r>
                  <w:r w:rsidRPr="006D4450">
                    <w:t>mproving management of relevant data and information at the Department of Petroleum and Energy</w:t>
                  </w:r>
                </w:p>
              </w:tc>
              <w:tc>
                <w:tcPr>
                  <w:tcW w:w="6806" w:type="dxa"/>
                </w:tcPr>
                <w:p w14:paraId="1C91F576" w14:textId="77777777" w:rsidR="00D645C8" w:rsidRDefault="006D4450" w:rsidP="00134395">
                  <w:pPr>
                    <w:pStyle w:val="ListParagraph"/>
                    <w:numPr>
                      <w:ilvl w:val="0"/>
                      <w:numId w:val="24"/>
                    </w:numPr>
                    <w:spacing w:before="0" w:after="0"/>
                    <w:jc w:val="both"/>
                  </w:pPr>
                  <w:r>
                    <w:t>Conducted a baseline survey from October</w:t>
                  </w:r>
                  <w:r w:rsidR="00641B48">
                    <w:t xml:space="preserve"> 2018 to March 2019</w:t>
                  </w:r>
                  <w:r w:rsidR="00D645C8">
                    <w:t xml:space="preserve"> to comprehend current process and practices in managing registry of licenses and </w:t>
                  </w:r>
                  <w:proofErr w:type="gramStart"/>
                  <w:r w:rsidR="00D645C8">
                    <w:t>contracts  and</w:t>
                  </w:r>
                  <w:proofErr w:type="gramEnd"/>
                  <w:r w:rsidR="00D645C8">
                    <w:t xml:space="preserve"> revenue collected</w:t>
                  </w:r>
                </w:p>
                <w:p w14:paraId="29E9651F" w14:textId="3B03D1BC" w:rsidR="00641B48" w:rsidRDefault="00641B48" w:rsidP="00134395">
                  <w:pPr>
                    <w:pStyle w:val="ListParagraph"/>
                    <w:numPr>
                      <w:ilvl w:val="0"/>
                      <w:numId w:val="24"/>
                    </w:numPr>
                    <w:spacing w:before="0" w:after="0"/>
                    <w:jc w:val="both"/>
                  </w:pPr>
                  <w:r>
                    <w:t>Improvement areas identified during the baseline survey</w:t>
                  </w:r>
                </w:p>
                <w:p w14:paraId="509CE72A" w14:textId="77777777" w:rsidR="00641B48" w:rsidRDefault="00641B48" w:rsidP="00134395">
                  <w:pPr>
                    <w:pStyle w:val="ListParagraph"/>
                    <w:numPr>
                      <w:ilvl w:val="0"/>
                      <w:numId w:val="24"/>
                    </w:numPr>
                    <w:spacing w:before="0" w:after="0"/>
                    <w:jc w:val="both"/>
                  </w:pPr>
                  <w:r>
                    <w:t>The EITI unit has a function in DPE</w:t>
                  </w:r>
                </w:p>
                <w:p w14:paraId="37E00777" w14:textId="4B968366" w:rsidR="00641B48" w:rsidRDefault="00641B48" w:rsidP="00134395">
                  <w:pPr>
                    <w:pStyle w:val="ListParagraph"/>
                    <w:numPr>
                      <w:ilvl w:val="0"/>
                      <w:numId w:val="24"/>
                    </w:numPr>
                    <w:spacing w:before="0" w:after="0"/>
                    <w:jc w:val="both"/>
                  </w:pPr>
                  <w:r>
                    <w:t>Training workshop conducted for DPE management and key staff members</w:t>
                  </w:r>
                </w:p>
                <w:p w14:paraId="6EC43D98" w14:textId="548D4D33" w:rsidR="00641B48" w:rsidRPr="002C4E7F" w:rsidRDefault="00641B48" w:rsidP="00134395">
                  <w:pPr>
                    <w:pStyle w:val="ListParagraph"/>
                    <w:numPr>
                      <w:ilvl w:val="0"/>
                      <w:numId w:val="24"/>
                    </w:numPr>
                    <w:spacing w:before="0" w:after="0"/>
                    <w:jc w:val="both"/>
                  </w:pPr>
                  <w:r w:rsidRPr="002C4E7F">
                    <w:t xml:space="preserve">Technical </w:t>
                  </w:r>
                  <w:r w:rsidR="5979D7DE">
                    <w:t>advice</w:t>
                  </w:r>
                  <w:r w:rsidRPr="002C4E7F">
                    <w:t xml:space="preserve"> provided to officers through DPE training unit during EITI reporting process</w:t>
                  </w:r>
                </w:p>
                <w:p w14:paraId="252D636D" w14:textId="212184E0" w:rsidR="002C4E7F" w:rsidRPr="002C4E7F" w:rsidRDefault="002C4E7F" w:rsidP="00134395">
                  <w:pPr>
                    <w:pStyle w:val="ListParagraph"/>
                    <w:numPr>
                      <w:ilvl w:val="0"/>
                      <w:numId w:val="24"/>
                    </w:numPr>
                    <w:spacing w:before="0" w:after="0"/>
                    <w:jc w:val="both"/>
                  </w:pPr>
                  <w:r>
                    <w:t xml:space="preserve">Technical </w:t>
                  </w:r>
                  <w:r w:rsidR="679C4A9D">
                    <w:t>advice</w:t>
                  </w:r>
                  <w:r>
                    <w:t xml:space="preserve"> provided by experts to officers through EITI DPE unit</w:t>
                  </w:r>
                </w:p>
                <w:p w14:paraId="29D1B921" w14:textId="449EFCCA" w:rsidR="00641B48" w:rsidRDefault="002C4E7F" w:rsidP="00134395">
                  <w:pPr>
                    <w:pStyle w:val="ListParagraph"/>
                    <w:numPr>
                      <w:ilvl w:val="0"/>
                      <w:numId w:val="24"/>
                    </w:numPr>
                    <w:spacing w:before="0" w:after="0"/>
                    <w:jc w:val="both"/>
                  </w:pPr>
                  <w:r>
                    <w:t xml:space="preserve">Review of the EITI’s reporting </w:t>
                  </w:r>
                  <w:r w:rsidR="679C4A9D">
                    <w:t>practiced</w:t>
                  </w:r>
                </w:p>
                <w:p w14:paraId="762CECC1" w14:textId="2254B198" w:rsidR="00641B48" w:rsidRDefault="002C4E7F" w:rsidP="00134395">
                  <w:pPr>
                    <w:pStyle w:val="ListParagraph"/>
                    <w:numPr>
                      <w:ilvl w:val="0"/>
                      <w:numId w:val="24"/>
                    </w:numPr>
                    <w:spacing w:before="0" w:after="0"/>
                    <w:jc w:val="both"/>
                  </w:pPr>
                  <w:r>
                    <w:t xml:space="preserve">Development of the operating </w:t>
                  </w:r>
                  <w:r w:rsidR="679C4A9D">
                    <w:t>procedure and</w:t>
                  </w:r>
                  <w:r>
                    <w:t xml:space="preserve"> associated documents</w:t>
                  </w:r>
                </w:p>
                <w:p w14:paraId="3A5F9382" w14:textId="0BEABCF4" w:rsidR="002C4E7F" w:rsidRDefault="002C4E7F" w:rsidP="00134395">
                  <w:pPr>
                    <w:pStyle w:val="ListParagraph"/>
                    <w:numPr>
                      <w:ilvl w:val="0"/>
                      <w:numId w:val="24"/>
                    </w:numPr>
                    <w:spacing w:before="0" w:after="0"/>
                    <w:jc w:val="both"/>
                  </w:pPr>
                  <w:r>
                    <w:t>P</w:t>
                  </w:r>
                  <w:r w:rsidR="00832F2A">
                    <w:t>rocurement</w:t>
                  </w:r>
                  <w:r>
                    <w:t xml:space="preserve"> of required </w:t>
                  </w:r>
                  <w:r w:rsidR="00832F2A">
                    <w:t>equipment necessary for EITI reporting and provided to relevant officers at DPE</w:t>
                  </w:r>
                </w:p>
                <w:p w14:paraId="2634D3FA" w14:textId="77777777" w:rsidR="00832F2A" w:rsidRDefault="00832F2A" w:rsidP="00134395">
                  <w:pPr>
                    <w:pStyle w:val="ListParagraph"/>
                    <w:numPr>
                      <w:ilvl w:val="0"/>
                      <w:numId w:val="24"/>
                    </w:numPr>
                    <w:spacing w:before="0" w:after="0"/>
                    <w:jc w:val="both"/>
                  </w:pPr>
                  <w:r>
                    <w:t>Training provided to relevant DPE officers</w:t>
                  </w:r>
                </w:p>
                <w:p w14:paraId="6AA0CC1A" w14:textId="77777777" w:rsidR="00832F2A" w:rsidRDefault="00832F2A" w:rsidP="00134395">
                  <w:pPr>
                    <w:pStyle w:val="ListParagraph"/>
                    <w:numPr>
                      <w:ilvl w:val="0"/>
                      <w:numId w:val="24"/>
                    </w:numPr>
                    <w:spacing w:before="0" w:after="0"/>
                    <w:jc w:val="both"/>
                  </w:pPr>
                  <w:r>
                    <w:t>Training workshop was provided to DPE management and key staff</w:t>
                  </w:r>
                </w:p>
                <w:p w14:paraId="46976ABC" w14:textId="0FB6DDF2" w:rsidR="00832F2A" w:rsidRDefault="00832F2A" w:rsidP="00134395">
                  <w:pPr>
                    <w:pStyle w:val="ListParagraph"/>
                    <w:numPr>
                      <w:ilvl w:val="0"/>
                      <w:numId w:val="24"/>
                    </w:numPr>
                    <w:spacing w:before="0" w:after="0"/>
                    <w:jc w:val="both"/>
                  </w:pPr>
                  <w:r>
                    <w:t xml:space="preserve">Technical </w:t>
                  </w:r>
                  <w:r w:rsidR="17A4303D">
                    <w:t>advice</w:t>
                  </w:r>
                  <w:r>
                    <w:t xml:space="preserve"> provided to officers</w:t>
                  </w:r>
                </w:p>
                <w:p w14:paraId="75911CF6" w14:textId="756D3A8B" w:rsidR="00832F2A" w:rsidRDefault="00832F2A" w:rsidP="00134395">
                  <w:pPr>
                    <w:pStyle w:val="ListParagraph"/>
                    <w:numPr>
                      <w:ilvl w:val="0"/>
                      <w:numId w:val="24"/>
                    </w:numPr>
                    <w:spacing w:before="0" w:after="0"/>
                    <w:jc w:val="both"/>
                  </w:pPr>
                  <w:r>
                    <w:t>Training sessions provided to MSG and reporting entities including DPE to address recommendation in the EITI report</w:t>
                  </w:r>
                </w:p>
                <w:p w14:paraId="2DBB991C" w14:textId="55E008C5" w:rsidR="00D645C8" w:rsidRDefault="00D645C8" w:rsidP="00134395">
                  <w:pPr>
                    <w:pStyle w:val="ListParagraph"/>
                    <w:numPr>
                      <w:ilvl w:val="0"/>
                      <w:numId w:val="24"/>
                    </w:numPr>
                    <w:spacing w:before="0" w:after="0"/>
                    <w:jc w:val="both"/>
                  </w:pPr>
                  <w:r>
                    <w:t xml:space="preserve">Provided technical </w:t>
                  </w:r>
                  <w:proofErr w:type="spellStart"/>
                  <w:proofErr w:type="gramStart"/>
                  <w:r w:rsidR="656CBC13">
                    <w:t>advise</w:t>
                  </w:r>
                  <w:proofErr w:type="spellEnd"/>
                  <w:proofErr w:type="gramEnd"/>
                  <w:r>
                    <w:t xml:space="preserve"> on information </w:t>
                  </w:r>
                  <w:r w:rsidR="656CBC13">
                    <w:t>disclosure to</w:t>
                  </w:r>
                  <w:r>
                    <w:t xml:space="preserve"> EITI unit of DPE</w:t>
                  </w:r>
                </w:p>
                <w:p w14:paraId="5D396C2E" w14:textId="0EBD562B" w:rsidR="00D645C8" w:rsidRPr="006D4450" w:rsidRDefault="00D645C8" w:rsidP="00134395">
                  <w:pPr>
                    <w:pStyle w:val="ListParagraph"/>
                    <w:numPr>
                      <w:ilvl w:val="0"/>
                      <w:numId w:val="24"/>
                    </w:numPr>
                    <w:spacing w:before="0" w:after="0"/>
                    <w:jc w:val="both"/>
                  </w:pPr>
                  <w:r>
                    <w:t xml:space="preserve">Assisted DPE with the launch of its website containing </w:t>
                  </w:r>
                  <w:r w:rsidR="656CBC13">
                    <w:t>information on</w:t>
                  </w:r>
                  <w:r>
                    <w:t xml:space="preserve"> general licensing process and tenements map</w:t>
                  </w:r>
                </w:p>
              </w:tc>
            </w:tr>
            <w:tr w:rsidR="006D4450" w14:paraId="201EAE83" w14:textId="77777777" w:rsidTr="00D15456">
              <w:tc>
                <w:tcPr>
                  <w:tcW w:w="2710" w:type="dxa"/>
                </w:tcPr>
                <w:p w14:paraId="0E365827" w14:textId="071A7EF3" w:rsidR="006D4450" w:rsidRPr="00D645C8" w:rsidRDefault="00D645C8" w:rsidP="007816E4">
                  <w:pPr>
                    <w:pStyle w:val="ListParagraph"/>
                    <w:numPr>
                      <w:ilvl w:val="0"/>
                      <w:numId w:val="5"/>
                    </w:numPr>
                    <w:spacing w:before="0" w:after="0"/>
                    <w:ind w:left="331" w:hanging="331"/>
                  </w:pPr>
                  <w:r w:rsidRPr="00D645C8">
                    <w:t>Enhancing reporting mechanisms among extractive sector companies and government agencies and</w:t>
                  </w:r>
                </w:p>
              </w:tc>
              <w:tc>
                <w:tcPr>
                  <w:tcW w:w="6806" w:type="dxa"/>
                </w:tcPr>
                <w:p w14:paraId="1EA707F3" w14:textId="77777777" w:rsidR="006D4450" w:rsidRDefault="009720B8" w:rsidP="00134395">
                  <w:pPr>
                    <w:pStyle w:val="ListParagraph"/>
                    <w:numPr>
                      <w:ilvl w:val="0"/>
                      <w:numId w:val="24"/>
                    </w:numPr>
                    <w:spacing w:before="0" w:after="0"/>
                    <w:jc w:val="both"/>
                  </w:pPr>
                  <w:r>
                    <w:t>Training visit to EITI Philippines conducted in March 2018</w:t>
                  </w:r>
                </w:p>
                <w:p w14:paraId="4422F134" w14:textId="77777777" w:rsidR="009720B8" w:rsidRDefault="009720B8" w:rsidP="00134395">
                  <w:pPr>
                    <w:pStyle w:val="ListParagraph"/>
                    <w:numPr>
                      <w:ilvl w:val="0"/>
                      <w:numId w:val="24"/>
                    </w:numPr>
                    <w:spacing w:before="0" w:after="0"/>
                    <w:jc w:val="both"/>
                  </w:pPr>
                  <w:r>
                    <w:t>Baseline survey conducted in 2018</w:t>
                  </w:r>
                </w:p>
                <w:p w14:paraId="76A2273D" w14:textId="77777777" w:rsidR="009720B8" w:rsidRDefault="009720B8" w:rsidP="00134395">
                  <w:pPr>
                    <w:pStyle w:val="ListParagraph"/>
                    <w:numPr>
                      <w:ilvl w:val="0"/>
                      <w:numId w:val="24"/>
                    </w:numPr>
                    <w:spacing w:before="0" w:after="0"/>
                    <w:jc w:val="both"/>
                  </w:pPr>
                  <w:r>
                    <w:t>Areas of support discussed and agreed by experts and NS to provide through the project</w:t>
                  </w:r>
                </w:p>
                <w:p w14:paraId="4665B43B" w14:textId="4B5C2E4C" w:rsidR="009720B8" w:rsidRDefault="009720B8" w:rsidP="00134395">
                  <w:pPr>
                    <w:pStyle w:val="ListParagraph"/>
                    <w:numPr>
                      <w:ilvl w:val="0"/>
                      <w:numId w:val="24"/>
                    </w:numPr>
                    <w:spacing w:before="0" w:after="0"/>
                    <w:jc w:val="both"/>
                  </w:pPr>
                  <w:r>
                    <w:t xml:space="preserve">JICA experts and NS discussed, </w:t>
                  </w:r>
                  <w:r w:rsidR="4579590B">
                    <w:t>analyzed</w:t>
                  </w:r>
                  <w:r>
                    <w:t xml:space="preserve"> NS training needs and reporting entities to develop educational materials</w:t>
                  </w:r>
                </w:p>
                <w:p w14:paraId="39EA6634" w14:textId="77777777" w:rsidR="009720B8" w:rsidRDefault="009720B8" w:rsidP="00134395">
                  <w:pPr>
                    <w:pStyle w:val="ListParagraph"/>
                    <w:numPr>
                      <w:ilvl w:val="0"/>
                      <w:numId w:val="24"/>
                    </w:numPr>
                    <w:spacing w:before="0" w:after="0"/>
                    <w:jc w:val="both"/>
                  </w:pPr>
                  <w:r>
                    <w:t xml:space="preserve">Conducted training for MSG members </w:t>
                  </w:r>
                  <w:r w:rsidR="002454C9">
                    <w:t xml:space="preserve">and selected reporting entities on the delivery of the developed educational materials </w:t>
                  </w:r>
                </w:p>
                <w:p w14:paraId="73581370" w14:textId="77777777" w:rsidR="002454C9" w:rsidRDefault="002454C9" w:rsidP="00134395">
                  <w:pPr>
                    <w:pStyle w:val="ListParagraph"/>
                    <w:numPr>
                      <w:ilvl w:val="0"/>
                      <w:numId w:val="24"/>
                    </w:numPr>
                    <w:spacing w:before="0" w:after="0"/>
                    <w:jc w:val="both"/>
                  </w:pPr>
                  <w:r>
                    <w:t>Regular communication between JICA experts, NS and IA to learn the process of compiling EITI reporting templates</w:t>
                  </w:r>
                </w:p>
                <w:p w14:paraId="4D8FCD68" w14:textId="77777777" w:rsidR="002454C9" w:rsidRDefault="002454C9" w:rsidP="00134395">
                  <w:pPr>
                    <w:pStyle w:val="ListParagraph"/>
                    <w:numPr>
                      <w:ilvl w:val="0"/>
                      <w:numId w:val="24"/>
                    </w:numPr>
                    <w:spacing w:before="0" w:after="0"/>
                    <w:jc w:val="both"/>
                  </w:pPr>
                  <w:r>
                    <w:t>Identification of target entities for the 2018 report process on the EITI Reporting templates.</w:t>
                  </w:r>
                </w:p>
                <w:p w14:paraId="70B61B9F" w14:textId="77777777" w:rsidR="002454C9" w:rsidRDefault="002454C9" w:rsidP="00134395">
                  <w:pPr>
                    <w:pStyle w:val="ListParagraph"/>
                    <w:numPr>
                      <w:ilvl w:val="0"/>
                      <w:numId w:val="24"/>
                    </w:numPr>
                    <w:spacing w:before="0" w:after="0"/>
                    <w:jc w:val="both"/>
                  </w:pPr>
                  <w:r>
                    <w:t>Hands on support was provided to entities for the 2018 report and online support provided to DPE for the 2019 report areas</w:t>
                  </w:r>
                </w:p>
                <w:p w14:paraId="775C646E" w14:textId="16535FD5" w:rsidR="002454C9" w:rsidRDefault="002454C9" w:rsidP="00134395">
                  <w:pPr>
                    <w:pStyle w:val="ListParagraph"/>
                    <w:numPr>
                      <w:ilvl w:val="0"/>
                      <w:numId w:val="24"/>
                    </w:numPr>
                    <w:spacing w:before="0" w:after="0"/>
                    <w:jc w:val="both"/>
                  </w:pPr>
                  <w:r>
                    <w:t xml:space="preserve">Feedback on the reporting practices (process, </w:t>
                  </w:r>
                  <w:r w:rsidR="08D5909C">
                    <w:t>systems, accuracy</w:t>
                  </w:r>
                  <w:r>
                    <w:t xml:space="preserve"> </w:t>
                  </w:r>
                  <w:r w:rsidR="08D5909C">
                    <w:t>etc.</w:t>
                  </w:r>
                  <w:r w:rsidR="5251B826">
                    <w:t>)</w:t>
                  </w:r>
                  <w:r w:rsidR="0064529E">
                    <w:t xml:space="preserve"> shared with MSG and entities</w:t>
                  </w:r>
                </w:p>
                <w:p w14:paraId="3ECFEF63" w14:textId="228C4C1D" w:rsidR="0064529E" w:rsidRDefault="0064529E" w:rsidP="00134395">
                  <w:pPr>
                    <w:pStyle w:val="ListParagraph"/>
                    <w:numPr>
                      <w:ilvl w:val="0"/>
                      <w:numId w:val="24"/>
                    </w:numPr>
                    <w:spacing w:before="0" w:after="0"/>
                    <w:jc w:val="both"/>
                  </w:pPr>
                  <w:r>
                    <w:t xml:space="preserve">Provide technical </w:t>
                  </w:r>
                  <w:r w:rsidR="5251B826">
                    <w:t>advice</w:t>
                  </w:r>
                  <w:r>
                    <w:t xml:space="preserve"> to NS staff and supporting the reporting entities.</w:t>
                  </w:r>
                </w:p>
                <w:p w14:paraId="27159CF4" w14:textId="77777777" w:rsidR="0064529E" w:rsidRDefault="0064529E" w:rsidP="00134395">
                  <w:pPr>
                    <w:pStyle w:val="ListParagraph"/>
                    <w:numPr>
                      <w:ilvl w:val="0"/>
                      <w:numId w:val="24"/>
                    </w:numPr>
                    <w:spacing w:before="0" w:after="0"/>
                    <w:jc w:val="both"/>
                  </w:pPr>
                  <w:r>
                    <w:t>Learning materials based on PNG context were developed</w:t>
                  </w:r>
                </w:p>
                <w:p w14:paraId="55E07CC0" w14:textId="2E8B5D35" w:rsidR="0064529E" w:rsidRPr="009720B8" w:rsidRDefault="0064529E" w:rsidP="00134395">
                  <w:pPr>
                    <w:pStyle w:val="ListParagraph"/>
                    <w:numPr>
                      <w:ilvl w:val="0"/>
                      <w:numId w:val="24"/>
                    </w:numPr>
                    <w:spacing w:before="0" w:after="0"/>
                    <w:jc w:val="both"/>
                  </w:pPr>
                  <w:r>
                    <w:t>Learning materials were distributed online and through training</w:t>
                  </w:r>
                </w:p>
              </w:tc>
            </w:tr>
            <w:tr w:rsidR="006D4450" w14:paraId="6EE9C574" w14:textId="77777777" w:rsidTr="00D15456">
              <w:tc>
                <w:tcPr>
                  <w:tcW w:w="2710" w:type="dxa"/>
                </w:tcPr>
                <w:p w14:paraId="5419AC7C" w14:textId="3A9B30D6" w:rsidR="006D4450" w:rsidRPr="0097522F" w:rsidRDefault="0097522F" w:rsidP="007816E4">
                  <w:pPr>
                    <w:pStyle w:val="ListParagraph"/>
                    <w:numPr>
                      <w:ilvl w:val="0"/>
                      <w:numId w:val="5"/>
                    </w:numPr>
                    <w:spacing w:before="0" w:after="0"/>
                  </w:pPr>
                  <w:r w:rsidRPr="0097522F">
                    <w:t>enhancing awareness and implementation structures for PNGEITI in country.</w:t>
                  </w:r>
                </w:p>
              </w:tc>
              <w:tc>
                <w:tcPr>
                  <w:tcW w:w="6806" w:type="dxa"/>
                </w:tcPr>
                <w:p w14:paraId="0E8C4A54" w14:textId="77777777" w:rsidR="006D4450" w:rsidRDefault="0097522F" w:rsidP="00134395">
                  <w:pPr>
                    <w:pStyle w:val="ListParagraph"/>
                    <w:numPr>
                      <w:ilvl w:val="0"/>
                      <w:numId w:val="24"/>
                    </w:numPr>
                    <w:spacing w:before="0" w:after="0"/>
                    <w:jc w:val="both"/>
                  </w:pPr>
                  <w:r>
                    <w:t>A base line survey was conducted from 2018 October to March 2019</w:t>
                  </w:r>
                </w:p>
                <w:p w14:paraId="74EDEC23" w14:textId="0DED3F93" w:rsidR="0097522F" w:rsidRDefault="7F3149B7" w:rsidP="00134395">
                  <w:pPr>
                    <w:pStyle w:val="ListParagraph"/>
                    <w:numPr>
                      <w:ilvl w:val="0"/>
                      <w:numId w:val="24"/>
                    </w:numPr>
                    <w:spacing w:before="0" w:after="0"/>
                    <w:jc w:val="both"/>
                  </w:pPr>
                  <w:r>
                    <w:t>Analyzed</w:t>
                  </w:r>
                  <w:r w:rsidR="0097522F">
                    <w:t xml:space="preserve"> other </w:t>
                  </w:r>
                  <w:r>
                    <w:t>countries</w:t>
                  </w:r>
                  <w:r w:rsidR="0097522F">
                    <w:t xml:space="preserve"> communication </w:t>
                  </w:r>
                  <w:r>
                    <w:t>strategies and</w:t>
                  </w:r>
                  <w:r w:rsidR="0097522F">
                    <w:t xml:space="preserve"> </w:t>
                  </w:r>
                  <w:r>
                    <w:t>Identification</w:t>
                  </w:r>
                  <w:r w:rsidR="0097522F">
                    <w:t xml:space="preserve"> of good practice examples from peer EITI member countries by NS and JICA experts</w:t>
                  </w:r>
                </w:p>
                <w:p w14:paraId="78372F11" w14:textId="373726A4" w:rsidR="0097522F" w:rsidRDefault="0097522F" w:rsidP="00134395">
                  <w:pPr>
                    <w:pStyle w:val="ListParagraph"/>
                    <w:numPr>
                      <w:ilvl w:val="0"/>
                      <w:numId w:val="24"/>
                    </w:numPr>
                    <w:spacing w:before="0" w:after="0"/>
                    <w:jc w:val="both"/>
                  </w:pPr>
                  <w:r>
                    <w:lastRenderedPageBreak/>
                    <w:t xml:space="preserve">Principal </w:t>
                  </w:r>
                  <w:r w:rsidR="7F3149B7">
                    <w:t>endorsement</w:t>
                  </w:r>
                  <w:r>
                    <w:t xml:space="preserve"> of the revised communication and media strategy by MSG in December 2021</w:t>
                  </w:r>
                </w:p>
                <w:p w14:paraId="33CD96E3" w14:textId="77777777" w:rsidR="0097522F" w:rsidRDefault="0097522F" w:rsidP="00134395">
                  <w:pPr>
                    <w:pStyle w:val="ListParagraph"/>
                    <w:numPr>
                      <w:ilvl w:val="0"/>
                      <w:numId w:val="24"/>
                    </w:numPr>
                    <w:spacing w:before="0" w:after="0"/>
                    <w:jc w:val="both"/>
                  </w:pPr>
                  <w:r>
                    <w:t>Development of variety of awareness raising and training materials and contents by NS and JICA experts</w:t>
                  </w:r>
                </w:p>
                <w:p w14:paraId="1C03F2AF" w14:textId="77777777" w:rsidR="002A5901" w:rsidRDefault="002A5901" w:rsidP="00134395">
                  <w:pPr>
                    <w:pStyle w:val="ListParagraph"/>
                    <w:numPr>
                      <w:ilvl w:val="0"/>
                      <w:numId w:val="24"/>
                    </w:numPr>
                    <w:spacing w:before="0" w:after="0"/>
                    <w:jc w:val="both"/>
                  </w:pPr>
                  <w:r>
                    <w:t>Variety of promotional materials were developed by NS and JICA experts</w:t>
                  </w:r>
                </w:p>
                <w:p w14:paraId="1F7F4A94" w14:textId="77777777" w:rsidR="002A5901" w:rsidRDefault="002A5901" w:rsidP="00134395">
                  <w:pPr>
                    <w:pStyle w:val="ListParagraph"/>
                    <w:numPr>
                      <w:ilvl w:val="0"/>
                      <w:numId w:val="24"/>
                    </w:numPr>
                    <w:spacing w:before="0" w:after="0"/>
                    <w:jc w:val="both"/>
                  </w:pPr>
                  <w:r>
                    <w:t>Identified awareness promotional activities and decided on the delivery modalities and the necessary resources by NS and JICA experts</w:t>
                  </w:r>
                </w:p>
                <w:p w14:paraId="3D75435A" w14:textId="77777777" w:rsidR="002A5901" w:rsidRDefault="002A5901" w:rsidP="00134395">
                  <w:pPr>
                    <w:pStyle w:val="ListParagraph"/>
                    <w:numPr>
                      <w:ilvl w:val="0"/>
                      <w:numId w:val="24"/>
                    </w:numPr>
                    <w:spacing w:before="0" w:after="0"/>
                    <w:jc w:val="both"/>
                  </w:pPr>
                  <w:r>
                    <w:t>Conduct a variety of awareness promotion activities by the NS and the experts</w:t>
                  </w:r>
                </w:p>
                <w:p w14:paraId="77FAE32A" w14:textId="719348F7" w:rsidR="0097522F" w:rsidRPr="0097522F" w:rsidRDefault="002A5901" w:rsidP="00134395">
                  <w:pPr>
                    <w:pStyle w:val="ListParagraph"/>
                    <w:numPr>
                      <w:ilvl w:val="0"/>
                      <w:numId w:val="24"/>
                    </w:numPr>
                    <w:spacing w:before="0" w:after="0"/>
                    <w:jc w:val="both"/>
                  </w:pPr>
                  <w:r>
                    <w:t>Technical advice provided to NS to develop materials and deliver awareness promotion and activities by the experts.</w:t>
                  </w:r>
                  <w:r w:rsidR="0097522F">
                    <w:t xml:space="preserve"> </w:t>
                  </w:r>
                </w:p>
              </w:tc>
            </w:tr>
          </w:tbl>
          <w:p w14:paraId="4EFE43CA" w14:textId="2752D3B4" w:rsidR="00025CFC" w:rsidRDefault="00546C69" w:rsidP="00025CFC">
            <w:pPr>
              <w:spacing w:after="0"/>
              <w:jc w:val="both"/>
              <w:rPr>
                <w:b/>
                <w:bCs/>
                <w:u w:val="single"/>
              </w:rPr>
            </w:pPr>
            <w:r>
              <w:rPr>
                <w:b/>
                <w:bCs/>
                <w:u w:val="single"/>
              </w:rPr>
              <w:lastRenderedPageBreak/>
              <w:t xml:space="preserve">Mining </w:t>
            </w:r>
            <w:r w:rsidR="00025CFC">
              <w:rPr>
                <w:b/>
                <w:bCs/>
                <w:u w:val="single"/>
              </w:rPr>
              <w:t>Project M</w:t>
            </w:r>
            <w:r>
              <w:rPr>
                <w:b/>
                <w:bCs/>
                <w:u w:val="single"/>
              </w:rPr>
              <w:t xml:space="preserve">emorandum </w:t>
            </w:r>
            <w:r w:rsidR="00EC4CD3">
              <w:rPr>
                <w:b/>
                <w:bCs/>
                <w:u w:val="single"/>
              </w:rPr>
              <w:t>o</w:t>
            </w:r>
            <w:r>
              <w:rPr>
                <w:b/>
                <w:bCs/>
                <w:u w:val="single"/>
              </w:rPr>
              <w:t xml:space="preserve">f </w:t>
            </w:r>
            <w:r w:rsidR="00025CFC">
              <w:rPr>
                <w:b/>
                <w:bCs/>
                <w:u w:val="single"/>
              </w:rPr>
              <w:t>A</w:t>
            </w:r>
            <w:r>
              <w:rPr>
                <w:b/>
                <w:bCs/>
                <w:u w:val="single"/>
              </w:rPr>
              <w:t xml:space="preserve">greement (MoA) </w:t>
            </w:r>
          </w:p>
          <w:p w14:paraId="2F907549" w14:textId="791982C1" w:rsidR="00466F59" w:rsidRDefault="004A1458" w:rsidP="00025CFC">
            <w:pPr>
              <w:spacing w:after="0"/>
              <w:jc w:val="both"/>
              <w:rPr>
                <w:bCs/>
              </w:rPr>
            </w:pPr>
            <w:r w:rsidRPr="004A1458">
              <w:rPr>
                <w:bCs/>
              </w:rPr>
              <w:t>PNGEITI ha</w:t>
            </w:r>
            <w:r>
              <w:rPr>
                <w:bCs/>
              </w:rPr>
              <w:t xml:space="preserve">s been participating in the MoA reviews of the following mining projects </w:t>
            </w:r>
          </w:p>
          <w:p w14:paraId="62BA1C93" w14:textId="416A847F" w:rsidR="004A1458" w:rsidRDefault="004A1458" w:rsidP="00134395">
            <w:pPr>
              <w:pStyle w:val="ListParagraph"/>
              <w:numPr>
                <w:ilvl w:val="0"/>
                <w:numId w:val="27"/>
              </w:numPr>
              <w:spacing w:after="0"/>
              <w:contextualSpacing/>
              <w:jc w:val="both"/>
              <w:rPr>
                <w:bCs/>
              </w:rPr>
            </w:pPr>
            <w:r>
              <w:rPr>
                <w:bCs/>
              </w:rPr>
              <w:t>Woodlark</w:t>
            </w:r>
          </w:p>
          <w:p w14:paraId="52358F90" w14:textId="6A530C15" w:rsidR="004A1458" w:rsidRDefault="004A1458" w:rsidP="00134395">
            <w:pPr>
              <w:pStyle w:val="ListParagraph"/>
              <w:numPr>
                <w:ilvl w:val="0"/>
                <w:numId w:val="27"/>
              </w:numPr>
              <w:spacing w:after="0"/>
              <w:contextualSpacing/>
              <w:jc w:val="both"/>
              <w:rPr>
                <w:bCs/>
              </w:rPr>
            </w:pPr>
            <w:r>
              <w:rPr>
                <w:bCs/>
              </w:rPr>
              <w:t>Wafi-Golpu</w:t>
            </w:r>
          </w:p>
          <w:p w14:paraId="0F03777F" w14:textId="20C44348" w:rsidR="004A1458" w:rsidRPr="004A1458" w:rsidRDefault="004A1458" w:rsidP="00134395">
            <w:pPr>
              <w:pStyle w:val="ListParagraph"/>
              <w:numPr>
                <w:ilvl w:val="0"/>
                <w:numId w:val="27"/>
              </w:numPr>
              <w:spacing w:after="0"/>
              <w:contextualSpacing/>
              <w:jc w:val="both"/>
              <w:rPr>
                <w:bCs/>
              </w:rPr>
            </w:pPr>
            <w:r>
              <w:rPr>
                <w:bCs/>
              </w:rPr>
              <w:t xml:space="preserve">Simberi </w:t>
            </w:r>
          </w:p>
          <w:p w14:paraId="0D2335B5" w14:textId="54D1279F" w:rsidR="004A1458" w:rsidRDefault="004A1458" w:rsidP="00025CFC">
            <w:pPr>
              <w:spacing w:before="120" w:after="120"/>
              <w:jc w:val="both"/>
            </w:pPr>
            <w:r>
              <w:t xml:space="preserve">The purpose of EITI’s participation in </w:t>
            </w:r>
            <w:proofErr w:type="gramStart"/>
            <w:r>
              <w:t>this reviews</w:t>
            </w:r>
            <w:proofErr w:type="gramEnd"/>
            <w:r>
              <w:t xml:space="preserve"> is to ensure transparency clauses are captured in the MoAs going forward. From the reviews that took </w:t>
            </w:r>
            <w:proofErr w:type="gramStart"/>
            <w:r>
              <w:t>place,  there</w:t>
            </w:r>
            <w:proofErr w:type="gramEnd"/>
            <w:r>
              <w:t xml:space="preserve"> has been some progress noted. EITI transparency clause has been captured in the Woodlark Mining MoA, however, the document is still in draft and is also not a ‘public document’. </w:t>
            </w:r>
          </w:p>
          <w:p w14:paraId="6C8E9FD3" w14:textId="30C5D2C1" w:rsidR="00C9074C" w:rsidRDefault="007816E4" w:rsidP="00C9074C">
            <w:r>
              <w:t xml:space="preserve">Reports of </w:t>
            </w:r>
            <w:r w:rsidR="00C9074C">
              <w:t>PNGEITI</w:t>
            </w:r>
            <w:r w:rsidR="004A1458">
              <w:t xml:space="preserve">’s </w:t>
            </w:r>
            <w:r w:rsidR="00C9074C">
              <w:t>participation at the</w:t>
            </w:r>
            <w:r w:rsidR="004A1458">
              <w:t xml:space="preserve"> above mining</w:t>
            </w:r>
            <w:r w:rsidR="00C9074C">
              <w:t xml:space="preserve"> M</w:t>
            </w:r>
            <w:r w:rsidR="004A1458">
              <w:t>o</w:t>
            </w:r>
            <w:r w:rsidR="00C9074C">
              <w:t xml:space="preserve">A </w:t>
            </w:r>
            <w:r w:rsidR="004A1458">
              <w:t>reviews,</w:t>
            </w:r>
            <w:r w:rsidR="00C9074C">
              <w:t xml:space="preserve"> can be accessed through this links:</w:t>
            </w:r>
          </w:p>
          <w:p w14:paraId="73F0C334" w14:textId="5D57554D" w:rsidR="005B1E87" w:rsidRDefault="006F55C9" w:rsidP="00025CFC">
            <w:pPr>
              <w:spacing w:before="120" w:after="120"/>
              <w:jc w:val="both"/>
              <w:rPr>
                <w:rStyle w:val="Hyperlink"/>
              </w:rPr>
            </w:pPr>
            <w:hyperlink r:id="rId30" w:history="1">
              <w:r w:rsidR="005B1E87" w:rsidRPr="00530F4D">
                <w:rPr>
                  <w:rStyle w:val="Hyperlink"/>
                </w:rPr>
                <w:t>http://www.pngeiti.org.pg/wp-content/uploads/2018/04/Duty-Travel-Report-Woodlark-MOA-Forum.pdf</w:t>
              </w:r>
            </w:hyperlink>
          </w:p>
          <w:p w14:paraId="7A704449" w14:textId="7356B249" w:rsidR="00C9074C" w:rsidRDefault="006F55C9" w:rsidP="00025CFC">
            <w:pPr>
              <w:spacing w:before="120" w:after="120"/>
              <w:jc w:val="both"/>
              <w:rPr>
                <w:rStyle w:val="Hyperlink"/>
              </w:rPr>
            </w:pPr>
            <w:hyperlink r:id="rId31" w:history="1">
              <w:r w:rsidR="003030C9" w:rsidRPr="003030C9">
                <w:rPr>
                  <w:rStyle w:val="Hyperlink"/>
                </w:rPr>
                <w:t>http://www.pngeiti.org.pg/wp-content/uploads/2018/04/20180803_-Wafi-Gold-Outreach-Report.pdf</w:t>
              </w:r>
            </w:hyperlink>
          </w:p>
          <w:p w14:paraId="60027CF9" w14:textId="30CA3C7F" w:rsidR="00977767" w:rsidRDefault="00977767" w:rsidP="00025CFC">
            <w:pPr>
              <w:spacing w:before="120" w:after="120"/>
              <w:jc w:val="both"/>
              <w:rPr>
                <w:rStyle w:val="Hyperlink"/>
              </w:rPr>
            </w:pPr>
            <w:r w:rsidRPr="00977767">
              <w:rPr>
                <w:rStyle w:val="Hyperlink"/>
              </w:rPr>
              <w:t>http://www.pngeiti.org.pg/wp-content/uploads/2018/04/Simberi-MOA-Review-PNGEITI-Participation-Report-Final.pdf</w:t>
            </w:r>
          </w:p>
          <w:p w14:paraId="3E0B3F07" w14:textId="77777777" w:rsidR="00C9074C" w:rsidRDefault="00C9074C" w:rsidP="00025CFC">
            <w:pPr>
              <w:spacing w:before="120" w:after="120"/>
              <w:jc w:val="both"/>
            </w:pPr>
          </w:p>
          <w:p w14:paraId="7DC0F96D" w14:textId="6F2DC70D" w:rsidR="00D63C12" w:rsidRDefault="009D098F" w:rsidP="00025CFC">
            <w:pPr>
              <w:spacing w:before="120" w:after="120"/>
              <w:jc w:val="both"/>
            </w:pPr>
            <w:r>
              <w:t xml:space="preserve">MRA’s new corporate plan 2022 – 2027 has five key deliverables. One of the deliverables is to assist the mining provinces, provincial governments to build their capacity for administration and management of </w:t>
            </w:r>
            <w:proofErr w:type="gramStart"/>
            <w:r>
              <w:t>landowners</w:t>
            </w:r>
            <w:proofErr w:type="gramEnd"/>
            <w:r>
              <w:t xml:space="preserve"> financial transactions, reporting and other related activities</w:t>
            </w:r>
            <w:r w:rsidR="00366287">
              <w:t xml:space="preserve">. </w:t>
            </w:r>
          </w:p>
          <w:p w14:paraId="56987944" w14:textId="49091D97" w:rsidR="00366287" w:rsidRDefault="00366287" w:rsidP="00025CFC">
            <w:pPr>
              <w:spacing w:before="120" w:after="120"/>
              <w:jc w:val="both"/>
            </w:pPr>
            <w:r>
              <w:t xml:space="preserve">This includes reporting of royalty and other payments received from the mines. The </w:t>
            </w:r>
            <w:r w:rsidR="603FFD72">
              <w:t>new</w:t>
            </w:r>
            <w:r>
              <w:t xml:space="preserve"> corporate plan 2022 – 2027 is still in draft and not approved for release. Therefore, </w:t>
            </w:r>
            <w:r w:rsidR="603FFD72">
              <w:t>it has</w:t>
            </w:r>
            <w:r>
              <w:t xml:space="preserve"> not </w:t>
            </w:r>
            <w:r w:rsidR="603FFD72">
              <w:t>been made</w:t>
            </w:r>
            <w:r>
              <w:t xml:space="preserve"> available on their website.</w:t>
            </w:r>
          </w:p>
          <w:p w14:paraId="7CD1C9AE" w14:textId="19832112" w:rsidR="00025CFC" w:rsidRPr="00D0279B" w:rsidRDefault="00025CFC" w:rsidP="00025CFC">
            <w:pPr>
              <w:spacing w:before="120" w:after="120"/>
              <w:jc w:val="both"/>
            </w:pPr>
            <w:r>
              <w:t xml:space="preserve"> </w:t>
            </w:r>
          </w:p>
        </w:tc>
      </w:tr>
    </w:tbl>
    <w:p w14:paraId="1C8A5FB6" w14:textId="77777777" w:rsidR="00C6608B" w:rsidRPr="00444E47" w:rsidRDefault="00C6608B" w:rsidP="00C6608B">
      <w:pPr>
        <w:rPr>
          <w:i/>
          <w:iCs/>
        </w:rPr>
      </w:pPr>
    </w:p>
    <w:p w14:paraId="0386849D" w14:textId="77777777" w:rsidR="00C6608B" w:rsidRPr="00C175F8" w:rsidRDefault="00C6608B" w:rsidP="00C6608B">
      <w:pPr>
        <w:rPr>
          <w:b/>
          <w:bCs/>
        </w:rPr>
      </w:pPr>
      <w:r w:rsidRPr="00C175F8">
        <w:rPr>
          <w:b/>
          <w:bCs/>
        </w:rPr>
        <w:t>3. Optional question: Has the MSG developed a theory of change on how EITI implementation will address the identified challenges of the sector in your country? If yes, please reference the corresponding document here.</w:t>
      </w:r>
    </w:p>
    <w:tbl>
      <w:tblPr>
        <w:tblStyle w:val="TableGrid"/>
        <w:tblW w:w="9918" w:type="dxa"/>
        <w:tblLook w:val="04A0" w:firstRow="1" w:lastRow="0" w:firstColumn="1" w:lastColumn="0" w:noHBand="0" w:noVBand="1"/>
      </w:tblPr>
      <w:tblGrid>
        <w:gridCol w:w="9918"/>
      </w:tblGrid>
      <w:tr w:rsidR="00C6608B" w14:paraId="017B3347" w14:textId="77777777" w:rsidTr="000064B3">
        <w:tc>
          <w:tcPr>
            <w:tcW w:w="9918" w:type="dxa"/>
          </w:tcPr>
          <w:p w14:paraId="24FFCA4B" w14:textId="3A3F020D" w:rsidR="00A336FA" w:rsidRDefault="00DB21E7" w:rsidP="00E658F1">
            <w:pPr>
              <w:spacing w:before="120" w:after="120"/>
              <w:jc w:val="both"/>
            </w:pPr>
            <w:r w:rsidRPr="00DB21E7">
              <w:t>PNGEITI</w:t>
            </w:r>
            <w:r w:rsidR="00BE3139">
              <w:t xml:space="preserve">’s </w:t>
            </w:r>
            <w:r w:rsidRPr="00DB21E7">
              <w:t xml:space="preserve">challenges identified are addressed through NEC directives as well as annual workplans and </w:t>
            </w:r>
            <w:r w:rsidR="00BE3139">
              <w:t xml:space="preserve">implemented </w:t>
            </w:r>
            <w:r w:rsidRPr="00DB21E7">
              <w:t>by the National Secretariat</w:t>
            </w:r>
            <w:r w:rsidR="00BE3139">
              <w:t xml:space="preserve"> and</w:t>
            </w:r>
            <w:r w:rsidRPr="00DB21E7">
              <w:t xml:space="preserve"> the Technical Working Groups (TWGs). Some</w:t>
            </w:r>
            <w:r w:rsidR="00BE3139">
              <w:t xml:space="preserve"> of</w:t>
            </w:r>
            <w:r w:rsidRPr="00DB21E7">
              <w:t xml:space="preserve"> the key </w:t>
            </w:r>
            <w:r w:rsidRPr="00DB21E7">
              <w:lastRenderedPageBreak/>
              <w:t xml:space="preserve">challenges identified and recommended in the first PNGEITI Report </w:t>
            </w:r>
            <w:r w:rsidR="00BE3139">
              <w:t>including feedback from</w:t>
            </w:r>
            <w:r w:rsidRPr="00DB21E7">
              <w:t xml:space="preserve"> the Department of Petroleum and Energy relating to disclosure of</w:t>
            </w:r>
            <w:r>
              <w:t xml:space="preserve"> petroleum licenses, production volumes</w:t>
            </w:r>
            <w:r w:rsidR="00AE3974">
              <w:t xml:space="preserve"> </w:t>
            </w:r>
            <w:r>
              <w:t>and values and license registry has been addresse</w:t>
            </w:r>
            <w:r w:rsidR="00DB08C0">
              <w:t>d</w:t>
            </w:r>
            <w:r>
              <w:t xml:space="preserve"> </w:t>
            </w:r>
            <w:r w:rsidR="00E56368">
              <w:t xml:space="preserve">with </w:t>
            </w:r>
            <w:r w:rsidR="00BE3139">
              <w:t>technical</w:t>
            </w:r>
            <w:r w:rsidR="00E56368">
              <w:t xml:space="preserve"> </w:t>
            </w:r>
            <w:r w:rsidR="00BE3139">
              <w:t>support</w:t>
            </w:r>
            <w:r w:rsidR="00AE3974">
              <w:t xml:space="preserve"> through the</w:t>
            </w:r>
            <w:r w:rsidR="00E658F1">
              <w:t xml:space="preserve"> JICA </w:t>
            </w:r>
            <w:proofErr w:type="gramStart"/>
            <w:r w:rsidR="00E658F1">
              <w:t xml:space="preserve">Project </w:t>
            </w:r>
            <w:r w:rsidR="00BE3139">
              <w:t xml:space="preserve"> -</w:t>
            </w:r>
            <w:proofErr w:type="gramEnd"/>
            <w:r w:rsidR="00BE3139">
              <w:t xml:space="preserve"> </w:t>
            </w:r>
            <w:r w:rsidR="00E658F1">
              <w:t>Resource Related Revenue Management.</w:t>
            </w:r>
          </w:p>
          <w:p w14:paraId="5A9A370D" w14:textId="20DC75E4" w:rsidR="00C6608B" w:rsidRDefault="006F55C9" w:rsidP="00AE3974">
            <w:pPr>
              <w:spacing w:before="120" w:after="120"/>
              <w:jc w:val="both"/>
            </w:pPr>
            <w:hyperlink r:id="rId32" w:history="1">
              <w:r w:rsidR="00E658F1" w:rsidRPr="00530F4D">
                <w:rPr>
                  <w:rStyle w:val="Hyperlink"/>
                </w:rPr>
                <w:t>http://www.pngeiti.org.pg/wp-content/uploads/2018/04/2022-Signed-Project-Completion-Report-by-JICA-Expert-team..pdf</w:t>
              </w:r>
            </w:hyperlink>
          </w:p>
          <w:p w14:paraId="7AF4713F" w14:textId="6ED40B55" w:rsidR="00585176" w:rsidRDefault="00AE3974" w:rsidP="0099716F">
            <w:pPr>
              <w:spacing w:after="120"/>
              <w:jc w:val="both"/>
            </w:pPr>
            <w:r>
              <w:t>According to the Resource Related Revenue Management Project, the implementation status has improved from 2018 (for 2016 Report) to 2021 (for 2018 or 2019 Report). T</w:t>
            </w:r>
            <w:r w:rsidR="0099716F">
              <w:t>he</w:t>
            </w:r>
            <w:r>
              <w:t xml:space="preserve"> </w:t>
            </w:r>
            <w:r w:rsidR="00585176">
              <w:t xml:space="preserve">completion </w:t>
            </w:r>
            <w:r>
              <w:t>report further outlined the</w:t>
            </w:r>
            <w:r w:rsidR="0099716F">
              <w:t xml:space="preserve"> improvements observed for the EITI requirements</w:t>
            </w:r>
            <w:r w:rsidR="00585176">
              <w:t>, captured on</w:t>
            </w:r>
            <w:r w:rsidR="00B83517">
              <w:t xml:space="preserve"> </w:t>
            </w:r>
            <w:hyperlink r:id="rId33" w:history="1">
              <w:r w:rsidR="00B83517" w:rsidRPr="0004740E">
                <w:rPr>
                  <w:rStyle w:val="Hyperlink"/>
                </w:rPr>
                <w:t>page 28</w:t>
              </w:r>
              <w:r w:rsidR="0004740E" w:rsidRPr="0004740E">
                <w:rPr>
                  <w:rStyle w:val="Hyperlink"/>
                </w:rPr>
                <w:t>-29</w:t>
              </w:r>
              <w:r w:rsidR="00B83517" w:rsidRPr="0004740E">
                <w:rPr>
                  <w:rStyle w:val="Hyperlink"/>
                </w:rPr>
                <w:t xml:space="preserve"> of the report in Table 26 Assessment of Implementation Status of EITI Requirement</w:t>
              </w:r>
            </w:hyperlink>
            <w:r w:rsidR="0004740E">
              <w:t>.</w:t>
            </w:r>
            <w:r w:rsidR="00B83517">
              <w:t xml:space="preserve"> </w:t>
            </w:r>
            <w:r>
              <w:t xml:space="preserve"> </w:t>
            </w:r>
          </w:p>
          <w:p w14:paraId="6D38F380" w14:textId="0EA97B3F" w:rsidR="00E658F1" w:rsidRDefault="0004740E" w:rsidP="0099716F">
            <w:pPr>
              <w:spacing w:after="120"/>
              <w:jc w:val="both"/>
            </w:pPr>
            <w:r>
              <w:t>B</w:t>
            </w:r>
            <w:r w:rsidR="0099716F">
              <w:t xml:space="preserve">elow </w:t>
            </w:r>
            <w:r>
              <w:t>is a</w:t>
            </w:r>
            <w:r w:rsidR="0099716F">
              <w:t xml:space="preserve"> summary:</w:t>
            </w:r>
          </w:p>
          <w:tbl>
            <w:tblPr>
              <w:tblStyle w:val="TableGrid"/>
              <w:tblW w:w="0" w:type="auto"/>
              <w:tblLook w:val="04A0" w:firstRow="1" w:lastRow="0" w:firstColumn="1" w:lastColumn="0" w:noHBand="0" w:noVBand="1"/>
            </w:tblPr>
            <w:tblGrid>
              <w:gridCol w:w="1756"/>
              <w:gridCol w:w="1710"/>
              <w:gridCol w:w="3106"/>
              <w:gridCol w:w="3023"/>
            </w:tblGrid>
            <w:tr w:rsidR="00A62043" w:rsidRPr="006F3A9F" w14:paraId="3F569A23" w14:textId="77777777" w:rsidTr="00610F6F">
              <w:tc>
                <w:tcPr>
                  <w:tcW w:w="1677" w:type="dxa"/>
                </w:tcPr>
                <w:p w14:paraId="59AEDC06" w14:textId="63855D45" w:rsidR="0099716F" w:rsidRPr="006F3A9F" w:rsidRDefault="0099716F" w:rsidP="0099716F">
                  <w:pPr>
                    <w:spacing w:before="0" w:after="0"/>
                    <w:jc w:val="both"/>
                    <w:rPr>
                      <w:b/>
                      <w:bCs/>
                      <w:sz w:val="18"/>
                      <w:szCs w:val="18"/>
                    </w:rPr>
                  </w:pPr>
                  <w:r w:rsidRPr="006F3A9F">
                    <w:rPr>
                      <w:b/>
                      <w:bCs/>
                      <w:sz w:val="18"/>
                      <w:szCs w:val="18"/>
                    </w:rPr>
                    <w:t>EITI Requirement</w:t>
                  </w:r>
                </w:p>
              </w:tc>
              <w:tc>
                <w:tcPr>
                  <w:tcW w:w="1710" w:type="dxa"/>
                </w:tcPr>
                <w:p w14:paraId="243BBEFA" w14:textId="50E2040D" w:rsidR="0099716F" w:rsidRPr="006F3A9F" w:rsidRDefault="0099716F" w:rsidP="0099716F">
                  <w:pPr>
                    <w:spacing w:before="0" w:after="0"/>
                    <w:jc w:val="center"/>
                    <w:rPr>
                      <w:b/>
                      <w:bCs/>
                      <w:sz w:val="18"/>
                      <w:szCs w:val="18"/>
                    </w:rPr>
                  </w:pPr>
                  <w:r w:rsidRPr="006F3A9F">
                    <w:rPr>
                      <w:b/>
                      <w:bCs/>
                      <w:sz w:val="18"/>
                      <w:szCs w:val="18"/>
                    </w:rPr>
                    <w:t>2018 Validation Result</w:t>
                  </w:r>
                </w:p>
              </w:tc>
              <w:tc>
                <w:tcPr>
                  <w:tcW w:w="3106" w:type="dxa"/>
                </w:tcPr>
                <w:p w14:paraId="231A4CC5" w14:textId="41607E56" w:rsidR="0099716F" w:rsidRPr="006F3A9F" w:rsidRDefault="00610F6F" w:rsidP="0099716F">
                  <w:pPr>
                    <w:spacing w:before="0" w:after="0"/>
                    <w:jc w:val="center"/>
                    <w:rPr>
                      <w:b/>
                      <w:bCs/>
                      <w:sz w:val="18"/>
                      <w:szCs w:val="18"/>
                    </w:rPr>
                  </w:pPr>
                  <w:r w:rsidRPr="006F3A9F">
                    <w:rPr>
                      <w:b/>
                      <w:bCs/>
                      <w:sz w:val="18"/>
                      <w:szCs w:val="18"/>
                    </w:rPr>
                    <w:t xml:space="preserve">Corrective Action </w:t>
                  </w:r>
                </w:p>
              </w:tc>
              <w:tc>
                <w:tcPr>
                  <w:tcW w:w="3023" w:type="dxa"/>
                </w:tcPr>
                <w:p w14:paraId="42FFF423" w14:textId="0F3A1DA1" w:rsidR="0099716F" w:rsidRPr="006F3A9F" w:rsidRDefault="0099716F" w:rsidP="008E25B3">
                  <w:pPr>
                    <w:spacing w:before="0" w:after="0"/>
                    <w:ind w:right="454"/>
                    <w:jc w:val="both"/>
                    <w:rPr>
                      <w:b/>
                      <w:bCs/>
                      <w:sz w:val="18"/>
                      <w:szCs w:val="18"/>
                    </w:rPr>
                  </w:pPr>
                  <w:r w:rsidRPr="006F3A9F">
                    <w:rPr>
                      <w:b/>
                      <w:bCs/>
                      <w:sz w:val="18"/>
                      <w:szCs w:val="18"/>
                    </w:rPr>
                    <w:t>Improvements with the Project</w:t>
                  </w:r>
                </w:p>
              </w:tc>
            </w:tr>
            <w:tr w:rsidR="00A62043" w:rsidRPr="006F3A9F" w14:paraId="57B52ED8" w14:textId="77777777" w:rsidTr="00610F6F">
              <w:tc>
                <w:tcPr>
                  <w:tcW w:w="1677" w:type="dxa"/>
                </w:tcPr>
                <w:p w14:paraId="786400F6" w14:textId="094ED339" w:rsidR="0099716F" w:rsidRPr="006F3A9F" w:rsidRDefault="00B83517" w:rsidP="0099716F">
                  <w:pPr>
                    <w:spacing w:before="0" w:after="0"/>
                    <w:jc w:val="both"/>
                    <w:rPr>
                      <w:sz w:val="18"/>
                      <w:szCs w:val="18"/>
                    </w:rPr>
                  </w:pPr>
                  <w:r w:rsidRPr="006F3A9F">
                    <w:rPr>
                      <w:sz w:val="18"/>
                      <w:szCs w:val="18"/>
                    </w:rPr>
                    <w:t>#</w:t>
                  </w:r>
                  <w:r w:rsidR="0099716F" w:rsidRPr="006F3A9F">
                    <w:rPr>
                      <w:sz w:val="18"/>
                      <w:szCs w:val="18"/>
                    </w:rPr>
                    <w:t>2.2 – License Allocation</w:t>
                  </w:r>
                </w:p>
              </w:tc>
              <w:tc>
                <w:tcPr>
                  <w:tcW w:w="1710" w:type="dxa"/>
                </w:tcPr>
                <w:p w14:paraId="2F85CBD0" w14:textId="7C11A66E" w:rsidR="0099716F" w:rsidRPr="006F3A9F" w:rsidRDefault="0099716F" w:rsidP="0099716F">
                  <w:pPr>
                    <w:spacing w:before="0" w:after="0"/>
                    <w:jc w:val="both"/>
                    <w:rPr>
                      <w:sz w:val="18"/>
                      <w:szCs w:val="18"/>
                    </w:rPr>
                  </w:pPr>
                  <w:r w:rsidRPr="006F3A9F">
                    <w:rPr>
                      <w:sz w:val="18"/>
                      <w:szCs w:val="18"/>
                    </w:rPr>
                    <w:t>Inadequate</w:t>
                  </w:r>
                </w:p>
              </w:tc>
              <w:tc>
                <w:tcPr>
                  <w:tcW w:w="3106" w:type="dxa"/>
                </w:tcPr>
                <w:p w14:paraId="4D4970D4" w14:textId="4687E24C" w:rsidR="00610F6F" w:rsidRPr="006F3A9F" w:rsidRDefault="00610F6F" w:rsidP="00134395">
                  <w:pPr>
                    <w:pStyle w:val="ListParagraph"/>
                    <w:numPr>
                      <w:ilvl w:val="0"/>
                      <w:numId w:val="28"/>
                    </w:numPr>
                    <w:spacing w:before="0" w:after="0"/>
                    <w:jc w:val="both"/>
                    <w:rPr>
                      <w:sz w:val="18"/>
                      <w:szCs w:val="18"/>
                    </w:rPr>
                  </w:pPr>
                  <w:r w:rsidRPr="006F3A9F">
                    <w:rPr>
                      <w:sz w:val="18"/>
                      <w:szCs w:val="18"/>
                    </w:rPr>
                    <w:t xml:space="preserve">PNG is required to publicly disclose information related to the award or transfer of mining tenements and oil and gas licenses pertaining to companies covered in the EITI Report. </w:t>
                  </w:r>
                </w:p>
                <w:p w14:paraId="3AE8BA83" w14:textId="498FC487" w:rsidR="0099716F" w:rsidRPr="006F3A9F" w:rsidRDefault="00610F6F" w:rsidP="00134395">
                  <w:pPr>
                    <w:pStyle w:val="ListParagraph"/>
                    <w:numPr>
                      <w:ilvl w:val="0"/>
                      <w:numId w:val="28"/>
                    </w:numPr>
                    <w:spacing w:before="0" w:after="0"/>
                    <w:jc w:val="both"/>
                    <w:rPr>
                      <w:sz w:val="18"/>
                      <w:szCs w:val="18"/>
                    </w:rPr>
                  </w:pPr>
                  <w:r w:rsidRPr="006F3A9F">
                    <w:rPr>
                      <w:sz w:val="18"/>
                      <w:szCs w:val="18"/>
                    </w:rPr>
                    <w:t>This information should include the number of mining tenements and oil and gas licenses awarded and transferred in the year under review, a description of the award and transfer procedures, including specific technical and financial criteria assessed, and any non-trivial deviations from statutory procedures in practice.</w:t>
                  </w:r>
                </w:p>
              </w:tc>
              <w:tc>
                <w:tcPr>
                  <w:tcW w:w="3023" w:type="dxa"/>
                </w:tcPr>
                <w:p w14:paraId="7EB48ABA" w14:textId="0EB6901E" w:rsidR="00610F6F" w:rsidRPr="006F3A9F" w:rsidRDefault="008E25B3" w:rsidP="00134395">
                  <w:pPr>
                    <w:pStyle w:val="ListParagraph"/>
                    <w:numPr>
                      <w:ilvl w:val="0"/>
                      <w:numId w:val="28"/>
                    </w:numPr>
                    <w:spacing w:before="0" w:after="120"/>
                    <w:jc w:val="both"/>
                    <w:rPr>
                      <w:sz w:val="18"/>
                      <w:szCs w:val="18"/>
                    </w:rPr>
                  </w:pPr>
                  <w:r w:rsidRPr="006F3A9F">
                    <w:rPr>
                      <w:sz w:val="18"/>
                      <w:szCs w:val="18"/>
                    </w:rPr>
                    <w:t xml:space="preserve">DPE official website </w:t>
                  </w:r>
                  <w:r w:rsidR="00610F6F" w:rsidRPr="006F3A9F">
                    <w:rPr>
                      <w:sz w:val="18"/>
                      <w:szCs w:val="18"/>
                    </w:rPr>
                    <w:t xml:space="preserve">up and running </w:t>
                  </w:r>
                </w:p>
                <w:p w14:paraId="0CC3951C" w14:textId="11260129" w:rsidR="00610F6F" w:rsidRPr="006F3A9F" w:rsidRDefault="00610F6F" w:rsidP="00610F6F">
                  <w:pPr>
                    <w:spacing w:before="0" w:after="120"/>
                    <w:jc w:val="both"/>
                    <w:rPr>
                      <w:sz w:val="18"/>
                      <w:szCs w:val="18"/>
                    </w:rPr>
                  </w:pPr>
                  <w:r w:rsidRPr="006F3A9F">
                    <w:rPr>
                      <w:sz w:val="18"/>
                      <w:szCs w:val="18"/>
                    </w:rPr>
                    <w:t>The following have been uploaded to the website;</w:t>
                  </w:r>
                </w:p>
                <w:p w14:paraId="6EBF3A93" w14:textId="20DB1285" w:rsidR="00610F6F" w:rsidRPr="006F3A9F" w:rsidRDefault="00610F6F" w:rsidP="00134395">
                  <w:pPr>
                    <w:pStyle w:val="ListParagraph"/>
                    <w:numPr>
                      <w:ilvl w:val="0"/>
                      <w:numId w:val="28"/>
                    </w:numPr>
                    <w:spacing w:before="0" w:after="120"/>
                    <w:jc w:val="both"/>
                    <w:rPr>
                      <w:sz w:val="18"/>
                      <w:szCs w:val="18"/>
                    </w:rPr>
                  </w:pPr>
                  <w:r w:rsidRPr="006F3A9F">
                    <w:rPr>
                      <w:sz w:val="18"/>
                      <w:szCs w:val="18"/>
                    </w:rPr>
                    <w:t xml:space="preserve">Transfer of Licenses for the year 2019; </w:t>
                  </w:r>
                </w:p>
                <w:p w14:paraId="6C716057" w14:textId="6FC2EEFD" w:rsidR="00610F6F" w:rsidRPr="006F3A9F" w:rsidRDefault="00610F6F" w:rsidP="00610F6F">
                  <w:pPr>
                    <w:rPr>
                      <w:sz w:val="18"/>
                      <w:szCs w:val="18"/>
                    </w:rPr>
                  </w:pPr>
                  <w:r w:rsidRPr="006F3A9F">
                    <w:rPr>
                      <w:sz w:val="18"/>
                      <w:szCs w:val="18"/>
                    </w:rPr>
                    <w:t xml:space="preserve">Outstanding for uploading is; </w:t>
                  </w:r>
                </w:p>
                <w:p w14:paraId="24575999" w14:textId="122E68CA" w:rsidR="00610F6F" w:rsidRPr="006F3A9F" w:rsidRDefault="005C4276" w:rsidP="00134395">
                  <w:pPr>
                    <w:pStyle w:val="ListParagraph"/>
                    <w:numPr>
                      <w:ilvl w:val="0"/>
                      <w:numId w:val="28"/>
                    </w:numPr>
                    <w:rPr>
                      <w:sz w:val="18"/>
                      <w:szCs w:val="18"/>
                    </w:rPr>
                  </w:pPr>
                  <w:r w:rsidRPr="006F3A9F">
                    <w:rPr>
                      <w:sz w:val="18"/>
                      <w:szCs w:val="18"/>
                    </w:rPr>
                    <w:t>License a</w:t>
                  </w:r>
                  <w:r w:rsidR="00610F6F" w:rsidRPr="006F3A9F">
                    <w:rPr>
                      <w:sz w:val="18"/>
                      <w:szCs w:val="18"/>
                    </w:rPr>
                    <w:t xml:space="preserve">ward and transfer procedures </w:t>
                  </w:r>
                </w:p>
                <w:p w14:paraId="0D13E493" w14:textId="237335DF" w:rsidR="00610F6F" w:rsidRPr="006F3A9F" w:rsidRDefault="00610F6F" w:rsidP="00134395">
                  <w:pPr>
                    <w:pStyle w:val="ListParagraph"/>
                    <w:numPr>
                      <w:ilvl w:val="0"/>
                      <w:numId w:val="28"/>
                    </w:numPr>
                    <w:rPr>
                      <w:sz w:val="18"/>
                      <w:szCs w:val="18"/>
                    </w:rPr>
                  </w:pPr>
                  <w:r w:rsidRPr="006F3A9F">
                    <w:rPr>
                      <w:sz w:val="18"/>
                      <w:szCs w:val="18"/>
                    </w:rPr>
                    <w:t xml:space="preserve">Specific technical and financial criteria </w:t>
                  </w:r>
                </w:p>
                <w:p w14:paraId="46B6A028" w14:textId="2D803436" w:rsidR="0099716F" w:rsidRPr="006F3A9F" w:rsidRDefault="00610F6F" w:rsidP="00610F6F">
                  <w:pPr>
                    <w:pStyle w:val="ListParagraph"/>
                    <w:numPr>
                      <w:ilvl w:val="0"/>
                      <w:numId w:val="28"/>
                    </w:numPr>
                    <w:rPr>
                      <w:sz w:val="18"/>
                      <w:szCs w:val="18"/>
                    </w:rPr>
                  </w:pPr>
                  <w:r w:rsidRPr="006F3A9F">
                    <w:rPr>
                      <w:sz w:val="18"/>
                      <w:szCs w:val="18"/>
                    </w:rPr>
                    <w:t xml:space="preserve">Non-trivial </w:t>
                  </w:r>
                  <w:r w:rsidR="005C4276" w:rsidRPr="006F3A9F">
                    <w:rPr>
                      <w:sz w:val="18"/>
                      <w:szCs w:val="18"/>
                    </w:rPr>
                    <w:t xml:space="preserve">deviations </w:t>
                  </w:r>
                  <w:r w:rsidRPr="006F3A9F">
                    <w:rPr>
                      <w:sz w:val="18"/>
                      <w:szCs w:val="18"/>
                    </w:rPr>
                    <w:t>from statutory procedure</w:t>
                  </w:r>
                  <w:r w:rsidR="005C4276" w:rsidRPr="006F3A9F">
                    <w:rPr>
                      <w:sz w:val="18"/>
                      <w:szCs w:val="18"/>
                    </w:rPr>
                    <w:t xml:space="preserve">s in practice </w:t>
                  </w:r>
                  <w:r w:rsidR="00147859" w:rsidRPr="006F3A9F">
                    <w:rPr>
                      <w:sz w:val="18"/>
                      <w:szCs w:val="18"/>
                    </w:rPr>
                    <w:t>if any</w:t>
                  </w:r>
                </w:p>
              </w:tc>
            </w:tr>
            <w:tr w:rsidR="00A62043" w:rsidRPr="006F3A9F" w14:paraId="55BAF437" w14:textId="77777777" w:rsidTr="00610F6F">
              <w:tc>
                <w:tcPr>
                  <w:tcW w:w="1677" w:type="dxa"/>
                </w:tcPr>
                <w:p w14:paraId="5CD30B14" w14:textId="1D1D54E7" w:rsidR="0099716F" w:rsidRPr="006F3A9F" w:rsidRDefault="00B83517" w:rsidP="0099716F">
                  <w:pPr>
                    <w:spacing w:before="0" w:after="0"/>
                    <w:jc w:val="both"/>
                    <w:rPr>
                      <w:sz w:val="18"/>
                      <w:szCs w:val="18"/>
                    </w:rPr>
                  </w:pPr>
                  <w:r w:rsidRPr="006F3A9F">
                    <w:rPr>
                      <w:sz w:val="18"/>
                      <w:szCs w:val="18"/>
                    </w:rPr>
                    <w:t>#2.3 – License register</w:t>
                  </w:r>
                </w:p>
              </w:tc>
              <w:tc>
                <w:tcPr>
                  <w:tcW w:w="1710" w:type="dxa"/>
                </w:tcPr>
                <w:p w14:paraId="275CECB6" w14:textId="3F4061EB" w:rsidR="0099716F" w:rsidRPr="006F3A9F" w:rsidRDefault="00B83517" w:rsidP="0099716F">
                  <w:pPr>
                    <w:spacing w:before="0" w:after="0"/>
                    <w:jc w:val="both"/>
                    <w:rPr>
                      <w:sz w:val="18"/>
                      <w:szCs w:val="18"/>
                    </w:rPr>
                  </w:pPr>
                  <w:r w:rsidRPr="006F3A9F">
                    <w:rPr>
                      <w:sz w:val="18"/>
                      <w:szCs w:val="18"/>
                    </w:rPr>
                    <w:t>Meaningful</w:t>
                  </w:r>
                </w:p>
              </w:tc>
              <w:tc>
                <w:tcPr>
                  <w:tcW w:w="3106" w:type="dxa"/>
                </w:tcPr>
                <w:p w14:paraId="19C43B6F" w14:textId="68434469" w:rsidR="000746AA" w:rsidRPr="006F3A9F" w:rsidRDefault="000746AA" w:rsidP="00134395">
                  <w:pPr>
                    <w:pStyle w:val="ListParagraph"/>
                    <w:numPr>
                      <w:ilvl w:val="0"/>
                      <w:numId w:val="29"/>
                    </w:numPr>
                    <w:spacing w:before="0" w:after="0"/>
                    <w:jc w:val="both"/>
                    <w:rPr>
                      <w:sz w:val="18"/>
                      <w:szCs w:val="18"/>
                    </w:rPr>
                  </w:pPr>
                  <w:r w:rsidRPr="006F3A9F">
                    <w:rPr>
                      <w:sz w:val="18"/>
                      <w:szCs w:val="18"/>
                    </w:rPr>
                    <w:t xml:space="preserve">PNG should maintain a publicly accessible register or cadastre system(s), including comprehensive information on licenses for all oil, gas and mining companies. </w:t>
                  </w:r>
                </w:p>
                <w:p w14:paraId="32F1D1EB" w14:textId="0B782608" w:rsidR="0099716F" w:rsidRPr="006F3A9F" w:rsidRDefault="000746AA" w:rsidP="00134395">
                  <w:pPr>
                    <w:pStyle w:val="ListParagraph"/>
                    <w:numPr>
                      <w:ilvl w:val="0"/>
                      <w:numId w:val="29"/>
                    </w:numPr>
                    <w:spacing w:before="0" w:after="0"/>
                    <w:jc w:val="both"/>
                    <w:rPr>
                      <w:sz w:val="18"/>
                      <w:szCs w:val="18"/>
                    </w:rPr>
                  </w:pPr>
                  <w:r w:rsidRPr="006F3A9F">
                    <w:rPr>
                      <w:sz w:val="18"/>
                      <w:szCs w:val="18"/>
                    </w:rPr>
                    <w:t>In the interim, PNG should ensure that information set</w:t>
                  </w:r>
                  <w:r w:rsidR="00D52705" w:rsidRPr="006F3A9F">
                    <w:rPr>
                      <w:sz w:val="18"/>
                      <w:szCs w:val="18"/>
                    </w:rPr>
                    <w:t xml:space="preserve"> </w:t>
                  </w:r>
                  <w:r w:rsidR="00D52705" w:rsidRPr="006F3A9F">
                    <w:rPr>
                      <w:rFonts w:cs="Segoe UI"/>
                      <w:sz w:val="18"/>
                      <w:szCs w:val="18"/>
                    </w:rPr>
                    <w:t>out under EITI Requirement 2.3.b is publicly accessible for all mining, oil and gas companies.</w:t>
                  </w:r>
                </w:p>
              </w:tc>
              <w:tc>
                <w:tcPr>
                  <w:tcW w:w="3023" w:type="dxa"/>
                </w:tcPr>
                <w:p w14:paraId="6EB2F259" w14:textId="09F5D2C0" w:rsidR="000746AA" w:rsidRPr="006F3A9F" w:rsidRDefault="000746AA" w:rsidP="000746AA">
                  <w:pPr>
                    <w:spacing w:before="0" w:after="0"/>
                    <w:jc w:val="both"/>
                    <w:rPr>
                      <w:sz w:val="18"/>
                      <w:szCs w:val="18"/>
                    </w:rPr>
                  </w:pPr>
                  <w:r w:rsidRPr="006F3A9F">
                    <w:rPr>
                      <w:sz w:val="18"/>
                      <w:szCs w:val="18"/>
                    </w:rPr>
                    <w:t xml:space="preserve">The following has been uploaded and improved; </w:t>
                  </w:r>
                </w:p>
                <w:p w14:paraId="1E559FCE" w14:textId="1FF9D949" w:rsidR="000746AA" w:rsidRPr="006F3A9F" w:rsidRDefault="000746AA" w:rsidP="00134395">
                  <w:pPr>
                    <w:pStyle w:val="ListParagraph"/>
                    <w:numPr>
                      <w:ilvl w:val="0"/>
                      <w:numId w:val="29"/>
                    </w:numPr>
                    <w:spacing w:before="0" w:after="0"/>
                    <w:jc w:val="both"/>
                    <w:rPr>
                      <w:sz w:val="18"/>
                      <w:szCs w:val="18"/>
                    </w:rPr>
                  </w:pPr>
                  <w:r w:rsidRPr="006F3A9F">
                    <w:rPr>
                      <w:sz w:val="18"/>
                      <w:szCs w:val="18"/>
                    </w:rPr>
                    <w:t>d</w:t>
                  </w:r>
                  <w:r w:rsidR="00B83517" w:rsidRPr="006F3A9F">
                    <w:rPr>
                      <w:sz w:val="18"/>
                      <w:szCs w:val="18"/>
                    </w:rPr>
                    <w:t>isclosed tenement map of oil and gas on its website</w:t>
                  </w:r>
                </w:p>
                <w:p w14:paraId="7D70B31D" w14:textId="7718960A" w:rsidR="00D52705" w:rsidRPr="006F3A9F" w:rsidRDefault="000746AA" w:rsidP="00134395">
                  <w:pPr>
                    <w:pStyle w:val="ListParagraph"/>
                    <w:numPr>
                      <w:ilvl w:val="0"/>
                      <w:numId w:val="29"/>
                    </w:numPr>
                    <w:spacing w:before="0" w:after="0"/>
                    <w:jc w:val="both"/>
                    <w:rPr>
                      <w:sz w:val="18"/>
                      <w:szCs w:val="18"/>
                    </w:rPr>
                  </w:pPr>
                  <w:r w:rsidRPr="006F3A9F">
                    <w:rPr>
                      <w:sz w:val="18"/>
                      <w:szCs w:val="18"/>
                    </w:rPr>
                    <w:t>a d</w:t>
                  </w:r>
                  <w:r w:rsidR="00B83517" w:rsidRPr="006F3A9F">
                    <w:rPr>
                      <w:sz w:val="18"/>
                      <w:szCs w:val="18"/>
                    </w:rPr>
                    <w:t>atabas</w:t>
                  </w:r>
                  <w:r w:rsidRPr="006F3A9F">
                    <w:rPr>
                      <w:sz w:val="18"/>
                      <w:szCs w:val="18"/>
                    </w:rPr>
                    <w:t xml:space="preserve">e </w:t>
                  </w:r>
                  <w:r w:rsidR="00B83517" w:rsidRPr="006F3A9F">
                    <w:rPr>
                      <w:sz w:val="18"/>
                      <w:szCs w:val="18"/>
                    </w:rPr>
                    <w:t xml:space="preserve">was developed to maintain </w:t>
                  </w:r>
                  <w:r w:rsidRPr="006F3A9F">
                    <w:rPr>
                      <w:sz w:val="18"/>
                      <w:szCs w:val="18"/>
                    </w:rPr>
                    <w:t xml:space="preserve">the </w:t>
                  </w:r>
                  <w:r w:rsidR="00B83517" w:rsidRPr="006F3A9F">
                    <w:rPr>
                      <w:sz w:val="18"/>
                      <w:szCs w:val="18"/>
                    </w:rPr>
                    <w:t>license register</w:t>
                  </w:r>
                  <w:r w:rsidR="00D52705" w:rsidRPr="006F3A9F">
                    <w:rPr>
                      <w:sz w:val="18"/>
                      <w:szCs w:val="18"/>
                    </w:rPr>
                    <w:t>,</w:t>
                  </w:r>
                </w:p>
                <w:p w14:paraId="0540E7CF" w14:textId="77777777" w:rsidR="00D52705" w:rsidRPr="006F3A9F" w:rsidRDefault="00D52705" w:rsidP="00466113">
                  <w:pPr>
                    <w:pStyle w:val="ListParagraph"/>
                    <w:spacing w:before="0" w:after="0"/>
                    <w:jc w:val="both"/>
                    <w:rPr>
                      <w:sz w:val="18"/>
                      <w:szCs w:val="18"/>
                    </w:rPr>
                  </w:pPr>
                </w:p>
                <w:p w14:paraId="020EE902" w14:textId="48637B02" w:rsidR="00D52705" w:rsidRPr="006F3A9F" w:rsidRDefault="00D52705" w:rsidP="00D52705">
                  <w:pPr>
                    <w:spacing w:before="0" w:after="0"/>
                    <w:jc w:val="both"/>
                    <w:rPr>
                      <w:sz w:val="18"/>
                      <w:szCs w:val="18"/>
                    </w:rPr>
                  </w:pPr>
                  <w:r w:rsidRPr="006F3A9F">
                    <w:rPr>
                      <w:sz w:val="18"/>
                      <w:szCs w:val="18"/>
                    </w:rPr>
                    <w:t xml:space="preserve">Outstanding for this requirement is an official cadastre system for oil and gas companies. </w:t>
                  </w:r>
                </w:p>
              </w:tc>
            </w:tr>
            <w:tr w:rsidR="00A62043" w:rsidRPr="006F3A9F" w14:paraId="637EB2C1" w14:textId="77777777" w:rsidTr="00610F6F">
              <w:tc>
                <w:tcPr>
                  <w:tcW w:w="1677" w:type="dxa"/>
                </w:tcPr>
                <w:p w14:paraId="0037D047" w14:textId="203A4754" w:rsidR="0099716F" w:rsidRPr="006F3A9F" w:rsidRDefault="00B83517" w:rsidP="0099716F">
                  <w:pPr>
                    <w:spacing w:before="0" w:after="0"/>
                    <w:jc w:val="both"/>
                    <w:rPr>
                      <w:sz w:val="18"/>
                      <w:szCs w:val="18"/>
                    </w:rPr>
                  </w:pPr>
                  <w:r w:rsidRPr="006F3A9F">
                    <w:rPr>
                      <w:sz w:val="18"/>
                      <w:szCs w:val="18"/>
                    </w:rPr>
                    <w:t>#3.2 – Production Data</w:t>
                  </w:r>
                </w:p>
              </w:tc>
              <w:tc>
                <w:tcPr>
                  <w:tcW w:w="1710" w:type="dxa"/>
                </w:tcPr>
                <w:p w14:paraId="783DF5A7" w14:textId="27D03B71"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7C05FAE8" w14:textId="7162B8B4" w:rsidR="0099716F" w:rsidRPr="006F3A9F" w:rsidRDefault="00C363EC" w:rsidP="00134395">
                  <w:pPr>
                    <w:pStyle w:val="ListParagraph"/>
                    <w:numPr>
                      <w:ilvl w:val="0"/>
                      <w:numId w:val="30"/>
                    </w:numPr>
                    <w:spacing w:before="0" w:after="0"/>
                    <w:jc w:val="both"/>
                    <w:rPr>
                      <w:sz w:val="18"/>
                      <w:szCs w:val="18"/>
                    </w:rPr>
                  </w:pPr>
                  <w:r w:rsidRPr="006F3A9F">
                    <w:rPr>
                      <w:rFonts w:cs="Segoe UI"/>
                      <w:sz w:val="18"/>
                      <w:szCs w:val="18"/>
                    </w:rPr>
                    <w:t xml:space="preserve">PNG should ensure that the complete production volume for oil and gas, and production values for each of the </w:t>
                  </w:r>
                  <w:proofErr w:type="gramStart"/>
                  <w:r w:rsidRPr="006F3A9F">
                    <w:rPr>
                      <w:rFonts w:cs="Segoe UI"/>
                      <w:sz w:val="18"/>
                      <w:szCs w:val="18"/>
                    </w:rPr>
                    <w:t>extractives</w:t>
                  </w:r>
                  <w:proofErr w:type="gramEnd"/>
                  <w:r w:rsidRPr="006F3A9F">
                    <w:rPr>
                      <w:rFonts w:cs="Segoe UI"/>
                      <w:sz w:val="18"/>
                      <w:szCs w:val="18"/>
                    </w:rPr>
                    <w:t xml:space="preserve"> commodities produced during the year under review be publicly accessible, disaggregated by commodity.</w:t>
                  </w:r>
                </w:p>
              </w:tc>
              <w:tc>
                <w:tcPr>
                  <w:tcW w:w="3023" w:type="dxa"/>
                </w:tcPr>
                <w:p w14:paraId="524606B2" w14:textId="77777777" w:rsidR="0099716F" w:rsidRPr="006F3A9F" w:rsidRDefault="00B83517" w:rsidP="0099716F">
                  <w:pPr>
                    <w:spacing w:before="0" w:after="0"/>
                    <w:jc w:val="both"/>
                    <w:rPr>
                      <w:sz w:val="18"/>
                      <w:szCs w:val="18"/>
                    </w:rPr>
                  </w:pPr>
                  <w:r w:rsidRPr="006F3A9F">
                    <w:rPr>
                      <w:sz w:val="18"/>
                      <w:szCs w:val="18"/>
                    </w:rPr>
                    <w:t xml:space="preserve">Production data on volume and value was reported in 2019 report and DPE has established mechanisms required to record and report production data.  </w:t>
                  </w:r>
                </w:p>
                <w:p w14:paraId="1C21A687" w14:textId="77777777" w:rsidR="00264398" w:rsidRPr="006F3A9F" w:rsidRDefault="00264398" w:rsidP="0099716F">
                  <w:pPr>
                    <w:spacing w:before="0" w:after="0"/>
                    <w:jc w:val="both"/>
                    <w:rPr>
                      <w:sz w:val="18"/>
                      <w:szCs w:val="18"/>
                    </w:rPr>
                  </w:pPr>
                </w:p>
                <w:p w14:paraId="7496711E" w14:textId="30FF22B4" w:rsidR="00264398" w:rsidRPr="006F3A9F" w:rsidRDefault="00264398" w:rsidP="00134395">
                  <w:pPr>
                    <w:pStyle w:val="ListParagraph"/>
                    <w:numPr>
                      <w:ilvl w:val="0"/>
                      <w:numId w:val="30"/>
                    </w:numPr>
                    <w:spacing w:before="0" w:after="0"/>
                    <w:jc w:val="both"/>
                    <w:rPr>
                      <w:sz w:val="18"/>
                      <w:szCs w:val="18"/>
                    </w:rPr>
                  </w:pPr>
                  <w:r w:rsidRPr="006F3A9F">
                    <w:rPr>
                      <w:sz w:val="18"/>
                      <w:szCs w:val="18"/>
                    </w:rPr>
                    <w:t xml:space="preserve">Production volume – </w:t>
                  </w:r>
                  <w:r w:rsidR="00A62043" w:rsidRPr="006F3A9F">
                    <w:rPr>
                      <w:sz w:val="18"/>
                      <w:szCs w:val="18"/>
                    </w:rPr>
                    <w:t xml:space="preserve">export volume for oil is captured for 2019 and is uploaded on website </w:t>
                  </w:r>
                </w:p>
                <w:p w14:paraId="46E31793" w14:textId="35E702D8" w:rsidR="00A62043" w:rsidRPr="006F3A9F" w:rsidRDefault="00A62043" w:rsidP="00134395">
                  <w:pPr>
                    <w:pStyle w:val="ListParagraph"/>
                    <w:numPr>
                      <w:ilvl w:val="0"/>
                      <w:numId w:val="30"/>
                    </w:numPr>
                    <w:spacing w:before="0" w:after="0"/>
                    <w:jc w:val="both"/>
                    <w:rPr>
                      <w:sz w:val="18"/>
                      <w:szCs w:val="18"/>
                    </w:rPr>
                  </w:pPr>
                  <w:r w:rsidRPr="006F3A9F">
                    <w:rPr>
                      <w:sz w:val="18"/>
                      <w:szCs w:val="18"/>
                    </w:rPr>
                    <w:lastRenderedPageBreak/>
                    <w:t>Export volume for LNG for 2019 is captured and uploaded on website</w:t>
                  </w:r>
                </w:p>
                <w:p w14:paraId="7A64D65B" w14:textId="39FDC5F2" w:rsidR="00A62043" w:rsidRPr="006F3A9F" w:rsidRDefault="00A62043" w:rsidP="00134395">
                  <w:pPr>
                    <w:pStyle w:val="ListParagraph"/>
                    <w:numPr>
                      <w:ilvl w:val="0"/>
                      <w:numId w:val="30"/>
                    </w:numPr>
                    <w:spacing w:before="0" w:after="0"/>
                    <w:jc w:val="both"/>
                    <w:rPr>
                      <w:sz w:val="18"/>
                      <w:szCs w:val="18"/>
                    </w:rPr>
                  </w:pPr>
                  <w:r w:rsidRPr="006F3A9F">
                    <w:rPr>
                      <w:sz w:val="18"/>
                      <w:szCs w:val="18"/>
                    </w:rPr>
                    <w:t xml:space="preserve">Disaggregated by commodity and reported under projects </w:t>
                  </w:r>
                </w:p>
                <w:p w14:paraId="51B03832" w14:textId="77777777" w:rsidR="00A62043" w:rsidRPr="006F3A9F" w:rsidRDefault="00A62043" w:rsidP="0099716F">
                  <w:pPr>
                    <w:spacing w:before="0" w:after="0"/>
                    <w:jc w:val="both"/>
                    <w:rPr>
                      <w:sz w:val="18"/>
                      <w:szCs w:val="18"/>
                    </w:rPr>
                  </w:pPr>
                </w:p>
                <w:p w14:paraId="174CA858" w14:textId="7A323364" w:rsidR="00264398" w:rsidRPr="006F3A9F" w:rsidRDefault="00A62043" w:rsidP="0099716F">
                  <w:pPr>
                    <w:spacing w:before="0" w:after="0"/>
                    <w:jc w:val="both"/>
                    <w:rPr>
                      <w:sz w:val="18"/>
                      <w:szCs w:val="18"/>
                    </w:rPr>
                  </w:pPr>
                  <w:proofErr w:type="spellStart"/>
                  <w:r w:rsidRPr="006F3A9F">
                    <w:rPr>
                      <w:sz w:val="18"/>
                      <w:szCs w:val="18"/>
                    </w:rPr>
                    <w:t>Oustanding</w:t>
                  </w:r>
                  <w:proofErr w:type="spellEnd"/>
                  <w:r w:rsidRPr="006F3A9F">
                    <w:rPr>
                      <w:sz w:val="18"/>
                      <w:szCs w:val="18"/>
                    </w:rPr>
                    <w:t xml:space="preserve"> for uploading </w:t>
                  </w:r>
                </w:p>
                <w:p w14:paraId="67ECE95F" w14:textId="77777777" w:rsidR="00A62043" w:rsidRPr="006F3A9F" w:rsidRDefault="00A62043" w:rsidP="0099716F">
                  <w:pPr>
                    <w:spacing w:before="0" w:after="0"/>
                    <w:jc w:val="both"/>
                    <w:rPr>
                      <w:sz w:val="18"/>
                      <w:szCs w:val="18"/>
                    </w:rPr>
                  </w:pPr>
                </w:p>
                <w:p w14:paraId="0158D607" w14:textId="42B3AA73" w:rsidR="00466113" w:rsidRPr="006F3A9F" w:rsidRDefault="00264398" w:rsidP="00134395">
                  <w:pPr>
                    <w:pStyle w:val="ListParagraph"/>
                    <w:numPr>
                      <w:ilvl w:val="0"/>
                      <w:numId w:val="30"/>
                    </w:numPr>
                    <w:spacing w:before="0" w:after="0"/>
                    <w:jc w:val="both"/>
                    <w:rPr>
                      <w:sz w:val="18"/>
                      <w:szCs w:val="18"/>
                    </w:rPr>
                  </w:pPr>
                  <w:r w:rsidRPr="006F3A9F">
                    <w:rPr>
                      <w:sz w:val="18"/>
                      <w:szCs w:val="18"/>
                    </w:rPr>
                    <w:t xml:space="preserve">Production value </w:t>
                  </w:r>
                  <w:r w:rsidR="00C319F9" w:rsidRPr="006F3A9F">
                    <w:rPr>
                      <w:sz w:val="18"/>
                      <w:szCs w:val="18"/>
                    </w:rPr>
                    <w:t>for oil and gas</w:t>
                  </w:r>
                </w:p>
                <w:p w14:paraId="0C778C72" w14:textId="6F789E2B" w:rsidR="00466113" w:rsidRPr="006F3A9F" w:rsidRDefault="00466113" w:rsidP="0099716F">
                  <w:pPr>
                    <w:spacing w:before="0" w:after="0"/>
                    <w:jc w:val="both"/>
                    <w:rPr>
                      <w:sz w:val="18"/>
                      <w:szCs w:val="18"/>
                    </w:rPr>
                  </w:pPr>
                </w:p>
              </w:tc>
            </w:tr>
            <w:tr w:rsidR="00A62043" w:rsidRPr="006F3A9F" w14:paraId="0BC46C6D" w14:textId="77777777" w:rsidTr="00610F6F">
              <w:tc>
                <w:tcPr>
                  <w:tcW w:w="1677" w:type="dxa"/>
                </w:tcPr>
                <w:p w14:paraId="0E9C7ABF" w14:textId="6314C4FE" w:rsidR="0099716F" w:rsidRPr="006F3A9F" w:rsidRDefault="00B83517" w:rsidP="0099716F">
                  <w:pPr>
                    <w:spacing w:before="0" w:after="0"/>
                    <w:jc w:val="both"/>
                    <w:rPr>
                      <w:sz w:val="18"/>
                      <w:szCs w:val="18"/>
                    </w:rPr>
                  </w:pPr>
                  <w:r w:rsidRPr="006F3A9F">
                    <w:rPr>
                      <w:sz w:val="18"/>
                      <w:szCs w:val="18"/>
                    </w:rPr>
                    <w:lastRenderedPageBreak/>
                    <w:t>#4.1 Comprehensiveness</w:t>
                  </w:r>
                </w:p>
              </w:tc>
              <w:tc>
                <w:tcPr>
                  <w:tcW w:w="1710" w:type="dxa"/>
                </w:tcPr>
                <w:p w14:paraId="337972AC" w14:textId="77777777" w:rsidR="00A06FE4" w:rsidRPr="006F3A9F" w:rsidRDefault="00A06FE4" w:rsidP="0099716F">
                  <w:pPr>
                    <w:spacing w:before="0" w:after="0"/>
                    <w:jc w:val="both"/>
                    <w:rPr>
                      <w:sz w:val="18"/>
                      <w:szCs w:val="18"/>
                    </w:rPr>
                  </w:pPr>
                </w:p>
                <w:p w14:paraId="241DA2B1" w14:textId="3D319DA4"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6E9033DA" w14:textId="77777777" w:rsidR="00E5199A" w:rsidRPr="006F3A9F" w:rsidRDefault="00E5199A" w:rsidP="00E5199A">
                  <w:pPr>
                    <w:pStyle w:val="ListParagraph"/>
                    <w:numPr>
                      <w:ilvl w:val="0"/>
                      <w:numId w:val="34"/>
                    </w:numPr>
                    <w:tabs>
                      <w:tab w:val="left" w:pos="2143"/>
                    </w:tabs>
                    <w:spacing w:after="120" w:line="264" w:lineRule="auto"/>
                    <w:ind w:left="458"/>
                    <w:jc w:val="both"/>
                    <w:rPr>
                      <w:rFonts w:cs="Segoe UI"/>
                      <w:sz w:val="18"/>
                      <w:szCs w:val="18"/>
                    </w:rPr>
                  </w:pPr>
                  <w:r w:rsidRPr="006F3A9F">
                    <w:rPr>
                      <w:rFonts w:cs="Segoe UI"/>
                      <w:sz w:val="18"/>
                      <w:szCs w:val="18"/>
                    </w:rPr>
                    <w:t xml:space="preserve">PNG should ensure that the materiality threshold for selecting companies ensures that all payments that could affect the comprehensiveness of EITI reporting be included in the scope of reconciliation. </w:t>
                  </w:r>
                </w:p>
                <w:p w14:paraId="2D221E65" w14:textId="77777777" w:rsidR="00E5199A" w:rsidRPr="006F3A9F" w:rsidRDefault="00E5199A" w:rsidP="00E5199A">
                  <w:pPr>
                    <w:pStyle w:val="ListParagraph"/>
                    <w:numPr>
                      <w:ilvl w:val="0"/>
                      <w:numId w:val="34"/>
                    </w:numPr>
                    <w:tabs>
                      <w:tab w:val="left" w:pos="2143"/>
                    </w:tabs>
                    <w:spacing w:after="120" w:line="264" w:lineRule="auto"/>
                    <w:ind w:left="458"/>
                    <w:jc w:val="both"/>
                    <w:rPr>
                      <w:rFonts w:cs="Segoe UI"/>
                      <w:sz w:val="18"/>
                      <w:szCs w:val="18"/>
                    </w:rPr>
                  </w:pPr>
                  <w:r w:rsidRPr="006F3A9F">
                    <w:rPr>
                      <w:rFonts w:cs="Segoe UI"/>
                      <w:sz w:val="18"/>
                      <w:szCs w:val="18"/>
                    </w:rPr>
                    <w:t xml:space="preserve">The MSG should ensure that PNG’s next EITI Report includes the IA’s assessment of the materiality of omissions from non-reporting entities, an assessment of the comprehensiveness of the EITI Report and that full unilateral government disclosure of total revenues are provided, and including from non-material companies is provided for each of the material revenue streams. </w:t>
                  </w:r>
                </w:p>
                <w:p w14:paraId="1FF727B6" w14:textId="10F4C742" w:rsidR="0099716F" w:rsidRPr="006F3A9F" w:rsidRDefault="00E5199A" w:rsidP="00E5199A">
                  <w:pPr>
                    <w:spacing w:before="0" w:after="0"/>
                    <w:jc w:val="both"/>
                    <w:rPr>
                      <w:sz w:val="18"/>
                      <w:szCs w:val="18"/>
                    </w:rPr>
                  </w:pPr>
                  <w:r w:rsidRPr="006F3A9F">
                    <w:rPr>
                      <w:rFonts w:cs="Segoe UI"/>
                      <w:sz w:val="18"/>
                      <w:szCs w:val="18"/>
                    </w:rPr>
                    <w:t>In accordance with Requirement 8.3.c.i, the MSG should develop and disclose an action plan for addressing the deficiencies in comprehensiveness of reporting documented in the initial assessment.</w:t>
                  </w:r>
                </w:p>
              </w:tc>
              <w:tc>
                <w:tcPr>
                  <w:tcW w:w="3023" w:type="dxa"/>
                </w:tcPr>
                <w:p w14:paraId="50B24174" w14:textId="77777777" w:rsidR="00E5199A" w:rsidRPr="006F3A9F" w:rsidRDefault="00E5199A" w:rsidP="0099716F">
                  <w:pPr>
                    <w:spacing w:before="0" w:after="0"/>
                    <w:jc w:val="both"/>
                    <w:rPr>
                      <w:sz w:val="18"/>
                      <w:szCs w:val="18"/>
                    </w:rPr>
                  </w:pPr>
                </w:p>
                <w:p w14:paraId="67BB2890" w14:textId="198CFC28" w:rsidR="0099716F" w:rsidRPr="006F3A9F" w:rsidRDefault="00B83517" w:rsidP="0099716F">
                  <w:pPr>
                    <w:spacing w:before="0" w:after="0"/>
                    <w:jc w:val="both"/>
                    <w:rPr>
                      <w:sz w:val="18"/>
                      <w:szCs w:val="18"/>
                    </w:rPr>
                  </w:pPr>
                  <w:r w:rsidRPr="006F3A9F">
                    <w:rPr>
                      <w:sz w:val="18"/>
                      <w:szCs w:val="18"/>
                    </w:rPr>
                    <w:t>The submission status of templates from reporting entities was improved to ensure that coverage of the report including description and explanations improved comprehensiveness in 2019 reports</w:t>
                  </w:r>
                </w:p>
              </w:tc>
            </w:tr>
            <w:tr w:rsidR="00A62043" w:rsidRPr="006F3A9F" w14:paraId="3DB09B61" w14:textId="77777777" w:rsidTr="00610F6F">
              <w:tc>
                <w:tcPr>
                  <w:tcW w:w="1677" w:type="dxa"/>
                </w:tcPr>
                <w:p w14:paraId="09804D52" w14:textId="4911E1FA" w:rsidR="0099716F" w:rsidRPr="006F3A9F" w:rsidRDefault="00B83517" w:rsidP="0099716F">
                  <w:pPr>
                    <w:spacing w:before="0" w:after="0"/>
                    <w:jc w:val="both"/>
                    <w:rPr>
                      <w:sz w:val="18"/>
                      <w:szCs w:val="18"/>
                    </w:rPr>
                  </w:pPr>
                  <w:r w:rsidRPr="006F3A9F">
                    <w:rPr>
                      <w:sz w:val="18"/>
                      <w:szCs w:val="18"/>
                    </w:rPr>
                    <w:t>#4.9 – Data Quality</w:t>
                  </w:r>
                </w:p>
              </w:tc>
              <w:tc>
                <w:tcPr>
                  <w:tcW w:w="1710" w:type="dxa"/>
                </w:tcPr>
                <w:p w14:paraId="1A22ED5A" w14:textId="505DE221" w:rsidR="0099716F" w:rsidRPr="006F3A9F" w:rsidRDefault="00B83517" w:rsidP="0099716F">
                  <w:pPr>
                    <w:spacing w:before="0" w:after="0"/>
                    <w:jc w:val="both"/>
                    <w:rPr>
                      <w:sz w:val="18"/>
                      <w:szCs w:val="18"/>
                    </w:rPr>
                  </w:pPr>
                  <w:r w:rsidRPr="006F3A9F">
                    <w:rPr>
                      <w:sz w:val="18"/>
                      <w:szCs w:val="18"/>
                    </w:rPr>
                    <w:t>Inadequate</w:t>
                  </w:r>
                </w:p>
              </w:tc>
              <w:tc>
                <w:tcPr>
                  <w:tcW w:w="3106" w:type="dxa"/>
                </w:tcPr>
                <w:p w14:paraId="1480BE8D" w14:textId="77777777" w:rsidR="006F3A9F" w:rsidRPr="006F3A9F" w:rsidRDefault="006F3A9F" w:rsidP="006F3A9F">
                  <w:pPr>
                    <w:pStyle w:val="ListParagraph"/>
                    <w:numPr>
                      <w:ilvl w:val="0"/>
                      <w:numId w:val="34"/>
                    </w:numPr>
                    <w:tabs>
                      <w:tab w:val="left" w:pos="2143"/>
                    </w:tabs>
                    <w:spacing w:after="120" w:line="264" w:lineRule="auto"/>
                    <w:ind w:left="458"/>
                    <w:jc w:val="both"/>
                    <w:rPr>
                      <w:rFonts w:cs="Segoe UI"/>
                      <w:sz w:val="18"/>
                      <w:szCs w:val="20"/>
                    </w:rPr>
                  </w:pPr>
                  <w:r w:rsidRPr="006F3A9F">
                    <w:rPr>
                      <w:rFonts w:cs="Segoe UI"/>
                      <w:sz w:val="18"/>
                      <w:szCs w:val="20"/>
                    </w:rPr>
                    <w:t>The EITI requires an assessment of whether the payments and revenues are subject to credible, independent audit, applying international auditing standards. In accordance with Requirement 4.9.b.iii and the standard Terms of Reference for the Independent Administrator agreed by the EITI Board, the MSG and Independent Administrator should:</w:t>
                  </w:r>
                </w:p>
                <w:p w14:paraId="2A1AECAF" w14:textId="77777777" w:rsidR="006F3A9F" w:rsidRPr="006F3A9F" w:rsidRDefault="006F3A9F" w:rsidP="006F3A9F">
                  <w:pPr>
                    <w:pStyle w:val="ListParagraph"/>
                    <w:numPr>
                      <w:ilvl w:val="0"/>
                      <w:numId w:val="34"/>
                    </w:numPr>
                    <w:tabs>
                      <w:tab w:val="left" w:pos="2143"/>
                    </w:tabs>
                    <w:spacing w:after="120" w:line="264" w:lineRule="auto"/>
                    <w:ind w:left="781"/>
                    <w:jc w:val="both"/>
                    <w:rPr>
                      <w:rFonts w:cs="Segoe UI"/>
                      <w:sz w:val="18"/>
                      <w:szCs w:val="20"/>
                    </w:rPr>
                  </w:pPr>
                  <w:r w:rsidRPr="006F3A9F">
                    <w:rPr>
                      <w:rFonts w:cs="Segoe UI"/>
                      <w:sz w:val="18"/>
                      <w:szCs w:val="20"/>
                    </w:rPr>
                    <w:t xml:space="preserve">Ensure that the Independent Administrator (IA) provides a clear and </w:t>
                  </w:r>
                  <w:r w:rsidRPr="006F3A9F">
                    <w:rPr>
                      <w:rFonts w:cs="Segoe UI"/>
                      <w:sz w:val="18"/>
                      <w:szCs w:val="20"/>
                    </w:rPr>
                    <w:lastRenderedPageBreak/>
                    <w:t>categorical assessment of comprehensiveness and reliability of the (financial) data presented, including an informative summary of the work performed by the Independent Administrator and the limitations of the assessment provided.</w:t>
                  </w:r>
                </w:p>
                <w:p w14:paraId="58D8DA49" w14:textId="77777777" w:rsidR="006F3A9F" w:rsidRPr="006F3A9F" w:rsidRDefault="006F3A9F" w:rsidP="006F3A9F">
                  <w:pPr>
                    <w:pStyle w:val="ListParagraph"/>
                    <w:numPr>
                      <w:ilvl w:val="0"/>
                      <w:numId w:val="34"/>
                    </w:numPr>
                    <w:tabs>
                      <w:tab w:val="left" w:pos="2143"/>
                    </w:tabs>
                    <w:spacing w:after="120" w:line="264" w:lineRule="auto"/>
                    <w:ind w:left="781"/>
                    <w:jc w:val="both"/>
                    <w:rPr>
                      <w:rFonts w:cs="Segoe UI"/>
                      <w:sz w:val="18"/>
                      <w:szCs w:val="20"/>
                    </w:rPr>
                  </w:pPr>
                  <w:r w:rsidRPr="006F3A9F">
                    <w:rPr>
                      <w:rFonts w:cs="Segoe UI"/>
                      <w:sz w:val="18"/>
                      <w:szCs w:val="20"/>
                    </w:rPr>
                    <w:t>Ensure that the Independent Administrator provides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and reliability of the report.</w:t>
                  </w:r>
                </w:p>
                <w:p w14:paraId="48F84FC4" w14:textId="123B04FA" w:rsidR="0099716F" w:rsidRPr="006F3A9F" w:rsidRDefault="006F3A9F" w:rsidP="006F3A9F">
                  <w:pPr>
                    <w:spacing w:before="0" w:after="0"/>
                    <w:jc w:val="both"/>
                    <w:rPr>
                      <w:sz w:val="18"/>
                      <w:szCs w:val="18"/>
                    </w:rPr>
                  </w:pPr>
                  <w:r w:rsidRPr="006F3A9F">
                    <w:rPr>
                      <w:rFonts w:cs="Segoe UI"/>
                      <w:sz w:val="18"/>
                      <w:szCs w:val="20"/>
                    </w:rPr>
                    <w:t>In accordance with Requirement 8.3.c.i, the MSG should develop and disclose an action plan for addressing the deficiencies in the reliability of reporting documented in the initial assessment.</w:t>
                  </w:r>
                </w:p>
              </w:tc>
              <w:tc>
                <w:tcPr>
                  <w:tcW w:w="3023" w:type="dxa"/>
                </w:tcPr>
                <w:p w14:paraId="7918E346" w14:textId="189DD48D" w:rsidR="0099716F" w:rsidRPr="006F3A9F" w:rsidRDefault="00B83517" w:rsidP="0099716F">
                  <w:pPr>
                    <w:spacing w:before="0" w:after="0"/>
                    <w:jc w:val="both"/>
                    <w:rPr>
                      <w:sz w:val="18"/>
                      <w:szCs w:val="18"/>
                    </w:rPr>
                  </w:pPr>
                  <w:r w:rsidRPr="006F3A9F">
                    <w:rPr>
                      <w:sz w:val="18"/>
                      <w:szCs w:val="18"/>
                    </w:rPr>
                    <w:lastRenderedPageBreak/>
                    <w:t>Description of the reconciliation and coverage was improved in the 2019 report and the variances in reported figures decreased in the 2019 report from previous reports due to reconciliation. </w:t>
                  </w:r>
                </w:p>
              </w:tc>
            </w:tr>
          </w:tbl>
          <w:p w14:paraId="003F8A3A" w14:textId="0EF19950" w:rsidR="0099716F" w:rsidRDefault="0099716F" w:rsidP="0099716F">
            <w:pPr>
              <w:spacing w:before="0" w:after="0"/>
              <w:jc w:val="both"/>
            </w:pPr>
          </w:p>
          <w:p w14:paraId="659358F1" w14:textId="7C0E39A0" w:rsidR="00332044" w:rsidRDefault="00332044" w:rsidP="0099716F">
            <w:pPr>
              <w:spacing w:before="0" w:after="0"/>
              <w:jc w:val="both"/>
            </w:pPr>
            <w:r>
              <w:t>The report further states that</w:t>
            </w:r>
            <w:r w:rsidR="00961633">
              <w:t>, although improvements were observed, it is important for the reporting entities to participate actively to improve submission status and quality of information.</w:t>
            </w:r>
          </w:p>
          <w:p w14:paraId="364799BD" w14:textId="79D88A8F" w:rsidR="00961633" w:rsidRDefault="007B4742" w:rsidP="003F5A4F">
            <w:pPr>
              <w:jc w:val="both"/>
              <w:rPr>
                <w:rStyle w:val="normaltextrun"/>
                <w:rFonts w:cs="Segoe UI"/>
                <w:color w:val="333333"/>
                <w:szCs w:val="22"/>
              </w:rPr>
            </w:pPr>
            <w:r>
              <w:rPr>
                <w:rStyle w:val="normaltextrun"/>
                <w:rFonts w:cs="Segoe UI"/>
                <w:color w:val="333333"/>
                <w:szCs w:val="22"/>
              </w:rPr>
              <w:t>JICA has</w:t>
            </w:r>
            <w:r w:rsidR="003F5A4F">
              <w:rPr>
                <w:rStyle w:val="normaltextrun"/>
                <w:rFonts w:cs="Segoe UI"/>
                <w:color w:val="333333"/>
                <w:szCs w:val="22"/>
              </w:rPr>
              <w:t xml:space="preserve"> also</w:t>
            </w:r>
            <w:r>
              <w:rPr>
                <w:rStyle w:val="normaltextrun"/>
                <w:rFonts w:cs="Segoe UI"/>
                <w:color w:val="333333"/>
                <w:szCs w:val="22"/>
              </w:rPr>
              <w:t xml:space="preserve"> informed I</w:t>
            </w:r>
            <w:r w:rsidR="00DA0449">
              <w:rPr>
                <w:rStyle w:val="normaltextrun"/>
                <w:rFonts w:cs="Segoe UI"/>
                <w:color w:val="333333"/>
                <w:szCs w:val="22"/>
              </w:rPr>
              <w:t xml:space="preserve">ndependent </w:t>
            </w:r>
            <w:r>
              <w:rPr>
                <w:rStyle w:val="normaltextrun"/>
                <w:rFonts w:cs="Segoe UI"/>
                <w:color w:val="333333"/>
                <w:szCs w:val="22"/>
              </w:rPr>
              <w:t>A</w:t>
            </w:r>
            <w:r w:rsidR="00DA0449">
              <w:rPr>
                <w:rStyle w:val="normaltextrun"/>
                <w:rFonts w:cs="Segoe UI"/>
                <w:color w:val="333333"/>
                <w:szCs w:val="22"/>
              </w:rPr>
              <w:t>dministrator</w:t>
            </w:r>
            <w:r>
              <w:rPr>
                <w:rStyle w:val="normaltextrun"/>
                <w:rFonts w:cs="Segoe UI"/>
                <w:color w:val="333333"/>
                <w:szCs w:val="22"/>
              </w:rPr>
              <w:t xml:space="preserve"> </w:t>
            </w:r>
            <w:r w:rsidR="00253A3D">
              <w:rPr>
                <w:rStyle w:val="normaltextrun"/>
                <w:rFonts w:cs="Segoe UI"/>
                <w:color w:val="333333"/>
                <w:szCs w:val="22"/>
              </w:rPr>
              <w:t xml:space="preserve">(IA) </w:t>
            </w:r>
            <w:r>
              <w:rPr>
                <w:rStyle w:val="normaltextrun"/>
                <w:rFonts w:cs="Segoe UI"/>
                <w:color w:val="333333"/>
                <w:szCs w:val="22"/>
              </w:rPr>
              <w:t>that t</w:t>
            </w:r>
            <w:r w:rsidR="00961633">
              <w:rPr>
                <w:rStyle w:val="normaltextrun"/>
                <w:rFonts w:cs="Segoe UI"/>
                <w:color w:val="333333"/>
                <w:szCs w:val="22"/>
              </w:rPr>
              <w:t>here are issues and challenges encountered in relation to license</w:t>
            </w:r>
            <w:r w:rsidR="00126E5E">
              <w:rPr>
                <w:rStyle w:val="normaltextrun"/>
                <w:rFonts w:cs="Segoe UI"/>
                <w:color w:val="333333"/>
                <w:szCs w:val="22"/>
              </w:rPr>
              <w:t xml:space="preserve"> registry, production data, petroleum licenses and also difficulties in the completion of the reporting templates provided by I</w:t>
            </w:r>
            <w:r w:rsidR="00253A3D">
              <w:rPr>
                <w:rStyle w:val="normaltextrun"/>
                <w:rFonts w:cs="Segoe UI"/>
                <w:color w:val="333333"/>
                <w:szCs w:val="22"/>
              </w:rPr>
              <w:t>A</w:t>
            </w:r>
            <w:r w:rsidR="00126E5E">
              <w:rPr>
                <w:rStyle w:val="normaltextrun"/>
                <w:rFonts w:cs="Segoe UI"/>
                <w:color w:val="333333"/>
                <w:szCs w:val="22"/>
              </w:rPr>
              <w:t xml:space="preserve">. </w:t>
            </w:r>
            <w:r w:rsidR="003F5A4F">
              <w:rPr>
                <w:rStyle w:val="normaltextrun"/>
                <w:rFonts w:cs="Segoe UI"/>
                <w:color w:val="333333"/>
                <w:szCs w:val="22"/>
              </w:rPr>
              <w:t>It was further reported that t</w:t>
            </w:r>
            <w:r>
              <w:rPr>
                <w:rStyle w:val="normaltextrun"/>
                <w:rFonts w:cs="Segoe UI"/>
                <w:color w:val="333333"/>
                <w:szCs w:val="22"/>
              </w:rPr>
              <w:t>he templates need to be amended to include additional columns to allow DPE to report adequately.</w:t>
            </w:r>
          </w:p>
          <w:p w14:paraId="0CD0A324" w14:textId="51D6A907" w:rsidR="00961633" w:rsidRDefault="00961633" w:rsidP="003F5A4F">
            <w:pPr>
              <w:jc w:val="both"/>
              <w:rPr>
                <w:rStyle w:val="normaltextrun"/>
                <w:rFonts w:cs="Segoe UI"/>
                <w:color w:val="333333"/>
                <w:szCs w:val="22"/>
              </w:rPr>
            </w:pPr>
            <w:r w:rsidRPr="00961633">
              <w:rPr>
                <w:rStyle w:val="normaltextrun"/>
                <w:rFonts w:cs="Segoe UI"/>
                <w:color w:val="333333"/>
                <w:szCs w:val="22"/>
              </w:rPr>
              <w:t>To address this issue going forward, it is expected that I</w:t>
            </w:r>
            <w:r w:rsidR="008D77D8">
              <w:rPr>
                <w:rStyle w:val="normaltextrun"/>
                <w:rFonts w:cs="Segoe UI"/>
                <w:color w:val="333333"/>
                <w:szCs w:val="22"/>
              </w:rPr>
              <w:t>A</w:t>
            </w:r>
            <w:r w:rsidRPr="00961633">
              <w:rPr>
                <w:rStyle w:val="normaltextrun"/>
                <w:rFonts w:cs="Segoe UI"/>
                <w:color w:val="333333"/>
                <w:szCs w:val="22"/>
              </w:rPr>
              <w:t xml:space="preserve"> will organize a week’s training on the reporting templates to resolve issues before responsible entities supply data for fiscal years 2020 and 2021 PNGEITI Reports.</w:t>
            </w:r>
          </w:p>
          <w:p w14:paraId="3F4DC228" w14:textId="331F5A98" w:rsidR="007B4742" w:rsidRDefault="007B4742" w:rsidP="003F5A4F">
            <w:pPr>
              <w:jc w:val="both"/>
            </w:pPr>
            <w:r w:rsidRPr="003F5A4F">
              <w:t xml:space="preserve">It is also important to note that </w:t>
            </w:r>
            <w:r w:rsidR="003F5A4F" w:rsidRPr="003F5A4F">
              <w:t xml:space="preserve">not so </w:t>
            </w:r>
            <w:r w:rsidR="003F5A4F">
              <w:t>many</w:t>
            </w:r>
            <w:r w:rsidR="003F5A4F" w:rsidRPr="003F5A4F">
              <w:t xml:space="preserve"> of the gaps were addressed from 2018 after the first validation. This was due to covid-19 related restrictions</w:t>
            </w:r>
            <w:r w:rsidR="001B4A37">
              <w:t xml:space="preserve">. </w:t>
            </w:r>
          </w:p>
          <w:p w14:paraId="10CCDFC5" w14:textId="760EB070" w:rsidR="0066632C" w:rsidRDefault="001B4A37" w:rsidP="001B4A37">
            <w:pPr>
              <w:spacing w:before="120" w:after="0"/>
              <w:jc w:val="both"/>
            </w:pPr>
            <w:r w:rsidRPr="001B4A37">
              <w:t>Other</w:t>
            </w:r>
            <w:r w:rsidR="0066632C">
              <w:t xml:space="preserve"> PNGEITI Report </w:t>
            </w:r>
            <w:r w:rsidRPr="001B4A37">
              <w:t>recommend</w:t>
            </w:r>
            <w:r w:rsidR="0066632C">
              <w:t>ations</w:t>
            </w:r>
            <w:r w:rsidRPr="001B4A37">
              <w:t xml:space="preserve"> </w:t>
            </w:r>
            <w:r w:rsidR="0066632C">
              <w:t xml:space="preserve">have </w:t>
            </w:r>
            <w:r w:rsidRPr="001B4A37">
              <w:t>be</w:t>
            </w:r>
            <w:r w:rsidR="0066632C">
              <w:t>en</w:t>
            </w:r>
            <w:r w:rsidRPr="001B4A37">
              <w:t xml:space="preserve"> addressed through the various scoping study reports</w:t>
            </w:r>
            <w:r w:rsidR="0066632C">
              <w:t xml:space="preserve"> listed above. </w:t>
            </w:r>
            <w:r w:rsidRPr="001B4A37">
              <w:t xml:space="preserve"> </w:t>
            </w:r>
          </w:p>
          <w:p w14:paraId="2BF30787" w14:textId="5681E2C3" w:rsidR="001B4A37" w:rsidRDefault="001B4A37" w:rsidP="001B4A37">
            <w:pPr>
              <w:spacing w:before="120" w:after="0"/>
              <w:jc w:val="both"/>
            </w:pPr>
            <w:r w:rsidRPr="001B4A37">
              <w:lastRenderedPageBreak/>
              <w:t>The recommendations that were made from these scoping studies gave rise to addressing these challenges in the short term, medium term and longer term. These will be undertaken as structural and legislative reforms that will be comple</w:t>
            </w:r>
            <w:r w:rsidR="002D6194">
              <w:t>menting</w:t>
            </w:r>
            <w:r w:rsidRPr="001B4A37">
              <w:t xml:space="preserve"> the overall Government’s ongoing structural reforms</w:t>
            </w:r>
            <w:r w:rsidR="008C4CA9">
              <w:t xml:space="preserve">. This is </w:t>
            </w:r>
            <w:r w:rsidRPr="001B4A37">
              <w:t>outlined in Volume 1 Economic and Development Policies 2022 National Budget, Section 10.8 (page 154) on PNG Extractive Industrials Transparency Initiative on the following link</w:t>
            </w:r>
            <w:r>
              <w:t>:</w:t>
            </w:r>
          </w:p>
          <w:p w14:paraId="67E1CCB3" w14:textId="300B3507" w:rsidR="001B4A37" w:rsidRDefault="006F55C9" w:rsidP="001B4A37">
            <w:pPr>
              <w:spacing w:before="120" w:after="0"/>
              <w:jc w:val="both"/>
            </w:pPr>
            <w:hyperlink r:id="rId34" w:history="1">
              <w:r w:rsidR="001B4A37" w:rsidRPr="00530F4D">
                <w:rPr>
                  <w:rStyle w:val="Hyperlink"/>
                </w:rPr>
                <w:t>https://www.treasury.gov.pg/html/national_budget/files/2022/Volume1.pdf</w:t>
              </w:r>
            </w:hyperlink>
          </w:p>
          <w:p w14:paraId="38FE079D" w14:textId="70ADFCD5" w:rsidR="001B4A37" w:rsidRDefault="001B4A37" w:rsidP="001B4A37">
            <w:pPr>
              <w:spacing w:before="120" w:after="0"/>
              <w:jc w:val="both"/>
            </w:pPr>
            <w:r>
              <w:t>The NEC Decisions and annual workplans can be accessed through this link</w:t>
            </w:r>
            <w:r w:rsidR="00673A18">
              <w:t xml:space="preserve">: </w:t>
            </w:r>
          </w:p>
          <w:p w14:paraId="55B8D477" w14:textId="77777777" w:rsidR="00C6608B" w:rsidRDefault="006F55C9" w:rsidP="001B4A37">
            <w:pPr>
              <w:spacing w:before="120" w:after="0"/>
              <w:jc w:val="both"/>
            </w:pPr>
            <w:hyperlink r:id="rId35" w:history="1">
              <w:r w:rsidR="001B4A37" w:rsidRPr="00530F4D">
                <w:rPr>
                  <w:rStyle w:val="Hyperlink"/>
                </w:rPr>
                <w:t>https://www.pngeiti.org.pg/2020-validation/</w:t>
              </w:r>
            </w:hyperlink>
          </w:p>
          <w:p w14:paraId="2B51F044" w14:textId="7DE1AD0D" w:rsidR="001B4A37" w:rsidRDefault="001B4A37" w:rsidP="001B4A37">
            <w:pPr>
              <w:spacing w:before="120" w:after="0"/>
              <w:jc w:val="both"/>
            </w:pPr>
          </w:p>
        </w:tc>
      </w:tr>
    </w:tbl>
    <w:p w14:paraId="15D5039F" w14:textId="77777777" w:rsidR="00C6608B" w:rsidRPr="0060568E" w:rsidRDefault="00C6608B" w:rsidP="00C6608B">
      <w:pPr>
        <w:pStyle w:val="Heading2"/>
      </w:pPr>
      <w:bookmarkStart w:id="4" w:name="_Toc57973527"/>
      <w:r w:rsidRPr="0060568E">
        <w:lastRenderedPageBreak/>
        <w:t>Monitoring progress</w:t>
      </w:r>
      <w:bookmarkEnd w:id="4"/>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9918" w:type="dxa"/>
        <w:tblLook w:val="04A0" w:firstRow="1" w:lastRow="0" w:firstColumn="1" w:lastColumn="0" w:noHBand="0" w:noVBand="1"/>
      </w:tblPr>
      <w:tblGrid>
        <w:gridCol w:w="9918"/>
      </w:tblGrid>
      <w:tr w:rsidR="00C6608B" w14:paraId="146DE918" w14:textId="77777777" w:rsidTr="000064B3">
        <w:tc>
          <w:tcPr>
            <w:tcW w:w="9918" w:type="dxa"/>
          </w:tcPr>
          <w:p w14:paraId="388594ED" w14:textId="2EBBC61A" w:rsidR="00C6608B" w:rsidRDefault="00C6608B" w:rsidP="003A45E9">
            <w:pPr>
              <w:rPr>
                <w:i/>
                <w:iCs/>
              </w:rPr>
            </w:pPr>
            <w:r w:rsidRPr="000E2B0C">
              <w:rPr>
                <w:i/>
                <w:iCs/>
              </w:rPr>
              <w:t xml:space="preserve">[Summarise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74ABAA5C" w14:textId="3C3F07A4" w:rsidR="001B4A37" w:rsidRDefault="006858EE" w:rsidP="006858EE">
            <w:pPr>
              <w:spacing w:before="0" w:after="0"/>
              <w:rPr>
                <w:rStyle w:val="normaltextrun"/>
                <w:color w:val="000000"/>
                <w:shd w:val="clear" w:color="auto" w:fill="FFFFFF"/>
              </w:rPr>
            </w:pPr>
            <w:r>
              <w:t xml:space="preserve">The </w:t>
            </w:r>
            <w:hyperlink r:id="rId36" w:history="1">
              <w:r w:rsidRPr="006858EE">
                <w:rPr>
                  <w:rStyle w:val="Hyperlink"/>
                </w:rPr>
                <w:t>2021 work plan</w:t>
              </w:r>
            </w:hyperlink>
            <w:r>
              <w:t xml:space="preserve"> </w:t>
            </w:r>
            <w:r>
              <w:rPr>
                <w:rStyle w:val="normaltextrun"/>
                <w:color w:val="000000"/>
                <w:shd w:val="clear" w:color="auto" w:fill="FFFFFF"/>
              </w:rPr>
              <w:t>included implementation of key activities such as:</w:t>
            </w:r>
          </w:p>
          <w:p w14:paraId="591502C2" w14:textId="0EFDBF58" w:rsidR="006858EE" w:rsidRDefault="006858EE" w:rsidP="007816E4">
            <w:pPr>
              <w:pStyle w:val="ListParagraph"/>
              <w:numPr>
                <w:ilvl w:val="0"/>
                <w:numId w:val="6"/>
              </w:numPr>
              <w:spacing w:before="120" w:after="120"/>
            </w:pPr>
            <w:r w:rsidRPr="006858EE">
              <w:t xml:space="preserve">Procurement </w:t>
            </w:r>
            <w:r w:rsidR="00AF59D2">
              <w:t>of IA to prepare</w:t>
            </w:r>
            <w:r w:rsidRPr="006858EE">
              <w:t xml:space="preserve"> 2020 </w:t>
            </w:r>
            <w:r w:rsidR="00AF59D2">
              <w:t xml:space="preserve">EITI </w:t>
            </w:r>
            <w:r w:rsidRPr="006858EE">
              <w:t>Report - Calls for expressions of interest and hiring of the I</w:t>
            </w:r>
            <w:r w:rsidR="00DA0449">
              <w:t xml:space="preserve">ndependent </w:t>
            </w:r>
            <w:r w:rsidRPr="006858EE">
              <w:t>A</w:t>
            </w:r>
            <w:r w:rsidR="00DA0449">
              <w:t>dministrator</w:t>
            </w:r>
            <w:r w:rsidRPr="006858EE">
              <w:t xml:space="preserve"> to prepare the 2020 EITI Report for publication. The procurement process was completed</w:t>
            </w:r>
            <w:r w:rsidR="00AF59D2">
              <w:t xml:space="preserve"> and the report preparation is underway</w:t>
            </w:r>
            <w:r w:rsidRPr="006858EE">
              <w:t>.</w:t>
            </w:r>
            <w:r w:rsidR="008E672E">
              <w:t xml:space="preserve"> The </w:t>
            </w:r>
            <w:r w:rsidR="00EE7A45">
              <w:t>ToR</w:t>
            </w:r>
            <w:r w:rsidR="008E672E">
              <w:t xml:space="preserve"> </w:t>
            </w:r>
            <w:r w:rsidR="00DA0EB1">
              <w:t xml:space="preserve">and the advert calling for expressions of interest </w:t>
            </w:r>
            <w:r w:rsidR="008E672E">
              <w:t>can be accessed via the link below:</w:t>
            </w:r>
          </w:p>
          <w:p w14:paraId="04C8B5D0" w14:textId="37A24D6A" w:rsidR="00DA0EB1" w:rsidRDefault="006F55C9" w:rsidP="00DA0EB1">
            <w:pPr>
              <w:pStyle w:val="ListParagraph"/>
              <w:spacing w:before="120"/>
            </w:pPr>
            <w:hyperlink r:id="rId37" w:history="1">
              <w:r w:rsidR="00EE7A45" w:rsidRPr="00873785">
                <w:rPr>
                  <w:rStyle w:val="Hyperlink"/>
                </w:rPr>
                <w:t>http://www.pngeiti.org.pg/jobs/contract-terms-of-reference-for-the-preparation-of-the-png-eiti-2020-report/</w:t>
              </w:r>
            </w:hyperlink>
          </w:p>
          <w:p w14:paraId="6880A90E" w14:textId="0D1B09B9" w:rsidR="00DA0EB1" w:rsidRDefault="006F55C9" w:rsidP="00DA0EB1">
            <w:pPr>
              <w:pStyle w:val="ListParagraph"/>
              <w:spacing w:before="120"/>
            </w:pPr>
            <w:hyperlink r:id="rId38" w:history="1">
              <w:r w:rsidR="00DA0EB1" w:rsidRPr="00873785">
                <w:rPr>
                  <w:rStyle w:val="Hyperlink"/>
                </w:rPr>
                <w:t>http://www.pngeiti.org.pg/jobs/calling-for-expressions-of-interest-eoi-for-the-preparation-of-the-year-2020-png-eiti-report/</w:t>
              </w:r>
            </w:hyperlink>
            <w:r w:rsidR="00DA0EB1">
              <w:t xml:space="preserve"> </w:t>
            </w:r>
          </w:p>
          <w:p w14:paraId="7C737E5D" w14:textId="60177280" w:rsidR="008E672E" w:rsidRPr="00DA0EB1" w:rsidRDefault="008E672E" w:rsidP="00DA0EB1">
            <w:pPr>
              <w:spacing w:before="120"/>
            </w:pPr>
            <w:r w:rsidRPr="00DA0EB1">
              <w:t>This activity is to ensure there is transparency in procuring the services of the I</w:t>
            </w:r>
            <w:r w:rsidR="00DA0449" w:rsidRPr="00DA0EB1">
              <w:t xml:space="preserve">ndependent </w:t>
            </w:r>
            <w:r w:rsidRPr="00DA0EB1">
              <w:t>A</w:t>
            </w:r>
            <w:r w:rsidR="00DA0449" w:rsidRPr="00DA0EB1">
              <w:t>dministrator</w:t>
            </w:r>
            <w:r w:rsidRPr="00DA0EB1">
              <w:t xml:space="preserve"> through an open tender process advertised online (websites) and the daily papers to inform the public at large and interested potential consultan</w:t>
            </w:r>
            <w:r w:rsidR="00B3189F">
              <w:t>ts</w:t>
            </w:r>
            <w:r w:rsidRPr="00DA0EB1">
              <w:t xml:space="preserve"> to apply or show interest in taking up the report pr</w:t>
            </w:r>
            <w:r w:rsidR="00B3189F">
              <w:t>eparation</w:t>
            </w:r>
            <w:r w:rsidRPr="00DA0EB1">
              <w:t xml:space="preserve">. </w:t>
            </w:r>
          </w:p>
          <w:p w14:paraId="16D898FE" w14:textId="7E9092A1" w:rsidR="008E672E" w:rsidRDefault="008E672E" w:rsidP="00E91E58">
            <w:pPr>
              <w:spacing w:before="0" w:after="0"/>
            </w:pPr>
            <w:r>
              <w:t>Secondly</w:t>
            </w:r>
            <w:r w:rsidR="00B3189F">
              <w:t>,</w:t>
            </w:r>
            <w:r>
              <w:t xml:space="preserve"> to ensure that the outcome of these reports </w:t>
            </w:r>
            <w:proofErr w:type="gramStart"/>
            <w:r w:rsidR="007F6F86">
              <w:t>are</w:t>
            </w:r>
            <w:proofErr w:type="gramEnd"/>
            <w:r>
              <w:t xml:space="preserve"> translated into actual reforms to improve sector management. This is an ongoing project of the PNGEITI National Secretariat and seeks to achieve the overall outcome of showing how much the extractive sector (Oil, gas and mining) contributes to the economy of Papua New Guinea.</w:t>
            </w:r>
          </w:p>
          <w:p w14:paraId="523003F0" w14:textId="1713EC13" w:rsidR="007F6F86" w:rsidRDefault="007F6F86" w:rsidP="00E91E58">
            <w:pPr>
              <w:spacing w:before="0" w:after="0"/>
            </w:pPr>
          </w:p>
          <w:p w14:paraId="55386993" w14:textId="70BD5DEC" w:rsidR="007F6F86" w:rsidRPr="00534980" w:rsidRDefault="0064733B" w:rsidP="00534980">
            <w:pPr>
              <w:pStyle w:val="ListParagraph"/>
              <w:numPr>
                <w:ilvl w:val="0"/>
                <w:numId w:val="6"/>
              </w:numPr>
              <w:jc w:val="both"/>
              <w:rPr>
                <w:rFonts w:asciiTheme="minorHAnsi" w:eastAsiaTheme="minorEastAsia" w:hAnsiTheme="minorHAnsi"/>
              </w:rPr>
            </w:pPr>
            <w:r>
              <w:t xml:space="preserve">Implementation of the recommendations from the </w:t>
            </w:r>
            <w:hyperlink r:id="rId39" w:history="1">
              <w:r w:rsidR="007F6F86" w:rsidRPr="007F6F86">
                <w:rPr>
                  <w:rStyle w:val="Hyperlink"/>
                </w:rPr>
                <w:t>Beneficial Ownership Disclosure Report</w:t>
              </w:r>
            </w:hyperlink>
            <w:r w:rsidR="007F6F86" w:rsidRPr="007F6F86">
              <w:t xml:space="preserve"> </w:t>
            </w:r>
            <w:r w:rsidR="00534980">
              <w:t xml:space="preserve">however, this activity </w:t>
            </w:r>
            <w:r w:rsidR="007F6F86" w:rsidRPr="00534980">
              <w:t xml:space="preserve">was delayed due to Covid-19 pandemic restrictions. </w:t>
            </w:r>
          </w:p>
          <w:p w14:paraId="72545F3A" w14:textId="05DA2E1E" w:rsidR="007F6F86" w:rsidRDefault="00534980" w:rsidP="007816E4">
            <w:pPr>
              <w:pStyle w:val="ListParagraph"/>
              <w:numPr>
                <w:ilvl w:val="0"/>
                <w:numId w:val="6"/>
              </w:numPr>
              <w:spacing w:before="0" w:after="0"/>
            </w:pPr>
            <w:r>
              <w:t xml:space="preserve">Implementation of the recommendations from the </w:t>
            </w:r>
            <w:hyperlink r:id="rId40" w:history="1">
              <w:r w:rsidR="007F6F86" w:rsidRPr="007F6F86">
                <w:rPr>
                  <w:rStyle w:val="Hyperlink"/>
                </w:rPr>
                <w:t>State Owned Enterprise (SOE) Scoping Study Report</w:t>
              </w:r>
            </w:hyperlink>
            <w:r w:rsidR="007F6F86">
              <w:t xml:space="preserve"> </w:t>
            </w:r>
            <w:r>
              <w:t xml:space="preserve">however, this activity </w:t>
            </w:r>
            <w:r w:rsidR="007F6F86">
              <w:t>was delayed due to Covid-19 pandemic disturbances</w:t>
            </w:r>
          </w:p>
          <w:p w14:paraId="51E32E23" w14:textId="5B5489C9" w:rsidR="007F6F86" w:rsidRDefault="007F6F86" w:rsidP="007F6F86">
            <w:pPr>
              <w:pStyle w:val="ListParagraph"/>
              <w:spacing w:before="0" w:after="0"/>
            </w:pPr>
          </w:p>
          <w:p w14:paraId="5536C640" w14:textId="42828D22" w:rsidR="007F6F86" w:rsidRPr="007F6F86" w:rsidRDefault="007F6F86" w:rsidP="007816E4">
            <w:pPr>
              <w:pStyle w:val="ListParagraph"/>
              <w:numPr>
                <w:ilvl w:val="0"/>
                <w:numId w:val="6"/>
              </w:numPr>
              <w:spacing w:before="0" w:after="0"/>
              <w:rPr>
                <w:rStyle w:val="normaltextrun"/>
              </w:rPr>
            </w:pPr>
            <w:r>
              <w:rPr>
                <w:rStyle w:val="normaltextrun"/>
                <w:color w:val="000000"/>
                <w:shd w:val="clear" w:color="auto" w:fill="FFFFFF"/>
              </w:rPr>
              <w:t>Establish</w:t>
            </w:r>
            <w:r w:rsidR="00793438">
              <w:rPr>
                <w:rStyle w:val="normaltextrun"/>
                <w:color w:val="000000"/>
                <w:shd w:val="clear" w:color="auto" w:fill="FFFFFF"/>
              </w:rPr>
              <w:t>ment of a</w:t>
            </w:r>
            <w:r>
              <w:rPr>
                <w:rStyle w:val="normaltextrun"/>
                <w:color w:val="000000"/>
                <w:shd w:val="clear" w:color="auto" w:fill="FFFFFF"/>
              </w:rPr>
              <w:t xml:space="preserve"> Communication Technical Working Group</w:t>
            </w:r>
            <w:r w:rsidR="00793438">
              <w:rPr>
                <w:rStyle w:val="normaltextrun"/>
                <w:color w:val="000000"/>
                <w:shd w:val="clear" w:color="auto" w:fill="FFFFFF"/>
              </w:rPr>
              <w:t xml:space="preserve"> to implement the Communications Strategy– this was achieved as part of the revised Communications Strategy </w:t>
            </w:r>
          </w:p>
          <w:p w14:paraId="01003441" w14:textId="1C1D082E" w:rsidR="00B4685A" w:rsidRPr="00DB4F90" w:rsidRDefault="007F6F86" w:rsidP="00B4685A">
            <w:pPr>
              <w:pStyle w:val="ListParagraph"/>
              <w:numPr>
                <w:ilvl w:val="0"/>
                <w:numId w:val="6"/>
              </w:numPr>
              <w:spacing w:after="0"/>
            </w:pPr>
            <w:r>
              <w:rPr>
                <w:rStyle w:val="normaltextrun"/>
                <w:color w:val="000000"/>
                <w:shd w:val="clear" w:color="auto" w:fill="FFFFFF"/>
              </w:rPr>
              <w:t>Conduct</w:t>
            </w:r>
            <w:r w:rsidR="002B3F09">
              <w:rPr>
                <w:rStyle w:val="normaltextrun"/>
                <w:color w:val="000000"/>
                <w:shd w:val="clear" w:color="auto" w:fill="FFFFFF"/>
              </w:rPr>
              <w:t>ed</w:t>
            </w:r>
            <w:r>
              <w:rPr>
                <w:rStyle w:val="normaltextrun"/>
                <w:color w:val="000000"/>
                <w:shd w:val="clear" w:color="auto" w:fill="FFFFFF"/>
              </w:rPr>
              <w:t xml:space="preserve"> public awareness and regional consultations on </w:t>
            </w:r>
            <w:r w:rsidR="002B3F09">
              <w:rPr>
                <w:rStyle w:val="normaltextrun"/>
                <w:color w:val="000000"/>
                <w:shd w:val="clear" w:color="auto" w:fill="FFFFFF"/>
              </w:rPr>
              <w:t xml:space="preserve">the </w:t>
            </w:r>
            <w:r>
              <w:rPr>
                <w:rStyle w:val="normaltextrun"/>
                <w:color w:val="000000"/>
                <w:shd w:val="clear" w:color="auto" w:fill="FFFFFF"/>
              </w:rPr>
              <w:t>draft PNGEIT Commission Bill</w:t>
            </w:r>
            <w:r w:rsidR="002B3F09">
              <w:rPr>
                <w:rStyle w:val="normaltextrun"/>
                <w:color w:val="000000"/>
                <w:shd w:val="clear" w:color="auto" w:fill="FFFFFF"/>
              </w:rPr>
              <w:t xml:space="preserve">. </w:t>
            </w:r>
            <w:r w:rsidR="7B0383DC" w:rsidRPr="002B3F09">
              <w:rPr>
                <w:rStyle w:val="normaltextrun"/>
                <w:color w:val="000000"/>
                <w:shd w:val="clear" w:color="auto" w:fill="FFFFFF"/>
              </w:rPr>
              <w:t>The</w:t>
            </w:r>
            <w:r w:rsidR="00B4685A" w:rsidRPr="002B3F09">
              <w:rPr>
                <w:rStyle w:val="normaltextrun"/>
                <w:color w:val="000000"/>
                <w:shd w:val="clear" w:color="auto" w:fill="FFFFFF"/>
              </w:rPr>
              <w:t xml:space="preserve"> regional consultations </w:t>
            </w:r>
            <w:proofErr w:type="gramStart"/>
            <w:r w:rsidR="002B3F09">
              <w:rPr>
                <w:rStyle w:val="normaltextrun"/>
                <w:color w:val="000000"/>
                <w:shd w:val="clear" w:color="auto" w:fill="FFFFFF"/>
              </w:rPr>
              <w:t>was</w:t>
            </w:r>
            <w:proofErr w:type="gramEnd"/>
            <w:r w:rsidR="002B3F09">
              <w:rPr>
                <w:rStyle w:val="normaltextrun"/>
                <w:color w:val="000000"/>
                <w:shd w:val="clear" w:color="auto" w:fill="FFFFFF"/>
              </w:rPr>
              <w:t xml:space="preserve"> </w:t>
            </w:r>
            <w:r w:rsidR="00B4685A" w:rsidRPr="002B3F09">
              <w:rPr>
                <w:rStyle w:val="normaltextrun"/>
                <w:color w:val="000000"/>
                <w:shd w:val="clear" w:color="auto" w:fill="FFFFFF"/>
              </w:rPr>
              <w:t xml:space="preserve">conducted in 2021. </w:t>
            </w:r>
            <w:r w:rsidR="002B3F09">
              <w:rPr>
                <w:rStyle w:val="normaltextrun"/>
                <w:color w:val="000000"/>
                <w:shd w:val="clear" w:color="auto" w:fill="FFFFFF"/>
              </w:rPr>
              <w:t>A g</w:t>
            </w:r>
            <w:r w:rsidR="00B4685A" w:rsidRPr="002B3F09">
              <w:rPr>
                <w:rStyle w:val="normaltextrun"/>
                <w:color w:val="000000"/>
                <w:shd w:val="clear" w:color="auto" w:fill="FFFFFF"/>
              </w:rPr>
              <w:t xml:space="preserve">eneral awareness </w:t>
            </w:r>
            <w:r w:rsidR="002B3F09">
              <w:rPr>
                <w:rStyle w:val="normaltextrun"/>
                <w:color w:val="000000"/>
                <w:shd w:val="clear" w:color="auto" w:fill="FFFFFF"/>
              </w:rPr>
              <w:t xml:space="preserve">on </w:t>
            </w:r>
            <w:r w:rsidR="00B4685A" w:rsidRPr="002B3F09">
              <w:rPr>
                <w:rStyle w:val="normaltextrun"/>
                <w:color w:val="000000"/>
                <w:shd w:val="clear" w:color="auto" w:fill="FFFFFF"/>
              </w:rPr>
              <w:t xml:space="preserve">EITI </w:t>
            </w:r>
            <w:r w:rsidR="002B3F09">
              <w:rPr>
                <w:rStyle w:val="normaltextrun"/>
                <w:color w:val="000000"/>
                <w:shd w:val="clear" w:color="auto" w:fill="FFFFFF"/>
              </w:rPr>
              <w:t xml:space="preserve">was carried out during the course of this consultation. </w:t>
            </w:r>
            <w:r w:rsidR="000C0F12">
              <w:rPr>
                <w:rStyle w:val="normaltextrun"/>
                <w:color w:val="000000"/>
                <w:shd w:val="clear" w:color="auto" w:fill="FFFFFF"/>
              </w:rPr>
              <w:t>The national and subnational stakeholders openly discussed matters relating to the mining, oil and gas sector. The discussions also included the renewable sector such as the fisheries, forestry, agriculture and tourism.</w:t>
            </w:r>
          </w:p>
          <w:p w14:paraId="06AAFFB1" w14:textId="77777777" w:rsidR="007F6F86" w:rsidRPr="007F6F86" w:rsidRDefault="007F6F86" w:rsidP="007F6F86">
            <w:pPr>
              <w:spacing w:before="0" w:after="0"/>
            </w:pPr>
          </w:p>
          <w:p w14:paraId="452A18A7" w14:textId="4AE2F41D" w:rsidR="0047742B" w:rsidRDefault="00B4685A" w:rsidP="00E91E58">
            <w:pPr>
              <w:spacing w:before="0" w:after="0"/>
              <w:rPr>
                <w:rStyle w:val="normaltextrun"/>
                <w:color w:val="000000"/>
              </w:rPr>
            </w:pPr>
            <w:r>
              <w:rPr>
                <w:rStyle w:val="normaltextrun"/>
                <w:color w:val="000000"/>
              </w:rPr>
              <w:t xml:space="preserve">The </w:t>
            </w:r>
            <w:r w:rsidR="00A026EA">
              <w:rPr>
                <w:rStyle w:val="normaltextrun"/>
                <w:color w:val="000000"/>
              </w:rPr>
              <w:t>A</w:t>
            </w:r>
            <w:r>
              <w:rPr>
                <w:rStyle w:val="normaltextrun"/>
                <w:color w:val="000000"/>
              </w:rPr>
              <w:t xml:space="preserve">nnual progress report for 2021 </w:t>
            </w:r>
            <w:r w:rsidR="003D0A15">
              <w:rPr>
                <w:rStyle w:val="normaltextrun"/>
                <w:color w:val="000000"/>
              </w:rPr>
              <w:t>is being</w:t>
            </w:r>
            <w:r>
              <w:rPr>
                <w:rStyle w:val="normaltextrun"/>
                <w:color w:val="000000"/>
              </w:rPr>
              <w:t xml:space="preserve"> prepared</w:t>
            </w:r>
            <w:r w:rsidR="00DB4F90">
              <w:rPr>
                <w:rStyle w:val="normaltextrun"/>
                <w:color w:val="000000"/>
              </w:rPr>
              <w:t>. A draft is being reviewed and</w:t>
            </w:r>
            <w:r>
              <w:rPr>
                <w:rStyle w:val="normaltextrun"/>
                <w:color w:val="000000"/>
              </w:rPr>
              <w:t xml:space="preserve"> will be published </w:t>
            </w:r>
            <w:r w:rsidR="00DB4F90">
              <w:rPr>
                <w:rStyle w:val="normaltextrun"/>
                <w:color w:val="000000"/>
              </w:rPr>
              <w:t>by the 5</w:t>
            </w:r>
            <w:r w:rsidR="00DB4F90" w:rsidRPr="00DB4F90">
              <w:rPr>
                <w:rStyle w:val="normaltextrun"/>
                <w:color w:val="000000"/>
                <w:vertAlign w:val="superscript"/>
              </w:rPr>
              <w:t>th</w:t>
            </w:r>
            <w:r w:rsidR="00DB4F90">
              <w:rPr>
                <w:rStyle w:val="normaltextrun"/>
                <w:color w:val="000000"/>
              </w:rPr>
              <w:t xml:space="preserve"> of April, </w:t>
            </w:r>
            <w:r>
              <w:rPr>
                <w:rStyle w:val="normaltextrun"/>
                <w:color w:val="000000"/>
              </w:rPr>
              <w:t>20</w:t>
            </w:r>
            <w:r w:rsidR="00DB4F90">
              <w:rPr>
                <w:rStyle w:val="normaltextrun"/>
                <w:color w:val="000000"/>
              </w:rPr>
              <w:t xml:space="preserve">22. </w:t>
            </w:r>
          </w:p>
          <w:p w14:paraId="7FBBE61B" w14:textId="77777777" w:rsidR="002001FB" w:rsidRDefault="002001FB" w:rsidP="00E91E58">
            <w:pPr>
              <w:spacing w:before="0" w:after="0"/>
              <w:rPr>
                <w:rStyle w:val="normaltextrun"/>
                <w:color w:val="000000"/>
              </w:rPr>
            </w:pPr>
          </w:p>
          <w:p w14:paraId="38B10FAB" w14:textId="481DB969" w:rsidR="00320A19" w:rsidRDefault="00320A19" w:rsidP="00E91E58">
            <w:pPr>
              <w:spacing w:before="0" w:after="0"/>
            </w:pPr>
            <w:r>
              <w:t xml:space="preserve">Email circular requesting MSG approval - </w:t>
            </w:r>
            <w:hyperlink r:id="rId41" w:history="1">
              <w:r w:rsidRPr="00305DDE">
                <w:rPr>
                  <w:rStyle w:val="Hyperlink"/>
                </w:rPr>
                <w:t>http://www.pngeiti.org.pg/wp-content/uploads/2018/04/Email-circular-for-approval-of-2021-APR.pdf</w:t>
              </w:r>
            </w:hyperlink>
            <w:r>
              <w:t xml:space="preserve"> </w:t>
            </w:r>
          </w:p>
          <w:p w14:paraId="375ECCC8" w14:textId="77777777" w:rsidR="002001FB" w:rsidRDefault="002001FB" w:rsidP="00E91E58">
            <w:pPr>
              <w:spacing w:before="0" w:after="0"/>
            </w:pPr>
          </w:p>
          <w:p w14:paraId="67E0AB77" w14:textId="4C432CE2" w:rsidR="002001FB" w:rsidRPr="00DB4F90" w:rsidRDefault="002001FB" w:rsidP="00E91E58">
            <w:pPr>
              <w:spacing w:before="0" w:after="0"/>
              <w:rPr>
                <w:color w:val="000000"/>
              </w:rPr>
            </w:pPr>
            <w:r>
              <w:rPr>
                <w:color w:val="000000"/>
              </w:rPr>
              <w:t xml:space="preserve">Draft 2021 APR </w:t>
            </w:r>
            <w:hyperlink r:id="rId42" w:history="1">
              <w:r w:rsidRPr="00570377">
                <w:rPr>
                  <w:rStyle w:val="Hyperlink"/>
                </w:rPr>
                <w:t>http://www.pngeiti.org.pg/wp-content/uploads/2018/04/PNGEITI-2021-Annual-Progress-Report.pdf</w:t>
              </w:r>
            </w:hyperlink>
            <w:r>
              <w:rPr>
                <w:color w:val="000000"/>
              </w:rPr>
              <w:t xml:space="preserve"> </w:t>
            </w:r>
          </w:p>
          <w:p w14:paraId="09E48418" w14:textId="3AB4EE8E" w:rsidR="007F6F86" w:rsidRDefault="007F6F86" w:rsidP="00E91E58">
            <w:pPr>
              <w:spacing w:before="0" w:after="0"/>
            </w:pPr>
          </w:p>
          <w:p w14:paraId="4A309FF7" w14:textId="0B9A0951" w:rsidR="0047742B" w:rsidRDefault="0047742B" w:rsidP="00E91E58">
            <w:pPr>
              <w:spacing w:before="0" w:after="0"/>
            </w:pPr>
            <w:r>
              <w:t xml:space="preserve">The </w:t>
            </w:r>
            <w:r w:rsidR="00380322">
              <w:t>A</w:t>
            </w:r>
            <w:r>
              <w:t>nnual progress report</w:t>
            </w:r>
            <w:r w:rsidR="00380322">
              <w:t>s</w:t>
            </w:r>
            <w:r>
              <w:t xml:space="preserve"> f</w:t>
            </w:r>
            <w:r w:rsidR="00380322">
              <w:t>rom</w:t>
            </w:r>
            <w:r>
              <w:t xml:space="preserve"> 2017 </w:t>
            </w:r>
            <w:r w:rsidR="00380322">
              <w:t xml:space="preserve">to </w:t>
            </w:r>
            <w:r>
              <w:t>2020 can be accessed through the link below:</w:t>
            </w:r>
          </w:p>
          <w:p w14:paraId="7FADD922" w14:textId="77777777" w:rsidR="00613837" w:rsidRDefault="006F55C9" w:rsidP="00613837">
            <w:pPr>
              <w:spacing w:before="0" w:after="0"/>
            </w:pPr>
            <w:hyperlink r:id="rId43" w:history="1">
              <w:r w:rsidR="0047742B" w:rsidRPr="00530F4D">
                <w:rPr>
                  <w:rStyle w:val="Hyperlink"/>
                </w:rPr>
                <w:t>https://www.pngeiti.org.pg/1923-2/</w:t>
              </w:r>
            </w:hyperlink>
          </w:p>
          <w:p w14:paraId="77AF200F" w14:textId="23409556" w:rsidR="00613837" w:rsidRDefault="00613837" w:rsidP="00613837">
            <w:pPr>
              <w:spacing w:before="0" w:after="0"/>
            </w:pPr>
          </w:p>
        </w:tc>
      </w:tr>
    </w:tbl>
    <w:p w14:paraId="57940B1E" w14:textId="77777777" w:rsidR="00C6608B" w:rsidRDefault="00C6608B" w:rsidP="00C6608B"/>
    <w:p w14:paraId="657B7016" w14:textId="77777777" w:rsidR="00C6608B" w:rsidRPr="003F7731" w:rsidRDefault="00C6608B" w:rsidP="00C6608B">
      <w:pPr>
        <w:rPr>
          <w:b/>
          <w:bCs/>
        </w:rPr>
      </w:pPr>
      <w:r>
        <w:rPr>
          <w:b/>
          <w:bCs/>
        </w:rPr>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2D8B89F8" w:rsidR="00C6608B" w:rsidRDefault="00C6608B" w:rsidP="00C6608B">
      <w:r w:rsidRPr="006B7C27">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B3A97D3" w:rsidR="00C6608B" w:rsidRDefault="00012060" w:rsidP="00C6608B">
      <w:r>
        <w:t xml:space="preserve">Following the </w:t>
      </w:r>
      <w:r w:rsidR="00C34391">
        <w:t xml:space="preserve">first </w:t>
      </w:r>
      <w:r>
        <w:t>validation in 2018</w:t>
      </w:r>
      <w:r w:rsidR="00A5673D">
        <w:t xml:space="preserve">, there were 14 recommendations that </w:t>
      </w:r>
      <w:r w:rsidR="00C34391">
        <w:t>the PNGEITI MSG, the responsible reporting entities and the IA</w:t>
      </w:r>
      <w:r w:rsidR="00A5673D">
        <w:t xml:space="preserve"> w</w:t>
      </w:r>
      <w:r w:rsidR="00C34391">
        <w:t>ere</w:t>
      </w:r>
      <w:r w:rsidR="00A5673D">
        <w:t xml:space="preserve"> to address before the next validation</w:t>
      </w:r>
      <w:r w:rsidR="00873372">
        <w:t xml:space="preserve">. </w:t>
      </w:r>
      <w:r w:rsidR="00A5673D">
        <w:t xml:space="preserve"> </w:t>
      </w:r>
      <w:r w:rsidR="00873372">
        <w:t>T</w:t>
      </w:r>
      <w:r w:rsidR="00A5673D">
        <w:t xml:space="preserve">he MSG </w:t>
      </w:r>
      <w:r w:rsidR="00607F48">
        <w:t>established a Validation Technical Working Group in 201</w:t>
      </w:r>
      <w:r w:rsidR="00873372">
        <w:t>8</w:t>
      </w:r>
      <w:r w:rsidR="00607F48">
        <w:t xml:space="preserve"> to address these recommendations. </w:t>
      </w:r>
    </w:p>
    <w:p w14:paraId="67B99059" w14:textId="77777777" w:rsidR="00134395" w:rsidRDefault="00134395" w:rsidP="00134395">
      <w:pPr>
        <w:rPr>
          <w:rFonts w:ascii="Calibri" w:hAnsi="Calibri" w:cs="Calibri"/>
          <w:b/>
          <w:bCs/>
          <w:color w:val="000000" w:themeColor="text1"/>
        </w:rPr>
      </w:pPr>
      <w:r>
        <w:rPr>
          <w:rFonts w:ascii="Calibri" w:hAnsi="Calibri" w:cs="Calibri"/>
          <w:b/>
          <w:bCs/>
          <w:color w:val="000000" w:themeColor="text1"/>
        </w:rPr>
        <w:t>2018 Validation Recommendations:</w:t>
      </w: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214"/>
        <w:gridCol w:w="6425"/>
      </w:tblGrid>
      <w:tr w:rsidR="00134395" w14:paraId="160A82AA" w14:textId="77777777" w:rsidTr="00134395">
        <w:trPr>
          <w:trHeight w:val="318"/>
        </w:trPr>
        <w:tc>
          <w:tcPr>
            <w:tcW w:w="3214" w:type="dxa"/>
            <w:tcBorders>
              <w:top w:val="nil"/>
              <w:left w:val="nil"/>
              <w:bottom w:val="single" w:sz="4" w:space="0" w:color="auto"/>
              <w:right w:val="single" w:sz="4" w:space="0" w:color="auto"/>
            </w:tcBorders>
            <w:hideMark/>
          </w:tcPr>
          <w:p w14:paraId="54E38A49" w14:textId="77777777" w:rsidR="00134395" w:rsidRDefault="00134395">
            <w:pPr>
              <w:spacing w:after="0" w:line="256" w:lineRule="auto"/>
              <w:contextualSpacing/>
              <w:rPr>
                <w:rFonts w:cs="Times New Roman"/>
                <w:lang w:val="en-AU"/>
              </w:rPr>
            </w:pPr>
            <w:r>
              <w:rPr>
                <w:rFonts w:cs="Calibri"/>
                <w:b/>
                <w:lang w:val="en-AU"/>
              </w:rPr>
              <w:t>Recommendation:</w:t>
            </w:r>
          </w:p>
        </w:tc>
        <w:tc>
          <w:tcPr>
            <w:tcW w:w="6425" w:type="dxa"/>
            <w:tcBorders>
              <w:top w:val="nil"/>
              <w:left w:val="single" w:sz="4" w:space="0" w:color="auto"/>
              <w:bottom w:val="single" w:sz="4" w:space="0" w:color="auto"/>
              <w:right w:val="nil"/>
            </w:tcBorders>
            <w:hideMark/>
          </w:tcPr>
          <w:p w14:paraId="383CF833" w14:textId="77777777" w:rsidR="00134395" w:rsidRDefault="00134395">
            <w:pPr>
              <w:spacing w:after="0" w:line="256" w:lineRule="auto"/>
              <w:contextualSpacing/>
              <w:rPr>
                <w:lang w:val="en-AU"/>
              </w:rPr>
            </w:pPr>
            <w:r>
              <w:rPr>
                <w:rFonts w:cs="Calibri"/>
                <w:b/>
                <w:lang w:val="en-AU"/>
              </w:rPr>
              <w:t>Status/progress:</w:t>
            </w:r>
          </w:p>
        </w:tc>
      </w:tr>
      <w:tr w:rsidR="00134395" w14:paraId="7DEF361B" w14:textId="77777777" w:rsidTr="00134395">
        <w:trPr>
          <w:trHeight w:val="318"/>
        </w:trPr>
        <w:tc>
          <w:tcPr>
            <w:tcW w:w="3214" w:type="dxa"/>
            <w:tcBorders>
              <w:top w:val="single" w:sz="4" w:space="0" w:color="auto"/>
              <w:left w:val="nil"/>
              <w:bottom w:val="single" w:sz="4" w:space="0" w:color="auto"/>
              <w:right w:val="single" w:sz="4" w:space="0" w:color="auto"/>
            </w:tcBorders>
          </w:tcPr>
          <w:p w14:paraId="2C4367D6" w14:textId="77777777" w:rsidR="00134395" w:rsidRDefault="00134395">
            <w:pPr>
              <w:spacing w:after="0" w:line="256" w:lineRule="auto"/>
              <w:contextualSpacing/>
              <w:rPr>
                <w:rFonts w:cs="Calibri"/>
                <w:szCs w:val="23"/>
                <w:lang w:val="en-AU"/>
              </w:rPr>
            </w:pPr>
          </w:p>
        </w:tc>
        <w:tc>
          <w:tcPr>
            <w:tcW w:w="6425" w:type="dxa"/>
            <w:tcBorders>
              <w:top w:val="single" w:sz="4" w:space="0" w:color="auto"/>
              <w:left w:val="single" w:sz="4" w:space="0" w:color="auto"/>
              <w:bottom w:val="single" w:sz="4" w:space="0" w:color="auto"/>
              <w:right w:val="nil"/>
            </w:tcBorders>
            <w:hideMark/>
          </w:tcPr>
          <w:p w14:paraId="30F3396F" w14:textId="77777777" w:rsidR="00134395" w:rsidRDefault="00134395">
            <w:pPr>
              <w:spacing w:after="0" w:line="256" w:lineRule="auto"/>
              <w:contextualSpacing/>
              <w:rPr>
                <w:rFonts w:cs="Calibri"/>
                <w:i/>
                <w:iCs/>
                <w:szCs w:val="23"/>
                <w:lang w:val="en-AU"/>
              </w:rPr>
            </w:pPr>
            <w:r>
              <w:rPr>
                <w:rFonts w:cs="Calibri"/>
                <w:i/>
                <w:iCs/>
                <w:szCs w:val="23"/>
                <w:lang w:val="en-AU"/>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134395" w14:paraId="563FE819" w14:textId="77777777" w:rsidTr="00134395">
        <w:trPr>
          <w:trHeight w:val="318"/>
        </w:trPr>
        <w:tc>
          <w:tcPr>
            <w:tcW w:w="3214" w:type="dxa"/>
            <w:tcBorders>
              <w:top w:val="single" w:sz="4" w:space="0" w:color="auto"/>
              <w:left w:val="nil"/>
              <w:bottom w:val="single" w:sz="4" w:space="0" w:color="auto"/>
              <w:right w:val="single" w:sz="4" w:space="0" w:color="auto"/>
            </w:tcBorders>
          </w:tcPr>
          <w:p w14:paraId="5CFBA165"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2.2 License Allocation</w:t>
            </w:r>
          </w:p>
          <w:p w14:paraId="3C6B75A2" w14:textId="77777777" w:rsidR="00134395" w:rsidRDefault="00134395">
            <w:pPr>
              <w:pStyle w:val="ListParagraph"/>
              <w:spacing w:after="0" w:line="256" w:lineRule="auto"/>
              <w:ind w:left="360"/>
              <w:contextualSpacing/>
              <w:rPr>
                <w:rFonts w:cs="Calibri"/>
                <w:lang w:val="en-AU"/>
              </w:rPr>
            </w:pPr>
          </w:p>
          <w:p w14:paraId="018CAECF" w14:textId="77777777" w:rsidR="00134395" w:rsidRDefault="00134395" w:rsidP="00134395">
            <w:pPr>
              <w:numPr>
                <w:ilvl w:val="0"/>
                <w:numId w:val="34"/>
              </w:numPr>
              <w:spacing w:before="0" w:after="0" w:line="256" w:lineRule="auto"/>
              <w:rPr>
                <w:rFonts w:eastAsiaTheme="minorHAnsi" w:cstheme="minorBidi"/>
                <w:sz w:val="20"/>
                <w:szCs w:val="20"/>
                <w:lang w:val="en-GB"/>
              </w:rPr>
            </w:pPr>
            <w:r>
              <w:rPr>
                <w:rFonts w:cs="Calibri"/>
                <w:lang w:val="en-AU"/>
              </w:rPr>
              <w:lastRenderedPageBreak/>
              <w:t xml:space="preserve"> </w:t>
            </w:r>
            <w:r>
              <w:rPr>
                <w:rFonts w:eastAsiaTheme="minorHAnsi" w:cstheme="minorBidi"/>
                <w:sz w:val="20"/>
                <w:szCs w:val="20"/>
                <w:lang w:val="en-GB"/>
              </w:rPr>
              <w:t xml:space="preserve">PNG is required to publicly disclose information related to the award or transfer of mining tenements and oil and gas licenses pertaining to companies covered in the EITI Report. </w:t>
            </w:r>
          </w:p>
          <w:p w14:paraId="0D1ADE58" w14:textId="77777777" w:rsidR="00134395" w:rsidRDefault="00134395">
            <w:pPr>
              <w:spacing w:before="0" w:after="0" w:line="256" w:lineRule="auto"/>
              <w:rPr>
                <w:rFonts w:asciiTheme="minorHAnsi" w:eastAsiaTheme="minorHAnsi" w:hAnsiTheme="minorHAnsi" w:cstheme="minorBidi"/>
                <w:sz w:val="20"/>
                <w:szCs w:val="20"/>
                <w:lang w:val="en-GB"/>
              </w:rPr>
            </w:pPr>
          </w:p>
          <w:p w14:paraId="5AD090B6" w14:textId="77777777" w:rsidR="00134395" w:rsidRDefault="00134395" w:rsidP="00134395">
            <w:pPr>
              <w:numPr>
                <w:ilvl w:val="0"/>
                <w:numId w:val="34"/>
              </w:numPr>
              <w:spacing w:before="0" w:after="0" w:line="256" w:lineRule="auto"/>
              <w:rPr>
                <w:sz w:val="20"/>
                <w:szCs w:val="20"/>
                <w:lang w:val="en-GB"/>
              </w:rPr>
            </w:pPr>
            <w:r>
              <w:rPr>
                <w:rFonts w:cs="Segoe UI"/>
                <w:sz w:val="20"/>
                <w:szCs w:val="20"/>
                <w:lang w:val="en-AU"/>
              </w:rPr>
              <w:t xml:space="preserve"> This information should include the number of mining tenements and oil and gas licenses awarded and transferred in the year under review, a description of the award and transfer procedures, including specific technical and financial criteria assessed, and any non-trivial deviations from statutory procedures in practice. </w:t>
            </w:r>
          </w:p>
          <w:p w14:paraId="0E4C8B0C" w14:textId="77777777" w:rsidR="00134395" w:rsidRDefault="00134395">
            <w:pPr>
              <w:spacing w:after="0" w:line="256" w:lineRule="auto"/>
              <w:contextualSpacing/>
              <w:rPr>
                <w:rFonts w:cs="Calibri"/>
                <w:lang w:val="en-AU"/>
              </w:rPr>
            </w:pPr>
          </w:p>
          <w:p w14:paraId="297EFCF7"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07BB4CA7" w14:textId="77777777" w:rsidR="00134395" w:rsidRDefault="00134395">
            <w:pPr>
              <w:spacing w:after="0" w:line="256" w:lineRule="auto"/>
              <w:contextualSpacing/>
              <w:rPr>
                <w:rFonts w:cs="Calibri"/>
                <w:lang w:val="en-AU"/>
              </w:rPr>
            </w:pPr>
            <w:r>
              <w:rPr>
                <w:rFonts w:cs="Calibri"/>
                <w:lang w:val="en-AU"/>
              </w:rPr>
              <w:lastRenderedPageBreak/>
              <w:t xml:space="preserve">JICA </w:t>
            </w:r>
            <w:hyperlink r:id="rId44" w:history="1">
              <w:r>
                <w:rPr>
                  <w:rStyle w:val="Hyperlink"/>
                  <w:rFonts w:cs="Calibri"/>
                  <w:lang w:val="en-AU"/>
                </w:rPr>
                <w:t>Project for Improving Resource Related Revenue Management in PNG</w:t>
              </w:r>
            </w:hyperlink>
            <w:r>
              <w:rPr>
                <w:rFonts w:cs="Calibri"/>
                <w:lang w:val="en-AU"/>
              </w:rPr>
              <w:t xml:space="preserve"> contributed to addressing requirement 2.2 license allocation. Some of outcomes achieved by the project as outlined in pages 38 to 39 include:</w:t>
            </w:r>
          </w:p>
          <w:p w14:paraId="377849A2" w14:textId="77777777" w:rsidR="00134395" w:rsidRDefault="00134395">
            <w:pPr>
              <w:spacing w:after="0" w:line="256" w:lineRule="auto"/>
              <w:contextualSpacing/>
              <w:rPr>
                <w:rFonts w:cs="Calibri"/>
                <w:lang w:val="en-AU"/>
              </w:rPr>
            </w:pPr>
          </w:p>
          <w:p w14:paraId="1CAD90B7" w14:textId="77777777" w:rsidR="00134395" w:rsidRDefault="00134395" w:rsidP="00134395">
            <w:pPr>
              <w:pStyle w:val="ListParagraph"/>
              <w:numPr>
                <w:ilvl w:val="0"/>
                <w:numId w:val="35"/>
              </w:numPr>
              <w:spacing w:before="0" w:line="256" w:lineRule="auto"/>
              <w:rPr>
                <w:rStyle w:val="Hyperlink"/>
                <w:color w:val="auto"/>
                <w:szCs w:val="22"/>
              </w:rPr>
            </w:pPr>
            <w:r>
              <w:rPr>
                <w:lang w:val="en-AU"/>
              </w:rPr>
              <w:t xml:space="preserve">Launching of DPE official website and disclosed licensing process on DPE website. Most of the information on licenses has been disclosed on the website except a few items such as license dates. </w:t>
            </w:r>
            <w:r>
              <w:rPr>
                <w:rStyle w:val="Hyperlink"/>
                <w:sz w:val="20"/>
                <w:szCs w:val="20"/>
                <w:lang w:val="en-AU"/>
              </w:rPr>
              <w:t xml:space="preserve">The DPE website and DPE EITI links can be accessed via the links below: </w:t>
            </w:r>
            <w:hyperlink r:id="rId45" w:history="1">
              <w:r>
                <w:rPr>
                  <w:rStyle w:val="Hyperlink"/>
                  <w:szCs w:val="22"/>
                  <w:lang w:val="en-AU"/>
                </w:rPr>
                <w:t>https://petroleum.gov.pg/dpe-eiti/</w:t>
              </w:r>
            </w:hyperlink>
          </w:p>
          <w:p w14:paraId="49956D2F" w14:textId="77777777" w:rsidR="00134395" w:rsidRDefault="00134395" w:rsidP="00134395">
            <w:pPr>
              <w:pStyle w:val="ListParagraph"/>
              <w:numPr>
                <w:ilvl w:val="0"/>
                <w:numId w:val="36"/>
              </w:numPr>
              <w:spacing w:after="0" w:line="256" w:lineRule="auto"/>
              <w:contextualSpacing/>
              <w:rPr>
                <w:rFonts w:cs="Calibri"/>
              </w:rPr>
            </w:pPr>
            <w:r>
              <w:rPr>
                <w:lang w:val="en-AU"/>
              </w:rPr>
              <w:t xml:space="preserve">JICA has also provided training to DPE staff and prepared an Operations Manual to assist DPE IT team to ensure that EITI data is disclosed in a timely manner. </w:t>
            </w:r>
          </w:p>
          <w:p w14:paraId="048A8077" w14:textId="77777777" w:rsidR="00134395" w:rsidRDefault="00134395">
            <w:pPr>
              <w:spacing w:after="0" w:line="256" w:lineRule="auto"/>
              <w:contextualSpacing/>
              <w:rPr>
                <w:rFonts w:cs="Calibri"/>
                <w:lang w:val="en-AU"/>
              </w:rPr>
            </w:pPr>
            <w:r>
              <w:rPr>
                <w:rFonts w:cs="Calibri"/>
                <w:lang w:val="en-AU"/>
              </w:rPr>
              <w:t xml:space="preserve">Some actions taken to ensure issues relating to license allocation were addressed included: </w:t>
            </w:r>
          </w:p>
          <w:p w14:paraId="506F0748" w14:textId="77777777" w:rsidR="00134395" w:rsidRDefault="00134395" w:rsidP="00134395">
            <w:pPr>
              <w:pStyle w:val="ListParagraph"/>
              <w:numPr>
                <w:ilvl w:val="0"/>
                <w:numId w:val="37"/>
              </w:numPr>
              <w:spacing w:after="0" w:line="256" w:lineRule="auto"/>
              <w:contextualSpacing/>
              <w:rPr>
                <w:rFonts w:asciiTheme="minorHAnsi" w:eastAsiaTheme="minorEastAsia" w:hAnsiTheme="minorHAnsi" w:cstheme="minorBidi"/>
                <w:szCs w:val="22"/>
                <w:lang w:val="en-AU"/>
              </w:rPr>
            </w:pPr>
            <w:r>
              <w:rPr>
                <w:lang w:val="en-AU"/>
              </w:rPr>
              <w:t>Ensuring key staff in registry and licensing and those involved in data compilation offered permanent employment with DPE including the head of DPE</w:t>
            </w:r>
          </w:p>
          <w:p w14:paraId="4F412810" w14:textId="6EC4BD62" w:rsidR="00134395" w:rsidRDefault="00134395" w:rsidP="0096402F">
            <w:pPr>
              <w:pStyle w:val="ListParagraph"/>
              <w:numPr>
                <w:ilvl w:val="0"/>
                <w:numId w:val="37"/>
              </w:numPr>
              <w:spacing w:after="0" w:line="256" w:lineRule="auto"/>
              <w:contextualSpacing/>
              <w:rPr>
                <w:lang w:val="en-AU"/>
              </w:rPr>
            </w:pPr>
            <w:r>
              <w:rPr>
                <w:lang w:val="en-AU"/>
              </w:rPr>
              <w:t xml:space="preserve">To avoid delay in disclosure of the information particularly in relation to data authentication and endorsement a written approval letter from the head of DPE was given. Refer link below: </w:t>
            </w:r>
            <w:hyperlink r:id="rId46" w:history="1">
              <w:r>
                <w:rPr>
                  <w:rStyle w:val="Hyperlink"/>
                  <w:lang w:val="en-AU"/>
                </w:rPr>
                <w:t>http://www.pngeiti.org.pg/wp-content/uploads/2018/04/2020-DPE-Response-Letter-on-uploading-of-data.pdf</w:t>
              </w:r>
            </w:hyperlink>
          </w:p>
          <w:p w14:paraId="0CA2500A" w14:textId="77777777" w:rsidR="0096402F" w:rsidRPr="0096402F" w:rsidRDefault="0096402F" w:rsidP="0096402F">
            <w:pPr>
              <w:pStyle w:val="ListParagraph"/>
              <w:spacing w:after="0" w:line="256" w:lineRule="auto"/>
              <w:contextualSpacing/>
              <w:rPr>
                <w:lang w:val="en-AU"/>
              </w:rPr>
            </w:pPr>
          </w:p>
          <w:p w14:paraId="11AADB49" w14:textId="77777777" w:rsidR="00134395" w:rsidRDefault="00134395">
            <w:pPr>
              <w:spacing w:before="0" w:after="120" w:line="256" w:lineRule="auto"/>
              <w:rPr>
                <w:sz w:val="20"/>
                <w:szCs w:val="20"/>
                <w:lang w:val="en-AU"/>
              </w:rPr>
            </w:pPr>
            <w:r>
              <w:rPr>
                <w:rFonts w:eastAsia="Franklin Gothic Book" w:cs="Franklin Gothic Book"/>
                <w:lang w:val="en-AU"/>
              </w:rPr>
              <w:t xml:space="preserve">The petroleum license information has been updated for 2019 and uploaded to the DPE website.  </w:t>
            </w:r>
            <w:r>
              <w:rPr>
                <w:lang w:val="en-AU"/>
              </w:rPr>
              <w:t xml:space="preserve">The license information includes information on transfers, total blocks (areas) under license, names of license holders and the percentage interests held by the license, location of the licenses, i.e., specific provinces, the commodity under the license, the date of </w:t>
            </w:r>
            <w:proofErr w:type="spellStart"/>
            <w:r>
              <w:rPr>
                <w:lang w:val="en-AU"/>
              </w:rPr>
              <w:t>lodgment</w:t>
            </w:r>
            <w:proofErr w:type="spellEnd"/>
            <w:r>
              <w:rPr>
                <w:lang w:val="en-AU"/>
              </w:rPr>
              <w:t xml:space="preserve"> of applications, date of award and expiry of licenses have all been uploaded </w:t>
            </w:r>
            <w:r>
              <w:rPr>
                <w:rFonts w:eastAsia="Franklin Gothic Book" w:cs="Franklin Gothic Book"/>
                <w:lang w:val="en-AU"/>
              </w:rPr>
              <w:t xml:space="preserve">and can be accessed via this link: </w:t>
            </w:r>
            <w:hyperlink r:id="rId47" w:history="1">
              <w:r>
                <w:rPr>
                  <w:rStyle w:val="Hyperlink"/>
                  <w:rFonts w:eastAsia="Calibri" w:cs="Calibri"/>
                  <w:lang w:val="en-AU"/>
                </w:rPr>
                <w:t>https://petroleum.gov.pg/dpe-eiti/</w:t>
              </w:r>
            </w:hyperlink>
          </w:p>
          <w:p w14:paraId="62AB4174" w14:textId="77777777" w:rsidR="00134395" w:rsidRDefault="00134395">
            <w:pPr>
              <w:spacing w:after="0" w:line="256" w:lineRule="auto"/>
              <w:contextualSpacing/>
              <w:rPr>
                <w:sz w:val="20"/>
                <w:szCs w:val="20"/>
                <w:lang w:val="en-AU"/>
              </w:rPr>
            </w:pPr>
          </w:p>
          <w:p w14:paraId="5EFAF959" w14:textId="77777777" w:rsidR="00134395" w:rsidRDefault="00134395">
            <w:pPr>
              <w:spacing w:after="0" w:line="256" w:lineRule="auto"/>
              <w:contextualSpacing/>
              <w:rPr>
                <w:sz w:val="20"/>
                <w:szCs w:val="20"/>
                <w:lang w:val="en-AU"/>
              </w:rPr>
            </w:pPr>
            <w:r>
              <w:rPr>
                <w:sz w:val="20"/>
                <w:szCs w:val="20"/>
                <w:lang w:val="en-AU"/>
              </w:rPr>
              <w:t xml:space="preserve">MRA has provided license allocation data and provided to IA for the FY2019 Report. Data processing/review is in progress for providing full disclosure – full compliance (‘satisfactory’) status likely to be met in the FY2019 Report. Improved reporting is emphasized in the FY2019 Report, disclosure of license allocation. </w:t>
            </w:r>
          </w:p>
          <w:p w14:paraId="7C11E9B6" w14:textId="77777777" w:rsidR="00134395" w:rsidRDefault="00134395">
            <w:pPr>
              <w:spacing w:after="0" w:line="256" w:lineRule="auto"/>
              <w:contextualSpacing/>
              <w:rPr>
                <w:b/>
                <w:bCs/>
                <w:szCs w:val="22"/>
                <w:u w:val="single"/>
                <w:lang w:val="en-AU"/>
              </w:rPr>
            </w:pPr>
          </w:p>
        </w:tc>
      </w:tr>
      <w:tr w:rsidR="00134395" w14:paraId="1C4C7F5C" w14:textId="77777777" w:rsidTr="00134395">
        <w:trPr>
          <w:trHeight w:val="318"/>
        </w:trPr>
        <w:tc>
          <w:tcPr>
            <w:tcW w:w="3214" w:type="dxa"/>
            <w:tcBorders>
              <w:top w:val="single" w:sz="4" w:space="0" w:color="auto"/>
              <w:left w:val="nil"/>
              <w:bottom w:val="single" w:sz="4" w:space="0" w:color="auto"/>
              <w:right w:val="single" w:sz="4" w:space="0" w:color="auto"/>
            </w:tcBorders>
          </w:tcPr>
          <w:p w14:paraId="6CB7E005"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2.3 License Registers</w:t>
            </w:r>
          </w:p>
          <w:p w14:paraId="651A10F5" w14:textId="77777777" w:rsidR="00134395" w:rsidRDefault="00134395">
            <w:pPr>
              <w:pStyle w:val="ListParagraph"/>
              <w:spacing w:after="0" w:line="256" w:lineRule="auto"/>
              <w:ind w:left="360"/>
              <w:contextualSpacing/>
              <w:rPr>
                <w:rFonts w:cs="Calibri"/>
                <w:lang w:val="en-AU"/>
              </w:rPr>
            </w:pPr>
          </w:p>
          <w:p w14:paraId="34096BA2" w14:textId="77777777" w:rsidR="00134395" w:rsidRDefault="00134395">
            <w:pPr>
              <w:pStyle w:val="ListParagraph"/>
              <w:spacing w:after="0" w:line="256" w:lineRule="auto"/>
              <w:ind w:left="360"/>
              <w:contextualSpacing/>
              <w:rPr>
                <w:rFonts w:cs="Calibri"/>
                <w:lang w:val="en-AU"/>
              </w:rPr>
            </w:pPr>
            <w:r>
              <w:rPr>
                <w:rFonts w:cs="Calibri"/>
                <w:lang w:val="en-AU"/>
              </w:rPr>
              <w:t xml:space="preserve">PNG should maintain a publicly accessible register or cadastre system, including comprehensive information on licenses for </w:t>
            </w:r>
            <w:r>
              <w:rPr>
                <w:rFonts w:cs="Calibri"/>
                <w:lang w:val="en-AU"/>
              </w:rPr>
              <w:lastRenderedPageBreak/>
              <w:t xml:space="preserve">all oil, gas and mining companies, </w:t>
            </w:r>
          </w:p>
        </w:tc>
        <w:tc>
          <w:tcPr>
            <w:tcW w:w="6425" w:type="dxa"/>
            <w:tcBorders>
              <w:top w:val="single" w:sz="4" w:space="0" w:color="auto"/>
              <w:left w:val="single" w:sz="4" w:space="0" w:color="auto"/>
              <w:bottom w:val="single" w:sz="4" w:space="0" w:color="auto"/>
              <w:right w:val="nil"/>
            </w:tcBorders>
          </w:tcPr>
          <w:p w14:paraId="6872FD84" w14:textId="77777777" w:rsidR="00134395" w:rsidRDefault="00134395">
            <w:pPr>
              <w:spacing w:after="100" w:afterAutospacing="1" w:line="256" w:lineRule="auto"/>
              <w:contextualSpacing/>
              <w:rPr>
                <w:rFonts w:cs="Calibri"/>
                <w:lang w:val="en-AU"/>
              </w:rPr>
            </w:pPr>
            <w:r>
              <w:rPr>
                <w:rFonts w:cs="Calibri"/>
                <w:lang w:val="en-AU"/>
              </w:rPr>
              <w:lastRenderedPageBreak/>
              <w:t xml:space="preserve">Yes, the recommendation for requirement 2.3 has been partially addressed. JICA </w:t>
            </w:r>
            <w:hyperlink r:id="rId48" w:history="1">
              <w:r>
                <w:rPr>
                  <w:rStyle w:val="Hyperlink"/>
                  <w:rFonts w:cs="Calibri"/>
                  <w:lang w:val="en-AU"/>
                </w:rPr>
                <w:t>Project for Improving Resource Related Revenue Management in PNG</w:t>
              </w:r>
            </w:hyperlink>
            <w:r>
              <w:rPr>
                <w:rFonts w:cs="Calibri"/>
                <w:lang w:val="en-AU"/>
              </w:rPr>
              <w:t xml:space="preserve"> contributed to addressing requirement 2.3 license registers on page 38 -39 as follows:</w:t>
            </w:r>
          </w:p>
          <w:p w14:paraId="1E749EBA" w14:textId="77777777" w:rsidR="00134395" w:rsidRDefault="00134395" w:rsidP="00134395">
            <w:pPr>
              <w:pStyle w:val="ListParagraph"/>
              <w:numPr>
                <w:ilvl w:val="0"/>
                <w:numId w:val="38"/>
              </w:numPr>
              <w:spacing w:after="100" w:afterAutospacing="1" w:line="256" w:lineRule="auto"/>
              <w:contextualSpacing/>
              <w:rPr>
                <w:rFonts w:cs="Calibri"/>
                <w:lang w:val="en-AU"/>
              </w:rPr>
            </w:pPr>
            <w:r>
              <w:rPr>
                <w:lang w:val="en-AU"/>
              </w:rPr>
              <w:t xml:space="preserve">DPE disclosed tenement map of oil and gas on its website. The project confirmed that the database was developed to maintain license register and provided support on </w:t>
            </w:r>
            <w:r>
              <w:rPr>
                <w:lang w:val="en-AU"/>
              </w:rPr>
              <w:lastRenderedPageBreak/>
              <w:t xml:space="preserve">infrastructure and capacity development of application software. </w:t>
            </w:r>
            <w:r>
              <w:rPr>
                <w:rFonts w:cs="Calibri"/>
                <w:lang w:val="en-AU"/>
              </w:rPr>
              <w:t xml:space="preserve">The tenements map can be accessed via this link: </w:t>
            </w:r>
            <w:hyperlink r:id="rId49" w:history="1">
              <w:r>
                <w:rPr>
                  <w:rStyle w:val="Hyperlink"/>
                  <w:rFonts w:cs="Calibri"/>
                  <w:lang w:val="en-AU"/>
                </w:rPr>
                <w:t>https://petroleum.gov.pg/dpe-eiti/</w:t>
              </w:r>
            </w:hyperlink>
          </w:p>
          <w:p w14:paraId="7AF9FD04" w14:textId="77777777" w:rsidR="00134395" w:rsidRDefault="00134395">
            <w:pPr>
              <w:spacing w:after="100" w:afterAutospacing="1" w:line="256" w:lineRule="auto"/>
              <w:contextualSpacing/>
              <w:rPr>
                <w:rFonts w:cs="Calibri"/>
                <w:szCs w:val="23"/>
                <w:lang w:val="en-AU"/>
              </w:rPr>
            </w:pPr>
            <w:r>
              <w:rPr>
                <w:rFonts w:cs="Calibri"/>
                <w:lang w:val="en-AU"/>
              </w:rPr>
              <w:t xml:space="preserve">MRA </w:t>
            </w:r>
            <w:proofErr w:type="spellStart"/>
            <w:r>
              <w:rPr>
                <w:rFonts w:cs="Calibri"/>
                <w:szCs w:val="23"/>
                <w:lang w:val="en-AU"/>
              </w:rPr>
              <w:t>cadaster</w:t>
            </w:r>
            <w:proofErr w:type="spellEnd"/>
            <w:r>
              <w:rPr>
                <w:rFonts w:cs="Calibri"/>
                <w:szCs w:val="23"/>
                <w:lang w:val="en-AU"/>
              </w:rPr>
              <w:t xml:space="preserve"> portal can be accessed via this link: </w:t>
            </w:r>
            <w:hyperlink r:id="rId50" w:history="1">
              <w:r>
                <w:rPr>
                  <w:rStyle w:val="Hyperlink"/>
                  <w:rFonts w:cs="Calibri"/>
                  <w:szCs w:val="23"/>
                  <w:lang w:val="en-AU"/>
                </w:rPr>
                <w:t>https://portal.mra.gov.pg/Site/MapPage.aspx?PageID=e735c534-5f4e-4b2b-a544-89b90357e0f1</w:t>
              </w:r>
            </w:hyperlink>
          </w:p>
          <w:p w14:paraId="636C6C2D" w14:textId="77777777" w:rsidR="00134395" w:rsidRDefault="00134395">
            <w:pPr>
              <w:spacing w:after="100" w:afterAutospacing="1" w:line="256" w:lineRule="auto"/>
              <w:contextualSpacing/>
              <w:rPr>
                <w:lang w:val="en-AU"/>
              </w:rPr>
            </w:pPr>
          </w:p>
          <w:p w14:paraId="517EDF93" w14:textId="77777777" w:rsidR="00134395" w:rsidRDefault="00134395">
            <w:pPr>
              <w:spacing w:before="0" w:after="0" w:line="256" w:lineRule="auto"/>
              <w:rPr>
                <w:rFonts w:eastAsia="Times New Roman" w:cs="Calibri"/>
                <w:color w:val="000000"/>
                <w:sz w:val="20"/>
                <w:szCs w:val="20"/>
                <w:lang w:val="en-AU" w:eastAsia="en-AU"/>
              </w:rPr>
            </w:pPr>
            <w:r>
              <w:rPr>
                <w:rFonts w:eastAsia="Times New Roman" w:cs="Calibri"/>
                <w:color w:val="000000"/>
                <w:sz w:val="20"/>
                <w:szCs w:val="20"/>
                <w:lang w:val="en-AU" w:eastAsia="en-AU"/>
              </w:rPr>
              <w:t xml:space="preserve">All information in relation to application date, award and expiry date in cadastre portal is comprehensive. </w:t>
            </w:r>
          </w:p>
          <w:p w14:paraId="2EAF75F2" w14:textId="77777777" w:rsidR="00134395" w:rsidRDefault="00134395">
            <w:pPr>
              <w:spacing w:after="0" w:line="256" w:lineRule="auto"/>
              <w:contextualSpacing/>
              <w:rPr>
                <w:rFonts w:cs="Calibri"/>
                <w:szCs w:val="23"/>
                <w:lang w:val="en-AU"/>
              </w:rPr>
            </w:pPr>
          </w:p>
        </w:tc>
      </w:tr>
      <w:tr w:rsidR="00134395" w14:paraId="24DC2D5B"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3DBEB9F9"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2.6 State Participation</w:t>
            </w:r>
          </w:p>
          <w:p w14:paraId="58F15F38" w14:textId="77777777" w:rsidR="00134395" w:rsidRDefault="00134395">
            <w:pPr>
              <w:spacing w:after="0" w:line="256" w:lineRule="auto"/>
              <w:contextualSpacing/>
              <w:rPr>
                <w:rFonts w:cs="Calibri"/>
                <w:lang w:val="en-AU"/>
              </w:rPr>
            </w:pPr>
            <w:r>
              <w:rPr>
                <w:rFonts w:cs="Calibri"/>
                <w:lang w:val="en-AU"/>
              </w:rPr>
              <w:t>PNG should clearly establish its definition of SOEs to delineate the SOEs within the scope of EITI reporting and ensure that a comprehensive list of state participation in the extractive industries, including terms associated with state equity and any changes in the year under review, be publicly accessible.</w:t>
            </w:r>
          </w:p>
          <w:p w14:paraId="3EDED869" w14:textId="77777777" w:rsidR="00134395" w:rsidRDefault="00134395">
            <w:pPr>
              <w:spacing w:after="0" w:line="256" w:lineRule="auto"/>
              <w:contextualSpacing/>
              <w:rPr>
                <w:rFonts w:cs="Calibri"/>
                <w:lang w:val="en-AU"/>
              </w:rPr>
            </w:pPr>
            <w:r>
              <w:rPr>
                <w:rFonts w:cs="Calibri"/>
                <w:lang w:val="en-AU"/>
              </w:rPr>
              <w:t>PNG must also clarify the rules and practices governing financial relations between all SOEs, including their subsidiaries, and the state, including the existence of any loans or guarantees extended by the state, or SOEs, to extractives companies or projects.</w:t>
            </w:r>
          </w:p>
        </w:tc>
        <w:tc>
          <w:tcPr>
            <w:tcW w:w="6425" w:type="dxa"/>
            <w:tcBorders>
              <w:top w:val="single" w:sz="4" w:space="0" w:color="auto"/>
              <w:left w:val="single" w:sz="4" w:space="0" w:color="auto"/>
              <w:bottom w:val="single" w:sz="4" w:space="0" w:color="auto"/>
              <w:right w:val="nil"/>
            </w:tcBorders>
          </w:tcPr>
          <w:p w14:paraId="062111A9" w14:textId="77777777" w:rsidR="00134395" w:rsidRDefault="00134395">
            <w:pPr>
              <w:spacing w:after="0" w:line="256" w:lineRule="auto"/>
              <w:contextualSpacing/>
              <w:rPr>
                <w:rFonts w:cs="Calibri"/>
                <w:lang w:val="en-AU"/>
              </w:rPr>
            </w:pPr>
            <w:r>
              <w:rPr>
                <w:rFonts w:cs="Calibri"/>
                <w:lang w:val="en-AU"/>
              </w:rPr>
              <w:t xml:space="preserve"> The MSG commissioned </w:t>
            </w:r>
            <w:hyperlink r:id="rId51" w:history="1">
              <w:r>
                <w:rPr>
                  <w:rStyle w:val="Hyperlink"/>
                  <w:rFonts w:cs="Calibri"/>
                  <w:lang w:val="en-AU"/>
                </w:rPr>
                <w:t xml:space="preserve"> SOE scoping study</w:t>
              </w:r>
            </w:hyperlink>
            <w:r>
              <w:rPr>
                <w:rFonts w:cs="Calibri"/>
                <w:lang w:val="en-AU"/>
              </w:rPr>
              <w:t xml:space="preserve"> to provide a comprehensive understanding of requirement 2.6 state participation and its implications for PNG (page 8). </w:t>
            </w:r>
          </w:p>
          <w:p w14:paraId="3DAF27E2" w14:textId="77777777" w:rsidR="00134395" w:rsidRDefault="00134395">
            <w:pPr>
              <w:spacing w:after="0" w:line="256" w:lineRule="auto"/>
              <w:contextualSpacing/>
              <w:rPr>
                <w:rFonts w:cs="Calibri"/>
                <w:lang w:val="en-AU"/>
              </w:rPr>
            </w:pPr>
          </w:p>
          <w:p w14:paraId="0399D861" w14:textId="77777777" w:rsidR="00134395" w:rsidRDefault="00134395">
            <w:pPr>
              <w:spacing w:after="0" w:line="256" w:lineRule="auto"/>
              <w:contextualSpacing/>
              <w:rPr>
                <w:rFonts w:cs="Calibri"/>
                <w:lang w:val="en-AU"/>
              </w:rPr>
            </w:pPr>
            <w:r>
              <w:rPr>
                <w:rFonts w:cs="Calibri"/>
                <w:lang w:val="en-AU"/>
              </w:rPr>
              <w:t xml:space="preserve">The recommendations of the scoping study will be implemented in the PNGEITI 2020 report as indicated in the </w:t>
            </w:r>
            <w:hyperlink r:id="rId52" w:history="1">
              <w:r>
                <w:rPr>
                  <w:rStyle w:val="Hyperlink"/>
                  <w:rFonts w:cs="Calibri"/>
                  <w:lang w:val="en-AU"/>
                </w:rPr>
                <w:t>terms of reference</w:t>
              </w:r>
            </w:hyperlink>
            <w:r>
              <w:rPr>
                <w:rFonts w:cs="Calibri"/>
                <w:lang w:val="en-AU"/>
              </w:rPr>
              <w:t xml:space="preserve">. </w:t>
            </w:r>
          </w:p>
          <w:p w14:paraId="400EBB75" w14:textId="77777777" w:rsidR="00134395" w:rsidRDefault="00134395">
            <w:pPr>
              <w:spacing w:after="0" w:line="256" w:lineRule="auto"/>
              <w:contextualSpacing/>
              <w:rPr>
                <w:rFonts w:cs="Calibri"/>
                <w:lang w:val="en-AU"/>
              </w:rPr>
            </w:pPr>
          </w:p>
          <w:p w14:paraId="103A5684" w14:textId="77777777" w:rsidR="00134395" w:rsidRDefault="00134395">
            <w:pPr>
              <w:spacing w:after="0" w:line="256" w:lineRule="auto"/>
              <w:contextualSpacing/>
              <w:rPr>
                <w:rFonts w:cs="Calibri"/>
                <w:lang w:val="en-AU"/>
              </w:rPr>
            </w:pPr>
            <w:r>
              <w:rPr>
                <w:rFonts w:cs="Calibri"/>
                <w:lang w:val="en-AU"/>
              </w:rPr>
              <w:t xml:space="preserve">The recommendations of the scoping study were approved for implementation by the MSG at its </w:t>
            </w:r>
            <w:hyperlink r:id="rId53" w:history="1">
              <w:r>
                <w:rPr>
                  <w:rStyle w:val="Hyperlink"/>
                  <w:rFonts w:cs="Calibri"/>
                  <w:lang w:val="en-AU"/>
                </w:rPr>
                <w:t>meeting on 5</w:t>
              </w:r>
              <w:r>
                <w:rPr>
                  <w:rStyle w:val="Hyperlink"/>
                  <w:rFonts w:cs="Calibri"/>
                  <w:vertAlign w:val="superscript"/>
                  <w:lang w:val="en-AU"/>
                </w:rPr>
                <w:t>th</w:t>
              </w:r>
              <w:r>
                <w:rPr>
                  <w:rStyle w:val="Hyperlink"/>
                  <w:rFonts w:cs="Calibri"/>
                  <w:lang w:val="en-AU"/>
                </w:rPr>
                <w:t xml:space="preserve"> July 2021</w:t>
              </w:r>
            </w:hyperlink>
            <w:r>
              <w:rPr>
                <w:rFonts w:cs="Calibri"/>
                <w:lang w:val="en-AU"/>
              </w:rPr>
              <w:t>. Some of the recommendations as outline on pages 51 to 53 include:</w:t>
            </w:r>
          </w:p>
          <w:p w14:paraId="2915C5B8" w14:textId="77777777" w:rsidR="00134395" w:rsidRDefault="00134395">
            <w:pPr>
              <w:spacing w:after="0" w:line="256" w:lineRule="auto"/>
              <w:contextualSpacing/>
              <w:rPr>
                <w:lang w:val="en-AU"/>
              </w:rPr>
            </w:pPr>
          </w:p>
          <w:p w14:paraId="434EED6C"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the definition of SOEs</w:t>
            </w:r>
          </w:p>
          <w:p w14:paraId="45F7304F"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definition of QFEs</w:t>
            </w:r>
          </w:p>
          <w:p w14:paraId="37052C01" w14:textId="77777777" w:rsidR="00134395" w:rsidRDefault="00134395" w:rsidP="00134395">
            <w:pPr>
              <w:pStyle w:val="ListParagraph"/>
              <w:numPr>
                <w:ilvl w:val="0"/>
                <w:numId w:val="39"/>
              </w:numPr>
              <w:spacing w:before="0" w:after="0" w:line="256" w:lineRule="auto"/>
              <w:contextualSpacing/>
              <w:rPr>
                <w:rFonts w:asciiTheme="minorHAnsi" w:eastAsiaTheme="minorEastAsia" w:hAnsiTheme="minorHAnsi" w:cstheme="minorBidi"/>
                <w:lang w:val="en-AU"/>
              </w:rPr>
            </w:pPr>
            <w:r>
              <w:rPr>
                <w:rFonts w:cs="Calibri"/>
                <w:lang w:val="en-AU"/>
              </w:rPr>
              <w:t>Adoption of a new SOE reporting template</w:t>
            </w:r>
          </w:p>
          <w:p w14:paraId="5C75EC04" w14:textId="77777777" w:rsidR="00134395" w:rsidRDefault="00134395" w:rsidP="00134395">
            <w:pPr>
              <w:pStyle w:val="ListParagraph"/>
              <w:numPr>
                <w:ilvl w:val="0"/>
                <w:numId w:val="39"/>
              </w:numPr>
              <w:spacing w:before="0" w:after="0" w:line="256" w:lineRule="auto"/>
              <w:contextualSpacing/>
              <w:rPr>
                <w:rStyle w:val="Hyperlink"/>
                <w:szCs w:val="22"/>
              </w:rPr>
            </w:pPr>
            <w:r>
              <w:rPr>
                <w:rFonts w:cs="Calibri"/>
                <w:lang w:val="en-AU"/>
              </w:rPr>
              <w:t xml:space="preserve">MSG and National Secretariat commission a project to collect, reconcile and disclose transactions concerning the sale of SOE’s share of oil, gas and minerals. </w:t>
            </w:r>
          </w:p>
          <w:p w14:paraId="32EC447F" w14:textId="77777777" w:rsidR="00134395" w:rsidRDefault="00134395">
            <w:pPr>
              <w:spacing w:before="0" w:after="0" w:line="256" w:lineRule="auto"/>
              <w:contextualSpacing/>
            </w:pPr>
          </w:p>
          <w:p w14:paraId="2D0C9D52" w14:textId="77777777" w:rsidR="00134395" w:rsidRDefault="00134395">
            <w:pPr>
              <w:spacing w:before="0" w:after="0" w:line="256" w:lineRule="auto"/>
              <w:contextualSpacing/>
              <w:rPr>
                <w:lang w:val="en-AU"/>
              </w:rPr>
            </w:pPr>
            <w:r>
              <w:rPr>
                <w:lang w:val="en-AU"/>
              </w:rPr>
              <w:t xml:space="preserve">The SOE scoping study also outlined the legal and governance framework for extractive sector SOEs on pages 20 and 21. Page 31 of the SOE Scoping study refers to the PNG LNG Project Umbrella Benefits Sharing Agreement (UBSA) which is an overarching agreement that “outlines how a number of the state’s project revenues streams will be shared with project area, landowners, local level governments and provincial government”. The key revenue streams of UBSA include (1) royalties, equity, development levy, infrastructure development grants and business development grants. </w:t>
            </w:r>
          </w:p>
          <w:p w14:paraId="7DEA6972" w14:textId="77777777" w:rsidR="00134395" w:rsidRDefault="00134395">
            <w:pPr>
              <w:spacing w:before="0" w:after="0" w:line="256" w:lineRule="auto"/>
              <w:contextualSpacing/>
              <w:rPr>
                <w:szCs w:val="22"/>
                <w:lang w:val="en-AU"/>
              </w:rPr>
            </w:pPr>
          </w:p>
        </w:tc>
      </w:tr>
      <w:tr w:rsidR="00134395" w14:paraId="7CEEE5CF" w14:textId="77777777" w:rsidTr="00134395">
        <w:trPr>
          <w:trHeight w:val="318"/>
        </w:trPr>
        <w:tc>
          <w:tcPr>
            <w:tcW w:w="3214" w:type="dxa"/>
            <w:tcBorders>
              <w:top w:val="single" w:sz="4" w:space="0" w:color="auto"/>
              <w:left w:val="nil"/>
              <w:bottom w:val="single" w:sz="4" w:space="0" w:color="auto"/>
              <w:right w:val="single" w:sz="4" w:space="0" w:color="auto"/>
            </w:tcBorders>
          </w:tcPr>
          <w:p w14:paraId="2DC4C81D"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3.2 Production Data</w:t>
            </w:r>
          </w:p>
          <w:p w14:paraId="713DC205" w14:textId="77777777" w:rsidR="00134395" w:rsidRDefault="00134395">
            <w:pPr>
              <w:pStyle w:val="ListParagraph"/>
              <w:spacing w:after="0" w:line="256" w:lineRule="auto"/>
              <w:ind w:left="360"/>
              <w:contextualSpacing/>
              <w:rPr>
                <w:rFonts w:cs="Calibri"/>
                <w:lang w:val="en-AU"/>
              </w:rPr>
            </w:pPr>
          </w:p>
          <w:p w14:paraId="69493093" w14:textId="77777777" w:rsidR="00134395" w:rsidRDefault="00134395">
            <w:pPr>
              <w:pStyle w:val="ListParagraph"/>
              <w:spacing w:after="0" w:line="256" w:lineRule="auto"/>
              <w:ind w:left="0"/>
              <w:contextualSpacing/>
              <w:rPr>
                <w:sz w:val="20"/>
                <w:szCs w:val="20"/>
                <w:lang w:val="en-GB"/>
              </w:rPr>
            </w:pPr>
            <w:r>
              <w:rPr>
                <w:sz w:val="20"/>
                <w:szCs w:val="20"/>
                <w:lang w:val="en-GB"/>
              </w:rPr>
              <w:t xml:space="preserve">PNG should ensure that the complete production volume for oil and gas, and production values for each of the extractive commodities produced during the year under </w:t>
            </w:r>
            <w:r>
              <w:rPr>
                <w:sz w:val="20"/>
                <w:szCs w:val="20"/>
                <w:lang w:val="en-GB"/>
              </w:rPr>
              <w:lastRenderedPageBreak/>
              <w:t>review be publicly accessible, disaggregated by commodity.</w:t>
            </w:r>
          </w:p>
          <w:p w14:paraId="37D973DC" w14:textId="77777777" w:rsidR="00134395" w:rsidRDefault="00134395">
            <w:pPr>
              <w:pStyle w:val="ListParagraph"/>
              <w:spacing w:after="0" w:line="256" w:lineRule="auto"/>
              <w:ind w:left="0"/>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2C3E8D73" w14:textId="77777777" w:rsidR="00134395" w:rsidRDefault="00134395">
            <w:pPr>
              <w:spacing w:after="100" w:afterAutospacing="1" w:line="256" w:lineRule="auto"/>
              <w:contextualSpacing/>
              <w:rPr>
                <w:rFonts w:cs="Calibri"/>
                <w:lang w:val="en-AU"/>
              </w:rPr>
            </w:pPr>
            <w:r>
              <w:rPr>
                <w:rFonts w:cs="Calibri"/>
                <w:lang w:val="en-AU"/>
              </w:rPr>
              <w:lastRenderedPageBreak/>
              <w:t xml:space="preserve">Production data has always been a challenge as reporting entities and DPE provide different information. </w:t>
            </w:r>
          </w:p>
          <w:p w14:paraId="76C53609" w14:textId="77777777" w:rsidR="00134395" w:rsidRDefault="00134395">
            <w:pPr>
              <w:spacing w:after="100" w:afterAutospacing="1" w:line="256" w:lineRule="auto"/>
              <w:contextualSpacing/>
              <w:rPr>
                <w:rFonts w:cs="Calibri"/>
                <w:lang w:val="en-AU"/>
              </w:rPr>
            </w:pPr>
          </w:p>
          <w:p w14:paraId="06B6FF7E" w14:textId="77777777" w:rsidR="00134395" w:rsidRDefault="00134395">
            <w:pPr>
              <w:spacing w:after="100" w:afterAutospacing="1" w:line="256" w:lineRule="auto"/>
              <w:contextualSpacing/>
              <w:rPr>
                <w:rFonts w:cs="Calibri"/>
                <w:lang w:val="en-AU"/>
              </w:rPr>
            </w:pPr>
            <w:r>
              <w:rPr>
                <w:rFonts w:cs="Calibri"/>
                <w:lang w:val="en-AU"/>
              </w:rPr>
              <w:t xml:space="preserve">The JICA </w:t>
            </w:r>
            <w:hyperlink r:id="rId54" w:history="1">
              <w:r>
                <w:rPr>
                  <w:rStyle w:val="Hyperlink"/>
                  <w:rFonts w:cs="Calibri"/>
                  <w:lang w:val="en-AU"/>
                </w:rPr>
                <w:t>Project for Improving Resource Related Revenue Management in PNG</w:t>
              </w:r>
            </w:hyperlink>
            <w:r>
              <w:rPr>
                <w:rFonts w:cs="Calibri"/>
                <w:lang w:val="en-AU"/>
              </w:rPr>
              <w:t xml:space="preserve"> reported on page 38 -39 that p</w:t>
            </w:r>
            <w:r>
              <w:rPr>
                <w:lang w:val="en-AU"/>
              </w:rPr>
              <w:t xml:space="preserve">roduction data on volume and value was reported in 2019 report and DPE has established mechanisms required to record and report production data. DPE has publicly disclosed production data on its website </w:t>
            </w:r>
            <w:r>
              <w:rPr>
                <w:lang w:val="en-AU"/>
              </w:rPr>
              <w:lastRenderedPageBreak/>
              <w:t xml:space="preserve">and can be accessed via this link: </w:t>
            </w:r>
            <w:hyperlink r:id="rId55" w:history="1">
              <w:r>
                <w:rPr>
                  <w:rStyle w:val="Hyperlink"/>
                  <w:lang w:val="en-AU"/>
                </w:rPr>
                <w:t>https://petroleum.gov.pg/dpe-eiti/</w:t>
              </w:r>
            </w:hyperlink>
          </w:p>
          <w:p w14:paraId="357440F1" w14:textId="77777777" w:rsidR="00134395" w:rsidRDefault="00134395">
            <w:pPr>
              <w:spacing w:before="0" w:after="0" w:line="256" w:lineRule="auto"/>
              <w:ind w:left="720"/>
              <w:contextualSpacing/>
              <w:rPr>
                <w:rFonts w:cs="Calibri"/>
                <w:lang w:val="en-AU"/>
              </w:rPr>
            </w:pPr>
          </w:p>
          <w:p w14:paraId="47EC31EB" w14:textId="77777777" w:rsidR="00134395" w:rsidRDefault="00134395">
            <w:pPr>
              <w:spacing w:before="0" w:after="0" w:line="256" w:lineRule="auto"/>
              <w:contextualSpacing/>
              <w:rPr>
                <w:rFonts w:cs="Calibri"/>
                <w:lang w:val="en-AU"/>
              </w:rPr>
            </w:pPr>
            <w:r>
              <w:rPr>
                <w:rFonts w:cs="Calibri"/>
                <w:lang w:val="en-AU"/>
              </w:rPr>
              <w:t xml:space="preserve">The reconciliation of production data still remains a challenge as indicated by MRA that the process is difficult and lengthy and involves more time because the normal reconciling process takes place at the end of the year and that is when most of the employees are on break. The extractive industries use fly in fly out (FIFO) approach for their employees resulting in communication breakdown. This was discussed in the Tuhava meeting the minutes </w:t>
            </w:r>
            <w:proofErr w:type="gramStart"/>
            <w:r>
              <w:rPr>
                <w:rFonts w:cs="Calibri"/>
                <w:lang w:val="en-AU"/>
              </w:rPr>
              <w:t>make reference</w:t>
            </w:r>
            <w:proofErr w:type="gramEnd"/>
            <w:r>
              <w:rPr>
                <w:rFonts w:cs="Calibri"/>
                <w:lang w:val="en-AU"/>
              </w:rPr>
              <w:t xml:space="preserve"> to the matrix.  Minutes of meetings can be accessed via this link: </w:t>
            </w:r>
            <w:hyperlink r:id="rId56" w:history="1">
              <w:r>
                <w:rPr>
                  <w:rStyle w:val="Hyperlink"/>
                  <w:rFonts w:cs="Calibri"/>
                  <w:lang w:val="en-AU"/>
                </w:rPr>
                <w:t>http://www.pngeiti.org.pg/wp-content/uploads/2022/02/Minutes-MSG-Pre-validation-assessment-workshop.pdf</w:t>
              </w:r>
            </w:hyperlink>
          </w:p>
          <w:p w14:paraId="4B43F271" w14:textId="77777777" w:rsidR="00134395" w:rsidRDefault="00134395">
            <w:pPr>
              <w:spacing w:before="0" w:after="0" w:line="256" w:lineRule="auto"/>
              <w:contextualSpacing/>
              <w:rPr>
                <w:rFonts w:cs="Calibri"/>
                <w:lang w:val="en-AU"/>
              </w:rPr>
            </w:pPr>
          </w:p>
          <w:p w14:paraId="08B8AC60" w14:textId="77777777" w:rsidR="00134395" w:rsidRDefault="00134395">
            <w:pPr>
              <w:spacing w:before="0" w:after="0" w:line="256" w:lineRule="auto"/>
              <w:contextualSpacing/>
              <w:rPr>
                <w:rFonts w:cs="Calibri"/>
                <w:lang w:val="en-AU"/>
              </w:rPr>
            </w:pPr>
            <w:r>
              <w:rPr>
                <w:rFonts w:cs="Calibri"/>
                <w:lang w:val="en-AU"/>
              </w:rPr>
              <w:t xml:space="preserve">DPE has suggested that production data template for oil and gas be reviewed with relevant parties when reporting commodities to minimize and/or eliminate providing differing information. </w:t>
            </w:r>
          </w:p>
          <w:p w14:paraId="2FB991C1" w14:textId="77777777" w:rsidR="00134395" w:rsidRDefault="00134395">
            <w:pPr>
              <w:spacing w:before="0" w:after="0" w:line="256" w:lineRule="auto"/>
              <w:contextualSpacing/>
              <w:rPr>
                <w:rFonts w:cs="Calibri"/>
                <w:lang w:val="en-AU"/>
              </w:rPr>
            </w:pPr>
          </w:p>
          <w:p w14:paraId="7D195966" w14:textId="77777777" w:rsidR="00134395" w:rsidRDefault="00134395">
            <w:pPr>
              <w:spacing w:before="0" w:after="0" w:line="256" w:lineRule="auto"/>
              <w:contextualSpacing/>
              <w:rPr>
                <w:rFonts w:cs="Calibri"/>
                <w:lang w:val="en-AU"/>
              </w:rPr>
            </w:pPr>
            <w:r>
              <w:rPr>
                <w:lang w:val="en-AU"/>
              </w:rPr>
              <w:t xml:space="preserve">The PNGEITI Report 2019 (page 124) disclosed data by companies and MRA is reconciled by the IA with noteworthy findings such as -100% variance in </w:t>
            </w:r>
            <w:proofErr w:type="spellStart"/>
            <w:r>
              <w:rPr>
                <w:lang w:val="en-AU"/>
              </w:rPr>
              <w:t>Lihir</w:t>
            </w:r>
            <w:proofErr w:type="spellEnd"/>
            <w:r>
              <w:rPr>
                <w:lang w:val="en-AU"/>
              </w:rPr>
              <w:t xml:space="preserve"> (</w:t>
            </w:r>
            <w:proofErr w:type="spellStart"/>
            <w:r>
              <w:rPr>
                <w:lang w:val="en-AU"/>
              </w:rPr>
              <w:t>Luise</w:t>
            </w:r>
            <w:proofErr w:type="spellEnd"/>
            <w:r>
              <w:rPr>
                <w:lang w:val="en-AU"/>
              </w:rPr>
              <w:t xml:space="preserve"> caldera) project, 707% variance in Kainantu project, etc. These findings have been followed up with MSG and will be improved in future disclosures.  </w:t>
            </w:r>
          </w:p>
          <w:p w14:paraId="50879869" w14:textId="77777777" w:rsidR="00134395" w:rsidRDefault="00134395">
            <w:pPr>
              <w:spacing w:after="100" w:afterAutospacing="1" w:line="256" w:lineRule="auto"/>
              <w:contextualSpacing/>
              <w:rPr>
                <w:rFonts w:cs="Calibri"/>
                <w:lang w:val="en-AU"/>
              </w:rPr>
            </w:pPr>
          </w:p>
        </w:tc>
      </w:tr>
      <w:tr w:rsidR="00134395" w14:paraId="6C67C941" w14:textId="77777777" w:rsidTr="00134395">
        <w:trPr>
          <w:trHeight w:val="318"/>
        </w:trPr>
        <w:tc>
          <w:tcPr>
            <w:tcW w:w="3214" w:type="dxa"/>
            <w:tcBorders>
              <w:top w:val="single" w:sz="4" w:space="0" w:color="auto"/>
              <w:left w:val="nil"/>
              <w:bottom w:val="single" w:sz="4" w:space="0" w:color="auto"/>
              <w:right w:val="single" w:sz="4" w:space="0" w:color="auto"/>
            </w:tcBorders>
          </w:tcPr>
          <w:p w14:paraId="73F32517"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3.3 Export Data</w:t>
            </w:r>
          </w:p>
          <w:p w14:paraId="51E2DCF7" w14:textId="77777777" w:rsidR="00134395" w:rsidRDefault="00134395">
            <w:pPr>
              <w:pStyle w:val="ListParagraph"/>
              <w:spacing w:after="0" w:line="256" w:lineRule="auto"/>
              <w:ind w:left="360"/>
              <w:contextualSpacing/>
              <w:rPr>
                <w:rFonts w:cs="Calibri"/>
                <w:lang w:val="en-AU"/>
              </w:rPr>
            </w:pPr>
          </w:p>
          <w:p w14:paraId="0743C215" w14:textId="77777777" w:rsidR="00134395" w:rsidRDefault="00134395">
            <w:p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PNG should ensure that export volumes and values are disclosed publicly for each mineral commodity (including oil, condensate and gas) exported in the year under review.</w:t>
            </w:r>
          </w:p>
          <w:p w14:paraId="4D7944A5" w14:textId="77777777" w:rsidR="00134395" w:rsidRDefault="00134395">
            <w:pPr>
              <w:spacing w:after="0" w:line="256" w:lineRule="auto"/>
              <w:contextualSpacing/>
              <w:rPr>
                <w:szCs w:val="22"/>
                <w:lang w:val="en-AU"/>
              </w:rPr>
            </w:pPr>
          </w:p>
        </w:tc>
        <w:tc>
          <w:tcPr>
            <w:tcW w:w="6425" w:type="dxa"/>
            <w:tcBorders>
              <w:top w:val="single" w:sz="4" w:space="0" w:color="auto"/>
              <w:left w:val="single" w:sz="4" w:space="0" w:color="auto"/>
              <w:bottom w:val="single" w:sz="4" w:space="0" w:color="auto"/>
              <w:right w:val="nil"/>
            </w:tcBorders>
          </w:tcPr>
          <w:p w14:paraId="404B3D71" w14:textId="77777777" w:rsidR="00134395" w:rsidRDefault="00134395">
            <w:pPr>
              <w:spacing w:after="0" w:line="256" w:lineRule="auto"/>
              <w:contextualSpacing/>
              <w:rPr>
                <w:szCs w:val="22"/>
                <w:lang w:val="en-AU"/>
              </w:rPr>
            </w:pPr>
          </w:p>
          <w:p w14:paraId="2180E72D" w14:textId="77777777" w:rsidR="00134395" w:rsidRDefault="00134395">
            <w:pPr>
              <w:spacing w:after="0" w:line="256" w:lineRule="auto"/>
              <w:contextualSpacing/>
              <w:rPr>
                <w:rFonts w:cs="Calibri"/>
                <w:lang w:val="en-AU"/>
              </w:rPr>
            </w:pPr>
            <w:r>
              <w:rPr>
                <w:rFonts w:cs="Calibri"/>
                <w:lang w:val="en-AU"/>
              </w:rPr>
              <w:t xml:space="preserve">Export data volumes and values were disclosed in the 2019 PNGEITI Report. Export data is also publicly disclosed on DPE’s website and can be accessed via the following link: </w:t>
            </w:r>
            <w:hyperlink r:id="rId57" w:history="1">
              <w:r>
                <w:rPr>
                  <w:rStyle w:val="Hyperlink"/>
                  <w:rFonts w:cs="Calibri"/>
                  <w:lang w:val="en-AU"/>
                </w:rPr>
                <w:t>https://petroleum.gov.pg/dpe-eiti/</w:t>
              </w:r>
            </w:hyperlink>
          </w:p>
          <w:p w14:paraId="2A6EA687" w14:textId="77777777" w:rsidR="00134395" w:rsidRDefault="00134395">
            <w:pPr>
              <w:spacing w:after="0" w:line="256" w:lineRule="auto"/>
              <w:rPr>
                <w:rFonts w:cs="Calibri"/>
                <w:lang w:val="en-AU"/>
              </w:rPr>
            </w:pPr>
            <w:r>
              <w:rPr>
                <w:rFonts w:cs="Calibri"/>
                <w:lang w:val="en-AU"/>
              </w:rPr>
              <w:t xml:space="preserve">However, there still remains a gap in relation to inconsistencies between oil and gas company export data and DPE production data which still remains to be addressed. </w:t>
            </w:r>
          </w:p>
          <w:p w14:paraId="71F7480E" w14:textId="77777777" w:rsidR="00134395" w:rsidRDefault="00134395">
            <w:pPr>
              <w:spacing w:after="0" w:line="256" w:lineRule="auto"/>
              <w:rPr>
                <w:rFonts w:eastAsia="Times New Roman" w:cs="Calibri"/>
                <w:color w:val="000000"/>
                <w:szCs w:val="22"/>
                <w:lang w:val="en-AU" w:eastAsia="en-AU"/>
              </w:rPr>
            </w:pPr>
            <w:r>
              <w:rPr>
                <w:rFonts w:eastAsia="Times New Roman" w:cs="Calibri"/>
                <w:color w:val="000000"/>
                <w:szCs w:val="22"/>
                <w:lang w:val="en-AU" w:eastAsia="en-AU"/>
              </w:rPr>
              <w:t xml:space="preserve">At the 2021 </w:t>
            </w:r>
            <w:hyperlink r:id="rId58" w:history="1">
              <w:r>
                <w:rPr>
                  <w:rStyle w:val="Hyperlink"/>
                  <w:rFonts w:eastAsia="Times New Roman" w:cs="Calibri"/>
                  <w:szCs w:val="22"/>
                  <w:lang w:val="en-AU" w:eastAsia="en-AU"/>
                </w:rPr>
                <w:t>First Quarter MSG Meeting (1/2021)</w:t>
              </w:r>
            </w:hyperlink>
            <w:r>
              <w:rPr>
                <w:rFonts w:eastAsia="Times New Roman" w:cs="Calibri"/>
                <w:color w:val="000000"/>
                <w:szCs w:val="22"/>
                <w:lang w:val="en-AU" w:eastAsia="en-AU"/>
              </w:rPr>
              <w:t xml:space="preserve">, during the discussion of Agenda Item 3 Project Update - 3.1 - Approval of FY2019 PNGEITI Report for Publication. The IA urged DPE to continuously engage in report preparation process so updated information and data on the production values will be provided to be disclosed in the report. Disclosure of oil and gas production values still, remains a challenge and information should be made available for public and government agencies to access and use the information. </w:t>
            </w:r>
          </w:p>
          <w:p w14:paraId="36943813" w14:textId="77777777" w:rsidR="00134395" w:rsidRDefault="00134395">
            <w:pPr>
              <w:spacing w:after="0" w:line="256" w:lineRule="auto"/>
              <w:rPr>
                <w:rFonts w:eastAsia="Times New Roman" w:cs="Calibri"/>
                <w:color w:val="000000"/>
                <w:lang w:val="en-AU" w:eastAsia="en-AU"/>
              </w:rPr>
            </w:pPr>
            <w:r>
              <w:rPr>
                <w:rFonts w:eastAsia="Times New Roman" w:cs="Calibri"/>
                <w:color w:val="000000" w:themeColor="text1"/>
                <w:lang w:val="en-AU" w:eastAsia="en-AU"/>
              </w:rPr>
              <w:t xml:space="preserve">DPE has publicly disclosed export volumes for LNG and Naphtha for 2019 on the website which can be accessed through this link: </w:t>
            </w:r>
            <w:hyperlink r:id="rId59" w:history="1">
              <w:r>
                <w:rPr>
                  <w:rStyle w:val="Hyperlink"/>
                  <w:rFonts w:eastAsia="Times New Roman" w:cs="Calibri"/>
                  <w:lang w:val="en-AU" w:eastAsia="en-AU"/>
                </w:rPr>
                <w:t>https://petroleum.gov.pg/wp-content/uploads/2022/03/2019-PNG-LNG-Exports.pdf</w:t>
              </w:r>
            </w:hyperlink>
          </w:p>
          <w:p w14:paraId="6F37F576" w14:textId="77777777" w:rsidR="00134395" w:rsidRDefault="00134395">
            <w:pPr>
              <w:spacing w:after="0" w:line="256" w:lineRule="auto"/>
              <w:rPr>
                <w:lang w:val="en-AU" w:eastAsia="en-AU"/>
              </w:rPr>
            </w:pPr>
            <w:r>
              <w:rPr>
                <w:lang w:val="en-AU" w:eastAsia="en-AU"/>
              </w:rPr>
              <w:lastRenderedPageBreak/>
              <w:t xml:space="preserve">According to 2019 report page 150, it was suggested that to address the gap in relation to inconsistencies in production data, as a regulator, DPE should enforce guidelines for reporting, including reviews to verify accuracy of the data. </w:t>
            </w:r>
          </w:p>
          <w:p w14:paraId="50D0916C" w14:textId="77777777" w:rsidR="00134395" w:rsidRDefault="00134395">
            <w:pPr>
              <w:spacing w:after="0" w:line="256" w:lineRule="auto"/>
              <w:contextualSpacing/>
              <w:rPr>
                <w:rFonts w:cs="Calibri"/>
                <w:lang w:val="en-AU"/>
              </w:rPr>
            </w:pPr>
          </w:p>
        </w:tc>
      </w:tr>
      <w:tr w:rsidR="00134395" w14:paraId="0889D1D0" w14:textId="77777777" w:rsidTr="00134395">
        <w:trPr>
          <w:trHeight w:val="318"/>
        </w:trPr>
        <w:tc>
          <w:tcPr>
            <w:tcW w:w="3214" w:type="dxa"/>
            <w:tcBorders>
              <w:top w:val="single" w:sz="4" w:space="0" w:color="auto"/>
              <w:left w:val="nil"/>
              <w:bottom w:val="single" w:sz="4" w:space="0" w:color="auto"/>
              <w:right w:val="single" w:sz="4" w:space="0" w:color="auto"/>
            </w:tcBorders>
          </w:tcPr>
          <w:p w14:paraId="64A0A777"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4.1 Comprehensiveness of data</w:t>
            </w:r>
          </w:p>
          <w:p w14:paraId="02456CF5" w14:textId="77777777" w:rsidR="00134395" w:rsidRDefault="00134395">
            <w:pPr>
              <w:pStyle w:val="ListParagraph"/>
              <w:spacing w:after="0" w:line="256" w:lineRule="auto"/>
              <w:ind w:left="360"/>
              <w:contextualSpacing/>
              <w:rPr>
                <w:rFonts w:cs="Calibri"/>
                <w:lang w:val="en-AU"/>
              </w:rPr>
            </w:pPr>
          </w:p>
          <w:p w14:paraId="3C71959F" w14:textId="77777777" w:rsidR="00134395" w:rsidRDefault="00134395" w:rsidP="00134395">
            <w:pPr>
              <w:numPr>
                <w:ilvl w:val="0"/>
                <w:numId w:val="34"/>
              </w:numPr>
              <w:spacing w:line="256" w:lineRule="auto"/>
              <w:rPr>
                <w:rFonts w:eastAsia="Franklin Gothic Book" w:cs="Franklin Gothic Book"/>
                <w:sz w:val="20"/>
                <w:szCs w:val="20"/>
                <w:lang w:val="en-GB"/>
              </w:rPr>
            </w:pPr>
            <w:r>
              <w:rPr>
                <w:rFonts w:eastAsia="Franklin Gothic Book" w:cs="Franklin Gothic Book"/>
                <w:sz w:val="20"/>
                <w:szCs w:val="20"/>
                <w:lang w:val="en-GB"/>
              </w:rPr>
              <w:t xml:space="preserve">PNG should ensure that the materiality threshold for selecting companies ensures that all payments that could affect the comprehensiveness of EITI reporting be included in the scope of reconciliation. </w:t>
            </w:r>
          </w:p>
          <w:p w14:paraId="6C85CB74" w14:textId="77777777" w:rsidR="00134395" w:rsidRDefault="00134395" w:rsidP="00134395">
            <w:pPr>
              <w:numPr>
                <w:ilvl w:val="0"/>
                <w:numId w:val="34"/>
              </w:numPr>
              <w:spacing w:line="256" w:lineRule="auto"/>
              <w:rPr>
                <w:rFonts w:eastAsia="Franklin Gothic Book" w:cs="Franklin Gothic Book"/>
                <w:sz w:val="20"/>
                <w:szCs w:val="20"/>
                <w:lang w:val="en-GB"/>
              </w:rPr>
            </w:pPr>
            <w:r>
              <w:rPr>
                <w:rFonts w:eastAsia="Franklin Gothic Book" w:cs="Franklin Gothic Book"/>
                <w:sz w:val="20"/>
                <w:szCs w:val="20"/>
                <w:lang w:val="en-GB"/>
              </w:rPr>
              <w:t xml:space="preserve">The MSG should ensure that PNG’s next EITI Report includes the IA’s assessment of the materiality of omissions from non-reporting entities, an assessment of the comprehensiveness of the EITI Report and that full unilateral government disclosure of total revenues are provided and including from non-material companies is provided for each of the material revenue streams. </w:t>
            </w:r>
          </w:p>
          <w:p w14:paraId="63DB180D" w14:textId="77777777" w:rsidR="00134395" w:rsidRDefault="00134395">
            <w:pPr>
              <w:spacing w:after="0" w:line="256" w:lineRule="auto"/>
              <w:contextualSpacing/>
              <w:rPr>
                <w:rFonts w:cs="Calibri"/>
                <w:lang w:val="en-AU"/>
              </w:rPr>
            </w:pPr>
            <w:r>
              <w:rPr>
                <w:rFonts w:eastAsia="Franklin Gothic Book" w:cs="Franklin Gothic Book"/>
                <w:sz w:val="20"/>
                <w:szCs w:val="20"/>
                <w:lang w:val="en-GB"/>
              </w:rPr>
              <w:t>In accordance with Requirement 8.3.c.i, the MSG should develop and disclose an action plan for addressing the deficiencies in comprehensiveness of reporting documented in the initial assessment.</w:t>
            </w:r>
          </w:p>
        </w:tc>
        <w:tc>
          <w:tcPr>
            <w:tcW w:w="6425" w:type="dxa"/>
            <w:tcBorders>
              <w:top w:val="single" w:sz="4" w:space="0" w:color="auto"/>
              <w:left w:val="single" w:sz="4" w:space="0" w:color="auto"/>
              <w:bottom w:val="single" w:sz="4" w:space="0" w:color="auto"/>
              <w:right w:val="nil"/>
            </w:tcBorders>
          </w:tcPr>
          <w:p w14:paraId="67368EC0" w14:textId="77777777" w:rsidR="00134395" w:rsidRDefault="00134395">
            <w:pPr>
              <w:spacing w:after="0" w:line="256" w:lineRule="auto"/>
              <w:contextualSpacing/>
              <w:rPr>
                <w:rFonts w:cs="Calibri"/>
                <w:lang w:val="en-AU"/>
              </w:rPr>
            </w:pPr>
            <w:r>
              <w:rPr>
                <w:rFonts w:cs="Calibri"/>
                <w:lang w:val="en-AU"/>
              </w:rPr>
              <w:t xml:space="preserve">Requirement 4.1 Comprehensiveness of data gradually being addressed and included in the 2017 to 2019 reports, however there is still a need to improve credibility and reliability of revenue data and hence testing of revenue receipts by government agencies and departments was recommended. </w:t>
            </w:r>
          </w:p>
          <w:p w14:paraId="330F4866" w14:textId="77777777" w:rsidR="00134395" w:rsidRDefault="00134395">
            <w:pPr>
              <w:spacing w:after="0" w:line="256" w:lineRule="auto"/>
              <w:contextualSpacing/>
              <w:rPr>
                <w:rFonts w:cs="Calibri"/>
                <w:lang w:val="en-AU"/>
              </w:rPr>
            </w:pPr>
          </w:p>
          <w:p w14:paraId="6C593310" w14:textId="77777777" w:rsidR="00134395" w:rsidRDefault="00134395">
            <w:pPr>
              <w:spacing w:after="0" w:line="256" w:lineRule="auto"/>
              <w:contextualSpacing/>
              <w:rPr>
                <w:rFonts w:cs="Calibri"/>
                <w:lang w:val="en-AU"/>
              </w:rPr>
            </w:pPr>
            <w:r>
              <w:rPr>
                <w:rFonts w:cs="Calibri"/>
                <w:lang w:val="en-AU"/>
              </w:rPr>
              <w:t>The testing of revenue numbers b</w:t>
            </w:r>
            <w:r>
              <w:rPr>
                <w:lang w:val="en-AU"/>
              </w:rPr>
              <w:t>y</w:t>
            </w:r>
            <w:r>
              <w:rPr>
                <w:rFonts w:cs="Calibri"/>
                <w:lang w:val="en-AU"/>
              </w:rPr>
              <w:t xml:space="preserve"> Auditor General’s office will be </w:t>
            </w:r>
            <w:r>
              <w:rPr>
                <w:lang w:val="en-AU"/>
              </w:rPr>
              <w:t xml:space="preserve">included in the PNGEITI 2020 report as indicated in the terms of reference. </w:t>
            </w:r>
            <w:hyperlink r:id="rId60" w:history="1">
              <w:r>
                <w:rPr>
                  <w:rStyle w:val="Hyperlink"/>
                  <w:rFonts w:cs="Calibri"/>
                  <w:lang w:val="en-AU"/>
                </w:rPr>
                <w:t>http://www.pngeiti.org.pg/wp-content/uploads/2021/09/TOR-for-FY2020-PNGEITI-Report.pdf</w:t>
              </w:r>
            </w:hyperlink>
          </w:p>
          <w:p w14:paraId="3508EDFD" w14:textId="77777777" w:rsidR="00134395" w:rsidRDefault="00134395">
            <w:pPr>
              <w:spacing w:after="0" w:line="256" w:lineRule="auto"/>
              <w:contextualSpacing/>
              <w:rPr>
                <w:rFonts w:cs="Calibri"/>
                <w:lang w:val="en-AU"/>
              </w:rPr>
            </w:pPr>
          </w:p>
          <w:p w14:paraId="329EE272" w14:textId="77777777" w:rsidR="00134395" w:rsidRDefault="00134395">
            <w:pPr>
              <w:spacing w:after="0" w:line="256" w:lineRule="auto"/>
              <w:contextualSpacing/>
              <w:rPr>
                <w:rFonts w:cs="Calibri"/>
                <w:lang w:val="en-AU"/>
              </w:rPr>
            </w:pPr>
          </w:p>
          <w:p w14:paraId="1461F999" w14:textId="77777777" w:rsidR="00134395" w:rsidRDefault="00134395">
            <w:pPr>
              <w:spacing w:after="100" w:afterAutospacing="1" w:line="256" w:lineRule="auto"/>
              <w:contextualSpacing/>
              <w:rPr>
                <w:rFonts w:cs="Calibri"/>
                <w:lang w:val="en-AU"/>
              </w:rPr>
            </w:pPr>
            <w:r>
              <w:rPr>
                <w:rFonts w:cs="Calibri"/>
                <w:lang w:val="en-AU"/>
              </w:rPr>
              <w:t xml:space="preserve">The JICA </w:t>
            </w:r>
            <w:hyperlink r:id="rId61" w:history="1">
              <w:r>
                <w:rPr>
                  <w:rStyle w:val="Hyperlink"/>
                  <w:rFonts w:cs="Calibri"/>
                  <w:lang w:val="en-AU"/>
                </w:rPr>
                <w:t>Project for Improving Resource Related Revenue Management in PNG</w:t>
              </w:r>
            </w:hyperlink>
            <w:r>
              <w:rPr>
                <w:rFonts w:cs="Calibri"/>
                <w:lang w:val="en-AU"/>
              </w:rPr>
              <w:t xml:space="preserve"> on page 38 -39 has also contributed to addressing requirement 4.1 comprehensiveness as the</w:t>
            </w:r>
            <w:r>
              <w:rPr>
                <w:lang w:val="en-AU"/>
              </w:rPr>
              <w:t xml:space="preserve"> submission status of templates from reporting entities was improved to ensure that coverage of the report including description and explanations improved comprehensiveness in 2019 reports. JICA project also enable DPE to automate its data management system and improved its reporting. </w:t>
            </w:r>
          </w:p>
          <w:p w14:paraId="0DB10F51" w14:textId="77777777" w:rsidR="00134395" w:rsidRDefault="00134395">
            <w:pPr>
              <w:spacing w:after="0" w:line="256" w:lineRule="auto"/>
              <w:contextualSpacing/>
              <w:rPr>
                <w:rFonts w:cs="Calibri"/>
                <w:lang w:val="en-AU"/>
              </w:rPr>
            </w:pPr>
          </w:p>
          <w:p w14:paraId="5CA55AC2" w14:textId="77777777" w:rsidR="00134395" w:rsidRDefault="00134395">
            <w:pPr>
              <w:spacing w:after="0" w:line="256" w:lineRule="auto"/>
              <w:contextualSpacing/>
              <w:rPr>
                <w:rFonts w:cs="Calibri"/>
                <w:lang w:val="en-AU"/>
              </w:rPr>
            </w:pPr>
            <w:r>
              <w:rPr>
                <w:rFonts w:cs="Calibri"/>
                <w:lang w:val="en-AU"/>
              </w:rPr>
              <w:t xml:space="preserve">Recommendation from 2019 report also include improving comprehensiveness of data for reconciliation. It was noted that several SOEs were yet to be audited for year ending 31 December 2019. </w:t>
            </w:r>
          </w:p>
          <w:p w14:paraId="4E97B77E" w14:textId="77777777" w:rsidR="00134395" w:rsidRDefault="00134395">
            <w:pPr>
              <w:spacing w:after="0" w:line="256" w:lineRule="auto"/>
              <w:contextualSpacing/>
              <w:rPr>
                <w:rFonts w:cs="Calibri"/>
                <w:lang w:val="en-AU"/>
              </w:rPr>
            </w:pPr>
          </w:p>
          <w:p w14:paraId="2D672FA5" w14:textId="7777777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OK Tedi has audited financial statements uploaded on their website and accessed via this link: </w:t>
            </w:r>
            <w:hyperlink r:id="rId62" w:history="1">
              <w:r>
                <w:rPr>
                  <w:rStyle w:val="Hyperlink"/>
                  <w:rFonts w:eastAsiaTheme="minorHAnsi" w:cs="Calibri"/>
                  <w:szCs w:val="22"/>
                  <w:lang w:val="en-AU"/>
                </w:rPr>
                <w:t>https://oktedi.com/who-we-are/annual-performance/</w:t>
              </w:r>
            </w:hyperlink>
            <w:r>
              <w:rPr>
                <w:rFonts w:eastAsiaTheme="minorHAnsi" w:cs="Calibri"/>
                <w:color w:val="000000"/>
                <w:szCs w:val="22"/>
                <w:lang w:val="en-AU"/>
              </w:rPr>
              <w:br/>
            </w:r>
            <w:r>
              <w:rPr>
                <w:rFonts w:eastAsiaTheme="minorHAnsi" w:cs="Calibri"/>
                <w:color w:val="000000"/>
                <w:szCs w:val="22"/>
                <w:lang w:val="en-AU"/>
              </w:rPr>
              <w:br/>
              <w:t>KPHL and MRDC do not have current audited data and constitute 19.08% of total revenue.</w:t>
            </w:r>
          </w:p>
          <w:p w14:paraId="6A9BA2BB" w14:textId="77777777" w:rsidR="00134395" w:rsidRDefault="00134395">
            <w:pPr>
              <w:spacing w:before="0" w:after="0" w:line="256" w:lineRule="auto"/>
              <w:rPr>
                <w:rFonts w:eastAsia="Times New Roman" w:cs="Calibri"/>
                <w:color w:val="000000"/>
                <w:szCs w:val="22"/>
                <w:lang w:val="en-AU" w:eastAsia="en-AU"/>
              </w:rPr>
            </w:pPr>
            <w:r>
              <w:rPr>
                <w:rFonts w:eastAsia="Times New Roman" w:cs="Calibri"/>
                <w:color w:val="000000"/>
                <w:szCs w:val="22"/>
                <w:lang w:val="en-AU" w:eastAsia="en-AU"/>
              </w:rPr>
              <w:t>IA reconciled 99.42% of the extractive industries revenue streams reported in the 2019 Report with the application of the classification of the revenue streams under quantitative and qualitative definition of materiality covered in the report. Whereas the portion of 97.84% reconciled revenue is the coverage based on government receipts validated by the quantitative definition of materiality only. Hence, some revenue stream not covered do not affect the comprehensive of the report.</w:t>
            </w:r>
          </w:p>
          <w:p w14:paraId="6FBEDF4F" w14:textId="77777777" w:rsidR="00134395" w:rsidRDefault="00134395">
            <w:pPr>
              <w:spacing w:before="0" w:after="0" w:line="256" w:lineRule="auto"/>
              <w:rPr>
                <w:rFonts w:eastAsia="Times New Roman" w:cs="Calibri"/>
                <w:color w:val="000000"/>
                <w:szCs w:val="22"/>
                <w:lang w:val="en-AU" w:eastAsia="en-AU"/>
              </w:rPr>
            </w:pPr>
          </w:p>
        </w:tc>
      </w:tr>
      <w:tr w:rsidR="00134395" w14:paraId="5F4D117A"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2A42D2A2"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4.5 SOE Transactions</w:t>
            </w:r>
          </w:p>
          <w:p w14:paraId="609761EC" w14:textId="77777777" w:rsidR="00134395" w:rsidRDefault="00134395">
            <w:p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 xml:space="preserve">PNG should undertake a comprehensive assessment of transactions between extractives SOEs (and their subsidiaries) and mining, oil and gas companies, as well as between the extractives SOEs (including their subsidiaries) and government in its scoping for future EITI Reports. </w:t>
            </w:r>
          </w:p>
          <w:p w14:paraId="2A94891B" w14:textId="77777777" w:rsidR="00134395" w:rsidRDefault="00134395">
            <w:pPr>
              <w:spacing w:after="0" w:line="256" w:lineRule="auto"/>
              <w:contextualSpacing/>
              <w:rPr>
                <w:rFonts w:cs="Calibri"/>
                <w:lang w:val="en-AU"/>
              </w:rPr>
            </w:pPr>
            <w:r>
              <w:rPr>
                <w:rFonts w:eastAsia="Franklin Gothic Book" w:cs="Franklin Gothic Book"/>
                <w:sz w:val="20"/>
                <w:szCs w:val="20"/>
                <w:lang w:val="en-AU"/>
              </w:rPr>
              <w:t>All SOEs collecting material revenues or making material payments to the government should be included in future EITI reporting.</w:t>
            </w:r>
          </w:p>
        </w:tc>
        <w:tc>
          <w:tcPr>
            <w:tcW w:w="6425" w:type="dxa"/>
            <w:tcBorders>
              <w:top w:val="single" w:sz="4" w:space="0" w:color="auto"/>
              <w:left w:val="single" w:sz="4" w:space="0" w:color="auto"/>
              <w:bottom w:val="single" w:sz="4" w:space="0" w:color="auto"/>
              <w:right w:val="nil"/>
            </w:tcBorders>
          </w:tcPr>
          <w:p w14:paraId="1F5C99A4" w14:textId="77777777" w:rsidR="00134395" w:rsidRDefault="00134395">
            <w:pPr>
              <w:spacing w:after="0" w:line="256" w:lineRule="auto"/>
              <w:contextualSpacing/>
              <w:rPr>
                <w:szCs w:val="22"/>
                <w:lang w:val="en-AU"/>
              </w:rPr>
            </w:pPr>
          </w:p>
          <w:p w14:paraId="3E7EF155" w14:textId="77777777" w:rsidR="00134395" w:rsidRDefault="00134395">
            <w:pPr>
              <w:spacing w:after="0" w:line="256" w:lineRule="auto"/>
              <w:contextualSpacing/>
              <w:rPr>
                <w:rFonts w:cs="Calibri"/>
                <w:lang w:val="en-AU"/>
              </w:rPr>
            </w:pPr>
            <w:r>
              <w:rPr>
                <w:rFonts w:cs="Calibri"/>
                <w:lang w:val="en-AU"/>
              </w:rPr>
              <w:t xml:space="preserve">State transactions have been included in PNGEITI 2019 report, the comprehensiveness of the transactions main a challenge and hence MSG commissioned the SOE scoping study to provide an understanding around these transactions. </w:t>
            </w:r>
          </w:p>
          <w:p w14:paraId="26FD3208" w14:textId="77777777" w:rsidR="00134395" w:rsidRDefault="00134395">
            <w:pPr>
              <w:spacing w:after="0" w:line="256" w:lineRule="auto"/>
              <w:contextualSpacing/>
              <w:rPr>
                <w:rStyle w:val="Hyperlink"/>
              </w:rPr>
            </w:pPr>
          </w:p>
          <w:p w14:paraId="5A7522D0" w14:textId="77777777" w:rsidR="00134395" w:rsidRDefault="00134395">
            <w:pPr>
              <w:spacing w:after="0" w:line="256" w:lineRule="auto"/>
              <w:contextualSpacing/>
            </w:pPr>
            <w:r>
              <w:rPr>
                <w:rStyle w:val="Hyperlink"/>
                <w:lang w:val="en-AU"/>
              </w:rPr>
              <w:t xml:space="preserve">The recommendations of the scoping study </w:t>
            </w:r>
            <w:proofErr w:type="gramStart"/>
            <w:r>
              <w:rPr>
                <w:rStyle w:val="Hyperlink"/>
                <w:lang w:val="en-AU"/>
              </w:rPr>
              <w:t>is</w:t>
            </w:r>
            <w:proofErr w:type="gramEnd"/>
            <w:r>
              <w:rPr>
                <w:rStyle w:val="Hyperlink"/>
                <w:lang w:val="en-AU"/>
              </w:rPr>
              <w:t xml:space="preserve"> expected to be implemented in the PNGEITI 2020 report and some of the recommendations include </w:t>
            </w:r>
            <w:r>
              <w:rPr>
                <w:lang w:val="en-AU"/>
              </w:rPr>
              <w:t xml:space="preserve">adoption of a definition for SOE and QFEs and a new SOE reporting template (pages 12 -14). </w:t>
            </w:r>
          </w:p>
          <w:p w14:paraId="639E84EC" w14:textId="77777777" w:rsidR="00134395" w:rsidRDefault="00134395">
            <w:pPr>
              <w:pStyle w:val="CommentText"/>
              <w:spacing w:line="256" w:lineRule="auto"/>
              <w:rPr>
                <w:sz w:val="22"/>
                <w:szCs w:val="22"/>
                <w:lang w:val="en-AU"/>
              </w:rPr>
            </w:pPr>
            <w:r>
              <w:rPr>
                <w:sz w:val="22"/>
                <w:szCs w:val="22"/>
                <w:lang w:val="en-AU"/>
              </w:rPr>
              <w:t>The SOEs making material payments as identified in the report include KPHL, KMHL, OK Tedi Mining Ltd (OK Tedi) and its subsidiaries, Mineral Resources Development Cooperation Ltd (MRDC) and Enga Orion Children Fund (page 26).</w:t>
            </w:r>
            <w:r>
              <w:rPr>
                <w:sz w:val="22"/>
                <w:szCs w:val="22"/>
                <w:u w:val="single"/>
                <w:lang w:val="en-AU"/>
              </w:rPr>
              <w:t xml:space="preserve">  </w:t>
            </w:r>
            <w:r>
              <w:rPr>
                <w:sz w:val="22"/>
                <w:szCs w:val="22"/>
                <w:lang w:val="en-AU"/>
              </w:rPr>
              <w:t xml:space="preserve">The revenues of each SOE is details from pages 26 to 45 including how the raise equity to pay for interests in JVs or subsidiaries. However, due to the lack of participation from MRDC in the scoping study a recommendation for MSG to commission a specific study on MRDC financial flows was made by the consultants (page 52). </w:t>
            </w:r>
          </w:p>
          <w:p w14:paraId="535E2F65" w14:textId="77777777" w:rsidR="00134395" w:rsidRDefault="00134395">
            <w:pPr>
              <w:spacing w:after="0" w:line="256" w:lineRule="auto"/>
              <w:contextualSpacing/>
              <w:rPr>
                <w:color w:val="0000FF"/>
                <w:u w:val="single"/>
                <w:lang w:val="en-AU"/>
              </w:rPr>
            </w:pPr>
            <w:r>
              <w:rPr>
                <w:color w:val="0000FF"/>
                <w:u w:val="single"/>
                <w:lang w:val="en-AU"/>
              </w:rPr>
              <w:t xml:space="preserve"> </w:t>
            </w:r>
          </w:p>
        </w:tc>
      </w:tr>
      <w:tr w:rsidR="00134395" w14:paraId="749B349F" w14:textId="77777777" w:rsidTr="00134395">
        <w:trPr>
          <w:trHeight w:val="318"/>
        </w:trPr>
        <w:tc>
          <w:tcPr>
            <w:tcW w:w="3214" w:type="dxa"/>
            <w:tcBorders>
              <w:top w:val="single" w:sz="4" w:space="0" w:color="auto"/>
              <w:left w:val="nil"/>
              <w:bottom w:val="single" w:sz="4" w:space="0" w:color="auto"/>
              <w:right w:val="single" w:sz="4" w:space="0" w:color="auto"/>
            </w:tcBorders>
          </w:tcPr>
          <w:p w14:paraId="2AA462B8"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 xml:space="preserve">Requirement 4.6 Direct Sub-national Payments </w:t>
            </w:r>
          </w:p>
          <w:p w14:paraId="7F6BE7CF" w14:textId="77777777" w:rsidR="00134395" w:rsidRDefault="00134395">
            <w:pPr>
              <w:pStyle w:val="ListParagraph"/>
              <w:spacing w:after="0" w:line="256" w:lineRule="auto"/>
              <w:ind w:left="360"/>
              <w:contextualSpacing/>
              <w:rPr>
                <w:rFonts w:cs="Calibri"/>
                <w:lang w:val="en-AU"/>
              </w:rPr>
            </w:pPr>
          </w:p>
          <w:p w14:paraId="69A8EE87" w14:textId="77777777" w:rsidR="00134395" w:rsidRDefault="00134395">
            <w:pPr>
              <w:spacing w:before="0" w:after="160" w:line="256" w:lineRule="auto"/>
              <w:rPr>
                <w:rFonts w:asciiTheme="minorHAnsi" w:eastAsia="Franklin Gothic Book" w:hAnsiTheme="minorHAnsi" w:cs="Franklin Gothic Book"/>
                <w:sz w:val="20"/>
                <w:szCs w:val="20"/>
                <w:lang w:val="en-AU"/>
              </w:rPr>
            </w:pPr>
            <w:r>
              <w:rPr>
                <w:rFonts w:asciiTheme="minorHAnsi" w:eastAsia="Franklin Gothic Book" w:hAnsiTheme="minorHAnsi" w:cs="Franklin Gothic Book"/>
                <w:sz w:val="20"/>
                <w:szCs w:val="20"/>
                <w:lang w:val="en-AU"/>
              </w:rPr>
              <w:t xml:space="preserve">PNG should establish whether direct subnational payments (to government entities) by extractives companies are material. </w:t>
            </w:r>
          </w:p>
          <w:p w14:paraId="10D3947A" w14:textId="77777777" w:rsidR="00134395" w:rsidRDefault="00134395">
            <w:pPr>
              <w:spacing w:before="0" w:after="160" w:line="256" w:lineRule="auto"/>
              <w:rPr>
                <w:rFonts w:eastAsia="Franklin Gothic Book" w:cs="Franklin Gothic Book"/>
                <w:sz w:val="20"/>
                <w:szCs w:val="20"/>
                <w:lang w:val="en-AU"/>
              </w:rPr>
            </w:pPr>
            <w:r>
              <w:rPr>
                <w:rFonts w:asciiTheme="minorHAnsi" w:eastAsia="Franklin Gothic Book" w:hAnsiTheme="minorHAnsi" w:cs="Franklin Gothic Book"/>
                <w:sz w:val="20"/>
                <w:szCs w:val="20"/>
                <w:lang w:val="en-AU"/>
              </w:rPr>
              <w:t xml:space="preserve">Where material, PNG is required to ensure that direct subnational payments are reconciled between company payments and subnational </w:t>
            </w:r>
            <w:r>
              <w:rPr>
                <w:rFonts w:eastAsia="Franklin Gothic Book" w:cs="Franklin Gothic Book"/>
                <w:sz w:val="20"/>
                <w:szCs w:val="20"/>
                <w:lang w:val="en-AU"/>
              </w:rPr>
              <w:t>government entities’ receipts.</w:t>
            </w:r>
          </w:p>
          <w:p w14:paraId="1FF3C139" w14:textId="77777777" w:rsidR="00134395" w:rsidRDefault="00134395">
            <w:pPr>
              <w:spacing w:after="0" w:line="256" w:lineRule="auto"/>
              <w:contextualSpacing/>
              <w:rPr>
                <w:rFonts w:asciiTheme="minorHAnsi" w:eastAsia="Franklin Gothic Book" w:hAnsiTheme="minorHAnsi" w:cs="Franklin Gothic Book"/>
                <w:sz w:val="20"/>
                <w:szCs w:val="20"/>
                <w:lang w:val="en-AU"/>
              </w:rPr>
            </w:pPr>
            <w:r>
              <w:rPr>
                <w:rFonts w:eastAsia="Franklin Gothic Book" w:cs="Franklin Gothic Book"/>
                <w:sz w:val="20"/>
                <w:szCs w:val="20"/>
                <w:lang w:val="en-AU"/>
              </w:rPr>
              <w:t>Given widespread confusion, yet vivid interest among stakeholders from all constituencies over extractives revenue flows accruing to subnational governments, PNG should consider mapping out subnational revenue flows associated with each individual extractive project, drawing on results from the scoping study on subnational revenue flows being prepared in 2018.</w:t>
            </w:r>
          </w:p>
          <w:p w14:paraId="65486452"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253D9BF8" w14:textId="77777777" w:rsidR="00134395" w:rsidRDefault="00134395">
            <w:pPr>
              <w:spacing w:after="0" w:line="256" w:lineRule="auto"/>
              <w:contextualSpacing/>
              <w:rPr>
                <w:rFonts w:cs="Calibri"/>
                <w:lang w:val="en-AU"/>
              </w:rPr>
            </w:pPr>
          </w:p>
          <w:p w14:paraId="47954E70" w14:textId="77777777" w:rsidR="00134395" w:rsidRDefault="00134395">
            <w:pPr>
              <w:spacing w:after="0" w:line="256" w:lineRule="auto"/>
              <w:contextualSpacing/>
              <w:rPr>
                <w:lang w:val="en-AU"/>
              </w:rPr>
            </w:pPr>
            <w:r>
              <w:rPr>
                <w:rFonts w:cs="Calibri"/>
                <w:lang w:val="en-AU"/>
              </w:rPr>
              <w:t xml:space="preserve">PNGEITI 2019 Report has recorded subnational transfer information on distribution of revenues and of the funds managed by MRDC. This information was disclosed on pages 79 – 96 of the PNGEITI 2019 Report.  </w:t>
            </w:r>
            <w:r>
              <w:rPr>
                <w:rFonts w:eastAsia="Times New Roman" w:cs="Calibri"/>
                <w:color w:val="000000"/>
                <w:szCs w:val="22"/>
                <w:lang w:val="en-AU" w:eastAsia="en-AU"/>
              </w:rPr>
              <w:t xml:space="preserve">However, the comprehensiveness of sub-national payments remains a challenge in relation to reconciliation of sub-national payments. </w:t>
            </w:r>
          </w:p>
          <w:p w14:paraId="45EEF441" w14:textId="77777777" w:rsidR="00134395" w:rsidRDefault="00134395">
            <w:pPr>
              <w:spacing w:after="0" w:line="256" w:lineRule="auto"/>
              <w:contextualSpacing/>
              <w:rPr>
                <w:lang w:val="en-AU"/>
              </w:rPr>
            </w:pPr>
          </w:p>
          <w:p w14:paraId="7B1D4C15" w14:textId="77777777" w:rsidR="00134395" w:rsidRDefault="00134395">
            <w:pPr>
              <w:spacing w:after="0" w:line="256" w:lineRule="auto"/>
              <w:contextualSpacing/>
              <w:rPr>
                <w:lang w:val="en-AU"/>
              </w:rPr>
            </w:pPr>
            <w:r>
              <w:rPr>
                <w:lang w:val="en-AU"/>
              </w:rPr>
              <w:t>Over the past 2 years, the country has been hit by Covid–19 pandemic hence, execution and implementation has been affected.</w:t>
            </w:r>
          </w:p>
          <w:p w14:paraId="2DFCC61B" w14:textId="77777777" w:rsidR="00134395" w:rsidRDefault="00134395">
            <w:pPr>
              <w:spacing w:after="0" w:line="256" w:lineRule="auto"/>
              <w:contextualSpacing/>
              <w:rPr>
                <w:lang w:val="en-AU"/>
              </w:rPr>
            </w:pPr>
          </w:p>
          <w:p w14:paraId="5548B2AE" w14:textId="77777777" w:rsidR="00134395" w:rsidRDefault="00134395">
            <w:pPr>
              <w:spacing w:after="0" w:line="256" w:lineRule="auto"/>
              <w:contextualSpacing/>
              <w:rPr>
                <w:lang w:val="en-AU"/>
              </w:rPr>
            </w:pPr>
            <w:r>
              <w:rPr>
                <w:lang w:val="en-AU"/>
              </w:rPr>
              <w:t xml:space="preserve">MSG has disclosed sub-national payments in the PNGEITI 2019 report which are reconciled with MRA and DPE. However, the reconciliations with local level governments have not being implemented and is expected to be implemented in the current year. </w:t>
            </w:r>
          </w:p>
          <w:p w14:paraId="60FB91E1" w14:textId="77777777" w:rsidR="00134395" w:rsidRDefault="00134395">
            <w:pPr>
              <w:spacing w:after="0" w:line="256" w:lineRule="auto"/>
              <w:contextualSpacing/>
              <w:rPr>
                <w:lang w:val="en-AU"/>
              </w:rPr>
            </w:pPr>
          </w:p>
          <w:p w14:paraId="2E184852" w14:textId="77777777" w:rsidR="00134395" w:rsidRDefault="00134395">
            <w:pPr>
              <w:spacing w:after="0" w:line="256" w:lineRule="auto"/>
              <w:contextualSpacing/>
              <w:rPr>
                <w:rFonts w:cs="Calibri"/>
                <w:szCs w:val="23"/>
                <w:lang w:val="en-AU"/>
              </w:rPr>
            </w:pPr>
          </w:p>
        </w:tc>
      </w:tr>
      <w:tr w:rsidR="00134395" w14:paraId="3FD8EB32" w14:textId="77777777" w:rsidTr="00134395">
        <w:trPr>
          <w:trHeight w:val="318"/>
        </w:trPr>
        <w:tc>
          <w:tcPr>
            <w:tcW w:w="3214" w:type="dxa"/>
            <w:tcBorders>
              <w:top w:val="single" w:sz="4" w:space="0" w:color="auto"/>
              <w:left w:val="nil"/>
              <w:bottom w:val="single" w:sz="4" w:space="0" w:color="auto"/>
              <w:right w:val="single" w:sz="4" w:space="0" w:color="auto"/>
            </w:tcBorders>
          </w:tcPr>
          <w:p w14:paraId="013EB8DE"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4.9 Data Quality</w:t>
            </w:r>
          </w:p>
          <w:p w14:paraId="5E46CEEC" w14:textId="77777777" w:rsidR="00134395" w:rsidRDefault="00134395">
            <w:p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The EITI requires an assessment of whether the payments and revenues are subject to credible, independent audit, applying international auditing standards. In accordance with Requirement 4.9.b.iii and the standard Terms of Reference for the Independent Administrator agreed by the EITI Board, the MSG and Independent Administrator should</w:t>
            </w:r>
          </w:p>
          <w:p w14:paraId="5D7D2F5E" w14:textId="77777777" w:rsidR="00134395" w:rsidRDefault="00134395">
            <w:pPr>
              <w:spacing w:after="0" w:line="256" w:lineRule="auto"/>
              <w:contextualSpacing/>
              <w:rPr>
                <w:rFonts w:eastAsia="Franklin Gothic Book" w:cs="Franklin Gothic Book"/>
                <w:sz w:val="20"/>
                <w:szCs w:val="20"/>
                <w:lang w:val="en-AU"/>
              </w:rPr>
            </w:pPr>
          </w:p>
          <w:p w14:paraId="268F0337" w14:textId="77777777" w:rsidR="00134395" w:rsidRDefault="00134395" w:rsidP="00134395">
            <w:pPr>
              <w:pStyle w:val="ListParagraph"/>
              <w:numPr>
                <w:ilvl w:val="0"/>
                <w:numId w:val="40"/>
              </w:num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Ensure that the Independent Administrator (IA) provides a clear and categorical assessment of comprehensiveness and reliability of the (financial) data presented, including an informative summary of the work performed by the Independent Administrator and the limitations of the assessment provided.</w:t>
            </w:r>
          </w:p>
          <w:p w14:paraId="577B1531" w14:textId="77777777" w:rsidR="00134395" w:rsidRDefault="00134395" w:rsidP="00134395">
            <w:pPr>
              <w:pStyle w:val="ListParagraph"/>
              <w:numPr>
                <w:ilvl w:val="0"/>
                <w:numId w:val="40"/>
              </w:num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Ensure that the Independent Administrator provides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and reliability of the report.</w:t>
            </w:r>
          </w:p>
          <w:p w14:paraId="27E8EC31" w14:textId="77777777" w:rsidR="00134395" w:rsidRDefault="00134395" w:rsidP="00134395">
            <w:pPr>
              <w:pStyle w:val="ListParagraph"/>
              <w:numPr>
                <w:ilvl w:val="0"/>
                <w:numId w:val="40"/>
              </w:numPr>
              <w:spacing w:after="0" w:line="256" w:lineRule="auto"/>
              <w:contextualSpacing/>
              <w:rPr>
                <w:rFonts w:eastAsia="Franklin Gothic Book" w:cs="Franklin Gothic Book"/>
                <w:sz w:val="20"/>
                <w:szCs w:val="20"/>
                <w:lang w:val="en-AU"/>
              </w:rPr>
            </w:pPr>
            <w:r>
              <w:rPr>
                <w:rFonts w:eastAsia="Franklin Gothic Book" w:cs="Franklin Gothic Book"/>
                <w:sz w:val="20"/>
                <w:szCs w:val="20"/>
                <w:lang w:val="en-AU"/>
              </w:rPr>
              <w:t xml:space="preserve">In accordance with Requirement 8.3.c.i, the MSG </w:t>
            </w:r>
            <w:r>
              <w:rPr>
                <w:rFonts w:eastAsia="Franklin Gothic Book" w:cs="Franklin Gothic Book"/>
                <w:sz w:val="20"/>
                <w:szCs w:val="20"/>
                <w:lang w:val="en-AU"/>
              </w:rPr>
              <w:lastRenderedPageBreak/>
              <w:t>should develop and disclose an action plan for addressing the deficiencies in the reliability of reporting documented in the initial assessment.</w:t>
            </w:r>
          </w:p>
          <w:p w14:paraId="2DB9E327"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4F4C105B" w14:textId="77777777" w:rsidR="00134395" w:rsidRDefault="00134395">
            <w:pPr>
              <w:spacing w:after="0" w:line="256" w:lineRule="auto"/>
              <w:contextualSpacing/>
              <w:rPr>
                <w:rFonts w:eastAsia="Calibri" w:cs="Calibri"/>
                <w:szCs w:val="22"/>
                <w:lang w:val="en-AU"/>
              </w:rPr>
            </w:pPr>
            <w:r>
              <w:rPr>
                <w:rFonts w:eastAsiaTheme="minorHAnsi" w:cs="Calibri"/>
                <w:color w:val="000000"/>
                <w:szCs w:val="22"/>
                <w:lang w:val="en-AU"/>
              </w:rPr>
              <w:lastRenderedPageBreak/>
              <w:t>The accuracy of the data remains a challenge despite improvements as highlighted by the JICA project. Apart from the reconciliations, there was no quality assurance, audit, verification and/or review undertaken to test or confirm the accuracy during reconciliations.</w:t>
            </w:r>
          </w:p>
          <w:p w14:paraId="341C4DF3" w14:textId="77777777" w:rsidR="00134395" w:rsidRDefault="00134395">
            <w:pPr>
              <w:spacing w:before="0" w:after="160" w:line="256" w:lineRule="auto"/>
              <w:rPr>
                <w:rFonts w:cs="Calibri"/>
                <w:lang w:val="en-AU"/>
              </w:rPr>
            </w:pPr>
          </w:p>
          <w:p w14:paraId="3CE7236B" w14:textId="77777777" w:rsidR="00134395" w:rsidRDefault="00134395">
            <w:pPr>
              <w:spacing w:before="0" w:after="160" w:line="256" w:lineRule="auto"/>
              <w:rPr>
                <w:rFonts w:cs="Calibri"/>
                <w:lang w:val="en-AU"/>
              </w:rPr>
            </w:pPr>
            <w:r>
              <w:rPr>
                <w:rFonts w:cs="Calibri"/>
                <w:lang w:val="en-AU"/>
              </w:rPr>
              <w:t xml:space="preserve">The JICA </w:t>
            </w:r>
            <w:hyperlink r:id="rId63" w:history="1">
              <w:r>
                <w:rPr>
                  <w:rStyle w:val="Hyperlink"/>
                  <w:rFonts w:cs="Calibri"/>
                  <w:lang w:val="en-AU"/>
                </w:rPr>
                <w:t>Project for Improving Resource Related Revenue Management in PNG</w:t>
              </w:r>
            </w:hyperlink>
            <w:r>
              <w:rPr>
                <w:rFonts w:cs="Calibri"/>
                <w:lang w:val="en-AU"/>
              </w:rPr>
              <w:t xml:space="preserve"> on page 38 -39 highlight that descriptions of reconciliations and coverage was improved in 2019 and variances in reported figures deceased in the PNGEITI 2019 report from previous reports to the reconciliations. </w:t>
            </w:r>
          </w:p>
          <w:p w14:paraId="0A4685EF" w14:textId="77777777" w:rsidR="00134395" w:rsidRDefault="00134395">
            <w:pPr>
              <w:spacing w:before="0" w:after="160" w:line="256" w:lineRule="auto"/>
              <w:rPr>
                <w:rFonts w:eastAsia="Calibri" w:cs="Calibri"/>
                <w:szCs w:val="22"/>
                <w:lang w:val="en-AU"/>
              </w:rPr>
            </w:pPr>
            <w:r>
              <w:rPr>
                <w:rFonts w:cs="Calibri"/>
                <w:lang w:val="en-AU"/>
              </w:rPr>
              <w:t xml:space="preserve">However, the data quality still, remains a challenge in relation to audited </w:t>
            </w:r>
            <w:r>
              <w:rPr>
                <w:rFonts w:eastAsia="Calibri" w:cs="Calibri"/>
                <w:szCs w:val="22"/>
                <w:lang w:val="en-AU"/>
              </w:rPr>
              <w:t xml:space="preserve">financial statements for government departments, agencies and SOEs whose audits are not completed up to 2019 except OK Tedi. </w:t>
            </w:r>
          </w:p>
          <w:p w14:paraId="4E8CCEEE" w14:textId="77777777" w:rsidR="00134395" w:rsidRDefault="00134395" w:rsidP="00134395">
            <w:pPr>
              <w:pStyle w:val="ListParagraph"/>
              <w:numPr>
                <w:ilvl w:val="0"/>
                <w:numId w:val="38"/>
              </w:num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OK Tedi has audited financial statements uploaded on their website - </w:t>
            </w:r>
            <w:hyperlink r:id="rId64" w:history="1">
              <w:r>
                <w:rPr>
                  <w:rStyle w:val="Hyperlink"/>
                  <w:rFonts w:eastAsiaTheme="minorHAnsi" w:cs="Calibri"/>
                  <w:szCs w:val="22"/>
                  <w:lang w:val="en-AU"/>
                </w:rPr>
                <w:t>https://oktedi.com/who-we-are/annual-performance/</w:t>
              </w:r>
            </w:hyperlink>
          </w:p>
          <w:p w14:paraId="0AEB67A4" w14:textId="77777777" w:rsidR="00134395" w:rsidRDefault="00134395" w:rsidP="00134395">
            <w:pPr>
              <w:pStyle w:val="ListParagraph"/>
              <w:numPr>
                <w:ilvl w:val="0"/>
                <w:numId w:val="38"/>
              </w:num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KPHL and MRDC who do not have current audited data constitute 19.08% of total revenue. </w:t>
            </w:r>
            <w:r>
              <w:rPr>
                <w:rFonts w:eastAsiaTheme="minorHAnsi" w:cs="Calibri"/>
                <w:color w:val="000000"/>
                <w:szCs w:val="22"/>
                <w:lang w:val="en-AU"/>
              </w:rPr>
              <w:br/>
            </w:r>
          </w:p>
          <w:p w14:paraId="03F3B6A1" w14:textId="7777777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 xml:space="preserve">Since the submission is through portal where all authorised representative has access, there is risk that one user can update or edit the file/submission of the other template. Hence, reporting templates had been included with a password to safeguard the information within the document. Authorised representative of each reporting entity is given their own unique password to be used. </w:t>
            </w:r>
          </w:p>
          <w:p w14:paraId="37B1ECDF" w14:textId="74DD92C7" w:rsidR="00134395" w:rsidRDefault="00134395">
            <w:pPr>
              <w:spacing w:before="0" w:after="160" w:line="256" w:lineRule="auto"/>
              <w:rPr>
                <w:rFonts w:eastAsiaTheme="minorHAnsi" w:cs="Calibri"/>
                <w:color w:val="000000"/>
                <w:szCs w:val="22"/>
                <w:lang w:val="en-AU"/>
              </w:rPr>
            </w:pPr>
            <w:r>
              <w:rPr>
                <w:rFonts w:eastAsiaTheme="minorHAnsi" w:cs="Calibri"/>
                <w:color w:val="000000"/>
                <w:szCs w:val="22"/>
                <w:lang w:val="en-AU"/>
              </w:rPr>
              <w:t>The auditor general’s office (AGO) has undertaken to establish status of audits of government departments, agencies and SOEs and will do revenue testing on the reporting entities to confirm figures for reports as agreed in the TWG meeting with AGO. The minutes of m</w:t>
            </w:r>
            <w:r w:rsidR="001F55EE">
              <w:rPr>
                <w:rFonts w:eastAsiaTheme="minorHAnsi" w:cs="Calibri"/>
                <w:color w:val="000000"/>
                <w:szCs w:val="22"/>
                <w:lang w:val="en-AU"/>
              </w:rPr>
              <w:t>eeting</w:t>
            </w:r>
            <w:r>
              <w:rPr>
                <w:rFonts w:eastAsiaTheme="minorHAnsi" w:cs="Calibri"/>
                <w:color w:val="000000"/>
                <w:szCs w:val="22"/>
                <w:lang w:val="en-AU"/>
              </w:rPr>
              <w:t xml:space="preserve">: </w:t>
            </w:r>
            <w:hyperlink r:id="rId65" w:history="1">
              <w:r>
                <w:rPr>
                  <w:rStyle w:val="Hyperlink"/>
                  <w:rFonts w:eastAsiaTheme="minorHAnsi" w:cs="Calibri"/>
                  <w:szCs w:val="22"/>
                  <w:lang w:val="en-AU"/>
                </w:rPr>
                <w:t>http://www.pngeiti.org.pg/wp-content/uploads/2018/04/2020-Validation-Meeting-with-AGO_TWG.pdf</w:t>
              </w:r>
            </w:hyperlink>
          </w:p>
        </w:tc>
      </w:tr>
      <w:tr w:rsidR="00134395" w14:paraId="5F26D207"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7FC3C23D"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5.1 Distribution of Extractive Revenues</w:t>
            </w:r>
          </w:p>
          <w:p w14:paraId="13FF9FA4" w14:textId="77777777" w:rsidR="00134395" w:rsidRDefault="00134395">
            <w:pPr>
              <w:spacing w:line="264" w:lineRule="auto"/>
              <w:rPr>
                <w:sz w:val="20"/>
                <w:szCs w:val="20"/>
                <w:lang w:val="en-AU"/>
              </w:rPr>
            </w:pPr>
            <w:r>
              <w:rPr>
                <w:sz w:val="20"/>
                <w:szCs w:val="20"/>
                <w:lang w:val="en-AU"/>
              </w:rPr>
              <w:t xml:space="preserve">PNG should clarify which extractive revenues are recorded in the national budget. </w:t>
            </w:r>
          </w:p>
          <w:p w14:paraId="509C0542" w14:textId="77777777" w:rsidR="00134395" w:rsidRDefault="00134395">
            <w:pPr>
              <w:spacing w:after="0" w:line="256" w:lineRule="auto"/>
              <w:contextualSpacing/>
              <w:rPr>
                <w:rFonts w:cs="Calibri"/>
                <w:lang w:val="en-AU"/>
              </w:rPr>
            </w:pPr>
            <w:r>
              <w:rPr>
                <w:sz w:val="20"/>
                <w:szCs w:val="20"/>
                <w:lang w:val="en-AU"/>
              </w:rPr>
              <w:t>Where revenues are not recorded in the national budget, the allocation of revenues should be explained, with links provided to relevant financial reports</w:t>
            </w:r>
            <w:r>
              <w:rPr>
                <w:rFonts w:cs="Calibri"/>
                <w:szCs w:val="23"/>
                <w:lang w:val="en-AU"/>
              </w:rPr>
              <w:t>.</w:t>
            </w:r>
          </w:p>
        </w:tc>
        <w:tc>
          <w:tcPr>
            <w:tcW w:w="6425" w:type="dxa"/>
            <w:tcBorders>
              <w:top w:val="single" w:sz="4" w:space="0" w:color="auto"/>
              <w:left w:val="single" w:sz="4" w:space="0" w:color="auto"/>
              <w:bottom w:val="single" w:sz="4" w:space="0" w:color="auto"/>
              <w:right w:val="nil"/>
            </w:tcBorders>
          </w:tcPr>
          <w:p w14:paraId="0C82950A" w14:textId="77777777" w:rsidR="00134395" w:rsidRDefault="00134395">
            <w:pPr>
              <w:spacing w:after="0" w:line="256" w:lineRule="auto"/>
              <w:contextualSpacing/>
              <w:rPr>
                <w:szCs w:val="22"/>
                <w:lang w:val="en-AU"/>
              </w:rPr>
            </w:pPr>
          </w:p>
          <w:p w14:paraId="089C4EDE" w14:textId="77777777" w:rsidR="00134395" w:rsidRDefault="00134395">
            <w:pPr>
              <w:spacing w:after="0" w:line="256" w:lineRule="auto"/>
              <w:contextualSpacing/>
              <w:rPr>
                <w:rFonts w:cs="Segoe UI"/>
                <w:szCs w:val="22"/>
                <w:lang w:val="en-AU"/>
              </w:rPr>
            </w:pPr>
            <w:r>
              <w:rPr>
                <w:rFonts w:cs="Segoe UI"/>
                <w:szCs w:val="22"/>
                <w:lang w:val="en-AU"/>
              </w:rPr>
              <w:t xml:space="preserve">Information relating the distribution of revenues has been updated and included in PNGEITI 2019 Report and additional information is provided relating to the distribution of funds managed by MRDC. </w:t>
            </w:r>
          </w:p>
          <w:p w14:paraId="6F8A50E5" w14:textId="77777777" w:rsidR="00134395" w:rsidRDefault="00134395">
            <w:pPr>
              <w:spacing w:after="0" w:line="256" w:lineRule="auto"/>
              <w:contextualSpacing/>
              <w:rPr>
                <w:rFonts w:cs="Segoe UI"/>
                <w:szCs w:val="22"/>
                <w:lang w:val="en-AU"/>
              </w:rPr>
            </w:pPr>
          </w:p>
          <w:p w14:paraId="284E4E83" w14:textId="5CF8391D" w:rsidR="00134395" w:rsidRDefault="00134395">
            <w:pPr>
              <w:spacing w:after="0" w:line="256" w:lineRule="auto"/>
              <w:contextualSpacing/>
              <w:rPr>
                <w:rFonts w:cs="Segoe UI"/>
                <w:szCs w:val="22"/>
                <w:lang w:val="en-AU"/>
              </w:rPr>
            </w:pPr>
            <w:r>
              <w:rPr>
                <w:rFonts w:cs="Segoe UI"/>
                <w:szCs w:val="22"/>
                <w:lang w:val="en-AU"/>
              </w:rPr>
              <w:t xml:space="preserve">The recommendation by IRC to amend the reporting template to include requirement for reporting entities to include their Tax Identification Number (TIN) enabled IRC to retrieve correct company information from IRC’s system ensured accurate reporting by IRC in the PNGEITI 2019 report. Refer to TWG </w:t>
            </w:r>
            <w:proofErr w:type="gramStart"/>
            <w:r>
              <w:rPr>
                <w:rFonts w:cs="Segoe UI"/>
                <w:szCs w:val="22"/>
                <w:lang w:val="en-AU"/>
              </w:rPr>
              <w:t>minutes :</w:t>
            </w:r>
            <w:proofErr w:type="gramEnd"/>
            <w:r>
              <w:rPr>
                <w:rFonts w:cs="Segoe UI"/>
                <w:szCs w:val="22"/>
                <w:lang w:val="en-AU"/>
              </w:rPr>
              <w:t xml:space="preserve"> </w:t>
            </w:r>
            <w:hyperlink r:id="rId66" w:history="1">
              <w:r>
                <w:rPr>
                  <w:rStyle w:val="Hyperlink"/>
                  <w:rFonts w:cs="Segoe UI"/>
                  <w:szCs w:val="22"/>
                  <w:lang w:val="en-AU"/>
                </w:rPr>
                <w:t>http://www.pngeiti.org.pg/wp-content/uploads/2018/04/2020-IRC-TWG-Validation-Minutes.pdf</w:t>
              </w:r>
            </w:hyperlink>
          </w:p>
        </w:tc>
      </w:tr>
      <w:tr w:rsidR="00134395" w14:paraId="33928153" w14:textId="77777777" w:rsidTr="00134395">
        <w:trPr>
          <w:trHeight w:val="318"/>
        </w:trPr>
        <w:tc>
          <w:tcPr>
            <w:tcW w:w="3214" w:type="dxa"/>
            <w:tcBorders>
              <w:top w:val="single" w:sz="4" w:space="0" w:color="auto"/>
              <w:left w:val="nil"/>
              <w:bottom w:val="single" w:sz="4" w:space="0" w:color="auto"/>
              <w:right w:val="single" w:sz="4" w:space="0" w:color="auto"/>
            </w:tcBorders>
          </w:tcPr>
          <w:p w14:paraId="6F543998"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5.2 Sub-national Transfers</w:t>
            </w:r>
          </w:p>
          <w:p w14:paraId="0D32815F" w14:textId="77777777" w:rsidR="00134395" w:rsidRDefault="00134395">
            <w:pPr>
              <w:tabs>
                <w:tab w:val="left" w:pos="2143"/>
              </w:tabs>
              <w:spacing w:after="120" w:line="264" w:lineRule="auto"/>
              <w:rPr>
                <w:rFonts w:eastAsia="Franklin Gothic Book" w:cs="Franklin Gothic Book"/>
                <w:sz w:val="20"/>
                <w:szCs w:val="20"/>
                <w:lang w:val="en-AU"/>
              </w:rPr>
            </w:pPr>
            <w:r>
              <w:rPr>
                <w:rFonts w:eastAsia="Franklin Gothic Book" w:cs="Franklin Gothic Book"/>
                <w:sz w:val="20"/>
                <w:szCs w:val="20"/>
                <w:lang w:val="en-AU"/>
              </w:rPr>
              <w:t xml:space="preserve">PNG is required to ensure that material subnational transfers of extractives revenues are publicly disclosed, when such transfers are mandated by a national constitution, statute or other revenue sharing mechanism such as benefit-sharing agreements. </w:t>
            </w:r>
          </w:p>
          <w:p w14:paraId="6599C472" w14:textId="77777777" w:rsidR="00134395" w:rsidRDefault="00134395">
            <w:pPr>
              <w:spacing w:after="0" w:line="256" w:lineRule="auto"/>
              <w:contextualSpacing/>
              <w:rPr>
                <w:rFonts w:cs="Franklin Gothic Book"/>
                <w:sz w:val="20"/>
                <w:lang w:val="en-AU"/>
              </w:rPr>
            </w:pPr>
            <w:r>
              <w:rPr>
                <w:rFonts w:eastAsia="Franklin Gothic Book" w:cs="Franklin Gothic Book"/>
                <w:sz w:val="20"/>
                <w:szCs w:val="20"/>
                <w:lang w:val="en-AU"/>
              </w:rPr>
              <w:t>The MSG should also disclose any discrepancies between the transfer amount calculated in accordance with the relevant revenue sharing formula and the actual amount transferred between the central government and each relevant subnational entity on an annual basis.</w:t>
            </w:r>
          </w:p>
          <w:p w14:paraId="57122653" w14:textId="77777777" w:rsidR="00134395" w:rsidRDefault="00134395">
            <w:pPr>
              <w:spacing w:after="0" w:line="256" w:lineRule="auto"/>
              <w:contextualSpacing/>
              <w:rPr>
                <w:rFonts w:cs="Calibri"/>
                <w:lang w:val="en-AU"/>
              </w:rPr>
            </w:pPr>
          </w:p>
        </w:tc>
        <w:tc>
          <w:tcPr>
            <w:tcW w:w="6425" w:type="dxa"/>
            <w:tcBorders>
              <w:top w:val="single" w:sz="4" w:space="0" w:color="auto"/>
              <w:left w:val="single" w:sz="4" w:space="0" w:color="auto"/>
              <w:bottom w:val="single" w:sz="4" w:space="0" w:color="auto"/>
              <w:right w:val="nil"/>
            </w:tcBorders>
          </w:tcPr>
          <w:p w14:paraId="6E5520FB" w14:textId="77777777" w:rsidR="00134395" w:rsidRDefault="00134395">
            <w:pPr>
              <w:spacing w:after="0" w:line="256" w:lineRule="auto"/>
              <w:contextualSpacing/>
              <w:rPr>
                <w:szCs w:val="22"/>
                <w:lang w:val="en-AU"/>
              </w:rPr>
            </w:pPr>
          </w:p>
          <w:p w14:paraId="52DF2D6D" w14:textId="77777777" w:rsidR="00134395" w:rsidRDefault="00134395">
            <w:pPr>
              <w:spacing w:after="0" w:line="256" w:lineRule="auto"/>
              <w:contextualSpacing/>
              <w:rPr>
                <w:rFonts w:cs="Calibri"/>
                <w:lang w:val="en-AU"/>
              </w:rPr>
            </w:pPr>
            <w:r>
              <w:rPr>
                <w:rFonts w:cs="Calibri"/>
                <w:lang w:val="en-AU"/>
              </w:rPr>
              <w:t xml:space="preserve">There is a section for subnational payments and transfers in the 2019 PNGEITI Report. However, as discussed above, implementation of subnational transfers and payments are yet to be fully presented due to mobility limitation from the Covid-19 pandemic. </w:t>
            </w:r>
          </w:p>
          <w:p w14:paraId="56DE8C55" w14:textId="77777777" w:rsidR="00134395" w:rsidRDefault="00134395">
            <w:pPr>
              <w:spacing w:after="0" w:line="256" w:lineRule="auto"/>
              <w:contextualSpacing/>
              <w:rPr>
                <w:szCs w:val="22"/>
                <w:lang w:val="en-AU"/>
              </w:rPr>
            </w:pPr>
          </w:p>
          <w:p w14:paraId="32BA7BA3" w14:textId="77777777" w:rsidR="00134395" w:rsidRDefault="00134395">
            <w:pPr>
              <w:spacing w:after="0" w:line="256" w:lineRule="auto"/>
              <w:contextualSpacing/>
              <w:rPr>
                <w:rFonts w:eastAsiaTheme="minorHAnsi" w:cs="Calibri"/>
                <w:color w:val="000000"/>
                <w:szCs w:val="22"/>
                <w:lang w:val="en-AU"/>
              </w:rPr>
            </w:pPr>
            <w:r>
              <w:rPr>
                <w:rFonts w:eastAsiaTheme="minorHAnsi" w:cs="Calibri"/>
                <w:color w:val="000000"/>
                <w:szCs w:val="22"/>
                <w:lang w:val="en-AU"/>
              </w:rPr>
              <w:t xml:space="preserve">MRDC, DoT and IA were agencies responsible for addressing requirement 5.2. However, MRDC indicated that it was not directly involved in subnational transfers and was only responsible for royalty payments and hence suggested that DPE should be involved. </w:t>
            </w:r>
          </w:p>
          <w:p w14:paraId="3725DF20" w14:textId="77777777" w:rsidR="00134395" w:rsidRDefault="00134395">
            <w:pPr>
              <w:spacing w:after="0" w:line="256" w:lineRule="auto"/>
              <w:contextualSpacing/>
              <w:rPr>
                <w:rFonts w:cs="Calibri"/>
                <w:lang w:val="en-AU"/>
              </w:rPr>
            </w:pPr>
          </w:p>
          <w:p w14:paraId="42EDB055" w14:textId="77777777" w:rsidR="00134395" w:rsidRDefault="00134395">
            <w:pPr>
              <w:spacing w:after="0" w:line="256" w:lineRule="auto"/>
              <w:contextualSpacing/>
              <w:rPr>
                <w:rFonts w:cs="Calibri"/>
                <w:lang w:val="en-AU"/>
              </w:rPr>
            </w:pPr>
            <w:r>
              <w:rPr>
                <w:rFonts w:cs="Calibri"/>
                <w:lang w:val="en-AU"/>
              </w:rPr>
              <w:t xml:space="preserve">IA is to discuss MSG on what has been done as a follow up to Sub-national payments report. However, the </w:t>
            </w:r>
            <w:hyperlink r:id="rId67" w:history="1">
              <w:r>
                <w:rPr>
                  <w:rStyle w:val="Hyperlink"/>
                  <w:rFonts w:cs="Calibri"/>
                  <w:lang w:val="en-AU"/>
                </w:rPr>
                <w:t>SOE scoping study</w:t>
              </w:r>
            </w:hyperlink>
            <w:r>
              <w:rPr>
                <w:rFonts w:cs="Calibri"/>
                <w:lang w:val="en-AU"/>
              </w:rPr>
              <w:t xml:space="preserve"> also makes recommendation of commissioning a study on MRDC’s financial flows (page 52) as well as undertake a pilot study to collect, reconcile and disclose transactions on the sale of SOE’s share of oil, gas and minerals. </w:t>
            </w:r>
          </w:p>
        </w:tc>
      </w:tr>
      <w:tr w:rsidR="00134395" w14:paraId="6AF3DBC9" w14:textId="77777777" w:rsidTr="00134395">
        <w:trPr>
          <w:trHeight w:val="318"/>
        </w:trPr>
        <w:tc>
          <w:tcPr>
            <w:tcW w:w="3214" w:type="dxa"/>
            <w:tcBorders>
              <w:top w:val="single" w:sz="4" w:space="0" w:color="auto"/>
              <w:left w:val="nil"/>
              <w:bottom w:val="single" w:sz="4" w:space="0" w:color="auto"/>
              <w:right w:val="single" w:sz="4" w:space="0" w:color="auto"/>
            </w:tcBorders>
            <w:hideMark/>
          </w:tcPr>
          <w:p w14:paraId="16781BD4"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t>Requirement 6.1 Mandatory Social Expenditure</w:t>
            </w:r>
          </w:p>
          <w:p w14:paraId="18D06338" w14:textId="77777777" w:rsidR="00134395" w:rsidRDefault="00134395">
            <w:pPr>
              <w:spacing w:after="0" w:line="256" w:lineRule="auto"/>
              <w:contextualSpacing/>
              <w:rPr>
                <w:rFonts w:eastAsia="Franklin Gothic Book" w:cs="Franklin Gothic Book"/>
                <w:szCs w:val="22"/>
                <w:lang w:val="en-AU"/>
              </w:rPr>
            </w:pPr>
            <w:r>
              <w:rPr>
                <w:rFonts w:eastAsia="Franklin Gothic Book" w:cs="Franklin Gothic Book"/>
                <w:szCs w:val="22"/>
                <w:lang w:val="en-AU"/>
              </w:rPr>
              <w:t xml:space="preserve">PNG should ensure that reporting of mandatory social expenditures be disaggregated </w:t>
            </w:r>
            <w:r>
              <w:rPr>
                <w:rFonts w:eastAsia="Franklin Gothic Book" w:cs="Franklin Gothic Book"/>
                <w:szCs w:val="22"/>
                <w:lang w:val="en-AU"/>
              </w:rPr>
              <w:lastRenderedPageBreak/>
              <w:t>by type of payment and beneficiary, clarifying the name and function of any non-government (third party) beneficiaries of mandatory social expenditures.</w:t>
            </w:r>
          </w:p>
          <w:p w14:paraId="0D7B0E99" w14:textId="77777777" w:rsidR="00134395" w:rsidRDefault="00134395">
            <w:pPr>
              <w:spacing w:after="0" w:line="256" w:lineRule="auto"/>
              <w:contextualSpacing/>
              <w:rPr>
                <w:rFonts w:cs="Calibri"/>
                <w:lang w:val="en-AU"/>
              </w:rPr>
            </w:pPr>
            <w:r>
              <w:rPr>
                <w:rFonts w:cs="Calibri"/>
                <w:lang w:val="en-AU"/>
              </w:rPr>
              <w:t>.</w:t>
            </w:r>
          </w:p>
        </w:tc>
        <w:tc>
          <w:tcPr>
            <w:tcW w:w="6425" w:type="dxa"/>
            <w:tcBorders>
              <w:top w:val="single" w:sz="4" w:space="0" w:color="auto"/>
              <w:left w:val="single" w:sz="4" w:space="0" w:color="auto"/>
              <w:bottom w:val="single" w:sz="4" w:space="0" w:color="auto"/>
              <w:right w:val="nil"/>
            </w:tcBorders>
          </w:tcPr>
          <w:p w14:paraId="44EBC059" w14:textId="77777777" w:rsidR="00134395" w:rsidRDefault="00134395">
            <w:pPr>
              <w:spacing w:after="0" w:line="256" w:lineRule="auto"/>
              <w:contextualSpacing/>
              <w:rPr>
                <w:szCs w:val="22"/>
                <w:lang w:val="en-AU"/>
              </w:rPr>
            </w:pPr>
          </w:p>
          <w:p w14:paraId="233EFC16" w14:textId="77777777" w:rsidR="00134395" w:rsidRDefault="00134395">
            <w:pPr>
              <w:spacing w:after="0" w:line="256" w:lineRule="auto"/>
              <w:contextualSpacing/>
              <w:rPr>
                <w:rFonts w:cs="Calibri"/>
                <w:lang w:val="en-AU"/>
              </w:rPr>
            </w:pPr>
            <w:r>
              <w:rPr>
                <w:rFonts w:cs="Calibri"/>
                <w:lang w:val="en-AU"/>
              </w:rPr>
              <w:t xml:space="preserve">Requirement 6.1 have been recorded in the 2019 PNGEITI Report. However, the challenge remains that the data provided for social mandatory expenditure is not comprehensive and not all organisations disclose mandatory social expenditures such as SOEs. </w:t>
            </w:r>
          </w:p>
          <w:p w14:paraId="4259A518" w14:textId="77777777" w:rsidR="00134395" w:rsidRDefault="00134395">
            <w:pPr>
              <w:spacing w:after="0" w:line="256" w:lineRule="auto"/>
              <w:contextualSpacing/>
              <w:rPr>
                <w:rFonts w:cs="Calibri"/>
                <w:lang w:val="en-AU"/>
              </w:rPr>
            </w:pPr>
          </w:p>
          <w:p w14:paraId="041F600A" w14:textId="77777777" w:rsidR="00134395" w:rsidRDefault="00134395">
            <w:pPr>
              <w:spacing w:after="0" w:line="256" w:lineRule="auto"/>
              <w:contextualSpacing/>
              <w:rPr>
                <w:rFonts w:cs="Calibri"/>
                <w:lang w:val="en-AU"/>
              </w:rPr>
            </w:pPr>
            <w:r>
              <w:rPr>
                <w:rFonts w:cs="Calibri"/>
                <w:lang w:val="en-AU"/>
              </w:rPr>
              <w:lastRenderedPageBreak/>
              <w:t xml:space="preserve">The MSG’s classification of what is mandatory social expenditure is in accordance with descriptions provided in </w:t>
            </w:r>
            <w:hyperlink r:id="rId68" w:history="1">
              <w:r>
                <w:rPr>
                  <w:rStyle w:val="Hyperlink"/>
                  <w:rFonts w:cs="Calibri"/>
                  <w:lang w:val="en-AU"/>
                </w:rPr>
                <w:t>the Sub-national Payments Report</w:t>
              </w:r>
            </w:hyperlink>
            <w:r>
              <w:rPr>
                <w:rFonts w:cs="Calibri"/>
                <w:lang w:val="en-AU"/>
              </w:rPr>
              <w:t xml:space="preserve"> page 82 to 83 and the list of expenditures that are considered mandatory on pages 65 to 66.    </w:t>
            </w:r>
          </w:p>
          <w:p w14:paraId="42B41CB3" w14:textId="77777777" w:rsidR="00134395" w:rsidRDefault="00134395">
            <w:pPr>
              <w:spacing w:after="0" w:line="256" w:lineRule="auto"/>
              <w:contextualSpacing/>
              <w:rPr>
                <w:rFonts w:cs="Calibri"/>
                <w:lang w:val="en-AU"/>
              </w:rPr>
            </w:pPr>
          </w:p>
          <w:p w14:paraId="12BDDA4B" w14:textId="77777777" w:rsidR="00134395" w:rsidRDefault="00134395">
            <w:pPr>
              <w:spacing w:after="0" w:line="256" w:lineRule="auto"/>
              <w:contextualSpacing/>
              <w:rPr>
                <w:rFonts w:cs="Calibri"/>
                <w:szCs w:val="22"/>
                <w:lang w:val="en-AU"/>
              </w:rPr>
            </w:pPr>
            <w:r>
              <w:rPr>
                <w:rFonts w:eastAsia="Times New Roman" w:cs="Calibri"/>
                <w:color w:val="0D0D0D"/>
                <w:szCs w:val="22"/>
                <w:lang w:val="en-AU" w:eastAsia="en-AU"/>
              </w:rPr>
              <w:t xml:space="preserve">MSG expects that implementation of recommendation from the SOE </w:t>
            </w:r>
            <w:hyperlink r:id="rId69" w:history="1">
              <w:r>
                <w:rPr>
                  <w:rStyle w:val="Hyperlink"/>
                  <w:rFonts w:eastAsia="Times New Roman" w:cs="Calibri"/>
                  <w:szCs w:val="22"/>
                  <w:lang w:val="en-AU" w:eastAsia="en-AU"/>
                </w:rPr>
                <w:t>scoping study</w:t>
              </w:r>
            </w:hyperlink>
            <w:r>
              <w:rPr>
                <w:rFonts w:eastAsia="Times New Roman" w:cs="Calibri"/>
                <w:color w:val="0D0D0D"/>
                <w:szCs w:val="22"/>
                <w:lang w:val="en-AU" w:eastAsia="en-AU"/>
              </w:rPr>
              <w:t xml:space="preserve"> especially adoption of definition of QFEs and new reporting template would provide some clarity in reporting social mandatory expenditure for SOEs as the findings indicated that “the low level of understanding around the concept of QFE in SOEs and types of payment it covers” (page 49) are barriers to disclosing information. </w:t>
            </w:r>
          </w:p>
          <w:p w14:paraId="186C2BDE" w14:textId="77777777" w:rsidR="00134395" w:rsidRDefault="00134395">
            <w:pPr>
              <w:spacing w:after="0" w:line="256" w:lineRule="auto"/>
              <w:contextualSpacing/>
              <w:rPr>
                <w:rFonts w:cs="Calibri"/>
                <w:lang w:val="en-AU"/>
              </w:rPr>
            </w:pPr>
          </w:p>
          <w:p w14:paraId="08DB951B" w14:textId="77777777" w:rsidR="00134395" w:rsidRDefault="00134395">
            <w:pPr>
              <w:spacing w:after="0" w:line="256" w:lineRule="auto"/>
              <w:contextualSpacing/>
              <w:rPr>
                <w:rFonts w:cs="Calibri"/>
                <w:lang w:val="en-AU"/>
              </w:rPr>
            </w:pPr>
          </w:p>
        </w:tc>
      </w:tr>
      <w:tr w:rsidR="00134395" w14:paraId="0359B397" w14:textId="77777777" w:rsidTr="00134395">
        <w:trPr>
          <w:trHeight w:val="318"/>
        </w:trPr>
        <w:tc>
          <w:tcPr>
            <w:tcW w:w="3214" w:type="dxa"/>
            <w:tcBorders>
              <w:top w:val="single" w:sz="4" w:space="0" w:color="auto"/>
              <w:left w:val="nil"/>
              <w:bottom w:val="single" w:sz="4" w:space="0" w:color="auto"/>
              <w:right w:val="single" w:sz="4" w:space="0" w:color="auto"/>
            </w:tcBorders>
          </w:tcPr>
          <w:p w14:paraId="2843A9F4"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6.2 Quasi-fiscal expenditures</w:t>
            </w:r>
          </w:p>
          <w:p w14:paraId="46DBB9E6" w14:textId="77777777" w:rsidR="00134395" w:rsidRDefault="00134395">
            <w:pPr>
              <w:spacing w:after="0" w:line="256" w:lineRule="auto"/>
              <w:contextualSpacing/>
              <w:rPr>
                <w:rFonts w:cs="Calibri"/>
                <w:lang w:val="en-AU"/>
              </w:rPr>
            </w:pPr>
            <w:r>
              <w:rPr>
                <w:rFonts w:cs="Calibri"/>
                <w:lang w:val="en-AU"/>
              </w:rPr>
              <w:t>PNG should undertake review of all expenditures undertaken by extractive SOEs (and their subsidiaries) that could be considered quasi-fiscal.</w:t>
            </w:r>
          </w:p>
          <w:p w14:paraId="76779899" w14:textId="77777777" w:rsidR="00134395" w:rsidRDefault="00134395">
            <w:pPr>
              <w:spacing w:after="0" w:line="256" w:lineRule="auto"/>
              <w:contextualSpacing/>
              <w:rPr>
                <w:szCs w:val="22"/>
                <w:lang w:val="en-AU"/>
              </w:rPr>
            </w:pPr>
          </w:p>
          <w:p w14:paraId="652622EF" w14:textId="77777777" w:rsidR="00134395" w:rsidRDefault="00134395">
            <w:pPr>
              <w:spacing w:after="0" w:line="256" w:lineRule="auto"/>
              <w:contextualSpacing/>
              <w:rPr>
                <w:szCs w:val="22"/>
                <w:lang w:val="en-AU"/>
              </w:rPr>
            </w:pPr>
            <w:r>
              <w:rPr>
                <w:rFonts w:eastAsia="Franklin Gothic Book" w:cs="Franklin Gothic Book"/>
                <w:sz w:val="20"/>
                <w:szCs w:val="20"/>
                <w:lang w:val="en-AU"/>
              </w:rPr>
              <w:t xml:space="preserve">PNG should develop a reporting process with a view to achieving a level of transparency commensurate with other payments and revenue streams and should include SOE subsidiaries and joint ventures. </w:t>
            </w:r>
          </w:p>
        </w:tc>
        <w:tc>
          <w:tcPr>
            <w:tcW w:w="6425" w:type="dxa"/>
            <w:tcBorders>
              <w:top w:val="single" w:sz="4" w:space="0" w:color="auto"/>
              <w:left w:val="single" w:sz="4" w:space="0" w:color="auto"/>
              <w:bottom w:val="single" w:sz="4" w:space="0" w:color="auto"/>
              <w:right w:val="nil"/>
            </w:tcBorders>
          </w:tcPr>
          <w:p w14:paraId="2A33C4B8" w14:textId="6548516C" w:rsidR="00134395" w:rsidRDefault="00134395">
            <w:pPr>
              <w:spacing w:line="256" w:lineRule="auto"/>
              <w:rPr>
                <w:rFonts w:cs="Calibri"/>
                <w:lang w:val="en-AU"/>
              </w:rPr>
            </w:pPr>
            <w:r>
              <w:rPr>
                <w:rFonts w:eastAsia="Franklin Gothic Book" w:cs="Franklin Gothic Book"/>
                <w:lang w:val="en-AU"/>
              </w:rPr>
              <w:t xml:space="preserve">Requirement 6.2 quasi-fiscal expenditure (QFE) still, remains a gap however, MSG is taking steps to address this. QFEs were not recorded in the PNGEITI 2019 Report due to the classification of QFEs not being straight forward as such MSG </w:t>
            </w:r>
            <w:r>
              <w:rPr>
                <w:rFonts w:cs="Calibri"/>
                <w:lang w:val="en-AU"/>
              </w:rPr>
              <w:t xml:space="preserve">commissioned an SOE Scoping Study to make recommendation to address this requirement and requirements 2.1, 2.6, 4.2 and 4.5. </w:t>
            </w:r>
          </w:p>
          <w:p w14:paraId="0AB975FC" w14:textId="1467983E" w:rsidR="00134395" w:rsidRDefault="00134395">
            <w:pPr>
              <w:spacing w:line="256" w:lineRule="auto"/>
              <w:rPr>
                <w:rFonts w:cs="Calibri"/>
                <w:lang w:val="en-AU"/>
              </w:rPr>
            </w:pPr>
            <w:r>
              <w:rPr>
                <w:rFonts w:cs="Calibri"/>
                <w:lang w:val="en-AU"/>
              </w:rPr>
              <w:t xml:space="preserve">Some of the recommendations in the  </w:t>
            </w:r>
            <w:hyperlink r:id="rId70" w:history="1">
              <w:r>
                <w:rPr>
                  <w:rStyle w:val="Hyperlink"/>
                  <w:rFonts w:cs="Calibri"/>
                  <w:lang w:val="en-AU"/>
                </w:rPr>
                <w:t>SOE Scoping Report published in May 2021</w:t>
              </w:r>
            </w:hyperlink>
            <w:r>
              <w:rPr>
                <w:rFonts w:cs="Calibri"/>
                <w:lang w:val="en-AU"/>
              </w:rPr>
              <w:t xml:space="preserve"> include;</w:t>
            </w:r>
          </w:p>
          <w:p w14:paraId="07EFED50"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Adoption of a definition of SOE (pages 12 – 13)</w:t>
            </w:r>
          </w:p>
          <w:p w14:paraId="1A6FC259" w14:textId="77777777" w:rsidR="00134395" w:rsidRDefault="00134395">
            <w:pPr>
              <w:spacing w:before="0" w:after="0" w:line="256" w:lineRule="auto"/>
              <w:ind w:left="720"/>
              <w:rPr>
                <w:rFonts w:eastAsia="Times New Roman" w:cs="Calibri"/>
                <w:lang w:val="en-AU" w:eastAsia="en-AU"/>
              </w:rPr>
            </w:pPr>
          </w:p>
          <w:p w14:paraId="4C7F9138"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 xml:space="preserve">Adoption of a definition of QFEs (pages 13 – 14) </w:t>
            </w:r>
          </w:p>
          <w:p w14:paraId="54F2F6B9" w14:textId="77777777" w:rsidR="00134395" w:rsidRDefault="00134395">
            <w:pPr>
              <w:spacing w:before="0" w:after="0" w:line="256" w:lineRule="auto"/>
              <w:ind w:left="720"/>
              <w:rPr>
                <w:rFonts w:eastAsia="Times New Roman" w:cs="Calibri"/>
                <w:szCs w:val="22"/>
                <w:lang w:val="en-AU" w:eastAsia="en-AU"/>
              </w:rPr>
            </w:pPr>
            <w:r>
              <w:rPr>
                <w:rFonts w:eastAsia="Times New Roman" w:cs="Calibri"/>
                <w:szCs w:val="22"/>
                <w:lang w:val="en-AU" w:eastAsia="en-AU"/>
              </w:rPr>
              <w:t xml:space="preserve">The definition of QFEs includes 3 options, a </w:t>
            </w:r>
            <w:proofErr w:type="gramStart"/>
            <w:r>
              <w:rPr>
                <w:rFonts w:eastAsia="Times New Roman" w:cs="Calibri"/>
                <w:szCs w:val="22"/>
                <w:lang w:val="en-AU" w:eastAsia="en-AU"/>
              </w:rPr>
              <w:t>set criteria</w:t>
            </w:r>
            <w:proofErr w:type="gramEnd"/>
            <w:r>
              <w:rPr>
                <w:rFonts w:eastAsia="Times New Roman" w:cs="Calibri"/>
                <w:szCs w:val="22"/>
                <w:lang w:val="en-AU" w:eastAsia="en-AU"/>
              </w:rPr>
              <w:t xml:space="preserve"> to judge if a payment can be considered QFE, a topology approach which is judged against a list of QFE payments and quantitative test to determine if it represents a transfer from SOE to the private sector or another government entity. </w:t>
            </w:r>
          </w:p>
          <w:p w14:paraId="07EFE7D5" w14:textId="77777777" w:rsidR="00134395" w:rsidRDefault="00134395">
            <w:pPr>
              <w:spacing w:before="0" w:after="0" w:line="256" w:lineRule="auto"/>
              <w:ind w:left="720"/>
              <w:rPr>
                <w:rFonts w:eastAsia="Times New Roman" w:cs="Calibri"/>
                <w:szCs w:val="22"/>
                <w:lang w:val="en-AU" w:eastAsia="en-AU"/>
              </w:rPr>
            </w:pPr>
          </w:p>
          <w:p w14:paraId="199D9AF1" w14:textId="77777777" w:rsidR="00134395" w:rsidRDefault="00134395" w:rsidP="00134395">
            <w:pPr>
              <w:numPr>
                <w:ilvl w:val="0"/>
                <w:numId w:val="41"/>
              </w:numPr>
              <w:spacing w:before="0" w:after="0" w:line="256" w:lineRule="auto"/>
              <w:rPr>
                <w:rFonts w:eastAsia="Times New Roman" w:cs="Calibri"/>
                <w:lang w:val="en-AU" w:eastAsia="en-AU"/>
              </w:rPr>
            </w:pPr>
            <w:r>
              <w:rPr>
                <w:rFonts w:eastAsia="Times New Roman" w:cs="Calibri"/>
                <w:lang w:val="en-AU" w:eastAsia="en-AU"/>
              </w:rPr>
              <w:t xml:space="preserve">Adoption of new reporting template for SOEs (Appendix 5 pages 117-123). </w:t>
            </w:r>
          </w:p>
          <w:p w14:paraId="4E4DCABE" w14:textId="77777777" w:rsidR="00134395" w:rsidRDefault="00134395">
            <w:pPr>
              <w:spacing w:before="0" w:after="0" w:line="256" w:lineRule="auto"/>
              <w:ind w:left="720"/>
              <w:rPr>
                <w:rFonts w:eastAsia="Times New Roman" w:cs="Calibri"/>
                <w:szCs w:val="22"/>
                <w:lang w:val="en-AU" w:eastAsia="en-AU"/>
              </w:rPr>
            </w:pPr>
            <w:r>
              <w:rPr>
                <w:rFonts w:eastAsia="Times New Roman" w:cs="Calibri"/>
                <w:szCs w:val="22"/>
                <w:lang w:val="en-AU" w:eastAsia="en-AU"/>
              </w:rPr>
              <w:t xml:space="preserve">The new reporting templates identifies 6 key areas of data to be collected which includer: (1) Company Data, (2) Financial Data, (3) Quasi-Fiscal Expenditure, (4) Subsidiaries &amp; Investments, (5) Declaration, (6) Guiding Notes. The new template is also to ensure that data provided is comprehensive and data provided addresses a number of requirements including requirement 6.2. </w:t>
            </w:r>
          </w:p>
          <w:p w14:paraId="1967C7E6" w14:textId="77777777" w:rsidR="00134395" w:rsidRDefault="00134395">
            <w:pPr>
              <w:spacing w:before="0" w:after="0" w:line="256" w:lineRule="auto"/>
              <w:rPr>
                <w:rFonts w:eastAsia="Times New Roman" w:cs="Calibri"/>
                <w:szCs w:val="22"/>
                <w:lang w:val="en-AU" w:eastAsia="en-AU"/>
              </w:rPr>
            </w:pPr>
          </w:p>
          <w:p w14:paraId="3D6C731C" w14:textId="77777777" w:rsidR="00134395" w:rsidRDefault="00134395" w:rsidP="00134395">
            <w:pPr>
              <w:pStyle w:val="ListParagraph"/>
              <w:numPr>
                <w:ilvl w:val="0"/>
                <w:numId w:val="41"/>
              </w:numPr>
              <w:spacing w:before="0" w:after="0" w:line="256" w:lineRule="auto"/>
              <w:rPr>
                <w:rFonts w:eastAsia="Times New Roman" w:cs="Calibri"/>
                <w:szCs w:val="22"/>
                <w:lang w:val="en-AU" w:eastAsia="en-AU"/>
              </w:rPr>
            </w:pPr>
            <w:r>
              <w:rPr>
                <w:rFonts w:eastAsia="Times New Roman" w:cs="Calibri"/>
                <w:szCs w:val="22"/>
                <w:lang w:val="en-AU" w:eastAsia="en-AU"/>
              </w:rPr>
              <w:t xml:space="preserve">The consultants have also proposed a materiality level of K500,000.00 for QFEs (page 17) for consideration by the MSG. </w:t>
            </w:r>
          </w:p>
          <w:p w14:paraId="0488C7A0" w14:textId="77777777" w:rsidR="00134395" w:rsidRDefault="00134395">
            <w:pPr>
              <w:spacing w:before="0" w:after="0" w:line="256" w:lineRule="auto"/>
              <w:rPr>
                <w:rFonts w:eastAsia="Times New Roman" w:cs="Calibri"/>
                <w:szCs w:val="22"/>
                <w:lang w:val="en-AU" w:eastAsia="en-AU"/>
              </w:rPr>
            </w:pPr>
          </w:p>
          <w:p w14:paraId="0E5EFF6C" w14:textId="0D850D1C"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lastRenderedPageBreak/>
              <w:t xml:space="preserve">The MSG approved the recommendations from the SOE Scoping Report at its meeting </w:t>
            </w:r>
            <w:r w:rsidR="002B4F4E">
              <w:rPr>
                <w:rFonts w:eastAsia="Times New Roman" w:cs="Calibri"/>
                <w:szCs w:val="22"/>
                <w:lang w:val="en-AU" w:eastAsia="en-AU"/>
              </w:rPr>
              <w:t>dated</w:t>
            </w:r>
            <w:r>
              <w:rPr>
                <w:rFonts w:eastAsia="Times New Roman" w:cs="Calibri"/>
                <w:szCs w:val="22"/>
                <w:lang w:val="en-AU" w:eastAsia="en-AU"/>
              </w:rPr>
              <w:t xml:space="preserve"> 5</w:t>
            </w:r>
            <w:r>
              <w:rPr>
                <w:rFonts w:eastAsia="Times New Roman" w:cs="Calibri"/>
                <w:szCs w:val="22"/>
                <w:vertAlign w:val="superscript"/>
                <w:lang w:val="en-AU" w:eastAsia="en-AU"/>
              </w:rPr>
              <w:t>th</w:t>
            </w:r>
            <w:r>
              <w:rPr>
                <w:rFonts w:eastAsia="Times New Roman" w:cs="Calibri"/>
                <w:szCs w:val="22"/>
                <w:lang w:val="en-AU" w:eastAsia="en-AU"/>
              </w:rPr>
              <w:t xml:space="preserve"> July 2021</w:t>
            </w:r>
            <w:r w:rsidR="009C2C33">
              <w:rPr>
                <w:rFonts w:eastAsia="Times New Roman" w:cs="Calibri"/>
                <w:szCs w:val="22"/>
                <w:lang w:val="en-AU" w:eastAsia="en-AU"/>
              </w:rPr>
              <w:t xml:space="preserve"> - </w:t>
            </w:r>
            <w:r w:rsidR="002B4F4E">
              <w:rPr>
                <w:rFonts w:eastAsia="Times New Roman" w:cs="Calibri"/>
                <w:szCs w:val="22"/>
                <w:lang w:val="en-AU" w:eastAsia="en-AU"/>
              </w:rPr>
              <w:t>meeting minutes here</w:t>
            </w:r>
            <w:r>
              <w:rPr>
                <w:rFonts w:eastAsia="Times New Roman" w:cs="Calibri"/>
                <w:szCs w:val="22"/>
                <w:lang w:val="en-AU" w:eastAsia="en-AU"/>
              </w:rPr>
              <w:t xml:space="preserve">: </w:t>
            </w:r>
            <w:hyperlink r:id="rId71" w:history="1">
              <w:r>
                <w:rPr>
                  <w:rStyle w:val="Hyperlink"/>
                  <w:rFonts w:eastAsia="Times New Roman" w:cs="Calibri"/>
                  <w:szCs w:val="22"/>
                  <w:lang w:val="en-AU" w:eastAsia="en-AU"/>
                </w:rPr>
                <w:t>http://www.pngeiti.org.pg/wp-content/uploads/2018/04/Minutes-of-MSG-Meeting-01.pdf</w:t>
              </w:r>
            </w:hyperlink>
          </w:p>
          <w:p w14:paraId="6D7991D9" w14:textId="77777777" w:rsidR="00134395" w:rsidRDefault="00134395">
            <w:pPr>
              <w:spacing w:before="0" w:after="0" w:line="256" w:lineRule="auto"/>
              <w:rPr>
                <w:rFonts w:eastAsia="Times New Roman" w:cs="Calibri"/>
                <w:szCs w:val="22"/>
                <w:lang w:val="en-AU" w:eastAsia="en-AU"/>
              </w:rPr>
            </w:pPr>
          </w:p>
          <w:p w14:paraId="6BDD13D6"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The recommendations will be implemented in the PNGEITI 2020 Report as outlined in the </w:t>
            </w:r>
            <w:hyperlink r:id="rId72" w:history="1">
              <w:r>
                <w:rPr>
                  <w:rStyle w:val="Hyperlink"/>
                  <w:rFonts w:eastAsia="Times New Roman" w:cs="Calibri"/>
                  <w:szCs w:val="22"/>
                  <w:lang w:val="en-AU" w:eastAsia="en-AU"/>
                </w:rPr>
                <w:t>ToR for the IA</w:t>
              </w:r>
            </w:hyperlink>
            <w:r>
              <w:rPr>
                <w:rFonts w:eastAsia="Times New Roman" w:cs="Calibri"/>
                <w:szCs w:val="22"/>
                <w:lang w:val="en-AU" w:eastAsia="en-AU"/>
              </w:rPr>
              <w:t xml:space="preserve">. </w:t>
            </w:r>
          </w:p>
          <w:p w14:paraId="1B4EE910" w14:textId="77777777" w:rsidR="00134395" w:rsidRDefault="00134395">
            <w:pPr>
              <w:spacing w:before="0" w:after="0" w:line="256" w:lineRule="auto"/>
              <w:rPr>
                <w:rFonts w:eastAsia="Times New Roman" w:cs="Calibri"/>
                <w:szCs w:val="22"/>
                <w:lang w:val="en-AU" w:eastAsia="en-AU"/>
              </w:rPr>
            </w:pPr>
          </w:p>
          <w:p w14:paraId="3D4FC914"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Based on the findings of the </w:t>
            </w:r>
            <w:hyperlink r:id="rId73" w:history="1">
              <w:r>
                <w:rPr>
                  <w:rStyle w:val="Hyperlink"/>
                  <w:rFonts w:eastAsia="Times New Roman" w:cs="Calibri"/>
                  <w:szCs w:val="22"/>
                  <w:lang w:val="en-AU" w:eastAsia="en-AU"/>
                </w:rPr>
                <w:t>SOE Scoping report</w:t>
              </w:r>
            </w:hyperlink>
            <w:r>
              <w:rPr>
                <w:rFonts w:eastAsia="Times New Roman" w:cs="Calibri"/>
                <w:szCs w:val="22"/>
                <w:lang w:val="en-AU" w:eastAsia="en-AU"/>
              </w:rPr>
              <w:t xml:space="preserve"> on page 49, payments made by MRDC and SOEs are not classified as QFE as a result of the low level of understanding of the concept of QEF and the types of payments that QFEs cover. </w:t>
            </w:r>
          </w:p>
          <w:p w14:paraId="38E1DBEF" w14:textId="77777777" w:rsidR="00134395" w:rsidRDefault="00134395">
            <w:pPr>
              <w:spacing w:before="0" w:after="0" w:line="256" w:lineRule="auto"/>
              <w:rPr>
                <w:rFonts w:eastAsia="Times New Roman" w:cs="Calibri"/>
                <w:szCs w:val="22"/>
                <w:lang w:val="en-AU" w:eastAsia="en-AU"/>
              </w:rPr>
            </w:pPr>
          </w:p>
          <w:p w14:paraId="4BBF273B"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MRDC is the equity holder for landowners for mining and oil and gas projects which the state acquires. MRDC is incorporated under Companies Act and is expected to comply with all requirements under Companies Act and as such its revenues and how it spends these revenues do not go through the national budgetary process. However, there are legal regimes that provide a guide as to how the state’s project revenue will be shared with project area, landowners, local level governments and provincial governments. </w:t>
            </w:r>
          </w:p>
          <w:p w14:paraId="7F50E03E" w14:textId="77777777" w:rsidR="00134395" w:rsidRDefault="00134395">
            <w:pPr>
              <w:spacing w:before="0" w:after="0" w:line="256" w:lineRule="auto"/>
              <w:rPr>
                <w:rFonts w:eastAsia="Times New Roman" w:cs="Calibri"/>
                <w:szCs w:val="22"/>
                <w:lang w:val="en-AU" w:eastAsia="en-AU"/>
              </w:rPr>
            </w:pPr>
            <w:r>
              <w:rPr>
                <w:rFonts w:eastAsia="Times New Roman" w:cs="Calibri"/>
                <w:szCs w:val="22"/>
                <w:lang w:val="en-AU" w:eastAsia="en-AU"/>
              </w:rPr>
              <w:t xml:space="preserve">For the PNG LNG Project there is PNG LNG Project Umbrella Benefits Sharing Agreement (UBSA). Refer to pages 31 to 33 of </w:t>
            </w:r>
            <w:hyperlink r:id="rId74" w:history="1">
              <w:r>
                <w:rPr>
                  <w:rStyle w:val="Hyperlink"/>
                  <w:rFonts w:eastAsia="Times New Roman" w:cs="Calibri"/>
                  <w:szCs w:val="22"/>
                  <w:lang w:val="en-AU" w:eastAsia="en-AU"/>
                </w:rPr>
                <w:t>SOE scoping report</w:t>
              </w:r>
            </w:hyperlink>
            <w:r>
              <w:rPr>
                <w:rFonts w:eastAsia="Times New Roman" w:cs="Calibri"/>
                <w:szCs w:val="22"/>
                <w:lang w:val="en-AU" w:eastAsia="en-AU"/>
              </w:rPr>
              <w:t xml:space="preserve"> for details on the UBSA. </w:t>
            </w:r>
          </w:p>
          <w:p w14:paraId="5CB7943F" w14:textId="77777777" w:rsidR="00134395" w:rsidRDefault="00134395">
            <w:pPr>
              <w:spacing w:after="0" w:line="256" w:lineRule="auto"/>
              <w:contextualSpacing/>
              <w:rPr>
                <w:rFonts w:cs="Calibri"/>
                <w:lang w:val="en-AU"/>
              </w:rPr>
            </w:pPr>
          </w:p>
          <w:p w14:paraId="09BF1A1E" w14:textId="77777777" w:rsidR="00134395" w:rsidRDefault="00134395">
            <w:pPr>
              <w:spacing w:after="100" w:afterAutospacing="1" w:line="256" w:lineRule="auto"/>
              <w:contextualSpacing/>
              <w:rPr>
                <w:rFonts w:cs="Calibri"/>
                <w:lang w:val="en-AU"/>
              </w:rPr>
            </w:pPr>
          </w:p>
        </w:tc>
      </w:tr>
      <w:tr w:rsidR="00134395" w14:paraId="35340C43" w14:textId="77777777" w:rsidTr="00134395">
        <w:trPr>
          <w:trHeight w:val="318"/>
        </w:trPr>
        <w:tc>
          <w:tcPr>
            <w:tcW w:w="3214" w:type="dxa"/>
            <w:tcBorders>
              <w:top w:val="single" w:sz="4" w:space="0" w:color="auto"/>
              <w:left w:val="nil"/>
              <w:bottom w:val="single" w:sz="4" w:space="0" w:color="auto"/>
              <w:right w:val="single" w:sz="4" w:space="0" w:color="auto"/>
            </w:tcBorders>
          </w:tcPr>
          <w:p w14:paraId="234B4E4C" w14:textId="77777777" w:rsidR="00134395" w:rsidRDefault="00134395" w:rsidP="00134395">
            <w:pPr>
              <w:pStyle w:val="ListParagraph"/>
              <w:numPr>
                <w:ilvl w:val="0"/>
                <w:numId w:val="33"/>
              </w:numPr>
              <w:spacing w:after="0" w:line="256" w:lineRule="auto"/>
              <w:contextualSpacing/>
              <w:rPr>
                <w:rFonts w:cs="Calibri"/>
                <w:lang w:val="en-AU"/>
              </w:rPr>
            </w:pPr>
            <w:r>
              <w:rPr>
                <w:rFonts w:cs="Calibri"/>
                <w:lang w:val="en-AU"/>
              </w:rPr>
              <w:lastRenderedPageBreak/>
              <w:t>Requirement 7.4 Review of Outcomes and Impact</w:t>
            </w:r>
          </w:p>
          <w:p w14:paraId="1B07740E" w14:textId="77777777" w:rsidR="00134395" w:rsidRDefault="00134395">
            <w:pPr>
              <w:pStyle w:val="ListParagraph"/>
              <w:spacing w:after="0" w:line="256" w:lineRule="auto"/>
              <w:ind w:left="360"/>
              <w:contextualSpacing/>
              <w:rPr>
                <w:rFonts w:cs="Calibri"/>
                <w:lang w:val="en-AU"/>
              </w:rPr>
            </w:pPr>
          </w:p>
          <w:p w14:paraId="07FC0AA4" w14:textId="77777777" w:rsidR="00134395" w:rsidRDefault="00134395">
            <w:pPr>
              <w:spacing w:after="0" w:line="256" w:lineRule="auto"/>
              <w:contextualSpacing/>
              <w:rPr>
                <w:rFonts w:cs="Calibri"/>
                <w:lang w:val="en-AU"/>
              </w:rPr>
            </w:pPr>
            <w:r>
              <w:rPr>
                <w:rFonts w:cs="Calibri"/>
                <w:lang w:val="en-AU"/>
              </w:rPr>
              <w:t xml:space="preserve">The MSG is required to review the outcomes and impact of EITI implementation on natural resource governance in PNG and ensure all prescribed details of the annual progress report are mentioned in the next report. </w:t>
            </w:r>
          </w:p>
        </w:tc>
        <w:tc>
          <w:tcPr>
            <w:tcW w:w="6425" w:type="dxa"/>
            <w:tcBorders>
              <w:top w:val="single" w:sz="4" w:space="0" w:color="auto"/>
              <w:left w:val="single" w:sz="4" w:space="0" w:color="auto"/>
              <w:bottom w:val="single" w:sz="4" w:space="0" w:color="auto"/>
              <w:right w:val="nil"/>
            </w:tcBorders>
          </w:tcPr>
          <w:p w14:paraId="6B30E8FA" w14:textId="77777777" w:rsidR="00134395" w:rsidRDefault="00134395">
            <w:pPr>
              <w:spacing w:after="0" w:line="256" w:lineRule="auto"/>
              <w:contextualSpacing/>
              <w:rPr>
                <w:rFonts w:cs="Calibri"/>
                <w:szCs w:val="23"/>
                <w:lang w:val="en-AU"/>
              </w:rPr>
            </w:pPr>
            <w:r>
              <w:rPr>
                <w:rFonts w:cs="Calibri"/>
                <w:szCs w:val="23"/>
                <w:lang w:val="en-AU"/>
              </w:rPr>
              <w:t xml:space="preserve">Requirement 7.4 has been addressed in the PNGEITI 2018 and 2019 Reports.  </w:t>
            </w:r>
          </w:p>
          <w:p w14:paraId="4E66AFE3" w14:textId="77777777" w:rsidR="00134395" w:rsidRDefault="00134395">
            <w:pPr>
              <w:spacing w:after="0" w:line="256" w:lineRule="auto"/>
              <w:contextualSpacing/>
              <w:rPr>
                <w:rFonts w:cs="Calibri"/>
                <w:szCs w:val="23"/>
                <w:lang w:val="en-AU"/>
              </w:rPr>
            </w:pPr>
          </w:p>
          <w:p w14:paraId="557DA516" w14:textId="77777777" w:rsidR="00D239B3" w:rsidRDefault="00134395">
            <w:pPr>
              <w:spacing w:after="0" w:line="256" w:lineRule="auto"/>
              <w:contextualSpacing/>
              <w:rPr>
                <w:rFonts w:cs="Calibri"/>
                <w:szCs w:val="23"/>
                <w:lang w:val="en-AU"/>
              </w:rPr>
            </w:pPr>
            <w:r>
              <w:rPr>
                <w:rFonts w:cs="Calibri"/>
                <w:szCs w:val="23"/>
                <w:lang w:val="en-AU"/>
              </w:rPr>
              <w:t>MSG has also published annual progress reports for years 2017 to 2020 with the 2021 report curre</w:t>
            </w:r>
            <w:r w:rsidR="00D239B3">
              <w:rPr>
                <w:rFonts w:cs="Calibri"/>
                <w:szCs w:val="23"/>
                <w:lang w:val="en-AU"/>
              </w:rPr>
              <w:t>ntly in review</w:t>
            </w:r>
            <w:r>
              <w:rPr>
                <w:rFonts w:cs="Calibri"/>
                <w:szCs w:val="23"/>
                <w:lang w:val="en-AU"/>
              </w:rPr>
              <w:t xml:space="preserve">.  </w:t>
            </w:r>
          </w:p>
          <w:p w14:paraId="566F537A" w14:textId="77777777" w:rsidR="00D239B3" w:rsidRDefault="00D239B3">
            <w:pPr>
              <w:spacing w:after="0" w:line="256" w:lineRule="auto"/>
              <w:contextualSpacing/>
              <w:rPr>
                <w:rFonts w:cs="Calibri"/>
                <w:szCs w:val="23"/>
                <w:lang w:val="en-AU"/>
              </w:rPr>
            </w:pPr>
          </w:p>
          <w:p w14:paraId="5476750D" w14:textId="18C99011" w:rsidR="00134395" w:rsidRDefault="00134395">
            <w:pPr>
              <w:spacing w:after="0" w:line="256" w:lineRule="auto"/>
              <w:contextualSpacing/>
              <w:rPr>
                <w:rFonts w:cs="Calibri"/>
                <w:szCs w:val="23"/>
                <w:lang w:val="en-AU"/>
              </w:rPr>
            </w:pPr>
            <w:r>
              <w:rPr>
                <w:rFonts w:cs="Calibri"/>
                <w:szCs w:val="23"/>
                <w:lang w:val="en-AU"/>
              </w:rPr>
              <w:t xml:space="preserve">Annual progress reports </w:t>
            </w:r>
            <w:r w:rsidR="00D239B3">
              <w:rPr>
                <w:rFonts w:cs="Calibri"/>
                <w:szCs w:val="23"/>
                <w:lang w:val="en-AU"/>
              </w:rPr>
              <w:t xml:space="preserve">for the period under review </w:t>
            </w:r>
            <w:r>
              <w:rPr>
                <w:rFonts w:cs="Calibri"/>
                <w:szCs w:val="23"/>
                <w:lang w:val="en-AU"/>
              </w:rPr>
              <w:t xml:space="preserve">can be accessed </w:t>
            </w:r>
            <w:r w:rsidR="00D239B3">
              <w:rPr>
                <w:rFonts w:cs="Calibri"/>
                <w:szCs w:val="23"/>
                <w:lang w:val="en-AU"/>
              </w:rPr>
              <w:t>here</w:t>
            </w:r>
            <w:r>
              <w:rPr>
                <w:rFonts w:cs="Calibri"/>
                <w:szCs w:val="23"/>
                <w:lang w:val="en-AU"/>
              </w:rPr>
              <w:t xml:space="preserve">: </w:t>
            </w:r>
            <w:hyperlink r:id="rId75" w:history="1">
              <w:r>
                <w:rPr>
                  <w:rStyle w:val="Hyperlink"/>
                  <w:lang w:val="en-AU"/>
                </w:rPr>
                <w:t>2022 Validation – PNGEITI</w:t>
              </w:r>
            </w:hyperlink>
          </w:p>
          <w:p w14:paraId="5F75488A" w14:textId="77777777" w:rsidR="00134395" w:rsidRDefault="00134395">
            <w:pPr>
              <w:spacing w:after="0" w:line="256" w:lineRule="auto"/>
              <w:contextualSpacing/>
              <w:rPr>
                <w:rFonts w:eastAsia="Franklin Gothic Book" w:cs="Franklin Gothic Book"/>
                <w:lang w:val="en-AU"/>
              </w:rPr>
            </w:pPr>
          </w:p>
          <w:p w14:paraId="316CC7A6" w14:textId="77777777" w:rsidR="00134395" w:rsidRDefault="00134395">
            <w:pPr>
              <w:spacing w:after="0" w:line="256" w:lineRule="auto"/>
              <w:contextualSpacing/>
              <w:rPr>
                <w:szCs w:val="22"/>
                <w:lang w:val="en-AU"/>
              </w:rPr>
            </w:pPr>
          </w:p>
        </w:tc>
      </w:tr>
      <w:tr w:rsidR="00134395" w14:paraId="37070096" w14:textId="77777777" w:rsidTr="00134395">
        <w:trPr>
          <w:trHeight w:val="318"/>
        </w:trPr>
        <w:tc>
          <w:tcPr>
            <w:tcW w:w="3214" w:type="dxa"/>
            <w:tcBorders>
              <w:top w:val="single" w:sz="4" w:space="0" w:color="auto"/>
              <w:left w:val="nil"/>
              <w:bottom w:val="nil"/>
              <w:right w:val="single" w:sz="4" w:space="0" w:color="auto"/>
            </w:tcBorders>
            <w:hideMark/>
          </w:tcPr>
          <w:p w14:paraId="28C741D4" w14:textId="77777777" w:rsidR="00134395" w:rsidRDefault="00134395">
            <w:pPr>
              <w:spacing w:after="0" w:line="256" w:lineRule="auto"/>
              <w:contextualSpacing/>
              <w:rPr>
                <w:rFonts w:cs="Calibri"/>
                <w:i/>
                <w:szCs w:val="23"/>
                <w:lang w:val="en-AU"/>
              </w:rPr>
            </w:pPr>
            <w:r>
              <w:rPr>
                <w:rFonts w:cs="Calibri"/>
                <w:i/>
                <w:szCs w:val="23"/>
                <w:lang w:val="en-AU"/>
              </w:rPr>
              <w:t>(add rows as necessary)</w:t>
            </w:r>
          </w:p>
        </w:tc>
        <w:tc>
          <w:tcPr>
            <w:tcW w:w="6425" w:type="dxa"/>
            <w:tcBorders>
              <w:top w:val="single" w:sz="4" w:space="0" w:color="auto"/>
              <w:left w:val="single" w:sz="4" w:space="0" w:color="auto"/>
              <w:bottom w:val="nil"/>
              <w:right w:val="nil"/>
            </w:tcBorders>
          </w:tcPr>
          <w:p w14:paraId="7F353389" w14:textId="77777777" w:rsidR="00134395" w:rsidRDefault="00134395">
            <w:pPr>
              <w:spacing w:after="0" w:line="256" w:lineRule="auto"/>
              <w:contextualSpacing/>
              <w:rPr>
                <w:rFonts w:cs="Calibri"/>
                <w:szCs w:val="23"/>
                <w:lang w:val="en-AU"/>
              </w:rPr>
            </w:pPr>
          </w:p>
        </w:tc>
      </w:tr>
    </w:tbl>
    <w:p w14:paraId="4E51737D" w14:textId="77777777" w:rsidR="00644691" w:rsidRDefault="00644691"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10201" w:type="dxa"/>
        <w:tblLook w:val="04A0" w:firstRow="1" w:lastRow="0" w:firstColumn="1" w:lastColumn="0" w:noHBand="0" w:noVBand="1"/>
      </w:tblPr>
      <w:tblGrid>
        <w:gridCol w:w="10201"/>
      </w:tblGrid>
      <w:tr w:rsidR="00C6608B" w14:paraId="6097B050" w14:textId="77777777" w:rsidTr="000064B3">
        <w:tc>
          <w:tcPr>
            <w:tcW w:w="10201" w:type="dxa"/>
          </w:tcPr>
          <w:p w14:paraId="34C42311" w14:textId="5C9B6AA4" w:rsidR="000064B3" w:rsidRDefault="000064B3" w:rsidP="000064B3">
            <w:pPr>
              <w:jc w:val="both"/>
            </w:pPr>
            <w:r>
              <w:lastRenderedPageBreak/>
              <w:t xml:space="preserve">The implementation of PNGEITI, the publication of the seven PNGEITI </w:t>
            </w:r>
            <w:r w:rsidR="4CBB3456">
              <w:t>reports,</w:t>
            </w:r>
            <w:r>
              <w:t xml:space="preserve"> and their recommendations had provided many critical </w:t>
            </w:r>
            <w:r w:rsidR="4CBB3456">
              <w:t>lessons</w:t>
            </w:r>
            <w:r>
              <w:t xml:space="preserve"> to learn from in addressing the many challenges and issues for better management of the extractive sector in PNG.</w:t>
            </w:r>
          </w:p>
          <w:p w14:paraId="47696754" w14:textId="27337F3F" w:rsidR="009475F6" w:rsidRDefault="009475F6" w:rsidP="000064B3">
            <w:pPr>
              <w:jc w:val="both"/>
            </w:pPr>
            <w:r>
              <w:t xml:space="preserve">These challenges and issues </w:t>
            </w:r>
            <w:r w:rsidR="11438D37">
              <w:t>include</w:t>
            </w:r>
            <w:r>
              <w:t>: data and information gaps, weakness in the government systems and processes, the opaque nature of SOE’s operations, lack of reliable and up to date data/information, data quality and comprehensiveness have given rise to the need to address these issues/challenges</w:t>
            </w:r>
            <w:r w:rsidR="004104CB">
              <w:t xml:space="preserve">. The MSG was informed and </w:t>
            </w:r>
            <w:r w:rsidR="4DF61143">
              <w:t>has</w:t>
            </w:r>
            <w:r w:rsidR="004104CB">
              <w:t xml:space="preserve"> taken steps to formulate </w:t>
            </w:r>
            <w:r w:rsidR="4DF61143">
              <w:t>plans on</w:t>
            </w:r>
            <w:r w:rsidR="004104CB">
              <w:t xml:space="preserve"> the current work plan to source and </w:t>
            </w:r>
            <w:proofErr w:type="spellStart"/>
            <w:r w:rsidR="004104CB">
              <w:t>mobolise</w:t>
            </w:r>
            <w:proofErr w:type="spellEnd"/>
            <w:r w:rsidR="004104CB">
              <w:t xml:space="preserve"> available </w:t>
            </w:r>
            <w:proofErr w:type="spellStart"/>
            <w:r w:rsidR="004104CB">
              <w:t>recources</w:t>
            </w:r>
            <w:proofErr w:type="spellEnd"/>
            <w:r w:rsidR="004104CB">
              <w:t xml:space="preserve"> to </w:t>
            </w:r>
            <w:proofErr w:type="gramStart"/>
            <w:r w:rsidR="004104CB">
              <w:t>take action</w:t>
            </w:r>
            <w:proofErr w:type="gramEnd"/>
            <w:r w:rsidR="004104CB">
              <w:t xml:space="preserve"> not only through the current work plan but consistently address the issues going forward.</w:t>
            </w:r>
          </w:p>
          <w:p w14:paraId="2B6639F4" w14:textId="77777777" w:rsidR="0053001B" w:rsidRDefault="006A52B9" w:rsidP="00AA797A">
            <w:pPr>
              <w:jc w:val="both"/>
            </w:pPr>
            <w:r>
              <w:t xml:space="preserve">The </w:t>
            </w:r>
            <w:r w:rsidR="004104CB">
              <w:t xml:space="preserve">MSG will soon develop medium term plans </w:t>
            </w:r>
            <w:proofErr w:type="spellStart"/>
            <w:r w:rsidR="00BF41BC">
              <w:t>ie</w:t>
            </w:r>
            <w:proofErr w:type="spellEnd"/>
            <w:r w:rsidR="00BF41BC">
              <w:t xml:space="preserve"> 3-5 years and </w:t>
            </w:r>
            <w:proofErr w:type="gramStart"/>
            <w:r w:rsidR="00BF41BC">
              <w:t>longer term</w:t>
            </w:r>
            <w:proofErr w:type="gramEnd"/>
            <w:r w:rsidR="00BF41BC">
              <w:t xml:space="preserve"> plans </w:t>
            </w:r>
            <w:proofErr w:type="spellStart"/>
            <w:r w:rsidR="00BF41BC">
              <w:t>i.e</w:t>
            </w:r>
            <w:proofErr w:type="spellEnd"/>
            <w:r w:rsidR="00BF41BC">
              <w:t xml:space="preserve">, 5 years and more to address these issues overtime going forward. To enable them to do this, MSG is now developing a legislation to sustain EITI implementation in the country. </w:t>
            </w:r>
          </w:p>
          <w:p w14:paraId="6309F028" w14:textId="69E17FE3" w:rsidR="00C6608B" w:rsidRDefault="00B320A8" w:rsidP="00AA797A">
            <w:pPr>
              <w:jc w:val="both"/>
              <w:rPr>
                <w:rStyle w:val="normaltextrun"/>
                <w:rFonts w:cs="Segoe UI"/>
              </w:rPr>
            </w:pPr>
            <w:r w:rsidRPr="12375257">
              <w:rPr>
                <w:rStyle w:val="normaltextrun"/>
                <w:rFonts w:cs="Segoe UI"/>
              </w:rPr>
              <w:t xml:space="preserve">The first validation outcome </w:t>
            </w:r>
            <w:r w:rsidR="0053001B">
              <w:rPr>
                <w:rStyle w:val="normaltextrun"/>
                <w:rFonts w:cs="Segoe UI"/>
              </w:rPr>
              <w:t>has</w:t>
            </w:r>
            <w:r w:rsidRPr="12375257">
              <w:rPr>
                <w:rStyle w:val="normaltextrun"/>
                <w:rFonts w:cs="Segoe UI"/>
              </w:rPr>
              <w:t xml:space="preserve"> influenced the current work plan and will </w:t>
            </w:r>
            <w:r>
              <w:rPr>
                <w:rStyle w:val="normaltextrun"/>
                <w:rFonts w:cs="Segoe UI"/>
              </w:rPr>
              <w:t>also</w:t>
            </w:r>
            <w:r w:rsidRPr="12375257">
              <w:rPr>
                <w:rStyle w:val="normaltextrun"/>
                <w:rFonts w:cs="Segoe UI"/>
              </w:rPr>
              <w:t xml:space="preserve"> influence future work plans. </w:t>
            </w:r>
          </w:p>
          <w:p w14:paraId="0F4F2047" w14:textId="77777777" w:rsidR="0053001B" w:rsidRDefault="0053001B" w:rsidP="0053001B">
            <w:pPr>
              <w:jc w:val="both"/>
            </w:pPr>
            <w:r>
              <w:t xml:space="preserve">1. Validation Technical Working Group meetings are conducted during the year to address the corrective actions from the first validation. </w:t>
            </w:r>
          </w:p>
          <w:p w14:paraId="6995ECED" w14:textId="77777777" w:rsidR="0053001B" w:rsidRDefault="0053001B" w:rsidP="0053001B">
            <w:pPr>
              <w:jc w:val="both"/>
            </w:pPr>
            <w:r>
              <w:t xml:space="preserve">2. Furnish Ministerial Briefs to the Minister, to inform on the progress of EITI implementation and to seek his support and commitment in pursuing the report recommendations. </w:t>
            </w:r>
          </w:p>
          <w:p w14:paraId="37AF3596" w14:textId="77777777" w:rsidR="0053001B" w:rsidRDefault="0053001B" w:rsidP="0053001B">
            <w:pPr>
              <w:jc w:val="both"/>
            </w:pPr>
            <w:r>
              <w:t xml:space="preserve">3. Address report recommendations from previous reports (2013-2019) in the upcoming reports. </w:t>
            </w:r>
          </w:p>
          <w:p w14:paraId="57A78E23" w14:textId="77777777" w:rsidR="0053001B" w:rsidRDefault="0053001B" w:rsidP="0053001B">
            <w:pPr>
              <w:jc w:val="both"/>
            </w:pPr>
            <w:r>
              <w:t xml:space="preserve">4. Conduct information awareness sessions with relevant stakeholders at the national and subnational level on EITI report recommendations. </w:t>
            </w:r>
          </w:p>
          <w:p w14:paraId="5204BBF7" w14:textId="77777777" w:rsidR="0053001B" w:rsidRDefault="0053001B" w:rsidP="0053001B">
            <w:pPr>
              <w:jc w:val="both"/>
            </w:pPr>
            <w:r>
              <w:t xml:space="preserve">5. Work with Government agencies and departments to enhance their reporting processes and systems to record the revenue received from the mining, oil and gas sector. </w:t>
            </w:r>
          </w:p>
          <w:p w14:paraId="2F1F58A0" w14:textId="0BCA1811" w:rsidR="0053001B" w:rsidRDefault="0053001B" w:rsidP="00AA797A">
            <w:pPr>
              <w:jc w:val="both"/>
            </w:pPr>
          </w:p>
        </w:tc>
      </w:tr>
    </w:tbl>
    <w:p w14:paraId="4B636B27" w14:textId="77777777" w:rsidR="00C6608B" w:rsidRPr="0060568E" w:rsidRDefault="00C6608B" w:rsidP="00C6608B">
      <w:pPr>
        <w:pStyle w:val="Heading2"/>
        <w:ind w:left="0" w:firstLine="0"/>
      </w:pPr>
      <w:bookmarkStart w:id="5" w:name="_Toc57973528"/>
      <w:r w:rsidRPr="0060568E">
        <w:t>Innovations and impact</w:t>
      </w:r>
      <w:bookmarkEnd w:id="5"/>
    </w:p>
    <w:p w14:paraId="4012949B" w14:textId="77777777" w:rsidR="00C6608B" w:rsidRDefault="00C6608B" w:rsidP="00C6608B">
      <w:r>
        <w:rPr>
          <w:b/>
          <w:bCs/>
        </w:rPr>
        <w:t>7</w:t>
      </w:r>
      <w:r w:rsidRPr="00810CBF">
        <w:rPr>
          <w:b/>
          <w:bCs/>
        </w:rPr>
        <w:t>. Summarise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4A2B06">
        <w:trPr>
          <w:trHeight w:val="2955"/>
        </w:trPr>
        <w:tc>
          <w:tcPr>
            <w:tcW w:w="9062" w:type="dxa"/>
            <w:shd w:val="clear" w:color="auto" w:fill="auto"/>
          </w:tcPr>
          <w:p w14:paraId="6858F481" w14:textId="2709860F" w:rsidR="00184E96" w:rsidRDefault="00184E96" w:rsidP="00134395">
            <w:pPr>
              <w:pStyle w:val="ListParagraph"/>
              <w:numPr>
                <w:ilvl w:val="0"/>
                <w:numId w:val="20"/>
              </w:numPr>
              <w:ind w:left="270" w:hanging="270"/>
            </w:pPr>
            <w:r>
              <w:lastRenderedPageBreak/>
              <w:t xml:space="preserve">National Policy framework – </w:t>
            </w:r>
            <w:hyperlink r:id="rId76" w:history="1">
              <w:r w:rsidRPr="00CC63FF">
                <w:rPr>
                  <w:rStyle w:val="Hyperlink"/>
                  <w:rFonts w:eastAsia="Cambria" w:cs="Arial"/>
                </w:rPr>
                <w:t>National Policy on Transparency and Accountability</w:t>
              </w:r>
            </w:hyperlink>
            <w:r>
              <w:t xml:space="preserve"> in the PNG Extractive Sector was adopted in 2019 </w:t>
            </w:r>
            <w:hyperlink r:id="rId77">
              <w:r w:rsidRPr="1C6E3B1F">
                <w:rPr>
                  <w:rStyle w:val="Hyperlink"/>
                </w:rPr>
                <w:t>(NEC Decision No.80)</w:t>
              </w:r>
            </w:hyperlink>
            <w:r>
              <w:t>,</w:t>
            </w:r>
          </w:p>
          <w:p w14:paraId="639BC0B1" w14:textId="77777777" w:rsidR="00184E96" w:rsidRDefault="00184E96" w:rsidP="00FB6521">
            <w:pPr>
              <w:ind w:left="176"/>
              <w:jc w:val="both"/>
            </w:pPr>
            <w:r>
              <w:t>This Policy sets out the mission and objectives for an independent administrative body that promotes and requires transparency and accountability in the mining and petroleum (oil and gas) sectors in Papua New Guinea.  This public body will both domesticate international standards and respond to national needs.  The public body continues and extends the work of the Extractive Industries Transparency Initiative (EITI) in PNG by transforming the initiative into a legally constituted administration with powers to require reporting organisations (both companies and government bodies) to disclose information.  The initiative will further be transformed by acquiring a formal place in an existing context of government institutions.</w:t>
            </w:r>
          </w:p>
          <w:p w14:paraId="693C20F6" w14:textId="77777777" w:rsidR="00184E96" w:rsidRDefault="00184E96" w:rsidP="00FB6521">
            <w:pPr>
              <w:ind w:left="176"/>
              <w:jc w:val="both"/>
            </w:pPr>
            <w:r>
              <w:t xml:space="preserve">Through nine policy objectives, this Policy outlines the core functions of the independent administrative body, determines the multi-stakeholder nature of its oversight body, and </w:t>
            </w:r>
            <w:proofErr w:type="spellStart"/>
            <w:r>
              <w:t>summarises</w:t>
            </w:r>
            <w:proofErr w:type="spellEnd"/>
            <w:r>
              <w:t xml:space="preserve"> its key reporting outputs.  This Policy also sets out how the new independent administrative body will be embedded within an existing institutional framework by supporting anti-corruption and public financial management activities, but also by assessing the quality and timeliness of information on the extractives sector produced by other government agencies and making recommendations for improvement.  Finally, this Policy outlines how the administrative body’s outputs will be used to inform and educate citizens and stakeholders to improve public debate and policy making.</w:t>
            </w:r>
          </w:p>
          <w:p w14:paraId="42C97554" w14:textId="51799C2B" w:rsidR="00184E96" w:rsidRDefault="00184E96" w:rsidP="00FB6521">
            <w:pPr>
              <w:ind w:left="176"/>
              <w:jc w:val="both"/>
            </w:pPr>
            <w:r>
              <w:t xml:space="preserve">This Policy provides multiple benefits: it ensures that there is multi-stakeholder participation (government, the private sector and civil society) in the oversight of the work of the independent administrative body.  It also ensures that there are mandatory disclosure requirements placed upon those who are required to provide information, leading to more comprehensive publicly available information.  This Policy will guarantee that information produced </w:t>
            </w:r>
            <w:proofErr w:type="spellStart"/>
            <w:r>
              <w:t>onin</w:t>
            </w:r>
            <w:proofErr w:type="spellEnd"/>
            <w:r>
              <w:t xml:space="preserve"> the extractive sector is both timely and credible and supports anti-corruption activities within government as well as public financial management.  This Policy will also lead to better understanding of the extractives sector across Papua New Guinea and help build trust that the revenues from mining and petroleum are of benefit to all citizens.</w:t>
            </w:r>
          </w:p>
          <w:p w14:paraId="0B5E35A9" w14:textId="54B8D5C0" w:rsidR="00BF6E9C" w:rsidRDefault="00184E96" w:rsidP="00FB6521">
            <w:pPr>
              <w:ind w:left="176"/>
              <w:jc w:val="both"/>
            </w:pPr>
            <w:r>
              <w:t xml:space="preserve">This Policy requires two laws to be drafted and approved: firstly, an establishment law that gives the administrative body its legal basis, and secondly, a reporting law that sets out the disclosure and compliance requirements that the administrative body will implement.  There will likely be a series of consequential amendments to other legislation related to the extractives sector. </w:t>
            </w:r>
          </w:p>
          <w:p w14:paraId="45A6E9F0" w14:textId="559E4306" w:rsidR="00184E96" w:rsidRDefault="006F55C9" w:rsidP="00FB6521">
            <w:pPr>
              <w:ind w:left="176"/>
              <w:jc w:val="both"/>
              <w:rPr>
                <w:rStyle w:val="Hyperlink"/>
              </w:rPr>
            </w:pPr>
            <w:hyperlink r:id="rId78" w:history="1">
              <w:r w:rsidR="00BF6E9C" w:rsidRPr="006A35A2">
                <w:rPr>
                  <w:rStyle w:val="Hyperlink"/>
                  <w:rFonts w:eastAsia="Cambria" w:cs="Arial"/>
                </w:rPr>
                <w:t>http://www.pngeiti.org.pg/wp-content/uploads/2018/04/PNG-EITI-National-Policy_Draft-Final-1.pdf</w:t>
              </w:r>
            </w:hyperlink>
          </w:p>
          <w:p w14:paraId="337E0F3A" w14:textId="020B0C7F" w:rsidR="00171BC0" w:rsidRDefault="006F55C9" w:rsidP="00FB6521">
            <w:pPr>
              <w:ind w:left="176"/>
              <w:jc w:val="both"/>
            </w:pPr>
            <w:hyperlink r:id="rId79" w:history="1">
              <w:r w:rsidR="00171BC0" w:rsidRPr="00024D83">
                <w:rPr>
                  <w:rStyle w:val="Hyperlink"/>
                </w:rPr>
                <w:t>https://adamsmithinternational.com/news/institutionalising-transparency-in-the-extractives-sector-in-png/</w:t>
              </w:r>
            </w:hyperlink>
            <w:r w:rsidR="00171BC0">
              <w:t xml:space="preserve"> </w:t>
            </w:r>
          </w:p>
          <w:p w14:paraId="2F696E89" w14:textId="77777777" w:rsidR="00184E96" w:rsidRDefault="00184E96" w:rsidP="00184E96">
            <w:pPr>
              <w:ind w:left="176"/>
            </w:pPr>
            <w:r>
              <w:t>•</w:t>
            </w:r>
            <w:r>
              <w:tab/>
              <w:t xml:space="preserve">PNG Extractive Industries </w:t>
            </w:r>
            <w:proofErr w:type="gramStart"/>
            <w:r>
              <w:t>Transparency  Commission</w:t>
            </w:r>
            <w:proofErr w:type="gramEnd"/>
            <w:r>
              <w:t xml:space="preserve"> Bill</w:t>
            </w:r>
          </w:p>
          <w:p w14:paraId="7AC24925" w14:textId="77777777" w:rsidR="00184E96" w:rsidRDefault="00184E96" w:rsidP="00FB6521">
            <w:pPr>
              <w:ind w:left="176"/>
              <w:jc w:val="both"/>
            </w:pPr>
            <w:r>
              <w:t xml:space="preserve">EITI implementation in PNG has gained momentum with increased participation by relevant regulatory departments and state-owned entities, provincial authorities, industry companies and civil societies. The sustainability of EITI implementation in the country is dependent on having it legally established. The reason being that the EITI is currently implemented through </w:t>
            </w:r>
            <w:r>
              <w:lastRenderedPageBreak/>
              <w:t xml:space="preserve">a NEC Decision that holds no legal obligation for reporting entities to ensure compliance, especially providing financial data and information for EITI reporting purpose. </w:t>
            </w:r>
          </w:p>
          <w:p w14:paraId="7967AD88" w14:textId="6EBE9EEB" w:rsidR="00184E96" w:rsidRDefault="00184E96" w:rsidP="00FB6521">
            <w:pPr>
              <w:ind w:left="176"/>
              <w:jc w:val="both"/>
            </w:pPr>
            <w:r>
              <w:t>The PNGEITI reports that have been published so far continue to have data and information gaps resulting in significant discrepancies in the data and information presented to the public from reporting entities. Additionally, this scenario also presents constraints in implementing a number of EITI requirements due to the absence of a legal framework to sustain EITI governance and reporting framework domestically. Examples of reporting gaps that require legislative intervention include; disclosure of contracts for contracts transparency, disclosure of beneficial ownership details and the process involved in the issuance and transfer of mining, oil and gas licenses and the absence of a license registry or a database at both the MRA and the Department of Petroleum offices amongst others for mining and petroleum activities respectively. These gaps have been identified and recommended for actioning in the 2018 Validation Report and the PNGEITI reports that have been published.</w:t>
            </w:r>
          </w:p>
          <w:p w14:paraId="19793A63" w14:textId="77777777" w:rsidR="00184E96" w:rsidRDefault="00184E96" w:rsidP="00FB6521">
            <w:pPr>
              <w:ind w:left="176"/>
              <w:jc w:val="both"/>
            </w:pPr>
            <w:r>
              <w:t xml:space="preserve">Limited visibility in revenue reporting over the years have hindered informed decision making for effective governance and better management of the extractive sector. The introduction of the EITI concept and the subsequent intervention of the PNGEITI National Policy now sets the framework for improved governance, not only in the mineral sector, but also in the non-mineral sector utilizing the EITI model for improved transparency and accountability. </w:t>
            </w:r>
          </w:p>
          <w:p w14:paraId="5AC1A4BB" w14:textId="78D4F9E2" w:rsidR="00184E96" w:rsidRDefault="00184E96" w:rsidP="00FB6521">
            <w:pPr>
              <w:ind w:left="176"/>
              <w:jc w:val="both"/>
            </w:pPr>
            <w:r>
              <w:t xml:space="preserve">The stakeholders have been making efforts in moving towards sustaining EITI implementation with a mandatory disclosure regime. These efforts are consistent with the </w:t>
            </w:r>
            <w:hyperlink r:id="rId80" w:history="1">
              <w:r w:rsidRPr="004E3180">
                <w:rPr>
                  <w:rStyle w:val="Hyperlink"/>
                  <w:rFonts w:eastAsia="Cambria" w:cs="Arial"/>
                </w:rPr>
                <w:t>NEC Decision No. 90/2013)</w:t>
              </w:r>
            </w:hyperlink>
            <w:r>
              <w:t xml:space="preserve"> for PNGEITI to be established as an independent statutory body. A proposed PNGEIT Commission Bill is currently being finalized to be presented to Parliament in November this year for enactment.    </w:t>
            </w:r>
          </w:p>
          <w:p w14:paraId="546220F9" w14:textId="77777777" w:rsidR="00FB6521" w:rsidRDefault="00184E96" w:rsidP="00184E96">
            <w:pPr>
              <w:ind w:left="176"/>
            </w:pPr>
            <w:r>
              <w:t>•</w:t>
            </w:r>
            <w:r>
              <w:tab/>
              <w:t xml:space="preserve">Legislative amendment </w:t>
            </w:r>
          </w:p>
          <w:p w14:paraId="2D422A3C" w14:textId="21E390B0" w:rsidR="00184E96" w:rsidRDefault="00184E96" w:rsidP="00184E96">
            <w:pPr>
              <w:ind w:left="176"/>
            </w:pPr>
            <w:r>
              <w:t xml:space="preserve">Amendment of the Income Tax Act administered by </w:t>
            </w:r>
            <w:proofErr w:type="gramStart"/>
            <w:r>
              <w:t>the  Internal</w:t>
            </w:r>
            <w:proofErr w:type="gramEnd"/>
            <w:r>
              <w:t xml:space="preserve"> the Internal Revenue Commission (IRC) removed a secrecy provision in this Act in 2018. This enables the IRC to disclose taxpayer information and tax revenue data without the tax payer’s consent for EITI reporting purpose. This action was tak</w:t>
            </w:r>
            <w:r w:rsidR="00FB6521">
              <w:t>en by the MSG arising from the recommendation made in the second PNGEITI report that was published.</w:t>
            </w:r>
          </w:p>
          <w:p w14:paraId="7692C6EC" w14:textId="77777777" w:rsidR="00FB6521" w:rsidRPr="006D771A" w:rsidRDefault="00FB6521" w:rsidP="00134395">
            <w:pPr>
              <w:pStyle w:val="ListParagraph"/>
              <w:numPr>
                <w:ilvl w:val="0"/>
                <w:numId w:val="20"/>
              </w:numPr>
              <w:rPr>
                <w:szCs w:val="22"/>
              </w:rPr>
            </w:pPr>
            <w:r>
              <w:t>Open Data Policy</w:t>
            </w:r>
          </w:p>
          <w:p w14:paraId="77E6481D" w14:textId="77777777" w:rsidR="00FB6521" w:rsidRPr="006D771A" w:rsidRDefault="00FB6521" w:rsidP="00FB6521">
            <w:pPr>
              <w:pStyle w:val="ListParagraph"/>
            </w:pPr>
            <w:r w:rsidRPr="5EF89444">
              <w:rPr>
                <w:rFonts w:cs="Century Gothic"/>
                <w:lang w:val="en"/>
              </w:rPr>
              <w:t>Digitizing and Opening up government data for access to information and transparency. This is included in the Open Government Partnership Program (OGP) the PNG Government has signed up to implement in 2014 as outlined below.</w:t>
            </w:r>
          </w:p>
          <w:p w14:paraId="58696E74" w14:textId="2E26A72A" w:rsidR="00FB6521" w:rsidRDefault="006F55C9" w:rsidP="00134395">
            <w:pPr>
              <w:pStyle w:val="ListParagraph"/>
              <w:numPr>
                <w:ilvl w:val="0"/>
                <w:numId w:val="20"/>
              </w:numPr>
              <w:rPr>
                <w:highlight w:val="yellow"/>
              </w:rPr>
            </w:pPr>
            <w:hyperlink r:id="rId81" w:history="1">
              <w:r w:rsidR="00FB6521" w:rsidRPr="00D05A54">
                <w:rPr>
                  <w:rStyle w:val="Hyperlink"/>
                  <w:rFonts w:eastAsia="Cambria" w:cs="Arial"/>
                  <w:color w:val="000000" w:themeColor="text1"/>
                  <w:u w:val="none"/>
                </w:rPr>
                <w:t>Open Government Partners</w:t>
              </w:r>
              <w:r w:rsidR="00FB6521" w:rsidRPr="00D05A54">
                <w:rPr>
                  <w:rStyle w:val="Hyperlink"/>
                  <w:color w:val="000000" w:themeColor="text1"/>
                  <w:u w:val="none"/>
                </w:rPr>
                <w:t>hip</w:t>
              </w:r>
            </w:hyperlink>
            <w:r w:rsidR="00FB6521">
              <w:t xml:space="preserve"> – PNGEITI is under cluster 4 Extractive Industries. </w:t>
            </w:r>
          </w:p>
          <w:p w14:paraId="5FBF43F6" w14:textId="1044FFBA" w:rsidR="00FB6521" w:rsidRDefault="00FB6521" w:rsidP="00134395">
            <w:pPr>
              <w:pStyle w:val="ListParagraph"/>
              <w:numPr>
                <w:ilvl w:val="0"/>
                <w:numId w:val="20"/>
              </w:numPr>
              <w:autoSpaceDE w:val="0"/>
              <w:autoSpaceDN w:val="0"/>
              <w:adjustRightInd w:val="0"/>
              <w:spacing w:before="0" w:after="0"/>
              <w:contextualSpacing/>
              <w:jc w:val="both"/>
              <w:rPr>
                <w:rFonts w:cs="Century Gothic"/>
                <w:lang w:val="en"/>
              </w:rPr>
            </w:pPr>
            <w:r w:rsidRPr="0F1B119B">
              <w:rPr>
                <w:rFonts w:cs="Century Gothic"/>
                <w:lang w:val="en"/>
              </w:rPr>
              <w:t>In May 2014, the Minister for Foreign Affairs informed the Government of PNG’s interest to become a member of this multilateral initiative</w:t>
            </w:r>
            <w:r w:rsidRPr="0F1B119B">
              <w:rPr>
                <w:rFonts w:cs="Century Gothic"/>
                <w:b/>
                <w:lang w:val="en"/>
              </w:rPr>
              <w:t xml:space="preserve">. </w:t>
            </w:r>
            <w:r w:rsidRPr="0F1B119B">
              <w:rPr>
                <w:rFonts w:cs="Century Gothic"/>
                <w:lang w:val="en"/>
              </w:rPr>
              <w:t xml:space="preserve">There are many similar developments relative to policy and legislative reforms that the Government of PNG is undertaking. These include Public Private Partnership (PPP), PNG Strategy for Development of Statistics, Budget reforms (Multi-year budgeting and policy driven budget), State-CSO Partnership and Improvement of Legal Structures for accountability and transparency that are similar to the commitments of other OGP members. By becoming a member of this international initiative, PNG would not only gain from sharing its experiences with other OGP members but most importantly, learn from their experiences and improve its </w:t>
            </w:r>
            <w:r w:rsidRPr="0F1B119B">
              <w:rPr>
                <w:rFonts w:cs="Century Gothic"/>
                <w:lang w:val="en"/>
              </w:rPr>
              <w:lastRenderedPageBreak/>
              <w:t>current national initiatives that it has undertaken domestically, especially improving good governance and citizen engagement.</w:t>
            </w:r>
          </w:p>
          <w:p w14:paraId="479F1CD1" w14:textId="77777777" w:rsidR="00FB6521" w:rsidRPr="006D771A" w:rsidRDefault="00FB6521" w:rsidP="00FB6521">
            <w:pPr>
              <w:pStyle w:val="ListParagraph"/>
              <w:autoSpaceDE w:val="0"/>
              <w:autoSpaceDN w:val="0"/>
              <w:adjustRightInd w:val="0"/>
              <w:spacing w:before="0" w:after="0"/>
              <w:contextualSpacing/>
              <w:jc w:val="both"/>
              <w:rPr>
                <w:rFonts w:cs="Century Gothic"/>
                <w:szCs w:val="22"/>
                <w:lang w:val="en"/>
              </w:rPr>
            </w:pPr>
          </w:p>
          <w:p w14:paraId="3E215FB5" w14:textId="48F8C886" w:rsidR="00FB6521" w:rsidRPr="006D771A" w:rsidRDefault="00FB6521" w:rsidP="00134395">
            <w:pPr>
              <w:pStyle w:val="ListParagraph"/>
              <w:numPr>
                <w:ilvl w:val="0"/>
                <w:numId w:val="20"/>
              </w:numPr>
              <w:autoSpaceDE w:val="0"/>
              <w:autoSpaceDN w:val="0"/>
              <w:adjustRightInd w:val="0"/>
              <w:spacing w:before="0" w:after="0"/>
              <w:contextualSpacing/>
              <w:jc w:val="both"/>
              <w:rPr>
                <w:rFonts w:cs="Times New Roman"/>
                <w:szCs w:val="22"/>
                <w:lang w:val="en"/>
              </w:rPr>
            </w:pPr>
            <w:r>
              <w:rPr>
                <w:rFonts w:cs="Century Gothic"/>
                <w:szCs w:val="22"/>
                <w:lang w:val="en"/>
              </w:rPr>
              <w:t>In</w:t>
            </w:r>
            <w:r w:rsidRPr="006D771A">
              <w:rPr>
                <w:rFonts w:cs="Century Gothic"/>
                <w:szCs w:val="22"/>
                <w:lang w:val="en"/>
              </w:rPr>
              <w:t xml:space="preserve"> October 2015, PNG was accepted as a member of the OGP at the Global Summit in Mexico. As a voluntary initiative, OGP members are required to demonstrate a minimum level of open government commitments in four (4) key areas (Fiscal Transparency, Access to Information, Income and Assets Disclosures and Citizen engagement) to be eligible to join which PNG has done. </w:t>
            </w:r>
          </w:p>
          <w:p w14:paraId="21617E2B" w14:textId="77777777" w:rsidR="00FB6521" w:rsidRPr="006D771A" w:rsidRDefault="00FB6521" w:rsidP="00FB6521">
            <w:pPr>
              <w:pStyle w:val="NoSpacing"/>
              <w:rPr>
                <w:rFonts w:ascii="Franklin Gothic Book" w:hAnsi="Franklin Gothic Book"/>
                <w:sz w:val="22"/>
                <w:szCs w:val="22"/>
                <w:lang w:val="en"/>
              </w:rPr>
            </w:pPr>
          </w:p>
          <w:p w14:paraId="3432022D" w14:textId="77777777" w:rsidR="00FB6521" w:rsidRPr="006D771A" w:rsidRDefault="00FB6521" w:rsidP="00134395">
            <w:pPr>
              <w:pStyle w:val="ListParagraph"/>
              <w:numPr>
                <w:ilvl w:val="0"/>
                <w:numId w:val="20"/>
              </w:numPr>
              <w:autoSpaceDE w:val="0"/>
              <w:autoSpaceDN w:val="0"/>
              <w:adjustRightInd w:val="0"/>
              <w:spacing w:before="0" w:after="0"/>
              <w:contextualSpacing/>
              <w:jc w:val="both"/>
              <w:rPr>
                <w:rFonts w:cs="Times New Roman"/>
                <w:lang w:val="en"/>
              </w:rPr>
            </w:pPr>
            <w:r w:rsidRPr="1C6E3B1F">
              <w:rPr>
                <w:rFonts w:cs="Times New Roman"/>
                <w:lang w:val="en"/>
              </w:rPr>
              <w:t>As an OGP Member, PNG has made commitment to provide an “open government effective service delivery to its citizens”. This, in essence aligns well with the visions and aspirations envisioned in the National Constitution. The OGP National Action Plan (NAP) also conforms to our National Goals and Directive Principles-particularly   the goals on “Integral Human Development; Equality and Participation; Natural Resources and Environment; and commitments to the UN Sustainable Development Goals.</w:t>
            </w:r>
          </w:p>
          <w:p w14:paraId="7D8A47EB" w14:textId="77777777" w:rsidR="00FB6521" w:rsidRPr="006D771A" w:rsidRDefault="00FB6521" w:rsidP="00FB6521">
            <w:pPr>
              <w:pStyle w:val="NoSpacing"/>
              <w:rPr>
                <w:rFonts w:ascii="Franklin Gothic Book" w:hAnsi="Franklin Gothic Book"/>
                <w:sz w:val="22"/>
                <w:szCs w:val="22"/>
                <w:lang w:val="en"/>
              </w:rPr>
            </w:pPr>
          </w:p>
          <w:p w14:paraId="3CF5FED4" w14:textId="55B3DE8F" w:rsidR="00FB6521" w:rsidRPr="006D771A" w:rsidRDefault="00FB6521" w:rsidP="00FB6521">
            <w:pPr>
              <w:pStyle w:val="NoSpacing"/>
              <w:ind w:firstLine="720"/>
              <w:jc w:val="both"/>
              <w:rPr>
                <w:rFonts w:ascii="Franklin Gothic Book" w:hAnsi="Franklin Gothic Book"/>
                <w:sz w:val="22"/>
                <w:szCs w:val="22"/>
                <w:u w:val="single"/>
                <w:lang w:val="en"/>
              </w:rPr>
            </w:pPr>
            <w:r w:rsidRPr="006D771A">
              <w:rPr>
                <w:rFonts w:ascii="Franklin Gothic Book" w:hAnsi="Franklin Gothic Book"/>
                <w:sz w:val="22"/>
                <w:szCs w:val="22"/>
                <w:u w:val="single"/>
                <w:lang w:val="en"/>
              </w:rPr>
              <w:t xml:space="preserve">PNG OGP Commitments and </w:t>
            </w:r>
            <w:hyperlink r:id="rId82" w:history="1">
              <w:r w:rsidRPr="00AB7634">
                <w:rPr>
                  <w:rStyle w:val="Hyperlink"/>
                  <w:rFonts w:ascii="Franklin Gothic Book" w:eastAsia="Cambria" w:hAnsi="Franklin Gothic Book" w:cs="Arial"/>
                  <w:sz w:val="22"/>
                  <w:szCs w:val="22"/>
                  <w:lang w:val="en"/>
                </w:rPr>
                <w:t>National Action Plan (NAP)</w:t>
              </w:r>
            </w:hyperlink>
          </w:p>
          <w:p w14:paraId="443DD99E" w14:textId="77777777" w:rsidR="00FB6521" w:rsidRPr="006D771A" w:rsidRDefault="00FB6521" w:rsidP="00FB6521">
            <w:pPr>
              <w:pStyle w:val="NoSpacing"/>
              <w:ind w:left="540"/>
              <w:jc w:val="both"/>
              <w:rPr>
                <w:rFonts w:ascii="Franklin Gothic Book" w:hAnsi="Franklin Gothic Book"/>
                <w:sz w:val="22"/>
                <w:szCs w:val="22"/>
                <w:lang w:val="en"/>
              </w:rPr>
            </w:pPr>
          </w:p>
          <w:p w14:paraId="13D24AA2" w14:textId="77777777" w:rsidR="00FB6521" w:rsidRPr="006D771A" w:rsidRDefault="00FB6521" w:rsidP="00134395">
            <w:pPr>
              <w:pStyle w:val="ListParagraph"/>
              <w:numPr>
                <w:ilvl w:val="0"/>
                <w:numId w:val="21"/>
              </w:numPr>
              <w:autoSpaceDE w:val="0"/>
              <w:autoSpaceDN w:val="0"/>
              <w:adjustRightInd w:val="0"/>
              <w:spacing w:before="0" w:after="0"/>
              <w:ind w:hanging="630"/>
              <w:contextualSpacing/>
              <w:jc w:val="both"/>
              <w:rPr>
                <w:rFonts w:cs="Century Gothic"/>
                <w:szCs w:val="22"/>
                <w:lang w:val="en"/>
              </w:rPr>
            </w:pPr>
            <w:r w:rsidRPr="006D771A">
              <w:rPr>
                <w:rFonts w:cs="Century Gothic"/>
                <w:szCs w:val="22"/>
                <w:lang w:val="en"/>
              </w:rPr>
              <w:t xml:space="preserve">Upon joining, member </w:t>
            </w:r>
            <w:proofErr w:type="gramStart"/>
            <w:r w:rsidRPr="006D771A">
              <w:rPr>
                <w:rFonts w:cs="Century Gothic"/>
                <w:szCs w:val="22"/>
                <w:lang w:val="en"/>
              </w:rPr>
              <w:t>states  through</w:t>
            </w:r>
            <w:proofErr w:type="gramEnd"/>
            <w:r w:rsidRPr="006D771A">
              <w:rPr>
                <w:rFonts w:cs="Century Gothic"/>
                <w:szCs w:val="22"/>
                <w:lang w:val="en"/>
              </w:rPr>
              <w:t xml:space="preserve"> broad public consultations, inform on OGP Commitments and establish a multi-stakeholder forum for on-going dialogue with civil society on OGP implementation.</w:t>
            </w:r>
          </w:p>
          <w:p w14:paraId="0585E03A" w14:textId="77777777" w:rsidR="00FB6521" w:rsidRPr="006D771A" w:rsidRDefault="00FB6521" w:rsidP="00FB6521">
            <w:pPr>
              <w:pStyle w:val="NoSpacing"/>
              <w:rPr>
                <w:rFonts w:ascii="Franklin Gothic Book" w:hAnsi="Franklin Gothic Book"/>
                <w:sz w:val="22"/>
                <w:szCs w:val="22"/>
                <w:lang w:val="en"/>
              </w:rPr>
            </w:pPr>
          </w:p>
          <w:p w14:paraId="7BF7CD76" w14:textId="7C205611" w:rsidR="00FB6521" w:rsidRPr="006D771A" w:rsidRDefault="00FB6521" w:rsidP="00F773E7">
            <w:pPr>
              <w:pStyle w:val="ListParagraph"/>
              <w:autoSpaceDE w:val="0"/>
              <w:autoSpaceDN w:val="0"/>
              <w:adjustRightInd w:val="0"/>
              <w:spacing w:before="0" w:after="0"/>
              <w:contextualSpacing/>
              <w:jc w:val="both"/>
              <w:rPr>
                <w:rFonts w:cs="Century Gothic"/>
                <w:lang w:val="en"/>
              </w:rPr>
            </w:pPr>
            <w:r w:rsidRPr="17A83547">
              <w:rPr>
                <w:rFonts w:cs="Century Gothic"/>
                <w:lang w:val="en"/>
              </w:rPr>
              <w:t xml:space="preserve">Since becoming a member in 2015, PNG has undertaken these public consultations and established Government Working Groups comprising of selected Government Departments with key Civil Society Partners. These Working Groups were tasked to work on </w:t>
            </w:r>
            <w:proofErr w:type="gramStart"/>
            <w:r w:rsidRPr="17A83547">
              <w:rPr>
                <w:rFonts w:cs="Century Gothic"/>
                <w:lang w:val="en"/>
              </w:rPr>
              <w:t>the  National</w:t>
            </w:r>
            <w:proofErr w:type="gramEnd"/>
            <w:r w:rsidRPr="17A83547">
              <w:rPr>
                <w:rFonts w:cs="Century Gothic"/>
                <w:lang w:val="en"/>
              </w:rPr>
              <w:t xml:space="preserve"> Action Plan and  report through their Cluster Commitment Leaders to a Steering Committee that is co-chaired by the Department of National Planning, Department of Foreign Affairs and Transparency International PNG Inc from the Civil Society Organizations (CSOs).</w:t>
            </w:r>
            <w:r w:rsidR="001B3649" w:rsidRPr="17A83547">
              <w:rPr>
                <w:rFonts w:cs="Century Gothic"/>
                <w:lang w:val="en"/>
              </w:rPr>
              <w:t xml:space="preserve"> </w:t>
            </w:r>
          </w:p>
          <w:p w14:paraId="3F56BCF7" w14:textId="031FF886" w:rsidR="001B3649" w:rsidRPr="006D771A" w:rsidRDefault="001B3649" w:rsidP="002939AD">
            <w:pPr>
              <w:pStyle w:val="ListParagraph"/>
              <w:autoSpaceDE w:val="0"/>
              <w:autoSpaceDN w:val="0"/>
              <w:adjustRightInd w:val="0"/>
              <w:spacing w:before="0" w:after="0"/>
              <w:contextualSpacing/>
              <w:jc w:val="both"/>
              <w:rPr>
                <w:rFonts w:cs="Century Gothic"/>
                <w:lang w:val="en"/>
              </w:rPr>
            </w:pPr>
          </w:p>
          <w:p w14:paraId="6C921124" w14:textId="77777777" w:rsidR="00FB6521" w:rsidRPr="006D771A" w:rsidRDefault="00FB6521" w:rsidP="00FB6521">
            <w:pPr>
              <w:pStyle w:val="NoSpacing"/>
              <w:rPr>
                <w:rFonts w:ascii="Franklin Gothic Book" w:hAnsi="Franklin Gothic Book"/>
                <w:sz w:val="22"/>
                <w:szCs w:val="22"/>
                <w:lang w:val="en"/>
              </w:rPr>
            </w:pPr>
          </w:p>
          <w:p w14:paraId="3AA873DC" w14:textId="77777777" w:rsidR="00FB6521" w:rsidRPr="006D771A" w:rsidRDefault="00FB6521" w:rsidP="00134395">
            <w:pPr>
              <w:pStyle w:val="ListParagraph"/>
              <w:numPr>
                <w:ilvl w:val="0"/>
                <w:numId w:val="21"/>
              </w:numPr>
              <w:autoSpaceDE w:val="0"/>
              <w:autoSpaceDN w:val="0"/>
              <w:adjustRightInd w:val="0"/>
              <w:spacing w:before="0" w:after="0"/>
              <w:ind w:hanging="630"/>
              <w:contextualSpacing/>
              <w:jc w:val="both"/>
              <w:rPr>
                <w:rFonts w:cs="Century Gothic"/>
                <w:lang w:val="en"/>
              </w:rPr>
            </w:pPr>
            <w:r w:rsidRPr="5C9A5DEF">
              <w:rPr>
                <w:rFonts w:cs="Century Gothic"/>
                <w:lang w:val="en"/>
              </w:rPr>
              <w:t xml:space="preserve">The stakeholders of PNG OGP held several Workshops to formulate a National Action Plan (NAP). As briefly mentioned above, the OGP members report on their commitments which are grouped into </w:t>
            </w:r>
            <w:r w:rsidRPr="5C9A5DEF">
              <w:rPr>
                <w:rFonts w:cs="Century Gothic"/>
                <w:b/>
                <w:lang w:val="en"/>
              </w:rPr>
              <w:t>seven (7) clusters</w:t>
            </w:r>
            <w:r w:rsidRPr="5C9A5DEF">
              <w:rPr>
                <w:rFonts w:cs="Century Gothic"/>
                <w:lang w:val="en"/>
              </w:rPr>
              <w:t>:</w:t>
            </w:r>
          </w:p>
          <w:p w14:paraId="6B719A68"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Public Participation</w:t>
            </w:r>
            <w:r w:rsidRPr="006D771A">
              <w:rPr>
                <w:rFonts w:cs="Century Gothic"/>
                <w:szCs w:val="22"/>
                <w:lang w:val="en"/>
              </w:rPr>
              <w:t xml:space="preserve"> – Engaging Citizens in Policy-Making.</w:t>
            </w:r>
          </w:p>
          <w:p w14:paraId="003D7FAC"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Government Integrity</w:t>
            </w:r>
            <w:r w:rsidRPr="006D771A">
              <w:rPr>
                <w:rFonts w:cs="Century Gothic"/>
                <w:szCs w:val="22"/>
                <w:lang w:val="en"/>
              </w:rPr>
              <w:t xml:space="preserve"> - Fight Corruption and Strengthening Democratic Institutions.</w:t>
            </w:r>
          </w:p>
          <w:p w14:paraId="52578E93"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Freedom of Information</w:t>
            </w:r>
            <w:r w:rsidRPr="006D771A">
              <w:rPr>
                <w:rFonts w:cs="Century Gothic"/>
                <w:szCs w:val="22"/>
                <w:lang w:val="en"/>
              </w:rPr>
              <w:t xml:space="preserve"> - Guaranteeing Access to Public Information.</w:t>
            </w:r>
          </w:p>
          <w:p w14:paraId="040573E0"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Fiscal Transparency</w:t>
            </w:r>
            <w:r w:rsidRPr="006D771A">
              <w:rPr>
                <w:rFonts w:cs="Century Gothic"/>
                <w:szCs w:val="22"/>
                <w:lang w:val="en"/>
              </w:rPr>
              <w:t xml:space="preserve"> – Helping Citizens follow the money.</w:t>
            </w:r>
          </w:p>
          <w:p w14:paraId="603B0B66" w14:textId="77777777" w:rsidR="00FB6521" w:rsidRPr="006D771A"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Public Service Delivery</w:t>
            </w:r>
            <w:r w:rsidRPr="006D771A">
              <w:rPr>
                <w:rFonts w:cs="Century Gothic"/>
                <w:szCs w:val="22"/>
                <w:lang w:val="en"/>
              </w:rPr>
              <w:t xml:space="preserve"> – Making Service work for the people.</w:t>
            </w:r>
          </w:p>
          <w:p w14:paraId="7809A1EE" w14:textId="77777777" w:rsidR="00FB6521" w:rsidRDefault="00FB6521" w:rsidP="00134395">
            <w:pPr>
              <w:pStyle w:val="ListParagraph"/>
              <w:numPr>
                <w:ilvl w:val="0"/>
                <w:numId w:val="22"/>
              </w:numPr>
              <w:spacing w:before="0" w:after="200" w:line="276" w:lineRule="auto"/>
              <w:contextualSpacing/>
              <w:rPr>
                <w:rFonts w:cs="Century Gothic"/>
                <w:szCs w:val="22"/>
                <w:lang w:val="en"/>
              </w:rPr>
            </w:pPr>
            <w:r w:rsidRPr="006D771A">
              <w:rPr>
                <w:rFonts w:cs="Century Gothic"/>
                <w:b/>
                <w:szCs w:val="22"/>
                <w:lang w:val="en"/>
              </w:rPr>
              <w:t>Extractive Resources Transparency</w:t>
            </w:r>
            <w:r w:rsidRPr="006D771A">
              <w:rPr>
                <w:rFonts w:cs="Century Gothic"/>
                <w:szCs w:val="22"/>
                <w:lang w:val="en"/>
              </w:rPr>
              <w:t xml:space="preserve"> – Ensuring Extractive Revenues are used for public benefit.</w:t>
            </w:r>
          </w:p>
          <w:p w14:paraId="578292A8" w14:textId="00CC4EF3" w:rsidR="00FB6521" w:rsidRDefault="00FB6521" w:rsidP="00134395">
            <w:pPr>
              <w:pStyle w:val="ListParagraph"/>
              <w:numPr>
                <w:ilvl w:val="0"/>
                <w:numId w:val="22"/>
              </w:numPr>
              <w:spacing w:before="0" w:after="200" w:line="276" w:lineRule="auto"/>
              <w:contextualSpacing/>
              <w:rPr>
                <w:rFonts w:cs="Century Gothic"/>
                <w:szCs w:val="22"/>
                <w:lang w:val="en"/>
              </w:rPr>
            </w:pPr>
            <w:r w:rsidRPr="00FB6521">
              <w:rPr>
                <w:rFonts w:cs="Century Gothic"/>
                <w:b/>
                <w:szCs w:val="22"/>
                <w:lang w:val="en"/>
              </w:rPr>
              <w:t>Open Data</w:t>
            </w:r>
            <w:r w:rsidRPr="00FB6521">
              <w:rPr>
                <w:rFonts w:cs="Century Gothic"/>
                <w:szCs w:val="22"/>
                <w:lang w:val="en"/>
              </w:rPr>
              <w:t xml:space="preserve"> – Digitizing and Opening up Government Data for Access to Information and Transparency.</w:t>
            </w:r>
          </w:p>
          <w:p w14:paraId="38FD5FBF" w14:textId="77777777" w:rsidR="00C06CEC" w:rsidRDefault="00C06CEC" w:rsidP="00C06CEC">
            <w:pPr>
              <w:pStyle w:val="ListParagraph"/>
              <w:spacing w:before="0" w:after="200" w:line="276" w:lineRule="auto"/>
              <w:ind w:left="1440"/>
              <w:contextualSpacing/>
              <w:rPr>
                <w:rFonts w:cs="Century Gothic"/>
                <w:szCs w:val="22"/>
                <w:lang w:val="en"/>
              </w:rPr>
            </w:pPr>
          </w:p>
          <w:p w14:paraId="1CE3851C" w14:textId="7A23775A" w:rsidR="00FB6521" w:rsidRDefault="00FB6521" w:rsidP="00134395">
            <w:pPr>
              <w:pStyle w:val="ListParagraph"/>
              <w:numPr>
                <w:ilvl w:val="0"/>
                <w:numId w:val="21"/>
              </w:numPr>
              <w:autoSpaceDE w:val="0"/>
              <w:autoSpaceDN w:val="0"/>
              <w:adjustRightInd w:val="0"/>
              <w:spacing w:before="0" w:after="0"/>
              <w:ind w:hanging="630"/>
              <w:contextualSpacing/>
              <w:jc w:val="both"/>
              <w:rPr>
                <w:rFonts w:cs="Century Gothic"/>
                <w:lang w:val="en"/>
              </w:rPr>
            </w:pPr>
            <w:r w:rsidRPr="5C9A5DEF">
              <w:rPr>
                <w:rFonts w:cs="Century Gothic"/>
                <w:lang w:val="en"/>
              </w:rPr>
              <w:t xml:space="preserve">Based on the consultations held from these workshops, officials agreed to focus on four (4) clusters under the first National Action Plan (NAP) that were relevant to PNG’s national context and would basically derive these commitments to its NAP. These </w:t>
            </w:r>
            <w:r w:rsidRPr="5C9A5DEF">
              <w:rPr>
                <w:rFonts w:cs="Century Gothic"/>
                <w:b/>
                <w:lang w:val="en"/>
              </w:rPr>
              <w:t>four (4) main</w:t>
            </w:r>
            <w:r w:rsidRPr="5C9A5DEF">
              <w:rPr>
                <w:rFonts w:cs="Century Gothic"/>
                <w:lang w:val="en"/>
              </w:rPr>
              <w:t xml:space="preserve"> </w:t>
            </w:r>
            <w:r w:rsidRPr="5C9A5DEF">
              <w:rPr>
                <w:rFonts w:cs="Century Gothic"/>
                <w:b/>
                <w:lang w:val="en"/>
              </w:rPr>
              <w:t>Cluster Commitments</w:t>
            </w:r>
            <w:r w:rsidRPr="5C9A5DEF">
              <w:rPr>
                <w:rFonts w:cs="Century Gothic"/>
                <w:lang w:val="en"/>
              </w:rPr>
              <w:t xml:space="preserve"> are also based on existing Government programs and projects: </w:t>
            </w:r>
          </w:p>
          <w:p w14:paraId="3DA6BA72" w14:textId="77777777" w:rsidR="0081723C" w:rsidRPr="006D771A" w:rsidRDefault="0081723C" w:rsidP="0081723C">
            <w:pPr>
              <w:pStyle w:val="ListParagraph"/>
              <w:autoSpaceDE w:val="0"/>
              <w:autoSpaceDN w:val="0"/>
              <w:adjustRightInd w:val="0"/>
              <w:spacing w:before="0" w:after="0"/>
              <w:contextualSpacing/>
              <w:jc w:val="both"/>
              <w:rPr>
                <w:rFonts w:cs="Century Gothic"/>
                <w:szCs w:val="22"/>
                <w:lang w:val="en"/>
              </w:rPr>
            </w:pPr>
          </w:p>
          <w:p w14:paraId="22EB6C9F" w14:textId="0C61AB9C" w:rsidR="0081723C" w:rsidRDefault="00FB6521" w:rsidP="00FE3CC6">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lastRenderedPageBreak/>
              <w:t>Freedom of Information</w:t>
            </w:r>
            <w:r w:rsidRPr="006D771A">
              <w:rPr>
                <w:rFonts w:cs="Century Gothic"/>
                <w:szCs w:val="22"/>
                <w:lang w:val="en"/>
              </w:rPr>
              <w:t xml:space="preserve"> </w:t>
            </w:r>
          </w:p>
          <w:p w14:paraId="6CE071B0" w14:textId="2C8E3A90" w:rsidR="000A6263" w:rsidRDefault="00FB6521" w:rsidP="000A6263">
            <w:pPr>
              <w:pStyle w:val="ListParagraph"/>
              <w:autoSpaceDE w:val="0"/>
              <w:autoSpaceDN w:val="0"/>
              <w:adjustRightInd w:val="0"/>
              <w:spacing w:before="0" w:after="0"/>
              <w:ind w:left="743"/>
              <w:contextualSpacing/>
              <w:jc w:val="both"/>
              <w:rPr>
                <w:rFonts w:cs="Century Gothic"/>
                <w:lang w:val="en"/>
              </w:rPr>
            </w:pPr>
            <w:r w:rsidRPr="333109B0">
              <w:rPr>
                <w:rFonts w:cs="Century Gothic"/>
                <w:lang w:val="en"/>
              </w:rPr>
              <w:t>(i). Access to Information Act</w:t>
            </w:r>
            <w:r w:rsidR="000A6263">
              <w:rPr>
                <w:rFonts w:cs="Century Gothic"/>
                <w:lang w:val="en"/>
              </w:rPr>
              <w:t>;</w:t>
            </w:r>
            <w:r w:rsidRPr="333109B0">
              <w:rPr>
                <w:rFonts w:cs="Century Gothic"/>
                <w:lang w:val="en"/>
              </w:rPr>
              <w:t xml:space="preserve"> </w:t>
            </w:r>
          </w:p>
          <w:p w14:paraId="3AF69F4A" w14:textId="5474B4B4" w:rsidR="000A6263" w:rsidRDefault="00FB6521" w:rsidP="000A6263">
            <w:pPr>
              <w:pStyle w:val="ListParagraph"/>
              <w:autoSpaceDE w:val="0"/>
              <w:autoSpaceDN w:val="0"/>
              <w:adjustRightInd w:val="0"/>
              <w:spacing w:before="0" w:after="0"/>
              <w:ind w:left="743"/>
              <w:contextualSpacing/>
              <w:jc w:val="both"/>
              <w:rPr>
                <w:rFonts w:cs="Century Gothic"/>
                <w:szCs w:val="22"/>
                <w:lang w:val="en"/>
              </w:rPr>
            </w:pPr>
            <w:r w:rsidRPr="0081723C">
              <w:rPr>
                <w:rFonts w:cs="Century Gothic"/>
                <w:szCs w:val="22"/>
                <w:lang w:val="en"/>
              </w:rPr>
              <w:t xml:space="preserve">(ii). Integration of Government </w:t>
            </w:r>
            <w:r w:rsidRPr="006D771A">
              <w:rPr>
                <w:rFonts w:cs="Century Gothic"/>
                <w:szCs w:val="22"/>
                <w:lang w:val="en"/>
              </w:rPr>
              <w:t>Information System</w:t>
            </w:r>
            <w:r w:rsidR="000A6263">
              <w:rPr>
                <w:rFonts w:cs="Century Gothic"/>
                <w:szCs w:val="22"/>
                <w:lang w:val="en"/>
              </w:rPr>
              <w:t>;</w:t>
            </w:r>
          </w:p>
          <w:p w14:paraId="1BE8BF15" w14:textId="1C4537AF" w:rsidR="000A6263" w:rsidRDefault="00FE3CC6"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(iii). </w:t>
            </w:r>
            <w:r w:rsidR="00FB6521" w:rsidRPr="006D771A">
              <w:rPr>
                <w:rFonts w:cs="Century Gothic"/>
                <w:szCs w:val="22"/>
                <w:lang w:val="en"/>
              </w:rPr>
              <w:t>Implementation</w:t>
            </w:r>
            <w:r>
              <w:rPr>
                <w:rFonts w:cs="Century Gothic"/>
                <w:szCs w:val="22"/>
                <w:lang w:val="en"/>
              </w:rPr>
              <w:t xml:space="preserve"> </w:t>
            </w:r>
            <w:r w:rsidR="00FB6521" w:rsidRPr="006D771A">
              <w:rPr>
                <w:rFonts w:cs="Century Gothic"/>
                <w:szCs w:val="22"/>
                <w:lang w:val="en"/>
              </w:rPr>
              <w:t>and Open</w:t>
            </w:r>
            <w:r w:rsidR="008A12FD">
              <w:rPr>
                <w:rFonts w:cs="Century Gothic"/>
                <w:szCs w:val="22"/>
                <w:lang w:val="en"/>
              </w:rPr>
              <w:t xml:space="preserve"> Data Portal</w:t>
            </w:r>
            <w:r w:rsidR="000A6263">
              <w:rPr>
                <w:rFonts w:cs="Century Gothic"/>
                <w:szCs w:val="22"/>
                <w:lang w:val="en"/>
              </w:rPr>
              <w:t>;</w:t>
            </w:r>
            <w:r w:rsidR="008A12FD">
              <w:rPr>
                <w:rFonts w:cs="Century Gothic"/>
                <w:szCs w:val="22"/>
                <w:lang w:val="en"/>
              </w:rPr>
              <w:t xml:space="preserve"> </w:t>
            </w:r>
          </w:p>
          <w:p w14:paraId="4C44B9DF" w14:textId="139EF48C" w:rsidR="00FB6521" w:rsidRPr="000A6263" w:rsidRDefault="00FB6521" w:rsidP="000A6263">
            <w:pPr>
              <w:pStyle w:val="ListParagraph"/>
              <w:autoSpaceDE w:val="0"/>
              <w:autoSpaceDN w:val="0"/>
              <w:adjustRightInd w:val="0"/>
              <w:spacing w:before="0" w:after="0"/>
              <w:ind w:left="743"/>
              <w:contextualSpacing/>
              <w:jc w:val="both"/>
              <w:rPr>
                <w:rFonts w:cs="Century Gothic"/>
                <w:lang w:val="en"/>
              </w:rPr>
            </w:pPr>
            <w:r w:rsidRPr="006D771A">
              <w:rPr>
                <w:rFonts w:cs="Century Gothic"/>
                <w:szCs w:val="22"/>
                <w:lang w:val="en"/>
              </w:rPr>
              <w:t>(iii). Mechanism for Government</w:t>
            </w:r>
            <w:r w:rsidR="000A6263">
              <w:rPr>
                <w:rFonts w:cs="Century Gothic"/>
                <w:szCs w:val="22"/>
                <w:lang w:val="en"/>
              </w:rPr>
              <w:t xml:space="preserve">. </w:t>
            </w:r>
            <w:r w:rsidRPr="006D771A">
              <w:rPr>
                <w:rFonts w:cs="Century Gothic"/>
                <w:szCs w:val="22"/>
                <w:lang w:val="en"/>
              </w:rPr>
              <w:t xml:space="preserve"> </w:t>
            </w:r>
          </w:p>
          <w:p w14:paraId="25FEC498" w14:textId="77777777" w:rsidR="009D586C" w:rsidRPr="009D586C" w:rsidRDefault="009D586C" w:rsidP="009D586C">
            <w:pPr>
              <w:pStyle w:val="ListParagraph"/>
              <w:autoSpaceDE w:val="0"/>
              <w:autoSpaceDN w:val="0"/>
              <w:adjustRightInd w:val="0"/>
              <w:spacing w:before="0" w:after="0"/>
              <w:ind w:left="743"/>
              <w:contextualSpacing/>
              <w:jc w:val="both"/>
              <w:rPr>
                <w:rFonts w:cs="Century Gothic"/>
                <w:szCs w:val="22"/>
                <w:lang w:val="en"/>
              </w:rPr>
            </w:pPr>
          </w:p>
          <w:p w14:paraId="628C8A41" w14:textId="25A42A7D" w:rsidR="009D586C" w:rsidRDefault="00FB6521" w:rsidP="00134395">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t>Public Participation</w:t>
            </w:r>
            <w:r w:rsidRPr="006D771A">
              <w:rPr>
                <w:rFonts w:cs="Century Gothic"/>
                <w:szCs w:val="22"/>
                <w:lang w:val="en"/>
              </w:rPr>
              <w:tab/>
            </w:r>
          </w:p>
          <w:p w14:paraId="21B13EA3" w14:textId="3EF1E755" w:rsidR="000A6263" w:rsidRDefault="009D586C"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 </w:t>
            </w:r>
            <w:r w:rsidR="00FB6521" w:rsidRPr="006D771A">
              <w:rPr>
                <w:rFonts w:cs="Century Gothic"/>
                <w:szCs w:val="22"/>
                <w:lang w:val="en"/>
              </w:rPr>
              <w:t>(i). Informal Sector Voice Mechanism;</w:t>
            </w:r>
          </w:p>
          <w:p w14:paraId="2E6C8867" w14:textId="0C8C5046" w:rsidR="00FB6521" w:rsidRDefault="000A6263" w:rsidP="000A6263">
            <w:pPr>
              <w:pStyle w:val="ListParagraph"/>
              <w:autoSpaceDE w:val="0"/>
              <w:autoSpaceDN w:val="0"/>
              <w:adjustRightInd w:val="0"/>
              <w:spacing w:before="0" w:after="0"/>
              <w:ind w:left="743"/>
              <w:contextualSpacing/>
              <w:jc w:val="both"/>
              <w:rPr>
                <w:rFonts w:cs="Century Gothic"/>
                <w:szCs w:val="22"/>
                <w:lang w:val="en"/>
              </w:rPr>
            </w:pPr>
            <w:r>
              <w:rPr>
                <w:rFonts w:cs="Century Gothic"/>
                <w:szCs w:val="22"/>
                <w:lang w:val="en"/>
              </w:rPr>
              <w:t xml:space="preserve"> </w:t>
            </w:r>
            <w:r w:rsidR="00FB6521" w:rsidRPr="009D586C">
              <w:rPr>
                <w:rFonts w:cs="Century Gothic"/>
                <w:szCs w:val="22"/>
                <w:lang w:val="en"/>
              </w:rPr>
              <w:t>(ii). Informed Citizens Annual Budget and Planning Priorities</w:t>
            </w:r>
          </w:p>
          <w:p w14:paraId="5FC4BCF1" w14:textId="77777777" w:rsidR="008A12FD" w:rsidRPr="008A12FD" w:rsidRDefault="008A12FD" w:rsidP="008A12FD">
            <w:pPr>
              <w:autoSpaceDE w:val="0"/>
              <w:autoSpaceDN w:val="0"/>
              <w:adjustRightInd w:val="0"/>
              <w:spacing w:after="0"/>
              <w:jc w:val="both"/>
              <w:rPr>
                <w:rFonts w:cs="Century Gothic"/>
                <w:szCs w:val="22"/>
                <w:lang w:val="en"/>
              </w:rPr>
            </w:pPr>
          </w:p>
          <w:p w14:paraId="25476BA5" w14:textId="77777777" w:rsidR="009D586C" w:rsidRPr="009D586C" w:rsidRDefault="00FB6521" w:rsidP="00134395">
            <w:pPr>
              <w:pStyle w:val="ListParagraph"/>
              <w:numPr>
                <w:ilvl w:val="0"/>
                <w:numId w:val="23"/>
              </w:numPr>
              <w:autoSpaceDE w:val="0"/>
              <w:autoSpaceDN w:val="0"/>
              <w:adjustRightInd w:val="0"/>
              <w:spacing w:before="0" w:after="0"/>
              <w:ind w:left="743" w:hanging="567"/>
              <w:contextualSpacing/>
              <w:jc w:val="both"/>
              <w:rPr>
                <w:rFonts w:cs="Century Gothic"/>
                <w:szCs w:val="22"/>
                <w:lang w:val="en"/>
              </w:rPr>
            </w:pPr>
            <w:r w:rsidRPr="006D771A">
              <w:rPr>
                <w:rFonts w:cs="Century Gothic"/>
                <w:b/>
                <w:szCs w:val="22"/>
                <w:lang w:val="en"/>
              </w:rPr>
              <w:t>Fiscal Transparenc</w:t>
            </w:r>
            <w:r w:rsidR="009D586C">
              <w:rPr>
                <w:rFonts w:cs="Century Gothic"/>
                <w:b/>
                <w:szCs w:val="22"/>
                <w:lang w:val="en"/>
              </w:rPr>
              <w:t xml:space="preserve">y </w:t>
            </w:r>
          </w:p>
          <w:p w14:paraId="2E14F93A" w14:textId="31E54F99" w:rsidR="00FB6521" w:rsidRPr="006D771A" w:rsidRDefault="00FB6521" w:rsidP="008A12FD">
            <w:pPr>
              <w:pStyle w:val="ListParagraph"/>
              <w:autoSpaceDE w:val="0"/>
              <w:autoSpaceDN w:val="0"/>
              <w:adjustRightInd w:val="0"/>
              <w:spacing w:before="0" w:after="0"/>
              <w:ind w:left="1168" w:hanging="425"/>
              <w:contextualSpacing/>
              <w:jc w:val="both"/>
              <w:rPr>
                <w:rFonts w:cs="Century Gothic"/>
                <w:szCs w:val="22"/>
                <w:lang w:val="en"/>
              </w:rPr>
            </w:pPr>
            <w:r w:rsidRPr="006D771A">
              <w:rPr>
                <w:rFonts w:cs="Century Gothic"/>
                <w:szCs w:val="22"/>
                <w:lang w:val="en"/>
              </w:rPr>
              <w:t>(i</w:t>
            </w:r>
            <w:proofErr w:type="gramStart"/>
            <w:r w:rsidRPr="006D771A">
              <w:rPr>
                <w:rFonts w:cs="Century Gothic"/>
                <w:szCs w:val="22"/>
                <w:lang w:val="en"/>
              </w:rPr>
              <w:t>).Provision</w:t>
            </w:r>
            <w:proofErr w:type="gramEnd"/>
            <w:r w:rsidRPr="006D771A">
              <w:rPr>
                <w:rFonts w:cs="Century Gothic"/>
                <w:szCs w:val="22"/>
                <w:lang w:val="en"/>
              </w:rPr>
              <w:t xml:space="preserve"> of accurate, timely and </w:t>
            </w:r>
            <w:r w:rsidR="00DB321B">
              <w:rPr>
                <w:rFonts w:cs="Century Gothic"/>
                <w:szCs w:val="22"/>
                <w:lang w:val="en"/>
              </w:rPr>
              <w:t>accessible fiscal data.</w:t>
            </w:r>
            <w:r w:rsidR="009D586C">
              <w:rPr>
                <w:rFonts w:cs="Century Gothic"/>
                <w:szCs w:val="22"/>
                <w:lang w:val="en"/>
              </w:rPr>
              <w:t xml:space="preserve">         </w:t>
            </w:r>
            <w:r w:rsidRPr="006D771A">
              <w:rPr>
                <w:rFonts w:cs="Century Gothic"/>
                <w:szCs w:val="22"/>
                <w:lang w:val="en"/>
              </w:rPr>
              <w:t xml:space="preserve">  </w:t>
            </w:r>
          </w:p>
          <w:p w14:paraId="6618CF59" w14:textId="77777777" w:rsidR="009D586C" w:rsidRPr="009D586C" w:rsidRDefault="009D586C" w:rsidP="009D586C">
            <w:pPr>
              <w:pStyle w:val="ListParagraph"/>
              <w:autoSpaceDE w:val="0"/>
              <w:autoSpaceDN w:val="0"/>
              <w:adjustRightInd w:val="0"/>
              <w:spacing w:before="0" w:after="0"/>
              <w:ind w:left="601"/>
              <w:contextualSpacing/>
              <w:jc w:val="both"/>
              <w:rPr>
                <w:rFonts w:cs="Century Gothic"/>
                <w:szCs w:val="22"/>
                <w:lang w:val="en"/>
              </w:rPr>
            </w:pPr>
          </w:p>
          <w:p w14:paraId="38BAEFA4" w14:textId="39C8C420" w:rsidR="009D586C" w:rsidRPr="009D586C" w:rsidRDefault="00FB6521" w:rsidP="00134395">
            <w:pPr>
              <w:pStyle w:val="ListParagraph"/>
              <w:numPr>
                <w:ilvl w:val="0"/>
                <w:numId w:val="23"/>
              </w:numPr>
              <w:autoSpaceDE w:val="0"/>
              <w:autoSpaceDN w:val="0"/>
              <w:adjustRightInd w:val="0"/>
              <w:spacing w:before="0" w:after="0"/>
              <w:ind w:left="601"/>
              <w:contextualSpacing/>
              <w:jc w:val="both"/>
              <w:rPr>
                <w:rFonts w:cs="Century Gothic"/>
                <w:szCs w:val="22"/>
                <w:lang w:val="en"/>
              </w:rPr>
            </w:pPr>
            <w:r w:rsidRPr="006D771A">
              <w:rPr>
                <w:rFonts w:cs="Century Gothic"/>
                <w:b/>
                <w:szCs w:val="22"/>
                <w:lang w:val="en"/>
              </w:rPr>
              <w:t>Extractives Industry Transparency-</w:t>
            </w:r>
          </w:p>
          <w:p w14:paraId="25769FA3" w14:textId="00687495" w:rsidR="00C06CEC" w:rsidRDefault="00ED688E" w:rsidP="00ED688E">
            <w:pPr>
              <w:pStyle w:val="ListParagraph"/>
              <w:autoSpaceDE w:val="0"/>
              <w:autoSpaceDN w:val="0"/>
              <w:adjustRightInd w:val="0"/>
              <w:spacing w:before="0" w:after="0"/>
              <w:ind w:left="601"/>
              <w:contextualSpacing/>
              <w:jc w:val="both"/>
              <w:rPr>
                <w:b/>
                <w:bCs/>
              </w:rPr>
            </w:pPr>
            <w:r>
              <w:rPr>
                <w:rFonts w:cs="Century Gothic"/>
                <w:szCs w:val="22"/>
                <w:lang w:val="en"/>
              </w:rPr>
              <w:t xml:space="preserve">    (i). </w:t>
            </w:r>
            <w:r w:rsidR="00FB6521" w:rsidRPr="006D771A">
              <w:rPr>
                <w:rFonts w:cs="Century Gothic"/>
                <w:szCs w:val="22"/>
                <w:lang w:val="en"/>
              </w:rPr>
              <w:t xml:space="preserve">Develop </w:t>
            </w:r>
            <w:r w:rsidR="00C60A05">
              <w:rPr>
                <w:rFonts w:cs="Century Gothic"/>
                <w:szCs w:val="22"/>
                <w:lang w:val="en"/>
              </w:rPr>
              <w:t>PNGEITI</w:t>
            </w:r>
            <w:r w:rsidR="00FB6521" w:rsidRPr="006D771A">
              <w:rPr>
                <w:rFonts w:cs="Century Gothic"/>
                <w:szCs w:val="22"/>
                <w:lang w:val="en"/>
              </w:rPr>
              <w:t xml:space="preserve"> Policy;</w:t>
            </w:r>
            <w:r>
              <w:rPr>
                <w:rFonts w:cs="Century Gothic"/>
                <w:szCs w:val="22"/>
                <w:lang w:val="en"/>
              </w:rPr>
              <w:t xml:space="preserve"> - </w:t>
            </w:r>
            <w:r w:rsidR="00C06CEC" w:rsidRPr="00ED688E">
              <w:rPr>
                <w:b/>
                <w:bCs/>
              </w:rPr>
              <w:t>Amendment to Mining Act 2014 (</w:t>
            </w:r>
            <w:r>
              <w:rPr>
                <w:b/>
                <w:bCs/>
              </w:rPr>
              <w:t xml:space="preserve">still in </w:t>
            </w:r>
            <w:r w:rsidR="00C06CEC" w:rsidRPr="00ED688E">
              <w:rPr>
                <w:b/>
                <w:bCs/>
              </w:rPr>
              <w:t xml:space="preserve">draft) </w:t>
            </w:r>
          </w:p>
          <w:p w14:paraId="3E708072" w14:textId="77777777" w:rsidR="00ED688E" w:rsidRPr="00ED688E" w:rsidRDefault="00ED688E" w:rsidP="00ED688E">
            <w:pPr>
              <w:pStyle w:val="ListParagraph"/>
              <w:autoSpaceDE w:val="0"/>
              <w:autoSpaceDN w:val="0"/>
              <w:adjustRightInd w:val="0"/>
              <w:spacing w:before="0" w:after="0"/>
              <w:ind w:left="601"/>
              <w:contextualSpacing/>
              <w:jc w:val="both"/>
              <w:rPr>
                <w:rFonts w:cs="Century Gothic"/>
                <w:szCs w:val="22"/>
                <w:lang w:val="en"/>
              </w:rPr>
            </w:pPr>
          </w:p>
          <w:p w14:paraId="52C8AA5F" w14:textId="1D5398E3" w:rsidR="00C6608B" w:rsidRPr="004A2B06" w:rsidRDefault="00C06CEC" w:rsidP="004A2B06">
            <w:pPr>
              <w:autoSpaceDE w:val="0"/>
              <w:autoSpaceDN w:val="0"/>
              <w:adjustRightInd w:val="0"/>
              <w:spacing w:before="0" w:after="0"/>
              <w:contextualSpacing/>
              <w:jc w:val="both"/>
              <w:rPr>
                <w:rFonts w:cs="Century Gothic"/>
                <w:szCs w:val="22"/>
                <w:lang w:val="en"/>
              </w:rPr>
            </w:pPr>
            <w:r w:rsidRPr="00C06CEC">
              <w:rPr>
                <w:rFonts w:cs="Century Gothic"/>
                <w:szCs w:val="22"/>
                <w:lang w:val="en"/>
              </w:rPr>
              <w:t xml:space="preserve">Constant PNGEITI presence in </w:t>
            </w:r>
            <w:r w:rsidR="00ED688E">
              <w:rPr>
                <w:rFonts w:cs="Century Gothic"/>
                <w:szCs w:val="22"/>
                <w:lang w:val="en"/>
              </w:rPr>
              <w:t xml:space="preserve">the </w:t>
            </w:r>
            <w:r w:rsidRPr="00C06CEC">
              <w:rPr>
                <w:rFonts w:cs="Century Gothic"/>
                <w:szCs w:val="22"/>
                <w:lang w:val="en"/>
              </w:rPr>
              <w:t>mining project</w:t>
            </w:r>
            <w:r w:rsidR="00ED688E">
              <w:rPr>
                <w:rFonts w:cs="Century Gothic"/>
                <w:szCs w:val="22"/>
                <w:lang w:val="en"/>
              </w:rPr>
              <w:t xml:space="preserve"> forums led by the MRA promoted the need and importance for</w:t>
            </w:r>
            <w:r w:rsidRPr="00C06CEC">
              <w:rPr>
                <w:rFonts w:cs="Century Gothic"/>
                <w:szCs w:val="22"/>
                <w:lang w:val="en"/>
              </w:rPr>
              <w:t xml:space="preserve"> Transparency. MRA’s </w:t>
            </w:r>
            <w:r w:rsidR="004A2B06">
              <w:rPr>
                <w:rFonts w:cs="Century Gothic"/>
                <w:szCs w:val="22"/>
                <w:lang w:val="en"/>
              </w:rPr>
              <w:t>latest</w:t>
            </w:r>
            <w:r w:rsidRPr="00C06CEC">
              <w:rPr>
                <w:rFonts w:cs="Century Gothic"/>
                <w:szCs w:val="22"/>
                <w:lang w:val="en"/>
              </w:rPr>
              <w:t xml:space="preserve"> Corporate Plan</w:t>
            </w:r>
            <w:r w:rsidR="004A2B06">
              <w:rPr>
                <w:rFonts w:cs="Century Gothic"/>
                <w:szCs w:val="22"/>
                <w:lang w:val="en"/>
              </w:rPr>
              <w:t xml:space="preserve"> captures</w:t>
            </w:r>
            <w:r w:rsidRPr="00C06CEC">
              <w:rPr>
                <w:rFonts w:cs="Century Gothic"/>
                <w:szCs w:val="22"/>
                <w:lang w:val="en"/>
              </w:rPr>
              <w:t xml:space="preserve"> Transparency as a Focus area </w:t>
            </w:r>
            <w:r w:rsidR="004A2B06">
              <w:rPr>
                <w:rFonts w:cs="Century Gothic"/>
                <w:szCs w:val="22"/>
                <w:lang w:val="en"/>
              </w:rPr>
              <w:t>that entails</w:t>
            </w:r>
            <w:r w:rsidRPr="00C06CEC">
              <w:rPr>
                <w:rFonts w:cs="Century Gothic"/>
                <w:szCs w:val="22"/>
                <w:lang w:val="en"/>
              </w:rPr>
              <w:t xml:space="preserve"> a key delivery item to </w:t>
            </w:r>
            <w:r w:rsidR="004A2B06">
              <w:rPr>
                <w:rFonts w:cs="Century Gothic"/>
                <w:szCs w:val="22"/>
                <w:lang w:val="en"/>
              </w:rPr>
              <w:t xml:space="preserve">build </w:t>
            </w:r>
            <w:r w:rsidRPr="00C06CEC">
              <w:rPr>
                <w:rFonts w:cs="Century Gothic"/>
                <w:szCs w:val="22"/>
                <w:lang w:val="en"/>
              </w:rPr>
              <w:t>Su</w:t>
            </w:r>
            <w:r w:rsidR="004A2B06">
              <w:rPr>
                <w:rFonts w:cs="Century Gothic"/>
                <w:szCs w:val="22"/>
                <w:lang w:val="en"/>
              </w:rPr>
              <w:t>bn</w:t>
            </w:r>
            <w:r w:rsidRPr="00C06CEC">
              <w:rPr>
                <w:rFonts w:cs="Century Gothic"/>
                <w:szCs w:val="22"/>
                <w:lang w:val="en"/>
              </w:rPr>
              <w:t>ational Governments</w:t>
            </w:r>
            <w:r w:rsidR="004A2B06">
              <w:rPr>
                <w:rFonts w:cs="Century Gothic"/>
                <w:szCs w:val="22"/>
                <w:lang w:val="en"/>
              </w:rPr>
              <w:t>’</w:t>
            </w:r>
            <w:r w:rsidRPr="00C06CEC">
              <w:rPr>
                <w:rFonts w:cs="Century Gothic"/>
                <w:szCs w:val="22"/>
                <w:lang w:val="en"/>
              </w:rPr>
              <w:t xml:space="preserve"> capacity </w:t>
            </w:r>
            <w:r w:rsidR="004A2B06">
              <w:rPr>
                <w:rFonts w:cs="Century Gothic"/>
                <w:szCs w:val="22"/>
                <w:lang w:val="en"/>
              </w:rPr>
              <w:t>to</w:t>
            </w:r>
            <w:r w:rsidRPr="00C06CEC">
              <w:rPr>
                <w:rFonts w:cs="Century Gothic"/>
                <w:szCs w:val="22"/>
                <w:lang w:val="en"/>
              </w:rPr>
              <w:t xml:space="preserve"> report</w:t>
            </w:r>
            <w:r w:rsidR="004A2B06">
              <w:rPr>
                <w:rFonts w:cs="Century Gothic"/>
                <w:szCs w:val="22"/>
                <w:lang w:val="en"/>
              </w:rPr>
              <w:t xml:space="preserve"> </w:t>
            </w:r>
            <w:proofErr w:type="gramStart"/>
            <w:r w:rsidR="004A2B06">
              <w:rPr>
                <w:rFonts w:cs="Century Gothic"/>
                <w:szCs w:val="22"/>
                <w:lang w:val="en"/>
              </w:rPr>
              <w:t>on</w:t>
            </w:r>
            <w:r w:rsidRPr="00C06CEC">
              <w:rPr>
                <w:rFonts w:cs="Century Gothic"/>
                <w:szCs w:val="22"/>
                <w:lang w:val="en"/>
              </w:rPr>
              <w:t xml:space="preserve">  the</w:t>
            </w:r>
            <w:proofErr w:type="gramEnd"/>
            <w:r w:rsidRPr="00C06CEC">
              <w:rPr>
                <w:rFonts w:cs="Century Gothic"/>
                <w:szCs w:val="22"/>
                <w:lang w:val="en"/>
              </w:rPr>
              <w:t xml:space="preserve"> royalties and other payments </w:t>
            </w:r>
            <w:r w:rsidR="004A2B06">
              <w:rPr>
                <w:rFonts w:cs="Century Gothic"/>
                <w:szCs w:val="22"/>
                <w:lang w:val="en"/>
              </w:rPr>
              <w:t xml:space="preserve">they </w:t>
            </w:r>
            <w:r w:rsidRPr="00C06CEC">
              <w:rPr>
                <w:rFonts w:cs="Century Gothic"/>
                <w:szCs w:val="22"/>
                <w:lang w:val="en"/>
              </w:rPr>
              <w:t>received from the mining companies.</w:t>
            </w:r>
          </w:p>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14:paraId="1A3C4AEC" w14:textId="77777777" w:rsidTr="003A45E9">
        <w:tc>
          <w:tcPr>
            <w:tcW w:w="9062" w:type="dxa"/>
          </w:tcPr>
          <w:p w14:paraId="3C2BDCB2" w14:textId="3E5D1583" w:rsidR="00C6608B" w:rsidRDefault="00C6608B" w:rsidP="003A45E9">
            <w:r w:rsidRPr="00444E47">
              <w:rPr>
                <w:i/>
                <w:iCs/>
              </w:rPr>
              <w:t>[</w:t>
            </w:r>
            <w:r>
              <w:rPr>
                <w:i/>
                <w:iCs/>
              </w:rPr>
              <w:t>E</w:t>
            </w:r>
            <w:r w:rsidRPr="00444E47">
              <w:rPr>
                <w:i/>
                <w:iCs/>
              </w:rPr>
              <w:t>xplain how the MSG tracks outputs, outcomes and impact and include link(s) to any relevant documents. Summarise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CA45EB">
              <w:t>]</w:t>
            </w:r>
          </w:p>
          <w:p w14:paraId="79F7BC3A" w14:textId="77777777" w:rsidR="00C06CEC" w:rsidRDefault="00C06CEC" w:rsidP="00C06CEC">
            <w:pPr>
              <w:jc w:val="both"/>
            </w:pPr>
            <w:r>
              <w:t>The MSG tracks outputs, outcomes and impact of EITI implementation in country through these main areas below:</w:t>
            </w:r>
          </w:p>
          <w:p w14:paraId="2FFCEF0A" w14:textId="12354DFA" w:rsidR="00C06CEC" w:rsidRDefault="00C06CEC" w:rsidP="00C06CEC">
            <w:pPr>
              <w:jc w:val="both"/>
            </w:pPr>
            <w:r>
              <w:t>(i)</w:t>
            </w:r>
            <w:r>
              <w:tab/>
            </w:r>
            <w:r w:rsidR="00D72451">
              <w:t>T</w:t>
            </w:r>
            <w:r>
              <w:t xml:space="preserve">he annual workplans – it reviews </w:t>
            </w:r>
            <w:r w:rsidR="00D72451">
              <w:t xml:space="preserve">the </w:t>
            </w:r>
            <w:r>
              <w:t xml:space="preserve">workplan outputs at the end of each year to ensure that the activities that were not implemented in that year are included in the following year’s workplan. This ensures that there is continuity and sustainability in EITI implementation activities as some activities can be implemented in a single year while some can be implemented over a short term </w:t>
            </w:r>
            <w:r w:rsidR="00D72451">
              <w:t>or</w:t>
            </w:r>
            <w:r>
              <w:t xml:space="preserve"> </w:t>
            </w:r>
            <w:proofErr w:type="gramStart"/>
            <w:r>
              <w:t>more longer</w:t>
            </w:r>
            <w:proofErr w:type="gramEnd"/>
            <w:r>
              <w:t xml:space="preserve"> term. Links have been provided to our annual workplans.</w:t>
            </w:r>
          </w:p>
          <w:p w14:paraId="4F830461" w14:textId="77777777" w:rsidR="001C28D5" w:rsidRDefault="00C06CEC" w:rsidP="00C06CEC">
            <w:pPr>
              <w:jc w:val="both"/>
            </w:pPr>
            <w:r>
              <w:t>If there were any activities, there were not implemented in the year under review then reasons or Justifications are provided/documented in the minutes of the quarterly MSG Meetings and follow up for action in the next annual work plan. Links have been provided to our MSG meeting minutes already.</w:t>
            </w:r>
          </w:p>
          <w:p w14:paraId="476E5F7B" w14:textId="094CB83E" w:rsidR="00C06CEC" w:rsidRDefault="00C06CEC" w:rsidP="00C06CEC">
            <w:pPr>
              <w:jc w:val="both"/>
            </w:pPr>
            <w:r>
              <w:t>(ii)</w:t>
            </w:r>
            <w:r>
              <w:tab/>
            </w:r>
            <w:r w:rsidR="001C28D5">
              <w:t>The mainstream and s</w:t>
            </w:r>
            <w:r>
              <w:t>ocial media coverage –</w:t>
            </w:r>
            <w:r w:rsidR="00465ABD">
              <w:t xml:space="preserve"> </w:t>
            </w:r>
            <w:r>
              <w:t xml:space="preserve">MSG tracks the impact of EITI implementation by observing </w:t>
            </w:r>
            <w:r w:rsidR="001C28D5">
              <w:t xml:space="preserve">the discussions covered by traditional media i.e. the local newspaper articles, television and radio including the most popular medium used these days, Facebook, LinkedIn, Twitter and Instagram for some. This extends to </w:t>
            </w:r>
            <w:r>
              <w:t xml:space="preserve">debates by academics, </w:t>
            </w:r>
            <w:proofErr w:type="spellStart"/>
            <w:r w:rsidR="001C28D5">
              <w:lastRenderedPageBreak/>
              <w:t>researhcers</w:t>
            </w:r>
            <w:proofErr w:type="spellEnd"/>
            <w:r w:rsidR="001C28D5">
              <w:t xml:space="preserve">, </w:t>
            </w:r>
            <w:r>
              <w:t>individual</w:t>
            </w:r>
            <w:r w:rsidR="001C28D5">
              <w:t xml:space="preserve"> </w:t>
            </w:r>
            <w:proofErr w:type="spellStart"/>
            <w:r>
              <w:t>oliticians</w:t>
            </w:r>
            <w:proofErr w:type="spellEnd"/>
            <w:r>
              <w:t>, and think-tank institutions (e.g., INA</w:t>
            </w:r>
            <w:r w:rsidR="001C28D5">
              <w:t xml:space="preserve"> and NRI</w:t>
            </w:r>
            <w:r>
              <w:t>), universities (</w:t>
            </w:r>
            <w:proofErr w:type="spellStart"/>
            <w:r>
              <w:t>eg</w:t>
            </w:r>
            <w:proofErr w:type="spellEnd"/>
            <w:r>
              <w:t xml:space="preserve">, ANU), the IMF and World Bank research publications </w:t>
            </w:r>
            <w:r w:rsidR="001C28D5">
              <w:t xml:space="preserve">including other similar outlets and publications. </w:t>
            </w:r>
          </w:p>
          <w:p w14:paraId="140F1371" w14:textId="48B4E89C" w:rsidR="00C06CEC" w:rsidRDefault="00C06CEC" w:rsidP="00C06CEC">
            <w:pPr>
              <w:jc w:val="both"/>
            </w:pPr>
            <w:r>
              <w:t>(iii)</w:t>
            </w:r>
            <w:r>
              <w:tab/>
              <w:t xml:space="preserve">Obtaining Cabinet Directive to implement critical recommendations </w:t>
            </w:r>
            <w:r w:rsidR="00102F41">
              <w:t>from</w:t>
            </w:r>
            <w:r>
              <w:t xml:space="preserve"> EITI Reports published. To ensure outcomes are achieved from the EITI report recommendations, the MSG made submissions to the National Executive Council (NEC) tw</w:t>
            </w:r>
            <w:r w:rsidR="00102F41">
              <w:t>ice</w:t>
            </w:r>
            <w:r>
              <w:t xml:space="preserve"> and obtained Cabinet Directives (refer to NEC Decisions indicated in the earlier sections) for responsible or concerned Sate entities to act</w:t>
            </w:r>
            <w:r w:rsidR="00102F41">
              <w:t>ion/implement</w:t>
            </w:r>
            <w:r>
              <w:t>. The amen</w:t>
            </w:r>
            <w:r w:rsidR="009E0815">
              <w:t>dment</w:t>
            </w:r>
            <w:r>
              <w:t xml:space="preserve"> to the Income Tax Act that removed secrecy provision to disclose tax revenue data by the IRC and the ongoing work to </w:t>
            </w:r>
            <w:r w:rsidR="006613C2">
              <w:t>enhance</w:t>
            </w:r>
            <w:r>
              <w:t xml:space="preserve"> petroleum license database at the Department of Petroleum are two examples of such outcome.</w:t>
            </w:r>
          </w:p>
          <w:p w14:paraId="5D937C95" w14:textId="77777777" w:rsidR="00274888" w:rsidRDefault="004A1E05" w:rsidP="00134395">
            <w:pPr>
              <w:pStyle w:val="ListParagraph"/>
              <w:numPr>
                <w:ilvl w:val="0"/>
                <w:numId w:val="25"/>
              </w:numPr>
            </w:pPr>
            <w:r>
              <w:t>The publication of Annual Progress Report (APR) – th</w:t>
            </w:r>
            <w:r w:rsidR="00317D7B">
              <w:t>e</w:t>
            </w:r>
            <w:r>
              <w:t xml:space="preserve"> report </w:t>
            </w:r>
            <w:r w:rsidR="00317D7B">
              <w:t>provides</w:t>
            </w:r>
            <w:r>
              <w:t xml:space="preserve"> </w:t>
            </w:r>
            <w:r w:rsidR="00317D7B">
              <w:t>a progress update and</w:t>
            </w:r>
            <w:r>
              <w:t xml:space="preserve"> documents activities undertaken by the MSG</w:t>
            </w:r>
            <w:r w:rsidR="00317D7B">
              <w:t>. It</w:t>
            </w:r>
            <w:r>
              <w:t xml:space="preserve"> serves as a basis to measure outputs, outcomes and impact o</w:t>
            </w:r>
            <w:r w:rsidR="00317D7B">
              <w:t>f</w:t>
            </w:r>
            <w:r>
              <w:t xml:space="preserve"> EITI in the country. </w:t>
            </w:r>
            <w:r w:rsidR="00274888">
              <w:t xml:space="preserve">Previous APRs are available on the website </w:t>
            </w:r>
            <w:hyperlink r:id="rId83" w:history="1">
              <w:r w:rsidR="00274888" w:rsidRPr="00024D83">
                <w:rPr>
                  <w:rStyle w:val="Hyperlink"/>
                </w:rPr>
                <w:t>http://www.pngeiti.org.pg/1923-2/</w:t>
              </w:r>
            </w:hyperlink>
            <w:r w:rsidR="00274888">
              <w:t xml:space="preserve"> </w:t>
            </w:r>
          </w:p>
          <w:p w14:paraId="34C2C6F7" w14:textId="60362A1A" w:rsidR="004A1E05" w:rsidRPr="00274888" w:rsidRDefault="00004553" w:rsidP="00274888">
            <w:r w:rsidRPr="00274888">
              <w:t xml:space="preserve">The </w:t>
            </w:r>
            <w:r w:rsidR="00274888">
              <w:t xml:space="preserve">latest </w:t>
            </w:r>
            <w:r w:rsidRPr="00274888">
              <w:t>Annual Progress Report for 2021 is being reviewed and will be finalised for uploading by 5</w:t>
            </w:r>
            <w:r w:rsidRPr="00274888">
              <w:rPr>
                <w:vertAlign w:val="superscript"/>
              </w:rPr>
              <w:t>th</w:t>
            </w:r>
            <w:r w:rsidRPr="00274888">
              <w:t xml:space="preserve"> of April</w:t>
            </w:r>
            <w:r w:rsidR="00693600" w:rsidRPr="00274888">
              <w:t>, 2022</w:t>
            </w:r>
            <w:r w:rsidRPr="00274888">
              <w:t xml:space="preserve">. </w:t>
            </w:r>
          </w:p>
          <w:p w14:paraId="354459F8" w14:textId="15B5C08E" w:rsidR="00C6608B" w:rsidRPr="005C4A04" w:rsidRDefault="004A1E05" w:rsidP="005C4A04">
            <w:pPr>
              <w:jc w:val="both"/>
            </w:pPr>
            <w:r>
              <w:t xml:space="preserve">The National Government Budget Development Policy Document – the reform related activities coming out of EITI implementation (Recommendation from EITI published reports, validation gaps, etc.) are documented and included in the National Government’s Budget documents through the Economic Development Policy Volume 1 under the sectoral policy reform section. </w:t>
            </w:r>
            <w:r w:rsidR="005C4A04">
              <w:t>T</w:t>
            </w:r>
            <w:r>
              <w:t xml:space="preserve">his way, the EITI induced reform activities in the country </w:t>
            </w:r>
            <w:bookmarkStart w:id="6" w:name="_Int_4ghPlXbo"/>
            <w:r>
              <w:t>are</w:t>
            </w:r>
            <w:bookmarkEnd w:id="6"/>
            <w:r>
              <w:t xml:space="preserve"> not seen to be implemented in isolation but </w:t>
            </w:r>
            <w:bookmarkStart w:id="7" w:name="_Int_Q0SGS4pl"/>
            <w:r>
              <w:t>are</w:t>
            </w:r>
            <w:bookmarkEnd w:id="7"/>
            <w:r>
              <w:t xml:space="preserve"> complementing the Government’s overall sectoral reform efforts. The aim is to ensure that EITI related reforms are </w:t>
            </w:r>
            <w:r w:rsidR="005C4A04">
              <w:t>fruit</w:t>
            </w:r>
            <w:r>
              <w:t>ful by riding on the overall Government reform agenda and programs</w:t>
            </w:r>
            <w:r w:rsidR="005C4A04">
              <w:t xml:space="preserve">. </w:t>
            </w:r>
          </w:p>
        </w:tc>
      </w:tr>
    </w:tbl>
    <w:p w14:paraId="161312AF" w14:textId="77777777" w:rsidR="00C6608B" w:rsidRPr="0060568E" w:rsidRDefault="00C6608B" w:rsidP="00C6608B">
      <w:pPr>
        <w:rPr>
          <w:b/>
          <w:bCs/>
        </w:rPr>
      </w:pPr>
    </w:p>
    <w:p w14:paraId="17141A5B" w14:textId="72B0402F" w:rsidR="00C6608B" w:rsidRDefault="00CA7D8B" w:rsidP="00C6608B">
      <w:r>
        <w:rPr>
          <w:b/>
          <w:bCs/>
        </w:rPr>
        <w:t>9</w:t>
      </w:r>
      <w:r w:rsidR="00C6608B" w:rsidRPr="00810CBF">
        <w:rPr>
          <w:b/>
          <w:bCs/>
        </w:rPr>
        <w:t>. If the MSG has plans to include new issues or approaches to EITI implementation, please describe these</w:t>
      </w:r>
      <w:r w:rsidR="00C6608B">
        <w:t xml:space="preserve">. </w:t>
      </w:r>
    </w:p>
    <w:tbl>
      <w:tblPr>
        <w:tblStyle w:val="TableGrid"/>
        <w:tblW w:w="0" w:type="auto"/>
        <w:tblLook w:val="04A0" w:firstRow="1" w:lastRow="0" w:firstColumn="1" w:lastColumn="0" w:noHBand="0" w:noVBand="1"/>
      </w:tblPr>
      <w:tblGrid>
        <w:gridCol w:w="9062"/>
      </w:tblGrid>
      <w:tr w:rsidR="00C6608B" w14:paraId="0DAE3999" w14:textId="77777777" w:rsidTr="003A45E9">
        <w:tc>
          <w:tcPr>
            <w:tcW w:w="9062" w:type="dxa"/>
          </w:tcPr>
          <w:p w14:paraId="369B781A" w14:textId="77777777" w:rsidR="00C06CEC" w:rsidRDefault="00C06CEC" w:rsidP="00C06CEC">
            <w:r>
              <w:t>(i) The MSG has plans to extend EITI implementation into the forestry and fisheries, and the agriculture sector (renewable sector) in the near future.</w:t>
            </w:r>
          </w:p>
          <w:p w14:paraId="055B54D1" w14:textId="28093B7C" w:rsidR="00C06CEC" w:rsidRDefault="00C06CEC" w:rsidP="00C06CEC">
            <w:r>
              <w:t>(ii) The MSG also has embarked on including EITI syllabus (resource extraction and governance) in the PNG educational institutions (colleges and universities) under the PNGEITI/World Bank Education Mainstreaming Project. An initial scoping work on education mainstreaming study was executed by a World Bank consult</w:t>
            </w:r>
            <w:r w:rsidR="00746DFF">
              <w:t xml:space="preserve">ant. </w:t>
            </w:r>
            <w:r>
              <w:t xml:space="preserve"> </w:t>
            </w:r>
            <w:r w:rsidR="00746DFF">
              <w:t xml:space="preserve">The </w:t>
            </w:r>
            <w:r>
              <w:t>report is available on the website</w:t>
            </w:r>
            <w:r w:rsidR="00746DFF">
              <w:t xml:space="preserve"> </w:t>
            </w:r>
            <w:hyperlink r:id="rId84" w:history="1">
              <w:r w:rsidR="00746DFF" w:rsidRPr="00024D83">
                <w:rPr>
                  <w:rStyle w:val="Hyperlink"/>
                </w:rPr>
                <w:t>http://www.pngeiti.org.pg/wp-content/uploads/2018/04/2020-Education-Mainstreaming-Draft-Report.pdf</w:t>
              </w:r>
            </w:hyperlink>
          </w:p>
          <w:p w14:paraId="1BD18176" w14:textId="0A8FA6BB" w:rsidR="00C06CEC" w:rsidRDefault="00C06CEC" w:rsidP="00C06CEC">
            <w:r>
              <w:t xml:space="preserve">(iii) The MSG intends to extend EITI reporting to </w:t>
            </w:r>
            <w:r w:rsidR="00746DFF">
              <w:t xml:space="preserve">the </w:t>
            </w:r>
            <w:r>
              <w:t>subnational level of government to enhance transparency and accountability on</w:t>
            </w:r>
            <w:r w:rsidR="00746DFF">
              <w:t xml:space="preserve"> </w:t>
            </w:r>
            <w:r>
              <w:t>payments and transfers made to th</w:t>
            </w:r>
            <w:r w:rsidR="00746DFF">
              <w:t>at</w:t>
            </w:r>
            <w:r>
              <w:t xml:space="preserve"> lev</w:t>
            </w:r>
            <w:r w:rsidR="00746DFF">
              <w:t>el</w:t>
            </w:r>
            <w:r>
              <w:t xml:space="preserve">. National Secretariat is currently working with the World Bank to undertake phase 2 of this project this year. Phase 1 of the project was undertaken by a consultant funded </w:t>
            </w:r>
            <w:r w:rsidR="00746DFF">
              <w:t>by</w:t>
            </w:r>
            <w:r>
              <w:t xml:space="preserve"> the Australian Government.</w:t>
            </w:r>
          </w:p>
          <w:p w14:paraId="4F6053CC" w14:textId="225D94C5" w:rsidR="00C06CEC" w:rsidRDefault="00C06CEC" w:rsidP="00C06CEC">
            <w:r>
              <w:lastRenderedPageBreak/>
              <w:t>(iv)The MSG plan</w:t>
            </w:r>
            <w:r w:rsidR="000B4391">
              <w:t>s</w:t>
            </w:r>
            <w:r>
              <w:t xml:space="preserve"> to seek corporate support (funding) from current reporting companies going forward.</w:t>
            </w:r>
          </w:p>
          <w:p w14:paraId="3D7BA156" w14:textId="692CB451" w:rsidR="00C06CEC" w:rsidRDefault="00C06CEC" w:rsidP="00C06CEC">
            <w:r>
              <w:t xml:space="preserve">(v) The MSG intends to </w:t>
            </w:r>
            <w:r w:rsidR="0063444E">
              <w:t>have</w:t>
            </w:r>
            <w:r>
              <w:t xml:space="preserve"> a multi-year workplan (5 years)</w:t>
            </w:r>
            <w:r w:rsidR="0063444E">
              <w:t xml:space="preserve">. </w:t>
            </w:r>
            <w:r>
              <w:t xml:space="preserve"> </w:t>
            </w:r>
            <w:r w:rsidR="0063444E">
              <w:t>A</w:t>
            </w:r>
            <w:r>
              <w:t xml:space="preserve"> long-term workplan that will enable donors and development partners to provide concrete support by addressin</w:t>
            </w:r>
            <w:r w:rsidR="0063444E">
              <w:t>g</w:t>
            </w:r>
            <w:r>
              <w:t xml:space="preserve"> medium and long</w:t>
            </w:r>
            <w:r w:rsidR="0063444E">
              <w:t>-</w:t>
            </w:r>
            <w:r>
              <w:t xml:space="preserve">term structural, policy and legal reforms </w:t>
            </w:r>
            <w:r w:rsidR="0063444E">
              <w:t xml:space="preserve">that seek greater impact </w:t>
            </w:r>
            <w:r>
              <w:t>for</w:t>
            </w:r>
            <w:r w:rsidR="0063444E">
              <w:t xml:space="preserve"> </w:t>
            </w:r>
            <w:r>
              <w:t>EITI implementation in the country.</w:t>
            </w:r>
          </w:p>
          <w:p w14:paraId="7242F497" w14:textId="77777777" w:rsidR="00C6608B" w:rsidRDefault="00C6608B" w:rsidP="003A45E9"/>
        </w:tc>
      </w:tr>
    </w:tbl>
    <w:p w14:paraId="6FE4560E" w14:textId="77777777" w:rsidR="00C6608B" w:rsidRDefault="00C6608B" w:rsidP="00C6608B"/>
    <w:p w14:paraId="25C64F1F" w14:textId="35EB18AC" w:rsidR="00C6608B" w:rsidRDefault="009E5DE3" w:rsidP="00C6608B">
      <w:pPr>
        <w:rPr>
          <w:b/>
        </w:rPr>
      </w:pPr>
      <w:r>
        <w:rPr>
          <w:b/>
          <w:bCs/>
        </w:rPr>
        <w:t>10</w:t>
      </w:r>
      <w:r w:rsidR="00C6608B" w:rsidRPr="00810CBF">
        <w:rPr>
          <w:b/>
          <w:bCs/>
        </w:rPr>
        <w:t>. What</w:t>
      </w:r>
      <w:r w:rsidR="00C6608B">
        <w:rPr>
          <w:b/>
          <w:bCs/>
        </w:rPr>
        <w:t xml:space="preserve"> kind of</w:t>
      </w:r>
      <w:r w:rsidR="00C6608B"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3A45E9">
        <w:tc>
          <w:tcPr>
            <w:tcW w:w="9062" w:type="dxa"/>
          </w:tcPr>
          <w:p w14:paraId="592F9B40" w14:textId="77777777" w:rsidR="00184E96" w:rsidRDefault="00184E96" w:rsidP="00184E96">
            <w:r>
              <w:t>The outcomes and impact expected from these plans are:</w:t>
            </w:r>
          </w:p>
          <w:p w14:paraId="1263C7E2" w14:textId="378B666E" w:rsidR="00184E96" w:rsidRDefault="00184E96" w:rsidP="00134395">
            <w:pPr>
              <w:pStyle w:val="ListParagraph"/>
              <w:numPr>
                <w:ilvl w:val="0"/>
                <w:numId w:val="19"/>
              </w:numPr>
            </w:pPr>
            <w:r>
              <w:t xml:space="preserve">The extension of EITI implementation to the renewal sector (point (i) is </w:t>
            </w:r>
            <w:r w:rsidR="00EA4EE6">
              <w:t xml:space="preserve">to </w:t>
            </w:r>
            <w:r>
              <w:t xml:space="preserve">improve transparency and accountability in these areas where </w:t>
            </w:r>
            <w:r w:rsidR="00EA4EE6">
              <w:t>we get reports of</w:t>
            </w:r>
            <w:r>
              <w:t xml:space="preserve"> illegal activities, especially in the logging/forestry and fisheries. There is perceived high level of corruption in the forestry and logging activities.</w:t>
            </w:r>
          </w:p>
          <w:p w14:paraId="18F7F695" w14:textId="5E8054A6" w:rsidR="00184E96" w:rsidRDefault="00184E96" w:rsidP="00134395">
            <w:pPr>
              <w:pStyle w:val="ListParagraph"/>
              <w:numPr>
                <w:ilvl w:val="0"/>
                <w:numId w:val="19"/>
              </w:numPr>
            </w:pPr>
            <w:r>
              <w:t>The education mainstreaming project will provide an opportunity for students to learn about EITI in the</w:t>
            </w:r>
            <w:r w:rsidR="00A61F53">
              <w:t xml:space="preserve"> higher and tertiary </w:t>
            </w:r>
            <w:r>
              <w:t>learning institutions</w:t>
            </w:r>
            <w:r w:rsidR="00A61F53">
              <w:t xml:space="preserve"> - a preparatory stage</w:t>
            </w:r>
            <w:r>
              <w:t>. Whe</w:t>
            </w:r>
            <w:r w:rsidR="00A61F53">
              <w:t>n</w:t>
            </w:r>
            <w:r>
              <w:t xml:space="preserve"> students </w:t>
            </w:r>
            <w:r w:rsidR="00A61F53">
              <w:t>graduate from</w:t>
            </w:r>
            <w:r>
              <w:t xml:space="preserve"> these institutions</w:t>
            </w:r>
            <w:r w:rsidR="00A61F53">
              <w:t xml:space="preserve"> and</w:t>
            </w:r>
            <w:r>
              <w:t xml:space="preserve"> into the workforce, they </w:t>
            </w:r>
            <w:r w:rsidR="00A61F53">
              <w:t>would be equipped with</w:t>
            </w:r>
            <w:r>
              <w:t xml:space="preserve"> knowledge on EITI.</w:t>
            </w:r>
          </w:p>
          <w:p w14:paraId="7BBB5E8F" w14:textId="3AB3A446" w:rsidR="00184E96" w:rsidRDefault="00184E96" w:rsidP="00134395">
            <w:pPr>
              <w:pStyle w:val="ListParagraph"/>
              <w:numPr>
                <w:ilvl w:val="0"/>
                <w:numId w:val="19"/>
              </w:numPr>
            </w:pPr>
            <w:r>
              <w:t xml:space="preserve">On subnational level EITI reporting, it will result in improving transparency and accountability at the </w:t>
            </w:r>
            <w:proofErr w:type="spellStart"/>
            <w:r>
              <w:t>sub</w:t>
            </w:r>
            <w:r w:rsidR="00E57995">
              <w:t>n</w:t>
            </w:r>
            <w:r>
              <w:t>national</w:t>
            </w:r>
            <w:proofErr w:type="spellEnd"/>
            <w:r>
              <w:t xml:space="preserve"> (provincial and local level governments). This is anticipated to have a significant impact by </w:t>
            </w:r>
            <w:r w:rsidR="00E57995">
              <w:t>ensuring</w:t>
            </w:r>
            <w:r>
              <w:t xml:space="preserve"> transparency in</w:t>
            </w:r>
            <w:r w:rsidR="00E57995">
              <w:t xml:space="preserve"> the </w:t>
            </w:r>
            <w:r>
              <w:t>payments and transfer</w:t>
            </w:r>
            <w:r w:rsidR="00E57995">
              <w:t>s made</w:t>
            </w:r>
            <w:r>
              <w:t>.</w:t>
            </w:r>
          </w:p>
          <w:p w14:paraId="5D44485E" w14:textId="584FC881" w:rsidR="00184E96" w:rsidRDefault="00184E96" w:rsidP="00134395">
            <w:pPr>
              <w:pStyle w:val="ListParagraph"/>
              <w:numPr>
                <w:ilvl w:val="0"/>
                <w:numId w:val="19"/>
              </w:numPr>
            </w:pPr>
            <w:r w:rsidRPr="00184E96">
              <w:t>The Corporate support</w:t>
            </w:r>
            <w:r w:rsidR="0063444E">
              <w:t xml:space="preserve"> (funding)</w:t>
            </w:r>
            <w:r w:rsidRPr="00184E96">
              <w:t xml:space="preserve"> arrangement will also reinforce reporting companies to take greater ownership of EITI implementation activities through the MSG arrangement. Currently the Government has been </w:t>
            </w:r>
            <w:r w:rsidR="00025D07">
              <w:t>the main sponsor (fund)</w:t>
            </w:r>
            <w:r w:rsidRPr="00184E96">
              <w:t xml:space="preserve"> </w:t>
            </w:r>
            <w:r w:rsidR="00025D07">
              <w:t xml:space="preserve">for the </w:t>
            </w:r>
            <w:r w:rsidRPr="00184E96">
              <w:t xml:space="preserve">EITI activities with </w:t>
            </w:r>
            <w:r w:rsidR="00025D07">
              <w:t xml:space="preserve">technical </w:t>
            </w:r>
            <w:r w:rsidRPr="00184E96">
              <w:t xml:space="preserve">support from </w:t>
            </w:r>
            <w:r w:rsidR="00025D07">
              <w:t>a couple of</w:t>
            </w:r>
            <w:r w:rsidRPr="00184E96">
              <w:t xml:space="preserve"> development partners</w:t>
            </w:r>
            <w:r w:rsidR="00025D07">
              <w:t xml:space="preserve"> (donors). </w:t>
            </w:r>
          </w:p>
          <w:p w14:paraId="52720AED" w14:textId="600D7B25" w:rsidR="00184E96" w:rsidRDefault="00184E96" w:rsidP="00134395">
            <w:pPr>
              <w:pStyle w:val="ListParagraph"/>
              <w:numPr>
                <w:ilvl w:val="0"/>
                <w:numId w:val="19"/>
              </w:numPr>
            </w:pPr>
            <w:r>
              <w:t xml:space="preserve">Having a </w:t>
            </w:r>
            <w:r w:rsidR="000C786B">
              <w:t>m</w:t>
            </w:r>
            <w:r>
              <w:t>ulti-</w:t>
            </w:r>
            <w:r w:rsidR="000C786B">
              <w:t>y</w:t>
            </w:r>
            <w:r>
              <w:t>ear Work</w:t>
            </w:r>
            <w:r w:rsidR="00025D07">
              <w:t>p</w:t>
            </w:r>
            <w:r>
              <w:t>lan in place will provide a good basis for donors and development partners to plan, align and confirm their support to EITI implementation. Also, having a long</w:t>
            </w:r>
            <w:r w:rsidR="000C786B">
              <w:t>-</w:t>
            </w:r>
            <w:r>
              <w:t xml:space="preserve">term plan will serve as a guide as to what the MSG intends to achieve and work towards </w:t>
            </w:r>
            <w:r w:rsidR="00A83841">
              <w:t xml:space="preserve">achieving </w:t>
            </w:r>
            <w:r>
              <w:t>the outcomes.</w:t>
            </w:r>
          </w:p>
          <w:p w14:paraId="664B6DB9" w14:textId="7CA70A4A" w:rsidR="00C6608B" w:rsidRDefault="00184E96" w:rsidP="00134395">
            <w:pPr>
              <w:pStyle w:val="ListParagraph"/>
              <w:numPr>
                <w:ilvl w:val="0"/>
                <w:numId w:val="19"/>
              </w:numPr>
            </w:pPr>
            <w:r w:rsidRPr="00184E96">
              <w:t xml:space="preserve">MSG </w:t>
            </w:r>
            <w:r>
              <w:t>and</w:t>
            </w:r>
            <w:r w:rsidRPr="00184E96">
              <w:t xml:space="preserve"> MRA/Government Institutions will liaise and institutionalize EITI, with each government institutions having its specific EITI Desk or Unit with permanent EITI Officers and Budgets. This will address the EITI standards on streamlining institutions.</w:t>
            </w:r>
          </w:p>
        </w:tc>
      </w:tr>
    </w:tbl>
    <w:p w14:paraId="56184E73" w14:textId="77777777" w:rsidR="00C6608B" w:rsidRDefault="00C6608B" w:rsidP="00C6608B"/>
    <w:p w14:paraId="7D866385" w14:textId="7FBF75E2" w:rsidR="00C6608B" w:rsidRPr="00810CBF" w:rsidRDefault="00C6608B" w:rsidP="00C6608B">
      <w:pPr>
        <w:rPr>
          <w:b/>
          <w:bCs/>
        </w:rPr>
      </w:pPr>
      <w:r w:rsidRPr="00810CBF">
        <w:rPr>
          <w:b/>
          <w:bCs/>
        </w:rPr>
        <w:lastRenderedPageBreak/>
        <w:t>1</w:t>
      </w:r>
      <w:r w:rsidR="009E5DE3">
        <w:rPr>
          <w:b/>
          <w:bCs/>
        </w:rPr>
        <w:t>1</w:t>
      </w:r>
      <w:r w:rsidRPr="00810CBF">
        <w:rPr>
          <w:b/>
          <w:bCs/>
        </w:rPr>
        <w:t>. Summarise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3A45E9">
        <w:tc>
          <w:tcPr>
            <w:tcW w:w="9062" w:type="dxa"/>
          </w:tcPr>
          <w:p w14:paraId="28AB0A2F" w14:textId="77777777" w:rsidR="00360E97" w:rsidRDefault="00360E97" w:rsidP="00360E97">
            <w:pPr>
              <w:rPr>
                <w:bCs/>
              </w:rPr>
            </w:pPr>
            <w:r w:rsidRPr="006D771A">
              <w:rPr>
                <w:bCs/>
              </w:rPr>
              <w:t>MSG’s efforts to strengthen the impact of EITI implementation</w:t>
            </w:r>
            <w:r>
              <w:rPr>
                <w:bCs/>
              </w:rPr>
              <w:t>, including actions taken to extend the detail and scope of EITI reporting or to increase engagement with stakeholders</w:t>
            </w:r>
            <w:r w:rsidRPr="006D771A">
              <w:rPr>
                <w:bCs/>
              </w:rPr>
              <w:t xml:space="preserve"> ha</w:t>
            </w:r>
            <w:r>
              <w:rPr>
                <w:bCs/>
              </w:rPr>
              <w:t>ve</w:t>
            </w:r>
            <w:r w:rsidRPr="006D771A">
              <w:rPr>
                <w:bCs/>
              </w:rPr>
              <w:t xml:space="preserve"> been outlined in Parts 7, 8 and 9 of this </w:t>
            </w:r>
            <w:proofErr w:type="gramStart"/>
            <w:r w:rsidRPr="006D771A">
              <w:rPr>
                <w:bCs/>
              </w:rPr>
              <w:t>template</w:t>
            </w:r>
            <w:proofErr w:type="gramEnd"/>
            <w:r w:rsidRPr="006D771A">
              <w:rPr>
                <w:bCs/>
              </w:rPr>
              <w:t xml:space="preserve"> so please refer to these as they are the same.</w:t>
            </w:r>
          </w:p>
          <w:p w14:paraId="27A4EC0A" w14:textId="29008464" w:rsidR="00C6608B" w:rsidRDefault="00360E97" w:rsidP="00360E97">
            <w:pPr>
              <w:rPr>
                <w:bCs/>
              </w:rPr>
            </w:pPr>
            <w:r>
              <w:rPr>
                <w:bCs/>
              </w:rPr>
              <w:t xml:space="preserve">The MSG has taken gender seriously as a new requirement in the EITI Standard and has been working with JICA consultants through the support provided by the Government of Japan to </w:t>
            </w:r>
            <w:r w:rsidR="31A79879">
              <w:t>enhance</w:t>
            </w:r>
            <w:r>
              <w:rPr>
                <w:bCs/>
              </w:rPr>
              <w:t xml:space="preserve"> this area. This particular gender reporting requirement by EITIT is consistent and complementary to the Government of PNG’s policy on Gender Equality Support Initiative (GESI).</w:t>
            </w:r>
          </w:p>
          <w:p w14:paraId="7D0005E2" w14:textId="654D15AF" w:rsidR="00C6608B" w:rsidRDefault="00360E97" w:rsidP="003A45E9">
            <w:r>
              <w:t xml:space="preserve">MRA considers gender equality seriously. They have a female lawyer as a member of the EITI team of three at MRA. She is the member of the TWG on PNGEITI </w:t>
            </w:r>
            <w:r w:rsidR="31A79879">
              <w:t>Commission</w:t>
            </w:r>
            <w:r>
              <w:t xml:space="preserve"> Bill.</w:t>
            </w:r>
          </w:p>
          <w:p w14:paraId="04EEAF88" w14:textId="77777777" w:rsidR="00C6608B" w:rsidRDefault="00C6608B" w:rsidP="003A45E9">
            <w:pPr>
              <w:rPr>
                <w:b/>
                <w:bCs/>
              </w:rPr>
            </w:pP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8" w:name="_Toc57973529"/>
      <w:r w:rsidRPr="0060568E">
        <w:rPr>
          <w:rFonts w:ascii="Franklin Gothic Book" w:hAnsi="Franklin Gothic Book"/>
        </w:rPr>
        <w:t>Part II: Public debate</w:t>
      </w:r>
      <w:bookmarkEnd w:id="8"/>
    </w:p>
    <w:p w14:paraId="53224D23" w14:textId="4901541A" w:rsidR="00C6608B" w:rsidRPr="003913AF" w:rsidRDefault="00C6608B" w:rsidP="00610AD5">
      <w:pPr>
        <w:pStyle w:val="Heading2"/>
      </w:pPr>
      <w:bookmarkStart w:id="9" w:name="_Toc57973530"/>
      <w:r w:rsidRPr="0060568E">
        <w:t>Open data</w:t>
      </w:r>
      <w:r>
        <w:t xml:space="preserve"> (Requirement 7.2)</w:t>
      </w:r>
      <w:bookmarkEnd w:id="9"/>
    </w:p>
    <w:p w14:paraId="65F627E1" w14:textId="7EAA084B" w:rsidR="00C6608B" w:rsidRPr="00DB3F7E" w:rsidRDefault="00C6608B" w:rsidP="00C6608B">
      <w:pPr>
        <w:rPr>
          <w:b/>
          <w:bCs/>
        </w:rPr>
      </w:pPr>
      <w:r w:rsidRPr="00DB3F7E">
        <w:rPr>
          <w:b/>
          <w:bCs/>
        </w:rPr>
        <w:t>1</w:t>
      </w:r>
      <w:r w:rsidR="00B237EC">
        <w:rPr>
          <w:b/>
          <w:bCs/>
        </w:rPr>
        <w:t>2</w:t>
      </w:r>
      <w:r w:rsidRPr="00DB3F7E">
        <w:rPr>
          <w:b/>
          <w:bCs/>
        </w:rPr>
        <w:t>. Open data policy and disclosures</w:t>
      </w:r>
      <w:r>
        <w:rPr>
          <w:b/>
          <w:bCs/>
        </w:rPr>
        <w:t xml:space="preserve"> </w:t>
      </w:r>
    </w:p>
    <w:tbl>
      <w:tblPr>
        <w:tblStyle w:val="TableGrid"/>
        <w:tblW w:w="0" w:type="auto"/>
        <w:tblLook w:val="04A0" w:firstRow="1" w:lastRow="0" w:firstColumn="1" w:lastColumn="0" w:noHBand="0" w:noVBand="1"/>
      </w:tblPr>
      <w:tblGrid>
        <w:gridCol w:w="4531"/>
        <w:gridCol w:w="4531"/>
      </w:tblGrid>
      <w:tr w:rsidR="00C6608B" w14:paraId="0891DFCD" w14:textId="77777777" w:rsidTr="003A45E9">
        <w:tc>
          <w:tcPr>
            <w:tcW w:w="4531" w:type="dxa"/>
          </w:tcPr>
          <w:p w14:paraId="2F64DFB8" w14:textId="77777777" w:rsidR="00C6608B" w:rsidRDefault="00C6608B" w:rsidP="003A45E9">
            <w:r>
              <w:t>Provide a link to the open data policy agreed by the MSG (Requirement 7.2.a)</w:t>
            </w:r>
          </w:p>
        </w:tc>
        <w:tc>
          <w:tcPr>
            <w:tcW w:w="4531" w:type="dxa"/>
          </w:tcPr>
          <w:p w14:paraId="5EADD2A9" w14:textId="77777777" w:rsidR="00C6608B" w:rsidRDefault="00C6608B" w:rsidP="003A45E9">
            <w:pPr>
              <w:rPr>
                <w:i/>
                <w:iCs/>
              </w:rPr>
            </w:pPr>
            <w:r w:rsidRPr="00C245D2">
              <w:rPr>
                <w:i/>
                <w:iCs/>
              </w:rPr>
              <w:t>[Add link</w:t>
            </w:r>
            <w:r>
              <w:rPr>
                <w:i/>
                <w:iCs/>
              </w:rPr>
              <w:t>(s) to relevant open data policy(</w:t>
            </w:r>
            <w:proofErr w:type="spellStart"/>
            <w:r>
              <w:rPr>
                <w:i/>
                <w:iCs/>
              </w:rPr>
              <w:t>ies</w:t>
            </w:r>
            <w:proofErr w:type="spellEnd"/>
            <w:r>
              <w:rPr>
                <w:i/>
                <w:iCs/>
              </w:rPr>
              <w:t>)</w:t>
            </w:r>
            <w:r w:rsidRPr="00C245D2">
              <w:rPr>
                <w:i/>
                <w:iCs/>
              </w:rPr>
              <w:t xml:space="preserve"> and any commentary</w:t>
            </w:r>
            <w:r>
              <w:rPr>
                <w:i/>
                <w:iCs/>
              </w:rPr>
              <w:t>.</w:t>
            </w:r>
            <w:r w:rsidRPr="00C245D2">
              <w:rPr>
                <w:i/>
                <w:iCs/>
              </w:rPr>
              <w:t>]</w:t>
            </w:r>
          </w:p>
          <w:p w14:paraId="4D7774AF" w14:textId="77777777" w:rsidR="00FF034C" w:rsidRPr="00884F3A" w:rsidRDefault="00FF034C" w:rsidP="00FF034C">
            <w:pPr>
              <w:spacing w:before="0" w:after="0"/>
            </w:pPr>
            <w:r w:rsidRPr="00884F3A">
              <w:t>EITI Open data policy, approved by MSG on 30 December 2016</w:t>
            </w:r>
          </w:p>
          <w:p w14:paraId="4BE76EC9" w14:textId="6B925CED" w:rsidR="00FF034C" w:rsidRPr="00FF034C" w:rsidRDefault="006F55C9" w:rsidP="00FF034C">
            <w:pPr>
              <w:spacing w:before="120" w:after="120"/>
            </w:pPr>
            <w:hyperlink r:id="rId85" w:history="1">
              <w:r w:rsidR="00FF034C" w:rsidRPr="00530F4D">
                <w:rPr>
                  <w:rStyle w:val="Hyperlink"/>
                </w:rPr>
                <w:t>http://www.pngeiti.org.pg/wp-content/uploads/2018/04/PNG-Open-Data-Policy-and-Framework.pdf</w:t>
              </w:r>
            </w:hyperlink>
          </w:p>
        </w:tc>
      </w:tr>
      <w:tr w:rsidR="00C6608B" w14:paraId="1C0BCD25" w14:textId="77777777" w:rsidTr="003A45E9">
        <w:tc>
          <w:tcPr>
            <w:tcW w:w="4531" w:type="dxa"/>
          </w:tcPr>
          <w:p w14:paraId="5F437996" w14:textId="59B7C92E" w:rsidR="00C6608B" w:rsidRDefault="00C6608B" w:rsidP="003A45E9">
            <w:r>
              <w:t xml:space="preserve">Is EITI data available in open data format and </w:t>
            </w:r>
            <w:r w:rsidR="00485EE9">
              <w:t>publicized</w:t>
            </w:r>
            <w:r>
              <w:t>? (Requirement 7.2.b)</w:t>
            </w:r>
          </w:p>
        </w:tc>
        <w:tc>
          <w:tcPr>
            <w:tcW w:w="4531" w:type="dxa"/>
          </w:tcPr>
          <w:p w14:paraId="28EED4C5" w14:textId="77777777" w:rsidR="00C6608B" w:rsidRDefault="00C6608B" w:rsidP="003A45E9">
            <w:pPr>
              <w:rPr>
                <w:i/>
                <w:iCs/>
              </w:rPr>
            </w:pPr>
            <w:r w:rsidRPr="00C245D2">
              <w:rPr>
                <w:i/>
                <w:iCs/>
              </w:rPr>
              <w:t>[</w:t>
            </w:r>
            <w:r>
              <w:rPr>
                <w:i/>
                <w:iCs/>
              </w:rPr>
              <w:t>EITI data refers to disclosures within the scope of the EITI Standard, including the tables, charts and figures from EITI reports.]</w:t>
            </w:r>
          </w:p>
          <w:p w14:paraId="6D654B47" w14:textId="77777777" w:rsidR="00FF034C" w:rsidRDefault="00FF034C" w:rsidP="00FF034C">
            <w:pPr>
              <w:rPr>
                <w:b/>
                <w:bCs/>
                <w:i/>
                <w:iCs/>
              </w:rPr>
            </w:pPr>
            <w:proofErr w:type="gramStart"/>
            <w:r w:rsidRPr="00B03B2B">
              <w:t>Yes</w:t>
            </w:r>
            <w:proofErr w:type="gramEnd"/>
            <w:r w:rsidRPr="00B03B2B">
              <w:t xml:space="preserve"> this is available in machine readable format.</w:t>
            </w:r>
            <w:r>
              <w:rPr>
                <w:b/>
                <w:bCs/>
                <w:i/>
                <w:iCs/>
              </w:rPr>
              <w:t xml:space="preserve"> </w:t>
            </w:r>
          </w:p>
          <w:p w14:paraId="450F7303" w14:textId="5945BFE0" w:rsidR="00FF034C" w:rsidRDefault="00FF034C" w:rsidP="00FF034C">
            <w:pPr>
              <w:spacing w:after="120"/>
            </w:pPr>
            <w:proofErr w:type="spellStart"/>
            <w:r>
              <w:lastRenderedPageBreak/>
              <w:t>Attachements</w:t>
            </w:r>
            <w:proofErr w:type="spellEnd"/>
            <w:r>
              <w:t xml:space="preserve"> of the </w:t>
            </w:r>
            <w:r w:rsidR="00C60A05">
              <w:t>PNGEITI</w:t>
            </w:r>
            <w:r>
              <w:t xml:space="preserve"> reports are in pdf files </w:t>
            </w:r>
            <w:proofErr w:type="spellStart"/>
            <w:r>
              <w:t>abd</w:t>
            </w:r>
            <w:proofErr w:type="spellEnd"/>
            <w:r>
              <w:t xml:space="preserve"> can be accessed publicly via the link below:</w:t>
            </w:r>
          </w:p>
          <w:p w14:paraId="29ED5071" w14:textId="569CE483" w:rsidR="00FF034C" w:rsidRDefault="006F55C9" w:rsidP="00FF034C">
            <w:pPr>
              <w:spacing w:before="120" w:after="120"/>
            </w:pPr>
            <w:hyperlink r:id="rId86" w:history="1">
              <w:r w:rsidR="00FF034C" w:rsidRPr="00530F4D">
                <w:rPr>
                  <w:rStyle w:val="Hyperlink"/>
                </w:rPr>
                <w:t>http://www.pngeiti.org.pg/reports/</w:t>
              </w:r>
            </w:hyperlink>
          </w:p>
          <w:p w14:paraId="3A9C5F96" w14:textId="5D4B3997" w:rsidR="00FF034C" w:rsidRPr="00FF034C" w:rsidRDefault="00FF034C" w:rsidP="003A45E9"/>
        </w:tc>
      </w:tr>
      <w:tr w:rsidR="00C6608B" w14:paraId="59273CAF" w14:textId="77777777" w:rsidTr="003A45E9">
        <w:tc>
          <w:tcPr>
            <w:tcW w:w="4531" w:type="dxa"/>
          </w:tcPr>
          <w:p w14:paraId="0BC9BB24" w14:textId="77777777" w:rsidR="00C6608B" w:rsidRDefault="00C6608B" w:rsidP="003A45E9">
            <w:r>
              <w:lastRenderedPageBreak/>
              <w:t>Has the MSG identified gaps in the availability of EITI data in open format? If yes, what kind of gaps? (Requirement 7.2.b)</w:t>
            </w:r>
          </w:p>
        </w:tc>
        <w:tc>
          <w:tcPr>
            <w:tcW w:w="4531" w:type="dxa"/>
          </w:tcPr>
          <w:p w14:paraId="551D1E7B" w14:textId="6C3785C2" w:rsidR="00C6608B" w:rsidRDefault="00FF034C" w:rsidP="003A45E9">
            <w:r w:rsidRPr="00FF034C">
              <w:t>No. EITI data is available in open format.</w:t>
            </w:r>
          </w:p>
        </w:tc>
      </w:tr>
      <w:tr w:rsidR="00C6608B" w14:paraId="40130A8A" w14:textId="77777777" w:rsidTr="003A45E9">
        <w:tc>
          <w:tcPr>
            <w:tcW w:w="4531" w:type="dxa"/>
          </w:tcPr>
          <w:p w14:paraId="514FE3E9" w14:textId="77777777" w:rsidR="00C6608B" w:rsidRDefault="00C6608B" w:rsidP="003A45E9">
            <w:r>
              <w:t xml:space="preserve">Has the MSG undertaken efforts to improve the availability of data in open format? If yes, please describe these. (Requirement 7.2.b) </w:t>
            </w:r>
          </w:p>
        </w:tc>
        <w:tc>
          <w:tcPr>
            <w:tcW w:w="4531" w:type="dxa"/>
          </w:tcPr>
          <w:p w14:paraId="00E72F6D" w14:textId="72CF0812" w:rsidR="00C6608B" w:rsidRDefault="008C7CE2" w:rsidP="003A45E9">
            <w:r>
              <w:t xml:space="preserve">Not applicable. </w:t>
            </w:r>
          </w:p>
        </w:tc>
      </w:tr>
      <w:tr w:rsidR="00C6608B" w14:paraId="0A1B1CBE" w14:textId="77777777" w:rsidTr="003A45E9">
        <w:tc>
          <w:tcPr>
            <w:tcW w:w="4531" w:type="dxa"/>
          </w:tcPr>
          <w:p w14:paraId="358834D7" w14:textId="77777777" w:rsidR="00C6608B" w:rsidRDefault="00C6608B" w:rsidP="003A45E9">
            <w:r>
              <w:t>Have summary data files been completed for each fiscal year for which data has been disclosed? (Requirement 7.2.c)</w:t>
            </w:r>
          </w:p>
        </w:tc>
        <w:tc>
          <w:tcPr>
            <w:tcW w:w="4531" w:type="dxa"/>
          </w:tcPr>
          <w:p w14:paraId="54B9B74E" w14:textId="63DEE464" w:rsidR="00C6608B" w:rsidRDefault="00BF7681" w:rsidP="003A45E9">
            <w:r w:rsidRPr="00BF7681">
              <w:t xml:space="preserve">Yes, summary data for years 2017, </w:t>
            </w:r>
            <w:r w:rsidRPr="00B617E2">
              <w:t>2018</w:t>
            </w:r>
            <w:r w:rsidRPr="00BF7681">
              <w:t xml:space="preserve"> and 2019 have been disclosed on </w:t>
            </w:r>
            <w:r w:rsidR="00C60A05">
              <w:t>PNGEITI</w:t>
            </w:r>
            <w:r w:rsidRPr="00BF7681">
              <w:t xml:space="preserve"> </w:t>
            </w:r>
            <w:proofErr w:type="spellStart"/>
            <w:proofErr w:type="gramStart"/>
            <w:r w:rsidRPr="00BF7681">
              <w:t>website.</w:t>
            </w:r>
            <w:r>
              <w:t>The</w:t>
            </w:r>
            <w:proofErr w:type="spellEnd"/>
            <w:proofErr w:type="gramEnd"/>
            <w:r>
              <w:t xml:space="preserve"> summary data can be excessed via the </w:t>
            </w:r>
            <w:proofErr w:type="spellStart"/>
            <w:r>
              <w:t>lin</w:t>
            </w:r>
            <w:proofErr w:type="spellEnd"/>
            <w:r>
              <w:t xml:space="preserve"> below:</w:t>
            </w:r>
          </w:p>
          <w:p w14:paraId="4F744271" w14:textId="2DAF7A07" w:rsidR="00BF7681" w:rsidRDefault="006F55C9" w:rsidP="003A45E9">
            <w:hyperlink r:id="rId87" w:history="1">
              <w:r w:rsidR="00BF7681" w:rsidRPr="00530F4D">
                <w:rPr>
                  <w:rStyle w:val="Hyperlink"/>
                </w:rPr>
                <w:t>http://www.pngeiti.org.pg/summary-data-sheets/</w:t>
              </w:r>
            </w:hyperlink>
          </w:p>
          <w:p w14:paraId="455FDFD7" w14:textId="3654C8D0" w:rsidR="00BF7681" w:rsidRDefault="00B617E2" w:rsidP="003A45E9">
            <w:r>
              <w:t xml:space="preserve">The 2018 Summary Data is pending IA to update to new format – currently working on. </w:t>
            </w:r>
          </w:p>
        </w:tc>
      </w:tr>
      <w:tr w:rsidR="00C6608B" w14:paraId="2388496B" w14:textId="77777777" w:rsidTr="003A45E9">
        <w:tc>
          <w:tcPr>
            <w:tcW w:w="4531" w:type="dxa"/>
          </w:tcPr>
          <w:p w14:paraId="4D2A4C23" w14:textId="77777777" w:rsidR="00C6608B" w:rsidRPr="0017107F" w:rsidRDefault="00C6608B" w:rsidP="003A45E9">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machine readable and inter-operable? (Requirement 7.2.d)</w:t>
            </w:r>
          </w:p>
        </w:tc>
        <w:tc>
          <w:tcPr>
            <w:tcW w:w="4531" w:type="dxa"/>
          </w:tcPr>
          <w:p w14:paraId="6AB7AD82" w14:textId="77777777" w:rsidR="00C6608B" w:rsidRDefault="00C6608B" w:rsidP="003A45E9"/>
        </w:tc>
      </w:tr>
    </w:tbl>
    <w:p w14:paraId="33D73F51" w14:textId="77777777" w:rsidR="00C6608B" w:rsidRPr="0060568E" w:rsidRDefault="00C6608B" w:rsidP="00C6608B">
      <w:pPr>
        <w:pStyle w:val="Heading2"/>
      </w:pPr>
      <w:bookmarkStart w:id="10" w:name="_Toc50122778"/>
      <w:bookmarkStart w:id="11" w:name="_Toc57973531"/>
      <w:r w:rsidRPr="0060568E">
        <w:t>Outreach and communications</w:t>
      </w:r>
      <w:bookmarkEnd w:id="10"/>
      <w:r>
        <w:t xml:space="preserve"> (Requirement 7.1)</w:t>
      </w:r>
      <w:bookmarkEnd w:id="11"/>
    </w:p>
    <w:p w14:paraId="42FDD343" w14:textId="00317538" w:rsidR="00C6608B" w:rsidRDefault="00C6608B" w:rsidP="00C6608B">
      <w:r w:rsidRPr="00A16D83">
        <w:rPr>
          <w:b/>
          <w:bCs/>
        </w:rPr>
        <w:t>1</w:t>
      </w:r>
      <w:r w:rsidR="00B237EC">
        <w:rPr>
          <w:b/>
          <w:bCs/>
        </w:rPr>
        <w:t>3</w:t>
      </w:r>
      <w:r w:rsidRPr="00A16D83">
        <w:rPr>
          <w:b/>
          <w:bCs/>
        </w:rPr>
        <w:t>.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14:paraId="7CEAB952" w14:textId="77777777" w:rsidTr="003A45E9">
        <w:tc>
          <w:tcPr>
            <w:tcW w:w="9062" w:type="dxa"/>
          </w:tcPr>
          <w:p w14:paraId="2551769C" w14:textId="7F81D4DF" w:rsidR="0050281C" w:rsidRDefault="0050281C" w:rsidP="0050281C">
            <w:pPr>
              <w:rPr>
                <w:rFonts w:eastAsia="Times New Roman" w:cs="Calibri"/>
                <w:color w:val="000000"/>
                <w:lang w:val="en-AU" w:eastAsia="en-AU"/>
              </w:rPr>
            </w:pPr>
            <w:r w:rsidRPr="5EF89444">
              <w:rPr>
                <w:rFonts w:eastAsia="Times New Roman" w:cs="Calibri"/>
                <w:color w:val="000000" w:themeColor="text1"/>
                <w:lang w:val="en-AU" w:eastAsia="en-AU"/>
              </w:rPr>
              <w:t xml:space="preserve">PNG has over 800 languages with English as its official language of business and thus PNG has published brochures and other materials in English. There are other two national languages spoken widely </w:t>
            </w:r>
            <w:proofErr w:type="spellStart"/>
            <w:r w:rsidRPr="5EF89444">
              <w:rPr>
                <w:rFonts w:eastAsia="Times New Roman" w:cs="Calibri"/>
                <w:color w:val="000000" w:themeColor="text1"/>
                <w:lang w:val="en-AU" w:eastAsia="en-AU"/>
              </w:rPr>
              <w:t>through out</w:t>
            </w:r>
            <w:proofErr w:type="spellEnd"/>
            <w:r w:rsidRPr="5EF89444">
              <w:rPr>
                <w:rFonts w:eastAsia="Times New Roman" w:cs="Calibri"/>
                <w:color w:val="000000" w:themeColor="text1"/>
                <w:lang w:val="en-AU" w:eastAsia="en-AU"/>
              </w:rPr>
              <w:t xml:space="preserve"> the country and these are Tok Pisin, spoken mostly in the </w:t>
            </w:r>
            <w:r w:rsidR="00455F6D">
              <w:rPr>
                <w:rFonts w:eastAsia="Times New Roman" w:cs="Calibri"/>
                <w:color w:val="000000" w:themeColor="text1"/>
                <w:lang w:val="en-AU" w:eastAsia="en-AU"/>
              </w:rPr>
              <w:t>H</w:t>
            </w:r>
            <w:r w:rsidR="00455F6D" w:rsidRPr="5EF89444">
              <w:rPr>
                <w:rFonts w:eastAsia="Times New Roman" w:cs="Calibri"/>
                <w:color w:val="000000" w:themeColor="text1"/>
                <w:lang w:val="en-AU" w:eastAsia="en-AU"/>
              </w:rPr>
              <w:t>ighlands</w:t>
            </w:r>
            <w:r w:rsidRPr="5EF89444">
              <w:rPr>
                <w:rFonts w:eastAsia="Times New Roman" w:cs="Calibri"/>
                <w:color w:val="000000" w:themeColor="text1"/>
                <w:lang w:val="en-AU" w:eastAsia="en-AU"/>
              </w:rPr>
              <w:t xml:space="preserve">, Morobe, </w:t>
            </w:r>
            <w:r w:rsidR="00455F6D" w:rsidRPr="5EF89444">
              <w:rPr>
                <w:rFonts w:eastAsia="Times New Roman" w:cs="Calibri"/>
                <w:color w:val="000000" w:themeColor="text1"/>
                <w:lang w:val="en-AU" w:eastAsia="en-AU"/>
              </w:rPr>
              <w:t>Sep</w:t>
            </w:r>
            <w:r w:rsidR="00455F6D">
              <w:rPr>
                <w:rFonts w:eastAsia="Times New Roman" w:cs="Calibri"/>
                <w:color w:val="000000" w:themeColor="text1"/>
                <w:lang w:val="en-AU" w:eastAsia="en-AU"/>
              </w:rPr>
              <w:t xml:space="preserve">ik </w:t>
            </w:r>
            <w:r w:rsidRPr="5EF89444">
              <w:rPr>
                <w:rFonts w:eastAsia="Times New Roman" w:cs="Calibri"/>
                <w:color w:val="000000" w:themeColor="text1"/>
                <w:lang w:val="en-AU" w:eastAsia="en-AU"/>
              </w:rPr>
              <w:t>and Madang areas (MO</w:t>
            </w:r>
            <w:r w:rsidR="00455F6D">
              <w:rPr>
                <w:rFonts w:eastAsia="Times New Roman" w:cs="Calibri"/>
                <w:color w:val="000000" w:themeColor="text1"/>
                <w:lang w:val="en-AU" w:eastAsia="en-AU"/>
              </w:rPr>
              <w:t>M</w:t>
            </w:r>
            <w:r w:rsidRPr="5EF89444">
              <w:rPr>
                <w:rFonts w:eastAsia="Times New Roman" w:cs="Calibri"/>
                <w:color w:val="000000" w:themeColor="text1"/>
                <w:lang w:val="en-AU" w:eastAsia="en-AU"/>
              </w:rPr>
              <w:t>ASE region)</w:t>
            </w:r>
            <w:r w:rsidR="00455F6D">
              <w:rPr>
                <w:rFonts w:eastAsia="Times New Roman" w:cs="Calibri"/>
                <w:color w:val="000000" w:themeColor="text1"/>
                <w:lang w:val="en-AU" w:eastAsia="en-AU"/>
              </w:rPr>
              <w:t xml:space="preserve"> </w:t>
            </w:r>
            <w:r w:rsidRPr="5EF89444">
              <w:rPr>
                <w:rFonts w:eastAsia="Times New Roman" w:cs="Calibri"/>
                <w:color w:val="000000" w:themeColor="text1"/>
                <w:lang w:val="en-AU" w:eastAsia="en-AU"/>
              </w:rPr>
              <w:t xml:space="preserve">as well as the </w:t>
            </w:r>
            <w:r w:rsidR="00455F6D">
              <w:rPr>
                <w:rFonts w:eastAsia="Times New Roman" w:cs="Calibri"/>
                <w:color w:val="000000" w:themeColor="text1"/>
                <w:lang w:val="en-AU" w:eastAsia="en-AU"/>
              </w:rPr>
              <w:t>N</w:t>
            </w:r>
            <w:r w:rsidR="00455F6D" w:rsidRPr="5EF89444">
              <w:rPr>
                <w:rFonts w:eastAsia="Times New Roman" w:cs="Calibri"/>
                <w:color w:val="000000" w:themeColor="text1"/>
                <w:lang w:val="en-AU" w:eastAsia="en-AU"/>
              </w:rPr>
              <w:t xml:space="preserve">ew </w:t>
            </w:r>
            <w:r w:rsidRPr="5EF89444">
              <w:rPr>
                <w:rFonts w:eastAsia="Times New Roman" w:cs="Calibri"/>
                <w:color w:val="000000" w:themeColor="text1"/>
                <w:lang w:val="en-AU" w:eastAsia="en-AU"/>
              </w:rPr>
              <w:t xml:space="preserve">Guinea Islands regions. The third language, </w:t>
            </w:r>
            <w:proofErr w:type="spellStart"/>
            <w:r w:rsidRPr="5EF89444">
              <w:rPr>
                <w:rFonts w:eastAsia="Times New Roman" w:cs="Calibri"/>
                <w:color w:val="000000" w:themeColor="text1"/>
                <w:lang w:val="en-AU" w:eastAsia="en-AU"/>
              </w:rPr>
              <w:t>Hiri</w:t>
            </w:r>
            <w:proofErr w:type="spellEnd"/>
            <w:r w:rsidRPr="5EF89444">
              <w:rPr>
                <w:rFonts w:eastAsia="Times New Roman" w:cs="Calibri"/>
                <w:color w:val="000000" w:themeColor="text1"/>
                <w:lang w:val="en-AU" w:eastAsia="en-AU"/>
              </w:rPr>
              <w:t xml:space="preserve"> Motu is spoken mainly in the </w:t>
            </w:r>
            <w:r w:rsidR="00394F9E">
              <w:rPr>
                <w:rFonts w:eastAsia="Times New Roman" w:cs="Calibri"/>
                <w:color w:val="000000" w:themeColor="text1"/>
                <w:lang w:val="en-AU" w:eastAsia="en-AU"/>
              </w:rPr>
              <w:t>S</w:t>
            </w:r>
            <w:r w:rsidRPr="5EF89444">
              <w:rPr>
                <w:rFonts w:eastAsia="Times New Roman" w:cs="Calibri"/>
                <w:color w:val="000000" w:themeColor="text1"/>
                <w:lang w:val="en-AU" w:eastAsia="en-AU"/>
              </w:rPr>
              <w:t xml:space="preserve">outhern part of the country. </w:t>
            </w:r>
          </w:p>
          <w:p w14:paraId="413FFA3D" w14:textId="084731D1" w:rsidR="0050281C" w:rsidRPr="00E32503" w:rsidRDefault="0050281C" w:rsidP="0050281C">
            <w:pPr>
              <w:rPr>
                <w:rFonts w:eastAsia="Times New Roman" w:cs="Calibri"/>
                <w:color w:val="000000"/>
                <w:szCs w:val="22"/>
                <w:lang w:val="en-AU" w:eastAsia="en-AU"/>
              </w:rPr>
            </w:pPr>
            <w:r w:rsidRPr="00E32503">
              <w:rPr>
                <w:rFonts w:eastAsia="Times New Roman" w:cs="Calibri"/>
                <w:color w:val="000000"/>
                <w:szCs w:val="22"/>
                <w:lang w:val="en-AU" w:eastAsia="en-AU"/>
              </w:rPr>
              <w:lastRenderedPageBreak/>
              <w:t xml:space="preserve">During awareness campaigns, </w:t>
            </w:r>
            <w:r>
              <w:rPr>
                <w:rFonts w:eastAsia="Times New Roman" w:cs="Calibri"/>
                <w:color w:val="000000"/>
                <w:szCs w:val="22"/>
                <w:lang w:val="en-AU" w:eastAsia="en-AU"/>
              </w:rPr>
              <w:t xml:space="preserve">outreaches and roadshows, </w:t>
            </w:r>
            <w:r w:rsidRPr="00E32503">
              <w:rPr>
                <w:rFonts w:eastAsia="Times New Roman" w:cs="Calibri"/>
                <w:color w:val="000000"/>
                <w:szCs w:val="22"/>
                <w:lang w:val="en-AU" w:eastAsia="en-AU"/>
              </w:rPr>
              <w:t xml:space="preserve">the use of Tok Pisin and Motu are also used to </w:t>
            </w:r>
            <w:r>
              <w:rPr>
                <w:rFonts w:eastAsia="Times New Roman" w:cs="Calibri"/>
                <w:color w:val="000000"/>
                <w:szCs w:val="22"/>
                <w:lang w:val="en-AU" w:eastAsia="en-AU"/>
              </w:rPr>
              <w:t xml:space="preserve">illustrate and </w:t>
            </w:r>
            <w:r w:rsidRPr="00E32503">
              <w:rPr>
                <w:rFonts w:eastAsia="Times New Roman" w:cs="Calibri"/>
                <w:color w:val="000000"/>
                <w:szCs w:val="22"/>
                <w:lang w:val="en-AU" w:eastAsia="en-AU"/>
              </w:rPr>
              <w:t>convey information on EITI</w:t>
            </w:r>
            <w:r>
              <w:rPr>
                <w:rFonts w:eastAsia="Times New Roman" w:cs="Calibri"/>
                <w:color w:val="000000"/>
                <w:szCs w:val="22"/>
                <w:lang w:val="en-AU" w:eastAsia="en-AU"/>
              </w:rPr>
              <w:t xml:space="preserve"> for better understanding, especially in the rural towns and remote settings where population is </w:t>
            </w:r>
            <w:r w:rsidR="009057F3">
              <w:rPr>
                <w:rFonts w:eastAsia="Times New Roman" w:cs="Calibri"/>
                <w:color w:val="000000"/>
                <w:szCs w:val="22"/>
                <w:lang w:val="en-AU" w:eastAsia="en-AU"/>
              </w:rPr>
              <w:t xml:space="preserve">comprehension around </w:t>
            </w:r>
            <w:r>
              <w:rPr>
                <w:rFonts w:eastAsia="Times New Roman" w:cs="Calibri"/>
                <w:color w:val="000000"/>
                <w:szCs w:val="22"/>
                <w:lang w:val="en-AU" w:eastAsia="en-AU"/>
              </w:rPr>
              <w:t xml:space="preserve">English </w:t>
            </w:r>
            <w:r w:rsidR="009057F3">
              <w:rPr>
                <w:rFonts w:eastAsia="Times New Roman" w:cs="Calibri"/>
                <w:color w:val="000000"/>
                <w:szCs w:val="22"/>
                <w:lang w:val="en-AU" w:eastAsia="en-AU"/>
              </w:rPr>
              <w:t>is limited</w:t>
            </w:r>
            <w:r w:rsidRPr="00E32503">
              <w:rPr>
                <w:rFonts w:eastAsia="Times New Roman" w:cs="Calibri"/>
                <w:color w:val="000000"/>
                <w:szCs w:val="22"/>
                <w:lang w:val="en-AU" w:eastAsia="en-AU"/>
              </w:rPr>
              <w:t>.</w:t>
            </w:r>
          </w:p>
          <w:p w14:paraId="3807642A" w14:textId="5036552E" w:rsidR="0050281C" w:rsidRDefault="00C60A05" w:rsidP="0050281C">
            <w:pPr>
              <w:rPr>
                <w:rFonts w:eastAsia="Times New Roman" w:cs="Calibri"/>
                <w:color w:val="000000"/>
                <w:szCs w:val="22"/>
                <w:lang w:val="en-AU" w:eastAsia="en-AU"/>
              </w:rPr>
            </w:pP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has developed various news </w:t>
            </w:r>
            <w:r w:rsidR="0050281C">
              <w:rPr>
                <w:rFonts w:eastAsia="Times New Roman" w:cs="Calibri"/>
                <w:color w:val="000000"/>
                <w:szCs w:val="22"/>
                <w:lang w:val="en-AU" w:eastAsia="en-AU"/>
              </w:rPr>
              <w:t xml:space="preserve">articles (newsletters, press statements, ministerial speeches), </w:t>
            </w:r>
            <w:r w:rsidR="0050281C" w:rsidRPr="00E32503">
              <w:rPr>
                <w:rFonts w:eastAsia="Times New Roman" w:cs="Calibri"/>
                <w:color w:val="000000"/>
                <w:szCs w:val="22"/>
                <w:lang w:val="en-AU" w:eastAsia="en-AU"/>
              </w:rPr>
              <w:t xml:space="preserve">and resources </w:t>
            </w:r>
            <w:r w:rsidR="0050281C">
              <w:rPr>
                <w:rFonts w:eastAsia="Times New Roman" w:cs="Calibri"/>
                <w:color w:val="000000"/>
                <w:szCs w:val="22"/>
                <w:lang w:val="en-AU" w:eastAsia="en-AU"/>
              </w:rPr>
              <w:t xml:space="preserve">materials (promotional videos, factsheets, brochures, </w:t>
            </w:r>
            <w:proofErr w:type="spellStart"/>
            <w:r w:rsidR="0050281C">
              <w:rPr>
                <w:rFonts w:eastAsia="Times New Roman" w:cs="Calibri"/>
                <w:color w:val="000000"/>
                <w:szCs w:val="22"/>
                <w:lang w:val="en-AU" w:eastAsia="en-AU"/>
              </w:rPr>
              <w:t>phamplets</w:t>
            </w:r>
            <w:proofErr w:type="spellEnd"/>
            <w:r w:rsidR="0050281C">
              <w:rPr>
                <w:rFonts w:eastAsia="Times New Roman" w:cs="Calibri"/>
                <w:color w:val="000000"/>
                <w:szCs w:val="22"/>
                <w:lang w:val="en-AU" w:eastAsia="en-AU"/>
              </w:rPr>
              <w:t xml:space="preserve">, summary data sheets, executive summary sheets) </w:t>
            </w:r>
            <w:r w:rsidR="0050281C" w:rsidRPr="00E32503">
              <w:rPr>
                <w:rFonts w:eastAsia="Times New Roman" w:cs="Calibri"/>
                <w:color w:val="000000"/>
                <w:szCs w:val="22"/>
                <w:lang w:val="en-AU" w:eastAsia="en-AU"/>
              </w:rPr>
              <w:t xml:space="preserve">on different aspects about EITI and implementation requirements. Knowledge of these products are communicated through the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website and also through public awareness activities that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National Secretariate and the MSG car</w:t>
            </w:r>
            <w:r w:rsidR="0050281C">
              <w:rPr>
                <w:rFonts w:eastAsia="Times New Roman" w:cs="Calibri"/>
                <w:color w:val="000000"/>
                <w:szCs w:val="22"/>
                <w:lang w:val="en-AU" w:eastAsia="en-AU"/>
              </w:rPr>
              <w:t>ry</w:t>
            </w:r>
            <w:r w:rsidR="0050281C" w:rsidRPr="00E32503">
              <w:rPr>
                <w:rFonts w:eastAsia="Times New Roman" w:cs="Calibri"/>
                <w:color w:val="000000"/>
                <w:szCs w:val="22"/>
                <w:lang w:val="en-AU" w:eastAsia="en-AU"/>
              </w:rPr>
              <w:t xml:space="preserve"> out in different </w:t>
            </w:r>
            <w:r w:rsidR="0050281C">
              <w:rPr>
                <w:rFonts w:eastAsia="Times New Roman" w:cs="Calibri"/>
                <w:color w:val="000000"/>
                <w:szCs w:val="22"/>
                <w:lang w:val="en-AU" w:eastAsia="en-AU"/>
              </w:rPr>
              <w:t>p</w:t>
            </w:r>
            <w:r w:rsidR="0050281C" w:rsidRPr="00E32503">
              <w:rPr>
                <w:rFonts w:eastAsia="Times New Roman" w:cs="Calibri"/>
                <w:color w:val="000000"/>
                <w:szCs w:val="22"/>
                <w:lang w:val="en-AU" w:eastAsia="en-AU"/>
              </w:rPr>
              <w:t xml:space="preserve">rovinces in PNG. The news </w:t>
            </w:r>
            <w:r w:rsidR="0050281C">
              <w:rPr>
                <w:rFonts w:eastAsia="Times New Roman" w:cs="Calibri"/>
                <w:color w:val="000000"/>
                <w:szCs w:val="22"/>
                <w:lang w:val="en-AU" w:eastAsia="en-AU"/>
              </w:rPr>
              <w:t xml:space="preserve">articles </w:t>
            </w:r>
            <w:r w:rsidR="0050281C" w:rsidRPr="00E32503">
              <w:rPr>
                <w:rFonts w:eastAsia="Times New Roman" w:cs="Calibri"/>
                <w:color w:val="000000"/>
                <w:szCs w:val="22"/>
                <w:lang w:val="en-AU" w:eastAsia="en-AU"/>
              </w:rPr>
              <w:t xml:space="preserve">and </w:t>
            </w:r>
            <w:r w:rsidR="0050281C">
              <w:rPr>
                <w:rFonts w:eastAsia="Times New Roman" w:cs="Calibri"/>
                <w:color w:val="000000"/>
                <w:szCs w:val="22"/>
                <w:lang w:val="en-AU" w:eastAsia="en-AU"/>
              </w:rPr>
              <w:t xml:space="preserve">promotional </w:t>
            </w:r>
            <w:r w:rsidR="0050281C" w:rsidRPr="00E32503">
              <w:rPr>
                <w:rFonts w:eastAsia="Times New Roman" w:cs="Calibri"/>
                <w:color w:val="000000"/>
                <w:szCs w:val="22"/>
                <w:lang w:val="en-AU" w:eastAsia="en-AU"/>
              </w:rPr>
              <w:t xml:space="preserve">resources can be accessed through the </w:t>
            </w:r>
            <w:r>
              <w:rPr>
                <w:rFonts w:eastAsia="Times New Roman" w:cs="Calibri"/>
                <w:color w:val="000000"/>
                <w:szCs w:val="22"/>
                <w:lang w:val="en-AU" w:eastAsia="en-AU"/>
              </w:rPr>
              <w:t>PNGEITI</w:t>
            </w:r>
            <w:r w:rsidR="0050281C" w:rsidRPr="00E32503">
              <w:rPr>
                <w:rFonts w:eastAsia="Times New Roman" w:cs="Calibri"/>
                <w:color w:val="000000"/>
                <w:szCs w:val="22"/>
                <w:lang w:val="en-AU" w:eastAsia="en-AU"/>
              </w:rPr>
              <w:t xml:space="preserve"> website</w:t>
            </w:r>
            <w:r w:rsidR="0050281C">
              <w:rPr>
                <w:rFonts w:eastAsia="Times New Roman" w:cs="Calibri"/>
                <w:color w:val="000000"/>
                <w:szCs w:val="22"/>
                <w:lang w:val="en-AU" w:eastAsia="en-AU"/>
              </w:rPr>
              <w:t xml:space="preserve"> </w:t>
            </w:r>
            <w:hyperlink r:id="rId88" w:history="1">
              <w:r w:rsidR="0050281C" w:rsidRPr="0050281C">
                <w:rPr>
                  <w:rStyle w:val="Hyperlink"/>
                  <w:rFonts w:eastAsia="Times New Roman" w:cs="Calibri"/>
                  <w:szCs w:val="22"/>
                  <w:lang w:val="en-AU" w:eastAsia="en-AU"/>
                </w:rPr>
                <w:t>here</w:t>
              </w:r>
            </w:hyperlink>
            <w:r w:rsidR="0050281C">
              <w:rPr>
                <w:rFonts w:eastAsia="Times New Roman" w:cs="Calibri"/>
                <w:color w:val="000000"/>
                <w:szCs w:val="22"/>
                <w:lang w:val="en-AU" w:eastAsia="en-AU"/>
              </w:rPr>
              <w:t xml:space="preserve"> and then on the specific links below:</w:t>
            </w:r>
          </w:p>
          <w:p w14:paraId="06E26107" w14:textId="7868CFD4" w:rsidR="0050281C" w:rsidRDefault="0050281C" w:rsidP="00134395">
            <w:pPr>
              <w:pStyle w:val="ListParagraph"/>
              <w:numPr>
                <w:ilvl w:val="0"/>
                <w:numId w:val="17"/>
              </w:numPr>
              <w:spacing w:after="120"/>
            </w:pPr>
            <w:r>
              <w:t xml:space="preserve">The brochures </w:t>
            </w:r>
            <w:hyperlink r:id="rId89" w:history="1">
              <w:r w:rsidRPr="00530F4D">
                <w:rPr>
                  <w:rStyle w:val="Hyperlink"/>
                </w:rPr>
                <w:t>https://www.pngeiti.org.pg/brochures/</w:t>
              </w:r>
            </w:hyperlink>
          </w:p>
          <w:p w14:paraId="1CD3F1DA" w14:textId="093D1C7D" w:rsidR="0050281C" w:rsidRDefault="0050281C" w:rsidP="00134395">
            <w:pPr>
              <w:pStyle w:val="ListParagraph"/>
              <w:numPr>
                <w:ilvl w:val="0"/>
                <w:numId w:val="17"/>
              </w:numPr>
              <w:spacing w:before="120" w:after="120"/>
            </w:pPr>
            <w:r>
              <w:t xml:space="preserve">Promotional Videos </w:t>
            </w:r>
            <w:hyperlink r:id="rId90" w:history="1">
              <w:r w:rsidRPr="00530F4D">
                <w:rPr>
                  <w:rStyle w:val="Hyperlink"/>
                </w:rPr>
                <w:t>https://www.pngeiti.org.pg/promotional-videos/</w:t>
              </w:r>
            </w:hyperlink>
          </w:p>
          <w:p w14:paraId="6AB5436B" w14:textId="6A074DA8" w:rsidR="0050281C" w:rsidRDefault="0050281C" w:rsidP="00134395">
            <w:pPr>
              <w:pStyle w:val="ListParagraph"/>
              <w:numPr>
                <w:ilvl w:val="0"/>
                <w:numId w:val="17"/>
              </w:numPr>
              <w:spacing w:before="120" w:after="120"/>
            </w:pPr>
            <w:r>
              <w:t xml:space="preserve">Press Statements </w:t>
            </w:r>
            <w:hyperlink r:id="rId91" w:history="1">
              <w:r w:rsidRPr="00530F4D">
                <w:rPr>
                  <w:rStyle w:val="Hyperlink"/>
                </w:rPr>
                <w:t>https://www.pngeiti.org.pg/category/latest-news/</w:t>
              </w:r>
            </w:hyperlink>
          </w:p>
          <w:p w14:paraId="715EC3C4" w14:textId="132D4077" w:rsidR="0050281C" w:rsidRDefault="0050281C" w:rsidP="00134395">
            <w:pPr>
              <w:pStyle w:val="ListParagraph"/>
              <w:numPr>
                <w:ilvl w:val="0"/>
                <w:numId w:val="17"/>
              </w:numPr>
              <w:spacing w:before="120" w:after="120"/>
            </w:pPr>
            <w:r>
              <w:t>Quarterly News</w:t>
            </w:r>
            <w:r w:rsidR="009E5DE3">
              <w:t>l</w:t>
            </w:r>
            <w:r>
              <w:t xml:space="preserve">etters </w:t>
            </w:r>
            <w:hyperlink r:id="rId92" w:history="1">
              <w:r w:rsidRPr="00530F4D">
                <w:rPr>
                  <w:rStyle w:val="Hyperlink"/>
                </w:rPr>
                <w:t>https://www.pngeiti.org.pg/impact-newsletter-issues/</w:t>
              </w:r>
            </w:hyperlink>
          </w:p>
          <w:p w14:paraId="747CC8EA" w14:textId="49281E63" w:rsidR="0050281C" w:rsidRDefault="00A06922" w:rsidP="00134395">
            <w:pPr>
              <w:pStyle w:val="ListParagraph"/>
              <w:numPr>
                <w:ilvl w:val="0"/>
                <w:numId w:val="17"/>
              </w:numPr>
              <w:spacing w:before="120" w:after="120"/>
            </w:pPr>
            <w:r>
              <w:t xml:space="preserve">Fact Sheets </w:t>
            </w:r>
            <w:hyperlink r:id="rId93" w:history="1">
              <w:r w:rsidRPr="00530F4D">
                <w:rPr>
                  <w:rStyle w:val="Hyperlink"/>
                </w:rPr>
                <w:t>http://www.pngeiti.org.pg/factsheet/</w:t>
              </w:r>
            </w:hyperlink>
          </w:p>
          <w:p w14:paraId="34DD09D2" w14:textId="7BD86846" w:rsidR="00A06922" w:rsidRDefault="00A06922" w:rsidP="00134395">
            <w:pPr>
              <w:pStyle w:val="ListParagraph"/>
              <w:numPr>
                <w:ilvl w:val="0"/>
                <w:numId w:val="17"/>
              </w:numPr>
              <w:spacing w:before="120" w:after="120"/>
            </w:pPr>
            <w:r>
              <w:t xml:space="preserve">Summary Data </w:t>
            </w:r>
            <w:hyperlink r:id="rId94" w:history="1">
              <w:r w:rsidRPr="00530F4D">
                <w:rPr>
                  <w:rStyle w:val="Hyperlink"/>
                </w:rPr>
                <w:t>https://www.pngeiti.org.pg/2020-validation/</w:t>
              </w:r>
            </w:hyperlink>
          </w:p>
          <w:p w14:paraId="112CC0BC" w14:textId="77777777" w:rsidR="00C6608B" w:rsidRDefault="00C6608B" w:rsidP="003A45E9"/>
        </w:tc>
      </w:tr>
    </w:tbl>
    <w:p w14:paraId="53D47480" w14:textId="77777777" w:rsidR="00C6608B" w:rsidRDefault="00C6608B" w:rsidP="00C6608B"/>
    <w:p w14:paraId="18863A21" w14:textId="0536C757" w:rsidR="00C6608B" w:rsidRDefault="00C6608B" w:rsidP="00C6608B">
      <w:pPr>
        <w:rPr>
          <w:b/>
          <w:bCs/>
        </w:rPr>
      </w:pPr>
      <w:r>
        <w:rPr>
          <w:b/>
          <w:bCs/>
        </w:rPr>
        <w:t>1</w:t>
      </w:r>
      <w:r w:rsidR="00B237EC">
        <w:rPr>
          <w:b/>
          <w:bCs/>
        </w:rPr>
        <w:t>4</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14:paraId="3CEC81E0" w14:textId="77777777" w:rsidTr="003A45E9">
        <w:tc>
          <w:tcPr>
            <w:tcW w:w="9062" w:type="dxa"/>
          </w:tcPr>
          <w:p w14:paraId="07353D50" w14:textId="77777777" w:rsidR="00266F96" w:rsidRDefault="00266F96" w:rsidP="00266F96">
            <w:pPr>
              <w:rPr>
                <w:i/>
                <w:iCs/>
              </w:rPr>
            </w:pPr>
            <w:r>
              <w:rPr>
                <w:i/>
                <w:iCs/>
              </w:rPr>
              <w:t>[Document instances of use of EITI data in various formats, whether from MSG members or any stakeholders. Examples of types of EITI data use could include:</w:t>
            </w:r>
          </w:p>
          <w:p w14:paraId="207DCC47" w14:textId="77777777" w:rsidR="00266F96" w:rsidRDefault="00266F96" w:rsidP="00CA5D09">
            <w:pPr>
              <w:pStyle w:val="ListParagraph"/>
              <w:numPr>
                <w:ilvl w:val="0"/>
                <w:numId w:val="1"/>
              </w:numPr>
              <w:spacing w:before="0" w:after="0" w:line="276" w:lineRule="auto"/>
              <w:contextualSpacing/>
              <w:rPr>
                <w:i/>
                <w:iCs/>
              </w:rPr>
            </w:pPr>
            <w:r>
              <w:rPr>
                <w:i/>
                <w:iCs/>
              </w:rPr>
              <w:t>Print and broadcast media coverage of stories referencing EITI data</w:t>
            </w:r>
          </w:p>
          <w:p w14:paraId="15128BB3" w14:textId="77777777" w:rsidR="00266F96" w:rsidRDefault="00266F96" w:rsidP="00CA5D09">
            <w:pPr>
              <w:pStyle w:val="ListParagraph"/>
              <w:numPr>
                <w:ilvl w:val="0"/>
                <w:numId w:val="1"/>
              </w:numPr>
              <w:spacing w:before="0" w:after="0" w:line="276" w:lineRule="auto"/>
              <w:contextualSpacing/>
              <w:rPr>
                <w:i/>
                <w:iCs/>
              </w:rPr>
            </w:pPr>
            <w:r>
              <w:rPr>
                <w:i/>
                <w:iCs/>
              </w:rPr>
              <w:t>Research and analytical studies drawing on EITI data</w:t>
            </w:r>
          </w:p>
          <w:p w14:paraId="03860595" w14:textId="77777777" w:rsidR="00266F96" w:rsidRDefault="00266F96" w:rsidP="00CA5D09">
            <w:pPr>
              <w:pStyle w:val="ListParagraph"/>
              <w:numPr>
                <w:ilvl w:val="0"/>
                <w:numId w:val="1"/>
              </w:numPr>
              <w:spacing w:before="0" w:after="0" w:line="276" w:lineRule="auto"/>
              <w:contextualSpacing/>
              <w:rPr>
                <w:i/>
                <w:iCs/>
              </w:rPr>
            </w:pPr>
            <w:r>
              <w:rPr>
                <w:i/>
                <w:iCs/>
              </w:rPr>
              <w:t>Advocacy and lobbying notes referencing EITI data</w:t>
            </w:r>
          </w:p>
          <w:p w14:paraId="4790D768" w14:textId="77777777" w:rsidR="00266F96" w:rsidRDefault="00266F96" w:rsidP="00CA5D09">
            <w:pPr>
              <w:pStyle w:val="ListParagraph"/>
              <w:numPr>
                <w:ilvl w:val="0"/>
                <w:numId w:val="1"/>
              </w:numPr>
              <w:spacing w:before="0" w:after="0" w:line="276" w:lineRule="auto"/>
              <w:contextualSpacing/>
              <w:rPr>
                <w:i/>
                <w:iCs/>
              </w:rPr>
            </w:pPr>
            <w:r>
              <w:rPr>
                <w:i/>
                <w:iCs/>
              </w:rPr>
              <w:t>Parliamentary submissions or proceedings drawing on EITI data</w:t>
            </w:r>
          </w:p>
          <w:p w14:paraId="1AA4860D" w14:textId="77777777" w:rsidR="00266F96" w:rsidRPr="00106B5D" w:rsidRDefault="00266F96" w:rsidP="00CA5D09">
            <w:pPr>
              <w:pStyle w:val="ListParagraph"/>
              <w:numPr>
                <w:ilvl w:val="0"/>
                <w:numId w:val="1"/>
              </w:numPr>
              <w:spacing w:before="0" w:after="0" w:line="276" w:lineRule="auto"/>
              <w:contextualSpacing/>
              <w:rPr>
                <w:i/>
                <w:iCs/>
              </w:rPr>
            </w:pPr>
            <w:r>
              <w:rPr>
                <w:i/>
                <w:iCs/>
              </w:rPr>
              <w:t>Etc.</w:t>
            </w:r>
          </w:p>
          <w:p w14:paraId="34B76F53" w14:textId="77777777" w:rsidR="00266F96" w:rsidRPr="00106B5D" w:rsidRDefault="00266F96" w:rsidP="00266F96">
            <w:pPr>
              <w:rPr>
                <w:i/>
                <w:iCs/>
              </w:rPr>
            </w:pPr>
            <w:r w:rsidRPr="00106B5D">
              <w:rPr>
                <w:i/>
                <w:iCs/>
              </w:rPr>
              <w:t>Provide links to supporting evidence</w:t>
            </w:r>
            <w:r>
              <w:rPr>
                <w:i/>
                <w:iCs/>
              </w:rPr>
              <w:t xml:space="preserve"> where available</w:t>
            </w:r>
            <w:r w:rsidRPr="00106B5D">
              <w:rPr>
                <w:i/>
                <w:iCs/>
              </w:rPr>
              <w:t>.]</w:t>
            </w:r>
          </w:p>
          <w:p w14:paraId="538E0C56" w14:textId="77777777" w:rsidR="00266F96" w:rsidRPr="007D2509" w:rsidRDefault="00266F96" w:rsidP="00266F96">
            <w:pPr>
              <w:rPr>
                <w:i/>
                <w:iCs/>
              </w:rPr>
            </w:pPr>
            <w:r w:rsidRPr="007D2509">
              <w:rPr>
                <w:i/>
                <w:iCs/>
              </w:rPr>
              <w:t xml:space="preserve">Anecdotal evidence can also be recorded, for instance in the following way: </w:t>
            </w:r>
          </w:p>
          <w:p w14:paraId="0B7C2213" w14:textId="77777777" w:rsidR="00266F96" w:rsidRPr="007D2509" w:rsidRDefault="00266F96" w:rsidP="00266F96">
            <w:pPr>
              <w:rPr>
                <w:i/>
                <w:iCs/>
              </w:rPr>
            </w:pPr>
            <w:r w:rsidRPr="007D2509">
              <w:rPr>
                <w:i/>
                <w:iCs/>
              </w:rPr>
              <w:t xml:space="preserve">[This person / </w:t>
            </w:r>
            <w:proofErr w:type="gramStart"/>
            <w:r w:rsidRPr="007D2509">
              <w:rPr>
                <w:i/>
                <w:iCs/>
              </w:rPr>
              <w:t>group ]</w:t>
            </w:r>
            <w:proofErr w:type="gramEnd"/>
            <w:r w:rsidRPr="007D2509">
              <w:rPr>
                <w:i/>
                <w:iCs/>
              </w:rPr>
              <w:t xml:space="preserve"> has used [type of data in the scope of EITI disclosures] to do [what the data was used for / what problem did it solve.]</w:t>
            </w:r>
          </w:p>
          <w:p w14:paraId="7070BF7B" w14:textId="2E79C32F" w:rsidR="00C6608B"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PNGEITI</w:t>
            </w:r>
            <w:r w:rsidR="008459C4" w:rsidRPr="00E32503">
              <w:rPr>
                <w:rFonts w:eastAsia="Times New Roman" w:cs="Calibri"/>
                <w:color w:val="000000"/>
                <w:szCs w:val="22"/>
                <w:lang w:val="en-AU" w:eastAsia="en-AU"/>
              </w:rPr>
              <w:t xml:space="preserve"> has published and continues to publish extractive industries data through its country reports and through i</w:t>
            </w:r>
            <w:r w:rsidR="00FB0100">
              <w:rPr>
                <w:rFonts w:eastAsia="Times New Roman" w:cs="Calibri"/>
                <w:color w:val="000000"/>
                <w:szCs w:val="22"/>
                <w:lang w:val="en-AU" w:eastAsia="en-AU"/>
              </w:rPr>
              <w:t xml:space="preserve">t’s </w:t>
            </w:r>
            <w:hyperlink r:id="rId95" w:history="1">
              <w:r w:rsidR="008459C4" w:rsidRPr="008459C4">
                <w:rPr>
                  <w:rStyle w:val="Hyperlink"/>
                  <w:rFonts w:eastAsia="Times New Roman" w:cs="Calibri"/>
                  <w:szCs w:val="22"/>
                  <w:lang w:val="en-AU" w:eastAsia="en-AU"/>
                </w:rPr>
                <w:t>website</w:t>
              </w:r>
            </w:hyperlink>
            <w:r w:rsidR="008459C4">
              <w:rPr>
                <w:rFonts w:eastAsia="Times New Roman" w:cs="Calibri"/>
                <w:color w:val="000000"/>
                <w:szCs w:val="22"/>
                <w:lang w:val="en-AU" w:eastAsia="en-AU"/>
              </w:rPr>
              <w:t>. The PNGEITI website</w:t>
            </w:r>
            <w:r w:rsidR="008459C4" w:rsidRPr="00E32503">
              <w:rPr>
                <w:rFonts w:eastAsia="Times New Roman" w:cs="Calibri"/>
                <w:color w:val="000000"/>
                <w:szCs w:val="22"/>
                <w:lang w:val="en-AU" w:eastAsia="en-AU"/>
              </w:rPr>
              <w:t xml:space="preserve"> publishes</w:t>
            </w:r>
            <w:r w:rsidR="008459C4">
              <w:rPr>
                <w:rFonts w:eastAsia="Times New Roman" w:cs="Calibri"/>
                <w:color w:val="000000"/>
                <w:szCs w:val="22"/>
                <w:lang w:val="en-AU" w:eastAsia="en-AU"/>
              </w:rPr>
              <w:t xml:space="preserve"> oil &amp; gas </w:t>
            </w:r>
            <w:proofErr w:type="gramStart"/>
            <w:r w:rsidR="008459C4">
              <w:rPr>
                <w:rFonts w:eastAsia="Times New Roman" w:cs="Calibri"/>
                <w:color w:val="000000"/>
                <w:szCs w:val="22"/>
                <w:lang w:val="en-AU" w:eastAsia="en-AU"/>
              </w:rPr>
              <w:t xml:space="preserve">and </w:t>
            </w:r>
            <w:r w:rsidR="008459C4" w:rsidRPr="00E32503">
              <w:rPr>
                <w:rFonts w:eastAsia="Times New Roman" w:cs="Calibri"/>
                <w:color w:val="000000"/>
                <w:szCs w:val="22"/>
                <w:lang w:val="en-AU" w:eastAsia="en-AU"/>
              </w:rPr>
              <w:t xml:space="preserve"> extractives</w:t>
            </w:r>
            <w:proofErr w:type="gramEnd"/>
            <w:r w:rsidR="008459C4" w:rsidRPr="00E32503">
              <w:rPr>
                <w:rFonts w:eastAsia="Times New Roman" w:cs="Calibri"/>
                <w:color w:val="000000"/>
                <w:szCs w:val="22"/>
                <w:lang w:val="en-AU" w:eastAsia="en-AU"/>
              </w:rPr>
              <w:t xml:space="preserve"> data </w:t>
            </w:r>
            <w:r w:rsidR="008459C4">
              <w:rPr>
                <w:rFonts w:eastAsia="Times New Roman" w:cs="Calibri"/>
                <w:color w:val="000000"/>
                <w:szCs w:val="22"/>
                <w:lang w:val="en-AU" w:eastAsia="en-AU"/>
              </w:rPr>
              <w:t xml:space="preserve">from the </w:t>
            </w:r>
            <w:r w:rsidR="008459C4" w:rsidRPr="00E32503">
              <w:rPr>
                <w:rFonts w:eastAsia="Times New Roman" w:cs="Calibri"/>
                <w:color w:val="000000"/>
                <w:szCs w:val="22"/>
                <w:lang w:val="en-AU" w:eastAsia="en-AU"/>
              </w:rPr>
              <w:t xml:space="preserve">country </w:t>
            </w:r>
            <w:r w:rsidR="008459C4">
              <w:rPr>
                <w:rFonts w:eastAsia="Times New Roman" w:cs="Calibri"/>
                <w:color w:val="000000"/>
                <w:szCs w:val="22"/>
                <w:lang w:val="en-AU" w:eastAsia="en-AU"/>
              </w:rPr>
              <w:t xml:space="preserve">and scoping studies </w:t>
            </w:r>
            <w:r w:rsidR="008459C4" w:rsidRPr="00E32503">
              <w:rPr>
                <w:rFonts w:eastAsia="Times New Roman" w:cs="Calibri"/>
                <w:color w:val="000000"/>
                <w:szCs w:val="22"/>
                <w:lang w:val="en-AU" w:eastAsia="en-AU"/>
              </w:rPr>
              <w:t>reports through its online portals</w:t>
            </w:r>
            <w:r w:rsidR="008459C4">
              <w:rPr>
                <w:rFonts w:eastAsia="Times New Roman" w:cs="Calibri"/>
                <w:color w:val="000000"/>
                <w:szCs w:val="22"/>
                <w:lang w:val="en-AU" w:eastAsia="en-AU"/>
              </w:rPr>
              <w:t>.</w:t>
            </w:r>
            <w:r w:rsidR="008459C4" w:rsidRPr="00E32503">
              <w:rPr>
                <w:rFonts w:eastAsia="Times New Roman" w:cs="Calibri"/>
                <w:color w:val="000000"/>
                <w:szCs w:val="22"/>
                <w:lang w:val="en-AU" w:eastAsia="en-AU"/>
              </w:rPr>
              <w:t xml:space="preserve"> The data found in the portals are in open format and are publicly accessible.</w:t>
            </w:r>
          </w:p>
          <w:p w14:paraId="261173E3" w14:textId="18B5949D" w:rsidR="00266F96"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lastRenderedPageBreak/>
              <w:t>PNGEITI</w:t>
            </w:r>
            <w:r w:rsidR="00266F96" w:rsidRPr="00266F96">
              <w:rPr>
                <w:rFonts w:eastAsia="Times New Roman" w:cs="Calibri"/>
                <w:color w:val="000000"/>
                <w:szCs w:val="22"/>
                <w:lang w:val="en-AU" w:eastAsia="en-AU"/>
              </w:rPr>
              <w:t xml:space="preserve"> at times receives</w:t>
            </w:r>
            <w:r w:rsidR="00CD5CBA">
              <w:rPr>
                <w:rFonts w:eastAsia="Times New Roman" w:cs="Calibri"/>
                <w:color w:val="000000"/>
                <w:szCs w:val="22"/>
                <w:lang w:val="en-AU" w:eastAsia="en-AU"/>
              </w:rPr>
              <w:t xml:space="preserve"> external</w:t>
            </w:r>
            <w:r w:rsidR="00266F96" w:rsidRPr="00266F96">
              <w:rPr>
                <w:rFonts w:eastAsia="Times New Roman" w:cs="Calibri"/>
                <w:color w:val="000000"/>
                <w:szCs w:val="22"/>
                <w:lang w:val="en-AU" w:eastAsia="en-AU"/>
              </w:rPr>
              <w:t xml:space="preserve"> requests f</w:t>
            </w:r>
            <w:r w:rsidR="00266F96">
              <w:rPr>
                <w:rFonts w:eastAsia="Times New Roman" w:cs="Calibri"/>
                <w:color w:val="000000"/>
                <w:szCs w:val="22"/>
                <w:lang w:val="en-AU" w:eastAsia="en-AU"/>
              </w:rPr>
              <w:t>rom the media, legislators, development partners, think-tank institutions, universities, academics, individuals, politicians, multilateral institutions (World Bank and IMF) and the general public to provide</w:t>
            </w:r>
            <w:r w:rsidR="00266F96" w:rsidRPr="00266F96">
              <w:rPr>
                <w:rFonts w:eastAsia="Times New Roman" w:cs="Calibri"/>
                <w:color w:val="000000"/>
                <w:szCs w:val="22"/>
                <w:lang w:val="en-AU" w:eastAsia="en-AU"/>
              </w:rPr>
              <w:t xml:space="preserve"> information on extractive industries data</w:t>
            </w:r>
            <w:r w:rsidR="00266F96">
              <w:rPr>
                <w:rFonts w:eastAsia="Times New Roman" w:cs="Calibri"/>
                <w:color w:val="000000"/>
                <w:szCs w:val="22"/>
                <w:lang w:val="en-AU" w:eastAsia="en-AU"/>
              </w:rPr>
              <w:t xml:space="preserve"> for various purposes</w:t>
            </w:r>
          </w:p>
          <w:p w14:paraId="4F9D596F" w14:textId="53043892" w:rsidR="00732293" w:rsidRPr="00610AD5" w:rsidRDefault="00C60A05"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PNGEITI</w:t>
            </w:r>
            <w:r w:rsidR="00CD5CBA">
              <w:rPr>
                <w:rFonts w:eastAsia="Times New Roman" w:cs="Calibri"/>
                <w:color w:val="000000"/>
                <w:szCs w:val="22"/>
                <w:lang w:val="en-AU" w:eastAsia="en-AU"/>
              </w:rPr>
              <w:t xml:space="preserve"> published data is also used internally in outreach activities, seminars and research by MSG constituents.</w:t>
            </w:r>
          </w:p>
          <w:p w14:paraId="3445BF12" w14:textId="43272403" w:rsidR="004D0EEF" w:rsidRPr="004D0EEF" w:rsidRDefault="004D0EEF" w:rsidP="008459C4">
            <w:pPr>
              <w:spacing w:before="120" w:after="0"/>
              <w:rPr>
                <w:rFonts w:eastAsia="Times New Roman" w:cs="Calibri"/>
                <w:b/>
                <w:bCs/>
                <w:color w:val="000000"/>
                <w:szCs w:val="22"/>
                <w:u w:val="single"/>
                <w:lang w:val="en-AU" w:eastAsia="en-AU"/>
              </w:rPr>
            </w:pPr>
            <w:r w:rsidRPr="004D0EEF">
              <w:rPr>
                <w:rFonts w:eastAsia="Times New Roman" w:cs="Calibri"/>
                <w:b/>
                <w:bCs/>
                <w:color w:val="000000"/>
                <w:szCs w:val="22"/>
                <w:u w:val="single"/>
                <w:lang w:val="en-AU" w:eastAsia="en-AU"/>
              </w:rPr>
              <w:t>PNGEITI Data</w:t>
            </w:r>
          </w:p>
          <w:p w14:paraId="4BDA70FC" w14:textId="3AEB400B" w:rsidR="004D0EEF" w:rsidRPr="004D0EEF" w:rsidRDefault="004D0EEF" w:rsidP="00134395">
            <w:pPr>
              <w:pStyle w:val="ListParagraph"/>
              <w:numPr>
                <w:ilvl w:val="0"/>
                <w:numId w:val="18"/>
              </w:numPr>
              <w:spacing w:before="120" w:after="0"/>
              <w:rPr>
                <w:rFonts w:eastAsia="Times New Roman" w:cs="Calibri"/>
                <w:color w:val="000000"/>
                <w:szCs w:val="22"/>
                <w:lang w:val="en-AU" w:eastAsia="en-AU"/>
              </w:rPr>
            </w:pPr>
            <w:r w:rsidRPr="004D0EEF">
              <w:t>On the 12</w:t>
            </w:r>
            <w:r w:rsidRPr="004D0EEF">
              <w:rPr>
                <w:vertAlign w:val="superscript"/>
              </w:rPr>
              <w:t>th</w:t>
            </w:r>
            <w:r w:rsidRPr="004D0EEF">
              <w:t xml:space="preserve"> August 2021. The National Newspaper published an article on the contribution of extractive industries to PNG’s economy citing data and information from </w:t>
            </w:r>
            <w:r w:rsidR="00C60A05">
              <w:t>PNGEITI</w:t>
            </w:r>
            <w:r w:rsidRPr="004D0EEF">
              <w:t xml:space="preserve"> 2019 Report</w:t>
            </w:r>
          </w:p>
          <w:p w14:paraId="643AD269" w14:textId="78C61238" w:rsidR="004D0EEF"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6" w:history="1">
              <w:r w:rsidRPr="00530F4D">
                <w:rPr>
                  <w:rStyle w:val="Hyperlink"/>
                  <w:rFonts w:eastAsia="Times New Roman" w:cs="Calibri"/>
                  <w:szCs w:val="22"/>
                  <w:lang w:val="en-AU" w:eastAsia="en-AU"/>
                </w:rPr>
                <w:t>https://www.thenational.com.pg/extractive-industry-drives-economy/</w:t>
              </w:r>
            </w:hyperlink>
          </w:p>
          <w:p w14:paraId="071B47E4" w14:textId="77777777" w:rsidR="004D0EEF" w:rsidRDefault="004D0EEF" w:rsidP="004749B2">
            <w:pPr>
              <w:spacing w:before="0" w:after="0"/>
              <w:rPr>
                <w:rFonts w:eastAsia="Times New Roman" w:cs="Calibri"/>
                <w:color w:val="000000"/>
                <w:szCs w:val="22"/>
                <w:lang w:val="en-AU" w:eastAsia="en-AU"/>
              </w:rPr>
            </w:pPr>
          </w:p>
          <w:p w14:paraId="6C9FD6A7" w14:textId="477CA3B3" w:rsidR="008D0150" w:rsidRPr="004D0EEF" w:rsidRDefault="008D0150" w:rsidP="00134395">
            <w:pPr>
              <w:pStyle w:val="ListParagraph"/>
              <w:numPr>
                <w:ilvl w:val="0"/>
                <w:numId w:val="18"/>
              </w:numPr>
              <w:spacing w:before="120" w:after="0"/>
              <w:rPr>
                <w:rFonts w:eastAsia="Times New Roman" w:cs="Calibri"/>
                <w:color w:val="000000"/>
                <w:szCs w:val="22"/>
                <w:lang w:val="en-AU" w:eastAsia="en-AU"/>
              </w:rPr>
            </w:pPr>
            <w:r w:rsidRPr="004D0EEF">
              <w:rPr>
                <w:rFonts w:eastAsia="Times New Roman" w:cs="Calibri"/>
                <w:color w:val="000000"/>
                <w:szCs w:val="22"/>
                <w:lang w:val="en-AU" w:eastAsia="en-AU"/>
              </w:rPr>
              <w:t>A Post Courier article dated 05</w:t>
            </w:r>
            <w:r w:rsidRPr="004D0EEF">
              <w:rPr>
                <w:rFonts w:eastAsia="Times New Roman" w:cs="Calibri"/>
                <w:color w:val="000000"/>
                <w:szCs w:val="22"/>
                <w:vertAlign w:val="superscript"/>
                <w:lang w:val="en-AU" w:eastAsia="en-AU"/>
              </w:rPr>
              <w:t>th</w:t>
            </w:r>
            <w:r w:rsidRPr="004D0EEF">
              <w:rPr>
                <w:rFonts w:eastAsia="Times New Roman" w:cs="Calibri"/>
                <w:color w:val="000000"/>
                <w:szCs w:val="22"/>
                <w:lang w:val="en-AU" w:eastAsia="en-AU"/>
              </w:rPr>
              <w:t xml:space="preserve"> August 2019 reported that: </w:t>
            </w:r>
            <w:r w:rsidR="0040518B" w:rsidRPr="004D0EEF">
              <w:rPr>
                <w:rFonts w:eastAsia="Times New Roman" w:cs="Calibri"/>
                <w:color w:val="000000"/>
                <w:szCs w:val="22"/>
                <w:lang w:val="en-AU" w:eastAsia="en-AU"/>
              </w:rPr>
              <w:t xml:space="preserve">Associate Professor Martin Davies at the University of </w:t>
            </w:r>
            <w:proofErr w:type="spellStart"/>
            <w:r w:rsidR="0040518B" w:rsidRPr="004D0EEF">
              <w:rPr>
                <w:rFonts w:eastAsia="Times New Roman" w:cs="Calibri"/>
                <w:color w:val="000000"/>
                <w:szCs w:val="22"/>
                <w:lang w:val="en-AU" w:eastAsia="en-AU"/>
              </w:rPr>
              <w:t>Washinton</w:t>
            </w:r>
            <w:proofErr w:type="spellEnd"/>
            <w:r w:rsidR="0040518B" w:rsidRPr="004D0EEF">
              <w:rPr>
                <w:rFonts w:eastAsia="Times New Roman" w:cs="Calibri"/>
                <w:color w:val="000000"/>
                <w:szCs w:val="22"/>
                <w:lang w:val="en-AU" w:eastAsia="en-AU"/>
              </w:rPr>
              <w:t xml:space="preserve">, Lee and Dr Marcel Schroder an economics lecturer at Lebanese American University </w:t>
            </w:r>
            <w:r w:rsidR="005B3AED">
              <w:rPr>
                <w:rFonts w:eastAsia="Times New Roman" w:cs="Calibri"/>
                <w:color w:val="000000"/>
                <w:szCs w:val="22"/>
                <w:lang w:val="en-AU" w:eastAsia="en-AU"/>
              </w:rPr>
              <w:t xml:space="preserve">who </w:t>
            </w:r>
            <w:r w:rsidR="0040518B" w:rsidRPr="004D0EEF">
              <w:rPr>
                <w:rFonts w:eastAsia="Times New Roman" w:cs="Calibri"/>
                <w:color w:val="000000"/>
                <w:szCs w:val="22"/>
                <w:lang w:val="en-AU" w:eastAsia="en-AU"/>
              </w:rPr>
              <w:t>are both guest lecturers at the University of Papua New Guinea constructed a new database based on the PNGEITI annual reports that document</w:t>
            </w:r>
            <w:r w:rsidR="005B3AED">
              <w:rPr>
                <w:rFonts w:eastAsia="Times New Roman" w:cs="Calibri"/>
                <w:color w:val="000000"/>
                <w:szCs w:val="22"/>
                <w:lang w:val="en-AU" w:eastAsia="en-AU"/>
              </w:rPr>
              <w:t>ed</w:t>
            </w:r>
            <w:r w:rsidRPr="004D0EEF">
              <w:rPr>
                <w:rFonts w:eastAsia="Times New Roman" w:cs="Calibri"/>
                <w:color w:val="000000"/>
                <w:szCs w:val="22"/>
                <w:lang w:val="en-AU" w:eastAsia="en-AU"/>
              </w:rPr>
              <w:t xml:space="preserve"> </w:t>
            </w:r>
            <w:r w:rsidR="0040518B" w:rsidRPr="004D0EEF">
              <w:rPr>
                <w:rFonts w:eastAsia="Times New Roman" w:cs="Calibri"/>
                <w:color w:val="000000"/>
                <w:szCs w:val="22"/>
                <w:lang w:val="en-AU" w:eastAsia="en-AU"/>
              </w:rPr>
              <w:t>fiscal resource revenue for a large source of resource rich countries</w:t>
            </w:r>
            <w:r w:rsidRPr="004D0EEF">
              <w:rPr>
                <w:rFonts w:eastAsia="Times New Roman" w:cs="Calibri"/>
                <w:color w:val="000000"/>
                <w:szCs w:val="22"/>
                <w:lang w:val="en-AU" w:eastAsia="en-AU"/>
              </w:rPr>
              <w:t xml:space="preserve"> from 2006 to 2017.The data was used for a research study and found that the government is receiving its share of resource benefits and further recommended to the government to bro</w:t>
            </w:r>
            <w:r w:rsidR="005B3AED">
              <w:rPr>
                <w:rFonts w:eastAsia="Times New Roman" w:cs="Calibri"/>
                <w:color w:val="000000"/>
                <w:szCs w:val="22"/>
                <w:lang w:val="en-AU" w:eastAsia="en-AU"/>
              </w:rPr>
              <w:t>a</w:t>
            </w:r>
            <w:r w:rsidRPr="004D0EEF">
              <w:rPr>
                <w:rFonts w:eastAsia="Times New Roman" w:cs="Calibri"/>
                <w:color w:val="000000"/>
                <w:szCs w:val="22"/>
                <w:lang w:val="en-AU" w:eastAsia="en-AU"/>
              </w:rPr>
              <w:t xml:space="preserve">den its Economic base </w:t>
            </w:r>
            <w:proofErr w:type="spellStart"/>
            <w:r w:rsidRPr="004D0EEF">
              <w:rPr>
                <w:rFonts w:eastAsia="Times New Roman" w:cs="Calibri"/>
                <w:color w:val="000000"/>
                <w:szCs w:val="22"/>
                <w:lang w:val="en-AU" w:eastAsia="en-AU"/>
              </w:rPr>
              <w:t>inorder</w:t>
            </w:r>
            <w:proofErr w:type="spellEnd"/>
            <w:r w:rsidRPr="004D0EEF">
              <w:rPr>
                <w:rFonts w:eastAsia="Times New Roman" w:cs="Calibri"/>
                <w:color w:val="000000"/>
                <w:szCs w:val="22"/>
                <w:lang w:val="en-AU" w:eastAsia="en-AU"/>
              </w:rPr>
              <w:t xml:space="preserve"> to increase it</w:t>
            </w:r>
            <w:r w:rsidR="005B3AED">
              <w:rPr>
                <w:rFonts w:eastAsia="Times New Roman" w:cs="Calibri"/>
                <w:color w:val="000000"/>
                <w:szCs w:val="22"/>
                <w:lang w:val="en-AU" w:eastAsia="en-AU"/>
              </w:rPr>
              <w:t>s</w:t>
            </w:r>
            <w:r w:rsidRPr="004D0EEF">
              <w:rPr>
                <w:rFonts w:eastAsia="Times New Roman" w:cs="Calibri"/>
                <w:color w:val="000000"/>
                <w:szCs w:val="22"/>
                <w:lang w:val="en-AU" w:eastAsia="en-AU"/>
              </w:rPr>
              <w:t xml:space="preserve"> bargaining power in current and future extractive projects. The article can be accessed vial the link below:</w:t>
            </w:r>
          </w:p>
          <w:p w14:paraId="2B3BCF95" w14:textId="09FC9CF8" w:rsidR="008D0150"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7" w:history="1">
              <w:r w:rsidRPr="00530F4D">
                <w:rPr>
                  <w:rStyle w:val="Hyperlink"/>
                  <w:rFonts w:eastAsia="Times New Roman" w:cs="Calibri"/>
                  <w:szCs w:val="22"/>
                  <w:lang w:val="en-AU" w:eastAsia="en-AU"/>
                </w:rPr>
                <w:t>https://postcourier.com.pg/govt-not-receving-fair-share-study/</w:t>
              </w:r>
            </w:hyperlink>
          </w:p>
          <w:p w14:paraId="63CAB86A" w14:textId="76AE95C4" w:rsidR="004D0EEF" w:rsidRDefault="009A3FBD"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98" w:history="1">
              <w:r w:rsidRPr="00530F4D">
                <w:rPr>
                  <w:rStyle w:val="Hyperlink"/>
                  <w:rFonts w:eastAsia="Times New Roman" w:cs="Calibri"/>
                  <w:szCs w:val="22"/>
                  <w:lang w:val="en-AU" w:eastAsia="en-AU"/>
                </w:rPr>
                <w:t>https://www.thenational.com.pg/govt-not-getting-share-of-resource-benefits-report/</w:t>
              </w:r>
            </w:hyperlink>
          </w:p>
          <w:p w14:paraId="05F0B4C4" w14:textId="77777777" w:rsidR="004749B2" w:rsidRDefault="004749B2" w:rsidP="008459C4">
            <w:pPr>
              <w:spacing w:before="120" w:after="0"/>
              <w:rPr>
                <w:rFonts w:eastAsia="Times New Roman" w:cs="Calibri"/>
                <w:color w:val="000000"/>
                <w:szCs w:val="22"/>
                <w:lang w:val="en-AU" w:eastAsia="en-AU"/>
              </w:rPr>
            </w:pPr>
          </w:p>
          <w:p w14:paraId="2385D0A8" w14:textId="4A9C1B0C" w:rsidR="004D0EEF" w:rsidRDefault="004749B2" w:rsidP="00134395">
            <w:pPr>
              <w:pStyle w:val="ListParagraph"/>
              <w:numPr>
                <w:ilvl w:val="0"/>
                <w:numId w:val="18"/>
              </w:numPr>
              <w:spacing w:before="0" w:after="0"/>
              <w:rPr>
                <w:rFonts w:eastAsia="Times New Roman" w:cs="Calibri"/>
                <w:color w:val="000000"/>
                <w:szCs w:val="22"/>
                <w:lang w:val="en-AU" w:eastAsia="en-AU"/>
              </w:rPr>
            </w:pPr>
            <w:r>
              <w:rPr>
                <w:rFonts w:eastAsia="Times New Roman" w:cs="Calibri"/>
                <w:color w:val="000000"/>
                <w:szCs w:val="22"/>
                <w:lang w:val="en-AU" w:eastAsia="en-AU"/>
              </w:rPr>
              <w:t xml:space="preserve">PNG Chamber of mines has used the PNGEITI 2017 report to respond to public statements that the industry is not paying sufficient taxes </w:t>
            </w:r>
            <w:r w:rsidR="00A04507">
              <w:rPr>
                <w:rFonts w:eastAsia="Times New Roman" w:cs="Calibri"/>
                <w:color w:val="000000"/>
                <w:szCs w:val="22"/>
                <w:lang w:val="en-AU" w:eastAsia="en-AU"/>
              </w:rPr>
              <w:t xml:space="preserve">that </w:t>
            </w:r>
            <w:r>
              <w:rPr>
                <w:rFonts w:eastAsia="Times New Roman" w:cs="Calibri"/>
                <w:color w:val="000000"/>
                <w:szCs w:val="22"/>
                <w:lang w:val="en-AU" w:eastAsia="en-AU"/>
              </w:rPr>
              <w:t xml:space="preserve">it should be paying. From the report, the chamber </w:t>
            </w:r>
            <w:r w:rsidR="00A04507">
              <w:rPr>
                <w:rFonts w:eastAsia="Times New Roman" w:cs="Calibri"/>
                <w:color w:val="000000"/>
                <w:szCs w:val="22"/>
                <w:lang w:val="en-AU" w:eastAsia="en-AU"/>
              </w:rPr>
              <w:t xml:space="preserve">was </w:t>
            </w:r>
            <w:r>
              <w:rPr>
                <w:rFonts w:eastAsia="Times New Roman" w:cs="Calibri"/>
                <w:color w:val="000000"/>
                <w:szCs w:val="22"/>
                <w:lang w:val="en-AU" w:eastAsia="en-AU"/>
              </w:rPr>
              <w:t xml:space="preserve">able to respond </w:t>
            </w:r>
            <w:r w:rsidR="00CF563F">
              <w:rPr>
                <w:rFonts w:eastAsia="Times New Roman" w:cs="Calibri"/>
                <w:color w:val="000000"/>
                <w:szCs w:val="22"/>
                <w:lang w:val="en-AU" w:eastAsia="en-AU"/>
              </w:rPr>
              <w:t>stating</w:t>
            </w:r>
            <w:r w:rsidR="00A04507">
              <w:rPr>
                <w:rFonts w:eastAsia="Times New Roman" w:cs="Calibri"/>
                <w:color w:val="000000"/>
                <w:szCs w:val="22"/>
                <w:lang w:val="en-AU" w:eastAsia="en-AU"/>
              </w:rPr>
              <w:t xml:space="preserve"> </w:t>
            </w:r>
            <w:r>
              <w:rPr>
                <w:rFonts w:eastAsia="Times New Roman" w:cs="Calibri"/>
                <w:color w:val="000000"/>
                <w:szCs w:val="22"/>
                <w:lang w:val="en-AU" w:eastAsia="en-AU"/>
              </w:rPr>
              <w:t xml:space="preserve">that mining and petroleum industries in PNG </w:t>
            </w:r>
            <w:r w:rsidR="009A3FBD">
              <w:rPr>
                <w:rFonts w:eastAsia="Times New Roman" w:cs="Calibri"/>
                <w:color w:val="000000"/>
                <w:szCs w:val="22"/>
                <w:lang w:val="en-AU" w:eastAsia="en-AU"/>
              </w:rPr>
              <w:t>pay royalties and dividends</w:t>
            </w:r>
            <w:r w:rsidR="00A04507">
              <w:rPr>
                <w:rFonts w:eastAsia="Times New Roman" w:cs="Calibri"/>
                <w:color w:val="000000"/>
                <w:szCs w:val="22"/>
                <w:lang w:val="en-AU" w:eastAsia="en-AU"/>
              </w:rPr>
              <w:t xml:space="preserve"> </w:t>
            </w:r>
            <w:r w:rsidR="009A3FBD">
              <w:rPr>
                <w:rFonts w:eastAsia="Times New Roman" w:cs="Calibri"/>
                <w:color w:val="000000"/>
                <w:szCs w:val="22"/>
                <w:lang w:val="en-AU" w:eastAsia="en-AU"/>
              </w:rPr>
              <w:t>as well as substantial amount of taxes on employee wages according to an article on the 19</w:t>
            </w:r>
            <w:r w:rsidR="009A3FBD" w:rsidRPr="009A3FBD">
              <w:rPr>
                <w:rFonts w:eastAsia="Times New Roman" w:cs="Calibri"/>
                <w:color w:val="000000"/>
                <w:szCs w:val="22"/>
                <w:vertAlign w:val="superscript"/>
                <w:lang w:val="en-AU" w:eastAsia="en-AU"/>
              </w:rPr>
              <w:t>th</w:t>
            </w:r>
            <w:r w:rsidR="009A3FBD">
              <w:rPr>
                <w:rFonts w:eastAsia="Times New Roman" w:cs="Calibri"/>
                <w:color w:val="000000"/>
                <w:szCs w:val="22"/>
                <w:lang w:val="en-AU" w:eastAsia="en-AU"/>
              </w:rPr>
              <w:t xml:space="preserve"> of July 2019. The article can be accessed via the link below:</w:t>
            </w:r>
          </w:p>
          <w:p w14:paraId="2BFD3FC4" w14:textId="0605A50E" w:rsidR="009A3FBD" w:rsidRPr="00A83A36" w:rsidRDefault="006F55C9" w:rsidP="00A83A36">
            <w:pPr>
              <w:spacing w:before="0" w:after="0"/>
              <w:ind w:left="360"/>
              <w:rPr>
                <w:rFonts w:eastAsia="Times New Roman" w:cs="Calibri"/>
                <w:color w:val="000000"/>
                <w:szCs w:val="22"/>
                <w:lang w:val="en-AU" w:eastAsia="en-AU"/>
              </w:rPr>
            </w:pPr>
            <w:hyperlink r:id="rId99" w:history="1">
              <w:r w:rsidR="00A83A36" w:rsidRPr="00A83A36">
                <w:rPr>
                  <w:rStyle w:val="Hyperlink"/>
                  <w:rFonts w:eastAsia="Times New Roman" w:cs="Calibri"/>
                  <w:szCs w:val="22"/>
                  <w:lang w:val="en-AU" w:eastAsia="en-AU"/>
                </w:rPr>
                <w:t>https://www.thenational.com.pg/mining-petroleum-firms-also-pay-taxes-chamber/</w:t>
              </w:r>
            </w:hyperlink>
          </w:p>
          <w:p w14:paraId="0F3A4AE2" w14:textId="77777777" w:rsidR="009A3FBD" w:rsidRDefault="009A3FBD" w:rsidP="009A3FBD">
            <w:pPr>
              <w:pStyle w:val="ListParagraph"/>
              <w:spacing w:before="0" w:after="0"/>
              <w:rPr>
                <w:rFonts w:eastAsia="Times New Roman" w:cs="Calibri"/>
                <w:color w:val="000000"/>
                <w:szCs w:val="22"/>
                <w:lang w:val="en-AU" w:eastAsia="en-AU"/>
              </w:rPr>
            </w:pPr>
          </w:p>
          <w:p w14:paraId="1D3BB1FB" w14:textId="22BC73AE" w:rsidR="00A614E9" w:rsidRPr="00A614E9" w:rsidRDefault="009A3FBD" w:rsidP="00134395">
            <w:pPr>
              <w:pStyle w:val="ListParagraph"/>
              <w:numPr>
                <w:ilvl w:val="0"/>
                <w:numId w:val="18"/>
              </w:numPr>
              <w:spacing w:before="0" w:after="0"/>
              <w:rPr>
                <w:rFonts w:eastAsia="Times New Roman" w:cs="Calibri"/>
                <w:color w:val="000000"/>
                <w:szCs w:val="22"/>
                <w:lang w:val="en-AU" w:eastAsia="en-AU"/>
              </w:rPr>
            </w:pPr>
            <w:r>
              <w:rPr>
                <w:rFonts w:eastAsia="Times New Roman" w:cs="Calibri"/>
                <w:color w:val="000000"/>
                <w:szCs w:val="22"/>
                <w:lang w:val="en-AU" w:eastAsia="en-AU"/>
              </w:rPr>
              <w:t xml:space="preserve">Peter Dwyer and Monica </w:t>
            </w:r>
            <w:proofErr w:type="spellStart"/>
            <w:r>
              <w:rPr>
                <w:rFonts w:eastAsia="Times New Roman" w:cs="Calibri"/>
                <w:color w:val="000000"/>
                <w:szCs w:val="22"/>
                <w:lang w:val="en-AU" w:eastAsia="en-AU"/>
              </w:rPr>
              <w:t>Minnegal</w:t>
            </w:r>
            <w:proofErr w:type="spellEnd"/>
            <w:r>
              <w:rPr>
                <w:rFonts w:eastAsia="Times New Roman" w:cs="Calibri"/>
                <w:color w:val="000000"/>
                <w:szCs w:val="22"/>
                <w:lang w:val="en-AU" w:eastAsia="en-AU"/>
              </w:rPr>
              <w:t xml:space="preserve"> published an article titles “Landowner Identification in PNG: A job for the Government</w:t>
            </w:r>
            <w:r w:rsidR="00CF563F">
              <w:rPr>
                <w:rFonts w:eastAsia="Times New Roman" w:cs="Calibri"/>
                <w:color w:val="000000"/>
                <w:szCs w:val="22"/>
                <w:lang w:val="en-AU" w:eastAsia="en-AU"/>
              </w:rPr>
              <w:t>”</w:t>
            </w:r>
            <w:r w:rsidR="0053532A">
              <w:rPr>
                <w:rFonts w:eastAsia="Times New Roman" w:cs="Calibri"/>
                <w:color w:val="000000"/>
                <w:szCs w:val="22"/>
                <w:lang w:val="en-AU" w:eastAsia="en-AU"/>
              </w:rPr>
              <w:t xml:space="preserve"> used the PNGEITI reports to reveal a surprising revelation that the single largest revenue stream called group taxes were </w:t>
            </w:r>
            <w:proofErr w:type="spellStart"/>
            <w:r w:rsidR="0053532A">
              <w:rPr>
                <w:rFonts w:eastAsia="Times New Roman" w:cs="Calibri"/>
                <w:color w:val="000000"/>
                <w:szCs w:val="22"/>
                <w:lang w:val="en-AU" w:eastAsia="en-AU"/>
              </w:rPr>
              <w:t>taxe</w:t>
            </w:r>
            <w:proofErr w:type="spellEnd"/>
            <w:r w:rsidR="0053532A">
              <w:rPr>
                <w:rFonts w:eastAsia="Times New Roman" w:cs="Calibri"/>
                <w:color w:val="000000"/>
                <w:szCs w:val="22"/>
                <w:lang w:val="en-AU" w:eastAsia="en-AU"/>
              </w:rPr>
              <w:t xml:space="preserve"> paid on salaries and wages</w:t>
            </w:r>
            <w:r w:rsidR="00793858">
              <w:rPr>
                <w:rFonts w:eastAsia="Times New Roman" w:cs="Calibri"/>
                <w:color w:val="000000"/>
                <w:szCs w:val="22"/>
                <w:lang w:val="en-AU" w:eastAsia="en-AU"/>
              </w:rPr>
              <w:t xml:space="preserve"> </w:t>
            </w:r>
            <w:r w:rsidR="0053532A">
              <w:rPr>
                <w:rFonts w:eastAsia="Times New Roman" w:cs="Calibri"/>
                <w:color w:val="000000"/>
                <w:szCs w:val="22"/>
                <w:lang w:val="en-AU" w:eastAsia="en-AU"/>
              </w:rPr>
              <w:t>earned by employees. The article can be viewed</w:t>
            </w:r>
            <w:r w:rsidR="00A614E9">
              <w:rPr>
                <w:rFonts w:eastAsia="Times New Roman" w:cs="Calibri"/>
                <w:color w:val="000000"/>
                <w:szCs w:val="22"/>
                <w:lang w:val="en-AU" w:eastAsia="en-AU"/>
              </w:rPr>
              <w:t xml:space="preserve"> in the </w:t>
            </w:r>
            <w:proofErr w:type="spellStart"/>
            <w:r w:rsidR="00A614E9">
              <w:rPr>
                <w:rFonts w:eastAsia="Times New Roman" w:cs="Calibri"/>
                <w:color w:val="000000"/>
                <w:szCs w:val="22"/>
                <w:lang w:val="en-AU" w:eastAsia="en-AU"/>
              </w:rPr>
              <w:t>lind</w:t>
            </w:r>
            <w:proofErr w:type="spellEnd"/>
            <w:r w:rsidR="00A614E9">
              <w:rPr>
                <w:rFonts w:eastAsia="Times New Roman" w:cs="Calibri"/>
                <w:color w:val="000000"/>
                <w:szCs w:val="22"/>
                <w:lang w:val="en-AU" w:eastAsia="en-AU"/>
              </w:rPr>
              <w:t xml:space="preserve"> below:</w:t>
            </w:r>
          </w:p>
          <w:p w14:paraId="2974EE87" w14:textId="30163B6A" w:rsidR="008D0150" w:rsidRDefault="00A614E9" w:rsidP="008459C4">
            <w:pPr>
              <w:spacing w:before="120" w:after="0"/>
              <w:rPr>
                <w:rFonts w:eastAsia="Times New Roman" w:cs="Calibri"/>
                <w:color w:val="000000"/>
                <w:szCs w:val="22"/>
                <w:lang w:val="en-AU" w:eastAsia="en-AU"/>
              </w:rPr>
            </w:pPr>
            <w:r>
              <w:rPr>
                <w:rFonts w:eastAsia="Times New Roman" w:cs="Calibri"/>
                <w:color w:val="000000"/>
                <w:szCs w:val="22"/>
                <w:lang w:val="en-AU" w:eastAsia="en-AU"/>
              </w:rPr>
              <w:t xml:space="preserve">           </w:t>
            </w:r>
            <w:hyperlink r:id="rId100" w:history="1">
              <w:r w:rsidRPr="00530F4D">
                <w:rPr>
                  <w:rStyle w:val="Hyperlink"/>
                  <w:rFonts w:eastAsia="Times New Roman" w:cs="Calibri"/>
                  <w:szCs w:val="22"/>
                  <w:lang w:val="en-AU" w:eastAsia="en-AU"/>
                </w:rPr>
                <w:t>https://www.devpolicy.org/2019-Pacific-Update/PNG-Blog-booklet-18-19-Web-FINAL.pdf</w:t>
              </w:r>
            </w:hyperlink>
          </w:p>
          <w:p w14:paraId="2CC337E4" w14:textId="77777777" w:rsidR="00A614E9" w:rsidRDefault="00A614E9" w:rsidP="008459C4">
            <w:pPr>
              <w:spacing w:before="120" w:after="0"/>
              <w:rPr>
                <w:rFonts w:eastAsia="Times New Roman" w:cs="Calibri"/>
                <w:color w:val="000000"/>
                <w:szCs w:val="22"/>
                <w:lang w:val="en-AU" w:eastAsia="en-AU"/>
              </w:rPr>
            </w:pPr>
          </w:p>
          <w:p w14:paraId="07C21D59" w14:textId="5226C171" w:rsidR="00C6608B" w:rsidRDefault="008D0150" w:rsidP="00360E97">
            <w:pPr>
              <w:spacing w:before="120" w:after="0"/>
            </w:pPr>
            <w:r>
              <w:rPr>
                <w:rFonts w:eastAsia="Times New Roman" w:cs="Calibri"/>
                <w:color w:val="000000"/>
                <w:szCs w:val="22"/>
                <w:lang w:val="en-AU" w:eastAsia="en-AU"/>
              </w:rPr>
              <w:t xml:space="preserve"> </w:t>
            </w:r>
          </w:p>
        </w:tc>
      </w:tr>
    </w:tbl>
    <w:p w14:paraId="583F3E19" w14:textId="77777777" w:rsidR="00C6608B" w:rsidRPr="0060568E" w:rsidRDefault="00C6608B" w:rsidP="00C6608B"/>
    <w:p w14:paraId="0D3E291D" w14:textId="013CD5DF" w:rsidR="00C6608B" w:rsidRDefault="00C6608B" w:rsidP="00C6608B">
      <w:bookmarkStart w:id="12" w:name="_Hlk53652069"/>
      <w:r w:rsidRPr="009606F3">
        <w:rPr>
          <w:b/>
          <w:bCs/>
        </w:rPr>
        <w:t>1</w:t>
      </w:r>
      <w:r w:rsidR="003050D3">
        <w:rPr>
          <w:b/>
          <w:bCs/>
        </w:rPr>
        <w:t>5</w:t>
      </w:r>
      <w:r w:rsidRPr="009606F3">
        <w:rPr>
          <w:b/>
          <w:bCs/>
        </w:rPr>
        <w:t xml:space="preserve">. Provide information about outreach events </w:t>
      </w:r>
      <w:r w:rsidR="00485EE9" w:rsidRPr="009606F3">
        <w:rPr>
          <w:b/>
          <w:bCs/>
        </w:rPr>
        <w:t>organized</w:t>
      </w:r>
      <w:r w:rsidRPr="009606F3">
        <w:rPr>
          <w:b/>
          <w:bCs/>
        </w:rPr>
        <w:t xml:space="preserve"> to spread awareness of and facilitate dialogue about governance of extractive resources, building on EITI disclosures</w:t>
      </w:r>
      <w:r>
        <w:t>.</w:t>
      </w:r>
    </w:p>
    <w:p w14:paraId="24BC03D2" w14:textId="77777777" w:rsidR="00C6608B" w:rsidRDefault="00C6608B" w:rsidP="00C6608B"/>
    <w:tbl>
      <w:tblPr>
        <w:tblStyle w:val="TableGrid"/>
        <w:tblW w:w="1013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60"/>
        <w:gridCol w:w="1701"/>
        <w:gridCol w:w="1067"/>
        <w:gridCol w:w="1237"/>
        <w:gridCol w:w="1711"/>
        <w:gridCol w:w="1417"/>
        <w:gridCol w:w="1390"/>
        <w:gridCol w:w="48"/>
      </w:tblGrid>
      <w:tr w:rsidR="00652B0D" w14:paraId="2C5BE5CF" w14:textId="77777777" w:rsidTr="009E3F5D">
        <w:trPr>
          <w:gridAfter w:val="1"/>
          <w:wAfter w:w="48" w:type="dxa"/>
        </w:trPr>
        <w:tc>
          <w:tcPr>
            <w:tcW w:w="1560" w:type="dxa"/>
            <w:shd w:val="clear" w:color="auto" w:fill="E7E6E6" w:themeFill="background2"/>
          </w:tcPr>
          <w:p w14:paraId="5BEB514D" w14:textId="77777777" w:rsidR="00C6608B" w:rsidRPr="008A162F" w:rsidRDefault="00C6608B" w:rsidP="003A45E9">
            <w:pPr>
              <w:rPr>
                <w:b/>
              </w:rPr>
            </w:pPr>
            <w:r w:rsidRPr="008A162F">
              <w:rPr>
                <w:b/>
              </w:rPr>
              <w:lastRenderedPageBreak/>
              <w:t xml:space="preserve">Event name </w:t>
            </w:r>
          </w:p>
        </w:tc>
        <w:tc>
          <w:tcPr>
            <w:tcW w:w="1701" w:type="dxa"/>
            <w:shd w:val="clear" w:color="auto" w:fill="E7E6E6" w:themeFill="background2"/>
          </w:tcPr>
          <w:p w14:paraId="6D9AD1C9" w14:textId="77777777" w:rsidR="00C6608B" w:rsidRPr="008A162F" w:rsidRDefault="00C6608B" w:rsidP="003A45E9">
            <w:pPr>
              <w:rPr>
                <w:b/>
              </w:rPr>
            </w:pPr>
            <w:r w:rsidRPr="008A162F">
              <w:rPr>
                <w:b/>
              </w:rPr>
              <w:t>Brief description of the event</w:t>
            </w:r>
          </w:p>
        </w:tc>
        <w:tc>
          <w:tcPr>
            <w:tcW w:w="1067" w:type="dxa"/>
            <w:shd w:val="clear" w:color="auto" w:fill="E7E6E6" w:themeFill="background2"/>
          </w:tcPr>
          <w:p w14:paraId="676EEB8D" w14:textId="77777777" w:rsidR="00C6608B" w:rsidRPr="008A162F" w:rsidRDefault="00C6608B" w:rsidP="003A45E9">
            <w:pPr>
              <w:rPr>
                <w:b/>
              </w:rPr>
            </w:pPr>
            <w:r w:rsidRPr="008A162F">
              <w:rPr>
                <w:b/>
              </w:rPr>
              <w:t>Date</w:t>
            </w:r>
          </w:p>
        </w:tc>
        <w:tc>
          <w:tcPr>
            <w:tcW w:w="1237" w:type="dxa"/>
            <w:shd w:val="clear" w:color="auto" w:fill="E7E6E6" w:themeFill="background2"/>
          </w:tcPr>
          <w:p w14:paraId="254F70D8" w14:textId="77777777" w:rsidR="00C6608B" w:rsidRPr="008A162F" w:rsidRDefault="00C6608B" w:rsidP="003A45E9">
            <w:pPr>
              <w:rPr>
                <w:b/>
              </w:rPr>
            </w:pPr>
            <w:r w:rsidRPr="008A162F">
              <w:rPr>
                <w:b/>
              </w:rPr>
              <w:t>Location</w:t>
            </w:r>
          </w:p>
        </w:tc>
        <w:tc>
          <w:tcPr>
            <w:tcW w:w="1711" w:type="dxa"/>
            <w:shd w:val="clear" w:color="auto" w:fill="E7E6E6" w:themeFill="background2"/>
          </w:tcPr>
          <w:p w14:paraId="73A8C22B" w14:textId="4D6E0564" w:rsidR="00C6608B" w:rsidRPr="008A162F" w:rsidRDefault="00485EE9" w:rsidP="003A45E9">
            <w:pPr>
              <w:rPr>
                <w:b/>
              </w:rPr>
            </w:pPr>
            <w:r w:rsidRPr="008A162F">
              <w:rPr>
                <w:b/>
              </w:rPr>
              <w:t>Organizer</w:t>
            </w:r>
          </w:p>
        </w:tc>
        <w:tc>
          <w:tcPr>
            <w:tcW w:w="1417" w:type="dxa"/>
            <w:shd w:val="clear" w:color="auto" w:fill="E7E6E6" w:themeFill="background2"/>
          </w:tcPr>
          <w:p w14:paraId="2C2DD233" w14:textId="77777777" w:rsidR="00C6608B" w:rsidRPr="008A162F" w:rsidRDefault="00C6608B" w:rsidP="003A45E9">
            <w:pPr>
              <w:rPr>
                <w:b/>
              </w:rPr>
            </w:pPr>
            <w:r>
              <w:rPr>
                <w:b/>
              </w:rPr>
              <w:t>Number and type of attendees</w:t>
            </w:r>
          </w:p>
        </w:tc>
        <w:tc>
          <w:tcPr>
            <w:tcW w:w="1390" w:type="dxa"/>
            <w:shd w:val="clear" w:color="auto" w:fill="E7E6E6" w:themeFill="background2"/>
          </w:tcPr>
          <w:p w14:paraId="74E5BBA0" w14:textId="77777777" w:rsidR="00C6608B" w:rsidRPr="008A162F" w:rsidRDefault="00C6608B" w:rsidP="003A45E9">
            <w:pPr>
              <w:rPr>
                <w:b/>
              </w:rPr>
            </w:pPr>
            <w:r w:rsidRPr="008A162F">
              <w:rPr>
                <w:b/>
              </w:rPr>
              <w:t>Links to further information</w:t>
            </w:r>
          </w:p>
        </w:tc>
      </w:tr>
      <w:tr w:rsidR="00065F29" w14:paraId="10B6D711" w14:textId="77777777" w:rsidTr="009E3F5D">
        <w:trPr>
          <w:trHeight w:val="474"/>
        </w:trPr>
        <w:tc>
          <w:tcPr>
            <w:tcW w:w="10131" w:type="dxa"/>
            <w:gridSpan w:val="8"/>
          </w:tcPr>
          <w:p w14:paraId="733699CA" w14:textId="34EE640C" w:rsidR="00065F29" w:rsidRPr="00A83A36" w:rsidRDefault="00065F29" w:rsidP="0010310C">
            <w:pPr>
              <w:pStyle w:val="SubTitle0"/>
              <w:jc w:val="center"/>
              <w:rPr>
                <w:color w:val="auto"/>
                <w:sz w:val="22"/>
                <w:szCs w:val="22"/>
              </w:rPr>
            </w:pPr>
            <w:r w:rsidRPr="00A83A36">
              <w:rPr>
                <w:sz w:val="22"/>
                <w:szCs w:val="22"/>
              </w:rPr>
              <w:t>2017</w:t>
            </w:r>
          </w:p>
        </w:tc>
      </w:tr>
      <w:tr w:rsidR="00652B0D" w14:paraId="68965C00" w14:textId="77777777" w:rsidTr="009E3F5D">
        <w:trPr>
          <w:gridAfter w:val="1"/>
          <w:wAfter w:w="48" w:type="dxa"/>
        </w:trPr>
        <w:tc>
          <w:tcPr>
            <w:tcW w:w="1560" w:type="dxa"/>
          </w:tcPr>
          <w:p w14:paraId="5165643E" w14:textId="1BF99D8D" w:rsidR="00C6608B" w:rsidRDefault="00065F29" w:rsidP="003A45E9">
            <w:r w:rsidRPr="00065F29">
              <w:t>Sub-national capacity building workshops</w:t>
            </w:r>
          </w:p>
        </w:tc>
        <w:tc>
          <w:tcPr>
            <w:tcW w:w="1701" w:type="dxa"/>
          </w:tcPr>
          <w:p w14:paraId="39C379C9" w14:textId="5799296B" w:rsidR="00C6608B" w:rsidRDefault="00652B0D" w:rsidP="003A45E9">
            <w:r w:rsidRPr="00652B0D">
              <w:t xml:space="preserve">Workshop objectives: (1) </w:t>
            </w:r>
            <w:proofErr w:type="spellStart"/>
            <w:r w:rsidRPr="00652B0D">
              <w:t>sensitise</w:t>
            </w:r>
            <w:proofErr w:type="spellEnd"/>
            <w:r w:rsidRPr="00652B0D">
              <w:t xml:space="preserve"> provincial government officials about EITI reporting requirements, (2) </w:t>
            </w:r>
            <w:proofErr w:type="spellStart"/>
            <w:r w:rsidRPr="00652B0D">
              <w:t>sensitise</w:t>
            </w:r>
            <w:proofErr w:type="spellEnd"/>
            <w:r w:rsidRPr="00652B0D">
              <w:t xml:space="preserve"> civil society leaders about EITI process and how CSO can use data to improve governance and service delivery at subnational level and establish provincial focal points for EITI CSO representation</w:t>
            </w:r>
          </w:p>
        </w:tc>
        <w:tc>
          <w:tcPr>
            <w:tcW w:w="1067" w:type="dxa"/>
          </w:tcPr>
          <w:p w14:paraId="76C8EB80" w14:textId="77777777" w:rsidR="00065F29" w:rsidRPr="00065F29" w:rsidRDefault="00065F29" w:rsidP="00065F29">
            <w:r w:rsidRPr="00065F29">
              <w:t>17</w:t>
            </w:r>
            <w:r w:rsidRPr="00065F29">
              <w:rPr>
                <w:vertAlign w:val="superscript"/>
              </w:rPr>
              <w:t>th</w:t>
            </w:r>
            <w:r w:rsidRPr="00065F29">
              <w:t>-18</w:t>
            </w:r>
            <w:r w:rsidRPr="00065F29">
              <w:rPr>
                <w:vertAlign w:val="superscript"/>
              </w:rPr>
              <w:t>th</w:t>
            </w:r>
            <w:r w:rsidRPr="00065F29">
              <w:t xml:space="preserve"> Oct 2017</w:t>
            </w:r>
          </w:p>
          <w:p w14:paraId="1B23F701" w14:textId="77777777" w:rsidR="00C6608B" w:rsidRDefault="00C6608B" w:rsidP="003A45E9"/>
        </w:tc>
        <w:tc>
          <w:tcPr>
            <w:tcW w:w="1237" w:type="dxa"/>
          </w:tcPr>
          <w:p w14:paraId="4DC792D1" w14:textId="22E94A4E" w:rsidR="00C6608B" w:rsidRDefault="00065F29" w:rsidP="003A45E9">
            <w:r w:rsidRPr="00065F29">
              <w:t>Lae, Morobe</w:t>
            </w:r>
          </w:p>
        </w:tc>
        <w:tc>
          <w:tcPr>
            <w:tcW w:w="1711" w:type="dxa"/>
          </w:tcPr>
          <w:p w14:paraId="7C583144" w14:textId="61C6835C" w:rsidR="00C6608B" w:rsidRDefault="00C60A05" w:rsidP="003A45E9">
            <w:r>
              <w:t>PNGEITI</w:t>
            </w:r>
            <w:r w:rsidR="00065F29" w:rsidRPr="00065F29">
              <w:t xml:space="preserve"> National Secretariat, World Bank (WB), Institute of National Affairs (INA) &amp; Consultative Implementation and Monitoring Council (CIMC</w:t>
            </w:r>
          </w:p>
        </w:tc>
        <w:tc>
          <w:tcPr>
            <w:tcW w:w="1417" w:type="dxa"/>
          </w:tcPr>
          <w:p w14:paraId="5E66F9A2" w14:textId="3C12D881" w:rsidR="00C6608B" w:rsidRDefault="00652B0D" w:rsidP="003A45E9">
            <w:r w:rsidRPr="00652B0D">
              <w:t>Senior administration officers from Provincial governments &amp; CSO representatives</w:t>
            </w:r>
          </w:p>
        </w:tc>
        <w:tc>
          <w:tcPr>
            <w:tcW w:w="1390" w:type="dxa"/>
          </w:tcPr>
          <w:p w14:paraId="2F83A67A" w14:textId="3F47DBBB" w:rsidR="00C6608B" w:rsidRDefault="006F55C9" w:rsidP="003A45E9">
            <w:hyperlink r:id="rId101" w:history="1">
              <w:r w:rsidR="00652B0D" w:rsidRPr="00652B0D">
                <w:rPr>
                  <w:rStyle w:val="Hyperlink"/>
                </w:rPr>
                <w:t>PNGEITI-2017-Annual-Progress-Report-.pdf</w:t>
              </w:r>
            </w:hyperlink>
          </w:p>
        </w:tc>
      </w:tr>
      <w:tr w:rsidR="00652B0D" w14:paraId="7EED6E97" w14:textId="77777777" w:rsidTr="009E3F5D">
        <w:trPr>
          <w:gridAfter w:val="1"/>
          <w:wAfter w:w="48" w:type="dxa"/>
        </w:trPr>
        <w:tc>
          <w:tcPr>
            <w:tcW w:w="1560" w:type="dxa"/>
          </w:tcPr>
          <w:p w14:paraId="6B54695A" w14:textId="2FD78DA7" w:rsidR="00C6608B" w:rsidRDefault="00652B0D" w:rsidP="003A45E9">
            <w:r w:rsidRPr="00652B0D">
              <w:t>Sub-National Capacity Building Workshops</w:t>
            </w:r>
          </w:p>
        </w:tc>
        <w:tc>
          <w:tcPr>
            <w:tcW w:w="1701" w:type="dxa"/>
          </w:tcPr>
          <w:p w14:paraId="205A9D7B" w14:textId="3391A917" w:rsidR="00C6608B" w:rsidRDefault="00652B0D" w:rsidP="003A45E9">
            <w:r w:rsidRPr="00652B0D">
              <w:t>See above objective</w:t>
            </w:r>
          </w:p>
        </w:tc>
        <w:tc>
          <w:tcPr>
            <w:tcW w:w="1067" w:type="dxa"/>
          </w:tcPr>
          <w:p w14:paraId="4F582DDB" w14:textId="72C3171F" w:rsidR="00C6608B" w:rsidRDefault="00652B0D" w:rsidP="003A45E9">
            <w:r w:rsidRPr="00652B0D">
              <w:t>8</w:t>
            </w:r>
            <w:r w:rsidRPr="00652B0D">
              <w:rPr>
                <w:vertAlign w:val="superscript"/>
              </w:rPr>
              <w:t>th</w:t>
            </w:r>
            <w:r w:rsidRPr="00652B0D">
              <w:t xml:space="preserve"> -10</w:t>
            </w:r>
            <w:r w:rsidRPr="00652B0D">
              <w:rPr>
                <w:vertAlign w:val="superscript"/>
              </w:rPr>
              <w:t>th</w:t>
            </w:r>
            <w:r w:rsidRPr="00652B0D">
              <w:t xml:space="preserve"> Nov 2017</w:t>
            </w:r>
          </w:p>
        </w:tc>
        <w:tc>
          <w:tcPr>
            <w:tcW w:w="1237" w:type="dxa"/>
          </w:tcPr>
          <w:p w14:paraId="04E410EA" w14:textId="3DA3D19B" w:rsidR="00C6608B" w:rsidRDefault="00652B0D" w:rsidP="003A45E9">
            <w:r w:rsidRPr="00652B0D">
              <w:t>Kavieng, New Ireland</w:t>
            </w:r>
          </w:p>
        </w:tc>
        <w:tc>
          <w:tcPr>
            <w:tcW w:w="1711" w:type="dxa"/>
          </w:tcPr>
          <w:p w14:paraId="3C699921" w14:textId="1BB5101F" w:rsidR="00C6608B" w:rsidRDefault="00652B0D" w:rsidP="003A45E9">
            <w:r w:rsidRPr="00652B0D">
              <w:t>See above organisers</w:t>
            </w:r>
          </w:p>
        </w:tc>
        <w:tc>
          <w:tcPr>
            <w:tcW w:w="1417" w:type="dxa"/>
          </w:tcPr>
          <w:p w14:paraId="3A2462B4" w14:textId="0CBAA537" w:rsidR="00C6608B" w:rsidRDefault="00652B0D" w:rsidP="003A45E9">
            <w:r w:rsidRPr="00652B0D">
              <w:t>See above number and type of attendees</w:t>
            </w:r>
          </w:p>
        </w:tc>
        <w:tc>
          <w:tcPr>
            <w:tcW w:w="1390" w:type="dxa"/>
          </w:tcPr>
          <w:p w14:paraId="20EB5375" w14:textId="27D22FA0" w:rsidR="00C6608B" w:rsidRDefault="006F55C9" w:rsidP="003A45E9">
            <w:hyperlink r:id="rId102" w:history="1">
              <w:r w:rsidR="00652B0D">
                <w:rPr>
                  <w:rStyle w:val="Hyperlink"/>
                </w:rPr>
                <w:t>PNGEITI-2017-Annual-Progress-Report-.pdf</w:t>
              </w:r>
            </w:hyperlink>
          </w:p>
        </w:tc>
      </w:tr>
      <w:tr w:rsidR="00652B0D" w14:paraId="5EDCB1D2" w14:textId="77777777" w:rsidTr="009E3F5D">
        <w:trPr>
          <w:gridAfter w:val="1"/>
          <w:wAfter w:w="48" w:type="dxa"/>
        </w:trPr>
        <w:tc>
          <w:tcPr>
            <w:tcW w:w="1560" w:type="dxa"/>
          </w:tcPr>
          <w:p w14:paraId="75B894CF" w14:textId="7410716B" w:rsidR="00C6608B" w:rsidRDefault="00652B0D" w:rsidP="003A45E9">
            <w:r w:rsidRPr="00652B0D">
              <w:t>Sub-National Capacity Building Workshop</w:t>
            </w:r>
          </w:p>
        </w:tc>
        <w:tc>
          <w:tcPr>
            <w:tcW w:w="1701" w:type="dxa"/>
          </w:tcPr>
          <w:p w14:paraId="4531B013" w14:textId="5D97A604" w:rsidR="00C6608B" w:rsidRDefault="00652B0D" w:rsidP="003A45E9">
            <w:r w:rsidRPr="00652B0D">
              <w:t>See previous objective </w:t>
            </w:r>
          </w:p>
        </w:tc>
        <w:tc>
          <w:tcPr>
            <w:tcW w:w="1067" w:type="dxa"/>
          </w:tcPr>
          <w:p w14:paraId="1E3CB1E1" w14:textId="6B557118" w:rsidR="00C6608B" w:rsidRDefault="00652B0D" w:rsidP="003A45E9">
            <w:r w:rsidRPr="00652B0D">
              <w:t>21</w:t>
            </w:r>
            <w:r w:rsidRPr="00652B0D">
              <w:rPr>
                <w:vertAlign w:val="superscript"/>
              </w:rPr>
              <w:t>st</w:t>
            </w:r>
            <w:r w:rsidRPr="00652B0D">
              <w:t xml:space="preserve"> -23</w:t>
            </w:r>
            <w:r w:rsidRPr="00652B0D">
              <w:rPr>
                <w:vertAlign w:val="superscript"/>
              </w:rPr>
              <w:t>rd</w:t>
            </w:r>
            <w:r w:rsidRPr="00652B0D">
              <w:t xml:space="preserve"> Nov 2017 </w:t>
            </w:r>
          </w:p>
        </w:tc>
        <w:tc>
          <w:tcPr>
            <w:tcW w:w="1237" w:type="dxa"/>
          </w:tcPr>
          <w:p w14:paraId="1980CA93" w14:textId="03E7D29F" w:rsidR="00C6608B" w:rsidRDefault="00652B0D" w:rsidP="003A45E9">
            <w:r w:rsidRPr="00652B0D">
              <w:t>Wewak, East Sepik Province</w:t>
            </w:r>
          </w:p>
        </w:tc>
        <w:tc>
          <w:tcPr>
            <w:tcW w:w="1711" w:type="dxa"/>
          </w:tcPr>
          <w:p w14:paraId="7CE827F7" w14:textId="343E831E" w:rsidR="00C6608B" w:rsidRDefault="00652B0D" w:rsidP="003A45E9">
            <w:r w:rsidRPr="00652B0D">
              <w:t>See previous organizers </w:t>
            </w:r>
          </w:p>
        </w:tc>
        <w:tc>
          <w:tcPr>
            <w:tcW w:w="1417" w:type="dxa"/>
          </w:tcPr>
          <w:p w14:paraId="71522244" w14:textId="3579503F" w:rsidR="00C6608B" w:rsidRDefault="00C47D04" w:rsidP="003A45E9">
            <w:r w:rsidRPr="00652B0D">
              <w:t>See above number and type of attendees</w:t>
            </w:r>
          </w:p>
        </w:tc>
        <w:tc>
          <w:tcPr>
            <w:tcW w:w="1390" w:type="dxa"/>
          </w:tcPr>
          <w:p w14:paraId="76F98E80" w14:textId="70CBC216" w:rsidR="00C6608B" w:rsidRDefault="006F55C9" w:rsidP="003A45E9">
            <w:hyperlink r:id="rId103" w:history="1">
              <w:r w:rsidR="00652B0D">
                <w:rPr>
                  <w:rStyle w:val="Hyperlink"/>
                </w:rPr>
                <w:t>PNGEITI-2017-Annual-Progress-Report-.pdf</w:t>
              </w:r>
            </w:hyperlink>
          </w:p>
        </w:tc>
      </w:tr>
      <w:tr w:rsidR="00C47D04" w14:paraId="2BEC7A5F" w14:textId="77777777" w:rsidTr="009E3F5D">
        <w:trPr>
          <w:gridAfter w:val="1"/>
          <w:wAfter w:w="48" w:type="dxa"/>
        </w:trPr>
        <w:tc>
          <w:tcPr>
            <w:tcW w:w="1560" w:type="dxa"/>
          </w:tcPr>
          <w:p w14:paraId="31D4728A" w14:textId="17AA3EC2" w:rsidR="00C47D04" w:rsidRPr="00652B0D" w:rsidRDefault="00C47D04" w:rsidP="003A45E9">
            <w:r w:rsidRPr="00C47D04">
              <w:t xml:space="preserve">Please Refer to </w:t>
            </w:r>
            <w:r w:rsidR="00C60A05">
              <w:t>PNGEITI</w:t>
            </w:r>
            <w:r w:rsidRPr="00C47D04">
              <w:t xml:space="preserve"> Annual </w:t>
            </w:r>
            <w:r w:rsidRPr="00C47D04">
              <w:lastRenderedPageBreak/>
              <w:t>Progress Report 2017 Summary of 2017 PNGEITI Outreach Activities (pp. 15 – 20). </w:t>
            </w:r>
          </w:p>
        </w:tc>
        <w:tc>
          <w:tcPr>
            <w:tcW w:w="1701" w:type="dxa"/>
          </w:tcPr>
          <w:p w14:paraId="3E3AEAA1" w14:textId="77777777" w:rsidR="00C47D04" w:rsidRPr="00652B0D" w:rsidRDefault="00C47D04" w:rsidP="003A45E9"/>
        </w:tc>
        <w:tc>
          <w:tcPr>
            <w:tcW w:w="1067" w:type="dxa"/>
          </w:tcPr>
          <w:p w14:paraId="7547FBCD" w14:textId="77777777" w:rsidR="00C47D04" w:rsidRPr="00652B0D" w:rsidRDefault="00C47D04" w:rsidP="003A45E9"/>
        </w:tc>
        <w:tc>
          <w:tcPr>
            <w:tcW w:w="1237" w:type="dxa"/>
          </w:tcPr>
          <w:p w14:paraId="6593D517" w14:textId="77777777" w:rsidR="00C47D04" w:rsidRPr="00652B0D" w:rsidRDefault="00C47D04" w:rsidP="003A45E9"/>
        </w:tc>
        <w:tc>
          <w:tcPr>
            <w:tcW w:w="1711" w:type="dxa"/>
          </w:tcPr>
          <w:p w14:paraId="7362C9AA" w14:textId="77777777" w:rsidR="00C47D04" w:rsidRPr="00652B0D" w:rsidRDefault="00C47D04" w:rsidP="003A45E9"/>
        </w:tc>
        <w:tc>
          <w:tcPr>
            <w:tcW w:w="1417" w:type="dxa"/>
          </w:tcPr>
          <w:p w14:paraId="2FDF77B2" w14:textId="77777777" w:rsidR="00C47D04" w:rsidRPr="00652B0D" w:rsidRDefault="00C47D04" w:rsidP="003A45E9"/>
        </w:tc>
        <w:tc>
          <w:tcPr>
            <w:tcW w:w="1390" w:type="dxa"/>
          </w:tcPr>
          <w:p w14:paraId="2AFFA1BC" w14:textId="7FDCB6ED" w:rsidR="00C47D04" w:rsidRDefault="006F55C9" w:rsidP="003A45E9">
            <w:hyperlink r:id="rId104" w:history="1">
              <w:r w:rsidR="00C47D04">
                <w:rPr>
                  <w:rStyle w:val="Hyperlink"/>
                </w:rPr>
                <w:t>PNGEITI-2017-Annual-</w:t>
              </w:r>
              <w:r w:rsidR="00C47D04">
                <w:rPr>
                  <w:rStyle w:val="Hyperlink"/>
                </w:rPr>
                <w:lastRenderedPageBreak/>
                <w:t>Progress-Report-.pdf</w:t>
              </w:r>
            </w:hyperlink>
          </w:p>
        </w:tc>
      </w:tr>
      <w:tr w:rsidR="00C47D04" w14:paraId="03F1D942" w14:textId="77777777" w:rsidTr="009E3F5D">
        <w:tc>
          <w:tcPr>
            <w:tcW w:w="10131" w:type="dxa"/>
            <w:gridSpan w:val="8"/>
          </w:tcPr>
          <w:p w14:paraId="5BA5D539" w14:textId="0C8B98AA" w:rsidR="00C47D04" w:rsidRPr="00A83A36" w:rsidRDefault="00C47D04" w:rsidP="0010310C">
            <w:pPr>
              <w:pStyle w:val="SubTitle0"/>
              <w:jc w:val="center"/>
              <w:rPr>
                <w:sz w:val="22"/>
                <w:szCs w:val="22"/>
              </w:rPr>
            </w:pPr>
            <w:r w:rsidRPr="00A83A36">
              <w:rPr>
                <w:sz w:val="22"/>
                <w:szCs w:val="22"/>
              </w:rPr>
              <w:lastRenderedPageBreak/>
              <w:t>2018</w:t>
            </w:r>
          </w:p>
        </w:tc>
      </w:tr>
      <w:tr w:rsidR="00C47D04" w14:paraId="05D77B71" w14:textId="77777777" w:rsidTr="009E3F5D">
        <w:trPr>
          <w:gridAfter w:val="1"/>
          <w:wAfter w:w="48" w:type="dxa"/>
        </w:trPr>
        <w:tc>
          <w:tcPr>
            <w:tcW w:w="1560" w:type="dxa"/>
          </w:tcPr>
          <w:p w14:paraId="10E2364E" w14:textId="6B606FF0" w:rsidR="00C47D04" w:rsidRPr="00652B0D" w:rsidRDefault="00C47D04" w:rsidP="00C47D04">
            <w:r w:rsidRPr="00C47D04">
              <w:t>Outreach information sessions</w:t>
            </w:r>
          </w:p>
        </w:tc>
        <w:tc>
          <w:tcPr>
            <w:tcW w:w="1701" w:type="dxa"/>
          </w:tcPr>
          <w:p w14:paraId="4653A9C5" w14:textId="77777777" w:rsidR="00C47D04" w:rsidRPr="00CB73FD" w:rsidRDefault="00C47D04" w:rsidP="00C47D04">
            <w:r w:rsidRPr="00C47D04">
              <w:t xml:space="preserve">Purpose of information session was to </w:t>
            </w:r>
            <w:proofErr w:type="spellStart"/>
            <w:r w:rsidRPr="00C47D04">
              <w:t>sensitise</w:t>
            </w:r>
            <w:proofErr w:type="spellEnd"/>
            <w:r w:rsidRPr="00C47D04">
              <w:t xml:space="preserve"> targeted groups which included resource owners, provincial and local level governments including general public</w:t>
            </w:r>
            <w:r>
              <w:t xml:space="preserve"> </w:t>
            </w:r>
            <w:r w:rsidRPr="00CB73FD">
              <w:t xml:space="preserve">in preparing for their participation in the 208 MRA Mining Development </w:t>
            </w:r>
            <w:proofErr w:type="gramStart"/>
            <w:r w:rsidRPr="00CB73FD">
              <w:t>Forum..</w:t>
            </w:r>
            <w:proofErr w:type="gramEnd"/>
          </w:p>
          <w:p w14:paraId="5149FB11" w14:textId="12A4CC93" w:rsidR="00C47D04" w:rsidRPr="00652B0D" w:rsidRDefault="00C47D04" w:rsidP="00C47D04"/>
        </w:tc>
        <w:tc>
          <w:tcPr>
            <w:tcW w:w="1067" w:type="dxa"/>
          </w:tcPr>
          <w:p w14:paraId="1E31A5E0" w14:textId="7B41A647" w:rsidR="00C47D04" w:rsidRPr="00652B0D" w:rsidRDefault="00C47D04" w:rsidP="00C47D04">
            <w:r w:rsidRPr="00CB73FD">
              <w:t>26</w:t>
            </w:r>
            <w:r w:rsidRPr="00CB73FD">
              <w:rPr>
                <w:vertAlign w:val="superscript"/>
              </w:rPr>
              <w:t>th</w:t>
            </w:r>
            <w:r w:rsidRPr="00CB73FD">
              <w:t xml:space="preserve"> Jul – 1</w:t>
            </w:r>
            <w:r w:rsidRPr="00CB73FD">
              <w:rPr>
                <w:vertAlign w:val="superscript"/>
              </w:rPr>
              <w:t>st</w:t>
            </w:r>
            <w:r w:rsidRPr="00CB73FD">
              <w:t xml:space="preserve"> Aug 2018</w:t>
            </w:r>
          </w:p>
        </w:tc>
        <w:tc>
          <w:tcPr>
            <w:tcW w:w="1237" w:type="dxa"/>
          </w:tcPr>
          <w:p w14:paraId="71B54F06" w14:textId="75B02F05" w:rsidR="00C47D04" w:rsidRPr="00652B0D" w:rsidRDefault="00C47D04" w:rsidP="00C47D04">
            <w:r w:rsidRPr="00C47D04">
              <w:t>Lae Morobe Province</w:t>
            </w:r>
          </w:p>
        </w:tc>
        <w:tc>
          <w:tcPr>
            <w:tcW w:w="1711" w:type="dxa"/>
          </w:tcPr>
          <w:p w14:paraId="53A5926A" w14:textId="79366640" w:rsidR="00C47D04" w:rsidRPr="00652B0D" w:rsidRDefault="00C60A05" w:rsidP="00C47D04">
            <w:r>
              <w:t>PNGEITI</w:t>
            </w:r>
            <w:r w:rsidR="00C47D04" w:rsidRPr="00C47D04">
              <w:t xml:space="preserve"> National Secretariat Mineral Resources </w:t>
            </w:r>
            <w:proofErr w:type="spellStart"/>
            <w:r w:rsidR="00C47D04" w:rsidRPr="00C47D04">
              <w:t>Authorithy</w:t>
            </w:r>
            <w:proofErr w:type="spellEnd"/>
          </w:p>
        </w:tc>
        <w:tc>
          <w:tcPr>
            <w:tcW w:w="1417" w:type="dxa"/>
          </w:tcPr>
          <w:p w14:paraId="11EEC274" w14:textId="4EC7C0FF" w:rsidR="00C47D04" w:rsidRPr="00652B0D" w:rsidRDefault="00C47D04" w:rsidP="00C47D04">
            <w:r w:rsidRPr="00C47D04">
              <w:t>Wafi Golpu Stakeholders – resource owners, local level government and provincial government officers</w:t>
            </w:r>
          </w:p>
        </w:tc>
        <w:tc>
          <w:tcPr>
            <w:tcW w:w="1390" w:type="dxa"/>
          </w:tcPr>
          <w:p w14:paraId="0FA69CBB" w14:textId="16F14A75" w:rsidR="00C47D04" w:rsidRDefault="006F55C9" w:rsidP="00C47D04">
            <w:hyperlink r:id="rId105" w:history="1">
              <w:r w:rsidR="0010310C" w:rsidRPr="0010310C">
                <w:rPr>
                  <w:rStyle w:val="Hyperlink"/>
                </w:rPr>
                <w:t>PNGEITI-2018-Annual-Progress-Report-.pdf</w:t>
              </w:r>
            </w:hyperlink>
          </w:p>
        </w:tc>
      </w:tr>
      <w:tr w:rsidR="00C47D04" w14:paraId="4EC484FC" w14:textId="77777777" w:rsidTr="009E3F5D">
        <w:trPr>
          <w:gridAfter w:val="1"/>
          <w:wAfter w:w="48" w:type="dxa"/>
        </w:trPr>
        <w:tc>
          <w:tcPr>
            <w:tcW w:w="1560" w:type="dxa"/>
          </w:tcPr>
          <w:p w14:paraId="647F9CD8" w14:textId="36FD93EC" w:rsidR="00C47D04" w:rsidRPr="00652B0D" w:rsidRDefault="0010310C" w:rsidP="00C47D04">
            <w:r w:rsidRPr="0010310C">
              <w:t xml:space="preserve">Please refer to </w:t>
            </w:r>
            <w:r w:rsidR="00C60A05">
              <w:t>PNGEITI</w:t>
            </w:r>
            <w:r w:rsidRPr="0010310C">
              <w:t xml:space="preserve"> Annual Progress Report 2018 Summary of 2018 EITI Outreach Activities (pp. 15 – 17).</w:t>
            </w:r>
          </w:p>
        </w:tc>
        <w:tc>
          <w:tcPr>
            <w:tcW w:w="1701" w:type="dxa"/>
          </w:tcPr>
          <w:p w14:paraId="0EB103DB" w14:textId="77777777" w:rsidR="00C47D04" w:rsidRPr="00652B0D" w:rsidRDefault="00C47D04" w:rsidP="00C47D04"/>
        </w:tc>
        <w:tc>
          <w:tcPr>
            <w:tcW w:w="1067" w:type="dxa"/>
          </w:tcPr>
          <w:p w14:paraId="37EDA5ED" w14:textId="77777777" w:rsidR="00C47D04" w:rsidRPr="00652B0D" w:rsidRDefault="00C47D04" w:rsidP="00C47D04"/>
        </w:tc>
        <w:tc>
          <w:tcPr>
            <w:tcW w:w="1237" w:type="dxa"/>
          </w:tcPr>
          <w:p w14:paraId="330345DF" w14:textId="77777777" w:rsidR="00C47D04" w:rsidRPr="00652B0D" w:rsidRDefault="00C47D04" w:rsidP="00C47D04"/>
        </w:tc>
        <w:tc>
          <w:tcPr>
            <w:tcW w:w="1711" w:type="dxa"/>
          </w:tcPr>
          <w:p w14:paraId="1F9C4E83" w14:textId="77777777" w:rsidR="00C47D04" w:rsidRPr="00652B0D" w:rsidRDefault="00C47D04" w:rsidP="00C47D04"/>
        </w:tc>
        <w:tc>
          <w:tcPr>
            <w:tcW w:w="1417" w:type="dxa"/>
          </w:tcPr>
          <w:p w14:paraId="4A7CAA8A" w14:textId="77777777" w:rsidR="00C47D04" w:rsidRPr="00652B0D" w:rsidRDefault="00C47D04" w:rsidP="00C47D04"/>
        </w:tc>
        <w:tc>
          <w:tcPr>
            <w:tcW w:w="1390" w:type="dxa"/>
          </w:tcPr>
          <w:p w14:paraId="2BA75DC1" w14:textId="30F5ABC8" w:rsidR="00C47D04" w:rsidRDefault="006F55C9" w:rsidP="00C47D04">
            <w:hyperlink r:id="rId106" w:history="1">
              <w:r w:rsidR="0010310C" w:rsidRPr="0010310C">
                <w:rPr>
                  <w:rStyle w:val="Hyperlink"/>
                </w:rPr>
                <w:t>PNGEITI-2018-Annual-Progress-Report-.pdf</w:t>
              </w:r>
            </w:hyperlink>
          </w:p>
        </w:tc>
      </w:tr>
      <w:tr w:rsidR="0010310C" w14:paraId="6E5852AF" w14:textId="77777777" w:rsidTr="009E3F5D">
        <w:tc>
          <w:tcPr>
            <w:tcW w:w="10131" w:type="dxa"/>
            <w:gridSpan w:val="8"/>
          </w:tcPr>
          <w:p w14:paraId="4D631CE5" w14:textId="28485590" w:rsidR="0010310C" w:rsidRPr="00A83A36" w:rsidRDefault="0010310C" w:rsidP="0010310C">
            <w:pPr>
              <w:pStyle w:val="SubTitle0"/>
              <w:jc w:val="center"/>
              <w:rPr>
                <w:sz w:val="22"/>
                <w:szCs w:val="22"/>
              </w:rPr>
            </w:pPr>
            <w:r w:rsidRPr="00A83A36">
              <w:rPr>
                <w:sz w:val="22"/>
                <w:szCs w:val="22"/>
              </w:rPr>
              <w:lastRenderedPageBreak/>
              <w:t>2019</w:t>
            </w:r>
          </w:p>
        </w:tc>
      </w:tr>
      <w:tr w:rsidR="00C47D04" w14:paraId="11C43056" w14:textId="77777777" w:rsidTr="009E3F5D">
        <w:trPr>
          <w:gridAfter w:val="1"/>
          <w:wAfter w:w="48" w:type="dxa"/>
        </w:trPr>
        <w:tc>
          <w:tcPr>
            <w:tcW w:w="1560" w:type="dxa"/>
          </w:tcPr>
          <w:p w14:paraId="4D68E714" w14:textId="1198AF41" w:rsidR="00C47D04" w:rsidRPr="00652B0D" w:rsidRDefault="0010310C" w:rsidP="00C47D04">
            <w:r w:rsidRPr="0010310C">
              <w:t>UPNG-ANU research presentation, “Does the PNG government get its fair share from the resource sector?”</w:t>
            </w:r>
          </w:p>
        </w:tc>
        <w:tc>
          <w:tcPr>
            <w:tcW w:w="1701" w:type="dxa"/>
          </w:tcPr>
          <w:p w14:paraId="4C75CC7F" w14:textId="1ABF9DEF" w:rsidR="00C47D04" w:rsidRPr="00652B0D" w:rsidRDefault="0010310C" w:rsidP="00C47D04">
            <w:r w:rsidRPr="0010310C">
              <w:t>Research presentation on PNG Governments share of revenue from resource sector</w:t>
            </w:r>
          </w:p>
        </w:tc>
        <w:tc>
          <w:tcPr>
            <w:tcW w:w="1067" w:type="dxa"/>
          </w:tcPr>
          <w:p w14:paraId="5E3302FF" w14:textId="2314EFD7" w:rsidR="00C47D04" w:rsidRPr="00652B0D" w:rsidRDefault="0010310C" w:rsidP="00C47D04">
            <w:r w:rsidRPr="0010310C">
              <w:t>July 2019</w:t>
            </w:r>
          </w:p>
        </w:tc>
        <w:tc>
          <w:tcPr>
            <w:tcW w:w="1237" w:type="dxa"/>
          </w:tcPr>
          <w:p w14:paraId="6606C8D3" w14:textId="4E741E95" w:rsidR="00C47D04" w:rsidRPr="00652B0D" w:rsidRDefault="0010310C" w:rsidP="00C47D04">
            <w:r w:rsidRPr="0010310C">
              <w:t>Port Moresby</w:t>
            </w:r>
          </w:p>
        </w:tc>
        <w:tc>
          <w:tcPr>
            <w:tcW w:w="1711" w:type="dxa"/>
          </w:tcPr>
          <w:p w14:paraId="2D533ED7" w14:textId="039FF2CB" w:rsidR="00C47D04" w:rsidRPr="00652B0D" w:rsidRDefault="0010310C" w:rsidP="00C47D04">
            <w:r w:rsidRPr="0010310C">
              <w:t>Institute of National Affairs</w:t>
            </w:r>
          </w:p>
        </w:tc>
        <w:tc>
          <w:tcPr>
            <w:tcW w:w="1417" w:type="dxa"/>
          </w:tcPr>
          <w:p w14:paraId="6D9E7F11" w14:textId="2CD7293A" w:rsidR="00C47D04" w:rsidRPr="00652B0D" w:rsidRDefault="0010310C" w:rsidP="00C47D04">
            <w:r w:rsidRPr="0010310C">
              <w:t>General Public</w:t>
            </w:r>
          </w:p>
        </w:tc>
        <w:tc>
          <w:tcPr>
            <w:tcW w:w="1390" w:type="dxa"/>
          </w:tcPr>
          <w:p w14:paraId="747D9B85" w14:textId="5026A59C" w:rsidR="00C47D04" w:rsidRDefault="006F55C9" w:rsidP="00C47D04">
            <w:hyperlink r:id="rId107" w:history="1">
              <w:r w:rsidR="0010310C" w:rsidRPr="0010310C">
                <w:rPr>
                  <w:rStyle w:val="Hyperlink"/>
                </w:rPr>
                <w:t>PNGEITI-2019-Annual-Progress-Report.pdf</w:t>
              </w:r>
            </w:hyperlink>
          </w:p>
        </w:tc>
      </w:tr>
      <w:tr w:rsidR="00C47D04" w14:paraId="2612C79E" w14:textId="77777777" w:rsidTr="009E3F5D">
        <w:trPr>
          <w:gridAfter w:val="1"/>
          <w:wAfter w:w="48" w:type="dxa"/>
        </w:trPr>
        <w:tc>
          <w:tcPr>
            <w:tcW w:w="1560" w:type="dxa"/>
          </w:tcPr>
          <w:p w14:paraId="1386C547" w14:textId="77777777" w:rsidR="0010310C" w:rsidRPr="0010310C" w:rsidRDefault="0010310C" w:rsidP="0010310C">
            <w:r w:rsidRPr="0010310C">
              <w:t>Beneficial Ownership Asia &amp; Pacific Regional Workshop</w:t>
            </w:r>
          </w:p>
          <w:p w14:paraId="2E7EFFD3" w14:textId="77777777" w:rsidR="00C47D04" w:rsidRPr="00652B0D" w:rsidRDefault="00C47D04" w:rsidP="00C47D04"/>
        </w:tc>
        <w:tc>
          <w:tcPr>
            <w:tcW w:w="1701" w:type="dxa"/>
          </w:tcPr>
          <w:p w14:paraId="59291E6A" w14:textId="245D1272" w:rsidR="00C47D04" w:rsidRPr="00652B0D" w:rsidRDefault="0010310C" w:rsidP="00C47D04">
            <w:r w:rsidRPr="0010310C">
              <w:t xml:space="preserve">EITI member countries reports on the progress on how the issue of beneficial ownership is addressed and reported through the EITI process within </w:t>
            </w:r>
            <w:proofErr w:type="spellStart"/>
            <w:r w:rsidRPr="0010310C">
              <w:t>neighbouring</w:t>
            </w:r>
            <w:proofErr w:type="spellEnd"/>
            <w:r w:rsidRPr="0010310C">
              <w:t xml:space="preserve"> countries. </w:t>
            </w:r>
          </w:p>
        </w:tc>
        <w:tc>
          <w:tcPr>
            <w:tcW w:w="1067" w:type="dxa"/>
          </w:tcPr>
          <w:p w14:paraId="19809D67" w14:textId="5429BBB7" w:rsidR="00C47D04" w:rsidRPr="00652B0D" w:rsidRDefault="0010310C" w:rsidP="00C47D04">
            <w:r w:rsidRPr="0010310C">
              <w:t>19</w:t>
            </w:r>
            <w:r w:rsidRPr="0010310C">
              <w:rPr>
                <w:vertAlign w:val="superscript"/>
              </w:rPr>
              <w:t>th</w:t>
            </w:r>
            <w:r w:rsidRPr="0010310C">
              <w:t xml:space="preserve"> -20</w:t>
            </w:r>
            <w:r w:rsidRPr="0010310C">
              <w:rPr>
                <w:vertAlign w:val="superscript"/>
              </w:rPr>
              <w:t>th</w:t>
            </w:r>
            <w:r w:rsidRPr="0010310C">
              <w:t xml:space="preserve"> Mar 2019</w:t>
            </w:r>
          </w:p>
        </w:tc>
        <w:tc>
          <w:tcPr>
            <w:tcW w:w="1237" w:type="dxa"/>
          </w:tcPr>
          <w:p w14:paraId="76234A89" w14:textId="7F039325" w:rsidR="00C47D04" w:rsidRPr="00652B0D" w:rsidRDefault="0010310C" w:rsidP="00C47D04">
            <w:r w:rsidRPr="0010310C">
              <w:t xml:space="preserve">Manila, </w:t>
            </w:r>
            <w:proofErr w:type="spellStart"/>
            <w:r w:rsidRPr="0010310C">
              <w:t>Philipines</w:t>
            </w:r>
            <w:proofErr w:type="spellEnd"/>
          </w:p>
        </w:tc>
        <w:tc>
          <w:tcPr>
            <w:tcW w:w="1711" w:type="dxa"/>
          </w:tcPr>
          <w:p w14:paraId="42EF6CF8" w14:textId="4D3C0DE7" w:rsidR="00C47D04" w:rsidRPr="00652B0D" w:rsidRDefault="0010310C" w:rsidP="00C47D04">
            <w:proofErr w:type="spellStart"/>
            <w:r w:rsidRPr="0010310C">
              <w:t>Internaltional</w:t>
            </w:r>
            <w:proofErr w:type="spellEnd"/>
            <w:r w:rsidRPr="0010310C">
              <w:t xml:space="preserve"> EITI &amp; ADB Institute</w:t>
            </w:r>
          </w:p>
        </w:tc>
        <w:tc>
          <w:tcPr>
            <w:tcW w:w="1417" w:type="dxa"/>
          </w:tcPr>
          <w:p w14:paraId="76344207" w14:textId="555A28DF" w:rsidR="00C47D04" w:rsidRPr="00652B0D" w:rsidRDefault="0010310C" w:rsidP="00C47D04">
            <w:r w:rsidRPr="0010310C">
              <w:t>EITI Member Countries</w:t>
            </w:r>
          </w:p>
        </w:tc>
        <w:tc>
          <w:tcPr>
            <w:tcW w:w="1390" w:type="dxa"/>
          </w:tcPr>
          <w:p w14:paraId="4DD601E0" w14:textId="605036A5" w:rsidR="00C47D04" w:rsidRDefault="006F55C9" w:rsidP="00C47D04">
            <w:hyperlink r:id="rId108" w:history="1">
              <w:r w:rsidR="001D6EBF">
                <w:rPr>
                  <w:rStyle w:val="Hyperlink"/>
                </w:rPr>
                <w:t>2019-Q1-Q2-Newsletter.pdf (pngeiti.org.pg)</w:t>
              </w:r>
            </w:hyperlink>
          </w:p>
        </w:tc>
      </w:tr>
      <w:tr w:rsidR="00C47D04" w14:paraId="3A00E8A2" w14:textId="77777777" w:rsidTr="009E3F5D">
        <w:trPr>
          <w:gridAfter w:val="1"/>
          <w:wAfter w:w="48" w:type="dxa"/>
          <w:trHeight w:val="83"/>
        </w:trPr>
        <w:tc>
          <w:tcPr>
            <w:tcW w:w="1560" w:type="dxa"/>
          </w:tcPr>
          <w:p w14:paraId="3980B8B0" w14:textId="77777777" w:rsidR="00C47D04" w:rsidRPr="00652B0D" w:rsidRDefault="00C47D04" w:rsidP="00C47D04"/>
        </w:tc>
        <w:tc>
          <w:tcPr>
            <w:tcW w:w="1701" w:type="dxa"/>
          </w:tcPr>
          <w:p w14:paraId="1A3A0BEF" w14:textId="77777777" w:rsidR="00C47D04" w:rsidRPr="00652B0D" w:rsidRDefault="00C47D04" w:rsidP="00C47D04"/>
        </w:tc>
        <w:tc>
          <w:tcPr>
            <w:tcW w:w="1067" w:type="dxa"/>
          </w:tcPr>
          <w:p w14:paraId="3FE89B0D" w14:textId="77777777" w:rsidR="00C47D04" w:rsidRPr="00652B0D" w:rsidRDefault="00C47D04" w:rsidP="00C47D04"/>
        </w:tc>
        <w:tc>
          <w:tcPr>
            <w:tcW w:w="1237" w:type="dxa"/>
          </w:tcPr>
          <w:p w14:paraId="599129A6" w14:textId="77777777" w:rsidR="00C47D04" w:rsidRPr="00652B0D" w:rsidRDefault="00C47D04" w:rsidP="00C47D04"/>
        </w:tc>
        <w:tc>
          <w:tcPr>
            <w:tcW w:w="1711" w:type="dxa"/>
          </w:tcPr>
          <w:p w14:paraId="30F79CAC" w14:textId="77777777" w:rsidR="00C47D04" w:rsidRPr="00652B0D" w:rsidRDefault="00C47D04" w:rsidP="00C47D04"/>
        </w:tc>
        <w:tc>
          <w:tcPr>
            <w:tcW w:w="1417" w:type="dxa"/>
          </w:tcPr>
          <w:p w14:paraId="26424462" w14:textId="77777777" w:rsidR="00C47D04" w:rsidRPr="00652B0D" w:rsidRDefault="00C47D04" w:rsidP="00C47D04"/>
        </w:tc>
        <w:tc>
          <w:tcPr>
            <w:tcW w:w="1390" w:type="dxa"/>
          </w:tcPr>
          <w:p w14:paraId="57462B88" w14:textId="77777777" w:rsidR="00C47D04" w:rsidRDefault="00C47D04" w:rsidP="00C47D04"/>
        </w:tc>
      </w:tr>
      <w:tr w:rsidR="00C47D04" w14:paraId="2F5A61AD" w14:textId="77777777" w:rsidTr="009E3F5D">
        <w:trPr>
          <w:gridAfter w:val="1"/>
          <w:wAfter w:w="48" w:type="dxa"/>
        </w:trPr>
        <w:tc>
          <w:tcPr>
            <w:tcW w:w="1560" w:type="dxa"/>
          </w:tcPr>
          <w:p w14:paraId="70C2E8A7" w14:textId="26C0B3AF" w:rsidR="00C47D04" w:rsidRPr="00652B0D" w:rsidRDefault="001D6EBF" w:rsidP="00C47D04">
            <w:r w:rsidRPr="001D6EBF">
              <w:t>Subnational Governance and Reporting in the Extractive Sector</w:t>
            </w:r>
          </w:p>
        </w:tc>
        <w:tc>
          <w:tcPr>
            <w:tcW w:w="1701" w:type="dxa"/>
          </w:tcPr>
          <w:p w14:paraId="00645492" w14:textId="1D62E810" w:rsidR="00C47D04" w:rsidRPr="00652B0D" w:rsidRDefault="001D6EBF" w:rsidP="00C47D04">
            <w:r w:rsidRPr="001D6EBF">
              <w:t xml:space="preserve">To establish linkages to </w:t>
            </w:r>
            <w:proofErr w:type="spellStart"/>
            <w:r w:rsidRPr="001D6EBF">
              <w:t>nationa</w:t>
            </w:r>
            <w:proofErr w:type="spellEnd"/>
            <w:r w:rsidRPr="001D6EBF">
              <w:t xml:space="preserve"> and Provincial reporting so as to ensure transparency and accountability with payments at the provincial and local government</w:t>
            </w:r>
          </w:p>
        </w:tc>
        <w:tc>
          <w:tcPr>
            <w:tcW w:w="1067" w:type="dxa"/>
          </w:tcPr>
          <w:p w14:paraId="240D08EF" w14:textId="7C4B4ED0" w:rsidR="00C47D04" w:rsidRPr="00652B0D" w:rsidRDefault="001D6EBF" w:rsidP="00C47D04">
            <w:r w:rsidRPr="001D6EBF">
              <w:t>3</w:t>
            </w:r>
            <w:r w:rsidRPr="001D6EBF">
              <w:rPr>
                <w:vertAlign w:val="superscript"/>
              </w:rPr>
              <w:t>rd</w:t>
            </w:r>
            <w:r w:rsidRPr="001D6EBF">
              <w:t>-4</w:t>
            </w:r>
            <w:r w:rsidRPr="001D6EBF">
              <w:rPr>
                <w:vertAlign w:val="superscript"/>
              </w:rPr>
              <w:t>th</w:t>
            </w:r>
            <w:r w:rsidRPr="001D6EBF">
              <w:t xml:space="preserve"> June 2019</w:t>
            </w:r>
          </w:p>
        </w:tc>
        <w:tc>
          <w:tcPr>
            <w:tcW w:w="1237" w:type="dxa"/>
          </w:tcPr>
          <w:p w14:paraId="231C6C87" w14:textId="4E2EF54E" w:rsidR="00C47D04" w:rsidRPr="00652B0D" w:rsidRDefault="001D6EBF" w:rsidP="00C47D04">
            <w:r w:rsidRPr="001D6EBF">
              <w:t xml:space="preserve">Port </w:t>
            </w:r>
            <w:proofErr w:type="spellStart"/>
            <w:r w:rsidRPr="001D6EBF">
              <w:t>Morseby</w:t>
            </w:r>
            <w:proofErr w:type="spellEnd"/>
          </w:p>
        </w:tc>
        <w:tc>
          <w:tcPr>
            <w:tcW w:w="1711" w:type="dxa"/>
          </w:tcPr>
          <w:p w14:paraId="147C45A5" w14:textId="39208326" w:rsidR="00C47D04" w:rsidRPr="00652B0D" w:rsidRDefault="00C60A05" w:rsidP="00C47D04">
            <w:r>
              <w:t>PNGEITI</w:t>
            </w:r>
            <w:r w:rsidR="001D6EBF" w:rsidRPr="001D6EBF">
              <w:t xml:space="preserve"> &amp; Pacific Leadership and Governance Precinct (PLGP)</w:t>
            </w:r>
          </w:p>
        </w:tc>
        <w:tc>
          <w:tcPr>
            <w:tcW w:w="1417" w:type="dxa"/>
          </w:tcPr>
          <w:p w14:paraId="7E88932B" w14:textId="7036F8AE" w:rsidR="00C47D04" w:rsidRPr="00652B0D" w:rsidRDefault="001D6EBF" w:rsidP="00C47D04">
            <w:r w:rsidRPr="001D6EBF">
              <w:t xml:space="preserve">National and </w:t>
            </w:r>
            <w:proofErr w:type="spellStart"/>
            <w:r w:rsidRPr="001D6EBF">
              <w:t>Provincail</w:t>
            </w:r>
            <w:proofErr w:type="spellEnd"/>
            <w:r w:rsidRPr="001D6EBF">
              <w:t xml:space="preserve"> Stakeholders</w:t>
            </w:r>
          </w:p>
        </w:tc>
        <w:tc>
          <w:tcPr>
            <w:tcW w:w="1390" w:type="dxa"/>
          </w:tcPr>
          <w:p w14:paraId="5882DCB8" w14:textId="58BFF582" w:rsidR="00C47D04" w:rsidRDefault="006F55C9" w:rsidP="00C47D04">
            <w:hyperlink r:id="rId109" w:history="1">
              <w:r w:rsidR="001D6EBF" w:rsidRPr="001D6EBF">
                <w:rPr>
                  <w:rStyle w:val="Hyperlink"/>
                </w:rPr>
                <w:t>2019-Q1-Q2-Newsletter.pdf (pngeiti.org.pg)</w:t>
              </w:r>
            </w:hyperlink>
          </w:p>
        </w:tc>
      </w:tr>
      <w:tr w:rsidR="00C47D04" w14:paraId="6212EA38" w14:textId="77777777" w:rsidTr="009E3F5D">
        <w:trPr>
          <w:gridAfter w:val="1"/>
          <w:wAfter w:w="48" w:type="dxa"/>
        </w:trPr>
        <w:tc>
          <w:tcPr>
            <w:tcW w:w="1560" w:type="dxa"/>
          </w:tcPr>
          <w:p w14:paraId="3961F3BA" w14:textId="5DEA2052" w:rsidR="00C47D04" w:rsidRPr="00652B0D" w:rsidRDefault="001D6EBF" w:rsidP="00C47D04">
            <w:r w:rsidRPr="001D6EBF">
              <w:t xml:space="preserve">Papua New Guinea State of </w:t>
            </w:r>
            <w:r w:rsidRPr="001D6EBF">
              <w:lastRenderedPageBreak/>
              <w:t xml:space="preserve">Environment (PNG 2019 </w:t>
            </w:r>
            <w:proofErr w:type="spellStart"/>
            <w:r w:rsidRPr="001D6EBF">
              <w:t>SoE</w:t>
            </w:r>
            <w:proofErr w:type="spellEnd"/>
            <w:r w:rsidRPr="001D6EBF">
              <w:t xml:space="preserve">) </w:t>
            </w:r>
            <w:proofErr w:type="spellStart"/>
            <w:r w:rsidRPr="001D6EBF">
              <w:t>Reort</w:t>
            </w:r>
            <w:proofErr w:type="spellEnd"/>
            <w:r w:rsidRPr="001D6EBF">
              <w:t xml:space="preserve"> Pre-Workshop</w:t>
            </w:r>
          </w:p>
        </w:tc>
        <w:tc>
          <w:tcPr>
            <w:tcW w:w="1701" w:type="dxa"/>
          </w:tcPr>
          <w:p w14:paraId="7DD00427" w14:textId="1E955064" w:rsidR="00C47D04" w:rsidRPr="00652B0D" w:rsidRDefault="001D6EBF" w:rsidP="00C47D04">
            <w:r w:rsidRPr="001D6EBF">
              <w:lastRenderedPageBreak/>
              <w:t xml:space="preserve">Provide best available information on </w:t>
            </w:r>
            <w:r w:rsidRPr="001D6EBF">
              <w:lastRenderedPageBreak/>
              <w:t>current state of Papua New Guinea Environment as the basis for effective environmental management, planning, and reporting.</w:t>
            </w:r>
          </w:p>
        </w:tc>
        <w:tc>
          <w:tcPr>
            <w:tcW w:w="1067" w:type="dxa"/>
          </w:tcPr>
          <w:p w14:paraId="303C475A" w14:textId="633BC347" w:rsidR="00C47D04" w:rsidRPr="00652B0D" w:rsidRDefault="001D6EBF" w:rsidP="00C47D04">
            <w:r w:rsidRPr="001D6EBF">
              <w:lastRenderedPageBreak/>
              <w:t>11</w:t>
            </w:r>
            <w:r w:rsidRPr="001D6EBF">
              <w:rPr>
                <w:vertAlign w:val="superscript"/>
              </w:rPr>
              <w:t>th</w:t>
            </w:r>
            <w:r w:rsidRPr="001D6EBF">
              <w:t xml:space="preserve"> July 2019</w:t>
            </w:r>
          </w:p>
        </w:tc>
        <w:tc>
          <w:tcPr>
            <w:tcW w:w="1237" w:type="dxa"/>
          </w:tcPr>
          <w:p w14:paraId="138A12DA" w14:textId="3BD51DDA" w:rsidR="00C47D04" w:rsidRPr="00652B0D" w:rsidRDefault="001D6EBF" w:rsidP="00C47D04">
            <w:r w:rsidRPr="001D6EBF">
              <w:t>Port Moresby</w:t>
            </w:r>
          </w:p>
        </w:tc>
        <w:tc>
          <w:tcPr>
            <w:tcW w:w="1711" w:type="dxa"/>
          </w:tcPr>
          <w:p w14:paraId="3301EFCA" w14:textId="2F542E69" w:rsidR="00C47D04" w:rsidRPr="00652B0D" w:rsidRDefault="00C60A05" w:rsidP="00C47D04">
            <w:r>
              <w:t>PNGEITI</w:t>
            </w:r>
            <w:r w:rsidR="001D6EBF" w:rsidRPr="001D6EBF">
              <w:t xml:space="preserve"> Head of the National Secretariat &amp; </w:t>
            </w:r>
            <w:proofErr w:type="spellStart"/>
            <w:r w:rsidR="001D6EBF" w:rsidRPr="001D6EBF">
              <w:lastRenderedPageBreak/>
              <w:t>Conservationa</w:t>
            </w:r>
            <w:proofErr w:type="spellEnd"/>
            <w:r w:rsidR="001D6EBF" w:rsidRPr="001D6EBF">
              <w:t xml:space="preserve"> &amp; Environment Protection Authority (CEPA)</w:t>
            </w:r>
          </w:p>
        </w:tc>
        <w:tc>
          <w:tcPr>
            <w:tcW w:w="1417" w:type="dxa"/>
          </w:tcPr>
          <w:p w14:paraId="6C58F3DE" w14:textId="791196F5" w:rsidR="00C47D04" w:rsidRPr="00652B0D" w:rsidRDefault="001D6EBF" w:rsidP="00C47D04">
            <w:r w:rsidRPr="001D6EBF">
              <w:lastRenderedPageBreak/>
              <w:t xml:space="preserve">Government Stakeholders, Industry </w:t>
            </w:r>
            <w:r w:rsidRPr="001D6EBF">
              <w:lastRenderedPageBreak/>
              <w:t>and Civil Society</w:t>
            </w:r>
          </w:p>
        </w:tc>
        <w:tc>
          <w:tcPr>
            <w:tcW w:w="1390" w:type="dxa"/>
          </w:tcPr>
          <w:p w14:paraId="2B908389" w14:textId="3A108530" w:rsidR="00C47D04" w:rsidRDefault="006F55C9" w:rsidP="00C47D04">
            <w:hyperlink r:id="rId110" w:history="1">
              <w:r w:rsidR="001D6EBF">
                <w:rPr>
                  <w:rStyle w:val="Hyperlink"/>
                </w:rPr>
                <w:t>2019-Q1-Q2-Newsletter.p</w:t>
              </w:r>
              <w:r w:rsidR="001D6EBF">
                <w:rPr>
                  <w:rStyle w:val="Hyperlink"/>
                </w:rPr>
                <w:lastRenderedPageBreak/>
                <w:t>df (pngeiti.org.pg)</w:t>
              </w:r>
            </w:hyperlink>
          </w:p>
        </w:tc>
      </w:tr>
      <w:tr w:rsidR="00C47D04" w14:paraId="2A4C655A" w14:textId="77777777" w:rsidTr="009E3F5D">
        <w:trPr>
          <w:gridAfter w:val="1"/>
          <w:wAfter w:w="48" w:type="dxa"/>
        </w:trPr>
        <w:tc>
          <w:tcPr>
            <w:tcW w:w="1560" w:type="dxa"/>
          </w:tcPr>
          <w:p w14:paraId="0AB0632E" w14:textId="3FE1F3A1" w:rsidR="00C47D04" w:rsidRPr="00652B0D" w:rsidRDefault="00714709" w:rsidP="00C47D04">
            <w:r w:rsidRPr="00714709">
              <w:lastRenderedPageBreak/>
              <w:t>Organizational Culture in a Digital Age-CPA PNG Annual Conference 2019</w:t>
            </w:r>
          </w:p>
        </w:tc>
        <w:tc>
          <w:tcPr>
            <w:tcW w:w="1701" w:type="dxa"/>
          </w:tcPr>
          <w:p w14:paraId="2BD9805A" w14:textId="58030ED2" w:rsidR="00C47D04" w:rsidRPr="00652B0D" w:rsidRDefault="00714709" w:rsidP="00C47D04">
            <w:r w:rsidRPr="00714709">
              <w:t>Present a talk about the future of digital online reporting for EITI in PNG to ensure greater efficiency in reporting from stakeholders</w:t>
            </w:r>
          </w:p>
        </w:tc>
        <w:tc>
          <w:tcPr>
            <w:tcW w:w="1067" w:type="dxa"/>
          </w:tcPr>
          <w:p w14:paraId="521DCFB7" w14:textId="773351A7" w:rsidR="00C47D04" w:rsidRPr="00652B0D" w:rsidRDefault="00714709" w:rsidP="00C47D04">
            <w:r w:rsidRPr="00714709">
              <w:t>Aug 2019</w:t>
            </w:r>
          </w:p>
        </w:tc>
        <w:tc>
          <w:tcPr>
            <w:tcW w:w="1237" w:type="dxa"/>
          </w:tcPr>
          <w:p w14:paraId="5CB68335" w14:textId="61064331" w:rsidR="00C47D04" w:rsidRPr="00652B0D" w:rsidRDefault="00714709" w:rsidP="00C47D04">
            <w:r w:rsidRPr="00CB73FD">
              <w:t>Lae, Morobe</w:t>
            </w:r>
          </w:p>
        </w:tc>
        <w:tc>
          <w:tcPr>
            <w:tcW w:w="1711" w:type="dxa"/>
          </w:tcPr>
          <w:p w14:paraId="60D47F63" w14:textId="4B85314F" w:rsidR="00C47D04" w:rsidRPr="00652B0D" w:rsidRDefault="00714709" w:rsidP="00C47D04">
            <w:r w:rsidRPr="00CB73FD">
              <w:t xml:space="preserve">CPA PNG &amp; </w:t>
            </w:r>
            <w:r w:rsidR="00C60A05">
              <w:t>PNGEITI</w:t>
            </w:r>
            <w:r w:rsidRPr="00CB73FD">
              <w:t xml:space="preserve"> Deputy Head of Secretariat Christopher Tabel</w:t>
            </w:r>
          </w:p>
        </w:tc>
        <w:tc>
          <w:tcPr>
            <w:tcW w:w="1417" w:type="dxa"/>
          </w:tcPr>
          <w:p w14:paraId="5327F1D3" w14:textId="04E5B9F1" w:rsidR="00C47D04" w:rsidRPr="00652B0D" w:rsidRDefault="00714709" w:rsidP="00C47D04">
            <w:r w:rsidRPr="00CB73FD">
              <w:t>CPA members, Accountants,</w:t>
            </w:r>
          </w:p>
        </w:tc>
        <w:tc>
          <w:tcPr>
            <w:tcW w:w="1390" w:type="dxa"/>
          </w:tcPr>
          <w:p w14:paraId="3E7504F8" w14:textId="1079E1D0" w:rsidR="00C47D04" w:rsidRDefault="006F55C9" w:rsidP="00C47D04">
            <w:hyperlink r:id="rId111" w:history="1">
              <w:r w:rsidR="00714709">
                <w:rPr>
                  <w:rStyle w:val="Hyperlink"/>
                </w:rPr>
                <w:t>2019-Q3-Q4-Newsletter.pdf (pngeiti.org.pg)</w:t>
              </w:r>
            </w:hyperlink>
          </w:p>
        </w:tc>
      </w:tr>
      <w:tr w:rsidR="00C47D04" w14:paraId="166C3BE0" w14:textId="77777777" w:rsidTr="009E3F5D">
        <w:trPr>
          <w:gridAfter w:val="1"/>
          <w:wAfter w:w="48" w:type="dxa"/>
        </w:trPr>
        <w:tc>
          <w:tcPr>
            <w:tcW w:w="1560" w:type="dxa"/>
          </w:tcPr>
          <w:p w14:paraId="4FD8FD91" w14:textId="4FC18242" w:rsidR="00C47D04" w:rsidRPr="00652B0D" w:rsidRDefault="00714709" w:rsidP="00C47D04">
            <w:r w:rsidRPr="00714709">
              <w:t xml:space="preserve">Please refer to </w:t>
            </w:r>
            <w:r w:rsidR="00C60A05">
              <w:t>PNGEITI</w:t>
            </w:r>
            <w:r w:rsidRPr="00714709">
              <w:t xml:space="preserve"> Annual Progress Report 2019 Summary of Stakeholder Engagements </w:t>
            </w:r>
            <w:proofErr w:type="gramStart"/>
            <w:r w:rsidRPr="00714709">
              <w:t>and  Outreach</w:t>
            </w:r>
            <w:proofErr w:type="gramEnd"/>
            <w:r w:rsidRPr="00714709">
              <w:t xml:space="preserve"> Activities in 2019 (pp.12) </w:t>
            </w:r>
          </w:p>
        </w:tc>
        <w:tc>
          <w:tcPr>
            <w:tcW w:w="1701" w:type="dxa"/>
          </w:tcPr>
          <w:p w14:paraId="528495A4" w14:textId="045E193C" w:rsidR="00C47D04" w:rsidRPr="00652B0D" w:rsidRDefault="00E61806" w:rsidP="00C47D04">
            <w:r>
              <w:rPr>
                <w:rStyle w:val="normaltextrun"/>
                <w:color w:val="000000"/>
                <w:szCs w:val="22"/>
                <w:shd w:val="clear" w:color="auto" w:fill="FFFFFF"/>
              </w:rPr>
              <w:t>Feb 2020</w:t>
            </w:r>
            <w:r>
              <w:rPr>
                <w:rStyle w:val="eop"/>
                <w:color w:val="000000"/>
                <w:shd w:val="clear" w:color="auto" w:fill="FFFFFF"/>
              </w:rPr>
              <w:t> </w:t>
            </w:r>
          </w:p>
        </w:tc>
        <w:tc>
          <w:tcPr>
            <w:tcW w:w="1067" w:type="dxa"/>
          </w:tcPr>
          <w:p w14:paraId="436D98FB" w14:textId="6D1B4729" w:rsidR="00C47D04" w:rsidRPr="00652B0D" w:rsidRDefault="00E61806" w:rsidP="00C47D04">
            <w:proofErr w:type="spellStart"/>
            <w:r>
              <w:rPr>
                <w:rStyle w:val="normaltextrun"/>
                <w:color w:val="000000"/>
                <w:szCs w:val="22"/>
              </w:rPr>
              <w:t>Kerema</w:t>
            </w:r>
            <w:proofErr w:type="spellEnd"/>
            <w:r>
              <w:rPr>
                <w:rStyle w:val="normaltextrun"/>
                <w:color w:val="000000"/>
                <w:szCs w:val="22"/>
              </w:rPr>
              <w:t xml:space="preserve"> Gulf Province</w:t>
            </w:r>
            <w:r>
              <w:rPr>
                <w:rStyle w:val="eop"/>
                <w:color w:val="000000"/>
              </w:rPr>
              <w:t> </w:t>
            </w:r>
          </w:p>
        </w:tc>
        <w:tc>
          <w:tcPr>
            <w:tcW w:w="1237" w:type="dxa"/>
          </w:tcPr>
          <w:p w14:paraId="5E92BE4E" w14:textId="4DAF00A8" w:rsidR="00C47D04" w:rsidRPr="00652B0D" w:rsidRDefault="00C60A05" w:rsidP="00C47D04">
            <w:r>
              <w:rPr>
                <w:rStyle w:val="normaltextrun"/>
                <w:color w:val="000000"/>
                <w:szCs w:val="22"/>
              </w:rPr>
              <w:t>PNGEITI</w:t>
            </w:r>
            <w:r w:rsidR="00E61806">
              <w:rPr>
                <w:rStyle w:val="normaltextrun"/>
                <w:color w:val="000000"/>
                <w:szCs w:val="22"/>
              </w:rPr>
              <w:t xml:space="preserve"> National Secretariat and JICA</w:t>
            </w:r>
            <w:r w:rsidR="00E61806">
              <w:rPr>
                <w:rStyle w:val="eop"/>
                <w:color w:val="000000"/>
              </w:rPr>
              <w:t> </w:t>
            </w:r>
          </w:p>
        </w:tc>
        <w:tc>
          <w:tcPr>
            <w:tcW w:w="1711" w:type="dxa"/>
          </w:tcPr>
          <w:p w14:paraId="3E9BB078" w14:textId="630B44CC" w:rsidR="00C47D04" w:rsidRPr="00652B0D" w:rsidRDefault="00E61806" w:rsidP="00C47D04">
            <w:r>
              <w:rPr>
                <w:rStyle w:val="normaltextrun"/>
                <w:color w:val="000000"/>
                <w:szCs w:val="22"/>
                <w:shd w:val="clear" w:color="auto" w:fill="FFFFFF"/>
              </w:rPr>
              <w:t>Gulf Provincial government staff</w:t>
            </w:r>
            <w:r>
              <w:rPr>
                <w:rStyle w:val="eop"/>
                <w:color w:val="000000"/>
                <w:shd w:val="clear" w:color="auto" w:fill="FFFFFF"/>
              </w:rPr>
              <w:t> </w:t>
            </w:r>
          </w:p>
        </w:tc>
        <w:tc>
          <w:tcPr>
            <w:tcW w:w="1417" w:type="dxa"/>
          </w:tcPr>
          <w:p w14:paraId="75CDC847" w14:textId="77777777" w:rsidR="00C47D04" w:rsidRPr="00652B0D" w:rsidRDefault="00C47D04" w:rsidP="00C47D04"/>
        </w:tc>
        <w:tc>
          <w:tcPr>
            <w:tcW w:w="1390" w:type="dxa"/>
          </w:tcPr>
          <w:p w14:paraId="72894014" w14:textId="3339599B" w:rsidR="00C47D04" w:rsidRDefault="006F55C9" w:rsidP="00C47D04">
            <w:hyperlink r:id="rId112" w:history="1">
              <w:r w:rsidR="00714709">
                <w:rPr>
                  <w:rStyle w:val="Hyperlink"/>
                </w:rPr>
                <w:t>PNGEITI-2019-Annual-Progress-Report.pdf</w:t>
              </w:r>
            </w:hyperlink>
          </w:p>
        </w:tc>
      </w:tr>
      <w:tr w:rsidR="00714709" w14:paraId="30088586" w14:textId="77777777" w:rsidTr="009E3F5D">
        <w:tc>
          <w:tcPr>
            <w:tcW w:w="10131" w:type="dxa"/>
            <w:gridSpan w:val="8"/>
          </w:tcPr>
          <w:p w14:paraId="748BBE18" w14:textId="0E8C54EB" w:rsidR="00714709" w:rsidRPr="00A83A36" w:rsidRDefault="00714709" w:rsidP="00714709">
            <w:pPr>
              <w:pStyle w:val="SubTitle0"/>
              <w:jc w:val="center"/>
              <w:rPr>
                <w:sz w:val="22"/>
                <w:szCs w:val="22"/>
              </w:rPr>
            </w:pPr>
            <w:r w:rsidRPr="00A83A36">
              <w:rPr>
                <w:sz w:val="22"/>
                <w:szCs w:val="22"/>
              </w:rPr>
              <w:t>2020</w:t>
            </w:r>
          </w:p>
        </w:tc>
      </w:tr>
      <w:tr w:rsidR="00C47D04" w14:paraId="68DBF346" w14:textId="77777777" w:rsidTr="009E3F5D">
        <w:trPr>
          <w:gridAfter w:val="1"/>
          <w:wAfter w:w="48" w:type="dxa"/>
        </w:trPr>
        <w:tc>
          <w:tcPr>
            <w:tcW w:w="1560" w:type="dxa"/>
          </w:tcPr>
          <w:p w14:paraId="51F7213F" w14:textId="57A0222B" w:rsidR="00C47D04" w:rsidRPr="00652B0D" w:rsidRDefault="00714709" w:rsidP="00C47D04">
            <w:r>
              <w:rPr>
                <w:rStyle w:val="normaltextrun"/>
                <w:color w:val="000000"/>
                <w:szCs w:val="22"/>
                <w:shd w:val="clear" w:color="auto" w:fill="FFFFFF"/>
              </w:rPr>
              <w:t>Media Workshop</w:t>
            </w:r>
            <w:r>
              <w:rPr>
                <w:rStyle w:val="eop"/>
                <w:color w:val="000000"/>
                <w:shd w:val="clear" w:color="auto" w:fill="FFFFFF"/>
              </w:rPr>
              <w:t> </w:t>
            </w:r>
          </w:p>
        </w:tc>
        <w:tc>
          <w:tcPr>
            <w:tcW w:w="1701" w:type="dxa"/>
          </w:tcPr>
          <w:p w14:paraId="10C3573D" w14:textId="48598A37" w:rsidR="00C47D04" w:rsidRPr="00652B0D" w:rsidRDefault="00714709" w:rsidP="00C47D04">
            <w:r>
              <w:rPr>
                <w:rStyle w:val="normaltextrun"/>
                <w:color w:val="000000"/>
                <w:shd w:val="clear" w:color="auto" w:fill="FFFFFF"/>
              </w:rPr>
              <w:t xml:space="preserve">Objective was to talk to different media organisations about the information contained in the 2018 EIT Report and emphasize the importance of the general </w:t>
            </w:r>
            <w:r>
              <w:rPr>
                <w:rStyle w:val="normaltextrun"/>
                <w:color w:val="000000"/>
                <w:shd w:val="clear" w:color="auto" w:fill="FFFFFF"/>
              </w:rPr>
              <w:lastRenderedPageBreak/>
              <w:t>public understanding data and information in the report</w:t>
            </w:r>
          </w:p>
        </w:tc>
        <w:tc>
          <w:tcPr>
            <w:tcW w:w="1067" w:type="dxa"/>
          </w:tcPr>
          <w:p w14:paraId="30F68179" w14:textId="20F8A9A0" w:rsidR="00C47D04" w:rsidRPr="00652B0D" w:rsidRDefault="00714709" w:rsidP="00C47D04">
            <w:r>
              <w:rPr>
                <w:rStyle w:val="normaltextrun"/>
                <w:color w:val="000000"/>
                <w:szCs w:val="22"/>
                <w:shd w:val="clear" w:color="auto" w:fill="FFFFFF"/>
              </w:rPr>
              <w:lastRenderedPageBreak/>
              <w:t>Jan 2020</w:t>
            </w:r>
            <w:r>
              <w:rPr>
                <w:rStyle w:val="eop"/>
                <w:color w:val="000000"/>
                <w:shd w:val="clear" w:color="auto" w:fill="FFFFFF"/>
              </w:rPr>
              <w:t> </w:t>
            </w:r>
          </w:p>
        </w:tc>
        <w:tc>
          <w:tcPr>
            <w:tcW w:w="1237" w:type="dxa"/>
          </w:tcPr>
          <w:p w14:paraId="7BD1CF47" w14:textId="0532F319" w:rsidR="00C47D04" w:rsidRPr="00652B0D" w:rsidRDefault="00714709" w:rsidP="00C47D04">
            <w:r>
              <w:rPr>
                <w:rStyle w:val="normaltextrun"/>
                <w:color w:val="000000"/>
                <w:szCs w:val="22"/>
                <w:bdr w:val="none" w:sz="0" w:space="0" w:color="auto" w:frame="1"/>
              </w:rPr>
              <w:t>Port Moresby</w:t>
            </w:r>
          </w:p>
        </w:tc>
        <w:tc>
          <w:tcPr>
            <w:tcW w:w="1711" w:type="dxa"/>
          </w:tcPr>
          <w:p w14:paraId="3B09CC35" w14:textId="4DB90F56" w:rsidR="00C47D04" w:rsidRPr="00652B0D" w:rsidRDefault="00C60A05" w:rsidP="00C47D04">
            <w:r>
              <w:rPr>
                <w:rStyle w:val="normaltextrun"/>
                <w:color w:val="000000"/>
                <w:szCs w:val="22"/>
              </w:rPr>
              <w:t>PNGEITI</w:t>
            </w:r>
            <w:r w:rsidR="00714709">
              <w:rPr>
                <w:rStyle w:val="normaltextrun"/>
                <w:color w:val="000000"/>
                <w:szCs w:val="22"/>
              </w:rPr>
              <w:t xml:space="preserve"> National Secretariat &amp; MSG</w:t>
            </w:r>
            <w:r w:rsidR="00714709">
              <w:rPr>
                <w:rStyle w:val="eop"/>
                <w:color w:val="000000"/>
              </w:rPr>
              <w:t> </w:t>
            </w:r>
          </w:p>
        </w:tc>
        <w:tc>
          <w:tcPr>
            <w:tcW w:w="1417" w:type="dxa"/>
          </w:tcPr>
          <w:p w14:paraId="01EBD903" w14:textId="09BE43E8" w:rsidR="00C47D04" w:rsidRPr="00652B0D" w:rsidRDefault="00714709" w:rsidP="00C47D04">
            <w:r>
              <w:rPr>
                <w:rStyle w:val="normaltextrun"/>
                <w:color w:val="000000"/>
                <w:szCs w:val="22"/>
              </w:rPr>
              <w:t>All media organizations’ staff</w:t>
            </w:r>
            <w:r>
              <w:rPr>
                <w:rStyle w:val="eop"/>
                <w:color w:val="000000"/>
              </w:rPr>
              <w:t> </w:t>
            </w:r>
          </w:p>
        </w:tc>
        <w:tc>
          <w:tcPr>
            <w:tcW w:w="1390" w:type="dxa"/>
          </w:tcPr>
          <w:p w14:paraId="4FF0EDB4" w14:textId="44F43DEA" w:rsidR="00C47D04" w:rsidRDefault="006F55C9" w:rsidP="00C47D04">
            <w:hyperlink r:id="rId113" w:history="1">
              <w:proofErr w:type="spellStart"/>
              <w:r w:rsidR="00E61806">
                <w:rPr>
                  <w:rStyle w:val="Hyperlink"/>
                </w:rPr>
                <w:t>EiTi</w:t>
              </w:r>
              <w:proofErr w:type="spellEnd"/>
              <w:r w:rsidR="00E61806">
                <w:rPr>
                  <w:rStyle w:val="Hyperlink"/>
                </w:rPr>
                <w:t xml:space="preserve"> Progress Annual Report_2020 (pngeiti.org.pg)</w:t>
              </w:r>
            </w:hyperlink>
          </w:p>
        </w:tc>
      </w:tr>
      <w:tr w:rsidR="00C47D04" w14:paraId="31B8B54A" w14:textId="77777777" w:rsidTr="009E3F5D">
        <w:trPr>
          <w:gridAfter w:val="1"/>
          <w:wAfter w:w="48" w:type="dxa"/>
        </w:trPr>
        <w:tc>
          <w:tcPr>
            <w:tcW w:w="1560" w:type="dxa"/>
          </w:tcPr>
          <w:p w14:paraId="5910AFF3" w14:textId="2A3D38A3" w:rsidR="00C47D04" w:rsidRPr="00652B0D" w:rsidRDefault="00E61806" w:rsidP="00C47D04">
            <w:r w:rsidRPr="00E61806">
              <w:t>Validation Technical Working Group (TWG) Second Workshop </w:t>
            </w:r>
          </w:p>
        </w:tc>
        <w:tc>
          <w:tcPr>
            <w:tcW w:w="1701" w:type="dxa"/>
          </w:tcPr>
          <w:p w14:paraId="703AF037" w14:textId="1D45B0A0" w:rsidR="00C47D04" w:rsidRPr="00652B0D" w:rsidRDefault="00E61806" w:rsidP="00C47D04">
            <w:r w:rsidRPr="00E61806">
              <w:t>This workshop took place to see the progress and achievement so far in preparation for the second country validation to take place. </w:t>
            </w:r>
          </w:p>
        </w:tc>
        <w:tc>
          <w:tcPr>
            <w:tcW w:w="1067" w:type="dxa"/>
          </w:tcPr>
          <w:p w14:paraId="201E6040" w14:textId="5007D370" w:rsidR="00C47D04" w:rsidRPr="00652B0D" w:rsidRDefault="00E61806" w:rsidP="00C47D04">
            <w:r w:rsidRPr="00E61806">
              <w:t>Feb 2020 </w:t>
            </w:r>
          </w:p>
        </w:tc>
        <w:tc>
          <w:tcPr>
            <w:tcW w:w="1237" w:type="dxa"/>
          </w:tcPr>
          <w:p w14:paraId="485F2AE0" w14:textId="3893CA1B" w:rsidR="00C47D04" w:rsidRPr="00652B0D" w:rsidRDefault="00E61806" w:rsidP="00C47D04">
            <w:r w:rsidRPr="00E61806">
              <w:t>Port Moresby</w:t>
            </w:r>
          </w:p>
        </w:tc>
        <w:tc>
          <w:tcPr>
            <w:tcW w:w="1711" w:type="dxa"/>
          </w:tcPr>
          <w:p w14:paraId="05FCB2FD" w14:textId="4F8E3C12" w:rsidR="00C47D04" w:rsidRPr="00652B0D" w:rsidRDefault="00C60A05" w:rsidP="00C47D04">
            <w:r>
              <w:t>PNGEITI</w:t>
            </w:r>
            <w:r w:rsidR="00E61806" w:rsidRPr="00E61806">
              <w:t xml:space="preserve"> National Secretariat and TWG Validation Team </w:t>
            </w:r>
          </w:p>
        </w:tc>
        <w:tc>
          <w:tcPr>
            <w:tcW w:w="1417" w:type="dxa"/>
          </w:tcPr>
          <w:p w14:paraId="4A6B3EB2" w14:textId="1FDBAA2C" w:rsidR="00C47D04" w:rsidRPr="00652B0D" w:rsidRDefault="00E61806" w:rsidP="00C47D04">
            <w:r w:rsidRPr="00E61806">
              <w:t>TWG members </w:t>
            </w:r>
          </w:p>
        </w:tc>
        <w:tc>
          <w:tcPr>
            <w:tcW w:w="1390" w:type="dxa"/>
          </w:tcPr>
          <w:p w14:paraId="0F5101A4" w14:textId="16F05605" w:rsidR="00C47D04" w:rsidRDefault="006F55C9" w:rsidP="00C47D04">
            <w:hyperlink r:id="rId114" w:tgtFrame="_blank" w:history="1">
              <w:proofErr w:type="spellStart"/>
              <w:r w:rsidR="00E61806">
                <w:rPr>
                  <w:rStyle w:val="normaltextrun"/>
                  <w:rFonts w:cs="Segoe UI"/>
                  <w:color w:val="0000FF"/>
                  <w:szCs w:val="22"/>
                  <w:u w:val="single"/>
                </w:rPr>
                <w:t>EiTi</w:t>
              </w:r>
              <w:proofErr w:type="spellEnd"/>
              <w:r w:rsidR="00E61806">
                <w:rPr>
                  <w:rStyle w:val="normaltextrun"/>
                  <w:rFonts w:cs="Segoe UI"/>
                  <w:color w:val="0000FF"/>
                  <w:szCs w:val="22"/>
                  <w:u w:val="single"/>
                </w:rPr>
                <w:t xml:space="preserve"> Progress Annual Report_2020 (pngeiti.org.pg)</w:t>
              </w:r>
            </w:hyperlink>
            <w:r w:rsidR="00E61806">
              <w:rPr>
                <w:rStyle w:val="eop"/>
                <w:color w:val="000000"/>
                <w:szCs w:val="22"/>
              </w:rPr>
              <w:t> </w:t>
            </w:r>
          </w:p>
        </w:tc>
      </w:tr>
      <w:tr w:rsidR="00C47D04" w14:paraId="292BE578" w14:textId="77777777" w:rsidTr="009E3F5D">
        <w:trPr>
          <w:gridAfter w:val="1"/>
          <w:wAfter w:w="48" w:type="dxa"/>
        </w:trPr>
        <w:tc>
          <w:tcPr>
            <w:tcW w:w="1560" w:type="dxa"/>
          </w:tcPr>
          <w:p w14:paraId="160FA104" w14:textId="1EF9250E" w:rsidR="00C47D04" w:rsidRPr="00652B0D" w:rsidRDefault="00E61806" w:rsidP="00C47D04">
            <w:r>
              <w:rPr>
                <w:rStyle w:val="normaltextrun"/>
                <w:color w:val="000000"/>
                <w:shd w:val="clear" w:color="auto" w:fill="FFFFFF"/>
              </w:rPr>
              <w:t>Scoping awareness</w:t>
            </w:r>
          </w:p>
        </w:tc>
        <w:tc>
          <w:tcPr>
            <w:tcW w:w="1701" w:type="dxa"/>
          </w:tcPr>
          <w:p w14:paraId="70A0D4B7" w14:textId="040CFF1C" w:rsidR="00C47D04" w:rsidRPr="00652B0D" w:rsidRDefault="00E61806" w:rsidP="00C47D04">
            <w:r>
              <w:rPr>
                <w:rStyle w:val="normaltextrun"/>
                <w:color w:val="000000"/>
                <w:szCs w:val="22"/>
              </w:rPr>
              <w:t>Objective of awareness was to improve resource related revenue management in PNG </w:t>
            </w:r>
            <w:r>
              <w:rPr>
                <w:rStyle w:val="eop"/>
                <w:color w:val="000000"/>
              </w:rPr>
              <w:t> </w:t>
            </w:r>
          </w:p>
        </w:tc>
        <w:tc>
          <w:tcPr>
            <w:tcW w:w="1067" w:type="dxa"/>
          </w:tcPr>
          <w:p w14:paraId="650D6E82" w14:textId="6732B287" w:rsidR="00C47D04" w:rsidRPr="00652B0D" w:rsidRDefault="009E3F5D" w:rsidP="00C47D04">
            <w:r>
              <w:rPr>
                <w:rStyle w:val="normaltextrun"/>
                <w:color w:val="000000"/>
                <w:szCs w:val="22"/>
                <w:bdr w:val="none" w:sz="0" w:space="0" w:color="auto" w:frame="1"/>
              </w:rPr>
              <w:t>Feb 2020</w:t>
            </w:r>
          </w:p>
        </w:tc>
        <w:tc>
          <w:tcPr>
            <w:tcW w:w="1237" w:type="dxa"/>
          </w:tcPr>
          <w:p w14:paraId="4F555F25" w14:textId="7DB1E60A" w:rsidR="00C47D04" w:rsidRPr="00652B0D" w:rsidRDefault="009E3F5D" w:rsidP="00C47D04">
            <w:proofErr w:type="spellStart"/>
            <w:r w:rsidRPr="009E3F5D">
              <w:t>Kerema</w:t>
            </w:r>
            <w:proofErr w:type="spellEnd"/>
            <w:r w:rsidRPr="009E3F5D">
              <w:t xml:space="preserve"> Gulf Province </w:t>
            </w:r>
          </w:p>
        </w:tc>
        <w:tc>
          <w:tcPr>
            <w:tcW w:w="1711" w:type="dxa"/>
          </w:tcPr>
          <w:p w14:paraId="192FFA31" w14:textId="1EA3529C" w:rsidR="00C47D04" w:rsidRPr="00652B0D" w:rsidRDefault="00C60A05" w:rsidP="00C47D04">
            <w:r>
              <w:t>PNGEITI</w:t>
            </w:r>
            <w:r w:rsidR="009E3F5D" w:rsidRPr="009E3F5D">
              <w:t xml:space="preserve"> National Secretariat and JICA </w:t>
            </w:r>
          </w:p>
        </w:tc>
        <w:tc>
          <w:tcPr>
            <w:tcW w:w="1417" w:type="dxa"/>
          </w:tcPr>
          <w:p w14:paraId="609DE4EB" w14:textId="67FF69C4" w:rsidR="00C47D04" w:rsidRPr="00652B0D" w:rsidRDefault="009E3F5D" w:rsidP="00C47D04">
            <w:r>
              <w:rPr>
                <w:rStyle w:val="normaltextrun"/>
                <w:color w:val="000000"/>
                <w:szCs w:val="22"/>
              </w:rPr>
              <w:t>Gulf Provincial government staff</w:t>
            </w:r>
            <w:r>
              <w:rPr>
                <w:rStyle w:val="eop"/>
                <w:color w:val="000000"/>
              </w:rPr>
              <w:t> </w:t>
            </w:r>
          </w:p>
        </w:tc>
        <w:tc>
          <w:tcPr>
            <w:tcW w:w="1390" w:type="dxa"/>
          </w:tcPr>
          <w:p w14:paraId="2463F147" w14:textId="20511FCE" w:rsidR="00C47D04" w:rsidRDefault="006F55C9" w:rsidP="00C47D04">
            <w:hyperlink r:id="rId115" w:history="1">
              <w:proofErr w:type="spellStart"/>
              <w:r w:rsidR="009E3F5D">
                <w:rPr>
                  <w:rStyle w:val="Hyperlink"/>
                </w:rPr>
                <w:t>EiTi</w:t>
              </w:r>
              <w:proofErr w:type="spellEnd"/>
              <w:r w:rsidR="009E3F5D">
                <w:rPr>
                  <w:rStyle w:val="Hyperlink"/>
                </w:rPr>
                <w:t xml:space="preserve"> Progress Annual Report_2020 (pngeiti.org.pg)</w:t>
              </w:r>
            </w:hyperlink>
          </w:p>
        </w:tc>
      </w:tr>
      <w:tr w:rsidR="00E61806" w14:paraId="72AD1F44" w14:textId="77777777" w:rsidTr="009E3F5D">
        <w:trPr>
          <w:gridAfter w:val="1"/>
          <w:wAfter w:w="48" w:type="dxa"/>
        </w:trPr>
        <w:tc>
          <w:tcPr>
            <w:tcW w:w="1560" w:type="dxa"/>
          </w:tcPr>
          <w:p w14:paraId="53EB6406" w14:textId="19A4AC31" w:rsidR="00E61806" w:rsidRPr="00652B0D" w:rsidRDefault="009E3F5D" w:rsidP="00C47D04">
            <w:r>
              <w:rPr>
                <w:rStyle w:val="normaltextrun"/>
                <w:color w:val="000000"/>
                <w:shd w:val="clear" w:color="auto" w:fill="FFFFFF"/>
              </w:rPr>
              <w:t>Started Publications in the Development PNG Magazine (local magazine).</w:t>
            </w:r>
          </w:p>
        </w:tc>
        <w:tc>
          <w:tcPr>
            <w:tcW w:w="1701" w:type="dxa"/>
          </w:tcPr>
          <w:p w14:paraId="08691D04" w14:textId="6B7821E3" w:rsidR="00E61806" w:rsidRPr="00652B0D" w:rsidRDefault="009E3F5D" w:rsidP="00C47D04">
            <w:r>
              <w:rPr>
                <w:rStyle w:val="normaltextrun"/>
                <w:color w:val="000000"/>
                <w:shd w:val="clear" w:color="auto" w:fill="FFFFFF"/>
              </w:rPr>
              <w:t>The objective of this magazine publication is to publish stories and articles in the resource sectors like oil gas and mining, as well as other sectors like agriculture, fisheries and business</w:t>
            </w:r>
          </w:p>
        </w:tc>
        <w:tc>
          <w:tcPr>
            <w:tcW w:w="1067" w:type="dxa"/>
          </w:tcPr>
          <w:p w14:paraId="438AC5F8" w14:textId="5D0893C1" w:rsidR="00E61806" w:rsidRPr="00652B0D" w:rsidRDefault="009E3F5D" w:rsidP="00C47D04">
            <w:r>
              <w:rPr>
                <w:rStyle w:val="normaltextrun"/>
                <w:color w:val="000000"/>
                <w:szCs w:val="22"/>
              </w:rPr>
              <w:t>June 2020</w:t>
            </w:r>
            <w:r>
              <w:rPr>
                <w:rStyle w:val="eop"/>
                <w:color w:val="000000"/>
              </w:rPr>
              <w:t> </w:t>
            </w:r>
          </w:p>
        </w:tc>
        <w:tc>
          <w:tcPr>
            <w:tcW w:w="1237" w:type="dxa"/>
          </w:tcPr>
          <w:p w14:paraId="3DD998AE" w14:textId="77777777" w:rsidR="00E61806" w:rsidRPr="00652B0D" w:rsidRDefault="00E61806" w:rsidP="00C47D04"/>
        </w:tc>
        <w:tc>
          <w:tcPr>
            <w:tcW w:w="1711" w:type="dxa"/>
          </w:tcPr>
          <w:p w14:paraId="5FC32007" w14:textId="77777777" w:rsidR="00E61806" w:rsidRPr="00652B0D" w:rsidRDefault="00E61806" w:rsidP="00C47D04"/>
        </w:tc>
        <w:tc>
          <w:tcPr>
            <w:tcW w:w="1417" w:type="dxa"/>
          </w:tcPr>
          <w:p w14:paraId="5BB09E0F" w14:textId="0094F608" w:rsidR="00E61806" w:rsidRPr="00652B0D" w:rsidRDefault="009E3F5D" w:rsidP="00C47D04">
            <w:r>
              <w:rPr>
                <w:rStyle w:val="normaltextrun"/>
                <w:color w:val="000000"/>
                <w:szCs w:val="22"/>
                <w:shd w:val="clear" w:color="auto" w:fill="FFFFFF"/>
              </w:rPr>
              <w:t>General Public</w:t>
            </w:r>
            <w:r>
              <w:rPr>
                <w:rStyle w:val="eop"/>
                <w:color w:val="000000"/>
                <w:shd w:val="clear" w:color="auto" w:fill="FFFFFF"/>
              </w:rPr>
              <w:t> </w:t>
            </w:r>
          </w:p>
        </w:tc>
        <w:tc>
          <w:tcPr>
            <w:tcW w:w="1390" w:type="dxa"/>
          </w:tcPr>
          <w:p w14:paraId="21AC8669" w14:textId="3E7E0C58" w:rsidR="00E61806" w:rsidRDefault="006F55C9" w:rsidP="00C47D04">
            <w:hyperlink r:id="rId116" w:history="1">
              <w:proofErr w:type="spellStart"/>
              <w:r w:rsidR="009E3F5D">
                <w:rPr>
                  <w:rStyle w:val="Hyperlink"/>
                </w:rPr>
                <w:t>EiTi</w:t>
              </w:r>
              <w:proofErr w:type="spellEnd"/>
              <w:r w:rsidR="009E3F5D">
                <w:rPr>
                  <w:rStyle w:val="Hyperlink"/>
                </w:rPr>
                <w:t xml:space="preserve"> Progress Annual Report_2020 (pngeiti.org.pg)</w:t>
              </w:r>
            </w:hyperlink>
          </w:p>
        </w:tc>
      </w:tr>
      <w:tr w:rsidR="00E61806" w14:paraId="2E4F2448" w14:textId="77777777" w:rsidTr="009E3F5D">
        <w:trPr>
          <w:gridAfter w:val="1"/>
          <w:wAfter w:w="48" w:type="dxa"/>
        </w:trPr>
        <w:tc>
          <w:tcPr>
            <w:tcW w:w="1560" w:type="dxa"/>
          </w:tcPr>
          <w:p w14:paraId="5002AAAA" w14:textId="20C12F99" w:rsidR="00E61806" w:rsidRPr="00652B0D" w:rsidRDefault="009E3F5D" w:rsidP="00C47D04">
            <w:r>
              <w:rPr>
                <w:rStyle w:val="normaltextrun"/>
                <w:color w:val="000000"/>
                <w:szCs w:val="22"/>
              </w:rPr>
              <w:t xml:space="preserve">Publications and advertisements in the PNG Energy Publications (PNG Resources </w:t>
            </w:r>
            <w:r>
              <w:rPr>
                <w:rStyle w:val="normaltextrun"/>
                <w:color w:val="000000"/>
                <w:szCs w:val="22"/>
              </w:rPr>
              <w:lastRenderedPageBreak/>
              <w:t>Magazine). (</w:t>
            </w:r>
            <w:proofErr w:type="spellStart"/>
            <w:r>
              <w:rPr>
                <w:rStyle w:val="normaltextrun"/>
                <w:color w:val="000000"/>
                <w:szCs w:val="22"/>
              </w:rPr>
              <w:t>Foregn</w:t>
            </w:r>
            <w:proofErr w:type="spellEnd"/>
            <w:r>
              <w:rPr>
                <w:rStyle w:val="normaltextrun"/>
                <w:color w:val="000000"/>
                <w:szCs w:val="22"/>
              </w:rPr>
              <w:t xml:space="preserve"> - Australian Magazine)</w:t>
            </w:r>
            <w:r>
              <w:rPr>
                <w:rStyle w:val="eop"/>
                <w:color w:val="000000"/>
              </w:rPr>
              <w:t> </w:t>
            </w:r>
          </w:p>
        </w:tc>
        <w:tc>
          <w:tcPr>
            <w:tcW w:w="1701" w:type="dxa"/>
          </w:tcPr>
          <w:p w14:paraId="115A0DE2" w14:textId="7AA4FCDD" w:rsidR="00E61806" w:rsidRPr="00652B0D" w:rsidRDefault="009E3F5D" w:rsidP="00C47D04">
            <w:r>
              <w:rPr>
                <w:rStyle w:val="normaltextrun"/>
                <w:color w:val="000000"/>
                <w:shd w:val="clear" w:color="auto" w:fill="FFFFFF"/>
              </w:rPr>
              <w:lastRenderedPageBreak/>
              <w:t xml:space="preserve">The objective of this magazine is to publish </w:t>
            </w:r>
            <w:proofErr w:type="spellStart"/>
            <w:r>
              <w:rPr>
                <w:rStyle w:val="normaltextrun"/>
                <w:color w:val="000000"/>
                <w:shd w:val="clear" w:color="auto" w:fill="FFFFFF"/>
              </w:rPr>
              <w:t>artices</w:t>
            </w:r>
            <w:proofErr w:type="spellEnd"/>
            <w:r>
              <w:rPr>
                <w:rStyle w:val="normaltextrun"/>
                <w:color w:val="000000"/>
                <w:shd w:val="clear" w:color="auto" w:fill="FFFFFF"/>
              </w:rPr>
              <w:t xml:space="preserve"> on the petroleum and mineral industry in PNG where </w:t>
            </w:r>
            <w:r w:rsidR="00C60A05">
              <w:rPr>
                <w:rStyle w:val="normaltextrun"/>
                <w:color w:val="000000"/>
                <w:shd w:val="clear" w:color="auto" w:fill="FFFFFF"/>
              </w:rPr>
              <w:t>PNGEITI</w:t>
            </w:r>
            <w:r>
              <w:rPr>
                <w:rStyle w:val="normaltextrun"/>
                <w:color w:val="000000"/>
                <w:shd w:val="clear" w:color="auto" w:fill="FFFFFF"/>
              </w:rPr>
              <w:t xml:space="preserve"> </w:t>
            </w:r>
            <w:r>
              <w:rPr>
                <w:rStyle w:val="normaltextrun"/>
                <w:color w:val="000000"/>
                <w:shd w:val="clear" w:color="auto" w:fill="FFFFFF"/>
              </w:rPr>
              <w:lastRenderedPageBreak/>
              <w:t xml:space="preserve">articles and </w:t>
            </w:r>
            <w:proofErr w:type="spellStart"/>
            <w:r>
              <w:rPr>
                <w:rStyle w:val="normaltextrun"/>
                <w:color w:val="000000"/>
                <w:shd w:val="clear" w:color="auto" w:fill="FFFFFF"/>
              </w:rPr>
              <w:t>acommercial</w:t>
            </w:r>
            <w:proofErr w:type="spellEnd"/>
            <w:r>
              <w:rPr>
                <w:rStyle w:val="normaltextrun"/>
                <w:color w:val="000000"/>
                <w:shd w:val="clear" w:color="auto" w:fill="FFFFFF"/>
              </w:rPr>
              <w:t xml:space="preserve"> advertisements have been placed for publicity and awareness.</w:t>
            </w:r>
          </w:p>
        </w:tc>
        <w:tc>
          <w:tcPr>
            <w:tcW w:w="1067" w:type="dxa"/>
          </w:tcPr>
          <w:p w14:paraId="46D34D93" w14:textId="579E5323" w:rsidR="00E61806" w:rsidRPr="00652B0D" w:rsidRDefault="009E3F5D" w:rsidP="00C47D04">
            <w:r>
              <w:rPr>
                <w:rStyle w:val="normaltextrun"/>
                <w:color w:val="000000"/>
                <w:szCs w:val="22"/>
                <w:bdr w:val="none" w:sz="0" w:space="0" w:color="auto" w:frame="1"/>
              </w:rPr>
              <w:lastRenderedPageBreak/>
              <w:t>various issues from 2016-2021</w:t>
            </w:r>
          </w:p>
        </w:tc>
        <w:tc>
          <w:tcPr>
            <w:tcW w:w="1237" w:type="dxa"/>
          </w:tcPr>
          <w:p w14:paraId="3353DC44" w14:textId="77777777" w:rsidR="00E61806" w:rsidRPr="00652B0D" w:rsidRDefault="00E61806" w:rsidP="00C47D04"/>
        </w:tc>
        <w:tc>
          <w:tcPr>
            <w:tcW w:w="1711" w:type="dxa"/>
          </w:tcPr>
          <w:p w14:paraId="3335EAB4" w14:textId="77777777" w:rsidR="00E61806" w:rsidRPr="00652B0D" w:rsidRDefault="00E61806" w:rsidP="00C47D04"/>
        </w:tc>
        <w:tc>
          <w:tcPr>
            <w:tcW w:w="1417" w:type="dxa"/>
          </w:tcPr>
          <w:p w14:paraId="3679D89A" w14:textId="77777777" w:rsidR="00E61806" w:rsidRPr="00652B0D" w:rsidRDefault="00E61806" w:rsidP="00C47D04"/>
        </w:tc>
        <w:tc>
          <w:tcPr>
            <w:tcW w:w="1390" w:type="dxa"/>
          </w:tcPr>
          <w:p w14:paraId="7B776448" w14:textId="7D728FF5" w:rsidR="00E61806" w:rsidRDefault="006F55C9" w:rsidP="00C47D04">
            <w:hyperlink r:id="rId117" w:tgtFrame="_blank" w:history="1">
              <w:r w:rsidR="009E3F5D">
                <w:rPr>
                  <w:rStyle w:val="normaltextrun"/>
                  <w:rFonts w:cs="Segoe UI"/>
                  <w:color w:val="0000FF"/>
                  <w:szCs w:val="22"/>
                  <w:u w:val="single"/>
                  <w:shd w:val="clear" w:color="auto" w:fill="FFFFFF"/>
                </w:rPr>
                <w:t>www.pngresourcesonline.com</w:t>
              </w:r>
            </w:hyperlink>
            <w:r w:rsidR="009E3F5D">
              <w:rPr>
                <w:rStyle w:val="eop"/>
                <w:color w:val="000000"/>
                <w:szCs w:val="22"/>
                <w:shd w:val="clear" w:color="auto" w:fill="FFFFFF"/>
              </w:rPr>
              <w:t> </w:t>
            </w:r>
          </w:p>
        </w:tc>
      </w:tr>
      <w:tr w:rsidR="00E61806" w14:paraId="0A772A0D" w14:textId="77777777" w:rsidTr="009E3F5D">
        <w:trPr>
          <w:gridAfter w:val="1"/>
          <w:wAfter w:w="48" w:type="dxa"/>
        </w:trPr>
        <w:tc>
          <w:tcPr>
            <w:tcW w:w="1560" w:type="dxa"/>
          </w:tcPr>
          <w:p w14:paraId="2D2F9707" w14:textId="66CB9565" w:rsidR="00E61806" w:rsidRPr="00652B0D" w:rsidRDefault="009E3F5D" w:rsidP="00C47D04">
            <w:r>
              <w:rPr>
                <w:rStyle w:val="normaltextrun"/>
                <w:color w:val="000000"/>
                <w:szCs w:val="22"/>
              </w:rPr>
              <w:t>Commission Bill Workshop</w:t>
            </w:r>
            <w:r>
              <w:rPr>
                <w:rStyle w:val="eop"/>
                <w:color w:val="000000"/>
              </w:rPr>
              <w:t> </w:t>
            </w:r>
          </w:p>
        </w:tc>
        <w:tc>
          <w:tcPr>
            <w:tcW w:w="1701" w:type="dxa"/>
          </w:tcPr>
          <w:p w14:paraId="15C1BC37" w14:textId="0FA90F95" w:rsidR="00E61806" w:rsidRPr="00652B0D" w:rsidRDefault="009E3F5D" w:rsidP="00C47D04">
            <w:proofErr w:type="gramStart"/>
            <w:r>
              <w:rPr>
                <w:rStyle w:val="normaltextrun"/>
                <w:color w:val="000000"/>
                <w:szCs w:val="22"/>
                <w:shd w:val="clear" w:color="auto" w:fill="FFFFFF"/>
              </w:rPr>
              <w:t>Objective  of</w:t>
            </w:r>
            <w:proofErr w:type="gramEnd"/>
            <w:r>
              <w:rPr>
                <w:rStyle w:val="normaltextrun"/>
                <w:color w:val="000000"/>
                <w:szCs w:val="22"/>
                <w:shd w:val="clear" w:color="auto" w:fill="FFFFFF"/>
              </w:rPr>
              <w:t xml:space="preserve"> the workshop was for the NS to reconvene the TWG members to review the draft Commission Bill for the establishment of PNGEITI as an independent entity.  </w:t>
            </w:r>
            <w:r>
              <w:rPr>
                <w:rStyle w:val="eop"/>
                <w:color w:val="000000"/>
                <w:shd w:val="clear" w:color="auto" w:fill="FFFFFF"/>
              </w:rPr>
              <w:t> </w:t>
            </w:r>
          </w:p>
        </w:tc>
        <w:tc>
          <w:tcPr>
            <w:tcW w:w="1067" w:type="dxa"/>
          </w:tcPr>
          <w:p w14:paraId="445E4732" w14:textId="1A574688" w:rsidR="00E61806" w:rsidRPr="00652B0D" w:rsidRDefault="009E3F5D" w:rsidP="00C47D04">
            <w:r>
              <w:rPr>
                <w:rStyle w:val="normaltextrun"/>
                <w:color w:val="000000"/>
                <w:szCs w:val="22"/>
              </w:rPr>
              <w:t>Dec 2020</w:t>
            </w:r>
            <w:r>
              <w:rPr>
                <w:rStyle w:val="eop"/>
                <w:color w:val="000000"/>
              </w:rPr>
              <w:t> </w:t>
            </w:r>
          </w:p>
        </w:tc>
        <w:tc>
          <w:tcPr>
            <w:tcW w:w="1237" w:type="dxa"/>
          </w:tcPr>
          <w:p w14:paraId="2E5BC605" w14:textId="77777777" w:rsidR="006953CB" w:rsidRDefault="006953CB" w:rsidP="009E3F5D">
            <w:pPr>
              <w:pStyle w:val="paragraph"/>
              <w:spacing w:before="0" w:beforeAutospacing="0" w:after="0" w:afterAutospacing="0"/>
              <w:textAlignment w:val="baseline"/>
              <w:rPr>
                <w:rStyle w:val="normaltextrun"/>
                <w:rFonts w:ascii="Franklin Gothic Book" w:hAnsi="Franklin Gothic Book" w:cs="Segoe UI"/>
                <w:lang w:val="en-US"/>
              </w:rPr>
            </w:pPr>
          </w:p>
          <w:p w14:paraId="611335B5" w14:textId="58DCEC22" w:rsidR="009E3F5D" w:rsidRDefault="009E3F5D" w:rsidP="009E3F5D">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lang w:val="en-US"/>
              </w:rPr>
              <w:t>Mt. Hagen</w:t>
            </w:r>
            <w:r>
              <w:rPr>
                <w:rStyle w:val="eop"/>
                <w:rFonts w:ascii="Franklin Gothic Book" w:hAnsi="Franklin Gothic Book" w:cs="Segoe UI"/>
                <w:sz w:val="22"/>
                <w:szCs w:val="22"/>
              </w:rPr>
              <w:t> </w:t>
            </w:r>
          </w:p>
          <w:p w14:paraId="39005A4A" w14:textId="77777777" w:rsidR="009E3F5D" w:rsidRDefault="009E3F5D" w:rsidP="009E3F5D">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lang w:val="en-US"/>
              </w:rPr>
              <w:t>Western Highlands</w:t>
            </w:r>
            <w:r>
              <w:rPr>
                <w:rStyle w:val="eop"/>
                <w:rFonts w:ascii="Franklin Gothic Book" w:hAnsi="Franklin Gothic Book" w:cs="Segoe UI"/>
                <w:sz w:val="22"/>
                <w:szCs w:val="22"/>
              </w:rPr>
              <w:t> </w:t>
            </w:r>
          </w:p>
          <w:p w14:paraId="6FDE325C" w14:textId="77777777" w:rsidR="00E61806" w:rsidRPr="00652B0D" w:rsidRDefault="00E61806" w:rsidP="00C47D04"/>
        </w:tc>
        <w:tc>
          <w:tcPr>
            <w:tcW w:w="1711" w:type="dxa"/>
          </w:tcPr>
          <w:p w14:paraId="3A3EF486" w14:textId="530594DE" w:rsidR="00E61806" w:rsidRPr="00652B0D" w:rsidRDefault="009E3F5D" w:rsidP="00C47D04">
            <w:r>
              <w:rPr>
                <w:rStyle w:val="normaltextrun"/>
                <w:color w:val="000000"/>
                <w:szCs w:val="22"/>
                <w:shd w:val="clear" w:color="auto" w:fill="FFFFFF"/>
              </w:rPr>
              <w:t>PNGEITI and TWG members</w:t>
            </w:r>
            <w:r>
              <w:rPr>
                <w:rStyle w:val="eop"/>
                <w:color w:val="000000"/>
                <w:shd w:val="clear" w:color="auto" w:fill="FFFFFF"/>
              </w:rPr>
              <w:t> </w:t>
            </w:r>
          </w:p>
        </w:tc>
        <w:tc>
          <w:tcPr>
            <w:tcW w:w="1417" w:type="dxa"/>
          </w:tcPr>
          <w:p w14:paraId="1C379153" w14:textId="37B1AF5B" w:rsidR="00E61806" w:rsidRPr="00652B0D" w:rsidRDefault="009E3F5D" w:rsidP="00C47D04">
            <w:r>
              <w:rPr>
                <w:rStyle w:val="normaltextrun"/>
                <w:color w:val="000000"/>
                <w:szCs w:val="22"/>
              </w:rPr>
              <w:t>Stakeholder members</w:t>
            </w:r>
            <w:r>
              <w:rPr>
                <w:rStyle w:val="eop"/>
                <w:color w:val="000000"/>
              </w:rPr>
              <w:t> </w:t>
            </w:r>
          </w:p>
        </w:tc>
        <w:tc>
          <w:tcPr>
            <w:tcW w:w="1390" w:type="dxa"/>
          </w:tcPr>
          <w:p w14:paraId="1ACECC0F" w14:textId="2591111C" w:rsidR="00E61806" w:rsidRDefault="006F55C9" w:rsidP="00C47D04">
            <w:hyperlink r:id="rId118" w:tgtFrame="_blank" w:history="1">
              <w:proofErr w:type="spellStart"/>
              <w:r w:rsidR="009E3F5D">
                <w:rPr>
                  <w:rStyle w:val="normaltextrun"/>
                  <w:rFonts w:cs="Segoe UI"/>
                  <w:color w:val="0000FF"/>
                  <w:szCs w:val="22"/>
                  <w:u w:val="single"/>
                </w:rPr>
                <w:t>EiTi</w:t>
              </w:r>
              <w:proofErr w:type="spellEnd"/>
              <w:r w:rsidR="009E3F5D">
                <w:rPr>
                  <w:rStyle w:val="normaltextrun"/>
                  <w:rFonts w:cs="Segoe UI"/>
                  <w:color w:val="0000FF"/>
                  <w:szCs w:val="22"/>
                  <w:u w:val="single"/>
                </w:rPr>
                <w:t xml:space="preserve"> Progress Annual Report_2020 (pngeiti.org.pg)</w:t>
              </w:r>
            </w:hyperlink>
            <w:r w:rsidR="009E3F5D">
              <w:rPr>
                <w:rStyle w:val="eop"/>
                <w:color w:val="000000"/>
                <w:szCs w:val="22"/>
              </w:rPr>
              <w:t> </w:t>
            </w:r>
          </w:p>
        </w:tc>
      </w:tr>
      <w:tr w:rsidR="00E61806" w14:paraId="5E795046" w14:textId="77777777" w:rsidTr="009E3F5D">
        <w:trPr>
          <w:gridAfter w:val="1"/>
          <w:wAfter w:w="48" w:type="dxa"/>
        </w:trPr>
        <w:tc>
          <w:tcPr>
            <w:tcW w:w="1560" w:type="dxa"/>
          </w:tcPr>
          <w:p w14:paraId="4E45124A" w14:textId="321B1CF4" w:rsidR="00E61806" w:rsidRPr="00652B0D" w:rsidRDefault="009E3F5D" w:rsidP="00C47D04">
            <w:r>
              <w:rPr>
                <w:rStyle w:val="normaltextrun"/>
                <w:color w:val="000000"/>
                <w:szCs w:val="22"/>
              </w:rPr>
              <w:t xml:space="preserve">Please refer to </w:t>
            </w:r>
            <w:r w:rsidR="00C60A05">
              <w:rPr>
                <w:rStyle w:val="normaltextrun"/>
                <w:color w:val="000000"/>
                <w:szCs w:val="22"/>
              </w:rPr>
              <w:t>PNGEITI</w:t>
            </w:r>
            <w:r>
              <w:rPr>
                <w:rStyle w:val="normaltextrun"/>
                <w:color w:val="000000"/>
                <w:szCs w:val="22"/>
              </w:rPr>
              <w:t xml:space="preserve"> 2020 Annual Progress Report Summary of Stakeholder eng</w:t>
            </w:r>
            <w:r w:rsidR="006953CB">
              <w:rPr>
                <w:rStyle w:val="normaltextrun"/>
                <w:color w:val="000000"/>
                <w:szCs w:val="22"/>
              </w:rPr>
              <w:t xml:space="preserve">agement </w:t>
            </w:r>
            <w:r>
              <w:rPr>
                <w:rStyle w:val="eop"/>
                <w:color w:val="000000"/>
              </w:rPr>
              <w:t> </w:t>
            </w:r>
          </w:p>
        </w:tc>
        <w:tc>
          <w:tcPr>
            <w:tcW w:w="1701" w:type="dxa"/>
          </w:tcPr>
          <w:p w14:paraId="4ADB7A80" w14:textId="77777777" w:rsidR="00E61806" w:rsidRPr="00652B0D" w:rsidRDefault="00E61806" w:rsidP="00C47D04"/>
        </w:tc>
        <w:tc>
          <w:tcPr>
            <w:tcW w:w="1067" w:type="dxa"/>
          </w:tcPr>
          <w:p w14:paraId="60F75445" w14:textId="77777777" w:rsidR="00E61806" w:rsidRPr="00652B0D" w:rsidRDefault="00E61806" w:rsidP="00C47D04"/>
        </w:tc>
        <w:tc>
          <w:tcPr>
            <w:tcW w:w="1237" w:type="dxa"/>
          </w:tcPr>
          <w:p w14:paraId="0B68B7C2" w14:textId="77777777" w:rsidR="00E61806" w:rsidRPr="00652B0D" w:rsidRDefault="00E61806" w:rsidP="00C47D04"/>
        </w:tc>
        <w:tc>
          <w:tcPr>
            <w:tcW w:w="1711" w:type="dxa"/>
          </w:tcPr>
          <w:p w14:paraId="4B5E350A" w14:textId="77777777" w:rsidR="00E61806" w:rsidRPr="00652B0D" w:rsidRDefault="00E61806" w:rsidP="00C47D04"/>
        </w:tc>
        <w:tc>
          <w:tcPr>
            <w:tcW w:w="1417" w:type="dxa"/>
          </w:tcPr>
          <w:p w14:paraId="782596DF" w14:textId="77777777" w:rsidR="00E61806" w:rsidRPr="00652B0D" w:rsidRDefault="00E61806" w:rsidP="00C47D04"/>
        </w:tc>
        <w:tc>
          <w:tcPr>
            <w:tcW w:w="1390" w:type="dxa"/>
          </w:tcPr>
          <w:p w14:paraId="6E52BE36" w14:textId="1BA7E329" w:rsidR="00E61806" w:rsidRDefault="006F55C9" w:rsidP="00C47D04">
            <w:hyperlink r:id="rId119" w:history="1">
              <w:r w:rsidR="00053B78" w:rsidRPr="00053B78">
                <w:rPr>
                  <w:rStyle w:val="Hyperlink"/>
                  <w:rFonts w:eastAsia="Cambria" w:cs="Arial"/>
                </w:rPr>
                <w:t>http://www.pngeiti.org.pg/wp-content/uploads/2022/02/EiTi-Progress-Annual-Report_2020.pdf</w:t>
              </w:r>
            </w:hyperlink>
          </w:p>
          <w:p w14:paraId="5519EBD6" w14:textId="2DB405E4" w:rsidR="00053B78" w:rsidRDefault="00053B78" w:rsidP="00C47D04"/>
        </w:tc>
      </w:tr>
      <w:tr w:rsidR="00F438EA" w14:paraId="2C07DFC0" w14:textId="77777777" w:rsidTr="00315982">
        <w:trPr>
          <w:gridAfter w:val="1"/>
          <w:wAfter w:w="48" w:type="dxa"/>
        </w:trPr>
        <w:tc>
          <w:tcPr>
            <w:tcW w:w="10083" w:type="dxa"/>
            <w:gridSpan w:val="7"/>
          </w:tcPr>
          <w:p w14:paraId="7EAF7426" w14:textId="792E0385" w:rsidR="00F438EA" w:rsidRPr="00B10EA1" w:rsidRDefault="00F438EA" w:rsidP="00F438EA">
            <w:pPr>
              <w:pStyle w:val="SubTitle0"/>
              <w:jc w:val="center"/>
              <w:rPr>
                <w:sz w:val="22"/>
                <w:szCs w:val="22"/>
              </w:rPr>
            </w:pPr>
            <w:r w:rsidRPr="00B10EA1">
              <w:rPr>
                <w:sz w:val="22"/>
                <w:szCs w:val="22"/>
              </w:rPr>
              <w:t>2021</w:t>
            </w:r>
          </w:p>
        </w:tc>
      </w:tr>
      <w:tr w:rsidR="00F438EA" w14:paraId="539774A5" w14:textId="77777777" w:rsidTr="00F438EA">
        <w:trPr>
          <w:gridAfter w:val="1"/>
          <w:wAfter w:w="48" w:type="dxa"/>
        </w:trPr>
        <w:tc>
          <w:tcPr>
            <w:tcW w:w="1560" w:type="dxa"/>
            <w:tcBorders>
              <w:bottom w:val="single" w:sz="4" w:space="0" w:color="auto"/>
            </w:tcBorders>
          </w:tcPr>
          <w:p w14:paraId="64B7C4D5" w14:textId="197CD10D" w:rsidR="00F438EA" w:rsidRPr="00652B0D" w:rsidRDefault="00F438EA" w:rsidP="00F438EA">
            <w:r>
              <w:rPr>
                <w:rStyle w:val="normaltextrun"/>
                <w:color w:val="000000"/>
                <w:szCs w:val="22"/>
                <w:bdr w:val="none" w:sz="0" w:space="0" w:color="auto" w:frame="1"/>
              </w:rPr>
              <w:t>Webinar series on gender justice in extractive industries</w:t>
            </w:r>
          </w:p>
        </w:tc>
        <w:tc>
          <w:tcPr>
            <w:tcW w:w="1701" w:type="dxa"/>
            <w:tcBorders>
              <w:bottom w:val="single" w:sz="4" w:space="0" w:color="auto"/>
            </w:tcBorders>
          </w:tcPr>
          <w:p w14:paraId="79071D8E" w14:textId="3B01F0DF" w:rsidR="00F438EA" w:rsidRPr="00652B0D" w:rsidRDefault="00F438EA" w:rsidP="00F438EA">
            <w:r>
              <w:rPr>
                <w:rStyle w:val="normaltextrun"/>
                <w:color w:val="000000"/>
                <w:szCs w:val="22"/>
              </w:rPr>
              <w:t>Gendered impacts of resource extraction and the development of a new feminist agenda</w:t>
            </w:r>
            <w:r>
              <w:rPr>
                <w:rStyle w:val="eop"/>
                <w:color w:val="000000"/>
              </w:rPr>
              <w:t> </w:t>
            </w:r>
          </w:p>
        </w:tc>
        <w:tc>
          <w:tcPr>
            <w:tcW w:w="1067" w:type="dxa"/>
            <w:tcBorders>
              <w:bottom w:val="single" w:sz="4" w:space="0" w:color="auto"/>
            </w:tcBorders>
          </w:tcPr>
          <w:p w14:paraId="2105CC4B" w14:textId="22510B1C" w:rsidR="00F438EA" w:rsidRPr="00652B0D" w:rsidRDefault="00F438EA" w:rsidP="00F438EA"/>
        </w:tc>
        <w:tc>
          <w:tcPr>
            <w:tcW w:w="1237" w:type="dxa"/>
            <w:tcBorders>
              <w:bottom w:val="single" w:sz="4" w:space="0" w:color="auto"/>
            </w:tcBorders>
          </w:tcPr>
          <w:p w14:paraId="767B2EE3" w14:textId="70876439" w:rsidR="00F438EA" w:rsidRPr="00652B0D" w:rsidRDefault="00F438EA" w:rsidP="00F438EA">
            <w:r>
              <w:t>Online</w:t>
            </w:r>
          </w:p>
        </w:tc>
        <w:tc>
          <w:tcPr>
            <w:tcW w:w="1711" w:type="dxa"/>
            <w:tcBorders>
              <w:bottom w:val="single" w:sz="4" w:space="0" w:color="auto"/>
            </w:tcBorders>
          </w:tcPr>
          <w:p w14:paraId="6EC2ABE7" w14:textId="304BC07A" w:rsidR="00F438EA" w:rsidRPr="00652B0D" w:rsidRDefault="00F438EA" w:rsidP="00F438EA">
            <w:r>
              <w:t>CSO</w:t>
            </w:r>
          </w:p>
        </w:tc>
        <w:tc>
          <w:tcPr>
            <w:tcW w:w="1417" w:type="dxa"/>
            <w:tcBorders>
              <w:bottom w:val="single" w:sz="4" w:space="0" w:color="auto"/>
            </w:tcBorders>
          </w:tcPr>
          <w:p w14:paraId="3D49BD6C" w14:textId="1854CF65" w:rsidR="00F438EA" w:rsidRPr="00652B0D" w:rsidRDefault="00F438EA" w:rsidP="00F438EA">
            <w:r w:rsidRPr="00CB73FD">
              <w:t>General Public</w:t>
            </w:r>
          </w:p>
        </w:tc>
        <w:tc>
          <w:tcPr>
            <w:tcW w:w="1390" w:type="dxa"/>
            <w:tcBorders>
              <w:bottom w:val="single" w:sz="4" w:space="0" w:color="auto"/>
            </w:tcBorders>
          </w:tcPr>
          <w:p w14:paraId="50F49F7E" w14:textId="6523DA71" w:rsidR="00F438EA" w:rsidRDefault="00F438EA" w:rsidP="00F438EA"/>
        </w:tc>
      </w:tr>
      <w:tr w:rsidR="00F438EA" w14:paraId="32777A0D" w14:textId="77777777" w:rsidTr="00F438EA">
        <w:trPr>
          <w:gridAfter w:val="1"/>
          <w:wAfter w:w="48" w:type="dxa"/>
        </w:trPr>
        <w:tc>
          <w:tcPr>
            <w:tcW w:w="1560" w:type="dxa"/>
            <w:tcBorders>
              <w:top w:val="single" w:sz="4" w:space="0" w:color="auto"/>
              <w:bottom w:val="single" w:sz="4" w:space="0" w:color="auto"/>
            </w:tcBorders>
          </w:tcPr>
          <w:p w14:paraId="7462CFE8" w14:textId="2ADDCEB1" w:rsidR="00F438EA" w:rsidRPr="00652B0D" w:rsidRDefault="00F438EA" w:rsidP="00F438EA">
            <w:r>
              <w:rPr>
                <w:rStyle w:val="normaltextrun"/>
                <w:color w:val="000000"/>
                <w:szCs w:val="22"/>
              </w:rPr>
              <w:lastRenderedPageBreak/>
              <w:t>Training Video Title: “Transparency is King”.</w:t>
            </w:r>
            <w:r>
              <w:rPr>
                <w:rStyle w:val="eop"/>
                <w:color w:val="000000"/>
              </w:rPr>
              <w:t> </w:t>
            </w:r>
          </w:p>
        </w:tc>
        <w:tc>
          <w:tcPr>
            <w:tcW w:w="1701" w:type="dxa"/>
            <w:tcBorders>
              <w:top w:val="single" w:sz="4" w:space="0" w:color="auto"/>
              <w:bottom w:val="single" w:sz="4" w:space="0" w:color="auto"/>
            </w:tcBorders>
          </w:tcPr>
          <w:p w14:paraId="0DCEDBB0" w14:textId="6A0ECE3C" w:rsidR="00F438EA" w:rsidRPr="00652B0D" w:rsidRDefault="00F438EA" w:rsidP="00F438EA">
            <w:r>
              <w:rPr>
                <w:rStyle w:val="normaltextrun"/>
                <w:color w:val="000000"/>
                <w:szCs w:val="22"/>
                <w:shd w:val="clear" w:color="auto" w:fill="FFFFFF"/>
              </w:rPr>
              <w:t>The objective of the video was to address challenges caused by the pandemic. It also pointed out the importance of the role of Civil Society organisations during the pandemic.</w:t>
            </w:r>
            <w:r>
              <w:rPr>
                <w:rStyle w:val="eop"/>
                <w:color w:val="000000"/>
                <w:shd w:val="clear" w:color="auto" w:fill="FFFFFF"/>
              </w:rPr>
              <w:t> </w:t>
            </w:r>
          </w:p>
        </w:tc>
        <w:tc>
          <w:tcPr>
            <w:tcW w:w="1067" w:type="dxa"/>
            <w:tcBorders>
              <w:top w:val="single" w:sz="4" w:space="0" w:color="auto"/>
              <w:bottom w:val="single" w:sz="4" w:space="0" w:color="auto"/>
            </w:tcBorders>
          </w:tcPr>
          <w:p w14:paraId="53CEB1B3" w14:textId="7826A0B8" w:rsidR="00F438EA" w:rsidRPr="00652B0D" w:rsidRDefault="00F438EA" w:rsidP="00F438EA">
            <w:r>
              <w:t>2020</w:t>
            </w:r>
          </w:p>
        </w:tc>
        <w:tc>
          <w:tcPr>
            <w:tcW w:w="1237" w:type="dxa"/>
            <w:tcBorders>
              <w:top w:val="single" w:sz="4" w:space="0" w:color="auto"/>
              <w:bottom w:val="single" w:sz="4" w:space="0" w:color="auto"/>
            </w:tcBorders>
          </w:tcPr>
          <w:p w14:paraId="3B83F3CC" w14:textId="522AA116" w:rsidR="00F438EA" w:rsidRPr="00652B0D" w:rsidRDefault="00F438EA" w:rsidP="00F438EA">
            <w:r>
              <w:t>Online</w:t>
            </w:r>
          </w:p>
        </w:tc>
        <w:tc>
          <w:tcPr>
            <w:tcW w:w="1711" w:type="dxa"/>
            <w:tcBorders>
              <w:top w:val="single" w:sz="4" w:space="0" w:color="auto"/>
              <w:bottom w:val="single" w:sz="4" w:space="0" w:color="auto"/>
            </w:tcBorders>
          </w:tcPr>
          <w:p w14:paraId="502CB5CC" w14:textId="598B6A6F" w:rsidR="00F438EA" w:rsidRPr="00652B0D" w:rsidRDefault="00F438EA" w:rsidP="00F438EA">
            <w:r>
              <w:rPr>
                <w:rStyle w:val="normaltextrun"/>
                <w:color w:val="000000"/>
                <w:szCs w:val="22"/>
              </w:rPr>
              <w:t>JICA Project Team</w:t>
            </w:r>
            <w:r>
              <w:rPr>
                <w:rStyle w:val="eop"/>
                <w:color w:val="000000"/>
              </w:rPr>
              <w:t> </w:t>
            </w:r>
          </w:p>
        </w:tc>
        <w:tc>
          <w:tcPr>
            <w:tcW w:w="1417" w:type="dxa"/>
            <w:tcBorders>
              <w:top w:val="single" w:sz="4" w:space="0" w:color="auto"/>
              <w:bottom w:val="single" w:sz="4" w:space="0" w:color="auto"/>
            </w:tcBorders>
          </w:tcPr>
          <w:p w14:paraId="5E472109" w14:textId="4BE8D623" w:rsidR="00F438EA" w:rsidRPr="00652B0D" w:rsidRDefault="00F438EA" w:rsidP="00F438EA">
            <w:r>
              <w:rPr>
                <w:rStyle w:val="normaltextrun"/>
                <w:color w:val="000000"/>
                <w:szCs w:val="22"/>
                <w:shd w:val="clear" w:color="auto" w:fill="FFFFFF"/>
              </w:rPr>
              <w:t>Multi-Stakeholder Groups (MSG)</w:t>
            </w:r>
            <w:r>
              <w:rPr>
                <w:rStyle w:val="eop"/>
                <w:color w:val="000000"/>
                <w:shd w:val="clear" w:color="auto" w:fill="FFFFFF"/>
              </w:rPr>
              <w:t> </w:t>
            </w:r>
          </w:p>
        </w:tc>
        <w:tc>
          <w:tcPr>
            <w:tcW w:w="1390" w:type="dxa"/>
            <w:tcBorders>
              <w:top w:val="single" w:sz="4" w:space="0" w:color="auto"/>
              <w:bottom w:val="single" w:sz="4" w:space="0" w:color="auto"/>
            </w:tcBorders>
          </w:tcPr>
          <w:p w14:paraId="69CB2C83" w14:textId="4BEA7572" w:rsidR="00F438EA" w:rsidRDefault="006F55C9" w:rsidP="00F438EA">
            <w:hyperlink r:id="rId120" w:tgtFrame="_blank" w:history="1">
              <w:r w:rsidR="00F438EA">
                <w:rPr>
                  <w:rStyle w:val="normaltextrun"/>
                  <w:rFonts w:cs="Segoe UI"/>
                  <w:color w:val="0000FF"/>
                  <w:szCs w:val="22"/>
                  <w:u w:val="single"/>
                </w:rPr>
                <w:t>2021-Q1-Newsletter.pdf (pngeiti.org.pg)</w:t>
              </w:r>
            </w:hyperlink>
            <w:r w:rsidR="00F438EA">
              <w:rPr>
                <w:rStyle w:val="eop"/>
                <w:color w:val="000000"/>
                <w:szCs w:val="22"/>
              </w:rPr>
              <w:t> </w:t>
            </w:r>
          </w:p>
        </w:tc>
      </w:tr>
      <w:bookmarkEnd w:id="12"/>
    </w:tbl>
    <w:p w14:paraId="5EAFA3FF" w14:textId="77777777" w:rsidR="00B10EA1" w:rsidRDefault="00B10EA1" w:rsidP="00C6608B"/>
    <w:p w14:paraId="13335929" w14:textId="73D5D70E" w:rsidR="00C6608B" w:rsidRDefault="00C6608B" w:rsidP="00C6608B">
      <w:r w:rsidRPr="00A16D83">
        <w:rPr>
          <w:b/>
          <w:bCs/>
        </w:rPr>
        <w:t>1</w:t>
      </w:r>
      <w:r w:rsidR="003050D3">
        <w:rPr>
          <w:b/>
          <w:bCs/>
        </w:rPr>
        <w:t>6</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3A45E9">
        <w:tc>
          <w:tcPr>
            <w:tcW w:w="9062" w:type="dxa"/>
          </w:tcPr>
          <w:p w14:paraId="749ECFBA" w14:textId="3EEA2347" w:rsidR="006A4A03" w:rsidRDefault="006A4A03" w:rsidP="006A4A03">
            <w:r>
              <w:t xml:space="preserve">PNG being one of the least developed countries, is experiencing information accessibility </w:t>
            </w:r>
            <w:r w:rsidR="00C15F99">
              <w:t xml:space="preserve">challenges </w:t>
            </w:r>
            <w:r>
              <w:t xml:space="preserve">due to slow or no internet connectivity, in addition to the </w:t>
            </w:r>
            <w:r w:rsidR="00C15F99">
              <w:t xml:space="preserve">covid-19 </w:t>
            </w:r>
            <w:r>
              <w:t xml:space="preserve">pandemic which limited MSG and PNG </w:t>
            </w:r>
            <w:r w:rsidR="00F63E8D">
              <w:t xml:space="preserve">National </w:t>
            </w:r>
            <w:r>
              <w:t xml:space="preserve">Secretariat in awareness </w:t>
            </w:r>
            <w:r w:rsidR="00F63E8D">
              <w:t xml:space="preserve">efforts on </w:t>
            </w:r>
            <w:r>
              <w:t xml:space="preserve">EITI. </w:t>
            </w:r>
          </w:p>
          <w:p w14:paraId="0B94104E" w14:textId="77777777" w:rsidR="006A4A03" w:rsidRDefault="006A4A03" w:rsidP="006A4A03">
            <w:r>
              <w:t xml:space="preserve">However, online platforms have been used extensively in the past two years including Facebook and official website updates. In prior years, roadshows were carried out to cater for those with limited or without internet access. </w:t>
            </w:r>
          </w:p>
          <w:p w14:paraId="4A422C05" w14:textId="77777777" w:rsidR="006A4A03" w:rsidRDefault="006A4A03" w:rsidP="006A4A03">
            <w:r>
              <w:t xml:space="preserve">There was an outreach activity targeting resource owners of the </w:t>
            </w:r>
            <w:proofErr w:type="spellStart"/>
            <w:r>
              <w:t>Waffi-Golpu</w:t>
            </w:r>
            <w:proofErr w:type="spellEnd"/>
            <w:r>
              <w:t xml:space="preserve"> project area. The PNGEITI team conducted a series of information awareness sessions with stakeholders of the </w:t>
            </w:r>
            <w:proofErr w:type="spellStart"/>
            <w:r>
              <w:t>Waffi-Golpu</w:t>
            </w:r>
            <w:proofErr w:type="spellEnd"/>
            <w:r>
              <w:t xml:space="preserve"> project in the Morobe province. The purpose of the outreach activity was to </w:t>
            </w:r>
            <w:proofErr w:type="spellStart"/>
            <w:r>
              <w:t>sensitise</w:t>
            </w:r>
            <w:proofErr w:type="spellEnd"/>
            <w:r>
              <w:t xml:space="preserve"> targeted groups; the resource project owners, provincial and local level governments, the three (3) main landowner groups </w:t>
            </w:r>
            <w:proofErr w:type="spellStart"/>
            <w:r>
              <w:t>Yantu</w:t>
            </w:r>
            <w:proofErr w:type="spellEnd"/>
            <w:r>
              <w:t xml:space="preserve">, </w:t>
            </w:r>
            <w:proofErr w:type="spellStart"/>
            <w:r>
              <w:t>Babuaf</w:t>
            </w:r>
            <w:proofErr w:type="spellEnd"/>
            <w:r>
              <w:t xml:space="preserve">, </w:t>
            </w:r>
            <w:proofErr w:type="spellStart"/>
            <w:r>
              <w:t>Hegambu</w:t>
            </w:r>
            <w:proofErr w:type="spellEnd"/>
            <w:r>
              <w:t xml:space="preserve"> including the general public.</w:t>
            </w:r>
          </w:p>
          <w:p w14:paraId="679F91AF" w14:textId="4264695D" w:rsidR="006A4A03" w:rsidRDefault="006A4A03" w:rsidP="006A4A03">
            <w:r>
              <w:t>The content of the information shared during the outreach activity was focused on; the EITI 2016 Standards and the corresponding provisions, the PNGEITI Reports and its content inclusive of contextual findings and reconciliation of data; the value of the EITI in the MoAs and the stakeholders.</w:t>
            </w:r>
            <w:r w:rsidR="00F63E8D">
              <w:t xml:space="preserve"> </w:t>
            </w:r>
          </w:p>
          <w:p w14:paraId="33F04679" w14:textId="2DC19B7D" w:rsidR="00C6608B" w:rsidRDefault="006F55C9" w:rsidP="003A45E9">
            <w:hyperlink r:id="rId121" w:history="1">
              <w:r w:rsidR="00217AC1" w:rsidRPr="00217AC1">
                <w:rPr>
                  <w:rStyle w:val="Hyperlink"/>
                  <w:rFonts w:eastAsia="Cambria" w:cs="Arial"/>
                </w:rPr>
                <w:t>http://www.pngeiti.org.pg/wp-content/uploads/2018/04/20180803_-Wafi-Gold-Outreach-Report.pdf</w:t>
              </w:r>
            </w:hyperlink>
          </w:p>
          <w:p w14:paraId="04A3EEF1" w14:textId="77777777" w:rsidR="00C6608B" w:rsidRDefault="00C6608B" w:rsidP="003A45E9"/>
          <w:p w14:paraId="71ECE0D5" w14:textId="292ED4BC" w:rsidR="00FC355E" w:rsidRDefault="00FC355E" w:rsidP="003A45E9"/>
        </w:tc>
      </w:tr>
    </w:tbl>
    <w:p w14:paraId="198466F3" w14:textId="77777777" w:rsidR="00C6608B" w:rsidRDefault="00C6608B" w:rsidP="00C6608B"/>
    <w:p w14:paraId="076E277C" w14:textId="1EE300E6" w:rsidR="00C6608B" w:rsidRDefault="00C6608B" w:rsidP="00C6608B">
      <w:r w:rsidRPr="00A0764C">
        <w:rPr>
          <w:b/>
          <w:bCs/>
        </w:rPr>
        <w:lastRenderedPageBreak/>
        <w:t>1</w:t>
      </w:r>
      <w:r w:rsidR="003050D3">
        <w:rPr>
          <w:b/>
          <w:bCs/>
        </w:rPr>
        <w:t>7</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14:paraId="650C8645" w14:textId="77777777" w:rsidTr="003A45E9">
        <w:tc>
          <w:tcPr>
            <w:tcW w:w="9062" w:type="dxa"/>
          </w:tcPr>
          <w:p w14:paraId="27ED8429" w14:textId="77777777" w:rsidR="00C6608B" w:rsidRDefault="00C6608B" w:rsidP="003A45E9">
            <w:pPr>
              <w:rPr>
                <w:i/>
                <w:iCs/>
              </w:rPr>
            </w:pPr>
            <w:r>
              <w:rPr>
                <w:i/>
                <w:iCs/>
              </w:rPr>
              <w:t xml:space="preserve">[Document whether the MSG has </w:t>
            </w:r>
          </w:p>
          <w:p w14:paraId="5DF3D0A4" w14:textId="77777777" w:rsidR="00C6608B" w:rsidRDefault="00C6608B" w:rsidP="00CA5D09">
            <w:pPr>
              <w:pStyle w:val="ListParagraph"/>
              <w:numPr>
                <w:ilvl w:val="0"/>
                <w:numId w:val="1"/>
              </w:numPr>
              <w:spacing w:before="0" w:after="0" w:line="276" w:lineRule="auto"/>
              <w:contextualSpacing/>
              <w:rPr>
                <w:i/>
                <w:iCs/>
              </w:rPr>
            </w:pPr>
            <w:r w:rsidRPr="00845E2B">
              <w:rPr>
                <w:i/>
                <w:iCs/>
              </w:rPr>
              <w:t>produced summary reports, thematic reports or other analysis</w:t>
            </w:r>
            <w:r>
              <w:t xml:space="preserve"> </w:t>
            </w:r>
            <w:r w:rsidRPr="004B47DA">
              <w:rPr>
                <w:i/>
                <w:iCs/>
              </w:rPr>
              <w:t>that is accessible, concise and easily understood by target audiences</w:t>
            </w:r>
            <w:r w:rsidRPr="00845E2B">
              <w:rPr>
                <w:i/>
                <w:iCs/>
              </w:rPr>
              <w:t>;</w:t>
            </w:r>
          </w:p>
          <w:p w14:paraId="6D9802CF" w14:textId="577F7D5A" w:rsidR="00C6608B" w:rsidRPr="00106B5D" w:rsidRDefault="00485EE9" w:rsidP="00CA5D09">
            <w:pPr>
              <w:pStyle w:val="ListParagraph"/>
              <w:numPr>
                <w:ilvl w:val="0"/>
                <w:numId w:val="1"/>
              </w:numPr>
              <w:spacing w:before="0" w:after="0" w:line="276" w:lineRule="auto"/>
              <w:contextualSpacing/>
              <w:rPr>
                <w:i/>
                <w:iCs/>
              </w:rPr>
            </w:pPr>
            <w:r w:rsidRPr="00106B5D">
              <w:rPr>
                <w:i/>
                <w:iCs/>
              </w:rPr>
              <w:t>summarized</w:t>
            </w:r>
            <w:r w:rsidR="00C6608B" w:rsidRPr="00106B5D">
              <w:rPr>
                <w:i/>
                <w:iCs/>
              </w:rPr>
              <w:t xml:space="preserve"> and compared the share of each revenue stream to the total amount of revenue that accrues to each respective level of government.</w:t>
            </w:r>
          </w:p>
          <w:p w14:paraId="7BB0BA3A" w14:textId="77777777" w:rsidR="00C6608B" w:rsidRPr="00106B5D" w:rsidRDefault="00C6608B" w:rsidP="00CA5D09">
            <w:pPr>
              <w:pStyle w:val="ListParagraph"/>
              <w:numPr>
                <w:ilvl w:val="0"/>
                <w:numId w:val="1"/>
              </w:numPr>
              <w:spacing w:before="0" w:after="0" w:line="276" w:lineRule="auto"/>
              <w:contextualSpacing/>
              <w:rPr>
                <w:i/>
                <w:iCs/>
              </w:rPr>
            </w:pPr>
            <w:r w:rsidRPr="00106B5D">
              <w:rPr>
                <w:i/>
                <w:iCs/>
              </w:rPr>
              <w:t>undertake capacity-building efforts, especially with civil society and through civil society organisations, to improve understanding of the information and data from the reports and online disclosures and encourage use of the information by citizens, the media and others.</w:t>
            </w:r>
          </w:p>
          <w:p w14:paraId="45E54D2A" w14:textId="77777777" w:rsidR="00C6608B" w:rsidRPr="00106B5D" w:rsidRDefault="00C6608B" w:rsidP="003A45E9">
            <w:pPr>
              <w:rPr>
                <w:i/>
                <w:iCs/>
              </w:rPr>
            </w:pPr>
            <w:r w:rsidRPr="00106B5D">
              <w:rPr>
                <w:i/>
                <w:iCs/>
              </w:rPr>
              <w:t>Provide links to supporting evidence.]</w:t>
            </w:r>
          </w:p>
          <w:p w14:paraId="1AF01535" w14:textId="77777777" w:rsidR="003B3FF4" w:rsidRDefault="003B3FF4" w:rsidP="003B3FF4">
            <w:r>
              <w:t xml:space="preserve">Refer to #14 and #15 which list down the awareness programs and road shows held. </w:t>
            </w:r>
          </w:p>
          <w:p w14:paraId="076A55C5" w14:textId="77777777" w:rsidR="003B3FF4" w:rsidRDefault="003B3FF4" w:rsidP="003B3FF4">
            <w:r>
              <w:t xml:space="preserve">Revenue streams are explained, analyzed and compared in the PNGEITI Reports. Each PNGEITI report has an executive summary which provides brief background and highlights information which the MSG considers as relevant for the readers. </w:t>
            </w:r>
          </w:p>
          <w:p w14:paraId="15690CEF" w14:textId="77777777" w:rsidR="003B3FF4" w:rsidRDefault="003B3FF4" w:rsidP="003B3FF4">
            <w:pPr>
              <w:rPr>
                <w:i/>
                <w:iCs/>
              </w:rPr>
            </w:pPr>
            <w:r>
              <w:t>Independent Administrator also hold training sessions prior to release of PNGEITI Scoping, Inception and Reporting templates. The audience always includes reporting entities and civil society.</w:t>
            </w:r>
          </w:p>
          <w:p w14:paraId="6C392FE9" w14:textId="77777777" w:rsidR="003B3FF4" w:rsidRPr="003B3FF4" w:rsidRDefault="003B3FF4" w:rsidP="00134395">
            <w:pPr>
              <w:pStyle w:val="ListParagraph"/>
              <w:numPr>
                <w:ilvl w:val="0"/>
                <w:numId w:val="16"/>
              </w:numPr>
              <w:spacing w:before="0" w:after="0"/>
            </w:pPr>
            <w:r w:rsidRPr="003B3FF4">
              <w:t xml:space="preserve">Media workshop on the PNGEITI Report (2019) – 2020 Newsletter Q1 – Q2 </w:t>
            </w:r>
          </w:p>
          <w:p w14:paraId="68EFE1BF" w14:textId="075E2E33" w:rsidR="003B3FF4" w:rsidRPr="003B3FF4" w:rsidRDefault="003B3FF4" w:rsidP="003B3FF4">
            <w:pPr>
              <w:spacing w:before="120" w:after="0"/>
              <w:ind w:left="591"/>
              <w:rPr>
                <w:rFonts w:eastAsia="Cambria" w:cs="Arial"/>
              </w:rPr>
            </w:pPr>
            <w:r>
              <w:rPr>
                <w:rFonts w:eastAsia="Cambria" w:cs="Arial"/>
              </w:rPr>
              <w:t xml:space="preserve">   </w:t>
            </w:r>
            <w:hyperlink r:id="rId122" w:history="1">
              <w:r w:rsidRPr="003B3FF4">
                <w:rPr>
                  <w:rStyle w:val="Hyperlink"/>
                </w:rPr>
                <w:t>http://www.pngeiti.org.pg/impact-newsletter-issues/</w:t>
              </w:r>
            </w:hyperlink>
            <w:r w:rsidRPr="003B3FF4">
              <w:rPr>
                <w:rFonts w:eastAsia="Cambria" w:cs="Arial"/>
              </w:rPr>
              <w:t xml:space="preserve"> </w:t>
            </w:r>
          </w:p>
          <w:p w14:paraId="55B45000" w14:textId="77777777" w:rsidR="003B3FF4" w:rsidRPr="003B3FF4" w:rsidRDefault="003B3FF4" w:rsidP="00134395">
            <w:pPr>
              <w:numPr>
                <w:ilvl w:val="0"/>
                <w:numId w:val="8"/>
              </w:numPr>
              <w:spacing w:before="120"/>
              <w:rPr>
                <w:rFonts w:eastAsia="Cambria" w:cs="Arial"/>
              </w:rPr>
            </w:pPr>
            <w:r w:rsidRPr="003B3FF4">
              <w:rPr>
                <w:rFonts w:eastAsia="Cambria" w:cs="Arial"/>
              </w:rPr>
              <w:t xml:space="preserve">Micro training – on the 2019 PNGEITI Report – same information posted on PNGEITI social media – Facebook and LinkedIn sites  </w:t>
            </w:r>
          </w:p>
          <w:p w14:paraId="016DF442" w14:textId="32EE65B7" w:rsidR="003B3FF4" w:rsidRPr="003B3FF4" w:rsidRDefault="003B3FF4" w:rsidP="003B3FF4">
            <w:pPr>
              <w:ind w:left="591"/>
              <w:rPr>
                <w:rFonts w:eastAsia="Cambria" w:cs="Arial"/>
              </w:rPr>
            </w:pPr>
            <w:r>
              <w:rPr>
                <w:rFonts w:eastAsia="Cambria" w:cs="Arial"/>
              </w:rPr>
              <w:t xml:space="preserve">  </w:t>
            </w:r>
            <w:hyperlink r:id="rId123" w:history="1">
              <w:r w:rsidRPr="003B3FF4">
                <w:rPr>
                  <w:rFonts w:eastAsia="Cambria" w:cs="Arial"/>
                  <w:color w:val="0000FF"/>
                  <w:u w:val="single"/>
                </w:rPr>
                <w:t>PNG Extractive Industries Transparency Initiative | Facebook</w:t>
              </w:r>
            </w:hyperlink>
          </w:p>
          <w:p w14:paraId="72403CCC" w14:textId="087C5922" w:rsidR="003B3FF4" w:rsidRDefault="003B3FF4" w:rsidP="003B3FF4">
            <w:pPr>
              <w:rPr>
                <w:rFonts w:eastAsia="Cambria" w:cs="Arial"/>
                <w:color w:val="0000FF"/>
                <w:u w:val="single"/>
              </w:rPr>
            </w:pPr>
            <w:r>
              <w:rPr>
                <w:rFonts w:eastAsia="Cambria" w:cs="Arial"/>
              </w:rPr>
              <w:t xml:space="preserve">             </w:t>
            </w:r>
            <w:hyperlink r:id="rId124" w:history="1">
              <w:r w:rsidRPr="003B3FF4">
                <w:rPr>
                  <w:rFonts w:eastAsia="Cambria" w:cs="Arial"/>
                  <w:color w:val="0000FF"/>
                  <w:u w:val="single"/>
                </w:rPr>
                <w:t>PNG Extractive Industries Transparency Initiative | LinkedIn</w:t>
              </w:r>
            </w:hyperlink>
          </w:p>
          <w:p w14:paraId="7E25E908" w14:textId="2A7A4DA7" w:rsidR="003B3FF4" w:rsidRDefault="003B3FF4" w:rsidP="00134395">
            <w:pPr>
              <w:pStyle w:val="ListParagraph"/>
              <w:numPr>
                <w:ilvl w:val="0"/>
                <w:numId w:val="8"/>
              </w:numPr>
              <w:spacing w:after="120"/>
            </w:pPr>
            <w:r>
              <w:t xml:space="preserve">Reports are also distributed at conference and </w:t>
            </w:r>
            <w:proofErr w:type="gramStart"/>
            <w:r>
              <w:t>workshops</w:t>
            </w:r>
            <w:r w:rsidR="002E141C">
              <w:t xml:space="preserve"> </w:t>
            </w:r>
            <w:r>
              <w:t xml:space="preserve"> for</w:t>
            </w:r>
            <w:proofErr w:type="gramEnd"/>
            <w:r>
              <w:t xml:space="preserve"> example; </w:t>
            </w:r>
          </w:p>
          <w:p w14:paraId="0F69CE4C" w14:textId="31045D65" w:rsidR="003B3FF4" w:rsidRDefault="003B3FF4" w:rsidP="003B3FF4">
            <w:pPr>
              <w:spacing w:before="0" w:after="120"/>
              <w:ind w:left="875"/>
            </w:pPr>
            <w:r>
              <w:t xml:space="preserve"> - the Certified Practicing Accountants conference – 2018, 2019, (newsletter online)</w:t>
            </w:r>
          </w:p>
          <w:p w14:paraId="6ABC22A0" w14:textId="4EF67B3E" w:rsidR="005F5C53" w:rsidRPr="008E26E3" w:rsidRDefault="006F55C9" w:rsidP="00B853FC">
            <w:pPr>
              <w:spacing w:before="0" w:after="0"/>
              <w:ind w:left="875"/>
            </w:pPr>
            <w:hyperlink r:id="rId125" w:history="1">
              <w:r w:rsidR="005F5C53" w:rsidRPr="005F5C53">
                <w:rPr>
                  <w:rStyle w:val="Hyperlink"/>
                  <w:rFonts w:eastAsia="Cambria" w:cs="Arial"/>
                </w:rPr>
                <w:t>http://www.pngeiti.org.pg/wp-content/uploads/2019/12/2019-Q3-Q4-Newsletter.pdf</w:t>
              </w:r>
            </w:hyperlink>
          </w:p>
          <w:p w14:paraId="691BECC9" w14:textId="56DAA4B7" w:rsidR="003B3FF4" w:rsidRDefault="003B3FF4" w:rsidP="002E141C">
            <w:pPr>
              <w:spacing w:before="0" w:after="0"/>
              <w:ind w:left="1026"/>
            </w:pPr>
            <w:r>
              <w:t>-</w:t>
            </w:r>
            <w:r w:rsidR="0040515A">
              <w:t xml:space="preserve"> </w:t>
            </w:r>
            <w:r>
              <w:t xml:space="preserve">PNG Mining and Petroleum biannual conference hosted by the Chamber of Mines &amp; Petroleum (newsletter online) </w:t>
            </w:r>
          </w:p>
          <w:p w14:paraId="6F57B72E" w14:textId="77777777" w:rsidR="003B3FF4" w:rsidRDefault="003B3FF4" w:rsidP="002E141C">
            <w:pPr>
              <w:spacing w:before="120" w:after="120"/>
              <w:ind w:firstLine="1026"/>
            </w:pPr>
            <w:r>
              <w:t>-</w:t>
            </w:r>
            <w:r w:rsidRPr="008E26E3">
              <w:t xml:space="preserve"> </w:t>
            </w:r>
            <w:r>
              <w:t xml:space="preserve">PNGEITI Regional Consultations on the Commission Bill – (newsletter online)  </w:t>
            </w:r>
          </w:p>
          <w:p w14:paraId="131B4996" w14:textId="019D99BF" w:rsidR="003B3FF4" w:rsidRDefault="003B3FF4" w:rsidP="002E141C">
            <w:pPr>
              <w:spacing w:before="120" w:after="120"/>
              <w:ind w:left="1168" w:hanging="142"/>
            </w:pPr>
            <w:r>
              <w:t>-</w:t>
            </w:r>
            <w:r w:rsidR="0040515A">
              <w:t xml:space="preserve"> </w:t>
            </w:r>
            <w:r>
              <w:t xml:space="preserve">Project MoA review – </w:t>
            </w:r>
            <w:proofErr w:type="gramStart"/>
            <w:r>
              <w:t>awareness  and</w:t>
            </w:r>
            <w:proofErr w:type="gramEnd"/>
            <w:r>
              <w:t xml:space="preserve"> presentation of PNGEITI Reports (newsletter </w:t>
            </w:r>
            <w:r w:rsidR="002E141C">
              <w:t xml:space="preserve"> </w:t>
            </w:r>
            <w:r>
              <w:t xml:space="preserve">online/and activity reports) </w:t>
            </w:r>
          </w:p>
          <w:p w14:paraId="25742639" w14:textId="65CF5E4B" w:rsidR="003B3FF4" w:rsidRDefault="00CC41D3" w:rsidP="00134395">
            <w:pPr>
              <w:pStyle w:val="ListParagraph"/>
              <w:numPr>
                <w:ilvl w:val="0"/>
                <w:numId w:val="16"/>
              </w:numPr>
            </w:pPr>
            <w:r>
              <w:lastRenderedPageBreak/>
              <w:t xml:space="preserve">Distribution of EITI reports by MRA in </w:t>
            </w:r>
            <w:proofErr w:type="spellStart"/>
            <w:r>
              <w:t>it’s</w:t>
            </w:r>
            <w:proofErr w:type="spellEnd"/>
            <w:r>
              <w:t xml:space="preserve"> road shows, i.e. Goroka Show, Lae Agriculture Show and other events.</w:t>
            </w:r>
          </w:p>
          <w:p w14:paraId="5F614EEB" w14:textId="0871CC1A" w:rsidR="00CC41D3" w:rsidRPr="003B3FF4" w:rsidRDefault="00CC41D3" w:rsidP="00134395">
            <w:pPr>
              <w:pStyle w:val="ListParagraph"/>
              <w:numPr>
                <w:ilvl w:val="0"/>
                <w:numId w:val="16"/>
              </w:numPr>
            </w:pPr>
            <w:r>
              <w:t>MRA also positions the reports at strategic locations for public viewing in the Mining Haus reception and the library.</w:t>
            </w:r>
          </w:p>
          <w:p w14:paraId="08CE151C" w14:textId="77777777" w:rsidR="00C6608B" w:rsidRDefault="00C6608B" w:rsidP="003A45E9"/>
        </w:tc>
      </w:tr>
    </w:tbl>
    <w:p w14:paraId="2C8800A0" w14:textId="77777777" w:rsidR="00C6608B" w:rsidRPr="0060568E" w:rsidRDefault="00C6608B" w:rsidP="00C6608B"/>
    <w:p w14:paraId="788CC1C1" w14:textId="5441E2D4" w:rsidR="00C6608B" w:rsidRDefault="00C6608B" w:rsidP="00C6608B">
      <w:pPr>
        <w:rPr>
          <w:b/>
        </w:rPr>
      </w:pPr>
      <w:r w:rsidRPr="008601E7">
        <w:rPr>
          <w:b/>
          <w:bCs/>
        </w:rPr>
        <w:t>1</w:t>
      </w:r>
      <w:r w:rsidR="003050D3">
        <w:rPr>
          <w:b/>
          <w:bCs/>
        </w:rPr>
        <w:t>8</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3A45E9">
        <w:tc>
          <w:tcPr>
            <w:tcW w:w="9062" w:type="dxa"/>
          </w:tcPr>
          <w:p w14:paraId="0643082F" w14:textId="0D6F3639" w:rsidR="00AB1058" w:rsidRDefault="00AB1058" w:rsidP="00AB1058">
            <w:r>
              <w:t xml:space="preserve">Local roadshows can be done as frequent as required. Local conventions supported by local government units can also be done to reach out to wider audience. </w:t>
            </w:r>
          </w:p>
          <w:p w14:paraId="4AF1FBD4" w14:textId="7E7FDAFB" w:rsidR="00C6608B" w:rsidRDefault="00AB1058" w:rsidP="00AB1058">
            <w:r>
              <w:t>During festivities, where local communities gather, EITI can make itself visible and present by placing kiosks or show its activities in a wide screen.</w:t>
            </w:r>
          </w:p>
          <w:p w14:paraId="692EC81B" w14:textId="60CBD530" w:rsidR="00AB1058" w:rsidRDefault="00AB1058" w:rsidP="008D5DB5">
            <w:pPr>
              <w:spacing w:before="0" w:after="0"/>
            </w:pPr>
            <w:r>
              <w:t xml:space="preserve">This is addressed by the revised Communications Strategy which is very comprehensive and detailed. The revision and drafting of the Communications Strategy </w:t>
            </w:r>
            <w:proofErr w:type="gramStart"/>
            <w:r>
              <w:t>was</w:t>
            </w:r>
            <w:proofErr w:type="gramEnd"/>
            <w:r>
              <w:t xml:space="preserve"> done with technical support from the JICA expert team, under the PNGEITI JICA Project – under Activity Output 3- Awareness Promotion. Content of awareness material are being translated to Tok Pisin. </w:t>
            </w:r>
            <w:r w:rsidR="008D5DB5">
              <w:t>The revised communications strategy can be accessed via the link below:</w:t>
            </w:r>
          </w:p>
          <w:p w14:paraId="06BE7EA4" w14:textId="6508D161" w:rsidR="008D5DB5" w:rsidRDefault="006F55C9" w:rsidP="008D5DB5">
            <w:pPr>
              <w:spacing w:before="0" w:after="0"/>
            </w:pPr>
            <w:hyperlink r:id="rId126" w:history="1">
              <w:r w:rsidR="008D5DB5" w:rsidRPr="00530F4D">
                <w:rPr>
                  <w:rStyle w:val="Hyperlink"/>
                </w:rPr>
                <w:t>http://www.pngeiti.org.pg/wp-content/uploads/2018/04/104-PNGEITI_-Media-Communication-Strategy-2022-2023_final_v0406-002-Autosaved-converted.pdf</w:t>
              </w:r>
            </w:hyperlink>
          </w:p>
          <w:p w14:paraId="0A00CAD2" w14:textId="26626DDD" w:rsidR="00AB1058" w:rsidRDefault="00AB1058" w:rsidP="00AB1058">
            <w:r>
              <w:t>Also, there are ongoing calendar events that are organised annually such as the TIPNG’s Walk Against Corruption Association (WACA) Mike Manning Camp that PNGEITI is invited to present or do an awareness presentation.</w:t>
            </w:r>
          </w:p>
          <w:p w14:paraId="49C4B604" w14:textId="60E2DE27" w:rsidR="00976675" w:rsidRDefault="00976675" w:rsidP="00976675">
            <w:r>
              <w:t xml:space="preserve">Similarly, PNG Chamber of Mines and </w:t>
            </w:r>
            <w:proofErr w:type="spellStart"/>
            <w:r>
              <w:t>Petroelum</w:t>
            </w:r>
            <w:proofErr w:type="spellEnd"/>
            <w:r>
              <w:t xml:space="preserve"> </w:t>
            </w:r>
            <w:proofErr w:type="spellStart"/>
            <w:r>
              <w:t>organises</w:t>
            </w:r>
            <w:proofErr w:type="spellEnd"/>
            <w:r>
              <w:t xml:space="preserve"> the Mining and Petroleum Conference in December where PNGEITI presents the findings of the EITI Report, the reconciliated financial Data, general update on progress of EITI implementation as well as exhibit information at the display booths. Most of these reports or updates are captured in the Newsletter. </w:t>
            </w:r>
          </w:p>
          <w:p w14:paraId="214406C7" w14:textId="17AC0A74" w:rsidR="00976675" w:rsidRDefault="00976675" w:rsidP="00976675">
            <w:r>
              <w:t>PNGEITI National Secretariat staff and MSG members have had attended number of talk back shows, talking about EITI on local radio stations (FM100 and NBC).</w:t>
            </w:r>
            <w:r w:rsidR="003050D3">
              <w:t xml:space="preserve"> </w:t>
            </w:r>
          </w:p>
          <w:p w14:paraId="4056D174" w14:textId="77777777" w:rsidR="00C6608B" w:rsidRDefault="00C6608B" w:rsidP="003A45E9"/>
          <w:p w14:paraId="5DAE1605" w14:textId="77777777" w:rsidR="00C6608B" w:rsidRDefault="00C6608B" w:rsidP="003A45E9"/>
        </w:tc>
      </w:tr>
    </w:tbl>
    <w:p w14:paraId="7682629B" w14:textId="77777777" w:rsidR="00C6608B" w:rsidRDefault="00C6608B" w:rsidP="00C6608B"/>
    <w:p w14:paraId="030DDD35" w14:textId="77777777" w:rsidR="00C6608B" w:rsidRPr="0060568E" w:rsidRDefault="00C6608B" w:rsidP="00C6608B">
      <w:pPr>
        <w:pStyle w:val="Heading1"/>
        <w:rPr>
          <w:rFonts w:ascii="Franklin Gothic Book" w:hAnsi="Franklin Gothic Book"/>
        </w:rPr>
      </w:pPr>
      <w:bookmarkStart w:id="13" w:name="_Toc57973532"/>
      <w:r w:rsidRPr="0060568E">
        <w:rPr>
          <w:rFonts w:ascii="Franklin Gothic Book" w:hAnsi="Franklin Gothic Book"/>
        </w:rPr>
        <w:lastRenderedPageBreak/>
        <w:t>Part III: Sustainability and effectiveness</w:t>
      </w:r>
      <w:bookmarkEnd w:id="13"/>
    </w:p>
    <w:p w14:paraId="45EBE856" w14:textId="06BCE50E" w:rsidR="00C6608B" w:rsidRDefault="00C6608B" w:rsidP="00C6608B">
      <w:r w:rsidRPr="00884875">
        <w:rPr>
          <w:b/>
          <w:bCs/>
        </w:rPr>
        <w:t>1</w:t>
      </w:r>
      <w:r w:rsidR="003050D3">
        <w:rPr>
          <w:b/>
          <w:bCs/>
        </w:rPr>
        <w:t>9</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05AF7F68" w:rsidR="00C6608B" w:rsidRPr="0017107F" w:rsidRDefault="00C6608B" w:rsidP="00C6608B">
      <w:r>
        <w:t>Each indicator will be assigned 0, 0.5 or 1 points by the EITI Board. The points will be added to the</w:t>
      </w:r>
      <w:r w:rsidR="00BD4A8C">
        <w:t xml:space="preserve"> Outcomes and impact</w:t>
      </w:r>
      <w:r>
        <w:t xml:space="preserve"> </w:t>
      </w:r>
      <w:r w:rsidR="00BD4A8C">
        <w:t>component</w:t>
      </w:r>
      <w: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A5D09">
      <w:pPr>
        <w:pStyle w:val="ListParagraph"/>
        <w:numPr>
          <w:ilvl w:val="0"/>
          <w:numId w:val="2"/>
        </w:numPr>
        <w:spacing w:before="0" w:after="120"/>
        <w:contextualSpacing/>
      </w:pPr>
      <w:r w:rsidRPr="00002638">
        <w:rPr>
          <w:iCs/>
        </w:rPr>
        <w:t>EITI implementation addresses nationally relevant extractive sector governance challenges.</w:t>
      </w:r>
      <w:r w:rsidRPr="00A04A73">
        <w:t xml:space="preserve"> </w:t>
      </w:r>
      <w:r>
        <w:t>This indicator also recognises efforts beyond the EITI Standard.</w:t>
      </w:r>
    </w:p>
    <w:p w14:paraId="509FE1F3" w14:textId="77777777" w:rsidR="00C6608B" w:rsidRPr="00444E47" w:rsidRDefault="00C6608B" w:rsidP="00C6608B">
      <w:pPr>
        <w:pStyle w:val="ListParagraph"/>
        <w:spacing w:after="120"/>
        <w:rPr>
          <w:i/>
          <w:iCs/>
        </w:rPr>
      </w:pPr>
    </w:p>
    <w:tbl>
      <w:tblPr>
        <w:tblStyle w:val="TableGrid"/>
        <w:tblW w:w="8631" w:type="dxa"/>
        <w:tblInd w:w="720" w:type="dxa"/>
        <w:tblLook w:val="04A0" w:firstRow="1" w:lastRow="0" w:firstColumn="1" w:lastColumn="0" w:noHBand="0" w:noVBand="1"/>
      </w:tblPr>
      <w:tblGrid>
        <w:gridCol w:w="8631"/>
      </w:tblGrid>
      <w:tr w:rsidR="00C6608B" w:rsidRPr="00AA60DE" w14:paraId="7A7ED48E" w14:textId="77777777" w:rsidTr="00685F1B">
        <w:trPr>
          <w:trHeight w:val="6735"/>
        </w:trPr>
        <w:tc>
          <w:tcPr>
            <w:tcW w:w="8631" w:type="dxa"/>
          </w:tcPr>
          <w:p w14:paraId="20AC0B4F" w14:textId="5B6FFCD3" w:rsidR="00C6608B" w:rsidRPr="00AD781F" w:rsidRDefault="00AD781F" w:rsidP="00134395">
            <w:pPr>
              <w:pStyle w:val="TextBold"/>
              <w:numPr>
                <w:ilvl w:val="0"/>
                <w:numId w:val="11"/>
              </w:numPr>
            </w:pPr>
            <w:r w:rsidRPr="00AD781F">
              <w:t>EITI Related Reforms to improve sector governance challenges</w:t>
            </w:r>
          </w:p>
          <w:p w14:paraId="2AB4A134" w14:textId="6E85CC77" w:rsidR="00C6608B" w:rsidRDefault="00AD781F" w:rsidP="00AD781F">
            <w:pPr>
              <w:jc w:val="both"/>
            </w:pPr>
            <w:r w:rsidRPr="006D771A">
              <w:t>EITI implementation in PNG has given rise to some critical reforms to improve sector governance. These reforms culminated from the recommendations made from the PNGEITI reports that have been published and the outcome of the first validation. This is also coupled with mandatory actions required from PNG to meet a number of new requirements of the EITI Standard. These ongoing reform-oriented programs and activities are outlined below:</w:t>
            </w:r>
          </w:p>
          <w:p w14:paraId="1E01DBEE" w14:textId="670A9CD8" w:rsidR="00AD781F" w:rsidRPr="00315982" w:rsidRDefault="00AD781F" w:rsidP="00BB0106">
            <w:pPr>
              <w:pStyle w:val="ListParagraph"/>
              <w:spacing w:after="120"/>
              <w:rPr>
                <w:b/>
                <w:bCs/>
                <w:u w:val="single"/>
              </w:rPr>
            </w:pPr>
            <w:r w:rsidRPr="00315982">
              <w:rPr>
                <w:b/>
                <w:bCs/>
                <w:u w:val="single"/>
              </w:rPr>
              <w:t>1.1 Disclosure of Beneficial Ownership Information</w:t>
            </w:r>
          </w:p>
          <w:p w14:paraId="04E6CEFB" w14:textId="32A40BC4" w:rsidR="00AD781F" w:rsidRDefault="00A562B0" w:rsidP="00A562B0">
            <w:pPr>
              <w:jc w:val="both"/>
            </w:pPr>
            <w:r>
              <w:t>According to the Beneficial Ownership Roadmap Report, a beneficial owner is defined as a</w:t>
            </w:r>
            <w:r w:rsidR="00BB0106">
              <w:t xml:space="preserve"> beneficial owner in respect of a company means the natural person</w:t>
            </w:r>
            <w:r>
              <w:t>(s)</w:t>
            </w:r>
            <w:r w:rsidR="00BB0106">
              <w:t xml:space="preserve"> who directly or indirectly</w:t>
            </w:r>
            <w:r>
              <w:t xml:space="preserve"> ultimately owns or controls the corporate entity.</w:t>
            </w:r>
          </w:p>
          <w:p w14:paraId="259F2516" w14:textId="77777777" w:rsidR="00A562B0" w:rsidRPr="006D771A" w:rsidRDefault="00A562B0" w:rsidP="00A562B0">
            <w:pPr>
              <w:jc w:val="both"/>
              <w:rPr>
                <w:rFonts w:eastAsia="Calibri" w:cs="Arial"/>
                <w:b/>
                <w:bCs/>
                <w:szCs w:val="22"/>
              </w:rPr>
            </w:pPr>
            <w:r w:rsidRPr="5EF89444">
              <w:rPr>
                <w:rFonts w:eastAsia="Calibri" w:cs="Arial"/>
                <w:szCs w:val="22"/>
              </w:rPr>
              <w:t xml:space="preserve">The 2019 EITI Standard requires that EITI reports from 2020 onwards include information relating to the beneficial ownership of corporate entities that bid for, operate or invest in extractive assets. </w:t>
            </w:r>
          </w:p>
          <w:p w14:paraId="0C7CD789" w14:textId="77777777" w:rsidR="00A562B0" w:rsidRDefault="00A562B0" w:rsidP="00A562B0">
            <w:pPr>
              <w:jc w:val="both"/>
              <w:rPr>
                <w:rFonts w:eastAsia="Calibri" w:cs="Arial"/>
                <w:szCs w:val="22"/>
              </w:rPr>
            </w:pPr>
            <w:r w:rsidRPr="5EF89444">
              <w:rPr>
                <w:rFonts w:eastAsia="Calibri" w:cs="Arial"/>
                <w:szCs w:val="22"/>
              </w:rPr>
              <w:t>The PNGEITI commissioned a scoping study on Beneficial Ownership that was completed in November 2016 and a Beneficial Ownership Roadmap report was published in 2017.</w:t>
            </w:r>
            <w:r w:rsidR="001962A2">
              <w:rPr>
                <w:rFonts w:eastAsia="Calibri" w:cs="Arial"/>
                <w:szCs w:val="22"/>
              </w:rPr>
              <w:t xml:space="preserve">The roadmap </w:t>
            </w:r>
            <w:r w:rsidR="001962A2" w:rsidRPr="5EF89444">
              <w:rPr>
                <w:rFonts w:eastAsia="Calibri" w:cs="Arial"/>
                <w:szCs w:val="22"/>
              </w:rPr>
              <w:t>included a costing and a work plan which was implemented from 2017 to 2019. The PNGEITI defined the following in the context of PNG:</w:t>
            </w:r>
          </w:p>
          <w:p w14:paraId="5C70D3A0" w14:textId="77777777" w:rsidR="001962A2" w:rsidRDefault="001962A2" w:rsidP="00134395">
            <w:pPr>
              <w:pStyle w:val="ListParagraph"/>
              <w:numPr>
                <w:ilvl w:val="0"/>
                <w:numId w:val="11"/>
              </w:numPr>
              <w:spacing w:after="0"/>
              <w:jc w:val="both"/>
            </w:pPr>
            <w:r>
              <w:t>Beneficial Ownership</w:t>
            </w:r>
          </w:p>
          <w:p w14:paraId="5CE5D44E" w14:textId="77777777" w:rsidR="001962A2" w:rsidRPr="006D771A" w:rsidRDefault="001962A2" w:rsidP="00134395">
            <w:pPr>
              <w:pStyle w:val="NormalWeb"/>
              <w:numPr>
                <w:ilvl w:val="0"/>
                <w:numId w:val="11"/>
              </w:numPr>
              <w:shd w:val="clear" w:color="auto" w:fill="FFFFFF"/>
              <w:spacing w:before="0" w:beforeAutospacing="0" w:after="0" w:afterAutospacing="0"/>
              <w:jc w:val="both"/>
              <w:textAlignment w:val="baseline"/>
              <w:rPr>
                <w:rFonts w:ascii="Franklin Gothic Book" w:eastAsia="Calibri" w:hAnsi="Franklin Gothic Book" w:cs="Arial"/>
                <w:sz w:val="22"/>
                <w:szCs w:val="22"/>
                <w:lang w:val="en-US" w:eastAsia="en-US"/>
              </w:rPr>
            </w:pPr>
            <w:r w:rsidRPr="006D771A">
              <w:rPr>
                <w:rFonts w:ascii="Franklin Gothic Book" w:eastAsia="Calibri" w:hAnsi="Franklin Gothic Book" w:cs="Arial"/>
                <w:sz w:val="22"/>
                <w:szCs w:val="22"/>
                <w:lang w:val="en-US" w:eastAsia="en-US"/>
              </w:rPr>
              <w:t>Politically exposed person(s) in line with the PNG Anti-Money Laundering and Counter Terrorist Financing Act 2015;</w:t>
            </w:r>
          </w:p>
          <w:p w14:paraId="6A46542E" w14:textId="17910640" w:rsidR="001962A2" w:rsidRPr="001962A2" w:rsidRDefault="001962A2" w:rsidP="00134395">
            <w:pPr>
              <w:pStyle w:val="ListParagraph"/>
              <w:numPr>
                <w:ilvl w:val="0"/>
                <w:numId w:val="11"/>
              </w:numPr>
              <w:spacing w:before="0" w:after="0"/>
              <w:jc w:val="both"/>
            </w:pPr>
            <w:r w:rsidRPr="006D771A">
              <w:rPr>
                <w:rFonts w:eastAsia="Calibri" w:cs="Arial"/>
                <w:szCs w:val="22"/>
              </w:rPr>
              <w:t>A materiality threshold for beneficial ownership set at 5%, but which also considers the corporate structure of the companies operating in the country, an individual’s full aggregated interest as well as different means of exercising ownership and control.</w:t>
            </w:r>
          </w:p>
          <w:p w14:paraId="33D72FB7" w14:textId="77777777" w:rsidR="00684416" w:rsidRDefault="00684416" w:rsidP="001962A2">
            <w:pPr>
              <w:spacing w:before="0" w:after="0"/>
              <w:jc w:val="both"/>
            </w:pPr>
          </w:p>
          <w:p w14:paraId="0025C347" w14:textId="7A7155D5" w:rsidR="005C46A3" w:rsidRDefault="00C60A05" w:rsidP="001962A2">
            <w:pPr>
              <w:spacing w:before="0" w:after="0"/>
              <w:jc w:val="both"/>
            </w:pPr>
            <w:r>
              <w:t>PNGEITI</w:t>
            </w:r>
            <w:r w:rsidR="00874730">
              <w:t xml:space="preserve"> MSG has agreed that establishing of beneficial ownership registers</w:t>
            </w:r>
            <w:r w:rsidR="00CC0AA9">
              <w:t xml:space="preserve"> or </w:t>
            </w:r>
            <w:proofErr w:type="spellStart"/>
            <w:r w:rsidR="00CC0AA9">
              <w:t>licence</w:t>
            </w:r>
            <w:proofErr w:type="spellEnd"/>
            <w:r w:rsidR="00CC0AA9">
              <w:t xml:space="preserve"> registers</w:t>
            </w:r>
            <w:r w:rsidR="00874730">
              <w:t xml:space="preserve"> </w:t>
            </w:r>
            <w:r w:rsidR="00CC0AA9">
              <w:t>with the Investment Promotion Authority would be the</w:t>
            </w:r>
            <w:r w:rsidR="009E5AA6">
              <w:t xml:space="preserve"> most</w:t>
            </w:r>
            <w:r w:rsidR="00CC0AA9">
              <w:t xml:space="preserve"> appropriate government agency. As such, there is an on-going work at IPA, supported through ADB </w:t>
            </w:r>
            <w:r w:rsidR="00CC0AA9">
              <w:lastRenderedPageBreak/>
              <w:t>technical assistance project for review of all legislations administered by the IPA as part of the government’s legislative reforms</w:t>
            </w:r>
            <w:r w:rsidR="005C46A3">
              <w:t xml:space="preserve"> to create a conducive environment for further investment. The consultant is required to recommend practical approaches to working with the PNG IPA through these legislative reforms to include the EITA work on beneficial ownership, especially to amend the Companies Act and other laws for BO reporting in the future. More information can be accessed via the link</w:t>
            </w:r>
            <w:r w:rsidR="00B6302C">
              <w:t>s</w:t>
            </w:r>
            <w:r w:rsidR="005C46A3">
              <w:t xml:space="preserve"> below:</w:t>
            </w:r>
          </w:p>
          <w:p w14:paraId="0247401E" w14:textId="4065C0EE" w:rsidR="00B6302C" w:rsidRDefault="006F55C9" w:rsidP="001962A2">
            <w:pPr>
              <w:spacing w:before="0" w:after="0"/>
              <w:jc w:val="both"/>
            </w:pPr>
            <w:hyperlink r:id="rId127" w:history="1">
              <w:r w:rsidR="00B6302C">
                <w:rPr>
                  <w:rStyle w:val="Hyperlink"/>
                </w:rPr>
                <w:t>PNGEITI-Roadmap-Implementation-Manager-Completion-report-phase-2.pdf</w:t>
              </w:r>
            </w:hyperlink>
          </w:p>
          <w:p w14:paraId="145E9A93" w14:textId="77777777" w:rsidR="00B6302C" w:rsidRDefault="00B6302C" w:rsidP="001962A2">
            <w:pPr>
              <w:spacing w:before="0" w:after="0"/>
              <w:jc w:val="both"/>
            </w:pPr>
          </w:p>
          <w:p w14:paraId="4AD52A13" w14:textId="1CC70E15" w:rsidR="005C46A3" w:rsidRDefault="006F55C9" w:rsidP="001962A2">
            <w:pPr>
              <w:spacing w:before="0" w:after="0"/>
              <w:jc w:val="both"/>
            </w:pPr>
            <w:hyperlink r:id="rId128" w:history="1">
              <w:r w:rsidR="005C46A3" w:rsidRPr="00530F4D">
                <w:rPr>
                  <w:rStyle w:val="Hyperlink"/>
                </w:rPr>
                <w:t>http://www.pngeiti.org.pg/wp-content/uploads/2018/04/TOR-for-BO-Report-Preparation-1.pdf</w:t>
              </w:r>
            </w:hyperlink>
          </w:p>
          <w:p w14:paraId="4DC0BF1D" w14:textId="6282922B" w:rsidR="005C46A3" w:rsidRDefault="005C46A3" w:rsidP="001962A2">
            <w:pPr>
              <w:spacing w:before="0" w:after="0"/>
              <w:jc w:val="both"/>
            </w:pPr>
          </w:p>
          <w:p w14:paraId="462E56A9" w14:textId="7B84D62C" w:rsidR="00812730" w:rsidRDefault="00812730" w:rsidP="001962A2">
            <w:pPr>
              <w:spacing w:before="0" w:after="0"/>
              <w:jc w:val="both"/>
              <w:rPr>
                <w:rStyle w:val="normaltextrun"/>
                <w:color w:val="000000"/>
                <w:szCs w:val="22"/>
                <w:bdr w:val="none" w:sz="0" w:space="0" w:color="auto" w:frame="1"/>
              </w:rPr>
            </w:pPr>
            <w:r>
              <w:rPr>
                <w:rStyle w:val="normaltextrun"/>
                <w:color w:val="000000"/>
                <w:szCs w:val="22"/>
                <w:bdr w:val="none" w:sz="0" w:space="0" w:color="auto" w:frame="1"/>
              </w:rPr>
              <w:t>Furthermore, a beneficial ownership report was published in 2020 which included a description of the approach, definitions and scope of the BO data collection and provided recommendations on issues that needed to be addressed. The PNGEITI</w:t>
            </w:r>
            <w:r w:rsidR="008A499B">
              <w:rPr>
                <w:rStyle w:val="normaltextrun"/>
                <w:color w:val="000000"/>
                <w:szCs w:val="22"/>
                <w:bdr w:val="none" w:sz="0" w:space="0" w:color="auto" w:frame="1"/>
              </w:rPr>
              <w:t xml:space="preserve"> has been working</w:t>
            </w:r>
            <w:r w:rsidR="00466C69">
              <w:rPr>
                <w:rStyle w:val="normaltextrun"/>
                <w:color w:val="000000"/>
                <w:szCs w:val="22"/>
                <w:bdr w:val="none" w:sz="0" w:space="0" w:color="auto" w:frame="1"/>
              </w:rPr>
              <w:t xml:space="preserve"> closely with IPA on the BO register since the BO requirement came into existence in the 2016 standard and made compulsory for EITI implementing countries to report on BO from 2020</w:t>
            </w:r>
            <w:r w:rsidR="00DE0A90">
              <w:rPr>
                <w:rStyle w:val="normaltextrun"/>
                <w:color w:val="000000"/>
                <w:szCs w:val="22"/>
                <w:bdr w:val="none" w:sz="0" w:space="0" w:color="auto" w:frame="1"/>
              </w:rPr>
              <w:t xml:space="preserve">. A scoping study report has been completed and a </w:t>
            </w:r>
            <w:hyperlink r:id="rId129" w:history="1">
              <w:r w:rsidR="00DE0A90" w:rsidRPr="008A499B">
                <w:rPr>
                  <w:rStyle w:val="Hyperlink"/>
                  <w:szCs w:val="22"/>
                  <w:bdr w:val="none" w:sz="0" w:space="0" w:color="auto" w:frame="1"/>
                </w:rPr>
                <w:t>BO report was commissioned by the MSG in 2020 and completed in 2021</w:t>
              </w:r>
            </w:hyperlink>
            <w:r w:rsidR="00DE0A90">
              <w:rPr>
                <w:rStyle w:val="normaltextrun"/>
                <w:color w:val="000000"/>
                <w:szCs w:val="22"/>
                <w:bdr w:val="none" w:sz="0" w:space="0" w:color="auto" w:frame="1"/>
              </w:rPr>
              <w:t>. PNGEITI</w:t>
            </w:r>
            <w:r>
              <w:rPr>
                <w:rStyle w:val="normaltextrun"/>
                <w:color w:val="000000"/>
                <w:szCs w:val="22"/>
                <w:bdr w:val="none" w:sz="0" w:space="0" w:color="auto" w:frame="1"/>
              </w:rPr>
              <w:t xml:space="preserve"> will continue to work with the IPA</w:t>
            </w:r>
            <w:r w:rsidR="00DE0A90">
              <w:rPr>
                <w:rStyle w:val="normaltextrun"/>
                <w:color w:val="000000"/>
                <w:szCs w:val="22"/>
                <w:bdr w:val="none" w:sz="0" w:space="0" w:color="auto" w:frame="1"/>
              </w:rPr>
              <w:t>, BPNG</w:t>
            </w:r>
            <w:r>
              <w:rPr>
                <w:rStyle w:val="normaltextrun"/>
                <w:color w:val="000000"/>
                <w:szCs w:val="22"/>
                <w:bdr w:val="none" w:sz="0" w:space="0" w:color="auto" w:frame="1"/>
              </w:rPr>
              <w:t xml:space="preserve"> and other relevant entities in 2022 to consider amending the Companies Act and other associated legislations for a mandatory BO disclosure regime and the creation of a BO data registry at the IPA office.</w:t>
            </w:r>
            <w:r w:rsidR="00DE0A90">
              <w:rPr>
                <w:rStyle w:val="normaltextrun"/>
                <w:color w:val="000000"/>
                <w:szCs w:val="22"/>
                <w:bdr w:val="none" w:sz="0" w:space="0" w:color="auto" w:frame="1"/>
              </w:rPr>
              <w:t xml:space="preserve"> All r</w:t>
            </w:r>
            <w:r>
              <w:rPr>
                <w:rStyle w:val="normaltextrun"/>
                <w:color w:val="000000"/>
                <w:szCs w:val="22"/>
                <w:bdr w:val="none" w:sz="0" w:space="0" w:color="auto" w:frame="1"/>
              </w:rPr>
              <w:t>eport</w:t>
            </w:r>
            <w:r w:rsidR="00DE0A90">
              <w:rPr>
                <w:rStyle w:val="normaltextrun"/>
                <w:color w:val="000000"/>
                <w:szCs w:val="22"/>
                <w:bdr w:val="none" w:sz="0" w:space="0" w:color="auto" w:frame="1"/>
              </w:rPr>
              <w:t>s are available on the PNGEITI website</w:t>
            </w:r>
            <w:r>
              <w:rPr>
                <w:rStyle w:val="normaltextrun"/>
                <w:color w:val="000000"/>
                <w:szCs w:val="22"/>
                <w:bdr w:val="none" w:sz="0" w:space="0" w:color="auto" w:frame="1"/>
              </w:rPr>
              <w:t xml:space="preserve"> can be accessed via the link below:</w:t>
            </w:r>
          </w:p>
          <w:p w14:paraId="3E9E8E58" w14:textId="77777777" w:rsidR="00DE0A90" w:rsidRDefault="006F55C9" w:rsidP="00DE0A90">
            <w:pPr>
              <w:spacing w:before="120" w:after="0"/>
              <w:jc w:val="both"/>
            </w:pPr>
            <w:hyperlink r:id="rId130" w:history="1">
              <w:r w:rsidR="00DE0A90" w:rsidRPr="00530F4D">
                <w:rPr>
                  <w:rStyle w:val="Hyperlink"/>
                </w:rPr>
                <w:t>http://www.pngeiti.org.pg/beneficial-ownership-reporting/</w:t>
              </w:r>
            </w:hyperlink>
          </w:p>
          <w:p w14:paraId="6D189114" w14:textId="444E777C" w:rsidR="00812730" w:rsidRDefault="00812730" w:rsidP="001962A2">
            <w:pPr>
              <w:spacing w:before="0" w:after="0"/>
              <w:jc w:val="both"/>
            </w:pPr>
          </w:p>
          <w:p w14:paraId="72A24A06" w14:textId="6764E5DF" w:rsidR="00874730" w:rsidRDefault="00CE792A" w:rsidP="001962A2">
            <w:pPr>
              <w:spacing w:before="0" w:after="0"/>
              <w:jc w:val="both"/>
            </w:pPr>
            <w:r>
              <w:t xml:space="preserve">Additionally, a pilot project was undertaken to make beneficial ownership maps searchable on an online portal open to the public. </w:t>
            </w:r>
            <w:r w:rsidR="000C570E">
              <w:t xml:space="preserve">A </w:t>
            </w:r>
            <w:r w:rsidR="001962A2">
              <w:t>template was developed to capture</w:t>
            </w:r>
            <w:r w:rsidR="005B1E87">
              <w:t xml:space="preserve"> beneficial ownership information</w:t>
            </w:r>
            <w:r w:rsidR="002457D1">
              <w:t xml:space="preserve"> at point of registration by companies with the Investment Promotion Authority (IPA). This will be piloted with future company </w:t>
            </w:r>
            <w:proofErr w:type="spellStart"/>
            <w:r w:rsidR="002457D1">
              <w:t>registerations</w:t>
            </w:r>
            <w:proofErr w:type="spellEnd"/>
            <w:r w:rsidR="002457D1">
              <w:t xml:space="preserve">. </w:t>
            </w:r>
            <w:r w:rsidR="00812730">
              <w:t xml:space="preserve">To develop the template, comparations were made between IPA forms </w:t>
            </w:r>
            <w:r w:rsidR="003050D3">
              <w:t xml:space="preserve">and </w:t>
            </w:r>
            <w:r w:rsidR="00812730">
              <w:t xml:space="preserve">EITI forms. </w:t>
            </w:r>
            <w:r w:rsidR="00496F5D">
              <w:rPr>
                <w:rStyle w:val="normaltextrun"/>
                <w:color w:val="000000"/>
                <w:szCs w:val="22"/>
              </w:rPr>
              <w:t>The process and outputs of the pilot report are documented well in the report (Beneficial Ownership Disclosure Report - December 2020)</w:t>
            </w:r>
            <w:r w:rsidR="00496F5D">
              <w:rPr>
                <w:rStyle w:val="tabchar"/>
                <w:rFonts w:ascii="Calibri" w:hAnsi="Calibri" w:cs="Calibri"/>
                <w:color w:val="000000"/>
                <w:szCs w:val="22"/>
              </w:rPr>
              <w:t xml:space="preserve"> </w:t>
            </w:r>
            <w:r w:rsidR="00496F5D">
              <w:rPr>
                <w:rStyle w:val="normaltextrun"/>
                <w:color w:val="000000"/>
                <w:szCs w:val="22"/>
              </w:rPr>
              <w:t xml:space="preserve">Most of the extractive companies operating in the sector did fill out the BO </w:t>
            </w:r>
            <w:proofErr w:type="spellStart"/>
            <w:r w:rsidR="00496F5D">
              <w:rPr>
                <w:rStyle w:val="normaltextrun"/>
                <w:color w:val="000000"/>
                <w:szCs w:val="22"/>
              </w:rPr>
              <w:t>Decleration</w:t>
            </w:r>
            <w:proofErr w:type="spellEnd"/>
            <w:r w:rsidR="00496F5D">
              <w:rPr>
                <w:rStyle w:val="normaltextrun"/>
                <w:color w:val="000000"/>
                <w:szCs w:val="22"/>
              </w:rPr>
              <w:t xml:space="preserve"> Forms, signed off and submitted. The BO declaration form captured BO identities, shareholding structures, </w:t>
            </w:r>
            <w:proofErr w:type="gramStart"/>
            <w:r w:rsidR="00496F5D">
              <w:rPr>
                <w:rStyle w:val="normaltextrun"/>
                <w:color w:val="000000"/>
                <w:szCs w:val="22"/>
              </w:rPr>
              <w:t>companies</w:t>
            </w:r>
            <w:proofErr w:type="gramEnd"/>
            <w:r w:rsidR="00496F5D">
              <w:rPr>
                <w:rStyle w:val="normaltextrun"/>
                <w:color w:val="000000"/>
                <w:szCs w:val="22"/>
              </w:rPr>
              <w:t xml:space="preserve"> ownership map. </w:t>
            </w:r>
            <w:r w:rsidR="00812730">
              <w:t xml:space="preserve">Page 5 of the Pilot Disclosure Report outlines </w:t>
            </w:r>
            <w:r>
              <w:t>process taken. It can be</w:t>
            </w:r>
            <w:r w:rsidR="00496F5D">
              <w:t xml:space="preserve"> </w:t>
            </w:r>
            <w:r>
              <w:t>accessed through this link below:</w:t>
            </w:r>
          </w:p>
          <w:p w14:paraId="109997B0" w14:textId="565CFD26" w:rsidR="00CE792A" w:rsidRDefault="006F55C9" w:rsidP="001962A2">
            <w:pPr>
              <w:spacing w:before="0" w:after="0"/>
              <w:jc w:val="both"/>
            </w:pPr>
            <w:hyperlink r:id="rId131" w:history="1">
              <w:r w:rsidR="00CE792A" w:rsidRPr="00530F4D">
                <w:rPr>
                  <w:rStyle w:val="Hyperlink"/>
                </w:rPr>
                <w:t>http://www.pngeiti.org.pg/wp-content/uploads/2018/04/PNGEITI-BO-Disclosure-Pilot-Phase.pdf</w:t>
              </w:r>
            </w:hyperlink>
          </w:p>
          <w:p w14:paraId="48686E59" w14:textId="695E3A79" w:rsidR="00B506B4" w:rsidRDefault="00B506B4" w:rsidP="001962A2">
            <w:pPr>
              <w:spacing w:before="0" w:after="0"/>
              <w:jc w:val="both"/>
            </w:pPr>
          </w:p>
          <w:p w14:paraId="5EF6349B" w14:textId="221AE5EA" w:rsidR="00B506B4" w:rsidRDefault="00B506B4" w:rsidP="001962A2">
            <w:pPr>
              <w:spacing w:before="0" w:after="0"/>
              <w:jc w:val="both"/>
              <w:rPr>
                <w:rStyle w:val="normaltextrun"/>
                <w:color w:val="000000"/>
                <w:shd w:val="clear" w:color="auto" w:fill="FFFFFF"/>
              </w:rPr>
            </w:pPr>
            <w:r>
              <w:rPr>
                <w:rStyle w:val="normaltextrun"/>
                <w:color w:val="000000"/>
                <w:shd w:val="clear" w:color="auto" w:fill="FFFFFF"/>
              </w:rPr>
              <w:t>The progress of the BO work has been shelved for some time due to the worldwide pandemic. However, the PNGEITI MSG have agreed and accepted a BO template that is to be used to collect BO data and information to be included in the PNGEITI Reports under the BO Disclosure sub-heading. Future plans on the BO Register is to be kept at IPA, the government mandated entity that take care of company registrations and incorporation. Most of the BO information is already captured in the IPA company register and it is available only on</w:t>
            </w:r>
            <w:r w:rsidR="00496F5D">
              <w:rPr>
                <w:rStyle w:val="normaltextrun"/>
                <w:color w:val="000000"/>
                <w:shd w:val="clear" w:color="auto" w:fill="FFFFFF"/>
              </w:rPr>
              <w:t xml:space="preserve"> the IPA website and can be accessed through the link below:</w:t>
            </w:r>
          </w:p>
          <w:p w14:paraId="7CF311CE" w14:textId="474AE49A" w:rsidR="00496F5D" w:rsidRDefault="006F55C9" w:rsidP="001962A2">
            <w:pPr>
              <w:spacing w:before="0" w:after="0"/>
              <w:jc w:val="both"/>
            </w:pPr>
            <w:hyperlink r:id="rId132" w:history="1">
              <w:r w:rsidR="00496F5D" w:rsidRPr="00530F4D">
                <w:rPr>
                  <w:rStyle w:val="Hyperlink"/>
                </w:rPr>
                <w:t>https://www.ipa.gov.pg/forms-for-download/companies/</w:t>
              </w:r>
            </w:hyperlink>
          </w:p>
          <w:p w14:paraId="0D295689" w14:textId="77777777" w:rsidR="00496F5D" w:rsidRDefault="00496F5D" w:rsidP="001962A2">
            <w:pPr>
              <w:spacing w:before="0" w:after="0"/>
              <w:jc w:val="both"/>
            </w:pPr>
          </w:p>
          <w:p w14:paraId="605745F2" w14:textId="041FE42E" w:rsidR="008A499B" w:rsidRPr="000A0CD7" w:rsidRDefault="000A0CD7" w:rsidP="00CA5D09">
            <w:pPr>
              <w:pStyle w:val="ListParagraph"/>
              <w:numPr>
                <w:ilvl w:val="1"/>
                <w:numId w:val="2"/>
              </w:numPr>
              <w:spacing w:before="120" w:after="0"/>
              <w:jc w:val="both"/>
              <w:rPr>
                <w:rStyle w:val="eop"/>
                <w:color w:val="000000"/>
                <w:u w:val="single"/>
              </w:rPr>
            </w:pPr>
            <w:r w:rsidRPr="000A0CD7">
              <w:rPr>
                <w:rStyle w:val="normaltextrun"/>
                <w:b/>
                <w:bCs/>
                <w:color w:val="000000"/>
                <w:szCs w:val="22"/>
                <w:u w:val="single"/>
              </w:rPr>
              <w:t>Transparency in the operations of Extractives State-Owned Enterprises</w:t>
            </w:r>
            <w:r w:rsidRPr="000A0CD7">
              <w:rPr>
                <w:rStyle w:val="eop"/>
                <w:color w:val="000000"/>
                <w:u w:val="single"/>
              </w:rPr>
              <w:t> </w:t>
            </w:r>
          </w:p>
          <w:p w14:paraId="631DAA6C" w14:textId="77777777" w:rsidR="000A0CD7" w:rsidRPr="000A0CD7" w:rsidRDefault="000A0CD7" w:rsidP="000A0CD7">
            <w:pPr>
              <w:pStyle w:val="ListParagraph"/>
              <w:spacing w:before="120" w:after="0"/>
              <w:ind w:left="1256"/>
              <w:jc w:val="both"/>
            </w:pPr>
          </w:p>
          <w:p w14:paraId="05D7E201" w14:textId="77777777" w:rsidR="000A0CD7" w:rsidRPr="000A0CD7" w:rsidRDefault="000A0CD7" w:rsidP="000A0CD7">
            <w:pPr>
              <w:shd w:val="clear" w:color="auto" w:fill="FFFFFF" w:themeFill="background1"/>
              <w:spacing w:before="0" w:after="225"/>
              <w:jc w:val="both"/>
              <w:textAlignment w:val="baseline"/>
              <w:rPr>
                <w:rFonts w:eastAsia="Calibri" w:cs="Arial"/>
                <w:szCs w:val="22"/>
              </w:rPr>
            </w:pPr>
            <w:r w:rsidRPr="000A0CD7">
              <w:rPr>
                <w:rFonts w:eastAsia="Calibri" w:cs="Arial"/>
                <w:szCs w:val="22"/>
              </w:rPr>
              <w:t>State-Owned Enterprises (SOEs) and Trustees play a key role in managing and distributing PNG’s wealth from extractive activities</w:t>
            </w:r>
            <w:r w:rsidRPr="000A0CD7">
              <w:rPr>
                <w:rFonts w:eastAsia="Calibri" w:cs="Arial"/>
                <w:b/>
                <w:bCs/>
                <w:szCs w:val="22"/>
              </w:rPr>
              <w:t xml:space="preserve">. </w:t>
            </w:r>
            <w:r w:rsidRPr="000A0CD7">
              <w:rPr>
                <w:rFonts w:eastAsia="Calibri" w:cs="Arial"/>
                <w:szCs w:val="22"/>
              </w:rPr>
              <w:t>Transparent</w:t>
            </w:r>
            <w:r w:rsidRPr="000A0CD7">
              <w:rPr>
                <w:rFonts w:eastAsia="Calibri" w:cs="Arial"/>
                <w:b/>
                <w:bCs/>
                <w:szCs w:val="22"/>
              </w:rPr>
              <w:t xml:space="preserve"> </w:t>
            </w:r>
            <w:r w:rsidRPr="000A0CD7">
              <w:rPr>
                <w:rFonts w:eastAsia="Calibri" w:cs="Arial"/>
                <w:szCs w:val="22"/>
              </w:rPr>
              <w:t xml:space="preserve">disclosure of their processes for </w:t>
            </w:r>
            <w:r w:rsidRPr="000A0CD7">
              <w:rPr>
                <w:rFonts w:eastAsia="Calibri" w:cs="Arial"/>
                <w:szCs w:val="22"/>
              </w:rPr>
              <w:lastRenderedPageBreak/>
              <w:t>managing and transferring funds to beneficiaries (landowners, sub-national governments, national governments, etc.) is therefore critical for a comprehensive EITI report. Material SOEs and trustees are those with interests in (or responsibility for managing State interests) extractive projects that are producing saleable commodities during the production period.</w:t>
            </w:r>
          </w:p>
          <w:p w14:paraId="4605F7BC" w14:textId="77777777" w:rsidR="000A0CD7" w:rsidRPr="000A0CD7" w:rsidRDefault="000A0CD7" w:rsidP="000A0CD7">
            <w:pPr>
              <w:shd w:val="clear" w:color="auto" w:fill="FFFFFF"/>
              <w:spacing w:before="0" w:after="225"/>
              <w:jc w:val="both"/>
              <w:textAlignment w:val="baseline"/>
              <w:rPr>
                <w:rFonts w:eastAsia="Calibri" w:cs="Arial"/>
                <w:szCs w:val="22"/>
              </w:rPr>
            </w:pPr>
            <w:r w:rsidRPr="000A0CD7">
              <w:rPr>
                <w:rFonts w:eastAsia="Calibri" w:cs="Arial"/>
                <w:szCs w:val="22"/>
              </w:rPr>
              <w:t>State participation in the extractive industries contributes to government revenues through equity distribution receipts, dividends and tax payments to the Department of Treasury and the Internal Revenue Commission (IRC) respectively. Where the SOE is also the operator of the project (as in the case with Ok Tedi), the SOE pays a production levy to the Mineral Resources Authority (MRA). Royalty payments are also distributed to local governments and landowners through the Mineral Resources Development Company (MRDC).</w:t>
            </w:r>
          </w:p>
          <w:p w14:paraId="6BBD6A5D" w14:textId="6658D900" w:rsidR="001962A2" w:rsidRDefault="000A0CD7" w:rsidP="000A0CD7">
            <w:pPr>
              <w:spacing w:before="0" w:after="0"/>
              <w:jc w:val="both"/>
              <w:rPr>
                <w:rFonts w:eastAsia="Calibri"/>
                <w:szCs w:val="22"/>
              </w:rPr>
            </w:pPr>
            <w:r w:rsidRPr="000A0CD7">
              <w:rPr>
                <w:rFonts w:eastAsia="Calibri"/>
                <w:szCs w:val="22"/>
              </w:rPr>
              <w:t>Each SOE and associated subsidiary companies is considered material for reporting purposes regardless of whether the qualitative thresholds are met. This is due to the requirement of the EITI Standard to transparently report the management of funds through these entities. Each SOE, its structure, subsidiaries and its contribution to extractive industry revenues are discussed in more detail in the 2019 PNGEITI Report and the SOE Scoping Study Report that were published in 2021.</w:t>
            </w:r>
          </w:p>
          <w:p w14:paraId="752AD5F6" w14:textId="77777777" w:rsidR="000A0CD7" w:rsidRPr="000A0CD7" w:rsidRDefault="000A0CD7" w:rsidP="000A0CD7">
            <w:pPr>
              <w:jc w:val="both"/>
            </w:pPr>
            <w:r w:rsidRPr="000A0CD7">
              <w:t xml:space="preserve">The SOE Scoping Study Report proposes definitions for ‘state owned enterprises’ and ‘quasi-fiscal expenditures’ which are consistent with the definitions in the EITI Standard.  </w:t>
            </w:r>
          </w:p>
          <w:p w14:paraId="6B15C29D" w14:textId="3206C3AC" w:rsidR="000A0CD7" w:rsidRPr="000A0CD7" w:rsidRDefault="000A0CD7" w:rsidP="000A0CD7">
            <w:pPr>
              <w:jc w:val="both"/>
            </w:pPr>
            <w:r w:rsidRPr="000A0CD7">
              <w:t>A</w:t>
            </w:r>
            <w:r w:rsidR="007A17F1">
              <w:t>ccording to</w:t>
            </w:r>
            <w:r w:rsidRPr="000A0CD7">
              <w:t xml:space="preserve"> the </w:t>
            </w:r>
            <w:hyperlink r:id="rId133" w:history="1">
              <w:hyperlink r:id="rId134" w:history="1">
                <w:r w:rsidRPr="0040515A">
                  <w:rPr>
                    <w:rStyle w:val="Hyperlink"/>
                  </w:rPr>
                  <w:t>SOE Scoping Study Report</w:t>
                </w:r>
              </w:hyperlink>
              <w:r w:rsidR="007A17F1" w:rsidRPr="0040515A">
                <w:rPr>
                  <w:rStyle w:val="Hyperlink"/>
                </w:rPr>
                <w:t xml:space="preserve"> chapter 3.1 of pages </w:t>
              </w:r>
              <w:r w:rsidR="0040515A" w:rsidRPr="0040515A">
                <w:rPr>
                  <w:rStyle w:val="Hyperlink"/>
                </w:rPr>
                <w:t>12-13</w:t>
              </w:r>
            </w:hyperlink>
            <w:r w:rsidRPr="000A0CD7">
              <w:t xml:space="preserve"> the definitions for “State Owned Enterprises” are as follows:  </w:t>
            </w:r>
          </w:p>
          <w:p w14:paraId="41E01F15" w14:textId="43B402E5" w:rsidR="000A0CD7" w:rsidRPr="005D71B3" w:rsidRDefault="000A0CD7" w:rsidP="00134395">
            <w:pPr>
              <w:pStyle w:val="ListParagraph"/>
              <w:numPr>
                <w:ilvl w:val="0"/>
                <w:numId w:val="12"/>
              </w:numPr>
              <w:spacing w:before="0" w:after="0"/>
              <w:ind w:left="580"/>
              <w:jc w:val="both"/>
            </w:pPr>
            <w:r w:rsidRPr="005D71B3">
              <w:t xml:space="preserve">An enterprise is State-owned if </w:t>
            </w:r>
            <w:r w:rsidR="00C000A7">
              <w:t>i</w:t>
            </w:r>
            <w:r w:rsidR="00375C5D">
              <w:t>t</w:t>
            </w:r>
            <w:r w:rsidRPr="005D71B3">
              <w:t xml:space="preserve"> is a legal entity that is:</w:t>
            </w:r>
          </w:p>
          <w:p w14:paraId="2089E86F" w14:textId="77777777" w:rsidR="000A0CD7" w:rsidRPr="000A0CD7" w:rsidRDefault="000A0CD7" w:rsidP="005D71B3">
            <w:pPr>
              <w:spacing w:before="120" w:after="120"/>
              <w:ind w:firstLine="722"/>
              <w:jc w:val="both"/>
            </w:pPr>
            <w:r w:rsidRPr="000A0CD7">
              <w:t xml:space="preserve">a) At least 50% owned by one or more PNG government agencies, or  </w:t>
            </w:r>
          </w:p>
          <w:p w14:paraId="43BE761E" w14:textId="77777777" w:rsidR="000A0CD7" w:rsidRPr="000A0CD7" w:rsidRDefault="000A0CD7" w:rsidP="005D71B3">
            <w:pPr>
              <w:spacing w:before="0" w:after="0"/>
              <w:ind w:firstLine="722"/>
              <w:jc w:val="both"/>
            </w:pPr>
            <w:r w:rsidRPr="000A0CD7">
              <w:t xml:space="preserve">b) Controlled by one or more PNG government agencies, or </w:t>
            </w:r>
          </w:p>
          <w:p w14:paraId="5DD243F0" w14:textId="410541A8" w:rsidR="000A0CD7" w:rsidRPr="000A0CD7" w:rsidRDefault="000A0CD7" w:rsidP="005D71B3">
            <w:pPr>
              <w:spacing w:before="120"/>
              <w:ind w:left="722"/>
              <w:jc w:val="both"/>
            </w:pPr>
            <w:r w:rsidRPr="000A0CD7">
              <w:t xml:space="preserve">c) A subsidiary that is at least 50% owned by a company that meets the definition </w:t>
            </w:r>
            <w:r w:rsidR="005D71B3">
              <w:t xml:space="preserve">  </w:t>
            </w:r>
            <w:r w:rsidRPr="000A0CD7">
              <w:t xml:space="preserve">in a) or b).  </w:t>
            </w:r>
          </w:p>
          <w:p w14:paraId="21A774D1" w14:textId="23F27B35" w:rsidR="000A0CD7" w:rsidRPr="005D71B3" w:rsidRDefault="000A0CD7" w:rsidP="00134395">
            <w:pPr>
              <w:pStyle w:val="ListParagraph"/>
              <w:numPr>
                <w:ilvl w:val="0"/>
                <w:numId w:val="12"/>
              </w:numPr>
              <w:ind w:left="580"/>
              <w:jc w:val="both"/>
            </w:pPr>
            <w:r w:rsidRPr="005D71B3">
              <w:t xml:space="preserve">A PNG government agency is any PNG national ministry, ministerial department or executive agency, provincial government department or agency or local government department or agency.  </w:t>
            </w:r>
          </w:p>
          <w:p w14:paraId="1278CBCA" w14:textId="77777777" w:rsidR="005D71B3" w:rsidRDefault="000A0CD7" w:rsidP="00134395">
            <w:pPr>
              <w:pStyle w:val="ListParagraph"/>
              <w:numPr>
                <w:ilvl w:val="0"/>
                <w:numId w:val="12"/>
              </w:numPr>
              <w:spacing w:before="0" w:after="0"/>
              <w:ind w:left="580" w:hanging="425"/>
              <w:jc w:val="both"/>
            </w:pPr>
            <w:r w:rsidRPr="005D71B3">
              <w:t xml:space="preserve">One or more government agencies is deemed to control a legal entity where they have the right to:  </w:t>
            </w:r>
          </w:p>
          <w:p w14:paraId="1460FDC0" w14:textId="1B3319FD" w:rsidR="000A0CD7" w:rsidRPr="005D71B3" w:rsidRDefault="000A0CD7" w:rsidP="00C0497B">
            <w:pPr>
              <w:pStyle w:val="ListParagraph"/>
              <w:spacing w:before="120" w:after="120"/>
              <w:ind w:left="580" w:firstLine="283"/>
              <w:jc w:val="both"/>
            </w:pPr>
            <w:r w:rsidRPr="005D71B3">
              <w:t xml:space="preserve">a) Appoint the majority of the Board of Directors, or  </w:t>
            </w:r>
          </w:p>
          <w:p w14:paraId="7E1AA79A" w14:textId="77777777" w:rsidR="000A0CD7" w:rsidRPr="000A0CD7" w:rsidRDefault="000A0CD7" w:rsidP="00C0497B">
            <w:pPr>
              <w:spacing w:before="0" w:after="0"/>
              <w:ind w:firstLine="863"/>
              <w:jc w:val="both"/>
            </w:pPr>
            <w:r w:rsidRPr="000A0CD7">
              <w:t xml:space="preserve">b) Exercise the majority of voting rights, or  </w:t>
            </w:r>
          </w:p>
          <w:p w14:paraId="1B6F25C7" w14:textId="77777777" w:rsidR="000A0CD7" w:rsidRPr="000A0CD7" w:rsidRDefault="000A0CD7" w:rsidP="00C0497B">
            <w:pPr>
              <w:spacing w:before="120"/>
              <w:ind w:firstLine="863"/>
              <w:jc w:val="both"/>
            </w:pPr>
            <w:r w:rsidRPr="000A0CD7">
              <w:t xml:space="preserve">c) Set the budget including dividends, operating expenses and investment plans.  </w:t>
            </w:r>
          </w:p>
          <w:p w14:paraId="7FF4F272" w14:textId="6C1FD894" w:rsidR="000A0CD7" w:rsidRPr="00C0497B" w:rsidRDefault="000A0CD7" w:rsidP="00134395">
            <w:pPr>
              <w:pStyle w:val="ListParagraph"/>
              <w:numPr>
                <w:ilvl w:val="0"/>
                <w:numId w:val="12"/>
              </w:numPr>
              <w:spacing w:after="120"/>
              <w:ind w:left="580" w:hanging="425"/>
              <w:jc w:val="both"/>
            </w:pPr>
            <w:r w:rsidRPr="00C0497B">
              <w:t xml:space="preserve">Any enterprise which is State-owned and meets the definition above is a State-owned enterprise (SOE) and in scope for EITI reporting, where it:  </w:t>
            </w:r>
          </w:p>
          <w:p w14:paraId="48B33C24" w14:textId="77777777" w:rsidR="000A0CD7" w:rsidRPr="000A0CD7" w:rsidRDefault="000A0CD7" w:rsidP="00C0497B">
            <w:pPr>
              <w:spacing w:before="120" w:after="120"/>
              <w:ind w:firstLine="722"/>
              <w:jc w:val="both"/>
            </w:pPr>
            <w:r w:rsidRPr="000A0CD7">
              <w:t xml:space="preserve">a) Applies for a license to explore for or exploit oil, gas or mineral resources </w:t>
            </w:r>
          </w:p>
          <w:p w14:paraId="53CB16DE" w14:textId="77777777" w:rsidR="000A0CD7" w:rsidRPr="000A0CD7" w:rsidRDefault="000A0CD7" w:rsidP="00C0497B">
            <w:pPr>
              <w:spacing w:before="120" w:after="120"/>
              <w:ind w:left="722"/>
              <w:jc w:val="both"/>
            </w:pPr>
            <w:r w:rsidRPr="000A0CD7">
              <w:t xml:space="preserve">b) Holds an interest in a license or production sharing agreement for oil, gas or mineral </w:t>
            </w:r>
          </w:p>
          <w:p w14:paraId="7859E9D2" w14:textId="084E3B18" w:rsidR="000A0CD7" w:rsidRPr="000A0CD7" w:rsidRDefault="000A0CD7" w:rsidP="00C0497B">
            <w:pPr>
              <w:spacing w:before="0" w:after="120"/>
              <w:ind w:firstLine="722"/>
              <w:jc w:val="both"/>
            </w:pPr>
            <w:r w:rsidRPr="000A0CD7">
              <w:t>c) Holds in trust the interest of those who hold either of the above</w:t>
            </w:r>
          </w:p>
          <w:p w14:paraId="46C06A0B" w14:textId="77777777" w:rsidR="000A0CD7" w:rsidRPr="000A0CD7" w:rsidRDefault="000A0CD7" w:rsidP="00C0497B">
            <w:pPr>
              <w:spacing w:before="120" w:after="120"/>
              <w:ind w:firstLine="722"/>
              <w:jc w:val="both"/>
            </w:pPr>
            <w:r w:rsidRPr="000A0CD7">
              <w:lastRenderedPageBreak/>
              <w:t xml:space="preserve">d) Holds an interest in a JV that applies for or holds a license or PSA.  </w:t>
            </w:r>
            <w:r w:rsidRPr="000A0CD7">
              <w:tab/>
              <w:t xml:space="preserve"> </w:t>
            </w:r>
          </w:p>
          <w:p w14:paraId="66C4A2F4" w14:textId="6EEF57F9" w:rsidR="000A0CD7" w:rsidRPr="000A0CD7" w:rsidRDefault="000A0CD7" w:rsidP="000A0CD7">
            <w:pPr>
              <w:jc w:val="both"/>
            </w:pPr>
            <w:r w:rsidRPr="000A0CD7">
              <w:t>The recommended definitions of Quasi-fiscal Expenditure</w:t>
            </w:r>
            <w:r w:rsidR="007A17F1">
              <w:t xml:space="preserve"> according to </w:t>
            </w:r>
            <w:hyperlink r:id="rId135" w:history="1">
              <w:hyperlink r:id="rId136" w:history="1">
                <w:r w:rsidR="007A17F1" w:rsidRPr="0040515A">
                  <w:rPr>
                    <w:rStyle w:val="Hyperlink"/>
                  </w:rPr>
                  <w:t>the Scoping Study report</w:t>
                </w:r>
              </w:hyperlink>
              <w:r w:rsidR="007A17F1" w:rsidRPr="0040515A">
                <w:rPr>
                  <w:rStyle w:val="Hyperlink"/>
                </w:rPr>
                <w:t xml:space="preserve"> </w:t>
              </w:r>
              <w:proofErr w:type="spellStart"/>
              <w:r w:rsidR="007A17F1" w:rsidRPr="0040515A">
                <w:rPr>
                  <w:rStyle w:val="Hyperlink"/>
                </w:rPr>
                <w:t>chaper</w:t>
              </w:r>
              <w:proofErr w:type="spellEnd"/>
              <w:r w:rsidR="007A17F1" w:rsidRPr="0040515A">
                <w:rPr>
                  <w:rStyle w:val="Hyperlink"/>
                </w:rPr>
                <w:t xml:space="preserve"> 3.2 of pages 13-18</w:t>
              </w:r>
            </w:hyperlink>
            <w:r w:rsidR="007A17F1">
              <w:t xml:space="preserve"> states that</w:t>
            </w:r>
            <w:r w:rsidR="0040515A">
              <w:t xml:space="preserve"> the </w:t>
            </w:r>
            <w:r w:rsidRPr="000A0CD7">
              <w:t xml:space="preserve">QFE includes any case where:  </w:t>
            </w:r>
          </w:p>
          <w:p w14:paraId="0E6F75F8" w14:textId="77777777" w:rsidR="000A0CD7" w:rsidRPr="00C0497B" w:rsidRDefault="000A0CD7" w:rsidP="000A0CD7">
            <w:pPr>
              <w:jc w:val="both"/>
              <w:rPr>
                <w:b/>
                <w:bCs/>
              </w:rPr>
            </w:pPr>
            <w:r w:rsidRPr="00C0497B">
              <w:rPr>
                <w:b/>
                <w:bCs/>
              </w:rPr>
              <w:t xml:space="preserve">Set Criteria </w:t>
            </w:r>
          </w:p>
          <w:p w14:paraId="4B7949A7" w14:textId="77777777" w:rsidR="000A0CD7" w:rsidRPr="000A0CD7" w:rsidRDefault="000A0CD7" w:rsidP="000A0CD7">
            <w:pPr>
              <w:jc w:val="both"/>
            </w:pPr>
            <w:r w:rsidRPr="000A0CD7">
              <w:t xml:space="preserve">Social Service – An SOE directly or indirectly pays for goods or services which would normally be part of the social services provided by the government, including healthcare and education.  </w:t>
            </w:r>
          </w:p>
          <w:p w14:paraId="5B9B19E3" w14:textId="77777777" w:rsidR="000A0CD7" w:rsidRPr="000A0CD7" w:rsidRDefault="000A0CD7" w:rsidP="000A0CD7">
            <w:pPr>
              <w:jc w:val="both"/>
            </w:pPr>
            <w:r w:rsidRPr="000A0CD7">
              <w:t xml:space="preserve">Public infrastructure – An SOE directly or indirectly pays for goods or services directly related to the design, construction, maintenance or other works on public infrastructure. This should exclude any infrastructure </w:t>
            </w:r>
            <w:proofErr w:type="spellStart"/>
            <w:r w:rsidRPr="000A0CD7">
              <w:t>Soley</w:t>
            </w:r>
            <w:proofErr w:type="spellEnd"/>
            <w:r w:rsidRPr="000A0CD7">
              <w:t xml:space="preserve"> for the benefit of the SOE.  </w:t>
            </w:r>
          </w:p>
          <w:p w14:paraId="09177D6E" w14:textId="77777777" w:rsidR="000A0CD7" w:rsidRPr="000A0CD7" w:rsidRDefault="000A0CD7" w:rsidP="000A0CD7">
            <w:pPr>
              <w:jc w:val="both"/>
            </w:pPr>
            <w:r w:rsidRPr="000A0CD7">
              <w:t xml:space="preserve">National debt servicing – An SOE transfers value, either monetary or in specie, to a third-party provider of national debt. This should also encompass the capital repayment of national debt.   </w:t>
            </w:r>
          </w:p>
          <w:p w14:paraId="06328076" w14:textId="77777777" w:rsidR="000A0CD7" w:rsidRPr="00C0497B" w:rsidRDefault="000A0CD7" w:rsidP="000A0CD7">
            <w:pPr>
              <w:jc w:val="both"/>
              <w:rPr>
                <w:b/>
                <w:bCs/>
              </w:rPr>
            </w:pPr>
            <w:r w:rsidRPr="00C0497B">
              <w:rPr>
                <w:b/>
                <w:bCs/>
              </w:rPr>
              <w:t xml:space="preserve">Quantitative  </w:t>
            </w:r>
          </w:p>
          <w:p w14:paraId="1C188FB0" w14:textId="77777777" w:rsidR="000A0CD7" w:rsidRPr="000A0CD7" w:rsidRDefault="000A0CD7" w:rsidP="000A0CD7">
            <w:pPr>
              <w:jc w:val="both"/>
            </w:pPr>
            <w:r w:rsidRPr="000A0CD7">
              <w:t xml:space="preserve">Transactions where there is a structural or contractual expectation of a net flow of value from the SOE to the private sector:  </w:t>
            </w:r>
          </w:p>
          <w:p w14:paraId="2AA7D7E4" w14:textId="77777777" w:rsidR="000A0CD7" w:rsidRPr="000A0CD7" w:rsidRDefault="000A0CD7" w:rsidP="000A0CD7">
            <w:pPr>
              <w:jc w:val="both"/>
            </w:pPr>
            <w:r w:rsidRPr="000A0CD7">
              <w:t xml:space="preserve">Supply of goods or services – An SOE provides goods or services under or over value (including fuel subsidies), including from another SOE or central government.  </w:t>
            </w:r>
          </w:p>
          <w:p w14:paraId="458C7DD9" w14:textId="77777777" w:rsidR="000A0CD7" w:rsidRPr="000A0CD7" w:rsidRDefault="000A0CD7" w:rsidP="000A0CD7">
            <w:pPr>
              <w:jc w:val="both"/>
            </w:pPr>
            <w:r w:rsidRPr="000A0CD7">
              <w:t xml:space="preserve">Procurement of goods or services – An SOE procures goods or services under or over value, including from another SOE or central government.  </w:t>
            </w:r>
          </w:p>
          <w:p w14:paraId="4A5883BF" w14:textId="77777777" w:rsidR="000A0CD7" w:rsidRPr="000A0CD7" w:rsidRDefault="000A0CD7" w:rsidP="000A0CD7">
            <w:pPr>
              <w:jc w:val="both"/>
            </w:pPr>
            <w:r w:rsidRPr="000A0CD7">
              <w:t xml:space="preserve">Loans or other financing – An SOE provides a loan or other form of financing at uncommercial rates.   </w:t>
            </w:r>
          </w:p>
          <w:p w14:paraId="16A88EDD" w14:textId="77777777" w:rsidR="000A0CD7" w:rsidRPr="005D71B3" w:rsidRDefault="000A0CD7" w:rsidP="000A0CD7">
            <w:pPr>
              <w:jc w:val="both"/>
              <w:rPr>
                <w:b/>
                <w:bCs/>
              </w:rPr>
            </w:pPr>
            <w:r w:rsidRPr="005D71B3">
              <w:rPr>
                <w:b/>
                <w:bCs/>
              </w:rPr>
              <w:t xml:space="preserve">Typology  </w:t>
            </w:r>
          </w:p>
          <w:p w14:paraId="796942D0" w14:textId="77777777" w:rsidR="000A0CD7" w:rsidRPr="000A0CD7" w:rsidRDefault="000A0CD7" w:rsidP="000A0CD7">
            <w:pPr>
              <w:jc w:val="both"/>
            </w:pPr>
            <w:r w:rsidRPr="000A0CD7">
              <w:t xml:space="preserve">In addition, the following specific items are defined as QFE: </w:t>
            </w:r>
          </w:p>
          <w:p w14:paraId="4F4469F8" w14:textId="77777777" w:rsidR="000A0CD7" w:rsidRPr="000A0CD7" w:rsidRDefault="000A0CD7" w:rsidP="000A0CD7">
            <w:pPr>
              <w:jc w:val="both"/>
            </w:pPr>
            <w:r w:rsidRPr="000A0CD7">
              <w:t xml:space="preserve">SOE Foundations – Payments made by SOE into their Foundations </w:t>
            </w:r>
          </w:p>
          <w:p w14:paraId="7D0F15BE" w14:textId="77777777" w:rsidR="000A0CD7" w:rsidRPr="000A0CD7" w:rsidRDefault="000A0CD7" w:rsidP="000A0CD7">
            <w:pPr>
              <w:jc w:val="both"/>
            </w:pPr>
            <w:r w:rsidRPr="000A0CD7">
              <w:t xml:space="preserve">Tax Credit Schemes – Only if the tax credit does not fully reimburse the SOE for the related expenditure.   </w:t>
            </w:r>
          </w:p>
          <w:p w14:paraId="21607EC8" w14:textId="77777777" w:rsidR="000A0CD7" w:rsidRPr="000A0CD7" w:rsidRDefault="000A0CD7" w:rsidP="000A0CD7">
            <w:pPr>
              <w:jc w:val="both"/>
            </w:pPr>
            <w:r w:rsidRPr="000A0CD7">
              <w:t xml:space="preserve">Benefits to Directors – Only these are outside the normal materiality threshold.  </w:t>
            </w:r>
          </w:p>
          <w:p w14:paraId="42C97530" w14:textId="77777777" w:rsidR="000A0CD7" w:rsidRPr="000A0CD7" w:rsidRDefault="000A0CD7" w:rsidP="000A0CD7">
            <w:pPr>
              <w:jc w:val="both"/>
            </w:pPr>
            <w:r w:rsidRPr="000A0CD7">
              <w:t xml:space="preserve">Natural disasters and pandemics – An SOE </w:t>
            </w:r>
            <w:proofErr w:type="gramStart"/>
            <w:r w:rsidRPr="000A0CD7">
              <w:t>provides</w:t>
            </w:r>
            <w:proofErr w:type="gramEnd"/>
            <w:r w:rsidRPr="000A0CD7">
              <w:t xml:space="preserve"> assistance during periods of natural disasters (e.g., earthquakes) and pandemics.   </w:t>
            </w:r>
          </w:p>
          <w:p w14:paraId="614D3470" w14:textId="77777777" w:rsidR="000A0CD7" w:rsidRPr="000A0CD7" w:rsidRDefault="000A0CD7" w:rsidP="000A0CD7">
            <w:pPr>
              <w:jc w:val="both"/>
            </w:pPr>
            <w:r w:rsidRPr="000A0CD7">
              <w:t xml:space="preserve">Rural electrification – An SOE provides funding towards the Governments Rural Electrification Program.  </w:t>
            </w:r>
          </w:p>
          <w:p w14:paraId="0E963C54" w14:textId="77777777" w:rsidR="000A0CD7" w:rsidRPr="000A0CD7" w:rsidRDefault="000A0CD7" w:rsidP="000A0CD7">
            <w:pPr>
              <w:jc w:val="both"/>
            </w:pPr>
            <w:r w:rsidRPr="000A0CD7">
              <w:t xml:space="preserve">Sports Sponsorship – An SOE provides sponsorship to a sporting body, team and or a completion that exceeds the materiality threshold.   </w:t>
            </w:r>
          </w:p>
          <w:p w14:paraId="5500F3E3" w14:textId="77777777" w:rsidR="000A0CD7" w:rsidRPr="000A0CD7" w:rsidRDefault="000A0CD7" w:rsidP="000A0CD7">
            <w:pPr>
              <w:jc w:val="both"/>
            </w:pPr>
            <w:r w:rsidRPr="000A0CD7">
              <w:lastRenderedPageBreak/>
              <w:t xml:space="preserve">Student Sponsorship – An SOE provides sponsorship to educational institutions or students in PNG or oversees that exceeds the materiality threshold.   </w:t>
            </w:r>
          </w:p>
          <w:p w14:paraId="2E920F00" w14:textId="77777777" w:rsidR="000A0CD7" w:rsidRPr="000A0CD7" w:rsidRDefault="000A0CD7" w:rsidP="000A0CD7">
            <w:pPr>
              <w:jc w:val="both"/>
            </w:pPr>
            <w:r w:rsidRPr="000A0CD7">
              <w:t xml:space="preserve">Materiality threshold to be set by MSG on a regular basis.  This materiality threshold should apply to the valuer of the transaction alone, or when taken in conjunction with other directly related transactions in any calendar year.   </w:t>
            </w:r>
          </w:p>
          <w:p w14:paraId="6BD79C68" w14:textId="77777777" w:rsidR="000A0CD7" w:rsidRPr="000A0CD7" w:rsidRDefault="000A0CD7" w:rsidP="000A0CD7">
            <w:pPr>
              <w:jc w:val="both"/>
            </w:pPr>
            <w:r w:rsidRPr="000A0CD7">
              <w:t xml:space="preserve">Extractive sector SOEs are governed by laws that are specific to the sector, to each of the government’s holding companies and to general legislation covering commercial activities. This legal framework makes it clear that SOEs are subject to an independent board and management and their operations must be conducted on a commercial basis and they are subject to external audit under international accounting standards.  </w:t>
            </w:r>
          </w:p>
          <w:p w14:paraId="6FEEE076" w14:textId="336C6061" w:rsidR="000A0CD7" w:rsidRPr="000A0CD7" w:rsidRDefault="006F55C9" w:rsidP="000A0CD7">
            <w:pPr>
              <w:jc w:val="both"/>
            </w:pPr>
            <w:hyperlink r:id="rId137" w:history="1">
              <w:r w:rsidR="000A0CD7" w:rsidRPr="005C5ECC">
                <w:rPr>
                  <w:rStyle w:val="Hyperlink"/>
                </w:rPr>
                <w:t>The SOE Scoping Study Report</w:t>
              </w:r>
            </w:hyperlink>
            <w:r w:rsidR="000A0CD7" w:rsidRPr="000A0CD7">
              <w:t xml:space="preserve"> contains information describing the relationship between each SOE holding company and its subsidiaries. These include legal structures showing SOEs and their subsidiaries as well as functional diagrams showing flow of taxes and dividends. The key findings concern the lack of readily available information in the public domain despite SOEs producing annual reports and financial statements. In most cases, it was found that this information is available internally in each of these entities but there is general reluctance to disclose the information. The study makes recommendations to increase the availability of information, including a recommendation that PNGEITI advocates for a legal obligation for disclosure of annual reports and audited financial statements to be made public. </w:t>
            </w:r>
          </w:p>
          <w:p w14:paraId="6176135A" w14:textId="77777777" w:rsidR="000A0CD7" w:rsidRPr="000A0CD7" w:rsidRDefault="000A0CD7" w:rsidP="000A0CD7">
            <w:pPr>
              <w:jc w:val="both"/>
            </w:pPr>
            <w:r w:rsidRPr="000A0CD7">
              <w:t xml:space="preserve">The key recommendations focus on the need for extractive sector SOEs to adopt a more proactive approach to information disclosure and transparency. There is also a recommendation for specific matters affecting the operations of the extractive sector and also for PNGEITI to undertake a pilot project on commodity trading transparency for SOEs. </w:t>
            </w:r>
          </w:p>
          <w:p w14:paraId="58A43AF8" w14:textId="10929EAC" w:rsidR="000A0CD7" w:rsidRDefault="000A0CD7" w:rsidP="000A0CD7">
            <w:pPr>
              <w:jc w:val="both"/>
            </w:pPr>
            <w:r w:rsidRPr="000A0CD7">
              <w:t>The Scoping Study documents the operations of the SOEs in the extractive sector, their challenges and other structural issues that needed to be addressed for greater transparency and accountability. These entities have been operating under an opaque environment and therefore critical recommendations were made in this study to undertaking policy and legislative reforms to improve corporate governance and increase transparency within these entities.</w:t>
            </w:r>
          </w:p>
          <w:p w14:paraId="61FAB092" w14:textId="0B0A84F3" w:rsidR="005C5ECC" w:rsidRPr="005276C2" w:rsidRDefault="005C5ECC" w:rsidP="00CA5D09">
            <w:pPr>
              <w:pStyle w:val="ListParagraph"/>
              <w:numPr>
                <w:ilvl w:val="1"/>
                <w:numId w:val="2"/>
              </w:numPr>
              <w:jc w:val="both"/>
              <w:rPr>
                <w:b/>
                <w:bCs/>
                <w:u w:val="single"/>
              </w:rPr>
            </w:pPr>
            <w:r w:rsidRPr="005276C2">
              <w:rPr>
                <w:b/>
                <w:bCs/>
                <w:u w:val="single"/>
              </w:rPr>
              <w:t xml:space="preserve">Disclosure of Contracts (Contracts Transparency) </w:t>
            </w:r>
          </w:p>
          <w:p w14:paraId="72EF6B98" w14:textId="77777777" w:rsidR="005C5ECC" w:rsidRDefault="005C5ECC" w:rsidP="005C5ECC">
            <w:pPr>
              <w:jc w:val="both"/>
            </w:pPr>
            <w:r>
              <w:t xml:space="preserve">The details of contracts (resources project agreements) and licenses are protected by confidentiality provisions in Section 163 of the Mining Act, Section 52 of the MRA Act and Section 149 of the Oil and Gas Act. Contracts or agreements (MoAs, MoUs (Memorandum of Understanding), UBSAs, LBSAs, etc.) are held and maintained by the Office of the Solicitor General. Without legislative amendments, agreements could only be made public with the approval of both the company and the Department of Petroleum and Energy (DPE) or MRA (as appropriate). To date no contracts have been made publicly available, not even a list of all current contracts or project agreements. Broader benefit sharing agreements related to mining and oil and gas projects are also currently not publicly disclosed. </w:t>
            </w:r>
          </w:p>
          <w:p w14:paraId="191C6BF4" w14:textId="77777777" w:rsidR="005C5ECC" w:rsidRDefault="005C5ECC" w:rsidP="005C5ECC">
            <w:pPr>
              <w:jc w:val="both"/>
            </w:pPr>
            <w:r>
              <w:t xml:space="preserve">Despite these challenges, PNGEITI has continued to make progress with responsible stakeholder entities. The MRA is seeking legal advice on making all mining project Memorandum of Agreements (MoAs) publicly available. The PNGEITI has been engaging with </w:t>
            </w:r>
            <w:r>
              <w:lastRenderedPageBreak/>
              <w:t xml:space="preserve">the State Solicitor and other government entities to explore solutions to non-disclosure of contracts.  </w:t>
            </w:r>
          </w:p>
          <w:p w14:paraId="54B4182E" w14:textId="77777777" w:rsidR="005C5ECC" w:rsidRDefault="005C5ECC" w:rsidP="005C5ECC">
            <w:pPr>
              <w:jc w:val="both"/>
            </w:pPr>
            <w:r>
              <w:t xml:space="preserve">It has now become mandatory (as of early 2021) for PNG to disclose details of contracts or project agreements, consistent with the EITI Standard. To support the PNGEITI in pursuing this matter, a scoping study was undertaken, and the report was published in December last year.    </w:t>
            </w:r>
          </w:p>
          <w:p w14:paraId="3FD18330" w14:textId="77777777" w:rsidR="005C5ECC" w:rsidRDefault="005C5ECC" w:rsidP="005C5ECC">
            <w:pPr>
              <w:jc w:val="both"/>
            </w:pPr>
            <w:r>
              <w:t xml:space="preserve">The study describes the legal framework for contracts disclosure in PNG and evaluated the risks and challenges as well as the opportunities and benefits associated with disclosing extractive sector contracts. The study provided the basis to enhance stakeholders' understanding of the potential risks and recommend practical solutions to address such risks and to reap the benefits of public disclosure. </w:t>
            </w:r>
          </w:p>
          <w:p w14:paraId="6EEDE9D8" w14:textId="09F72580" w:rsidR="005C5ECC" w:rsidRPr="005276C2" w:rsidRDefault="005C5ECC" w:rsidP="00CA5D09">
            <w:pPr>
              <w:pStyle w:val="ListParagraph"/>
              <w:numPr>
                <w:ilvl w:val="1"/>
                <w:numId w:val="2"/>
              </w:numPr>
              <w:jc w:val="both"/>
              <w:rPr>
                <w:b/>
                <w:bCs/>
                <w:u w:val="single"/>
              </w:rPr>
            </w:pPr>
            <w:r w:rsidRPr="005276C2">
              <w:rPr>
                <w:b/>
                <w:bCs/>
                <w:u w:val="single"/>
              </w:rPr>
              <w:t>Sub</w:t>
            </w:r>
            <w:r w:rsidR="00801ED6">
              <w:rPr>
                <w:b/>
                <w:bCs/>
                <w:u w:val="single"/>
              </w:rPr>
              <w:t>n</w:t>
            </w:r>
            <w:r w:rsidRPr="005276C2">
              <w:rPr>
                <w:b/>
                <w:bCs/>
                <w:u w:val="single"/>
              </w:rPr>
              <w:t xml:space="preserve">ational Payments and Transfers in Extractive Sector </w:t>
            </w:r>
          </w:p>
          <w:p w14:paraId="4AD6F5B2" w14:textId="77777777" w:rsidR="005C5ECC" w:rsidRDefault="005C5ECC" w:rsidP="005C5ECC">
            <w:pPr>
              <w:jc w:val="both"/>
            </w:pPr>
            <w:r>
              <w:t xml:space="preserve">Through the EITI reporting process, much progress has been made on the reporting of extractive revenues to the national government. Yet payment data at the sub-national level is non-existent, too aggregated to be meaningful, inconsistent across projects, or difficult to obtain. The lack of clear, reliable, timely and useful reporting on sub-national payments and transfers is particularly problematic in PNG where landowners, affected communities and subnational government entities receive a broad range of payments and transfers. There is a ‘closeness’ about sub-national extractive payments in PNG’s extractive provinces – they connect to peoples’ land, their families and their communities in a way that is meaningfully different to payments at the national level. </w:t>
            </w:r>
          </w:p>
          <w:p w14:paraId="1A236DB7" w14:textId="77777777" w:rsidR="005C5ECC" w:rsidRDefault="005C5ECC" w:rsidP="005C5ECC">
            <w:pPr>
              <w:jc w:val="both"/>
            </w:pPr>
            <w:r>
              <w:t xml:space="preserve">More effective reporting of sub-national payments and transfers through the EITI reporting process can provide local stakeholders access to relevant and timely information on the extractive revenue flows that affect them most. Strengthening PNGEITI sub-national reporting can also drive transparency and accountability in PNG’s extractive provinces, contribute to decentralization efforts, and potentially improve social license to operate for extractive companies.  </w:t>
            </w:r>
          </w:p>
          <w:p w14:paraId="6EFE7149" w14:textId="77777777" w:rsidR="005C5ECC" w:rsidRDefault="005C5ECC" w:rsidP="00610AD5">
            <w:pPr>
              <w:contextualSpacing/>
              <w:jc w:val="both"/>
            </w:pPr>
            <w:r>
              <w:t xml:space="preserve">A scoping study on sub-national payments and transfers in PNG’s mining, oil and gas sector was undertaken in 2018 by the PNGEITI. The purpose of the study was to: </w:t>
            </w:r>
          </w:p>
          <w:p w14:paraId="4A1C8884" w14:textId="50F4CF1B" w:rsidR="005C5ECC" w:rsidRPr="00610AD5" w:rsidRDefault="005C5ECC" w:rsidP="00610AD5">
            <w:pPr>
              <w:pStyle w:val="ListParagraph"/>
              <w:numPr>
                <w:ilvl w:val="0"/>
                <w:numId w:val="43"/>
              </w:numPr>
              <w:contextualSpacing/>
              <w:jc w:val="both"/>
            </w:pPr>
            <w:r w:rsidRPr="00610AD5">
              <w:t>Identify and map out sub-national payments and transfers in PNG’s extractive sector</w:t>
            </w:r>
            <w:r w:rsidR="00535451">
              <w:t xml:space="preserve">; </w:t>
            </w:r>
          </w:p>
          <w:p w14:paraId="050E35B1" w14:textId="77777777" w:rsidR="005C5ECC" w:rsidRPr="00610AD5" w:rsidRDefault="005C5ECC" w:rsidP="00610AD5">
            <w:pPr>
              <w:pStyle w:val="ListParagraph"/>
              <w:numPr>
                <w:ilvl w:val="0"/>
                <w:numId w:val="43"/>
              </w:numPr>
              <w:contextualSpacing/>
              <w:jc w:val="both"/>
            </w:pPr>
            <w:r w:rsidRPr="00610AD5">
              <w:t xml:space="preserve">Document stakeholder views on enhanced sub-national reporting through PNGEITI; and </w:t>
            </w:r>
          </w:p>
          <w:p w14:paraId="4B20565A" w14:textId="77777777" w:rsidR="005C5ECC" w:rsidRPr="00610AD5" w:rsidRDefault="005C5ECC" w:rsidP="00610AD5">
            <w:pPr>
              <w:pStyle w:val="ListParagraph"/>
              <w:numPr>
                <w:ilvl w:val="0"/>
                <w:numId w:val="43"/>
              </w:numPr>
              <w:contextualSpacing/>
              <w:jc w:val="both"/>
            </w:pPr>
            <w:r w:rsidRPr="00610AD5">
              <w:t xml:space="preserve">Develop a reporting framework and roadmap for PNGEITI sub-national reporting. </w:t>
            </w:r>
          </w:p>
          <w:p w14:paraId="642128E0" w14:textId="7E3D3582" w:rsidR="005C5ECC" w:rsidRDefault="005C5ECC" w:rsidP="005C5ECC">
            <w:pPr>
              <w:jc w:val="both"/>
            </w:pPr>
            <w:r>
              <w:t xml:space="preserve">Based on a review of global best practice, stakeholder interviews, case studies, and analysis of subnational payment data, a series of key questions were considered in the development of a proposed framework for PNGEITI subnational reporting. </w:t>
            </w:r>
            <w:r w:rsidR="005C6DA2">
              <w:t>A key</w:t>
            </w:r>
            <w:r>
              <w:t xml:space="preserve"> recommendation proposed in the scoping study</w:t>
            </w:r>
            <w:r w:rsidR="005C6DA2">
              <w:t xml:space="preserve"> </w:t>
            </w:r>
            <w:r>
              <w:t xml:space="preserve">was that </w:t>
            </w:r>
            <w:r w:rsidR="005C6DA2">
              <w:t>o</w:t>
            </w:r>
            <w:r>
              <w:t xml:space="preserve">ther than attempting a country wide implementation of </w:t>
            </w:r>
            <w:proofErr w:type="spellStart"/>
            <w:r>
              <w:t>sub</w:t>
            </w:r>
            <w:r w:rsidR="005C6DA2">
              <w:t>n</w:t>
            </w:r>
            <w:r>
              <w:t>national</w:t>
            </w:r>
            <w:proofErr w:type="spellEnd"/>
            <w:r>
              <w:t xml:space="preserve"> reporting, PNGEITI </w:t>
            </w:r>
            <w:r w:rsidR="005C6DA2">
              <w:t xml:space="preserve">to </w:t>
            </w:r>
            <w:r>
              <w:t xml:space="preserve">pilot subnational reporting in three extractive provinces. </w:t>
            </w:r>
          </w:p>
          <w:p w14:paraId="549CFA84" w14:textId="61B6B581" w:rsidR="005C5ECC" w:rsidRDefault="005C5ECC" w:rsidP="005C5ECC">
            <w:pPr>
              <w:jc w:val="both"/>
            </w:pPr>
            <w:r>
              <w:t xml:space="preserve">Piloting subnational reporting will </w:t>
            </w:r>
            <w:r w:rsidR="008E68DF">
              <w:t>assist</w:t>
            </w:r>
            <w:r>
              <w:t xml:space="preserve"> the PNGEITI, and the provincial counterparts learn lessons about what works and what does not work prior to a wider roll out of EITI sub-national reporting in PNG. Involving key stakeholders from extractive provinces in an </w:t>
            </w:r>
            <w:r>
              <w:lastRenderedPageBreak/>
              <w:t xml:space="preserve">‘adaptive’ implementation of subnational reporting will also mean a greater chance of ownership over the process. This will in turn generate on the ground learnings that can be </w:t>
            </w:r>
            <w:proofErr w:type="gramStart"/>
            <w:r>
              <w:t>taken into account</w:t>
            </w:r>
            <w:proofErr w:type="gramEnd"/>
            <w:r>
              <w:t xml:space="preserve"> in the final design of a PNGEITI subnational operating framework. </w:t>
            </w:r>
          </w:p>
          <w:p w14:paraId="55D68FD5" w14:textId="77777777" w:rsidR="005276C2" w:rsidRPr="005276C2" w:rsidRDefault="005276C2" w:rsidP="005276C2">
            <w:pPr>
              <w:ind w:firstLine="1005"/>
              <w:jc w:val="both"/>
              <w:rPr>
                <w:lang w:val="en-AU"/>
              </w:rPr>
            </w:pPr>
            <w:r w:rsidRPr="005276C2">
              <w:rPr>
                <w:b/>
                <w:bCs/>
                <w:lang w:val="en-AU"/>
              </w:rPr>
              <w:t>1.5</w:t>
            </w:r>
            <w:r w:rsidRPr="005276C2">
              <w:rPr>
                <w:lang w:val="en-AU"/>
              </w:rPr>
              <w:t xml:space="preserve"> </w:t>
            </w:r>
            <w:r w:rsidRPr="005276C2">
              <w:rPr>
                <w:b/>
                <w:bCs/>
                <w:u w:val="single"/>
                <w:lang w:val="en-AU"/>
              </w:rPr>
              <w:t>Improvement in Resource Related Revenue Management</w:t>
            </w:r>
            <w:r w:rsidRPr="005276C2">
              <w:rPr>
                <w:lang w:val="en-AU"/>
              </w:rPr>
              <w:t> </w:t>
            </w:r>
          </w:p>
          <w:p w14:paraId="2358C03D" w14:textId="77777777" w:rsidR="005276C2" w:rsidRPr="005276C2" w:rsidRDefault="005276C2" w:rsidP="00B81525">
            <w:pPr>
              <w:contextualSpacing/>
              <w:jc w:val="both"/>
              <w:rPr>
                <w:lang w:val="en-AU"/>
              </w:rPr>
            </w:pPr>
            <w:r w:rsidRPr="005276C2">
              <w:rPr>
                <w:lang w:val="en-AU"/>
              </w:rPr>
              <w:t>This project commenced in January 2018.</w:t>
            </w:r>
            <w:r w:rsidRPr="005276C2">
              <w:rPr>
                <w:b/>
                <w:bCs/>
                <w:i/>
                <w:iCs/>
                <w:lang w:val="en-AU"/>
              </w:rPr>
              <w:t xml:space="preserve"> </w:t>
            </w:r>
            <w:r w:rsidRPr="005276C2">
              <w:rPr>
                <w:lang w:val="en-AU"/>
              </w:rPr>
              <w:t>The primary goal of the project is to promote resource related revenue management and reporting in accordance with the EITI Standard. The project aims to achieve a number of outputs including:  </w:t>
            </w:r>
          </w:p>
          <w:p w14:paraId="1ED3A02E" w14:textId="77777777" w:rsidR="005276C2" w:rsidRPr="005276C2" w:rsidRDefault="005276C2" w:rsidP="00B81525">
            <w:pPr>
              <w:numPr>
                <w:ilvl w:val="0"/>
                <w:numId w:val="13"/>
              </w:numPr>
              <w:spacing w:after="120"/>
              <w:contextualSpacing/>
              <w:jc w:val="both"/>
              <w:rPr>
                <w:lang w:val="en-AU"/>
              </w:rPr>
            </w:pPr>
            <w:r w:rsidRPr="005276C2">
              <w:rPr>
                <w:lang w:val="en-AU"/>
              </w:rPr>
              <w:t>improving management of relevant data and information at the Department of Petroleum and Energy.  </w:t>
            </w:r>
          </w:p>
          <w:p w14:paraId="37B4CB25" w14:textId="77777777" w:rsidR="005276C2" w:rsidRPr="005276C2" w:rsidRDefault="005276C2" w:rsidP="00B81525">
            <w:pPr>
              <w:numPr>
                <w:ilvl w:val="0"/>
                <w:numId w:val="13"/>
              </w:numPr>
              <w:spacing w:after="120"/>
              <w:contextualSpacing/>
              <w:jc w:val="both"/>
              <w:rPr>
                <w:lang w:val="en-AU"/>
              </w:rPr>
            </w:pPr>
            <w:r w:rsidRPr="005276C2">
              <w:rPr>
                <w:lang w:val="en-AU"/>
              </w:rPr>
              <w:t>Enhancing reporting mechanisms among extractive sector companies and government agencies; and </w:t>
            </w:r>
          </w:p>
          <w:p w14:paraId="2DE21A64" w14:textId="77777777" w:rsidR="005276C2" w:rsidRPr="005276C2" w:rsidRDefault="005276C2" w:rsidP="00B81525">
            <w:pPr>
              <w:numPr>
                <w:ilvl w:val="0"/>
                <w:numId w:val="13"/>
              </w:numPr>
              <w:spacing w:before="120" w:after="120"/>
              <w:contextualSpacing/>
              <w:jc w:val="both"/>
              <w:rPr>
                <w:lang w:val="en-AU"/>
              </w:rPr>
            </w:pPr>
            <w:r w:rsidRPr="005276C2">
              <w:rPr>
                <w:lang w:val="en-AU"/>
              </w:rPr>
              <w:t>Enhancing awareness and implementation structure for PNGEITI in the country. </w:t>
            </w:r>
          </w:p>
          <w:p w14:paraId="6E9597D6" w14:textId="527D8522" w:rsidR="005276C2" w:rsidRPr="005276C2" w:rsidRDefault="005276C2" w:rsidP="005276C2">
            <w:pPr>
              <w:jc w:val="both"/>
              <w:rPr>
                <w:lang w:val="en-AU"/>
              </w:rPr>
            </w:pPr>
            <w:r w:rsidRPr="005276C2">
              <w:rPr>
                <w:lang w:val="en-AU"/>
              </w:rPr>
              <w:t> The project was to have been concluded in December 2020, however due to Covid-19 pandemic disruptions it was extended to</w:t>
            </w:r>
            <w:r w:rsidR="003173F1">
              <w:rPr>
                <w:lang w:val="en-AU"/>
              </w:rPr>
              <w:t xml:space="preserve"> the</w:t>
            </w:r>
            <w:r w:rsidRPr="005276C2">
              <w:rPr>
                <w:lang w:val="en-AU"/>
              </w:rPr>
              <w:t xml:space="preserve"> end </w:t>
            </w:r>
            <w:r w:rsidR="003173F1">
              <w:rPr>
                <w:lang w:val="en-AU"/>
              </w:rPr>
              <w:t>of</w:t>
            </w:r>
            <w:r w:rsidRPr="005276C2">
              <w:rPr>
                <w:lang w:val="en-AU"/>
              </w:rPr>
              <w:t xml:space="preserve"> December 2021. The project was funded under the JICA Technical Cooperation Programme and the PNGEITI is currently in liaison with JICA to secure Phase II of the project going forward. </w:t>
            </w:r>
          </w:p>
          <w:p w14:paraId="63DDD40B" w14:textId="2FA7724F" w:rsidR="005C5ECC" w:rsidRDefault="005C5ECC" w:rsidP="005C5ECC">
            <w:pPr>
              <w:jc w:val="both"/>
            </w:pPr>
            <w:r>
              <w:t xml:space="preserve">Piloting sub-national reporting in extractive provinces (phase 2 project) was </w:t>
            </w:r>
            <w:r w:rsidR="003173F1">
              <w:t>on hold</w:t>
            </w:r>
            <w:r>
              <w:t xml:space="preserve"> in 2020 due to the onset of the Covid-19 Pandemic and the project has been pending since. The PNGEITI had prioritized this project in its Annual Work Plan to be continued in 2022.</w:t>
            </w:r>
          </w:p>
          <w:p w14:paraId="79AE62CC" w14:textId="3B6A9CCA" w:rsidR="00565FDB" w:rsidRPr="00565FDB" w:rsidRDefault="00565FDB" w:rsidP="00134395">
            <w:pPr>
              <w:pStyle w:val="ListParagraph"/>
              <w:numPr>
                <w:ilvl w:val="1"/>
                <w:numId w:val="15"/>
              </w:numPr>
              <w:jc w:val="both"/>
              <w:rPr>
                <w:b/>
                <w:u w:val="single"/>
              </w:rPr>
            </w:pPr>
            <w:r w:rsidRPr="00565FDB">
              <w:rPr>
                <w:b/>
                <w:u w:val="single"/>
              </w:rPr>
              <w:t>Scoping Studies on Education Mainstreaming, Electronic Data Reporting Platform and CSO Capacity Assessment Projects</w:t>
            </w:r>
          </w:p>
          <w:p w14:paraId="32111EAD" w14:textId="090BD641" w:rsidR="00565FDB" w:rsidRPr="00565FDB" w:rsidRDefault="00565FDB" w:rsidP="00565FDB">
            <w:pPr>
              <w:jc w:val="both"/>
              <w:rPr>
                <w:lang w:val="en-AU"/>
              </w:rPr>
            </w:pPr>
            <w:r w:rsidRPr="00565FDB">
              <w:t>PNGEITI in partnership with the World Bank</w:t>
            </w:r>
            <w:r w:rsidR="00C75D7E">
              <w:t xml:space="preserve"> have</w:t>
            </w:r>
            <w:r w:rsidRPr="00565FDB">
              <w:t xml:space="preserve"> jointly commissioned the publication of three scoping studies in 2020. The purpose of embarking on these studies was basically to enhance the outputs of the PNGEITI in accordance with EITI implementation in the country. </w:t>
            </w:r>
          </w:p>
          <w:p w14:paraId="55D2A258" w14:textId="085EEDE3" w:rsidR="00565FDB" w:rsidRPr="001A2663" w:rsidRDefault="00565FDB" w:rsidP="001A2663">
            <w:pPr>
              <w:contextualSpacing/>
              <w:jc w:val="both"/>
            </w:pPr>
            <w:r w:rsidRPr="001A2663">
              <w:t>Th</w:t>
            </w:r>
            <w:r w:rsidR="00C75D7E" w:rsidRPr="001A2663">
              <w:t xml:space="preserve">e three scoping reports </w:t>
            </w:r>
            <w:r w:rsidR="001A2663">
              <w:t>are as follows</w:t>
            </w:r>
            <w:r w:rsidR="00C75D7E" w:rsidRPr="001A2663">
              <w:t>:</w:t>
            </w:r>
            <w:r w:rsidRPr="001A2663">
              <w:t xml:space="preserve"> </w:t>
            </w:r>
          </w:p>
          <w:p w14:paraId="0CAAFF76" w14:textId="77777777" w:rsidR="00565FDB" w:rsidRPr="00565FDB" w:rsidRDefault="00565FDB" w:rsidP="001A2663">
            <w:pPr>
              <w:numPr>
                <w:ilvl w:val="0"/>
                <w:numId w:val="44"/>
              </w:numPr>
              <w:contextualSpacing/>
              <w:jc w:val="both"/>
            </w:pPr>
            <w:r w:rsidRPr="00565FDB">
              <w:t xml:space="preserve">Mainstreaming the PNGEITI reports and standards in the formal education sector; </w:t>
            </w:r>
          </w:p>
          <w:p w14:paraId="1716FE27" w14:textId="527ADC59" w:rsidR="00565FDB" w:rsidRPr="00565FDB" w:rsidRDefault="00565FDB" w:rsidP="001A2663">
            <w:pPr>
              <w:numPr>
                <w:ilvl w:val="0"/>
                <w:numId w:val="44"/>
              </w:numPr>
              <w:contextualSpacing/>
              <w:jc w:val="both"/>
            </w:pPr>
            <w:r w:rsidRPr="00565FDB">
              <w:t>Digitizing the PNGEITI reporting process through an Electronic Reporting Platform;</w:t>
            </w:r>
          </w:p>
          <w:p w14:paraId="7542AB7E" w14:textId="20C990AA" w:rsidR="003173F1" w:rsidRDefault="00565FDB" w:rsidP="001A2663">
            <w:pPr>
              <w:numPr>
                <w:ilvl w:val="0"/>
                <w:numId w:val="44"/>
              </w:numPr>
              <w:contextualSpacing/>
              <w:jc w:val="both"/>
            </w:pPr>
            <w:r w:rsidRPr="00565FDB">
              <w:t>Conducting Capacity Assessment of Civil Society Organisations (CSOs) participation in the EITI implementation process.</w:t>
            </w:r>
          </w:p>
          <w:p w14:paraId="6FBF8D91" w14:textId="77777777" w:rsidR="001A2663" w:rsidRPr="006A6BA3" w:rsidRDefault="001A2663" w:rsidP="001A2663">
            <w:pPr>
              <w:ind w:left="720"/>
              <w:contextualSpacing/>
              <w:jc w:val="both"/>
            </w:pPr>
          </w:p>
          <w:p w14:paraId="10B702DB" w14:textId="146DB50D" w:rsidR="00565FDB" w:rsidRDefault="00565FDB" w:rsidP="00565FDB">
            <w:pPr>
              <w:jc w:val="both"/>
            </w:pPr>
            <w:r w:rsidRPr="00565FDB">
              <w:t>The three reports were reviewed and assessed on both their relevance</w:t>
            </w:r>
            <w:r w:rsidR="006A6BA3">
              <w:t xml:space="preserve"> and priority areas</w:t>
            </w:r>
            <w:r w:rsidRPr="00565FDB">
              <w:t xml:space="preserve"> to PNGEITI policy and the EITI Standard</w:t>
            </w:r>
            <w:r w:rsidR="006A6BA3">
              <w:t>s</w:t>
            </w:r>
            <w:r w:rsidRPr="00565FDB">
              <w:t>. The PNGEITI acknowledges the first drafts of the reports and appreciated the need for continual improvement of the reports to make informed decisions for the benefit of implementing the EITI Standard. The PNGEITI had provided inputs to the World Bank to consider prior to progressing to the piloting phase of the projects.</w:t>
            </w:r>
          </w:p>
          <w:p w14:paraId="7D26AE31" w14:textId="59E6392A" w:rsidR="00565FDB" w:rsidRPr="00565FDB" w:rsidRDefault="00565FDB" w:rsidP="00565FDB">
            <w:pPr>
              <w:pStyle w:val="ListParagraph"/>
              <w:ind w:left="360"/>
              <w:jc w:val="both"/>
              <w:rPr>
                <w:b/>
                <w:bCs/>
                <w:u w:val="single"/>
              </w:rPr>
            </w:pPr>
            <w:r w:rsidRPr="00565FDB">
              <w:rPr>
                <w:b/>
                <w:bCs/>
                <w:u w:val="single"/>
              </w:rPr>
              <w:t>1.7 Proposed PNG Extractive Industry Transparency Commission (PNGEITIC) Bill</w:t>
            </w:r>
          </w:p>
          <w:p w14:paraId="4ABFD202" w14:textId="0A093B24" w:rsidR="001B4A84" w:rsidRDefault="001B4A84" w:rsidP="001B4A84">
            <w:pPr>
              <w:jc w:val="both"/>
            </w:pPr>
            <w:r>
              <w:t>EITI implementation in PNG has gained momentum with increased participation by relevant regulatory departments</w:t>
            </w:r>
            <w:r w:rsidR="006A6BA3">
              <w:t>,</w:t>
            </w:r>
            <w:r>
              <w:t xml:space="preserve"> state-owned entities, provincial authorities, industry companies and civil societies. The sustainability of EITI implementation in the country is dependent on having it legally established. The reason being that the EITI is currently implemented through NEC Decision that holds no legal obligation for reporting entities to ensure compliance</w:t>
            </w:r>
            <w:r w:rsidR="006A6BA3">
              <w:t xml:space="preserve"> to</w:t>
            </w:r>
            <w:r>
              <w:t xml:space="preserve"> providing financial data and information for EITI reporting purpose. </w:t>
            </w:r>
          </w:p>
          <w:p w14:paraId="5DB4ED8C" w14:textId="4CDFD47D" w:rsidR="001B4A84" w:rsidRDefault="001B4A84" w:rsidP="001B4A84">
            <w:pPr>
              <w:jc w:val="both"/>
            </w:pPr>
            <w:r>
              <w:lastRenderedPageBreak/>
              <w:t>PNGEITI reports that have been published</w:t>
            </w:r>
            <w:r w:rsidR="006A6BA3">
              <w:t>,</w:t>
            </w:r>
            <w:r>
              <w:t xml:space="preserve"> so far continue</w:t>
            </w:r>
            <w:r w:rsidR="006A6BA3">
              <w:t>s</w:t>
            </w:r>
            <w:r>
              <w:t xml:space="preserve"> to have</w:t>
            </w:r>
            <w:r w:rsidR="00C75D7E">
              <w:t xml:space="preserve"> gaps in the</w:t>
            </w:r>
            <w:r>
              <w:t xml:space="preserve"> data and information </w:t>
            </w:r>
            <w:r w:rsidR="00C75D7E">
              <w:t>provided</w:t>
            </w:r>
            <w:r>
              <w:t xml:space="preserve"> resulting in significant discrepancies in the data and information presented to the public from</w:t>
            </w:r>
            <w:r w:rsidR="006A6BA3">
              <w:t xml:space="preserve"> the</w:t>
            </w:r>
            <w:r>
              <w:t xml:space="preserve"> reporting entities. Additionally, this scenario also presents constraints in implementing a number of EITI requirements due to the absence of a legal framework to sustain EITI governance and reporting framework domestically. Examples of reporting gaps that require legislative intervention include; disclosure of</w:t>
            </w:r>
            <w:r w:rsidR="006A6BA3">
              <w:t xml:space="preserve"> </w:t>
            </w:r>
            <w:r>
              <w:t xml:space="preserve">contracts for contracts transparency, disclosure of beneficial ownership details and the process involved in the issuance and transfer of mining, oil and gas </w:t>
            </w:r>
            <w:proofErr w:type="spellStart"/>
            <w:r>
              <w:t>licences</w:t>
            </w:r>
            <w:proofErr w:type="spellEnd"/>
            <w:r>
              <w:t xml:space="preserve"> and the absence of a </w:t>
            </w:r>
            <w:proofErr w:type="spellStart"/>
            <w:r>
              <w:t>licence</w:t>
            </w:r>
            <w:proofErr w:type="spellEnd"/>
            <w:r>
              <w:t xml:space="preserve"> registry or a data base at both the MRA and the Department of Petroleum offices amongst others for mining and petroleum activities respectively. These gaps have been identified and recommended for actioning in the 2018 Validation Report and the PNGEITI reports that have been published.</w:t>
            </w:r>
          </w:p>
          <w:p w14:paraId="76860B76" w14:textId="77777777" w:rsidR="001B4A84" w:rsidRDefault="001B4A84" w:rsidP="001B4A84">
            <w:pPr>
              <w:jc w:val="both"/>
            </w:pPr>
            <w:r>
              <w:t xml:space="preserve">Limited visibility in revenue reporting over the years have hindered informed decision making for effective governance and better management of the extractive sector. The introduction of the EITI concept and the subsequent intervention of the PNGEITI National Policy now sets the framework for improved governance, not only in the mineral sector, but also in the non-mineral sector utilizing the EITI model for improved transparency and accountability. </w:t>
            </w:r>
          </w:p>
          <w:p w14:paraId="033A9BFC" w14:textId="1AE028F3" w:rsidR="001962A2" w:rsidRPr="001962A2" w:rsidRDefault="001B4A84" w:rsidP="00685F1B">
            <w:pPr>
              <w:jc w:val="both"/>
            </w:pPr>
            <w:r>
              <w:t xml:space="preserve">The stakeholders have been making efforts in moving towards sustaining EITI implementation with a mandatory disclosure regime. These efforts are consistent with the </w:t>
            </w:r>
            <w:hyperlink r:id="rId138" w:history="1">
              <w:r w:rsidRPr="00C75D7E">
                <w:rPr>
                  <w:rStyle w:val="Hyperlink"/>
                </w:rPr>
                <w:t>NEC Decision No. 90/2013</w:t>
              </w:r>
            </w:hyperlink>
            <w:r>
              <w:t xml:space="preserve"> for PNGEITI to be established as an independent statutory body. A proposed PNGEIT Commission Bill is currently being finalized to be presented to Parliament in November this year for enactment.</w:t>
            </w:r>
          </w:p>
        </w:tc>
      </w:tr>
    </w:tbl>
    <w:p w14:paraId="0966CB74" w14:textId="77777777" w:rsidR="00C6608B" w:rsidRDefault="00C6608B" w:rsidP="00C6608B">
      <w:pPr>
        <w:spacing w:after="120"/>
      </w:pPr>
    </w:p>
    <w:p w14:paraId="4797E94C" w14:textId="77777777" w:rsidR="00C6608B" w:rsidRPr="00466FC0" w:rsidRDefault="00C6608B" w:rsidP="00134395">
      <w:pPr>
        <w:pStyle w:val="ListParagraph"/>
        <w:numPr>
          <w:ilvl w:val="0"/>
          <w:numId w:val="15"/>
        </w:numPr>
        <w:spacing w:before="0" w:after="120"/>
        <w:contextualSpacing/>
        <w:rPr>
          <w:b/>
          <w:bCs/>
        </w:rPr>
      </w:pPr>
      <w:r w:rsidRPr="00466FC0">
        <w:rPr>
          <w:b/>
          <w:bCs/>
          <w:iCs/>
        </w:rPr>
        <w:t>Extractive sector data is disclosed systematically through routine government and corporate reporting.</w:t>
      </w:r>
      <w:r w:rsidRPr="00466FC0">
        <w:rPr>
          <w:b/>
          <w:bCs/>
        </w:rPr>
        <w:t xml:space="preserve"> </w:t>
      </w:r>
    </w:p>
    <w:p w14:paraId="29DDDF61" w14:textId="77777777" w:rsidR="00C6608B" w:rsidRDefault="00C6608B" w:rsidP="00C6608B">
      <w:pPr>
        <w:pStyle w:val="ListParagraph"/>
        <w:spacing w:after="120"/>
      </w:pPr>
    </w:p>
    <w:tbl>
      <w:tblPr>
        <w:tblStyle w:val="TableGrid"/>
        <w:tblW w:w="8545" w:type="dxa"/>
        <w:tblInd w:w="720" w:type="dxa"/>
        <w:tblLook w:val="04A0" w:firstRow="1" w:lastRow="0" w:firstColumn="1" w:lastColumn="0" w:noHBand="0" w:noVBand="1"/>
      </w:tblPr>
      <w:tblGrid>
        <w:gridCol w:w="8545"/>
      </w:tblGrid>
      <w:tr w:rsidR="00C6608B" w14:paraId="01FCA789" w14:textId="77777777" w:rsidTr="000D6612">
        <w:tc>
          <w:tcPr>
            <w:tcW w:w="8545" w:type="dxa"/>
          </w:tcPr>
          <w:p w14:paraId="535840E5" w14:textId="179606E6" w:rsidR="00466FC0" w:rsidRPr="00725F12" w:rsidRDefault="00466FC0" w:rsidP="00134395">
            <w:pPr>
              <w:pStyle w:val="ListParagraph"/>
              <w:numPr>
                <w:ilvl w:val="0"/>
                <w:numId w:val="31"/>
              </w:numPr>
              <w:spacing w:after="120"/>
              <w:rPr>
                <w:rStyle w:val="Hyperlink"/>
                <w:color w:val="auto"/>
                <w:u w:val="none"/>
              </w:rPr>
            </w:pPr>
            <w:r>
              <w:t xml:space="preserve">PNGEITI Reports </w:t>
            </w:r>
            <w:hyperlink r:id="rId139" w:history="1">
              <w:r w:rsidR="00C535F8" w:rsidRPr="00C535F8">
                <w:rPr>
                  <w:rStyle w:val="Hyperlink"/>
                </w:rPr>
                <w:t>http://www.pngeiti.org.pg/reports/</w:t>
              </w:r>
            </w:hyperlink>
          </w:p>
          <w:p w14:paraId="06437E54" w14:textId="77777777" w:rsidR="00E7602D" w:rsidRDefault="00E7602D" w:rsidP="00134395">
            <w:pPr>
              <w:pStyle w:val="ListParagraph"/>
              <w:numPr>
                <w:ilvl w:val="0"/>
                <w:numId w:val="31"/>
              </w:numPr>
              <w:spacing w:after="120"/>
            </w:pPr>
            <w:r>
              <w:t xml:space="preserve">Department of Petroleum and Energy </w:t>
            </w:r>
            <w:hyperlink r:id="rId140" w:history="1">
              <w:r w:rsidRPr="00570377">
                <w:rPr>
                  <w:rStyle w:val="Hyperlink"/>
                </w:rPr>
                <w:t>https://petroleum.gov.pg/</w:t>
              </w:r>
            </w:hyperlink>
            <w:r>
              <w:t xml:space="preserve"> </w:t>
            </w:r>
          </w:p>
          <w:p w14:paraId="2576B1DD" w14:textId="627CE910" w:rsidR="00725F12" w:rsidRDefault="00E7602D" w:rsidP="00134395">
            <w:pPr>
              <w:pStyle w:val="ListParagraph"/>
              <w:numPr>
                <w:ilvl w:val="0"/>
                <w:numId w:val="31"/>
              </w:numPr>
              <w:spacing w:after="120"/>
            </w:pPr>
            <w:r>
              <w:t xml:space="preserve">Mineral Resources Authority </w:t>
            </w:r>
            <w:hyperlink r:id="rId141" w:history="1">
              <w:r w:rsidRPr="00570377">
                <w:rPr>
                  <w:rStyle w:val="Hyperlink"/>
                </w:rPr>
                <w:t>https://mra.gov.pg/</w:t>
              </w:r>
            </w:hyperlink>
            <w:r>
              <w:t xml:space="preserve"> </w:t>
            </w:r>
          </w:p>
          <w:p w14:paraId="6D0600AC" w14:textId="22B9977B" w:rsidR="00732293" w:rsidRDefault="00732293" w:rsidP="00134395">
            <w:pPr>
              <w:pStyle w:val="ListParagraph"/>
              <w:numPr>
                <w:ilvl w:val="0"/>
                <w:numId w:val="31"/>
              </w:numPr>
              <w:spacing w:after="120"/>
            </w:pPr>
            <w:r>
              <w:t xml:space="preserve">PNG Environmental Data Portal – Extractive Industry </w:t>
            </w:r>
            <w:hyperlink r:id="rId142" w:history="1">
              <w:r w:rsidR="00322641" w:rsidRPr="00024D83">
                <w:rPr>
                  <w:rStyle w:val="Hyperlink"/>
                </w:rPr>
                <w:t>https://png-data.sprep.org/dataset/extractive-industry</w:t>
              </w:r>
            </w:hyperlink>
            <w:r>
              <w:t xml:space="preserve"> </w:t>
            </w:r>
          </w:p>
          <w:p w14:paraId="6C4C1A96" w14:textId="77777777" w:rsidR="00725F12" w:rsidRDefault="00725F12" w:rsidP="00134395">
            <w:pPr>
              <w:pStyle w:val="ListParagraph"/>
              <w:numPr>
                <w:ilvl w:val="0"/>
                <w:numId w:val="31"/>
              </w:numPr>
              <w:spacing w:after="120"/>
            </w:pPr>
            <w:r>
              <w:t xml:space="preserve">Kumul Petroleum Holdings Ltd </w:t>
            </w:r>
            <w:hyperlink r:id="rId143" w:history="1">
              <w:r w:rsidRPr="00570377">
                <w:rPr>
                  <w:rStyle w:val="Hyperlink"/>
                </w:rPr>
                <w:t>https://kumulpetroleum.com/licence-interests/</w:t>
              </w:r>
            </w:hyperlink>
            <w:r>
              <w:t xml:space="preserve"> </w:t>
            </w:r>
          </w:p>
          <w:p w14:paraId="3DFB4CB4" w14:textId="77777777" w:rsidR="00725F12" w:rsidRDefault="00725F12" w:rsidP="00134395">
            <w:pPr>
              <w:pStyle w:val="ListParagraph"/>
              <w:numPr>
                <w:ilvl w:val="0"/>
                <w:numId w:val="31"/>
              </w:numPr>
              <w:spacing w:after="120"/>
            </w:pPr>
            <w:r>
              <w:t xml:space="preserve">Ok Tedi Mining Ltd </w:t>
            </w:r>
            <w:hyperlink r:id="rId144" w:history="1">
              <w:r w:rsidRPr="00570377">
                <w:rPr>
                  <w:rStyle w:val="Hyperlink"/>
                </w:rPr>
                <w:t>https://oktedi.com/who-we-are/annual-performance/</w:t>
              </w:r>
            </w:hyperlink>
            <w:r>
              <w:t xml:space="preserve"> </w:t>
            </w:r>
          </w:p>
          <w:p w14:paraId="0EFA7A57" w14:textId="77777777" w:rsidR="000D6612" w:rsidRDefault="000D6612" w:rsidP="00134395">
            <w:pPr>
              <w:pStyle w:val="ListParagraph"/>
              <w:numPr>
                <w:ilvl w:val="0"/>
                <w:numId w:val="31"/>
              </w:numPr>
              <w:spacing w:after="120"/>
            </w:pPr>
            <w:r>
              <w:t xml:space="preserve">Mineral Resources Development Company </w:t>
            </w:r>
            <w:hyperlink r:id="rId145" w:history="1">
              <w:r w:rsidRPr="00570377">
                <w:rPr>
                  <w:rStyle w:val="Hyperlink"/>
                </w:rPr>
                <w:t>https://www.mrdc.com.pg/index.html</w:t>
              </w:r>
            </w:hyperlink>
            <w:r>
              <w:t xml:space="preserve"> </w:t>
            </w:r>
          </w:p>
          <w:p w14:paraId="0EC04AA7" w14:textId="7B733D10" w:rsidR="005A3943" w:rsidRPr="00725F12" w:rsidRDefault="005A3943" w:rsidP="0068435F">
            <w:pPr>
              <w:pStyle w:val="ListParagraph"/>
              <w:spacing w:after="120"/>
            </w:pPr>
          </w:p>
        </w:tc>
      </w:tr>
    </w:tbl>
    <w:p w14:paraId="16DC5650" w14:textId="77777777" w:rsidR="00C6608B" w:rsidRDefault="00C6608B" w:rsidP="00C6608B">
      <w:pPr>
        <w:spacing w:after="120"/>
      </w:pPr>
    </w:p>
    <w:p w14:paraId="1DE7E626" w14:textId="77777777" w:rsidR="00C6608B" w:rsidRPr="00A6669D" w:rsidRDefault="00C6608B" w:rsidP="00134395">
      <w:pPr>
        <w:pStyle w:val="ListParagraph"/>
        <w:numPr>
          <w:ilvl w:val="0"/>
          <w:numId w:val="15"/>
        </w:numPr>
        <w:spacing w:before="0" w:after="120"/>
        <w:contextualSpacing/>
        <w:rPr>
          <w:b/>
          <w:bCs/>
        </w:rPr>
      </w:pPr>
      <w:r w:rsidRPr="00A6669D">
        <w:rPr>
          <w:b/>
          <w:bCs/>
          <w:iCs/>
        </w:rPr>
        <w:t>There is an enabling environment for citizen participation in extractive sector governance, including</w:t>
      </w:r>
      <w:r w:rsidRPr="00A6669D">
        <w:rPr>
          <w:b/>
          <w:bCs/>
        </w:rPr>
        <w:t xml:space="preserve"> participation by affected communities.</w:t>
      </w:r>
      <w:r w:rsidRPr="00A6669D">
        <w:rPr>
          <w:b/>
          <w:bCs/>
        </w:rP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3A45E9">
        <w:tc>
          <w:tcPr>
            <w:tcW w:w="9062" w:type="dxa"/>
          </w:tcPr>
          <w:p w14:paraId="14D52A35" w14:textId="4565C7FD" w:rsidR="00AD781F" w:rsidRDefault="00AD781F" w:rsidP="00134395">
            <w:pPr>
              <w:pStyle w:val="ListParagraph"/>
              <w:numPr>
                <w:ilvl w:val="0"/>
                <w:numId w:val="10"/>
              </w:numPr>
              <w:spacing w:after="120"/>
              <w:rPr>
                <w:i/>
                <w:iCs/>
              </w:rPr>
            </w:pPr>
            <w:r>
              <w:rPr>
                <w:i/>
                <w:iCs/>
              </w:rPr>
              <w:t>Development forums for oil and gas resource province</w:t>
            </w:r>
            <w:r w:rsidR="00685F1B">
              <w:rPr>
                <w:i/>
                <w:iCs/>
              </w:rPr>
              <w:t xml:space="preserve">s; </w:t>
            </w:r>
            <w:r>
              <w:rPr>
                <w:i/>
                <w:iCs/>
              </w:rPr>
              <w:t xml:space="preserve"> </w:t>
            </w:r>
          </w:p>
          <w:p w14:paraId="50C0E77A" w14:textId="1F01D1B1" w:rsidR="00AD781F" w:rsidRDefault="00AD781F" w:rsidP="00134395">
            <w:pPr>
              <w:pStyle w:val="ListParagraph"/>
              <w:numPr>
                <w:ilvl w:val="0"/>
                <w:numId w:val="10"/>
              </w:numPr>
              <w:spacing w:after="120"/>
              <w:rPr>
                <w:i/>
                <w:iCs/>
              </w:rPr>
            </w:pPr>
            <w:r>
              <w:rPr>
                <w:i/>
                <w:iCs/>
              </w:rPr>
              <w:t>Memorandum of Agreements (MOA) forums for mining project provinces</w:t>
            </w:r>
            <w:r w:rsidR="00685F1B">
              <w:rPr>
                <w:i/>
                <w:iCs/>
              </w:rPr>
              <w:t xml:space="preserve">. </w:t>
            </w:r>
            <w:r>
              <w:rPr>
                <w:i/>
                <w:iCs/>
              </w:rPr>
              <w:t xml:space="preserve"> </w:t>
            </w:r>
          </w:p>
          <w:p w14:paraId="78326578" w14:textId="77777777" w:rsidR="00C6608B" w:rsidRPr="00CA45EB" w:rsidRDefault="00C6608B" w:rsidP="003A45E9">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B0769E" w:rsidRDefault="00C6608B" w:rsidP="00134395">
      <w:pPr>
        <w:pStyle w:val="ListParagraph"/>
        <w:numPr>
          <w:ilvl w:val="0"/>
          <w:numId w:val="15"/>
        </w:numPr>
        <w:spacing w:before="0" w:after="120"/>
        <w:contextualSpacing/>
        <w:rPr>
          <w:b/>
          <w:bCs/>
        </w:rPr>
      </w:pPr>
      <w:r w:rsidRPr="00B0769E">
        <w:rPr>
          <w:b/>
          <w:bCs/>
          <w:iCs/>
        </w:rPr>
        <w:t>Extractive sector data is accessible and used for analysis, research and advocacy.</w:t>
      </w:r>
      <w:r w:rsidRPr="00B0769E">
        <w:rPr>
          <w:b/>
          <w:bCs/>
          <w:iCs/>
        </w:rP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3A45E9">
        <w:tc>
          <w:tcPr>
            <w:tcW w:w="9062" w:type="dxa"/>
          </w:tcPr>
          <w:p w14:paraId="7863A6E8" w14:textId="58D2280B" w:rsidR="00C6608B" w:rsidRDefault="006F55C9" w:rsidP="00B16F1D">
            <w:pPr>
              <w:spacing w:after="120"/>
            </w:pPr>
            <w:hyperlink r:id="rId146" w:history="1">
              <w:r w:rsidR="00B16F1D" w:rsidRPr="00570377">
                <w:rPr>
                  <w:rStyle w:val="Hyperlink"/>
                </w:rPr>
                <w:t>https://devpolicy.org/papua-new-guineas-disappearing-resource-revenues-20180815/</w:t>
              </w:r>
            </w:hyperlink>
          </w:p>
          <w:p w14:paraId="571DF0D1" w14:textId="77777777" w:rsidR="00B16F1D" w:rsidRDefault="006F55C9" w:rsidP="00B16F1D">
            <w:pPr>
              <w:spacing w:after="120"/>
            </w:pPr>
            <w:hyperlink r:id="rId147" w:history="1">
              <w:r w:rsidR="00BD5505" w:rsidRPr="00570377">
                <w:rPr>
                  <w:rStyle w:val="Hyperlink"/>
                </w:rPr>
                <w:t>https://squarecircle.org/portfolio/pngeiti-capacity-building-program/</w:t>
              </w:r>
            </w:hyperlink>
            <w:r w:rsidR="00BD5505">
              <w:t xml:space="preserve"> </w:t>
            </w:r>
          </w:p>
          <w:p w14:paraId="4B5F45F7" w14:textId="77777777" w:rsidR="00BD5505" w:rsidRDefault="006F55C9" w:rsidP="00B16F1D">
            <w:pPr>
              <w:spacing w:after="120"/>
            </w:pPr>
            <w:hyperlink r:id="rId148" w:history="1">
              <w:r w:rsidR="00BD5505" w:rsidRPr="00570377">
                <w:rPr>
                  <w:rStyle w:val="Hyperlink"/>
                </w:rPr>
                <w:t>https://png.embassy.gov.au/pmsb/810.html</w:t>
              </w:r>
            </w:hyperlink>
            <w:r w:rsidR="00BD5505">
              <w:t xml:space="preserve"> </w:t>
            </w:r>
          </w:p>
          <w:p w14:paraId="68BD6D14" w14:textId="5354FCFC" w:rsidR="00D2194F" w:rsidRDefault="006F55C9" w:rsidP="00B16F1D">
            <w:pPr>
              <w:spacing w:after="120"/>
            </w:pPr>
            <w:hyperlink r:id="rId149" w:history="1">
              <w:r w:rsidR="00D2194F" w:rsidRPr="00570377">
                <w:rPr>
                  <w:rStyle w:val="Hyperlink"/>
                </w:rPr>
                <w:t>https://www.mfat.govt.nz/assets/Uploads/Papua-New-Guinea-Country-Programme-Evaluation-Development-Context.pdf</w:t>
              </w:r>
            </w:hyperlink>
            <w:r w:rsidR="00D2194F">
              <w:t xml:space="preserve"> </w:t>
            </w:r>
          </w:p>
        </w:tc>
      </w:tr>
    </w:tbl>
    <w:p w14:paraId="76EBDD7C" w14:textId="77777777" w:rsidR="00C6608B" w:rsidRPr="00C95AE5" w:rsidRDefault="00C6608B" w:rsidP="00C6608B">
      <w:pPr>
        <w:spacing w:after="120"/>
      </w:pPr>
    </w:p>
    <w:p w14:paraId="09ED303D" w14:textId="44F50660" w:rsidR="00C6608B" w:rsidRPr="00322641" w:rsidRDefault="00C6608B" w:rsidP="00134395">
      <w:pPr>
        <w:pStyle w:val="ListParagraph"/>
        <w:numPr>
          <w:ilvl w:val="0"/>
          <w:numId w:val="15"/>
        </w:numPr>
        <w:spacing w:before="0" w:after="120"/>
        <w:contextualSpacing/>
      </w:pPr>
      <w:r w:rsidRPr="000A59CB">
        <w:rPr>
          <w:b/>
          <w:bCs/>
          <w:iCs/>
        </w:rPr>
        <w:t>EITI has informed changes in extractive sector policies or practices.</w:t>
      </w:r>
      <w:r w:rsidRPr="000A59CB">
        <w:rPr>
          <w:b/>
          <w:bCs/>
        </w:rPr>
        <w:t xml:space="preserve"> </w:t>
      </w:r>
    </w:p>
    <w:p w14:paraId="07026FAA" w14:textId="77777777" w:rsidR="00322641" w:rsidRDefault="00322641" w:rsidP="00322641">
      <w:pPr>
        <w:pStyle w:val="ListParagraph"/>
        <w:spacing w:before="0" w:after="120"/>
        <w:ind w:left="360"/>
        <w:contextualSpacing/>
      </w:pPr>
    </w:p>
    <w:tbl>
      <w:tblPr>
        <w:tblStyle w:val="TableGrid1"/>
        <w:tblW w:w="0" w:type="auto"/>
        <w:tblInd w:w="720" w:type="dxa"/>
        <w:tblLook w:val="04A0" w:firstRow="1" w:lastRow="0" w:firstColumn="1" w:lastColumn="0" w:noHBand="0" w:noVBand="1"/>
      </w:tblPr>
      <w:tblGrid>
        <w:gridCol w:w="8342"/>
      </w:tblGrid>
      <w:tr w:rsidR="00163F4A" w14:paraId="4920B957" w14:textId="77777777" w:rsidTr="00163F4A">
        <w:tc>
          <w:tcPr>
            <w:tcW w:w="8342" w:type="dxa"/>
          </w:tcPr>
          <w:p w14:paraId="43E5A6F4" w14:textId="00CE6060" w:rsidR="00163F4A" w:rsidRDefault="00163F4A" w:rsidP="00134395">
            <w:pPr>
              <w:pStyle w:val="ListParagraph"/>
              <w:numPr>
                <w:ilvl w:val="0"/>
                <w:numId w:val="9"/>
              </w:numPr>
              <w:spacing w:after="120"/>
              <w:rPr>
                <w:i/>
                <w:iCs/>
              </w:rPr>
            </w:pPr>
            <w:r w:rsidRPr="1C6E3B1F">
              <w:rPr>
                <w:i/>
                <w:iCs/>
              </w:rPr>
              <w:t>EITI implementation in PNG had given rise to the need to adopt a National Policy Framework on Transparency and Accountability, and thus the policy was approved by Cabinet in 2019 and is in place now as outlined in earlier sections of this template.</w:t>
            </w:r>
          </w:p>
          <w:p w14:paraId="0853E652" w14:textId="0F6A1A52" w:rsidR="00025CAC" w:rsidRPr="00B23581" w:rsidRDefault="00025CAC" w:rsidP="00134395">
            <w:pPr>
              <w:pStyle w:val="ListParagraph"/>
              <w:numPr>
                <w:ilvl w:val="0"/>
                <w:numId w:val="9"/>
              </w:numPr>
              <w:spacing w:after="120"/>
              <w:rPr>
                <w:i/>
                <w:iCs/>
              </w:rPr>
            </w:pPr>
            <w:r>
              <w:rPr>
                <w:i/>
                <w:iCs/>
              </w:rPr>
              <w:t>The improvement of Department of Petroleum and Energy data management systems, e.g. from paper ledger system to electronic database.</w:t>
            </w:r>
            <w:r w:rsidR="00B23581">
              <w:rPr>
                <w:i/>
                <w:iCs/>
              </w:rPr>
              <w:t xml:space="preserve"> A website was also developed and launched for data uploads. </w:t>
            </w:r>
            <w:hyperlink r:id="rId150" w:history="1">
              <w:r w:rsidR="00F53C82" w:rsidRPr="00024D83">
                <w:rPr>
                  <w:rStyle w:val="Hyperlink"/>
                  <w:i/>
                  <w:iCs/>
                </w:rPr>
                <w:t>https://www.businessadvantagepng.com/transparency-initiative-report-calls-for-improved-systems-in-extraction-sector/</w:t>
              </w:r>
            </w:hyperlink>
            <w:r w:rsidRPr="00B23581">
              <w:rPr>
                <w:i/>
                <w:iCs/>
              </w:rPr>
              <w:t xml:space="preserve"> </w:t>
            </w:r>
          </w:p>
          <w:p w14:paraId="5C42B6C1" w14:textId="61C76AF3" w:rsidR="00163F4A" w:rsidRDefault="00163F4A" w:rsidP="00134395">
            <w:pPr>
              <w:pStyle w:val="ListParagraph"/>
              <w:numPr>
                <w:ilvl w:val="0"/>
                <w:numId w:val="9"/>
              </w:numPr>
              <w:spacing w:after="120"/>
              <w:rPr>
                <w:i/>
                <w:iCs/>
              </w:rPr>
            </w:pPr>
            <w:r w:rsidRPr="5EF89444">
              <w:rPr>
                <w:i/>
                <w:iCs/>
              </w:rPr>
              <w:t xml:space="preserve">It is evident that the EITI data and reports produced over time had </w:t>
            </w:r>
            <w:r w:rsidR="004F36C4">
              <w:rPr>
                <w:i/>
                <w:iCs/>
              </w:rPr>
              <w:t xml:space="preserve">some indirect </w:t>
            </w:r>
            <w:r w:rsidRPr="5EF89444">
              <w:rPr>
                <w:i/>
                <w:iCs/>
              </w:rPr>
              <w:t>influence</w:t>
            </w:r>
            <w:r w:rsidR="004F36C4">
              <w:rPr>
                <w:i/>
                <w:iCs/>
              </w:rPr>
              <w:t xml:space="preserve"> on</w:t>
            </w:r>
            <w:r w:rsidRPr="5EF89444">
              <w:rPr>
                <w:i/>
                <w:iCs/>
              </w:rPr>
              <w:t xml:space="preserve"> the Government to change its past practice in negotiating for better equity share in new mining and petroleum development projects and in renewal of </w:t>
            </w:r>
            <w:proofErr w:type="spellStart"/>
            <w:r w:rsidRPr="5EF89444">
              <w:rPr>
                <w:i/>
                <w:iCs/>
              </w:rPr>
              <w:t>licences</w:t>
            </w:r>
            <w:proofErr w:type="spellEnd"/>
            <w:r w:rsidRPr="5EF89444">
              <w:rPr>
                <w:i/>
                <w:iCs/>
              </w:rPr>
              <w:t xml:space="preserve"> for existing projects. </w:t>
            </w:r>
          </w:p>
          <w:p w14:paraId="2ADBB0F7" w14:textId="77777777" w:rsidR="00163F4A" w:rsidRPr="00F87230" w:rsidRDefault="00163F4A" w:rsidP="00F87230">
            <w:pPr>
              <w:spacing w:after="120"/>
            </w:pPr>
          </w:p>
        </w:tc>
      </w:tr>
    </w:tbl>
    <w:p w14:paraId="6FF8EAB4" w14:textId="77777777" w:rsidR="00C6608B" w:rsidRPr="0060568E" w:rsidRDefault="00C6608B" w:rsidP="00C6608B">
      <w:pPr>
        <w:pStyle w:val="ListParagraph"/>
        <w:spacing w:after="120"/>
      </w:pPr>
    </w:p>
    <w:p w14:paraId="2A4CE4F0" w14:textId="23D63B4F" w:rsidR="00C6608B" w:rsidRPr="00685F1B" w:rsidRDefault="00C6608B" w:rsidP="00685F1B">
      <w:pPr>
        <w:pStyle w:val="Heading1"/>
        <w:rPr>
          <w:rFonts w:ascii="Franklin Gothic Book" w:hAnsi="Franklin Gothic Book"/>
        </w:rPr>
      </w:pPr>
      <w:bookmarkStart w:id="14" w:name="_Toc57973533"/>
      <w:r w:rsidRPr="0060568E">
        <w:rPr>
          <w:rFonts w:ascii="Franklin Gothic Book" w:hAnsi="Franklin Gothic Book"/>
        </w:rPr>
        <w:lastRenderedPageBreak/>
        <w:t>Part IV: Stakeholder feedback and MSG approval</w:t>
      </w:r>
      <w:bookmarkEnd w:id="14"/>
    </w:p>
    <w:p w14:paraId="62F78794" w14:textId="77777777" w:rsidR="00C6608B" w:rsidRPr="00A757D2" w:rsidRDefault="00C6608B" w:rsidP="00C6608B">
      <w:pPr>
        <w:rPr>
          <w:b/>
          <w:bCs/>
        </w:rPr>
      </w:pPr>
      <w:r w:rsidRPr="00A757D2">
        <w:rPr>
          <w:b/>
          <w:bCs/>
        </w:rPr>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3A45E9">
        <w:tc>
          <w:tcPr>
            <w:tcW w:w="9062" w:type="dxa"/>
          </w:tcPr>
          <w:p w14:paraId="1FAC83D2" w14:textId="520F7A61" w:rsidR="001F2F6A" w:rsidRPr="001F2F6A" w:rsidRDefault="001F2F6A" w:rsidP="001F2F6A">
            <w:r>
              <w:t xml:space="preserve">The </w:t>
            </w:r>
            <w:proofErr w:type="spellStart"/>
            <w:r>
              <w:t>discusions</w:t>
            </w:r>
            <w:proofErr w:type="spellEnd"/>
            <w:r>
              <w:t xml:space="preserve"> on the EITI process including the reports have been communicated to the broader stakeholders through the following; </w:t>
            </w:r>
          </w:p>
          <w:p w14:paraId="08F729AC" w14:textId="7645E5BA" w:rsidR="009041AD" w:rsidRPr="009041AD" w:rsidRDefault="001F2F6A" w:rsidP="00134395">
            <w:pPr>
              <w:pStyle w:val="ListParagraph"/>
              <w:numPr>
                <w:ilvl w:val="0"/>
                <w:numId w:val="32"/>
              </w:numPr>
            </w:pPr>
            <w:r>
              <w:t xml:space="preserve">The recent regional </w:t>
            </w:r>
            <w:proofErr w:type="gramStart"/>
            <w:r>
              <w:t xml:space="preserve">consultation </w:t>
            </w:r>
            <w:r w:rsidR="009041AD" w:rsidRPr="009041AD">
              <w:t xml:space="preserve"> </w:t>
            </w:r>
            <w:r w:rsidR="000D0DEF">
              <w:t>on</w:t>
            </w:r>
            <w:proofErr w:type="gramEnd"/>
            <w:r w:rsidR="000D0DEF">
              <w:t xml:space="preserve"> the PNGEIT Commission Bill; </w:t>
            </w:r>
          </w:p>
          <w:p w14:paraId="57DB5822" w14:textId="4D9AFB30" w:rsidR="000D0DEF" w:rsidRDefault="000D0DEF" w:rsidP="00134395">
            <w:pPr>
              <w:numPr>
                <w:ilvl w:val="0"/>
                <w:numId w:val="8"/>
              </w:numPr>
              <w:rPr>
                <w:rFonts w:eastAsia="Cambria" w:cs="Arial"/>
              </w:rPr>
            </w:pPr>
            <w:r>
              <w:rPr>
                <w:rFonts w:eastAsia="Cambria" w:cs="Arial"/>
              </w:rPr>
              <w:t>Mining project MoA review f</w:t>
            </w:r>
            <w:r w:rsidR="009041AD" w:rsidRPr="009041AD">
              <w:rPr>
                <w:rFonts w:eastAsia="Cambria" w:cs="Arial"/>
              </w:rPr>
              <w:t>orums</w:t>
            </w:r>
            <w:r>
              <w:rPr>
                <w:rFonts w:eastAsia="Cambria" w:cs="Arial"/>
              </w:rPr>
              <w:t xml:space="preserve">; </w:t>
            </w:r>
          </w:p>
          <w:p w14:paraId="4DA34D9C" w14:textId="58E266C6" w:rsidR="00362828" w:rsidRDefault="00362828" w:rsidP="00134395">
            <w:pPr>
              <w:numPr>
                <w:ilvl w:val="0"/>
                <w:numId w:val="8"/>
              </w:numPr>
              <w:rPr>
                <w:rFonts w:eastAsia="Cambria" w:cs="Arial"/>
              </w:rPr>
            </w:pPr>
            <w:r>
              <w:rPr>
                <w:rFonts w:eastAsia="Cambria" w:cs="Arial"/>
              </w:rPr>
              <w:t xml:space="preserve">The CIMC (CSO) national and regional development forums; </w:t>
            </w:r>
          </w:p>
          <w:p w14:paraId="0D0665B5" w14:textId="1F7CAE8F" w:rsidR="009041AD" w:rsidRPr="009041AD" w:rsidRDefault="000D0DEF" w:rsidP="00134395">
            <w:pPr>
              <w:numPr>
                <w:ilvl w:val="0"/>
                <w:numId w:val="8"/>
              </w:numPr>
              <w:rPr>
                <w:rFonts w:eastAsia="Cambria" w:cs="Arial"/>
              </w:rPr>
            </w:pPr>
            <w:r>
              <w:rPr>
                <w:rFonts w:eastAsia="Cambria" w:cs="Arial"/>
              </w:rPr>
              <w:t>R</w:t>
            </w:r>
            <w:r w:rsidR="009041AD" w:rsidRPr="009041AD">
              <w:rPr>
                <w:rFonts w:eastAsia="Cambria" w:cs="Arial"/>
              </w:rPr>
              <w:t>eport launching</w:t>
            </w:r>
            <w:r>
              <w:rPr>
                <w:rFonts w:eastAsia="Cambria" w:cs="Arial"/>
              </w:rPr>
              <w:t xml:space="preserve"> and </w:t>
            </w:r>
            <w:r w:rsidR="009041AD" w:rsidRPr="009041AD">
              <w:rPr>
                <w:rFonts w:eastAsia="Cambria" w:cs="Arial"/>
              </w:rPr>
              <w:t xml:space="preserve">media </w:t>
            </w:r>
            <w:r>
              <w:rPr>
                <w:rFonts w:eastAsia="Cambria" w:cs="Arial"/>
              </w:rPr>
              <w:t>workshop</w:t>
            </w:r>
            <w:r w:rsidR="009041AD" w:rsidRPr="009041AD">
              <w:rPr>
                <w:rFonts w:eastAsia="Cambria" w:cs="Arial"/>
              </w:rPr>
              <w:t xml:space="preserve"> which provides venue for awareness and feedback</w:t>
            </w:r>
            <w:r>
              <w:rPr>
                <w:rFonts w:eastAsia="Cambria" w:cs="Arial"/>
              </w:rPr>
              <w:t xml:space="preserve">; </w:t>
            </w:r>
            <w:r w:rsidR="009041AD" w:rsidRPr="009041AD">
              <w:rPr>
                <w:rFonts w:eastAsia="Cambria" w:cs="Arial"/>
              </w:rPr>
              <w:t xml:space="preserve"> </w:t>
            </w:r>
          </w:p>
          <w:p w14:paraId="49788966" w14:textId="2D6DDEC6" w:rsidR="009041AD" w:rsidRDefault="00223060" w:rsidP="00134395">
            <w:pPr>
              <w:numPr>
                <w:ilvl w:val="0"/>
                <w:numId w:val="8"/>
              </w:numPr>
              <w:rPr>
                <w:rFonts w:eastAsia="Cambria" w:cs="Arial"/>
              </w:rPr>
            </w:pPr>
            <w:r>
              <w:rPr>
                <w:rFonts w:eastAsia="Cambria" w:cs="Arial"/>
              </w:rPr>
              <w:t xml:space="preserve">Professional annual conference </w:t>
            </w:r>
            <w:r w:rsidR="00200196">
              <w:rPr>
                <w:rFonts w:eastAsia="Cambria" w:cs="Arial"/>
              </w:rPr>
              <w:t>such as the</w:t>
            </w:r>
            <w:r w:rsidR="009041AD" w:rsidRPr="009041AD">
              <w:rPr>
                <w:rFonts w:eastAsia="Cambria" w:cs="Arial"/>
              </w:rPr>
              <w:t xml:space="preserve"> CPA (Certified Practicing Accountants) </w:t>
            </w:r>
            <w:r w:rsidR="00200196">
              <w:rPr>
                <w:rFonts w:eastAsia="Cambria" w:cs="Arial"/>
              </w:rPr>
              <w:t xml:space="preserve">Annual regional conferences; </w:t>
            </w:r>
          </w:p>
          <w:p w14:paraId="6B080ADF" w14:textId="2218AA89" w:rsidR="00200196" w:rsidRPr="009041AD" w:rsidRDefault="00200196" w:rsidP="00134395">
            <w:pPr>
              <w:numPr>
                <w:ilvl w:val="0"/>
                <w:numId w:val="8"/>
              </w:numPr>
              <w:rPr>
                <w:rFonts w:eastAsia="Cambria" w:cs="Arial"/>
              </w:rPr>
            </w:pPr>
            <w:r>
              <w:rPr>
                <w:rFonts w:eastAsia="Cambria" w:cs="Arial"/>
              </w:rPr>
              <w:t xml:space="preserve">The Extractive Industry annual conferences such as the PNG Mining Conference and Exhibition hosted annually by the PNG Chamber of Mines and Petroleum; </w:t>
            </w:r>
          </w:p>
          <w:p w14:paraId="6B3CB345" w14:textId="5D38A209" w:rsidR="00C6608B" w:rsidRDefault="009041AD" w:rsidP="00134395">
            <w:pPr>
              <w:numPr>
                <w:ilvl w:val="0"/>
                <w:numId w:val="8"/>
              </w:numPr>
              <w:rPr>
                <w:rFonts w:eastAsia="Cambria" w:cs="Arial"/>
              </w:rPr>
            </w:pPr>
            <w:r w:rsidRPr="009041AD">
              <w:rPr>
                <w:rFonts w:eastAsia="Cambria" w:cs="Arial"/>
              </w:rPr>
              <w:t xml:space="preserve">The TIPNG’s </w:t>
            </w:r>
            <w:r w:rsidR="003C5966">
              <w:rPr>
                <w:rFonts w:eastAsia="Cambria" w:cs="Arial"/>
              </w:rPr>
              <w:t xml:space="preserve">Annual Mike </w:t>
            </w:r>
            <w:proofErr w:type="spellStart"/>
            <w:r w:rsidR="003C5966">
              <w:rPr>
                <w:rFonts w:eastAsia="Cambria" w:cs="Arial"/>
              </w:rPr>
              <w:t>Mannging</w:t>
            </w:r>
            <w:proofErr w:type="spellEnd"/>
            <w:r w:rsidR="003C5966">
              <w:rPr>
                <w:rFonts w:eastAsia="Cambria" w:cs="Arial"/>
              </w:rPr>
              <w:t xml:space="preserve"> Camp conducted for youths, and secondary school students under their </w:t>
            </w:r>
            <w:r w:rsidRPr="009041AD">
              <w:rPr>
                <w:rFonts w:eastAsia="Cambria" w:cs="Arial"/>
              </w:rPr>
              <w:t>YACA (Youth Against Corruption Association) program.</w:t>
            </w:r>
          </w:p>
          <w:p w14:paraId="068ECD0E" w14:textId="4B8FEB24" w:rsidR="00163F4A" w:rsidRPr="00163F4A" w:rsidRDefault="00163F4A" w:rsidP="00163F4A">
            <w:pPr>
              <w:ind w:left="720"/>
              <w:rPr>
                <w:rFonts w:eastAsia="Cambria" w:cs="Arial"/>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3A45E9">
        <w:tc>
          <w:tcPr>
            <w:tcW w:w="9062" w:type="dxa"/>
          </w:tcPr>
          <w:p w14:paraId="714A074D" w14:textId="1E1D7D42" w:rsidR="009041AD" w:rsidRDefault="009041AD" w:rsidP="00134395">
            <w:pPr>
              <w:numPr>
                <w:ilvl w:val="0"/>
                <w:numId w:val="7"/>
              </w:numPr>
              <w:jc w:val="both"/>
            </w:pPr>
            <w:r w:rsidRPr="009041AD">
              <w:t>Regional Consultation on the PNGEIT Commission Bill carried out at the subnational level, has captured information about extending EITI implementation into extractive sectors to include forestry, fisheries, agriculture (renewable sector). The feedback is captured in the draft report of the Regional Consultations</w:t>
            </w:r>
            <w:r w:rsidR="001D7810">
              <w:t xml:space="preserve"> </w:t>
            </w:r>
            <w:hyperlink r:id="rId151" w:history="1">
              <w:r w:rsidR="001D7810" w:rsidRPr="00024D83">
                <w:rPr>
                  <w:rStyle w:val="Hyperlink"/>
                </w:rPr>
                <w:t>http://www.pngeiti.org.pg/wp-content/uploads/2022/03/DRAFT-2-Consolidated-Regional-Consultation-Report-PNGEIT-Commission-Bill.pdf</w:t>
              </w:r>
            </w:hyperlink>
            <w:r w:rsidR="001D7810">
              <w:t xml:space="preserve"> </w:t>
            </w:r>
          </w:p>
          <w:p w14:paraId="40070CB5" w14:textId="77777777" w:rsidR="009041AD" w:rsidRPr="009041AD" w:rsidRDefault="009041AD" w:rsidP="00134395">
            <w:pPr>
              <w:numPr>
                <w:ilvl w:val="0"/>
                <w:numId w:val="7"/>
              </w:numPr>
              <w:jc w:val="both"/>
            </w:pPr>
            <w:r w:rsidRPr="009041AD">
              <w:t xml:space="preserve">Set up of EITI Provincial desks to implement Subnational reporting.  </w:t>
            </w:r>
          </w:p>
          <w:p w14:paraId="6A262A41" w14:textId="4B430C7D" w:rsidR="00163F4A" w:rsidRPr="00DD29A8" w:rsidRDefault="009041AD" w:rsidP="00134395">
            <w:pPr>
              <w:numPr>
                <w:ilvl w:val="0"/>
                <w:numId w:val="7"/>
              </w:numPr>
              <w:jc w:val="both"/>
            </w:pPr>
            <w:r w:rsidRPr="009041AD">
              <w:t xml:space="preserve">EITI transparency clauses are captured in the Mining MoAs – to name a few; Woodlark Mine, Simberi Mine, </w:t>
            </w:r>
            <w:proofErr w:type="spellStart"/>
            <w:r w:rsidRPr="009041AD">
              <w:t>Waffi-Golpu</w:t>
            </w:r>
            <w:proofErr w:type="spellEnd"/>
            <w:r w:rsidRPr="009041AD">
              <w:t>, K92 Mine</w:t>
            </w:r>
            <w:r w:rsidR="001D7810">
              <w:t xml:space="preserve"> </w:t>
            </w:r>
            <w:hyperlink r:id="rId152" w:history="1">
              <w:r w:rsidR="001D7810" w:rsidRPr="00024D83">
                <w:rPr>
                  <w:rStyle w:val="Hyperlink"/>
                </w:rPr>
                <w:t>http://www.pngeiti.org.pg/wp-content/uploads/2018/04/Duty-Travel-Report-Woodlark-MOA-Forum.pdf</w:t>
              </w:r>
            </w:hyperlink>
            <w:r w:rsidR="001D7810">
              <w:t xml:space="preserve"> </w:t>
            </w:r>
          </w:p>
        </w:tc>
      </w:tr>
    </w:tbl>
    <w:p w14:paraId="2CF18C8C" w14:textId="77777777" w:rsidR="00C6608B" w:rsidRDefault="00C6608B" w:rsidP="00C6608B"/>
    <w:p w14:paraId="49A9AE00" w14:textId="77777777" w:rsidR="00C6608B" w:rsidRPr="00367AD6" w:rsidRDefault="00C6608B" w:rsidP="00C6608B">
      <w:r>
        <w:rPr>
          <w:b/>
          <w:bCs/>
        </w:rPr>
        <w:lastRenderedPageBreak/>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3A45E9">
        <w:tc>
          <w:tcPr>
            <w:tcW w:w="9062" w:type="dxa"/>
          </w:tcPr>
          <w:p w14:paraId="0D85195C" w14:textId="45CBC185" w:rsidR="00C6608B" w:rsidRDefault="00F438EA" w:rsidP="003A45E9">
            <w:r>
              <w:t>25</w:t>
            </w:r>
            <w:r w:rsidRPr="00F438EA">
              <w:rPr>
                <w:vertAlign w:val="superscript"/>
              </w:rPr>
              <w:t>th</w:t>
            </w:r>
            <w:r>
              <w:t xml:space="preserve"> </w:t>
            </w:r>
            <w:r w:rsidR="00A0340C">
              <w:t>March</w:t>
            </w:r>
            <w:r>
              <w:t xml:space="preserve"> 2022</w:t>
            </w:r>
          </w:p>
          <w:p w14:paraId="293AB740" w14:textId="529DD3CA" w:rsidR="00F438EA" w:rsidRDefault="00332044" w:rsidP="003A45E9">
            <w:r>
              <w:t>The template can be accessed by the general public via this link:</w:t>
            </w:r>
            <w:r w:rsidR="00DE1A9D">
              <w:t xml:space="preserve"> </w:t>
            </w:r>
            <w:hyperlink r:id="rId153" w:history="1">
              <w:r w:rsidR="00DE1A9D" w:rsidRPr="00024D83">
                <w:rPr>
                  <w:rStyle w:val="Hyperlink"/>
                </w:rPr>
                <w:t>http://www.pngeiti.org.pg/2020-validation/</w:t>
              </w:r>
            </w:hyperlink>
            <w:r w:rsidR="00315C59">
              <w:t xml:space="preserve"> </w:t>
            </w:r>
          </w:p>
          <w:p w14:paraId="462A8C5A" w14:textId="77777777" w:rsidR="00C6608B" w:rsidRDefault="00C6608B" w:rsidP="003A45E9"/>
          <w:p w14:paraId="69573FCB" w14:textId="77777777" w:rsidR="00C6608B" w:rsidRDefault="00C6608B" w:rsidP="003A45E9"/>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even" r:id="rId154"/>
      <w:headerReference w:type="default" r:id="rId155"/>
      <w:footerReference w:type="even" r:id="rId156"/>
      <w:footerReference w:type="default" r:id="rId157"/>
      <w:headerReference w:type="first" r:id="rId158"/>
      <w:footerReference w:type="first" r:id="rId159"/>
      <w:pgSz w:w="11901" w:h="16840"/>
      <w:pgMar w:top="1418" w:right="1411" w:bottom="1418" w:left="1418" w:header="851" w:footer="113"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A1FF8" w16cex:dateUtc="2022-03-26T13:27:00Z"/>
  <w16cex:commentExtensible w16cex:durableId="25EA2BFF" w16cex:dateUtc="2022-03-26T14:19:00Z"/>
  <w16cex:commentExtensible w16cex:durableId="25ECA6C9" w16cex:dateUtc="2022-03-28T11:27:00Z"/>
  <w16cex:commentExtensible w16cex:durableId="32BDBDD9" w16cex:dateUtc="2022-03-28T07:08:00Z"/>
  <w16cex:commentExtensible w16cex:durableId="25ECA9DD" w16cex:dateUtc="2022-03-28T11:40:00Z"/>
  <w16cex:commentExtensible w16cex:durableId="23F07FFD" w16cex:dateUtc="2022-03-28T04:08:00Z"/>
  <w16cex:commentExtensible w16cex:durableId="25ECA956" w16cex:dateUtc="2022-03-28T11:38:00Z"/>
  <w16cex:commentExtensible w16cex:durableId="58812EDD" w16cex:dateUtc="2022-03-28T04:07:00Z"/>
  <w16cex:commentExtensible w16cex:durableId="087152B8" w16cex:dateUtc="2022-03-28T04:27:00Z"/>
  <w16cex:commentExtensible w16cex:durableId="25ECA932" w16cex:dateUtc="2022-03-28T11:37:00Z"/>
  <w16cex:commentExtensible w16cex:durableId="25ECAAEA" w16cex:dateUtc="2022-03-28T11:45:00Z"/>
  <w16cex:commentExtensible w16cex:durableId="25ECAB0E" w16cex:dateUtc="2022-03-28T11:45:00Z"/>
  <w16cex:commentExtensible w16cex:durableId="061A0421" w16cex:dateUtc="2022-03-28T01:56:00Z"/>
  <w16cex:commentExtensible w16cex:durableId="25E2BBDD" w16cex:dateUtc="2022-03-09T03:31:00Z"/>
  <w16cex:commentExtensible w16cex:durableId="2082AC2B" w16cex:dateUtc="2022-03-23T13:08:00Z"/>
  <w16cex:commentExtensible w16cex:durableId="25EC1BA4" w16cex:dateUtc="2022-03-28T01:33:00Z"/>
  <w16cex:commentExtensible w16cex:durableId="25E2BBF4" w16cex:dateUtc="2022-03-09T04:03:00Z"/>
  <w16cex:commentExtensible w16cex:durableId="0C5D7D38" w16cex:dateUtc="2022-03-23T18:14:00Z"/>
  <w16cex:commentExtensible w16cex:durableId="25E2BBF6" w16cex:dateUtc="2022-03-09T04:04:00Z"/>
  <w16cex:commentExtensible w16cex:durableId="1FB12816" w16cex:dateUtc="2022-03-23T18:12:00Z"/>
  <w16cex:commentExtensible w16cex:durableId="25E2BBF9" w16cex:dateUtc="2022-03-03T13:13:00Z"/>
  <w16cex:commentExtensible w16cex:durableId="0E09BF1E" w16cex:dateUtc="2022-03-23T14:04:00Z"/>
  <w16cex:commentExtensible w16cex:durableId="25E2BBFA" w16cex:dateUtc="2022-03-09T04:07:00Z"/>
  <w16cex:commentExtensible w16cex:durableId="25E2BBFC" w16cex:dateUtc="2022-03-03T13:13:00Z"/>
  <w16cex:commentExtensible w16cex:durableId="390E9B7E" w16cex:dateUtc="2022-03-23T14:05:00Z"/>
  <w16cex:commentExtensible w16cex:durableId="25E2BBFD" w16cex:dateUtc="2022-03-15T02:43:00Z"/>
  <w16cex:commentExtensible w16cex:durableId="25E2BBFE" w16cex:dateUtc="2022-03-09T04:12:00Z"/>
  <w16cex:commentExtensible w16cex:durableId="14D65BB1" w16cex:dateUtc="2022-03-23T14:03:00Z"/>
  <w16cex:commentExtensible w16cex:durableId="25ECB10C" w16cex:dateUtc="2022-03-28T12:11:00Z"/>
  <w16cex:commentExtensible w16cex:durableId="25ECB13E" w16cex:dateUtc="2022-03-28T12:12:00Z"/>
  <w16cex:commentExtensible w16cex:durableId="25EA318F" w16cex:dateUtc="2022-03-26T1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C8CB" w14:textId="77777777" w:rsidR="009E0815" w:rsidRDefault="009E0815" w:rsidP="00347D13">
      <w:r>
        <w:separator/>
      </w:r>
    </w:p>
  </w:endnote>
  <w:endnote w:type="continuationSeparator" w:id="0">
    <w:p w14:paraId="31FBDC72" w14:textId="77777777" w:rsidR="009E0815" w:rsidRDefault="009E0815" w:rsidP="00347D13">
      <w:r>
        <w:continuationSeparator/>
      </w:r>
    </w:p>
  </w:endnote>
  <w:endnote w:type="continuationNotice" w:id="1">
    <w:p w14:paraId="39D5C736" w14:textId="77777777" w:rsidR="009E0815" w:rsidRDefault="009E0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86FE" w14:textId="77777777" w:rsidR="009E0815" w:rsidRDefault="009E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ED45" w14:textId="77777777" w:rsidR="009E0815" w:rsidRPr="00673135" w:rsidRDefault="009E0815" w:rsidP="00673135">
    <w:pPr>
      <w:pStyle w:val="Footer"/>
    </w:pPr>
    <w:r w:rsidRPr="00382E14">
      <w:rPr>
        <w:noProof/>
        <w:sz w:val="16"/>
        <w:szCs w:val="16"/>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9E0815" w:rsidRDefault="009E0815" w:rsidP="00382E14"/>
                        <w:p w14:paraId="40413554" w14:textId="77777777" w:rsidR="009E0815" w:rsidRDefault="009E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" filled="f" stroked="f">
              <v:textbox>
                <w:txbxContent>
                  <w:p w14:paraId="3D09FD53"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9E0815" w:rsidRDefault="009E0815" w:rsidP="00382E14"/>
                  <w:p w14:paraId="40413554" w14:textId="77777777" w:rsidR="009E0815" w:rsidRDefault="009E0815"/>
                </w:txbxContent>
              </v:textbox>
            </v:shape>
          </w:pict>
        </mc:Fallback>
      </mc:AlternateContent>
    </w:r>
    <w:r w:rsidRPr="00382E14">
      <w:rPr>
        <w:noProof/>
        <w:sz w:val="16"/>
        <w:szCs w:val="16"/>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9E0815" w:rsidRPr="00382E14" w:rsidRDefault="009E0815"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9E0815" w:rsidRPr="00382E14" w:rsidRDefault="009E0815"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9E0815" w:rsidRPr="00382E14" w:rsidRDefault="009E0815" w:rsidP="00756FF7">
                          <w:pPr>
                            <w:rPr>
                              <w:sz w:val="16"/>
                              <w:szCs w:val="16"/>
                            </w:rPr>
                          </w:pPr>
                        </w:p>
                        <w:p w14:paraId="7354319F" w14:textId="77777777" w:rsidR="009E0815" w:rsidRPr="00382E14" w:rsidRDefault="009E081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" filled="f" stroked="f">
              <v:textbox>
                <w:txbxContent>
                  <w:p w14:paraId="5E6269AD" w14:textId="77777777" w:rsidR="009E0815" w:rsidRPr="00382E14" w:rsidRDefault="009E0815"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9E0815" w:rsidRPr="00382E14" w:rsidRDefault="009E0815"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9E0815" w:rsidRPr="00382E14" w:rsidRDefault="009E0815" w:rsidP="00756FF7">
                    <w:pPr>
                      <w:rPr>
                        <w:sz w:val="16"/>
                        <w:szCs w:val="16"/>
                      </w:rPr>
                    </w:pPr>
                  </w:p>
                  <w:p w14:paraId="7354319F" w14:textId="77777777" w:rsidR="009E0815" w:rsidRPr="00382E14" w:rsidRDefault="009E0815" w:rsidP="00382E14">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2C71" w14:textId="77777777" w:rsidR="009E0815" w:rsidRPr="00004E42" w:rsidRDefault="009E0815"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9E0815" w:rsidRDefault="009E0815" w:rsidP="00382E14"/>
                        <w:p w14:paraId="3D2A73C1" w14:textId="77777777" w:rsidR="009E0815" w:rsidRDefault="009E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" filled="f" stroked="f">
              <v:textbox>
                <w:txbxContent>
                  <w:p w14:paraId="335FB327" w14:textId="77777777" w:rsidR="009E0815" w:rsidRPr="00544AAC" w:rsidRDefault="009E0815"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9E0815" w:rsidRDefault="009E0815" w:rsidP="00382E14"/>
                  <w:p w14:paraId="3D2A73C1" w14:textId="77777777" w:rsidR="009E0815" w:rsidRDefault="009E0815"/>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9E0815" w:rsidRPr="00382E14" w:rsidRDefault="009E0815"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9E0815" w:rsidRPr="00382E14" w:rsidRDefault="009E0815"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9E0815" w:rsidRPr="00382E14" w:rsidRDefault="009E0815"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" filled="f" stroked="f">
              <v:textbox>
                <w:txbxContent>
                  <w:p w14:paraId="5378E51C" w14:textId="77777777" w:rsidR="009E0815" w:rsidRPr="00382E14" w:rsidRDefault="009E0815"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9E0815" w:rsidRPr="00382E14" w:rsidRDefault="009E0815"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9E0815" w:rsidRPr="00382E14" w:rsidRDefault="009E0815"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9E54" w14:textId="77777777" w:rsidR="009E0815" w:rsidRDefault="009E0815" w:rsidP="00347D13">
      <w:r>
        <w:separator/>
      </w:r>
    </w:p>
  </w:footnote>
  <w:footnote w:type="continuationSeparator" w:id="0">
    <w:p w14:paraId="4056988E" w14:textId="77777777" w:rsidR="009E0815" w:rsidRDefault="009E0815" w:rsidP="00347D13">
      <w:r>
        <w:continuationSeparator/>
      </w:r>
    </w:p>
  </w:footnote>
  <w:footnote w:type="continuationNotice" w:id="1">
    <w:p w14:paraId="6111A29B" w14:textId="77777777" w:rsidR="009E0815" w:rsidRDefault="009E0815">
      <w:pPr>
        <w:spacing w:before="0" w:after="0"/>
      </w:pPr>
    </w:p>
  </w:footnote>
  <w:footnote w:id="2">
    <w:p w14:paraId="5B9F9A5D" w14:textId="7E46745B" w:rsidR="009E0815" w:rsidRPr="00FA686F" w:rsidRDefault="009E0815">
      <w:pPr>
        <w:pStyle w:val="FootnoteText"/>
        <w:rPr>
          <w:lang w:val="en-AU"/>
        </w:rPr>
      </w:pPr>
      <w:r>
        <w:rPr>
          <w:rStyle w:val="FootnoteReference"/>
        </w:rPr>
        <w:footnoteRef/>
      </w:r>
      <w:r>
        <w:t xml:space="preserve"> </w:t>
      </w:r>
      <w:hyperlink r:id="rId1" w:history="1">
        <w:r w:rsidRPr="005D18E2">
          <w:rPr>
            <w:rStyle w:val="Hyperlink"/>
          </w:rPr>
          <w:t>https://www.treasury.gov.pg/html/publications/files/pub_files/2011/2011.png.vision.2050.pdf</w:t>
        </w:r>
      </w:hyperlink>
      <w:r>
        <w:t xml:space="preserve"> and </w:t>
      </w:r>
      <w:hyperlink r:id="rId2" w:history="1">
        <w:r w:rsidRPr="003972EA">
          <w:rPr>
            <w:rStyle w:val="Hyperlink"/>
          </w:rPr>
          <w:t>https://www.treasury.gov.pg/html/publications/files/pub_files/2011/png-development-strategic-plan.2010-2030.pdf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E07" w14:textId="77777777" w:rsidR="009E0815" w:rsidRDefault="009E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221" w14:textId="01713B4E" w:rsidR="009E0815" w:rsidRPr="00C6608B" w:rsidRDefault="009E0815" w:rsidP="00C6608B">
    <w:pPr>
      <w:pStyle w:val="HeaderDate"/>
    </w:pPr>
    <w:r w:rsidRPr="00F271DC">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250CBE" id="Rectangle 9" o:spid="_x0000_s1026" style="position:absolute;margin-left:455.45pt;margin-top:-3.9pt;width:41.15pt;height:1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CD6BA88" id="Rectangle 10" o:spid="_x0000_s1026" style="position:absolute;margin-left:454.2pt;margin-top:-10.55pt;width:41.15pt;height:1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B8C1829" id="Group 54" o:spid="_x0000_s1026" style="position:absolute;margin-left:0;margin-top:.25pt;width:477.3pt;height:3.6pt;z-index:251658245"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602C7E">
      <w:rPr>
        <w:rFonts w:ascii="Myriad Pro" w:hAnsi="Myriad Pro"/>
        <w:lang w:eastAsia="ja-JP"/>
      </w:rPr>
      <w:tab/>
    </w:r>
    <w:r>
      <w:rPr>
        <w:rFonts w:ascii="Myriad Pro" w:hAnsi="Myriad Pro"/>
        <w:lang w:eastAsia="ja-JP"/>
      </w:rPr>
      <w:br/>
    </w:r>
    <w:r>
      <w:t>Template</w:t>
    </w:r>
    <w:r>
      <w:br/>
    </w:r>
    <w:r w:rsidRPr="00C6608B">
      <w:t>MSG review of the outcomes and impact of EITI</w:t>
    </w:r>
    <w:r>
      <w:br/>
    </w:r>
    <w:r w:rsidRPr="00F271DC">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70EC6DB" id="Rectangle 5" o:spid="_x0000_s1026" style="position:absolute;margin-left:454.4pt;margin-top:11.75pt;width:41.15pt;height:19.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B40" w14:textId="77777777" w:rsidR="009E0815" w:rsidRPr="006867A1" w:rsidRDefault="009E0815" w:rsidP="006867A1">
    <w:pPr>
      <w:pStyle w:val="Style1"/>
    </w:pPr>
    <w: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2"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9E0815" w:rsidRPr="006867A1" w:rsidRDefault="009E0815" w:rsidP="006867A1">
    <w:pPr>
      <w:pStyle w:val="HeaderDate"/>
    </w:pPr>
    <w:r>
      <w:t>Template</w:t>
    </w:r>
    <w:r>
      <w:br/>
    </w:r>
    <w:r w:rsidRPr="00C6608B">
      <w:t>MSG review of the outcomes and impact of EITI</w:t>
    </w:r>
    <w:r>
      <w:br/>
    </w:r>
    <w:r w:rsidRPr="00F271DC">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C5B4A3E" id="Rectangle 38" o:spid="_x0000_s1026" style="position:absolute;margin-left:454.4pt;margin-top:11.75pt;width:41.15pt;height:19.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F271DC">
      <w:tab/>
    </w:r>
    <w:r w:rsidRPr="00F271DC">
      <w:tab/>
    </w:r>
    <w:r>
      <w:t>December 2020</w:t>
    </w:r>
  </w:p>
  <w:p w14:paraId="630EFC9C" w14:textId="77777777" w:rsidR="009E0815" w:rsidRPr="00664C86" w:rsidRDefault="009E0815"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CB179C6" id="Group 29" o:spid="_x0000_s1026" style="position:absolute;margin-left:-.05pt;margin-top:7.1pt;width:477.3pt;height:3.6pt;z-index:25165824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intelligence.xml><?xml version="1.0" encoding="utf-8"?>
<int:Intelligence xmlns:int="http://schemas.microsoft.com/office/intelligence/2019/intelligence">
  <int:IntelligenceSettings/>
  <int:Manifest>
    <int:ParagraphRange paragraphId="956172189" textId="1015426881" start="63" length="4" invalidationStart="63" invalidationLength="4" id="we4xA58T"/>
  </int:Manifest>
  <int:Observations>
    <int:Content id="we4xA58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F0E"/>
    <w:multiLevelType w:val="multilevel"/>
    <w:tmpl w:val="39A6E246"/>
    <w:lvl w:ilvl="0">
      <w:start w:val="1"/>
      <w:numFmt w:val="upperRoman"/>
      <w:lvlText w:val="%1."/>
      <w:lvlJc w:val="right"/>
      <w:pPr>
        <w:ind w:left="360" w:hanging="360"/>
      </w:pPr>
      <w:rPr>
        <w:rFonts w:hint="default"/>
        <w:b/>
        <w:bCs/>
      </w:rPr>
    </w:lvl>
    <w:lvl w:ilvl="1">
      <w:start w:val="6"/>
      <w:numFmt w:val="decimal"/>
      <w:lvlText w:val="%1.%2"/>
      <w:lvlJc w:val="left"/>
      <w:pPr>
        <w:ind w:left="1223" w:hanging="360"/>
      </w:pPr>
      <w:rPr>
        <w:rFonts w:hint="default"/>
      </w:rPr>
    </w:lvl>
    <w:lvl w:ilvl="2">
      <w:start w:val="1"/>
      <w:numFmt w:val="decimal"/>
      <w:lvlText w:val="%1.%2.%3"/>
      <w:lvlJc w:val="left"/>
      <w:pPr>
        <w:ind w:left="2446" w:hanging="720"/>
      </w:pPr>
      <w:rPr>
        <w:rFonts w:hint="default"/>
      </w:rPr>
    </w:lvl>
    <w:lvl w:ilvl="3">
      <w:start w:val="1"/>
      <w:numFmt w:val="decimal"/>
      <w:lvlText w:val="%1.%2.%3.%4"/>
      <w:lvlJc w:val="left"/>
      <w:pPr>
        <w:ind w:left="3309" w:hanging="720"/>
      </w:pPr>
      <w:rPr>
        <w:rFonts w:hint="default"/>
      </w:rPr>
    </w:lvl>
    <w:lvl w:ilvl="4">
      <w:start w:val="1"/>
      <w:numFmt w:val="decimal"/>
      <w:lvlText w:val="%1.%2.%3.%4.%5"/>
      <w:lvlJc w:val="left"/>
      <w:pPr>
        <w:ind w:left="4532" w:hanging="1080"/>
      </w:pPr>
      <w:rPr>
        <w:rFonts w:hint="default"/>
      </w:rPr>
    </w:lvl>
    <w:lvl w:ilvl="5">
      <w:start w:val="1"/>
      <w:numFmt w:val="decimal"/>
      <w:lvlText w:val="%1.%2.%3.%4.%5.%6"/>
      <w:lvlJc w:val="left"/>
      <w:pPr>
        <w:ind w:left="5395" w:hanging="1080"/>
      </w:pPr>
      <w:rPr>
        <w:rFonts w:hint="default"/>
      </w:rPr>
    </w:lvl>
    <w:lvl w:ilvl="6">
      <w:start w:val="1"/>
      <w:numFmt w:val="decimal"/>
      <w:lvlText w:val="%1.%2.%3.%4.%5.%6.%7"/>
      <w:lvlJc w:val="left"/>
      <w:pPr>
        <w:ind w:left="6618" w:hanging="1440"/>
      </w:pPr>
      <w:rPr>
        <w:rFonts w:hint="default"/>
      </w:rPr>
    </w:lvl>
    <w:lvl w:ilvl="7">
      <w:start w:val="1"/>
      <w:numFmt w:val="decimal"/>
      <w:lvlText w:val="%1.%2.%3.%4.%5.%6.%7.%8"/>
      <w:lvlJc w:val="left"/>
      <w:pPr>
        <w:ind w:left="7481" w:hanging="1440"/>
      </w:pPr>
      <w:rPr>
        <w:rFonts w:hint="default"/>
      </w:rPr>
    </w:lvl>
    <w:lvl w:ilvl="8">
      <w:start w:val="1"/>
      <w:numFmt w:val="decimal"/>
      <w:lvlText w:val="%1.%2.%3.%4.%5.%6.%7.%8.%9"/>
      <w:lvlJc w:val="left"/>
      <w:pPr>
        <w:ind w:left="8704" w:hanging="1800"/>
      </w:pPr>
      <w:rPr>
        <w:rFonts w:hint="default"/>
      </w:rPr>
    </w:lvl>
  </w:abstractNum>
  <w:abstractNum w:abstractNumId="1" w15:restartNumberingAfterBreak="0">
    <w:nsid w:val="06726300"/>
    <w:multiLevelType w:val="hybridMultilevel"/>
    <w:tmpl w:val="47DC44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B73F0"/>
    <w:multiLevelType w:val="hybridMultilevel"/>
    <w:tmpl w:val="2F40224A"/>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E6F712C"/>
    <w:multiLevelType w:val="hybridMultilevel"/>
    <w:tmpl w:val="372017E8"/>
    <w:lvl w:ilvl="0" w:tplc="A552B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D53"/>
    <w:multiLevelType w:val="hybridMultilevel"/>
    <w:tmpl w:val="7B0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67C0"/>
    <w:multiLevelType w:val="hybridMultilevel"/>
    <w:tmpl w:val="121893A8"/>
    <w:lvl w:ilvl="0" w:tplc="CB9E0190">
      <w:start w:val="4"/>
      <w:numFmt w:val="lowerRoman"/>
      <w:lvlText w:val="(%1)"/>
      <w:lvlJc w:val="left"/>
      <w:pPr>
        <w:ind w:left="720" w:hanging="720"/>
      </w:pPr>
      <w:rPr>
        <w:rFonts w:hint="default"/>
      </w:rPr>
    </w:lvl>
    <w:lvl w:ilvl="1" w:tplc="0C090019" w:tentative="1">
      <w:start w:val="1"/>
      <w:numFmt w:val="lowerLetter"/>
      <w:lvlText w:val="%2."/>
      <w:lvlJc w:val="left"/>
      <w:pPr>
        <w:ind w:left="-1088" w:hanging="360"/>
      </w:pPr>
    </w:lvl>
    <w:lvl w:ilvl="2" w:tplc="0C09001B" w:tentative="1">
      <w:start w:val="1"/>
      <w:numFmt w:val="lowerRoman"/>
      <w:lvlText w:val="%3."/>
      <w:lvlJc w:val="right"/>
      <w:pPr>
        <w:ind w:left="-368" w:hanging="180"/>
      </w:pPr>
    </w:lvl>
    <w:lvl w:ilvl="3" w:tplc="0C09000F" w:tentative="1">
      <w:start w:val="1"/>
      <w:numFmt w:val="decimal"/>
      <w:lvlText w:val="%4."/>
      <w:lvlJc w:val="left"/>
      <w:pPr>
        <w:ind w:left="352" w:hanging="360"/>
      </w:pPr>
    </w:lvl>
    <w:lvl w:ilvl="4" w:tplc="0C090019" w:tentative="1">
      <w:start w:val="1"/>
      <w:numFmt w:val="lowerLetter"/>
      <w:lvlText w:val="%5."/>
      <w:lvlJc w:val="left"/>
      <w:pPr>
        <w:ind w:left="1072" w:hanging="360"/>
      </w:pPr>
    </w:lvl>
    <w:lvl w:ilvl="5" w:tplc="0C09001B" w:tentative="1">
      <w:start w:val="1"/>
      <w:numFmt w:val="lowerRoman"/>
      <w:lvlText w:val="%6."/>
      <w:lvlJc w:val="right"/>
      <w:pPr>
        <w:ind w:left="1792" w:hanging="180"/>
      </w:pPr>
    </w:lvl>
    <w:lvl w:ilvl="6" w:tplc="0C09000F" w:tentative="1">
      <w:start w:val="1"/>
      <w:numFmt w:val="decimal"/>
      <w:lvlText w:val="%7."/>
      <w:lvlJc w:val="left"/>
      <w:pPr>
        <w:ind w:left="2512" w:hanging="360"/>
      </w:pPr>
    </w:lvl>
    <w:lvl w:ilvl="7" w:tplc="0C090019" w:tentative="1">
      <w:start w:val="1"/>
      <w:numFmt w:val="lowerLetter"/>
      <w:lvlText w:val="%8."/>
      <w:lvlJc w:val="left"/>
      <w:pPr>
        <w:ind w:left="3232" w:hanging="360"/>
      </w:pPr>
    </w:lvl>
    <w:lvl w:ilvl="8" w:tplc="0C09001B" w:tentative="1">
      <w:start w:val="1"/>
      <w:numFmt w:val="lowerRoman"/>
      <w:lvlText w:val="%9."/>
      <w:lvlJc w:val="right"/>
      <w:pPr>
        <w:ind w:left="3952" w:hanging="180"/>
      </w:pPr>
    </w:lvl>
  </w:abstractNum>
  <w:abstractNum w:abstractNumId="6" w15:restartNumberingAfterBreak="0">
    <w:nsid w:val="153D7ED9"/>
    <w:multiLevelType w:val="hybridMultilevel"/>
    <w:tmpl w:val="61C06518"/>
    <w:lvl w:ilvl="0" w:tplc="A7F62A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C2C6F"/>
    <w:multiLevelType w:val="hybridMultilevel"/>
    <w:tmpl w:val="578CEF82"/>
    <w:lvl w:ilvl="0" w:tplc="D79AB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83F15"/>
    <w:multiLevelType w:val="multilevel"/>
    <w:tmpl w:val="AC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F5477"/>
    <w:multiLevelType w:val="hybridMultilevel"/>
    <w:tmpl w:val="C1C2B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7B85"/>
    <w:multiLevelType w:val="hybridMultilevel"/>
    <w:tmpl w:val="9CD88BA2"/>
    <w:lvl w:ilvl="0" w:tplc="6D3CEF88">
      <w:start w:val="1"/>
      <w:numFmt w:val="decimal"/>
      <w:lvlText w:val="(%1)"/>
      <w:lvlJc w:val="left"/>
      <w:pPr>
        <w:ind w:left="2903" w:hanging="375"/>
      </w:pPr>
      <w:rPr>
        <w:rFonts w:hint="default"/>
        <w:b/>
      </w:rPr>
    </w:lvl>
    <w:lvl w:ilvl="1" w:tplc="04090019">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1" w15:restartNumberingAfterBreak="0">
    <w:nsid w:val="1B954EFB"/>
    <w:multiLevelType w:val="hybridMultilevel"/>
    <w:tmpl w:val="058C2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D42D87"/>
    <w:multiLevelType w:val="hybridMultilevel"/>
    <w:tmpl w:val="B29A6B5E"/>
    <w:lvl w:ilvl="0" w:tplc="0409000D">
      <w:start w:val="1"/>
      <w:numFmt w:val="bullet"/>
      <w:lvlText w:val=""/>
      <w:lvlJc w:val="left"/>
      <w:pPr>
        <w:ind w:left="-77" w:hanging="360"/>
      </w:pPr>
      <w:rPr>
        <w:rFonts w:ascii="Wingdings" w:hAnsi="Wingdings" w:hint="default"/>
      </w:rPr>
    </w:lvl>
    <w:lvl w:ilvl="1" w:tplc="0C090003" w:tentative="1">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13" w15:restartNumberingAfterBreak="0">
    <w:nsid w:val="26F669A1"/>
    <w:multiLevelType w:val="hybridMultilevel"/>
    <w:tmpl w:val="F3B4C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65C08"/>
    <w:multiLevelType w:val="hybridMultilevel"/>
    <w:tmpl w:val="F79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B6BD1"/>
    <w:multiLevelType w:val="hybridMultilevel"/>
    <w:tmpl w:val="3634F432"/>
    <w:lvl w:ilvl="0" w:tplc="D2ACC57E">
      <w:start w:val="1"/>
      <w:numFmt w:val="bullet"/>
      <w:lvlText w:val=""/>
      <w:lvlJc w:val="left"/>
      <w:pPr>
        <w:ind w:left="720" w:hanging="360"/>
      </w:pPr>
      <w:rPr>
        <w:rFonts w:ascii="Symbol" w:hAnsi="Symbol" w:hint="default"/>
        <w:color w:val="auto"/>
      </w:rPr>
    </w:lvl>
    <w:lvl w:ilvl="1" w:tplc="2B604F18">
      <w:start w:val="1"/>
      <w:numFmt w:val="bullet"/>
      <w:lvlText w:val="o"/>
      <w:lvlJc w:val="left"/>
      <w:pPr>
        <w:ind w:left="1440" w:hanging="360"/>
      </w:pPr>
      <w:rPr>
        <w:rFonts w:ascii="Courier New" w:hAnsi="Courier New" w:cs="Times New Roman" w:hint="default"/>
      </w:rPr>
    </w:lvl>
    <w:lvl w:ilvl="2" w:tplc="E1367D8C">
      <w:start w:val="1"/>
      <w:numFmt w:val="bullet"/>
      <w:lvlText w:val=""/>
      <w:lvlJc w:val="left"/>
      <w:pPr>
        <w:ind w:left="2160" w:hanging="360"/>
      </w:pPr>
      <w:rPr>
        <w:rFonts w:ascii="Wingdings" w:hAnsi="Wingdings" w:hint="default"/>
      </w:rPr>
    </w:lvl>
    <w:lvl w:ilvl="3" w:tplc="C076F6E2">
      <w:start w:val="1"/>
      <w:numFmt w:val="bullet"/>
      <w:lvlText w:val=""/>
      <w:lvlJc w:val="left"/>
      <w:pPr>
        <w:ind w:left="2880" w:hanging="360"/>
      </w:pPr>
      <w:rPr>
        <w:rFonts w:ascii="Symbol" w:hAnsi="Symbol" w:hint="default"/>
      </w:rPr>
    </w:lvl>
    <w:lvl w:ilvl="4" w:tplc="EA460066">
      <w:start w:val="1"/>
      <w:numFmt w:val="bullet"/>
      <w:lvlText w:val="o"/>
      <w:lvlJc w:val="left"/>
      <w:pPr>
        <w:ind w:left="3600" w:hanging="360"/>
      </w:pPr>
      <w:rPr>
        <w:rFonts w:ascii="Courier New" w:hAnsi="Courier New" w:cs="Times New Roman" w:hint="default"/>
      </w:rPr>
    </w:lvl>
    <w:lvl w:ilvl="5" w:tplc="9A88FF32">
      <w:start w:val="1"/>
      <w:numFmt w:val="bullet"/>
      <w:lvlText w:val=""/>
      <w:lvlJc w:val="left"/>
      <w:pPr>
        <w:ind w:left="4320" w:hanging="360"/>
      </w:pPr>
      <w:rPr>
        <w:rFonts w:ascii="Wingdings" w:hAnsi="Wingdings" w:hint="default"/>
      </w:rPr>
    </w:lvl>
    <w:lvl w:ilvl="6" w:tplc="BD20ECA2">
      <w:start w:val="1"/>
      <w:numFmt w:val="bullet"/>
      <w:lvlText w:val=""/>
      <w:lvlJc w:val="left"/>
      <w:pPr>
        <w:ind w:left="5040" w:hanging="360"/>
      </w:pPr>
      <w:rPr>
        <w:rFonts w:ascii="Symbol" w:hAnsi="Symbol" w:hint="default"/>
      </w:rPr>
    </w:lvl>
    <w:lvl w:ilvl="7" w:tplc="B3F8A854">
      <w:start w:val="1"/>
      <w:numFmt w:val="bullet"/>
      <w:lvlText w:val="o"/>
      <w:lvlJc w:val="left"/>
      <w:pPr>
        <w:ind w:left="5760" w:hanging="360"/>
      </w:pPr>
      <w:rPr>
        <w:rFonts w:ascii="Courier New" w:hAnsi="Courier New" w:cs="Times New Roman" w:hint="default"/>
      </w:rPr>
    </w:lvl>
    <w:lvl w:ilvl="8" w:tplc="0E3A3268">
      <w:start w:val="1"/>
      <w:numFmt w:val="bullet"/>
      <w:lvlText w:val=""/>
      <w:lvlJc w:val="left"/>
      <w:pPr>
        <w:ind w:left="6480" w:hanging="360"/>
      </w:pPr>
      <w:rPr>
        <w:rFonts w:ascii="Wingdings" w:hAnsi="Wingdings" w:hint="default"/>
      </w:rPr>
    </w:lvl>
  </w:abstractNum>
  <w:abstractNum w:abstractNumId="16"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35466ED9"/>
    <w:multiLevelType w:val="hybridMultilevel"/>
    <w:tmpl w:val="BC4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082195"/>
    <w:multiLevelType w:val="hybridMultilevel"/>
    <w:tmpl w:val="C1B6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D592E"/>
    <w:multiLevelType w:val="hybridMultilevel"/>
    <w:tmpl w:val="D3341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F3DD5"/>
    <w:multiLevelType w:val="hybridMultilevel"/>
    <w:tmpl w:val="60CE20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012E3B"/>
    <w:multiLevelType w:val="hybridMultilevel"/>
    <w:tmpl w:val="55AAB36C"/>
    <w:lvl w:ilvl="0" w:tplc="0C090001">
      <w:start w:val="1"/>
      <w:numFmt w:val="bullet"/>
      <w:lvlText w:val=""/>
      <w:lvlJc w:val="left"/>
      <w:pPr>
        <w:ind w:left="720" w:hanging="360"/>
      </w:pPr>
      <w:rPr>
        <w:rFonts w:ascii="Symbol" w:hAnsi="Symbol" w:hint="default"/>
      </w:rPr>
    </w:lvl>
    <w:lvl w:ilvl="1" w:tplc="24589CEA">
      <w:start w:val="1"/>
      <w:numFmt w:val="bullet"/>
      <w:lvlText w:val="o"/>
      <w:lvlJc w:val="left"/>
      <w:pPr>
        <w:ind w:left="1440" w:hanging="360"/>
      </w:pPr>
      <w:rPr>
        <w:rFonts w:ascii="Courier New" w:hAnsi="Courier New" w:cs="Times New Roman" w:hint="default"/>
      </w:rPr>
    </w:lvl>
    <w:lvl w:ilvl="2" w:tplc="4198CCCE">
      <w:start w:val="1"/>
      <w:numFmt w:val="bullet"/>
      <w:lvlText w:val=""/>
      <w:lvlJc w:val="left"/>
      <w:pPr>
        <w:ind w:left="2160" w:hanging="360"/>
      </w:pPr>
      <w:rPr>
        <w:rFonts w:ascii="Wingdings" w:hAnsi="Wingdings" w:hint="default"/>
      </w:rPr>
    </w:lvl>
    <w:lvl w:ilvl="3" w:tplc="A440B894">
      <w:start w:val="1"/>
      <w:numFmt w:val="bullet"/>
      <w:lvlText w:val=""/>
      <w:lvlJc w:val="left"/>
      <w:pPr>
        <w:ind w:left="2880" w:hanging="360"/>
      </w:pPr>
      <w:rPr>
        <w:rFonts w:ascii="Symbol" w:hAnsi="Symbol" w:hint="default"/>
      </w:rPr>
    </w:lvl>
    <w:lvl w:ilvl="4" w:tplc="8F148882">
      <w:start w:val="1"/>
      <w:numFmt w:val="bullet"/>
      <w:lvlText w:val="o"/>
      <w:lvlJc w:val="left"/>
      <w:pPr>
        <w:ind w:left="3600" w:hanging="360"/>
      </w:pPr>
      <w:rPr>
        <w:rFonts w:ascii="Courier New" w:hAnsi="Courier New" w:cs="Times New Roman" w:hint="default"/>
      </w:rPr>
    </w:lvl>
    <w:lvl w:ilvl="5" w:tplc="52C85680">
      <w:start w:val="1"/>
      <w:numFmt w:val="bullet"/>
      <w:lvlText w:val=""/>
      <w:lvlJc w:val="left"/>
      <w:pPr>
        <w:ind w:left="4320" w:hanging="360"/>
      </w:pPr>
      <w:rPr>
        <w:rFonts w:ascii="Wingdings" w:hAnsi="Wingdings" w:hint="default"/>
      </w:rPr>
    </w:lvl>
    <w:lvl w:ilvl="6" w:tplc="FB8CB7BA">
      <w:start w:val="1"/>
      <w:numFmt w:val="bullet"/>
      <w:lvlText w:val=""/>
      <w:lvlJc w:val="left"/>
      <w:pPr>
        <w:ind w:left="5040" w:hanging="360"/>
      </w:pPr>
      <w:rPr>
        <w:rFonts w:ascii="Symbol" w:hAnsi="Symbol" w:hint="default"/>
      </w:rPr>
    </w:lvl>
    <w:lvl w:ilvl="7" w:tplc="081A3134">
      <w:start w:val="1"/>
      <w:numFmt w:val="bullet"/>
      <w:lvlText w:val="o"/>
      <w:lvlJc w:val="left"/>
      <w:pPr>
        <w:ind w:left="5760" w:hanging="360"/>
      </w:pPr>
      <w:rPr>
        <w:rFonts w:ascii="Courier New" w:hAnsi="Courier New" w:cs="Times New Roman" w:hint="default"/>
      </w:rPr>
    </w:lvl>
    <w:lvl w:ilvl="8" w:tplc="E4A63802">
      <w:start w:val="1"/>
      <w:numFmt w:val="bullet"/>
      <w:lvlText w:val=""/>
      <w:lvlJc w:val="left"/>
      <w:pPr>
        <w:ind w:left="6480" w:hanging="360"/>
      </w:pPr>
      <w:rPr>
        <w:rFonts w:ascii="Wingdings" w:hAnsi="Wingdings" w:hint="default"/>
      </w:rPr>
    </w:lvl>
  </w:abstractNum>
  <w:abstractNum w:abstractNumId="22" w15:restartNumberingAfterBreak="0">
    <w:nsid w:val="470E157C"/>
    <w:multiLevelType w:val="hybridMultilevel"/>
    <w:tmpl w:val="6D2A4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45888"/>
    <w:multiLevelType w:val="hybridMultilevel"/>
    <w:tmpl w:val="3AA41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3A23524"/>
    <w:multiLevelType w:val="hybridMultilevel"/>
    <w:tmpl w:val="54EA04D6"/>
    <w:lvl w:ilvl="0" w:tplc="0C09000F">
      <w:start w:val="1"/>
      <w:numFmt w:val="decimal"/>
      <w:lvlText w:val="%1."/>
      <w:lvlJc w:val="left"/>
      <w:pPr>
        <w:ind w:left="624" w:hanging="36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abstractNum w:abstractNumId="25" w15:restartNumberingAfterBreak="0">
    <w:nsid w:val="53B9273D"/>
    <w:multiLevelType w:val="hybridMultilevel"/>
    <w:tmpl w:val="F67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6EF"/>
    <w:multiLevelType w:val="hybridMultilevel"/>
    <w:tmpl w:val="1714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7395A"/>
    <w:multiLevelType w:val="hybridMultilevel"/>
    <w:tmpl w:val="0046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C5C45"/>
    <w:multiLevelType w:val="hybridMultilevel"/>
    <w:tmpl w:val="272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56CB1"/>
    <w:multiLevelType w:val="hybridMultilevel"/>
    <w:tmpl w:val="6E0C4D20"/>
    <w:lvl w:ilvl="0" w:tplc="FD0A0CE0">
      <w:start w:val="1"/>
      <w:numFmt w:val="decimal"/>
      <w:lvlText w:val="%1."/>
      <w:lvlJc w:val="left"/>
      <w:pPr>
        <w:ind w:left="720" w:hanging="360"/>
      </w:pPr>
      <w:rPr>
        <w:rFonts w:eastAsia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391E5F"/>
    <w:multiLevelType w:val="hybridMultilevel"/>
    <w:tmpl w:val="8C285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70BC7"/>
    <w:multiLevelType w:val="hybridMultilevel"/>
    <w:tmpl w:val="1D94F758"/>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83E5E57"/>
    <w:multiLevelType w:val="hybridMultilevel"/>
    <w:tmpl w:val="133EB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AB741E2"/>
    <w:multiLevelType w:val="hybridMultilevel"/>
    <w:tmpl w:val="EC54CFB4"/>
    <w:lvl w:ilvl="0" w:tplc="EA88E4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21F68"/>
    <w:multiLevelType w:val="hybridMultilevel"/>
    <w:tmpl w:val="1EB2E6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F92AE6"/>
    <w:multiLevelType w:val="hybridMultilevel"/>
    <w:tmpl w:val="512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13718"/>
    <w:multiLevelType w:val="hybridMultilevel"/>
    <w:tmpl w:val="136802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2E04429"/>
    <w:multiLevelType w:val="hybridMultilevel"/>
    <w:tmpl w:val="A4BC546E"/>
    <w:lvl w:ilvl="0" w:tplc="0809000F">
      <w:start w:val="1"/>
      <w:numFmt w:val="decimal"/>
      <w:lvlText w:val="%1."/>
      <w:lvlJc w:val="left"/>
      <w:pPr>
        <w:ind w:left="720" w:hanging="360"/>
      </w:pPr>
      <w:rPr>
        <w:b w:val="0"/>
      </w:rPr>
    </w:lvl>
    <w:lvl w:ilvl="1" w:tplc="517EE7EC">
      <w:start w:val="1"/>
      <w:numFmt w:val="lowerLetter"/>
      <w:lvlText w:val="%2."/>
      <w:lvlJc w:val="left"/>
      <w:pPr>
        <w:ind w:left="1440" w:hanging="360"/>
      </w:pPr>
      <w:rPr>
        <w:b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76380D85"/>
    <w:multiLevelType w:val="hybridMultilevel"/>
    <w:tmpl w:val="A1B4087C"/>
    <w:lvl w:ilvl="0" w:tplc="A7F62A5E">
      <w:start w:val="1"/>
      <w:numFmt w:val="decimal"/>
      <w:lvlText w:val="%1."/>
      <w:lvlJc w:val="left"/>
      <w:pPr>
        <w:ind w:left="1492" w:hanging="360"/>
      </w:pPr>
      <w:rPr>
        <w:rFonts w:hint="default"/>
      </w:r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39" w15:restartNumberingAfterBreak="0">
    <w:nsid w:val="786630E2"/>
    <w:multiLevelType w:val="hybridMultilevel"/>
    <w:tmpl w:val="71B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91775"/>
    <w:multiLevelType w:val="hybridMultilevel"/>
    <w:tmpl w:val="DBB2F00C"/>
    <w:lvl w:ilvl="0" w:tplc="7B4C8AC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755708"/>
    <w:multiLevelType w:val="hybridMultilevel"/>
    <w:tmpl w:val="46E06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86592"/>
    <w:multiLevelType w:val="multilevel"/>
    <w:tmpl w:val="559E237C"/>
    <w:lvl w:ilvl="0">
      <w:start w:val="1"/>
      <w:numFmt w:val="upperRoman"/>
      <w:lvlText w:val="%1."/>
      <w:lvlJc w:val="right"/>
      <w:pPr>
        <w:ind w:left="720" w:hanging="360"/>
      </w:pPr>
      <w:rPr>
        <w:rFonts w:hint="default"/>
        <w:b/>
        <w:bCs/>
      </w:rPr>
    </w:lvl>
    <w:lvl w:ilvl="1">
      <w:start w:val="2"/>
      <w:numFmt w:val="decimal"/>
      <w:isLgl/>
      <w:lvlText w:val="%1.%2"/>
      <w:lvlJc w:val="left"/>
      <w:pPr>
        <w:ind w:left="1256" w:hanging="393"/>
      </w:pPr>
      <w:rPr>
        <w:rFonts w:hint="default"/>
        <w:b/>
        <w:color w:val="auto"/>
      </w:rPr>
    </w:lvl>
    <w:lvl w:ilvl="2">
      <w:start w:val="1"/>
      <w:numFmt w:val="decimal"/>
      <w:isLgl/>
      <w:lvlText w:val="%1.%2.%3"/>
      <w:lvlJc w:val="left"/>
      <w:pPr>
        <w:ind w:left="2086" w:hanging="720"/>
      </w:pPr>
      <w:rPr>
        <w:rFonts w:hint="default"/>
        <w:b/>
        <w:color w:val="auto"/>
      </w:rPr>
    </w:lvl>
    <w:lvl w:ilvl="3">
      <w:start w:val="1"/>
      <w:numFmt w:val="decimal"/>
      <w:isLgl/>
      <w:lvlText w:val="%1.%2.%3.%4"/>
      <w:lvlJc w:val="left"/>
      <w:pPr>
        <w:ind w:left="2589" w:hanging="720"/>
      </w:pPr>
      <w:rPr>
        <w:rFonts w:hint="default"/>
        <w:b/>
        <w:color w:val="auto"/>
      </w:rPr>
    </w:lvl>
    <w:lvl w:ilvl="4">
      <w:start w:val="1"/>
      <w:numFmt w:val="decimal"/>
      <w:isLgl/>
      <w:lvlText w:val="%1.%2.%3.%4.%5"/>
      <w:lvlJc w:val="left"/>
      <w:pPr>
        <w:ind w:left="3452" w:hanging="1080"/>
      </w:pPr>
      <w:rPr>
        <w:rFonts w:hint="default"/>
        <w:b/>
        <w:color w:val="auto"/>
      </w:rPr>
    </w:lvl>
    <w:lvl w:ilvl="5">
      <w:start w:val="1"/>
      <w:numFmt w:val="decimal"/>
      <w:isLgl/>
      <w:lvlText w:val="%1.%2.%3.%4.%5.%6"/>
      <w:lvlJc w:val="left"/>
      <w:pPr>
        <w:ind w:left="3955" w:hanging="1080"/>
      </w:pPr>
      <w:rPr>
        <w:rFonts w:hint="default"/>
        <w:b/>
        <w:color w:val="auto"/>
      </w:rPr>
    </w:lvl>
    <w:lvl w:ilvl="6">
      <w:start w:val="1"/>
      <w:numFmt w:val="decimal"/>
      <w:isLgl/>
      <w:lvlText w:val="%1.%2.%3.%4.%5.%6.%7"/>
      <w:lvlJc w:val="left"/>
      <w:pPr>
        <w:ind w:left="4818" w:hanging="1440"/>
      </w:pPr>
      <w:rPr>
        <w:rFonts w:hint="default"/>
        <w:b/>
        <w:color w:val="auto"/>
      </w:rPr>
    </w:lvl>
    <w:lvl w:ilvl="7">
      <w:start w:val="1"/>
      <w:numFmt w:val="decimal"/>
      <w:isLgl/>
      <w:lvlText w:val="%1.%2.%3.%4.%5.%6.%7.%8"/>
      <w:lvlJc w:val="left"/>
      <w:pPr>
        <w:ind w:left="5321" w:hanging="1440"/>
      </w:pPr>
      <w:rPr>
        <w:rFonts w:hint="default"/>
        <w:b/>
        <w:color w:val="auto"/>
      </w:rPr>
    </w:lvl>
    <w:lvl w:ilvl="8">
      <w:start w:val="1"/>
      <w:numFmt w:val="decimal"/>
      <w:isLgl/>
      <w:lvlText w:val="%1.%2.%3.%4.%5.%6.%7.%8.%9"/>
      <w:lvlJc w:val="left"/>
      <w:pPr>
        <w:ind w:left="6184" w:hanging="1800"/>
      </w:pPr>
      <w:rPr>
        <w:rFonts w:hint="default"/>
        <w:b/>
        <w:color w:val="auto"/>
      </w:rPr>
    </w:lvl>
  </w:abstractNum>
  <w:abstractNum w:abstractNumId="43" w15:restartNumberingAfterBreak="0">
    <w:nsid w:val="7E3C0854"/>
    <w:multiLevelType w:val="hybridMultilevel"/>
    <w:tmpl w:val="3A24F3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13"/>
  </w:num>
  <w:num w:numId="4">
    <w:abstractNumId w:val="1"/>
  </w:num>
  <w:num w:numId="5">
    <w:abstractNumId w:val="24"/>
  </w:num>
  <w:num w:numId="6">
    <w:abstractNumId w:val="22"/>
  </w:num>
  <w:num w:numId="7">
    <w:abstractNumId w:val="20"/>
  </w:num>
  <w:num w:numId="8">
    <w:abstractNumId w:val="11"/>
  </w:num>
  <w:num w:numId="9">
    <w:abstractNumId w:val="7"/>
  </w:num>
  <w:num w:numId="10">
    <w:abstractNumId w:val="36"/>
  </w:num>
  <w:num w:numId="11">
    <w:abstractNumId w:val="26"/>
  </w:num>
  <w:num w:numId="12">
    <w:abstractNumId w:val="38"/>
  </w:num>
  <w:num w:numId="13">
    <w:abstractNumId w:val="8"/>
  </w:num>
  <w:num w:numId="14">
    <w:abstractNumId w:val="14"/>
  </w:num>
  <w:num w:numId="15">
    <w:abstractNumId w:val="0"/>
  </w:num>
  <w:num w:numId="16">
    <w:abstractNumId w:val="39"/>
  </w:num>
  <w:num w:numId="17">
    <w:abstractNumId w:val="6"/>
  </w:num>
  <w:num w:numId="18">
    <w:abstractNumId w:val="29"/>
  </w:num>
  <w:num w:numId="19">
    <w:abstractNumId w:val="3"/>
  </w:num>
  <w:num w:numId="20">
    <w:abstractNumId w:val="43"/>
  </w:num>
  <w:num w:numId="21">
    <w:abstractNumId w:val="33"/>
  </w:num>
  <w:num w:numId="22">
    <w:abstractNumId w:val="40"/>
  </w:num>
  <w:num w:numId="23">
    <w:abstractNumId w:val="10"/>
  </w:num>
  <w:num w:numId="24">
    <w:abstractNumId w:val="34"/>
  </w:num>
  <w:num w:numId="25">
    <w:abstractNumId w:val="5"/>
  </w:num>
  <w:num w:numId="26">
    <w:abstractNumId w:val="35"/>
  </w:num>
  <w:num w:numId="27">
    <w:abstractNumId w:val="27"/>
  </w:num>
  <w:num w:numId="28">
    <w:abstractNumId w:val="30"/>
  </w:num>
  <w:num w:numId="29">
    <w:abstractNumId w:val="9"/>
  </w:num>
  <w:num w:numId="30">
    <w:abstractNumId w:val="19"/>
  </w:num>
  <w:num w:numId="31">
    <w:abstractNumId w:val="41"/>
  </w:num>
  <w:num w:numId="32">
    <w:abstractNumId w:val="2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3"/>
  </w:num>
  <w:num w:numId="36">
    <w:abstractNumId w:val="32"/>
  </w:num>
  <w:num w:numId="37">
    <w:abstractNumId w:val="21"/>
  </w:num>
  <w:num w:numId="38">
    <w:abstractNumId w:val="18"/>
  </w:num>
  <w:num w:numId="39">
    <w:abstractNumId w:val="15"/>
  </w:num>
  <w:num w:numId="40">
    <w:abstractNumId w:val="31"/>
  </w:num>
  <w:num w:numId="41">
    <w:abstractNumId w:val="1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0CE9"/>
    <w:rsid w:val="00001C3B"/>
    <w:rsid w:val="000031C7"/>
    <w:rsid w:val="00004553"/>
    <w:rsid w:val="00004E42"/>
    <w:rsid w:val="000064B3"/>
    <w:rsid w:val="00006A5A"/>
    <w:rsid w:val="00006D31"/>
    <w:rsid w:val="00010FB3"/>
    <w:rsid w:val="0001178B"/>
    <w:rsid w:val="00012060"/>
    <w:rsid w:val="0001240E"/>
    <w:rsid w:val="00012E08"/>
    <w:rsid w:val="000135B4"/>
    <w:rsid w:val="00013615"/>
    <w:rsid w:val="00013EA8"/>
    <w:rsid w:val="00015711"/>
    <w:rsid w:val="0001702D"/>
    <w:rsid w:val="00017A8E"/>
    <w:rsid w:val="00020504"/>
    <w:rsid w:val="00021163"/>
    <w:rsid w:val="0002169D"/>
    <w:rsid w:val="00021FCF"/>
    <w:rsid w:val="000238A0"/>
    <w:rsid w:val="00024245"/>
    <w:rsid w:val="000254EF"/>
    <w:rsid w:val="00025CAC"/>
    <w:rsid w:val="00025CFC"/>
    <w:rsid w:val="00025D07"/>
    <w:rsid w:val="00030DCC"/>
    <w:rsid w:val="00034F0D"/>
    <w:rsid w:val="00036065"/>
    <w:rsid w:val="0003684D"/>
    <w:rsid w:val="000379D1"/>
    <w:rsid w:val="0004297D"/>
    <w:rsid w:val="00042E3B"/>
    <w:rsid w:val="0004396D"/>
    <w:rsid w:val="00043A4E"/>
    <w:rsid w:val="00046743"/>
    <w:rsid w:val="0004740E"/>
    <w:rsid w:val="00051D70"/>
    <w:rsid w:val="00052395"/>
    <w:rsid w:val="00053B78"/>
    <w:rsid w:val="000546DF"/>
    <w:rsid w:val="00054764"/>
    <w:rsid w:val="00060458"/>
    <w:rsid w:val="00063502"/>
    <w:rsid w:val="00063728"/>
    <w:rsid w:val="00063C56"/>
    <w:rsid w:val="00065684"/>
    <w:rsid w:val="00065F29"/>
    <w:rsid w:val="00066ECC"/>
    <w:rsid w:val="00071FE5"/>
    <w:rsid w:val="000746AA"/>
    <w:rsid w:val="00074EF7"/>
    <w:rsid w:val="000762C6"/>
    <w:rsid w:val="000768CC"/>
    <w:rsid w:val="00081617"/>
    <w:rsid w:val="00082134"/>
    <w:rsid w:val="00082E9C"/>
    <w:rsid w:val="00084EB3"/>
    <w:rsid w:val="00085ECA"/>
    <w:rsid w:val="00087CAB"/>
    <w:rsid w:val="0009100D"/>
    <w:rsid w:val="00091A36"/>
    <w:rsid w:val="000927A8"/>
    <w:rsid w:val="00092DB4"/>
    <w:rsid w:val="00096D3E"/>
    <w:rsid w:val="0009767B"/>
    <w:rsid w:val="000A0CD7"/>
    <w:rsid w:val="000A5493"/>
    <w:rsid w:val="000A59CB"/>
    <w:rsid w:val="000A6263"/>
    <w:rsid w:val="000A66E5"/>
    <w:rsid w:val="000A7397"/>
    <w:rsid w:val="000B0F14"/>
    <w:rsid w:val="000B1D21"/>
    <w:rsid w:val="000B4391"/>
    <w:rsid w:val="000B61C7"/>
    <w:rsid w:val="000B70CA"/>
    <w:rsid w:val="000C0F12"/>
    <w:rsid w:val="000C24EC"/>
    <w:rsid w:val="000C28D9"/>
    <w:rsid w:val="000C2EED"/>
    <w:rsid w:val="000C3913"/>
    <w:rsid w:val="000C42DA"/>
    <w:rsid w:val="000C46B4"/>
    <w:rsid w:val="000C4D9E"/>
    <w:rsid w:val="000C560B"/>
    <w:rsid w:val="000C570E"/>
    <w:rsid w:val="000C786B"/>
    <w:rsid w:val="000D0DEF"/>
    <w:rsid w:val="000D4382"/>
    <w:rsid w:val="000D4ACE"/>
    <w:rsid w:val="000D5998"/>
    <w:rsid w:val="000D5D29"/>
    <w:rsid w:val="000D5EFD"/>
    <w:rsid w:val="000D6612"/>
    <w:rsid w:val="000D731B"/>
    <w:rsid w:val="000D7AE2"/>
    <w:rsid w:val="000E1823"/>
    <w:rsid w:val="000E2EE1"/>
    <w:rsid w:val="000E3492"/>
    <w:rsid w:val="000E35F5"/>
    <w:rsid w:val="000E41E2"/>
    <w:rsid w:val="000E4B2F"/>
    <w:rsid w:val="000F1C5C"/>
    <w:rsid w:val="000F258A"/>
    <w:rsid w:val="000F2B40"/>
    <w:rsid w:val="000F548A"/>
    <w:rsid w:val="000F5ECE"/>
    <w:rsid w:val="000F6D99"/>
    <w:rsid w:val="00100886"/>
    <w:rsid w:val="00101904"/>
    <w:rsid w:val="00102CFA"/>
    <w:rsid w:val="00102F41"/>
    <w:rsid w:val="0010310C"/>
    <w:rsid w:val="00103AAF"/>
    <w:rsid w:val="001049B1"/>
    <w:rsid w:val="0010641F"/>
    <w:rsid w:val="0010687B"/>
    <w:rsid w:val="001118A5"/>
    <w:rsid w:val="001138C6"/>
    <w:rsid w:val="001151FD"/>
    <w:rsid w:val="00115202"/>
    <w:rsid w:val="00115AE8"/>
    <w:rsid w:val="0012063B"/>
    <w:rsid w:val="00124B78"/>
    <w:rsid w:val="001257A0"/>
    <w:rsid w:val="00126E5E"/>
    <w:rsid w:val="001273CB"/>
    <w:rsid w:val="00130ED2"/>
    <w:rsid w:val="0013136B"/>
    <w:rsid w:val="00132257"/>
    <w:rsid w:val="0013235E"/>
    <w:rsid w:val="001326DC"/>
    <w:rsid w:val="00134395"/>
    <w:rsid w:val="001346E7"/>
    <w:rsid w:val="00135BF7"/>
    <w:rsid w:val="00136385"/>
    <w:rsid w:val="0013728E"/>
    <w:rsid w:val="00140927"/>
    <w:rsid w:val="00144267"/>
    <w:rsid w:val="0014693B"/>
    <w:rsid w:val="00146B0E"/>
    <w:rsid w:val="00147859"/>
    <w:rsid w:val="00151E35"/>
    <w:rsid w:val="001532DA"/>
    <w:rsid w:val="001545CA"/>
    <w:rsid w:val="001559B2"/>
    <w:rsid w:val="00162547"/>
    <w:rsid w:val="0016398A"/>
    <w:rsid w:val="00163F4A"/>
    <w:rsid w:val="00164C2C"/>
    <w:rsid w:val="0016736F"/>
    <w:rsid w:val="00167ABE"/>
    <w:rsid w:val="00170908"/>
    <w:rsid w:val="00171308"/>
    <w:rsid w:val="0017177C"/>
    <w:rsid w:val="00171BC0"/>
    <w:rsid w:val="00173301"/>
    <w:rsid w:val="001744CD"/>
    <w:rsid w:val="00175F12"/>
    <w:rsid w:val="001802B9"/>
    <w:rsid w:val="00181325"/>
    <w:rsid w:val="001825D5"/>
    <w:rsid w:val="00183253"/>
    <w:rsid w:val="00184860"/>
    <w:rsid w:val="00184DC0"/>
    <w:rsid w:val="00184E96"/>
    <w:rsid w:val="00187F61"/>
    <w:rsid w:val="00190C6F"/>
    <w:rsid w:val="0019104A"/>
    <w:rsid w:val="001912A7"/>
    <w:rsid w:val="00191FB5"/>
    <w:rsid w:val="001922AB"/>
    <w:rsid w:val="001949C2"/>
    <w:rsid w:val="00195294"/>
    <w:rsid w:val="001962A2"/>
    <w:rsid w:val="0019FE59"/>
    <w:rsid w:val="001A1461"/>
    <w:rsid w:val="001A2663"/>
    <w:rsid w:val="001A2E49"/>
    <w:rsid w:val="001A5090"/>
    <w:rsid w:val="001B2232"/>
    <w:rsid w:val="001B3649"/>
    <w:rsid w:val="001B4A37"/>
    <w:rsid w:val="001B4A84"/>
    <w:rsid w:val="001B5334"/>
    <w:rsid w:val="001C031B"/>
    <w:rsid w:val="001C0AC1"/>
    <w:rsid w:val="001C1681"/>
    <w:rsid w:val="001C28D5"/>
    <w:rsid w:val="001C4CD5"/>
    <w:rsid w:val="001C55E8"/>
    <w:rsid w:val="001C5F91"/>
    <w:rsid w:val="001C6B15"/>
    <w:rsid w:val="001C764B"/>
    <w:rsid w:val="001D1CA0"/>
    <w:rsid w:val="001D2928"/>
    <w:rsid w:val="001D2D3B"/>
    <w:rsid w:val="001D605F"/>
    <w:rsid w:val="001D6EBF"/>
    <w:rsid w:val="001D7810"/>
    <w:rsid w:val="001D7B10"/>
    <w:rsid w:val="001D7F44"/>
    <w:rsid w:val="001E29A8"/>
    <w:rsid w:val="001E3A8E"/>
    <w:rsid w:val="001E58AF"/>
    <w:rsid w:val="001E6511"/>
    <w:rsid w:val="001E67A9"/>
    <w:rsid w:val="001E6A86"/>
    <w:rsid w:val="001E7CC3"/>
    <w:rsid w:val="001F161B"/>
    <w:rsid w:val="001F2F6A"/>
    <w:rsid w:val="001F5584"/>
    <w:rsid w:val="001F55EE"/>
    <w:rsid w:val="001F5C1D"/>
    <w:rsid w:val="001F637F"/>
    <w:rsid w:val="001F6ECF"/>
    <w:rsid w:val="00200196"/>
    <w:rsid w:val="002001FB"/>
    <w:rsid w:val="00205333"/>
    <w:rsid w:val="0020556F"/>
    <w:rsid w:val="002072AF"/>
    <w:rsid w:val="0020746F"/>
    <w:rsid w:val="0020759D"/>
    <w:rsid w:val="00210865"/>
    <w:rsid w:val="00212518"/>
    <w:rsid w:val="002143B4"/>
    <w:rsid w:val="00216414"/>
    <w:rsid w:val="002168A3"/>
    <w:rsid w:val="00217AC1"/>
    <w:rsid w:val="00220E32"/>
    <w:rsid w:val="002218ED"/>
    <w:rsid w:val="00223060"/>
    <w:rsid w:val="00224AED"/>
    <w:rsid w:val="0022617E"/>
    <w:rsid w:val="00226D37"/>
    <w:rsid w:val="0022732E"/>
    <w:rsid w:val="002279BC"/>
    <w:rsid w:val="00227CD1"/>
    <w:rsid w:val="00231051"/>
    <w:rsid w:val="00235127"/>
    <w:rsid w:val="002400B2"/>
    <w:rsid w:val="002432BC"/>
    <w:rsid w:val="00243B78"/>
    <w:rsid w:val="002449CE"/>
    <w:rsid w:val="002454C9"/>
    <w:rsid w:val="002457D1"/>
    <w:rsid w:val="00245F7A"/>
    <w:rsid w:val="00246008"/>
    <w:rsid w:val="0024656C"/>
    <w:rsid w:val="00251658"/>
    <w:rsid w:val="00253A3D"/>
    <w:rsid w:val="002567FF"/>
    <w:rsid w:val="002576E0"/>
    <w:rsid w:val="0026199D"/>
    <w:rsid w:val="00263AB9"/>
    <w:rsid w:val="00263C7D"/>
    <w:rsid w:val="0026430B"/>
    <w:rsid w:val="00264398"/>
    <w:rsid w:val="00265767"/>
    <w:rsid w:val="00266F96"/>
    <w:rsid w:val="00271AF0"/>
    <w:rsid w:val="002726CD"/>
    <w:rsid w:val="0027386B"/>
    <w:rsid w:val="00273C15"/>
    <w:rsid w:val="00274888"/>
    <w:rsid w:val="00274F4F"/>
    <w:rsid w:val="002750C9"/>
    <w:rsid w:val="00275FF6"/>
    <w:rsid w:val="00277BDF"/>
    <w:rsid w:val="00281938"/>
    <w:rsid w:val="0028325F"/>
    <w:rsid w:val="00283AB8"/>
    <w:rsid w:val="002863D4"/>
    <w:rsid w:val="00287264"/>
    <w:rsid w:val="002902D1"/>
    <w:rsid w:val="002919D4"/>
    <w:rsid w:val="002924DB"/>
    <w:rsid w:val="00292664"/>
    <w:rsid w:val="002929F3"/>
    <w:rsid w:val="00293763"/>
    <w:rsid w:val="002939AD"/>
    <w:rsid w:val="00294927"/>
    <w:rsid w:val="0029509D"/>
    <w:rsid w:val="0029553D"/>
    <w:rsid w:val="00296A77"/>
    <w:rsid w:val="00296FD1"/>
    <w:rsid w:val="002A0D41"/>
    <w:rsid w:val="002A0ED1"/>
    <w:rsid w:val="002A155A"/>
    <w:rsid w:val="002A3B1F"/>
    <w:rsid w:val="002A4049"/>
    <w:rsid w:val="002A41AE"/>
    <w:rsid w:val="002A5901"/>
    <w:rsid w:val="002A5E33"/>
    <w:rsid w:val="002A74C6"/>
    <w:rsid w:val="002B05FE"/>
    <w:rsid w:val="002B1E80"/>
    <w:rsid w:val="002B36FB"/>
    <w:rsid w:val="002B37E5"/>
    <w:rsid w:val="002B3F09"/>
    <w:rsid w:val="002B4F4E"/>
    <w:rsid w:val="002B5906"/>
    <w:rsid w:val="002B79D4"/>
    <w:rsid w:val="002C1DD7"/>
    <w:rsid w:val="002C3BFA"/>
    <w:rsid w:val="002C4E7F"/>
    <w:rsid w:val="002C7229"/>
    <w:rsid w:val="002C74FE"/>
    <w:rsid w:val="002D3B3C"/>
    <w:rsid w:val="002D54ED"/>
    <w:rsid w:val="002D6194"/>
    <w:rsid w:val="002D6232"/>
    <w:rsid w:val="002D63C3"/>
    <w:rsid w:val="002D6CCF"/>
    <w:rsid w:val="002E0AD7"/>
    <w:rsid w:val="002E141C"/>
    <w:rsid w:val="002E1A9B"/>
    <w:rsid w:val="002E1CFC"/>
    <w:rsid w:val="002E4766"/>
    <w:rsid w:val="002E5C52"/>
    <w:rsid w:val="002E6D87"/>
    <w:rsid w:val="002E7107"/>
    <w:rsid w:val="002E7235"/>
    <w:rsid w:val="002E7B56"/>
    <w:rsid w:val="002F4BE7"/>
    <w:rsid w:val="002F611D"/>
    <w:rsid w:val="002F7595"/>
    <w:rsid w:val="002F7CB9"/>
    <w:rsid w:val="00300688"/>
    <w:rsid w:val="003015EF"/>
    <w:rsid w:val="00302984"/>
    <w:rsid w:val="003030C9"/>
    <w:rsid w:val="00303E9B"/>
    <w:rsid w:val="003050D3"/>
    <w:rsid w:val="00307FF7"/>
    <w:rsid w:val="0031008C"/>
    <w:rsid w:val="003103C1"/>
    <w:rsid w:val="0031331C"/>
    <w:rsid w:val="00313CCB"/>
    <w:rsid w:val="00315525"/>
    <w:rsid w:val="00315982"/>
    <w:rsid w:val="00315C59"/>
    <w:rsid w:val="003173F1"/>
    <w:rsid w:val="00317D7B"/>
    <w:rsid w:val="00317FB8"/>
    <w:rsid w:val="003202FA"/>
    <w:rsid w:val="0032040A"/>
    <w:rsid w:val="00320A19"/>
    <w:rsid w:val="00321569"/>
    <w:rsid w:val="00322641"/>
    <w:rsid w:val="00325B6B"/>
    <w:rsid w:val="00331742"/>
    <w:rsid w:val="00332044"/>
    <w:rsid w:val="003349EF"/>
    <w:rsid w:val="00336A20"/>
    <w:rsid w:val="00336FEA"/>
    <w:rsid w:val="00341717"/>
    <w:rsid w:val="003425D5"/>
    <w:rsid w:val="00344558"/>
    <w:rsid w:val="00345D77"/>
    <w:rsid w:val="00345DBF"/>
    <w:rsid w:val="00346D11"/>
    <w:rsid w:val="00346DF6"/>
    <w:rsid w:val="003478D9"/>
    <w:rsid w:val="00347D13"/>
    <w:rsid w:val="003501A4"/>
    <w:rsid w:val="00352085"/>
    <w:rsid w:val="00352CC6"/>
    <w:rsid w:val="00356F93"/>
    <w:rsid w:val="00360E97"/>
    <w:rsid w:val="0036252F"/>
    <w:rsid w:val="00362828"/>
    <w:rsid w:val="0036516F"/>
    <w:rsid w:val="00365BA4"/>
    <w:rsid w:val="00366287"/>
    <w:rsid w:val="00367087"/>
    <w:rsid w:val="0036750F"/>
    <w:rsid w:val="00367C82"/>
    <w:rsid w:val="00367F26"/>
    <w:rsid w:val="003723A1"/>
    <w:rsid w:val="00375C5D"/>
    <w:rsid w:val="00377919"/>
    <w:rsid w:val="003782B0"/>
    <w:rsid w:val="00380322"/>
    <w:rsid w:val="003809C3"/>
    <w:rsid w:val="00382E14"/>
    <w:rsid w:val="0038426B"/>
    <w:rsid w:val="00384C4F"/>
    <w:rsid w:val="00384CFE"/>
    <w:rsid w:val="003864BF"/>
    <w:rsid w:val="00387429"/>
    <w:rsid w:val="00387AB2"/>
    <w:rsid w:val="003938E1"/>
    <w:rsid w:val="003946EC"/>
    <w:rsid w:val="00394F9E"/>
    <w:rsid w:val="00397387"/>
    <w:rsid w:val="0039788C"/>
    <w:rsid w:val="003978F9"/>
    <w:rsid w:val="003A09FD"/>
    <w:rsid w:val="003A35BB"/>
    <w:rsid w:val="003A393F"/>
    <w:rsid w:val="003A447E"/>
    <w:rsid w:val="003A45E9"/>
    <w:rsid w:val="003A6578"/>
    <w:rsid w:val="003B3B77"/>
    <w:rsid w:val="003B3FF4"/>
    <w:rsid w:val="003C08EF"/>
    <w:rsid w:val="003C37CC"/>
    <w:rsid w:val="003C49D2"/>
    <w:rsid w:val="003C4BED"/>
    <w:rsid w:val="003C5966"/>
    <w:rsid w:val="003C5ECD"/>
    <w:rsid w:val="003C64E9"/>
    <w:rsid w:val="003C6A43"/>
    <w:rsid w:val="003C7563"/>
    <w:rsid w:val="003D00E7"/>
    <w:rsid w:val="003D0867"/>
    <w:rsid w:val="003D0A15"/>
    <w:rsid w:val="003D2A9F"/>
    <w:rsid w:val="003D3201"/>
    <w:rsid w:val="003D569F"/>
    <w:rsid w:val="003D5F64"/>
    <w:rsid w:val="003D76E8"/>
    <w:rsid w:val="003E08C1"/>
    <w:rsid w:val="003E35D6"/>
    <w:rsid w:val="003E3BEA"/>
    <w:rsid w:val="003E59BF"/>
    <w:rsid w:val="003F0168"/>
    <w:rsid w:val="003F0D8D"/>
    <w:rsid w:val="003F0E6F"/>
    <w:rsid w:val="003F26A5"/>
    <w:rsid w:val="003F4947"/>
    <w:rsid w:val="003F5A4F"/>
    <w:rsid w:val="003F67CF"/>
    <w:rsid w:val="0040045C"/>
    <w:rsid w:val="0040079B"/>
    <w:rsid w:val="00400CEA"/>
    <w:rsid w:val="00401A1C"/>
    <w:rsid w:val="00401F3A"/>
    <w:rsid w:val="0040515A"/>
    <w:rsid w:val="0040518B"/>
    <w:rsid w:val="00405916"/>
    <w:rsid w:val="004060C3"/>
    <w:rsid w:val="004104CB"/>
    <w:rsid w:val="00411342"/>
    <w:rsid w:val="0041336C"/>
    <w:rsid w:val="0041449C"/>
    <w:rsid w:val="00414702"/>
    <w:rsid w:val="00421C00"/>
    <w:rsid w:val="00422701"/>
    <w:rsid w:val="00422972"/>
    <w:rsid w:val="00423D81"/>
    <w:rsid w:val="00427288"/>
    <w:rsid w:val="004278A2"/>
    <w:rsid w:val="0043145C"/>
    <w:rsid w:val="004340FF"/>
    <w:rsid w:val="004358B1"/>
    <w:rsid w:val="00435D03"/>
    <w:rsid w:val="00437D79"/>
    <w:rsid w:val="00442925"/>
    <w:rsid w:val="00442A93"/>
    <w:rsid w:val="00445901"/>
    <w:rsid w:val="00446313"/>
    <w:rsid w:val="00450482"/>
    <w:rsid w:val="00450DC3"/>
    <w:rsid w:val="00451C86"/>
    <w:rsid w:val="004539C2"/>
    <w:rsid w:val="004548F8"/>
    <w:rsid w:val="00454AA6"/>
    <w:rsid w:val="00455F6D"/>
    <w:rsid w:val="004575D5"/>
    <w:rsid w:val="00457FEC"/>
    <w:rsid w:val="00460416"/>
    <w:rsid w:val="00460791"/>
    <w:rsid w:val="00461340"/>
    <w:rsid w:val="004613F1"/>
    <w:rsid w:val="00461E70"/>
    <w:rsid w:val="004622A6"/>
    <w:rsid w:val="00465ABD"/>
    <w:rsid w:val="00466113"/>
    <w:rsid w:val="00466C69"/>
    <w:rsid w:val="00466F59"/>
    <w:rsid w:val="00466FC0"/>
    <w:rsid w:val="00470CF5"/>
    <w:rsid w:val="0047174B"/>
    <w:rsid w:val="00471D66"/>
    <w:rsid w:val="00471E3C"/>
    <w:rsid w:val="00473562"/>
    <w:rsid w:val="004740D5"/>
    <w:rsid w:val="004749B2"/>
    <w:rsid w:val="004772AA"/>
    <w:rsid w:val="0047742B"/>
    <w:rsid w:val="004800B5"/>
    <w:rsid w:val="004820BE"/>
    <w:rsid w:val="004835FB"/>
    <w:rsid w:val="0048447B"/>
    <w:rsid w:val="004855C7"/>
    <w:rsid w:val="00485B74"/>
    <w:rsid w:val="00485D16"/>
    <w:rsid w:val="00485EE9"/>
    <w:rsid w:val="00486ED5"/>
    <w:rsid w:val="00493BFB"/>
    <w:rsid w:val="00494E22"/>
    <w:rsid w:val="00495762"/>
    <w:rsid w:val="00496F5D"/>
    <w:rsid w:val="00497FD3"/>
    <w:rsid w:val="004A1458"/>
    <w:rsid w:val="004A169C"/>
    <w:rsid w:val="004A1E05"/>
    <w:rsid w:val="004A2B06"/>
    <w:rsid w:val="004A2FC7"/>
    <w:rsid w:val="004A3E70"/>
    <w:rsid w:val="004A4A1F"/>
    <w:rsid w:val="004A66B0"/>
    <w:rsid w:val="004B0280"/>
    <w:rsid w:val="004B38B7"/>
    <w:rsid w:val="004B4B22"/>
    <w:rsid w:val="004B5251"/>
    <w:rsid w:val="004B634E"/>
    <w:rsid w:val="004B6989"/>
    <w:rsid w:val="004C3564"/>
    <w:rsid w:val="004D0EEF"/>
    <w:rsid w:val="004D1AA3"/>
    <w:rsid w:val="004D4BDF"/>
    <w:rsid w:val="004D4C7A"/>
    <w:rsid w:val="004D5302"/>
    <w:rsid w:val="004D5B10"/>
    <w:rsid w:val="004E23C7"/>
    <w:rsid w:val="004E29BD"/>
    <w:rsid w:val="004E3180"/>
    <w:rsid w:val="004E3DD3"/>
    <w:rsid w:val="004E7F96"/>
    <w:rsid w:val="004F04D8"/>
    <w:rsid w:val="004F2DCB"/>
    <w:rsid w:val="004F36C4"/>
    <w:rsid w:val="004F4525"/>
    <w:rsid w:val="004F4D19"/>
    <w:rsid w:val="004F4F56"/>
    <w:rsid w:val="004F5D08"/>
    <w:rsid w:val="004F6433"/>
    <w:rsid w:val="004F6630"/>
    <w:rsid w:val="00500A98"/>
    <w:rsid w:val="0050281C"/>
    <w:rsid w:val="0050363F"/>
    <w:rsid w:val="005064B6"/>
    <w:rsid w:val="00506F40"/>
    <w:rsid w:val="005070B1"/>
    <w:rsid w:val="00507862"/>
    <w:rsid w:val="00507A0E"/>
    <w:rsid w:val="00512139"/>
    <w:rsid w:val="00512FA4"/>
    <w:rsid w:val="0051392E"/>
    <w:rsid w:val="00513E29"/>
    <w:rsid w:val="005232F1"/>
    <w:rsid w:val="00526213"/>
    <w:rsid w:val="005276C2"/>
    <w:rsid w:val="0053001B"/>
    <w:rsid w:val="005314FF"/>
    <w:rsid w:val="00532093"/>
    <w:rsid w:val="00532582"/>
    <w:rsid w:val="005336BE"/>
    <w:rsid w:val="00534980"/>
    <w:rsid w:val="0053532A"/>
    <w:rsid w:val="00535451"/>
    <w:rsid w:val="00535D23"/>
    <w:rsid w:val="00535F5B"/>
    <w:rsid w:val="00540ABD"/>
    <w:rsid w:val="00543BEE"/>
    <w:rsid w:val="005456A4"/>
    <w:rsid w:val="00545813"/>
    <w:rsid w:val="00546C69"/>
    <w:rsid w:val="00547CEC"/>
    <w:rsid w:val="005513BA"/>
    <w:rsid w:val="00551C7B"/>
    <w:rsid w:val="00555367"/>
    <w:rsid w:val="0055638F"/>
    <w:rsid w:val="00556B0E"/>
    <w:rsid w:val="00557D7E"/>
    <w:rsid w:val="005608B7"/>
    <w:rsid w:val="005609BE"/>
    <w:rsid w:val="005612ED"/>
    <w:rsid w:val="00561900"/>
    <w:rsid w:val="00564471"/>
    <w:rsid w:val="00564A6D"/>
    <w:rsid w:val="00565633"/>
    <w:rsid w:val="00565730"/>
    <w:rsid w:val="00565FDB"/>
    <w:rsid w:val="00567C9A"/>
    <w:rsid w:val="00567CE8"/>
    <w:rsid w:val="0057072D"/>
    <w:rsid w:val="005728EB"/>
    <w:rsid w:val="005764D5"/>
    <w:rsid w:val="00577DF5"/>
    <w:rsid w:val="005817E0"/>
    <w:rsid w:val="00582457"/>
    <w:rsid w:val="00582824"/>
    <w:rsid w:val="00585176"/>
    <w:rsid w:val="00585BD7"/>
    <w:rsid w:val="005860F9"/>
    <w:rsid w:val="00586686"/>
    <w:rsid w:val="0059003B"/>
    <w:rsid w:val="00590A0B"/>
    <w:rsid w:val="00592746"/>
    <w:rsid w:val="005931BC"/>
    <w:rsid w:val="00594B93"/>
    <w:rsid w:val="00594FED"/>
    <w:rsid w:val="0059503C"/>
    <w:rsid w:val="005A2403"/>
    <w:rsid w:val="005A246B"/>
    <w:rsid w:val="005A3943"/>
    <w:rsid w:val="005A3A34"/>
    <w:rsid w:val="005A4920"/>
    <w:rsid w:val="005A7577"/>
    <w:rsid w:val="005B1E87"/>
    <w:rsid w:val="005B21A2"/>
    <w:rsid w:val="005B3345"/>
    <w:rsid w:val="005B3AED"/>
    <w:rsid w:val="005B3ECC"/>
    <w:rsid w:val="005B3EE5"/>
    <w:rsid w:val="005B4547"/>
    <w:rsid w:val="005B4A54"/>
    <w:rsid w:val="005B6FA4"/>
    <w:rsid w:val="005C2875"/>
    <w:rsid w:val="005C4276"/>
    <w:rsid w:val="005C46A3"/>
    <w:rsid w:val="005C4A04"/>
    <w:rsid w:val="005C528F"/>
    <w:rsid w:val="005C5718"/>
    <w:rsid w:val="005C5ECC"/>
    <w:rsid w:val="005C6DA2"/>
    <w:rsid w:val="005C758A"/>
    <w:rsid w:val="005C7D09"/>
    <w:rsid w:val="005C7D4E"/>
    <w:rsid w:val="005D18E2"/>
    <w:rsid w:val="005D3494"/>
    <w:rsid w:val="005D51CA"/>
    <w:rsid w:val="005D683A"/>
    <w:rsid w:val="005D71B3"/>
    <w:rsid w:val="005D764A"/>
    <w:rsid w:val="005D7660"/>
    <w:rsid w:val="005D7804"/>
    <w:rsid w:val="005E0045"/>
    <w:rsid w:val="005E090E"/>
    <w:rsid w:val="005E0CDB"/>
    <w:rsid w:val="005E0F68"/>
    <w:rsid w:val="005E379D"/>
    <w:rsid w:val="005E53AC"/>
    <w:rsid w:val="005E5E98"/>
    <w:rsid w:val="005E6219"/>
    <w:rsid w:val="005E67E7"/>
    <w:rsid w:val="005E7AA9"/>
    <w:rsid w:val="005E7DF3"/>
    <w:rsid w:val="005F1825"/>
    <w:rsid w:val="005F1AE3"/>
    <w:rsid w:val="005F1B25"/>
    <w:rsid w:val="005F3240"/>
    <w:rsid w:val="005F33C9"/>
    <w:rsid w:val="005F457A"/>
    <w:rsid w:val="005F4A07"/>
    <w:rsid w:val="005F5C53"/>
    <w:rsid w:val="00604A18"/>
    <w:rsid w:val="00607F48"/>
    <w:rsid w:val="00610AD5"/>
    <w:rsid w:val="00610F6F"/>
    <w:rsid w:val="006125E5"/>
    <w:rsid w:val="00613837"/>
    <w:rsid w:val="006174A2"/>
    <w:rsid w:val="00620321"/>
    <w:rsid w:val="00620E8A"/>
    <w:rsid w:val="00624D94"/>
    <w:rsid w:val="00627E14"/>
    <w:rsid w:val="00630509"/>
    <w:rsid w:val="00631092"/>
    <w:rsid w:val="00631973"/>
    <w:rsid w:val="0063444E"/>
    <w:rsid w:val="00635847"/>
    <w:rsid w:val="00636A47"/>
    <w:rsid w:val="006373A1"/>
    <w:rsid w:val="00637FD2"/>
    <w:rsid w:val="00640E79"/>
    <w:rsid w:val="006417A6"/>
    <w:rsid w:val="00641B48"/>
    <w:rsid w:val="00642D8F"/>
    <w:rsid w:val="00644691"/>
    <w:rsid w:val="0064529E"/>
    <w:rsid w:val="00646F60"/>
    <w:rsid w:val="0064733B"/>
    <w:rsid w:val="00647341"/>
    <w:rsid w:val="006518CE"/>
    <w:rsid w:val="00652194"/>
    <w:rsid w:val="00652B0D"/>
    <w:rsid w:val="00655FB5"/>
    <w:rsid w:val="00656CE2"/>
    <w:rsid w:val="00657A81"/>
    <w:rsid w:val="00657DEF"/>
    <w:rsid w:val="00660705"/>
    <w:rsid w:val="00661377"/>
    <w:rsid w:val="0066138F"/>
    <w:rsid w:val="006613C2"/>
    <w:rsid w:val="00664C86"/>
    <w:rsid w:val="0066632C"/>
    <w:rsid w:val="00670555"/>
    <w:rsid w:val="00670A08"/>
    <w:rsid w:val="00672053"/>
    <w:rsid w:val="00673135"/>
    <w:rsid w:val="00673A18"/>
    <w:rsid w:val="00676CDF"/>
    <w:rsid w:val="006777B4"/>
    <w:rsid w:val="00681DB4"/>
    <w:rsid w:val="00683693"/>
    <w:rsid w:val="0068384F"/>
    <w:rsid w:val="00683977"/>
    <w:rsid w:val="006842A4"/>
    <w:rsid w:val="0068435F"/>
    <w:rsid w:val="00684416"/>
    <w:rsid w:val="006851DC"/>
    <w:rsid w:val="006858EE"/>
    <w:rsid w:val="00685F1B"/>
    <w:rsid w:val="006865B8"/>
    <w:rsid w:val="006867A1"/>
    <w:rsid w:val="00687BE2"/>
    <w:rsid w:val="0068CB86"/>
    <w:rsid w:val="006906A6"/>
    <w:rsid w:val="00690F36"/>
    <w:rsid w:val="00691B31"/>
    <w:rsid w:val="00691CAA"/>
    <w:rsid w:val="00692C1E"/>
    <w:rsid w:val="00693600"/>
    <w:rsid w:val="006936F1"/>
    <w:rsid w:val="00693900"/>
    <w:rsid w:val="006953CB"/>
    <w:rsid w:val="0069623A"/>
    <w:rsid w:val="00696A26"/>
    <w:rsid w:val="006A1AF0"/>
    <w:rsid w:val="006A358E"/>
    <w:rsid w:val="006A35A2"/>
    <w:rsid w:val="006A4A03"/>
    <w:rsid w:val="006A52B9"/>
    <w:rsid w:val="006A5BA1"/>
    <w:rsid w:val="006A62BD"/>
    <w:rsid w:val="006A6BA3"/>
    <w:rsid w:val="006B0791"/>
    <w:rsid w:val="006B0A8E"/>
    <w:rsid w:val="006B0BC2"/>
    <w:rsid w:val="006B1732"/>
    <w:rsid w:val="006B1855"/>
    <w:rsid w:val="006B27EE"/>
    <w:rsid w:val="006B3A75"/>
    <w:rsid w:val="006B5B88"/>
    <w:rsid w:val="006B5EB5"/>
    <w:rsid w:val="006B5FAC"/>
    <w:rsid w:val="006C192D"/>
    <w:rsid w:val="006C3DD2"/>
    <w:rsid w:val="006C453B"/>
    <w:rsid w:val="006C5BC5"/>
    <w:rsid w:val="006C7BB4"/>
    <w:rsid w:val="006C7FA0"/>
    <w:rsid w:val="006D0C9A"/>
    <w:rsid w:val="006D0F1C"/>
    <w:rsid w:val="006D0FC1"/>
    <w:rsid w:val="006D255B"/>
    <w:rsid w:val="006D4450"/>
    <w:rsid w:val="006D4D4E"/>
    <w:rsid w:val="006D5FD7"/>
    <w:rsid w:val="006E05DF"/>
    <w:rsid w:val="006E3977"/>
    <w:rsid w:val="006E4F14"/>
    <w:rsid w:val="006E5941"/>
    <w:rsid w:val="006E5F5D"/>
    <w:rsid w:val="006E72A9"/>
    <w:rsid w:val="006F2FAD"/>
    <w:rsid w:val="006F3A9F"/>
    <w:rsid w:val="006F55C9"/>
    <w:rsid w:val="006F749E"/>
    <w:rsid w:val="006F7B92"/>
    <w:rsid w:val="0070142B"/>
    <w:rsid w:val="007026AA"/>
    <w:rsid w:val="00704ADA"/>
    <w:rsid w:val="007069CC"/>
    <w:rsid w:val="00706D4F"/>
    <w:rsid w:val="00711C56"/>
    <w:rsid w:val="00711CBE"/>
    <w:rsid w:val="00711F45"/>
    <w:rsid w:val="007130EB"/>
    <w:rsid w:val="00714709"/>
    <w:rsid w:val="007157D3"/>
    <w:rsid w:val="00716E21"/>
    <w:rsid w:val="00717DD8"/>
    <w:rsid w:val="00720687"/>
    <w:rsid w:val="0072134A"/>
    <w:rsid w:val="00721521"/>
    <w:rsid w:val="00721C74"/>
    <w:rsid w:val="0072405A"/>
    <w:rsid w:val="00725B5C"/>
    <w:rsid w:val="00725F12"/>
    <w:rsid w:val="00730199"/>
    <w:rsid w:val="00732293"/>
    <w:rsid w:val="00734620"/>
    <w:rsid w:val="007358D9"/>
    <w:rsid w:val="00735D37"/>
    <w:rsid w:val="00736471"/>
    <w:rsid w:val="0073AB67"/>
    <w:rsid w:val="00741C8F"/>
    <w:rsid w:val="007426B3"/>
    <w:rsid w:val="007437E6"/>
    <w:rsid w:val="00746DFF"/>
    <w:rsid w:val="00747AB8"/>
    <w:rsid w:val="00747FCD"/>
    <w:rsid w:val="00751CB7"/>
    <w:rsid w:val="00752881"/>
    <w:rsid w:val="00753D7C"/>
    <w:rsid w:val="007549E6"/>
    <w:rsid w:val="00756FF7"/>
    <w:rsid w:val="007573C6"/>
    <w:rsid w:val="00757972"/>
    <w:rsid w:val="00760EEE"/>
    <w:rsid w:val="00765726"/>
    <w:rsid w:val="00766738"/>
    <w:rsid w:val="00767811"/>
    <w:rsid w:val="00770A17"/>
    <w:rsid w:val="00776FEC"/>
    <w:rsid w:val="00777E0A"/>
    <w:rsid w:val="007816E4"/>
    <w:rsid w:val="007838B8"/>
    <w:rsid w:val="00783CC8"/>
    <w:rsid w:val="007876AE"/>
    <w:rsid w:val="007920FC"/>
    <w:rsid w:val="00793438"/>
    <w:rsid w:val="00793748"/>
    <w:rsid w:val="00793858"/>
    <w:rsid w:val="00795374"/>
    <w:rsid w:val="00795454"/>
    <w:rsid w:val="007A0816"/>
    <w:rsid w:val="007A17F1"/>
    <w:rsid w:val="007A4368"/>
    <w:rsid w:val="007A4A34"/>
    <w:rsid w:val="007A7150"/>
    <w:rsid w:val="007A7668"/>
    <w:rsid w:val="007B111A"/>
    <w:rsid w:val="007B11C2"/>
    <w:rsid w:val="007B2B8E"/>
    <w:rsid w:val="007B331F"/>
    <w:rsid w:val="007B4742"/>
    <w:rsid w:val="007B51BC"/>
    <w:rsid w:val="007B5AD1"/>
    <w:rsid w:val="007B5B2E"/>
    <w:rsid w:val="007B5B42"/>
    <w:rsid w:val="007B5DD6"/>
    <w:rsid w:val="007B667D"/>
    <w:rsid w:val="007B7165"/>
    <w:rsid w:val="007C012C"/>
    <w:rsid w:val="007C16AC"/>
    <w:rsid w:val="007C172B"/>
    <w:rsid w:val="007C17F5"/>
    <w:rsid w:val="007C1C6A"/>
    <w:rsid w:val="007C5E1B"/>
    <w:rsid w:val="007C7F33"/>
    <w:rsid w:val="007D0BA7"/>
    <w:rsid w:val="007D2509"/>
    <w:rsid w:val="007D5E58"/>
    <w:rsid w:val="007E05A9"/>
    <w:rsid w:val="007E08A6"/>
    <w:rsid w:val="007E1095"/>
    <w:rsid w:val="007E2227"/>
    <w:rsid w:val="007E495A"/>
    <w:rsid w:val="007E571C"/>
    <w:rsid w:val="007E5918"/>
    <w:rsid w:val="007E6FC6"/>
    <w:rsid w:val="007E7513"/>
    <w:rsid w:val="007E77FF"/>
    <w:rsid w:val="007F4F1B"/>
    <w:rsid w:val="007F6F86"/>
    <w:rsid w:val="00801470"/>
    <w:rsid w:val="00801497"/>
    <w:rsid w:val="00801B92"/>
    <w:rsid w:val="00801ED6"/>
    <w:rsid w:val="008029A6"/>
    <w:rsid w:val="0080302F"/>
    <w:rsid w:val="00803625"/>
    <w:rsid w:val="008047EF"/>
    <w:rsid w:val="00804B04"/>
    <w:rsid w:val="008059C1"/>
    <w:rsid w:val="0080793F"/>
    <w:rsid w:val="00811674"/>
    <w:rsid w:val="008120C2"/>
    <w:rsid w:val="00812532"/>
    <w:rsid w:val="00812730"/>
    <w:rsid w:val="00813E1B"/>
    <w:rsid w:val="00816FD9"/>
    <w:rsid w:val="0081723C"/>
    <w:rsid w:val="00821528"/>
    <w:rsid w:val="008245E6"/>
    <w:rsid w:val="0082569C"/>
    <w:rsid w:val="00826017"/>
    <w:rsid w:val="008263C1"/>
    <w:rsid w:val="00827081"/>
    <w:rsid w:val="00831DFF"/>
    <w:rsid w:val="0083218D"/>
    <w:rsid w:val="00832F2A"/>
    <w:rsid w:val="00833979"/>
    <w:rsid w:val="00835DCE"/>
    <w:rsid w:val="00837077"/>
    <w:rsid w:val="0083760B"/>
    <w:rsid w:val="0084096C"/>
    <w:rsid w:val="00842A1A"/>
    <w:rsid w:val="0084547F"/>
    <w:rsid w:val="008459C4"/>
    <w:rsid w:val="00847C1F"/>
    <w:rsid w:val="0085048C"/>
    <w:rsid w:val="00851C27"/>
    <w:rsid w:val="00851D86"/>
    <w:rsid w:val="00855312"/>
    <w:rsid w:val="00855BFB"/>
    <w:rsid w:val="00855C14"/>
    <w:rsid w:val="008564B6"/>
    <w:rsid w:val="008608A0"/>
    <w:rsid w:val="0086133C"/>
    <w:rsid w:val="00861F31"/>
    <w:rsid w:val="00863EA1"/>
    <w:rsid w:val="00864C52"/>
    <w:rsid w:val="00867A8F"/>
    <w:rsid w:val="0087028C"/>
    <w:rsid w:val="00870C8D"/>
    <w:rsid w:val="00873212"/>
    <w:rsid w:val="008732F4"/>
    <w:rsid w:val="00873372"/>
    <w:rsid w:val="0087462E"/>
    <w:rsid w:val="00874730"/>
    <w:rsid w:val="008749BF"/>
    <w:rsid w:val="00874C5A"/>
    <w:rsid w:val="0088197C"/>
    <w:rsid w:val="00881AD0"/>
    <w:rsid w:val="008820B8"/>
    <w:rsid w:val="0088231F"/>
    <w:rsid w:val="00887BEC"/>
    <w:rsid w:val="00890023"/>
    <w:rsid w:val="008901F8"/>
    <w:rsid w:val="0089310C"/>
    <w:rsid w:val="008935CE"/>
    <w:rsid w:val="00893EA0"/>
    <w:rsid w:val="00896B6B"/>
    <w:rsid w:val="008970F1"/>
    <w:rsid w:val="0089747F"/>
    <w:rsid w:val="008A09EE"/>
    <w:rsid w:val="008A12FD"/>
    <w:rsid w:val="008A499B"/>
    <w:rsid w:val="008A6151"/>
    <w:rsid w:val="008A6674"/>
    <w:rsid w:val="008A68CC"/>
    <w:rsid w:val="008A7148"/>
    <w:rsid w:val="008B05C2"/>
    <w:rsid w:val="008B1973"/>
    <w:rsid w:val="008B28A9"/>
    <w:rsid w:val="008B36F8"/>
    <w:rsid w:val="008B42A0"/>
    <w:rsid w:val="008B57E5"/>
    <w:rsid w:val="008B5E9C"/>
    <w:rsid w:val="008B67D8"/>
    <w:rsid w:val="008C1D65"/>
    <w:rsid w:val="008C25A3"/>
    <w:rsid w:val="008C2A18"/>
    <w:rsid w:val="008C32AA"/>
    <w:rsid w:val="008C34A1"/>
    <w:rsid w:val="008C3EB2"/>
    <w:rsid w:val="008C401C"/>
    <w:rsid w:val="008C4A90"/>
    <w:rsid w:val="008C4CA9"/>
    <w:rsid w:val="008C7B92"/>
    <w:rsid w:val="008C7CE2"/>
    <w:rsid w:val="008D0150"/>
    <w:rsid w:val="008D1767"/>
    <w:rsid w:val="008D57B5"/>
    <w:rsid w:val="008D5DB5"/>
    <w:rsid w:val="008D77D8"/>
    <w:rsid w:val="008E25B3"/>
    <w:rsid w:val="008E2B88"/>
    <w:rsid w:val="008E306D"/>
    <w:rsid w:val="008E430C"/>
    <w:rsid w:val="008E4E9D"/>
    <w:rsid w:val="008E4EE1"/>
    <w:rsid w:val="008E515E"/>
    <w:rsid w:val="008E672E"/>
    <w:rsid w:val="008E68DF"/>
    <w:rsid w:val="008E695D"/>
    <w:rsid w:val="008E7BE2"/>
    <w:rsid w:val="008F095E"/>
    <w:rsid w:val="008F0F01"/>
    <w:rsid w:val="008F1DD1"/>
    <w:rsid w:val="008F1FC8"/>
    <w:rsid w:val="008F256C"/>
    <w:rsid w:val="008F3257"/>
    <w:rsid w:val="008F3B63"/>
    <w:rsid w:val="008F4EC4"/>
    <w:rsid w:val="00900CB8"/>
    <w:rsid w:val="00900D4F"/>
    <w:rsid w:val="00901D15"/>
    <w:rsid w:val="00903381"/>
    <w:rsid w:val="00903579"/>
    <w:rsid w:val="0090408F"/>
    <w:rsid w:val="009041AD"/>
    <w:rsid w:val="009057F3"/>
    <w:rsid w:val="009069FE"/>
    <w:rsid w:val="009070AE"/>
    <w:rsid w:val="00907833"/>
    <w:rsid w:val="0091061A"/>
    <w:rsid w:val="00910A98"/>
    <w:rsid w:val="00910CA2"/>
    <w:rsid w:val="00910F04"/>
    <w:rsid w:val="0091158E"/>
    <w:rsid w:val="0091385B"/>
    <w:rsid w:val="00915086"/>
    <w:rsid w:val="00915FFE"/>
    <w:rsid w:val="00920455"/>
    <w:rsid w:val="00920F0C"/>
    <w:rsid w:val="00921341"/>
    <w:rsid w:val="00921734"/>
    <w:rsid w:val="00921D64"/>
    <w:rsid w:val="009248CB"/>
    <w:rsid w:val="00927758"/>
    <w:rsid w:val="009313F9"/>
    <w:rsid w:val="00934A6E"/>
    <w:rsid w:val="009353CE"/>
    <w:rsid w:val="00935470"/>
    <w:rsid w:val="00936E06"/>
    <w:rsid w:val="009457F1"/>
    <w:rsid w:val="00946919"/>
    <w:rsid w:val="009475F6"/>
    <w:rsid w:val="00947FB6"/>
    <w:rsid w:val="009508F9"/>
    <w:rsid w:val="00952876"/>
    <w:rsid w:val="00957407"/>
    <w:rsid w:val="009579AC"/>
    <w:rsid w:val="009603AB"/>
    <w:rsid w:val="00961633"/>
    <w:rsid w:val="0096402F"/>
    <w:rsid w:val="009652AC"/>
    <w:rsid w:val="009657A3"/>
    <w:rsid w:val="009673F4"/>
    <w:rsid w:val="00967A2C"/>
    <w:rsid w:val="00971C6E"/>
    <w:rsid w:val="009720B8"/>
    <w:rsid w:val="00973494"/>
    <w:rsid w:val="0097522F"/>
    <w:rsid w:val="009754B0"/>
    <w:rsid w:val="00975621"/>
    <w:rsid w:val="00976675"/>
    <w:rsid w:val="00977767"/>
    <w:rsid w:val="0098059B"/>
    <w:rsid w:val="00980899"/>
    <w:rsid w:val="00981CB1"/>
    <w:rsid w:val="00982141"/>
    <w:rsid w:val="00984F98"/>
    <w:rsid w:val="0099212F"/>
    <w:rsid w:val="00992C90"/>
    <w:rsid w:val="009953F0"/>
    <w:rsid w:val="00995906"/>
    <w:rsid w:val="0099659C"/>
    <w:rsid w:val="00996615"/>
    <w:rsid w:val="00996ABB"/>
    <w:rsid w:val="0099716F"/>
    <w:rsid w:val="00997FAB"/>
    <w:rsid w:val="009A14D0"/>
    <w:rsid w:val="009A194A"/>
    <w:rsid w:val="009A3C9B"/>
    <w:rsid w:val="009A3FBD"/>
    <w:rsid w:val="009A4C47"/>
    <w:rsid w:val="009A74AD"/>
    <w:rsid w:val="009B0E97"/>
    <w:rsid w:val="009B1E13"/>
    <w:rsid w:val="009B582E"/>
    <w:rsid w:val="009B6882"/>
    <w:rsid w:val="009B74D7"/>
    <w:rsid w:val="009C1186"/>
    <w:rsid w:val="009C2C33"/>
    <w:rsid w:val="009C2D2F"/>
    <w:rsid w:val="009C52CD"/>
    <w:rsid w:val="009C5BE0"/>
    <w:rsid w:val="009D098F"/>
    <w:rsid w:val="009D15BE"/>
    <w:rsid w:val="009D3087"/>
    <w:rsid w:val="009D3D4F"/>
    <w:rsid w:val="009D586C"/>
    <w:rsid w:val="009D6499"/>
    <w:rsid w:val="009D6F09"/>
    <w:rsid w:val="009D7224"/>
    <w:rsid w:val="009D7F97"/>
    <w:rsid w:val="009E0815"/>
    <w:rsid w:val="009E22EA"/>
    <w:rsid w:val="009E3561"/>
    <w:rsid w:val="009E3F5D"/>
    <w:rsid w:val="009E4652"/>
    <w:rsid w:val="009E5AA6"/>
    <w:rsid w:val="009E5DE3"/>
    <w:rsid w:val="009E7161"/>
    <w:rsid w:val="009F30AA"/>
    <w:rsid w:val="009F48C6"/>
    <w:rsid w:val="009F4AFD"/>
    <w:rsid w:val="00A00939"/>
    <w:rsid w:val="00A00C89"/>
    <w:rsid w:val="00A00CB1"/>
    <w:rsid w:val="00A00F5D"/>
    <w:rsid w:val="00A0250A"/>
    <w:rsid w:val="00A026EA"/>
    <w:rsid w:val="00A0340C"/>
    <w:rsid w:val="00A0382E"/>
    <w:rsid w:val="00A04507"/>
    <w:rsid w:val="00A0549F"/>
    <w:rsid w:val="00A05CFC"/>
    <w:rsid w:val="00A06922"/>
    <w:rsid w:val="00A06FE4"/>
    <w:rsid w:val="00A07F08"/>
    <w:rsid w:val="00A1079C"/>
    <w:rsid w:val="00A11013"/>
    <w:rsid w:val="00A17557"/>
    <w:rsid w:val="00A2152E"/>
    <w:rsid w:val="00A230BC"/>
    <w:rsid w:val="00A236E1"/>
    <w:rsid w:val="00A30BB1"/>
    <w:rsid w:val="00A32BEF"/>
    <w:rsid w:val="00A32D5B"/>
    <w:rsid w:val="00A33375"/>
    <w:rsid w:val="00A33475"/>
    <w:rsid w:val="00A336FA"/>
    <w:rsid w:val="00A33824"/>
    <w:rsid w:val="00A33835"/>
    <w:rsid w:val="00A36752"/>
    <w:rsid w:val="00A37426"/>
    <w:rsid w:val="00A4069A"/>
    <w:rsid w:val="00A42CCA"/>
    <w:rsid w:val="00A46975"/>
    <w:rsid w:val="00A47395"/>
    <w:rsid w:val="00A522C7"/>
    <w:rsid w:val="00A53274"/>
    <w:rsid w:val="00A54846"/>
    <w:rsid w:val="00A562B0"/>
    <w:rsid w:val="00A5673D"/>
    <w:rsid w:val="00A614E9"/>
    <w:rsid w:val="00A61F53"/>
    <w:rsid w:val="00A62043"/>
    <w:rsid w:val="00A62B29"/>
    <w:rsid w:val="00A65E07"/>
    <w:rsid w:val="00A6669D"/>
    <w:rsid w:val="00A6777F"/>
    <w:rsid w:val="00A70F69"/>
    <w:rsid w:val="00A71C04"/>
    <w:rsid w:val="00A764A6"/>
    <w:rsid w:val="00A80838"/>
    <w:rsid w:val="00A81382"/>
    <w:rsid w:val="00A81D85"/>
    <w:rsid w:val="00A81E59"/>
    <w:rsid w:val="00A837DF"/>
    <w:rsid w:val="00A83841"/>
    <w:rsid w:val="00A83A36"/>
    <w:rsid w:val="00A84A1E"/>
    <w:rsid w:val="00A90A27"/>
    <w:rsid w:val="00A93C25"/>
    <w:rsid w:val="00A9525C"/>
    <w:rsid w:val="00A968C0"/>
    <w:rsid w:val="00A9768F"/>
    <w:rsid w:val="00AA280E"/>
    <w:rsid w:val="00AA2852"/>
    <w:rsid w:val="00AA601A"/>
    <w:rsid w:val="00AA6F82"/>
    <w:rsid w:val="00AA75BB"/>
    <w:rsid w:val="00AA797A"/>
    <w:rsid w:val="00AB1058"/>
    <w:rsid w:val="00AB120D"/>
    <w:rsid w:val="00AB163A"/>
    <w:rsid w:val="00AB1C0D"/>
    <w:rsid w:val="00AB279B"/>
    <w:rsid w:val="00AB549C"/>
    <w:rsid w:val="00AB5C62"/>
    <w:rsid w:val="00AB645E"/>
    <w:rsid w:val="00AB6D22"/>
    <w:rsid w:val="00AB7634"/>
    <w:rsid w:val="00AC1CE6"/>
    <w:rsid w:val="00AC2D37"/>
    <w:rsid w:val="00AC75FF"/>
    <w:rsid w:val="00AD0A68"/>
    <w:rsid w:val="00AD16E2"/>
    <w:rsid w:val="00AD2337"/>
    <w:rsid w:val="00AD29E6"/>
    <w:rsid w:val="00AD2B60"/>
    <w:rsid w:val="00AD355C"/>
    <w:rsid w:val="00AD4A2C"/>
    <w:rsid w:val="00AD67A1"/>
    <w:rsid w:val="00AD6C43"/>
    <w:rsid w:val="00AD721D"/>
    <w:rsid w:val="00AD7508"/>
    <w:rsid w:val="00AD781F"/>
    <w:rsid w:val="00AD794D"/>
    <w:rsid w:val="00AE06CE"/>
    <w:rsid w:val="00AE1EB1"/>
    <w:rsid w:val="00AE3974"/>
    <w:rsid w:val="00AE5074"/>
    <w:rsid w:val="00AE50C7"/>
    <w:rsid w:val="00AE5E12"/>
    <w:rsid w:val="00AE66BC"/>
    <w:rsid w:val="00AE7F66"/>
    <w:rsid w:val="00AF287D"/>
    <w:rsid w:val="00AF2BC4"/>
    <w:rsid w:val="00AF436A"/>
    <w:rsid w:val="00AF4C30"/>
    <w:rsid w:val="00AF4D37"/>
    <w:rsid w:val="00AF59D2"/>
    <w:rsid w:val="00AF6166"/>
    <w:rsid w:val="00AF6875"/>
    <w:rsid w:val="00AF6CEF"/>
    <w:rsid w:val="00AF7A99"/>
    <w:rsid w:val="00B00011"/>
    <w:rsid w:val="00B008F1"/>
    <w:rsid w:val="00B00994"/>
    <w:rsid w:val="00B02059"/>
    <w:rsid w:val="00B02D84"/>
    <w:rsid w:val="00B0769E"/>
    <w:rsid w:val="00B101B9"/>
    <w:rsid w:val="00B10258"/>
    <w:rsid w:val="00B10EA1"/>
    <w:rsid w:val="00B129CE"/>
    <w:rsid w:val="00B144CF"/>
    <w:rsid w:val="00B16F1D"/>
    <w:rsid w:val="00B2057E"/>
    <w:rsid w:val="00B20A86"/>
    <w:rsid w:val="00B23581"/>
    <w:rsid w:val="00B237EC"/>
    <w:rsid w:val="00B23960"/>
    <w:rsid w:val="00B24743"/>
    <w:rsid w:val="00B25C24"/>
    <w:rsid w:val="00B27F22"/>
    <w:rsid w:val="00B310F7"/>
    <w:rsid w:val="00B314CA"/>
    <w:rsid w:val="00B31690"/>
    <w:rsid w:val="00B3189F"/>
    <w:rsid w:val="00B320A8"/>
    <w:rsid w:val="00B3319A"/>
    <w:rsid w:val="00B355C8"/>
    <w:rsid w:val="00B41EB9"/>
    <w:rsid w:val="00B43146"/>
    <w:rsid w:val="00B43D35"/>
    <w:rsid w:val="00B44CD0"/>
    <w:rsid w:val="00B4685A"/>
    <w:rsid w:val="00B506B4"/>
    <w:rsid w:val="00B54805"/>
    <w:rsid w:val="00B54EC1"/>
    <w:rsid w:val="00B55DD1"/>
    <w:rsid w:val="00B5698B"/>
    <w:rsid w:val="00B56ECC"/>
    <w:rsid w:val="00B57CEA"/>
    <w:rsid w:val="00B60A7F"/>
    <w:rsid w:val="00B617E2"/>
    <w:rsid w:val="00B61C74"/>
    <w:rsid w:val="00B6302C"/>
    <w:rsid w:val="00B65840"/>
    <w:rsid w:val="00B70718"/>
    <w:rsid w:val="00B70EB8"/>
    <w:rsid w:val="00B75B96"/>
    <w:rsid w:val="00B803E0"/>
    <w:rsid w:val="00B80C06"/>
    <w:rsid w:val="00B80F77"/>
    <w:rsid w:val="00B81525"/>
    <w:rsid w:val="00B83508"/>
    <w:rsid w:val="00B83517"/>
    <w:rsid w:val="00B8497C"/>
    <w:rsid w:val="00B853FC"/>
    <w:rsid w:val="00B86BFC"/>
    <w:rsid w:val="00B87B89"/>
    <w:rsid w:val="00B90F55"/>
    <w:rsid w:val="00B911AF"/>
    <w:rsid w:val="00B919E3"/>
    <w:rsid w:val="00B9203E"/>
    <w:rsid w:val="00B92762"/>
    <w:rsid w:val="00B928EC"/>
    <w:rsid w:val="00B93E08"/>
    <w:rsid w:val="00B94591"/>
    <w:rsid w:val="00B95A5F"/>
    <w:rsid w:val="00B975D8"/>
    <w:rsid w:val="00BA1812"/>
    <w:rsid w:val="00BA1922"/>
    <w:rsid w:val="00BA1AD5"/>
    <w:rsid w:val="00BA2FFD"/>
    <w:rsid w:val="00BA41C0"/>
    <w:rsid w:val="00BA491C"/>
    <w:rsid w:val="00BA4A18"/>
    <w:rsid w:val="00BA5A55"/>
    <w:rsid w:val="00BA7A80"/>
    <w:rsid w:val="00BA7BAC"/>
    <w:rsid w:val="00BB0106"/>
    <w:rsid w:val="00BB0A92"/>
    <w:rsid w:val="00BB0EC0"/>
    <w:rsid w:val="00BB1D1C"/>
    <w:rsid w:val="00BC0EA3"/>
    <w:rsid w:val="00BC1AD6"/>
    <w:rsid w:val="00BC3A94"/>
    <w:rsid w:val="00BC3FDA"/>
    <w:rsid w:val="00BC4508"/>
    <w:rsid w:val="00BC56ED"/>
    <w:rsid w:val="00BC7FF4"/>
    <w:rsid w:val="00BD4A8C"/>
    <w:rsid w:val="00BD5505"/>
    <w:rsid w:val="00BD5CCA"/>
    <w:rsid w:val="00BE0241"/>
    <w:rsid w:val="00BE3139"/>
    <w:rsid w:val="00BE36BC"/>
    <w:rsid w:val="00BE79D9"/>
    <w:rsid w:val="00BE7A46"/>
    <w:rsid w:val="00BF0E82"/>
    <w:rsid w:val="00BF163B"/>
    <w:rsid w:val="00BF1DDA"/>
    <w:rsid w:val="00BF2CED"/>
    <w:rsid w:val="00BF3ACB"/>
    <w:rsid w:val="00BF41BC"/>
    <w:rsid w:val="00BF66BD"/>
    <w:rsid w:val="00BF6B3C"/>
    <w:rsid w:val="00BF6E9C"/>
    <w:rsid w:val="00BF7681"/>
    <w:rsid w:val="00C000A7"/>
    <w:rsid w:val="00C01D9F"/>
    <w:rsid w:val="00C01E1C"/>
    <w:rsid w:val="00C0497B"/>
    <w:rsid w:val="00C04BA9"/>
    <w:rsid w:val="00C060FA"/>
    <w:rsid w:val="00C06CEC"/>
    <w:rsid w:val="00C1365D"/>
    <w:rsid w:val="00C15DF8"/>
    <w:rsid w:val="00C15F99"/>
    <w:rsid w:val="00C1706F"/>
    <w:rsid w:val="00C175F8"/>
    <w:rsid w:val="00C17842"/>
    <w:rsid w:val="00C17D16"/>
    <w:rsid w:val="00C17EF3"/>
    <w:rsid w:val="00C20B81"/>
    <w:rsid w:val="00C20E61"/>
    <w:rsid w:val="00C21664"/>
    <w:rsid w:val="00C217C5"/>
    <w:rsid w:val="00C224D5"/>
    <w:rsid w:val="00C226C6"/>
    <w:rsid w:val="00C22CE5"/>
    <w:rsid w:val="00C319F9"/>
    <w:rsid w:val="00C34391"/>
    <w:rsid w:val="00C359D0"/>
    <w:rsid w:val="00C363EC"/>
    <w:rsid w:val="00C36CC3"/>
    <w:rsid w:val="00C404A9"/>
    <w:rsid w:val="00C42CF0"/>
    <w:rsid w:val="00C44932"/>
    <w:rsid w:val="00C4775C"/>
    <w:rsid w:val="00C47D04"/>
    <w:rsid w:val="00C535F8"/>
    <w:rsid w:val="00C53F47"/>
    <w:rsid w:val="00C54D08"/>
    <w:rsid w:val="00C5511C"/>
    <w:rsid w:val="00C559B1"/>
    <w:rsid w:val="00C56815"/>
    <w:rsid w:val="00C56EA3"/>
    <w:rsid w:val="00C60A05"/>
    <w:rsid w:val="00C60A95"/>
    <w:rsid w:val="00C62573"/>
    <w:rsid w:val="00C62579"/>
    <w:rsid w:val="00C6389D"/>
    <w:rsid w:val="00C653D1"/>
    <w:rsid w:val="00C6608B"/>
    <w:rsid w:val="00C668EC"/>
    <w:rsid w:val="00C66B06"/>
    <w:rsid w:val="00C701C4"/>
    <w:rsid w:val="00C727C2"/>
    <w:rsid w:val="00C729B8"/>
    <w:rsid w:val="00C73EFB"/>
    <w:rsid w:val="00C740D6"/>
    <w:rsid w:val="00C74C1B"/>
    <w:rsid w:val="00C74C62"/>
    <w:rsid w:val="00C75D7E"/>
    <w:rsid w:val="00C764B8"/>
    <w:rsid w:val="00C76BE9"/>
    <w:rsid w:val="00C76FB2"/>
    <w:rsid w:val="00C7797B"/>
    <w:rsid w:val="00C77CA3"/>
    <w:rsid w:val="00C80F6E"/>
    <w:rsid w:val="00C815F9"/>
    <w:rsid w:val="00C81611"/>
    <w:rsid w:val="00C818D9"/>
    <w:rsid w:val="00C821E7"/>
    <w:rsid w:val="00C82552"/>
    <w:rsid w:val="00C828F8"/>
    <w:rsid w:val="00C83480"/>
    <w:rsid w:val="00C87338"/>
    <w:rsid w:val="00C9074C"/>
    <w:rsid w:val="00C916F2"/>
    <w:rsid w:val="00C946F2"/>
    <w:rsid w:val="00C96BED"/>
    <w:rsid w:val="00C97EE2"/>
    <w:rsid w:val="00CA0AE4"/>
    <w:rsid w:val="00CA1485"/>
    <w:rsid w:val="00CA2FC5"/>
    <w:rsid w:val="00CA4B01"/>
    <w:rsid w:val="00CA5D09"/>
    <w:rsid w:val="00CA707F"/>
    <w:rsid w:val="00CA7171"/>
    <w:rsid w:val="00CA7179"/>
    <w:rsid w:val="00CA7D8B"/>
    <w:rsid w:val="00CB24E9"/>
    <w:rsid w:val="00CB55F3"/>
    <w:rsid w:val="00CC0AA9"/>
    <w:rsid w:val="00CC1499"/>
    <w:rsid w:val="00CC206F"/>
    <w:rsid w:val="00CC28B3"/>
    <w:rsid w:val="00CC315D"/>
    <w:rsid w:val="00CC319F"/>
    <w:rsid w:val="00CC41D3"/>
    <w:rsid w:val="00CC63FF"/>
    <w:rsid w:val="00CD1AD3"/>
    <w:rsid w:val="00CD383F"/>
    <w:rsid w:val="00CD41F5"/>
    <w:rsid w:val="00CD5CBA"/>
    <w:rsid w:val="00CD7204"/>
    <w:rsid w:val="00CE1263"/>
    <w:rsid w:val="00CE21B7"/>
    <w:rsid w:val="00CE2992"/>
    <w:rsid w:val="00CE4D51"/>
    <w:rsid w:val="00CE5E83"/>
    <w:rsid w:val="00CE682A"/>
    <w:rsid w:val="00CE6896"/>
    <w:rsid w:val="00CE6A49"/>
    <w:rsid w:val="00CE7849"/>
    <w:rsid w:val="00CE792A"/>
    <w:rsid w:val="00CF25AA"/>
    <w:rsid w:val="00CF319B"/>
    <w:rsid w:val="00CF3E90"/>
    <w:rsid w:val="00CF464B"/>
    <w:rsid w:val="00CF4DF7"/>
    <w:rsid w:val="00CF563F"/>
    <w:rsid w:val="00CF59B7"/>
    <w:rsid w:val="00CF6378"/>
    <w:rsid w:val="00CF66F3"/>
    <w:rsid w:val="00CF6746"/>
    <w:rsid w:val="00D007AD"/>
    <w:rsid w:val="00D01141"/>
    <w:rsid w:val="00D0279B"/>
    <w:rsid w:val="00D040B9"/>
    <w:rsid w:val="00D05A54"/>
    <w:rsid w:val="00D0616A"/>
    <w:rsid w:val="00D11CA1"/>
    <w:rsid w:val="00D12715"/>
    <w:rsid w:val="00D12AF7"/>
    <w:rsid w:val="00D13706"/>
    <w:rsid w:val="00D139B2"/>
    <w:rsid w:val="00D142DB"/>
    <w:rsid w:val="00D14475"/>
    <w:rsid w:val="00D1487E"/>
    <w:rsid w:val="00D14C80"/>
    <w:rsid w:val="00D15456"/>
    <w:rsid w:val="00D166D4"/>
    <w:rsid w:val="00D217DA"/>
    <w:rsid w:val="00D2194F"/>
    <w:rsid w:val="00D21D6B"/>
    <w:rsid w:val="00D22486"/>
    <w:rsid w:val="00D239B3"/>
    <w:rsid w:val="00D24568"/>
    <w:rsid w:val="00D306B4"/>
    <w:rsid w:val="00D33512"/>
    <w:rsid w:val="00D34AC0"/>
    <w:rsid w:val="00D35D90"/>
    <w:rsid w:val="00D40489"/>
    <w:rsid w:val="00D42696"/>
    <w:rsid w:val="00D43566"/>
    <w:rsid w:val="00D52705"/>
    <w:rsid w:val="00D5364E"/>
    <w:rsid w:val="00D554A2"/>
    <w:rsid w:val="00D56A43"/>
    <w:rsid w:val="00D62E41"/>
    <w:rsid w:val="00D62E73"/>
    <w:rsid w:val="00D62F3A"/>
    <w:rsid w:val="00D62FAA"/>
    <w:rsid w:val="00D63C12"/>
    <w:rsid w:val="00D645C8"/>
    <w:rsid w:val="00D64DAC"/>
    <w:rsid w:val="00D66CFC"/>
    <w:rsid w:val="00D718F9"/>
    <w:rsid w:val="00D72451"/>
    <w:rsid w:val="00D74759"/>
    <w:rsid w:val="00D77184"/>
    <w:rsid w:val="00D80411"/>
    <w:rsid w:val="00D8350B"/>
    <w:rsid w:val="00D84279"/>
    <w:rsid w:val="00D84F2E"/>
    <w:rsid w:val="00D86839"/>
    <w:rsid w:val="00D873B7"/>
    <w:rsid w:val="00D9034D"/>
    <w:rsid w:val="00D90848"/>
    <w:rsid w:val="00D93235"/>
    <w:rsid w:val="00D94675"/>
    <w:rsid w:val="00DA0449"/>
    <w:rsid w:val="00DA0EB1"/>
    <w:rsid w:val="00DA11AC"/>
    <w:rsid w:val="00DA1CCE"/>
    <w:rsid w:val="00DA211B"/>
    <w:rsid w:val="00DA3B47"/>
    <w:rsid w:val="00DA57C5"/>
    <w:rsid w:val="00DA6B2D"/>
    <w:rsid w:val="00DA7400"/>
    <w:rsid w:val="00DB08C0"/>
    <w:rsid w:val="00DB1993"/>
    <w:rsid w:val="00DB21E7"/>
    <w:rsid w:val="00DB321B"/>
    <w:rsid w:val="00DB3AAA"/>
    <w:rsid w:val="00DB4A3D"/>
    <w:rsid w:val="00DB4F90"/>
    <w:rsid w:val="00DB53FA"/>
    <w:rsid w:val="00DB57B0"/>
    <w:rsid w:val="00DB7A38"/>
    <w:rsid w:val="00DC2A41"/>
    <w:rsid w:val="00DC4455"/>
    <w:rsid w:val="00DC649C"/>
    <w:rsid w:val="00DC71E6"/>
    <w:rsid w:val="00DD00B3"/>
    <w:rsid w:val="00DD1C7B"/>
    <w:rsid w:val="00DD2359"/>
    <w:rsid w:val="00DD29A8"/>
    <w:rsid w:val="00DD4202"/>
    <w:rsid w:val="00DD6CD1"/>
    <w:rsid w:val="00DD7878"/>
    <w:rsid w:val="00DD7E07"/>
    <w:rsid w:val="00DE0A90"/>
    <w:rsid w:val="00DE1A9D"/>
    <w:rsid w:val="00DE375B"/>
    <w:rsid w:val="00DE4481"/>
    <w:rsid w:val="00DE611A"/>
    <w:rsid w:val="00DE7F27"/>
    <w:rsid w:val="00DF0EA2"/>
    <w:rsid w:val="00DF367C"/>
    <w:rsid w:val="00DF4F15"/>
    <w:rsid w:val="00DF5156"/>
    <w:rsid w:val="00DF591E"/>
    <w:rsid w:val="00DF5BE8"/>
    <w:rsid w:val="00DF5CAB"/>
    <w:rsid w:val="00DF6200"/>
    <w:rsid w:val="00DF65A7"/>
    <w:rsid w:val="00DF6665"/>
    <w:rsid w:val="00E00244"/>
    <w:rsid w:val="00E01C80"/>
    <w:rsid w:val="00E02D00"/>
    <w:rsid w:val="00E047DD"/>
    <w:rsid w:val="00E05877"/>
    <w:rsid w:val="00E109E0"/>
    <w:rsid w:val="00E12560"/>
    <w:rsid w:val="00E1362A"/>
    <w:rsid w:val="00E143E0"/>
    <w:rsid w:val="00E1529E"/>
    <w:rsid w:val="00E15984"/>
    <w:rsid w:val="00E15DCF"/>
    <w:rsid w:val="00E22B84"/>
    <w:rsid w:val="00E240C3"/>
    <w:rsid w:val="00E24F55"/>
    <w:rsid w:val="00E26485"/>
    <w:rsid w:val="00E26C61"/>
    <w:rsid w:val="00E3023A"/>
    <w:rsid w:val="00E30292"/>
    <w:rsid w:val="00E3138E"/>
    <w:rsid w:val="00E3682F"/>
    <w:rsid w:val="00E36832"/>
    <w:rsid w:val="00E37508"/>
    <w:rsid w:val="00E410BC"/>
    <w:rsid w:val="00E4282D"/>
    <w:rsid w:val="00E46903"/>
    <w:rsid w:val="00E50C35"/>
    <w:rsid w:val="00E518F6"/>
    <w:rsid w:val="00E5199A"/>
    <w:rsid w:val="00E544EB"/>
    <w:rsid w:val="00E56368"/>
    <w:rsid w:val="00E56477"/>
    <w:rsid w:val="00E566B9"/>
    <w:rsid w:val="00E56F95"/>
    <w:rsid w:val="00E57995"/>
    <w:rsid w:val="00E61796"/>
    <w:rsid w:val="00E61806"/>
    <w:rsid w:val="00E61AF6"/>
    <w:rsid w:val="00E6239C"/>
    <w:rsid w:val="00E62B37"/>
    <w:rsid w:val="00E6327A"/>
    <w:rsid w:val="00E658F1"/>
    <w:rsid w:val="00E65C08"/>
    <w:rsid w:val="00E677A2"/>
    <w:rsid w:val="00E713E5"/>
    <w:rsid w:val="00E72E39"/>
    <w:rsid w:val="00E73193"/>
    <w:rsid w:val="00E75DCE"/>
    <w:rsid w:val="00E75F29"/>
    <w:rsid w:val="00E7602D"/>
    <w:rsid w:val="00E82114"/>
    <w:rsid w:val="00E83A45"/>
    <w:rsid w:val="00E84E67"/>
    <w:rsid w:val="00E852E1"/>
    <w:rsid w:val="00E86EC6"/>
    <w:rsid w:val="00E90C39"/>
    <w:rsid w:val="00E91E58"/>
    <w:rsid w:val="00E9395C"/>
    <w:rsid w:val="00E95D1F"/>
    <w:rsid w:val="00E96AFF"/>
    <w:rsid w:val="00EA16DA"/>
    <w:rsid w:val="00EA1850"/>
    <w:rsid w:val="00EA4EE6"/>
    <w:rsid w:val="00EA5B4B"/>
    <w:rsid w:val="00EA6799"/>
    <w:rsid w:val="00EA685A"/>
    <w:rsid w:val="00EA7339"/>
    <w:rsid w:val="00EA7BFB"/>
    <w:rsid w:val="00EB0BB8"/>
    <w:rsid w:val="00EB0F46"/>
    <w:rsid w:val="00EB14BE"/>
    <w:rsid w:val="00EB1D8C"/>
    <w:rsid w:val="00EB4DE9"/>
    <w:rsid w:val="00EC2E32"/>
    <w:rsid w:val="00EC3815"/>
    <w:rsid w:val="00EC44FB"/>
    <w:rsid w:val="00EC4CD3"/>
    <w:rsid w:val="00EC6E82"/>
    <w:rsid w:val="00EC7952"/>
    <w:rsid w:val="00ED1885"/>
    <w:rsid w:val="00ED4CEB"/>
    <w:rsid w:val="00ED6388"/>
    <w:rsid w:val="00ED688E"/>
    <w:rsid w:val="00ED6BBD"/>
    <w:rsid w:val="00ED76EC"/>
    <w:rsid w:val="00EE244E"/>
    <w:rsid w:val="00EE48BE"/>
    <w:rsid w:val="00EE726C"/>
    <w:rsid w:val="00EE7A45"/>
    <w:rsid w:val="00EF07E1"/>
    <w:rsid w:val="00EF0899"/>
    <w:rsid w:val="00EF7FE3"/>
    <w:rsid w:val="00F00830"/>
    <w:rsid w:val="00F035F6"/>
    <w:rsid w:val="00F03ACC"/>
    <w:rsid w:val="00F0414D"/>
    <w:rsid w:val="00F04399"/>
    <w:rsid w:val="00F11C14"/>
    <w:rsid w:val="00F12584"/>
    <w:rsid w:val="00F133CF"/>
    <w:rsid w:val="00F16014"/>
    <w:rsid w:val="00F163AE"/>
    <w:rsid w:val="00F2201C"/>
    <w:rsid w:val="00F22BEA"/>
    <w:rsid w:val="00F25A0F"/>
    <w:rsid w:val="00F266E6"/>
    <w:rsid w:val="00F271DC"/>
    <w:rsid w:val="00F27B3C"/>
    <w:rsid w:val="00F307B8"/>
    <w:rsid w:val="00F313F5"/>
    <w:rsid w:val="00F326D5"/>
    <w:rsid w:val="00F33AAF"/>
    <w:rsid w:val="00F34199"/>
    <w:rsid w:val="00F34914"/>
    <w:rsid w:val="00F36538"/>
    <w:rsid w:val="00F368EE"/>
    <w:rsid w:val="00F37F43"/>
    <w:rsid w:val="00F4087C"/>
    <w:rsid w:val="00F438EA"/>
    <w:rsid w:val="00F46215"/>
    <w:rsid w:val="00F467EE"/>
    <w:rsid w:val="00F473D5"/>
    <w:rsid w:val="00F476CA"/>
    <w:rsid w:val="00F47991"/>
    <w:rsid w:val="00F50423"/>
    <w:rsid w:val="00F52CD1"/>
    <w:rsid w:val="00F53BC8"/>
    <w:rsid w:val="00F53C82"/>
    <w:rsid w:val="00F5512A"/>
    <w:rsid w:val="00F57AB4"/>
    <w:rsid w:val="00F61EDC"/>
    <w:rsid w:val="00F6335B"/>
    <w:rsid w:val="00F63E8D"/>
    <w:rsid w:val="00F656B9"/>
    <w:rsid w:val="00F66AEB"/>
    <w:rsid w:val="00F66D27"/>
    <w:rsid w:val="00F70AF1"/>
    <w:rsid w:val="00F773E7"/>
    <w:rsid w:val="00F77A3E"/>
    <w:rsid w:val="00F810C5"/>
    <w:rsid w:val="00F84D7F"/>
    <w:rsid w:val="00F87230"/>
    <w:rsid w:val="00F913FF"/>
    <w:rsid w:val="00F9470D"/>
    <w:rsid w:val="00F94D52"/>
    <w:rsid w:val="00F952D2"/>
    <w:rsid w:val="00FA1106"/>
    <w:rsid w:val="00FA2123"/>
    <w:rsid w:val="00FA31C3"/>
    <w:rsid w:val="00FA49FF"/>
    <w:rsid w:val="00FA6804"/>
    <w:rsid w:val="00FA686F"/>
    <w:rsid w:val="00FAA3ED"/>
    <w:rsid w:val="00FB0100"/>
    <w:rsid w:val="00FB1898"/>
    <w:rsid w:val="00FB1B18"/>
    <w:rsid w:val="00FB24EE"/>
    <w:rsid w:val="00FB2705"/>
    <w:rsid w:val="00FB54E0"/>
    <w:rsid w:val="00FB5F51"/>
    <w:rsid w:val="00FB6118"/>
    <w:rsid w:val="00FB644A"/>
    <w:rsid w:val="00FB6521"/>
    <w:rsid w:val="00FB7046"/>
    <w:rsid w:val="00FC318C"/>
    <w:rsid w:val="00FC355E"/>
    <w:rsid w:val="00FC7A55"/>
    <w:rsid w:val="00FC9C2B"/>
    <w:rsid w:val="00FD0395"/>
    <w:rsid w:val="00FD34A5"/>
    <w:rsid w:val="00FD73E6"/>
    <w:rsid w:val="00FD77D5"/>
    <w:rsid w:val="00FE3485"/>
    <w:rsid w:val="00FE3CC6"/>
    <w:rsid w:val="00FE48D6"/>
    <w:rsid w:val="00FF0217"/>
    <w:rsid w:val="00FF034C"/>
    <w:rsid w:val="00FF1AD1"/>
    <w:rsid w:val="00FF3D00"/>
    <w:rsid w:val="00FF64F5"/>
    <w:rsid w:val="00FF6614"/>
    <w:rsid w:val="00FF719B"/>
    <w:rsid w:val="00FF7F6B"/>
    <w:rsid w:val="01031925"/>
    <w:rsid w:val="011706E9"/>
    <w:rsid w:val="01304192"/>
    <w:rsid w:val="0142E8C2"/>
    <w:rsid w:val="01483091"/>
    <w:rsid w:val="0154566A"/>
    <w:rsid w:val="0172FB1A"/>
    <w:rsid w:val="01D64351"/>
    <w:rsid w:val="01E33C76"/>
    <w:rsid w:val="01F765CE"/>
    <w:rsid w:val="01F7B52C"/>
    <w:rsid w:val="02239FDE"/>
    <w:rsid w:val="025D40EF"/>
    <w:rsid w:val="0263E6E2"/>
    <w:rsid w:val="02668A23"/>
    <w:rsid w:val="02A7295F"/>
    <w:rsid w:val="02C0537B"/>
    <w:rsid w:val="02C1F16F"/>
    <w:rsid w:val="02CA9DE6"/>
    <w:rsid w:val="02CD7E4C"/>
    <w:rsid w:val="03224F4C"/>
    <w:rsid w:val="032F1342"/>
    <w:rsid w:val="033247EC"/>
    <w:rsid w:val="03427036"/>
    <w:rsid w:val="034BBE82"/>
    <w:rsid w:val="0360F568"/>
    <w:rsid w:val="038454D3"/>
    <w:rsid w:val="0395671A"/>
    <w:rsid w:val="03979CC1"/>
    <w:rsid w:val="03B1793C"/>
    <w:rsid w:val="03BDE5C4"/>
    <w:rsid w:val="0404FEA6"/>
    <w:rsid w:val="0419BC79"/>
    <w:rsid w:val="0419D7D0"/>
    <w:rsid w:val="041C5FA0"/>
    <w:rsid w:val="043086F6"/>
    <w:rsid w:val="043A8AC3"/>
    <w:rsid w:val="0444F393"/>
    <w:rsid w:val="0446BB20"/>
    <w:rsid w:val="0453DA5E"/>
    <w:rsid w:val="045A2A79"/>
    <w:rsid w:val="0470CBF9"/>
    <w:rsid w:val="0480CF07"/>
    <w:rsid w:val="0483F635"/>
    <w:rsid w:val="04990EB6"/>
    <w:rsid w:val="04A1237A"/>
    <w:rsid w:val="04B139F9"/>
    <w:rsid w:val="04D51891"/>
    <w:rsid w:val="04D52A1B"/>
    <w:rsid w:val="04F6499B"/>
    <w:rsid w:val="04FA063F"/>
    <w:rsid w:val="04FDA585"/>
    <w:rsid w:val="052168FD"/>
    <w:rsid w:val="05254056"/>
    <w:rsid w:val="054A242E"/>
    <w:rsid w:val="055708E7"/>
    <w:rsid w:val="055FF192"/>
    <w:rsid w:val="05838E7B"/>
    <w:rsid w:val="05950448"/>
    <w:rsid w:val="059B9B2F"/>
    <w:rsid w:val="05AC060B"/>
    <w:rsid w:val="05B4A42C"/>
    <w:rsid w:val="05E74FB9"/>
    <w:rsid w:val="05FD5505"/>
    <w:rsid w:val="060CB900"/>
    <w:rsid w:val="060EFDFB"/>
    <w:rsid w:val="061032C7"/>
    <w:rsid w:val="06212881"/>
    <w:rsid w:val="0624274C"/>
    <w:rsid w:val="0644D78D"/>
    <w:rsid w:val="06507D0C"/>
    <w:rsid w:val="066B8F8C"/>
    <w:rsid w:val="067C524B"/>
    <w:rsid w:val="068B7D6A"/>
    <w:rsid w:val="06AE8E3D"/>
    <w:rsid w:val="06BF5001"/>
    <w:rsid w:val="06D06EA0"/>
    <w:rsid w:val="06D2AE33"/>
    <w:rsid w:val="06D8F076"/>
    <w:rsid w:val="06FD054E"/>
    <w:rsid w:val="0702B359"/>
    <w:rsid w:val="070620C9"/>
    <w:rsid w:val="071F9F3B"/>
    <w:rsid w:val="0754E15C"/>
    <w:rsid w:val="076899F4"/>
    <w:rsid w:val="076D3F70"/>
    <w:rsid w:val="076DE934"/>
    <w:rsid w:val="07AC6FB5"/>
    <w:rsid w:val="07B9E4FB"/>
    <w:rsid w:val="07D601B5"/>
    <w:rsid w:val="0802E519"/>
    <w:rsid w:val="0820D0D1"/>
    <w:rsid w:val="08427A14"/>
    <w:rsid w:val="085F2FE2"/>
    <w:rsid w:val="0864A17F"/>
    <w:rsid w:val="087F353A"/>
    <w:rsid w:val="08B04246"/>
    <w:rsid w:val="08BE40B5"/>
    <w:rsid w:val="08CBE5E3"/>
    <w:rsid w:val="08D121A1"/>
    <w:rsid w:val="08D5909C"/>
    <w:rsid w:val="08DF2788"/>
    <w:rsid w:val="08F3355A"/>
    <w:rsid w:val="090FAEDD"/>
    <w:rsid w:val="091FC39D"/>
    <w:rsid w:val="0984D716"/>
    <w:rsid w:val="098A9F69"/>
    <w:rsid w:val="09910476"/>
    <w:rsid w:val="0995E5F3"/>
    <w:rsid w:val="099B8E4C"/>
    <w:rsid w:val="099DDA64"/>
    <w:rsid w:val="09B11221"/>
    <w:rsid w:val="09BE467B"/>
    <w:rsid w:val="09C62451"/>
    <w:rsid w:val="09EC4A8A"/>
    <w:rsid w:val="0A03905F"/>
    <w:rsid w:val="0A0BBB4B"/>
    <w:rsid w:val="0A28EF4C"/>
    <w:rsid w:val="0A306365"/>
    <w:rsid w:val="0A4AF77A"/>
    <w:rsid w:val="0A5053B5"/>
    <w:rsid w:val="0A60A7F9"/>
    <w:rsid w:val="0A65268E"/>
    <w:rsid w:val="0A7A3B62"/>
    <w:rsid w:val="0A8DDEB1"/>
    <w:rsid w:val="0A92F732"/>
    <w:rsid w:val="0A9DD066"/>
    <w:rsid w:val="0AA10ADB"/>
    <w:rsid w:val="0AA2FA40"/>
    <w:rsid w:val="0AC29B1B"/>
    <w:rsid w:val="0AC82CC3"/>
    <w:rsid w:val="0ACCAE82"/>
    <w:rsid w:val="0AD902F3"/>
    <w:rsid w:val="0AE89180"/>
    <w:rsid w:val="0AF097B9"/>
    <w:rsid w:val="0AF52A45"/>
    <w:rsid w:val="0B0BA362"/>
    <w:rsid w:val="0B1BFEA7"/>
    <w:rsid w:val="0B27F115"/>
    <w:rsid w:val="0B3255B2"/>
    <w:rsid w:val="0B490DDB"/>
    <w:rsid w:val="0B519D47"/>
    <w:rsid w:val="0B6B8EF2"/>
    <w:rsid w:val="0B853F41"/>
    <w:rsid w:val="0B8C03B3"/>
    <w:rsid w:val="0B8F56DB"/>
    <w:rsid w:val="0B970AC1"/>
    <w:rsid w:val="0B99F7D2"/>
    <w:rsid w:val="0BA704C4"/>
    <w:rsid w:val="0BAD861B"/>
    <w:rsid w:val="0BC75AF6"/>
    <w:rsid w:val="0BE4D876"/>
    <w:rsid w:val="0BE65810"/>
    <w:rsid w:val="0BE78C72"/>
    <w:rsid w:val="0BEB8C9E"/>
    <w:rsid w:val="0C0CCD3D"/>
    <w:rsid w:val="0C1107C8"/>
    <w:rsid w:val="0C30F2A2"/>
    <w:rsid w:val="0C650920"/>
    <w:rsid w:val="0C69A76E"/>
    <w:rsid w:val="0C6B637C"/>
    <w:rsid w:val="0C70AD85"/>
    <w:rsid w:val="0C88AC6C"/>
    <w:rsid w:val="0C963EC8"/>
    <w:rsid w:val="0C988088"/>
    <w:rsid w:val="0C9A6DA8"/>
    <w:rsid w:val="0CA32463"/>
    <w:rsid w:val="0CBD4FE3"/>
    <w:rsid w:val="0CECA35F"/>
    <w:rsid w:val="0CF5979C"/>
    <w:rsid w:val="0D0D5E38"/>
    <w:rsid w:val="0D0F1159"/>
    <w:rsid w:val="0D1DEE50"/>
    <w:rsid w:val="0D284C02"/>
    <w:rsid w:val="0D679A28"/>
    <w:rsid w:val="0D79E28D"/>
    <w:rsid w:val="0D9B79FB"/>
    <w:rsid w:val="0D9F9D48"/>
    <w:rsid w:val="0DB38183"/>
    <w:rsid w:val="0DBEAF5A"/>
    <w:rsid w:val="0DC26E57"/>
    <w:rsid w:val="0DC641D6"/>
    <w:rsid w:val="0DD2EA21"/>
    <w:rsid w:val="0DD8E559"/>
    <w:rsid w:val="0DE9DD9B"/>
    <w:rsid w:val="0DEB59B8"/>
    <w:rsid w:val="0DED7705"/>
    <w:rsid w:val="0E248D1C"/>
    <w:rsid w:val="0E326478"/>
    <w:rsid w:val="0E36F3E6"/>
    <w:rsid w:val="0E56EE4A"/>
    <w:rsid w:val="0E8A9ECF"/>
    <w:rsid w:val="0E9A6758"/>
    <w:rsid w:val="0EC0FCC3"/>
    <w:rsid w:val="0EC83BEF"/>
    <w:rsid w:val="0EDA30FF"/>
    <w:rsid w:val="0EDB19B1"/>
    <w:rsid w:val="0EDEB0A4"/>
    <w:rsid w:val="0EE011DF"/>
    <w:rsid w:val="0EF419D5"/>
    <w:rsid w:val="0F0EE7A9"/>
    <w:rsid w:val="0F1B119B"/>
    <w:rsid w:val="0F73CE5B"/>
    <w:rsid w:val="0F774CC7"/>
    <w:rsid w:val="0F86AF33"/>
    <w:rsid w:val="0F877D3D"/>
    <w:rsid w:val="0FBA3C3B"/>
    <w:rsid w:val="0FD3D4D2"/>
    <w:rsid w:val="0FDAA532"/>
    <w:rsid w:val="0FE92A47"/>
    <w:rsid w:val="101328D4"/>
    <w:rsid w:val="1035FD4D"/>
    <w:rsid w:val="103CACCD"/>
    <w:rsid w:val="105B8C0E"/>
    <w:rsid w:val="1066FCBA"/>
    <w:rsid w:val="106951C1"/>
    <w:rsid w:val="1071ED28"/>
    <w:rsid w:val="10917335"/>
    <w:rsid w:val="109176F6"/>
    <w:rsid w:val="109B6A7C"/>
    <w:rsid w:val="10E9183F"/>
    <w:rsid w:val="10EE7947"/>
    <w:rsid w:val="110ABCB9"/>
    <w:rsid w:val="110CC775"/>
    <w:rsid w:val="11129021"/>
    <w:rsid w:val="1116A553"/>
    <w:rsid w:val="11438D37"/>
    <w:rsid w:val="114D2449"/>
    <w:rsid w:val="11564A8B"/>
    <w:rsid w:val="116A4F49"/>
    <w:rsid w:val="117EB581"/>
    <w:rsid w:val="11948359"/>
    <w:rsid w:val="11A7B66E"/>
    <w:rsid w:val="11C0D0BA"/>
    <w:rsid w:val="11D59FAC"/>
    <w:rsid w:val="11D89AF9"/>
    <w:rsid w:val="11D9FD54"/>
    <w:rsid w:val="11DA4396"/>
    <w:rsid w:val="11E77B01"/>
    <w:rsid w:val="11E81090"/>
    <w:rsid w:val="11E8573F"/>
    <w:rsid w:val="11F69DB9"/>
    <w:rsid w:val="11FA634A"/>
    <w:rsid w:val="121FA848"/>
    <w:rsid w:val="122107D8"/>
    <w:rsid w:val="12375257"/>
    <w:rsid w:val="123F2CCE"/>
    <w:rsid w:val="124E9F03"/>
    <w:rsid w:val="12821857"/>
    <w:rsid w:val="12922B15"/>
    <w:rsid w:val="12A43035"/>
    <w:rsid w:val="12F9289D"/>
    <w:rsid w:val="131AD692"/>
    <w:rsid w:val="1324D8E3"/>
    <w:rsid w:val="136B277C"/>
    <w:rsid w:val="139B1082"/>
    <w:rsid w:val="13A008B0"/>
    <w:rsid w:val="13A4EE92"/>
    <w:rsid w:val="13CA546A"/>
    <w:rsid w:val="13CF6412"/>
    <w:rsid w:val="13D46519"/>
    <w:rsid w:val="13D47DCC"/>
    <w:rsid w:val="13D6B8B8"/>
    <w:rsid w:val="13DBA109"/>
    <w:rsid w:val="13DBD0AB"/>
    <w:rsid w:val="13DBF4E3"/>
    <w:rsid w:val="13E2FCC9"/>
    <w:rsid w:val="13F73790"/>
    <w:rsid w:val="13F8503C"/>
    <w:rsid w:val="13F880DC"/>
    <w:rsid w:val="14219417"/>
    <w:rsid w:val="1423B10B"/>
    <w:rsid w:val="142E19DB"/>
    <w:rsid w:val="1489932D"/>
    <w:rsid w:val="1496857B"/>
    <w:rsid w:val="14A3C53E"/>
    <w:rsid w:val="14CB1390"/>
    <w:rsid w:val="14E76061"/>
    <w:rsid w:val="1503579C"/>
    <w:rsid w:val="15078F55"/>
    <w:rsid w:val="15218C1E"/>
    <w:rsid w:val="1579DF94"/>
    <w:rsid w:val="157FD6DE"/>
    <w:rsid w:val="1581521F"/>
    <w:rsid w:val="15839287"/>
    <w:rsid w:val="15B0A475"/>
    <w:rsid w:val="15EF0EA4"/>
    <w:rsid w:val="15F3B00D"/>
    <w:rsid w:val="15F7805B"/>
    <w:rsid w:val="160E5EA5"/>
    <w:rsid w:val="16181112"/>
    <w:rsid w:val="1619CDA6"/>
    <w:rsid w:val="162AEA9E"/>
    <w:rsid w:val="163E57E4"/>
    <w:rsid w:val="16528B4B"/>
    <w:rsid w:val="16593A07"/>
    <w:rsid w:val="165A6504"/>
    <w:rsid w:val="1671F637"/>
    <w:rsid w:val="16803670"/>
    <w:rsid w:val="16880C4A"/>
    <w:rsid w:val="16982017"/>
    <w:rsid w:val="16C1EF80"/>
    <w:rsid w:val="1707D7F6"/>
    <w:rsid w:val="170E267C"/>
    <w:rsid w:val="1766D444"/>
    <w:rsid w:val="1783EE99"/>
    <w:rsid w:val="178C0819"/>
    <w:rsid w:val="17A4303D"/>
    <w:rsid w:val="17A83547"/>
    <w:rsid w:val="17C807CE"/>
    <w:rsid w:val="17D6C75B"/>
    <w:rsid w:val="17EFBBEC"/>
    <w:rsid w:val="17F3DB78"/>
    <w:rsid w:val="1817EF55"/>
    <w:rsid w:val="182D767B"/>
    <w:rsid w:val="187178B9"/>
    <w:rsid w:val="189C8FB2"/>
    <w:rsid w:val="189D27B0"/>
    <w:rsid w:val="18A98286"/>
    <w:rsid w:val="18B50D50"/>
    <w:rsid w:val="18C76225"/>
    <w:rsid w:val="18CEF622"/>
    <w:rsid w:val="18E86C75"/>
    <w:rsid w:val="1901F0CA"/>
    <w:rsid w:val="19198590"/>
    <w:rsid w:val="19264027"/>
    <w:rsid w:val="192CF44F"/>
    <w:rsid w:val="19347DC8"/>
    <w:rsid w:val="193D480D"/>
    <w:rsid w:val="194DF98E"/>
    <w:rsid w:val="1994D02B"/>
    <w:rsid w:val="19CC5557"/>
    <w:rsid w:val="1A05676D"/>
    <w:rsid w:val="1A1485F2"/>
    <w:rsid w:val="1A1C3FAC"/>
    <w:rsid w:val="1A1F19AD"/>
    <w:rsid w:val="1A2E340D"/>
    <w:rsid w:val="1A33B369"/>
    <w:rsid w:val="1A3BBA12"/>
    <w:rsid w:val="1A4781D0"/>
    <w:rsid w:val="1A74DAEE"/>
    <w:rsid w:val="1A9CAE0C"/>
    <w:rsid w:val="1AB16450"/>
    <w:rsid w:val="1AB61C5B"/>
    <w:rsid w:val="1ABC7809"/>
    <w:rsid w:val="1AC2B3BE"/>
    <w:rsid w:val="1AC34A10"/>
    <w:rsid w:val="1AC8D9B6"/>
    <w:rsid w:val="1ADB61E2"/>
    <w:rsid w:val="1B08174A"/>
    <w:rsid w:val="1B086089"/>
    <w:rsid w:val="1B0B912A"/>
    <w:rsid w:val="1B23261A"/>
    <w:rsid w:val="1B495290"/>
    <w:rsid w:val="1B4B2B44"/>
    <w:rsid w:val="1B4D410A"/>
    <w:rsid w:val="1B6F865E"/>
    <w:rsid w:val="1B86A07C"/>
    <w:rsid w:val="1B9CE887"/>
    <w:rsid w:val="1BA41F91"/>
    <w:rsid w:val="1BAED389"/>
    <w:rsid w:val="1BAF4B77"/>
    <w:rsid w:val="1BDC098E"/>
    <w:rsid w:val="1BDE349D"/>
    <w:rsid w:val="1BE0BEA1"/>
    <w:rsid w:val="1C14CF1B"/>
    <w:rsid w:val="1C178CF5"/>
    <w:rsid w:val="1C424860"/>
    <w:rsid w:val="1C4486B6"/>
    <w:rsid w:val="1CA4AFC3"/>
    <w:rsid w:val="1CBB7355"/>
    <w:rsid w:val="1CBE34E1"/>
    <w:rsid w:val="1CBE67B2"/>
    <w:rsid w:val="1CC3C487"/>
    <w:rsid w:val="1CFA5BD9"/>
    <w:rsid w:val="1D24CF57"/>
    <w:rsid w:val="1D274BC6"/>
    <w:rsid w:val="1D2A032F"/>
    <w:rsid w:val="1D428A40"/>
    <w:rsid w:val="1D9A3BD0"/>
    <w:rsid w:val="1DA5825A"/>
    <w:rsid w:val="1DDAF06E"/>
    <w:rsid w:val="1DE871B7"/>
    <w:rsid w:val="1DEC7308"/>
    <w:rsid w:val="1DF2DAFF"/>
    <w:rsid w:val="1DF84616"/>
    <w:rsid w:val="1DFC19C2"/>
    <w:rsid w:val="1E08A7EF"/>
    <w:rsid w:val="1E157E8D"/>
    <w:rsid w:val="1E2165AB"/>
    <w:rsid w:val="1E2437C9"/>
    <w:rsid w:val="1E3B58D2"/>
    <w:rsid w:val="1E44A71E"/>
    <w:rsid w:val="1E473EBA"/>
    <w:rsid w:val="1E957C0F"/>
    <w:rsid w:val="1EA6F485"/>
    <w:rsid w:val="1EC30679"/>
    <w:rsid w:val="1EE495B6"/>
    <w:rsid w:val="1EE5B0D9"/>
    <w:rsid w:val="1EF1BEC8"/>
    <w:rsid w:val="1F16882E"/>
    <w:rsid w:val="1F343B31"/>
    <w:rsid w:val="1F3B6654"/>
    <w:rsid w:val="1F46E261"/>
    <w:rsid w:val="1F474D48"/>
    <w:rsid w:val="1F4F2DB7"/>
    <w:rsid w:val="1F5F7346"/>
    <w:rsid w:val="1F64AB65"/>
    <w:rsid w:val="1F7DC62D"/>
    <w:rsid w:val="1F87F5F4"/>
    <w:rsid w:val="1F8D0F2B"/>
    <w:rsid w:val="1FAD85B0"/>
    <w:rsid w:val="1FB8E8E0"/>
    <w:rsid w:val="1FC6EA7B"/>
    <w:rsid w:val="1FD2267F"/>
    <w:rsid w:val="1FD47B74"/>
    <w:rsid w:val="1FDC5085"/>
    <w:rsid w:val="205764A4"/>
    <w:rsid w:val="207A9D3E"/>
    <w:rsid w:val="207E7112"/>
    <w:rsid w:val="209FE6E2"/>
    <w:rsid w:val="20C7BA60"/>
    <w:rsid w:val="20CD686B"/>
    <w:rsid w:val="20DD5673"/>
    <w:rsid w:val="20E32382"/>
    <w:rsid w:val="20EA08D0"/>
    <w:rsid w:val="20FF024D"/>
    <w:rsid w:val="2103EA5E"/>
    <w:rsid w:val="2106258A"/>
    <w:rsid w:val="2110DFBA"/>
    <w:rsid w:val="2165E290"/>
    <w:rsid w:val="21B841B9"/>
    <w:rsid w:val="21D1FAE1"/>
    <w:rsid w:val="21DA7FDF"/>
    <w:rsid w:val="21DD1547"/>
    <w:rsid w:val="21E1896E"/>
    <w:rsid w:val="21E8FCED"/>
    <w:rsid w:val="21EBCB00"/>
    <w:rsid w:val="22153215"/>
    <w:rsid w:val="2219F772"/>
    <w:rsid w:val="2224C1DB"/>
    <w:rsid w:val="222E670C"/>
    <w:rsid w:val="22389C2E"/>
    <w:rsid w:val="224C155B"/>
    <w:rsid w:val="2259A4FD"/>
    <w:rsid w:val="227F92D3"/>
    <w:rsid w:val="2283BF35"/>
    <w:rsid w:val="22872F5F"/>
    <w:rsid w:val="22A40ACF"/>
    <w:rsid w:val="22A9CC4B"/>
    <w:rsid w:val="22F3074A"/>
    <w:rsid w:val="2306AA99"/>
    <w:rsid w:val="2321D8AB"/>
    <w:rsid w:val="234C2E68"/>
    <w:rsid w:val="234E4C72"/>
    <w:rsid w:val="236624CF"/>
    <w:rsid w:val="23678C6C"/>
    <w:rsid w:val="2380CC81"/>
    <w:rsid w:val="238C2450"/>
    <w:rsid w:val="2393BFA5"/>
    <w:rsid w:val="23B17A8E"/>
    <w:rsid w:val="23C0F914"/>
    <w:rsid w:val="23F05245"/>
    <w:rsid w:val="23F3586A"/>
    <w:rsid w:val="2423F306"/>
    <w:rsid w:val="242C7709"/>
    <w:rsid w:val="242D4152"/>
    <w:rsid w:val="2431B5FF"/>
    <w:rsid w:val="2432BAB4"/>
    <w:rsid w:val="24337BE1"/>
    <w:rsid w:val="2439B8B5"/>
    <w:rsid w:val="244DB9CB"/>
    <w:rsid w:val="2452FD32"/>
    <w:rsid w:val="24576C03"/>
    <w:rsid w:val="2479D396"/>
    <w:rsid w:val="2483AF19"/>
    <w:rsid w:val="24870985"/>
    <w:rsid w:val="2494756C"/>
    <w:rsid w:val="249D3C8A"/>
    <w:rsid w:val="24A69F42"/>
    <w:rsid w:val="24AB649F"/>
    <w:rsid w:val="24ABFC17"/>
    <w:rsid w:val="25074470"/>
    <w:rsid w:val="250822B0"/>
    <w:rsid w:val="25314202"/>
    <w:rsid w:val="2542107E"/>
    <w:rsid w:val="2543BCCF"/>
    <w:rsid w:val="25635309"/>
    <w:rsid w:val="2571C46E"/>
    <w:rsid w:val="25B44A0C"/>
    <w:rsid w:val="25BDCB29"/>
    <w:rsid w:val="25DBA79E"/>
    <w:rsid w:val="25E4D488"/>
    <w:rsid w:val="2607C31F"/>
    <w:rsid w:val="26097FB3"/>
    <w:rsid w:val="260C09B7"/>
    <w:rsid w:val="261F11CD"/>
    <w:rsid w:val="26273A9C"/>
    <w:rsid w:val="262914FB"/>
    <w:rsid w:val="262E1984"/>
    <w:rsid w:val="26338ADA"/>
    <w:rsid w:val="263E5976"/>
    <w:rsid w:val="26539733"/>
    <w:rsid w:val="26570F11"/>
    <w:rsid w:val="265DEC0C"/>
    <w:rsid w:val="2662DC0B"/>
    <w:rsid w:val="2667A7D8"/>
    <w:rsid w:val="2668A01B"/>
    <w:rsid w:val="269D6DB1"/>
    <w:rsid w:val="26C6231C"/>
    <w:rsid w:val="26E584E3"/>
    <w:rsid w:val="26E84B02"/>
    <w:rsid w:val="26F48A3D"/>
    <w:rsid w:val="270BA7AF"/>
    <w:rsid w:val="270DD83E"/>
    <w:rsid w:val="27322CB3"/>
    <w:rsid w:val="2741DDC7"/>
    <w:rsid w:val="2743ECB6"/>
    <w:rsid w:val="27516AE9"/>
    <w:rsid w:val="2796B95F"/>
    <w:rsid w:val="279E0E72"/>
    <w:rsid w:val="279F8E98"/>
    <w:rsid w:val="27A61A5D"/>
    <w:rsid w:val="27B642D1"/>
    <w:rsid w:val="27E2BF1F"/>
    <w:rsid w:val="27F8DEDD"/>
    <w:rsid w:val="2834BA51"/>
    <w:rsid w:val="2871CD52"/>
    <w:rsid w:val="28727752"/>
    <w:rsid w:val="287D832D"/>
    <w:rsid w:val="288A6810"/>
    <w:rsid w:val="288B45A0"/>
    <w:rsid w:val="28A95A98"/>
    <w:rsid w:val="28BF84C4"/>
    <w:rsid w:val="28C2C749"/>
    <w:rsid w:val="28C49E7E"/>
    <w:rsid w:val="28CDFD14"/>
    <w:rsid w:val="28E738E2"/>
    <w:rsid w:val="28F944ED"/>
    <w:rsid w:val="292461AB"/>
    <w:rsid w:val="29435EF5"/>
    <w:rsid w:val="29559DD1"/>
    <w:rsid w:val="2968D519"/>
    <w:rsid w:val="296C4745"/>
    <w:rsid w:val="29ABFA82"/>
    <w:rsid w:val="29CD6C5D"/>
    <w:rsid w:val="29DBC6A4"/>
    <w:rsid w:val="2A2D645D"/>
    <w:rsid w:val="2A501F5A"/>
    <w:rsid w:val="2A5191E8"/>
    <w:rsid w:val="2A60EDA4"/>
    <w:rsid w:val="2A6A13B7"/>
    <w:rsid w:val="2A72412E"/>
    <w:rsid w:val="2A85B859"/>
    <w:rsid w:val="2A929D12"/>
    <w:rsid w:val="2A9E6747"/>
    <w:rsid w:val="2AA83779"/>
    <w:rsid w:val="2AB5A284"/>
    <w:rsid w:val="2AC03FA1"/>
    <w:rsid w:val="2ACEE606"/>
    <w:rsid w:val="2ADDCE90"/>
    <w:rsid w:val="2B220452"/>
    <w:rsid w:val="2B263B29"/>
    <w:rsid w:val="2B5B6856"/>
    <w:rsid w:val="2B947C87"/>
    <w:rsid w:val="2BA53264"/>
    <w:rsid w:val="2BB36660"/>
    <w:rsid w:val="2BB912AC"/>
    <w:rsid w:val="2BC0D9B8"/>
    <w:rsid w:val="2BC4020B"/>
    <w:rsid w:val="2BDFB04A"/>
    <w:rsid w:val="2C39BE95"/>
    <w:rsid w:val="2C3EAD50"/>
    <w:rsid w:val="2C783E2B"/>
    <w:rsid w:val="2C7D9068"/>
    <w:rsid w:val="2C7E644E"/>
    <w:rsid w:val="2CA3B334"/>
    <w:rsid w:val="2CA9B030"/>
    <w:rsid w:val="2CBDEAF7"/>
    <w:rsid w:val="2CC7E42C"/>
    <w:rsid w:val="2CE34135"/>
    <w:rsid w:val="2CF0FC50"/>
    <w:rsid w:val="2CFACF24"/>
    <w:rsid w:val="2D096B2F"/>
    <w:rsid w:val="2D16286C"/>
    <w:rsid w:val="2D203828"/>
    <w:rsid w:val="2D2E2C71"/>
    <w:rsid w:val="2D3DC919"/>
    <w:rsid w:val="2D571B98"/>
    <w:rsid w:val="2D7672C7"/>
    <w:rsid w:val="2D7DF1FC"/>
    <w:rsid w:val="2D903C39"/>
    <w:rsid w:val="2D9E6C88"/>
    <w:rsid w:val="2DBC9C67"/>
    <w:rsid w:val="2DCBAC2F"/>
    <w:rsid w:val="2DD013BC"/>
    <w:rsid w:val="2DE0A3AA"/>
    <w:rsid w:val="2DF2DBC5"/>
    <w:rsid w:val="2DF6F33C"/>
    <w:rsid w:val="2DF9152F"/>
    <w:rsid w:val="2DFD8400"/>
    <w:rsid w:val="2E22A541"/>
    <w:rsid w:val="2E24E4BC"/>
    <w:rsid w:val="2E2CD147"/>
    <w:rsid w:val="2E3A4D78"/>
    <w:rsid w:val="2E4B7A62"/>
    <w:rsid w:val="2E81C0AC"/>
    <w:rsid w:val="2EC3F514"/>
    <w:rsid w:val="2ED2FEC5"/>
    <w:rsid w:val="2EE14F73"/>
    <w:rsid w:val="2EF8DF21"/>
    <w:rsid w:val="2EFB78AB"/>
    <w:rsid w:val="2F168DB3"/>
    <w:rsid w:val="2F1730E8"/>
    <w:rsid w:val="2F3990B1"/>
    <w:rsid w:val="2F41DAF8"/>
    <w:rsid w:val="2F456DFA"/>
    <w:rsid w:val="2F5FC3F6"/>
    <w:rsid w:val="2F6F8F7C"/>
    <w:rsid w:val="2F74FF98"/>
    <w:rsid w:val="2F83AB3F"/>
    <w:rsid w:val="2FA6BB0A"/>
    <w:rsid w:val="2FAA1C76"/>
    <w:rsid w:val="2FDED4AD"/>
    <w:rsid w:val="30090FA8"/>
    <w:rsid w:val="301DD078"/>
    <w:rsid w:val="30229214"/>
    <w:rsid w:val="302A5761"/>
    <w:rsid w:val="302FDB74"/>
    <w:rsid w:val="3080EDCE"/>
    <w:rsid w:val="30B0E0A8"/>
    <w:rsid w:val="30C1485D"/>
    <w:rsid w:val="30CA080A"/>
    <w:rsid w:val="30FD86E3"/>
    <w:rsid w:val="31025E94"/>
    <w:rsid w:val="310BACE0"/>
    <w:rsid w:val="3119408B"/>
    <w:rsid w:val="313A6428"/>
    <w:rsid w:val="313F1BF5"/>
    <w:rsid w:val="31500C57"/>
    <w:rsid w:val="317BD3FE"/>
    <w:rsid w:val="317E14C3"/>
    <w:rsid w:val="318DCF4A"/>
    <w:rsid w:val="31A79879"/>
    <w:rsid w:val="31C7B0C1"/>
    <w:rsid w:val="31D3CB31"/>
    <w:rsid w:val="322022C6"/>
    <w:rsid w:val="323309E7"/>
    <w:rsid w:val="32535B33"/>
    <w:rsid w:val="3261A1D7"/>
    <w:rsid w:val="326B6FF7"/>
    <w:rsid w:val="32A21886"/>
    <w:rsid w:val="32AA61DA"/>
    <w:rsid w:val="32E367C0"/>
    <w:rsid w:val="32F61664"/>
    <w:rsid w:val="32FF8ED2"/>
    <w:rsid w:val="330868B1"/>
    <w:rsid w:val="330C7AA5"/>
    <w:rsid w:val="3329BF35"/>
    <w:rsid w:val="333109B0"/>
    <w:rsid w:val="33328D6D"/>
    <w:rsid w:val="3345897D"/>
    <w:rsid w:val="334B4B9E"/>
    <w:rsid w:val="33616EC6"/>
    <w:rsid w:val="336583F8"/>
    <w:rsid w:val="336A7C26"/>
    <w:rsid w:val="336AB5E2"/>
    <w:rsid w:val="33AF0E6E"/>
    <w:rsid w:val="33AFFFF5"/>
    <w:rsid w:val="33C2D022"/>
    <w:rsid w:val="33C4C860"/>
    <w:rsid w:val="33C6C1C3"/>
    <w:rsid w:val="341660ED"/>
    <w:rsid w:val="3425F760"/>
    <w:rsid w:val="344EF1E8"/>
    <w:rsid w:val="347C5EA9"/>
    <w:rsid w:val="348309F8"/>
    <w:rsid w:val="34833BA4"/>
    <w:rsid w:val="3493B606"/>
    <w:rsid w:val="34AA132D"/>
    <w:rsid w:val="34AFC9E7"/>
    <w:rsid w:val="34CEC731"/>
    <w:rsid w:val="34CF9C12"/>
    <w:rsid w:val="34D0D18B"/>
    <w:rsid w:val="34F640A0"/>
    <w:rsid w:val="34FA96BE"/>
    <w:rsid w:val="35084CAB"/>
    <w:rsid w:val="350A1313"/>
    <w:rsid w:val="350EF5B8"/>
    <w:rsid w:val="351E3B5C"/>
    <w:rsid w:val="353EFADF"/>
    <w:rsid w:val="356BE070"/>
    <w:rsid w:val="356F8AAA"/>
    <w:rsid w:val="35752393"/>
    <w:rsid w:val="35854BAA"/>
    <w:rsid w:val="3593BBCC"/>
    <w:rsid w:val="35A4D9D3"/>
    <w:rsid w:val="35B5B089"/>
    <w:rsid w:val="35B83FB9"/>
    <w:rsid w:val="35C89DFB"/>
    <w:rsid w:val="35CCAD51"/>
    <w:rsid w:val="35D23164"/>
    <w:rsid w:val="35E4A5C3"/>
    <w:rsid w:val="35ED010C"/>
    <w:rsid w:val="35F1A9DC"/>
    <w:rsid w:val="3604530E"/>
    <w:rsid w:val="361674BB"/>
    <w:rsid w:val="3627AB5F"/>
    <w:rsid w:val="364B9199"/>
    <w:rsid w:val="365B2323"/>
    <w:rsid w:val="365F58EE"/>
    <w:rsid w:val="36633811"/>
    <w:rsid w:val="36675741"/>
    <w:rsid w:val="366B9EEE"/>
    <w:rsid w:val="366F17D2"/>
    <w:rsid w:val="36A14446"/>
    <w:rsid w:val="36ADDBE2"/>
    <w:rsid w:val="36B0717D"/>
    <w:rsid w:val="36D3786E"/>
    <w:rsid w:val="36EA953E"/>
    <w:rsid w:val="371AA937"/>
    <w:rsid w:val="3724A147"/>
    <w:rsid w:val="37271298"/>
    <w:rsid w:val="373006D5"/>
    <w:rsid w:val="374C8F21"/>
    <w:rsid w:val="3759BE25"/>
    <w:rsid w:val="376F8C83"/>
    <w:rsid w:val="378830D9"/>
    <w:rsid w:val="3788A815"/>
    <w:rsid w:val="37977372"/>
    <w:rsid w:val="379D5D27"/>
    <w:rsid w:val="37B96A5B"/>
    <w:rsid w:val="37BA1183"/>
    <w:rsid w:val="37BB232E"/>
    <w:rsid w:val="37C31015"/>
    <w:rsid w:val="37D77233"/>
    <w:rsid w:val="37DE339C"/>
    <w:rsid w:val="37F730ED"/>
    <w:rsid w:val="37F73C0B"/>
    <w:rsid w:val="37FE76AC"/>
    <w:rsid w:val="38030EEF"/>
    <w:rsid w:val="380F1EC7"/>
    <w:rsid w:val="382851BC"/>
    <w:rsid w:val="3831281A"/>
    <w:rsid w:val="383AF972"/>
    <w:rsid w:val="3843E1E1"/>
    <w:rsid w:val="385090CC"/>
    <w:rsid w:val="386A943F"/>
    <w:rsid w:val="3878538B"/>
    <w:rsid w:val="388C1F3D"/>
    <w:rsid w:val="389E7412"/>
    <w:rsid w:val="389EF6E2"/>
    <w:rsid w:val="38C1E6DA"/>
    <w:rsid w:val="38DD6343"/>
    <w:rsid w:val="38DF492E"/>
    <w:rsid w:val="38E1CCD2"/>
    <w:rsid w:val="38EEFF56"/>
    <w:rsid w:val="38F6D0E7"/>
    <w:rsid w:val="38FBC99B"/>
    <w:rsid w:val="3901CB7D"/>
    <w:rsid w:val="3909DCBE"/>
    <w:rsid w:val="391C98E0"/>
    <w:rsid w:val="3925DD58"/>
    <w:rsid w:val="392765D1"/>
    <w:rsid w:val="39373FE2"/>
    <w:rsid w:val="396233B7"/>
    <w:rsid w:val="396CF438"/>
    <w:rsid w:val="3999397F"/>
    <w:rsid w:val="399CA0FA"/>
    <w:rsid w:val="39B9403A"/>
    <w:rsid w:val="3A006F81"/>
    <w:rsid w:val="3A073F33"/>
    <w:rsid w:val="3A1183EC"/>
    <w:rsid w:val="3A27A75A"/>
    <w:rsid w:val="3A34D457"/>
    <w:rsid w:val="3A4578B1"/>
    <w:rsid w:val="3A881E30"/>
    <w:rsid w:val="3A8BBB74"/>
    <w:rsid w:val="3AAC611D"/>
    <w:rsid w:val="3AC4FC9A"/>
    <w:rsid w:val="3AD9DBF9"/>
    <w:rsid w:val="3ADFD5F8"/>
    <w:rsid w:val="3AE163DD"/>
    <w:rsid w:val="3B0393BE"/>
    <w:rsid w:val="3B2058EA"/>
    <w:rsid w:val="3B2508BB"/>
    <w:rsid w:val="3B2789BC"/>
    <w:rsid w:val="3B2A70F9"/>
    <w:rsid w:val="3B4AA17A"/>
    <w:rsid w:val="3BDCE737"/>
    <w:rsid w:val="3BE0E370"/>
    <w:rsid w:val="3BE58367"/>
    <w:rsid w:val="3BE9D985"/>
    <w:rsid w:val="3BF37D24"/>
    <w:rsid w:val="3BF682C6"/>
    <w:rsid w:val="3BFEE471"/>
    <w:rsid w:val="3C048232"/>
    <w:rsid w:val="3C2251B3"/>
    <w:rsid w:val="3C33ADE9"/>
    <w:rsid w:val="3C3B575D"/>
    <w:rsid w:val="3C3F3F00"/>
    <w:rsid w:val="3C47CBDC"/>
    <w:rsid w:val="3C4A406D"/>
    <w:rsid w:val="3C50F2EA"/>
    <w:rsid w:val="3C7B2A38"/>
    <w:rsid w:val="3C815156"/>
    <w:rsid w:val="3C942F8A"/>
    <w:rsid w:val="3CA7D4DB"/>
    <w:rsid w:val="3CAB3F24"/>
    <w:rsid w:val="3CD24859"/>
    <w:rsid w:val="3CF7D339"/>
    <w:rsid w:val="3D10DDA5"/>
    <w:rsid w:val="3D3809E5"/>
    <w:rsid w:val="3D40F38A"/>
    <w:rsid w:val="3D41B5ED"/>
    <w:rsid w:val="3D4B5E72"/>
    <w:rsid w:val="3D729286"/>
    <w:rsid w:val="3DCE7F05"/>
    <w:rsid w:val="3DF99D6C"/>
    <w:rsid w:val="3E0E558D"/>
    <w:rsid w:val="3E33241C"/>
    <w:rsid w:val="3E3EEE94"/>
    <w:rsid w:val="3E55CE17"/>
    <w:rsid w:val="3E65E617"/>
    <w:rsid w:val="3E90D4AA"/>
    <w:rsid w:val="3EB259CC"/>
    <w:rsid w:val="3EB32C36"/>
    <w:rsid w:val="3EC36AEE"/>
    <w:rsid w:val="3ECB11EF"/>
    <w:rsid w:val="3ECD8383"/>
    <w:rsid w:val="3ED2352C"/>
    <w:rsid w:val="3EE33459"/>
    <w:rsid w:val="3F0231A3"/>
    <w:rsid w:val="3F03B2EE"/>
    <w:rsid w:val="3F047565"/>
    <w:rsid w:val="3F275B4D"/>
    <w:rsid w:val="3F7FFB3D"/>
    <w:rsid w:val="3F898533"/>
    <w:rsid w:val="3F8EA65E"/>
    <w:rsid w:val="3FABE959"/>
    <w:rsid w:val="3FB6712D"/>
    <w:rsid w:val="3FBAAABE"/>
    <w:rsid w:val="3FC48DAF"/>
    <w:rsid w:val="3FDB6B73"/>
    <w:rsid w:val="3FDC7460"/>
    <w:rsid w:val="3FE02638"/>
    <w:rsid w:val="3FE9912A"/>
    <w:rsid w:val="3FEA67CA"/>
    <w:rsid w:val="3FEAD54A"/>
    <w:rsid w:val="400F8C32"/>
    <w:rsid w:val="4026EE27"/>
    <w:rsid w:val="40547889"/>
    <w:rsid w:val="406D86C8"/>
    <w:rsid w:val="4072D582"/>
    <w:rsid w:val="40846F24"/>
    <w:rsid w:val="40D33E42"/>
    <w:rsid w:val="40E56D84"/>
    <w:rsid w:val="40FA4CA5"/>
    <w:rsid w:val="41176C0D"/>
    <w:rsid w:val="417115B1"/>
    <w:rsid w:val="41834CA7"/>
    <w:rsid w:val="419E3BBA"/>
    <w:rsid w:val="41B32266"/>
    <w:rsid w:val="41BD244A"/>
    <w:rsid w:val="41F34203"/>
    <w:rsid w:val="41F95B8C"/>
    <w:rsid w:val="42199E77"/>
    <w:rsid w:val="4221BDD3"/>
    <w:rsid w:val="423197E4"/>
    <w:rsid w:val="4238D06A"/>
    <w:rsid w:val="423D87C5"/>
    <w:rsid w:val="42564339"/>
    <w:rsid w:val="425D7BBF"/>
    <w:rsid w:val="426B82CE"/>
    <w:rsid w:val="427631E0"/>
    <w:rsid w:val="427C6C6F"/>
    <w:rsid w:val="429E880E"/>
    <w:rsid w:val="42C0AFC6"/>
    <w:rsid w:val="42D6EB7A"/>
    <w:rsid w:val="42D9DA25"/>
    <w:rsid w:val="42FE27AA"/>
    <w:rsid w:val="43059920"/>
    <w:rsid w:val="4328B5DD"/>
    <w:rsid w:val="433C4079"/>
    <w:rsid w:val="434B3CD0"/>
    <w:rsid w:val="43819C0F"/>
    <w:rsid w:val="438D156A"/>
    <w:rsid w:val="4396FB2E"/>
    <w:rsid w:val="43B76FEF"/>
    <w:rsid w:val="43C34518"/>
    <w:rsid w:val="43D8C9F4"/>
    <w:rsid w:val="440CA2B2"/>
    <w:rsid w:val="44177EA0"/>
    <w:rsid w:val="44380F57"/>
    <w:rsid w:val="44401739"/>
    <w:rsid w:val="4473674A"/>
    <w:rsid w:val="4497CBD7"/>
    <w:rsid w:val="449C6837"/>
    <w:rsid w:val="44A6E934"/>
    <w:rsid w:val="44BCC987"/>
    <w:rsid w:val="44F67BEE"/>
    <w:rsid w:val="44F9C8B4"/>
    <w:rsid w:val="4504FB15"/>
    <w:rsid w:val="45262344"/>
    <w:rsid w:val="45450D1D"/>
    <w:rsid w:val="455DDB6B"/>
    <w:rsid w:val="4579590B"/>
    <w:rsid w:val="45997976"/>
    <w:rsid w:val="459AA76B"/>
    <w:rsid w:val="45C1104F"/>
    <w:rsid w:val="45FA0BB0"/>
    <w:rsid w:val="462AD90D"/>
    <w:rsid w:val="4631B76B"/>
    <w:rsid w:val="463BEE65"/>
    <w:rsid w:val="46487F36"/>
    <w:rsid w:val="4652BF80"/>
    <w:rsid w:val="46620F72"/>
    <w:rsid w:val="46802F77"/>
    <w:rsid w:val="4694B106"/>
    <w:rsid w:val="46B6568F"/>
    <w:rsid w:val="46C415DB"/>
    <w:rsid w:val="46F6011D"/>
    <w:rsid w:val="47079ABF"/>
    <w:rsid w:val="4713BBDC"/>
    <w:rsid w:val="4716FE61"/>
    <w:rsid w:val="472AD5B7"/>
    <w:rsid w:val="47406828"/>
    <w:rsid w:val="474132F7"/>
    <w:rsid w:val="479DC511"/>
    <w:rsid w:val="47A7BBA2"/>
    <w:rsid w:val="47A86C3D"/>
    <w:rsid w:val="47AA8E73"/>
    <w:rsid w:val="47B83D75"/>
    <w:rsid w:val="47CE2B5D"/>
    <w:rsid w:val="47E3E30A"/>
    <w:rsid w:val="47E672C0"/>
    <w:rsid w:val="47FFA5B5"/>
    <w:rsid w:val="48008E63"/>
    <w:rsid w:val="4806E781"/>
    <w:rsid w:val="48137042"/>
    <w:rsid w:val="48143E4C"/>
    <w:rsid w:val="48149683"/>
    <w:rsid w:val="4815A00D"/>
    <w:rsid w:val="481A4D3D"/>
    <w:rsid w:val="483A8495"/>
    <w:rsid w:val="483C4AFD"/>
    <w:rsid w:val="485FC7D7"/>
    <w:rsid w:val="48767191"/>
    <w:rsid w:val="488CE3BE"/>
    <w:rsid w:val="489E6DF3"/>
    <w:rsid w:val="48A58814"/>
    <w:rsid w:val="48BCDF71"/>
    <w:rsid w:val="48CF53D0"/>
    <w:rsid w:val="48DD802C"/>
    <w:rsid w:val="48DD9373"/>
    <w:rsid w:val="48E4260F"/>
    <w:rsid w:val="48ECFB72"/>
    <w:rsid w:val="48F97B5A"/>
    <w:rsid w:val="4900B28E"/>
    <w:rsid w:val="491BD98E"/>
    <w:rsid w:val="493ABC7C"/>
    <w:rsid w:val="4956D087"/>
    <w:rsid w:val="497EFB56"/>
    <w:rsid w:val="4991699A"/>
    <w:rsid w:val="49A2FDFA"/>
    <w:rsid w:val="49AF40A3"/>
    <w:rsid w:val="49B1B006"/>
    <w:rsid w:val="49CDBB67"/>
    <w:rsid w:val="49D60E2E"/>
    <w:rsid w:val="49E72B82"/>
    <w:rsid w:val="49ED4726"/>
    <w:rsid w:val="4A04940F"/>
    <w:rsid w:val="4A31BF50"/>
    <w:rsid w:val="4A4F9457"/>
    <w:rsid w:val="4A62093C"/>
    <w:rsid w:val="4A761EC7"/>
    <w:rsid w:val="4A78A062"/>
    <w:rsid w:val="4A864F64"/>
    <w:rsid w:val="4A9AEED2"/>
    <w:rsid w:val="4ABAD550"/>
    <w:rsid w:val="4ABDFBF8"/>
    <w:rsid w:val="4ACD90EC"/>
    <w:rsid w:val="4AD31F6D"/>
    <w:rsid w:val="4AE036F7"/>
    <w:rsid w:val="4AE0BDE7"/>
    <w:rsid w:val="4AF374E3"/>
    <w:rsid w:val="4B0C9FFE"/>
    <w:rsid w:val="4B232463"/>
    <w:rsid w:val="4B3C65E3"/>
    <w:rsid w:val="4B5EE724"/>
    <w:rsid w:val="4B62EE51"/>
    <w:rsid w:val="4B68C314"/>
    <w:rsid w:val="4B7AC834"/>
    <w:rsid w:val="4B92E015"/>
    <w:rsid w:val="4BA70085"/>
    <w:rsid w:val="4BBAD48A"/>
    <w:rsid w:val="4BCDE6C3"/>
    <w:rsid w:val="4BD8FAF1"/>
    <w:rsid w:val="4BE91F8B"/>
    <w:rsid w:val="4C0373DB"/>
    <w:rsid w:val="4C0A49D5"/>
    <w:rsid w:val="4C18FD73"/>
    <w:rsid w:val="4C28A0F2"/>
    <w:rsid w:val="4C30CAE6"/>
    <w:rsid w:val="4C471C50"/>
    <w:rsid w:val="4C72411E"/>
    <w:rsid w:val="4C954A11"/>
    <w:rsid w:val="4C976E35"/>
    <w:rsid w:val="4C9B04A2"/>
    <w:rsid w:val="4CA86D62"/>
    <w:rsid w:val="4CB9252D"/>
    <w:rsid w:val="4CBB3456"/>
    <w:rsid w:val="4CDCC9CB"/>
    <w:rsid w:val="4CEDED26"/>
    <w:rsid w:val="4CF6E3D9"/>
    <w:rsid w:val="4CFBDCA1"/>
    <w:rsid w:val="4D0608A7"/>
    <w:rsid w:val="4D1396E6"/>
    <w:rsid w:val="4D150528"/>
    <w:rsid w:val="4D1B4AAB"/>
    <w:rsid w:val="4D215B18"/>
    <w:rsid w:val="4D246923"/>
    <w:rsid w:val="4D42240C"/>
    <w:rsid w:val="4D9095F6"/>
    <w:rsid w:val="4DA61619"/>
    <w:rsid w:val="4DBA6F6F"/>
    <w:rsid w:val="4DDD5E06"/>
    <w:rsid w:val="4DF61143"/>
    <w:rsid w:val="4E0D5D7A"/>
    <w:rsid w:val="4E16E473"/>
    <w:rsid w:val="4E1A5226"/>
    <w:rsid w:val="4E31DCD5"/>
    <w:rsid w:val="4E3AF274"/>
    <w:rsid w:val="4E4D2768"/>
    <w:rsid w:val="4E8E813D"/>
    <w:rsid w:val="4E970C17"/>
    <w:rsid w:val="4EC729F0"/>
    <w:rsid w:val="4ECE2A0C"/>
    <w:rsid w:val="4ED5D30F"/>
    <w:rsid w:val="4EE42262"/>
    <w:rsid w:val="4EEC4B31"/>
    <w:rsid w:val="4F12045F"/>
    <w:rsid w:val="4F14D775"/>
    <w:rsid w:val="4F2CF65C"/>
    <w:rsid w:val="4F415B9C"/>
    <w:rsid w:val="4F47FC53"/>
    <w:rsid w:val="4F86BE8F"/>
    <w:rsid w:val="4F96CAEB"/>
    <w:rsid w:val="4F9780C8"/>
    <w:rsid w:val="4FDB2A49"/>
    <w:rsid w:val="500104A7"/>
    <w:rsid w:val="5025AC4E"/>
    <w:rsid w:val="503A28B2"/>
    <w:rsid w:val="50448F3D"/>
    <w:rsid w:val="50591588"/>
    <w:rsid w:val="505D2B40"/>
    <w:rsid w:val="5061589F"/>
    <w:rsid w:val="506DEDA3"/>
    <w:rsid w:val="506E918B"/>
    <w:rsid w:val="507CC2BC"/>
    <w:rsid w:val="50AF2DA0"/>
    <w:rsid w:val="50C8801F"/>
    <w:rsid w:val="50D2CA8A"/>
    <w:rsid w:val="50F30F4D"/>
    <w:rsid w:val="50FE6621"/>
    <w:rsid w:val="510B21DD"/>
    <w:rsid w:val="5115A9B1"/>
    <w:rsid w:val="515D4909"/>
    <w:rsid w:val="516FD786"/>
    <w:rsid w:val="519B1AB9"/>
    <w:rsid w:val="51CA9140"/>
    <w:rsid w:val="51CBE37B"/>
    <w:rsid w:val="51D49A4F"/>
    <w:rsid w:val="51EE0EA0"/>
    <w:rsid w:val="51F2C08C"/>
    <w:rsid w:val="5206080D"/>
    <w:rsid w:val="5206AA1D"/>
    <w:rsid w:val="52247714"/>
    <w:rsid w:val="5229529C"/>
    <w:rsid w:val="523D4074"/>
    <w:rsid w:val="524AD6C3"/>
    <w:rsid w:val="5251B826"/>
    <w:rsid w:val="52698EC6"/>
    <w:rsid w:val="52868B7F"/>
    <w:rsid w:val="528A4728"/>
    <w:rsid w:val="5294A51D"/>
    <w:rsid w:val="52985DCE"/>
    <w:rsid w:val="52B19877"/>
    <w:rsid w:val="52B59D5F"/>
    <w:rsid w:val="52BAC85E"/>
    <w:rsid w:val="52D30A52"/>
    <w:rsid w:val="532AE2F6"/>
    <w:rsid w:val="532AEBCF"/>
    <w:rsid w:val="533698BF"/>
    <w:rsid w:val="534276C1"/>
    <w:rsid w:val="535C33DC"/>
    <w:rsid w:val="53609776"/>
    <w:rsid w:val="5365D5BC"/>
    <w:rsid w:val="5387DDB2"/>
    <w:rsid w:val="538A931F"/>
    <w:rsid w:val="538B9B95"/>
    <w:rsid w:val="53A5C136"/>
    <w:rsid w:val="53D186EF"/>
    <w:rsid w:val="53DE2E3F"/>
    <w:rsid w:val="53E5B920"/>
    <w:rsid w:val="53F1DA67"/>
    <w:rsid w:val="5406B555"/>
    <w:rsid w:val="54298512"/>
    <w:rsid w:val="5432ABD0"/>
    <w:rsid w:val="5433A9FE"/>
    <w:rsid w:val="54390FAC"/>
    <w:rsid w:val="5468FDCA"/>
    <w:rsid w:val="54728764"/>
    <w:rsid w:val="54888E6F"/>
    <w:rsid w:val="548D7231"/>
    <w:rsid w:val="549ABDA6"/>
    <w:rsid w:val="54D53F18"/>
    <w:rsid w:val="54D97200"/>
    <w:rsid w:val="54DBF265"/>
    <w:rsid w:val="54EBF624"/>
    <w:rsid w:val="54EC0A77"/>
    <w:rsid w:val="54F19332"/>
    <w:rsid w:val="54FF0AD4"/>
    <w:rsid w:val="5522815D"/>
    <w:rsid w:val="55274E17"/>
    <w:rsid w:val="554E574C"/>
    <w:rsid w:val="555EDF00"/>
    <w:rsid w:val="556DA546"/>
    <w:rsid w:val="558823FB"/>
    <w:rsid w:val="558AB546"/>
    <w:rsid w:val="558B9300"/>
    <w:rsid w:val="5593104C"/>
    <w:rsid w:val="559B59A0"/>
    <w:rsid w:val="559CA2EC"/>
    <w:rsid w:val="55A05E68"/>
    <w:rsid w:val="55AF2815"/>
    <w:rsid w:val="55B11C05"/>
    <w:rsid w:val="55BFD349"/>
    <w:rsid w:val="55D12167"/>
    <w:rsid w:val="55D18032"/>
    <w:rsid w:val="560B05EA"/>
    <w:rsid w:val="56642AC0"/>
    <w:rsid w:val="5666BA76"/>
    <w:rsid w:val="566E0643"/>
    <w:rsid w:val="567E13BC"/>
    <w:rsid w:val="567FDA24"/>
    <w:rsid w:val="568D8801"/>
    <w:rsid w:val="56918CE9"/>
    <w:rsid w:val="56A62C57"/>
    <w:rsid w:val="56BE61B1"/>
    <w:rsid w:val="56C0D037"/>
    <w:rsid w:val="56D3BB75"/>
    <w:rsid w:val="56D7550C"/>
    <w:rsid w:val="56EAF1F6"/>
    <w:rsid w:val="572D4D16"/>
    <w:rsid w:val="573E4D68"/>
    <w:rsid w:val="57709650"/>
    <w:rsid w:val="57754AE0"/>
    <w:rsid w:val="5779C310"/>
    <w:rsid w:val="577C6134"/>
    <w:rsid w:val="57831EF1"/>
    <w:rsid w:val="5791DC07"/>
    <w:rsid w:val="57D81432"/>
    <w:rsid w:val="57F12515"/>
    <w:rsid w:val="582174B0"/>
    <w:rsid w:val="58268C68"/>
    <w:rsid w:val="5832B13F"/>
    <w:rsid w:val="584E5612"/>
    <w:rsid w:val="585CEB7D"/>
    <w:rsid w:val="585E7A58"/>
    <w:rsid w:val="5880D6A0"/>
    <w:rsid w:val="58A54608"/>
    <w:rsid w:val="58B0072D"/>
    <w:rsid w:val="58C2A566"/>
    <w:rsid w:val="58D50611"/>
    <w:rsid w:val="58F56E51"/>
    <w:rsid w:val="5936BAF9"/>
    <w:rsid w:val="595AD0A2"/>
    <w:rsid w:val="5979D7DE"/>
    <w:rsid w:val="597BE610"/>
    <w:rsid w:val="5980136F"/>
    <w:rsid w:val="598A9796"/>
    <w:rsid w:val="59ABA593"/>
    <w:rsid w:val="5A036241"/>
    <w:rsid w:val="5A13E797"/>
    <w:rsid w:val="5A2057CF"/>
    <w:rsid w:val="5A24A323"/>
    <w:rsid w:val="5A4434BE"/>
    <w:rsid w:val="5A52A39B"/>
    <w:rsid w:val="5A62CAAF"/>
    <w:rsid w:val="5A870876"/>
    <w:rsid w:val="5A942A1D"/>
    <w:rsid w:val="5A979A8A"/>
    <w:rsid w:val="5AA692AE"/>
    <w:rsid w:val="5AAEF5A8"/>
    <w:rsid w:val="5AE06E84"/>
    <w:rsid w:val="5AEC3CA4"/>
    <w:rsid w:val="5AFD0812"/>
    <w:rsid w:val="5B12E6BA"/>
    <w:rsid w:val="5B1415AA"/>
    <w:rsid w:val="5B6B89D1"/>
    <w:rsid w:val="5B74E003"/>
    <w:rsid w:val="5B84D1B8"/>
    <w:rsid w:val="5B955D73"/>
    <w:rsid w:val="5BA2EE64"/>
    <w:rsid w:val="5BEDA0DA"/>
    <w:rsid w:val="5C05714A"/>
    <w:rsid w:val="5C38F96C"/>
    <w:rsid w:val="5C5272A3"/>
    <w:rsid w:val="5C54BBAA"/>
    <w:rsid w:val="5C593E59"/>
    <w:rsid w:val="5C6CC8F5"/>
    <w:rsid w:val="5C81F543"/>
    <w:rsid w:val="5C9A5DEF"/>
    <w:rsid w:val="5CC3A00F"/>
    <w:rsid w:val="5CC3F0FE"/>
    <w:rsid w:val="5CFFBF07"/>
    <w:rsid w:val="5D15DE9A"/>
    <w:rsid w:val="5D35EB4B"/>
    <w:rsid w:val="5D9EE3CB"/>
    <w:rsid w:val="5DB39680"/>
    <w:rsid w:val="5DF50CB8"/>
    <w:rsid w:val="5DF8DECF"/>
    <w:rsid w:val="5E22C390"/>
    <w:rsid w:val="5E4C80DF"/>
    <w:rsid w:val="5E57A7DF"/>
    <w:rsid w:val="5E65BC83"/>
    <w:rsid w:val="5E71F653"/>
    <w:rsid w:val="5E7B8539"/>
    <w:rsid w:val="5E8C8CBE"/>
    <w:rsid w:val="5EA13255"/>
    <w:rsid w:val="5EC5E9C3"/>
    <w:rsid w:val="5EDBAC08"/>
    <w:rsid w:val="5EDF9E05"/>
    <w:rsid w:val="5EE5F673"/>
    <w:rsid w:val="5EF015F3"/>
    <w:rsid w:val="5EF6A1B8"/>
    <w:rsid w:val="5EF6FF74"/>
    <w:rsid w:val="5F25250F"/>
    <w:rsid w:val="5F5416BE"/>
    <w:rsid w:val="5F7A88F5"/>
    <w:rsid w:val="5FA23EA8"/>
    <w:rsid w:val="5FAFCFA1"/>
    <w:rsid w:val="5FB9BFFD"/>
    <w:rsid w:val="5FCEB6C0"/>
    <w:rsid w:val="5FD94053"/>
    <w:rsid w:val="600BCD7B"/>
    <w:rsid w:val="602D8770"/>
    <w:rsid w:val="60344BE2"/>
    <w:rsid w:val="603FFD72"/>
    <w:rsid w:val="60733B13"/>
    <w:rsid w:val="6095EC95"/>
    <w:rsid w:val="609A9175"/>
    <w:rsid w:val="609BD525"/>
    <w:rsid w:val="609CDE96"/>
    <w:rsid w:val="60A51F7E"/>
    <w:rsid w:val="60ACFEE9"/>
    <w:rsid w:val="60AF5BCE"/>
    <w:rsid w:val="60C1BFB9"/>
    <w:rsid w:val="60F53B95"/>
    <w:rsid w:val="60FF5305"/>
    <w:rsid w:val="61118CDF"/>
    <w:rsid w:val="611BC87F"/>
    <w:rsid w:val="6120AE2F"/>
    <w:rsid w:val="613E3B03"/>
    <w:rsid w:val="61525EC2"/>
    <w:rsid w:val="61527209"/>
    <w:rsid w:val="6173E12A"/>
    <w:rsid w:val="617FDB1D"/>
    <w:rsid w:val="618CE716"/>
    <w:rsid w:val="619071B5"/>
    <w:rsid w:val="619DC8D7"/>
    <w:rsid w:val="61AC6636"/>
    <w:rsid w:val="61BD7513"/>
    <w:rsid w:val="61CA1746"/>
    <w:rsid w:val="61DF7E66"/>
    <w:rsid w:val="61E86710"/>
    <w:rsid w:val="61F26706"/>
    <w:rsid w:val="6220E6F3"/>
    <w:rsid w:val="622367C7"/>
    <w:rsid w:val="62245CB6"/>
    <w:rsid w:val="6231F93A"/>
    <w:rsid w:val="62473020"/>
    <w:rsid w:val="625C025F"/>
    <w:rsid w:val="628EF42E"/>
    <w:rsid w:val="629E6998"/>
    <w:rsid w:val="62BEF024"/>
    <w:rsid w:val="62C5F027"/>
    <w:rsid w:val="62CC1CF7"/>
    <w:rsid w:val="62D09F39"/>
    <w:rsid w:val="62D6E991"/>
    <w:rsid w:val="62DF5A37"/>
    <w:rsid w:val="62E1EB55"/>
    <w:rsid w:val="63908488"/>
    <w:rsid w:val="63DDD67D"/>
    <w:rsid w:val="63E4C6E9"/>
    <w:rsid w:val="63F52FC3"/>
    <w:rsid w:val="6405A027"/>
    <w:rsid w:val="641F5D42"/>
    <w:rsid w:val="642D5025"/>
    <w:rsid w:val="644EF7CC"/>
    <w:rsid w:val="646929DD"/>
    <w:rsid w:val="6469486C"/>
    <w:rsid w:val="648D62F6"/>
    <w:rsid w:val="64CAC8DF"/>
    <w:rsid w:val="64D918A5"/>
    <w:rsid w:val="64F6D364"/>
    <w:rsid w:val="64F78C68"/>
    <w:rsid w:val="650CD398"/>
    <w:rsid w:val="6528BE7C"/>
    <w:rsid w:val="652A4C61"/>
    <w:rsid w:val="652B840D"/>
    <w:rsid w:val="656CBC13"/>
    <w:rsid w:val="6578B557"/>
    <w:rsid w:val="658BB696"/>
    <w:rsid w:val="65A9DE0C"/>
    <w:rsid w:val="65E95D41"/>
    <w:rsid w:val="65F5C567"/>
    <w:rsid w:val="661417C8"/>
    <w:rsid w:val="66334C16"/>
    <w:rsid w:val="66384285"/>
    <w:rsid w:val="663865A6"/>
    <w:rsid w:val="664FF472"/>
    <w:rsid w:val="666113E1"/>
    <w:rsid w:val="667B41D0"/>
    <w:rsid w:val="667D3F26"/>
    <w:rsid w:val="667F9534"/>
    <w:rsid w:val="66A893AF"/>
    <w:rsid w:val="66B19677"/>
    <w:rsid w:val="66C96831"/>
    <w:rsid w:val="66EE3260"/>
    <w:rsid w:val="6720E114"/>
    <w:rsid w:val="672786F7"/>
    <w:rsid w:val="673CAA96"/>
    <w:rsid w:val="675CBC88"/>
    <w:rsid w:val="6787C393"/>
    <w:rsid w:val="67963F61"/>
    <w:rsid w:val="67992EB2"/>
    <w:rsid w:val="679C4A9D"/>
    <w:rsid w:val="67A39302"/>
    <w:rsid w:val="67BCB286"/>
    <w:rsid w:val="67E6989E"/>
    <w:rsid w:val="67FA5391"/>
    <w:rsid w:val="68086710"/>
    <w:rsid w:val="683508C4"/>
    <w:rsid w:val="683C44B4"/>
    <w:rsid w:val="6862819E"/>
    <w:rsid w:val="687021D5"/>
    <w:rsid w:val="687CFFA3"/>
    <w:rsid w:val="6881E365"/>
    <w:rsid w:val="68A3D607"/>
    <w:rsid w:val="68BAFF4F"/>
    <w:rsid w:val="68BB4118"/>
    <w:rsid w:val="68CB636D"/>
    <w:rsid w:val="68ECE76A"/>
    <w:rsid w:val="690AB312"/>
    <w:rsid w:val="692FD8C9"/>
    <w:rsid w:val="695FD7FA"/>
    <w:rsid w:val="6977D167"/>
    <w:rsid w:val="699B4175"/>
    <w:rsid w:val="699D3E56"/>
    <w:rsid w:val="69A1191C"/>
    <w:rsid w:val="69B0AA31"/>
    <w:rsid w:val="69BEAB4B"/>
    <w:rsid w:val="69CB305C"/>
    <w:rsid w:val="69EC94F9"/>
    <w:rsid w:val="69EC9BD0"/>
    <w:rsid w:val="69F05008"/>
    <w:rsid w:val="6A134749"/>
    <w:rsid w:val="6A1EBD7A"/>
    <w:rsid w:val="6A641910"/>
    <w:rsid w:val="6A6EB8CE"/>
    <w:rsid w:val="6A71C356"/>
    <w:rsid w:val="6A804739"/>
    <w:rsid w:val="6A88CB3C"/>
    <w:rsid w:val="6AB0D090"/>
    <w:rsid w:val="6AB88D41"/>
    <w:rsid w:val="6AC79B93"/>
    <w:rsid w:val="6ACF91AF"/>
    <w:rsid w:val="6AE6D741"/>
    <w:rsid w:val="6B0DD99F"/>
    <w:rsid w:val="6B10F2B2"/>
    <w:rsid w:val="6B339B31"/>
    <w:rsid w:val="6B766711"/>
    <w:rsid w:val="6B853192"/>
    <w:rsid w:val="6B98DDBA"/>
    <w:rsid w:val="6B9B4537"/>
    <w:rsid w:val="6B9B6302"/>
    <w:rsid w:val="6BF1E775"/>
    <w:rsid w:val="6C1D3AF7"/>
    <w:rsid w:val="6C513478"/>
    <w:rsid w:val="6C558B1C"/>
    <w:rsid w:val="6C81207B"/>
    <w:rsid w:val="6C816244"/>
    <w:rsid w:val="6C8981A0"/>
    <w:rsid w:val="6CA54748"/>
    <w:rsid w:val="6CA61E9E"/>
    <w:rsid w:val="6CB79A5E"/>
    <w:rsid w:val="6CF4AFE0"/>
    <w:rsid w:val="6D0F29A3"/>
    <w:rsid w:val="6D209C51"/>
    <w:rsid w:val="6D29A580"/>
    <w:rsid w:val="6D2D62A5"/>
    <w:rsid w:val="6D2D74B3"/>
    <w:rsid w:val="6D4B7898"/>
    <w:rsid w:val="6D4D7FAD"/>
    <w:rsid w:val="6D5FE535"/>
    <w:rsid w:val="6D64CBF4"/>
    <w:rsid w:val="6D6CE94E"/>
    <w:rsid w:val="6D7C7229"/>
    <w:rsid w:val="6D7E6A67"/>
    <w:rsid w:val="6D815456"/>
    <w:rsid w:val="6DA7E934"/>
    <w:rsid w:val="6DD83558"/>
    <w:rsid w:val="6DD8B6A1"/>
    <w:rsid w:val="6E3480E6"/>
    <w:rsid w:val="6E3A07B3"/>
    <w:rsid w:val="6E4A132D"/>
    <w:rsid w:val="6E4E95DC"/>
    <w:rsid w:val="6E558D1F"/>
    <w:rsid w:val="6E61572A"/>
    <w:rsid w:val="6E6215E0"/>
    <w:rsid w:val="6E745F54"/>
    <w:rsid w:val="6E776377"/>
    <w:rsid w:val="6ED743FD"/>
    <w:rsid w:val="6EDC6E01"/>
    <w:rsid w:val="6EF7EC58"/>
    <w:rsid w:val="6F0FF05D"/>
    <w:rsid w:val="6F13FD7F"/>
    <w:rsid w:val="6F243C37"/>
    <w:rsid w:val="6F39C535"/>
    <w:rsid w:val="6F46A0D2"/>
    <w:rsid w:val="6F580E7A"/>
    <w:rsid w:val="6F5B2B3A"/>
    <w:rsid w:val="6F912767"/>
    <w:rsid w:val="6FA02229"/>
    <w:rsid w:val="6FB8C13D"/>
    <w:rsid w:val="6FCDCC29"/>
    <w:rsid w:val="6FD270C3"/>
    <w:rsid w:val="6FF89404"/>
    <w:rsid w:val="6FF8A64D"/>
    <w:rsid w:val="70171404"/>
    <w:rsid w:val="701B471B"/>
    <w:rsid w:val="702A62FC"/>
    <w:rsid w:val="702C3BB0"/>
    <w:rsid w:val="70377A86"/>
    <w:rsid w:val="70756E19"/>
    <w:rsid w:val="708B601E"/>
    <w:rsid w:val="708CCC4D"/>
    <w:rsid w:val="709A6131"/>
    <w:rsid w:val="709C40BC"/>
    <w:rsid w:val="70CADD68"/>
    <w:rsid w:val="70CB73E5"/>
    <w:rsid w:val="70D63F9D"/>
    <w:rsid w:val="70E8562C"/>
    <w:rsid w:val="7118585A"/>
    <w:rsid w:val="71220476"/>
    <w:rsid w:val="71225C83"/>
    <w:rsid w:val="71272AB9"/>
    <w:rsid w:val="7137C53F"/>
    <w:rsid w:val="71461F2A"/>
    <w:rsid w:val="714C1F90"/>
    <w:rsid w:val="716297B2"/>
    <w:rsid w:val="716542BF"/>
    <w:rsid w:val="7177C525"/>
    <w:rsid w:val="71835B64"/>
    <w:rsid w:val="71C44D6B"/>
    <w:rsid w:val="71EBC05F"/>
    <w:rsid w:val="72055CB7"/>
    <w:rsid w:val="720A4E0E"/>
    <w:rsid w:val="7215ECCF"/>
    <w:rsid w:val="721632E7"/>
    <w:rsid w:val="723BA885"/>
    <w:rsid w:val="723C5BA8"/>
    <w:rsid w:val="7255C32D"/>
    <w:rsid w:val="725A925E"/>
    <w:rsid w:val="728BCA4C"/>
    <w:rsid w:val="72AA33A3"/>
    <w:rsid w:val="72B50ABC"/>
    <w:rsid w:val="72C6AB35"/>
    <w:rsid w:val="72DB9D82"/>
    <w:rsid w:val="72F3C1DA"/>
    <w:rsid w:val="73033E2F"/>
    <w:rsid w:val="731DCAFF"/>
    <w:rsid w:val="7323790A"/>
    <w:rsid w:val="7331FA30"/>
    <w:rsid w:val="73527C5F"/>
    <w:rsid w:val="735D7DCC"/>
    <w:rsid w:val="73837B4B"/>
    <w:rsid w:val="73A04F88"/>
    <w:rsid w:val="73AEB280"/>
    <w:rsid w:val="73BCCB0D"/>
    <w:rsid w:val="73D8F811"/>
    <w:rsid w:val="73DA6887"/>
    <w:rsid w:val="73EDB2D6"/>
    <w:rsid w:val="73FA533B"/>
    <w:rsid w:val="74514671"/>
    <w:rsid w:val="7466E228"/>
    <w:rsid w:val="74C8003F"/>
    <w:rsid w:val="74CDCB8F"/>
    <w:rsid w:val="751C4D38"/>
    <w:rsid w:val="7525883D"/>
    <w:rsid w:val="75472BC4"/>
    <w:rsid w:val="75485AB4"/>
    <w:rsid w:val="754ADE51"/>
    <w:rsid w:val="75571821"/>
    <w:rsid w:val="758DC7FC"/>
    <w:rsid w:val="75D46788"/>
    <w:rsid w:val="75E2FE3D"/>
    <w:rsid w:val="75E9BCD3"/>
    <w:rsid w:val="75EFB120"/>
    <w:rsid w:val="75F313F8"/>
    <w:rsid w:val="760A6D14"/>
    <w:rsid w:val="760E9061"/>
    <w:rsid w:val="761A4078"/>
    <w:rsid w:val="7630F242"/>
    <w:rsid w:val="765DF7AA"/>
    <w:rsid w:val="767EEB89"/>
    <w:rsid w:val="7694A81F"/>
    <w:rsid w:val="76C6E71F"/>
    <w:rsid w:val="76C9DCA1"/>
    <w:rsid w:val="76EC00EF"/>
    <w:rsid w:val="772873DB"/>
    <w:rsid w:val="7732C207"/>
    <w:rsid w:val="773B9E17"/>
    <w:rsid w:val="775FE4C5"/>
    <w:rsid w:val="7762BBB8"/>
    <w:rsid w:val="7769FB58"/>
    <w:rsid w:val="777AE6FB"/>
    <w:rsid w:val="7784F5BC"/>
    <w:rsid w:val="7786577D"/>
    <w:rsid w:val="77AED4E9"/>
    <w:rsid w:val="77EEB78A"/>
    <w:rsid w:val="7807D3CE"/>
    <w:rsid w:val="7809EB6C"/>
    <w:rsid w:val="78315A6D"/>
    <w:rsid w:val="78385749"/>
    <w:rsid w:val="78388FF6"/>
    <w:rsid w:val="78508963"/>
    <w:rsid w:val="7865D8FC"/>
    <w:rsid w:val="787693EF"/>
    <w:rsid w:val="788612CE"/>
    <w:rsid w:val="7888C496"/>
    <w:rsid w:val="788D1502"/>
    <w:rsid w:val="78B8849F"/>
    <w:rsid w:val="78CA8110"/>
    <w:rsid w:val="78D4AB14"/>
    <w:rsid w:val="78FF1CBA"/>
    <w:rsid w:val="792F4841"/>
    <w:rsid w:val="7935A135"/>
    <w:rsid w:val="794B0415"/>
    <w:rsid w:val="794EF28F"/>
    <w:rsid w:val="79528BF9"/>
    <w:rsid w:val="79574D95"/>
    <w:rsid w:val="796823C5"/>
    <w:rsid w:val="7999D333"/>
    <w:rsid w:val="79A0523D"/>
    <w:rsid w:val="79DE78EC"/>
    <w:rsid w:val="79F3E1A8"/>
    <w:rsid w:val="79FE8CF9"/>
    <w:rsid w:val="7A0AA649"/>
    <w:rsid w:val="7A1E16C7"/>
    <w:rsid w:val="7A2EBA26"/>
    <w:rsid w:val="7A41355C"/>
    <w:rsid w:val="7A723270"/>
    <w:rsid w:val="7A884CC2"/>
    <w:rsid w:val="7A9383C6"/>
    <w:rsid w:val="7A962D9A"/>
    <w:rsid w:val="7A96791E"/>
    <w:rsid w:val="7AA284F2"/>
    <w:rsid w:val="7AA9A5FE"/>
    <w:rsid w:val="7AB5F877"/>
    <w:rsid w:val="7AD28668"/>
    <w:rsid w:val="7ADEC2DC"/>
    <w:rsid w:val="7AE31CA7"/>
    <w:rsid w:val="7AF7975F"/>
    <w:rsid w:val="7B0383DC"/>
    <w:rsid w:val="7B0829F1"/>
    <w:rsid w:val="7B1B7966"/>
    <w:rsid w:val="7B3264EC"/>
    <w:rsid w:val="7B44AAAD"/>
    <w:rsid w:val="7B5FF200"/>
    <w:rsid w:val="7B66E3ED"/>
    <w:rsid w:val="7B677ADF"/>
    <w:rsid w:val="7B9D285E"/>
    <w:rsid w:val="7BA2C6FC"/>
    <w:rsid w:val="7BAFD2B8"/>
    <w:rsid w:val="7BB3E66B"/>
    <w:rsid w:val="7BB7C2F0"/>
    <w:rsid w:val="7BBE27FD"/>
    <w:rsid w:val="7BC38DAB"/>
    <w:rsid w:val="7BEA4417"/>
    <w:rsid w:val="7BFA5BFF"/>
    <w:rsid w:val="7C131C08"/>
    <w:rsid w:val="7C211EF2"/>
    <w:rsid w:val="7C44E118"/>
    <w:rsid w:val="7C54E3E3"/>
    <w:rsid w:val="7C5FDE79"/>
    <w:rsid w:val="7C7ABE28"/>
    <w:rsid w:val="7C80FBF7"/>
    <w:rsid w:val="7C97E97F"/>
    <w:rsid w:val="7CC80E2F"/>
    <w:rsid w:val="7CD3EFDE"/>
    <w:rsid w:val="7CE18A74"/>
    <w:rsid w:val="7D0CAF42"/>
    <w:rsid w:val="7D1CD749"/>
    <w:rsid w:val="7D3880D1"/>
    <w:rsid w:val="7D3EF3E3"/>
    <w:rsid w:val="7D60B8F6"/>
    <w:rsid w:val="7D9A5033"/>
    <w:rsid w:val="7DBDF44B"/>
    <w:rsid w:val="7DEF20AD"/>
    <w:rsid w:val="7E04A8B1"/>
    <w:rsid w:val="7E3C3021"/>
    <w:rsid w:val="7E501539"/>
    <w:rsid w:val="7E546A21"/>
    <w:rsid w:val="7E54E090"/>
    <w:rsid w:val="7E632A02"/>
    <w:rsid w:val="7E673565"/>
    <w:rsid w:val="7E740032"/>
    <w:rsid w:val="7E7D3C70"/>
    <w:rsid w:val="7EB60483"/>
    <w:rsid w:val="7EC99C63"/>
    <w:rsid w:val="7ECAD6EC"/>
    <w:rsid w:val="7ECD1542"/>
    <w:rsid w:val="7ECDCB1F"/>
    <w:rsid w:val="7ED55428"/>
    <w:rsid w:val="7F005847"/>
    <w:rsid w:val="7F13778F"/>
    <w:rsid w:val="7F199415"/>
    <w:rsid w:val="7F2E1763"/>
    <w:rsid w:val="7F3149B7"/>
    <w:rsid w:val="7F3D9481"/>
    <w:rsid w:val="7F68D56F"/>
    <w:rsid w:val="7F76B647"/>
    <w:rsid w:val="7F87FCB1"/>
    <w:rsid w:val="7FA08203"/>
    <w:rsid w:val="7FAF9C63"/>
    <w:rsid w:val="7FBADA14"/>
    <w:rsid w:val="7FDBA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F647D"/>
  <w15:chartTrackingRefBased/>
  <w15:docId w15:val="{38A0A636-6CD8-470D-A080-0EB45116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26B"/>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unhideWhenUsed/>
    <w:rsid w:val="008C32AA"/>
    <w:rPr>
      <w:sz w:val="20"/>
      <w:szCs w:val="20"/>
    </w:rPr>
  </w:style>
  <w:style w:type="character" w:customStyle="1" w:styleId="CommentTextChar">
    <w:name w:val="Comment Text Char"/>
    <w:link w:val="CommentText"/>
    <w:uiPriority w:val="99"/>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link w:val="NoSpacingChar"/>
    <w:uiPriority w:val="1"/>
    <w:qFormat/>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character" w:customStyle="1" w:styleId="normaltextrun">
    <w:name w:val="normaltextrun"/>
    <w:basedOn w:val="DefaultParagraphFont"/>
    <w:rsid w:val="000C24EC"/>
  </w:style>
  <w:style w:type="character" w:customStyle="1" w:styleId="eop">
    <w:name w:val="eop"/>
    <w:basedOn w:val="DefaultParagraphFont"/>
    <w:rsid w:val="003978F9"/>
  </w:style>
  <w:style w:type="paragraph" w:customStyle="1" w:styleId="paragraph">
    <w:name w:val="paragraph"/>
    <w:basedOn w:val="Normal"/>
    <w:rsid w:val="009E3F5D"/>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link w:val="ListParagraph"/>
    <w:uiPriority w:val="34"/>
    <w:rsid w:val="007F6F86"/>
    <w:rPr>
      <w:rFonts w:ascii="Franklin Gothic Book" w:hAnsi="Franklin Gothic Book"/>
      <w:sz w:val="22"/>
      <w:szCs w:val="24"/>
      <w:lang w:val="en-US"/>
    </w:rPr>
  </w:style>
  <w:style w:type="table" w:customStyle="1" w:styleId="TableGrid1">
    <w:name w:val="Table Grid1"/>
    <w:basedOn w:val="TableNormal"/>
    <w:next w:val="TableGrid"/>
    <w:uiPriority w:val="39"/>
    <w:rsid w:val="00163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62B0"/>
    <w:pPr>
      <w:spacing w:before="100" w:beforeAutospacing="1" w:after="100" w:afterAutospacing="1"/>
    </w:pPr>
    <w:rPr>
      <w:rFonts w:ascii="Times New Roman" w:eastAsia="Times New Roman" w:hAnsi="Times New Roman" w:cs="Times New Roman"/>
      <w:sz w:val="24"/>
      <w:lang w:val="en-AU" w:eastAsia="en-AU"/>
    </w:rPr>
  </w:style>
  <w:style w:type="character" w:customStyle="1" w:styleId="tabchar">
    <w:name w:val="tabchar"/>
    <w:basedOn w:val="DefaultParagraphFont"/>
    <w:rsid w:val="00496F5D"/>
  </w:style>
  <w:style w:type="character" w:customStyle="1" w:styleId="NoSpacingChar">
    <w:name w:val="No Spacing Char"/>
    <w:basedOn w:val="DefaultParagraphFont"/>
    <w:link w:val="NoSpacing"/>
    <w:uiPriority w:val="1"/>
    <w:locked/>
    <w:rsid w:val="00FB6521"/>
    <w:rPr>
      <w:sz w:val="24"/>
      <w:szCs w:val="24"/>
      <w:lang w:val="en-US"/>
    </w:rPr>
  </w:style>
  <w:style w:type="paragraph" w:styleId="Revision">
    <w:name w:val="Revision"/>
    <w:hidden/>
    <w:uiPriority w:val="71"/>
    <w:rsid w:val="00103AAF"/>
    <w:rPr>
      <w:rFonts w:ascii="Franklin Gothic Book" w:hAnsi="Franklin Gothic Book"/>
      <w:sz w:val="22"/>
      <w:szCs w:val="24"/>
      <w:lang w:val="en-US"/>
    </w:rPr>
  </w:style>
  <w:style w:type="paragraph" w:styleId="FootnoteText">
    <w:name w:val="footnote text"/>
    <w:basedOn w:val="Normal"/>
    <w:link w:val="FootnoteTextChar"/>
    <w:uiPriority w:val="99"/>
    <w:semiHidden/>
    <w:unhideWhenUsed/>
    <w:rsid w:val="00FA686F"/>
    <w:pPr>
      <w:spacing w:before="0" w:after="0"/>
    </w:pPr>
    <w:rPr>
      <w:sz w:val="20"/>
      <w:szCs w:val="20"/>
    </w:rPr>
  </w:style>
  <w:style w:type="character" w:customStyle="1" w:styleId="FootnoteTextChar">
    <w:name w:val="Footnote Text Char"/>
    <w:basedOn w:val="DefaultParagraphFont"/>
    <w:link w:val="FootnoteText"/>
    <w:uiPriority w:val="99"/>
    <w:semiHidden/>
    <w:rsid w:val="00FA686F"/>
    <w:rPr>
      <w:rFonts w:ascii="Franklin Gothic Book" w:hAnsi="Franklin Gothic Book"/>
      <w:lang w:val="en-US"/>
    </w:rPr>
  </w:style>
  <w:style w:type="character" w:styleId="FootnoteReference">
    <w:name w:val="footnote reference"/>
    <w:basedOn w:val="DefaultParagraphFont"/>
    <w:uiPriority w:val="99"/>
    <w:semiHidden/>
    <w:unhideWhenUsed/>
    <w:rsid w:val="00FA686F"/>
    <w:rPr>
      <w:vertAlign w:val="superscript"/>
    </w:rPr>
  </w:style>
  <w:style w:type="paragraph" w:customStyle="1" w:styleId="Default">
    <w:name w:val="Default"/>
    <w:rsid w:val="00F53BC8"/>
    <w:pPr>
      <w:autoSpaceDE w:val="0"/>
      <w:autoSpaceDN w:val="0"/>
      <w:adjustRightInd w:val="0"/>
    </w:pPr>
    <w:rPr>
      <w:rFonts w:ascii="Arial" w:hAnsi="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33788360">
      <w:bodyDiv w:val="1"/>
      <w:marLeft w:val="0"/>
      <w:marRight w:val="0"/>
      <w:marTop w:val="0"/>
      <w:marBottom w:val="0"/>
      <w:divBdr>
        <w:top w:val="none" w:sz="0" w:space="0" w:color="auto"/>
        <w:left w:val="none" w:sz="0" w:space="0" w:color="auto"/>
        <w:bottom w:val="none" w:sz="0" w:space="0" w:color="auto"/>
        <w:right w:val="none" w:sz="0" w:space="0" w:color="auto"/>
      </w:divBdr>
    </w:div>
    <w:div w:id="439836776">
      <w:bodyDiv w:val="1"/>
      <w:marLeft w:val="0"/>
      <w:marRight w:val="0"/>
      <w:marTop w:val="0"/>
      <w:marBottom w:val="0"/>
      <w:divBdr>
        <w:top w:val="none" w:sz="0" w:space="0" w:color="auto"/>
        <w:left w:val="none" w:sz="0" w:space="0" w:color="auto"/>
        <w:bottom w:val="none" w:sz="0" w:space="0" w:color="auto"/>
        <w:right w:val="none" w:sz="0" w:space="0" w:color="auto"/>
      </w:divBdr>
      <w:divsChild>
        <w:div w:id="1606114373">
          <w:marLeft w:val="0"/>
          <w:marRight w:val="0"/>
          <w:marTop w:val="0"/>
          <w:marBottom w:val="0"/>
          <w:divBdr>
            <w:top w:val="none" w:sz="0" w:space="0" w:color="auto"/>
            <w:left w:val="none" w:sz="0" w:space="0" w:color="auto"/>
            <w:bottom w:val="none" w:sz="0" w:space="0" w:color="auto"/>
            <w:right w:val="none" w:sz="0" w:space="0" w:color="auto"/>
          </w:divBdr>
        </w:div>
        <w:div w:id="1636065771">
          <w:marLeft w:val="0"/>
          <w:marRight w:val="0"/>
          <w:marTop w:val="0"/>
          <w:marBottom w:val="0"/>
          <w:divBdr>
            <w:top w:val="none" w:sz="0" w:space="0" w:color="auto"/>
            <w:left w:val="none" w:sz="0" w:space="0" w:color="auto"/>
            <w:bottom w:val="none" w:sz="0" w:space="0" w:color="auto"/>
            <w:right w:val="none" w:sz="0" w:space="0" w:color="auto"/>
          </w:divBdr>
        </w:div>
      </w:divsChild>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819924135">
      <w:bodyDiv w:val="1"/>
      <w:marLeft w:val="0"/>
      <w:marRight w:val="0"/>
      <w:marTop w:val="0"/>
      <w:marBottom w:val="0"/>
      <w:divBdr>
        <w:top w:val="none" w:sz="0" w:space="0" w:color="auto"/>
        <w:left w:val="none" w:sz="0" w:space="0" w:color="auto"/>
        <w:bottom w:val="none" w:sz="0" w:space="0" w:color="auto"/>
        <w:right w:val="none" w:sz="0" w:space="0" w:color="auto"/>
      </w:divBdr>
    </w:div>
    <w:div w:id="997154596">
      <w:bodyDiv w:val="1"/>
      <w:marLeft w:val="0"/>
      <w:marRight w:val="0"/>
      <w:marTop w:val="0"/>
      <w:marBottom w:val="0"/>
      <w:divBdr>
        <w:top w:val="none" w:sz="0" w:space="0" w:color="auto"/>
        <w:left w:val="none" w:sz="0" w:space="0" w:color="auto"/>
        <w:bottom w:val="none" w:sz="0" w:space="0" w:color="auto"/>
        <w:right w:val="none" w:sz="0" w:space="0" w:color="auto"/>
      </w:divBdr>
    </w:div>
    <w:div w:id="1391658985">
      <w:bodyDiv w:val="1"/>
      <w:marLeft w:val="0"/>
      <w:marRight w:val="0"/>
      <w:marTop w:val="0"/>
      <w:marBottom w:val="0"/>
      <w:divBdr>
        <w:top w:val="none" w:sz="0" w:space="0" w:color="auto"/>
        <w:left w:val="none" w:sz="0" w:space="0" w:color="auto"/>
        <w:bottom w:val="none" w:sz="0" w:space="0" w:color="auto"/>
        <w:right w:val="none" w:sz="0" w:space="0" w:color="auto"/>
      </w:divBdr>
      <w:divsChild>
        <w:div w:id="21128388">
          <w:marLeft w:val="0"/>
          <w:marRight w:val="0"/>
          <w:marTop w:val="0"/>
          <w:marBottom w:val="0"/>
          <w:divBdr>
            <w:top w:val="none" w:sz="0" w:space="0" w:color="auto"/>
            <w:left w:val="none" w:sz="0" w:space="0" w:color="auto"/>
            <w:bottom w:val="none" w:sz="0" w:space="0" w:color="auto"/>
            <w:right w:val="none" w:sz="0" w:space="0" w:color="auto"/>
          </w:divBdr>
        </w:div>
        <w:div w:id="192227770">
          <w:marLeft w:val="0"/>
          <w:marRight w:val="0"/>
          <w:marTop w:val="0"/>
          <w:marBottom w:val="0"/>
          <w:divBdr>
            <w:top w:val="none" w:sz="0" w:space="0" w:color="auto"/>
            <w:left w:val="none" w:sz="0" w:space="0" w:color="auto"/>
            <w:bottom w:val="none" w:sz="0" w:space="0" w:color="auto"/>
            <w:right w:val="none" w:sz="0" w:space="0" w:color="auto"/>
          </w:divBdr>
        </w:div>
        <w:div w:id="734740398">
          <w:marLeft w:val="0"/>
          <w:marRight w:val="0"/>
          <w:marTop w:val="0"/>
          <w:marBottom w:val="0"/>
          <w:divBdr>
            <w:top w:val="none" w:sz="0" w:space="0" w:color="auto"/>
            <w:left w:val="none" w:sz="0" w:space="0" w:color="auto"/>
            <w:bottom w:val="none" w:sz="0" w:space="0" w:color="auto"/>
            <w:right w:val="none" w:sz="0" w:space="0" w:color="auto"/>
          </w:divBdr>
        </w:div>
      </w:divsChild>
    </w:div>
    <w:div w:id="1524324888">
      <w:bodyDiv w:val="1"/>
      <w:marLeft w:val="0"/>
      <w:marRight w:val="0"/>
      <w:marTop w:val="0"/>
      <w:marBottom w:val="0"/>
      <w:divBdr>
        <w:top w:val="none" w:sz="0" w:space="0" w:color="auto"/>
        <w:left w:val="none" w:sz="0" w:space="0" w:color="auto"/>
        <w:bottom w:val="none" w:sz="0" w:space="0" w:color="auto"/>
        <w:right w:val="none" w:sz="0" w:space="0" w:color="auto"/>
      </w:divBdr>
    </w:div>
    <w:div w:id="1640763189">
      <w:bodyDiv w:val="1"/>
      <w:marLeft w:val="0"/>
      <w:marRight w:val="0"/>
      <w:marTop w:val="0"/>
      <w:marBottom w:val="0"/>
      <w:divBdr>
        <w:top w:val="none" w:sz="0" w:space="0" w:color="auto"/>
        <w:left w:val="none" w:sz="0" w:space="0" w:color="auto"/>
        <w:bottom w:val="none" w:sz="0" w:space="0" w:color="auto"/>
        <w:right w:val="none" w:sz="0" w:space="0" w:color="auto"/>
      </w:divBdr>
      <w:divsChild>
        <w:div w:id="539052106">
          <w:marLeft w:val="0"/>
          <w:marRight w:val="0"/>
          <w:marTop w:val="0"/>
          <w:marBottom w:val="0"/>
          <w:divBdr>
            <w:top w:val="none" w:sz="0" w:space="0" w:color="auto"/>
            <w:left w:val="none" w:sz="0" w:space="0" w:color="auto"/>
            <w:bottom w:val="none" w:sz="0" w:space="0" w:color="auto"/>
            <w:right w:val="none" w:sz="0" w:space="0" w:color="auto"/>
          </w:divBdr>
        </w:div>
        <w:div w:id="954796814">
          <w:marLeft w:val="0"/>
          <w:marRight w:val="0"/>
          <w:marTop w:val="0"/>
          <w:marBottom w:val="0"/>
          <w:divBdr>
            <w:top w:val="none" w:sz="0" w:space="0" w:color="auto"/>
            <w:left w:val="none" w:sz="0" w:space="0" w:color="auto"/>
            <w:bottom w:val="none" w:sz="0" w:space="0" w:color="auto"/>
            <w:right w:val="none" w:sz="0" w:space="0" w:color="auto"/>
          </w:divBdr>
        </w:div>
      </w:divsChild>
    </w:div>
    <w:div w:id="1656060138">
      <w:bodyDiv w:val="1"/>
      <w:marLeft w:val="0"/>
      <w:marRight w:val="0"/>
      <w:marTop w:val="0"/>
      <w:marBottom w:val="0"/>
      <w:divBdr>
        <w:top w:val="none" w:sz="0" w:space="0" w:color="auto"/>
        <w:left w:val="none" w:sz="0" w:space="0" w:color="auto"/>
        <w:bottom w:val="none" w:sz="0" w:space="0" w:color="auto"/>
        <w:right w:val="none" w:sz="0" w:space="0" w:color="auto"/>
      </w:divBdr>
      <w:divsChild>
        <w:div w:id="725224244">
          <w:marLeft w:val="0"/>
          <w:marRight w:val="0"/>
          <w:marTop w:val="0"/>
          <w:marBottom w:val="0"/>
          <w:divBdr>
            <w:top w:val="none" w:sz="0" w:space="0" w:color="auto"/>
            <w:left w:val="none" w:sz="0" w:space="0" w:color="auto"/>
            <w:bottom w:val="none" w:sz="0" w:space="0" w:color="auto"/>
            <w:right w:val="none" w:sz="0" w:space="0" w:color="auto"/>
          </w:divBdr>
        </w:div>
        <w:div w:id="729420550">
          <w:marLeft w:val="0"/>
          <w:marRight w:val="0"/>
          <w:marTop w:val="0"/>
          <w:marBottom w:val="0"/>
          <w:divBdr>
            <w:top w:val="none" w:sz="0" w:space="0" w:color="auto"/>
            <w:left w:val="none" w:sz="0" w:space="0" w:color="auto"/>
            <w:bottom w:val="none" w:sz="0" w:space="0" w:color="auto"/>
            <w:right w:val="none" w:sz="0" w:space="0" w:color="auto"/>
          </w:divBdr>
        </w:div>
        <w:div w:id="1072893083">
          <w:marLeft w:val="0"/>
          <w:marRight w:val="0"/>
          <w:marTop w:val="0"/>
          <w:marBottom w:val="0"/>
          <w:divBdr>
            <w:top w:val="none" w:sz="0" w:space="0" w:color="auto"/>
            <w:left w:val="none" w:sz="0" w:space="0" w:color="auto"/>
            <w:bottom w:val="none" w:sz="0" w:space="0" w:color="auto"/>
            <w:right w:val="none" w:sz="0" w:space="0" w:color="auto"/>
          </w:divBdr>
        </w:div>
        <w:div w:id="1241981857">
          <w:marLeft w:val="0"/>
          <w:marRight w:val="0"/>
          <w:marTop w:val="0"/>
          <w:marBottom w:val="0"/>
          <w:divBdr>
            <w:top w:val="none" w:sz="0" w:space="0" w:color="auto"/>
            <w:left w:val="none" w:sz="0" w:space="0" w:color="auto"/>
            <w:bottom w:val="none" w:sz="0" w:space="0" w:color="auto"/>
            <w:right w:val="none" w:sz="0" w:space="0" w:color="auto"/>
          </w:divBdr>
        </w:div>
        <w:div w:id="1416324738">
          <w:marLeft w:val="0"/>
          <w:marRight w:val="0"/>
          <w:marTop w:val="0"/>
          <w:marBottom w:val="0"/>
          <w:divBdr>
            <w:top w:val="none" w:sz="0" w:space="0" w:color="auto"/>
            <w:left w:val="none" w:sz="0" w:space="0" w:color="auto"/>
            <w:bottom w:val="none" w:sz="0" w:space="0" w:color="auto"/>
            <w:right w:val="none" w:sz="0" w:space="0" w:color="auto"/>
          </w:divBdr>
        </w:div>
      </w:divsChild>
    </w:div>
    <w:div w:id="1749038044">
      <w:bodyDiv w:val="1"/>
      <w:marLeft w:val="0"/>
      <w:marRight w:val="0"/>
      <w:marTop w:val="0"/>
      <w:marBottom w:val="0"/>
      <w:divBdr>
        <w:top w:val="none" w:sz="0" w:space="0" w:color="auto"/>
        <w:left w:val="none" w:sz="0" w:space="0" w:color="auto"/>
        <w:bottom w:val="none" w:sz="0" w:space="0" w:color="auto"/>
        <w:right w:val="none" w:sz="0" w:space="0" w:color="auto"/>
      </w:divBdr>
      <w:divsChild>
        <w:div w:id="570428292">
          <w:marLeft w:val="0"/>
          <w:marRight w:val="0"/>
          <w:marTop w:val="0"/>
          <w:marBottom w:val="0"/>
          <w:divBdr>
            <w:top w:val="none" w:sz="0" w:space="0" w:color="auto"/>
            <w:left w:val="none" w:sz="0" w:space="0" w:color="auto"/>
            <w:bottom w:val="none" w:sz="0" w:space="0" w:color="auto"/>
            <w:right w:val="none" w:sz="0" w:space="0" w:color="auto"/>
          </w:divBdr>
        </w:div>
        <w:div w:id="1377781958">
          <w:marLeft w:val="0"/>
          <w:marRight w:val="0"/>
          <w:marTop w:val="0"/>
          <w:marBottom w:val="0"/>
          <w:divBdr>
            <w:top w:val="none" w:sz="0" w:space="0" w:color="auto"/>
            <w:left w:val="none" w:sz="0" w:space="0" w:color="auto"/>
            <w:bottom w:val="none" w:sz="0" w:space="0" w:color="auto"/>
            <w:right w:val="none" w:sz="0" w:space="0" w:color="auto"/>
          </w:divBdr>
        </w:div>
      </w:divsChild>
    </w:div>
    <w:div w:id="1777826496">
      <w:bodyDiv w:val="1"/>
      <w:marLeft w:val="0"/>
      <w:marRight w:val="0"/>
      <w:marTop w:val="0"/>
      <w:marBottom w:val="0"/>
      <w:divBdr>
        <w:top w:val="none" w:sz="0" w:space="0" w:color="auto"/>
        <w:left w:val="none" w:sz="0" w:space="0" w:color="auto"/>
        <w:bottom w:val="none" w:sz="0" w:space="0" w:color="auto"/>
        <w:right w:val="none" w:sz="0" w:space="0" w:color="auto"/>
      </w:divBdr>
      <w:divsChild>
        <w:div w:id="271522095">
          <w:marLeft w:val="0"/>
          <w:marRight w:val="0"/>
          <w:marTop w:val="0"/>
          <w:marBottom w:val="0"/>
          <w:divBdr>
            <w:top w:val="none" w:sz="0" w:space="0" w:color="auto"/>
            <w:left w:val="none" w:sz="0" w:space="0" w:color="auto"/>
            <w:bottom w:val="none" w:sz="0" w:space="0" w:color="auto"/>
            <w:right w:val="none" w:sz="0" w:space="0" w:color="auto"/>
          </w:divBdr>
        </w:div>
        <w:div w:id="1008405312">
          <w:marLeft w:val="0"/>
          <w:marRight w:val="0"/>
          <w:marTop w:val="0"/>
          <w:marBottom w:val="0"/>
          <w:divBdr>
            <w:top w:val="none" w:sz="0" w:space="0" w:color="auto"/>
            <w:left w:val="none" w:sz="0" w:space="0" w:color="auto"/>
            <w:bottom w:val="none" w:sz="0" w:space="0" w:color="auto"/>
            <w:right w:val="none" w:sz="0" w:space="0" w:color="auto"/>
          </w:divBdr>
        </w:div>
        <w:div w:id="1258322395">
          <w:marLeft w:val="0"/>
          <w:marRight w:val="0"/>
          <w:marTop w:val="0"/>
          <w:marBottom w:val="0"/>
          <w:divBdr>
            <w:top w:val="none" w:sz="0" w:space="0" w:color="auto"/>
            <w:left w:val="none" w:sz="0" w:space="0" w:color="auto"/>
            <w:bottom w:val="none" w:sz="0" w:space="0" w:color="auto"/>
            <w:right w:val="none" w:sz="0" w:space="0" w:color="auto"/>
          </w:divBdr>
        </w:div>
        <w:div w:id="1772503500">
          <w:marLeft w:val="0"/>
          <w:marRight w:val="0"/>
          <w:marTop w:val="0"/>
          <w:marBottom w:val="0"/>
          <w:divBdr>
            <w:top w:val="none" w:sz="0" w:space="0" w:color="auto"/>
            <w:left w:val="none" w:sz="0" w:space="0" w:color="auto"/>
            <w:bottom w:val="none" w:sz="0" w:space="0" w:color="auto"/>
            <w:right w:val="none" w:sz="0" w:space="0" w:color="auto"/>
          </w:divBdr>
        </w:div>
        <w:div w:id="2093575495">
          <w:marLeft w:val="0"/>
          <w:marRight w:val="0"/>
          <w:marTop w:val="0"/>
          <w:marBottom w:val="0"/>
          <w:divBdr>
            <w:top w:val="none" w:sz="0" w:space="0" w:color="auto"/>
            <w:left w:val="none" w:sz="0" w:space="0" w:color="auto"/>
            <w:bottom w:val="none" w:sz="0" w:space="0" w:color="auto"/>
            <w:right w:val="none" w:sz="0" w:space="0" w:color="auto"/>
          </w:divBdr>
        </w:div>
      </w:divsChild>
    </w:div>
    <w:div w:id="2087847257">
      <w:bodyDiv w:val="1"/>
      <w:marLeft w:val="0"/>
      <w:marRight w:val="0"/>
      <w:marTop w:val="0"/>
      <w:marBottom w:val="0"/>
      <w:divBdr>
        <w:top w:val="none" w:sz="0" w:space="0" w:color="auto"/>
        <w:left w:val="none" w:sz="0" w:space="0" w:color="auto"/>
        <w:bottom w:val="none" w:sz="0" w:space="0" w:color="auto"/>
        <w:right w:val="none" w:sz="0" w:space="0" w:color="auto"/>
      </w:divBdr>
    </w:div>
    <w:div w:id="2109228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pngeiti.org.pg/wp-content/uploads/2018/04/2020-PNGRGC-Roadmap-v1_Draft-Report.pdf" TargetMode="External"/><Relationship Id="rId117" Type="http://schemas.openxmlformats.org/officeDocument/2006/relationships/hyperlink" Target="http://www.pngresourcesonline.com/" TargetMode="External"/><Relationship Id="rId21" Type="http://schemas.openxmlformats.org/officeDocument/2006/relationships/hyperlink" Target="http://www.pngeiti.org.pg/wp-content/uploads/2021/07/PNGEITI-SOE-Scoping-Study-Report-090721.pdf" TargetMode="External"/><Relationship Id="rId42" Type="http://schemas.openxmlformats.org/officeDocument/2006/relationships/hyperlink" Target="http://www.pngeiti.org.pg/wp-content/uploads/2018/04/PNGEITI-2021-Annual-Progress-Report.pdf" TargetMode="External"/><Relationship Id="rId47" Type="http://schemas.openxmlformats.org/officeDocument/2006/relationships/hyperlink" Target="https://petroleum.gov.pg/dpe-eiti/" TargetMode="External"/><Relationship Id="rId63" Type="http://schemas.openxmlformats.org/officeDocument/2006/relationships/hyperlink" Target="http://www.pngeiti.org.pg/wp-content/uploads/2018/04/2022-Signed-Project-Completion-Report-by-JICA-Expert-team..pdf" TargetMode="External"/><Relationship Id="rId68" Type="http://schemas.openxmlformats.org/officeDocument/2006/relationships/hyperlink" Target="http://www.pngeiti.org.pg/wp-content/uploads/2019/07/PNGEITI-Subnational-Payments-Report-May-2019.pdf" TargetMode="External"/><Relationship Id="rId84" Type="http://schemas.openxmlformats.org/officeDocument/2006/relationships/hyperlink" Target="http://www.pngeiti.org.pg/wp-content/uploads/2018/04/2020-Education-Mainstreaming-Draft-Report.pdf" TargetMode="External"/><Relationship Id="rId89" Type="http://schemas.openxmlformats.org/officeDocument/2006/relationships/hyperlink" Target="https://www.pngeiti.org.pg/brochures/" TargetMode="External"/><Relationship Id="rId112" Type="http://schemas.openxmlformats.org/officeDocument/2006/relationships/hyperlink" Target="http://www.pngeiti.org.pg/wp-content/uploads/2020/12/PNGEITI-2019-Annual-Progress-Report.pdf" TargetMode="External"/><Relationship Id="rId133" Type="http://schemas.openxmlformats.org/officeDocument/2006/relationships/hyperlink" Target="http://www.pngeiti.org.pg/wp-content/uploads/2021/07/PNGEITI-SOE-Scoping-Study-Report-090721.pdf" TargetMode="External"/><Relationship Id="rId138" Type="http://schemas.openxmlformats.org/officeDocument/2006/relationships/hyperlink" Target="http://www.pngeiti.org.pg/wp-content/uploads/2021/06/2013-NEC-Decision-No.-90.pdf" TargetMode="External"/><Relationship Id="rId154" Type="http://schemas.openxmlformats.org/officeDocument/2006/relationships/header" Target="header1.xml"/><Relationship Id="rId159" Type="http://schemas.openxmlformats.org/officeDocument/2006/relationships/footer" Target="footer3.xml"/><Relationship Id="rId16" Type="http://schemas.openxmlformats.org/officeDocument/2006/relationships/hyperlink" Target="http://www.pngeiti.org.pg/wp-content/uploads/2021/12/2022-Workplan.pdf" TargetMode="External"/><Relationship Id="rId107" Type="http://schemas.openxmlformats.org/officeDocument/2006/relationships/hyperlink" Target="http://www.pngeiti.org.pg/wp-content/uploads/2020/12/PNGEITI-2019-Annual-Progress-Report.pdf" TargetMode="External"/><Relationship Id="rId11" Type="http://schemas.openxmlformats.org/officeDocument/2006/relationships/hyperlink" Target="http://www.pngeiti.org.pg/wp-content/uploads/2021/12/2022-Workplan.pdf" TargetMode="External"/><Relationship Id="rId32" Type="http://schemas.openxmlformats.org/officeDocument/2006/relationships/hyperlink" Target="http://www.pngeiti.org.pg/wp-content/uploads/2018/04/2022-Signed-Project-Completion-Report-by-JICA-Expert-team..pdf" TargetMode="External"/><Relationship Id="rId37" Type="http://schemas.openxmlformats.org/officeDocument/2006/relationships/hyperlink" Target="http://www.pngeiti.org.pg/jobs/contract-terms-of-reference-for-the-preparation-of-the-png-eiti-2020-report/" TargetMode="External"/><Relationship Id="rId53" Type="http://schemas.openxmlformats.org/officeDocument/2006/relationships/hyperlink" Target="http://www.pngeiti.org.pg/wp-content/uploads/2018/04/Minutes-of-MSG-Meeting-01.pdf" TargetMode="External"/><Relationship Id="rId58" Type="http://schemas.openxmlformats.org/officeDocument/2006/relationships/hyperlink" Target="http://www.pngeiti.org.pg/wp-content/uploads/2018/04/Minutes-of-MSG-Meeting-01.pdf" TargetMode="External"/><Relationship Id="rId74" Type="http://schemas.openxmlformats.org/officeDocument/2006/relationships/hyperlink" Target="http://www.pngeiti.org.pg/wp-content/uploads/2021/07/PNGEITI-SOE-Scoping-Study-Report-090721.pdf" TargetMode="External"/><Relationship Id="rId79" Type="http://schemas.openxmlformats.org/officeDocument/2006/relationships/hyperlink" Target="https://adamsmithinternational.com/news/institutionalising-transparency-in-the-extractives-sector-in-png/" TargetMode="External"/><Relationship Id="rId102" Type="http://schemas.openxmlformats.org/officeDocument/2006/relationships/hyperlink" Target="http://www.pngeiti.org.pg/wp-content/uploads/2019/01/PNGEITI-2017-Annual-Progress-Report-.pdf" TargetMode="External"/><Relationship Id="rId123" Type="http://schemas.openxmlformats.org/officeDocument/2006/relationships/hyperlink" Target="https://www.facebook.com/pngeitipng/" TargetMode="External"/><Relationship Id="rId128" Type="http://schemas.openxmlformats.org/officeDocument/2006/relationships/hyperlink" Target="http://www.pngeiti.org.pg/wp-content/uploads/2018/04/TOR-for-BO-Report-Preparation-1.pdf" TargetMode="External"/><Relationship Id="rId144" Type="http://schemas.openxmlformats.org/officeDocument/2006/relationships/hyperlink" Target="https://oktedi.com/who-we-are/annual-performance/" TargetMode="External"/><Relationship Id="rId149" Type="http://schemas.openxmlformats.org/officeDocument/2006/relationships/hyperlink" Target="https://www.mfat.govt.nz/assets/Uploads/Papua-New-Guinea-Country-Programme-Evaluation-Development-Context.pdf" TargetMode="External"/><Relationship Id="rId5" Type="http://schemas.openxmlformats.org/officeDocument/2006/relationships/numbering" Target="numbering.xml"/><Relationship Id="rId90" Type="http://schemas.openxmlformats.org/officeDocument/2006/relationships/hyperlink" Target="https://www.pngeiti.org.pg/promotional-videos/" TargetMode="External"/><Relationship Id="rId95" Type="http://schemas.openxmlformats.org/officeDocument/2006/relationships/hyperlink" Target="http://www.pngeiti.org.pg/" TargetMode="External"/><Relationship Id="rId160" Type="http://schemas.openxmlformats.org/officeDocument/2006/relationships/fontTable" Target="fontTable.xml"/><Relationship Id="rId22" Type="http://schemas.openxmlformats.org/officeDocument/2006/relationships/hyperlink" Target="http://www.pngeiti.org.pg/wp-content/uploads/2021/06/PNGEITI-BO-Report.pdf" TargetMode="External"/><Relationship Id="rId27" Type="http://schemas.openxmlformats.org/officeDocument/2006/relationships/hyperlink" Target="http://www.pngeiti.org.pg/wp-content/uploads/2022/02/PNGEITI-Contract-Transparency-Report-Final-Copy.pdf" TargetMode="External"/><Relationship Id="rId43" Type="http://schemas.openxmlformats.org/officeDocument/2006/relationships/hyperlink" Target="https://www.pngeiti.org.pg/1923-2/" TargetMode="External"/><Relationship Id="rId48" Type="http://schemas.openxmlformats.org/officeDocument/2006/relationships/hyperlink" Target="http://www.pngeiti.org.pg/wp-content/uploads/2018/04/2022-Signed-Project-Completion-Report-by-JICA-Expert-team..pdf" TargetMode="External"/><Relationship Id="rId64" Type="http://schemas.openxmlformats.org/officeDocument/2006/relationships/hyperlink" Target="https://oktedi.com/who-we-are/annual-performance/" TargetMode="External"/><Relationship Id="rId69" Type="http://schemas.openxmlformats.org/officeDocument/2006/relationships/hyperlink" Target="http://www.pngeiti.org.pg/wp-content/uploads/2021/07/PNGEITI-SOE-Scoping-Study-Report-090721.pdf" TargetMode="External"/><Relationship Id="rId113" Type="http://schemas.openxmlformats.org/officeDocument/2006/relationships/hyperlink" Target="http://www.pngeiti.org.pg/wp-content/uploads/2022/02/EiTi-Progress-Annual-Report_2020.pdf" TargetMode="External"/><Relationship Id="rId118" Type="http://schemas.openxmlformats.org/officeDocument/2006/relationships/hyperlink" Target="http://www.pngeiti.org.pg/wp-content/uploads/2022/02/EiTi-Progress-Annual-Report_2020.pdf" TargetMode="External"/><Relationship Id="rId134" Type="http://schemas.openxmlformats.org/officeDocument/2006/relationships/hyperlink" Target="http://www.pngeiti.org.pg/wp-content/uploads/2021/07/PNGEITI-SOE-Scoping-Study-Report-090721.pdf" TargetMode="External"/><Relationship Id="rId139" Type="http://schemas.openxmlformats.org/officeDocument/2006/relationships/hyperlink" Target="http://www.pngeiti.org.pg/reports/" TargetMode="External"/><Relationship Id="rId80" Type="http://schemas.openxmlformats.org/officeDocument/2006/relationships/hyperlink" Target="http://www.pngeiti.org.pg/wp-content/uploads/2018/04/2013-NEC-Decision-No.-90.pdf" TargetMode="External"/><Relationship Id="rId85" Type="http://schemas.openxmlformats.org/officeDocument/2006/relationships/hyperlink" Target="http://www.pngeiti.org.pg/wp-content/uploads/2018/04/PNG-Open-Data-Policy-and-Framework.pdf" TargetMode="External"/><Relationship Id="rId150" Type="http://schemas.openxmlformats.org/officeDocument/2006/relationships/hyperlink" Target="https://www.businessadvantagepng.com/transparency-initiative-report-calls-for-improved-systems-in-extraction-sector/" TargetMode="External"/><Relationship Id="rId155" Type="http://schemas.openxmlformats.org/officeDocument/2006/relationships/header" Target="header2.xml"/><Relationship Id="rId12" Type="http://schemas.openxmlformats.org/officeDocument/2006/relationships/hyperlink" Target="http://www.pngeiti.org.pg/wp-content/uploads/2018/04/Minutes-of-MSG-Meeting-No.03-of-2021.pdf" TargetMode="External"/><Relationship Id="rId17" Type="http://schemas.openxmlformats.org/officeDocument/2006/relationships/hyperlink" Target="http://www.pngeiti.org.pg/wp-content/uploads/2018/04/Minutes-of-MSG-Meeting-No.03-of-2021.pdf" TargetMode="External"/><Relationship Id="rId33" Type="http://schemas.openxmlformats.org/officeDocument/2006/relationships/hyperlink" Target="http://www.pngeiti.org.pg/wp-content/uploads/2018/04/2022-Signed-Project-Completion-Report-by-JICA-Expert-team..pdf" TargetMode="External"/><Relationship Id="rId38" Type="http://schemas.openxmlformats.org/officeDocument/2006/relationships/hyperlink" Target="http://www.pngeiti.org.pg/jobs/calling-for-expressions-of-interest-eoi-for-the-preparation-of-the-year-2020-png-eiti-report/" TargetMode="External"/><Relationship Id="rId59" Type="http://schemas.openxmlformats.org/officeDocument/2006/relationships/hyperlink" Target="https://petroleum.gov.pg/wp-content/uploads/2022/03/2019-PNG-LNG-Exports.pdf" TargetMode="External"/><Relationship Id="rId103" Type="http://schemas.openxmlformats.org/officeDocument/2006/relationships/hyperlink" Target="http://www.pngeiti.org.pg/wp-content/uploads/2019/01/PNGEITI-2017-Annual-Progress-Report-.pdf" TargetMode="External"/><Relationship Id="rId108" Type="http://schemas.openxmlformats.org/officeDocument/2006/relationships/hyperlink" Target="http://www.pngeiti.org.pg/wp-content/uploads/2019/10/2019-Q1-Q2-Newsletter.pdf" TargetMode="External"/><Relationship Id="rId124" Type="http://schemas.openxmlformats.org/officeDocument/2006/relationships/hyperlink" Target="https://pg.linkedin.com/company/png-extractive-industries-transparency-initiative" TargetMode="External"/><Relationship Id="rId129" Type="http://schemas.openxmlformats.org/officeDocument/2006/relationships/hyperlink" Target="http://www.pngeiti.org.pg/wp-content/uploads/2021/06/PNGEITI-BO-Report.pdf" TargetMode="External"/><Relationship Id="rId54" Type="http://schemas.openxmlformats.org/officeDocument/2006/relationships/hyperlink" Target="http://www.pngeiti.org.pg/wp-content/uploads/2018/04/2022-Signed-Project-Completion-Report-by-JICA-Expert-team..pdf" TargetMode="External"/><Relationship Id="rId70" Type="http://schemas.openxmlformats.org/officeDocument/2006/relationships/hyperlink" Target="http://www.pngeiti.org.pg/wp-content/uploads/2021/07/PNGEITI-SOE-Scoping-Study-Report-090721.pdf" TargetMode="External"/><Relationship Id="rId75" Type="http://schemas.openxmlformats.org/officeDocument/2006/relationships/hyperlink" Target="http://www.pngeiti.org.pg/2020-validation/" TargetMode="External"/><Relationship Id="rId91" Type="http://schemas.openxmlformats.org/officeDocument/2006/relationships/hyperlink" Target="https://www.pngeiti.org.pg/category/latest-news/" TargetMode="External"/><Relationship Id="rId96" Type="http://schemas.openxmlformats.org/officeDocument/2006/relationships/hyperlink" Target="https://www.thenational.com.pg/extractive-industry-drives-economy/" TargetMode="External"/><Relationship Id="rId140" Type="http://schemas.openxmlformats.org/officeDocument/2006/relationships/hyperlink" Target="https://petroleum.gov.pg/" TargetMode="External"/><Relationship Id="rId145" Type="http://schemas.openxmlformats.org/officeDocument/2006/relationships/hyperlink" Target="https://www.mrdc.com.pg/index.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ngeiti.org.pg/wp-content/uploads/2018/04/Minutes-of-MSG-Meeting-No.03-of-2021.pdf" TargetMode="External"/><Relationship Id="rId23" Type="http://schemas.openxmlformats.org/officeDocument/2006/relationships/hyperlink" Target="http://www.pngeiti.org.pg/wp-content/uploads/2019/07/PNGEITI-Subnational-Payments-Report-May-2019.pdf" TargetMode="External"/><Relationship Id="rId28" Type="http://schemas.openxmlformats.org/officeDocument/2006/relationships/hyperlink" Target="http://www.pngeiti.org.pg/wp-content/uploads/2018/04/2022-Signed-Project-Completion-Report-by-JICA-Expert-team..pdf" TargetMode="External"/><Relationship Id="rId36" Type="http://schemas.openxmlformats.org/officeDocument/2006/relationships/hyperlink" Target="http://www.pngeiti.org.pg/wp-content/uploads/2021/03/2021-PNGEITI-Workplan-updated-final.pdf" TargetMode="External"/><Relationship Id="rId49" Type="http://schemas.openxmlformats.org/officeDocument/2006/relationships/hyperlink" Target="https://petroleum.gov.pg/dpe-eiti/" TargetMode="External"/><Relationship Id="rId57" Type="http://schemas.openxmlformats.org/officeDocument/2006/relationships/hyperlink" Target="https://petroleum.gov.pg/dpe-eiti/" TargetMode="External"/><Relationship Id="rId106" Type="http://schemas.openxmlformats.org/officeDocument/2006/relationships/hyperlink" Target="http://www.pngeiti.org.pg/wp-content/uploads/2019/11/PNGEITI-2018-Annual-Progress-Report-.pdf" TargetMode="External"/><Relationship Id="rId114" Type="http://schemas.openxmlformats.org/officeDocument/2006/relationships/hyperlink" Target="http://www.pngeiti.org.pg/wp-content/uploads/2022/02/EiTi-Progress-Annual-Report_2020.pdf" TargetMode="External"/><Relationship Id="rId119" Type="http://schemas.openxmlformats.org/officeDocument/2006/relationships/hyperlink" Target="http://www.pngeiti.org.pg/wp-content/uploads/2022/02/EiTi-Progress-Annual-Report_2020.pdf" TargetMode="External"/><Relationship Id="rId127" Type="http://schemas.openxmlformats.org/officeDocument/2006/relationships/hyperlink" Target="http://www.pngeiti.org.pg/wp-content/uploads/2018/04/PNGEITI-Roadmap-Implementation-Manager-Completion-report-phase-2.pdf" TargetMode="External"/><Relationship Id="rId10" Type="http://schemas.openxmlformats.org/officeDocument/2006/relationships/endnotes" Target="endnotes.xml"/><Relationship Id="rId31" Type="http://schemas.openxmlformats.org/officeDocument/2006/relationships/hyperlink" Target="http://www.pngeiti.org.pg/wp-content/uploads/2018/04/20180803_-Wafi-Gold-Outreach-Report.pdf" TargetMode="External"/><Relationship Id="rId44" Type="http://schemas.openxmlformats.org/officeDocument/2006/relationships/hyperlink" Target="http://www.pngeiti.org.pg/wp-content/uploads/2018/04/2022-Signed-Project-Completion-Report-by-JICA-Expert-team..pdf" TargetMode="External"/><Relationship Id="rId52" Type="http://schemas.openxmlformats.org/officeDocument/2006/relationships/hyperlink" Target="http://www.pngeiti.org.pg/wp-content/uploads/2021/09/TOR-for-FY2020-PNGEITI-Report.pdf" TargetMode="External"/><Relationship Id="rId60" Type="http://schemas.openxmlformats.org/officeDocument/2006/relationships/hyperlink" Target="http://www.pngeiti.org.pg/wp-content/uploads/2021/09/TOR-for-FY2020-PNGEITI-Report.pdf" TargetMode="External"/><Relationship Id="rId65" Type="http://schemas.openxmlformats.org/officeDocument/2006/relationships/hyperlink" Target="http://www.pngeiti.org.pg/wp-content/uploads/2018/04/2020-Validation-Meeting-with-AGO_TWG.pdf" TargetMode="External"/><Relationship Id="rId73" Type="http://schemas.openxmlformats.org/officeDocument/2006/relationships/hyperlink" Target="http://www.pngeiti.org.pg/wp-content/uploads/2021/07/PNGEITI-SOE-Scoping-Study-Report-090721.pdf" TargetMode="External"/><Relationship Id="rId78" Type="http://schemas.openxmlformats.org/officeDocument/2006/relationships/hyperlink" Target="http://www.pngeiti.org.pg/wp-content/uploads/2018/04/PNG-EITI-National-Policy_Draft-Final-1.pdf" TargetMode="External"/><Relationship Id="rId81" Type="http://schemas.openxmlformats.org/officeDocument/2006/relationships/hyperlink" Target="https://www.opengovpartnership.org/members/papua-new-guinea/" TargetMode="External"/><Relationship Id="rId86" Type="http://schemas.openxmlformats.org/officeDocument/2006/relationships/hyperlink" Target="http://www.pngeiti.org.pg/reports/" TargetMode="External"/><Relationship Id="rId94" Type="http://schemas.openxmlformats.org/officeDocument/2006/relationships/hyperlink" Target="https://www.pngeiti.org.pg/2020-validation/" TargetMode="External"/><Relationship Id="rId99" Type="http://schemas.openxmlformats.org/officeDocument/2006/relationships/hyperlink" Target="https://www.thenational.com.pg/mining-petroleum-firms-also-pay-taxes-chamber/" TargetMode="External"/><Relationship Id="rId101" Type="http://schemas.openxmlformats.org/officeDocument/2006/relationships/hyperlink" Target="http://www.pngeiti.org.pg/wp-content/uploads/2019/01/PNGEITI-2017-Annual-Progress-Report-.pdf" TargetMode="External"/><Relationship Id="rId122" Type="http://schemas.openxmlformats.org/officeDocument/2006/relationships/hyperlink" Target="http://www.pngeiti.org.pg/impact-newsletter-issues/" TargetMode="External"/><Relationship Id="rId130" Type="http://schemas.openxmlformats.org/officeDocument/2006/relationships/hyperlink" Target="http://www.pngeiti.org.pg/beneficial-ownership-reporting/" TargetMode="External"/><Relationship Id="rId135" Type="http://schemas.openxmlformats.org/officeDocument/2006/relationships/hyperlink" Target="http://www.pngeiti.org.pg/wp-content/uploads/2021/07/PNGEITI-SOE-Scoping-Study-Report-090721.pdf" TargetMode="External"/><Relationship Id="rId143" Type="http://schemas.openxmlformats.org/officeDocument/2006/relationships/hyperlink" Target="https://kumulpetroleum.com/licence-interests/" TargetMode="External"/><Relationship Id="rId148" Type="http://schemas.openxmlformats.org/officeDocument/2006/relationships/hyperlink" Target="https://png.embassy.gov.au/pmsb/810.html" TargetMode="External"/><Relationship Id="rId151" Type="http://schemas.openxmlformats.org/officeDocument/2006/relationships/hyperlink" Target="http://www.pngeiti.org.pg/wp-content/uploads/2022/03/DRAFT-2-Consolidated-Regional-Consultation-Report-PNGEIT-Commission-Bill.pdf" TargetMode="Externa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ngeiti.org.pg/pngeiti-annual-workplans/" TargetMode="External"/><Relationship Id="rId18" Type="http://schemas.openxmlformats.org/officeDocument/2006/relationships/hyperlink" Target="http://www.pngeiti.org.pg/wp-content/uploads/2021/06/2011-NEC-Decision-No-.47.pdf" TargetMode="External"/><Relationship Id="rId39" Type="http://schemas.openxmlformats.org/officeDocument/2006/relationships/hyperlink" Target="http://www.pngeiti.org.pg/wp-content/uploads/2021/06/PNGEITI-BO-Report.pdf" TargetMode="External"/><Relationship Id="rId109" Type="http://schemas.openxmlformats.org/officeDocument/2006/relationships/hyperlink" Target="http://www.pngeiti.org.pg/wp-content/uploads/2019/10/2019-Q1-Q2-Newsletter.pdf" TargetMode="External"/><Relationship Id="rId34" Type="http://schemas.openxmlformats.org/officeDocument/2006/relationships/hyperlink" Target="https://www.treasury.gov.pg/html/national_budget/files/2022/Volume1.pdf" TargetMode="External"/><Relationship Id="rId50" Type="http://schemas.openxmlformats.org/officeDocument/2006/relationships/hyperlink" Target="https://portal.mra.gov.pg/Site/MapPage.aspx?PageID=e735c534-5f4e-4b2b-a544-89b90357e0f1" TargetMode="External"/><Relationship Id="rId55" Type="http://schemas.openxmlformats.org/officeDocument/2006/relationships/hyperlink" Target="https://petroleum.gov.pg/dpe-eiti/" TargetMode="External"/><Relationship Id="rId76" Type="http://schemas.openxmlformats.org/officeDocument/2006/relationships/hyperlink" Target="http://www.pngeiti.org.pg/wp-content/uploads/2018/04/PNG-EITI-National-Policy_Draft-Final-1.pdf" TargetMode="External"/><Relationship Id="rId97" Type="http://schemas.openxmlformats.org/officeDocument/2006/relationships/hyperlink" Target="https://postcourier.com.pg/govt-not-receving-fair-share-study/" TargetMode="External"/><Relationship Id="rId104" Type="http://schemas.openxmlformats.org/officeDocument/2006/relationships/hyperlink" Target="http://www.pngeiti.org.pg/wp-content/uploads/2019/01/PNGEITI-2017-Annual-Progress-Report-.pdf" TargetMode="External"/><Relationship Id="rId120" Type="http://schemas.openxmlformats.org/officeDocument/2006/relationships/hyperlink" Target="http://www.pngeiti.org.pg/wp-content/uploads/2021/05/2021-Q1-Newsletter.pdf" TargetMode="External"/><Relationship Id="rId125" Type="http://schemas.openxmlformats.org/officeDocument/2006/relationships/hyperlink" Target="http://www.pngeiti.org.pg/wp-content/uploads/2019/12/2019-Q3-Q4-Newsletter.pdf" TargetMode="External"/><Relationship Id="rId141" Type="http://schemas.openxmlformats.org/officeDocument/2006/relationships/hyperlink" Target="https://mra.gov.pg/" TargetMode="External"/><Relationship Id="rId146" Type="http://schemas.openxmlformats.org/officeDocument/2006/relationships/hyperlink" Target="https://devpolicy.org/papua-new-guineas-disappearing-resource-revenues-20180815/" TargetMode="External"/><Relationship Id="rId7" Type="http://schemas.openxmlformats.org/officeDocument/2006/relationships/settings" Target="settings.xml"/><Relationship Id="rId71" Type="http://schemas.openxmlformats.org/officeDocument/2006/relationships/hyperlink" Target="http://www.pngeiti.org.pg/wp-content/uploads/2018/04/Minutes-of-MSG-Meeting-01.pdf" TargetMode="External"/><Relationship Id="rId92" Type="http://schemas.openxmlformats.org/officeDocument/2006/relationships/hyperlink" Target="https://www.pngeiti.org.pg/impact-newsletter-issues/" TargetMode="External"/><Relationship Id="rId162" Type="http://schemas.microsoft.com/office/2018/08/relationships/commentsExtensible" Target="commentsExtensible.xml"/><Relationship Id="rId2" Type="http://schemas.openxmlformats.org/officeDocument/2006/relationships/customXml" Target="../customXml/item2.xml"/><Relationship Id="rId29" Type="http://schemas.openxmlformats.org/officeDocument/2006/relationships/hyperlink" Target="http://www.pngeiti.org.pg/wp-content/uploads/2018/04/2022-Signed-Project-Completion-Report-by-JICA-Expert-team..pdf" TargetMode="External"/><Relationship Id="rId24" Type="http://schemas.openxmlformats.org/officeDocument/2006/relationships/hyperlink" Target="http://www.pngeiti.org.pg/wp-content/uploads/2018/04/2020-Education-Mainstreaming-Draft-Report.pdf" TargetMode="External"/><Relationship Id="rId40" Type="http://schemas.openxmlformats.org/officeDocument/2006/relationships/hyperlink" Target="http://www.pngeiti.org.pg/wp-content/uploads/2021/07/PNGEITI-SOE-Scoping-Study-Report-090721.pdf" TargetMode="External"/><Relationship Id="rId45" Type="http://schemas.openxmlformats.org/officeDocument/2006/relationships/hyperlink" Target="https://petroleum.gov.pg/dpe-eiti/" TargetMode="External"/><Relationship Id="rId66" Type="http://schemas.openxmlformats.org/officeDocument/2006/relationships/hyperlink" Target="http://www.pngeiti.org.pg/wp-content/uploads/2018/04/2020-IRC-TWG-Validation-Minutes.pdf" TargetMode="External"/><Relationship Id="rId87" Type="http://schemas.openxmlformats.org/officeDocument/2006/relationships/hyperlink" Target="http://www.pngeiti.org.pg/summary-data-sheets/" TargetMode="External"/><Relationship Id="rId110" Type="http://schemas.openxmlformats.org/officeDocument/2006/relationships/hyperlink" Target="http://www.pngeiti.org.pg/wp-content/uploads/2019/10/2019-Q1-Q2-Newsletter.pdf" TargetMode="External"/><Relationship Id="rId115" Type="http://schemas.openxmlformats.org/officeDocument/2006/relationships/hyperlink" Target="http://www.pngeiti.org.pg/wp-content/uploads/2022/02/EiTi-Progress-Annual-Report_2020.pdf" TargetMode="External"/><Relationship Id="rId131" Type="http://schemas.openxmlformats.org/officeDocument/2006/relationships/hyperlink" Target="http://www.pngeiti.org.pg/wp-content/uploads/2018/04/PNGEITI-BO-Disclosure-Pilot-Phase.pdf" TargetMode="External"/><Relationship Id="rId136" Type="http://schemas.openxmlformats.org/officeDocument/2006/relationships/hyperlink" Target="http://www.pngeiti.org.pg/wp-content/uploads/2021/07/PNGEITI-SOE-Scoping-Study-Report-090721.pdf" TargetMode="External"/><Relationship Id="rId157" Type="http://schemas.openxmlformats.org/officeDocument/2006/relationships/footer" Target="footer2.xml"/><Relationship Id="R656e8b3130494149" Type="http://schemas.microsoft.com/office/2019/09/relationships/intelligence" Target="intelligence.xml"/><Relationship Id="rId61" Type="http://schemas.openxmlformats.org/officeDocument/2006/relationships/hyperlink" Target="http://www.pngeiti.org.pg/wp-content/uploads/2018/04/2022-Signed-Project-Completion-Report-by-JICA-Expert-team..pdf" TargetMode="External"/><Relationship Id="rId82" Type="http://schemas.openxmlformats.org/officeDocument/2006/relationships/hyperlink" Target="https://www.opengovpartnership.org/documents/papua-new-guinea-action-plan-2018-2020/" TargetMode="External"/><Relationship Id="rId152" Type="http://schemas.openxmlformats.org/officeDocument/2006/relationships/hyperlink" Target="http://www.pngeiti.org.pg/wp-content/uploads/2018/04/Duty-Travel-Report-Woodlark-MOA-Forum.pdf" TargetMode="External"/><Relationship Id="rId19" Type="http://schemas.openxmlformats.org/officeDocument/2006/relationships/hyperlink" Target="http://www.pngeiti.org.pg/wp-content/uploads/2021/06/2017-NEC-Decision-No.-91.pdf" TargetMode="External"/><Relationship Id="rId14" Type="http://schemas.openxmlformats.org/officeDocument/2006/relationships/hyperlink" Target="http://www.pngeiti.org.pg/wp-content/uploads/2021/12/2022-Workplan.pdf" TargetMode="External"/><Relationship Id="rId30" Type="http://schemas.openxmlformats.org/officeDocument/2006/relationships/hyperlink" Target="http://www.pngeiti.org.pg/wp-content/uploads/2018/04/Duty-Travel-Report-Woodlark-MOA-Forum.pdf" TargetMode="External"/><Relationship Id="rId35" Type="http://schemas.openxmlformats.org/officeDocument/2006/relationships/hyperlink" Target="https://www.pngeiti.org.pg/2020-validation/" TargetMode="External"/><Relationship Id="rId56" Type="http://schemas.openxmlformats.org/officeDocument/2006/relationships/hyperlink" Target="http://www.pngeiti.org.pg/wp-content/uploads/2022/02/Minutes-MSG-Pre-validation-assessment-workshop.pdf" TargetMode="External"/><Relationship Id="rId77" Type="http://schemas.openxmlformats.org/officeDocument/2006/relationships/hyperlink" Target="http://www.pngeiti.org.pg/wp-content/uploads/2021/06/2019-NEC-Decision-No.-80.pdf" TargetMode="External"/><Relationship Id="rId100" Type="http://schemas.openxmlformats.org/officeDocument/2006/relationships/hyperlink" Target="https://www.devpolicy.org/2019-Pacific-Update/PNG-Blog-booklet-18-19-Web-FINAL.pdf" TargetMode="External"/><Relationship Id="rId105" Type="http://schemas.openxmlformats.org/officeDocument/2006/relationships/hyperlink" Target="http://www.pngeiti.org.pg/wp-content/uploads/2019/11/PNGEITI-2018-Annual-Progress-Report-.pdf" TargetMode="External"/><Relationship Id="rId126" Type="http://schemas.openxmlformats.org/officeDocument/2006/relationships/hyperlink" Target="http://www.pngeiti.org.pg/wp-content/uploads/2018/04/104-PNGEITI_-Media-Communication-Strategy-2022-2023_final_v0406-002-Autosaved-converted.pdf" TargetMode="External"/><Relationship Id="rId147" Type="http://schemas.openxmlformats.org/officeDocument/2006/relationships/hyperlink" Target="https://squarecircle.org/portfolio/pngeiti-capacity-building-program/" TargetMode="External"/><Relationship Id="rId8" Type="http://schemas.openxmlformats.org/officeDocument/2006/relationships/webSettings" Target="webSettings.xml"/><Relationship Id="rId51" Type="http://schemas.openxmlformats.org/officeDocument/2006/relationships/hyperlink" Target="http://www.pngeiti.org.pg/wp-content/uploads/2021/07/PNGEITI-SOE-Scoping-Study-Report-090721.pdf" TargetMode="External"/><Relationship Id="rId72" Type="http://schemas.openxmlformats.org/officeDocument/2006/relationships/hyperlink" Target="http://www.pngeiti.org.pg/wp-content/uploads/2021/09/TOR-for-FY2020-PNGEITI-Report.pdf" TargetMode="External"/><Relationship Id="rId93" Type="http://schemas.openxmlformats.org/officeDocument/2006/relationships/hyperlink" Target="http://www.pngeiti.org.pg/factsheet/" TargetMode="External"/><Relationship Id="rId98" Type="http://schemas.openxmlformats.org/officeDocument/2006/relationships/hyperlink" Target="https://www.thenational.com.pg/govt-not-getting-share-of-resource-benefits-report/" TargetMode="External"/><Relationship Id="rId121" Type="http://schemas.openxmlformats.org/officeDocument/2006/relationships/hyperlink" Target="http://www.pngeiti.org.pg/wp-content/uploads/2018/04/20180803_-Wafi-Gold-Outreach-Report.pdf" TargetMode="External"/><Relationship Id="rId142" Type="http://schemas.openxmlformats.org/officeDocument/2006/relationships/hyperlink" Target="https://png-data.sprep.org/dataset/extractive-industry" TargetMode="External"/><Relationship Id="rId3" Type="http://schemas.openxmlformats.org/officeDocument/2006/relationships/customXml" Target="../customXml/item3.xml"/><Relationship Id="rId25" Type="http://schemas.openxmlformats.org/officeDocument/2006/relationships/hyperlink" Target="http://www.pngeiti.org.pg/wp-content/uploads/2018/04/Terms-of-Reference-TOR-Electronic-data-platform-EITI.pdf" TargetMode="External"/><Relationship Id="rId46" Type="http://schemas.openxmlformats.org/officeDocument/2006/relationships/hyperlink" Target="http://www.pngeiti.org.pg/wp-content/uploads/2018/04/2020-DPE-Response-Letter-on-uploading-of-data.pdf" TargetMode="External"/><Relationship Id="rId67" Type="http://schemas.openxmlformats.org/officeDocument/2006/relationships/hyperlink" Target="http://www.pngeiti.org.pg/wp-content/uploads/2021/07/PNGEITI-SOE-Scoping-Study-Report-090721.pdf" TargetMode="External"/><Relationship Id="rId116" Type="http://schemas.openxmlformats.org/officeDocument/2006/relationships/hyperlink" Target="http://www.pngeiti.org.pg/wp-content/uploads/2022/02/EiTi-Progress-Annual-Report_2020.pdf" TargetMode="External"/><Relationship Id="rId137" Type="http://schemas.openxmlformats.org/officeDocument/2006/relationships/hyperlink" Target="http://www.pngeiti.org.pg/wp-content/uploads/2021/07/PNGEITI-SOE-Scoping-Study-Report-090721.pdf" TargetMode="External"/><Relationship Id="rId158" Type="http://schemas.openxmlformats.org/officeDocument/2006/relationships/header" Target="header3.xml"/><Relationship Id="rId20" Type="http://schemas.openxmlformats.org/officeDocument/2006/relationships/hyperlink" Target="http://www.pngeiti.org.pg/wp-content/uploads/2021/06/2019-NEC-Decision-No.-80.pdf" TargetMode="External"/><Relationship Id="rId41" Type="http://schemas.openxmlformats.org/officeDocument/2006/relationships/hyperlink" Target="http://www.pngeiti.org.pg/wp-content/uploads/2018/04/Email-circular-for-approval-of-2021-APR.pdf" TargetMode="External"/><Relationship Id="rId62" Type="http://schemas.openxmlformats.org/officeDocument/2006/relationships/hyperlink" Target="https://oktedi.com/who-we-are/annual-performance/" TargetMode="External"/><Relationship Id="rId83" Type="http://schemas.openxmlformats.org/officeDocument/2006/relationships/hyperlink" Target="http://www.pngeiti.org.pg/1923-2/" TargetMode="External"/><Relationship Id="rId88" Type="http://schemas.openxmlformats.org/officeDocument/2006/relationships/hyperlink" Target="http://www.pngeiti.org.pg/" TargetMode="External"/><Relationship Id="rId111" Type="http://schemas.openxmlformats.org/officeDocument/2006/relationships/hyperlink" Target="http://www.pngeiti.org.pg/wp-content/uploads/2019/12/2019-Q3-Q4-Newsletter.pdf" TargetMode="External"/><Relationship Id="rId132" Type="http://schemas.openxmlformats.org/officeDocument/2006/relationships/hyperlink" Target="https://www.ipa.gov.pg/forms-for-download/companies/" TargetMode="External"/><Relationship Id="rId153" Type="http://schemas.openxmlformats.org/officeDocument/2006/relationships/hyperlink" Target="http://www.pngeiti.org.pg/2020-vali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pg/html/publications/files/pub_files/2011/png-development-strategic-plan.2010-2030.pdf" TargetMode="External"/><Relationship Id="rId1" Type="http://schemas.openxmlformats.org/officeDocument/2006/relationships/hyperlink" Target="https://www.treasury.gov.pg/html/publications/files/pub_files/2011/2011.png.vision.205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1" ma:contentTypeDescription="Create a new document." ma:contentTypeScope="" ma:versionID="317a6cb8f9c6b8fda06f4a2cbbda8cfd">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b7a75cb206719f87fb03e156f49107f0"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e5f84dc2-8d0a-4b0b-b04b-22a5c9c54e51">
      <Terms xmlns="http://schemas.microsoft.com/office/infopath/2007/PartnerControls"/>
    </lcf76f155ced4ddcb4097134ff3c332f>
    <TaxCatchAll xmlns="84cc2e55-354e-4d6d-a994-23520a6368b5" xsi:nil="true"/>
    <Status xmlns="e5f84dc2-8d0a-4b0b-b04b-22a5c9c54e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4334-0B94-4B0D-AFEB-29291B87FC15}"/>
</file>

<file path=customXml/itemProps2.xml><?xml version="1.0" encoding="utf-8"?>
<ds:datastoreItem xmlns:ds="http://schemas.openxmlformats.org/officeDocument/2006/customXml" ds:itemID="{B6FFFAC5-DE6B-4737-9F51-698482978141}">
  <ds:schemaRefs>
    <ds:schemaRef ds:uri="a35e6ff3-c63b-415a-bef4-c0aad7e6ea9e"/>
    <ds:schemaRef ds:uri="http://schemas.microsoft.com/office/2006/documentManagement/types"/>
    <ds:schemaRef ds:uri="b06cb318-9a1e-49ed-9343-9cf76b318de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976C4C56-09DE-4F1E-831C-D57206EE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52</Pages>
  <Words>20255</Words>
  <Characters>115456</Characters>
  <Application>Microsoft Office Word</Application>
  <DocSecurity>4</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135441</CharactersWithSpaces>
  <SharedDoc>false</SharedDoc>
  <HLinks>
    <vt:vector size="714" baseType="variant">
      <vt:variant>
        <vt:i4>7209006</vt:i4>
      </vt:variant>
      <vt:variant>
        <vt:i4>390</vt:i4>
      </vt:variant>
      <vt:variant>
        <vt:i4>0</vt:i4>
      </vt:variant>
      <vt:variant>
        <vt:i4>5</vt:i4>
      </vt:variant>
      <vt:variant>
        <vt:lpwstr>https://ccop-gsi.org/gsi/pngwebgisportal/index.php</vt:lpwstr>
      </vt:variant>
      <vt:variant>
        <vt:lpwstr/>
      </vt:variant>
      <vt:variant>
        <vt:i4>4915274</vt:i4>
      </vt:variant>
      <vt:variant>
        <vt:i4>387</vt:i4>
      </vt:variant>
      <vt:variant>
        <vt:i4>0</vt:i4>
      </vt:variant>
      <vt:variant>
        <vt:i4>5</vt:i4>
      </vt:variant>
      <vt:variant>
        <vt:lpwstr>http://www.pngeiti.org.pg/wp-content/uploads/2021/06/2013-NEC-Decision-No.-90.pdf</vt:lpwstr>
      </vt:variant>
      <vt:variant>
        <vt:lpwstr/>
      </vt:variant>
      <vt:variant>
        <vt:i4>786443</vt:i4>
      </vt:variant>
      <vt:variant>
        <vt:i4>384</vt:i4>
      </vt:variant>
      <vt:variant>
        <vt:i4>0</vt:i4>
      </vt:variant>
      <vt:variant>
        <vt:i4>5</vt:i4>
      </vt:variant>
      <vt:variant>
        <vt:lpwstr>http://www.pngeiti.org.pg/wp-content/uploads/2021/07/PNGEITI-SOE-Scoping-Study-Report-090721.pdf</vt:lpwstr>
      </vt:variant>
      <vt:variant>
        <vt:lpwstr/>
      </vt:variant>
      <vt:variant>
        <vt:i4>786443</vt:i4>
      </vt:variant>
      <vt:variant>
        <vt:i4>380</vt:i4>
      </vt:variant>
      <vt:variant>
        <vt:i4>0</vt:i4>
      </vt:variant>
      <vt:variant>
        <vt:i4>5</vt:i4>
      </vt:variant>
      <vt:variant>
        <vt:lpwstr>http://www.pngeiti.org.pg/wp-content/uploads/2021/07/PNGEITI-SOE-Scoping-Study-Report-090721.pdf</vt:lpwstr>
      </vt:variant>
      <vt:variant>
        <vt:lpwstr/>
      </vt:variant>
      <vt:variant>
        <vt:i4>786443</vt:i4>
      </vt:variant>
      <vt:variant>
        <vt:i4>378</vt:i4>
      </vt:variant>
      <vt:variant>
        <vt:i4>0</vt:i4>
      </vt:variant>
      <vt:variant>
        <vt:i4>5</vt:i4>
      </vt:variant>
      <vt:variant>
        <vt:lpwstr>http://www.pngeiti.org.pg/wp-content/uploads/2021/07/PNGEITI-SOE-Scoping-Study-Report-090721.pdf</vt:lpwstr>
      </vt:variant>
      <vt:variant>
        <vt:lpwstr/>
      </vt:variant>
      <vt:variant>
        <vt:i4>786443</vt:i4>
      </vt:variant>
      <vt:variant>
        <vt:i4>374</vt:i4>
      </vt:variant>
      <vt:variant>
        <vt:i4>0</vt:i4>
      </vt:variant>
      <vt:variant>
        <vt:i4>5</vt:i4>
      </vt:variant>
      <vt:variant>
        <vt:lpwstr>http://www.pngeiti.org.pg/wp-content/uploads/2021/07/PNGEITI-SOE-Scoping-Study-Report-090721.pdf</vt:lpwstr>
      </vt:variant>
      <vt:variant>
        <vt:lpwstr/>
      </vt:variant>
      <vt:variant>
        <vt:i4>786443</vt:i4>
      </vt:variant>
      <vt:variant>
        <vt:i4>372</vt:i4>
      </vt:variant>
      <vt:variant>
        <vt:i4>0</vt:i4>
      </vt:variant>
      <vt:variant>
        <vt:i4>5</vt:i4>
      </vt:variant>
      <vt:variant>
        <vt:lpwstr>http://www.pngeiti.org.pg/wp-content/uploads/2021/07/PNGEITI-SOE-Scoping-Study-Report-090721.pdf</vt:lpwstr>
      </vt:variant>
      <vt:variant>
        <vt:lpwstr/>
      </vt:variant>
      <vt:variant>
        <vt:i4>4784148</vt:i4>
      </vt:variant>
      <vt:variant>
        <vt:i4>369</vt:i4>
      </vt:variant>
      <vt:variant>
        <vt:i4>0</vt:i4>
      </vt:variant>
      <vt:variant>
        <vt:i4>5</vt:i4>
      </vt:variant>
      <vt:variant>
        <vt:lpwstr>https://www.ipa.gov.pg/forms-for-download/companies/</vt:lpwstr>
      </vt:variant>
      <vt:variant>
        <vt:lpwstr/>
      </vt:variant>
      <vt:variant>
        <vt:i4>3342441</vt:i4>
      </vt:variant>
      <vt:variant>
        <vt:i4>366</vt:i4>
      </vt:variant>
      <vt:variant>
        <vt:i4>0</vt:i4>
      </vt:variant>
      <vt:variant>
        <vt:i4>5</vt:i4>
      </vt:variant>
      <vt:variant>
        <vt:lpwstr>http://www.pngeiti.org.pg/wp-content/uploads/2018/04/PNGEITI-BO-Disclosure-Pilot-Phase.pdf</vt:lpwstr>
      </vt:variant>
      <vt:variant>
        <vt:lpwstr/>
      </vt:variant>
      <vt:variant>
        <vt:i4>1179722</vt:i4>
      </vt:variant>
      <vt:variant>
        <vt:i4>363</vt:i4>
      </vt:variant>
      <vt:variant>
        <vt:i4>0</vt:i4>
      </vt:variant>
      <vt:variant>
        <vt:i4>5</vt:i4>
      </vt:variant>
      <vt:variant>
        <vt:lpwstr>http://www.pngeiti.org.pg/beneficial-ownership-reporting/</vt:lpwstr>
      </vt:variant>
      <vt:variant>
        <vt:lpwstr/>
      </vt:variant>
      <vt:variant>
        <vt:i4>2424951</vt:i4>
      </vt:variant>
      <vt:variant>
        <vt:i4>360</vt:i4>
      </vt:variant>
      <vt:variant>
        <vt:i4>0</vt:i4>
      </vt:variant>
      <vt:variant>
        <vt:i4>5</vt:i4>
      </vt:variant>
      <vt:variant>
        <vt:lpwstr>http://www.pngeiti.org.pg/wp-content/uploads/2021/06/PNGEITI-BO-Report.pdf</vt:lpwstr>
      </vt:variant>
      <vt:variant>
        <vt:lpwstr/>
      </vt:variant>
      <vt:variant>
        <vt:i4>131143</vt:i4>
      </vt:variant>
      <vt:variant>
        <vt:i4>357</vt:i4>
      </vt:variant>
      <vt:variant>
        <vt:i4>0</vt:i4>
      </vt:variant>
      <vt:variant>
        <vt:i4>5</vt:i4>
      </vt:variant>
      <vt:variant>
        <vt:lpwstr>http://www.pngeiti.org.pg/wp-content/uploads/2018/04/TOR-for-BO-Report-Preparation-1.pdf</vt:lpwstr>
      </vt:variant>
      <vt:variant>
        <vt:lpwstr/>
      </vt:variant>
      <vt:variant>
        <vt:i4>4325378</vt:i4>
      </vt:variant>
      <vt:variant>
        <vt:i4>354</vt:i4>
      </vt:variant>
      <vt:variant>
        <vt:i4>0</vt:i4>
      </vt:variant>
      <vt:variant>
        <vt:i4>5</vt:i4>
      </vt:variant>
      <vt:variant>
        <vt:lpwstr>http://www.pngeiti.org.pg/wp-content/uploads/2018/04/PNGEITI-Roadmap-Implementation-Manager-Completion-report-phase-2.pdf</vt:lpwstr>
      </vt:variant>
      <vt:variant>
        <vt:lpwstr/>
      </vt:variant>
      <vt:variant>
        <vt:i4>1835050</vt:i4>
      </vt:variant>
      <vt:variant>
        <vt:i4>351</vt:i4>
      </vt:variant>
      <vt:variant>
        <vt:i4>0</vt:i4>
      </vt:variant>
      <vt:variant>
        <vt:i4>5</vt:i4>
      </vt:variant>
      <vt:variant>
        <vt:lpwstr>http://www.pngeiti.org.pg/wp-content/uploads/2018/04/104-PNGEITI_-Media-Communication-Strategy-2022-2023_final_v0406-002-Autosaved-converted.pdf</vt:lpwstr>
      </vt:variant>
      <vt:variant>
        <vt:lpwstr/>
      </vt:variant>
      <vt:variant>
        <vt:i4>3145782</vt:i4>
      </vt:variant>
      <vt:variant>
        <vt:i4>348</vt:i4>
      </vt:variant>
      <vt:variant>
        <vt:i4>0</vt:i4>
      </vt:variant>
      <vt:variant>
        <vt:i4>5</vt:i4>
      </vt:variant>
      <vt:variant>
        <vt:lpwstr>http://www.pngeiti.org.pg/wp-content/uploads/2019/12/2019-Q3-Q4-Newsletter.pdf</vt:lpwstr>
      </vt:variant>
      <vt:variant>
        <vt:lpwstr/>
      </vt:variant>
      <vt:variant>
        <vt:i4>4718605</vt:i4>
      </vt:variant>
      <vt:variant>
        <vt:i4>345</vt:i4>
      </vt:variant>
      <vt:variant>
        <vt:i4>0</vt:i4>
      </vt:variant>
      <vt:variant>
        <vt:i4>5</vt:i4>
      </vt:variant>
      <vt:variant>
        <vt:lpwstr>https://pg.linkedin.com/company/png-extractive-industries-transparency-initiative</vt:lpwstr>
      </vt:variant>
      <vt:variant>
        <vt:lpwstr/>
      </vt:variant>
      <vt:variant>
        <vt:i4>1048654</vt:i4>
      </vt:variant>
      <vt:variant>
        <vt:i4>342</vt:i4>
      </vt:variant>
      <vt:variant>
        <vt:i4>0</vt:i4>
      </vt:variant>
      <vt:variant>
        <vt:i4>5</vt:i4>
      </vt:variant>
      <vt:variant>
        <vt:lpwstr>https://www.facebook.com/pngeitipng/</vt:lpwstr>
      </vt:variant>
      <vt:variant>
        <vt:lpwstr/>
      </vt:variant>
      <vt:variant>
        <vt:i4>3080295</vt:i4>
      </vt:variant>
      <vt:variant>
        <vt:i4>339</vt:i4>
      </vt:variant>
      <vt:variant>
        <vt:i4>0</vt:i4>
      </vt:variant>
      <vt:variant>
        <vt:i4>5</vt:i4>
      </vt:variant>
      <vt:variant>
        <vt:lpwstr>http://www.pngeiti.org.pg/impact-newsletter-issues/</vt:lpwstr>
      </vt:variant>
      <vt:variant>
        <vt:lpwstr/>
      </vt:variant>
      <vt:variant>
        <vt:i4>2555981</vt:i4>
      </vt:variant>
      <vt:variant>
        <vt:i4>336</vt:i4>
      </vt:variant>
      <vt:variant>
        <vt:i4>0</vt:i4>
      </vt:variant>
      <vt:variant>
        <vt:i4>5</vt:i4>
      </vt:variant>
      <vt:variant>
        <vt:lpwstr>http://www.pngeiti.org.pg/wp-content/uploads/2018/04/20180803_-Wafi-Gold-Outreach-Report.pdf</vt:lpwstr>
      </vt:variant>
      <vt:variant>
        <vt:lpwstr/>
      </vt:variant>
      <vt:variant>
        <vt:i4>2359336</vt:i4>
      </vt:variant>
      <vt:variant>
        <vt:i4>333</vt:i4>
      </vt:variant>
      <vt:variant>
        <vt:i4>0</vt:i4>
      </vt:variant>
      <vt:variant>
        <vt:i4>5</vt:i4>
      </vt:variant>
      <vt:variant>
        <vt:lpwstr>http://www.pngeiti.org.pg/wp-content/uploads/2021/05/2021-Q1-Newsletter.pdf</vt:lpwstr>
      </vt:variant>
      <vt:variant>
        <vt:lpwstr/>
      </vt:variant>
      <vt:variant>
        <vt:i4>5832808</vt:i4>
      </vt:variant>
      <vt:variant>
        <vt:i4>330</vt:i4>
      </vt:variant>
      <vt:variant>
        <vt:i4>0</vt:i4>
      </vt:variant>
      <vt:variant>
        <vt:i4>5</vt:i4>
      </vt:variant>
      <vt:variant>
        <vt:lpwstr>http://www.pngeiti.org.pg/wp-content/uploads/2022/02/EiTi-Progress-Annual-Report_2020.pdf</vt:lpwstr>
      </vt:variant>
      <vt:variant>
        <vt:lpwstr/>
      </vt:variant>
      <vt:variant>
        <vt:i4>5832808</vt:i4>
      </vt:variant>
      <vt:variant>
        <vt:i4>324</vt:i4>
      </vt:variant>
      <vt:variant>
        <vt:i4>0</vt:i4>
      </vt:variant>
      <vt:variant>
        <vt:i4>5</vt:i4>
      </vt:variant>
      <vt:variant>
        <vt:lpwstr>http://www.pngeiti.org.pg/wp-content/uploads/2022/02/EiTi-Progress-Annual-Report_2020.pdf</vt:lpwstr>
      </vt:variant>
      <vt:variant>
        <vt:lpwstr/>
      </vt:variant>
      <vt:variant>
        <vt:i4>2228278</vt:i4>
      </vt:variant>
      <vt:variant>
        <vt:i4>321</vt:i4>
      </vt:variant>
      <vt:variant>
        <vt:i4>0</vt:i4>
      </vt:variant>
      <vt:variant>
        <vt:i4>5</vt:i4>
      </vt:variant>
      <vt:variant>
        <vt:lpwstr>http://www.pngresourcesonline.com/</vt:lpwstr>
      </vt:variant>
      <vt:variant>
        <vt:lpwstr/>
      </vt:variant>
      <vt:variant>
        <vt:i4>5832808</vt:i4>
      </vt:variant>
      <vt:variant>
        <vt:i4>318</vt:i4>
      </vt:variant>
      <vt:variant>
        <vt:i4>0</vt:i4>
      </vt:variant>
      <vt:variant>
        <vt:i4>5</vt:i4>
      </vt:variant>
      <vt:variant>
        <vt:lpwstr>http://www.pngeiti.org.pg/wp-content/uploads/2022/02/EiTi-Progress-Annual-Report_2020.pdf</vt:lpwstr>
      </vt:variant>
      <vt:variant>
        <vt:lpwstr/>
      </vt:variant>
      <vt:variant>
        <vt:i4>5832808</vt:i4>
      </vt:variant>
      <vt:variant>
        <vt:i4>315</vt:i4>
      </vt:variant>
      <vt:variant>
        <vt:i4>0</vt:i4>
      </vt:variant>
      <vt:variant>
        <vt:i4>5</vt:i4>
      </vt:variant>
      <vt:variant>
        <vt:lpwstr>http://www.pngeiti.org.pg/wp-content/uploads/2022/02/EiTi-Progress-Annual-Report_2020.pdf</vt:lpwstr>
      </vt:variant>
      <vt:variant>
        <vt:lpwstr/>
      </vt:variant>
      <vt:variant>
        <vt:i4>5832808</vt:i4>
      </vt:variant>
      <vt:variant>
        <vt:i4>312</vt:i4>
      </vt:variant>
      <vt:variant>
        <vt:i4>0</vt:i4>
      </vt:variant>
      <vt:variant>
        <vt:i4>5</vt:i4>
      </vt:variant>
      <vt:variant>
        <vt:lpwstr>http://www.pngeiti.org.pg/wp-content/uploads/2022/02/EiTi-Progress-Annual-Report_2020.pdf</vt:lpwstr>
      </vt:variant>
      <vt:variant>
        <vt:lpwstr/>
      </vt:variant>
      <vt:variant>
        <vt:i4>5832808</vt:i4>
      </vt:variant>
      <vt:variant>
        <vt:i4>309</vt:i4>
      </vt:variant>
      <vt:variant>
        <vt:i4>0</vt:i4>
      </vt:variant>
      <vt:variant>
        <vt:i4>5</vt:i4>
      </vt:variant>
      <vt:variant>
        <vt:lpwstr>http://www.pngeiti.org.pg/wp-content/uploads/2022/02/EiTi-Progress-Annual-Report_2020.pdf</vt:lpwstr>
      </vt:variant>
      <vt:variant>
        <vt:lpwstr/>
      </vt:variant>
      <vt:variant>
        <vt:i4>262225</vt:i4>
      </vt:variant>
      <vt:variant>
        <vt:i4>306</vt:i4>
      </vt:variant>
      <vt:variant>
        <vt:i4>0</vt:i4>
      </vt:variant>
      <vt:variant>
        <vt:i4>5</vt:i4>
      </vt:variant>
      <vt:variant>
        <vt:lpwstr>http://www.pngeiti.org.pg/wp-content/uploads/2020/12/PNGEITI-2019-Annual-Progress-Report.pdf</vt:lpwstr>
      </vt:variant>
      <vt:variant>
        <vt:lpwstr/>
      </vt:variant>
      <vt:variant>
        <vt:i4>3145782</vt:i4>
      </vt:variant>
      <vt:variant>
        <vt:i4>303</vt:i4>
      </vt:variant>
      <vt:variant>
        <vt:i4>0</vt:i4>
      </vt:variant>
      <vt:variant>
        <vt:i4>5</vt:i4>
      </vt:variant>
      <vt:variant>
        <vt:lpwstr>http://www.pngeiti.org.pg/wp-content/uploads/2019/12/2019-Q3-Q4-Newsletter.pdf</vt:lpwstr>
      </vt:variant>
      <vt:variant>
        <vt:lpwstr/>
      </vt:variant>
      <vt:variant>
        <vt:i4>3145776</vt:i4>
      </vt:variant>
      <vt:variant>
        <vt:i4>300</vt:i4>
      </vt:variant>
      <vt:variant>
        <vt:i4>0</vt:i4>
      </vt:variant>
      <vt:variant>
        <vt:i4>5</vt:i4>
      </vt:variant>
      <vt:variant>
        <vt:lpwstr>http://www.pngeiti.org.pg/wp-content/uploads/2019/10/2019-Q1-Q2-Newsletter.pdf</vt:lpwstr>
      </vt:variant>
      <vt:variant>
        <vt:lpwstr/>
      </vt:variant>
      <vt:variant>
        <vt:i4>3145776</vt:i4>
      </vt:variant>
      <vt:variant>
        <vt:i4>297</vt:i4>
      </vt:variant>
      <vt:variant>
        <vt:i4>0</vt:i4>
      </vt:variant>
      <vt:variant>
        <vt:i4>5</vt:i4>
      </vt:variant>
      <vt:variant>
        <vt:lpwstr>http://www.pngeiti.org.pg/wp-content/uploads/2019/10/2019-Q1-Q2-Newsletter.pdf</vt:lpwstr>
      </vt:variant>
      <vt:variant>
        <vt:lpwstr/>
      </vt:variant>
      <vt:variant>
        <vt:i4>3145776</vt:i4>
      </vt:variant>
      <vt:variant>
        <vt:i4>294</vt:i4>
      </vt:variant>
      <vt:variant>
        <vt:i4>0</vt:i4>
      </vt:variant>
      <vt:variant>
        <vt:i4>5</vt:i4>
      </vt:variant>
      <vt:variant>
        <vt:lpwstr>http://www.pngeiti.org.pg/wp-content/uploads/2019/10/2019-Q1-Q2-Newsletter.pdf</vt:lpwstr>
      </vt:variant>
      <vt:variant>
        <vt:lpwstr/>
      </vt:variant>
      <vt:variant>
        <vt:i4>262225</vt:i4>
      </vt:variant>
      <vt:variant>
        <vt:i4>291</vt:i4>
      </vt:variant>
      <vt:variant>
        <vt:i4>0</vt:i4>
      </vt:variant>
      <vt:variant>
        <vt:i4>5</vt:i4>
      </vt:variant>
      <vt:variant>
        <vt:lpwstr>http://www.pngeiti.org.pg/wp-content/uploads/2020/12/PNGEITI-2019-Annual-Progress-Report.pdf</vt:lpwstr>
      </vt:variant>
      <vt:variant>
        <vt:lpwstr/>
      </vt:variant>
      <vt:variant>
        <vt:i4>5767246</vt:i4>
      </vt:variant>
      <vt:variant>
        <vt:i4>288</vt:i4>
      </vt:variant>
      <vt:variant>
        <vt:i4>0</vt:i4>
      </vt:variant>
      <vt:variant>
        <vt:i4>5</vt:i4>
      </vt:variant>
      <vt:variant>
        <vt:lpwstr>http://www.pngeiti.org.pg/wp-content/uploads/2019/11/PNGEITI-2018-Annual-Progress-Report-.pdf</vt:lpwstr>
      </vt:variant>
      <vt:variant>
        <vt:lpwstr/>
      </vt:variant>
      <vt:variant>
        <vt:i4>5767246</vt:i4>
      </vt:variant>
      <vt:variant>
        <vt:i4>285</vt:i4>
      </vt:variant>
      <vt:variant>
        <vt:i4>0</vt:i4>
      </vt:variant>
      <vt:variant>
        <vt:i4>5</vt:i4>
      </vt:variant>
      <vt:variant>
        <vt:lpwstr>http://www.pngeiti.org.pg/wp-content/uploads/2019/11/PNGEITI-2018-Annual-Progress-Report-.pdf</vt:lpwstr>
      </vt:variant>
      <vt:variant>
        <vt:lpwstr/>
      </vt:variant>
      <vt:variant>
        <vt:i4>5767232</vt:i4>
      </vt:variant>
      <vt:variant>
        <vt:i4>282</vt:i4>
      </vt:variant>
      <vt:variant>
        <vt:i4>0</vt:i4>
      </vt:variant>
      <vt:variant>
        <vt:i4>5</vt:i4>
      </vt:variant>
      <vt:variant>
        <vt:lpwstr>http://www.pngeiti.org.pg/wp-content/uploads/2019/01/PNGEITI-2017-Annual-Progress-Report-.pdf</vt:lpwstr>
      </vt:variant>
      <vt:variant>
        <vt:lpwstr/>
      </vt:variant>
      <vt:variant>
        <vt:i4>5767232</vt:i4>
      </vt:variant>
      <vt:variant>
        <vt:i4>279</vt:i4>
      </vt:variant>
      <vt:variant>
        <vt:i4>0</vt:i4>
      </vt:variant>
      <vt:variant>
        <vt:i4>5</vt:i4>
      </vt:variant>
      <vt:variant>
        <vt:lpwstr>http://www.pngeiti.org.pg/wp-content/uploads/2019/01/PNGEITI-2017-Annual-Progress-Report-.pdf</vt:lpwstr>
      </vt:variant>
      <vt:variant>
        <vt:lpwstr/>
      </vt:variant>
      <vt:variant>
        <vt:i4>5767232</vt:i4>
      </vt:variant>
      <vt:variant>
        <vt:i4>276</vt:i4>
      </vt:variant>
      <vt:variant>
        <vt:i4>0</vt:i4>
      </vt:variant>
      <vt:variant>
        <vt:i4>5</vt:i4>
      </vt:variant>
      <vt:variant>
        <vt:lpwstr>http://www.pngeiti.org.pg/wp-content/uploads/2019/01/PNGEITI-2017-Annual-Progress-Report-.pdf</vt:lpwstr>
      </vt:variant>
      <vt:variant>
        <vt:lpwstr/>
      </vt:variant>
      <vt:variant>
        <vt:i4>5767232</vt:i4>
      </vt:variant>
      <vt:variant>
        <vt:i4>273</vt:i4>
      </vt:variant>
      <vt:variant>
        <vt:i4>0</vt:i4>
      </vt:variant>
      <vt:variant>
        <vt:i4>5</vt:i4>
      </vt:variant>
      <vt:variant>
        <vt:lpwstr>http://www.pngeiti.org.pg/wp-content/uploads/2019/01/PNGEITI-2017-Annual-Progress-Report-.pdf</vt:lpwstr>
      </vt:variant>
      <vt:variant>
        <vt:lpwstr/>
      </vt:variant>
      <vt:variant>
        <vt:i4>7012454</vt:i4>
      </vt:variant>
      <vt:variant>
        <vt:i4>270</vt:i4>
      </vt:variant>
      <vt:variant>
        <vt:i4>0</vt:i4>
      </vt:variant>
      <vt:variant>
        <vt:i4>5</vt:i4>
      </vt:variant>
      <vt:variant>
        <vt:lpwstr>https://www.devpolicy.org/2019-Pacific-Update/PNG-Blog-booklet-18-19-Web-FINAL.pdf</vt:lpwstr>
      </vt:variant>
      <vt:variant>
        <vt:lpwstr/>
      </vt:variant>
      <vt:variant>
        <vt:i4>1114195</vt:i4>
      </vt:variant>
      <vt:variant>
        <vt:i4>267</vt:i4>
      </vt:variant>
      <vt:variant>
        <vt:i4>0</vt:i4>
      </vt:variant>
      <vt:variant>
        <vt:i4>5</vt:i4>
      </vt:variant>
      <vt:variant>
        <vt:lpwstr>https://www.thenational.com.pg/mining-petroleum-firms-also-pay-taxes-chamber/</vt:lpwstr>
      </vt:variant>
      <vt:variant>
        <vt:lpwstr/>
      </vt:variant>
      <vt:variant>
        <vt:i4>4063347</vt:i4>
      </vt:variant>
      <vt:variant>
        <vt:i4>264</vt:i4>
      </vt:variant>
      <vt:variant>
        <vt:i4>0</vt:i4>
      </vt:variant>
      <vt:variant>
        <vt:i4>5</vt:i4>
      </vt:variant>
      <vt:variant>
        <vt:lpwstr>https://www.thenational.com.pg/govt-not-getting-share-of-resource-benefits-report/</vt:lpwstr>
      </vt:variant>
      <vt:variant>
        <vt:lpwstr/>
      </vt:variant>
      <vt:variant>
        <vt:i4>2097185</vt:i4>
      </vt:variant>
      <vt:variant>
        <vt:i4>261</vt:i4>
      </vt:variant>
      <vt:variant>
        <vt:i4>0</vt:i4>
      </vt:variant>
      <vt:variant>
        <vt:i4>5</vt:i4>
      </vt:variant>
      <vt:variant>
        <vt:lpwstr>https://postcourier.com.pg/govt-not-receving-fair-share-study/</vt:lpwstr>
      </vt:variant>
      <vt:variant>
        <vt:lpwstr/>
      </vt:variant>
      <vt:variant>
        <vt:i4>8323109</vt:i4>
      </vt:variant>
      <vt:variant>
        <vt:i4>258</vt:i4>
      </vt:variant>
      <vt:variant>
        <vt:i4>0</vt:i4>
      </vt:variant>
      <vt:variant>
        <vt:i4>5</vt:i4>
      </vt:variant>
      <vt:variant>
        <vt:lpwstr>https://www.thenational.com.pg/extractive-industry-drives-economy/</vt:lpwstr>
      </vt:variant>
      <vt:variant>
        <vt:lpwstr/>
      </vt:variant>
      <vt:variant>
        <vt:i4>7012410</vt:i4>
      </vt:variant>
      <vt:variant>
        <vt:i4>255</vt:i4>
      </vt:variant>
      <vt:variant>
        <vt:i4>0</vt:i4>
      </vt:variant>
      <vt:variant>
        <vt:i4>5</vt:i4>
      </vt:variant>
      <vt:variant>
        <vt:lpwstr>http://www.pngeiti.org.pg/</vt:lpwstr>
      </vt:variant>
      <vt:variant>
        <vt:lpwstr/>
      </vt:variant>
      <vt:variant>
        <vt:i4>6357093</vt:i4>
      </vt:variant>
      <vt:variant>
        <vt:i4>252</vt:i4>
      </vt:variant>
      <vt:variant>
        <vt:i4>0</vt:i4>
      </vt:variant>
      <vt:variant>
        <vt:i4>5</vt:i4>
      </vt:variant>
      <vt:variant>
        <vt:lpwstr>https://www.pngeiti.org.pg/2020-validation/</vt:lpwstr>
      </vt:variant>
      <vt:variant>
        <vt:lpwstr/>
      </vt:variant>
      <vt:variant>
        <vt:i4>6029405</vt:i4>
      </vt:variant>
      <vt:variant>
        <vt:i4>249</vt:i4>
      </vt:variant>
      <vt:variant>
        <vt:i4>0</vt:i4>
      </vt:variant>
      <vt:variant>
        <vt:i4>5</vt:i4>
      </vt:variant>
      <vt:variant>
        <vt:lpwstr>http://www.pngeiti.org.pg/factsheet/</vt:lpwstr>
      </vt:variant>
      <vt:variant>
        <vt:lpwstr/>
      </vt:variant>
      <vt:variant>
        <vt:i4>5242948</vt:i4>
      </vt:variant>
      <vt:variant>
        <vt:i4>246</vt:i4>
      </vt:variant>
      <vt:variant>
        <vt:i4>0</vt:i4>
      </vt:variant>
      <vt:variant>
        <vt:i4>5</vt:i4>
      </vt:variant>
      <vt:variant>
        <vt:lpwstr>https://www.pngeiti.org.pg/impact-newsletter-issues/</vt:lpwstr>
      </vt:variant>
      <vt:variant>
        <vt:lpwstr/>
      </vt:variant>
      <vt:variant>
        <vt:i4>4784194</vt:i4>
      </vt:variant>
      <vt:variant>
        <vt:i4>243</vt:i4>
      </vt:variant>
      <vt:variant>
        <vt:i4>0</vt:i4>
      </vt:variant>
      <vt:variant>
        <vt:i4>5</vt:i4>
      </vt:variant>
      <vt:variant>
        <vt:lpwstr>https://www.pngeiti.org.pg/category/latest-news/</vt:lpwstr>
      </vt:variant>
      <vt:variant>
        <vt:lpwstr/>
      </vt:variant>
      <vt:variant>
        <vt:i4>7012407</vt:i4>
      </vt:variant>
      <vt:variant>
        <vt:i4>240</vt:i4>
      </vt:variant>
      <vt:variant>
        <vt:i4>0</vt:i4>
      </vt:variant>
      <vt:variant>
        <vt:i4>5</vt:i4>
      </vt:variant>
      <vt:variant>
        <vt:lpwstr>https://www.pngeiti.org.pg/promotional-videos/</vt:lpwstr>
      </vt:variant>
      <vt:variant>
        <vt:lpwstr/>
      </vt:variant>
      <vt:variant>
        <vt:i4>4587521</vt:i4>
      </vt:variant>
      <vt:variant>
        <vt:i4>237</vt:i4>
      </vt:variant>
      <vt:variant>
        <vt:i4>0</vt:i4>
      </vt:variant>
      <vt:variant>
        <vt:i4>5</vt:i4>
      </vt:variant>
      <vt:variant>
        <vt:lpwstr>https://www.pngeiti.org.pg/brochures/</vt:lpwstr>
      </vt:variant>
      <vt:variant>
        <vt:lpwstr/>
      </vt:variant>
      <vt:variant>
        <vt:i4>7012410</vt:i4>
      </vt:variant>
      <vt:variant>
        <vt:i4>234</vt:i4>
      </vt:variant>
      <vt:variant>
        <vt:i4>0</vt:i4>
      </vt:variant>
      <vt:variant>
        <vt:i4>5</vt:i4>
      </vt:variant>
      <vt:variant>
        <vt:lpwstr>http://www.pngeiti.org.pg/</vt:lpwstr>
      </vt:variant>
      <vt:variant>
        <vt:lpwstr/>
      </vt:variant>
      <vt:variant>
        <vt:i4>6357119</vt:i4>
      </vt:variant>
      <vt:variant>
        <vt:i4>231</vt:i4>
      </vt:variant>
      <vt:variant>
        <vt:i4>0</vt:i4>
      </vt:variant>
      <vt:variant>
        <vt:i4>5</vt:i4>
      </vt:variant>
      <vt:variant>
        <vt:lpwstr>http://www.pngeiti.org.pg/summary-data-sheets/</vt:lpwstr>
      </vt:variant>
      <vt:variant>
        <vt:lpwstr/>
      </vt:variant>
      <vt:variant>
        <vt:i4>3801145</vt:i4>
      </vt:variant>
      <vt:variant>
        <vt:i4>228</vt:i4>
      </vt:variant>
      <vt:variant>
        <vt:i4>0</vt:i4>
      </vt:variant>
      <vt:variant>
        <vt:i4>5</vt:i4>
      </vt:variant>
      <vt:variant>
        <vt:lpwstr>http://www.pngeiti.org.pg/reports/</vt:lpwstr>
      </vt:variant>
      <vt:variant>
        <vt:lpwstr/>
      </vt:variant>
      <vt:variant>
        <vt:i4>6619253</vt:i4>
      </vt:variant>
      <vt:variant>
        <vt:i4>225</vt:i4>
      </vt:variant>
      <vt:variant>
        <vt:i4>0</vt:i4>
      </vt:variant>
      <vt:variant>
        <vt:i4>5</vt:i4>
      </vt:variant>
      <vt:variant>
        <vt:lpwstr>http://www.pngeiti.org.pg/wp-content/uploads/2018/04/PNG-Open-Data-Policy-and-Framework.pdf</vt:lpwstr>
      </vt:variant>
      <vt:variant>
        <vt:lpwstr/>
      </vt:variant>
      <vt:variant>
        <vt:i4>65558</vt:i4>
      </vt:variant>
      <vt:variant>
        <vt:i4>222</vt:i4>
      </vt:variant>
      <vt:variant>
        <vt:i4>0</vt:i4>
      </vt:variant>
      <vt:variant>
        <vt:i4>5</vt:i4>
      </vt:variant>
      <vt:variant>
        <vt:lpwstr>https://www.opengovpartnership.org/documents/papua-new-guinea-action-plan-2018-2020/</vt:lpwstr>
      </vt:variant>
      <vt:variant>
        <vt:lpwstr/>
      </vt:variant>
      <vt:variant>
        <vt:i4>1900563</vt:i4>
      </vt:variant>
      <vt:variant>
        <vt:i4>219</vt:i4>
      </vt:variant>
      <vt:variant>
        <vt:i4>0</vt:i4>
      </vt:variant>
      <vt:variant>
        <vt:i4>5</vt:i4>
      </vt:variant>
      <vt:variant>
        <vt:lpwstr>https://www.opengovpartnership.org/members/papua-new-guinea/</vt:lpwstr>
      </vt:variant>
      <vt:variant>
        <vt:lpwstr/>
      </vt:variant>
      <vt:variant>
        <vt:i4>4849731</vt:i4>
      </vt:variant>
      <vt:variant>
        <vt:i4>216</vt:i4>
      </vt:variant>
      <vt:variant>
        <vt:i4>0</vt:i4>
      </vt:variant>
      <vt:variant>
        <vt:i4>5</vt:i4>
      </vt:variant>
      <vt:variant>
        <vt:lpwstr>http://www.pngeiti.org.pg/wp-content/uploads/2018/04/2013-NEC-Decision-No.-90.pdf</vt:lpwstr>
      </vt:variant>
      <vt:variant>
        <vt:lpwstr/>
      </vt:variant>
      <vt:variant>
        <vt:i4>4390952</vt:i4>
      </vt:variant>
      <vt:variant>
        <vt:i4>213</vt:i4>
      </vt:variant>
      <vt:variant>
        <vt:i4>0</vt:i4>
      </vt:variant>
      <vt:variant>
        <vt:i4>5</vt:i4>
      </vt:variant>
      <vt:variant>
        <vt:lpwstr>http://www.pngeiti.org.pg/wp-content/uploads/2018/04/PNG-EITI-National-Policy_Draft-Final-1.pdf</vt:lpwstr>
      </vt:variant>
      <vt:variant>
        <vt:lpwstr/>
      </vt:variant>
      <vt:variant>
        <vt:i4>4849728</vt:i4>
      </vt:variant>
      <vt:variant>
        <vt:i4>210</vt:i4>
      </vt:variant>
      <vt:variant>
        <vt:i4>0</vt:i4>
      </vt:variant>
      <vt:variant>
        <vt:i4>5</vt:i4>
      </vt:variant>
      <vt:variant>
        <vt:lpwstr>http://www.pngeiti.org.pg/wp-content/uploads/2021/06/2019-NEC-Decision-No.-80.pdf</vt:lpwstr>
      </vt:variant>
      <vt:variant>
        <vt:lpwstr/>
      </vt:variant>
      <vt:variant>
        <vt:i4>4390952</vt:i4>
      </vt:variant>
      <vt:variant>
        <vt:i4>207</vt:i4>
      </vt:variant>
      <vt:variant>
        <vt:i4>0</vt:i4>
      </vt:variant>
      <vt:variant>
        <vt:i4>5</vt:i4>
      </vt:variant>
      <vt:variant>
        <vt:lpwstr>http://www.pngeiti.org.pg/wp-content/uploads/2018/04/PNG-EITI-National-Policy_Draft-Final-1.pdf</vt:lpwstr>
      </vt:variant>
      <vt:variant>
        <vt:lpwstr/>
      </vt:variant>
      <vt:variant>
        <vt:i4>4587584</vt:i4>
      </vt:variant>
      <vt:variant>
        <vt:i4>204</vt:i4>
      </vt:variant>
      <vt:variant>
        <vt:i4>0</vt:i4>
      </vt:variant>
      <vt:variant>
        <vt:i4>5</vt:i4>
      </vt:variant>
      <vt:variant>
        <vt:lpwstr>http://www.pngeiti.org.pg/wp-content/uploads/2022/02/PNGEITI-Contract-Transparency-Report-Final-Copy.pdf</vt:lpwstr>
      </vt:variant>
      <vt:variant>
        <vt:lpwstr/>
      </vt:variant>
      <vt:variant>
        <vt:i4>786443</vt:i4>
      </vt:variant>
      <vt:variant>
        <vt:i4>201</vt:i4>
      </vt:variant>
      <vt:variant>
        <vt:i4>0</vt:i4>
      </vt:variant>
      <vt:variant>
        <vt:i4>5</vt:i4>
      </vt:variant>
      <vt:variant>
        <vt:lpwstr>http://www.pngeiti.org.pg/wp-content/uploads/2021/07/PNGEITI-SOE-Scoping-Study-Report-090721.pdf</vt:lpwstr>
      </vt:variant>
      <vt:variant>
        <vt:lpwstr/>
      </vt:variant>
      <vt:variant>
        <vt:i4>786443</vt:i4>
      </vt:variant>
      <vt:variant>
        <vt:i4>198</vt:i4>
      </vt:variant>
      <vt:variant>
        <vt:i4>0</vt:i4>
      </vt:variant>
      <vt:variant>
        <vt:i4>5</vt:i4>
      </vt:variant>
      <vt:variant>
        <vt:lpwstr>http://www.pngeiti.org.pg/wp-content/uploads/2021/07/PNGEITI-SOE-Scoping-Study-Report-090721.pdf</vt:lpwstr>
      </vt:variant>
      <vt:variant>
        <vt:lpwstr/>
      </vt:variant>
      <vt:variant>
        <vt:i4>786443</vt:i4>
      </vt:variant>
      <vt:variant>
        <vt:i4>195</vt:i4>
      </vt:variant>
      <vt:variant>
        <vt:i4>0</vt:i4>
      </vt:variant>
      <vt:variant>
        <vt:i4>5</vt:i4>
      </vt:variant>
      <vt:variant>
        <vt:lpwstr>http://www.pngeiti.org.pg/wp-content/uploads/2021/07/PNGEITI-SOE-Scoping-Study-Report-090721.pdf</vt:lpwstr>
      </vt:variant>
      <vt:variant>
        <vt:lpwstr/>
      </vt:variant>
      <vt:variant>
        <vt:i4>2883629</vt:i4>
      </vt:variant>
      <vt:variant>
        <vt:i4>192</vt:i4>
      </vt:variant>
      <vt:variant>
        <vt:i4>0</vt:i4>
      </vt:variant>
      <vt:variant>
        <vt:i4>5</vt:i4>
      </vt:variant>
      <vt:variant>
        <vt:lpwstr>http://www.pngeiti.org.pg/wp-content/uploads/2021/12/2022-Workplan.pdf</vt:lpwstr>
      </vt:variant>
      <vt:variant>
        <vt:lpwstr/>
      </vt:variant>
      <vt:variant>
        <vt:i4>786443</vt:i4>
      </vt:variant>
      <vt:variant>
        <vt:i4>189</vt:i4>
      </vt:variant>
      <vt:variant>
        <vt:i4>0</vt:i4>
      </vt:variant>
      <vt:variant>
        <vt:i4>5</vt:i4>
      </vt:variant>
      <vt:variant>
        <vt:lpwstr>http://www.pngeiti.org.pg/wp-content/uploads/2021/07/PNGEITI-SOE-Scoping-Study-Report-090721.pdf</vt:lpwstr>
      </vt:variant>
      <vt:variant>
        <vt:lpwstr/>
      </vt:variant>
      <vt:variant>
        <vt:i4>1507394</vt:i4>
      </vt:variant>
      <vt:variant>
        <vt:i4>186</vt:i4>
      </vt:variant>
      <vt:variant>
        <vt:i4>0</vt:i4>
      </vt:variant>
      <vt:variant>
        <vt:i4>5</vt:i4>
      </vt:variant>
      <vt:variant>
        <vt:lpwstr>https://petroleum.gov.pg/</vt:lpwstr>
      </vt:variant>
      <vt:variant>
        <vt:lpwstr/>
      </vt:variant>
      <vt:variant>
        <vt:i4>6684781</vt:i4>
      </vt:variant>
      <vt:variant>
        <vt:i4>183</vt:i4>
      </vt:variant>
      <vt:variant>
        <vt:i4>0</vt:i4>
      </vt:variant>
      <vt:variant>
        <vt:i4>5</vt:i4>
      </vt:variant>
      <vt:variant>
        <vt:lpwstr>http://www.pngeiti.org.pg/wp-content/uploads/2018/04/2020-DPE-Response-Letter-on-uploading-of-data.pdf</vt:lpwstr>
      </vt:variant>
      <vt:variant>
        <vt:lpwstr/>
      </vt:variant>
      <vt:variant>
        <vt:i4>2293816</vt:i4>
      </vt:variant>
      <vt:variant>
        <vt:i4>180</vt:i4>
      </vt:variant>
      <vt:variant>
        <vt:i4>0</vt:i4>
      </vt:variant>
      <vt:variant>
        <vt:i4>5</vt:i4>
      </vt:variant>
      <vt:variant>
        <vt:lpwstr>https://www.pngeiti.org.pg/1923-2/</vt:lpwstr>
      </vt:variant>
      <vt:variant>
        <vt:lpwstr/>
      </vt:variant>
      <vt:variant>
        <vt:i4>2883629</vt:i4>
      </vt:variant>
      <vt:variant>
        <vt:i4>177</vt:i4>
      </vt:variant>
      <vt:variant>
        <vt:i4>0</vt:i4>
      </vt:variant>
      <vt:variant>
        <vt:i4>5</vt:i4>
      </vt:variant>
      <vt:variant>
        <vt:lpwstr>http://www.pngeiti.org.pg/wp-content/uploads/2021/12/2022-Workplan.pdf</vt:lpwstr>
      </vt:variant>
      <vt:variant>
        <vt:lpwstr/>
      </vt:variant>
      <vt:variant>
        <vt:i4>3211310</vt:i4>
      </vt:variant>
      <vt:variant>
        <vt:i4>174</vt:i4>
      </vt:variant>
      <vt:variant>
        <vt:i4>0</vt:i4>
      </vt:variant>
      <vt:variant>
        <vt:i4>5</vt:i4>
      </vt:variant>
      <vt:variant>
        <vt:lpwstr>http://www.pngeiti.org.pg/wp-content/uploads/2018/04/2022-Signed-Project-Completion-Report-by-JICA-Expert-team..pdf</vt:lpwstr>
      </vt:variant>
      <vt:variant>
        <vt:lpwstr/>
      </vt:variant>
      <vt:variant>
        <vt:i4>4587584</vt:i4>
      </vt:variant>
      <vt:variant>
        <vt:i4>171</vt:i4>
      </vt:variant>
      <vt:variant>
        <vt:i4>0</vt:i4>
      </vt:variant>
      <vt:variant>
        <vt:i4>5</vt:i4>
      </vt:variant>
      <vt:variant>
        <vt:lpwstr>http://www.pngeiti.org.pg/wp-content/uploads/2022/02/PNGEITI-Contract-Transparency-Report-Final-Copy.pdf</vt:lpwstr>
      </vt:variant>
      <vt:variant>
        <vt:lpwstr/>
      </vt:variant>
      <vt:variant>
        <vt:i4>3145753</vt:i4>
      </vt:variant>
      <vt:variant>
        <vt:i4>168</vt:i4>
      </vt:variant>
      <vt:variant>
        <vt:i4>0</vt:i4>
      </vt:variant>
      <vt:variant>
        <vt:i4>5</vt:i4>
      </vt:variant>
      <vt:variant>
        <vt:lpwstr>http://www.pngeiti.org.pg/wp-content/uploads/2018/04/2020-PNGRGC-Roadmap-v1_Draft-Report.pdf</vt:lpwstr>
      </vt:variant>
      <vt:variant>
        <vt:lpwstr/>
      </vt:variant>
      <vt:variant>
        <vt:i4>8126508</vt:i4>
      </vt:variant>
      <vt:variant>
        <vt:i4>165</vt:i4>
      </vt:variant>
      <vt:variant>
        <vt:i4>0</vt:i4>
      </vt:variant>
      <vt:variant>
        <vt:i4>5</vt:i4>
      </vt:variant>
      <vt:variant>
        <vt:lpwstr>http://www.pngeiti.org.pg/wp-content/uploads/2018/04/2020-Electronic-Reporting-Draft-Report.pdf</vt:lpwstr>
      </vt:variant>
      <vt:variant>
        <vt:lpwstr/>
      </vt:variant>
      <vt:variant>
        <vt:i4>6881326</vt:i4>
      </vt:variant>
      <vt:variant>
        <vt:i4>162</vt:i4>
      </vt:variant>
      <vt:variant>
        <vt:i4>0</vt:i4>
      </vt:variant>
      <vt:variant>
        <vt:i4>5</vt:i4>
      </vt:variant>
      <vt:variant>
        <vt:lpwstr>http://www.pngeiti.org.pg/wp-content/uploads/2018/04/2020-Education-Mainstreaming-Draft-Report.pdf</vt:lpwstr>
      </vt:variant>
      <vt:variant>
        <vt:lpwstr/>
      </vt:variant>
      <vt:variant>
        <vt:i4>786443</vt:i4>
      </vt:variant>
      <vt:variant>
        <vt:i4>159</vt:i4>
      </vt:variant>
      <vt:variant>
        <vt:i4>0</vt:i4>
      </vt:variant>
      <vt:variant>
        <vt:i4>5</vt:i4>
      </vt:variant>
      <vt:variant>
        <vt:lpwstr>http://www.pngeiti.org.pg/wp-content/uploads/2021/07/PNGEITI-SOE-Scoping-Study-Report-090721.pdf</vt:lpwstr>
      </vt:variant>
      <vt:variant>
        <vt:lpwstr/>
      </vt:variant>
      <vt:variant>
        <vt:i4>2424951</vt:i4>
      </vt:variant>
      <vt:variant>
        <vt:i4>156</vt:i4>
      </vt:variant>
      <vt:variant>
        <vt:i4>0</vt:i4>
      </vt:variant>
      <vt:variant>
        <vt:i4>5</vt:i4>
      </vt:variant>
      <vt:variant>
        <vt:lpwstr>http://www.pngeiti.org.pg/wp-content/uploads/2021/06/PNGEITI-BO-Report.pdf</vt:lpwstr>
      </vt:variant>
      <vt:variant>
        <vt:lpwstr/>
      </vt:variant>
      <vt:variant>
        <vt:i4>2031617</vt:i4>
      </vt:variant>
      <vt:variant>
        <vt:i4>153</vt:i4>
      </vt:variant>
      <vt:variant>
        <vt:i4>0</vt:i4>
      </vt:variant>
      <vt:variant>
        <vt:i4>5</vt:i4>
      </vt:variant>
      <vt:variant>
        <vt:lpwstr>http://www.pngeiti.org.pg/jobs/calling-for-expressions-of-interest-eoi-for-the-preparation-of-the-year-2020-png-eiti-report/</vt:lpwstr>
      </vt:variant>
      <vt:variant>
        <vt:lpwstr/>
      </vt:variant>
      <vt:variant>
        <vt:i4>1704004</vt:i4>
      </vt:variant>
      <vt:variant>
        <vt:i4>150</vt:i4>
      </vt:variant>
      <vt:variant>
        <vt:i4>0</vt:i4>
      </vt:variant>
      <vt:variant>
        <vt:i4>5</vt:i4>
      </vt:variant>
      <vt:variant>
        <vt:lpwstr>http://www.pngeiti.org.pg/wp-content/uploads/2021/03/2021-PNGEITI-Workplan-updated-final.pdf</vt:lpwstr>
      </vt:variant>
      <vt:variant>
        <vt:lpwstr/>
      </vt:variant>
      <vt:variant>
        <vt:i4>6357093</vt:i4>
      </vt:variant>
      <vt:variant>
        <vt:i4>147</vt:i4>
      </vt:variant>
      <vt:variant>
        <vt:i4>0</vt:i4>
      </vt:variant>
      <vt:variant>
        <vt:i4>5</vt:i4>
      </vt:variant>
      <vt:variant>
        <vt:lpwstr>https://www.pngeiti.org.pg/2020-validation/</vt:lpwstr>
      </vt:variant>
      <vt:variant>
        <vt:lpwstr/>
      </vt:variant>
      <vt:variant>
        <vt:i4>5177379</vt:i4>
      </vt:variant>
      <vt:variant>
        <vt:i4>144</vt:i4>
      </vt:variant>
      <vt:variant>
        <vt:i4>0</vt:i4>
      </vt:variant>
      <vt:variant>
        <vt:i4>5</vt:i4>
      </vt:variant>
      <vt:variant>
        <vt:lpwstr>https://www.treasury.gov.pg/html/national_budget/files/2022/Volume1.pdf</vt:lpwstr>
      </vt:variant>
      <vt:variant>
        <vt:lpwstr/>
      </vt:variant>
      <vt:variant>
        <vt:i4>3211310</vt:i4>
      </vt:variant>
      <vt:variant>
        <vt:i4>141</vt:i4>
      </vt:variant>
      <vt:variant>
        <vt:i4>0</vt:i4>
      </vt:variant>
      <vt:variant>
        <vt:i4>5</vt:i4>
      </vt:variant>
      <vt:variant>
        <vt:lpwstr>http://www.pngeiti.org.pg/wp-content/uploads/2018/04/2022-Signed-Project-Completion-Report-by-JICA-Expert-team..pdf</vt:lpwstr>
      </vt:variant>
      <vt:variant>
        <vt:lpwstr/>
      </vt:variant>
      <vt:variant>
        <vt:i4>3211310</vt:i4>
      </vt:variant>
      <vt:variant>
        <vt:i4>138</vt:i4>
      </vt:variant>
      <vt:variant>
        <vt:i4>0</vt:i4>
      </vt:variant>
      <vt:variant>
        <vt:i4>5</vt:i4>
      </vt:variant>
      <vt:variant>
        <vt:lpwstr>http://www.pngeiti.org.pg/wp-content/uploads/2018/04/2022-Signed-Project-Completion-Report-by-JICA-Expert-team..pdf</vt:lpwstr>
      </vt:variant>
      <vt:variant>
        <vt:lpwstr/>
      </vt:variant>
      <vt:variant>
        <vt:i4>2555981</vt:i4>
      </vt:variant>
      <vt:variant>
        <vt:i4>135</vt:i4>
      </vt:variant>
      <vt:variant>
        <vt:i4>0</vt:i4>
      </vt:variant>
      <vt:variant>
        <vt:i4>5</vt:i4>
      </vt:variant>
      <vt:variant>
        <vt:lpwstr>http://www.pngeiti.org.pg/wp-content/uploads/2018/04/20180803_-Wafi-Gold-Outreach-Report.pdf</vt:lpwstr>
      </vt:variant>
      <vt:variant>
        <vt:lpwstr/>
      </vt:variant>
      <vt:variant>
        <vt:i4>8257647</vt:i4>
      </vt:variant>
      <vt:variant>
        <vt:i4>132</vt:i4>
      </vt:variant>
      <vt:variant>
        <vt:i4>0</vt:i4>
      </vt:variant>
      <vt:variant>
        <vt:i4>5</vt:i4>
      </vt:variant>
      <vt:variant>
        <vt:lpwstr>http://www.pngeiti.org.pg/wp-content/uploads/2018/04/Duty-Travel-Report-Woodlark-MOA-Forum.pdf</vt:lpwstr>
      </vt:variant>
      <vt:variant>
        <vt:lpwstr/>
      </vt:variant>
      <vt:variant>
        <vt:i4>3211310</vt:i4>
      </vt:variant>
      <vt:variant>
        <vt:i4>129</vt:i4>
      </vt:variant>
      <vt:variant>
        <vt:i4>0</vt:i4>
      </vt:variant>
      <vt:variant>
        <vt:i4>5</vt:i4>
      </vt:variant>
      <vt:variant>
        <vt:lpwstr>http://www.pngeiti.org.pg/wp-content/uploads/2018/04/2022-Signed-Project-Completion-Report-by-JICA-Expert-team..pdf</vt:lpwstr>
      </vt:variant>
      <vt:variant>
        <vt:lpwstr/>
      </vt:variant>
      <vt:variant>
        <vt:i4>2162814</vt:i4>
      </vt:variant>
      <vt:variant>
        <vt:i4>126</vt:i4>
      </vt:variant>
      <vt:variant>
        <vt:i4>0</vt:i4>
      </vt:variant>
      <vt:variant>
        <vt:i4>5</vt:i4>
      </vt:variant>
      <vt:variant>
        <vt:lpwstr>https://www.pngeiti.org.pg/reports/</vt:lpwstr>
      </vt:variant>
      <vt:variant>
        <vt:lpwstr/>
      </vt:variant>
      <vt:variant>
        <vt:i4>3211310</vt:i4>
      </vt:variant>
      <vt:variant>
        <vt:i4>123</vt:i4>
      </vt:variant>
      <vt:variant>
        <vt:i4>0</vt:i4>
      </vt:variant>
      <vt:variant>
        <vt:i4>5</vt:i4>
      </vt:variant>
      <vt:variant>
        <vt:lpwstr>http://www.pngeiti.org.pg/wp-content/uploads/2018/04/2022-Signed-Project-Completion-Report-by-JICA-Expert-team..pdf</vt:lpwstr>
      </vt:variant>
      <vt:variant>
        <vt:lpwstr/>
      </vt:variant>
      <vt:variant>
        <vt:i4>4587584</vt:i4>
      </vt:variant>
      <vt:variant>
        <vt:i4>120</vt:i4>
      </vt:variant>
      <vt:variant>
        <vt:i4>0</vt:i4>
      </vt:variant>
      <vt:variant>
        <vt:i4>5</vt:i4>
      </vt:variant>
      <vt:variant>
        <vt:lpwstr>http://www.pngeiti.org.pg/wp-content/uploads/2022/02/PNGEITI-Contract-Transparency-Report-Final-Copy.pdf</vt:lpwstr>
      </vt:variant>
      <vt:variant>
        <vt:lpwstr/>
      </vt:variant>
      <vt:variant>
        <vt:i4>3145753</vt:i4>
      </vt:variant>
      <vt:variant>
        <vt:i4>117</vt:i4>
      </vt:variant>
      <vt:variant>
        <vt:i4>0</vt:i4>
      </vt:variant>
      <vt:variant>
        <vt:i4>5</vt:i4>
      </vt:variant>
      <vt:variant>
        <vt:lpwstr>http://www.pngeiti.org.pg/wp-content/uploads/2018/04/2020-PNGRGC-Roadmap-v1_Draft-Report.pdf</vt:lpwstr>
      </vt:variant>
      <vt:variant>
        <vt:lpwstr/>
      </vt:variant>
      <vt:variant>
        <vt:i4>4587606</vt:i4>
      </vt:variant>
      <vt:variant>
        <vt:i4>114</vt:i4>
      </vt:variant>
      <vt:variant>
        <vt:i4>0</vt:i4>
      </vt:variant>
      <vt:variant>
        <vt:i4>5</vt:i4>
      </vt:variant>
      <vt:variant>
        <vt:lpwstr>http://www.pngeiti.org.pg/wp-content/uploads/2018/04/Terms-of-Reference-TOR-Electronic-data-platform-EITI.pdf</vt:lpwstr>
      </vt:variant>
      <vt:variant>
        <vt:lpwstr/>
      </vt:variant>
      <vt:variant>
        <vt:i4>6881326</vt:i4>
      </vt:variant>
      <vt:variant>
        <vt:i4>111</vt:i4>
      </vt:variant>
      <vt:variant>
        <vt:i4>0</vt:i4>
      </vt:variant>
      <vt:variant>
        <vt:i4>5</vt:i4>
      </vt:variant>
      <vt:variant>
        <vt:lpwstr>http://www.pngeiti.org.pg/wp-content/uploads/2018/04/2020-Education-Mainstreaming-Draft-Report.pdf</vt:lpwstr>
      </vt:variant>
      <vt:variant>
        <vt:lpwstr/>
      </vt:variant>
      <vt:variant>
        <vt:i4>851999</vt:i4>
      </vt:variant>
      <vt:variant>
        <vt:i4>108</vt:i4>
      </vt:variant>
      <vt:variant>
        <vt:i4>0</vt:i4>
      </vt:variant>
      <vt:variant>
        <vt:i4>5</vt:i4>
      </vt:variant>
      <vt:variant>
        <vt:lpwstr>http://www.pngeiti.org.pg/wp-content/uploads/2019/07/PNGEITI-Subnational-Payments-Report-May-2019.pdf</vt:lpwstr>
      </vt:variant>
      <vt:variant>
        <vt:lpwstr/>
      </vt:variant>
      <vt:variant>
        <vt:i4>2424951</vt:i4>
      </vt:variant>
      <vt:variant>
        <vt:i4>105</vt:i4>
      </vt:variant>
      <vt:variant>
        <vt:i4>0</vt:i4>
      </vt:variant>
      <vt:variant>
        <vt:i4>5</vt:i4>
      </vt:variant>
      <vt:variant>
        <vt:lpwstr>http://www.pngeiti.org.pg/wp-content/uploads/2021/06/PNGEITI-BO-Report.pdf</vt:lpwstr>
      </vt:variant>
      <vt:variant>
        <vt:lpwstr/>
      </vt:variant>
      <vt:variant>
        <vt:i4>786443</vt:i4>
      </vt:variant>
      <vt:variant>
        <vt:i4>102</vt:i4>
      </vt:variant>
      <vt:variant>
        <vt:i4>0</vt:i4>
      </vt:variant>
      <vt:variant>
        <vt:i4>5</vt:i4>
      </vt:variant>
      <vt:variant>
        <vt:lpwstr>http://www.pngeiti.org.pg/wp-content/uploads/2021/07/PNGEITI-SOE-Scoping-Study-Report-090721.pdf</vt:lpwstr>
      </vt:variant>
      <vt:variant>
        <vt:lpwstr/>
      </vt:variant>
      <vt:variant>
        <vt:i4>4849728</vt:i4>
      </vt:variant>
      <vt:variant>
        <vt:i4>99</vt:i4>
      </vt:variant>
      <vt:variant>
        <vt:i4>0</vt:i4>
      </vt:variant>
      <vt:variant>
        <vt:i4>5</vt:i4>
      </vt:variant>
      <vt:variant>
        <vt:lpwstr>http://www.pngeiti.org.pg/wp-content/uploads/2021/06/2019-NEC-Decision-No.-80.pdf</vt:lpwstr>
      </vt:variant>
      <vt:variant>
        <vt:lpwstr/>
      </vt:variant>
      <vt:variant>
        <vt:i4>4915279</vt:i4>
      </vt:variant>
      <vt:variant>
        <vt:i4>96</vt:i4>
      </vt:variant>
      <vt:variant>
        <vt:i4>0</vt:i4>
      </vt:variant>
      <vt:variant>
        <vt:i4>5</vt:i4>
      </vt:variant>
      <vt:variant>
        <vt:lpwstr>http://www.pngeiti.org.pg/wp-content/uploads/2021/06/2017-NEC-Decision-No.-91.pdf</vt:lpwstr>
      </vt:variant>
      <vt:variant>
        <vt:lpwstr/>
      </vt:variant>
      <vt:variant>
        <vt:i4>4522060</vt:i4>
      </vt:variant>
      <vt:variant>
        <vt:i4>93</vt:i4>
      </vt:variant>
      <vt:variant>
        <vt:i4>0</vt:i4>
      </vt:variant>
      <vt:variant>
        <vt:i4>5</vt:i4>
      </vt:variant>
      <vt:variant>
        <vt:lpwstr>http://www.pngeiti.org.pg/wp-content/uploads/2021/06/2011-NEC-Decision-No-.47.pdf</vt:lpwstr>
      </vt:variant>
      <vt:variant>
        <vt:lpwstr/>
      </vt:variant>
      <vt:variant>
        <vt:i4>6225986</vt:i4>
      </vt:variant>
      <vt:variant>
        <vt:i4>90</vt:i4>
      </vt:variant>
      <vt:variant>
        <vt:i4>0</vt:i4>
      </vt:variant>
      <vt:variant>
        <vt:i4>5</vt:i4>
      </vt:variant>
      <vt:variant>
        <vt:lpwstr>https://www.pngeiti.org.pg/pngeiti-annual-workplans/</vt:lpwstr>
      </vt:variant>
      <vt:variant>
        <vt:lpwstr/>
      </vt:variant>
      <vt:variant>
        <vt:i4>7</vt:i4>
      </vt:variant>
      <vt:variant>
        <vt:i4>87</vt:i4>
      </vt:variant>
      <vt:variant>
        <vt:i4>0</vt:i4>
      </vt:variant>
      <vt:variant>
        <vt:i4>5</vt:i4>
      </vt:variant>
      <vt:variant>
        <vt:lpwstr>http://www.pngeiti.org.pg/wp-content/uploads/2018/04/Minutes-of-MSG-Meeting-No.03-of-2021.pdf</vt:lpwstr>
      </vt:variant>
      <vt:variant>
        <vt:lpwstr/>
      </vt:variant>
      <vt:variant>
        <vt:i4>2883629</vt:i4>
      </vt:variant>
      <vt:variant>
        <vt:i4>84</vt:i4>
      </vt:variant>
      <vt:variant>
        <vt:i4>0</vt:i4>
      </vt:variant>
      <vt:variant>
        <vt:i4>5</vt:i4>
      </vt:variant>
      <vt:variant>
        <vt:lpwstr>http://www.pngeiti.org.pg/wp-content/uploads/2021/12/2022-Workplan.pdf</vt:lpwstr>
      </vt:variant>
      <vt:variant>
        <vt:lpwstr/>
      </vt:variant>
      <vt:variant>
        <vt:i4>1376308</vt:i4>
      </vt:variant>
      <vt:variant>
        <vt:i4>81</vt:i4>
      </vt:variant>
      <vt:variant>
        <vt:i4>0</vt:i4>
      </vt:variant>
      <vt:variant>
        <vt:i4>5</vt:i4>
      </vt:variant>
      <vt:variant>
        <vt:lpwstr>https://www.treasury.gov.pg/html/publications/files/pub_files/2011/png-development-strategic-plan.2010-2030.pdf</vt:lpwstr>
      </vt:variant>
      <vt:variant>
        <vt:lpwstr/>
      </vt:variant>
      <vt:variant>
        <vt:i4>5636220</vt:i4>
      </vt:variant>
      <vt:variant>
        <vt:i4>78</vt:i4>
      </vt:variant>
      <vt:variant>
        <vt:i4>0</vt:i4>
      </vt:variant>
      <vt:variant>
        <vt:i4>5</vt:i4>
      </vt:variant>
      <vt:variant>
        <vt:lpwstr>https://www.treasury.gov.pg/html/publications/files/pub_files/2011/2011.png.vision.2050.pdf</vt:lpwstr>
      </vt:variant>
      <vt:variant>
        <vt:lpwstr/>
      </vt:variant>
      <vt:variant>
        <vt:i4>7</vt:i4>
      </vt:variant>
      <vt:variant>
        <vt:i4>75</vt:i4>
      </vt:variant>
      <vt:variant>
        <vt:i4>0</vt:i4>
      </vt:variant>
      <vt:variant>
        <vt:i4>5</vt:i4>
      </vt:variant>
      <vt:variant>
        <vt:lpwstr>http://www.pngeiti.org.pg/wp-content/uploads/2018/04/Minutes-of-MSG-Meeting-No.03-of-2021.pdf</vt:lpwstr>
      </vt:variant>
      <vt:variant>
        <vt:lpwstr/>
      </vt:variant>
      <vt:variant>
        <vt:i4>2883629</vt:i4>
      </vt:variant>
      <vt:variant>
        <vt:i4>72</vt:i4>
      </vt:variant>
      <vt:variant>
        <vt:i4>0</vt:i4>
      </vt:variant>
      <vt:variant>
        <vt:i4>5</vt:i4>
      </vt:variant>
      <vt:variant>
        <vt:lpwstr>http://www.pngeiti.org.pg/wp-content/uploads/2021/12/2022-Workplan.pdf</vt:lpwstr>
      </vt:variant>
      <vt:variant>
        <vt:lpwstr/>
      </vt:variant>
      <vt:variant>
        <vt:i4>2687080</vt:i4>
      </vt:variant>
      <vt:variant>
        <vt:i4>69</vt:i4>
      </vt:variant>
      <vt:variant>
        <vt:i4>0</vt:i4>
      </vt:variant>
      <vt:variant>
        <vt:i4>5</vt:i4>
      </vt:variant>
      <vt:variant>
        <vt:lpwstr>http://www.pngeiti.org.pg/pngeiti-annual-workplans/</vt:lpwstr>
      </vt:variant>
      <vt:variant>
        <vt:lpwstr/>
      </vt:variant>
      <vt:variant>
        <vt:i4>7</vt:i4>
      </vt:variant>
      <vt:variant>
        <vt:i4>66</vt:i4>
      </vt:variant>
      <vt:variant>
        <vt:i4>0</vt:i4>
      </vt:variant>
      <vt:variant>
        <vt:i4>5</vt:i4>
      </vt:variant>
      <vt:variant>
        <vt:lpwstr>http://www.pngeiti.org.pg/wp-content/uploads/2018/04/Minutes-of-MSG-Meeting-No.03-of-2021.pdf</vt:lpwstr>
      </vt:variant>
      <vt:variant>
        <vt:lpwstr/>
      </vt:variant>
      <vt:variant>
        <vt:i4>2883629</vt:i4>
      </vt:variant>
      <vt:variant>
        <vt:i4>63</vt:i4>
      </vt:variant>
      <vt:variant>
        <vt:i4>0</vt:i4>
      </vt:variant>
      <vt:variant>
        <vt:i4>5</vt:i4>
      </vt:variant>
      <vt:variant>
        <vt:lpwstr>http://www.pngeiti.org.pg/wp-content/uploads/2021/12/2022-Workplan.pdf</vt:lpwstr>
      </vt:variant>
      <vt:variant>
        <vt:lpwstr/>
      </vt:variant>
      <vt:variant>
        <vt:i4>1114172</vt:i4>
      </vt:variant>
      <vt:variant>
        <vt:i4>56</vt:i4>
      </vt:variant>
      <vt:variant>
        <vt:i4>0</vt:i4>
      </vt:variant>
      <vt:variant>
        <vt:i4>5</vt:i4>
      </vt:variant>
      <vt:variant>
        <vt:lpwstr/>
      </vt:variant>
      <vt:variant>
        <vt:lpwstr>_Toc57973533</vt:lpwstr>
      </vt:variant>
      <vt:variant>
        <vt:i4>1048636</vt:i4>
      </vt:variant>
      <vt:variant>
        <vt:i4>50</vt:i4>
      </vt:variant>
      <vt:variant>
        <vt:i4>0</vt:i4>
      </vt:variant>
      <vt:variant>
        <vt:i4>5</vt:i4>
      </vt:variant>
      <vt:variant>
        <vt:lpwstr/>
      </vt:variant>
      <vt:variant>
        <vt:lpwstr>_Toc57973532</vt:lpwstr>
      </vt:variant>
      <vt:variant>
        <vt:i4>1245244</vt:i4>
      </vt:variant>
      <vt:variant>
        <vt:i4>44</vt:i4>
      </vt:variant>
      <vt:variant>
        <vt:i4>0</vt:i4>
      </vt:variant>
      <vt:variant>
        <vt:i4>5</vt:i4>
      </vt:variant>
      <vt:variant>
        <vt:lpwstr/>
      </vt:variant>
      <vt:variant>
        <vt:lpwstr>_Toc57973531</vt:lpwstr>
      </vt:variant>
      <vt:variant>
        <vt:i4>1179708</vt:i4>
      </vt:variant>
      <vt:variant>
        <vt:i4>38</vt:i4>
      </vt:variant>
      <vt:variant>
        <vt:i4>0</vt:i4>
      </vt:variant>
      <vt:variant>
        <vt:i4>5</vt:i4>
      </vt:variant>
      <vt:variant>
        <vt:lpwstr/>
      </vt:variant>
      <vt:variant>
        <vt:lpwstr>_Toc57973530</vt:lpwstr>
      </vt:variant>
      <vt:variant>
        <vt:i4>1769533</vt:i4>
      </vt:variant>
      <vt:variant>
        <vt:i4>32</vt:i4>
      </vt:variant>
      <vt:variant>
        <vt:i4>0</vt:i4>
      </vt:variant>
      <vt:variant>
        <vt:i4>5</vt:i4>
      </vt:variant>
      <vt:variant>
        <vt:lpwstr/>
      </vt:variant>
      <vt:variant>
        <vt:lpwstr>_Toc57973529</vt:lpwstr>
      </vt:variant>
      <vt:variant>
        <vt:i4>1703997</vt:i4>
      </vt:variant>
      <vt:variant>
        <vt:i4>26</vt:i4>
      </vt:variant>
      <vt:variant>
        <vt:i4>0</vt:i4>
      </vt:variant>
      <vt:variant>
        <vt:i4>5</vt:i4>
      </vt:variant>
      <vt:variant>
        <vt:lpwstr/>
      </vt:variant>
      <vt:variant>
        <vt:lpwstr>_Toc57973528</vt:lpwstr>
      </vt:variant>
      <vt:variant>
        <vt:i4>1376317</vt:i4>
      </vt:variant>
      <vt:variant>
        <vt:i4>20</vt:i4>
      </vt:variant>
      <vt:variant>
        <vt:i4>0</vt:i4>
      </vt:variant>
      <vt:variant>
        <vt:i4>5</vt:i4>
      </vt:variant>
      <vt:variant>
        <vt:lpwstr/>
      </vt:variant>
      <vt:variant>
        <vt:lpwstr>_Toc57973527</vt:lpwstr>
      </vt:variant>
      <vt:variant>
        <vt:i4>1310781</vt:i4>
      </vt:variant>
      <vt:variant>
        <vt:i4>14</vt:i4>
      </vt:variant>
      <vt:variant>
        <vt:i4>0</vt:i4>
      </vt:variant>
      <vt:variant>
        <vt:i4>5</vt:i4>
      </vt:variant>
      <vt:variant>
        <vt:lpwstr/>
      </vt:variant>
      <vt:variant>
        <vt:lpwstr>_Toc57973526</vt:lpwstr>
      </vt:variant>
      <vt:variant>
        <vt:i4>1507389</vt:i4>
      </vt:variant>
      <vt:variant>
        <vt:i4>8</vt:i4>
      </vt:variant>
      <vt:variant>
        <vt:i4>0</vt:i4>
      </vt:variant>
      <vt:variant>
        <vt:i4>5</vt:i4>
      </vt:variant>
      <vt:variant>
        <vt:lpwstr/>
      </vt:variant>
      <vt:variant>
        <vt:lpwstr>_Toc57973525</vt:lpwstr>
      </vt:variant>
      <vt:variant>
        <vt:i4>1441853</vt:i4>
      </vt:variant>
      <vt:variant>
        <vt:i4>2</vt:i4>
      </vt:variant>
      <vt:variant>
        <vt:i4>0</vt:i4>
      </vt:variant>
      <vt:variant>
        <vt:i4>5</vt:i4>
      </vt:variant>
      <vt:variant>
        <vt:lpwstr/>
      </vt:variant>
      <vt:variant>
        <vt:lpwstr>_Toc57973524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Lucas Alkan</cp:lastModifiedBy>
  <cp:revision>2</cp:revision>
  <cp:lastPrinted>2019-04-29T12:09:00Z</cp:lastPrinted>
  <dcterms:created xsi:type="dcterms:W3CDTF">2022-03-31T07:06:00Z</dcterms:created>
  <dcterms:modified xsi:type="dcterms:W3CDTF">2022-03-31T07:06:00Z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