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101B4D"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32F416DD"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591DF779"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6DABB8F7"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6FE3DE07"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13C9ADF4"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3B232369"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4E124EB5" w14:textId="77777777" w:rsidR="00C45DFB" w:rsidRPr="00BF652C" w:rsidRDefault="00C45DFB" w:rsidP="00C45DFB">
      <w:pPr>
        <w:pStyle w:val="MainTitle"/>
        <w:pBdr>
          <w:bottom w:val="single" w:sz="4" w:space="0" w:color="auto"/>
        </w:pBdr>
        <w:rPr>
          <w:rFonts w:ascii="Franklin Gothic Book" w:hAnsi="Franklin Gothic Book"/>
          <w:b/>
          <w:bCs/>
          <w:lang w:val="en-GB"/>
        </w:rPr>
      </w:pPr>
    </w:p>
    <w:p w14:paraId="2F624E3F" w14:textId="51C9EA26" w:rsidR="00C45DFB" w:rsidRPr="00DE200D" w:rsidRDefault="00C45DFB" w:rsidP="00C45DFB">
      <w:pPr>
        <w:pStyle w:val="MainTitle"/>
        <w:pBdr>
          <w:bottom w:val="single" w:sz="4" w:space="0" w:color="auto"/>
        </w:pBdr>
        <w:rPr>
          <w:rFonts w:ascii="Franklin Gothic Book" w:hAnsi="Franklin Gothic Book"/>
          <w:b/>
          <w:bCs/>
        </w:rPr>
      </w:pPr>
      <w:r>
        <w:rPr>
          <w:rFonts w:ascii="Franklin Gothic Book" w:hAnsi="Franklin Gothic Book"/>
          <w:b/>
        </w:rPr>
        <w:t xml:space="preserve">Términos de Referencia estándar para la </w:t>
      </w:r>
      <w:r w:rsidR="003648FA">
        <w:rPr>
          <w:rFonts w:ascii="Franklin Gothic Book" w:hAnsi="Franklin Gothic Book"/>
          <w:b/>
        </w:rPr>
        <w:t>divulgación de información</w:t>
      </w:r>
      <w:r>
        <w:rPr>
          <w:rFonts w:ascii="Franklin Gothic Book" w:hAnsi="Franklin Gothic Book"/>
          <w:b/>
        </w:rPr>
        <w:t xml:space="preserve"> EITI </w:t>
      </w:r>
    </w:p>
    <w:p w14:paraId="69608E37" w14:textId="77777777" w:rsidR="00C45DFB" w:rsidRPr="00DE200D" w:rsidRDefault="00C45DFB" w:rsidP="00C45DFB">
      <w:pPr>
        <w:pStyle w:val="SubTitle0"/>
      </w:pPr>
      <w:bookmarkStart w:id="0" w:name="_Toc178065407"/>
      <w:bookmarkStart w:id="1" w:name="_Toc178092089"/>
      <w:bookmarkStart w:id="2" w:name="_Toc180650419"/>
      <w:r>
        <w:t>Estándar EITI 2023</w:t>
      </w:r>
      <w:bookmarkEnd w:id="0"/>
      <w:bookmarkEnd w:id="1"/>
      <w:bookmarkEnd w:id="2"/>
    </w:p>
    <w:p w14:paraId="383CD130" w14:textId="77777777" w:rsidR="00C45DFB" w:rsidRPr="00B90839" w:rsidRDefault="00C45DFB" w:rsidP="00C45DFB">
      <w:pPr>
        <w:pStyle w:val="Text0"/>
      </w:pPr>
    </w:p>
    <w:p w14:paraId="1031E5EC" w14:textId="77777777" w:rsidR="00C45DFB" w:rsidRPr="00B90839" w:rsidRDefault="00C45DFB" w:rsidP="00C45DFB">
      <w:pPr>
        <w:pStyle w:val="Text0"/>
      </w:pPr>
    </w:p>
    <w:p w14:paraId="654E4D26" w14:textId="77777777" w:rsidR="00C45DFB" w:rsidRPr="00B90839" w:rsidRDefault="00C45DFB" w:rsidP="00C45DFB">
      <w:pPr>
        <w:pStyle w:val="Text0"/>
      </w:pPr>
    </w:p>
    <w:p w14:paraId="07F29069" w14:textId="77777777" w:rsidR="00C45DFB" w:rsidRPr="00B90839" w:rsidRDefault="00C45DFB" w:rsidP="00C45DFB">
      <w:pPr>
        <w:pStyle w:val="Text0"/>
      </w:pPr>
    </w:p>
    <w:p w14:paraId="7F9ACB4E" w14:textId="77777777" w:rsidR="00C45DFB" w:rsidRPr="00B90839" w:rsidRDefault="00C45DFB" w:rsidP="00C45DFB">
      <w:pPr>
        <w:pStyle w:val="Text0"/>
      </w:pPr>
    </w:p>
    <w:p w14:paraId="70767442" w14:textId="77777777" w:rsidR="00C45DFB" w:rsidRPr="00B90839" w:rsidRDefault="00C45DFB" w:rsidP="00C45DFB">
      <w:pPr>
        <w:pStyle w:val="Text0"/>
        <w:rPr>
          <w:b/>
          <w:bCs/>
        </w:rPr>
      </w:pPr>
    </w:p>
    <w:p w14:paraId="0B56EAA9" w14:textId="77777777" w:rsidR="00C45DFB" w:rsidRPr="00B90839" w:rsidRDefault="00C45DFB" w:rsidP="00C45DFB">
      <w:pPr>
        <w:pStyle w:val="Text0"/>
        <w:rPr>
          <w:b/>
          <w:bCs/>
        </w:rPr>
      </w:pPr>
    </w:p>
    <w:p w14:paraId="2075116A" w14:textId="77777777" w:rsidR="00C45DFB" w:rsidRPr="00B90839" w:rsidRDefault="00C45DFB" w:rsidP="00C45DFB">
      <w:pPr>
        <w:pStyle w:val="Text0"/>
        <w:rPr>
          <w:b/>
          <w:bCs/>
        </w:rPr>
      </w:pPr>
    </w:p>
    <w:p w14:paraId="232D5713" w14:textId="77777777" w:rsidR="00C45DFB" w:rsidRPr="00DE200D" w:rsidRDefault="00C45DFB" w:rsidP="00C45DFB">
      <w:pPr>
        <w:pStyle w:val="Text0"/>
        <w:rPr>
          <w:b/>
          <w:bCs/>
        </w:rPr>
      </w:pPr>
      <w:r>
        <w:rPr>
          <w:b/>
        </w:rPr>
        <w:t xml:space="preserve">EITI </w:t>
      </w:r>
      <w:r>
        <w:rPr>
          <w:b/>
          <w:color w:val="4472C4" w:themeColor="accent1"/>
        </w:rPr>
        <w:t>[País]</w:t>
      </w:r>
    </w:p>
    <w:p w14:paraId="1D722DD3" w14:textId="4A289CEE" w:rsidR="00C45DFB" w:rsidRPr="00DE200D" w:rsidRDefault="00C45DFB" w:rsidP="00C45DFB">
      <w:pPr>
        <w:pStyle w:val="Text0"/>
        <w:rPr>
          <w:bCs/>
          <w:color w:val="4472C4" w:themeColor="accent1"/>
        </w:rPr>
      </w:pPr>
      <w:r>
        <w:rPr>
          <w:b/>
        </w:rPr>
        <w:t xml:space="preserve">Términos de Referencia para la </w:t>
      </w:r>
      <w:r w:rsidR="003648FA">
        <w:rPr>
          <w:b/>
        </w:rPr>
        <w:t>divulgación de información</w:t>
      </w:r>
      <w:r>
        <w:rPr>
          <w:b/>
        </w:rPr>
        <w:t xml:space="preserve"> EITI del período </w:t>
      </w:r>
      <w:r>
        <w:rPr>
          <w:b/>
          <w:color w:val="4472C4" w:themeColor="accent1"/>
        </w:rPr>
        <w:t>[YYYY-YYYY]</w:t>
      </w:r>
      <w:r>
        <w:rPr>
          <w:color w:val="4472C4" w:themeColor="accent1"/>
        </w:rPr>
        <w:t xml:space="preserve"> </w:t>
      </w:r>
    </w:p>
    <w:p w14:paraId="4054BACA" w14:textId="77777777" w:rsidR="00C45DFB" w:rsidRPr="00DE200D" w:rsidRDefault="00C45DFB" w:rsidP="00C45DFB">
      <w:pPr>
        <w:pStyle w:val="Text0"/>
      </w:pPr>
      <w:r>
        <w:t xml:space="preserve">Aprobados por el </w:t>
      </w:r>
      <w:r>
        <w:rPr>
          <w:color w:val="4472C4" w:themeColor="accent1"/>
        </w:rPr>
        <w:t xml:space="preserve">[nombre del GMP] </w:t>
      </w:r>
      <w:r>
        <w:t xml:space="preserve">el día </w:t>
      </w:r>
      <w:r>
        <w:rPr>
          <w:color w:val="4472C4" w:themeColor="accent1"/>
        </w:rPr>
        <w:t>[fecha]</w:t>
      </w:r>
      <w:r>
        <w:br w:type="page"/>
      </w:r>
    </w:p>
    <w:p w14:paraId="0D8EA7A2" w14:textId="77777777" w:rsidR="00C45DFB" w:rsidRPr="00DE200D" w:rsidRDefault="00C45DFB" w:rsidP="00C45DFB">
      <w:pPr>
        <w:pStyle w:val="Heading1"/>
        <w:numPr>
          <w:ilvl w:val="0"/>
          <w:numId w:val="25"/>
        </w:numPr>
      </w:pPr>
      <w:bookmarkStart w:id="3" w:name="_Toc178065408"/>
      <w:bookmarkStart w:id="4" w:name="_Toc180650420"/>
      <w:r>
        <w:lastRenderedPageBreak/>
        <w:t>Introducción</w:t>
      </w:r>
      <w:bookmarkEnd w:id="3"/>
      <w:bookmarkEnd w:id="4"/>
    </w:p>
    <w:p w14:paraId="34C1B9EF" w14:textId="6C102D3D" w:rsidR="00C45DFB" w:rsidRPr="00DE200D" w:rsidRDefault="00C45DFB" w:rsidP="00C45DFB">
      <w:pPr>
        <w:rPr>
          <w:color w:val="000000" w:themeColor="text1"/>
        </w:rPr>
      </w:pPr>
      <w:r>
        <w:rPr>
          <w:color w:val="000000" w:themeColor="text1"/>
        </w:rPr>
        <w:t>El presente documento establece los Términos de Referencia (TdR) estándar aplicables a la compilación de datos para l</w:t>
      </w:r>
      <w:r w:rsidR="00647029">
        <w:rPr>
          <w:color w:val="000000" w:themeColor="text1"/>
        </w:rPr>
        <w:t>a divulgación de información</w:t>
      </w:r>
      <w:r w:rsidR="00047012">
        <w:rPr>
          <w:rStyle w:val="FootnoteReference"/>
          <w:color w:val="000000" w:themeColor="text1"/>
        </w:rPr>
        <w:footnoteReference w:id="2"/>
      </w:r>
      <w:r w:rsidR="00647029">
        <w:rPr>
          <w:color w:val="000000" w:themeColor="text1"/>
        </w:rPr>
        <w:t xml:space="preserve"> </w:t>
      </w:r>
      <w:r>
        <w:rPr>
          <w:color w:val="000000" w:themeColor="text1"/>
        </w:rPr>
        <w:t>EITI, conforme al Estándar EITI 2023. Estos procedimientos, elaborados por el Consejo</w:t>
      </w:r>
      <w:r w:rsidR="008F7B78">
        <w:rPr>
          <w:color w:val="000000" w:themeColor="text1"/>
        </w:rPr>
        <w:t xml:space="preserve"> Internacional del</w:t>
      </w:r>
      <w:r>
        <w:rPr>
          <w:color w:val="000000" w:themeColor="text1"/>
        </w:rPr>
        <w:t xml:space="preserve"> EITI, apuntan a garantizar la consistencia y fiabilidad </w:t>
      </w:r>
      <w:r w:rsidR="008D17B9">
        <w:rPr>
          <w:color w:val="000000" w:themeColor="text1"/>
        </w:rPr>
        <w:t xml:space="preserve">en la divulgación </w:t>
      </w:r>
      <w:r>
        <w:rPr>
          <w:color w:val="000000" w:themeColor="text1"/>
        </w:rPr>
        <w:t xml:space="preserve">de los datos sobre ingresos. Siempre que sea posible, los datos deberían recabarse de fuentes primarias (es decir, de los sistemas </w:t>
      </w:r>
      <w:r w:rsidR="007F4D2C">
        <w:rPr>
          <w:color w:val="000000" w:themeColor="text1"/>
        </w:rPr>
        <w:t xml:space="preserve">de reporte de información </w:t>
      </w:r>
      <w:r>
        <w:rPr>
          <w:color w:val="000000" w:themeColor="text1"/>
        </w:rPr>
        <w:t>de los gobiernos y las empresas) a fin de que la información sobre el sector extractivo resulte más accesible y comprensible para el público.</w:t>
      </w:r>
    </w:p>
    <w:p w14:paraId="0706D5A0" w14:textId="77777777" w:rsidR="00C45DFB" w:rsidRPr="00DE200D" w:rsidRDefault="00C45DFB" w:rsidP="00C45DFB">
      <w:pPr>
        <w:ind w:left="993"/>
        <w:rPr>
          <w:color w:val="D24228"/>
        </w:rPr>
      </w:pPr>
      <w:r>
        <w:rPr>
          <w:b/>
          <w:noProof/>
          <w:color w:val="D24228"/>
        </w:rPr>
        <w:drawing>
          <wp:anchor distT="0" distB="0" distL="114300" distR="114300" simplePos="0" relativeHeight="251658242" behindDoc="0" locked="0" layoutInCell="1" allowOverlap="1" wp14:anchorId="1B078333" wp14:editId="0A41081C">
            <wp:simplePos x="0" y="0"/>
            <wp:positionH relativeFrom="column">
              <wp:posOffset>85458</wp:posOffset>
            </wp:positionH>
            <wp:positionV relativeFrom="paragraph">
              <wp:posOffset>43180</wp:posOffset>
            </wp:positionV>
            <wp:extent cx="444382" cy="444382"/>
            <wp:effectExtent l="0" t="0" r="0" b="635"/>
            <wp:wrapSquare wrapText="bothSides"/>
            <wp:docPr id="2005068353"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r>
        <w:rPr>
          <w:b/>
          <w:color w:val="D24228"/>
        </w:rPr>
        <w:t>Consejo:</w:t>
      </w:r>
      <w:r>
        <w:rPr>
          <w:color w:val="D24228"/>
        </w:rPr>
        <w:t xml:space="preserve"> Los grupos </w:t>
      </w:r>
      <w:proofErr w:type="spellStart"/>
      <w:r>
        <w:rPr>
          <w:color w:val="D24228"/>
        </w:rPr>
        <w:t>multipartícipes</w:t>
      </w:r>
      <w:proofErr w:type="spellEnd"/>
      <w:r>
        <w:rPr>
          <w:color w:val="D24228"/>
        </w:rPr>
        <w:t xml:space="preserve"> (GMP) de los países implementadores del EITI pueden modificar el texto en </w:t>
      </w:r>
      <w:r>
        <w:rPr>
          <w:color w:val="4472C4" w:themeColor="accent1"/>
        </w:rPr>
        <w:t xml:space="preserve">azul </w:t>
      </w:r>
      <w:r>
        <w:rPr>
          <w:color w:val="D24228"/>
        </w:rPr>
        <w:t xml:space="preserve">para adaptarlo al contexto y las prioridades de sus respectivos países al momento de elaborar los TdR de su próximo ciclo de informes. </w:t>
      </w:r>
    </w:p>
    <w:p w14:paraId="2C3E1FC3" w14:textId="77777777" w:rsidR="00C45DFB" w:rsidRPr="00DE200D" w:rsidRDefault="00C45DFB" w:rsidP="00C45DFB">
      <w:pPr>
        <w:rPr>
          <w:b/>
          <w:bCs/>
          <w:color w:val="000000" w:themeColor="text1"/>
        </w:rPr>
      </w:pPr>
    </w:p>
    <w:p w14:paraId="66553E00" w14:textId="43A45E88" w:rsidR="00C45DFB" w:rsidRPr="00DE200D" w:rsidRDefault="00C45DFB" w:rsidP="00C45DFB">
      <w:pPr>
        <w:rPr>
          <w:b/>
          <w:bCs/>
          <w:color w:val="000000" w:themeColor="text1"/>
        </w:rPr>
      </w:pPr>
      <w:r>
        <w:rPr>
          <w:b/>
          <w:color w:val="000000" w:themeColor="text1"/>
        </w:rPr>
        <w:t xml:space="preserve">La entidad responsable de elaborar </w:t>
      </w:r>
      <w:r w:rsidR="00046913">
        <w:rPr>
          <w:b/>
          <w:color w:val="000000" w:themeColor="text1"/>
        </w:rPr>
        <w:t>la divulgación de información</w:t>
      </w:r>
      <w:r>
        <w:rPr>
          <w:b/>
          <w:color w:val="000000" w:themeColor="text1"/>
        </w:rPr>
        <w:t xml:space="preserve"> EITI </w:t>
      </w:r>
    </w:p>
    <w:p w14:paraId="6F386EBF" w14:textId="6E634B42" w:rsidR="00C45DFB" w:rsidRPr="00DE200D" w:rsidRDefault="00C45DFB" w:rsidP="00C45DFB">
      <w:pPr>
        <w:rPr>
          <w:bCs/>
          <w:color w:val="000000" w:themeColor="text1"/>
        </w:rPr>
      </w:pPr>
      <w:r>
        <w:rPr>
          <w:color w:val="000000" w:themeColor="text1"/>
        </w:rPr>
        <w:t xml:space="preserve">Existen varios aspectos de la </w:t>
      </w:r>
      <w:r w:rsidR="00CB7118">
        <w:rPr>
          <w:color w:val="000000" w:themeColor="text1"/>
        </w:rPr>
        <w:t>divulgación de la información</w:t>
      </w:r>
      <w:r>
        <w:rPr>
          <w:color w:val="000000" w:themeColor="text1"/>
        </w:rPr>
        <w:t xml:space="preserve"> EITI que pueden tercerizarse. </w:t>
      </w:r>
      <w:r w:rsidR="00F14EAC">
        <w:rPr>
          <w:color w:val="000000" w:themeColor="text1"/>
        </w:rPr>
        <w:t xml:space="preserve">En años anteriores, muchos </w:t>
      </w:r>
      <w:r>
        <w:rPr>
          <w:color w:val="000000" w:themeColor="text1"/>
        </w:rPr>
        <w:t xml:space="preserve">países han recurrido a un Administrador Independiente (AI) para </w:t>
      </w:r>
      <w:r w:rsidR="00F14EAC">
        <w:rPr>
          <w:color w:val="000000" w:themeColor="text1"/>
        </w:rPr>
        <w:t xml:space="preserve">realizar </w:t>
      </w:r>
      <w:r>
        <w:rPr>
          <w:color w:val="000000" w:themeColor="text1"/>
        </w:rPr>
        <w:t xml:space="preserve">esta labor. Sin embargo, durante el período </w:t>
      </w:r>
      <w:r w:rsidR="008414BD">
        <w:rPr>
          <w:color w:val="000000" w:themeColor="text1"/>
        </w:rPr>
        <w:t xml:space="preserve">que permitía la divulgación de informes flexibles, </w:t>
      </w:r>
      <w:r>
        <w:rPr>
          <w:color w:val="000000" w:themeColor="text1"/>
        </w:rPr>
        <w:t xml:space="preserve">entre mayo de 2020 y noviembre de 2024, varios países implementadores </w:t>
      </w:r>
      <w:r w:rsidR="00047012">
        <w:rPr>
          <w:color w:val="000000" w:themeColor="text1"/>
        </w:rPr>
        <w:t>contrataron</w:t>
      </w:r>
      <w:r>
        <w:rPr>
          <w:color w:val="000000" w:themeColor="text1"/>
        </w:rPr>
        <w:t xml:space="preserve"> a otras entidades para desarrollar diversos aspectos de la </w:t>
      </w:r>
      <w:r w:rsidR="00CB7118">
        <w:rPr>
          <w:color w:val="000000" w:themeColor="text1"/>
        </w:rPr>
        <w:t>divulgación de la información</w:t>
      </w:r>
      <w:r>
        <w:rPr>
          <w:color w:val="000000" w:themeColor="text1"/>
        </w:rPr>
        <w:t xml:space="preserve"> EITI. Por ejemplo, la fase inicial de determinación del alcance del ciclo de informes EITI podría llevarla a cabo el secretariado nacional. Si bien los GMP pueden optar por contratar un Administrador Independiente para elaborar </w:t>
      </w:r>
      <w:r w:rsidR="00040A20">
        <w:rPr>
          <w:color w:val="000000" w:themeColor="text1"/>
        </w:rPr>
        <w:t>la divulgación de información</w:t>
      </w:r>
      <w:r>
        <w:rPr>
          <w:color w:val="000000" w:themeColor="text1"/>
        </w:rPr>
        <w:t xml:space="preserve"> EITI</w:t>
      </w:r>
      <w:r w:rsidR="00040A20">
        <w:rPr>
          <w:color w:val="000000" w:themeColor="text1"/>
        </w:rPr>
        <w:t>, sea en la elaboración de Informes EITI o mediante divulgación sistemática</w:t>
      </w:r>
      <w:r>
        <w:rPr>
          <w:color w:val="000000" w:themeColor="text1"/>
        </w:rPr>
        <w:t xml:space="preserve">, este trabajo no se circunscribe a dicha figura. </w:t>
      </w:r>
    </w:p>
    <w:p w14:paraId="62FD930A" w14:textId="44E54C3D" w:rsidR="00C45DFB" w:rsidRPr="00DE200D" w:rsidRDefault="00C45DFB" w:rsidP="00C45DFB">
      <w:pPr>
        <w:rPr>
          <w:bCs/>
          <w:color w:val="000000" w:themeColor="text1"/>
        </w:rPr>
      </w:pPr>
      <w:r>
        <w:rPr>
          <w:color w:val="000000" w:themeColor="text1"/>
        </w:rPr>
        <w:t xml:space="preserve">Es por ello </w:t>
      </w:r>
      <w:proofErr w:type="gramStart"/>
      <w:r>
        <w:rPr>
          <w:color w:val="000000" w:themeColor="text1"/>
        </w:rPr>
        <w:t>que</w:t>
      </w:r>
      <w:proofErr w:type="gramEnd"/>
      <w:r>
        <w:rPr>
          <w:color w:val="000000" w:themeColor="text1"/>
        </w:rPr>
        <w:t xml:space="preserve"> estos TdR actualizados se refieren de manera más amplia a la/s entidad/es responsable/s de </w:t>
      </w:r>
      <w:r w:rsidR="00C9742B">
        <w:rPr>
          <w:color w:val="000000" w:themeColor="text1"/>
        </w:rPr>
        <w:t>elaborar la divulgación de información</w:t>
      </w:r>
      <w:r>
        <w:rPr>
          <w:color w:val="000000" w:themeColor="text1"/>
        </w:rPr>
        <w:t xml:space="preserve"> EITI (en adelante, “la Entidad”), en vez de aludir exclusivamente a la figura del Administrador Independiente. La Entidad </w:t>
      </w:r>
      <w:r w:rsidR="00766D25">
        <w:rPr>
          <w:color w:val="000000" w:themeColor="text1"/>
        </w:rPr>
        <w:t xml:space="preserve">debe </w:t>
      </w:r>
      <w:r>
        <w:rPr>
          <w:color w:val="000000" w:themeColor="text1"/>
        </w:rPr>
        <w:t>ser considerada</w:t>
      </w:r>
      <w:r w:rsidR="00766D25">
        <w:rPr>
          <w:color w:val="000000" w:themeColor="text1"/>
        </w:rPr>
        <w:t xml:space="preserve"> como</w:t>
      </w:r>
      <w:r>
        <w:rPr>
          <w:color w:val="000000" w:themeColor="text1"/>
        </w:rPr>
        <w:t xml:space="preserve"> creíble, confiable y técnicamente competente por el GMP. </w:t>
      </w:r>
    </w:p>
    <w:p w14:paraId="34FED800" w14:textId="3A78CA40" w:rsidR="00C45DFB" w:rsidRPr="00DE200D" w:rsidRDefault="00C45DFB" w:rsidP="00C45DFB">
      <w:pPr>
        <w:rPr>
          <w:color w:val="000000" w:themeColor="text1"/>
        </w:rPr>
      </w:pPr>
      <w:r>
        <w:rPr>
          <w:color w:val="000000" w:themeColor="text1"/>
        </w:rPr>
        <w:t xml:space="preserve">El GMP y la Entidad deberían divulgar de forma clara todo conflicto de interés existente en relación con la recopilación y el tratamiento de </w:t>
      </w:r>
      <w:r w:rsidR="00B90839">
        <w:rPr>
          <w:color w:val="000000" w:themeColor="text1"/>
        </w:rPr>
        <w:t>toda</w:t>
      </w:r>
      <w:r>
        <w:rPr>
          <w:color w:val="000000" w:themeColor="text1"/>
        </w:rPr>
        <w:t xml:space="preserve"> información que se considere “sensible” durante la contratación. </w:t>
      </w:r>
    </w:p>
    <w:p w14:paraId="2FB14B06" w14:textId="77777777" w:rsidR="00C45DFB" w:rsidRPr="00DE200D" w:rsidRDefault="00C45DFB" w:rsidP="00C45DFB">
      <w:pPr>
        <w:rPr>
          <w:b/>
          <w:bCs/>
          <w:color w:val="000000" w:themeColor="text1"/>
        </w:rPr>
      </w:pPr>
    </w:p>
    <w:p w14:paraId="3F97E28C" w14:textId="77777777" w:rsidR="00C45DFB" w:rsidRPr="00DE200D" w:rsidRDefault="00C45DFB" w:rsidP="00C45DFB">
      <w:pPr>
        <w:rPr>
          <w:b/>
          <w:bCs/>
          <w:color w:val="000000" w:themeColor="text1"/>
        </w:rPr>
      </w:pPr>
      <w:r>
        <w:rPr>
          <w:b/>
          <w:color w:val="000000" w:themeColor="text1"/>
        </w:rPr>
        <w:t xml:space="preserve">El papel del grupo </w:t>
      </w:r>
      <w:proofErr w:type="spellStart"/>
      <w:r>
        <w:rPr>
          <w:b/>
          <w:color w:val="000000" w:themeColor="text1"/>
        </w:rPr>
        <w:t>multipartícipe</w:t>
      </w:r>
      <w:proofErr w:type="spellEnd"/>
      <w:r>
        <w:rPr>
          <w:b/>
          <w:color w:val="000000" w:themeColor="text1"/>
        </w:rPr>
        <w:t xml:space="preserve"> del EITI</w:t>
      </w:r>
    </w:p>
    <w:p w14:paraId="40DAE5A2" w14:textId="4C576270" w:rsidR="00C45DFB" w:rsidRPr="00DE200D" w:rsidRDefault="00C45DFB" w:rsidP="00C45DFB">
      <w:pPr>
        <w:rPr>
          <w:color w:val="000000" w:themeColor="text1"/>
        </w:rPr>
      </w:pPr>
      <w:r>
        <w:rPr>
          <w:color w:val="000000" w:themeColor="text1"/>
        </w:rPr>
        <w:t xml:space="preserve">El GMP debe aprobar los TdR para la </w:t>
      </w:r>
      <w:r w:rsidR="003A3161">
        <w:rPr>
          <w:color w:val="000000" w:themeColor="text1"/>
        </w:rPr>
        <w:t>divulgación de información</w:t>
      </w:r>
      <w:r>
        <w:rPr>
          <w:color w:val="000000" w:themeColor="text1"/>
        </w:rPr>
        <w:t xml:space="preserve"> EITI con base en los objetivos y el alcance establecidos en su plan de trabajo y las recomendaciones de Validaciones e informes anteriores. El proceso EITI exige que las decisiones se tomen de forma inclusiva, tratando a todos los grupos representados como socios. Por otra parte, el GMP debería determinar las prioridades de </w:t>
      </w:r>
      <w:r w:rsidR="008A649A">
        <w:rPr>
          <w:color w:val="000000" w:themeColor="text1"/>
        </w:rPr>
        <w:t>la divulgación</w:t>
      </w:r>
      <w:r w:rsidR="00DC2E7A">
        <w:rPr>
          <w:color w:val="000000" w:themeColor="text1"/>
        </w:rPr>
        <w:t xml:space="preserve"> de información </w:t>
      </w:r>
      <w:r>
        <w:rPr>
          <w:color w:val="000000" w:themeColor="text1"/>
        </w:rPr>
        <w:t>EITI y decidir cuáles son los requisitos EITI u otros datos (si los hay) que deberían priorizarse.</w:t>
      </w:r>
    </w:p>
    <w:p w14:paraId="28A84A59" w14:textId="458080B1" w:rsidR="00C45DFB" w:rsidRPr="00DE200D" w:rsidRDefault="00C45DFB" w:rsidP="00C45DFB">
      <w:pPr>
        <w:rPr>
          <w:color w:val="000000" w:themeColor="text1"/>
        </w:rPr>
      </w:pPr>
      <w:r>
        <w:rPr>
          <w:color w:val="000000" w:themeColor="text1"/>
        </w:rPr>
        <w:t xml:space="preserve">El GMP </w:t>
      </w:r>
      <w:r w:rsidR="00B90839">
        <w:rPr>
          <w:color w:val="000000" w:themeColor="text1"/>
        </w:rPr>
        <w:t>debe</w:t>
      </w:r>
      <w:r>
        <w:rPr>
          <w:color w:val="000000" w:themeColor="text1"/>
        </w:rPr>
        <w:t xml:space="preserve"> establecer un enfoque para</w:t>
      </w:r>
      <w:r w:rsidR="00BA029A">
        <w:rPr>
          <w:color w:val="000000" w:themeColor="text1"/>
        </w:rPr>
        <w:t xml:space="preserve"> verificar</w:t>
      </w:r>
      <w:r>
        <w:rPr>
          <w:color w:val="000000" w:themeColor="text1"/>
        </w:rPr>
        <w:t xml:space="preserve"> la calidad de los datos basado en las prácticas de auditoría y garantía existentes tanto </w:t>
      </w:r>
      <w:r w:rsidR="00B90839">
        <w:rPr>
          <w:color w:val="000000" w:themeColor="text1"/>
        </w:rPr>
        <w:t>de</w:t>
      </w:r>
      <w:r>
        <w:rPr>
          <w:color w:val="000000" w:themeColor="text1"/>
        </w:rPr>
        <w:t xml:space="preserve"> las entidades gubernamentales como </w:t>
      </w:r>
      <w:r w:rsidR="00B90839">
        <w:rPr>
          <w:color w:val="000000" w:themeColor="text1"/>
        </w:rPr>
        <w:t>de</w:t>
      </w:r>
      <w:r>
        <w:rPr>
          <w:color w:val="000000" w:themeColor="text1"/>
        </w:rPr>
        <w:t xml:space="preserve"> las empresas </w:t>
      </w:r>
      <w:r>
        <w:rPr>
          <w:color w:val="000000" w:themeColor="text1"/>
        </w:rPr>
        <w:lastRenderedPageBreak/>
        <w:t xml:space="preserve">extractivas. Estos TdR describen dos procedimientos estándar para abordar la calidad de los datos (véase la Sección 4, Fase 3): </w:t>
      </w:r>
    </w:p>
    <w:p w14:paraId="5B3911A5" w14:textId="77777777" w:rsidR="00C45DFB" w:rsidRPr="00DE200D" w:rsidRDefault="00C45DFB" w:rsidP="00C45DFB">
      <w:pPr>
        <w:pStyle w:val="ListParagraph0"/>
        <w:widowControl/>
        <w:numPr>
          <w:ilvl w:val="0"/>
          <w:numId w:val="15"/>
        </w:numPr>
        <w:suppressAutoHyphens w:val="0"/>
        <w:spacing w:line="240" w:lineRule="auto"/>
        <w:contextualSpacing w:val="0"/>
        <w:rPr>
          <w:color w:val="000000" w:themeColor="text1"/>
        </w:rPr>
      </w:pPr>
      <w:r>
        <w:rPr>
          <w:color w:val="000000" w:themeColor="text1"/>
        </w:rPr>
        <w:t xml:space="preserve">El cotejo </w:t>
      </w:r>
    </w:p>
    <w:p w14:paraId="3766D490" w14:textId="77777777" w:rsidR="00C45DFB" w:rsidRPr="00DE200D" w:rsidRDefault="00C45DFB" w:rsidP="00C45DFB">
      <w:pPr>
        <w:pStyle w:val="ListParagraph0"/>
        <w:widowControl/>
        <w:numPr>
          <w:ilvl w:val="0"/>
          <w:numId w:val="15"/>
        </w:numPr>
        <w:suppressAutoHyphens w:val="0"/>
        <w:spacing w:after="240" w:line="240" w:lineRule="auto"/>
        <w:contextualSpacing w:val="0"/>
        <w:rPr>
          <w:color w:val="000000" w:themeColor="text1"/>
        </w:rPr>
      </w:pPr>
      <w:r>
        <w:rPr>
          <w:color w:val="000000" w:themeColor="text1"/>
        </w:rPr>
        <w:t xml:space="preserve">Un enfoque basado en los riesgos </w:t>
      </w:r>
    </w:p>
    <w:p w14:paraId="7EF5682F" w14:textId="3F9E0986" w:rsidR="00C45DFB" w:rsidRPr="00DE200D" w:rsidRDefault="00C45DFB" w:rsidP="00C45DFB">
      <w:pPr>
        <w:rPr>
          <w:color w:val="000000" w:themeColor="text1"/>
        </w:rPr>
      </w:pPr>
      <w:r>
        <w:rPr>
          <w:color w:val="000000" w:themeColor="text1"/>
        </w:rPr>
        <w:t>El GMP puede adoptar mecanismos de garantía de la calidad adaptados a medida</w:t>
      </w:r>
      <w:r w:rsidR="00BA029A">
        <w:rPr>
          <w:color w:val="000000" w:themeColor="text1"/>
        </w:rPr>
        <w:t>;</w:t>
      </w:r>
      <w:r>
        <w:rPr>
          <w:color w:val="000000" w:themeColor="text1"/>
        </w:rPr>
        <w:t xml:space="preserve"> por ejemplo, un enfoque basado en los riesgos, la participación de la institución suprema de auditoría o la inclusión de datos divulgados sistemáticamente que se hayan publicado siguiendo las prácticas internacionales de auditoría. Estos enfoques ayudan a garantizar la fiabilidad de los datos, teniendo en cuenta las prácticas de auditoría y garantía predominantes en el país.</w:t>
      </w:r>
    </w:p>
    <w:p w14:paraId="27AAC50B" w14:textId="46F704D6" w:rsidR="00C45DFB" w:rsidRPr="00DE200D" w:rsidRDefault="00C45DFB" w:rsidP="00C45DFB">
      <w:pPr>
        <w:rPr>
          <w:color w:val="000000" w:themeColor="text1"/>
        </w:rPr>
      </w:pPr>
      <w:r>
        <w:t xml:space="preserve">En consonancia con el Requisito 4.9.c del Estándar EITI 2023, se alienta al GMP a establecer un enfoque para la fiabilidad de </w:t>
      </w:r>
      <w:r w:rsidR="00BA029A">
        <w:t xml:space="preserve">información no vinculada </w:t>
      </w:r>
      <w:r>
        <w:t xml:space="preserve">a </w:t>
      </w:r>
      <w:r w:rsidR="00BA029A">
        <w:t xml:space="preserve">los </w:t>
      </w:r>
      <w:r>
        <w:t xml:space="preserve">ingresos </w:t>
      </w:r>
      <w:r w:rsidR="00B90839">
        <w:t>conforme a</w:t>
      </w:r>
      <w:r>
        <w:t xml:space="preserve"> lo dispuesto en el Requisito </w:t>
      </w:r>
      <w:r w:rsidR="00BA029A">
        <w:t>2</w:t>
      </w:r>
      <w:r>
        <w:t xml:space="preserve"> (sobre el marco legal e institucional, contratos y licencias), el Requisito 3 (sobre exploración y producción), el Requisito 5 (sobre la </w:t>
      </w:r>
      <w:r w:rsidR="00BA029A">
        <w:t xml:space="preserve">gestión </w:t>
      </w:r>
      <w:r>
        <w:t>y distribución de los ingresos) y el Requisito 6 (sobre gasto social y económico).</w:t>
      </w:r>
      <w:r>
        <w:rPr>
          <w:color w:val="000000" w:themeColor="text1"/>
        </w:rPr>
        <w:t xml:space="preserve"> </w:t>
      </w:r>
    </w:p>
    <w:p w14:paraId="5D55F51C" w14:textId="77777777" w:rsidR="00C45DFB" w:rsidRPr="00DE200D" w:rsidRDefault="00C45DFB" w:rsidP="00C45DFB">
      <w:pPr>
        <w:rPr>
          <w:color w:val="000000" w:themeColor="text1"/>
        </w:rPr>
      </w:pPr>
      <w:r>
        <w:rPr>
          <w:color w:val="000000" w:themeColor="text1"/>
        </w:rPr>
        <w:t>La Entidad debería presentar los datos asociados en archivos con miras a su aprobación por parte del GMP, los cuales deberían ponerse a disposición del público, de acuerdo con lo dispuesto en los Requisitos 7.1 y 7.2.</w:t>
      </w:r>
    </w:p>
    <w:p w14:paraId="45A92344" w14:textId="77777777" w:rsidR="00C45DFB" w:rsidRPr="00DE200D" w:rsidRDefault="00C45DFB" w:rsidP="00C45DFB">
      <w:pPr>
        <w:rPr>
          <w:b/>
          <w:bCs/>
          <w:color w:val="000000" w:themeColor="text1"/>
        </w:rPr>
      </w:pPr>
    </w:p>
    <w:p w14:paraId="04BAB75B" w14:textId="77777777" w:rsidR="00C45DFB" w:rsidRPr="00DE200D" w:rsidRDefault="00C45DFB" w:rsidP="00C45DFB">
      <w:pPr>
        <w:rPr>
          <w:b/>
          <w:bCs/>
          <w:color w:val="000000" w:themeColor="text1"/>
        </w:rPr>
      </w:pPr>
      <w:r>
        <w:rPr>
          <w:b/>
          <w:color w:val="000000" w:themeColor="text1"/>
        </w:rPr>
        <w:t>Desviaciones respecto de los procedimientos estándar</w:t>
      </w:r>
    </w:p>
    <w:p w14:paraId="0A18D4C3" w14:textId="0D81673A" w:rsidR="00C45DFB" w:rsidRPr="00DE200D" w:rsidRDefault="00C45DFB" w:rsidP="00C45DFB">
      <w:pPr>
        <w:rPr>
          <w:color w:val="000000" w:themeColor="text1"/>
        </w:rPr>
      </w:pPr>
      <w:r>
        <w:rPr>
          <w:color w:val="000000" w:themeColor="text1"/>
        </w:rPr>
        <w:t>En el caso de que el GMP desee desviarse de los procedimientos estándar, deberá previamente solicitar la aprobación del Consejo</w:t>
      </w:r>
      <w:r w:rsidR="00BA029A">
        <w:rPr>
          <w:color w:val="000000" w:themeColor="text1"/>
        </w:rPr>
        <w:t xml:space="preserve"> Internacional del</w:t>
      </w:r>
      <w:r>
        <w:rPr>
          <w:color w:val="000000" w:themeColor="text1"/>
        </w:rPr>
        <w:t xml:space="preserve"> EITI. La solicitud deberá explicar las razones para </w:t>
      </w:r>
      <w:r w:rsidR="00BA029A">
        <w:rPr>
          <w:color w:val="000000" w:themeColor="text1"/>
        </w:rPr>
        <w:t>dicha desviación</w:t>
      </w:r>
      <w:r>
        <w:rPr>
          <w:color w:val="000000" w:themeColor="text1"/>
        </w:rPr>
        <w:t>; confirmar si se divulgan periódicamente los datos requeridos con el nivel de detalle exigido; asegurarse de que los datos financieros estén sujetos a auditorías independientes basadas en normas internacionales; y verificar que se conserven suficientes datos históricos.</w:t>
      </w:r>
    </w:p>
    <w:p w14:paraId="75A6E0E1" w14:textId="3861DB9C" w:rsidR="00C45DFB" w:rsidRPr="00DE200D" w:rsidRDefault="00C45DFB" w:rsidP="00C45DFB">
      <w:pPr>
        <w:rPr>
          <w:rFonts w:ascii="Franklin Gothic Medium" w:eastAsia="MS Gothic" w:hAnsi="Franklin Gothic Medium" w:cs="Times New Roman"/>
          <w:color w:val="1A4066"/>
          <w:sz w:val="36"/>
          <w:szCs w:val="44"/>
        </w:rPr>
      </w:pPr>
      <w:r>
        <w:rPr>
          <w:color w:val="000000" w:themeColor="text1"/>
        </w:rPr>
        <w:t xml:space="preserve">En caso de tener alguna duda sobre los TdR estándar para la presentación de informes EITI, </w:t>
      </w:r>
      <w:r w:rsidR="00BA029A">
        <w:rPr>
          <w:color w:val="000000" w:themeColor="text1"/>
        </w:rPr>
        <w:t xml:space="preserve">favor de comunicarse </w:t>
      </w:r>
      <w:r>
        <w:rPr>
          <w:color w:val="000000" w:themeColor="text1"/>
        </w:rPr>
        <w:t>con el Secretariado Internacional EITI (</w:t>
      </w:r>
      <w:hyperlink r:id="rId13">
        <w:r>
          <w:rPr>
            <w:rStyle w:val="Hyperlink"/>
            <w:rFonts w:ascii="Franklin Gothic Book" w:hAnsi="Franklin Gothic Book"/>
          </w:rPr>
          <w:t>secretariat@eiti.org</w:t>
        </w:r>
      </w:hyperlink>
      <w:r>
        <w:t>).</w:t>
      </w:r>
      <w:bookmarkStart w:id="5" w:name="_Toc178065409"/>
    </w:p>
    <w:p w14:paraId="1E0DFFBE" w14:textId="77777777" w:rsidR="00C45DFB" w:rsidRPr="00DE200D" w:rsidRDefault="00C45DFB" w:rsidP="00C45DFB">
      <w:pPr>
        <w:widowControl/>
        <w:suppressAutoHyphens w:val="0"/>
        <w:spacing w:before="0" w:after="0" w:line="240" w:lineRule="auto"/>
        <w:rPr>
          <w:b/>
          <w:bCs/>
          <w:color w:val="165B89"/>
          <w:sz w:val="32"/>
          <w:szCs w:val="28"/>
        </w:rPr>
      </w:pPr>
      <w:bookmarkStart w:id="6" w:name="_Toc180650421"/>
      <w:r>
        <w:br w:type="page"/>
      </w:r>
    </w:p>
    <w:p w14:paraId="1A18D3FF" w14:textId="1D32CAB6" w:rsidR="00C45DFB" w:rsidRPr="00DE200D" w:rsidRDefault="00C45DFB" w:rsidP="00C45DFB">
      <w:pPr>
        <w:pStyle w:val="Heading1"/>
        <w:numPr>
          <w:ilvl w:val="0"/>
          <w:numId w:val="25"/>
        </w:numPr>
      </w:pPr>
      <w:r>
        <w:lastRenderedPageBreak/>
        <w:t xml:space="preserve">Propósito y alcance de </w:t>
      </w:r>
      <w:r w:rsidR="00BA029A">
        <w:t>la divulgación de información</w:t>
      </w:r>
      <w:r>
        <w:t xml:space="preserve"> EITI</w:t>
      </w:r>
      <w:bookmarkEnd w:id="5"/>
      <w:bookmarkEnd w:id="6"/>
    </w:p>
    <w:p w14:paraId="4589AB6A" w14:textId="498AD456" w:rsidR="00C45DFB" w:rsidRPr="00DE200D" w:rsidRDefault="00C45DFB" w:rsidP="00C45DFB">
      <w:r>
        <w:t xml:space="preserve">El EITI (Iniciativa para la Transparencia de las Industrias Extractivas) es el estándar global </w:t>
      </w:r>
      <w:r w:rsidR="00BA029A">
        <w:t>para</w:t>
      </w:r>
      <w:r w:rsidR="00B90839">
        <w:t xml:space="preserve"> </w:t>
      </w:r>
      <w:r>
        <w:t>mejora</w:t>
      </w:r>
      <w:r w:rsidR="00B90839">
        <w:t>r</w:t>
      </w:r>
      <w:r>
        <w:t xml:space="preserve"> la transparencia y la rendición de cuentas en los sectores del petróleo, el gas y la minería. </w:t>
      </w:r>
    </w:p>
    <w:p w14:paraId="4D81C9D0" w14:textId="77777777" w:rsidR="00C45DFB" w:rsidRPr="00DE200D" w:rsidRDefault="00C45DFB" w:rsidP="00C45DFB">
      <w:r>
        <w:t>La implementación del EITI consta de dos elementos esenciales:</w:t>
      </w:r>
    </w:p>
    <w:p w14:paraId="07281545" w14:textId="33156862" w:rsidR="00C45DFB" w:rsidRPr="00DE200D" w:rsidRDefault="00C45DFB" w:rsidP="00C45DFB">
      <w:pPr>
        <w:widowControl/>
        <w:numPr>
          <w:ilvl w:val="0"/>
          <w:numId w:val="9"/>
        </w:numPr>
        <w:suppressAutoHyphens w:val="0"/>
        <w:spacing w:before="240" w:after="240" w:line="240" w:lineRule="auto"/>
      </w:pPr>
      <w:r>
        <w:rPr>
          <w:b/>
        </w:rPr>
        <w:t>Transparencia:</w:t>
      </w:r>
      <w:r>
        <w:t xml:space="preserve"> </w:t>
      </w:r>
      <w:r w:rsidR="00B90839">
        <w:t>l</w:t>
      </w:r>
      <w:r>
        <w:t xml:space="preserve">as empresas energéticas y extractivas divulgan información sobre sus operaciones, incluidos los pagos realizados al gobierno. El gobierno, a su vez, publica lo que recibe y otros datos relevantes sobre la industria. La expectativa es que estos datos financieros se publiquen anualmente, junto con otra información específica del sector, de conformidad con el Estándar EITI. </w:t>
      </w:r>
    </w:p>
    <w:p w14:paraId="27C4B057" w14:textId="0AED5717" w:rsidR="00C45DFB" w:rsidRPr="00DE200D" w:rsidRDefault="00C45DFB" w:rsidP="00C45DFB">
      <w:pPr>
        <w:widowControl/>
        <w:numPr>
          <w:ilvl w:val="0"/>
          <w:numId w:val="9"/>
        </w:numPr>
        <w:suppressAutoHyphens w:val="0"/>
        <w:spacing w:before="240" w:after="240" w:line="240" w:lineRule="auto"/>
      </w:pPr>
      <w:r>
        <w:rPr>
          <w:b/>
        </w:rPr>
        <w:t>Rendición de cuentas:</w:t>
      </w:r>
      <w:r>
        <w:t xml:space="preserve"> </w:t>
      </w:r>
      <w:r w:rsidR="00B90839">
        <w:t>e</w:t>
      </w:r>
      <w:r>
        <w:t xml:space="preserve">stas divulgaciones, supervisadas por el GMP, abarcan la cadena de valor </w:t>
      </w:r>
      <w:r w:rsidR="009606D9">
        <w:t>aguas arriba</w:t>
      </w:r>
      <w:r>
        <w:t xml:space="preserve"> </w:t>
      </w:r>
      <w:r w:rsidR="009606D9">
        <w:t>(</w:t>
      </w:r>
      <w:r>
        <w:t>“</w:t>
      </w:r>
      <w:proofErr w:type="spellStart"/>
      <w:r w:rsidRPr="00B90839">
        <w:rPr>
          <w:i/>
          <w:iCs/>
        </w:rPr>
        <w:t>upstream</w:t>
      </w:r>
      <w:proofErr w:type="spellEnd"/>
      <w:r>
        <w:t>”</w:t>
      </w:r>
      <w:r w:rsidR="009606D9">
        <w:t>)</w:t>
      </w:r>
      <w:r>
        <w:t xml:space="preserve"> de las industrias extractivas y deberían fomentar el debate público sobre la administración del sector. El GMP define y supervisa el proceso, comunica las conclusiones y promueve la incorporación de las recomendaciones del EITI en </w:t>
      </w:r>
      <w:r w:rsidR="009606D9">
        <w:t xml:space="preserve">otros esfuerzos por </w:t>
      </w:r>
      <w:r>
        <w:t xml:space="preserve">transparencia </w:t>
      </w:r>
      <w:r w:rsidR="009606D9">
        <w:t>de mayor amplitud</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C45DFB" w:rsidRPr="00DE200D" w14:paraId="7D70D9B9" w14:textId="77777777" w:rsidTr="006A0FEC">
        <w:trPr>
          <w:trHeight w:val="879"/>
        </w:trPr>
        <w:tc>
          <w:tcPr>
            <w:tcW w:w="9062" w:type="dxa"/>
            <w:shd w:val="clear" w:color="auto" w:fill="F2F2F2" w:themeFill="background1" w:themeFillShade="F2"/>
          </w:tcPr>
          <w:p w14:paraId="3FADBCE4" w14:textId="77777777" w:rsidR="00C45DFB" w:rsidRPr="00DE200D" w:rsidRDefault="00C45DFB" w:rsidP="006A0FEC">
            <w:pPr>
              <w:shd w:val="clear" w:color="auto" w:fill="F2F2F2" w:themeFill="background1" w:themeFillShade="F2"/>
              <w:autoSpaceDE w:val="0"/>
              <w:autoSpaceDN w:val="0"/>
              <w:adjustRightInd w:val="0"/>
              <w:rPr>
                <w:b/>
                <w:bCs/>
                <w:color w:val="000000" w:themeColor="text1"/>
                <w:sz w:val="24"/>
                <w:szCs w:val="24"/>
              </w:rPr>
            </w:pPr>
            <w:r>
              <w:rPr>
                <w:b/>
                <w:color w:val="000000" w:themeColor="text1"/>
              </w:rPr>
              <w:t xml:space="preserve">Recuadro 1: Requisitos de divulgación del Estándar EITI </w:t>
            </w:r>
          </w:p>
          <w:p w14:paraId="07345504" w14:textId="4E32C9BF" w:rsidR="00C45DFB" w:rsidRPr="00DE200D" w:rsidRDefault="00C45DFB" w:rsidP="006A0FEC">
            <w:pPr>
              <w:shd w:val="clear" w:color="auto" w:fill="F2F2F2" w:themeFill="background1" w:themeFillShade="F2"/>
              <w:autoSpaceDE w:val="0"/>
              <w:autoSpaceDN w:val="0"/>
              <w:adjustRightInd w:val="0"/>
              <w:rPr>
                <w:color w:val="000000" w:themeColor="text1"/>
              </w:rPr>
            </w:pPr>
            <w:r>
              <w:rPr>
                <w:color w:val="000000" w:themeColor="text1"/>
              </w:rPr>
              <w:t xml:space="preserve">Las divulgaciones del EITI </w:t>
            </w:r>
            <w:r w:rsidR="009606D9">
              <w:rPr>
                <w:color w:val="000000" w:themeColor="text1"/>
              </w:rPr>
              <w:t xml:space="preserve">incluyen </w:t>
            </w:r>
            <w:r>
              <w:rPr>
                <w:color w:val="000000" w:themeColor="text1"/>
              </w:rPr>
              <w:t>las siguientes áreas:</w:t>
            </w:r>
          </w:p>
          <w:p w14:paraId="7DAE3A4A" w14:textId="77777777" w:rsidR="00C45DFB" w:rsidRPr="00DE200D" w:rsidRDefault="00C45DFB" w:rsidP="006A0FEC">
            <w:pPr>
              <w:widowControl/>
              <w:numPr>
                <w:ilvl w:val="0"/>
                <w:numId w:val="6"/>
              </w:numPr>
              <w:suppressAutoHyphens w:val="0"/>
              <w:spacing w:after="0" w:line="276" w:lineRule="auto"/>
              <w:rPr>
                <w:i/>
                <w:iCs/>
              </w:rPr>
            </w:pPr>
            <w:r>
              <w:rPr>
                <w:b/>
              </w:rPr>
              <w:t>Marco legal</w:t>
            </w:r>
            <w:r>
              <w:t xml:space="preserve"> (Requisitos 2.1, 2.4 y 6.4)</w:t>
            </w:r>
          </w:p>
          <w:p w14:paraId="1FFF1FCC" w14:textId="77777777" w:rsidR="00C45DFB" w:rsidRPr="00DE200D" w:rsidRDefault="00C45DFB" w:rsidP="006A0FEC">
            <w:pPr>
              <w:widowControl/>
              <w:numPr>
                <w:ilvl w:val="0"/>
                <w:numId w:val="6"/>
              </w:numPr>
              <w:suppressAutoHyphens w:val="0"/>
              <w:spacing w:after="0" w:line="276" w:lineRule="auto"/>
              <w:rPr>
                <w:i/>
                <w:iCs/>
              </w:rPr>
            </w:pPr>
            <w:r>
              <w:rPr>
                <w:b/>
              </w:rPr>
              <w:t>Resumen del sector extractivo</w:t>
            </w:r>
            <w:r>
              <w:t xml:space="preserve"> (Requisitos 3.1 y 6.3)</w:t>
            </w:r>
          </w:p>
          <w:p w14:paraId="197392C7" w14:textId="77777777" w:rsidR="00C45DFB" w:rsidRPr="00DE200D" w:rsidRDefault="00C45DFB" w:rsidP="006A0FEC">
            <w:pPr>
              <w:widowControl/>
              <w:numPr>
                <w:ilvl w:val="0"/>
                <w:numId w:val="6"/>
              </w:numPr>
              <w:suppressAutoHyphens w:val="0"/>
              <w:spacing w:after="0" w:line="276" w:lineRule="auto"/>
              <w:rPr>
                <w:i/>
                <w:iCs/>
              </w:rPr>
            </w:pPr>
            <w:r>
              <w:rPr>
                <w:b/>
                <w:bCs/>
              </w:rPr>
              <w:t>Otorgamiento de licencias y contratos</w:t>
            </w:r>
            <w:r>
              <w:t xml:space="preserve"> (Requisitos 2.2, 2.3 y 2.4)</w:t>
            </w:r>
          </w:p>
          <w:p w14:paraId="01D2A294" w14:textId="7EB16E19" w:rsidR="00C45DFB" w:rsidRPr="00DE200D" w:rsidRDefault="009606D9" w:rsidP="006A0FEC">
            <w:pPr>
              <w:widowControl/>
              <w:numPr>
                <w:ilvl w:val="0"/>
                <w:numId w:val="6"/>
              </w:numPr>
              <w:suppressAutoHyphens w:val="0"/>
              <w:spacing w:after="0" w:line="276" w:lineRule="auto"/>
              <w:rPr>
                <w:i/>
                <w:iCs/>
              </w:rPr>
            </w:pPr>
            <w:r>
              <w:rPr>
                <w:b/>
                <w:bCs/>
              </w:rPr>
              <w:t>Beneficiarios reales</w:t>
            </w:r>
            <w:r>
              <w:t xml:space="preserve"> </w:t>
            </w:r>
            <w:r w:rsidR="00C45DFB">
              <w:t>(Requisito 2.5)</w:t>
            </w:r>
          </w:p>
          <w:p w14:paraId="08B3C9C8" w14:textId="77D9AFE3" w:rsidR="00C45DFB" w:rsidRPr="00DE200D" w:rsidRDefault="009606D9" w:rsidP="006A0FEC">
            <w:pPr>
              <w:widowControl/>
              <w:numPr>
                <w:ilvl w:val="0"/>
                <w:numId w:val="6"/>
              </w:numPr>
              <w:suppressAutoHyphens w:val="0"/>
              <w:spacing w:after="0" w:line="276" w:lineRule="auto"/>
              <w:rPr>
                <w:i/>
                <w:iCs/>
              </w:rPr>
            </w:pPr>
            <w:r>
              <w:rPr>
                <w:b/>
                <w:bCs/>
              </w:rPr>
              <w:t xml:space="preserve">Titularidad </w:t>
            </w:r>
            <w:r w:rsidR="00C45DFB">
              <w:rPr>
                <w:b/>
                <w:bCs/>
              </w:rPr>
              <w:t>estatal</w:t>
            </w:r>
            <w:r w:rsidR="00C45DFB">
              <w:t xml:space="preserve"> (Requisitos 2.6, 4.2, 4.5, 6.2)</w:t>
            </w:r>
          </w:p>
          <w:p w14:paraId="7450B21B" w14:textId="77777777" w:rsidR="00C45DFB" w:rsidRPr="00DE200D" w:rsidRDefault="00C45DFB" w:rsidP="006A0FEC">
            <w:pPr>
              <w:widowControl/>
              <w:numPr>
                <w:ilvl w:val="0"/>
                <w:numId w:val="6"/>
              </w:numPr>
              <w:suppressAutoHyphens w:val="0"/>
              <w:spacing w:after="0" w:line="276" w:lineRule="auto"/>
              <w:rPr>
                <w:i/>
                <w:iCs/>
              </w:rPr>
            </w:pPr>
            <w:r>
              <w:rPr>
                <w:b/>
                <w:bCs/>
              </w:rPr>
              <w:t>Recaudación de ingresos</w:t>
            </w:r>
            <w:r>
              <w:t xml:space="preserve"> (Requisitos 4.1 a 4.8 y 4.10)</w:t>
            </w:r>
          </w:p>
          <w:p w14:paraId="56CDAC56" w14:textId="753D8C93" w:rsidR="00C45DFB" w:rsidRPr="00DE200D" w:rsidRDefault="009606D9" w:rsidP="006A0FEC">
            <w:pPr>
              <w:widowControl/>
              <w:numPr>
                <w:ilvl w:val="0"/>
                <w:numId w:val="6"/>
              </w:numPr>
              <w:suppressAutoHyphens w:val="0"/>
              <w:spacing w:after="0" w:line="276" w:lineRule="auto"/>
              <w:rPr>
                <w:i/>
                <w:iCs/>
              </w:rPr>
            </w:pPr>
            <w:r>
              <w:rPr>
                <w:b/>
                <w:bCs/>
              </w:rPr>
              <w:t xml:space="preserve">Gestión </w:t>
            </w:r>
            <w:r w:rsidR="00C45DFB">
              <w:rPr>
                <w:b/>
                <w:bCs/>
              </w:rPr>
              <w:t>de ingresos</w:t>
            </w:r>
            <w:r w:rsidR="00C45DFB">
              <w:t xml:space="preserve"> (Requisitos 5.1 y 5.3)</w:t>
            </w:r>
          </w:p>
          <w:p w14:paraId="2B59376F" w14:textId="77777777" w:rsidR="00C45DFB" w:rsidRPr="00DE200D" w:rsidRDefault="00C45DFB" w:rsidP="006A0FEC">
            <w:pPr>
              <w:widowControl/>
              <w:numPr>
                <w:ilvl w:val="0"/>
                <w:numId w:val="6"/>
              </w:numPr>
              <w:suppressAutoHyphens w:val="0"/>
              <w:spacing w:after="0" w:line="276" w:lineRule="auto"/>
              <w:rPr>
                <w:i/>
                <w:iCs/>
              </w:rPr>
            </w:pPr>
            <w:r>
              <w:rPr>
                <w:b/>
              </w:rPr>
              <w:t>Producción, exportaciones y emisiones</w:t>
            </w:r>
            <w:r>
              <w:t xml:space="preserve"> (Requisitos 3.2, 3.3 y 3.4)</w:t>
            </w:r>
          </w:p>
          <w:p w14:paraId="18B06F26" w14:textId="5546E002" w:rsidR="00C45DFB" w:rsidRPr="00DE200D" w:rsidRDefault="009606D9" w:rsidP="006A0FEC">
            <w:pPr>
              <w:widowControl/>
              <w:numPr>
                <w:ilvl w:val="0"/>
                <w:numId w:val="6"/>
              </w:numPr>
              <w:suppressAutoHyphens w:val="0"/>
              <w:spacing w:after="0" w:line="276" w:lineRule="auto"/>
              <w:rPr>
                <w:i/>
                <w:iCs/>
              </w:rPr>
            </w:pPr>
            <w:r>
              <w:rPr>
                <w:b/>
                <w:bCs/>
              </w:rPr>
              <w:t xml:space="preserve">Pagos y transferencias </w:t>
            </w:r>
            <w:r w:rsidR="00C45DFB">
              <w:rPr>
                <w:b/>
                <w:bCs/>
              </w:rPr>
              <w:t>subnacionales</w:t>
            </w:r>
            <w:r w:rsidR="00C45DFB">
              <w:t xml:space="preserve"> (Requisitos 4.6, 5.2 y 6.1)</w:t>
            </w:r>
          </w:p>
          <w:p w14:paraId="43A4C5C5" w14:textId="77777777" w:rsidR="00C45DFB" w:rsidRPr="00DE200D" w:rsidRDefault="00C45DFB" w:rsidP="006A0FEC">
            <w:pPr>
              <w:widowControl/>
              <w:numPr>
                <w:ilvl w:val="0"/>
                <w:numId w:val="6"/>
              </w:numPr>
              <w:suppressAutoHyphens w:val="0"/>
              <w:spacing w:after="0" w:line="276" w:lineRule="auto"/>
              <w:rPr>
                <w:i/>
                <w:iCs/>
              </w:rPr>
            </w:pPr>
            <w:r>
              <w:rPr>
                <w:b/>
              </w:rPr>
              <w:t xml:space="preserve">Impacto ambiental y social </w:t>
            </w:r>
            <w:r>
              <w:t>(Requisito 6.4)</w:t>
            </w:r>
          </w:p>
          <w:p w14:paraId="2343DC8D" w14:textId="4AFAB5B1" w:rsidR="00C45DFB" w:rsidRPr="00DE200D" w:rsidRDefault="00C45DFB" w:rsidP="006A0FEC">
            <w:r>
              <w:t xml:space="preserve">Las divulgaciones deben cumplir con los requisitos transversales </w:t>
            </w:r>
            <w:r w:rsidR="009606D9">
              <w:t>respecto de</w:t>
            </w:r>
            <w:r>
              <w:t xml:space="preserve"> la calidad de los datos (Requisito 4.9) y —en los casos en que corresponda— </w:t>
            </w:r>
            <w:r w:rsidR="009606D9">
              <w:t xml:space="preserve">su </w:t>
            </w:r>
            <w:r>
              <w:t>desglose (Requisito 4.7).</w:t>
            </w:r>
          </w:p>
        </w:tc>
      </w:tr>
    </w:tbl>
    <w:p w14:paraId="6D5D7980" w14:textId="77777777" w:rsidR="00C45DFB" w:rsidRPr="00DE200D" w:rsidRDefault="00C45DFB" w:rsidP="00C45DFB">
      <w:pPr>
        <w:rPr>
          <w:b/>
          <w:bCs/>
        </w:rPr>
      </w:pPr>
    </w:p>
    <w:p w14:paraId="360B27E6" w14:textId="77777777" w:rsidR="00C45DFB" w:rsidRPr="00DE200D" w:rsidRDefault="00C45DFB" w:rsidP="00C45DFB">
      <w:pPr>
        <w:rPr>
          <w:b/>
          <w:bCs/>
        </w:rPr>
      </w:pPr>
      <w:r>
        <w:rPr>
          <w:b/>
        </w:rPr>
        <w:t>Divulgación sistemática</w:t>
      </w:r>
    </w:p>
    <w:p w14:paraId="65067AE5" w14:textId="10B66DE1" w:rsidR="00C45DFB" w:rsidRPr="00DE200D" w:rsidRDefault="00C45DFB" w:rsidP="00C45DFB">
      <w:r>
        <w:t xml:space="preserve">La divulgación sistemática es la expectativa a la que se aspira como </w:t>
      </w:r>
      <w:r w:rsidR="00597583">
        <w:t>principio</w:t>
      </w:r>
      <w:r>
        <w:t xml:space="preserve"> general en las divulgaciones del EITI. El término “divulgación sistemática” </w:t>
      </w:r>
      <w:r w:rsidR="00597583">
        <w:t>se refiere a</w:t>
      </w:r>
      <w:r>
        <w:t xml:space="preserve"> la divulgación de información de forma rutinaria y oportuna y con acceso público </w:t>
      </w:r>
      <w:r w:rsidR="009606D9">
        <w:t>mediante</w:t>
      </w:r>
      <w:r w:rsidR="00597583">
        <w:t xml:space="preserve"> </w:t>
      </w:r>
      <w:r>
        <w:t xml:space="preserve">canales oficiales, como publicaciones o sitios web del gobierno y las empresas. Los datos deberían ser publicados por la entidad responsable de </w:t>
      </w:r>
      <w:r w:rsidR="009606D9">
        <w:t xml:space="preserve">los mismos </w:t>
      </w:r>
      <w:r>
        <w:t xml:space="preserve">(“desde la fuente”). </w:t>
      </w:r>
    </w:p>
    <w:p w14:paraId="44A582F3" w14:textId="77777777" w:rsidR="00C45DFB" w:rsidRPr="00DE200D" w:rsidRDefault="00C45DFB" w:rsidP="00C45DFB">
      <w:r>
        <w:lastRenderedPageBreak/>
        <w:t>Los requisitos de divulgación del EITI pueden cumplirse haciendo referencia a información disponible públicamente o datos recopilados para la elaboración de informes. Los informes EITI deberían aportar mayor contexto, concentrar las fuentes de las divulgaciones sistemáticas y abordar las brechas e inquietudes concernientes a la calidad de los datos.</w:t>
      </w:r>
    </w:p>
    <w:p w14:paraId="1C9D835D" w14:textId="41A201F7" w:rsidR="00C45DFB" w:rsidRPr="00DE200D" w:rsidRDefault="009606D9" w:rsidP="00C45DFB">
      <w:pPr>
        <w:rPr>
          <w:b/>
          <w:bCs/>
        </w:rPr>
      </w:pPr>
      <w:r>
        <w:rPr>
          <w:b/>
        </w:rPr>
        <w:t xml:space="preserve">Divulgación oportuna </w:t>
      </w:r>
      <w:r w:rsidR="00C45DFB">
        <w:rPr>
          <w:b/>
        </w:rPr>
        <w:t>de los datos</w:t>
      </w:r>
    </w:p>
    <w:p w14:paraId="61C54D84" w14:textId="7F324787" w:rsidR="00C45DFB" w:rsidRPr="00DE200D" w:rsidRDefault="00837A56" w:rsidP="00C45DFB">
      <w:pPr>
        <w:rPr>
          <w:b/>
          <w:bCs/>
        </w:rPr>
      </w:pPr>
      <w:r>
        <w:t xml:space="preserve">De acuerdo con </w:t>
      </w:r>
      <w:r w:rsidR="00C45DFB">
        <w:t xml:space="preserve">el Requisito EITI 4.8, los datos sobre ingresos o financieros no deben ser anteriores al penúltimo período contable culminado. Por ejemplo, los datos correspondientes al año financiero 2024 deben publicarse a más tardar el 31 de diciembre de 2026. No obstante, se alienta a los países a publicar datos más actuales cuando sea posible. Asimismo, se alienta a los GMP a considerar la posibilidad de elaborar informes plurianuales, es decir, abarcar más de un año financiero en un mismo Informe EITI, a fin de </w:t>
      </w:r>
      <w:r w:rsidR="002F27E1">
        <w:t>moderar</w:t>
      </w:r>
      <w:r w:rsidR="00C45DFB">
        <w:t xml:space="preserve"> algunos de los desafíos asociados a la contratación de la Entidad responsable de elaborar los informes EITI.</w:t>
      </w:r>
      <w:r w:rsidR="00C45DFB">
        <w:rPr>
          <w:b/>
        </w:rPr>
        <w:t xml:space="preserve"> </w:t>
      </w:r>
    </w:p>
    <w:p w14:paraId="693BACC6" w14:textId="77777777" w:rsidR="00C45DFB" w:rsidRPr="00DE200D" w:rsidRDefault="00C45DFB" w:rsidP="00C45DFB">
      <w:pPr>
        <w:rPr>
          <w:b/>
          <w:bCs/>
          <w:color w:val="4472C4" w:themeColor="accent1"/>
        </w:rPr>
      </w:pPr>
    </w:p>
    <w:p w14:paraId="31601062" w14:textId="77777777" w:rsidR="00C45DFB" w:rsidRPr="00DE200D" w:rsidRDefault="00C45DFB" w:rsidP="00C45DFB">
      <w:pPr>
        <w:rPr>
          <w:b/>
          <w:bCs/>
          <w:i/>
          <w:color w:val="4472C4" w:themeColor="accent1"/>
        </w:rPr>
      </w:pPr>
      <w:r>
        <w:rPr>
          <w:b/>
          <w:color w:val="4472C4" w:themeColor="accent1"/>
        </w:rPr>
        <w:t>La implementación del EITI en</w:t>
      </w:r>
      <w:r>
        <w:rPr>
          <w:b/>
          <w:i/>
          <w:color w:val="4472C4" w:themeColor="accent1"/>
        </w:rPr>
        <w:t xml:space="preserve"> </w:t>
      </w:r>
      <w:r>
        <w:rPr>
          <w:b/>
          <w:color w:val="4472C4" w:themeColor="accent1"/>
        </w:rPr>
        <w:t>[país]</w:t>
      </w:r>
    </w:p>
    <w:p w14:paraId="4D613B05" w14:textId="5C05E2AA" w:rsidR="00C45DFB" w:rsidRPr="00DE200D" w:rsidRDefault="00C45DFB" w:rsidP="00C45DFB">
      <w:pPr>
        <w:spacing w:after="0"/>
        <w:rPr>
          <w:rFonts w:ascii="Franklin Gothic Medium" w:eastAsia="MS Gothic" w:hAnsi="Franklin Gothic Medium" w:cs="Times New Roman"/>
          <w:color w:val="1A4066"/>
          <w:sz w:val="36"/>
          <w:szCs w:val="44"/>
        </w:rPr>
      </w:pPr>
      <w:r>
        <w:rPr>
          <w:color w:val="4472C4" w:themeColor="accent1"/>
        </w:rPr>
        <w:t xml:space="preserve">[En esta sección, el GMP debería incluir información contextual sobre la implementación del EITI en su país. Esto debería indicar claramente los objetivos nacionales del EITI convenidos por el GMP y desarrollados más ampliamente en el plan de trabajo del EITI. Debería incluirse un enlace al plan de trabajo del EITI y </w:t>
      </w:r>
      <w:r w:rsidR="002F27E1">
        <w:rPr>
          <w:color w:val="4472C4" w:themeColor="accent1"/>
        </w:rPr>
        <w:t xml:space="preserve">a </w:t>
      </w:r>
      <w:r>
        <w:rPr>
          <w:color w:val="4472C4" w:themeColor="accent1"/>
        </w:rPr>
        <w:t>los estudios que orienten l</w:t>
      </w:r>
      <w:r w:rsidR="00837A56">
        <w:rPr>
          <w:color w:val="4472C4" w:themeColor="accent1"/>
        </w:rPr>
        <w:t>a divulgación de información</w:t>
      </w:r>
      <w:r>
        <w:rPr>
          <w:color w:val="4472C4" w:themeColor="accent1"/>
        </w:rPr>
        <w:t xml:space="preserve"> EITI, con los comentarios adicionales que sean necesarios en relación con los antecedentes y la situación actual de l</w:t>
      </w:r>
      <w:r w:rsidR="00837A56">
        <w:rPr>
          <w:color w:val="4472C4" w:themeColor="accent1"/>
        </w:rPr>
        <w:t xml:space="preserve">a divulgación de información </w:t>
      </w:r>
      <w:r>
        <w:rPr>
          <w:color w:val="4472C4" w:themeColor="accent1"/>
        </w:rPr>
        <w:t>EITI y la Validación. Véase el Anexo A.]</w:t>
      </w:r>
    </w:p>
    <w:p w14:paraId="26220A3B" w14:textId="77777777" w:rsidR="00C45DFB" w:rsidRPr="00DE200D" w:rsidRDefault="00C45DFB" w:rsidP="00C45DFB">
      <w:pPr>
        <w:widowControl/>
        <w:suppressAutoHyphens w:val="0"/>
        <w:spacing w:before="0" w:after="0" w:line="240" w:lineRule="auto"/>
        <w:rPr>
          <w:b/>
          <w:bCs/>
          <w:color w:val="165B89"/>
          <w:sz w:val="32"/>
          <w:szCs w:val="28"/>
        </w:rPr>
      </w:pPr>
      <w:bookmarkStart w:id="7" w:name="_Toc178065411"/>
      <w:bookmarkStart w:id="8" w:name="_Toc180650422"/>
      <w:r>
        <w:br w:type="page"/>
      </w:r>
    </w:p>
    <w:p w14:paraId="02EF43FE" w14:textId="68D58366" w:rsidR="00C45DFB" w:rsidRPr="00DE200D" w:rsidRDefault="00C45DFB" w:rsidP="00C45DFB">
      <w:pPr>
        <w:pStyle w:val="Heading1"/>
        <w:numPr>
          <w:ilvl w:val="0"/>
          <w:numId w:val="25"/>
        </w:numPr>
      </w:pPr>
      <w:r>
        <w:lastRenderedPageBreak/>
        <w:t xml:space="preserve">Objetivos y expectativas de la </w:t>
      </w:r>
      <w:bookmarkEnd w:id="7"/>
      <w:bookmarkEnd w:id="8"/>
      <w:r w:rsidR="00837A56">
        <w:t>tarea a realizarse</w:t>
      </w:r>
    </w:p>
    <w:p w14:paraId="3010107C" w14:textId="09A8861A" w:rsidR="00C45DFB" w:rsidRPr="000A53CA" w:rsidRDefault="00C45DFB" w:rsidP="00C45DFB">
      <w:pPr>
        <w:rPr>
          <w:color w:val="0070C0"/>
        </w:rPr>
      </w:pPr>
      <w:r>
        <w:t xml:space="preserve">Actuando en representación del Gobierno de </w:t>
      </w:r>
      <w:r w:rsidRPr="000A53CA">
        <w:rPr>
          <w:color w:val="0070C0"/>
        </w:rPr>
        <w:t>[país]</w:t>
      </w:r>
      <w:r>
        <w:t xml:space="preserve">, el </w:t>
      </w:r>
      <w:r w:rsidRPr="000A53CA">
        <w:rPr>
          <w:color w:val="0070C0"/>
        </w:rPr>
        <w:t xml:space="preserve">[nombre del GMP] </w:t>
      </w:r>
      <w:r w:rsidR="00837A56">
        <w:t xml:space="preserve">busca contratar </w:t>
      </w:r>
      <w:r>
        <w:t xml:space="preserve">una entidad idónea, creíble y sin conflictos de intereses, que colabore con la </w:t>
      </w:r>
      <w:r w:rsidR="00CB7118">
        <w:t>divulgación de la información</w:t>
      </w:r>
      <w:r>
        <w:t xml:space="preserve"> EITI de conformidad con el Estándar EITI. </w:t>
      </w:r>
      <w:r w:rsidRPr="000A53CA">
        <w:rPr>
          <w:color w:val="0070C0"/>
        </w:rPr>
        <w:t xml:space="preserve">La </w:t>
      </w:r>
      <w:r w:rsidR="00837A56" w:rsidRPr="000A53CA">
        <w:rPr>
          <w:color w:val="0070C0"/>
        </w:rPr>
        <w:t xml:space="preserve">tarea </w:t>
      </w:r>
      <w:r w:rsidRPr="000A53CA">
        <w:rPr>
          <w:color w:val="0070C0"/>
        </w:rPr>
        <w:t xml:space="preserve">consiste en asistir al GMP para fortalecer las divulgaciones de acuerdo con el Estándar EITI, en sintonía con el plan de trabajo nacional, evaluando la exhaustividad y fiabilidad de los datos, y ayudando al GMP a formular recomendaciones para fortalecer los sistemas gubernamentales y la gobernanza de los recursos naturales. </w:t>
      </w:r>
    </w:p>
    <w:p w14:paraId="73553B24" w14:textId="505DE86E" w:rsidR="00C45DFB" w:rsidRPr="00DE200D" w:rsidRDefault="00C45DFB" w:rsidP="00C45DFB">
      <w:pPr>
        <w:ind w:left="993"/>
        <w:rPr>
          <w:color w:val="D24228"/>
        </w:rPr>
      </w:pPr>
      <w:r>
        <w:rPr>
          <w:b/>
          <w:noProof/>
          <w:color w:val="D24228"/>
        </w:rPr>
        <w:drawing>
          <wp:anchor distT="0" distB="0" distL="114300" distR="114300" simplePos="0" relativeHeight="251658243" behindDoc="0" locked="0" layoutInCell="1" allowOverlap="1" wp14:anchorId="7BE0BFB5" wp14:editId="78278307">
            <wp:simplePos x="0" y="0"/>
            <wp:positionH relativeFrom="column">
              <wp:posOffset>63056</wp:posOffset>
            </wp:positionH>
            <wp:positionV relativeFrom="paragraph">
              <wp:posOffset>126970</wp:posOffset>
            </wp:positionV>
            <wp:extent cx="444382" cy="444382"/>
            <wp:effectExtent l="0" t="0" r="0" b="635"/>
            <wp:wrapSquare wrapText="bothSides"/>
            <wp:docPr id="1145574461"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r>
        <w:rPr>
          <w:b/>
          <w:color w:val="D24228"/>
        </w:rPr>
        <w:t>Consejo:</w:t>
      </w:r>
      <w:r>
        <w:rPr>
          <w:color w:val="D24228"/>
        </w:rPr>
        <w:t xml:space="preserve"> El GMP debería establecer objetivos claros para la labor encomendada, que sean acordes a su plan de trabajo, las prioridades nacionales, los estudios temáticos y las recomendaciones de Validaciones e informes anteriores.</w:t>
      </w:r>
    </w:p>
    <w:p w14:paraId="27CAB99C" w14:textId="77777777" w:rsidR="00C45DFB" w:rsidRPr="00DE200D" w:rsidRDefault="00C45DFB" w:rsidP="00C45DFB">
      <w:pPr>
        <w:rPr>
          <w:b/>
          <w:bCs/>
        </w:rPr>
      </w:pPr>
    </w:p>
    <w:p w14:paraId="273F4DF2" w14:textId="77777777" w:rsidR="00C45DFB" w:rsidRPr="00DE200D" w:rsidRDefault="00C45DFB" w:rsidP="00C45DFB">
      <w:pPr>
        <w:rPr>
          <w:b/>
          <w:bCs/>
        </w:rPr>
      </w:pPr>
      <w:r>
        <w:rPr>
          <w:b/>
        </w:rPr>
        <w:t>Se espera que la Entidad:</w:t>
      </w:r>
    </w:p>
    <w:p w14:paraId="429E0033" w14:textId="4264504B" w:rsidR="00C45DFB" w:rsidRPr="00DE200D" w:rsidRDefault="00C45DFB" w:rsidP="00C45DFB">
      <w:pPr>
        <w:ind w:left="993"/>
        <w:rPr>
          <w:color w:val="D24228"/>
        </w:rPr>
      </w:pPr>
      <w:r>
        <w:rPr>
          <w:b/>
          <w:noProof/>
          <w:color w:val="D24228"/>
        </w:rPr>
        <w:drawing>
          <wp:anchor distT="0" distB="0" distL="114300" distR="114300" simplePos="0" relativeHeight="251658244" behindDoc="0" locked="0" layoutInCell="1" allowOverlap="1" wp14:anchorId="1EDAA28C" wp14:editId="449AAA34">
            <wp:simplePos x="0" y="0"/>
            <wp:positionH relativeFrom="column">
              <wp:posOffset>68367</wp:posOffset>
            </wp:positionH>
            <wp:positionV relativeFrom="paragraph">
              <wp:posOffset>41993</wp:posOffset>
            </wp:positionV>
            <wp:extent cx="444382" cy="444382"/>
            <wp:effectExtent l="0" t="0" r="0" b="635"/>
            <wp:wrapSquare wrapText="bothSides"/>
            <wp:docPr id="404077911"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r>
        <w:rPr>
          <w:b/>
          <w:color w:val="D24228"/>
        </w:rPr>
        <w:t>Consejo:</w:t>
      </w:r>
      <w:r>
        <w:rPr>
          <w:color w:val="D24228"/>
        </w:rPr>
        <w:t xml:space="preserve"> El GMP debería establecer de forma clara la/s entidad/es designada/s que elaborará/n el Informe EITI o secciones específicas de él.</w:t>
      </w:r>
    </w:p>
    <w:p w14:paraId="427A82B6" w14:textId="212D46EC"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Comprenda claramente el/los objetivo/s, con base en las prioridades convenidas del GMP, para el ciclo de </w:t>
      </w:r>
      <w:r w:rsidR="00837A56">
        <w:rPr>
          <w:color w:val="0070C0"/>
        </w:rPr>
        <w:t xml:space="preserve">reporte </w:t>
      </w:r>
      <w:r>
        <w:rPr>
          <w:color w:val="0070C0"/>
        </w:rPr>
        <w:t>correspondiente al/a los año/s fiscal/es [YYYY-YYYY], y determine las fuentes de información necesarias para alcanzar los objetivos planteados.</w:t>
      </w:r>
    </w:p>
    <w:p w14:paraId="70F56651" w14:textId="61069D68"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Identifique los datos divulgados sistemáticamente y otros datos exigidos por el Estándar EITI que deberían divulgarse en l</w:t>
      </w:r>
      <w:r w:rsidR="0031120A">
        <w:rPr>
          <w:color w:val="0070C0"/>
        </w:rPr>
        <w:t xml:space="preserve">a divulgación de información </w:t>
      </w:r>
      <w:r>
        <w:rPr>
          <w:color w:val="0070C0"/>
        </w:rPr>
        <w:t xml:space="preserve">EITI; </w:t>
      </w:r>
    </w:p>
    <w:p w14:paraId="11632857" w14:textId="77777777"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Oriente al GMP a efectos de evaluar la aplicabilidad de los requisitos EITI dentro del contexto nacional, cuando resulte pertinente;</w:t>
      </w:r>
    </w:p>
    <w:p w14:paraId="240F4F46" w14:textId="5FFBFE35"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Desarrolle un conocimiento claro de las </w:t>
      </w:r>
      <w:r w:rsidR="00012621">
        <w:rPr>
          <w:color w:val="0070C0"/>
        </w:rPr>
        <w:t xml:space="preserve">acciones </w:t>
      </w:r>
      <w:r>
        <w:rPr>
          <w:color w:val="0070C0"/>
        </w:rPr>
        <w:t xml:space="preserve">correctivas de la/s Validación/es e informe/s anterior/es del país y, cuando corresponda, proponga opciones para abordar las brechas </w:t>
      </w:r>
      <w:r w:rsidR="0031120A">
        <w:rPr>
          <w:color w:val="0070C0"/>
        </w:rPr>
        <w:t xml:space="preserve">en la divulgación </w:t>
      </w:r>
      <w:r>
        <w:rPr>
          <w:color w:val="0070C0"/>
        </w:rPr>
        <w:t>identificadas en dichas medidas;</w:t>
      </w:r>
    </w:p>
    <w:p w14:paraId="7A60F6B6" w14:textId="77777777"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Presente opciones al GMP para determinar la materialidad de los flujos de ingresos y las empresas;  </w:t>
      </w:r>
    </w:p>
    <w:p w14:paraId="74E58C7D" w14:textId="77777777"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Elabore plantillas para la recolección de datos, asegurándose de que cumplan con el nivel de detalle exigido por el Estándar EITI respecto de todos los requisitos; </w:t>
      </w:r>
    </w:p>
    <w:p w14:paraId="254B98AA" w14:textId="6154295E"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Recopile la información no </w:t>
      </w:r>
      <w:r w:rsidR="00012621">
        <w:rPr>
          <w:color w:val="0070C0"/>
        </w:rPr>
        <w:t xml:space="preserve">vinculada </w:t>
      </w:r>
      <w:r>
        <w:rPr>
          <w:color w:val="0070C0"/>
        </w:rPr>
        <w:t>a</w:t>
      </w:r>
      <w:r w:rsidR="00012621">
        <w:rPr>
          <w:color w:val="0070C0"/>
        </w:rPr>
        <w:t xml:space="preserve"> los</w:t>
      </w:r>
      <w:r>
        <w:rPr>
          <w:color w:val="0070C0"/>
        </w:rPr>
        <w:t xml:space="preserve"> ingresos que no se divulga sistemáticamente y evalúe la calidad de los datos conforme a los requisitos 4.7, 4.8 y 4.9;</w:t>
      </w:r>
    </w:p>
    <w:p w14:paraId="602C71F8" w14:textId="77777777"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Recopile la información sobre ingresos que no se divulga sistemáticamente y evalúe la fiabilidad, actualidad y exhaustividad de los datos, conforme a los Requisitos EITI 4.7, 4.8 y 4.9; </w:t>
      </w:r>
    </w:p>
    <w:p w14:paraId="241D2A7C" w14:textId="74C3ED7C"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Documente, evalúe y presente al GMP </w:t>
      </w:r>
      <w:r w:rsidR="00012621">
        <w:rPr>
          <w:color w:val="0070C0"/>
        </w:rPr>
        <w:t xml:space="preserve">cualquier </w:t>
      </w:r>
      <w:r>
        <w:rPr>
          <w:color w:val="0070C0"/>
        </w:rPr>
        <w:t>desviación entre las regulaciones y las prácticas reales relativas a la transparencia en la gobernanza de las industrias extractivas;</w:t>
      </w:r>
    </w:p>
    <w:p w14:paraId="0DF3A666" w14:textId="1B7AB54C" w:rsidR="00C45DFB" w:rsidRPr="00DE200D" w:rsidRDefault="00C45DFB" w:rsidP="00C45DFB">
      <w:pPr>
        <w:widowControl/>
        <w:numPr>
          <w:ilvl w:val="0"/>
          <w:numId w:val="16"/>
        </w:numPr>
        <w:suppressAutoHyphens w:val="0"/>
        <w:spacing w:before="240" w:after="240" w:line="240" w:lineRule="auto"/>
        <w:rPr>
          <w:rFonts w:eastAsia="Calibri"/>
          <w:color w:val="0070C0"/>
        </w:rPr>
      </w:pPr>
      <w:r>
        <w:rPr>
          <w:color w:val="0070C0"/>
        </w:rPr>
        <w:t xml:space="preserve">Elabore recomendaciones factibles para fortalecer las divulgaciones y los sistemas de divulgación y </w:t>
      </w:r>
      <w:r w:rsidR="00012621">
        <w:rPr>
          <w:color w:val="0070C0"/>
        </w:rPr>
        <w:t xml:space="preserve">dé seguimiento a </w:t>
      </w:r>
      <w:r>
        <w:rPr>
          <w:color w:val="0070C0"/>
        </w:rPr>
        <w:t xml:space="preserve">las recomendaciones de informes anteriores; </w:t>
      </w:r>
    </w:p>
    <w:p w14:paraId="5743583E" w14:textId="4D89D2D7" w:rsidR="00C45DFB" w:rsidRPr="00DE200D" w:rsidRDefault="00C45DFB" w:rsidP="00C45DFB">
      <w:pPr>
        <w:widowControl/>
        <w:numPr>
          <w:ilvl w:val="0"/>
          <w:numId w:val="16"/>
        </w:numPr>
        <w:suppressAutoHyphens w:val="0"/>
        <w:spacing w:before="240" w:after="240" w:line="240" w:lineRule="auto"/>
        <w:rPr>
          <w:rFonts w:eastAsia="Calibri"/>
          <w:color w:val="0070C0"/>
        </w:rPr>
      </w:pPr>
      <w:r>
        <w:rPr>
          <w:b/>
          <w:noProof/>
          <w:color w:val="D24228"/>
        </w:rPr>
        <w:lastRenderedPageBreak/>
        <w:drawing>
          <wp:anchor distT="0" distB="0" distL="114300" distR="114300" simplePos="0" relativeHeight="251658245" behindDoc="0" locked="0" layoutInCell="1" allowOverlap="1" wp14:anchorId="7C806275" wp14:editId="644E0CFA">
            <wp:simplePos x="0" y="0"/>
            <wp:positionH relativeFrom="column">
              <wp:posOffset>76835</wp:posOffset>
            </wp:positionH>
            <wp:positionV relativeFrom="paragraph">
              <wp:posOffset>417646</wp:posOffset>
            </wp:positionV>
            <wp:extent cx="444382" cy="444382"/>
            <wp:effectExtent l="0" t="0" r="0" b="635"/>
            <wp:wrapSquare wrapText="bothSides"/>
            <wp:docPr id="1600392030"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r>
        <w:rPr>
          <w:color w:val="0070C0"/>
        </w:rPr>
        <w:t xml:space="preserve">Elabore </w:t>
      </w:r>
      <w:r w:rsidR="00012621">
        <w:rPr>
          <w:color w:val="0070C0"/>
        </w:rPr>
        <w:t xml:space="preserve">plantillas </w:t>
      </w:r>
      <w:r>
        <w:rPr>
          <w:color w:val="0070C0"/>
        </w:rPr>
        <w:t xml:space="preserve">de datos resumidos para cada año fiscal comprendido en los informes EITI de acuerdo con la </w:t>
      </w:r>
      <w:hyperlink r:id="rId14">
        <w:r>
          <w:rPr>
            <w:rStyle w:val="Hyperlink"/>
            <w:rFonts w:ascii="Franklin Gothic Book" w:hAnsi="Franklin Gothic Book"/>
          </w:rPr>
          <w:t>plantilla</w:t>
        </w:r>
      </w:hyperlink>
      <w:r>
        <w:rPr>
          <w:color w:val="4472C4" w:themeColor="accent1"/>
        </w:rPr>
        <w:t xml:space="preserve"> aprobada por el Consejo EITI, conforme al Requisito 7.2</w:t>
      </w:r>
      <w:r>
        <w:rPr>
          <w:color w:val="0070C0"/>
        </w:rPr>
        <w:t xml:space="preserve">.  </w:t>
      </w:r>
    </w:p>
    <w:p w14:paraId="4D9D1D69" w14:textId="3B6A5EB8" w:rsidR="00C45DFB" w:rsidRPr="00DE200D" w:rsidRDefault="00C45DFB" w:rsidP="00C45DFB">
      <w:pPr>
        <w:ind w:left="993"/>
        <w:rPr>
          <w:color w:val="4472C4" w:themeColor="accent1"/>
        </w:rPr>
      </w:pPr>
      <w:r>
        <w:rPr>
          <w:b/>
          <w:color w:val="D24228"/>
        </w:rPr>
        <w:t>Consejo:</w:t>
      </w:r>
      <w:r>
        <w:rPr>
          <w:color w:val="D24228"/>
        </w:rPr>
        <w:t xml:space="preserve"> El GMP debería </w:t>
      </w:r>
      <w:r w:rsidR="00012621">
        <w:rPr>
          <w:color w:val="D24228"/>
        </w:rPr>
        <w:t xml:space="preserve">especificar </w:t>
      </w:r>
      <w:r>
        <w:rPr>
          <w:color w:val="D24228"/>
        </w:rPr>
        <w:t>si los informes deben incluir comentarios o respuestas referentes a las recomendaciones de la Validación del país.</w:t>
      </w:r>
    </w:p>
    <w:p w14:paraId="1F7E2BA6" w14:textId="77777777" w:rsidR="00C45DFB" w:rsidRPr="00DE200D" w:rsidRDefault="00C45DFB" w:rsidP="00C45DFB">
      <w:pPr>
        <w:spacing w:after="0"/>
      </w:pPr>
      <w:r>
        <w:br w:type="page"/>
      </w:r>
    </w:p>
    <w:p w14:paraId="465D455D" w14:textId="7AC07FCC" w:rsidR="00C45DFB" w:rsidRPr="00DE200D" w:rsidRDefault="00C45DFB" w:rsidP="00C45DFB">
      <w:pPr>
        <w:pStyle w:val="Heading1"/>
        <w:numPr>
          <w:ilvl w:val="0"/>
          <w:numId w:val="25"/>
        </w:numPr>
      </w:pPr>
      <w:bookmarkStart w:id="9" w:name="_Toc180650423"/>
      <w:r>
        <w:lastRenderedPageBreak/>
        <w:t xml:space="preserve">Ciclo de </w:t>
      </w:r>
      <w:r w:rsidR="00012621">
        <w:t xml:space="preserve">reporte </w:t>
      </w:r>
      <w:r>
        <w:t>del EITI</w:t>
      </w:r>
      <w:bookmarkEnd w:id="9"/>
      <w:r>
        <w:t xml:space="preserve"> </w:t>
      </w:r>
    </w:p>
    <w:p w14:paraId="033AD442" w14:textId="498E6D19" w:rsidR="00C45DFB" w:rsidRPr="00DE200D" w:rsidRDefault="00C45DFB" w:rsidP="00C45DFB">
      <w:pPr>
        <w:shd w:val="clear" w:color="auto" w:fill="FFFFFF" w:themeFill="background1"/>
        <w:tabs>
          <w:tab w:val="left" w:pos="426"/>
          <w:tab w:val="left" w:pos="709"/>
        </w:tabs>
        <w:rPr>
          <w:rFonts w:eastAsia="Calibri"/>
        </w:rPr>
      </w:pPr>
      <w:r>
        <w:t xml:space="preserve">El ciclo de </w:t>
      </w:r>
      <w:r w:rsidR="00012621">
        <w:t xml:space="preserve">reporte </w:t>
      </w:r>
      <w:r>
        <w:t xml:space="preserve">del EITI podría clasificarse en cinco fases: </w:t>
      </w:r>
    </w:p>
    <w:p w14:paraId="02EDA8CB" w14:textId="77777777" w:rsidR="00C45DFB" w:rsidRPr="00DE200D" w:rsidRDefault="00C45DFB" w:rsidP="00C45DFB">
      <w:pPr>
        <w:pStyle w:val="ListParagraph0"/>
        <w:numPr>
          <w:ilvl w:val="0"/>
          <w:numId w:val="17"/>
        </w:numPr>
        <w:shd w:val="clear" w:color="auto" w:fill="FFFFFF"/>
        <w:tabs>
          <w:tab w:val="left" w:pos="426"/>
          <w:tab w:val="left" w:pos="709"/>
        </w:tabs>
        <w:spacing w:before="240" w:after="240" w:line="240" w:lineRule="auto"/>
        <w:rPr>
          <w:rFonts w:eastAsia="Calibri"/>
        </w:rPr>
      </w:pPr>
      <w:r>
        <w:t>Determinación del alcance</w:t>
      </w:r>
    </w:p>
    <w:p w14:paraId="72712BCB" w14:textId="77777777" w:rsidR="00C45DFB" w:rsidRPr="00DE200D" w:rsidRDefault="00C45DFB" w:rsidP="00C45DFB">
      <w:pPr>
        <w:pStyle w:val="ListParagraph0"/>
        <w:numPr>
          <w:ilvl w:val="0"/>
          <w:numId w:val="17"/>
        </w:numPr>
        <w:shd w:val="clear" w:color="auto" w:fill="FFFFFF"/>
        <w:tabs>
          <w:tab w:val="left" w:pos="426"/>
          <w:tab w:val="left" w:pos="709"/>
        </w:tabs>
        <w:spacing w:before="240" w:after="240" w:line="240" w:lineRule="auto"/>
        <w:rPr>
          <w:rFonts w:eastAsia="Calibri"/>
        </w:rPr>
      </w:pPr>
      <w:r>
        <w:t>Recopilación de datos y análisis inicial</w:t>
      </w:r>
    </w:p>
    <w:p w14:paraId="7AA9F67C" w14:textId="77777777" w:rsidR="00C45DFB" w:rsidRPr="00DE200D" w:rsidRDefault="00C45DFB" w:rsidP="00C45DFB">
      <w:pPr>
        <w:pStyle w:val="ListParagraph0"/>
        <w:numPr>
          <w:ilvl w:val="0"/>
          <w:numId w:val="17"/>
        </w:numPr>
        <w:shd w:val="clear" w:color="auto" w:fill="FFFFFF"/>
        <w:tabs>
          <w:tab w:val="left" w:pos="426"/>
          <w:tab w:val="left" w:pos="709"/>
        </w:tabs>
        <w:spacing w:before="240" w:after="240" w:line="240" w:lineRule="auto"/>
        <w:rPr>
          <w:rFonts w:eastAsia="Calibri"/>
        </w:rPr>
      </w:pPr>
      <w:r>
        <w:t>Garantía de la calidad de los datos</w:t>
      </w:r>
    </w:p>
    <w:p w14:paraId="6561F33F" w14:textId="77FC3AAF" w:rsidR="00C45DFB" w:rsidRPr="00DE200D" w:rsidRDefault="00C45DFB" w:rsidP="00C45DFB">
      <w:pPr>
        <w:pStyle w:val="ListParagraph0"/>
        <w:numPr>
          <w:ilvl w:val="0"/>
          <w:numId w:val="17"/>
        </w:numPr>
        <w:shd w:val="clear" w:color="auto" w:fill="FFFFFF"/>
        <w:tabs>
          <w:tab w:val="left" w:pos="426"/>
          <w:tab w:val="left" w:pos="709"/>
        </w:tabs>
        <w:spacing w:before="240" w:after="240" w:line="240" w:lineRule="auto"/>
        <w:rPr>
          <w:rFonts w:eastAsia="Calibri"/>
        </w:rPr>
      </w:pPr>
      <w:r>
        <w:t xml:space="preserve">Análisis de brechas </w:t>
      </w:r>
      <w:r w:rsidR="00012621">
        <w:t xml:space="preserve">realizado por el </w:t>
      </w:r>
      <w:r>
        <w:t>GMP</w:t>
      </w:r>
    </w:p>
    <w:p w14:paraId="79BDAFFE" w14:textId="77777777" w:rsidR="00C45DFB" w:rsidRPr="00DE200D" w:rsidRDefault="00C45DFB" w:rsidP="00C45DFB">
      <w:pPr>
        <w:pStyle w:val="ListParagraph0"/>
        <w:numPr>
          <w:ilvl w:val="0"/>
          <w:numId w:val="17"/>
        </w:numPr>
        <w:shd w:val="clear" w:color="auto" w:fill="FFFFFF"/>
        <w:tabs>
          <w:tab w:val="left" w:pos="426"/>
          <w:tab w:val="left" w:pos="709"/>
        </w:tabs>
        <w:spacing w:before="240" w:after="240" w:line="240" w:lineRule="auto"/>
      </w:pPr>
      <w:r>
        <w:t>Informe EITI orientado a generar impacto</w:t>
      </w:r>
    </w:p>
    <w:p w14:paraId="7D15A9FE" w14:textId="22644D47" w:rsidR="00C45DFB" w:rsidRPr="00DE200D" w:rsidRDefault="00C45DFB" w:rsidP="00C45DFB">
      <w:pPr>
        <w:shd w:val="clear" w:color="auto" w:fill="FFFFFF"/>
        <w:tabs>
          <w:tab w:val="left" w:pos="426"/>
          <w:tab w:val="left" w:pos="709"/>
        </w:tabs>
        <w:rPr>
          <w:rFonts w:eastAsia="Calibri"/>
        </w:rPr>
      </w:pPr>
      <w:r>
        <w:rPr>
          <w:b/>
        </w:rPr>
        <w:t>Figura 1</w:t>
      </w:r>
      <w:r>
        <w:t xml:space="preserve">: </w:t>
      </w:r>
      <w:r>
        <w:rPr>
          <w:b/>
        </w:rPr>
        <w:t xml:space="preserve">Ciclo de </w:t>
      </w:r>
      <w:r w:rsidR="00012621">
        <w:rPr>
          <w:b/>
        </w:rPr>
        <w:t xml:space="preserve">reporte </w:t>
      </w:r>
      <w:r>
        <w:rPr>
          <w:b/>
        </w:rPr>
        <w:t>del EITI</w:t>
      </w:r>
    </w:p>
    <w:p w14:paraId="432765BE" w14:textId="77777777" w:rsidR="00C45DFB" w:rsidRPr="00DE200D" w:rsidRDefault="00C45DFB" w:rsidP="00C45DFB">
      <w:pPr>
        <w:shd w:val="clear" w:color="auto" w:fill="FFFFFF" w:themeFill="background1"/>
        <w:tabs>
          <w:tab w:val="left" w:pos="426"/>
          <w:tab w:val="left" w:pos="709"/>
        </w:tabs>
        <w:rPr>
          <w:rFonts w:eastAsia="Calibri"/>
        </w:rPr>
      </w:pPr>
      <w:r>
        <w:rPr>
          <w:noProof/>
        </w:rPr>
        <w:drawing>
          <wp:inline distT="0" distB="0" distL="0" distR="0" wp14:anchorId="2154B102" wp14:editId="0DDF89DA">
            <wp:extent cx="6019800" cy="2774950"/>
            <wp:effectExtent l="0" t="0" r="0" b="19050"/>
            <wp:docPr id="74175390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976F639" w14:textId="77777777" w:rsidR="00C45DFB" w:rsidRPr="00DE200D" w:rsidRDefault="00C45DFB" w:rsidP="00C45DFB">
      <w:pPr>
        <w:shd w:val="clear" w:color="auto" w:fill="FFFFFF"/>
        <w:autoSpaceDE w:val="0"/>
        <w:autoSpaceDN w:val="0"/>
        <w:adjustRightInd w:val="0"/>
        <w:ind w:left="1360"/>
        <w:rPr>
          <w:color w:val="000000" w:themeColor="text1"/>
          <w:lang w:eastAsia="fr-FR"/>
        </w:rPr>
      </w:pPr>
    </w:p>
    <w:p w14:paraId="43D0DE7F" w14:textId="77777777" w:rsidR="00C45DFB" w:rsidRPr="00DE200D" w:rsidRDefault="00C45DFB" w:rsidP="00C45DFB">
      <w:pPr>
        <w:shd w:val="clear" w:color="auto" w:fill="FFFFFF"/>
        <w:tabs>
          <w:tab w:val="left" w:pos="426"/>
          <w:tab w:val="left" w:pos="709"/>
        </w:tabs>
        <w:rPr>
          <w:rFonts w:eastAsia="Calibri"/>
          <w:i/>
          <w:iCs/>
        </w:rPr>
      </w:pPr>
      <w:r>
        <w:rPr>
          <w:i/>
        </w:rPr>
        <w:t xml:space="preserve">Es posible que estas fases se superpongan y también que algunas se realicen más de una vez. </w:t>
      </w:r>
    </w:p>
    <w:p w14:paraId="3EF4764B" w14:textId="77777777" w:rsidR="00C45DFB" w:rsidRPr="00DE200D" w:rsidRDefault="00C45DFB" w:rsidP="00C45DFB">
      <w:pPr>
        <w:pStyle w:val="Heading2"/>
      </w:pPr>
      <w:bookmarkStart w:id="10" w:name="_Toc180650424"/>
      <w:r>
        <w:t>Fase 1: Determinación del alcance</w:t>
      </w:r>
      <w:bookmarkEnd w:id="10"/>
    </w:p>
    <w:p w14:paraId="436AF203" w14:textId="1AF060D3" w:rsidR="00C45DFB" w:rsidRPr="00DE200D" w:rsidRDefault="00C45DFB" w:rsidP="00C45DFB">
      <w:pPr>
        <w:shd w:val="clear" w:color="auto" w:fill="FFFFFF" w:themeFill="background1"/>
        <w:autoSpaceDE w:val="0"/>
        <w:autoSpaceDN w:val="0"/>
        <w:adjustRightInd w:val="0"/>
        <w:spacing w:line="276" w:lineRule="auto"/>
        <w:rPr>
          <w:color w:val="000000" w:themeColor="text1"/>
        </w:rPr>
      </w:pPr>
      <w:r>
        <w:rPr>
          <w:b/>
        </w:rPr>
        <w:t>Objetivo:</w:t>
      </w:r>
      <w:r>
        <w:t xml:space="preserve"> En la fase de determinación del alcance, la Entidad debería ayudar al GMP a identificar qué debería abarcar </w:t>
      </w:r>
      <w:r w:rsidR="00012621">
        <w:t>la divulgación de información</w:t>
      </w:r>
      <w:r>
        <w:t xml:space="preserve"> EITI a fin de cumplir con los requisitos del Estándar EITI y los objetivos del GMP.</w:t>
      </w:r>
      <w:r>
        <w:rPr>
          <w:color w:val="000000" w:themeColor="text1"/>
        </w:rPr>
        <w:t xml:space="preserve"> El estudio de alcance sienta las bases para generar datos actuales, exhaustivos y confiables para l</w:t>
      </w:r>
      <w:r w:rsidR="00B16727">
        <w:rPr>
          <w:color w:val="000000" w:themeColor="text1"/>
        </w:rPr>
        <w:t xml:space="preserve">a divulgación de información </w:t>
      </w:r>
      <w:r>
        <w:rPr>
          <w:color w:val="000000" w:themeColor="text1"/>
        </w:rPr>
        <w:t>EITI.</w:t>
      </w:r>
    </w:p>
    <w:p w14:paraId="78D343F7" w14:textId="4BDECE91" w:rsidR="00C45DFB" w:rsidRPr="00DE200D" w:rsidRDefault="00C45DFB" w:rsidP="00C45DFB">
      <w:pPr>
        <w:shd w:val="clear" w:color="auto" w:fill="FFFFFF"/>
        <w:tabs>
          <w:tab w:val="left" w:pos="709"/>
        </w:tabs>
        <w:spacing w:line="276" w:lineRule="auto"/>
        <w:rPr>
          <w:noProof/>
          <w:color w:val="000000" w:themeColor="text1"/>
        </w:rPr>
      </w:pPr>
      <w:r>
        <w:rPr>
          <w:color w:val="000000" w:themeColor="text1"/>
        </w:rPr>
        <w:t>La determinación del alcance generalmente implica analizar información tanto relativa</w:t>
      </w:r>
      <w:r w:rsidR="00B16727">
        <w:rPr>
          <w:color w:val="000000" w:themeColor="text1"/>
        </w:rPr>
        <w:t xml:space="preserve"> a los ingresos, así como aquella</w:t>
      </w:r>
      <w:r>
        <w:rPr>
          <w:color w:val="000000" w:themeColor="text1"/>
        </w:rPr>
        <w:t xml:space="preserve"> no </w:t>
      </w:r>
      <w:r w:rsidR="00B16727">
        <w:rPr>
          <w:color w:val="000000" w:themeColor="text1"/>
        </w:rPr>
        <w:t>vinculada a</w:t>
      </w:r>
      <w:r>
        <w:rPr>
          <w:color w:val="000000" w:themeColor="text1"/>
        </w:rPr>
        <w:t xml:space="preserve"> los ingresos gubernamentales, además de aclarar qué período fiscal se va a examinar. El nivel de detalle necesario durante la determinación del alcance depende del conocimiento del GMP sobre el sector extractivo, que debería aumentar con el correr del tiempo y, de esta forma, reducir el nivel de esfuerzo necesario en futuros ejercicios de determinación del alcance. </w:t>
      </w:r>
    </w:p>
    <w:p w14:paraId="5BE343A1" w14:textId="77777777" w:rsidR="00C45DFB" w:rsidRPr="00DE200D" w:rsidRDefault="00C45DFB" w:rsidP="00C45DFB">
      <w:pPr>
        <w:shd w:val="clear" w:color="auto" w:fill="FFFFFF"/>
        <w:tabs>
          <w:tab w:val="left" w:pos="709"/>
        </w:tabs>
        <w:spacing w:line="276" w:lineRule="auto"/>
        <w:rPr>
          <w:color w:val="000000" w:themeColor="text1"/>
        </w:rPr>
      </w:pPr>
      <w:r>
        <w:rPr>
          <w:color w:val="000000" w:themeColor="text1"/>
        </w:rPr>
        <w:t xml:space="preserve">La fase de determinación del alcance debería tener en cuenta lo siguiente: </w:t>
      </w:r>
    </w:p>
    <w:p w14:paraId="38A65CB8" w14:textId="77777777" w:rsidR="00C45DFB" w:rsidRPr="00DE200D" w:rsidRDefault="00C45DFB" w:rsidP="00C45DFB">
      <w:pPr>
        <w:pStyle w:val="ListParagraph0"/>
        <w:widowControl/>
        <w:numPr>
          <w:ilvl w:val="0"/>
          <w:numId w:val="16"/>
        </w:numPr>
        <w:shd w:val="clear" w:color="auto" w:fill="FFFFFF"/>
        <w:tabs>
          <w:tab w:val="left" w:pos="709"/>
        </w:tabs>
        <w:suppressAutoHyphens w:val="0"/>
        <w:spacing w:line="276" w:lineRule="auto"/>
        <w:contextualSpacing w:val="0"/>
        <w:rPr>
          <w:color w:val="000000" w:themeColor="text1"/>
        </w:rPr>
      </w:pPr>
      <w:r>
        <w:rPr>
          <w:color w:val="000000" w:themeColor="text1"/>
        </w:rPr>
        <w:t xml:space="preserve">Novedades relevantes del sector extractivo y cuestiones de gobernanza del sector en general; </w:t>
      </w:r>
    </w:p>
    <w:p w14:paraId="613FC187" w14:textId="592FCCD3" w:rsidR="00C45DFB" w:rsidRPr="00DE200D" w:rsidRDefault="00C45DFB" w:rsidP="00C45DFB">
      <w:pPr>
        <w:pStyle w:val="ListParagraph0"/>
        <w:widowControl/>
        <w:numPr>
          <w:ilvl w:val="0"/>
          <w:numId w:val="16"/>
        </w:numPr>
        <w:shd w:val="clear" w:color="auto" w:fill="FFFFFF" w:themeFill="background1"/>
        <w:tabs>
          <w:tab w:val="left" w:pos="709"/>
        </w:tabs>
        <w:suppressAutoHyphens w:val="0"/>
        <w:spacing w:line="276" w:lineRule="auto"/>
        <w:rPr>
          <w:color w:val="000000" w:themeColor="text1"/>
        </w:rPr>
      </w:pPr>
      <w:r>
        <w:rPr>
          <w:color w:val="000000" w:themeColor="text1"/>
        </w:rPr>
        <w:lastRenderedPageBreak/>
        <w:t xml:space="preserve">Recomendaciones </w:t>
      </w:r>
      <w:r w:rsidR="00B16727">
        <w:rPr>
          <w:color w:val="000000" w:themeColor="text1"/>
        </w:rPr>
        <w:t xml:space="preserve">anteriores derivadas de la divulgación de información </w:t>
      </w:r>
      <w:r>
        <w:rPr>
          <w:color w:val="000000" w:themeColor="text1"/>
        </w:rPr>
        <w:t>EITI, informes temáticos y/o Validaciones anteriores.</w:t>
      </w:r>
    </w:p>
    <w:p w14:paraId="65F04B35" w14:textId="77777777" w:rsidR="00C45DFB" w:rsidRPr="00DE200D" w:rsidRDefault="00C45DFB" w:rsidP="00C45DFB">
      <w:pPr>
        <w:widowControl/>
        <w:shd w:val="clear" w:color="auto" w:fill="FFFFFF" w:themeFill="background1"/>
        <w:tabs>
          <w:tab w:val="left" w:pos="709"/>
        </w:tabs>
        <w:suppressAutoHyphens w:val="0"/>
        <w:spacing w:line="276" w:lineRule="auto"/>
        <w:rPr>
          <w:color w:val="000000" w:themeColor="text1"/>
        </w:rPr>
      </w:pPr>
    </w:p>
    <w:p w14:paraId="4E821110" w14:textId="19D19F0F" w:rsidR="00C45DFB" w:rsidRPr="00DE200D" w:rsidRDefault="00C45DFB" w:rsidP="00C45DFB">
      <w:pPr>
        <w:rPr>
          <w:rFonts w:eastAsia="Calibri"/>
          <w:b/>
          <w:bCs/>
          <w:color w:val="000000" w:themeColor="text1"/>
        </w:rPr>
      </w:pPr>
      <w:r>
        <w:rPr>
          <w:b/>
          <w:color w:val="000000" w:themeColor="text1"/>
        </w:rPr>
        <w:t xml:space="preserve">Se espera que la Entidad </w:t>
      </w:r>
      <w:r w:rsidR="00B16727">
        <w:rPr>
          <w:b/>
          <w:color w:val="000000" w:themeColor="text1"/>
        </w:rPr>
        <w:t>lleve a cabo las siguientes tareas</w:t>
      </w:r>
      <w:r>
        <w:rPr>
          <w:b/>
          <w:color w:val="000000" w:themeColor="text1"/>
        </w:rPr>
        <w:t xml:space="preserve">: </w:t>
      </w:r>
    </w:p>
    <w:p w14:paraId="6ED5605C" w14:textId="2191C0FE" w:rsidR="00C45DFB" w:rsidRPr="00DE200D" w:rsidRDefault="00C45DFB" w:rsidP="00C45DFB">
      <w:pPr>
        <w:pStyle w:val="ListParagraph0"/>
        <w:widowControl/>
        <w:numPr>
          <w:ilvl w:val="1"/>
          <w:numId w:val="19"/>
        </w:numPr>
        <w:suppressAutoHyphens w:val="0"/>
        <w:spacing w:before="240" w:after="240" w:line="240" w:lineRule="auto"/>
        <w:ind w:left="851" w:hanging="851"/>
        <w:contextualSpacing w:val="0"/>
        <w:rPr>
          <w:color w:val="0070C0"/>
        </w:rPr>
      </w:pPr>
      <w:r>
        <w:rPr>
          <w:b/>
          <w:color w:val="0070C0"/>
        </w:rPr>
        <w:t xml:space="preserve">Analizar la información contextual pertinente: </w:t>
      </w:r>
      <w:r w:rsidR="007961F6">
        <w:rPr>
          <w:color w:val="0070C0"/>
        </w:rPr>
        <w:t>e</w:t>
      </w:r>
      <w:r>
        <w:rPr>
          <w:color w:val="0070C0"/>
        </w:rPr>
        <w:t>xaminar los acuerdos de gobernanza, las políticas fiscales, los estudios sobre las divulgaciones sistemáticas, las labores preliminares de determinación del alcance, las divulgaciones ya existentes de los gobiernos y empresas y las conclusiones y recomendaciones de informes EITI y Validaciones anteriores (véase la lista de documentos pertinentes en el Anexo A).</w:t>
      </w:r>
    </w:p>
    <w:p w14:paraId="0ADEA98E" w14:textId="19CFC537" w:rsidR="00C45DFB" w:rsidRPr="00DE200D" w:rsidRDefault="00C45DFB" w:rsidP="00C45DFB">
      <w:pPr>
        <w:ind w:left="993"/>
        <w:rPr>
          <w:color w:val="D24228"/>
        </w:rPr>
      </w:pPr>
      <w:r>
        <w:rPr>
          <w:b/>
          <w:noProof/>
          <w:color w:val="D24228"/>
        </w:rPr>
        <w:drawing>
          <wp:anchor distT="0" distB="0" distL="114300" distR="114300" simplePos="0" relativeHeight="251658246" behindDoc="0" locked="0" layoutInCell="1" allowOverlap="1" wp14:anchorId="1FD3E03A" wp14:editId="1E4DCEAA">
            <wp:simplePos x="0" y="0"/>
            <wp:positionH relativeFrom="column">
              <wp:posOffset>68366</wp:posOffset>
            </wp:positionH>
            <wp:positionV relativeFrom="paragraph">
              <wp:posOffset>8445</wp:posOffset>
            </wp:positionV>
            <wp:extent cx="444382" cy="444382"/>
            <wp:effectExtent l="0" t="0" r="0" b="635"/>
            <wp:wrapSquare wrapText="bothSides"/>
            <wp:docPr id="304630956"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r>
        <w:rPr>
          <w:b/>
          <w:color w:val="D24228"/>
        </w:rPr>
        <w:t>Consejo:</w:t>
      </w:r>
      <w:r>
        <w:rPr>
          <w:color w:val="D24228"/>
        </w:rPr>
        <w:t xml:space="preserve"> </w:t>
      </w:r>
      <w:r w:rsidR="00B16727">
        <w:rPr>
          <w:color w:val="D24228"/>
        </w:rPr>
        <w:t>e</w:t>
      </w:r>
      <w:r>
        <w:rPr>
          <w:color w:val="D24228"/>
        </w:rPr>
        <w:t xml:space="preserve">l GMP podría determinar que se incluyan elementos recomendados del Estándar EITI dentro del alcance de los informes, como el Requisito 3.4 sobre </w:t>
      </w:r>
      <w:r w:rsidR="00B16727">
        <w:rPr>
          <w:color w:val="D24228"/>
        </w:rPr>
        <w:t xml:space="preserve">las </w:t>
      </w:r>
      <w:r>
        <w:rPr>
          <w:color w:val="D24228"/>
        </w:rPr>
        <w:t>emisiones de gases de efecto invernadero y el Requisito 4.10.c sobre los costos de los proyectos.</w:t>
      </w:r>
    </w:p>
    <w:p w14:paraId="1B1B50EE" w14:textId="77777777" w:rsidR="00C45DFB" w:rsidRPr="00DE200D" w:rsidRDefault="00C45DFB" w:rsidP="00C45DFB">
      <w:pPr>
        <w:pStyle w:val="ListParagraph0"/>
        <w:ind w:left="567"/>
        <w:rPr>
          <w:color w:val="4472C4" w:themeColor="accent1"/>
        </w:rPr>
      </w:pPr>
    </w:p>
    <w:p w14:paraId="01FC719D" w14:textId="401A5C1D" w:rsidR="00C45DFB" w:rsidRPr="00DE200D" w:rsidRDefault="00C45DFB" w:rsidP="00C45DFB">
      <w:pPr>
        <w:pStyle w:val="ListParagraph0"/>
        <w:widowControl/>
        <w:numPr>
          <w:ilvl w:val="1"/>
          <w:numId w:val="19"/>
        </w:numPr>
        <w:suppressAutoHyphens w:val="0"/>
        <w:spacing w:before="240" w:after="240" w:line="240" w:lineRule="auto"/>
        <w:ind w:left="851" w:hanging="851"/>
        <w:rPr>
          <w:rFonts w:eastAsia="Calibri"/>
          <w:color w:val="4472C4" w:themeColor="accent1"/>
        </w:rPr>
      </w:pPr>
      <w:r>
        <w:rPr>
          <w:b/>
          <w:color w:val="0070C0"/>
        </w:rPr>
        <w:t>Asistir al GMP en relación con las cuestiones de gobernanza fundamentales que desea abordar:</w:t>
      </w:r>
      <w:r>
        <w:rPr>
          <w:color w:val="4472C4" w:themeColor="accent1"/>
        </w:rPr>
        <w:t xml:space="preserve"> </w:t>
      </w:r>
      <w:r w:rsidR="007961F6">
        <w:rPr>
          <w:color w:val="0070C0"/>
        </w:rPr>
        <w:t>b</w:t>
      </w:r>
      <w:r>
        <w:rPr>
          <w:color w:val="0070C0"/>
        </w:rPr>
        <w:t>asándose en el análisis del plan de trabajo actual y las conversaciones con las principales partes interesadas, identificar las prioridades nacionales clave que deberían abordarse en el proceso de informes y los datos y documentos necesarios para abordar estas prioridades y cumplir con los requisitos de divulgación del EITI.</w:t>
      </w:r>
      <w:r>
        <w:rPr>
          <w:color w:val="4472C4" w:themeColor="accent1"/>
        </w:rPr>
        <w:t xml:space="preserve">  </w:t>
      </w:r>
    </w:p>
    <w:p w14:paraId="4C9F3B86" w14:textId="77777777" w:rsidR="00C45DFB" w:rsidRPr="00DE200D" w:rsidRDefault="00C45DFB" w:rsidP="00C45DFB">
      <w:pPr>
        <w:pStyle w:val="ListParagraph0"/>
        <w:widowControl/>
        <w:suppressAutoHyphens w:val="0"/>
        <w:spacing w:before="240" w:after="240" w:line="240" w:lineRule="auto"/>
        <w:ind w:left="851"/>
        <w:rPr>
          <w:rFonts w:eastAsia="Calibri"/>
          <w:color w:val="4472C4" w:themeColor="accent1"/>
          <w:lang w:eastAsia="nb-NO"/>
        </w:rPr>
      </w:pPr>
    </w:p>
    <w:p w14:paraId="13BB52F6" w14:textId="7D56B252" w:rsidR="00C45DFB" w:rsidRPr="00DE200D" w:rsidRDefault="00C45DFB" w:rsidP="00C45DFB">
      <w:pPr>
        <w:pStyle w:val="ListParagraph0"/>
        <w:widowControl/>
        <w:numPr>
          <w:ilvl w:val="1"/>
          <w:numId w:val="19"/>
        </w:numPr>
        <w:suppressAutoHyphens w:val="0"/>
        <w:spacing w:before="240" w:after="240" w:line="240" w:lineRule="auto"/>
        <w:ind w:left="851" w:hanging="851"/>
        <w:contextualSpacing w:val="0"/>
        <w:rPr>
          <w:color w:val="0070C0"/>
        </w:rPr>
      </w:pPr>
      <w:r>
        <w:rPr>
          <w:b/>
          <w:color w:val="0070C0"/>
        </w:rPr>
        <w:t>Identificar a las entidades responsables:</w:t>
      </w:r>
      <w:r>
        <w:rPr>
          <w:color w:val="0070C0"/>
        </w:rPr>
        <w:t xml:space="preserve"> </w:t>
      </w:r>
      <w:r w:rsidR="007961F6">
        <w:rPr>
          <w:color w:val="0070C0"/>
        </w:rPr>
        <w:t>d</w:t>
      </w:r>
      <w:r>
        <w:rPr>
          <w:color w:val="0070C0"/>
        </w:rPr>
        <w:t xml:space="preserve">eterminar qué organismos gubernamentales y empresas </w:t>
      </w:r>
      <w:r w:rsidR="007961F6">
        <w:rPr>
          <w:color w:val="0070C0"/>
        </w:rPr>
        <w:t>son responsables</w:t>
      </w:r>
      <w:r>
        <w:rPr>
          <w:color w:val="0070C0"/>
        </w:rPr>
        <w:t xml:space="preserve"> de elaborar, recopilar o mantener la información requerida.</w:t>
      </w:r>
    </w:p>
    <w:p w14:paraId="146A523B" w14:textId="6D4C8217" w:rsidR="00C45DFB" w:rsidRPr="00DE200D" w:rsidRDefault="00C45DFB" w:rsidP="00C45DFB">
      <w:pPr>
        <w:pStyle w:val="ListParagraph0"/>
        <w:widowControl/>
        <w:numPr>
          <w:ilvl w:val="1"/>
          <w:numId w:val="19"/>
        </w:numPr>
        <w:suppressAutoHyphens w:val="0"/>
        <w:spacing w:before="240" w:after="240" w:line="240" w:lineRule="auto"/>
        <w:ind w:left="851" w:hanging="851"/>
        <w:contextualSpacing w:val="0"/>
        <w:rPr>
          <w:rFonts w:eastAsia="Calibri"/>
          <w:color w:val="0070C0"/>
        </w:rPr>
      </w:pPr>
      <w:r>
        <w:rPr>
          <w:b/>
          <w:color w:val="0070C0"/>
        </w:rPr>
        <w:t>Evaluar la disponibilidad pública de la información:</w:t>
      </w:r>
      <w:r>
        <w:rPr>
          <w:color w:val="0070C0"/>
        </w:rPr>
        <w:t xml:space="preserve"> </w:t>
      </w:r>
      <w:r w:rsidR="007961F6">
        <w:rPr>
          <w:color w:val="0070C0"/>
        </w:rPr>
        <w:t>a</w:t>
      </w:r>
      <w:r>
        <w:rPr>
          <w:color w:val="0070C0"/>
        </w:rPr>
        <w:t>nalizar los datos que los organismos gubernamentales y las empresas ya hayan puesto a disposición del público, indicando el formato y la periodicidad de la divulgación, y evaluar opciones para ampliar las divulgaciones.</w:t>
      </w:r>
    </w:p>
    <w:p w14:paraId="4DE15103" w14:textId="28062163" w:rsidR="00C45DFB" w:rsidRPr="00DE200D" w:rsidRDefault="00C45DFB" w:rsidP="00C45DFB">
      <w:pPr>
        <w:pStyle w:val="ListParagraph0"/>
        <w:numPr>
          <w:ilvl w:val="1"/>
          <w:numId w:val="19"/>
        </w:numPr>
        <w:spacing w:line="276" w:lineRule="auto"/>
        <w:ind w:left="851" w:hanging="851"/>
        <w:contextualSpacing w:val="0"/>
        <w:rPr>
          <w:rFonts w:eastAsia="Calibri"/>
          <w:color w:val="0070C0"/>
        </w:rPr>
      </w:pPr>
      <w:r>
        <w:rPr>
          <w:b/>
          <w:color w:val="0070C0"/>
        </w:rPr>
        <w:t>Evaluar la exhaustividad y el desglose de los datos:</w:t>
      </w:r>
      <w:r>
        <w:rPr>
          <w:color w:val="0070C0"/>
        </w:rPr>
        <w:t xml:space="preserve"> </w:t>
      </w:r>
      <w:r w:rsidR="007961F6">
        <w:rPr>
          <w:color w:val="0070C0"/>
        </w:rPr>
        <w:t>a</w:t>
      </w:r>
      <w:r>
        <w:rPr>
          <w:color w:val="0070C0"/>
        </w:rPr>
        <w:t>nalizar la actualidad, la exhaustividad y el nivel de desglose de los datos con respecto al Estándar EITI. En caso de existir varias fuentes públicas para los mismos datos, evaluar si estos son consistentes y equiparables.</w:t>
      </w:r>
    </w:p>
    <w:p w14:paraId="57EDC70A" w14:textId="52CD7C63" w:rsidR="00C45DFB" w:rsidRPr="00DE200D" w:rsidRDefault="00C45DFB" w:rsidP="00C45DFB">
      <w:pPr>
        <w:pStyle w:val="ListParagraph0"/>
        <w:numPr>
          <w:ilvl w:val="1"/>
          <w:numId w:val="19"/>
        </w:numPr>
        <w:spacing w:line="276" w:lineRule="auto"/>
        <w:ind w:left="851" w:hanging="851"/>
        <w:rPr>
          <w:rFonts w:eastAsia="Calibri"/>
          <w:color w:val="0070C0"/>
        </w:rPr>
      </w:pPr>
      <w:r>
        <w:rPr>
          <w:b/>
          <w:color w:val="0070C0"/>
        </w:rPr>
        <w:t>Establecer los mecanismos de garantía de la calidad de los datos:</w:t>
      </w:r>
      <w:r>
        <w:rPr>
          <w:color w:val="0070C0"/>
        </w:rPr>
        <w:t xml:space="preserve"> </w:t>
      </w:r>
      <w:r w:rsidR="007961F6">
        <w:rPr>
          <w:color w:val="0070C0"/>
        </w:rPr>
        <w:t>e</w:t>
      </w:r>
      <w:r>
        <w:rPr>
          <w:color w:val="0070C0"/>
        </w:rPr>
        <w:t xml:space="preserve">stablecer, consultando al GMP, los tipos de garantía necesarios para </w:t>
      </w:r>
      <w:r w:rsidR="00B16727">
        <w:rPr>
          <w:color w:val="0070C0"/>
        </w:rPr>
        <w:t xml:space="preserve">cerciorarse de </w:t>
      </w:r>
      <w:r>
        <w:rPr>
          <w:color w:val="0070C0"/>
        </w:rPr>
        <w:t xml:space="preserve">que los datos divulgados cumplan con estándares de calidad aceptables (esto incluye revisar los procedimientos de auditoría). </w:t>
      </w:r>
      <w:r>
        <w:rPr>
          <w:color w:val="0070C0"/>
        </w:rPr>
        <w:br/>
      </w:r>
    </w:p>
    <w:p w14:paraId="57F9BA80" w14:textId="77777777" w:rsidR="00C45DFB" w:rsidRPr="00DE200D" w:rsidRDefault="00C45DFB" w:rsidP="00C45DFB">
      <w:pPr>
        <w:pStyle w:val="ListParagraph0"/>
        <w:numPr>
          <w:ilvl w:val="1"/>
          <w:numId w:val="19"/>
        </w:numPr>
        <w:spacing w:line="276" w:lineRule="auto"/>
        <w:ind w:left="851" w:hanging="851"/>
        <w:rPr>
          <w:rFonts w:eastAsia="Calibri"/>
          <w:b/>
          <w:bCs/>
          <w:color w:val="0070C0"/>
        </w:rPr>
      </w:pPr>
      <w:r>
        <w:rPr>
          <w:b/>
          <w:color w:val="0070C0"/>
        </w:rPr>
        <w:t xml:space="preserve">En relación con los datos sobre ingresos, la Entidad debería hacer lo siguiente: </w:t>
      </w:r>
      <w:r>
        <w:rPr>
          <w:b/>
          <w:color w:val="0070C0"/>
        </w:rPr>
        <w:br/>
      </w:r>
    </w:p>
    <w:p w14:paraId="2274A19C" w14:textId="3029BEA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 xml:space="preserve">Obtener una lista de los pagos recaudados por los organismos gubernamentales correspondientes al año fiscal en </w:t>
      </w:r>
      <w:r w:rsidR="00B16727">
        <w:rPr>
          <w:color w:val="0070C0"/>
        </w:rPr>
        <w:t>evaluación</w:t>
      </w:r>
      <w:r>
        <w:rPr>
          <w:color w:val="0070C0"/>
        </w:rPr>
        <w:t xml:space="preserve">; </w:t>
      </w:r>
      <w:r>
        <w:rPr>
          <w:color w:val="0070C0"/>
        </w:rPr>
        <w:br/>
      </w:r>
    </w:p>
    <w:p w14:paraId="6F68A0BB" w14:textId="7777777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Obtener información sobre la lista de permisos, licencias, derechos y contratos extractivos activos;</w:t>
      </w:r>
      <w:r>
        <w:rPr>
          <w:color w:val="0070C0"/>
        </w:rPr>
        <w:br/>
      </w:r>
    </w:p>
    <w:p w14:paraId="1BEB1594" w14:textId="7777777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 xml:space="preserve">Confrontar los pagos realizados por las empresas con la lista de permisos </w:t>
      </w:r>
      <w:r>
        <w:rPr>
          <w:color w:val="0070C0"/>
        </w:rPr>
        <w:lastRenderedPageBreak/>
        <w:t xml:space="preserve">activos; </w:t>
      </w:r>
      <w:r>
        <w:rPr>
          <w:color w:val="0070C0"/>
        </w:rPr>
        <w:br/>
      </w:r>
    </w:p>
    <w:p w14:paraId="24A79AF8" w14:textId="7777777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 xml:space="preserve">Establecer la materialidad de los ingresos del sector extractivo en función de los umbrales convenidos por el GMP y documentar las opciones consideradas; </w:t>
      </w:r>
      <w:r>
        <w:rPr>
          <w:color w:val="0070C0"/>
        </w:rPr>
        <w:br/>
      </w:r>
    </w:p>
    <w:p w14:paraId="4CF0EB84" w14:textId="7777777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Analizar los pagos materiales de las empresas que no poseen permisos, licencias, derechos ni contratos extractivos activos y evaluar cuán relevante sería incluirlos en el alcance de los informes;</w:t>
      </w:r>
      <w:r>
        <w:rPr>
          <w:color w:val="0070C0"/>
        </w:rPr>
        <w:br/>
      </w:r>
    </w:p>
    <w:p w14:paraId="51881579" w14:textId="7777777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Establecer qué empresas y entidades gubernamentales son de importancia material en función de los umbrales de materialidad convenidos por el GMP;</w:t>
      </w:r>
      <w:r>
        <w:rPr>
          <w:color w:val="0070C0"/>
        </w:rPr>
        <w:br/>
      </w:r>
    </w:p>
    <w:p w14:paraId="6CAC99B9" w14:textId="77777777" w:rsidR="00C45DFB" w:rsidRPr="00DE200D" w:rsidRDefault="00C45DFB" w:rsidP="00C45DFB">
      <w:pPr>
        <w:pStyle w:val="ListParagraph0"/>
        <w:numPr>
          <w:ilvl w:val="2"/>
          <w:numId w:val="19"/>
        </w:numPr>
        <w:spacing w:line="276" w:lineRule="auto"/>
        <w:ind w:left="1701"/>
        <w:rPr>
          <w:rFonts w:eastAsia="Calibri"/>
          <w:color w:val="0070C0"/>
        </w:rPr>
      </w:pPr>
      <w:r>
        <w:rPr>
          <w:color w:val="0070C0"/>
        </w:rPr>
        <w:t>Asegurarse de que los datos divulgados sistemáticamente cumplan con los Requisitos 4.7 sobre desglose y 4.9 sobre calidad de los datos.</w:t>
      </w:r>
      <w:r>
        <w:rPr>
          <w:strike/>
          <w:color w:val="0070C0"/>
        </w:rPr>
        <w:t xml:space="preserve"> </w:t>
      </w:r>
    </w:p>
    <w:p w14:paraId="34923516" w14:textId="77777777" w:rsidR="00C45DFB" w:rsidRPr="00DE200D" w:rsidRDefault="00C45DFB" w:rsidP="00C45DFB">
      <w:pPr>
        <w:spacing w:line="276" w:lineRule="auto"/>
        <w:contextualSpacing/>
        <w:rPr>
          <w:rFonts w:eastAsia="Calibri"/>
          <w:b/>
          <w:bCs/>
          <w:color w:val="0070C0"/>
        </w:rPr>
      </w:pPr>
      <w:r>
        <w:rPr>
          <w:b/>
          <w:noProof/>
          <w:color w:val="0070C0"/>
        </w:rPr>
        <mc:AlternateContent>
          <mc:Choice Requires="wps">
            <w:drawing>
              <wp:anchor distT="0" distB="0" distL="114300" distR="114300" simplePos="0" relativeHeight="251658241" behindDoc="1" locked="0" layoutInCell="1" allowOverlap="1" wp14:anchorId="29FE0F13" wp14:editId="137D49CE">
                <wp:simplePos x="0" y="0"/>
                <wp:positionH relativeFrom="column">
                  <wp:posOffset>-892409</wp:posOffset>
                </wp:positionH>
                <wp:positionV relativeFrom="paragraph">
                  <wp:posOffset>186289</wp:posOffset>
                </wp:positionV>
                <wp:extent cx="6853555" cy="3064042"/>
                <wp:effectExtent l="0" t="0" r="4445" b="3175"/>
                <wp:wrapNone/>
                <wp:docPr id="367953893" name="Rectangle 32"/>
                <wp:cNvGraphicFramePr/>
                <a:graphic xmlns:a="http://schemas.openxmlformats.org/drawingml/2006/main">
                  <a:graphicData uri="http://schemas.microsoft.com/office/word/2010/wordprocessingShape">
                    <wps:wsp>
                      <wps:cNvSpPr/>
                      <wps:spPr>
                        <a:xfrm>
                          <a:off x="0" y="0"/>
                          <a:ext cx="6853555" cy="3064042"/>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D9E50" id="Rectangle 32" o:spid="_x0000_s1026" style="position:absolute;margin-left:-70.25pt;margin-top:14.65pt;width:539.65pt;height:24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" fillcolor="#f2f2f2 [3052]" stroked="f" strokeweight="1pt"/>
            </w:pict>
          </mc:Fallback>
        </mc:AlternateContent>
      </w:r>
    </w:p>
    <w:p w14:paraId="680B4F9A" w14:textId="77777777" w:rsidR="00C45DFB" w:rsidRPr="00DE200D" w:rsidRDefault="00C45DFB" w:rsidP="00C45DFB">
      <w:pPr>
        <w:spacing w:line="276" w:lineRule="auto"/>
        <w:contextualSpacing/>
        <w:rPr>
          <w:rFonts w:eastAsia="Calibri"/>
          <w:b/>
          <w:bCs/>
          <w:color w:val="0070C0"/>
          <w:lang w:eastAsia="nb-NO"/>
        </w:rPr>
      </w:pPr>
    </w:p>
    <w:p w14:paraId="14F9B325" w14:textId="0CCDCC79" w:rsidR="00C45DFB" w:rsidRPr="00DE200D" w:rsidRDefault="00C45DFB" w:rsidP="00C45DFB">
      <w:pPr>
        <w:spacing w:line="276" w:lineRule="auto"/>
        <w:contextualSpacing/>
        <w:rPr>
          <w:rFonts w:eastAsia="Calibri"/>
          <w:color w:val="0070C0"/>
        </w:rPr>
      </w:pPr>
      <w:r>
        <w:rPr>
          <w:b/>
          <w:color w:val="0070C0"/>
        </w:rPr>
        <w:t>Pasos adicionales que debería seguir la Entidad si el GMP adoptó un enfoque basado en</w:t>
      </w:r>
      <w:r w:rsidR="007961F6">
        <w:rPr>
          <w:b/>
          <w:color w:val="0070C0"/>
        </w:rPr>
        <w:t xml:space="preserve"> los</w:t>
      </w:r>
      <w:r>
        <w:rPr>
          <w:b/>
          <w:color w:val="0070C0"/>
        </w:rPr>
        <w:t xml:space="preserve"> riesgos </w:t>
      </w:r>
    </w:p>
    <w:p w14:paraId="4A5A5102" w14:textId="7965CF75" w:rsidR="00C45DFB" w:rsidRPr="00DE200D" w:rsidRDefault="00C45DFB" w:rsidP="00DE200D">
      <w:pPr>
        <w:pStyle w:val="ListParagraph0"/>
        <w:widowControl/>
        <w:numPr>
          <w:ilvl w:val="1"/>
          <w:numId w:val="19"/>
        </w:numPr>
        <w:tabs>
          <w:tab w:val="left" w:pos="709"/>
        </w:tabs>
        <w:suppressAutoHyphens w:val="0"/>
        <w:spacing w:before="240" w:after="240" w:line="276" w:lineRule="auto"/>
        <w:ind w:left="709" w:hanging="709"/>
        <w:rPr>
          <w:rFonts w:eastAsia="Calibri"/>
          <w:color w:val="0070C0"/>
        </w:rPr>
      </w:pPr>
      <w:r>
        <w:rPr>
          <w:b/>
          <w:color w:val="0070C0"/>
        </w:rPr>
        <w:t>Evaluación de riesgos:</w:t>
      </w:r>
      <w:r>
        <w:rPr>
          <w:color w:val="0070C0"/>
        </w:rPr>
        <w:t xml:space="preserve"> </w:t>
      </w:r>
      <w:r w:rsidR="007961F6">
        <w:rPr>
          <w:color w:val="0070C0"/>
        </w:rPr>
        <w:t>e</w:t>
      </w:r>
      <w:r>
        <w:rPr>
          <w:color w:val="0070C0"/>
        </w:rPr>
        <w:t xml:space="preserve">valuar el nivel de riesgo </w:t>
      </w:r>
      <w:r w:rsidR="00EB24EF">
        <w:rPr>
          <w:color w:val="0070C0"/>
        </w:rPr>
        <w:t>de la ocurrencia de</w:t>
      </w:r>
      <w:r>
        <w:rPr>
          <w:color w:val="0070C0"/>
        </w:rPr>
        <w:t xml:space="preserve"> inexactitudes materiales en la divulgación de los diferentes flujos de pagos/entidades informantes.</w:t>
      </w:r>
      <w:r>
        <w:rPr>
          <w:color w:val="0070C0"/>
        </w:rPr>
        <w:br/>
      </w:r>
    </w:p>
    <w:p w14:paraId="05E286E8" w14:textId="5DFF9B60" w:rsidR="00C45DFB" w:rsidRPr="00DE200D" w:rsidRDefault="00C45DFB" w:rsidP="00DE200D">
      <w:pPr>
        <w:pStyle w:val="ListParagraph0"/>
        <w:widowControl/>
        <w:numPr>
          <w:ilvl w:val="1"/>
          <w:numId w:val="19"/>
        </w:numPr>
        <w:tabs>
          <w:tab w:val="left" w:pos="709"/>
        </w:tabs>
        <w:suppressAutoHyphens w:val="0"/>
        <w:spacing w:before="240" w:after="240" w:line="276" w:lineRule="auto"/>
        <w:ind w:left="709" w:hanging="709"/>
        <w:rPr>
          <w:rFonts w:eastAsia="Calibri"/>
          <w:color w:val="0070C0"/>
        </w:rPr>
      </w:pPr>
      <w:r>
        <w:rPr>
          <w:b/>
          <w:color w:val="0070C0"/>
        </w:rPr>
        <w:t>Desarrollo de una estrategia para la calidad de los datos:</w:t>
      </w:r>
      <w:r>
        <w:rPr>
          <w:color w:val="0070C0"/>
        </w:rPr>
        <w:t xml:space="preserve"> </w:t>
      </w:r>
      <w:r w:rsidR="007961F6">
        <w:rPr>
          <w:color w:val="0070C0"/>
        </w:rPr>
        <w:t>e</w:t>
      </w:r>
      <w:r>
        <w:rPr>
          <w:color w:val="0070C0"/>
        </w:rPr>
        <w:t>n función del nivel de riesgo, desarrollar una estrategia para verificar los datos por flujo de pagos, empresa extractiva y/u organismo gubernamental (véase la tabla de estrategia de verificación incluida como ejemplo en el Anexo B).</w:t>
      </w:r>
    </w:p>
    <w:p w14:paraId="5E5E2934" w14:textId="23288E9C" w:rsidR="00C45DFB" w:rsidRPr="00DE200D" w:rsidRDefault="00C45DFB" w:rsidP="00DE200D">
      <w:pPr>
        <w:widowControl/>
        <w:tabs>
          <w:tab w:val="left" w:pos="709"/>
        </w:tabs>
        <w:suppressAutoHyphens w:val="0"/>
        <w:spacing w:before="240" w:after="240" w:line="276" w:lineRule="auto"/>
        <w:rPr>
          <w:rFonts w:eastAsia="Calibri"/>
        </w:rPr>
      </w:pPr>
      <w:r>
        <w:rPr>
          <w:color w:val="0070C0"/>
        </w:rPr>
        <w:t>La evaluación de riesgo</w:t>
      </w:r>
      <w:r w:rsidR="00E02728">
        <w:rPr>
          <w:color w:val="0070C0"/>
        </w:rPr>
        <w:t>s</w:t>
      </w:r>
      <w:r>
        <w:rPr>
          <w:color w:val="0070C0"/>
        </w:rPr>
        <w:t xml:space="preserve"> debería llevarse a cabo durante el primer año de implementación del enfoque basado en riesgos. Sin embargo, el GMP puede decidir que la evaluación inicial de riesgo abarque los informes pertenecientes a un intervalo más extenso (p. ej. cada tres años). Durante los años intermedios, la evaluación de riesgos podría simplemente actualizarse en función de los cambios que surjan en el desarrollo del sector extractivo.</w:t>
      </w:r>
    </w:p>
    <w:p w14:paraId="5D5F8F33" w14:textId="77777777" w:rsidR="00C45DFB" w:rsidRPr="00DE200D" w:rsidRDefault="00C45DFB" w:rsidP="00C45DFB">
      <w:pPr>
        <w:pStyle w:val="Heading2"/>
      </w:pPr>
      <w:bookmarkStart w:id="11" w:name="_Toc180650425"/>
      <w:r>
        <w:t>Fase 2: Recopilación de datos y análisis inicial</w:t>
      </w:r>
      <w:bookmarkEnd w:id="11"/>
    </w:p>
    <w:p w14:paraId="3605732A" w14:textId="51D4BE54" w:rsidR="00C45DFB" w:rsidRPr="00DE200D" w:rsidRDefault="00C45DFB" w:rsidP="00C45DFB">
      <w:pPr>
        <w:shd w:val="clear" w:color="auto" w:fill="FFFFFF"/>
        <w:tabs>
          <w:tab w:val="left" w:pos="709"/>
        </w:tabs>
        <w:spacing w:after="240" w:line="276" w:lineRule="auto"/>
        <w:rPr>
          <w:rFonts w:eastAsia="Calibri"/>
        </w:rPr>
      </w:pPr>
      <w:r>
        <w:rPr>
          <w:b/>
        </w:rPr>
        <w:t>Objetivo:</w:t>
      </w:r>
      <w:r>
        <w:t xml:space="preserve"> El propósito de esta fase es analizar la exhaustividad de las divulgaciones del EITI. La información exigida por el Estándar EITI puede que no siempre esté en un formato lo suficientemente desglosado, y la recopilación de datos podría revelar brechas en la exhaustividad tanto de los datos relativos a ingresos como de los no </w:t>
      </w:r>
      <w:r w:rsidR="00EB24EF">
        <w:t xml:space="preserve">vinculados </w:t>
      </w:r>
      <w:r>
        <w:t xml:space="preserve">a ingresos. </w:t>
      </w:r>
    </w:p>
    <w:p w14:paraId="0A1FF1B8" w14:textId="77777777" w:rsidR="00C45DFB" w:rsidRPr="00DE200D" w:rsidRDefault="00C45DFB" w:rsidP="00C45DFB">
      <w:pPr>
        <w:shd w:val="clear" w:color="auto" w:fill="FFFFFF"/>
        <w:tabs>
          <w:tab w:val="left" w:pos="709"/>
        </w:tabs>
        <w:spacing w:line="276" w:lineRule="auto"/>
        <w:rPr>
          <w:rFonts w:eastAsia="Calibri"/>
        </w:rPr>
      </w:pPr>
      <w:r>
        <w:t xml:space="preserve">En esta fase, la Entidad recopila los datos de acuerdo con el alcance aprobado por el GMP. El GMP y el secretariado nacional deberían asegurarse de que la Entidad tenga los datos de contacto de las entidades informantes, así como ayudar a garantizar que estas participen plenamente. </w:t>
      </w:r>
    </w:p>
    <w:p w14:paraId="0688E30F" w14:textId="77777777" w:rsidR="00C45DFB" w:rsidRPr="00DE200D" w:rsidDel="00DE2DB5" w:rsidRDefault="00C45DFB" w:rsidP="00C45DFB">
      <w:pPr>
        <w:shd w:val="clear" w:color="auto" w:fill="FFFFFF"/>
        <w:tabs>
          <w:tab w:val="left" w:pos="709"/>
        </w:tabs>
        <w:spacing w:line="276" w:lineRule="auto"/>
        <w:rPr>
          <w:rFonts w:eastAsia="Calibri"/>
          <w:b/>
          <w:bCs/>
        </w:rPr>
      </w:pPr>
      <w:r>
        <w:rPr>
          <w:b/>
        </w:rPr>
        <w:t>Se espera que la Entidad haga lo siguiente:</w:t>
      </w:r>
    </w:p>
    <w:p w14:paraId="4C7B674D" w14:textId="69967BE6" w:rsidR="00C45DFB" w:rsidRPr="00DE200D" w:rsidRDefault="00C45DFB" w:rsidP="00C45DFB">
      <w:pPr>
        <w:pStyle w:val="ListParagraph0"/>
        <w:widowControl/>
        <w:numPr>
          <w:ilvl w:val="1"/>
          <w:numId w:val="20"/>
        </w:numPr>
        <w:shd w:val="clear" w:color="auto" w:fill="FFFFFF"/>
        <w:suppressAutoHyphens w:val="0"/>
        <w:spacing w:before="240" w:after="240" w:line="276" w:lineRule="auto"/>
        <w:ind w:left="709" w:hanging="709"/>
        <w:rPr>
          <w:rFonts w:eastAsia="Calibri"/>
          <w:color w:val="0070C0"/>
        </w:rPr>
      </w:pPr>
      <w:r>
        <w:rPr>
          <w:b/>
          <w:color w:val="0070C0"/>
        </w:rPr>
        <w:lastRenderedPageBreak/>
        <w:t>Recopilar las divulgaciones ya existentes:</w:t>
      </w:r>
      <w:r>
        <w:rPr>
          <w:color w:val="0070C0"/>
        </w:rPr>
        <w:t xml:space="preserve"> </w:t>
      </w:r>
      <w:r w:rsidR="007327CD">
        <w:rPr>
          <w:color w:val="0070C0"/>
        </w:rPr>
        <w:t>i</w:t>
      </w:r>
      <w:r>
        <w:rPr>
          <w:color w:val="0070C0"/>
        </w:rPr>
        <w:t>dentificar y compilar las divulgaciones ya existentes de las entidades gubernamentales y corporativas informantes (incluidas sus divulgaciones sistemáticas), a fin de evitar incluir información repetida en l</w:t>
      </w:r>
      <w:r w:rsidR="008A6CCB">
        <w:rPr>
          <w:color w:val="0070C0"/>
        </w:rPr>
        <w:t xml:space="preserve">a divulgación de </w:t>
      </w:r>
      <w:proofErr w:type="spellStart"/>
      <w:r w:rsidR="008A6CCB">
        <w:rPr>
          <w:color w:val="0070C0"/>
        </w:rPr>
        <w:t>información</w:t>
      </w:r>
      <w:r>
        <w:rPr>
          <w:color w:val="0070C0"/>
        </w:rPr>
        <w:t>EITI</w:t>
      </w:r>
      <w:proofErr w:type="spellEnd"/>
      <w:r>
        <w:rPr>
          <w:color w:val="0070C0"/>
        </w:rPr>
        <w:t xml:space="preserve"> siempre que sea posible.</w:t>
      </w:r>
      <w:r>
        <w:rPr>
          <w:color w:val="0070C0"/>
        </w:rPr>
        <w:br/>
      </w:r>
    </w:p>
    <w:p w14:paraId="3536DF4C" w14:textId="4798453B" w:rsidR="00C45DFB" w:rsidRPr="00DE200D" w:rsidRDefault="00C45DFB" w:rsidP="00C45DFB">
      <w:pPr>
        <w:pStyle w:val="ListParagraph0"/>
        <w:widowControl/>
        <w:numPr>
          <w:ilvl w:val="1"/>
          <w:numId w:val="20"/>
        </w:numPr>
        <w:shd w:val="clear" w:color="auto" w:fill="FFFFFF"/>
        <w:tabs>
          <w:tab w:val="left" w:pos="709"/>
        </w:tabs>
        <w:suppressAutoHyphens w:val="0"/>
        <w:spacing w:before="240" w:after="0" w:line="276" w:lineRule="auto"/>
        <w:ind w:left="709" w:hanging="709"/>
        <w:rPr>
          <w:rFonts w:eastAsia="Calibri"/>
          <w:color w:val="0070C0"/>
        </w:rPr>
      </w:pPr>
      <w:r>
        <w:rPr>
          <w:b/>
          <w:color w:val="0070C0"/>
        </w:rPr>
        <w:t xml:space="preserve">Elaborar plantillas de </w:t>
      </w:r>
      <w:r w:rsidR="008A6CCB">
        <w:rPr>
          <w:b/>
          <w:color w:val="0070C0"/>
        </w:rPr>
        <w:t>reporte</w:t>
      </w:r>
      <w:r>
        <w:rPr>
          <w:b/>
          <w:color w:val="0070C0"/>
        </w:rPr>
        <w:t>:</w:t>
      </w:r>
      <w:r>
        <w:rPr>
          <w:color w:val="0070C0"/>
        </w:rPr>
        <w:t xml:space="preserve"> </w:t>
      </w:r>
      <w:r w:rsidR="007327CD">
        <w:rPr>
          <w:color w:val="0070C0"/>
        </w:rPr>
        <w:t>d</w:t>
      </w:r>
      <w:r>
        <w:rPr>
          <w:color w:val="0070C0"/>
        </w:rPr>
        <w:t xml:space="preserve">esarrollar plantillas de </w:t>
      </w:r>
      <w:r w:rsidR="008A6CCB">
        <w:rPr>
          <w:color w:val="0070C0"/>
        </w:rPr>
        <w:t xml:space="preserve">reporte </w:t>
      </w:r>
      <w:r>
        <w:rPr>
          <w:color w:val="0070C0"/>
        </w:rPr>
        <w:t>con miras a someterlas a la consideración y aprobación del GMP.</w:t>
      </w:r>
    </w:p>
    <w:p w14:paraId="152136C9" w14:textId="77777777" w:rsidR="00C45DFB" w:rsidRPr="00DE200D" w:rsidRDefault="00C45DFB" w:rsidP="00C45DFB">
      <w:pPr>
        <w:widowControl/>
        <w:shd w:val="clear" w:color="auto" w:fill="FFFFFF"/>
        <w:tabs>
          <w:tab w:val="left" w:pos="709"/>
        </w:tabs>
        <w:suppressAutoHyphens w:val="0"/>
        <w:spacing w:before="0" w:after="0" w:line="240" w:lineRule="auto"/>
        <w:rPr>
          <w:rFonts w:eastAsia="Calibri"/>
          <w:color w:val="0070C0"/>
        </w:rPr>
      </w:pPr>
      <w:r>
        <w:rPr>
          <w:b/>
          <w:noProof/>
          <w:color w:val="D24228"/>
        </w:rPr>
        <w:drawing>
          <wp:anchor distT="0" distB="0" distL="114300" distR="114300" simplePos="0" relativeHeight="251658247" behindDoc="0" locked="0" layoutInCell="1" allowOverlap="1" wp14:anchorId="7BE1BDB4" wp14:editId="1E37ABD0">
            <wp:simplePos x="0" y="0"/>
            <wp:positionH relativeFrom="column">
              <wp:posOffset>42729</wp:posOffset>
            </wp:positionH>
            <wp:positionV relativeFrom="paragraph">
              <wp:posOffset>157937</wp:posOffset>
            </wp:positionV>
            <wp:extent cx="444382" cy="444382"/>
            <wp:effectExtent l="0" t="0" r="0" b="635"/>
            <wp:wrapSquare wrapText="bothSides"/>
            <wp:docPr id="528114787"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p>
    <w:p w14:paraId="363F7E22" w14:textId="4927CD4C" w:rsidR="00C45DFB" w:rsidRPr="00DE200D" w:rsidRDefault="00C45DFB" w:rsidP="00C45DFB">
      <w:pPr>
        <w:ind w:left="993"/>
        <w:rPr>
          <w:color w:val="D24228"/>
        </w:rPr>
      </w:pPr>
      <w:r>
        <w:rPr>
          <w:b/>
          <w:color w:val="D24228"/>
        </w:rPr>
        <w:t>Consejo:</w:t>
      </w:r>
      <w:r>
        <w:rPr>
          <w:color w:val="D24228"/>
        </w:rPr>
        <w:t xml:space="preserve"> El GMP podría estimar conveniente evaluar si el uso de plantillas para </w:t>
      </w:r>
      <w:r w:rsidR="008A6CCB">
        <w:rPr>
          <w:color w:val="D24228"/>
        </w:rPr>
        <w:t xml:space="preserve">reportar </w:t>
      </w:r>
      <w:r>
        <w:rPr>
          <w:color w:val="D24228"/>
        </w:rPr>
        <w:t xml:space="preserve">los datos no </w:t>
      </w:r>
      <w:r w:rsidR="008A6CCB">
        <w:rPr>
          <w:color w:val="D24228"/>
        </w:rPr>
        <w:t xml:space="preserve">vinculados </w:t>
      </w:r>
      <w:r>
        <w:rPr>
          <w:color w:val="D24228"/>
        </w:rPr>
        <w:t>a ingresos mejoraría la claridad y la consistencia de las divulgaciones.</w:t>
      </w:r>
    </w:p>
    <w:p w14:paraId="3CD6B246" w14:textId="77777777" w:rsidR="00C45DFB" w:rsidRPr="00DE200D" w:rsidRDefault="00C45DFB" w:rsidP="00C45DFB">
      <w:pPr>
        <w:pStyle w:val="ListParagraph0"/>
        <w:ind w:left="567"/>
        <w:rPr>
          <w:color w:val="4472C4" w:themeColor="accent1"/>
        </w:rPr>
      </w:pPr>
    </w:p>
    <w:p w14:paraId="1381EBB1" w14:textId="16FBB255" w:rsidR="00C45DFB" w:rsidRPr="00DE200D" w:rsidRDefault="00C45DFB" w:rsidP="00C45DFB">
      <w:pPr>
        <w:pStyle w:val="ListParagraph0"/>
        <w:widowControl/>
        <w:numPr>
          <w:ilvl w:val="1"/>
          <w:numId w:val="20"/>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Realizar sesiones de capacitación:</w:t>
      </w:r>
      <w:r>
        <w:rPr>
          <w:color w:val="0070C0"/>
        </w:rPr>
        <w:t xml:space="preserve"> </w:t>
      </w:r>
      <w:r w:rsidR="007327CD">
        <w:rPr>
          <w:color w:val="0070C0"/>
        </w:rPr>
        <w:t>f</w:t>
      </w:r>
      <w:r>
        <w:rPr>
          <w:color w:val="0070C0"/>
        </w:rPr>
        <w:t xml:space="preserve">acilitar sesiones de capacitación sobre el uso de las plantillas de </w:t>
      </w:r>
      <w:r w:rsidR="008A6CCB">
        <w:rPr>
          <w:color w:val="0070C0"/>
        </w:rPr>
        <w:t xml:space="preserve">reporte </w:t>
      </w:r>
      <w:r>
        <w:rPr>
          <w:color w:val="0070C0"/>
        </w:rPr>
        <w:t>para las entidades informantes, asegurándose, así, de que estén familiarizadas con el proceso.</w:t>
      </w:r>
      <w:r>
        <w:rPr>
          <w:color w:val="0070C0"/>
        </w:rPr>
        <w:br/>
      </w:r>
    </w:p>
    <w:p w14:paraId="7A3BAAFB" w14:textId="7F0568B1" w:rsidR="00C45DFB" w:rsidRPr="00DE200D" w:rsidRDefault="00C45DFB" w:rsidP="00C45DFB">
      <w:pPr>
        <w:pStyle w:val="ListParagraph0"/>
        <w:widowControl/>
        <w:numPr>
          <w:ilvl w:val="1"/>
          <w:numId w:val="20"/>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 xml:space="preserve">Recopilar los formularios </w:t>
      </w:r>
      <w:r w:rsidR="008A6CCB">
        <w:rPr>
          <w:b/>
          <w:color w:val="0070C0"/>
        </w:rPr>
        <w:t xml:space="preserve">completos </w:t>
      </w:r>
      <w:r>
        <w:rPr>
          <w:b/>
          <w:color w:val="0070C0"/>
        </w:rPr>
        <w:t>y la documentación de respaldo:</w:t>
      </w:r>
      <w:r>
        <w:rPr>
          <w:color w:val="0070C0"/>
        </w:rPr>
        <w:t xml:space="preserve"> </w:t>
      </w:r>
      <w:r w:rsidR="007327CD">
        <w:rPr>
          <w:color w:val="0070C0"/>
        </w:rPr>
        <w:t>r</w:t>
      </w:r>
      <w:r>
        <w:rPr>
          <w:color w:val="0070C0"/>
        </w:rPr>
        <w:t xml:space="preserve">ecabar los formularios de información </w:t>
      </w:r>
      <w:r w:rsidR="008A6CCB">
        <w:rPr>
          <w:color w:val="0070C0"/>
        </w:rPr>
        <w:t xml:space="preserve">completos </w:t>
      </w:r>
      <w:r>
        <w:rPr>
          <w:color w:val="0070C0"/>
        </w:rPr>
        <w:t xml:space="preserve">y la documentación asociada de las entidades informantes participantes, junto con </w:t>
      </w:r>
      <w:r w:rsidR="008A6CCB">
        <w:rPr>
          <w:color w:val="0070C0"/>
        </w:rPr>
        <w:t xml:space="preserve">cualquier </w:t>
      </w:r>
      <w:r>
        <w:rPr>
          <w:color w:val="0070C0"/>
        </w:rPr>
        <w:t>otra información convenida por el GMP.</w:t>
      </w:r>
      <w:r>
        <w:rPr>
          <w:color w:val="0070C0"/>
        </w:rPr>
        <w:br/>
      </w:r>
    </w:p>
    <w:p w14:paraId="5E1B5C8A" w14:textId="6AEF00FB" w:rsidR="00C45DFB" w:rsidRPr="00DE200D" w:rsidRDefault="00C45DFB" w:rsidP="00C45DFB">
      <w:pPr>
        <w:pStyle w:val="ListParagraph0"/>
        <w:widowControl/>
        <w:numPr>
          <w:ilvl w:val="1"/>
          <w:numId w:val="20"/>
        </w:numPr>
        <w:shd w:val="clear" w:color="auto" w:fill="FFFFFF"/>
        <w:suppressAutoHyphens w:val="0"/>
        <w:spacing w:before="240" w:after="240" w:line="276" w:lineRule="auto"/>
        <w:ind w:left="709" w:hanging="709"/>
        <w:rPr>
          <w:rFonts w:eastAsia="Calibri"/>
          <w:color w:val="0070C0"/>
        </w:rPr>
      </w:pPr>
      <w:r>
        <w:rPr>
          <w:b/>
          <w:color w:val="0070C0"/>
        </w:rPr>
        <w:t>Identificar las brechas iniciales:</w:t>
      </w:r>
      <w:r>
        <w:rPr>
          <w:color w:val="0070C0"/>
        </w:rPr>
        <w:t xml:space="preserve"> </w:t>
      </w:r>
      <w:r w:rsidR="007327CD">
        <w:rPr>
          <w:color w:val="0070C0"/>
        </w:rPr>
        <w:t>i</w:t>
      </w:r>
      <w:r>
        <w:rPr>
          <w:color w:val="0070C0"/>
        </w:rPr>
        <w:t xml:space="preserve">nvestigar las potenciales brechas o cuestiones que podrían obstaculizar la realización de divulgaciones </w:t>
      </w:r>
      <w:r w:rsidR="008A6CCB">
        <w:rPr>
          <w:color w:val="0070C0"/>
        </w:rPr>
        <w:t xml:space="preserve">exhaustivas </w:t>
      </w:r>
      <w:r>
        <w:rPr>
          <w:color w:val="0070C0"/>
        </w:rPr>
        <w:t>de</w:t>
      </w:r>
      <w:r w:rsidR="008A6CCB">
        <w:rPr>
          <w:color w:val="0070C0"/>
        </w:rPr>
        <w:t xml:space="preserve"> información</w:t>
      </w:r>
      <w:r>
        <w:rPr>
          <w:color w:val="0070C0"/>
        </w:rPr>
        <w:t xml:space="preserve"> EITI, ofreciendo posibles soluciones y recomendaciones para la implementación de una metodología </w:t>
      </w:r>
      <w:r w:rsidR="008A6CCB">
        <w:rPr>
          <w:color w:val="0070C0"/>
        </w:rPr>
        <w:t xml:space="preserve">de divulgación </w:t>
      </w:r>
      <w:r>
        <w:rPr>
          <w:color w:val="0070C0"/>
        </w:rPr>
        <w:t>apropiada.</w:t>
      </w:r>
      <w:r>
        <w:rPr>
          <w:color w:val="0070C0"/>
        </w:rPr>
        <w:br/>
        <w:t xml:space="preserve"> </w:t>
      </w:r>
    </w:p>
    <w:p w14:paraId="5AB9EFA0" w14:textId="6E057B11" w:rsidR="00C45DFB" w:rsidRPr="00DE200D" w:rsidRDefault="00C45DFB" w:rsidP="00C45DFB">
      <w:pPr>
        <w:pStyle w:val="ListParagraph0"/>
        <w:widowControl/>
        <w:numPr>
          <w:ilvl w:val="1"/>
          <w:numId w:val="20"/>
        </w:numPr>
        <w:shd w:val="clear" w:color="auto" w:fill="FFFFFF"/>
        <w:suppressAutoHyphens w:val="0"/>
        <w:spacing w:before="240" w:after="240" w:line="276" w:lineRule="auto"/>
        <w:ind w:left="709" w:hanging="709"/>
        <w:rPr>
          <w:rFonts w:eastAsia="Calibri"/>
          <w:color w:val="0070C0"/>
        </w:rPr>
      </w:pPr>
      <w:r>
        <w:rPr>
          <w:b/>
          <w:color w:val="0070C0"/>
        </w:rPr>
        <w:t>Analizar la exhaustividad de los datos:</w:t>
      </w:r>
      <w:r>
        <w:rPr>
          <w:color w:val="0070C0"/>
        </w:rPr>
        <w:t xml:space="preserve"> </w:t>
      </w:r>
      <w:r w:rsidR="007327CD">
        <w:rPr>
          <w:color w:val="0070C0"/>
        </w:rPr>
        <w:t>e</w:t>
      </w:r>
      <w:r>
        <w:rPr>
          <w:color w:val="0070C0"/>
        </w:rPr>
        <w:t xml:space="preserve">xaminar la exhaustividad de los datos recopilados a fin de asegurarse de que abarquen todos los requisitos de divulgación del Estándar EITI con suficiente detalle. Esto podría incluir también las brechas </w:t>
      </w:r>
      <w:r w:rsidR="008A6CCB">
        <w:rPr>
          <w:color w:val="0070C0"/>
        </w:rPr>
        <w:t xml:space="preserve">de divulgación </w:t>
      </w:r>
      <w:r>
        <w:rPr>
          <w:color w:val="0070C0"/>
        </w:rPr>
        <w:t xml:space="preserve">identificadas durante la Validación.  </w:t>
      </w:r>
      <w:r>
        <w:rPr>
          <w:color w:val="0070C0"/>
        </w:rPr>
        <w:br/>
      </w:r>
    </w:p>
    <w:p w14:paraId="2A2AB0A2" w14:textId="6F55A4A0" w:rsidR="00C45DFB" w:rsidRPr="00DE200D" w:rsidRDefault="00C45DFB" w:rsidP="00C45DFB">
      <w:pPr>
        <w:pStyle w:val="ListParagraph0"/>
        <w:widowControl/>
        <w:numPr>
          <w:ilvl w:val="1"/>
          <w:numId w:val="20"/>
        </w:numPr>
        <w:suppressAutoHyphens w:val="0"/>
        <w:spacing w:before="240" w:after="240" w:line="276" w:lineRule="auto"/>
        <w:ind w:left="709" w:hanging="709"/>
        <w:rPr>
          <w:rFonts w:eastAsia="Calibri"/>
          <w:color w:val="0070C0"/>
          <w14:textOutline w14:w="9525" w14:cap="rnd" w14:cmpd="sng" w14:algn="ctr">
            <w14:noFill/>
            <w14:prstDash w14:val="solid"/>
            <w14:bevel/>
          </w14:textOutline>
        </w:rPr>
      </w:pPr>
      <w:r>
        <w:rPr>
          <w:b/>
          <w:color w:val="0070C0"/>
        </w:rPr>
        <w:t xml:space="preserve">Esclarecer las brechas </w:t>
      </w:r>
      <w:r w:rsidR="008A6CCB">
        <w:rPr>
          <w:b/>
          <w:color w:val="0070C0"/>
        </w:rPr>
        <w:t>de información</w:t>
      </w:r>
      <w:r>
        <w:rPr>
          <w:b/>
          <w:color w:val="0070C0"/>
        </w:rPr>
        <w:t>:</w:t>
      </w:r>
      <w:r>
        <w:rPr>
          <w:color w:val="0070C0"/>
        </w:rPr>
        <w:t xml:space="preserve"> </w:t>
      </w:r>
      <w:r w:rsidR="007327CD">
        <w:rPr>
          <w:color w:val="0070C0"/>
        </w:rPr>
        <w:t>c</w:t>
      </w:r>
      <w:r>
        <w:rPr>
          <w:color w:val="0070C0"/>
        </w:rPr>
        <w:t xml:space="preserve">uando sea necesario, comunicarse con las entidades informantes de forma directa a fin de esclarecer toda discrepancia o brecha </w:t>
      </w:r>
      <w:r w:rsidR="008A6CCB">
        <w:rPr>
          <w:color w:val="0070C0"/>
        </w:rPr>
        <w:t xml:space="preserve">de información </w:t>
      </w:r>
      <w:r>
        <w:rPr>
          <w:color w:val="0070C0"/>
        </w:rPr>
        <w:t>inicial en los datos recopilados.</w:t>
      </w:r>
    </w:p>
    <w:p w14:paraId="42C6F2B8" w14:textId="77777777" w:rsidR="00C45DFB" w:rsidRPr="00DE200D" w:rsidRDefault="00C45DFB" w:rsidP="00C45DFB">
      <w:pPr>
        <w:pStyle w:val="ListParagraph0"/>
        <w:widowControl/>
        <w:suppressAutoHyphens w:val="0"/>
        <w:spacing w:before="240" w:after="240" w:line="276" w:lineRule="auto"/>
        <w:ind w:left="709"/>
        <w:rPr>
          <w:rFonts w:eastAsia="Calibri"/>
          <w:color w:val="0070C0"/>
          <w:lang w:eastAsia="nb-NO"/>
          <w14:textOutline w14:w="9525" w14:cap="rnd" w14:cmpd="sng" w14:algn="ctr">
            <w14:noFill/>
            <w14:prstDash w14:val="solid"/>
            <w14:bevel/>
          </w14:textOutline>
        </w:rPr>
      </w:pPr>
    </w:p>
    <w:p w14:paraId="655A5BB3" w14:textId="7AAC27EB" w:rsidR="00C45DFB" w:rsidRPr="00DE200D" w:rsidRDefault="00C45DFB" w:rsidP="00C45DFB">
      <w:pPr>
        <w:pStyle w:val="ListParagraph0"/>
        <w:widowControl/>
        <w:numPr>
          <w:ilvl w:val="1"/>
          <w:numId w:val="20"/>
        </w:numPr>
        <w:suppressAutoHyphens w:val="0"/>
        <w:spacing w:before="240" w:after="240" w:line="276" w:lineRule="auto"/>
        <w:ind w:left="709" w:hanging="709"/>
        <w:rPr>
          <w:rFonts w:eastAsia="Calibri"/>
          <w:color w:val="0070C0"/>
          <w14:textOutline w14:w="9525" w14:cap="rnd" w14:cmpd="sng" w14:algn="ctr">
            <w14:noFill/>
            <w14:prstDash w14:val="solid"/>
            <w14:bevel/>
          </w14:textOutline>
        </w:rPr>
      </w:pPr>
      <w:r>
        <w:rPr>
          <w:b/>
          <w:color w:val="0070C0"/>
          <w14:textOutline w14:w="9525" w14:cap="rnd" w14:cmpd="sng" w14:algn="ctr">
            <w14:noFill/>
            <w14:prstDash w14:val="solid"/>
            <w14:bevel/>
          </w14:textOutline>
        </w:rPr>
        <w:t xml:space="preserve">Asegurar la integridad de los enfoques alternativos: </w:t>
      </w:r>
      <w:r w:rsidR="007327CD">
        <w:rPr>
          <w:color w:val="0070C0"/>
          <w14:textOutline w14:w="9525" w14:cap="rnd" w14:cmpd="sng" w14:algn="ctr">
            <w14:noFill/>
            <w14:prstDash w14:val="solid"/>
            <w14:bevel/>
          </w14:textOutline>
        </w:rPr>
        <w:t>s</w:t>
      </w:r>
      <w:r>
        <w:rPr>
          <w:color w:val="0070C0"/>
          <w14:textOutline w14:w="9525" w14:cap="rnd" w14:cmpd="sng" w14:algn="ctr">
            <w14:noFill/>
            <w14:prstDash w14:val="solid"/>
            <w14:bevel/>
          </w14:textOutline>
        </w:rPr>
        <w:t>i el GMP optó por un enfoque alternativo (p. ej. si el secretariado nacional del EITI ayuda en la recopilación de datos, o si los datos se recopilan mediante un mecanismo de divulgación ya existente), la Entidad debería implementar consultas y/u otros mecanismos para garantizar la integridad de la información transmitida.</w:t>
      </w:r>
      <w:r>
        <w:rPr>
          <w:color w:val="0070C0"/>
        </w:rPr>
        <w:br/>
      </w:r>
    </w:p>
    <w:p w14:paraId="567CE095" w14:textId="39845576" w:rsidR="00C45DFB" w:rsidRPr="00DE200D" w:rsidRDefault="008A6CCB" w:rsidP="00C45DFB">
      <w:pPr>
        <w:widowControl/>
        <w:suppressAutoHyphens w:val="0"/>
        <w:spacing w:before="240" w:after="240" w:line="276" w:lineRule="auto"/>
        <w:rPr>
          <w:rFonts w:eastAsia="Calibri"/>
          <w:color w:val="0070C0"/>
          <w14:textOutline w14:w="9525" w14:cap="rnd" w14:cmpd="sng" w14:algn="ctr">
            <w14:noFill/>
            <w14:prstDash w14:val="solid"/>
            <w14:bevel/>
          </w14:textOutline>
        </w:rPr>
      </w:pPr>
      <w:r>
        <w:rPr>
          <w:b/>
          <w:noProof/>
          <w:color w:val="0070C0"/>
        </w:rPr>
        <mc:AlternateContent>
          <mc:Choice Requires="wps">
            <w:drawing>
              <wp:anchor distT="0" distB="0" distL="114300" distR="114300" simplePos="0" relativeHeight="251658240" behindDoc="1" locked="0" layoutInCell="1" allowOverlap="1" wp14:anchorId="58C702FB" wp14:editId="3F834F01">
                <wp:simplePos x="0" y="0"/>
                <wp:positionH relativeFrom="column">
                  <wp:posOffset>-391472</wp:posOffset>
                </wp:positionH>
                <wp:positionV relativeFrom="paragraph">
                  <wp:posOffset>-623</wp:posOffset>
                </wp:positionV>
                <wp:extent cx="6682154" cy="1613140"/>
                <wp:effectExtent l="0" t="0" r="4445" b="6350"/>
                <wp:wrapNone/>
                <wp:docPr id="645599999" name="Rectangle 32"/>
                <wp:cNvGraphicFramePr/>
                <a:graphic xmlns:a="http://schemas.openxmlformats.org/drawingml/2006/main">
                  <a:graphicData uri="http://schemas.microsoft.com/office/word/2010/wordprocessingShape">
                    <wps:wsp>
                      <wps:cNvSpPr/>
                      <wps:spPr>
                        <a:xfrm>
                          <a:off x="0" y="0"/>
                          <a:ext cx="6682154" cy="161314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9D9D1" id="Rectangle 32" o:spid="_x0000_s1026" style="position:absolute;margin-left:-30.8pt;margin-top:-.05pt;width:526.15pt;height:1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" fillcolor="#f2f2f2 [3052]" stroked="f" strokeweight="1pt"/>
            </w:pict>
          </mc:Fallback>
        </mc:AlternateContent>
      </w:r>
      <w:r w:rsidR="00C45DFB">
        <w:rPr>
          <w:b/>
          <w:color w:val="0070C0"/>
          <w14:textOutline w14:w="9525" w14:cap="rnd" w14:cmpd="sng" w14:algn="ctr">
            <w14:noFill/>
            <w14:prstDash w14:val="solid"/>
            <w14:bevel/>
          </w14:textOutline>
        </w:rPr>
        <w:t>Pasos adicionales que debería seguir la Entidad si el GMP adoptó un enfoque basado en</w:t>
      </w:r>
      <w:r w:rsidR="00A42212">
        <w:rPr>
          <w:b/>
          <w:color w:val="0070C0"/>
          <w14:textOutline w14:w="9525" w14:cap="rnd" w14:cmpd="sng" w14:algn="ctr">
            <w14:noFill/>
            <w14:prstDash w14:val="solid"/>
            <w14:bevel/>
          </w14:textOutline>
        </w:rPr>
        <w:t xml:space="preserve"> los</w:t>
      </w:r>
      <w:r w:rsidR="00C45DFB">
        <w:rPr>
          <w:b/>
          <w:color w:val="0070C0"/>
          <w14:textOutline w14:w="9525" w14:cap="rnd" w14:cmpd="sng" w14:algn="ctr">
            <w14:noFill/>
            <w14:prstDash w14:val="solid"/>
            <w14:bevel/>
          </w14:textOutline>
        </w:rPr>
        <w:t xml:space="preserve"> riesgos </w:t>
      </w:r>
    </w:p>
    <w:p w14:paraId="0FC085F4" w14:textId="4399736E" w:rsidR="00C45DFB" w:rsidRPr="00DE200D" w:rsidRDefault="00C45DFB" w:rsidP="00DE200D">
      <w:pPr>
        <w:ind w:left="709" w:hanging="709"/>
        <w:rPr>
          <w:rFonts w:eastAsia="Calibri"/>
        </w:rPr>
      </w:pPr>
      <w:r>
        <w:rPr>
          <w:b/>
          <w:color w:val="0070C0"/>
        </w:rPr>
        <w:t>2.9</w:t>
      </w:r>
      <w:r>
        <w:rPr>
          <w:b/>
          <w:color w:val="0070C0"/>
          <w14:textOutline w14:w="9525" w14:cap="rnd" w14:cmpd="sng" w14:algn="ctr">
            <w14:noFill/>
            <w14:prstDash w14:val="solid"/>
            <w14:bevel/>
          </w14:textOutline>
        </w:rPr>
        <w:t xml:space="preserve"> </w:t>
      </w:r>
      <w:r>
        <w:rPr>
          <w:b/>
          <w:color w:val="0070C0"/>
          <w14:textOutline w14:w="9525" w14:cap="rnd" w14:cmpd="sng" w14:algn="ctr">
            <w14:noFill/>
            <w14:prstDash w14:val="solid"/>
            <w14:bevel/>
          </w14:textOutline>
        </w:rPr>
        <w:tab/>
        <w:t>Adaptar la recopilación de datos en función del riesgo:</w:t>
      </w:r>
      <w:r>
        <w:rPr>
          <w:color w:val="0070C0"/>
          <w14:textOutline w14:w="9525" w14:cap="rnd" w14:cmpd="sng" w14:algn="ctr">
            <w14:noFill/>
            <w14:prstDash w14:val="solid"/>
            <w14:bevel/>
          </w14:textOutline>
        </w:rPr>
        <w:t xml:space="preserve"> </w:t>
      </w:r>
      <w:r w:rsidR="007327CD">
        <w:rPr>
          <w:color w:val="0070C0"/>
          <w14:textOutline w14:w="9525" w14:cap="rnd" w14:cmpd="sng" w14:algn="ctr">
            <w14:noFill/>
            <w14:prstDash w14:val="solid"/>
            <w14:bevel/>
          </w14:textOutline>
        </w:rPr>
        <w:t>s</w:t>
      </w:r>
      <w:r>
        <w:rPr>
          <w:color w:val="0070C0"/>
          <w14:textOutline w14:w="9525" w14:cap="rnd" w14:cmpd="sng" w14:algn="ctr">
            <w14:noFill/>
            <w14:prstDash w14:val="solid"/>
            <w14:bevel/>
          </w14:textOutline>
        </w:rPr>
        <w:t>i el GMP optó por un enfoque basado en</w:t>
      </w:r>
      <w:r w:rsidR="00A42212">
        <w:rPr>
          <w:color w:val="0070C0"/>
          <w14:textOutline w14:w="9525" w14:cap="rnd" w14:cmpd="sng" w14:algn="ctr">
            <w14:noFill/>
            <w14:prstDash w14:val="solid"/>
            <w14:bevel/>
          </w14:textOutline>
        </w:rPr>
        <w:t xml:space="preserve"> los</w:t>
      </w:r>
      <w:r>
        <w:rPr>
          <w:color w:val="0070C0"/>
          <w14:textOutline w14:w="9525" w14:cap="rnd" w14:cmpd="sng" w14:algn="ctr">
            <w14:noFill/>
            <w14:prstDash w14:val="solid"/>
            <w14:bevel/>
          </w14:textOutline>
        </w:rPr>
        <w:t xml:space="preserve"> riesgos, el modo de recopilar los datos dependerá del nivel de riesgo identificado y la estrategia de verificación aprobada por el GMP. </w:t>
      </w:r>
      <w:r w:rsidR="008A6CCB">
        <w:rPr>
          <w:color w:val="0070C0"/>
          <w14:textOutline w14:w="9525" w14:cap="rnd" w14:cmpd="sng" w14:algn="ctr">
            <w14:noFill/>
            <w14:prstDash w14:val="solid"/>
            <w14:bevel/>
          </w14:textOutline>
        </w:rPr>
        <w:t xml:space="preserve">Debe haber </w:t>
      </w:r>
      <w:r w:rsidR="008A6CCB">
        <w:rPr>
          <w:color w:val="0070C0"/>
          <w14:textOutline w14:w="9525" w14:cap="rnd" w14:cmpd="sng" w14:algn="ctr">
            <w14:noFill/>
            <w14:prstDash w14:val="solid"/>
            <w14:bevel/>
          </w14:textOutline>
        </w:rPr>
        <w:lastRenderedPageBreak/>
        <w:t xml:space="preserve">comunicación </w:t>
      </w:r>
      <w:r>
        <w:rPr>
          <w:color w:val="0070C0"/>
          <w14:textOutline w14:w="9525" w14:cap="rnd" w14:cmpd="sng" w14:algn="ctr">
            <w14:noFill/>
            <w14:prstDash w14:val="solid"/>
            <w14:bevel/>
          </w14:textOutline>
        </w:rPr>
        <w:t>con las entidades informantes de manera directa a fin de esclarecer toda brecha o discrepancia en la información.</w:t>
      </w:r>
    </w:p>
    <w:p w14:paraId="67DFA29A" w14:textId="77777777" w:rsidR="00C45DFB" w:rsidRPr="00DE200D" w:rsidRDefault="00C45DFB" w:rsidP="00C45DFB">
      <w:pPr>
        <w:pStyle w:val="Heading2"/>
      </w:pPr>
      <w:bookmarkStart w:id="12" w:name="_Toc180650426"/>
      <w:r>
        <w:t>Fase 3: Garantía de la calidad de los datos</w:t>
      </w:r>
      <w:bookmarkEnd w:id="12"/>
      <w:r>
        <w:t xml:space="preserve"> </w:t>
      </w:r>
    </w:p>
    <w:p w14:paraId="096DDA4C" w14:textId="2EB7B35F" w:rsidR="00C45DFB" w:rsidRPr="00DE200D" w:rsidRDefault="00C45DFB" w:rsidP="00C45DFB">
      <w:pPr>
        <w:shd w:val="clear" w:color="auto" w:fill="FFFFFF"/>
        <w:tabs>
          <w:tab w:val="left" w:pos="709"/>
        </w:tabs>
        <w:spacing w:line="276" w:lineRule="auto"/>
        <w:rPr>
          <w:rFonts w:eastAsia="Calibri"/>
        </w:rPr>
      </w:pPr>
      <w:r>
        <w:rPr>
          <w:b/>
        </w:rPr>
        <w:t>Objetivo:</w:t>
      </w:r>
      <w:r>
        <w:t xml:space="preserve"> El objetivo de esta fase es asegurarse de que los datos divulgados estén sujetos a una auditoría independiente y creíble que aplique las normas de auditoría internacionales, conforme a lo señalado en el Requisito 4.9.b. El GMP puede elegir uno de los dos procedimientos estándar de garantía de la calidad de los datos (es decir, el cotejo o un enfoque basado en los riesgos). Toda desviación respecto de los procedimientos estándar debe contar con la aprobación del Consejo </w:t>
      </w:r>
      <w:r w:rsidR="008A6CCB">
        <w:t xml:space="preserve">Internacional del </w:t>
      </w:r>
      <w:r>
        <w:t>EITI.</w:t>
      </w:r>
    </w:p>
    <w:p w14:paraId="565C3BBF" w14:textId="77777777" w:rsidR="00C45DFB" w:rsidRPr="00DE200D" w:rsidRDefault="00C45DFB" w:rsidP="00C45DFB">
      <w:pPr>
        <w:shd w:val="clear" w:color="auto" w:fill="FFFFFF"/>
        <w:tabs>
          <w:tab w:val="left" w:pos="709"/>
        </w:tabs>
        <w:spacing w:line="276" w:lineRule="auto"/>
        <w:rPr>
          <w:rFonts w:eastAsia="Calibri"/>
          <w:lang w:eastAsia="nb-NO"/>
        </w:rPr>
      </w:pPr>
    </w:p>
    <w:p w14:paraId="2B6CF9B0" w14:textId="77777777" w:rsidR="00C45DFB" w:rsidRPr="00DE200D" w:rsidRDefault="00C45DFB" w:rsidP="00C45DFB">
      <w:pPr>
        <w:shd w:val="clear" w:color="auto" w:fill="FFFFFF"/>
        <w:tabs>
          <w:tab w:val="left" w:pos="709"/>
        </w:tabs>
        <w:spacing w:line="276" w:lineRule="auto"/>
        <w:rPr>
          <w:rFonts w:eastAsia="Calibri"/>
        </w:rPr>
      </w:pPr>
      <w:r>
        <w:rPr>
          <w:b/>
        </w:rPr>
        <w:t>Figura 2:</w:t>
      </w:r>
      <w:r>
        <w:t xml:space="preserve"> </w:t>
      </w:r>
      <w:r>
        <w:rPr>
          <w:b/>
        </w:rPr>
        <w:t>Resumen de los procedimientos estándar para garantizar la calidad de los datos</w:t>
      </w:r>
    </w:p>
    <w:tbl>
      <w:tblPr>
        <w:tblStyle w:val="TableGrid"/>
        <w:tblW w:w="0" w:type="auto"/>
        <w:tblLook w:val="04A0" w:firstRow="1" w:lastRow="0" w:firstColumn="1" w:lastColumn="0" w:noHBand="0" w:noVBand="1"/>
      </w:tblPr>
      <w:tblGrid>
        <w:gridCol w:w="1271"/>
        <w:gridCol w:w="7791"/>
      </w:tblGrid>
      <w:tr w:rsidR="00C45DFB" w:rsidRPr="00DE200D" w14:paraId="02514108" w14:textId="77777777" w:rsidTr="00DE200D">
        <w:tc>
          <w:tcPr>
            <w:tcW w:w="1271" w:type="dxa"/>
            <w:vAlign w:val="center"/>
          </w:tcPr>
          <w:p w14:paraId="0EB38C9D" w14:textId="0DA06CEC" w:rsidR="00C45DFB" w:rsidRPr="00DE200D" w:rsidRDefault="00A42212" w:rsidP="006A0FEC">
            <w:pPr>
              <w:tabs>
                <w:tab w:val="left" w:pos="709"/>
              </w:tabs>
              <w:spacing w:line="276" w:lineRule="auto"/>
              <w:rPr>
                <w:rFonts w:eastAsia="Calibri"/>
                <w:b/>
                <w:bCs/>
              </w:rPr>
            </w:pPr>
            <w:r>
              <w:rPr>
                <w:b/>
              </w:rPr>
              <w:t>C</w:t>
            </w:r>
            <w:r w:rsidR="00C45DFB">
              <w:rPr>
                <w:b/>
              </w:rPr>
              <w:t>otejo</w:t>
            </w:r>
          </w:p>
        </w:tc>
        <w:tc>
          <w:tcPr>
            <w:tcW w:w="7791" w:type="dxa"/>
            <w:vAlign w:val="center"/>
          </w:tcPr>
          <w:p w14:paraId="192614F1" w14:textId="77777777" w:rsidR="00C45DFB" w:rsidRPr="00DE200D" w:rsidRDefault="00C45DFB" w:rsidP="006A0FEC">
            <w:pPr>
              <w:pStyle w:val="ListParagraph0"/>
              <w:widowControl/>
              <w:numPr>
                <w:ilvl w:val="0"/>
                <w:numId w:val="21"/>
              </w:numPr>
              <w:tabs>
                <w:tab w:val="left" w:pos="709"/>
              </w:tabs>
              <w:suppressAutoHyphens w:val="0"/>
              <w:spacing w:before="240" w:after="240" w:line="276" w:lineRule="auto"/>
              <w:contextualSpacing w:val="0"/>
              <w:rPr>
                <w:rFonts w:eastAsia="Calibri"/>
              </w:rPr>
            </w:pPr>
            <w:r>
              <w:t>Comparar los pagos informados por las empresas y lo recibido por el gobierno;</w:t>
            </w:r>
          </w:p>
          <w:p w14:paraId="64FE13FA" w14:textId="77777777" w:rsidR="00C45DFB" w:rsidRPr="00DE200D" w:rsidRDefault="00C45DFB" w:rsidP="006A0FEC">
            <w:pPr>
              <w:pStyle w:val="ListParagraph0"/>
              <w:widowControl/>
              <w:numPr>
                <w:ilvl w:val="0"/>
                <w:numId w:val="21"/>
              </w:numPr>
              <w:tabs>
                <w:tab w:val="left" w:pos="709"/>
              </w:tabs>
              <w:suppressAutoHyphens w:val="0"/>
              <w:spacing w:before="240" w:after="240" w:line="276" w:lineRule="auto"/>
              <w:contextualSpacing w:val="0"/>
            </w:pPr>
            <w:r>
              <w:t>Investigar las discrepancias y abordar los errores y omisiones detectados.</w:t>
            </w:r>
          </w:p>
        </w:tc>
      </w:tr>
      <w:tr w:rsidR="00C45DFB" w:rsidRPr="00DE200D" w14:paraId="13A33217" w14:textId="77777777" w:rsidTr="00DE200D">
        <w:tc>
          <w:tcPr>
            <w:tcW w:w="1271" w:type="dxa"/>
            <w:vAlign w:val="center"/>
          </w:tcPr>
          <w:p w14:paraId="02386FE8" w14:textId="1AF95A3B" w:rsidR="00C45DFB" w:rsidRPr="00DE200D" w:rsidRDefault="00A42212" w:rsidP="006A0FEC">
            <w:pPr>
              <w:tabs>
                <w:tab w:val="left" w:pos="709"/>
              </w:tabs>
              <w:spacing w:line="276" w:lineRule="auto"/>
              <w:rPr>
                <w:rFonts w:eastAsia="Calibri"/>
                <w:b/>
                <w:bCs/>
              </w:rPr>
            </w:pPr>
            <w:r>
              <w:rPr>
                <w:b/>
              </w:rPr>
              <w:t>E</w:t>
            </w:r>
            <w:r w:rsidR="00C45DFB">
              <w:rPr>
                <w:b/>
              </w:rPr>
              <w:t>nfoque basado en los riesgos</w:t>
            </w:r>
          </w:p>
        </w:tc>
        <w:tc>
          <w:tcPr>
            <w:tcW w:w="7791" w:type="dxa"/>
            <w:vAlign w:val="center"/>
          </w:tcPr>
          <w:p w14:paraId="4A29B9E6" w14:textId="77777777" w:rsidR="00C45DFB" w:rsidRPr="00DE200D" w:rsidRDefault="00C45DFB" w:rsidP="006A0FEC">
            <w:pPr>
              <w:pStyle w:val="ListParagraph0"/>
              <w:widowControl/>
              <w:numPr>
                <w:ilvl w:val="0"/>
                <w:numId w:val="22"/>
              </w:numPr>
              <w:tabs>
                <w:tab w:val="left" w:pos="709"/>
              </w:tabs>
              <w:suppressAutoHyphens w:val="0"/>
              <w:spacing w:before="240" w:after="240" w:line="276" w:lineRule="auto"/>
              <w:contextualSpacing w:val="0"/>
              <w:rPr>
                <w:rFonts w:eastAsia="Calibri"/>
              </w:rPr>
            </w:pPr>
            <w:r>
              <w:t>Determinar el nivel de riesgo de todo flujo de pagos y entidad informante;</w:t>
            </w:r>
          </w:p>
          <w:p w14:paraId="3DCD9A3F" w14:textId="77777777" w:rsidR="00C45DFB" w:rsidRPr="00DE200D" w:rsidRDefault="00C45DFB" w:rsidP="006A0FEC">
            <w:pPr>
              <w:pStyle w:val="ListParagraph0"/>
              <w:widowControl/>
              <w:numPr>
                <w:ilvl w:val="0"/>
                <w:numId w:val="22"/>
              </w:numPr>
              <w:tabs>
                <w:tab w:val="left" w:pos="709"/>
              </w:tabs>
              <w:suppressAutoHyphens w:val="0"/>
              <w:spacing w:before="240" w:after="240" w:line="276" w:lineRule="auto"/>
              <w:contextualSpacing w:val="0"/>
              <w:rPr>
                <w:rFonts w:eastAsia="Calibri"/>
              </w:rPr>
            </w:pPr>
            <w:r>
              <w:t>Aplicar los procedimientos de la estrategia de verificación a fin de reducir el riesgo a un nivel aceptable.</w:t>
            </w:r>
          </w:p>
        </w:tc>
      </w:tr>
    </w:tbl>
    <w:p w14:paraId="76C54F9A" w14:textId="77777777" w:rsidR="00C45DFB" w:rsidRPr="00DE200D" w:rsidRDefault="00C45DFB" w:rsidP="00C45DFB">
      <w:pPr>
        <w:shd w:val="clear" w:color="auto" w:fill="FFFFFF"/>
        <w:tabs>
          <w:tab w:val="left" w:pos="709"/>
        </w:tabs>
        <w:spacing w:line="276" w:lineRule="auto"/>
        <w:rPr>
          <w:rFonts w:eastAsia="Calibri"/>
          <w:lang w:eastAsia="nb-NO"/>
        </w:rPr>
      </w:pPr>
    </w:p>
    <w:p w14:paraId="0A8BD071" w14:textId="0F624C33" w:rsidR="00C45DFB" w:rsidRPr="00DE200D" w:rsidRDefault="00A42212" w:rsidP="00C45DFB">
      <w:pPr>
        <w:shd w:val="clear" w:color="auto" w:fill="FFFFFF"/>
        <w:tabs>
          <w:tab w:val="left" w:pos="709"/>
        </w:tabs>
        <w:spacing w:line="276" w:lineRule="auto"/>
        <w:rPr>
          <w:b/>
          <w:bCs/>
        </w:rPr>
      </w:pPr>
      <w:r>
        <w:rPr>
          <w:b/>
        </w:rPr>
        <w:t>C</w:t>
      </w:r>
      <w:r w:rsidR="00C45DFB">
        <w:rPr>
          <w:b/>
        </w:rPr>
        <w:t>otejo</w:t>
      </w:r>
    </w:p>
    <w:p w14:paraId="30C83E84" w14:textId="70EE0C9D" w:rsidR="00C45DFB" w:rsidRPr="00DE200D" w:rsidRDefault="00C45DFB" w:rsidP="00C45DFB">
      <w:pPr>
        <w:shd w:val="clear" w:color="auto" w:fill="FFFFFF"/>
        <w:tabs>
          <w:tab w:val="left" w:pos="709"/>
        </w:tabs>
        <w:spacing w:line="276" w:lineRule="auto"/>
      </w:pPr>
      <w:r>
        <w:t xml:space="preserve">En el cotejo, la Entidad compara los datos financieros referentes a todos los ingresos y pagos de importancia material divulgados por el gobierno y las empresas. El objetivo es resolver cualquier discrepancia que pueda haber y ofrecer una declaración sobre la exhaustividad y fiabilidad de los datos sobre los ingresos gubernamentales de origen extractivo. Si bien no constituye una auditoría, este enfoque sigue la metodología prevista en la norma </w:t>
      </w:r>
      <w:hyperlink r:id="rId20" w:history="1">
        <w:r w:rsidR="008A6CCB">
          <w:rPr>
            <w:rStyle w:val="Hyperlink"/>
          </w:rPr>
          <w:t>NISR</w:t>
        </w:r>
        <w:r>
          <w:rPr>
            <w:rStyle w:val="Hyperlink"/>
          </w:rPr>
          <w:t xml:space="preserve"> 4400</w:t>
        </w:r>
      </w:hyperlink>
      <w:r>
        <w:t xml:space="preserve"> para los Encargos de Procedimientos Acordados.</w:t>
      </w:r>
    </w:p>
    <w:p w14:paraId="0D132207" w14:textId="21E747E2" w:rsidR="00C45DFB" w:rsidRPr="00DE200D" w:rsidRDefault="00C45DFB" w:rsidP="00C45DFB">
      <w:pPr>
        <w:shd w:val="clear" w:color="auto" w:fill="FFFFFF"/>
        <w:tabs>
          <w:tab w:val="left" w:pos="709"/>
        </w:tabs>
        <w:spacing w:line="276" w:lineRule="auto"/>
      </w:pPr>
      <w:r>
        <w:t xml:space="preserve">En el caso de que todas las entidades informantes de importancia material hayan hecho auditar sus estados financieros del período en </w:t>
      </w:r>
      <w:r w:rsidR="008A6CCB">
        <w:t>evaluación</w:t>
      </w:r>
      <w:r>
        <w:t xml:space="preserve">, todas las entidades gubernamentales y empresas extractivas de importancia material seleccionadas en el alcance del cotejo deberían presentar una </w:t>
      </w:r>
      <w:r w:rsidR="008A6CCB">
        <w:t xml:space="preserve">confirmación </w:t>
      </w:r>
      <w:r>
        <w:t xml:space="preserve">de </w:t>
      </w:r>
      <w:r w:rsidR="008A6CCB">
        <w:t xml:space="preserve">parte de </w:t>
      </w:r>
      <w:r>
        <w:t xml:space="preserve">sus directivos. Esta </w:t>
      </w:r>
      <w:r w:rsidR="008A6CCB">
        <w:t>confirmación asevera</w:t>
      </w:r>
      <w:r>
        <w:t xml:space="preserve"> que los datos presentados en sus plantillas de informes del EITI son consistentes o concuerdan con sus estados financieros auditados. </w:t>
      </w:r>
    </w:p>
    <w:p w14:paraId="320D1261" w14:textId="40BD753B" w:rsidR="00C45DFB" w:rsidRPr="00DE200D" w:rsidRDefault="00C45DFB" w:rsidP="00C45DFB">
      <w:pPr>
        <w:shd w:val="clear" w:color="auto" w:fill="FFFFFF"/>
        <w:tabs>
          <w:tab w:val="left" w:pos="709"/>
        </w:tabs>
        <w:spacing w:line="276" w:lineRule="auto"/>
      </w:pPr>
      <w:r>
        <w:t xml:space="preserve">En su defecto, si las entidades informantes de importancia material no cuentan con estados financieros auditados para el período en </w:t>
      </w:r>
      <w:r w:rsidR="008A6CCB">
        <w:t>evaluación</w:t>
      </w:r>
      <w:r>
        <w:t xml:space="preserve">, la Entidad puede solicitar que todas las entidades gubernamentales y empresas extractivas de importancia material presenten sus plantillas de informes certificadas por un auditor externo (en el caso de las empresas) o por la institución suprema de auditoría (en el caso de las entidades gubernamentales). El GMP debería </w:t>
      </w:r>
      <w:r>
        <w:lastRenderedPageBreak/>
        <w:t>establecer los procedimientos de aprobación y aseveración para confirmar la fiabilidad y exhaustividad de los datos presentados.</w:t>
      </w:r>
    </w:p>
    <w:p w14:paraId="3A86D0AE" w14:textId="77777777" w:rsidR="00C45DFB" w:rsidRPr="00DE200D" w:rsidRDefault="00C45DFB" w:rsidP="00C45DFB">
      <w:pPr>
        <w:shd w:val="clear" w:color="auto" w:fill="FFFFFF"/>
        <w:tabs>
          <w:tab w:val="left" w:pos="709"/>
        </w:tabs>
        <w:spacing w:line="276" w:lineRule="auto"/>
      </w:pPr>
      <w:r>
        <w:t xml:space="preserve">En los países en donde las instituciones de supervisión gubernamental interna y externa previstas en la ley sean débiles, el GMP puede evaluar la posibilidad de aplicar un procedimiento de garantía de la calidad que coteje los pagos entre diversos organismos gubernamentales. Este método puede ofrecer perspectivas valiosas sobre los sistemas de administración financiera de las entidades gubernamentales materiales. </w:t>
      </w:r>
    </w:p>
    <w:p w14:paraId="61007AF3" w14:textId="52010E11" w:rsidR="00C45DFB" w:rsidRPr="00DE200D" w:rsidRDefault="00A42212" w:rsidP="00C45DFB">
      <w:pPr>
        <w:shd w:val="clear" w:color="auto" w:fill="FFFFFF"/>
        <w:tabs>
          <w:tab w:val="left" w:pos="709"/>
        </w:tabs>
        <w:spacing w:line="276" w:lineRule="auto"/>
        <w:rPr>
          <w:b/>
          <w:bCs/>
        </w:rPr>
      </w:pPr>
      <w:r>
        <w:rPr>
          <w:b/>
        </w:rPr>
        <w:t>E</w:t>
      </w:r>
      <w:r w:rsidR="00C45DFB">
        <w:rPr>
          <w:b/>
        </w:rPr>
        <w:t>nfoque basado en los riesgos</w:t>
      </w:r>
    </w:p>
    <w:p w14:paraId="6A79B103" w14:textId="0542BD34" w:rsidR="00C45DFB" w:rsidRPr="00DE200D" w:rsidRDefault="00C45DFB" w:rsidP="00C45DFB">
      <w:pPr>
        <w:shd w:val="clear" w:color="auto" w:fill="FFFFFF"/>
        <w:tabs>
          <w:tab w:val="left" w:pos="709"/>
        </w:tabs>
        <w:spacing w:line="276" w:lineRule="auto"/>
      </w:pPr>
      <w:r>
        <w:t xml:space="preserve">Un enfoque </w:t>
      </w:r>
      <w:r w:rsidR="005C2306">
        <w:t xml:space="preserve">basado en riesgos </w:t>
      </w:r>
      <w:r w:rsidR="00F5364D">
        <w:t>para garantizar</w:t>
      </w:r>
      <w:r>
        <w:t xml:space="preserve"> la calidad de los datos consta de tres pasos: </w:t>
      </w:r>
    </w:p>
    <w:p w14:paraId="5988C024" w14:textId="6C6137EC" w:rsidR="00C45DFB" w:rsidRPr="00DE200D" w:rsidRDefault="00C45DFB" w:rsidP="00C45DFB">
      <w:pPr>
        <w:pStyle w:val="ListParagraph0"/>
        <w:widowControl/>
        <w:numPr>
          <w:ilvl w:val="0"/>
          <w:numId w:val="22"/>
        </w:numPr>
        <w:shd w:val="clear" w:color="auto" w:fill="FFFFFF"/>
        <w:tabs>
          <w:tab w:val="left" w:pos="709"/>
        </w:tabs>
        <w:suppressAutoHyphens w:val="0"/>
        <w:spacing w:before="240" w:after="240" w:line="276" w:lineRule="auto"/>
        <w:contextualSpacing w:val="0"/>
      </w:pPr>
      <w:r>
        <w:rPr>
          <w:b/>
        </w:rPr>
        <w:t>Evaluación de riesgos:</w:t>
      </w:r>
      <w:r>
        <w:t xml:space="preserve"> </w:t>
      </w:r>
      <w:r w:rsidR="00F12527">
        <w:t>i</w:t>
      </w:r>
      <w:r>
        <w:t xml:space="preserve">mplica evaluar el riesgo de que haya inexactitudes materiales en los ingresos gubernamentales </w:t>
      </w:r>
      <w:r w:rsidR="00F5364D">
        <w:t xml:space="preserve">derivados de las </w:t>
      </w:r>
      <w:r w:rsidR="00F5706B">
        <w:t>actividades extractivas</w:t>
      </w:r>
      <w:r>
        <w:t>. Se realiza un análisis sistemático para evaluar los procesos y controles por flujo de ingresos, entidades gubernamentales recaudadoras y empresas extractivas de importancia material. El GMP debe revisar la evaluación de riesgos y adoptar la versión final.</w:t>
      </w:r>
    </w:p>
    <w:p w14:paraId="6E400F2D" w14:textId="3391C133" w:rsidR="00C45DFB" w:rsidRPr="00DE200D" w:rsidRDefault="00C45DFB" w:rsidP="00C45DFB">
      <w:pPr>
        <w:pStyle w:val="ListParagraph0"/>
        <w:widowControl/>
        <w:numPr>
          <w:ilvl w:val="0"/>
          <w:numId w:val="22"/>
        </w:numPr>
        <w:shd w:val="clear" w:color="auto" w:fill="FFFFFF"/>
        <w:tabs>
          <w:tab w:val="left" w:pos="709"/>
        </w:tabs>
        <w:suppressAutoHyphens w:val="0"/>
        <w:spacing w:before="240" w:after="240" w:line="276" w:lineRule="auto"/>
        <w:contextualSpacing w:val="0"/>
      </w:pPr>
      <w:r>
        <w:rPr>
          <w:b/>
        </w:rPr>
        <w:t>Estrategia de verificación:</w:t>
      </w:r>
      <w:r>
        <w:t xml:space="preserve"> </w:t>
      </w:r>
      <w:r w:rsidR="00F12527">
        <w:t>b</w:t>
      </w:r>
      <w:r>
        <w:t>asándose en la evaluación de riesgos, posteriormente se clasifica a las entidades gubernamentales, empresas y flujos de ingresos en función del riesgo de que haya inexactitudes materiales en la información que presentan (alto, medio o bajo). Se espera que el GMP establezca procedimientos de garantía de la calidad a fin de reducir el riesgo a un nivel aceptable. Los procedimientos de verificación pueden incluir el cotejo de pagos específicos.</w:t>
      </w:r>
    </w:p>
    <w:p w14:paraId="2A9312FB" w14:textId="77777777" w:rsidR="00C45DFB" w:rsidRPr="00DE200D" w:rsidRDefault="00C45DFB" w:rsidP="00C45DFB">
      <w:pPr>
        <w:pStyle w:val="ListParagraph0"/>
        <w:widowControl/>
        <w:numPr>
          <w:ilvl w:val="0"/>
          <w:numId w:val="22"/>
        </w:numPr>
        <w:shd w:val="clear" w:color="auto" w:fill="FFFFFF"/>
        <w:tabs>
          <w:tab w:val="left" w:pos="709"/>
        </w:tabs>
        <w:suppressAutoHyphens w:val="0"/>
        <w:spacing w:before="240" w:after="240" w:line="276" w:lineRule="auto"/>
        <w:contextualSpacing w:val="0"/>
      </w:pPr>
      <w:r>
        <w:rPr>
          <w:b/>
        </w:rPr>
        <w:t>Implementación de la estrategia de verificación:</w:t>
      </w:r>
      <w:r>
        <w:t xml:space="preserve"> la Entidad utiliza la estrategia de verificación aprobada por el GMP para aplicar los procedimientos establecidos a los diferentes flujos de pago según su nivel de riesgo. </w:t>
      </w:r>
    </w:p>
    <w:p w14:paraId="674BF4BB" w14:textId="77777777" w:rsidR="00C45DFB" w:rsidRPr="00DE200D" w:rsidRDefault="00C45DFB" w:rsidP="00C45DFB">
      <w:pPr>
        <w:shd w:val="clear" w:color="auto" w:fill="FFFFFF"/>
        <w:tabs>
          <w:tab w:val="left" w:pos="709"/>
        </w:tabs>
        <w:spacing w:line="276" w:lineRule="auto"/>
        <w:rPr>
          <w:rFonts w:eastAsia="Calibri"/>
          <w:b/>
          <w:bCs/>
          <w:lang w:eastAsia="nb-NO"/>
        </w:rPr>
      </w:pPr>
    </w:p>
    <w:p w14:paraId="67F8AA0F" w14:textId="77777777" w:rsidR="00C45DFB" w:rsidRPr="00DE200D" w:rsidRDefault="00C45DFB" w:rsidP="00C45DFB">
      <w:pPr>
        <w:shd w:val="clear" w:color="auto" w:fill="FFFFFF"/>
        <w:tabs>
          <w:tab w:val="left" w:pos="709"/>
        </w:tabs>
        <w:spacing w:line="276" w:lineRule="auto"/>
        <w:rPr>
          <w:rFonts w:eastAsia="Calibri"/>
          <w:b/>
          <w:bCs/>
        </w:rPr>
      </w:pPr>
      <w:r>
        <w:rPr>
          <w:b/>
        </w:rPr>
        <w:t>Se espera que la Entidad haga lo siguiente:</w:t>
      </w:r>
    </w:p>
    <w:p w14:paraId="49A0F284" w14:textId="68AB563D"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Evaluar las auditorías de ingresos:</w:t>
      </w:r>
      <w:r>
        <w:rPr>
          <w:color w:val="0070C0"/>
        </w:rPr>
        <w:t xml:space="preserve"> </w:t>
      </w:r>
      <w:r w:rsidR="00ED55AE">
        <w:rPr>
          <w:color w:val="0070C0"/>
        </w:rPr>
        <w:t>a</w:t>
      </w:r>
      <w:r>
        <w:rPr>
          <w:color w:val="0070C0"/>
        </w:rPr>
        <w:t>segurarse de que los ingresos del gobierno y las empresas estén sujetos a una auditoría independiente y creíble que siga las normas internacionales de auditoría de acuerdo con lo recomendado por el GMP y en consonancia con el Requisito 4</w:t>
      </w:r>
      <w:r w:rsidR="002D5F34">
        <w:rPr>
          <w:color w:val="0070C0"/>
        </w:rPr>
        <w:t xml:space="preserve"> del Estándar EITI</w:t>
      </w:r>
      <w:r>
        <w:rPr>
          <w:color w:val="0070C0"/>
        </w:rPr>
        <w:t>.</w:t>
      </w:r>
      <w:r>
        <w:rPr>
          <w:color w:val="0070C0"/>
        </w:rPr>
        <w:br/>
      </w:r>
    </w:p>
    <w:p w14:paraId="3E848F77" w14:textId="7933FF04"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Recomendar medidas para abordar las inquietudes referentes a la calidad de los datos:</w:t>
      </w:r>
      <w:r>
        <w:rPr>
          <w:color w:val="0070C0"/>
        </w:rPr>
        <w:t xml:space="preserve"> </w:t>
      </w:r>
      <w:r w:rsidR="00ED55AE">
        <w:rPr>
          <w:color w:val="0070C0"/>
        </w:rPr>
        <w:t>e</w:t>
      </w:r>
      <w:r>
        <w:rPr>
          <w:color w:val="0070C0"/>
        </w:rPr>
        <w:t>n caso de identificarse inquietudes referentes a la calidad de los datos durante la evaluación, proponer medidas para abordar las brechas en cuestión (p. ej. fortalecer los mecanismos de aseveración durante la fase de recopilación de datos).</w:t>
      </w:r>
      <w:r>
        <w:rPr>
          <w:color w:val="0070C0"/>
        </w:rPr>
        <w:br/>
      </w:r>
    </w:p>
    <w:p w14:paraId="7E809614" w14:textId="7CE1F371"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Diseñar plantillas de informes:</w:t>
      </w:r>
      <w:r>
        <w:rPr>
          <w:color w:val="0070C0"/>
        </w:rPr>
        <w:t xml:space="preserve"> </w:t>
      </w:r>
      <w:r w:rsidR="00C021FC">
        <w:rPr>
          <w:color w:val="0070C0"/>
        </w:rPr>
        <w:t xml:space="preserve">incorporar </w:t>
      </w:r>
      <w:r>
        <w:rPr>
          <w:color w:val="0070C0"/>
        </w:rPr>
        <w:t xml:space="preserve">aspectos relativos a la calidad de los datos al diseñar las plantillas de informes, asegurándose de que el nivel de detalle permita identificar e </w:t>
      </w:r>
      <w:r w:rsidR="000A53CA">
        <w:rPr>
          <w:color w:val="0070C0"/>
        </w:rPr>
        <w:t>investigar discrepancias</w:t>
      </w:r>
      <w:r>
        <w:rPr>
          <w:color w:val="0070C0"/>
        </w:rPr>
        <w:t xml:space="preserve">.  </w:t>
      </w:r>
      <w:r>
        <w:rPr>
          <w:color w:val="0070C0"/>
        </w:rPr>
        <w:br/>
      </w:r>
    </w:p>
    <w:p w14:paraId="260A72E8" w14:textId="2550F805"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 xml:space="preserve">Revisar los procedimientos de auditoría: </w:t>
      </w:r>
      <w:r w:rsidR="00ED55AE">
        <w:rPr>
          <w:color w:val="0070C0"/>
        </w:rPr>
        <w:t>e</w:t>
      </w:r>
      <w:r>
        <w:rPr>
          <w:color w:val="0070C0"/>
        </w:rPr>
        <w:t xml:space="preserve">xaminar los procedimientos de auditoría y garantía tanto de las empresas como de las entidades gubernamentales involucradas en </w:t>
      </w:r>
      <w:r>
        <w:rPr>
          <w:color w:val="0070C0"/>
        </w:rPr>
        <w:lastRenderedPageBreak/>
        <w:t>l</w:t>
      </w:r>
      <w:r w:rsidR="00567540">
        <w:rPr>
          <w:color w:val="0070C0"/>
        </w:rPr>
        <w:t xml:space="preserve">a divulgación de información </w:t>
      </w:r>
      <w:r>
        <w:rPr>
          <w:color w:val="0070C0"/>
        </w:rPr>
        <w:t xml:space="preserve">EITI. Esto incluye analizar las leyes, regulaciones y planes de reforma pertinentes, y asegurarse de que los procedimientos se ajusten a las normas internacionales. </w:t>
      </w:r>
      <w:r w:rsidR="00567540">
        <w:rPr>
          <w:color w:val="0070C0"/>
        </w:rPr>
        <w:t>La divulgación de información</w:t>
      </w:r>
      <w:r>
        <w:rPr>
          <w:color w:val="0070C0"/>
        </w:rPr>
        <w:t xml:space="preserve"> EITI debería incluir un resumen de las conclusiones o, en su defecto, el GMP debería publicar los resultados del análisis </w:t>
      </w:r>
      <w:r w:rsidR="000B008D">
        <w:rPr>
          <w:color w:val="0070C0"/>
        </w:rPr>
        <w:t>por otra vía</w:t>
      </w:r>
      <w:r>
        <w:rPr>
          <w:color w:val="0070C0"/>
        </w:rPr>
        <w:t xml:space="preserve">. </w:t>
      </w:r>
      <w:r>
        <w:rPr>
          <w:color w:val="0070C0"/>
        </w:rPr>
        <w:br/>
      </w:r>
    </w:p>
    <w:p w14:paraId="79E6E87F" w14:textId="42782809"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 xml:space="preserve">Recomendar procedimientos </w:t>
      </w:r>
      <w:r w:rsidR="000B008D">
        <w:rPr>
          <w:b/>
          <w:color w:val="0070C0"/>
        </w:rPr>
        <w:t>estandarizados</w:t>
      </w:r>
      <w:r>
        <w:rPr>
          <w:b/>
          <w:color w:val="0070C0"/>
        </w:rPr>
        <w:t>:</w:t>
      </w:r>
      <w:r>
        <w:rPr>
          <w:color w:val="0070C0"/>
        </w:rPr>
        <w:t xml:space="preserve"> </w:t>
      </w:r>
      <w:r w:rsidR="007A5AAA">
        <w:rPr>
          <w:color w:val="0070C0"/>
        </w:rPr>
        <w:t>e</w:t>
      </w:r>
      <w:r>
        <w:rPr>
          <w:color w:val="0070C0"/>
        </w:rPr>
        <w:t xml:space="preserve">n función de la revisión de los procedimientos de auditoría y garantía, la Entidad responsable </w:t>
      </w:r>
      <w:r w:rsidR="000B008D">
        <w:rPr>
          <w:color w:val="0070C0"/>
        </w:rPr>
        <w:t>de la divulgación de información</w:t>
      </w:r>
      <w:r>
        <w:rPr>
          <w:color w:val="0070C0"/>
        </w:rPr>
        <w:t xml:space="preserve"> EITI debería aplicar su criterio profesional y las normas internacionales para garantizar que el procedimiento redunde en </w:t>
      </w:r>
      <w:r w:rsidR="00F00B6C">
        <w:rPr>
          <w:color w:val="0070C0"/>
        </w:rPr>
        <w:t xml:space="preserve">una divulgación de información </w:t>
      </w:r>
      <w:r>
        <w:rPr>
          <w:color w:val="0070C0"/>
        </w:rPr>
        <w:t xml:space="preserve">EITI </w:t>
      </w:r>
      <w:r w:rsidR="00F00B6C">
        <w:rPr>
          <w:color w:val="0070C0"/>
        </w:rPr>
        <w:t xml:space="preserve">exhaustiva </w:t>
      </w:r>
      <w:r>
        <w:rPr>
          <w:color w:val="0070C0"/>
        </w:rPr>
        <w:t>y confiable. Este criterio profesional también debería emplearse para determinar en qué medida es posible valerse de los controles y marcos de auditoría existentes conforme a las normas de auditoría internacionales.</w:t>
      </w:r>
      <w:r>
        <w:rPr>
          <w:color w:val="0070C0"/>
        </w:rPr>
        <w:br/>
      </w:r>
    </w:p>
    <w:p w14:paraId="2A725583" w14:textId="2D7D8364"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Evaluar la exhaustividad de la información divulgada:</w:t>
      </w:r>
      <w:r>
        <w:rPr>
          <w:color w:val="0070C0"/>
        </w:rPr>
        <w:t xml:space="preserve"> </w:t>
      </w:r>
      <w:r w:rsidR="007A5AAA">
        <w:rPr>
          <w:color w:val="0070C0"/>
        </w:rPr>
        <w:t>e</w:t>
      </w:r>
      <w:r>
        <w:rPr>
          <w:color w:val="0070C0"/>
        </w:rPr>
        <w:t xml:space="preserve">valuar si la información divulgada por las entidades informantes es completa, de acuerdo con el alcance convenido, e identificar las brechas que haya en los datos y su impacto. </w:t>
      </w:r>
      <w:r>
        <w:rPr>
          <w:color w:val="0070C0"/>
        </w:rPr>
        <w:br/>
      </w:r>
    </w:p>
    <w:p w14:paraId="7F47425A" w14:textId="32B88D7F"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Identificar discrepancias:</w:t>
      </w:r>
      <w:r>
        <w:rPr>
          <w:color w:val="0070C0"/>
        </w:rPr>
        <w:t xml:space="preserve"> </w:t>
      </w:r>
      <w:r w:rsidR="007A5AAA">
        <w:rPr>
          <w:color w:val="0070C0"/>
        </w:rPr>
        <w:t>d</w:t>
      </w:r>
      <w:r>
        <w:rPr>
          <w:color w:val="0070C0"/>
        </w:rPr>
        <w:t>etectar las discrepancias que superen el margen acordado de error o riesgo para la seguridad financiera, consultando al GMP.</w:t>
      </w:r>
      <w:r>
        <w:rPr>
          <w:color w:val="0070C0"/>
        </w:rPr>
        <w:br/>
      </w:r>
    </w:p>
    <w:p w14:paraId="6BC966A3" w14:textId="49D8C544"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 xml:space="preserve">Brindar asesoramiento sobre la fiabilidad de los datos de las divulgaciones no </w:t>
      </w:r>
      <w:r w:rsidR="00D750A2">
        <w:rPr>
          <w:b/>
          <w:color w:val="0070C0"/>
        </w:rPr>
        <w:t xml:space="preserve">vinculadas </w:t>
      </w:r>
      <w:r>
        <w:rPr>
          <w:b/>
          <w:color w:val="0070C0"/>
        </w:rPr>
        <w:t>a ingresos:</w:t>
      </w:r>
      <w:r>
        <w:rPr>
          <w:color w:val="0070C0"/>
        </w:rPr>
        <w:t xml:space="preserve"> </w:t>
      </w:r>
      <w:r w:rsidR="007A5AAA">
        <w:rPr>
          <w:color w:val="0070C0"/>
        </w:rPr>
        <w:t>o</w:t>
      </w:r>
      <w:r>
        <w:rPr>
          <w:color w:val="0070C0"/>
        </w:rPr>
        <w:t xml:space="preserve">rientar al GMP con respecto a la </w:t>
      </w:r>
      <w:r w:rsidR="007A5AAA">
        <w:rPr>
          <w:color w:val="0070C0"/>
        </w:rPr>
        <w:t>garantía de</w:t>
      </w:r>
      <w:r>
        <w:rPr>
          <w:color w:val="0070C0"/>
        </w:rPr>
        <w:t xml:space="preserve"> la fiabilidad de las divulgaciones de información no </w:t>
      </w:r>
      <w:r w:rsidR="00DF4B00">
        <w:rPr>
          <w:color w:val="0070C0"/>
        </w:rPr>
        <w:t xml:space="preserve">vinculada </w:t>
      </w:r>
      <w:r>
        <w:rPr>
          <w:color w:val="0070C0"/>
        </w:rPr>
        <w:t xml:space="preserve">a ingresos, según lo establecido en el Anexo B, conforme a los Requisitos EITI 2, 3, 5 y 6. </w:t>
      </w:r>
      <w:r>
        <w:rPr>
          <w:color w:val="0070C0"/>
        </w:rPr>
        <w:br/>
      </w:r>
    </w:p>
    <w:p w14:paraId="2873634B" w14:textId="4136B734" w:rsidR="00C45DFB" w:rsidRPr="00DE200D" w:rsidRDefault="00C45DFB" w:rsidP="00C45DFB">
      <w:pPr>
        <w:pStyle w:val="ListParagraph0"/>
        <w:widowControl/>
        <w:numPr>
          <w:ilvl w:val="1"/>
          <w:numId w:val="29"/>
        </w:numPr>
        <w:shd w:val="clear" w:color="auto" w:fill="FFFFFF"/>
        <w:tabs>
          <w:tab w:val="left" w:pos="709"/>
        </w:tabs>
        <w:suppressAutoHyphens w:val="0"/>
        <w:spacing w:before="240" w:after="240" w:line="276" w:lineRule="auto"/>
        <w:ind w:left="709" w:hanging="709"/>
        <w:rPr>
          <w:rFonts w:eastAsia="Calibri"/>
          <w:color w:val="0070C0"/>
        </w:rPr>
      </w:pPr>
      <w:r>
        <w:rPr>
          <w:b/>
          <w:color w:val="0070C0"/>
        </w:rPr>
        <w:t>Elaborar recomendaciones:</w:t>
      </w:r>
      <w:r>
        <w:rPr>
          <w:color w:val="0070C0"/>
        </w:rPr>
        <w:t xml:space="preserve"> </w:t>
      </w:r>
      <w:r w:rsidR="007A5AAA">
        <w:rPr>
          <w:color w:val="0070C0"/>
        </w:rPr>
        <w:t>o</w:t>
      </w:r>
      <w:r>
        <w:rPr>
          <w:color w:val="0070C0"/>
        </w:rPr>
        <w:t>frecer recomendaciones factibles para fortalecer la gobernanza de las industrias extractivas en el país, las divulgaciones y los sistemas de divulgación.</w:t>
      </w:r>
    </w:p>
    <w:p w14:paraId="6DB4F342" w14:textId="77777777" w:rsidR="00C45DFB" w:rsidRPr="00DE200D" w:rsidRDefault="00C45DFB" w:rsidP="00C45DFB">
      <w:pPr>
        <w:widowControl/>
        <w:suppressAutoHyphens w:val="0"/>
        <w:spacing w:before="0" w:after="0" w:line="240" w:lineRule="auto"/>
        <w:rPr>
          <w:rFonts w:ascii="Franklin Gothic Medium" w:hAnsi="Franklin Gothic Medium"/>
          <w:bCs/>
          <w:color w:val="188FBB"/>
          <w:sz w:val="28"/>
          <w:szCs w:val="26"/>
        </w:rPr>
      </w:pPr>
      <w:bookmarkStart w:id="13" w:name="_Toc180650427"/>
      <w:r>
        <w:br w:type="page"/>
      </w:r>
    </w:p>
    <w:p w14:paraId="51E521F6" w14:textId="77777777" w:rsidR="00C45DFB" w:rsidRPr="00DE200D" w:rsidRDefault="00C45DFB" w:rsidP="00C45DFB">
      <w:pPr>
        <w:pStyle w:val="Heading2"/>
      </w:pPr>
      <w:r>
        <w:lastRenderedPageBreak/>
        <w:t>Fase 4: Análisis de brechas del GMP</w:t>
      </w:r>
      <w:bookmarkEnd w:id="13"/>
      <w:r>
        <w:t xml:space="preserve"> </w:t>
      </w:r>
    </w:p>
    <w:p w14:paraId="5E54C54A" w14:textId="77777777" w:rsidR="00C45DFB" w:rsidRPr="00DE200D" w:rsidRDefault="00C45DFB" w:rsidP="00C45DFB">
      <w:pPr>
        <w:shd w:val="clear" w:color="auto" w:fill="FFFFFF" w:themeFill="background1"/>
        <w:tabs>
          <w:tab w:val="left" w:pos="709"/>
        </w:tabs>
        <w:spacing w:line="276" w:lineRule="auto"/>
        <w:rPr>
          <w:rFonts w:eastAsia="Calibri"/>
        </w:rPr>
      </w:pPr>
      <w:r>
        <w:rPr>
          <w:b/>
        </w:rPr>
        <w:t>Objetivo:</w:t>
      </w:r>
      <w:r>
        <w:t xml:space="preserve"> El propósito de esta fase es que el GMP analice los datos a fin de abordar las cuestiones de gobernanza fundamentales establecidas para el ciclo de informes. El GMP cumple una función crucial a efectos de garantizar que la implementación del EITI aborde los desafíos de gobernanza más importantes del sector extractivo del país. </w:t>
      </w:r>
    </w:p>
    <w:p w14:paraId="75218970" w14:textId="77777777" w:rsidR="00C45DFB" w:rsidRPr="00DE200D" w:rsidRDefault="00C45DFB" w:rsidP="00C45DFB">
      <w:pPr>
        <w:shd w:val="clear" w:color="auto" w:fill="FFFFFF"/>
        <w:autoSpaceDE w:val="0"/>
        <w:autoSpaceDN w:val="0"/>
        <w:adjustRightInd w:val="0"/>
        <w:spacing w:line="276" w:lineRule="auto"/>
        <w:rPr>
          <w:rFonts w:eastAsia="Calibri"/>
          <w:b/>
          <w:bCs/>
          <w:color w:val="000000" w:themeColor="text1"/>
        </w:rPr>
      </w:pPr>
      <w:r>
        <w:rPr>
          <w:b/>
          <w:color w:val="000000" w:themeColor="text1"/>
        </w:rPr>
        <w:t>Se espera que la Entidad haga lo siguiente:</w:t>
      </w:r>
    </w:p>
    <w:p w14:paraId="22A27A8F" w14:textId="65D55536" w:rsidR="00C45DFB" w:rsidRPr="00DE200D" w:rsidRDefault="00C45DFB" w:rsidP="00C45DFB">
      <w:pPr>
        <w:pStyle w:val="ListParagraph0"/>
        <w:widowControl/>
        <w:numPr>
          <w:ilvl w:val="1"/>
          <w:numId w:val="30"/>
        </w:numPr>
        <w:suppressAutoHyphens w:val="0"/>
        <w:spacing w:before="240" w:line="240" w:lineRule="auto"/>
        <w:ind w:left="709" w:hanging="709"/>
      </w:pPr>
      <w:r>
        <w:rPr>
          <w:b/>
          <w:color w:val="0070C0"/>
        </w:rPr>
        <w:t>Presentar sus conclusiones iniciales sobre los datos divulgados:</w:t>
      </w:r>
      <w:r>
        <w:rPr>
          <w:color w:val="0070C0"/>
        </w:rPr>
        <w:t xml:space="preserve"> </w:t>
      </w:r>
      <w:r w:rsidR="007A5AAA">
        <w:rPr>
          <w:color w:val="0070C0"/>
        </w:rPr>
        <w:t>b</w:t>
      </w:r>
      <w:r>
        <w:rPr>
          <w:color w:val="0070C0"/>
        </w:rPr>
        <w:t>asándose en el Estándar EITI y las prioridades del GMP, presentar las conclusiones clave y las barreras legales o prácticas que impiden una divulgación exhaustiva, incluidos los planes gubernamentales para abordar dichas barreras y el plazo previsto para su resolución, lo cual podría incluir:</w:t>
      </w:r>
      <w:r>
        <w:rPr>
          <w:color w:val="0070C0"/>
        </w:rPr>
        <w:br/>
      </w:r>
    </w:p>
    <w:p w14:paraId="4E4496F1" w14:textId="6F5B862B"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Desviaciones materiales:</w:t>
      </w:r>
      <w:r>
        <w:rPr>
          <w:color w:val="0070C0"/>
        </w:rPr>
        <w:t xml:space="preserve"> </w:t>
      </w:r>
      <w:r w:rsidR="007A5AAA">
        <w:rPr>
          <w:color w:val="0070C0"/>
        </w:rPr>
        <w:t>d</w:t>
      </w:r>
      <w:r>
        <w:rPr>
          <w:color w:val="0070C0"/>
        </w:rPr>
        <w:t>estacar toda desviación significativa respecto del marco legal y regulatorio que rige las transferencias y adjudicaciones de licencias, explicando la metodología empleada para la evaluación.</w:t>
      </w:r>
      <w:r>
        <w:rPr>
          <w:color w:val="0070C0"/>
        </w:rPr>
        <w:br/>
      </w:r>
    </w:p>
    <w:p w14:paraId="385F70F8" w14:textId="4F2E6F00"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Procedimientos de otorgamiento de licencias:</w:t>
      </w:r>
      <w:r>
        <w:rPr>
          <w:color w:val="0070C0"/>
        </w:rPr>
        <w:t xml:space="preserve"> </w:t>
      </w:r>
      <w:r w:rsidR="007A5AAA">
        <w:rPr>
          <w:color w:val="0070C0"/>
        </w:rPr>
        <w:t>p</w:t>
      </w:r>
      <w:r>
        <w:rPr>
          <w:color w:val="0070C0"/>
        </w:rPr>
        <w:t>resentar comentarios sobre la eficiencia y eficacia de los procedimientos de otorgamiento de licencias; una descripción de los procedimientos, las prácticas reales y las causas de renovación, suspensión o revocación de contratos o licencias; e información sobre cambios en la participación mayoritaria de las empresas titulares de licencias.</w:t>
      </w:r>
      <w:r>
        <w:rPr>
          <w:color w:val="0070C0"/>
        </w:rPr>
        <w:br/>
      </w:r>
    </w:p>
    <w:p w14:paraId="407DB6A1" w14:textId="77777777"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Registros y catastros:</w:t>
      </w:r>
      <w:r>
        <w:rPr>
          <w:color w:val="0070C0"/>
        </w:rPr>
        <w:t xml:space="preserve"> Si no existen registros o catastros de licencias o estos están incompletos, ofrecer recomendaciones en relación con las brechas divulgativas y documentar las iniciativas orientadas a mejorar estos sistemas.</w:t>
      </w:r>
      <w:r>
        <w:rPr>
          <w:color w:val="0070C0"/>
        </w:rPr>
        <w:br/>
      </w:r>
    </w:p>
    <w:p w14:paraId="31D424D7" w14:textId="77777777"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Contratos y licencias:</w:t>
      </w:r>
      <w:r>
        <w:rPr>
          <w:color w:val="0070C0"/>
        </w:rPr>
        <w:t xml:space="preserve"> Identificar desviaciones respecto de los requisitos sobre divulgación de contratos y licencias establecidos en las políticas legislativas o gubernamentales.</w:t>
      </w:r>
      <w:r>
        <w:rPr>
          <w:color w:val="0070C0"/>
        </w:rPr>
        <w:br/>
      </w:r>
    </w:p>
    <w:p w14:paraId="32962A97" w14:textId="2311BC70"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Beneficiarios reales:</w:t>
      </w:r>
      <w:r>
        <w:rPr>
          <w:color w:val="0070C0"/>
        </w:rPr>
        <w:t xml:space="preserve"> </w:t>
      </w:r>
      <w:r w:rsidR="00E50D9D">
        <w:rPr>
          <w:color w:val="0070C0"/>
        </w:rPr>
        <w:t>i</w:t>
      </w:r>
      <w:r>
        <w:rPr>
          <w:color w:val="0070C0"/>
        </w:rPr>
        <w:t>nformar las brechas o debilidades significativas que haya en la divulgación de los beneficiarios reales, incluidas las entidades que no hayan presentado información completa.</w:t>
      </w:r>
      <w:r>
        <w:rPr>
          <w:color w:val="0070C0"/>
        </w:rPr>
        <w:br/>
      </w:r>
    </w:p>
    <w:p w14:paraId="45ECBE91" w14:textId="3AAA67C4"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Garantía de la calidad de los datos sobre ingresos:</w:t>
      </w:r>
      <w:r>
        <w:rPr>
          <w:color w:val="0070C0"/>
        </w:rPr>
        <w:t xml:space="preserve"> </w:t>
      </w:r>
      <w:r w:rsidR="00E50D9D">
        <w:rPr>
          <w:color w:val="0070C0"/>
        </w:rPr>
        <w:t>e</w:t>
      </w:r>
      <w:r>
        <w:rPr>
          <w:color w:val="0070C0"/>
        </w:rPr>
        <w:t>xplicar las discrepancias significativas que se hayan identificado durante el cotejo de ingresos o el enfoque basado en los riesgos.</w:t>
      </w:r>
      <w:r>
        <w:rPr>
          <w:color w:val="0070C0"/>
        </w:rPr>
        <w:br/>
      </w:r>
    </w:p>
    <w:p w14:paraId="2657A71B" w14:textId="2D91AA4E"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 xml:space="preserve">Ventas de la </w:t>
      </w:r>
      <w:r w:rsidR="004C44B9">
        <w:rPr>
          <w:b/>
          <w:color w:val="0070C0"/>
        </w:rPr>
        <w:t xml:space="preserve">participación estatal en la </w:t>
      </w:r>
      <w:r>
        <w:rPr>
          <w:b/>
          <w:color w:val="0070C0"/>
        </w:rPr>
        <w:t>producción:</w:t>
      </w:r>
      <w:r>
        <w:rPr>
          <w:color w:val="0070C0"/>
        </w:rPr>
        <w:t xml:space="preserve"> </w:t>
      </w:r>
      <w:r w:rsidR="00E50D9D">
        <w:rPr>
          <w:color w:val="0070C0"/>
        </w:rPr>
        <w:t>d</w:t>
      </w:r>
      <w:r>
        <w:rPr>
          <w:color w:val="0070C0"/>
        </w:rPr>
        <w:t>estacar las desviaciones materiales respecto de los marcos legales y regulatorios que rigen la selección de las empresas compradoras y los acuerdos de venta asociados.</w:t>
      </w:r>
      <w:r>
        <w:t xml:space="preserve"> </w:t>
      </w:r>
      <w:r>
        <w:br/>
      </w:r>
    </w:p>
    <w:p w14:paraId="0BB275E7" w14:textId="483F2F1A"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Transferencias de ingresos:</w:t>
      </w:r>
      <w:r>
        <w:rPr>
          <w:color w:val="0070C0"/>
        </w:rPr>
        <w:t xml:space="preserve"> </w:t>
      </w:r>
      <w:r w:rsidR="00E50D9D">
        <w:rPr>
          <w:color w:val="0070C0"/>
        </w:rPr>
        <w:t>s</w:t>
      </w:r>
      <w:r>
        <w:rPr>
          <w:color w:val="0070C0"/>
        </w:rPr>
        <w:t xml:space="preserve">eñalar las discrepancias existentes entre los montos de ingresos esperados y transferidos entre el gobierno central y las entidades subnacionales, conforme a la fórmula de repartición de ingresos aplicable, y alentar al gobierno a explicar las discrepancias que </w:t>
      </w:r>
      <w:r w:rsidR="007A312C">
        <w:rPr>
          <w:color w:val="0070C0"/>
        </w:rPr>
        <w:t>existan</w:t>
      </w:r>
      <w:r>
        <w:rPr>
          <w:color w:val="0070C0"/>
        </w:rPr>
        <w:t>.</w:t>
      </w:r>
      <w:r>
        <w:rPr>
          <w:color w:val="0070C0"/>
        </w:rPr>
        <w:br/>
      </w:r>
    </w:p>
    <w:p w14:paraId="5861D025" w14:textId="0608755A"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lastRenderedPageBreak/>
        <w:t>Obligaciones sociales y ambientales:</w:t>
      </w:r>
      <w:r>
        <w:rPr>
          <w:color w:val="0070C0"/>
        </w:rPr>
        <w:t xml:space="preserve"> </w:t>
      </w:r>
      <w:r w:rsidR="005B68D9">
        <w:rPr>
          <w:color w:val="0070C0"/>
        </w:rPr>
        <w:t>e</w:t>
      </w:r>
      <w:r>
        <w:rPr>
          <w:color w:val="0070C0"/>
        </w:rPr>
        <w:t>valuar si las obligaciones legales o contractuales relativas a gastos o pagos sociales y ambientales se están respetando en la práctica.</w:t>
      </w:r>
      <w:r>
        <w:rPr>
          <w:color w:val="0070C0"/>
        </w:rPr>
        <w:br/>
      </w:r>
    </w:p>
    <w:p w14:paraId="3B7B023E" w14:textId="3AFEDE33" w:rsidR="00C45DFB" w:rsidRPr="00DE200D" w:rsidRDefault="00C45DFB" w:rsidP="00C45DFB">
      <w:pPr>
        <w:pStyle w:val="ListParagraph0"/>
        <w:widowControl/>
        <w:numPr>
          <w:ilvl w:val="2"/>
          <w:numId w:val="30"/>
        </w:numPr>
        <w:suppressAutoHyphens w:val="0"/>
        <w:spacing w:before="240" w:line="240" w:lineRule="auto"/>
        <w:ind w:left="1701"/>
      </w:pPr>
      <w:r>
        <w:rPr>
          <w:b/>
          <w:color w:val="0070C0"/>
        </w:rPr>
        <w:t>Brechas e irregularidades:</w:t>
      </w:r>
      <w:r>
        <w:rPr>
          <w:color w:val="0070C0"/>
        </w:rPr>
        <w:t xml:space="preserve"> </w:t>
      </w:r>
      <w:r w:rsidR="005B68D9">
        <w:rPr>
          <w:color w:val="0070C0"/>
        </w:rPr>
        <w:t>i</w:t>
      </w:r>
      <w:r>
        <w:rPr>
          <w:color w:val="0070C0"/>
        </w:rPr>
        <w:t xml:space="preserve">dentificar las brechas, inconsistencias e irregularidades que </w:t>
      </w:r>
      <w:r w:rsidR="004F2631">
        <w:rPr>
          <w:color w:val="0070C0"/>
        </w:rPr>
        <w:t xml:space="preserve">existan </w:t>
      </w:r>
      <w:r>
        <w:rPr>
          <w:color w:val="0070C0"/>
        </w:rPr>
        <w:t>en la información divulgada.</w:t>
      </w:r>
      <w:r>
        <w:rPr>
          <w:color w:val="0070C0"/>
        </w:rPr>
        <w:br/>
      </w:r>
    </w:p>
    <w:p w14:paraId="7911E674" w14:textId="77777777" w:rsidR="00C45DFB" w:rsidRPr="00DE200D" w:rsidRDefault="00C45DFB" w:rsidP="000A53CA">
      <w:pPr>
        <w:pStyle w:val="ListParagraph0"/>
        <w:widowControl/>
        <w:numPr>
          <w:ilvl w:val="1"/>
          <w:numId w:val="30"/>
        </w:numPr>
        <w:suppressAutoHyphens w:val="0"/>
        <w:spacing w:before="240" w:line="240" w:lineRule="auto"/>
      </w:pPr>
      <w:r>
        <w:rPr>
          <w:b/>
          <w:bCs/>
          <w:color w:val="0070C0"/>
        </w:rPr>
        <w:t>Acordar recomendaciones factibles con el GMP</w:t>
      </w:r>
      <w:r>
        <w:rPr>
          <w:color w:val="0070C0"/>
        </w:rPr>
        <w:t xml:space="preserve"> para fortalecer la gobernanza de las industrias extractivas en el país, las divulgaciones y los sistemas de divulgación.</w:t>
      </w:r>
    </w:p>
    <w:p w14:paraId="3EC2D97D" w14:textId="185A51CF" w:rsidR="00C45DFB" w:rsidRPr="00DE200D" w:rsidRDefault="00C45DFB" w:rsidP="00C45DFB">
      <w:pPr>
        <w:pStyle w:val="Heading2"/>
      </w:pPr>
      <w:bookmarkStart w:id="14" w:name="_Toc180650428"/>
      <w:r>
        <w:t xml:space="preserve">Fase 5: </w:t>
      </w:r>
      <w:r w:rsidR="00D342CF">
        <w:t>Divulgación de información EITI</w:t>
      </w:r>
      <w:r>
        <w:t xml:space="preserve"> </w:t>
      </w:r>
      <w:r w:rsidR="00D342CF">
        <w:t xml:space="preserve">orientada </w:t>
      </w:r>
      <w:r>
        <w:t>a generar impacto</w:t>
      </w:r>
      <w:bookmarkEnd w:id="14"/>
    </w:p>
    <w:p w14:paraId="541E7916" w14:textId="295F3813" w:rsidR="00C45DFB" w:rsidRPr="00DE200D" w:rsidRDefault="00C45DFB" w:rsidP="00C45DFB">
      <w:pPr>
        <w:spacing w:after="0" w:line="276" w:lineRule="auto"/>
      </w:pPr>
      <w:r>
        <w:rPr>
          <w:b/>
        </w:rPr>
        <w:t>Objetivo:</w:t>
      </w:r>
      <w:r>
        <w:t xml:space="preserve"> El propósito </w:t>
      </w:r>
      <w:r w:rsidR="00D342CF">
        <w:t>de la divulgación de información EITI</w:t>
      </w:r>
      <w:r>
        <w:t xml:space="preserve"> es orientar el debate público y las conversaciones en torno a las cuestiones de gobernanza del sector extractivo, en sintonía con las prioridades del GMP y el contexto del país. Para ello, </w:t>
      </w:r>
      <w:r w:rsidR="00001C0B">
        <w:t>la divulgación de información</w:t>
      </w:r>
      <w:r>
        <w:t xml:space="preserve"> EITI deberían presentarse de un modo claro y accesible, que tenga en cuenta a los destinatarios clave, las dificultades de acceso a la información y las necesidades informativas de </w:t>
      </w:r>
      <w:r w:rsidR="00001C0B">
        <w:t xml:space="preserve">grupos </w:t>
      </w:r>
      <w:r>
        <w:t xml:space="preserve">diferentes. En este sentido, debería prestarse atención a la extensión y el idioma de los informes, que deberían incluir un resumen de las conclusiones clave. </w:t>
      </w:r>
    </w:p>
    <w:p w14:paraId="30181151" w14:textId="77777777" w:rsidR="00C45DFB" w:rsidRPr="00DE200D" w:rsidRDefault="00C45DFB" w:rsidP="00C45DFB">
      <w:pPr>
        <w:pStyle w:val="Captiontext"/>
        <w:spacing w:before="240"/>
        <w:rPr>
          <w:i w:val="0"/>
          <w:iCs w:val="0"/>
          <w:color w:val="auto"/>
          <w:sz w:val="22"/>
          <w:szCs w:val="24"/>
        </w:rPr>
      </w:pPr>
      <w:r>
        <w:rPr>
          <w:i w:val="0"/>
          <w:color w:val="auto"/>
          <w:sz w:val="22"/>
        </w:rPr>
        <w:t>El Informe EITI podría estructurarse del siguiente modo:</w:t>
      </w:r>
    </w:p>
    <w:p w14:paraId="265D1F7A" w14:textId="44F700A0" w:rsidR="00C45DFB" w:rsidRPr="00DE200D" w:rsidRDefault="00C45DFB" w:rsidP="00C45DFB">
      <w:pPr>
        <w:pStyle w:val="Captiontext"/>
        <w:numPr>
          <w:ilvl w:val="0"/>
          <w:numId w:val="7"/>
        </w:numPr>
        <w:spacing w:before="240"/>
        <w:rPr>
          <w:b/>
          <w:bCs/>
          <w:i w:val="0"/>
          <w:iCs w:val="0"/>
          <w:color w:val="auto"/>
          <w:sz w:val="22"/>
          <w:szCs w:val="24"/>
        </w:rPr>
      </w:pPr>
      <w:r>
        <w:rPr>
          <w:b/>
          <w:i w:val="0"/>
          <w:color w:val="auto"/>
          <w:sz w:val="22"/>
        </w:rPr>
        <w:t xml:space="preserve">Introducción: </w:t>
      </w:r>
      <w:r w:rsidR="005B68D9">
        <w:rPr>
          <w:i w:val="0"/>
          <w:color w:val="auto"/>
          <w:sz w:val="22"/>
        </w:rPr>
        <w:t>e</w:t>
      </w:r>
      <w:r>
        <w:rPr>
          <w:i w:val="0"/>
          <w:color w:val="auto"/>
          <w:sz w:val="22"/>
        </w:rPr>
        <w:t xml:space="preserve">sta sección debería señalar los objetivos y prioridades convenidos por el GMP para el ciclo de </w:t>
      </w:r>
      <w:r w:rsidR="00576C85">
        <w:rPr>
          <w:i w:val="0"/>
          <w:color w:val="auto"/>
          <w:sz w:val="22"/>
        </w:rPr>
        <w:t>reporte EITI</w:t>
      </w:r>
      <w:r>
        <w:rPr>
          <w:i w:val="0"/>
          <w:color w:val="auto"/>
          <w:sz w:val="22"/>
        </w:rPr>
        <w:t>. Debería reseñar las cuestiones de gobernanza fundamentales que el informe aspira a abordar y ofrecer contexto, incluyendo las cifras macroeconómicas, las reformas planeadas o en curso de la gobernanza del sector extractivo, la administración de las finanzas públicas y cuestiones de desarrollo vinculadas a las industrias extractivas.</w:t>
      </w:r>
    </w:p>
    <w:p w14:paraId="5D8D56FF" w14:textId="70B2E1A3" w:rsidR="00C45DFB" w:rsidRPr="00DE200D" w:rsidRDefault="00C45DFB" w:rsidP="00C45DFB">
      <w:pPr>
        <w:pStyle w:val="Captiontext"/>
        <w:numPr>
          <w:ilvl w:val="0"/>
          <w:numId w:val="7"/>
        </w:numPr>
        <w:spacing w:before="240"/>
        <w:rPr>
          <w:i w:val="0"/>
          <w:iCs w:val="0"/>
          <w:color w:val="auto"/>
          <w:sz w:val="22"/>
          <w:szCs w:val="22"/>
        </w:rPr>
      </w:pPr>
      <w:r>
        <w:rPr>
          <w:b/>
          <w:i w:val="0"/>
          <w:color w:val="auto"/>
          <w:sz w:val="22"/>
        </w:rPr>
        <w:t xml:space="preserve">Conclusiones y recomendaciones: </w:t>
      </w:r>
      <w:r w:rsidR="005B68D9">
        <w:rPr>
          <w:i w:val="0"/>
          <w:color w:val="auto"/>
          <w:sz w:val="22"/>
        </w:rPr>
        <w:t>e</w:t>
      </w:r>
      <w:r>
        <w:rPr>
          <w:i w:val="0"/>
          <w:color w:val="auto"/>
          <w:sz w:val="22"/>
        </w:rPr>
        <w:t xml:space="preserve">sta sección debería ser congruente con las cuestiones de gobernanza fundamentales abordadas en el informe. Podría incluir lo siguiente: </w:t>
      </w:r>
    </w:p>
    <w:p w14:paraId="124F6003" w14:textId="77777777" w:rsidR="00C45DFB" w:rsidRPr="00DE200D" w:rsidRDefault="00C45DFB" w:rsidP="00C45DFB">
      <w:pPr>
        <w:pStyle w:val="ListParagraph0"/>
        <w:widowControl/>
        <w:numPr>
          <w:ilvl w:val="0"/>
          <w:numId w:val="23"/>
        </w:numPr>
        <w:suppressAutoHyphens w:val="0"/>
        <w:spacing w:after="0" w:line="276" w:lineRule="auto"/>
        <w:ind w:left="1080"/>
      </w:pPr>
      <w:r>
        <w:t>Aspectos destacados de los datos divulgados (tanto los divulgados sistemáticamente como los específicos del informe);</w:t>
      </w:r>
    </w:p>
    <w:p w14:paraId="0A2311BC" w14:textId="77777777" w:rsidR="00C45DFB" w:rsidRPr="00DE200D" w:rsidRDefault="00C45DFB" w:rsidP="00C45DFB">
      <w:pPr>
        <w:pStyle w:val="ListParagraph0"/>
        <w:widowControl/>
        <w:numPr>
          <w:ilvl w:val="0"/>
          <w:numId w:val="23"/>
        </w:numPr>
        <w:suppressAutoHyphens w:val="0"/>
        <w:spacing w:after="0" w:line="276" w:lineRule="auto"/>
        <w:ind w:left="1080"/>
      </w:pPr>
      <w:r>
        <w:t xml:space="preserve">Un diagnóstico de las brechas o desviaciones respecto de las normas y procedimientos previstos en las leyes; </w:t>
      </w:r>
    </w:p>
    <w:p w14:paraId="7E6C0713" w14:textId="77777777" w:rsidR="00C45DFB" w:rsidRPr="00DE200D" w:rsidRDefault="00C45DFB" w:rsidP="00C45DFB">
      <w:pPr>
        <w:pStyle w:val="ListParagraph0"/>
        <w:widowControl/>
        <w:numPr>
          <w:ilvl w:val="0"/>
          <w:numId w:val="23"/>
        </w:numPr>
        <w:suppressAutoHyphens w:val="0"/>
        <w:spacing w:after="0" w:line="276" w:lineRule="auto"/>
        <w:ind w:left="1080"/>
      </w:pPr>
      <w:r>
        <w:t xml:space="preserve">Recomendaciones factibles para fortalecer los sistemas de divulgación pública tanto del gobierno como de las empresas; </w:t>
      </w:r>
    </w:p>
    <w:p w14:paraId="1158636F" w14:textId="77777777" w:rsidR="00C45DFB" w:rsidRPr="00DE200D" w:rsidRDefault="00C45DFB" w:rsidP="00C45DFB">
      <w:pPr>
        <w:pStyle w:val="ListParagraph0"/>
        <w:widowControl/>
        <w:numPr>
          <w:ilvl w:val="0"/>
          <w:numId w:val="23"/>
        </w:numPr>
        <w:suppressAutoHyphens w:val="0"/>
        <w:spacing w:before="240" w:after="0" w:line="276" w:lineRule="auto"/>
        <w:ind w:left="1080"/>
        <w:rPr>
          <w:i/>
        </w:rPr>
      </w:pPr>
      <w:r>
        <w:t>Recomendaciones concretas para apoyar las reformas propuestas o en curso de las leyes, regulaciones y prácticas administrativas relativas a la gobernanza del sector extractivo;</w:t>
      </w:r>
    </w:p>
    <w:p w14:paraId="06EB52A6" w14:textId="77777777" w:rsidR="00C45DFB" w:rsidRPr="00DE200D" w:rsidRDefault="00C45DFB" w:rsidP="00C45DFB">
      <w:pPr>
        <w:pStyle w:val="ListParagraph0"/>
        <w:widowControl/>
        <w:numPr>
          <w:ilvl w:val="0"/>
          <w:numId w:val="23"/>
        </w:numPr>
        <w:suppressAutoHyphens w:val="0"/>
        <w:spacing w:before="240" w:after="0" w:line="276" w:lineRule="auto"/>
        <w:ind w:left="1080"/>
        <w:rPr>
          <w:i/>
          <w:iCs/>
        </w:rPr>
      </w:pPr>
      <w:r>
        <w:t xml:space="preserve">Los modos en que el informe contribuye a las conversaciones sobre políticas y los debates sobre cuestiones de gobernanza concernientes a las prioridades nacionales, entre ellas, la lucha contra la corrupción, la movilización de ingresos nacionales y la transición energética. </w:t>
      </w:r>
      <w:r>
        <w:br/>
      </w:r>
    </w:p>
    <w:p w14:paraId="0CCE5C0F" w14:textId="6A3D0AEF" w:rsidR="00C45DFB" w:rsidRPr="00DE200D" w:rsidRDefault="00C45DFB" w:rsidP="00C45DFB">
      <w:pPr>
        <w:pStyle w:val="ListParagraph0"/>
        <w:widowControl/>
        <w:numPr>
          <w:ilvl w:val="0"/>
          <w:numId w:val="11"/>
        </w:numPr>
        <w:suppressAutoHyphens w:val="0"/>
        <w:spacing w:before="240" w:after="0" w:line="276" w:lineRule="auto"/>
        <w:ind w:left="709" w:hanging="283"/>
      </w:pPr>
      <w:r>
        <w:rPr>
          <w:b/>
        </w:rPr>
        <w:lastRenderedPageBreak/>
        <w:t xml:space="preserve">Estado de la transparencia en la cadena de valor de las industrias extractivas: </w:t>
      </w:r>
      <w:r w:rsidR="005B68D9">
        <w:t>e</w:t>
      </w:r>
      <w:r>
        <w:t xml:space="preserve">sta sección debería abordar las divulgaciones exigidas en función del Estándar EITI o el alcance definido por el GMP. La información puede presentarse siguiendo la cadena de valor de las industrias extractivas o agrupada por temas (p. ej. todas las divulgaciones sobre participación estatal). </w:t>
      </w:r>
    </w:p>
    <w:p w14:paraId="63AE764D" w14:textId="77777777" w:rsidR="00C45DFB" w:rsidRPr="00DE200D" w:rsidRDefault="00C45DFB" w:rsidP="00C45DFB">
      <w:pPr>
        <w:spacing w:after="0" w:line="276" w:lineRule="auto"/>
        <w:rPr>
          <w:rFonts w:eastAsia="Calibri"/>
        </w:rPr>
      </w:pPr>
      <w:r>
        <w:t>Las divulgaciones del EITI deben recibir la aprobación del GMP antes de publicarse. El GMP supervisará la versión final del informe que se publique. Si las partes interesadas desean incluir opiniones o comentarios adicionales, debe indicarse claramente su autoría.</w:t>
      </w:r>
    </w:p>
    <w:p w14:paraId="36FD536C" w14:textId="77777777" w:rsidR="00C45DFB" w:rsidRPr="00DE200D" w:rsidRDefault="00C45DFB" w:rsidP="00C45DFB">
      <w:pPr>
        <w:shd w:val="clear" w:color="auto" w:fill="FFFFFF"/>
        <w:tabs>
          <w:tab w:val="left" w:pos="709"/>
        </w:tabs>
        <w:spacing w:line="276" w:lineRule="auto"/>
        <w:rPr>
          <w:rFonts w:eastAsia="Calibri"/>
          <w:b/>
          <w:bCs/>
          <w:lang w:eastAsia="nb-NO"/>
        </w:rPr>
      </w:pPr>
    </w:p>
    <w:p w14:paraId="2F761BD8" w14:textId="77777777" w:rsidR="00C45DFB" w:rsidRPr="00DE200D" w:rsidRDefault="00C45DFB" w:rsidP="00C45DFB">
      <w:pPr>
        <w:shd w:val="clear" w:color="auto" w:fill="FFFFFF"/>
        <w:tabs>
          <w:tab w:val="left" w:pos="709"/>
        </w:tabs>
        <w:spacing w:line="276" w:lineRule="auto"/>
        <w:rPr>
          <w:rFonts w:eastAsia="Calibri"/>
          <w:b/>
          <w:bCs/>
          <w:lang w:eastAsia="nb-NO"/>
        </w:rPr>
      </w:pPr>
    </w:p>
    <w:p w14:paraId="6116FD7E" w14:textId="77777777" w:rsidR="00C45DFB" w:rsidRPr="00DE200D" w:rsidRDefault="00C45DFB" w:rsidP="00C45DFB">
      <w:pPr>
        <w:shd w:val="clear" w:color="auto" w:fill="FFFFFF"/>
        <w:tabs>
          <w:tab w:val="left" w:pos="709"/>
        </w:tabs>
        <w:spacing w:line="276" w:lineRule="auto"/>
        <w:rPr>
          <w:rFonts w:eastAsia="Calibri"/>
          <w:b/>
          <w:bCs/>
        </w:rPr>
      </w:pPr>
      <w:r>
        <w:rPr>
          <w:b/>
        </w:rPr>
        <w:t>Se espera que la Entidad haga lo siguiente:</w:t>
      </w:r>
    </w:p>
    <w:p w14:paraId="4A07A450" w14:textId="263C3D79" w:rsidR="00C45DFB" w:rsidRPr="00DE200D" w:rsidRDefault="00C45DFB" w:rsidP="00C45DFB">
      <w:pPr>
        <w:pStyle w:val="ListParagraph0"/>
        <w:widowControl/>
        <w:numPr>
          <w:ilvl w:val="1"/>
          <w:numId w:val="17"/>
        </w:numPr>
        <w:shd w:val="clear" w:color="auto" w:fill="FFFFFF"/>
        <w:tabs>
          <w:tab w:val="left" w:pos="567"/>
        </w:tabs>
        <w:suppressAutoHyphens w:val="0"/>
        <w:spacing w:before="240" w:after="0" w:line="276" w:lineRule="auto"/>
        <w:rPr>
          <w:rFonts w:eastAsia="Calibri"/>
          <w:color w:val="0070C0"/>
        </w:rPr>
      </w:pPr>
      <w:r>
        <w:rPr>
          <w:b/>
          <w:color w:val="0070C0"/>
        </w:rPr>
        <w:t>Garantizar la traducción del material:</w:t>
      </w:r>
      <w:r>
        <w:rPr>
          <w:color w:val="0070C0"/>
        </w:rPr>
        <w:t xml:space="preserve"> </w:t>
      </w:r>
      <w:r w:rsidR="005B68D9">
        <w:rPr>
          <w:color w:val="0070C0"/>
        </w:rPr>
        <w:t>l</w:t>
      </w:r>
      <w:r>
        <w:rPr>
          <w:color w:val="0070C0"/>
        </w:rPr>
        <w:t>a versión final del informe deberá traducirse a los siguientes idiomas: [Indicar idiomas].</w:t>
      </w:r>
    </w:p>
    <w:p w14:paraId="22376D3A" w14:textId="77777777" w:rsidR="00C45DFB" w:rsidRPr="00DE200D" w:rsidRDefault="00C45DFB" w:rsidP="00C45DFB">
      <w:pPr>
        <w:widowControl/>
        <w:shd w:val="clear" w:color="auto" w:fill="FFFFFF"/>
        <w:tabs>
          <w:tab w:val="left" w:pos="567"/>
        </w:tabs>
        <w:suppressAutoHyphens w:val="0"/>
        <w:spacing w:before="0" w:after="0" w:line="240" w:lineRule="auto"/>
        <w:rPr>
          <w:rFonts w:eastAsia="Calibri"/>
          <w:color w:val="0070C0"/>
          <w:lang w:eastAsia="nb-NO"/>
        </w:rPr>
      </w:pPr>
    </w:p>
    <w:p w14:paraId="43660D95" w14:textId="71F71817" w:rsidR="00C45DFB" w:rsidRPr="00DE200D" w:rsidRDefault="00C45DFB" w:rsidP="00C45DFB">
      <w:pPr>
        <w:rPr>
          <w:rFonts w:eastAsia="Calibri"/>
          <w:color w:val="0070C0"/>
        </w:rPr>
      </w:pPr>
      <w:r>
        <w:rPr>
          <w:b/>
          <w:noProof/>
          <w:color w:val="D24228"/>
        </w:rPr>
        <w:drawing>
          <wp:anchor distT="0" distB="0" distL="114300" distR="114300" simplePos="0" relativeHeight="251658248" behindDoc="0" locked="0" layoutInCell="1" allowOverlap="1" wp14:anchorId="1D3CB183" wp14:editId="3C72AF2E">
            <wp:simplePos x="0" y="0"/>
            <wp:positionH relativeFrom="column">
              <wp:posOffset>0</wp:posOffset>
            </wp:positionH>
            <wp:positionV relativeFrom="paragraph">
              <wp:posOffset>42551</wp:posOffset>
            </wp:positionV>
            <wp:extent cx="444382" cy="444382"/>
            <wp:effectExtent l="0" t="0" r="0" b="635"/>
            <wp:wrapSquare wrapText="bothSides"/>
            <wp:docPr id="54635073"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4382" cy="444382"/>
                    </a:xfrm>
                    <a:prstGeom prst="rect">
                      <a:avLst/>
                    </a:prstGeom>
                  </pic:spPr>
                </pic:pic>
              </a:graphicData>
            </a:graphic>
            <wp14:sizeRelH relativeFrom="page">
              <wp14:pctWidth>0</wp14:pctWidth>
            </wp14:sizeRelH>
            <wp14:sizeRelV relativeFrom="page">
              <wp14:pctHeight>0</wp14:pctHeight>
            </wp14:sizeRelV>
          </wp:anchor>
        </w:drawing>
      </w:r>
      <w:r>
        <w:rPr>
          <w:b/>
          <w:color w:val="D24228"/>
        </w:rPr>
        <w:t>Consejo:</w:t>
      </w:r>
      <w:r>
        <w:rPr>
          <w:color w:val="D24228"/>
        </w:rPr>
        <w:t xml:space="preserve"> Si el GMP necesita que la Entidad traduzca el informe, especifique el/los idioma/s pertinente/s.</w:t>
      </w:r>
      <w:r>
        <w:rPr>
          <w:color w:val="0070C0"/>
        </w:rPr>
        <w:br/>
      </w:r>
    </w:p>
    <w:p w14:paraId="3D23D9DB" w14:textId="49378A48" w:rsidR="00C45DFB" w:rsidRPr="00DE200D" w:rsidRDefault="00C45DFB" w:rsidP="00C45DFB">
      <w:pPr>
        <w:pStyle w:val="ListParagraph0"/>
        <w:widowControl/>
        <w:numPr>
          <w:ilvl w:val="1"/>
          <w:numId w:val="17"/>
        </w:numPr>
        <w:shd w:val="clear" w:color="auto" w:fill="FFFFFF"/>
        <w:tabs>
          <w:tab w:val="left" w:pos="567"/>
        </w:tabs>
        <w:suppressAutoHyphens w:val="0"/>
        <w:spacing w:before="240" w:after="240" w:line="276" w:lineRule="auto"/>
        <w:rPr>
          <w:rFonts w:eastAsia="Calibri"/>
          <w:color w:val="4472C4" w:themeColor="accent1"/>
        </w:rPr>
      </w:pPr>
      <w:r>
        <w:rPr>
          <w:b/>
          <w:color w:val="0070C0"/>
        </w:rPr>
        <w:t xml:space="preserve">Generar y presentar archivos de datos resumidos: </w:t>
      </w:r>
      <w:r w:rsidR="000F1211">
        <w:rPr>
          <w:color w:val="0070C0"/>
        </w:rPr>
        <w:t>g</w:t>
      </w:r>
      <w:r>
        <w:rPr>
          <w:color w:val="0070C0"/>
        </w:rPr>
        <w:t>enerar archivos de datos resumidos</w:t>
      </w:r>
      <w:r w:rsidRPr="00DE200D">
        <w:rPr>
          <w:rStyle w:val="FootnoteReference"/>
          <w:rFonts w:eastAsia="Calibri"/>
          <w:color w:val="0070C0"/>
          <w:lang w:eastAsia="nb-NO"/>
        </w:rPr>
        <w:footnoteReference w:id="3"/>
      </w:r>
      <w:r>
        <w:rPr>
          <w:color w:val="0070C0"/>
        </w:rPr>
        <w:t xml:space="preserve"> de acuerdo con la plantilla de datos resumidos del EITI y asegurarse de que se publiquen junto con el informe final</w:t>
      </w:r>
      <w:r w:rsidRPr="000A53CA">
        <w:rPr>
          <w:color w:val="4472C4" w:themeColor="accent1"/>
        </w:rPr>
        <w:t xml:space="preserve">. </w:t>
      </w:r>
      <w:r w:rsidRPr="000A53CA">
        <w:rPr>
          <w:color w:val="0070C0"/>
        </w:rPr>
        <w:t xml:space="preserve">Tras recibir la aprobación del GMP, la Entidad debe remitir los datos resumidos de manera electrónica al Secretariado Internacional utilizando el formato de presentación de informes estándar. </w:t>
      </w:r>
      <w:r w:rsidRPr="000A53CA">
        <w:rPr>
          <w:color w:val="4472C4" w:themeColor="accent1"/>
        </w:rPr>
        <w:br/>
      </w:r>
    </w:p>
    <w:p w14:paraId="23698066" w14:textId="128C2694" w:rsidR="00C45DFB" w:rsidRPr="00DE200D" w:rsidRDefault="00C45DFB" w:rsidP="00C45DFB">
      <w:pPr>
        <w:pStyle w:val="ListParagraph0"/>
        <w:widowControl/>
        <w:numPr>
          <w:ilvl w:val="1"/>
          <w:numId w:val="17"/>
        </w:numPr>
        <w:shd w:val="clear" w:color="auto" w:fill="FFFFFF"/>
        <w:tabs>
          <w:tab w:val="left" w:pos="567"/>
        </w:tabs>
        <w:suppressAutoHyphens w:val="0"/>
        <w:spacing w:before="240" w:after="240" w:line="276" w:lineRule="auto"/>
        <w:rPr>
          <w:rFonts w:eastAsia="Calibri"/>
          <w:color w:val="4472C4" w:themeColor="accent1"/>
        </w:rPr>
      </w:pPr>
      <w:r>
        <w:rPr>
          <w:b/>
          <w:noProof/>
          <w:color w:val="D24228"/>
        </w:rPr>
        <w:drawing>
          <wp:anchor distT="0" distB="0" distL="114300" distR="114300" simplePos="0" relativeHeight="251658249" behindDoc="0" locked="0" layoutInCell="1" allowOverlap="1" wp14:anchorId="16B74138" wp14:editId="0F4DBC17">
            <wp:simplePos x="0" y="0"/>
            <wp:positionH relativeFrom="column">
              <wp:posOffset>54106</wp:posOffset>
            </wp:positionH>
            <wp:positionV relativeFrom="paragraph">
              <wp:posOffset>635635</wp:posOffset>
            </wp:positionV>
            <wp:extent cx="443865" cy="443865"/>
            <wp:effectExtent l="0" t="0" r="0" b="635"/>
            <wp:wrapSquare wrapText="bothSides"/>
            <wp:docPr id="1986861909"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3865" cy="443865"/>
                    </a:xfrm>
                    <a:prstGeom prst="rect">
                      <a:avLst/>
                    </a:prstGeom>
                  </pic:spPr>
                </pic:pic>
              </a:graphicData>
            </a:graphic>
            <wp14:sizeRelH relativeFrom="page">
              <wp14:pctWidth>0</wp14:pctWidth>
            </wp14:sizeRelH>
            <wp14:sizeRelV relativeFrom="page">
              <wp14:pctHeight>0</wp14:pctHeight>
            </wp14:sizeRelV>
          </wp:anchor>
        </w:drawing>
      </w:r>
      <w:r>
        <w:rPr>
          <w:b/>
          <w:color w:val="0070C0"/>
        </w:rPr>
        <w:t>Garantizar la accesibilidad del informe:</w:t>
      </w:r>
      <w:r>
        <w:rPr>
          <w:color w:val="0070C0"/>
        </w:rPr>
        <w:t xml:space="preserve"> </w:t>
      </w:r>
      <w:r w:rsidR="000F1211">
        <w:rPr>
          <w:color w:val="0070C0"/>
        </w:rPr>
        <w:t>a</w:t>
      </w:r>
      <w:r>
        <w:rPr>
          <w:color w:val="0070C0"/>
        </w:rPr>
        <w:t>segurarse de que el informe sea comprensible, claro, legible y utilizable. El GMP podrá solicitar servicios profesionales de edición del contenido y/o diseño a fin de mejorar la claridad y presentación.</w:t>
      </w:r>
    </w:p>
    <w:p w14:paraId="216F9ABB" w14:textId="09D7EFD1" w:rsidR="00C45DFB" w:rsidRPr="00DE200D" w:rsidRDefault="00C45DFB" w:rsidP="00C45DFB">
      <w:pPr>
        <w:widowControl/>
        <w:shd w:val="clear" w:color="auto" w:fill="FFFFFF"/>
        <w:tabs>
          <w:tab w:val="left" w:pos="567"/>
        </w:tabs>
        <w:suppressAutoHyphens w:val="0"/>
        <w:spacing w:before="240" w:after="240" w:line="276" w:lineRule="auto"/>
        <w:ind w:left="993"/>
        <w:rPr>
          <w:rFonts w:eastAsia="Calibri"/>
          <w:color w:val="D24228"/>
        </w:rPr>
      </w:pPr>
      <w:r>
        <w:rPr>
          <w:b/>
          <w:color w:val="D24228"/>
        </w:rPr>
        <w:t>Consejo:</w:t>
      </w:r>
      <w:r>
        <w:rPr>
          <w:color w:val="D24228"/>
        </w:rPr>
        <w:t xml:space="preserve"> En el caso de que el GMP decida tercerizar estas tareas, deberían proporcionarse instrucciones adicionales.</w:t>
      </w:r>
    </w:p>
    <w:p w14:paraId="518FAAF6" w14:textId="627B7105" w:rsidR="00C45DFB" w:rsidRPr="00DE200D" w:rsidRDefault="00C45DFB" w:rsidP="00C45DFB">
      <w:pPr>
        <w:pStyle w:val="ListParagraph0"/>
        <w:widowControl/>
        <w:numPr>
          <w:ilvl w:val="1"/>
          <w:numId w:val="17"/>
        </w:numPr>
        <w:shd w:val="clear" w:color="auto" w:fill="FFFFFF"/>
        <w:tabs>
          <w:tab w:val="left" w:pos="567"/>
        </w:tabs>
        <w:suppressAutoHyphens w:val="0"/>
        <w:spacing w:before="240" w:after="240" w:line="276" w:lineRule="auto"/>
        <w:rPr>
          <w:rFonts w:eastAsia="Calibri"/>
          <w:color w:val="0070C0"/>
        </w:rPr>
      </w:pPr>
      <w:r>
        <w:rPr>
          <w:b/>
          <w:noProof/>
          <w:color w:val="D24228"/>
        </w:rPr>
        <w:drawing>
          <wp:anchor distT="0" distB="0" distL="114300" distR="114300" simplePos="0" relativeHeight="251658250" behindDoc="0" locked="0" layoutInCell="1" allowOverlap="1" wp14:anchorId="3435816B" wp14:editId="03B2AF28">
            <wp:simplePos x="0" y="0"/>
            <wp:positionH relativeFrom="column">
              <wp:posOffset>59820</wp:posOffset>
            </wp:positionH>
            <wp:positionV relativeFrom="paragraph">
              <wp:posOffset>640798</wp:posOffset>
            </wp:positionV>
            <wp:extent cx="443865" cy="443865"/>
            <wp:effectExtent l="0" t="0" r="0" b="635"/>
            <wp:wrapSquare wrapText="bothSides"/>
            <wp:docPr id="152793917" name="Graphic 16" descr="Lightbul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8353" name="Graphic 2005068353" descr="Lightbulb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43865" cy="443865"/>
                    </a:xfrm>
                    <a:prstGeom prst="rect">
                      <a:avLst/>
                    </a:prstGeom>
                  </pic:spPr>
                </pic:pic>
              </a:graphicData>
            </a:graphic>
            <wp14:sizeRelH relativeFrom="page">
              <wp14:pctWidth>0</wp14:pctWidth>
            </wp14:sizeRelH>
            <wp14:sizeRelV relativeFrom="page">
              <wp14:pctHeight>0</wp14:pctHeight>
            </wp14:sizeRelV>
          </wp:anchor>
        </w:drawing>
      </w:r>
      <w:r>
        <w:rPr>
          <w:b/>
          <w:color w:val="0070C0"/>
        </w:rPr>
        <w:t>Presentar los datos recabados al secretariado nacional:</w:t>
      </w:r>
      <w:r>
        <w:rPr>
          <w:color w:val="0070C0"/>
        </w:rPr>
        <w:t xml:space="preserve"> </w:t>
      </w:r>
      <w:r w:rsidR="00420FF4">
        <w:rPr>
          <w:color w:val="0070C0"/>
        </w:rPr>
        <w:t>f</w:t>
      </w:r>
      <w:r>
        <w:rPr>
          <w:color w:val="0070C0"/>
        </w:rPr>
        <w:t>acilitar al secretariado nacional todos los datos recabados durante el proceso de cotejo, incluidos los datos de contacto de todas las entidades involucradas en la elaboración del informe.</w:t>
      </w:r>
    </w:p>
    <w:p w14:paraId="5E40B34C" w14:textId="77777777" w:rsidR="000A53CA" w:rsidRPr="000A53CA" w:rsidRDefault="00C45DFB" w:rsidP="000A53CA">
      <w:pPr>
        <w:ind w:left="993"/>
        <w:rPr>
          <w:color w:val="D24228"/>
        </w:rPr>
      </w:pPr>
      <w:r w:rsidRPr="000A53CA">
        <w:rPr>
          <w:b/>
          <w:color w:val="D24228"/>
        </w:rPr>
        <w:t>Consejo:</w:t>
      </w:r>
      <w:r w:rsidRPr="000A53CA">
        <w:rPr>
          <w:color w:val="D24228"/>
        </w:rPr>
        <w:t xml:space="preserve"> Conserve esta instrucción en el caso de que la Entidad sea la encargada de presentar los datos al secretariado nacional. Si la compilación de estos datos está a cargo de un tercero, como una universidad o un organismo gubernamental, elimine esta parte.</w:t>
      </w:r>
      <w:bookmarkStart w:id="17" w:name="_Toc180650429"/>
    </w:p>
    <w:p w14:paraId="4BA6BB6F" w14:textId="0D06F063" w:rsidR="00C45DFB" w:rsidRPr="00DE200D" w:rsidRDefault="00C45DFB" w:rsidP="00C45DFB">
      <w:pPr>
        <w:pStyle w:val="Heading1"/>
        <w:rPr>
          <w:rFonts w:eastAsia="Calibri"/>
        </w:rPr>
      </w:pPr>
      <w:r>
        <w:lastRenderedPageBreak/>
        <w:t xml:space="preserve">5. Requisitos </w:t>
      </w:r>
      <w:proofErr w:type="spellStart"/>
      <w:r w:rsidR="00225929">
        <w:t>calificatorios</w:t>
      </w:r>
      <w:proofErr w:type="spellEnd"/>
      <w:r>
        <w:t xml:space="preserve"> para la entidad responsable de elaborar </w:t>
      </w:r>
      <w:r w:rsidR="00225929">
        <w:t>la divulgación de información</w:t>
      </w:r>
      <w:r>
        <w:t xml:space="preserve"> EITI</w:t>
      </w:r>
      <w:bookmarkEnd w:id="17"/>
    </w:p>
    <w:p w14:paraId="56717235" w14:textId="77777777" w:rsidR="00C45DFB" w:rsidRPr="00DE200D" w:rsidRDefault="00C45DFB" w:rsidP="00C45DFB">
      <w:pPr>
        <w:shd w:val="clear" w:color="auto" w:fill="FFFFFF"/>
        <w:tabs>
          <w:tab w:val="left" w:pos="426"/>
          <w:tab w:val="left" w:pos="709"/>
        </w:tabs>
        <w:spacing w:line="276" w:lineRule="auto"/>
        <w:rPr>
          <w:rFonts w:eastAsia="Calibri"/>
        </w:rPr>
      </w:pPr>
      <w:r>
        <w:t xml:space="preserve">El cotejo de los pagos de las empresas y los ingresos gubernamentales, o la implementación del enfoque basado en riesgos, puede ser realizado por cualquier Entidad que el GMP considere creíble, independiente, confiable y técnicamente competente. </w:t>
      </w:r>
    </w:p>
    <w:p w14:paraId="59372FC6" w14:textId="77777777" w:rsidR="00C45DFB" w:rsidRPr="00DE200D" w:rsidRDefault="00C45DFB" w:rsidP="00C45DFB">
      <w:pPr>
        <w:shd w:val="clear" w:color="auto" w:fill="FFFFFF"/>
        <w:tabs>
          <w:tab w:val="left" w:pos="426"/>
          <w:tab w:val="left" w:pos="709"/>
        </w:tabs>
        <w:spacing w:line="276" w:lineRule="auto"/>
        <w:rPr>
          <w:rFonts w:eastAsia="Calibri"/>
        </w:rPr>
      </w:pPr>
      <w:r>
        <w:t>Se espera que los postulantes sigan y demuestren cómo aplicarán las normas profesionales adecuadas para llevar a cabo los procedimientos convenidos a la hora de elaborar su informe.</w:t>
      </w:r>
    </w:p>
    <w:p w14:paraId="35309493" w14:textId="77777777" w:rsidR="00C45DFB" w:rsidRPr="00DE200D" w:rsidRDefault="00C45DFB" w:rsidP="00C45DFB">
      <w:pPr>
        <w:shd w:val="clear" w:color="auto" w:fill="FFFFFF"/>
        <w:tabs>
          <w:tab w:val="left" w:pos="426"/>
          <w:tab w:val="left" w:pos="709"/>
        </w:tabs>
        <w:spacing w:line="276" w:lineRule="auto"/>
        <w:rPr>
          <w:rFonts w:eastAsia="Calibri"/>
        </w:rPr>
      </w:pPr>
      <w:r>
        <w:t xml:space="preserve">La Entidad debe demostrar: </w:t>
      </w:r>
    </w:p>
    <w:p w14:paraId="23C0967C" w14:textId="06AC279C" w:rsidR="00C45DFB" w:rsidRPr="00DE200D" w:rsidRDefault="000F0A78" w:rsidP="00C45DFB">
      <w:pPr>
        <w:numPr>
          <w:ilvl w:val="0"/>
          <w:numId w:val="12"/>
        </w:numPr>
        <w:shd w:val="clear" w:color="auto" w:fill="FFFFFF"/>
        <w:tabs>
          <w:tab w:val="left" w:pos="426"/>
        </w:tabs>
        <w:spacing w:line="276" w:lineRule="auto"/>
        <w:ind w:left="714" w:hanging="357"/>
        <w:rPr>
          <w:rFonts w:eastAsia="Calibri"/>
        </w:rPr>
      </w:pPr>
      <w:r>
        <w:rPr>
          <w:b/>
        </w:rPr>
        <w:t xml:space="preserve">Experiencia </w:t>
      </w:r>
      <w:r w:rsidR="00C45DFB">
        <w:rPr>
          <w:b/>
        </w:rPr>
        <w:t>en el sector:</w:t>
      </w:r>
      <w:r w:rsidR="00C45DFB">
        <w:t xml:space="preserve"> </w:t>
      </w:r>
      <w:r w:rsidR="00900476">
        <w:t>e</w:t>
      </w:r>
      <w:r w:rsidR="00C45DFB">
        <w:t xml:space="preserve">xperiencia y </w:t>
      </w:r>
      <w:r w:rsidR="00E9366A">
        <w:t xml:space="preserve">habilidad </w:t>
      </w:r>
      <w:r w:rsidR="00C45DFB">
        <w:t xml:space="preserve">comprobadas en los sectores del petróleo, el gas y la minería en </w:t>
      </w:r>
      <w:r w:rsidR="00C45DFB">
        <w:rPr>
          <w:color w:val="0070C0"/>
        </w:rPr>
        <w:t>[país]</w:t>
      </w:r>
      <w:r w:rsidR="00C45DFB">
        <w:t>.</w:t>
      </w:r>
    </w:p>
    <w:p w14:paraId="2E59C6AD" w14:textId="62F8C025" w:rsidR="00C45DFB" w:rsidRPr="00DE200D" w:rsidRDefault="00C45DFB" w:rsidP="00C45DFB">
      <w:pPr>
        <w:numPr>
          <w:ilvl w:val="0"/>
          <w:numId w:val="12"/>
        </w:numPr>
        <w:shd w:val="clear" w:color="auto" w:fill="FFFFFF"/>
        <w:tabs>
          <w:tab w:val="left" w:pos="426"/>
        </w:tabs>
        <w:spacing w:line="276" w:lineRule="auto"/>
        <w:ind w:left="714" w:hanging="357"/>
        <w:rPr>
          <w:rFonts w:eastAsia="Calibri"/>
        </w:rPr>
      </w:pPr>
      <w:r>
        <w:rPr>
          <w:b/>
        </w:rPr>
        <w:t>Competencias en contabilidad y auditoría:</w:t>
      </w:r>
      <w:r>
        <w:t xml:space="preserve"> </w:t>
      </w:r>
      <w:r w:rsidR="00900476">
        <w:t>s</w:t>
      </w:r>
      <w:r>
        <w:t>olvencia en la realización de análisis contables, de auditoría y financieros, con experiencia previa en el desempeño de labores de aseguramiento según las normas establecidas por el Consejo de Normas Internacionales de Auditoría y Aseguramiento (ISA, ISAE, ISRS) o las normas de auditoría emitidas por INTOSAI para las instituciones supremas de auditoría (ISSAI).</w:t>
      </w:r>
    </w:p>
    <w:p w14:paraId="45279418" w14:textId="1578352F" w:rsidR="00C45DFB" w:rsidRPr="00DE200D" w:rsidRDefault="00C45DFB" w:rsidP="00C45DFB">
      <w:pPr>
        <w:numPr>
          <w:ilvl w:val="0"/>
          <w:numId w:val="12"/>
        </w:numPr>
        <w:shd w:val="clear" w:color="auto" w:fill="FFFFFF"/>
        <w:tabs>
          <w:tab w:val="left" w:pos="426"/>
        </w:tabs>
        <w:spacing w:line="276" w:lineRule="auto"/>
        <w:ind w:left="714" w:hanging="357"/>
        <w:rPr>
          <w:rFonts w:eastAsia="Calibri"/>
        </w:rPr>
      </w:pPr>
      <w:r>
        <w:rPr>
          <w:b/>
        </w:rPr>
        <w:t xml:space="preserve">Independencia: </w:t>
      </w:r>
      <w:r w:rsidR="00900476">
        <w:t>l</w:t>
      </w:r>
      <w:r>
        <w:t>a entidad debe enunciar de forma clara las medidas existentes para garantizar su independencia respecto de las entidades generadoras de los datos. Esto incluye definir las estructuras, procesos y mecanismos de gobernanza que evit</w:t>
      </w:r>
      <w:r w:rsidR="0001754A">
        <w:t>e</w:t>
      </w:r>
      <w:r>
        <w:t>n conflictos de interés y mantienen la objetividad en el análisis y la presentación de los datos.</w:t>
      </w:r>
    </w:p>
    <w:p w14:paraId="1A692DDE" w14:textId="08A22C41" w:rsidR="00C45DFB" w:rsidRPr="00DE200D" w:rsidRDefault="00C45DFB" w:rsidP="00C45DFB">
      <w:pPr>
        <w:numPr>
          <w:ilvl w:val="0"/>
          <w:numId w:val="12"/>
        </w:numPr>
        <w:shd w:val="clear" w:color="auto" w:fill="FFFFFF"/>
        <w:tabs>
          <w:tab w:val="left" w:pos="426"/>
        </w:tabs>
        <w:spacing w:line="276" w:lineRule="auto"/>
        <w:ind w:left="714" w:hanging="357"/>
        <w:rPr>
          <w:rFonts w:eastAsia="Calibri"/>
        </w:rPr>
      </w:pPr>
      <w:r>
        <w:rPr>
          <w:b/>
        </w:rPr>
        <w:t>Experiencia relevante:</w:t>
      </w:r>
      <w:r>
        <w:t xml:space="preserve"> </w:t>
      </w:r>
      <w:r w:rsidR="00900476">
        <w:t>a</w:t>
      </w:r>
      <w:r>
        <w:t xml:space="preserve">ntecedentes exitosos en el desempeño de tareas similares. Tener experiencia previa en la </w:t>
      </w:r>
      <w:r w:rsidR="00192946">
        <w:t>divulgación de información</w:t>
      </w:r>
      <w:r>
        <w:t xml:space="preserve"> EITI es deseable pero no obligatori</w:t>
      </w:r>
      <w:r w:rsidR="00192946">
        <w:t>a</w:t>
      </w:r>
      <w:r>
        <w:t>.</w:t>
      </w:r>
    </w:p>
    <w:p w14:paraId="50116C9F" w14:textId="77777777" w:rsidR="00C45DFB" w:rsidRPr="00DE200D" w:rsidRDefault="00C45DFB" w:rsidP="00C45DFB">
      <w:pPr>
        <w:numPr>
          <w:ilvl w:val="0"/>
          <w:numId w:val="12"/>
        </w:numPr>
        <w:shd w:val="clear" w:color="auto" w:fill="FFFFFF"/>
        <w:tabs>
          <w:tab w:val="left" w:pos="426"/>
        </w:tabs>
        <w:spacing w:line="276" w:lineRule="auto"/>
        <w:ind w:left="714" w:hanging="357"/>
        <w:rPr>
          <w:rFonts w:eastAsia="Calibri"/>
        </w:rPr>
      </w:pPr>
      <w:r>
        <w:rPr>
          <w:color w:val="0070C0"/>
        </w:rPr>
        <w:t>[Otras habilidades y competencias necesarias que establezca el GMP]</w:t>
      </w:r>
    </w:p>
    <w:p w14:paraId="4780FAD6" w14:textId="50887C60" w:rsidR="00C45DFB" w:rsidRPr="00DE200D" w:rsidRDefault="00C45DFB" w:rsidP="00C45DFB">
      <w:pPr>
        <w:shd w:val="clear" w:color="auto" w:fill="FFFFFF"/>
        <w:tabs>
          <w:tab w:val="left" w:pos="426"/>
          <w:tab w:val="left" w:pos="709"/>
        </w:tabs>
        <w:spacing w:line="276" w:lineRule="auto"/>
        <w:rPr>
          <w:rFonts w:ascii="Franklin Gothic Medium" w:eastAsia="Calibri" w:hAnsi="Franklin Gothic Medium" w:cs="Times New Roman"/>
          <w:color w:val="1A4066"/>
          <w:sz w:val="36"/>
          <w:szCs w:val="44"/>
        </w:rPr>
      </w:pPr>
      <w:r>
        <w:t xml:space="preserve">Para garantizar la calidad e independencia de </w:t>
      </w:r>
      <w:r w:rsidR="00192946">
        <w:t>los trabajos</w:t>
      </w:r>
      <w:r>
        <w:t>, los postulantes deben divulgar en su propuesta todo conflicto de interés real o potencial. Además, deberían comentar cómo mitigarán o evitarán este tipo de conflictos.</w:t>
      </w:r>
    </w:p>
    <w:p w14:paraId="3A23ACDF" w14:textId="77777777" w:rsidR="00C45DFB" w:rsidRPr="00DE200D" w:rsidRDefault="00C45DFB" w:rsidP="00C45DFB">
      <w:pPr>
        <w:widowControl/>
        <w:suppressAutoHyphens w:val="0"/>
        <w:spacing w:before="0" w:after="0" w:line="240" w:lineRule="auto"/>
        <w:rPr>
          <w:rFonts w:eastAsia="Calibri"/>
          <w:b/>
          <w:bCs/>
          <w:color w:val="165B89"/>
          <w:sz w:val="32"/>
          <w:szCs w:val="28"/>
        </w:rPr>
      </w:pPr>
      <w:bookmarkStart w:id="18" w:name="_Toc180650430"/>
      <w:r>
        <w:br w:type="page"/>
      </w:r>
    </w:p>
    <w:p w14:paraId="05ABCBA5" w14:textId="1F1842A6" w:rsidR="00C45DFB" w:rsidRPr="00DE200D" w:rsidRDefault="00C45DFB" w:rsidP="00C45DFB">
      <w:pPr>
        <w:pStyle w:val="Heading1"/>
        <w:numPr>
          <w:ilvl w:val="0"/>
          <w:numId w:val="17"/>
        </w:numPr>
        <w:rPr>
          <w:rFonts w:eastAsia="Calibri"/>
        </w:rPr>
      </w:pPr>
      <w:r>
        <w:lastRenderedPageBreak/>
        <w:t xml:space="preserve">Requisitos de </w:t>
      </w:r>
      <w:r w:rsidR="00BA029A">
        <w:t>divulgación de la información</w:t>
      </w:r>
      <w:r>
        <w:t xml:space="preserve"> y cronograma de entregas</w:t>
      </w:r>
      <w:bookmarkEnd w:id="18"/>
    </w:p>
    <w:p w14:paraId="2AB02A3F" w14:textId="77777777" w:rsidR="00C45DFB" w:rsidRPr="00DE200D" w:rsidRDefault="00C45DFB" w:rsidP="00C45DFB">
      <w:pPr>
        <w:shd w:val="clear" w:color="auto" w:fill="FFFFFF"/>
        <w:tabs>
          <w:tab w:val="left" w:pos="426"/>
          <w:tab w:val="left" w:pos="709"/>
        </w:tabs>
        <w:rPr>
          <w:rFonts w:eastAsia="Calibri"/>
        </w:rPr>
      </w:pPr>
      <w:r>
        <w:t xml:space="preserve">Se espera que el desarrollo del trabajo comience el día </w:t>
      </w:r>
      <w:r>
        <w:rPr>
          <w:color w:val="0070C0"/>
        </w:rPr>
        <w:t>[fecha]</w:t>
      </w:r>
      <w:r>
        <w:t xml:space="preserve"> y que la versión final del Informe EITI se entregue a más tardar el </w:t>
      </w:r>
      <w:r>
        <w:rPr>
          <w:color w:val="0070C0"/>
        </w:rPr>
        <w:t>[fecha]</w:t>
      </w:r>
      <w:r>
        <w:t>. El cronograma de entregas propuesto es el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3"/>
      </w:tblGrid>
      <w:tr w:rsidR="00C45DFB" w:rsidRPr="00DE200D" w14:paraId="0EDD9BD0" w14:textId="77777777" w:rsidTr="006A0FEC">
        <w:tc>
          <w:tcPr>
            <w:tcW w:w="4538" w:type="dxa"/>
            <w:shd w:val="clear" w:color="auto" w:fill="auto"/>
          </w:tcPr>
          <w:p w14:paraId="43517A4B" w14:textId="77777777" w:rsidR="00C45DFB" w:rsidRPr="00DE200D" w:rsidRDefault="00C45DFB" w:rsidP="006A0FEC">
            <w:pPr>
              <w:tabs>
                <w:tab w:val="left" w:pos="426"/>
                <w:tab w:val="left" w:pos="709"/>
              </w:tabs>
              <w:rPr>
                <w:rFonts w:eastAsia="Calibri"/>
              </w:rPr>
            </w:pPr>
            <w:r>
              <w:t>Firma del contrato</w:t>
            </w:r>
          </w:p>
        </w:tc>
        <w:tc>
          <w:tcPr>
            <w:tcW w:w="4523" w:type="dxa"/>
            <w:shd w:val="clear" w:color="auto" w:fill="auto"/>
          </w:tcPr>
          <w:p w14:paraId="27CD6D0F" w14:textId="77777777" w:rsidR="00C45DFB" w:rsidRPr="00DE200D" w:rsidRDefault="00C45DFB" w:rsidP="006A0FEC">
            <w:pPr>
              <w:tabs>
                <w:tab w:val="left" w:pos="426"/>
                <w:tab w:val="left" w:pos="709"/>
              </w:tabs>
              <w:rPr>
                <w:rFonts w:eastAsia="Calibri"/>
                <w:color w:val="0070C0"/>
              </w:rPr>
            </w:pPr>
            <w:r>
              <w:rPr>
                <w:color w:val="0070C0"/>
              </w:rPr>
              <w:t>[fecha]</w:t>
            </w:r>
          </w:p>
        </w:tc>
      </w:tr>
      <w:tr w:rsidR="00C45DFB" w:rsidRPr="00DE200D" w14:paraId="615B8A37" w14:textId="77777777" w:rsidTr="006A0FEC">
        <w:tc>
          <w:tcPr>
            <w:tcW w:w="4538" w:type="dxa"/>
            <w:shd w:val="clear" w:color="auto" w:fill="auto"/>
          </w:tcPr>
          <w:p w14:paraId="66AF395A" w14:textId="77777777" w:rsidR="00C45DFB" w:rsidRPr="00DE200D" w:rsidRDefault="00C45DFB" w:rsidP="006A0FEC">
            <w:pPr>
              <w:tabs>
                <w:tab w:val="left" w:pos="426"/>
                <w:tab w:val="left" w:pos="709"/>
              </w:tabs>
              <w:rPr>
                <w:rFonts w:eastAsia="Calibri"/>
              </w:rPr>
            </w:pPr>
            <w:r>
              <w:t>(En caso de corresponder) Fase 1: Estudio de determinación del alcance</w:t>
            </w:r>
          </w:p>
        </w:tc>
        <w:tc>
          <w:tcPr>
            <w:tcW w:w="4523" w:type="dxa"/>
            <w:shd w:val="clear" w:color="auto" w:fill="auto"/>
          </w:tcPr>
          <w:p w14:paraId="6B3813C6" w14:textId="77777777" w:rsidR="00C45DFB" w:rsidRPr="00DE200D" w:rsidRDefault="00C45DFB" w:rsidP="006A0FEC">
            <w:pPr>
              <w:tabs>
                <w:tab w:val="left" w:pos="426"/>
                <w:tab w:val="left" w:pos="709"/>
              </w:tabs>
              <w:rPr>
                <w:rFonts w:eastAsia="Calibri"/>
                <w:color w:val="0070C0"/>
              </w:rPr>
            </w:pPr>
            <w:r>
              <w:rPr>
                <w:color w:val="0070C0"/>
              </w:rPr>
              <w:t>[fecha]</w:t>
            </w:r>
            <w:r>
              <w:t xml:space="preserve"> - </w:t>
            </w:r>
            <w:r>
              <w:rPr>
                <w:color w:val="0070C0"/>
              </w:rPr>
              <w:t>[fecha]</w:t>
            </w:r>
          </w:p>
        </w:tc>
      </w:tr>
      <w:tr w:rsidR="00C45DFB" w:rsidRPr="00DE200D" w14:paraId="1C766323" w14:textId="77777777" w:rsidTr="006A0FEC">
        <w:tc>
          <w:tcPr>
            <w:tcW w:w="4538" w:type="dxa"/>
            <w:shd w:val="clear" w:color="auto" w:fill="auto"/>
          </w:tcPr>
          <w:p w14:paraId="0FD2406B" w14:textId="77777777" w:rsidR="00C45DFB" w:rsidRPr="00DE200D" w:rsidRDefault="00C45DFB" w:rsidP="006A0FEC">
            <w:pPr>
              <w:tabs>
                <w:tab w:val="left" w:pos="426"/>
                <w:tab w:val="left" w:pos="709"/>
              </w:tabs>
              <w:rPr>
                <w:rFonts w:eastAsia="Calibri"/>
              </w:rPr>
            </w:pPr>
            <w:r>
              <w:t>Entrega del estudio de alcance</w:t>
            </w:r>
          </w:p>
        </w:tc>
        <w:tc>
          <w:tcPr>
            <w:tcW w:w="4523" w:type="dxa"/>
            <w:shd w:val="clear" w:color="auto" w:fill="auto"/>
          </w:tcPr>
          <w:p w14:paraId="0FFDF395" w14:textId="77777777" w:rsidR="00C45DFB" w:rsidRPr="00DE200D" w:rsidRDefault="00C45DFB" w:rsidP="006A0FEC">
            <w:pPr>
              <w:tabs>
                <w:tab w:val="left" w:pos="426"/>
                <w:tab w:val="left" w:pos="709"/>
              </w:tabs>
              <w:rPr>
                <w:rFonts w:eastAsia="Calibri"/>
                <w:color w:val="0070C0"/>
              </w:rPr>
            </w:pPr>
            <w:r>
              <w:rPr>
                <w:color w:val="0070C0"/>
              </w:rPr>
              <w:t>[fecha]</w:t>
            </w:r>
          </w:p>
        </w:tc>
      </w:tr>
      <w:tr w:rsidR="00C45DFB" w:rsidRPr="00DE200D" w14:paraId="6754B42F" w14:textId="77777777" w:rsidTr="006A0FEC">
        <w:tc>
          <w:tcPr>
            <w:tcW w:w="4538" w:type="dxa"/>
            <w:shd w:val="clear" w:color="auto" w:fill="auto"/>
          </w:tcPr>
          <w:p w14:paraId="04C5FE8D" w14:textId="77777777" w:rsidR="00C45DFB" w:rsidRPr="00DE200D" w:rsidRDefault="00C45DFB" w:rsidP="006A0FEC">
            <w:pPr>
              <w:tabs>
                <w:tab w:val="left" w:pos="426"/>
                <w:tab w:val="left" w:pos="709"/>
              </w:tabs>
              <w:rPr>
                <w:rFonts w:eastAsia="Calibri"/>
              </w:rPr>
            </w:pPr>
            <w:r>
              <w:t xml:space="preserve">Fase 2: Recopilación de datos </w:t>
            </w:r>
          </w:p>
        </w:tc>
        <w:tc>
          <w:tcPr>
            <w:tcW w:w="4523" w:type="dxa"/>
            <w:shd w:val="clear" w:color="auto" w:fill="auto"/>
          </w:tcPr>
          <w:p w14:paraId="3AC3099E" w14:textId="77777777" w:rsidR="00C45DFB" w:rsidRPr="00DE200D" w:rsidRDefault="00C45DFB" w:rsidP="006A0FEC">
            <w:pPr>
              <w:tabs>
                <w:tab w:val="left" w:pos="426"/>
                <w:tab w:val="left" w:pos="709"/>
              </w:tabs>
              <w:rPr>
                <w:rFonts w:eastAsia="Calibri"/>
              </w:rPr>
            </w:pPr>
            <w:r>
              <w:rPr>
                <w:color w:val="0070C0"/>
              </w:rPr>
              <w:t>[fecha]</w:t>
            </w:r>
            <w:r>
              <w:t xml:space="preserve"> - </w:t>
            </w:r>
            <w:r>
              <w:rPr>
                <w:color w:val="0070C0"/>
              </w:rPr>
              <w:t>[fecha]</w:t>
            </w:r>
          </w:p>
        </w:tc>
      </w:tr>
      <w:tr w:rsidR="00C45DFB" w:rsidRPr="00DE200D" w14:paraId="29FB4FB5" w14:textId="77777777" w:rsidTr="006A0FEC">
        <w:tc>
          <w:tcPr>
            <w:tcW w:w="4538" w:type="dxa"/>
            <w:shd w:val="clear" w:color="auto" w:fill="auto"/>
          </w:tcPr>
          <w:p w14:paraId="37915B59" w14:textId="77777777" w:rsidR="00C45DFB" w:rsidRPr="00DE200D" w:rsidRDefault="00C45DFB" w:rsidP="006A0FEC">
            <w:pPr>
              <w:tabs>
                <w:tab w:val="left" w:pos="426"/>
                <w:tab w:val="left" w:pos="709"/>
              </w:tabs>
              <w:rPr>
                <w:rFonts w:eastAsia="Calibri"/>
              </w:rPr>
            </w:pPr>
            <w:r>
              <w:t xml:space="preserve">Fase 3: Análisis de datos </w:t>
            </w:r>
          </w:p>
        </w:tc>
        <w:tc>
          <w:tcPr>
            <w:tcW w:w="4523" w:type="dxa"/>
            <w:shd w:val="clear" w:color="auto" w:fill="auto"/>
          </w:tcPr>
          <w:p w14:paraId="5E6A2ADD" w14:textId="77777777" w:rsidR="00C45DFB" w:rsidRPr="00DE200D" w:rsidRDefault="00C45DFB" w:rsidP="006A0FEC">
            <w:pPr>
              <w:tabs>
                <w:tab w:val="left" w:pos="426"/>
                <w:tab w:val="left" w:pos="709"/>
              </w:tabs>
              <w:rPr>
                <w:rFonts w:eastAsia="Calibri"/>
                <w:color w:val="0070C0"/>
              </w:rPr>
            </w:pPr>
            <w:r>
              <w:rPr>
                <w:color w:val="0070C0"/>
              </w:rPr>
              <w:t>[fecha]</w:t>
            </w:r>
            <w:r>
              <w:t xml:space="preserve"> - </w:t>
            </w:r>
            <w:r>
              <w:rPr>
                <w:color w:val="0070C0"/>
              </w:rPr>
              <w:t>[fecha]</w:t>
            </w:r>
          </w:p>
        </w:tc>
      </w:tr>
      <w:tr w:rsidR="00C45DFB" w:rsidRPr="00DE200D" w14:paraId="0BB898A0" w14:textId="77777777" w:rsidTr="006A0FEC">
        <w:tc>
          <w:tcPr>
            <w:tcW w:w="4538" w:type="dxa"/>
            <w:shd w:val="clear" w:color="auto" w:fill="auto"/>
          </w:tcPr>
          <w:p w14:paraId="292D8A0D" w14:textId="77777777" w:rsidR="00C45DFB" w:rsidRPr="00DE200D" w:rsidRDefault="00C45DFB" w:rsidP="006A0FEC">
            <w:pPr>
              <w:tabs>
                <w:tab w:val="left" w:pos="426"/>
                <w:tab w:val="left" w:pos="709"/>
              </w:tabs>
              <w:rPr>
                <w:rFonts w:eastAsia="Calibri"/>
              </w:rPr>
            </w:pPr>
            <w:r>
              <w:t>Fase 4: Garantía de la calidad de los datos</w:t>
            </w:r>
          </w:p>
        </w:tc>
        <w:tc>
          <w:tcPr>
            <w:tcW w:w="4523" w:type="dxa"/>
            <w:shd w:val="clear" w:color="auto" w:fill="auto"/>
          </w:tcPr>
          <w:p w14:paraId="5315F082" w14:textId="77777777" w:rsidR="00C45DFB" w:rsidRPr="00DE200D" w:rsidRDefault="00C45DFB" w:rsidP="006A0FEC">
            <w:pPr>
              <w:tabs>
                <w:tab w:val="left" w:pos="426"/>
                <w:tab w:val="left" w:pos="709"/>
              </w:tabs>
              <w:rPr>
                <w:rFonts w:eastAsia="Calibri"/>
                <w:color w:val="0070C0"/>
              </w:rPr>
            </w:pPr>
            <w:r>
              <w:rPr>
                <w:color w:val="0070C0"/>
              </w:rPr>
              <w:t>[fecha]</w:t>
            </w:r>
            <w:r>
              <w:t xml:space="preserve"> - </w:t>
            </w:r>
            <w:r>
              <w:rPr>
                <w:color w:val="0070C0"/>
              </w:rPr>
              <w:t>[fecha]</w:t>
            </w:r>
          </w:p>
        </w:tc>
      </w:tr>
      <w:tr w:rsidR="00C45DFB" w:rsidRPr="00DE200D" w14:paraId="0E8DE1DC" w14:textId="77777777" w:rsidTr="006A0FEC">
        <w:tc>
          <w:tcPr>
            <w:tcW w:w="4538" w:type="dxa"/>
            <w:shd w:val="clear" w:color="auto" w:fill="auto"/>
          </w:tcPr>
          <w:p w14:paraId="43C3ED18" w14:textId="77777777" w:rsidR="00C45DFB" w:rsidRPr="00DE200D" w:rsidRDefault="00C45DFB" w:rsidP="006A0FEC">
            <w:pPr>
              <w:tabs>
                <w:tab w:val="left" w:pos="426"/>
                <w:tab w:val="left" w:pos="709"/>
              </w:tabs>
              <w:rPr>
                <w:rFonts w:eastAsia="Calibri"/>
              </w:rPr>
            </w:pPr>
            <w:r>
              <w:t>Entrega del borrador del informe</w:t>
            </w:r>
          </w:p>
        </w:tc>
        <w:tc>
          <w:tcPr>
            <w:tcW w:w="4523" w:type="dxa"/>
            <w:shd w:val="clear" w:color="auto" w:fill="auto"/>
          </w:tcPr>
          <w:p w14:paraId="4E6B89AF" w14:textId="77777777" w:rsidR="00C45DFB" w:rsidRPr="00DE200D" w:rsidRDefault="00C45DFB" w:rsidP="006A0FEC">
            <w:pPr>
              <w:tabs>
                <w:tab w:val="left" w:pos="426"/>
                <w:tab w:val="left" w:pos="709"/>
              </w:tabs>
              <w:rPr>
                <w:rFonts w:eastAsia="Calibri"/>
                <w:color w:val="0070C0"/>
              </w:rPr>
            </w:pPr>
            <w:r>
              <w:rPr>
                <w:color w:val="0070C0"/>
              </w:rPr>
              <w:t>[fecha]</w:t>
            </w:r>
          </w:p>
        </w:tc>
      </w:tr>
      <w:tr w:rsidR="00C45DFB" w:rsidRPr="00DE200D" w14:paraId="66F2BF4B" w14:textId="77777777" w:rsidTr="006A0FEC">
        <w:tc>
          <w:tcPr>
            <w:tcW w:w="4538" w:type="dxa"/>
            <w:shd w:val="clear" w:color="auto" w:fill="auto"/>
          </w:tcPr>
          <w:p w14:paraId="741E5BE2" w14:textId="77777777" w:rsidR="00C45DFB" w:rsidRPr="00DE200D" w:rsidRDefault="00C45DFB" w:rsidP="006A0FEC">
            <w:pPr>
              <w:tabs>
                <w:tab w:val="left" w:pos="426"/>
                <w:tab w:val="left" w:pos="709"/>
              </w:tabs>
              <w:rPr>
                <w:rFonts w:eastAsia="Calibri"/>
              </w:rPr>
            </w:pPr>
            <w:r>
              <w:t>Fase 5: Elaboración de la versión final del informe</w:t>
            </w:r>
          </w:p>
        </w:tc>
        <w:tc>
          <w:tcPr>
            <w:tcW w:w="4523" w:type="dxa"/>
            <w:shd w:val="clear" w:color="auto" w:fill="auto"/>
          </w:tcPr>
          <w:p w14:paraId="4BB7D853" w14:textId="77777777" w:rsidR="00C45DFB" w:rsidRPr="00DE200D" w:rsidRDefault="00C45DFB" w:rsidP="006A0FEC">
            <w:pPr>
              <w:tabs>
                <w:tab w:val="left" w:pos="426"/>
                <w:tab w:val="left" w:pos="709"/>
              </w:tabs>
              <w:rPr>
                <w:rFonts w:eastAsia="Calibri"/>
                <w:color w:val="0070C0"/>
              </w:rPr>
            </w:pPr>
            <w:r>
              <w:rPr>
                <w:color w:val="0070C0"/>
              </w:rPr>
              <w:t>[fecha]</w:t>
            </w:r>
            <w:r>
              <w:t xml:space="preserve"> - </w:t>
            </w:r>
            <w:r>
              <w:rPr>
                <w:color w:val="0070C0"/>
              </w:rPr>
              <w:t>[fecha]</w:t>
            </w:r>
          </w:p>
        </w:tc>
      </w:tr>
      <w:tr w:rsidR="00C45DFB" w:rsidRPr="00DE200D" w14:paraId="56182E43" w14:textId="77777777" w:rsidTr="006A0FEC">
        <w:tc>
          <w:tcPr>
            <w:tcW w:w="4538" w:type="dxa"/>
            <w:shd w:val="clear" w:color="auto" w:fill="auto"/>
          </w:tcPr>
          <w:p w14:paraId="09A1839B" w14:textId="77777777" w:rsidR="00C45DFB" w:rsidRPr="00DE200D" w:rsidRDefault="00C45DFB" w:rsidP="006A0FEC">
            <w:pPr>
              <w:tabs>
                <w:tab w:val="left" w:pos="426"/>
                <w:tab w:val="left" w:pos="709"/>
              </w:tabs>
              <w:rPr>
                <w:rFonts w:eastAsia="Calibri"/>
              </w:rPr>
            </w:pPr>
            <w:r>
              <w:t>Entrega de la versión final del informe</w:t>
            </w:r>
          </w:p>
        </w:tc>
        <w:tc>
          <w:tcPr>
            <w:tcW w:w="4523" w:type="dxa"/>
            <w:shd w:val="clear" w:color="auto" w:fill="auto"/>
          </w:tcPr>
          <w:p w14:paraId="14427F3E" w14:textId="77777777" w:rsidR="00C45DFB" w:rsidRPr="00DE200D" w:rsidRDefault="00C45DFB" w:rsidP="006A0FEC">
            <w:pPr>
              <w:tabs>
                <w:tab w:val="left" w:pos="426"/>
                <w:tab w:val="left" w:pos="709"/>
              </w:tabs>
              <w:rPr>
                <w:rFonts w:eastAsia="Calibri"/>
                <w:color w:val="0070C0"/>
              </w:rPr>
            </w:pPr>
            <w:r>
              <w:rPr>
                <w:color w:val="0070C0"/>
              </w:rPr>
              <w:t>[fecha]</w:t>
            </w:r>
          </w:p>
        </w:tc>
      </w:tr>
    </w:tbl>
    <w:p w14:paraId="78B397C7" w14:textId="2E3956AC" w:rsidR="00C45DFB" w:rsidRPr="00DE200D" w:rsidRDefault="00C45DFB" w:rsidP="00C45DFB">
      <w:pPr>
        <w:shd w:val="clear" w:color="auto" w:fill="FFFFFF"/>
        <w:tabs>
          <w:tab w:val="left" w:pos="426"/>
          <w:tab w:val="left" w:pos="709"/>
        </w:tabs>
        <w:rPr>
          <w:rFonts w:eastAsia="Calibri"/>
          <w:color w:val="0070C0"/>
        </w:rPr>
      </w:pPr>
      <w:r>
        <w:rPr>
          <w:color w:val="0070C0"/>
        </w:rPr>
        <w:t xml:space="preserve">[Agregar </w:t>
      </w:r>
      <w:r w:rsidR="00667AB0">
        <w:rPr>
          <w:color w:val="0070C0"/>
        </w:rPr>
        <w:t xml:space="preserve">cualquier </w:t>
      </w:r>
      <w:r>
        <w:rPr>
          <w:color w:val="0070C0"/>
        </w:rPr>
        <w:t>otro producto entregable que solicite el GMP, como traducciones, capacitaciones o un informe resumido.]</w:t>
      </w:r>
    </w:p>
    <w:p w14:paraId="1CD2AC86" w14:textId="77777777" w:rsidR="00C45DFB" w:rsidRPr="00DE200D" w:rsidRDefault="00C45DFB" w:rsidP="00C45DFB">
      <w:pPr>
        <w:shd w:val="clear" w:color="auto" w:fill="FFFFFF"/>
        <w:tabs>
          <w:tab w:val="left" w:pos="426"/>
          <w:tab w:val="left" w:pos="709"/>
        </w:tabs>
        <w:spacing w:before="100" w:beforeAutospacing="1" w:after="100" w:afterAutospacing="1"/>
        <w:rPr>
          <w:rFonts w:eastAsia="Calibri"/>
        </w:rPr>
      </w:pPr>
      <w:r>
        <w:t>Calendario de pagos:</w:t>
      </w:r>
    </w:p>
    <w:p w14:paraId="5931547D" w14:textId="77777777" w:rsidR="00C45DFB" w:rsidRPr="00DE200D" w:rsidRDefault="00C45DFB" w:rsidP="00C45DFB">
      <w:pPr>
        <w:shd w:val="clear" w:color="auto" w:fill="FFFFFF"/>
        <w:tabs>
          <w:tab w:val="left" w:pos="426"/>
          <w:tab w:val="left" w:pos="709"/>
        </w:tabs>
        <w:spacing w:after="0"/>
        <w:rPr>
          <w:rFonts w:eastAsia="Calibri"/>
          <w:color w:val="0070C0"/>
        </w:rPr>
      </w:pPr>
      <w:r>
        <w:rPr>
          <w:color w:val="0070C0"/>
        </w:rPr>
        <w:t>&lt;x %&gt; al momento de la firma del contrato</w:t>
      </w:r>
    </w:p>
    <w:p w14:paraId="54832802" w14:textId="77777777" w:rsidR="00C45DFB" w:rsidRPr="00DE200D" w:rsidRDefault="00C45DFB" w:rsidP="00C45DFB">
      <w:pPr>
        <w:shd w:val="clear" w:color="auto" w:fill="FFFFFF"/>
        <w:tabs>
          <w:tab w:val="left" w:pos="426"/>
          <w:tab w:val="left" w:pos="709"/>
        </w:tabs>
        <w:spacing w:after="0"/>
        <w:rPr>
          <w:rFonts w:eastAsia="Calibri"/>
          <w:color w:val="0070C0"/>
        </w:rPr>
      </w:pPr>
      <w:r>
        <w:rPr>
          <w:color w:val="0070C0"/>
        </w:rPr>
        <w:t>&lt;x %&gt; al momento de la entrega del informe inicial</w:t>
      </w:r>
    </w:p>
    <w:p w14:paraId="46A2C472" w14:textId="77777777" w:rsidR="00C45DFB" w:rsidRPr="00DE200D" w:rsidRDefault="00C45DFB" w:rsidP="00C45DFB">
      <w:pPr>
        <w:shd w:val="clear" w:color="auto" w:fill="FFFFFF"/>
        <w:tabs>
          <w:tab w:val="left" w:pos="426"/>
          <w:tab w:val="left" w:pos="709"/>
        </w:tabs>
        <w:spacing w:after="0"/>
        <w:rPr>
          <w:rFonts w:eastAsia="Calibri"/>
          <w:color w:val="0070C0"/>
        </w:rPr>
      </w:pPr>
      <w:r>
        <w:rPr>
          <w:color w:val="0070C0"/>
        </w:rPr>
        <w:t>&lt;x %&gt; al momento de la entrega del borrador del Informe EITI</w:t>
      </w:r>
    </w:p>
    <w:p w14:paraId="6D571C95" w14:textId="77777777" w:rsidR="00C45DFB" w:rsidRPr="00DE200D" w:rsidRDefault="00C45DFB" w:rsidP="00C45DFB">
      <w:pPr>
        <w:shd w:val="clear" w:color="auto" w:fill="FFFFFF"/>
        <w:tabs>
          <w:tab w:val="left" w:pos="426"/>
          <w:tab w:val="left" w:pos="709"/>
        </w:tabs>
        <w:spacing w:after="0"/>
        <w:rPr>
          <w:rFonts w:ascii="Franklin Gothic Medium" w:eastAsia="Calibri" w:hAnsi="Franklin Gothic Medium" w:cs="Times New Roman"/>
          <w:color w:val="1A4066"/>
          <w:sz w:val="36"/>
          <w:szCs w:val="44"/>
        </w:rPr>
      </w:pPr>
      <w:r>
        <w:rPr>
          <w:color w:val="0070C0"/>
        </w:rPr>
        <w:t>&lt;x %&gt; al momento de la aprobación del GMP y la publicación de la versión final del Informe EITI</w:t>
      </w:r>
    </w:p>
    <w:p w14:paraId="41F071CC" w14:textId="77777777" w:rsidR="00C45DFB" w:rsidRPr="00DE200D" w:rsidRDefault="00C45DFB" w:rsidP="00C45DFB">
      <w:pPr>
        <w:widowControl/>
        <w:suppressAutoHyphens w:val="0"/>
        <w:spacing w:before="0" w:after="0" w:line="240" w:lineRule="auto"/>
        <w:rPr>
          <w:rFonts w:eastAsia="Calibri"/>
          <w:b/>
          <w:bCs/>
          <w:color w:val="165B89"/>
          <w:sz w:val="32"/>
          <w:szCs w:val="28"/>
        </w:rPr>
      </w:pPr>
      <w:bookmarkStart w:id="19" w:name="_Toc180650431"/>
      <w:r>
        <w:br w:type="page"/>
      </w:r>
    </w:p>
    <w:p w14:paraId="404A67B7" w14:textId="77777777" w:rsidR="00C45DFB" w:rsidRPr="00DE200D" w:rsidRDefault="00C45DFB" w:rsidP="00C45DFB">
      <w:pPr>
        <w:pStyle w:val="Heading1"/>
        <w:numPr>
          <w:ilvl w:val="0"/>
          <w:numId w:val="17"/>
        </w:numPr>
        <w:rPr>
          <w:rFonts w:eastAsia="Calibri"/>
        </w:rPr>
      </w:pPr>
      <w:r>
        <w:lastRenderedPageBreak/>
        <w:t>Contribuciones del cliente y personal de la contraparte</w:t>
      </w:r>
      <w:bookmarkEnd w:id="19"/>
    </w:p>
    <w:p w14:paraId="0179B1B3" w14:textId="68BEC6F2" w:rsidR="00C45DFB" w:rsidRPr="00DE200D" w:rsidRDefault="00C45DFB" w:rsidP="00C45DFB">
      <w:pPr>
        <w:shd w:val="clear" w:color="auto" w:fill="FFFFFF"/>
        <w:tabs>
          <w:tab w:val="left" w:pos="426"/>
          <w:tab w:val="left" w:pos="709"/>
        </w:tabs>
        <w:rPr>
          <w:rFonts w:eastAsia="Calibri"/>
          <w:color w:val="0070C0"/>
        </w:rPr>
      </w:pPr>
      <w:r>
        <w:rPr>
          <w:color w:val="0070C0"/>
        </w:rPr>
        <w:t xml:space="preserve">[Incluir detalles sobre las relaciones de subordinación, el apoyo brindado a la Entidad durante </w:t>
      </w:r>
      <w:r w:rsidR="00E24E97">
        <w:rPr>
          <w:color w:val="0070C0"/>
        </w:rPr>
        <w:t>los trabajos</w:t>
      </w:r>
      <w:r>
        <w:rPr>
          <w:color w:val="0070C0"/>
        </w:rPr>
        <w:t xml:space="preserve"> y otros arreglos logísticos o administrativos]</w:t>
      </w:r>
    </w:p>
    <w:p w14:paraId="34A2C7D1" w14:textId="77777777" w:rsidR="00C45DFB" w:rsidRPr="00DE200D" w:rsidRDefault="00C45DFB" w:rsidP="00C45DFB">
      <w:pPr>
        <w:shd w:val="clear" w:color="auto" w:fill="FFFFFF"/>
        <w:tabs>
          <w:tab w:val="left" w:pos="426"/>
          <w:tab w:val="left" w:pos="709"/>
        </w:tabs>
        <w:rPr>
          <w:rFonts w:eastAsia="Calibri"/>
          <w:b/>
          <w:color w:val="0070C0"/>
        </w:rPr>
      </w:pPr>
      <w:r>
        <w:rPr>
          <w:b/>
          <w:color w:val="0070C0"/>
        </w:rPr>
        <w:t>Otros comentarios</w:t>
      </w:r>
    </w:p>
    <w:p w14:paraId="63D861B6" w14:textId="79E3102C" w:rsidR="00C45DFB" w:rsidRPr="00DE200D" w:rsidRDefault="00C45DFB" w:rsidP="00C45DFB">
      <w:pPr>
        <w:shd w:val="clear" w:color="auto" w:fill="FFFFFF"/>
        <w:tabs>
          <w:tab w:val="left" w:pos="426"/>
          <w:tab w:val="left" w:pos="709"/>
        </w:tabs>
        <w:rPr>
          <w:rFonts w:ascii="Franklin Gothic Medium" w:eastAsia="MS Gothic" w:hAnsi="Franklin Gothic Medium" w:cs="Times New Roman"/>
          <w:color w:val="1A4066"/>
          <w:sz w:val="36"/>
          <w:szCs w:val="44"/>
        </w:rPr>
      </w:pPr>
      <w:r>
        <w:rPr>
          <w:color w:val="0070C0"/>
        </w:rPr>
        <w:t xml:space="preserve">[El GMP puede incluir información o aclaraciones adicionales sobre </w:t>
      </w:r>
      <w:r w:rsidR="00EA5F9B">
        <w:rPr>
          <w:color w:val="0070C0"/>
        </w:rPr>
        <w:t>las tareas</w:t>
      </w:r>
      <w:r w:rsidR="00900476">
        <w:rPr>
          <w:color w:val="0070C0"/>
        </w:rPr>
        <w:t xml:space="preserve"> encomendada</w:t>
      </w:r>
      <w:r>
        <w:rPr>
          <w:color w:val="0070C0"/>
        </w:rPr>
        <w:t xml:space="preserve"> que no se hayan tratado más arriba.]</w:t>
      </w:r>
      <w:r>
        <w:br w:type="page"/>
      </w:r>
    </w:p>
    <w:p w14:paraId="7F295EB7" w14:textId="77777777" w:rsidR="00C45DFB" w:rsidRPr="00DE200D" w:rsidRDefault="00C45DFB" w:rsidP="00C45DFB">
      <w:pPr>
        <w:pStyle w:val="Heading1"/>
        <w:spacing w:after="0" w:line="240" w:lineRule="auto"/>
        <w:rPr>
          <w:rFonts w:eastAsia="Calibri"/>
        </w:rPr>
      </w:pPr>
      <w:bookmarkStart w:id="20" w:name="_Toc180650432"/>
      <w:r>
        <w:lastRenderedPageBreak/>
        <w:t>Anexo A: Documentación contextual</w:t>
      </w:r>
      <w:bookmarkEnd w:id="20"/>
    </w:p>
    <w:p w14:paraId="712381AC" w14:textId="77777777" w:rsidR="00C45DFB" w:rsidRPr="00DE200D" w:rsidRDefault="00C45DFB" w:rsidP="00C45DFB">
      <w:pPr>
        <w:shd w:val="clear" w:color="auto" w:fill="FFFFFF" w:themeFill="background1"/>
        <w:tabs>
          <w:tab w:val="left" w:pos="426"/>
          <w:tab w:val="left" w:pos="709"/>
        </w:tabs>
      </w:pPr>
      <w:r>
        <w:br/>
        <w:t>Documentos sobre los acuerdos de gobernanza y las políticas fiscales de las industrias extractivas, incluidas las leyes y regulaciones pertinentes:</w:t>
      </w:r>
    </w:p>
    <w:p w14:paraId="7A32929A"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012F062D"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040C92F1" w14:textId="77777777" w:rsidR="00C45DFB" w:rsidRPr="00DE200D" w:rsidRDefault="00C45DFB" w:rsidP="00C45DFB">
      <w:pPr>
        <w:shd w:val="clear" w:color="auto" w:fill="FFFFFF" w:themeFill="background1"/>
        <w:tabs>
          <w:tab w:val="left" w:pos="426"/>
          <w:tab w:val="left" w:pos="709"/>
        </w:tabs>
      </w:pPr>
      <w:r>
        <w:t>Planes de trabajo del EITI y otros documentos relacionados:</w:t>
      </w:r>
    </w:p>
    <w:p w14:paraId="716DC991"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1BDAB6DA"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30A58BF5" w14:textId="77777777" w:rsidR="00C45DFB" w:rsidRPr="00DE200D" w:rsidRDefault="00C45DFB" w:rsidP="00C45DFB">
      <w:pPr>
        <w:shd w:val="clear" w:color="auto" w:fill="FFFFFF" w:themeFill="background1"/>
        <w:tabs>
          <w:tab w:val="left" w:pos="426"/>
          <w:tab w:val="left" w:pos="709"/>
        </w:tabs>
      </w:pPr>
      <w:r>
        <w:t>Conclusiones del trabajo preliminar de determinación del alcance</w:t>
      </w:r>
    </w:p>
    <w:p w14:paraId="59F709C6"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753ECD9D" w14:textId="77777777" w:rsidR="00C45DFB" w:rsidRPr="00DE200D" w:rsidRDefault="00C45DFB" w:rsidP="00C45DFB">
      <w:pPr>
        <w:shd w:val="clear" w:color="auto" w:fill="FFFFFF" w:themeFill="background1"/>
        <w:tabs>
          <w:tab w:val="left" w:pos="426"/>
          <w:tab w:val="left" w:pos="709"/>
        </w:tabs>
      </w:pPr>
      <w:r>
        <w:t>Informes EITI anteriores:</w:t>
      </w:r>
    </w:p>
    <w:p w14:paraId="0562F454"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4043EA65"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08840128" w14:textId="77777777" w:rsidR="00C45DFB" w:rsidRPr="00DE200D" w:rsidRDefault="00C45DFB" w:rsidP="00C45DFB">
      <w:pPr>
        <w:shd w:val="clear" w:color="auto" w:fill="FFFFFF" w:themeFill="background1"/>
        <w:tabs>
          <w:tab w:val="left" w:pos="426"/>
          <w:tab w:val="left" w:pos="709"/>
        </w:tabs>
      </w:pPr>
      <w:r>
        <w:t>Comentarios sobre Informes EITI anteriores:</w:t>
      </w:r>
    </w:p>
    <w:p w14:paraId="4B2D148D"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1B7A47D5"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3D226B5B" w14:textId="77777777" w:rsidR="00C45DFB" w:rsidRPr="00DE200D" w:rsidRDefault="00C45DFB" w:rsidP="00C45DFB">
      <w:pPr>
        <w:shd w:val="clear" w:color="auto" w:fill="FFFFFF" w:themeFill="background1"/>
        <w:tabs>
          <w:tab w:val="left" w:pos="426"/>
          <w:tab w:val="left" w:pos="709"/>
        </w:tabs>
      </w:pPr>
      <w:r>
        <w:t>Informes de Validación:</w:t>
      </w:r>
    </w:p>
    <w:p w14:paraId="6C7D45A4"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1CE59EA4"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3003A902" w14:textId="77777777" w:rsidR="00C45DFB" w:rsidRPr="00DE200D" w:rsidRDefault="00C45DFB" w:rsidP="00C45DFB">
      <w:pPr>
        <w:shd w:val="clear" w:color="auto" w:fill="FFFFFF" w:themeFill="background1"/>
        <w:tabs>
          <w:tab w:val="left" w:pos="426"/>
          <w:tab w:val="left" w:pos="709"/>
        </w:tabs>
      </w:pPr>
      <w:r>
        <w:t>Otros documentos pertinentes (p. ej. informes anuales de actividades):</w:t>
      </w:r>
    </w:p>
    <w:p w14:paraId="17778ABF"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color w:val="0070C0"/>
        </w:rPr>
      </w:pPr>
      <w:r>
        <w:rPr>
          <w:color w:val="0070C0"/>
        </w:rPr>
        <w:t>[…]</w:t>
      </w:r>
    </w:p>
    <w:p w14:paraId="60126CC5" w14:textId="77777777" w:rsidR="00C45DFB" w:rsidRPr="00DE200D" w:rsidRDefault="00C45DFB" w:rsidP="00C45DFB">
      <w:pPr>
        <w:numPr>
          <w:ilvl w:val="0"/>
          <w:numId w:val="13"/>
        </w:numPr>
        <w:shd w:val="clear" w:color="auto" w:fill="FFFFFF" w:themeFill="background1"/>
        <w:tabs>
          <w:tab w:val="left" w:pos="426"/>
          <w:tab w:val="left" w:pos="709"/>
        </w:tabs>
        <w:spacing w:before="240" w:after="240" w:line="240" w:lineRule="auto"/>
        <w:rPr>
          <w:rFonts w:eastAsia="Calibri"/>
          <w:color w:val="0070C0"/>
        </w:rPr>
      </w:pPr>
      <w:r>
        <w:rPr>
          <w:color w:val="0070C0"/>
        </w:rPr>
        <w:t>[…]</w:t>
      </w:r>
    </w:p>
    <w:p w14:paraId="3DE3A1ED" w14:textId="77777777" w:rsidR="00C45DFB" w:rsidRPr="00DE200D" w:rsidRDefault="00C45DFB" w:rsidP="00C45DFB">
      <w:pPr>
        <w:spacing w:after="0"/>
      </w:pPr>
      <w:r>
        <w:br w:type="page"/>
      </w:r>
    </w:p>
    <w:p w14:paraId="60C7CB33" w14:textId="77777777" w:rsidR="00C45DFB" w:rsidRPr="00DE200D" w:rsidRDefault="00C45DFB" w:rsidP="00C45DFB">
      <w:pPr>
        <w:pStyle w:val="Heading1"/>
        <w:sectPr w:rsidR="00C45DFB" w:rsidRPr="00DE200D" w:rsidSect="00C45DFB">
          <w:headerReference w:type="even" r:id="rId21"/>
          <w:headerReference w:type="default" r:id="rId22"/>
          <w:footerReference w:type="even" r:id="rId23"/>
          <w:footerReference w:type="default" r:id="rId24"/>
          <w:headerReference w:type="first" r:id="rId25"/>
          <w:footerReference w:type="first" r:id="rId26"/>
          <w:type w:val="continuous"/>
          <w:pgSz w:w="11901" w:h="16840"/>
          <w:pgMar w:top="1418" w:right="1411" w:bottom="1628" w:left="1418" w:header="851" w:footer="113" w:gutter="0"/>
          <w:pgNumType w:start="1"/>
          <w:cols w:space="708"/>
          <w:titlePg/>
          <w:docGrid w:linePitch="326"/>
        </w:sectPr>
      </w:pPr>
    </w:p>
    <w:p w14:paraId="6BCB5604" w14:textId="77777777" w:rsidR="00C45DFB" w:rsidRPr="00DE200D" w:rsidRDefault="00C45DFB" w:rsidP="00C45DFB">
      <w:pPr>
        <w:pStyle w:val="Heading1"/>
      </w:pPr>
      <w:bookmarkStart w:id="21" w:name="_Toc180650433"/>
      <w:r>
        <w:lastRenderedPageBreak/>
        <w:t>Anexo B: Tabla de estrategia para la calidad de los datos</w:t>
      </w:r>
      <w:bookmarkEnd w:id="21"/>
    </w:p>
    <w:p w14:paraId="72AFC645" w14:textId="1CFFAC09" w:rsidR="00C45DFB" w:rsidRPr="00DE200D" w:rsidRDefault="00C45DFB" w:rsidP="00C45DFB">
      <w:pPr>
        <w:tabs>
          <w:tab w:val="left" w:pos="1137"/>
        </w:tabs>
      </w:pPr>
      <w:r>
        <w:t xml:space="preserve">El nivel de riesgo se refiere a la probabilidad de que los datos informados por las empresas y las entidades gubernamentales contengan errores o inexactitudes que afecten la fiabilidad de los informes EITI. En un enfoque basado en riesgos, la estrategia de verificación asigna un nivel de riesgo —bajo, medio o alto— a cada organismo gubernamental y empresa en función de cuán probable es que haya inexactitudes en la información que presentan. </w:t>
      </w:r>
    </w:p>
    <w:p w14:paraId="5C5637C8" w14:textId="62639AED" w:rsidR="00C45DFB" w:rsidRPr="00DE200D" w:rsidRDefault="00C45DFB" w:rsidP="00C45DFB">
      <w:pPr>
        <w:pStyle w:val="ListParagraph0"/>
        <w:widowControl/>
        <w:numPr>
          <w:ilvl w:val="0"/>
          <w:numId w:val="13"/>
        </w:numPr>
        <w:tabs>
          <w:tab w:val="left" w:pos="1137"/>
        </w:tabs>
        <w:suppressAutoHyphens w:val="0"/>
        <w:spacing w:before="240" w:after="240" w:line="240" w:lineRule="auto"/>
        <w:contextualSpacing w:val="0"/>
      </w:pPr>
      <w:r>
        <w:t xml:space="preserve">Los </w:t>
      </w:r>
      <w:r>
        <w:rPr>
          <w:b/>
          <w:bCs/>
        </w:rPr>
        <w:t>casos de riesgo bajo</w:t>
      </w:r>
      <w:r>
        <w:t xml:space="preserve"> requieren </w:t>
      </w:r>
      <w:r w:rsidR="006728CC">
        <w:t xml:space="preserve">verificaciones mínimas </w:t>
      </w:r>
      <w:r>
        <w:t xml:space="preserve">de los datos. </w:t>
      </w:r>
    </w:p>
    <w:p w14:paraId="72A6D117" w14:textId="77777777" w:rsidR="00C45DFB" w:rsidRPr="00DE200D" w:rsidRDefault="00C45DFB" w:rsidP="00C45DFB">
      <w:pPr>
        <w:pStyle w:val="ListParagraph0"/>
        <w:widowControl/>
        <w:numPr>
          <w:ilvl w:val="0"/>
          <w:numId w:val="13"/>
        </w:numPr>
        <w:tabs>
          <w:tab w:val="left" w:pos="1137"/>
        </w:tabs>
        <w:suppressAutoHyphens w:val="0"/>
        <w:spacing w:before="240" w:after="240" w:line="240" w:lineRule="auto"/>
        <w:contextualSpacing w:val="0"/>
      </w:pPr>
      <w:r>
        <w:t xml:space="preserve">Los </w:t>
      </w:r>
      <w:r>
        <w:rPr>
          <w:b/>
        </w:rPr>
        <w:t>casos de riesgo medio</w:t>
      </w:r>
      <w:r>
        <w:t xml:space="preserve"> exigen contar con mejores procedimientos para abordar posibles discrepancias. </w:t>
      </w:r>
    </w:p>
    <w:p w14:paraId="04B04C9B" w14:textId="77777777" w:rsidR="00C45DFB" w:rsidRPr="00DE200D" w:rsidRDefault="00C45DFB" w:rsidP="00C45DFB">
      <w:pPr>
        <w:pStyle w:val="ListParagraph0"/>
        <w:widowControl/>
        <w:numPr>
          <w:ilvl w:val="0"/>
          <w:numId w:val="13"/>
        </w:numPr>
        <w:tabs>
          <w:tab w:val="left" w:pos="1137"/>
        </w:tabs>
        <w:suppressAutoHyphens w:val="0"/>
        <w:spacing w:before="240" w:after="240" w:line="240" w:lineRule="auto"/>
        <w:contextualSpacing w:val="0"/>
      </w:pPr>
      <w:r>
        <w:t xml:space="preserve">Los </w:t>
      </w:r>
      <w:r>
        <w:rPr>
          <w:b/>
        </w:rPr>
        <w:t>casos de riesgo alto</w:t>
      </w:r>
      <w:r>
        <w:t xml:space="preserve"> exigen medidas más amplias, incluida la realización de cotejos. </w:t>
      </w:r>
    </w:p>
    <w:p w14:paraId="7A778356" w14:textId="77777777" w:rsidR="00C45DFB" w:rsidRPr="00DE200D" w:rsidRDefault="00C45DFB" w:rsidP="00C45DFB">
      <w:pPr>
        <w:tabs>
          <w:tab w:val="left" w:pos="1137"/>
        </w:tabs>
      </w:pPr>
      <w:r>
        <w:t>Este enfoque estructurado garantiza que las verificaciones sean proporcionales a los riesgos identificados; de esta forma, mejora la exactitud y fiabilidad de los datos informados y, a la vez, hace que la intensidad de la intervención sea acorde al nivel de riesgo.</w:t>
      </w:r>
    </w:p>
    <w:p w14:paraId="55F680D0" w14:textId="77777777" w:rsidR="00C45DFB" w:rsidRPr="00DE200D" w:rsidRDefault="00C45DFB" w:rsidP="00C45DFB">
      <w:pPr>
        <w:tabs>
          <w:tab w:val="left" w:pos="1137"/>
        </w:tabs>
      </w:pPr>
    </w:p>
    <w:tbl>
      <w:tblPr>
        <w:tblStyle w:val="GridTable4-Accent5"/>
        <w:tblW w:w="5000" w:type="pct"/>
        <w:tblLook w:val="04A0" w:firstRow="1" w:lastRow="0" w:firstColumn="1" w:lastColumn="0" w:noHBand="0" w:noVBand="1"/>
      </w:tblPr>
      <w:tblGrid>
        <w:gridCol w:w="1839"/>
        <w:gridCol w:w="1896"/>
        <w:gridCol w:w="1441"/>
        <w:gridCol w:w="1896"/>
        <w:gridCol w:w="1118"/>
        <w:gridCol w:w="1896"/>
        <w:gridCol w:w="3907"/>
      </w:tblGrid>
      <w:tr w:rsidR="00C45DFB" w:rsidRPr="00DE200D" w14:paraId="75C56A81" w14:textId="77777777" w:rsidTr="71F2E4E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pct"/>
            <w:noWrap/>
            <w:hideMark/>
          </w:tcPr>
          <w:p w14:paraId="6CB88E17" w14:textId="77777777" w:rsidR="00C45DFB" w:rsidRPr="00DE200D" w:rsidRDefault="00C45DFB" w:rsidP="006A0FEC">
            <w:pPr>
              <w:spacing w:after="0"/>
              <w:rPr>
                <w:sz w:val="20"/>
                <w:szCs w:val="20"/>
              </w:rPr>
            </w:pPr>
            <w:r>
              <w:rPr>
                <w:sz w:val="20"/>
              </w:rPr>
              <w:t>Organismo gubernamental</w:t>
            </w:r>
          </w:p>
        </w:tc>
        <w:tc>
          <w:tcPr>
            <w:tcW w:w="0" w:type="pct"/>
            <w:noWrap/>
            <w:hideMark/>
          </w:tcPr>
          <w:p w14:paraId="7F300316" w14:textId="77777777" w:rsidR="00C45DFB" w:rsidRPr="00DE200D" w:rsidRDefault="00C45DFB" w:rsidP="006A0FEC">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rPr>
              <w:t>Evaluación del nivel de riesgo</w:t>
            </w:r>
          </w:p>
        </w:tc>
        <w:tc>
          <w:tcPr>
            <w:tcW w:w="0" w:type="pct"/>
            <w:noWrap/>
            <w:hideMark/>
          </w:tcPr>
          <w:p w14:paraId="6FF3510F" w14:textId="77777777" w:rsidR="00C45DFB" w:rsidRPr="00DE200D" w:rsidRDefault="00C45DFB" w:rsidP="006A0FEC">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rPr>
              <w:t>Empresa informante</w:t>
            </w:r>
          </w:p>
        </w:tc>
        <w:tc>
          <w:tcPr>
            <w:tcW w:w="0" w:type="pct"/>
            <w:noWrap/>
            <w:hideMark/>
          </w:tcPr>
          <w:p w14:paraId="6479A635" w14:textId="77777777" w:rsidR="00C45DFB" w:rsidRPr="00DE200D" w:rsidRDefault="00C45DFB" w:rsidP="006A0FEC">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rPr>
              <w:t>Evaluación del nivel de riesgo</w:t>
            </w:r>
          </w:p>
        </w:tc>
        <w:tc>
          <w:tcPr>
            <w:tcW w:w="0" w:type="pct"/>
            <w:noWrap/>
            <w:hideMark/>
          </w:tcPr>
          <w:p w14:paraId="29EA1F8A" w14:textId="77777777" w:rsidR="00C45DFB" w:rsidRPr="00DE200D" w:rsidRDefault="00C45DFB" w:rsidP="006A0FEC">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rPr>
              <w:t>Flujo de pagos</w:t>
            </w:r>
          </w:p>
        </w:tc>
        <w:tc>
          <w:tcPr>
            <w:tcW w:w="0" w:type="pct"/>
            <w:noWrap/>
            <w:hideMark/>
          </w:tcPr>
          <w:p w14:paraId="15C8B445" w14:textId="77777777" w:rsidR="00C45DFB" w:rsidRPr="00DE200D" w:rsidRDefault="00C45DFB" w:rsidP="006A0FEC">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rPr>
              <w:t>Evaluación del nivel de riesgo</w:t>
            </w:r>
          </w:p>
        </w:tc>
        <w:tc>
          <w:tcPr>
            <w:tcW w:w="0" w:type="pct"/>
            <w:noWrap/>
            <w:hideMark/>
          </w:tcPr>
          <w:p w14:paraId="4FB88B50" w14:textId="77777777" w:rsidR="00C45DFB" w:rsidRPr="00DE200D" w:rsidRDefault="00C45DFB" w:rsidP="006A0FEC">
            <w:pPr>
              <w:spacing w:after="0"/>
              <w:cnfStyle w:val="100000000000" w:firstRow="1" w:lastRow="0" w:firstColumn="0" w:lastColumn="0" w:oddVBand="0" w:evenVBand="0" w:oddHBand="0" w:evenHBand="0" w:firstRowFirstColumn="0" w:firstRowLastColumn="0" w:lastRowFirstColumn="0" w:lastRowLastColumn="0"/>
              <w:rPr>
                <w:sz w:val="20"/>
                <w:szCs w:val="20"/>
              </w:rPr>
            </w:pPr>
            <w:r>
              <w:rPr>
                <w:sz w:val="20"/>
              </w:rPr>
              <w:t>Procedimientos de verificación</w:t>
            </w:r>
          </w:p>
        </w:tc>
      </w:tr>
      <w:tr w:rsidR="00C45DFB" w:rsidRPr="00DE200D" w14:paraId="001B9D8A" w14:textId="77777777" w:rsidTr="71F2E4E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3193CD07" w14:textId="77777777" w:rsidR="00C45DFB" w:rsidRPr="00DE200D" w:rsidRDefault="00C45DFB" w:rsidP="006A0FEC">
            <w:pPr>
              <w:spacing w:after="0"/>
              <w:rPr>
                <w:color w:val="000000"/>
                <w:sz w:val="20"/>
                <w:szCs w:val="20"/>
              </w:rPr>
            </w:pPr>
            <w:r>
              <w:rPr>
                <w:color w:val="000000"/>
                <w:sz w:val="20"/>
              </w:rPr>
              <w:t>Organismo gubernamental 1</w:t>
            </w:r>
          </w:p>
        </w:tc>
        <w:tc>
          <w:tcPr>
            <w:tcW w:w="720" w:type="pct"/>
            <w:noWrap/>
            <w:hideMark/>
          </w:tcPr>
          <w:p w14:paraId="0E2D4A41"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Alto/Medio/Bajo</w:t>
            </w:r>
          </w:p>
        </w:tc>
        <w:tc>
          <w:tcPr>
            <w:tcW w:w="494" w:type="pct"/>
            <w:noWrap/>
            <w:hideMark/>
          </w:tcPr>
          <w:p w14:paraId="7A8668BD"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Empresa informante 1</w:t>
            </w:r>
          </w:p>
        </w:tc>
        <w:tc>
          <w:tcPr>
            <w:tcW w:w="720" w:type="pct"/>
            <w:noWrap/>
            <w:hideMark/>
          </w:tcPr>
          <w:p w14:paraId="116D25A8"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Alto/Medio/Bajo</w:t>
            </w:r>
          </w:p>
        </w:tc>
        <w:tc>
          <w:tcPr>
            <w:tcW w:w="378" w:type="pct"/>
            <w:noWrap/>
            <w:hideMark/>
          </w:tcPr>
          <w:p w14:paraId="234A4F69"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Flujo de pagos 1</w:t>
            </w:r>
          </w:p>
        </w:tc>
        <w:tc>
          <w:tcPr>
            <w:tcW w:w="720" w:type="pct"/>
            <w:noWrap/>
            <w:hideMark/>
          </w:tcPr>
          <w:p w14:paraId="74D53D84"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Alto/Medio/Bajo</w:t>
            </w:r>
          </w:p>
        </w:tc>
        <w:tc>
          <w:tcPr>
            <w:tcW w:w="1423" w:type="pct"/>
            <w:noWrap/>
            <w:hideMark/>
          </w:tcPr>
          <w:p w14:paraId="33A5F102"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themeColor="text1"/>
                <w:sz w:val="20"/>
              </w:rPr>
              <w:t>Control de verosimilitud, cotejo, auditoría, confirmación directa, etc.</w:t>
            </w:r>
          </w:p>
        </w:tc>
      </w:tr>
      <w:tr w:rsidR="00C45DFB" w:rsidRPr="00DE200D" w14:paraId="30B0A04B" w14:textId="77777777" w:rsidTr="71F2E4E1">
        <w:trPr>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3E77795F"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0877FADF"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494" w:type="pct"/>
            <w:noWrap/>
            <w:hideMark/>
          </w:tcPr>
          <w:p w14:paraId="7DDFF834"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720" w:type="pct"/>
            <w:noWrap/>
            <w:hideMark/>
          </w:tcPr>
          <w:p w14:paraId="1441CFC4"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378" w:type="pct"/>
            <w:noWrap/>
            <w:hideMark/>
          </w:tcPr>
          <w:p w14:paraId="3BCC42D5"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Flujo de pagos 2</w:t>
            </w:r>
          </w:p>
        </w:tc>
        <w:tc>
          <w:tcPr>
            <w:tcW w:w="720" w:type="pct"/>
            <w:noWrap/>
            <w:hideMark/>
          </w:tcPr>
          <w:p w14:paraId="262CBACD"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1423" w:type="pct"/>
            <w:noWrap/>
            <w:hideMark/>
          </w:tcPr>
          <w:p w14:paraId="1D0700A6"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r>
      <w:tr w:rsidR="00C45DFB" w:rsidRPr="00DE200D" w14:paraId="208547C7" w14:textId="77777777" w:rsidTr="71F2E4E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03023BBC"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07BA50A6"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494" w:type="pct"/>
            <w:noWrap/>
            <w:hideMark/>
          </w:tcPr>
          <w:p w14:paraId="11B4B060"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720" w:type="pct"/>
            <w:noWrap/>
            <w:hideMark/>
          </w:tcPr>
          <w:p w14:paraId="5BDF0298"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378" w:type="pct"/>
            <w:noWrap/>
            <w:hideMark/>
          </w:tcPr>
          <w:p w14:paraId="157366DD"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Flujo de pagos 3</w:t>
            </w:r>
          </w:p>
        </w:tc>
        <w:tc>
          <w:tcPr>
            <w:tcW w:w="720" w:type="pct"/>
            <w:noWrap/>
            <w:hideMark/>
          </w:tcPr>
          <w:p w14:paraId="073DDBCB"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1423" w:type="pct"/>
            <w:noWrap/>
            <w:hideMark/>
          </w:tcPr>
          <w:p w14:paraId="6B25B45D"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r>
      <w:tr w:rsidR="00C45DFB" w:rsidRPr="00DE200D" w14:paraId="3390BD7E" w14:textId="77777777" w:rsidTr="71F2E4E1">
        <w:trPr>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341F57AA"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3172DB57"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494" w:type="pct"/>
            <w:noWrap/>
            <w:hideMark/>
          </w:tcPr>
          <w:p w14:paraId="1E55767E"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720" w:type="pct"/>
            <w:noWrap/>
            <w:hideMark/>
          </w:tcPr>
          <w:p w14:paraId="4FAF8A1A"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378" w:type="pct"/>
            <w:noWrap/>
            <w:hideMark/>
          </w:tcPr>
          <w:p w14:paraId="1C51E87B"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Flujo de pagos 4</w:t>
            </w:r>
          </w:p>
        </w:tc>
        <w:tc>
          <w:tcPr>
            <w:tcW w:w="720" w:type="pct"/>
            <w:noWrap/>
            <w:hideMark/>
          </w:tcPr>
          <w:p w14:paraId="0D5072C8"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1423" w:type="pct"/>
            <w:noWrap/>
            <w:hideMark/>
          </w:tcPr>
          <w:p w14:paraId="625009B1"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r>
      <w:tr w:rsidR="00C45DFB" w:rsidRPr="00DE200D" w14:paraId="09132641" w14:textId="77777777" w:rsidTr="71F2E4E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52C25DB8"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0592389C"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494" w:type="pct"/>
            <w:noWrap/>
            <w:hideMark/>
          </w:tcPr>
          <w:p w14:paraId="55926734"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Empresa informante 2</w:t>
            </w:r>
          </w:p>
        </w:tc>
        <w:tc>
          <w:tcPr>
            <w:tcW w:w="720" w:type="pct"/>
            <w:noWrap/>
            <w:hideMark/>
          </w:tcPr>
          <w:p w14:paraId="6C8E0802"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378" w:type="pct"/>
            <w:noWrap/>
            <w:hideMark/>
          </w:tcPr>
          <w:p w14:paraId="1FD637EE"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Flujo de pagos 1</w:t>
            </w:r>
          </w:p>
        </w:tc>
        <w:tc>
          <w:tcPr>
            <w:tcW w:w="720" w:type="pct"/>
            <w:noWrap/>
            <w:hideMark/>
          </w:tcPr>
          <w:p w14:paraId="782C5B08"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1423" w:type="pct"/>
            <w:noWrap/>
            <w:hideMark/>
          </w:tcPr>
          <w:p w14:paraId="58AD3D3D"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r>
      <w:tr w:rsidR="00C45DFB" w:rsidRPr="00DE200D" w14:paraId="6AA9B8A6" w14:textId="77777777" w:rsidTr="71F2E4E1">
        <w:trPr>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3EAF3DF7" w14:textId="77777777" w:rsidR="00C45DFB" w:rsidRPr="00DE200D" w:rsidRDefault="00C45DFB" w:rsidP="006A0FEC">
            <w:pPr>
              <w:spacing w:after="0"/>
              <w:rPr>
                <w:color w:val="000000"/>
                <w:sz w:val="20"/>
                <w:szCs w:val="20"/>
              </w:rPr>
            </w:pPr>
            <w:r>
              <w:rPr>
                <w:color w:val="000000"/>
                <w:sz w:val="20"/>
              </w:rPr>
              <w:lastRenderedPageBreak/>
              <w:t> </w:t>
            </w:r>
          </w:p>
        </w:tc>
        <w:tc>
          <w:tcPr>
            <w:tcW w:w="720" w:type="pct"/>
            <w:noWrap/>
            <w:hideMark/>
          </w:tcPr>
          <w:p w14:paraId="63E908F7"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494" w:type="pct"/>
            <w:noWrap/>
            <w:hideMark/>
          </w:tcPr>
          <w:p w14:paraId="7E09DC92"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720" w:type="pct"/>
            <w:noWrap/>
            <w:hideMark/>
          </w:tcPr>
          <w:p w14:paraId="5B5FBC02"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378" w:type="pct"/>
            <w:noWrap/>
            <w:hideMark/>
          </w:tcPr>
          <w:p w14:paraId="02BC7305"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Flujo de pagos 2</w:t>
            </w:r>
          </w:p>
        </w:tc>
        <w:tc>
          <w:tcPr>
            <w:tcW w:w="720" w:type="pct"/>
            <w:noWrap/>
            <w:hideMark/>
          </w:tcPr>
          <w:p w14:paraId="12953593"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1423" w:type="pct"/>
            <w:noWrap/>
            <w:hideMark/>
          </w:tcPr>
          <w:p w14:paraId="01350912"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r>
      <w:tr w:rsidR="00C45DFB" w:rsidRPr="00DE200D" w14:paraId="7CE0E8D9" w14:textId="77777777" w:rsidTr="71F2E4E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0C1DB298"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6A591A94"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494" w:type="pct"/>
            <w:noWrap/>
            <w:hideMark/>
          </w:tcPr>
          <w:p w14:paraId="775D83CB"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720" w:type="pct"/>
            <w:noWrap/>
            <w:hideMark/>
          </w:tcPr>
          <w:p w14:paraId="5995EF64"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378" w:type="pct"/>
            <w:noWrap/>
            <w:hideMark/>
          </w:tcPr>
          <w:p w14:paraId="680DB7B3"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Flujo de pagos 3</w:t>
            </w:r>
          </w:p>
        </w:tc>
        <w:tc>
          <w:tcPr>
            <w:tcW w:w="720" w:type="pct"/>
            <w:noWrap/>
            <w:hideMark/>
          </w:tcPr>
          <w:p w14:paraId="714D4F33"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1423" w:type="pct"/>
            <w:noWrap/>
            <w:hideMark/>
          </w:tcPr>
          <w:p w14:paraId="3DE45D6D"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r>
      <w:tr w:rsidR="00C45DFB" w:rsidRPr="00DE200D" w14:paraId="6C9ACCE9" w14:textId="77777777" w:rsidTr="71F2E4E1">
        <w:trPr>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5B51CD42" w14:textId="77777777" w:rsidR="00C45DFB" w:rsidRPr="00DE200D" w:rsidRDefault="00C45DFB" w:rsidP="006A0FEC">
            <w:pPr>
              <w:spacing w:after="0"/>
              <w:rPr>
                <w:color w:val="000000"/>
                <w:sz w:val="20"/>
                <w:szCs w:val="20"/>
              </w:rPr>
            </w:pPr>
            <w:r>
              <w:rPr>
                <w:color w:val="000000"/>
                <w:sz w:val="20"/>
              </w:rPr>
              <w:t>Organismo gubernamental 2</w:t>
            </w:r>
          </w:p>
        </w:tc>
        <w:tc>
          <w:tcPr>
            <w:tcW w:w="720" w:type="pct"/>
            <w:noWrap/>
            <w:hideMark/>
          </w:tcPr>
          <w:p w14:paraId="6C3C438D"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Alto/Medio/Bajo</w:t>
            </w:r>
          </w:p>
        </w:tc>
        <w:tc>
          <w:tcPr>
            <w:tcW w:w="494" w:type="pct"/>
            <w:noWrap/>
            <w:hideMark/>
          </w:tcPr>
          <w:p w14:paraId="5EF86B9C"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Empresa informante 1</w:t>
            </w:r>
          </w:p>
        </w:tc>
        <w:tc>
          <w:tcPr>
            <w:tcW w:w="720" w:type="pct"/>
            <w:noWrap/>
            <w:hideMark/>
          </w:tcPr>
          <w:p w14:paraId="7B453562"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Alto/Medio/Bajo</w:t>
            </w:r>
          </w:p>
        </w:tc>
        <w:tc>
          <w:tcPr>
            <w:tcW w:w="378" w:type="pct"/>
            <w:noWrap/>
            <w:hideMark/>
          </w:tcPr>
          <w:p w14:paraId="291DD827"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Flujo de pagos 1</w:t>
            </w:r>
          </w:p>
        </w:tc>
        <w:tc>
          <w:tcPr>
            <w:tcW w:w="720" w:type="pct"/>
            <w:noWrap/>
            <w:hideMark/>
          </w:tcPr>
          <w:p w14:paraId="78FA2B0E"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Alto/Medio/Bajo</w:t>
            </w:r>
          </w:p>
        </w:tc>
        <w:tc>
          <w:tcPr>
            <w:tcW w:w="1423" w:type="pct"/>
            <w:noWrap/>
            <w:hideMark/>
          </w:tcPr>
          <w:p w14:paraId="30529E97"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r>
      <w:tr w:rsidR="00C45DFB" w:rsidRPr="00DE200D" w14:paraId="751D49BD" w14:textId="77777777" w:rsidTr="71F2E4E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09B4007B"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59832F7F"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494" w:type="pct"/>
            <w:noWrap/>
            <w:hideMark/>
          </w:tcPr>
          <w:p w14:paraId="18C1F98D"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720" w:type="pct"/>
            <w:noWrap/>
            <w:hideMark/>
          </w:tcPr>
          <w:p w14:paraId="648F449A"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378" w:type="pct"/>
            <w:noWrap/>
            <w:hideMark/>
          </w:tcPr>
          <w:p w14:paraId="6747B27E"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Flujo de pagos 2</w:t>
            </w:r>
          </w:p>
        </w:tc>
        <w:tc>
          <w:tcPr>
            <w:tcW w:w="720" w:type="pct"/>
            <w:noWrap/>
            <w:hideMark/>
          </w:tcPr>
          <w:p w14:paraId="449770DA"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1423" w:type="pct"/>
            <w:noWrap/>
            <w:hideMark/>
          </w:tcPr>
          <w:p w14:paraId="00D13650"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r>
      <w:tr w:rsidR="00C45DFB" w:rsidRPr="00DE200D" w14:paraId="0F6000EC" w14:textId="77777777" w:rsidTr="71F2E4E1">
        <w:trPr>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7FA2DE14"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262EABC4"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494" w:type="pct"/>
            <w:noWrap/>
            <w:hideMark/>
          </w:tcPr>
          <w:p w14:paraId="6780337A"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720" w:type="pct"/>
            <w:noWrap/>
            <w:hideMark/>
          </w:tcPr>
          <w:p w14:paraId="3C43AEC8"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378" w:type="pct"/>
            <w:noWrap/>
            <w:hideMark/>
          </w:tcPr>
          <w:p w14:paraId="0B94F1DF"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Flujo de pagos 3</w:t>
            </w:r>
          </w:p>
        </w:tc>
        <w:tc>
          <w:tcPr>
            <w:tcW w:w="720" w:type="pct"/>
            <w:noWrap/>
            <w:hideMark/>
          </w:tcPr>
          <w:p w14:paraId="6C0FA8DD"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1423" w:type="pct"/>
            <w:noWrap/>
            <w:hideMark/>
          </w:tcPr>
          <w:p w14:paraId="2FCE109C"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r>
      <w:tr w:rsidR="00C45DFB" w:rsidRPr="00DE200D" w14:paraId="40CE4598" w14:textId="77777777" w:rsidTr="71F2E4E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711025D0"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138792BA"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lang w:eastAsia="fr-FR"/>
              </w:rPr>
            </w:pPr>
          </w:p>
        </w:tc>
        <w:tc>
          <w:tcPr>
            <w:tcW w:w="494" w:type="pct"/>
            <w:noWrap/>
            <w:hideMark/>
          </w:tcPr>
          <w:p w14:paraId="5314AE47"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Empresa informante 2</w:t>
            </w:r>
          </w:p>
        </w:tc>
        <w:tc>
          <w:tcPr>
            <w:tcW w:w="720" w:type="pct"/>
            <w:noWrap/>
            <w:hideMark/>
          </w:tcPr>
          <w:p w14:paraId="5B6EC949"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378" w:type="pct"/>
            <w:noWrap/>
            <w:hideMark/>
          </w:tcPr>
          <w:p w14:paraId="442CDA26"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Flujo de pagos 1</w:t>
            </w:r>
          </w:p>
        </w:tc>
        <w:tc>
          <w:tcPr>
            <w:tcW w:w="720" w:type="pct"/>
            <w:noWrap/>
            <w:hideMark/>
          </w:tcPr>
          <w:p w14:paraId="07B9BB79"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c>
          <w:tcPr>
            <w:tcW w:w="1423" w:type="pct"/>
            <w:noWrap/>
            <w:hideMark/>
          </w:tcPr>
          <w:p w14:paraId="7B59D85C" w14:textId="77777777" w:rsidR="00C45DFB" w:rsidRPr="00DE200D" w:rsidRDefault="00C45DFB" w:rsidP="006A0FEC">
            <w:pPr>
              <w:spacing w:after="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rPr>
              <w:t> </w:t>
            </w:r>
          </w:p>
        </w:tc>
      </w:tr>
      <w:tr w:rsidR="00C45DFB" w:rsidRPr="00BF652C" w14:paraId="316D99C5" w14:textId="77777777" w:rsidTr="71F2E4E1">
        <w:trPr>
          <w:trHeight w:val="290"/>
        </w:trPr>
        <w:tc>
          <w:tcPr>
            <w:cnfStyle w:val="001000000000" w:firstRow="0" w:lastRow="0" w:firstColumn="1" w:lastColumn="0" w:oddVBand="0" w:evenVBand="0" w:oddHBand="0" w:evenHBand="0" w:firstRowFirstColumn="0" w:firstRowLastColumn="0" w:lastRowFirstColumn="0" w:lastRowLastColumn="0"/>
            <w:tcW w:w="546" w:type="pct"/>
            <w:noWrap/>
            <w:hideMark/>
          </w:tcPr>
          <w:p w14:paraId="4450C1F1" w14:textId="77777777" w:rsidR="00C45DFB" w:rsidRPr="00DE200D" w:rsidRDefault="00C45DFB" w:rsidP="006A0FEC">
            <w:pPr>
              <w:spacing w:after="0"/>
              <w:rPr>
                <w:color w:val="000000"/>
                <w:sz w:val="20"/>
                <w:szCs w:val="20"/>
              </w:rPr>
            </w:pPr>
            <w:r>
              <w:rPr>
                <w:color w:val="000000"/>
                <w:sz w:val="20"/>
              </w:rPr>
              <w:t> </w:t>
            </w:r>
          </w:p>
        </w:tc>
        <w:tc>
          <w:tcPr>
            <w:tcW w:w="720" w:type="pct"/>
            <w:noWrap/>
            <w:hideMark/>
          </w:tcPr>
          <w:p w14:paraId="692D1FB4"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494" w:type="pct"/>
            <w:noWrap/>
            <w:hideMark/>
          </w:tcPr>
          <w:p w14:paraId="03261E7A"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720" w:type="pct"/>
            <w:noWrap/>
            <w:hideMark/>
          </w:tcPr>
          <w:p w14:paraId="686BD8E1" w14:textId="77777777" w:rsidR="00C45DFB" w:rsidRPr="00DE200D"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lang w:eastAsia="fr-FR"/>
              </w:rPr>
            </w:pPr>
          </w:p>
        </w:tc>
        <w:tc>
          <w:tcPr>
            <w:tcW w:w="378" w:type="pct"/>
            <w:noWrap/>
            <w:hideMark/>
          </w:tcPr>
          <w:p w14:paraId="0C6C102D" w14:textId="77777777" w:rsidR="00C45DFB" w:rsidRPr="00BF652C"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Flujo de pagos 2</w:t>
            </w:r>
          </w:p>
        </w:tc>
        <w:tc>
          <w:tcPr>
            <w:tcW w:w="720" w:type="pct"/>
            <w:noWrap/>
            <w:hideMark/>
          </w:tcPr>
          <w:p w14:paraId="28B55010" w14:textId="77777777" w:rsidR="00C45DFB" w:rsidRPr="00BF652C"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c>
          <w:tcPr>
            <w:tcW w:w="1423" w:type="pct"/>
            <w:noWrap/>
            <w:hideMark/>
          </w:tcPr>
          <w:p w14:paraId="4ECD34C0" w14:textId="77777777" w:rsidR="00C45DFB" w:rsidRPr="00BF652C" w:rsidRDefault="00C45DFB" w:rsidP="006A0FEC">
            <w:pPr>
              <w:spacing w:after="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w:t>
            </w:r>
          </w:p>
        </w:tc>
      </w:tr>
    </w:tbl>
    <w:p w14:paraId="54B0E33F" w14:textId="77777777" w:rsidR="00C45DFB" w:rsidRPr="00BF652C" w:rsidRDefault="00C45DFB" w:rsidP="00C45DFB">
      <w:pPr>
        <w:tabs>
          <w:tab w:val="left" w:pos="1137"/>
        </w:tabs>
      </w:pPr>
    </w:p>
    <w:p w14:paraId="210AC912" w14:textId="77777777" w:rsidR="00C45DFB" w:rsidRPr="00BF652C" w:rsidRDefault="00C45DFB" w:rsidP="00C45DFB">
      <w:pPr>
        <w:tabs>
          <w:tab w:val="left" w:pos="1137"/>
        </w:tabs>
      </w:pPr>
      <w:r>
        <w:tab/>
      </w:r>
    </w:p>
    <w:p w14:paraId="35D08192" w14:textId="77777777" w:rsidR="00C45DFB" w:rsidRPr="00BF652C" w:rsidRDefault="00C45DFB" w:rsidP="00C45DFB">
      <w:pPr>
        <w:rPr>
          <w:rFonts w:eastAsia="Calibri"/>
          <w:color w:val="0070C0"/>
          <w:lang w:eastAsia="fr-FR"/>
        </w:rPr>
      </w:pPr>
    </w:p>
    <w:p w14:paraId="3736F1F8" w14:textId="77777777" w:rsidR="00A84DFB" w:rsidRPr="00C45DFB" w:rsidRDefault="00A84DFB" w:rsidP="00C45DFB">
      <w:pPr>
        <w:rPr>
          <w:rFonts w:eastAsia="Calibri"/>
        </w:rPr>
      </w:pPr>
    </w:p>
    <w:sectPr w:rsidR="00A84DFB" w:rsidRPr="00C45DFB" w:rsidSect="006536D0">
      <w:headerReference w:type="even" r:id="rId27"/>
      <w:headerReference w:type="default" r:id="rId28"/>
      <w:footerReference w:type="even" r:id="rId29"/>
      <w:footerReference w:type="default" r:id="rId30"/>
      <w:headerReference w:type="first" r:id="rId31"/>
      <w:footerReference w:type="first" r:id="rId32"/>
      <w:pgSz w:w="16837" w:h="11905" w:orient="landscape"/>
      <w:pgMar w:top="1417" w:right="1417" w:bottom="1417" w:left="1417" w:header="851" w:footer="618"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64CD" w14:textId="77777777" w:rsidR="009C4947" w:rsidRDefault="009C4947">
      <w:pPr>
        <w:spacing w:after="0" w:line="240" w:lineRule="auto"/>
      </w:pPr>
      <w:r>
        <w:separator/>
      </w:r>
    </w:p>
    <w:p w14:paraId="3CB7BED3" w14:textId="77777777" w:rsidR="009C4947" w:rsidRDefault="009C4947"/>
    <w:p w14:paraId="702080E3" w14:textId="77777777" w:rsidR="009C4947" w:rsidRDefault="009C4947" w:rsidP="00570A9E"/>
  </w:endnote>
  <w:endnote w:type="continuationSeparator" w:id="0">
    <w:p w14:paraId="7B8A204D" w14:textId="77777777" w:rsidR="009C4947" w:rsidRDefault="009C4947">
      <w:pPr>
        <w:spacing w:after="0" w:line="240" w:lineRule="auto"/>
      </w:pPr>
      <w:r>
        <w:continuationSeparator/>
      </w:r>
    </w:p>
    <w:p w14:paraId="7D062A8C" w14:textId="77777777" w:rsidR="009C4947" w:rsidRDefault="009C4947"/>
    <w:p w14:paraId="709B315F" w14:textId="77777777" w:rsidR="009C4947" w:rsidRDefault="009C4947" w:rsidP="00570A9E"/>
  </w:endnote>
  <w:endnote w:type="continuationNotice" w:id="1">
    <w:p w14:paraId="07D6A771" w14:textId="77777777" w:rsidR="009C4947" w:rsidRDefault="009C4947">
      <w:pPr>
        <w:spacing w:after="0" w:line="240" w:lineRule="auto"/>
      </w:pPr>
    </w:p>
    <w:p w14:paraId="50E2570B" w14:textId="77777777" w:rsidR="009C4947" w:rsidRDefault="009C4947"/>
    <w:p w14:paraId="1632154B" w14:textId="77777777" w:rsidR="009C4947" w:rsidRDefault="009C4947" w:rsidP="0057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yriad Pro SemiCond">
    <w:altName w:val="Segoe UI"/>
    <w:panose1 w:val="020B0604020202020204"/>
    <w:charset w:val="00"/>
    <w:family w:val="swiss"/>
    <w:notTrueType/>
    <w:pitch w:val="variable"/>
    <w:sig w:usb0="A00002AF" w:usb1="5000204B" w:usb2="00000000" w:usb3="00000000" w:csb0="0000009F" w:csb1="00000000"/>
  </w:font>
  <w:font w:name="Myriad Pro Light SemiCond">
    <w:altName w:val="Calibri"/>
    <w:panose1 w:val="020B0604020202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yriad Pro">
    <w:altName w:val="Calibri"/>
    <w:panose1 w:val="020B0604020202020204"/>
    <w:charset w:val="00"/>
    <w:family w:val="swiss"/>
    <w:notTrueType/>
    <w:pitch w:val="variable"/>
    <w:sig w:usb0="20000287" w:usb1="00000001"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ms Rmn">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FDE09" w14:textId="77777777" w:rsidR="000A53CA" w:rsidRDefault="000A5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924F" w14:textId="77777777" w:rsidR="00C45DFB" w:rsidRPr="00673135" w:rsidRDefault="00C45DFB" w:rsidP="00EC3105">
    <w:pPr>
      <w:pStyle w:val="Footer"/>
    </w:pPr>
    <w:r>
      <w:rPr>
        <w:noProof/>
        <w:sz w:val="16"/>
      </w:rPr>
      <mc:AlternateContent>
        <mc:Choice Requires="wps">
          <w:drawing>
            <wp:anchor distT="0" distB="0" distL="114300" distR="114300" simplePos="0" relativeHeight="251658251" behindDoc="0" locked="0" layoutInCell="1" allowOverlap="1" wp14:anchorId="567939B9" wp14:editId="03A845BA">
              <wp:simplePos x="0" y="0"/>
              <wp:positionH relativeFrom="column">
                <wp:posOffset>-119380</wp:posOffset>
              </wp:positionH>
              <wp:positionV relativeFrom="paragraph">
                <wp:posOffset>-369570</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1FC082E6" w14:textId="77777777" w:rsidR="00C45DFB" w:rsidRPr="00BF652C" w:rsidRDefault="00C45DFB" w:rsidP="00EC3105">
                          <w:pPr>
                            <w:pBdr>
                              <w:top w:val="single" w:sz="4" w:space="1" w:color="2DAED5"/>
                            </w:pBdr>
                            <w:spacing w:after="0"/>
                            <w:jc w:val="right"/>
                            <w:rPr>
                              <w:b/>
                              <w:sz w:val="20"/>
                              <w:szCs w:val="20"/>
                            </w:rPr>
                          </w:pPr>
                          <w:r>
                            <w:rPr>
                              <w:color w:val="000000"/>
                            </w:rPr>
                            <w:tab/>
                            <w:t xml:space="preserve"> </w:t>
                          </w:r>
                          <w:r w:rsidRPr="00BF652C">
                            <w:rPr>
                              <w:color w:val="000000"/>
                              <w:sz w:val="20"/>
                            </w:rPr>
                            <w:fldChar w:fldCharType="begin"/>
                          </w:r>
                          <w:r w:rsidRPr="00BF652C">
                            <w:rPr>
                              <w:color w:val="000000"/>
                              <w:sz w:val="20"/>
                            </w:rPr>
                            <w:instrText xml:space="preserve"> PAGE </w:instrText>
                          </w:r>
                          <w:r w:rsidRPr="00BF652C">
                            <w:rPr>
                              <w:color w:val="000000"/>
                              <w:sz w:val="20"/>
                            </w:rPr>
                            <w:fldChar w:fldCharType="separate"/>
                          </w:r>
                          <w:r w:rsidRPr="00BF652C">
                            <w:rPr>
                              <w:color w:val="000000"/>
                              <w:sz w:val="20"/>
                            </w:rPr>
                            <w:t>1</w:t>
                          </w:r>
                          <w:r w:rsidRPr="00BF652C">
                            <w:rPr>
                              <w:color w:val="000000"/>
                              <w:sz w:val="20"/>
                            </w:rPr>
                            <w:fldChar w:fldCharType="end"/>
                          </w:r>
                          <w:r>
                            <w:rPr>
                              <w:color w:val="000000"/>
                              <w:sz w:val="20"/>
                            </w:rPr>
                            <w:t xml:space="preserve"> </w:t>
                          </w:r>
                        </w:p>
                        <w:p w14:paraId="376A7C42" w14:textId="77777777" w:rsidR="00C45DFB" w:rsidRPr="00BF652C" w:rsidRDefault="00C45DFB" w:rsidP="00EC3105"/>
                        <w:p w14:paraId="0B2DCD7E" w14:textId="77777777" w:rsidR="00C45DFB" w:rsidRPr="00BF652C" w:rsidRDefault="00C45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939B9" id="_x0000_t202" coordsize="21600,21600" o:spt="202" path="m,l,21600r21600,l21600,xe">
              <v:stroke joinstyle="miter"/>
              <v:path gradientshapeok="t" o:connecttype="rect"/>
            </v:shapetype>
            <v:shape id="Text Box 3" o:spid="_x0000_s1026" type="#_x0000_t202" style="position:absolute;margin-left:-9.4pt;margin-top:-29.1pt;width:469.2pt;height:33.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1FC082E6" w14:textId="77777777" w:rsidR="00C45DFB" w:rsidRPr="00BF652C" w:rsidRDefault="00C45DFB" w:rsidP="00EC3105">
                    <w:pPr>
                      <w:pBdr>
                        <w:top w:val="single" w:sz="4" w:space="1" w:color="2DAED5"/>
                      </w:pBdr>
                      <w:spacing w:after="0"/>
                      <w:jc w:val="right"/>
                      <w:rPr>
                        <w:b/>
                        <w:sz w:val="20"/>
                        <w:szCs w:val="20"/>
                      </w:rPr>
                    </w:pPr>
                    <w:r>
                      <w:rPr>
                        <w:color w:val="000000"/>
                      </w:rPr>
                      <w:tab/>
                      <w:t xml:space="preserve"> </w:t>
                    </w:r>
                    <w:r w:rsidRPr="00BF652C">
                      <w:rPr>
                        <w:color w:val="000000"/>
                        <w:sz w:val="20"/>
                      </w:rPr>
                      <w:fldChar w:fldCharType="begin"/>
                    </w:r>
                    <w:r w:rsidRPr="00BF652C">
                      <w:rPr>
                        <w:color w:val="000000"/>
                        <w:sz w:val="20"/>
                      </w:rPr>
                      <w:instrText xml:space="preserve"> PAGE </w:instrText>
                    </w:r>
                    <w:r w:rsidRPr="00BF652C">
                      <w:rPr>
                        <w:color w:val="000000"/>
                        <w:sz w:val="20"/>
                      </w:rPr>
                      <w:fldChar w:fldCharType="separate"/>
                    </w:r>
                    <w:r w:rsidRPr="00BF652C">
                      <w:rPr>
                        <w:color w:val="000000"/>
                        <w:sz w:val="20"/>
                      </w:rPr>
                      <w:t>1</w:t>
                    </w:r>
                    <w:r w:rsidRPr="00BF652C">
                      <w:rPr>
                        <w:color w:val="000000"/>
                        <w:sz w:val="20"/>
                      </w:rPr>
                      <w:fldChar w:fldCharType="end"/>
                    </w:r>
                    <w:r>
                      <w:rPr>
                        <w:color w:val="000000"/>
                        <w:sz w:val="20"/>
                      </w:rPr>
                      <w:t xml:space="preserve"> </w:t>
                    </w:r>
                  </w:p>
                  <w:p w14:paraId="376A7C42" w14:textId="77777777" w:rsidR="00C45DFB" w:rsidRPr="00BF652C" w:rsidRDefault="00C45DFB" w:rsidP="00EC3105"/>
                  <w:p w14:paraId="0B2DCD7E" w14:textId="77777777" w:rsidR="00C45DFB" w:rsidRPr="00BF652C" w:rsidRDefault="00C45DFB"/>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90E6" w14:textId="77777777" w:rsidR="00C45DFB" w:rsidRPr="00004E42" w:rsidRDefault="00C45DFB" w:rsidP="00EC3105">
    <w:pPr>
      <w:spacing w:line="276" w:lineRule="auto"/>
      <w:rPr>
        <w:sz w:val="16"/>
        <w:szCs w:val="16"/>
      </w:rPr>
    </w:pPr>
    <w:r>
      <w:rPr>
        <w:noProof/>
        <w:sz w:val="16"/>
      </w:rPr>
      <mc:AlternateContent>
        <mc:Choice Requires="wps">
          <w:drawing>
            <wp:anchor distT="0" distB="0" distL="114300" distR="114300" simplePos="0" relativeHeight="251658250" behindDoc="0" locked="0" layoutInCell="1" allowOverlap="1" wp14:anchorId="6C664D8C" wp14:editId="2BB9E00F">
              <wp:simplePos x="0" y="0"/>
              <wp:positionH relativeFrom="column">
                <wp:posOffset>-43180</wp:posOffset>
              </wp:positionH>
              <wp:positionV relativeFrom="paragraph">
                <wp:posOffset>-379730</wp:posOffset>
              </wp:positionV>
              <wp:extent cx="5958840" cy="43815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8150"/>
                      </a:xfrm>
                      <a:prstGeom prst="rect">
                        <a:avLst/>
                      </a:prstGeom>
                      <a:noFill/>
                      <a:ln>
                        <a:noFill/>
                      </a:ln>
                      <a:effectLst/>
                      <a:extLst>
                        <a:ext uri="{C572A759-6A51-4108-AA02-DFA0A04FC94B}"/>
                      </a:extLst>
                    </wps:spPr>
                    <wps:txbx>
                      <w:txbxContent>
                        <w:p w14:paraId="77310242" w14:textId="77777777" w:rsidR="00C45DFB" w:rsidRPr="00BF652C" w:rsidRDefault="00C45DFB" w:rsidP="00EC3105">
                          <w:pPr>
                            <w:pBdr>
                              <w:top w:val="single" w:sz="4" w:space="1" w:color="2DAED5"/>
                            </w:pBdr>
                            <w:spacing w:after="0"/>
                            <w:jc w:val="right"/>
                            <w:rPr>
                              <w:sz w:val="20"/>
                              <w:szCs w:val="20"/>
                            </w:rPr>
                          </w:pPr>
                          <w:r>
                            <w:rPr>
                              <w:color w:val="000000"/>
                            </w:rPr>
                            <w:tab/>
                            <w:t xml:space="preserve"> </w:t>
                          </w:r>
                          <w:r w:rsidRPr="00BF652C">
                            <w:rPr>
                              <w:color w:val="000000"/>
                              <w:sz w:val="20"/>
                            </w:rPr>
                            <w:fldChar w:fldCharType="begin"/>
                          </w:r>
                          <w:r w:rsidRPr="00BF652C">
                            <w:rPr>
                              <w:color w:val="000000"/>
                              <w:sz w:val="20"/>
                            </w:rPr>
                            <w:instrText xml:space="preserve"> PAGE </w:instrText>
                          </w:r>
                          <w:r w:rsidRPr="00BF652C">
                            <w:rPr>
                              <w:color w:val="000000"/>
                              <w:sz w:val="20"/>
                            </w:rPr>
                            <w:fldChar w:fldCharType="separate"/>
                          </w:r>
                          <w:r w:rsidRPr="00BF652C">
                            <w:rPr>
                              <w:color w:val="000000"/>
                              <w:sz w:val="20"/>
                            </w:rPr>
                            <w:t>1</w:t>
                          </w:r>
                          <w:r w:rsidRPr="00BF652C">
                            <w:rPr>
                              <w:color w:val="000000"/>
                              <w:sz w:val="20"/>
                            </w:rPr>
                            <w:fldChar w:fldCharType="end"/>
                          </w:r>
                          <w:r>
                            <w:rPr>
                              <w:color w:val="000000"/>
                              <w:sz w:val="20"/>
                            </w:rPr>
                            <w:t xml:space="preserve"> </w:t>
                          </w:r>
                        </w:p>
                        <w:p w14:paraId="2E30939E" w14:textId="77777777" w:rsidR="00C45DFB" w:rsidRPr="00BF652C" w:rsidRDefault="00C45DFB" w:rsidP="00EC3105"/>
                        <w:p w14:paraId="189BCE9F" w14:textId="77777777" w:rsidR="00C45DFB" w:rsidRPr="00BF652C" w:rsidRDefault="00C45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64D8C" id="_x0000_t202" coordsize="21600,21600" o:spt="202" path="m,l,21600r21600,l21600,xe">
              <v:stroke joinstyle="miter"/>
              <v:path gradientshapeok="t" o:connecttype="rect"/>
            </v:shapetype>
            <v:shape id="_x0000_s1027" type="#_x0000_t202" style="position:absolute;margin-left:-3.4pt;margin-top:-29.9pt;width:469.2pt;height:3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" filled="f" stroked="f">
              <v:textbox>
                <w:txbxContent>
                  <w:p w14:paraId="77310242" w14:textId="77777777" w:rsidR="00C45DFB" w:rsidRPr="00BF652C" w:rsidRDefault="00C45DFB" w:rsidP="00EC3105">
                    <w:pPr>
                      <w:pBdr>
                        <w:top w:val="single" w:sz="4" w:space="1" w:color="2DAED5"/>
                      </w:pBdr>
                      <w:spacing w:after="0"/>
                      <w:jc w:val="right"/>
                      <w:rPr>
                        <w:sz w:val="20"/>
                        <w:szCs w:val="20"/>
                      </w:rPr>
                    </w:pPr>
                    <w:r>
                      <w:rPr>
                        <w:color w:val="000000"/>
                      </w:rPr>
                      <w:tab/>
                      <w:t xml:space="preserve"> </w:t>
                    </w:r>
                    <w:r w:rsidRPr="00BF652C">
                      <w:rPr>
                        <w:color w:val="000000"/>
                        <w:sz w:val="20"/>
                      </w:rPr>
                      <w:fldChar w:fldCharType="begin"/>
                    </w:r>
                    <w:r w:rsidRPr="00BF652C">
                      <w:rPr>
                        <w:color w:val="000000"/>
                        <w:sz w:val="20"/>
                      </w:rPr>
                      <w:instrText xml:space="preserve"> PAGE </w:instrText>
                    </w:r>
                    <w:r w:rsidRPr="00BF652C">
                      <w:rPr>
                        <w:color w:val="000000"/>
                        <w:sz w:val="20"/>
                      </w:rPr>
                      <w:fldChar w:fldCharType="separate"/>
                    </w:r>
                    <w:r w:rsidRPr="00BF652C">
                      <w:rPr>
                        <w:color w:val="000000"/>
                        <w:sz w:val="20"/>
                      </w:rPr>
                      <w:t>1</w:t>
                    </w:r>
                    <w:r w:rsidRPr="00BF652C">
                      <w:rPr>
                        <w:color w:val="000000"/>
                        <w:sz w:val="20"/>
                      </w:rPr>
                      <w:fldChar w:fldCharType="end"/>
                    </w:r>
                    <w:r>
                      <w:rPr>
                        <w:color w:val="000000"/>
                        <w:sz w:val="20"/>
                      </w:rPr>
                      <w:t xml:space="preserve"> </w:t>
                    </w:r>
                  </w:p>
                  <w:p w14:paraId="2E30939E" w14:textId="77777777" w:rsidR="00C45DFB" w:rsidRPr="00BF652C" w:rsidRDefault="00C45DFB" w:rsidP="00EC3105"/>
                  <w:p w14:paraId="189BCE9F" w14:textId="77777777" w:rsidR="00C45DFB" w:rsidRPr="00BF652C" w:rsidRDefault="00C45DFB"/>
                </w:txbxContent>
              </v:textbox>
            </v:shape>
          </w:pict>
        </mc:Fallback>
      </mc:AlternateContent>
    </w:r>
    <w:r>
      <w:rPr>
        <w:noProof/>
        <w:sz w:val="16"/>
      </w:rPr>
      <mc:AlternateContent>
        <mc:Choice Requires="wps">
          <w:drawing>
            <wp:anchor distT="0" distB="0" distL="114300" distR="114300" simplePos="0" relativeHeight="251658248" behindDoc="0" locked="0" layoutInCell="1" allowOverlap="1" wp14:anchorId="14D55E04" wp14:editId="58848CA1">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2C526269" w14:textId="77777777" w:rsidR="00C45DFB" w:rsidRPr="00C474D0" w:rsidRDefault="00C45DFB" w:rsidP="00E4284B">
                          <w:pPr>
                            <w:spacing w:after="0" w:line="276" w:lineRule="auto"/>
                            <w:rPr>
                              <w:sz w:val="16"/>
                              <w:szCs w:val="16"/>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D55E04" id="Text Box 2" o:spid="_x0000_s1028" type="#_x0000_t202" style="position:absolute;margin-left:-8.6pt;margin-top:-24.95pt;width:474.3pt;height:6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CaMhWNJAIAAFEEAAAOAAAAAAAAAAAAAAAAAC4CAABkcnMvZTJvRG9j&#10;LnhtbFBLAQItABQABgAIAAAAIQDt7oPq3wAAAAoBAAAPAAAAAAAAAAAAAAAAAH4EAABkcnMvZG93&#10;bnJldi54bWxQSwUGAAAAAAQABADzAAAAigUAAAAA&#10;" filled="f" stroked="f">
              <v:textbox>
                <w:txbxContent>
                  <w:p w14:paraId="2C526269" w14:textId="77777777" w:rsidR="00C45DFB" w:rsidRPr="00C474D0" w:rsidRDefault="00C45DFB" w:rsidP="00E4284B">
                    <w:pPr>
                      <w:spacing w:after="0" w:line="276" w:lineRule="auto"/>
                      <w:rPr>
                        <w:sz w:val="16"/>
                        <w:szCs w:val="16"/>
                        <w:lang w:val="nn-NO"/>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F245B" w14:textId="77777777" w:rsidR="00570A9E" w:rsidRDefault="00570A9E" w:rsidP="002B5E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E2AB93" w14:textId="77777777" w:rsidR="00570A9E" w:rsidRDefault="00570A9E" w:rsidP="00F149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4069" w14:textId="1A7B3E94" w:rsidR="00570A9E" w:rsidRDefault="00FE4E2C" w:rsidP="00570A9E">
    <w:pPr>
      <w:rPr>
        <w:sz w:val="16"/>
      </w:rPr>
    </w:pPr>
    <w:r>
      <w:rPr>
        <w:noProof/>
      </w:rPr>
      <mc:AlternateContent>
        <mc:Choice Requires="wps">
          <w:drawing>
            <wp:anchor distT="0" distB="0" distL="114300" distR="114300" simplePos="0" relativeHeight="251658244" behindDoc="0" locked="0" layoutInCell="1" allowOverlap="1" wp14:anchorId="5DA66A0C" wp14:editId="16202E0A">
              <wp:simplePos x="0" y="0"/>
              <wp:positionH relativeFrom="column">
                <wp:posOffset>-96491</wp:posOffset>
              </wp:positionH>
              <wp:positionV relativeFrom="paragraph">
                <wp:posOffset>65</wp:posOffset>
              </wp:positionV>
              <wp:extent cx="9024359" cy="419100"/>
              <wp:effectExtent l="0" t="0" r="0" b="0"/>
              <wp:wrapNone/>
              <wp:docPr id="302339614" name="Text Box 302339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4359" cy="419100"/>
                      </a:xfrm>
                      <a:prstGeom prst="rect">
                        <a:avLst/>
                      </a:prstGeom>
                      <a:noFill/>
                      <a:ln>
                        <a:noFill/>
                      </a:ln>
                      <a:effectLst/>
                      <a:extLst>
                        <a:ext uri="{C572A759-6A51-4108-AA02-DFA0A04FC94B}"/>
                      </a:extLst>
                    </wps:spPr>
                    <wps:txbx>
                      <w:txbxContent>
                        <w:p w14:paraId="1A8735E7" w14:textId="77777777" w:rsidR="000A7F9C" w:rsidRPr="00BF652C" w:rsidRDefault="000A7F9C" w:rsidP="000A7F9C">
                          <w:pPr>
                            <w:pBdr>
                              <w:top w:val="single" w:sz="4" w:space="1" w:color="2DAED5"/>
                            </w:pBdr>
                            <w:spacing w:after="0"/>
                            <w:jc w:val="right"/>
                            <w:rPr>
                              <w:bCs/>
                              <w:sz w:val="20"/>
                              <w:szCs w:val="20"/>
                            </w:rPr>
                          </w:pPr>
                          <w:r>
                            <w:rPr>
                              <w:rStyle w:val="Heading2Char"/>
                              <w:rFonts w:ascii="Franklin Gothic Book" w:hAnsi="Franklin Gothic Book"/>
                              <w:color w:val="000000"/>
                            </w:rPr>
                            <w:tab/>
                            <w:t xml:space="preserve"> </w:t>
                          </w:r>
                          <w:r w:rsidRPr="00BF652C">
                            <w:rPr>
                              <w:rStyle w:val="Heading2Char"/>
                              <w:rFonts w:ascii="Franklin Gothic Book" w:hAnsi="Franklin Gothic Book"/>
                              <w:color w:val="000000"/>
                              <w:sz w:val="20"/>
                            </w:rPr>
                            <w:fldChar w:fldCharType="begin"/>
                          </w:r>
                          <w:r w:rsidRPr="00BF652C">
                            <w:rPr>
                              <w:rStyle w:val="Heading2Char"/>
                              <w:rFonts w:ascii="Franklin Gothic Book" w:hAnsi="Franklin Gothic Book"/>
                              <w:color w:val="000000"/>
                              <w:sz w:val="20"/>
                            </w:rPr>
                            <w:instrText xml:space="preserve"> PAGE </w:instrText>
                          </w:r>
                          <w:r w:rsidRPr="00BF652C">
                            <w:rPr>
                              <w:rStyle w:val="Heading2Char"/>
                              <w:rFonts w:ascii="Franklin Gothic Book" w:hAnsi="Franklin Gothic Book"/>
                              <w:color w:val="000000"/>
                              <w:sz w:val="20"/>
                            </w:rPr>
                            <w:fldChar w:fldCharType="separate"/>
                          </w:r>
                          <w:r w:rsidRPr="00BF652C">
                            <w:rPr>
                              <w:rStyle w:val="Heading2Char"/>
                              <w:rFonts w:ascii="Franklin Gothic Book" w:hAnsi="Franklin Gothic Book"/>
                              <w:color w:val="000000"/>
                              <w:sz w:val="20"/>
                            </w:rPr>
                            <w:t>1</w:t>
                          </w:r>
                          <w:r w:rsidRPr="00BF652C">
                            <w:rPr>
                              <w:rStyle w:val="Heading2Char"/>
                              <w:rFonts w:ascii="Franklin Gothic Book" w:hAnsi="Franklin Gothic Book"/>
                              <w:color w:val="000000"/>
                              <w:sz w:val="20"/>
                            </w:rPr>
                            <w:fldChar w:fldCharType="end"/>
                          </w:r>
                          <w:r>
                            <w:rPr>
                              <w:rStyle w:val="Heading2Char"/>
                              <w:rFonts w:ascii="Franklin Gothic Book" w:hAnsi="Franklin Gothic Book"/>
                              <w:color w:val="000000"/>
                              <w:sz w:val="20"/>
                            </w:rPr>
                            <w:t xml:space="preserve"> </w:t>
                          </w:r>
                        </w:p>
                        <w:p w14:paraId="502B8FEC" w14:textId="77777777" w:rsidR="000A7F9C" w:rsidRPr="00BF652C" w:rsidRDefault="000A7F9C" w:rsidP="000A7F9C">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66A0C" id="_x0000_t202" coordsize="21600,21600" o:spt="202" path="m,l,21600r21600,l21600,xe">
              <v:stroke joinstyle="miter"/>
              <v:path gradientshapeok="t" o:connecttype="rect"/>
            </v:shapetype>
            <v:shape id="Text Box 302339614" o:spid="_x0000_s1029" type="#_x0000_t202" style="position:absolute;margin-left:-7.6pt;margin-top:0;width:710.6pt;height:3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" filled="f" stroked="f">
              <v:textbox>
                <w:txbxContent>
                  <w:p w14:paraId="1A8735E7" w14:textId="77777777" w:rsidR="000A7F9C" w:rsidRPr="00BF652C" w:rsidRDefault="000A7F9C" w:rsidP="000A7F9C">
                    <w:pPr>
                      <w:pBdr>
                        <w:top w:val="single" w:sz="4" w:space="1" w:color="2DAED5"/>
                      </w:pBdr>
                      <w:spacing w:after="0"/>
                      <w:jc w:val="right"/>
                      <w:rPr>
                        <w:bCs/>
                        <w:sz w:val="20"/>
                        <w:szCs w:val="20"/>
                      </w:rPr>
                    </w:pPr>
                    <w:r>
                      <w:rPr>
                        <w:rStyle w:val="Heading2Char"/>
                        <w:rFonts w:ascii="Franklin Gothic Book" w:hAnsi="Franklin Gothic Book"/>
                        <w:color w:val="000000"/>
                      </w:rPr>
                      <w:tab/>
                      <w:t xml:space="preserve"> </w:t>
                    </w:r>
                    <w:r w:rsidRPr="00BF652C">
                      <w:rPr>
                        <w:rStyle w:val="Heading2Char"/>
                        <w:rFonts w:ascii="Franklin Gothic Book" w:hAnsi="Franklin Gothic Book"/>
                        <w:color w:val="000000"/>
                        <w:sz w:val="20"/>
                      </w:rPr>
                      <w:fldChar w:fldCharType="begin"/>
                    </w:r>
                    <w:r w:rsidRPr="00BF652C">
                      <w:rPr>
                        <w:rStyle w:val="Heading2Char"/>
                        <w:rFonts w:ascii="Franklin Gothic Book" w:hAnsi="Franklin Gothic Book"/>
                        <w:color w:val="000000"/>
                        <w:sz w:val="20"/>
                      </w:rPr>
                      <w:instrText xml:space="preserve"> PAGE </w:instrText>
                    </w:r>
                    <w:r w:rsidRPr="00BF652C">
                      <w:rPr>
                        <w:rStyle w:val="Heading2Char"/>
                        <w:rFonts w:ascii="Franklin Gothic Book" w:hAnsi="Franklin Gothic Book"/>
                        <w:color w:val="000000"/>
                        <w:sz w:val="20"/>
                      </w:rPr>
                      <w:fldChar w:fldCharType="separate"/>
                    </w:r>
                    <w:r w:rsidRPr="00BF652C">
                      <w:rPr>
                        <w:rStyle w:val="Heading2Char"/>
                        <w:rFonts w:ascii="Franklin Gothic Book" w:hAnsi="Franklin Gothic Book"/>
                        <w:color w:val="000000"/>
                        <w:sz w:val="20"/>
                      </w:rPr>
                      <w:t>1</w:t>
                    </w:r>
                    <w:r w:rsidRPr="00BF652C">
                      <w:rPr>
                        <w:rStyle w:val="Heading2Char"/>
                        <w:rFonts w:ascii="Franklin Gothic Book" w:hAnsi="Franklin Gothic Book"/>
                        <w:color w:val="000000"/>
                        <w:sz w:val="20"/>
                      </w:rPr>
                      <w:fldChar w:fldCharType="end"/>
                    </w:r>
                    <w:r>
                      <w:rPr>
                        <w:rStyle w:val="Heading2Char"/>
                        <w:rFonts w:ascii="Franklin Gothic Book" w:hAnsi="Franklin Gothic Book"/>
                        <w:color w:val="000000"/>
                        <w:sz w:val="20"/>
                      </w:rPr>
                      <w:t xml:space="preserve"> </w:t>
                    </w:r>
                  </w:p>
                  <w:p w14:paraId="502B8FEC" w14:textId="77777777" w:rsidR="000A7F9C" w:rsidRPr="00BF652C" w:rsidRDefault="000A7F9C" w:rsidP="000A7F9C">
                    <w:pPr>
                      <w:rPr>
                        <w:bCs/>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6CDAB81" wp14:editId="52B1059C">
              <wp:simplePos x="0" y="0"/>
              <wp:positionH relativeFrom="column">
                <wp:posOffset>-120970</wp:posOffset>
              </wp:positionH>
              <wp:positionV relativeFrom="paragraph">
                <wp:posOffset>-165053</wp:posOffset>
              </wp:positionV>
              <wp:extent cx="6023610" cy="669290"/>
              <wp:effectExtent l="0" t="0" r="0" b="0"/>
              <wp:wrapNone/>
              <wp:docPr id="879512199" name="Text Box 879512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669290"/>
                      </a:xfrm>
                      <a:prstGeom prst="rect">
                        <a:avLst/>
                      </a:prstGeom>
                      <a:noFill/>
                      <a:ln>
                        <a:noFill/>
                      </a:ln>
                      <a:effectLst/>
                      <a:extLst>
                        <a:ext uri="{C572A759-6A51-4108-AA02-DFA0A04FC94B}"/>
                      </a:extLst>
                    </wps:spPr>
                    <wps:txbx>
                      <w:txbxContent>
                        <w:p w14:paraId="3831B30E" w14:textId="77777777" w:rsidR="000A7F9C" w:rsidRPr="001B425C" w:rsidRDefault="000A7F9C" w:rsidP="000A7F9C">
                          <w:pPr>
                            <w:ind w:right="-27"/>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CDAB81" id="Text Box 879512199" o:spid="_x0000_s1030" type="#_x0000_t202" style="position:absolute;margin-left:-9.55pt;margin-top:-13pt;width:474.3pt;height:5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" filled="f" stroked="f">
              <v:textbox>
                <w:txbxContent>
                  <w:p w14:paraId="3831B30E" w14:textId="77777777" w:rsidR="000A7F9C" w:rsidRPr="001B425C" w:rsidRDefault="000A7F9C" w:rsidP="000A7F9C">
                    <w:pPr>
                      <w:ind w:right="-27"/>
                      <w:rPr>
                        <w:lang w:val="nn-NO"/>
                      </w:rPr>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D889B" w14:textId="223456E3" w:rsidR="00570A9E" w:rsidRDefault="00FE4E2C" w:rsidP="00A44B7A">
    <w:pPr>
      <w:tabs>
        <w:tab w:val="left" w:pos="3619"/>
      </w:tabs>
      <w:ind w:right="-1"/>
      <w:rPr>
        <w:rFonts w:ascii="Myriad Pro" w:hAnsi="Myriad Pro"/>
        <w:noProof/>
        <w:sz w:val="19"/>
        <w:szCs w:val="18"/>
      </w:rPr>
    </w:pPr>
    <w:r>
      <w:rPr>
        <w:noProof/>
      </w:rPr>
      <mc:AlternateContent>
        <mc:Choice Requires="wps">
          <w:drawing>
            <wp:anchor distT="0" distB="0" distL="114300" distR="114300" simplePos="0" relativeHeight="251658242" behindDoc="0" locked="0" layoutInCell="1" allowOverlap="1" wp14:anchorId="2BE1403A" wp14:editId="4A772F1C">
              <wp:simplePos x="0" y="0"/>
              <wp:positionH relativeFrom="column">
                <wp:posOffset>-105036</wp:posOffset>
              </wp:positionH>
              <wp:positionV relativeFrom="paragraph">
                <wp:posOffset>243163</wp:posOffset>
              </wp:positionV>
              <wp:extent cx="9049996" cy="400050"/>
              <wp:effectExtent l="0" t="0" r="0" b="0"/>
              <wp:wrapNone/>
              <wp:docPr id="962283127" name="Text Box 962283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9996" cy="400050"/>
                      </a:xfrm>
                      <a:prstGeom prst="rect">
                        <a:avLst/>
                      </a:prstGeom>
                      <a:noFill/>
                      <a:ln>
                        <a:noFill/>
                      </a:ln>
                      <a:effectLst/>
                      <a:extLst>
                        <a:ext uri="{C572A759-6A51-4108-AA02-DFA0A04FC94B}"/>
                      </a:extLst>
                    </wps:spPr>
                    <wps:txbx>
                      <w:txbxContent>
                        <w:p w14:paraId="021908E8" w14:textId="77777777" w:rsidR="000A7F9C" w:rsidRPr="00BF652C" w:rsidRDefault="000A7F9C" w:rsidP="000A7F9C">
                          <w:pPr>
                            <w:pBdr>
                              <w:top w:val="single" w:sz="4" w:space="1" w:color="2DAED5"/>
                            </w:pBdr>
                            <w:spacing w:after="0"/>
                            <w:jc w:val="right"/>
                            <w:rPr>
                              <w:sz w:val="20"/>
                              <w:szCs w:val="20"/>
                            </w:rPr>
                          </w:pPr>
                          <w:r>
                            <w:rPr>
                              <w:rStyle w:val="Heading3Char"/>
                              <w:rFonts w:ascii="Franklin Gothic Book" w:hAnsi="Franklin Gothic Book"/>
                              <w:b w:val="0"/>
                              <w:color w:val="000000"/>
                            </w:rPr>
                            <w:tab/>
                            <w:t xml:space="preserve"> </w:t>
                          </w:r>
                          <w:r w:rsidRPr="00BF652C">
                            <w:rPr>
                              <w:rStyle w:val="Heading3Char"/>
                              <w:rFonts w:ascii="Franklin Gothic Book" w:hAnsi="Franklin Gothic Book"/>
                              <w:b w:val="0"/>
                              <w:color w:val="000000"/>
                              <w:sz w:val="20"/>
                            </w:rPr>
                            <w:fldChar w:fldCharType="begin"/>
                          </w:r>
                          <w:r w:rsidRPr="00BF652C">
                            <w:rPr>
                              <w:rStyle w:val="Heading3Char"/>
                              <w:rFonts w:ascii="Franklin Gothic Book" w:hAnsi="Franklin Gothic Book"/>
                              <w:b w:val="0"/>
                              <w:color w:val="000000"/>
                              <w:sz w:val="20"/>
                            </w:rPr>
                            <w:instrText xml:space="preserve"> PAGE </w:instrText>
                          </w:r>
                          <w:r w:rsidRPr="00BF652C">
                            <w:rPr>
                              <w:rStyle w:val="Heading3Char"/>
                              <w:rFonts w:ascii="Franklin Gothic Book" w:hAnsi="Franklin Gothic Book"/>
                              <w:b w:val="0"/>
                              <w:color w:val="000000"/>
                              <w:sz w:val="20"/>
                            </w:rPr>
                            <w:fldChar w:fldCharType="separate"/>
                          </w:r>
                          <w:r w:rsidRPr="00BF652C">
                            <w:rPr>
                              <w:rStyle w:val="Heading3Char"/>
                              <w:rFonts w:ascii="Franklin Gothic Book" w:hAnsi="Franklin Gothic Book"/>
                              <w:b w:val="0"/>
                              <w:color w:val="000000"/>
                              <w:sz w:val="20"/>
                            </w:rPr>
                            <w:t>1</w:t>
                          </w:r>
                          <w:r w:rsidRPr="00BF652C">
                            <w:rPr>
                              <w:rStyle w:val="Heading3Char"/>
                              <w:rFonts w:ascii="Franklin Gothic Book" w:hAnsi="Franklin Gothic Book"/>
                              <w:b w:val="0"/>
                              <w:color w:val="000000"/>
                              <w:sz w:val="20"/>
                            </w:rPr>
                            <w:fldChar w:fldCharType="end"/>
                          </w:r>
                          <w:r>
                            <w:rPr>
                              <w:rStyle w:val="Heading3Char"/>
                              <w:rFonts w:ascii="Franklin Gothic Book" w:hAnsi="Franklin Gothic Book"/>
                              <w:b w:val="0"/>
                              <w:color w:val="000000"/>
                              <w:sz w:val="20"/>
                            </w:rPr>
                            <w:t xml:space="preserve"> </w:t>
                          </w:r>
                        </w:p>
                        <w:p w14:paraId="1577606F" w14:textId="77777777" w:rsidR="000A7F9C" w:rsidRPr="00BF652C" w:rsidRDefault="000A7F9C" w:rsidP="000A7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1403A" id="_x0000_t202" coordsize="21600,21600" o:spt="202" path="m,l,21600r21600,l21600,xe">
              <v:stroke joinstyle="miter"/>
              <v:path gradientshapeok="t" o:connecttype="rect"/>
            </v:shapetype>
            <v:shape id="Text Box 962283127" o:spid="_x0000_s1031" type="#_x0000_t202" style="position:absolute;margin-left:-8.25pt;margin-top:19.15pt;width:712.6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" filled="f" stroked="f">
              <v:textbox>
                <w:txbxContent>
                  <w:p w14:paraId="021908E8" w14:textId="77777777" w:rsidR="000A7F9C" w:rsidRPr="00BF652C" w:rsidRDefault="000A7F9C" w:rsidP="000A7F9C">
                    <w:pPr>
                      <w:pBdr>
                        <w:top w:val="single" w:sz="4" w:space="1" w:color="2DAED5"/>
                      </w:pBdr>
                      <w:spacing w:after="0"/>
                      <w:jc w:val="right"/>
                      <w:rPr>
                        <w:sz w:val="20"/>
                        <w:szCs w:val="20"/>
                      </w:rPr>
                    </w:pPr>
                    <w:r>
                      <w:rPr>
                        <w:rStyle w:val="Heading3Char"/>
                        <w:rFonts w:ascii="Franklin Gothic Book" w:hAnsi="Franklin Gothic Book"/>
                        <w:b w:val="0"/>
                        <w:color w:val="000000"/>
                      </w:rPr>
                      <w:tab/>
                      <w:t xml:space="preserve"> </w:t>
                    </w:r>
                    <w:r w:rsidRPr="00BF652C">
                      <w:rPr>
                        <w:rStyle w:val="Heading3Char"/>
                        <w:rFonts w:ascii="Franklin Gothic Book" w:hAnsi="Franklin Gothic Book"/>
                        <w:b w:val="0"/>
                        <w:color w:val="000000"/>
                        <w:sz w:val="20"/>
                      </w:rPr>
                      <w:fldChar w:fldCharType="begin"/>
                    </w:r>
                    <w:r w:rsidRPr="00BF652C">
                      <w:rPr>
                        <w:rStyle w:val="Heading3Char"/>
                        <w:rFonts w:ascii="Franklin Gothic Book" w:hAnsi="Franklin Gothic Book"/>
                        <w:b w:val="0"/>
                        <w:color w:val="000000"/>
                        <w:sz w:val="20"/>
                      </w:rPr>
                      <w:instrText xml:space="preserve"> PAGE </w:instrText>
                    </w:r>
                    <w:r w:rsidRPr="00BF652C">
                      <w:rPr>
                        <w:rStyle w:val="Heading3Char"/>
                        <w:rFonts w:ascii="Franklin Gothic Book" w:hAnsi="Franklin Gothic Book"/>
                        <w:b w:val="0"/>
                        <w:color w:val="000000"/>
                        <w:sz w:val="20"/>
                      </w:rPr>
                      <w:fldChar w:fldCharType="separate"/>
                    </w:r>
                    <w:r w:rsidRPr="00BF652C">
                      <w:rPr>
                        <w:rStyle w:val="Heading3Char"/>
                        <w:rFonts w:ascii="Franklin Gothic Book" w:hAnsi="Franklin Gothic Book"/>
                        <w:b w:val="0"/>
                        <w:color w:val="000000"/>
                        <w:sz w:val="20"/>
                      </w:rPr>
                      <w:t>1</w:t>
                    </w:r>
                    <w:r w:rsidRPr="00BF652C">
                      <w:rPr>
                        <w:rStyle w:val="Heading3Char"/>
                        <w:rFonts w:ascii="Franklin Gothic Book" w:hAnsi="Franklin Gothic Book"/>
                        <w:b w:val="0"/>
                        <w:color w:val="000000"/>
                        <w:sz w:val="20"/>
                      </w:rPr>
                      <w:fldChar w:fldCharType="end"/>
                    </w:r>
                    <w:r>
                      <w:rPr>
                        <w:rStyle w:val="Heading3Char"/>
                        <w:rFonts w:ascii="Franklin Gothic Book" w:hAnsi="Franklin Gothic Book"/>
                        <w:b w:val="0"/>
                        <w:color w:val="000000"/>
                        <w:sz w:val="20"/>
                      </w:rPr>
                      <w:t xml:space="preserve"> </w:t>
                    </w:r>
                  </w:p>
                  <w:p w14:paraId="1577606F" w14:textId="77777777" w:rsidR="000A7F9C" w:rsidRPr="00BF652C" w:rsidRDefault="000A7F9C" w:rsidP="000A7F9C"/>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2318EFA6" wp14:editId="2C6371C8">
              <wp:simplePos x="0" y="0"/>
              <wp:positionH relativeFrom="column">
                <wp:posOffset>-105036</wp:posOffset>
              </wp:positionH>
              <wp:positionV relativeFrom="paragraph">
                <wp:posOffset>302984</wp:posOffset>
              </wp:positionV>
              <wp:extent cx="5529129" cy="574675"/>
              <wp:effectExtent l="0" t="0" r="0" b="0"/>
              <wp:wrapNone/>
              <wp:docPr id="1027613621" name="Text Box 1027613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129" cy="574675"/>
                      </a:xfrm>
                      <a:prstGeom prst="rect">
                        <a:avLst/>
                      </a:prstGeom>
                      <a:noFill/>
                      <a:ln>
                        <a:noFill/>
                      </a:ln>
                      <a:effectLst/>
                      <a:extLst>
                        <a:ext uri="{C572A759-6A51-4108-AA02-DFA0A04FC94B}"/>
                      </a:extLst>
                    </wps:spPr>
                    <wps:txbx>
                      <w:txbxContent>
                        <w:p w14:paraId="2A58F483" w14:textId="6E65458A" w:rsidR="000A7F9C" w:rsidRPr="001B425C" w:rsidRDefault="000A7F9C" w:rsidP="000A7F9C">
                          <w:pPr>
                            <w:spacing w:after="0" w:line="276" w:lineRule="auto"/>
                            <w:ind w:right="-27"/>
                            <w:rPr>
                              <w:sz w:val="16"/>
                              <w:szCs w:val="16"/>
                              <w:lang w:val="nn-NO"/>
                            </w:rPr>
                          </w:pPr>
                        </w:p>
                        <w:p w14:paraId="31A918D6" w14:textId="77777777" w:rsidR="000A7F9C" w:rsidRPr="001B425C" w:rsidRDefault="000A7F9C" w:rsidP="000A7F9C">
                          <w:pPr>
                            <w:ind w:right="-27"/>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18EFA6" id="Text Box 1027613621" o:spid="_x0000_s1032" type="#_x0000_t202" style="position:absolute;margin-left:-8.25pt;margin-top:23.85pt;width:435.35pt;height:4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" filled="f" stroked="f">
              <v:textbox>
                <w:txbxContent>
                  <w:p w14:paraId="2A58F483" w14:textId="6E65458A" w:rsidR="000A7F9C" w:rsidRPr="001B425C" w:rsidRDefault="000A7F9C" w:rsidP="000A7F9C">
                    <w:pPr>
                      <w:spacing w:after="0" w:line="276" w:lineRule="auto"/>
                      <w:ind w:right="-27"/>
                      <w:rPr>
                        <w:sz w:val="16"/>
                        <w:szCs w:val="16"/>
                        <w:lang w:val="nn-NO"/>
                      </w:rPr>
                    </w:pPr>
                  </w:p>
                  <w:p w14:paraId="31A918D6" w14:textId="77777777" w:rsidR="000A7F9C" w:rsidRPr="001B425C" w:rsidRDefault="000A7F9C" w:rsidP="000A7F9C">
                    <w:pPr>
                      <w:ind w:right="-27"/>
                      <w:rPr>
                        <w:lang w:val="nn-NO"/>
                      </w:rPr>
                    </w:pPr>
                  </w:p>
                </w:txbxContent>
              </v:textbox>
            </v:shape>
          </w:pict>
        </mc:Fallback>
      </mc:AlternateContent>
    </w:r>
    <w:r>
      <w:rPr>
        <w:rFonts w:ascii="Myriad Pro" w:hAnsi="Myriad Pro"/>
        <w:sz w:val="19"/>
      </w:rPr>
      <w:tab/>
    </w:r>
  </w:p>
  <w:p w14:paraId="621E430D" w14:textId="77777777" w:rsidR="00570A9E" w:rsidRDefault="00570A9E" w:rsidP="00F149CB">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D26BC" w14:textId="77777777" w:rsidR="009C4947" w:rsidRDefault="009C4947">
      <w:r>
        <w:separator/>
      </w:r>
    </w:p>
  </w:footnote>
  <w:footnote w:type="continuationSeparator" w:id="0">
    <w:p w14:paraId="3DBAE7E6" w14:textId="77777777" w:rsidR="009C4947" w:rsidRDefault="009C4947" w:rsidP="00314478">
      <w:pPr>
        <w:spacing w:before="0" w:after="0" w:line="240" w:lineRule="auto"/>
      </w:pPr>
      <w:r>
        <w:continuationSeparator/>
      </w:r>
    </w:p>
    <w:p w14:paraId="465F3DBE" w14:textId="77777777" w:rsidR="009C4947" w:rsidRDefault="009C4947" w:rsidP="00314478">
      <w:pPr>
        <w:spacing w:before="0" w:after="0"/>
      </w:pPr>
    </w:p>
  </w:footnote>
  <w:footnote w:type="continuationNotice" w:id="1">
    <w:p w14:paraId="2F7FFB35" w14:textId="77777777" w:rsidR="009C4947" w:rsidRDefault="009C4947" w:rsidP="00314478">
      <w:pPr>
        <w:spacing w:before="0" w:after="0"/>
      </w:pPr>
    </w:p>
  </w:footnote>
  <w:footnote w:id="2">
    <w:p w14:paraId="1B358EC2" w14:textId="1458E118" w:rsidR="00047012" w:rsidRPr="000A53CA" w:rsidRDefault="00047012">
      <w:pPr>
        <w:pStyle w:val="FootnoteText"/>
        <w:rPr>
          <w:i/>
          <w:iCs/>
        </w:rPr>
      </w:pPr>
      <w:r>
        <w:rPr>
          <w:rStyle w:val="FootnoteReference"/>
        </w:rPr>
        <w:footnoteRef/>
      </w:r>
      <w:r w:rsidR="001A6777">
        <w:t xml:space="preserve"> </w:t>
      </w:r>
      <w:r w:rsidR="001A6777" w:rsidRPr="000A53CA">
        <w:rPr>
          <w:i/>
          <w:iCs/>
          <w:sz w:val="18"/>
          <w:szCs w:val="18"/>
        </w:rPr>
        <w:t>Nota del traductor.</w:t>
      </w:r>
      <w:r w:rsidRPr="000A53CA">
        <w:rPr>
          <w:sz w:val="18"/>
          <w:szCs w:val="18"/>
        </w:rPr>
        <w:t xml:space="preserve"> La divulgación de información EITI incluye la presentación de Informes </w:t>
      </w:r>
      <w:proofErr w:type="gramStart"/>
      <w:r w:rsidRPr="000A53CA">
        <w:rPr>
          <w:sz w:val="18"/>
          <w:szCs w:val="18"/>
        </w:rPr>
        <w:t>EITI</w:t>
      </w:r>
      <w:proofErr w:type="gramEnd"/>
      <w:r w:rsidRPr="000A53CA">
        <w:rPr>
          <w:sz w:val="18"/>
          <w:szCs w:val="18"/>
        </w:rPr>
        <w:t xml:space="preserve"> así como la divulgación sistemática de información relacionada con el EITI. </w:t>
      </w:r>
    </w:p>
  </w:footnote>
  <w:footnote w:id="3">
    <w:p w14:paraId="45D5378A" w14:textId="77777777" w:rsidR="00C45DFB" w:rsidRPr="00A1241C" w:rsidRDefault="00C45DFB" w:rsidP="00C45DFB">
      <w:pPr>
        <w:pStyle w:val="FootnoteText"/>
        <w:rPr>
          <w:sz w:val="18"/>
          <w:szCs w:val="18"/>
        </w:rPr>
      </w:pPr>
      <w:r>
        <w:rPr>
          <w:rStyle w:val="FootnoteReference"/>
          <w:sz w:val="18"/>
          <w:szCs w:val="18"/>
        </w:rPr>
        <w:footnoteRef/>
      </w:r>
      <w:r>
        <w:t xml:space="preserve"> </w:t>
      </w:r>
      <w:bookmarkStart w:id="15" w:name="_Hlk183050723"/>
      <w:bookmarkStart w:id="16" w:name="_Hlk183050724"/>
      <w:r>
        <w:rPr>
          <w:sz w:val="18"/>
        </w:rPr>
        <w:t xml:space="preserve">Los archivos de datos resumidos pueden estar en formato CSV o Excel y deberían contener las tablas y figuras del informe impreso. Según el Requisito EITI 7.2.b, el GMP debe publicar el Informe EITI en línea en un formato de datos abiertos (xlsx o </w:t>
      </w:r>
      <w:r>
        <w:rPr>
          <w:sz w:val="18"/>
        </w:rPr>
        <w:t xml:space="preserve">csv). La última versión de la plantilla de datos resumidos se encuentra disponible en: </w:t>
      </w:r>
      <w:hyperlink r:id="rId1" w:history="1">
        <w:r>
          <w:rPr>
            <w:rStyle w:val="Hyperlink"/>
            <w:rFonts w:ascii="Franklin Gothic Book" w:hAnsi="Franklin Gothic Book"/>
            <w:sz w:val="18"/>
          </w:rPr>
          <w:t>https://eiti.org/es/guidance-notes/plantilla-de-datos-resumidos-eiti</w:t>
        </w:r>
      </w:hyperlink>
      <w:bookmarkEnd w:id="15"/>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4859" w14:textId="77777777" w:rsidR="000A53CA" w:rsidRDefault="000A5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53C9" w14:textId="223B4E5E" w:rsidR="00C45DFB" w:rsidRPr="006867A1" w:rsidRDefault="00C45DFB" w:rsidP="00A1241C">
    <w:pPr>
      <w:pStyle w:val="HeaderDate"/>
      <w:spacing w:after="240"/>
      <w:rPr>
        <w:rFonts w:ascii="Arial" w:hAnsi="Arial"/>
        <w:color w:val="FF0000"/>
        <w:sz w:val="21"/>
        <w:szCs w:val="21"/>
      </w:rPr>
    </w:pPr>
    <w:r>
      <mc:AlternateContent>
        <mc:Choice Requires="wps">
          <w:drawing>
            <wp:anchor distT="0" distB="0" distL="114300" distR="114300" simplePos="0" relativeHeight="251658252" behindDoc="0" locked="0" layoutInCell="1" allowOverlap="1" wp14:anchorId="17CDE192" wp14:editId="505365AB">
              <wp:simplePos x="0" y="0"/>
              <wp:positionH relativeFrom="column">
                <wp:posOffset>5784215</wp:posOffset>
              </wp:positionH>
              <wp:positionV relativeFrom="paragraph">
                <wp:posOffset>-49530</wp:posOffset>
              </wp:positionV>
              <wp:extent cx="522584" cy="246380"/>
              <wp:effectExtent l="0" t="0" r="0" b="0"/>
              <wp:wrapNone/>
              <wp:docPr id="845029100" name="Rectangle 84502910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9D5624">
            <v:rect id="Rectangle 845029100" style="position:absolute;margin-left:455.45pt;margin-top:-3.9pt;width:41.15pt;height:19.4pt;z-index:251665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2A7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w:pict>
        </mc:Fallback>
      </mc:AlternateContent>
    </w:r>
    <w:r>
      <mc:AlternateContent>
        <mc:Choice Requires="wps">
          <w:drawing>
            <wp:anchor distT="0" distB="0" distL="114300" distR="114300" simplePos="0" relativeHeight="251658247" behindDoc="0" locked="0" layoutInCell="1" allowOverlap="1" wp14:anchorId="2A7043D7" wp14:editId="2FE7461B">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15D7C209">
            <v:rect id="Rectangle 10" style="position:absolute;margin-left:454.2pt;margin-top:-10.55pt;width:41.15pt;height:19.4pt;z-index:25166030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6703E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w:rPr>
        <w:rFonts w:ascii="Myriad Pro" w:hAnsi="Myriad Pro"/>
      </w:rPr>
      <w:tab/>
    </w:r>
    <w:r>
      <w:rPr>
        <w:rFonts w:ascii="Myriad Pro" w:hAnsi="Myriad Pro"/>
      </w:rPr>
      <w:br/>
    </w:r>
    <w:r>
      <w:rPr>
        <w:sz w:val="20"/>
      </w:rPr>
      <w:t xml:space="preserve">Términos de Referencia para la </w:t>
    </w:r>
    <w:r w:rsidR="00837A56">
      <w:rPr>
        <w:sz w:val="20"/>
      </w:rPr>
      <w:t>divulgación de información</w:t>
    </w:r>
    <w:r>
      <w:rPr>
        <w:sz w:val="20"/>
      </w:rPr>
      <w:t xml:space="preserve"> EITI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5732C" w14:textId="77777777" w:rsidR="00C45DFB" w:rsidRPr="006867A1" w:rsidRDefault="00C45DFB" w:rsidP="00EC3105">
    <w:r>
      <w:rPr>
        <w:noProof/>
      </w:rPr>
      <w:drawing>
        <wp:anchor distT="0" distB="0" distL="114300" distR="114300" simplePos="0" relativeHeight="251658249" behindDoc="0" locked="0" layoutInCell="1" allowOverlap="1" wp14:anchorId="6987AA0A" wp14:editId="149327B0">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088648984" name="Picture 66"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02D6F" w14:textId="77777777" w:rsidR="00C45DFB" w:rsidRDefault="00C45DFB" w:rsidP="00EC3105">
    <w:pPr>
      <w:pStyle w:val="HeaderDate"/>
    </w:pPr>
  </w:p>
  <w:p w14:paraId="53ABDBFB" w14:textId="77777777" w:rsidR="00C45DFB" w:rsidRPr="00664C86" w:rsidRDefault="00C45DFB" w:rsidP="00EC3105">
    <w:pPr>
      <w:tabs>
        <w:tab w:val="right" w:pos="9498"/>
      </w:tabs>
      <w:rPr>
        <w:rFonts w:ascii="Franklin Gothic Medium" w:hAnsi="Franklin Gothic Medium"/>
      </w:rPr>
    </w:pPr>
    <w:r>
      <w:rPr>
        <w:rFonts w:ascii="Franklin Gothic Medium" w:hAnsi="Franklin Gothic Medium"/>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D18CB" w14:textId="77777777" w:rsidR="008E130C" w:rsidRDefault="008E130C">
    <w:pPr>
      <w:pStyle w:val="Header"/>
    </w:pPr>
  </w:p>
  <w:p w14:paraId="7587E160" w14:textId="4C2A6583" w:rsidR="00601026" w:rsidRDefault="008B0BAC">
    <w:pPr>
      <w:pStyle w:val="Header"/>
    </w:pPr>
    <w:r>
      <w:rPr>
        <w:noProof/>
      </w:rPr>
      <mc:AlternateContent>
        <mc:Choice Requires="wps">
          <w:drawing>
            <wp:anchor distT="0" distB="0" distL="114300" distR="114300" simplePos="0" relativeHeight="251658240" behindDoc="1" locked="0" layoutInCell="1" allowOverlap="1" wp14:anchorId="00545F11" wp14:editId="3FCF0B4D">
              <wp:simplePos x="0" y="0"/>
              <wp:positionH relativeFrom="page">
                <wp:posOffset>0</wp:posOffset>
              </wp:positionH>
              <wp:positionV relativeFrom="page">
                <wp:posOffset>0</wp:posOffset>
              </wp:positionV>
              <wp:extent cx="0" cy="0"/>
              <wp:effectExtent l="0" t="0" r="0" b="0"/>
              <wp:wrapNone/>
              <wp:docPr id="412376051" name="Rectangle 41237605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25C6823E">
            <v:rect id="Rectangle 412376051"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E1F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A985" w14:textId="445B562C" w:rsidR="009661DF" w:rsidRPr="00F44488" w:rsidRDefault="009661DF" w:rsidP="00C92DEA">
    <w:pPr>
      <w:pStyle w:val="Header"/>
      <w:spacing w:after="0" w:line="240" w:lineRule="auto"/>
      <w:jc w:val="center"/>
      <w:rPr>
        <w:rFonts w:ascii="Franklin Gothic Medium" w:hAnsi="Franklin Gothic Medium"/>
        <w:noProof/>
        <w:sz w:val="20"/>
        <w:szCs w:val="20"/>
        <w:lang w:eastAsia="x-none" w:bidi="en-US"/>
      </w:rPr>
    </w:pPr>
  </w:p>
  <w:p w14:paraId="78DE2817" w14:textId="767D9E2F" w:rsidR="00570A9E" w:rsidRDefault="008B0BAC">
    <w:r>
      <w:rPr>
        <w:rFonts w:ascii="Franklin Gothic Medium" w:hAnsi="Franklin Gothic Medium"/>
        <w:noProof/>
        <w:sz w:val="24"/>
      </w:rPr>
      <mc:AlternateContent>
        <mc:Choice Requires="wps">
          <w:drawing>
            <wp:anchor distT="0" distB="0" distL="114300" distR="114300" simplePos="0" relativeHeight="251658245" behindDoc="1" locked="0" layoutInCell="1" allowOverlap="1" wp14:anchorId="3FCFB71D" wp14:editId="3C90B5B3">
              <wp:simplePos x="0" y="0"/>
              <wp:positionH relativeFrom="page">
                <wp:posOffset>0</wp:posOffset>
              </wp:positionH>
              <wp:positionV relativeFrom="page">
                <wp:posOffset>0</wp:posOffset>
              </wp:positionV>
              <wp:extent cx="0" cy="0"/>
              <wp:effectExtent l="0" t="0" r="0" b="0"/>
              <wp:wrapNone/>
              <wp:docPr id="2033587395" name="Rectangle 2033587395">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0BFA0D61">
            <v:rect id="Rectangle 2033587395"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FCC6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F409" w14:textId="4754758E" w:rsidR="00570A9E" w:rsidRPr="00FE4E2C" w:rsidRDefault="00FE4E2C" w:rsidP="00FE4E2C">
    <w:pPr>
      <w:pStyle w:val="Header"/>
      <w:spacing w:after="0"/>
      <w:jc w:val="right"/>
      <w:rPr>
        <w:sz w:val="20"/>
        <w:szCs w:val="20"/>
      </w:rPr>
    </w:pPr>
    <w:r>
      <w:rPr>
        <w:sz w:val="20"/>
      </w:rPr>
      <w:t>Términos de Referencia para la presentación de informes EITI</w:t>
    </w:r>
  </w:p>
  <w:p w14:paraId="78303A46" w14:textId="420ADF76" w:rsidR="00570A9E" w:rsidRDefault="008B0BAC">
    <w:r>
      <w:rPr>
        <w:noProof/>
      </w:rPr>
      <mc:AlternateContent>
        <mc:Choice Requires="wps">
          <w:drawing>
            <wp:anchor distT="0" distB="0" distL="114300" distR="114300" simplePos="0" relativeHeight="251658241" behindDoc="1" locked="0" layoutInCell="1" allowOverlap="1" wp14:anchorId="1EB0A643" wp14:editId="7D70D943">
              <wp:simplePos x="0" y="0"/>
              <wp:positionH relativeFrom="page">
                <wp:posOffset>0</wp:posOffset>
              </wp:positionH>
              <wp:positionV relativeFrom="page">
                <wp:posOffset>0</wp:posOffset>
              </wp:positionV>
              <wp:extent cx="0" cy="0"/>
              <wp:effectExtent l="0" t="0" r="0" b="0"/>
              <wp:wrapNone/>
              <wp:docPr id="303090260" name="Rectangle 303090260">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45835733">
            <v:rect id="Rectangle 303090260"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1B20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A403228"/>
    <w:lvl w:ilvl="0">
      <w:start w:val="1"/>
      <w:numFmt w:val="bullet"/>
      <w:pStyle w:val="ListBullet2"/>
      <w:lvlText w:val=""/>
      <w:lvlJc w:val="left"/>
      <w:pPr>
        <w:tabs>
          <w:tab w:val="num" w:pos="502"/>
        </w:tabs>
        <w:ind w:left="502" w:hanging="360"/>
      </w:pPr>
      <w:rPr>
        <w:rFonts w:ascii="Symbol" w:hAnsi="Symbol" w:hint="default"/>
      </w:rPr>
    </w:lvl>
  </w:abstractNum>
  <w:abstractNum w:abstractNumId="1" w15:restartNumberingAfterBreak="0">
    <w:nsid w:val="FFFFFF89"/>
    <w:multiLevelType w:val="singleLevel"/>
    <w:tmpl w:val="DCB48B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9"/>
    <w:lvl w:ilvl="0">
      <w:start w:val="1"/>
      <w:numFmt w:val="bullet"/>
      <w:lvlText w:val=""/>
      <w:lvlJc w:val="left"/>
      <w:pPr>
        <w:tabs>
          <w:tab w:val="num" w:pos="0"/>
        </w:tabs>
      </w:pPr>
      <w:rPr>
        <w:rFonts w:ascii="Symbol" w:hAnsi="Symbol"/>
      </w:rPr>
    </w:lvl>
  </w:abstractNum>
  <w:abstractNum w:abstractNumId="3" w15:restartNumberingAfterBreak="0">
    <w:nsid w:val="0254775A"/>
    <w:multiLevelType w:val="hybridMultilevel"/>
    <w:tmpl w:val="DA76874A"/>
    <w:lvl w:ilvl="0" w:tplc="867A5738">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D5AC8"/>
    <w:multiLevelType w:val="hybridMultilevel"/>
    <w:tmpl w:val="0D94460C"/>
    <w:lvl w:ilvl="0" w:tplc="08090003">
      <w:start w:val="1"/>
      <w:numFmt w:val="bullet"/>
      <w:lvlText w:val="o"/>
      <w:lvlJc w:val="left"/>
      <w:pPr>
        <w:ind w:left="1440" w:hanging="360"/>
      </w:pPr>
      <w:rPr>
        <w:rFonts w:ascii="Courier New" w:hAnsi="Courier New" w:cs="Courier New" w:hint="default"/>
      </w:rPr>
    </w:lvl>
    <w:lvl w:ilvl="1" w:tplc="FFFFFFFF">
      <w:start w:val="2023"/>
      <w:numFmt w:val="bullet"/>
      <w:lvlText w:val="-"/>
      <w:lvlJc w:val="left"/>
      <w:pPr>
        <w:ind w:left="2160" w:hanging="360"/>
      </w:pPr>
      <w:rPr>
        <w:rFonts w:ascii="Calibri" w:eastAsiaTheme="minorEastAsia"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D00D7A"/>
    <w:multiLevelType w:val="hybridMultilevel"/>
    <w:tmpl w:val="66008A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F26C14"/>
    <w:multiLevelType w:val="hybridMultilevel"/>
    <w:tmpl w:val="1068A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C02BA8"/>
    <w:multiLevelType w:val="multilevel"/>
    <w:tmpl w:val="165E95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b/>
        <w:color w:val="0070C0"/>
      </w:rPr>
    </w:lvl>
    <w:lvl w:ilvl="2">
      <w:start w:val="1"/>
      <w:numFmt w:val="decimal"/>
      <w:isLgl/>
      <w:lvlText w:val="%1.%2.%3."/>
      <w:lvlJc w:val="left"/>
      <w:pPr>
        <w:ind w:left="1080" w:hanging="720"/>
      </w:pPr>
      <w:rPr>
        <w:rFonts w:eastAsia="Calibri" w:hint="default"/>
        <w:b/>
        <w:color w:val="0070C0"/>
      </w:rPr>
    </w:lvl>
    <w:lvl w:ilvl="3">
      <w:start w:val="1"/>
      <w:numFmt w:val="decimal"/>
      <w:isLgl/>
      <w:lvlText w:val="%1.%2.%3.%4."/>
      <w:lvlJc w:val="left"/>
      <w:pPr>
        <w:ind w:left="1440" w:hanging="1080"/>
      </w:pPr>
      <w:rPr>
        <w:rFonts w:eastAsia="Calibri" w:hint="default"/>
        <w:b/>
        <w:color w:val="0070C0"/>
      </w:rPr>
    </w:lvl>
    <w:lvl w:ilvl="4">
      <w:start w:val="1"/>
      <w:numFmt w:val="decimal"/>
      <w:isLgl/>
      <w:lvlText w:val="%1.%2.%3.%4.%5."/>
      <w:lvlJc w:val="left"/>
      <w:pPr>
        <w:ind w:left="1440" w:hanging="1080"/>
      </w:pPr>
      <w:rPr>
        <w:rFonts w:eastAsia="Calibri" w:hint="default"/>
        <w:b/>
        <w:color w:val="0070C0"/>
      </w:rPr>
    </w:lvl>
    <w:lvl w:ilvl="5">
      <w:start w:val="1"/>
      <w:numFmt w:val="decimal"/>
      <w:isLgl/>
      <w:lvlText w:val="%1.%2.%3.%4.%5.%6."/>
      <w:lvlJc w:val="left"/>
      <w:pPr>
        <w:ind w:left="1800" w:hanging="1440"/>
      </w:pPr>
      <w:rPr>
        <w:rFonts w:eastAsia="Calibri" w:hint="default"/>
        <w:b/>
        <w:color w:val="0070C0"/>
      </w:rPr>
    </w:lvl>
    <w:lvl w:ilvl="6">
      <w:start w:val="1"/>
      <w:numFmt w:val="decimal"/>
      <w:isLgl/>
      <w:lvlText w:val="%1.%2.%3.%4.%5.%6.%7."/>
      <w:lvlJc w:val="left"/>
      <w:pPr>
        <w:ind w:left="1800" w:hanging="1440"/>
      </w:pPr>
      <w:rPr>
        <w:rFonts w:eastAsia="Calibri" w:hint="default"/>
        <w:b/>
        <w:color w:val="0070C0"/>
      </w:rPr>
    </w:lvl>
    <w:lvl w:ilvl="7">
      <w:start w:val="1"/>
      <w:numFmt w:val="decimal"/>
      <w:isLgl/>
      <w:lvlText w:val="%1.%2.%3.%4.%5.%6.%7.%8."/>
      <w:lvlJc w:val="left"/>
      <w:pPr>
        <w:ind w:left="2160" w:hanging="1800"/>
      </w:pPr>
      <w:rPr>
        <w:rFonts w:eastAsia="Calibri" w:hint="default"/>
        <w:b/>
        <w:color w:val="0070C0"/>
      </w:rPr>
    </w:lvl>
    <w:lvl w:ilvl="8">
      <w:start w:val="1"/>
      <w:numFmt w:val="decimal"/>
      <w:isLgl/>
      <w:lvlText w:val="%1.%2.%3.%4.%5.%6.%7.%8.%9."/>
      <w:lvlJc w:val="left"/>
      <w:pPr>
        <w:ind w:left="2160" w:hanging="1800"/>
      </w:pPr>
      <w:rPr>
        <w:rFonts w:eastAsia="Calibri" w:hint="default"/>
        <w:b/>
        <w:color w:val="0070C0"/>
      </w:rPr>
    </w:lvl>
  </w:abstractNum>
  <w:abstractNum w:abstractNumId="8" w15:restartNumberingAfterBreak="0">
    <w:nsid w:val="1A305170"/>
    <w:multiLevelType w:val="hybridMultilevel"/>
    <w:tmpl w:val="D7B4B2B2"/>
    <w:lvl w:ilvl="0" w:tplc="0414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107ED"/>
    <w:multiLevelType w:val="hybridMultilevel"/>
    <w:tmpl w:val="8022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F4F82"/>
    <w:multiLevelType w:val="hybridMultilevel"/>
    <w:tmpl w:val="D25C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049A7"/>
    <w:multiLevelType w:val="multilevel"/>
    <w:tmpl w:val="C40A3242"/>
    <w:lvl w:ilvl="0">
      <w:start w:val="4"/>
      <w:numFmt w:val="decimal"/>
      <w:lvlText w:val="%1"/>
      <w:lvlJc w:val="left"/>
      <w:pPr>
        <w:ind w:left="360" w:hanging="360"/>
      </w:pPr>
      <w:rPr>
        <w:rFonts w:eastAsia="Calibri" w:hint="default"/>
        <w:b/>
        <w:color w:val="0070C0"/>
      </w:rPr>
    </w:lvl>
    <w:lvl w:ilvl="1">
      <w:start w:val="1"/>
      <w:numFmt w:val="decimal"/>
      <w:lvlText w:val="%1.%2"/>
      <w:lvlJc w:val="left"/>
      <w:pPr>
        <w:ind w:left="360" w:hanging="360"/>
      </w:pPr>
      <w:rPr>
        <w:rFonts w:eastAsia="Calibri" w:hint="default"/>
        <w:b/>
        <w:color w:val="0070C0"/>
      </w:rPr>
    </w:lvl>
    <w:lvl w:ilvl="2">
      <w:start w:val="1"/>
      <w:numFmt w:val="decimal"/>
      <w:lvlText w:val="%1.%2.%3"/>
      <w:lvlJc w:val="left"/>
      <w:pPr>
        <w:ind w:left="720" w:hanging="720"/>
      </w:pPr>
      <w:rPr>
        <w:rFonts w:eastAsia="Calibri" w:hint="default"/>
        <w:b/>
        <w:color w:val="0070C0"/>
      </w:rPr>
    </w:lvl>
    <w:lvl w:ilvl="3">
      <w:start w:val="1"/>
      <w:numFmt w:val="decimal"/>
      <w:lvlText w:val="%1.%2.%3.%4"/>
      <w:lvlJc w:val="left"/>
      <w:pPr>
        <w:ind w:left="720" w:hanging="720"/>
      </w:pPr>
      <w:rPr>
        <w:rFonts w:eastAsia="Calibri" w:hint="default"/>
        <w:b/>
        <w:color w:val="0070C0"/>
      </w:rPr>
    </w:lvl>
    <w:lvl w:ilvl="4">
      <w:start w:val="1"/>
      <w:numFmt w:val="decimal"/>
      <w:lvlText w:val="%1.%2.%3.%4.%5"/>
      <w:lvlJc w:val="left"/>
      <w:pPr>
        <w:ind w:left="1080" w:hanging="1080"/>
      </w:pPr>
      <w:rPr>
        <w:rFonts w:eastAsia="Calibri" w:hint="default"/>
        <w:b/>
        <w:color w:val="0070C0"/>
      </w:rPr>
    </w:lvl>
    <w:lvl w:ilvl="5">
      <w:start w:val="1"/>
      <w:numFmt w:val="decimal"/>
      <w:lvlText w:val="%1.%2.%3.%4.%5.%6"/>
      <w:lvlJc w:val="left"/>
      <w:pPr>
        <w:ind w:left="1080" w:hanging="1080"/>
      </w:pPr>
      <w:rPr>
        <w:rFonts w:eastAsia="Calibri" w:hint="default"/>
        <w:b/>
        <w:color w:val="0070C0"/>
      </w:rPr>
    </w:lvl>
    <w:lvl w:ilvl="6">
      <w:start w:val="1"/>
      <w:numFmt w:val="decimal"/>
      <w:lvlText w:val="%1.%2.%3.%4.%5.%6.%7"/>
      <w:lvlJc w:val="left"/>
      <w:pPr>
        <w:ind w:left="1440" w:hanging="1440"/>
      </w:pPr>
      <w:rPr>
        <w:rFonts w:eastAsia="Calibri" w:hint="default"/>
        <w:b/>
        <w:color w:val="0070C0"/>
      </w:rPr>
    </w:lvl>
    <w:lvl w:ilvl="7">
      <w:start w:val="1"/>
      <w:numFmt w:val="decimal"/>
      <w:lvlText w:val="%1.%2.%3.%4.%5.%6.%7.%8"/>
      <w:lvlJc w:val="left"/>
      <w:pPr>
        <w:ind w:left="1440" w:hanging="1440"/>
      </w:pPr>
      <w:rPr>
        <w:rFonts w:eastAsia="Calibri" w:hint="default"/>
        <w:b/>
        <w:color w:val="0070C0"/>
      </w:rPr>
    </w:lvl>
    <w:lvl w:ilvl="8">
      <w:start w:val="1"/>
      <w:numFmt w:val="decimal"/>
      <w:lvlText w:val="%1.%2.%3.%4.%5.%6.%7.%8.%9"/>
      <w:lvlJc w:val="left"/>
      <w:pPr>
        <w:ind w:left="1800" w:hanging="1800"/>
      </w:pPr>
      <w:rPr>
        <w:rFonts w:eastAsia="Calibri" w:hint="default"/>
        <w:b/>
        <w:color w:val="0070C0"/>
      </w:rPr>
    </w:lvl>
  </w:abstractNum>
  <w:abstractNum w:abstractNumId="12" w15:restartNumberingAfterBreak="0">
    <w:nsid w:val="337E162E"/>
    <w:multiLevelType w:val="multilevel"/>
    <w:tmpl w:val="A7F011C8"/>
    <w:lvl w:ilvl="0">
      <w:start w:val="1"/>
      <w:numFmt w:val="decimal"/>
      <w:lvlText w:val="%1"/>
      <w:lvlJc w:val="left"/>
      <w:pPr>
        <w:ind w:left="380" w:hanging="380"/>
      </w:pPr>
      <w:rPr>
        <w:rFonts w:eastAsia="Calibri" w:hint="default"/>
        <w:b/>
        <w:color w:val="000000" w:themeColor="text1"/>
      </w:rPr>
    </w:lvl>
    <w:lvl w:ilvl="1">
      <w:start w:val="1"/>
      <w:numFmt w:val="decimal"/>
      <w:lvlText w:val="%1.%2"/>
      <w:lvlJc w:val="left"/>
      <w:pPr>
        <w:ind w:left="380" w:hanging="380"/>
      </w:pPr>
      <w:rPr>
        <w:rFonts w:eastAsia="Calibri" w:hint="default"/>
        <w:b/>
        <w:color w:val="0070C0"/>
      </w:rPr>
    </w:lvl>
    <w:lvl w:ilvl="2">
      <w:start w:val="1"/>
      <w:numFmt w:val="decimal"/>
      <w:lvlText w:val="%1.%2.%3"/>
      <w:lvlJc w:val="left"/>
      <w:pPr>
        <w:ind w:left="720" w:hanging="720"/>
      </w:pPr>
      <w:rPr>
        <w:rFonts w:eastAsia="Calibri" w:hint="default"/>
        <w:b/>
        <w:color w:val="0070C0"/>
      </w:rPr>
    </w:lvl>
    <w:lvl w:ilvl="3">
      <w:start w:val="1"/>
      <w:numFmt w:val="decimal"/>
      <w:lvlText w:val="%1.%2.%3.%4"/>
      <w:lvlJc w:val="left"/>
      <w:pPr>
        <w:ind w:left="720" w:hanging="720"/>
      </w:pPr>
      <w:rPr>
        <w:rFonts w:eastAsia="Calibri" w:hint="default"/>
        <w:b/>
        <w:color w:val="000000" w:themeColor="text1"/>
      </w:rPr>
    </w:lvl>
    <w:lvl w:ilvl="4">
      <w:start w:val="1"/>
      <w:numFmt w:val="decimal"/>
      <w:lvlText w:val="%1.%2.%3.%4.%5"/>
      <w:lvlJc w:val="left"/>
      <w:pPr>
        <w:ind w:left="1080" w:hanging="1080"/>
      </w:pPr>
      <w:rPr>
        <w:rFonts w:eastAsia="Calibri" w:hint="default"/>
        <w:b/>
        <w:color w:val="000000" w:themeColor="text1"/>
      </w:rPr>
    </w:lvl>
    <w:lvl w:ilvl="5">
      <w:start w:val="1"/>
      <w:numFmt w:val="decimal"/>
      <w:lvlText w:val="%1.%2.%3.%4.%5.%6"/>
      <w:lvlJc w:val="left"/>
      <w:pPr>
        <w:ind w:left="1440" w:hanging="1440"/>
      </w:pPr>
      <w:rPr>
        <w:rFonts w:eastAsia="Calibri" w:hint="default"/>
        <w:b/>
        <w:color w:val="000000" w:themeColor="text1"/>
      </w:rPr>
    </w:lvl>
    <w:lvl w:ilvl="6">
      <w:start w:val="1"/>
      <w:numFmt w:val="decimal"/>
      <w:lvlText w:val="%1.%2.%3.%4.%5.%6.%7"/>
      <w:lvlJc w:val="left"/>
      <w:pPr>
        <w:ind w:left="1440" w:hanging="1440"/>
      </w:pPr>
      <w:rPr>
        <w:rFonts w:eastAsia="Calibri" w:hint="default"/>
        <w:b/>
        <w:color w:val="000000" w:themeColor="text1"/>
      </w:rPr>
    </w:lvl>
    <w:lvl w:ilvl="7">
      <w:start w:val="1"/>
      <w:numFmt w:val="decimal"/>
      <w:lvlText w:val="%1.%2.%3.%4.%5.%6.%7.%8"/>
      <w:lvlJc w:val="left"/>
      <w:pPr>
        <w:ind w:left="1800" w:hanging="1800"/>
      </w:pPr>
      <w:rPr>
        <w:rFonts w:eastAsia="Calibri" w:hint="default"/>
        <w:b/>
        <w:color w:val="000000" w:themeColor="text1"/>
      </w:rPr>
    </w:lvl>
    <w:lvl w:ilvl="8">
      <w:start w:val="1"/>
      <w:numFmt w:val="decimal"/>
      <w:lvlText w:val="%1.%2.%3.%4.%5.%6.%7.%8.%9"/>
      <w:lvlJc w:val="left"/>
      <w:pPr>
        <w:ind w:left="1800" w:hanging="1800"/>
      </w:pPr>
      <w:rPr>
        <w:rFonts w:eastAsia="Calibri" w:hint="default"/>
        <w:b/>
        <w:color w:val="000000" w:themeColor="text1"/>
      </w:rPr>
    </w:lvl>
  </w:abstractNum>
  <w:abstractNum w:abstractNumId="13" w15:restartNumberingAfterBreak="0">
    <w:nsid w:val="38956964"/>
    <w:multiLevelType w:val="hybridMultilevel"/>
    <w:tmpl w:val="E7146618"/>
    <w:lvl w:ilvl="0" w:tplc="08090001">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4" w15:restartNumberingAfterBreak="0">
    <w:nsid w:val="3A3B16A9"/>
    <w:multiLevelType w:val="multilevel"/>
    <w:tmpl w:val="9A1E2006"/>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12550"/>
    <w:multiLevelType w:val="multilevel"/>
    <w:tmpl w:val="AF049C4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016555"/>
    <w:multiLevelType w:val="hybridMultilevel"/>
    <w:tmpl w:val="95E2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14940"/>
    <w:multiLevelType w:val="hybridMultilevel"/>
    <w:tmpl w:val="46022E06"/>
    <w:lvl w:ilvl="0" w:tplc="00FE6084">
      <w:start w:val="1"/>
      <w:numFmt w:val="bullet"/>
      <w:pStyle w:val="ListBullet1"/>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1101A"/>
    <w:multiLevelType w:val="hybridMultilevel"/>
    <w:tmpl w:val="D6BE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96056"/>
    <w:multiLevelType w:val="hybridMultilevel"/>
    <w:tmpl w:val="20B8744E"/>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Franklin Gothic Book" w:eastAsia="Times New Roman" w:hAnsi="Franklin Gothic Book"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773276"/>
    <w:multiLevelType w:val="multilevel"/>
    <w:tmpl w:val="2248A0D2"/>
    <w:lvl w:ilvl="0">
      <w:start w:val="3"/>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1" w15:restartNumberingAfterBreak="0">
    <w:nsid w:val="4E770387"/>
    <w:multiLevelType w:val="hybridMultilevel"/>
    <w:tmpl w:val="DF6E0A8C"/>
    <w:lvl w:ilvl="0" w:tplc="06822184">
      <w:start w:val="1"/>
      <w:numFmt w:val="decimal"/>
      <w:lvlText w:val="%1."/>
      <w:lvlJc w:val="left"/>
      <w:pPr>
        <w:ind w:left="1020" w:hanging="360"/>
      </w:pPr>
    </w:lvl>
    <w:lvl w:ilvl="1" w:tplc="351CF9C8">
      <w:start w:val="1"/>
      <w:numFmt w:val="decimal"/>
      <w:lvlText w:val="%2."/>
      <w:lvlJc w:val="left"/>
      <w:pPr>
        <w:ind w:left="1020" w:hanging="360"/>
      </w:pPr>
    </w:lvl>
    <w:lvl w:ilvl="2" w:tplc="1866528E">
      <w:start w:val="1"/>
      <w:numFmt w:val="decimal"/>
      <w:lvlText w:val="%3."/>
      <w:lvlJc w:val="left"/>
      <w:pPr>
        <w:ind w:left="1020" w:hanging="360"/>
      </w:pPr>
    </w:lvl>
    <w:lvl w:ilvl="3" w:tplc="A874E304">
      <w:start w:val="1"/>
      <w:numFmt w:val="decimal"/>
      <w:lvlText w:val="%4."/>
      <w:lvlJc w:val="left"/>
      <w:pPr>
        <w:ind w:left="1020" w:hanging="360"/>
      </w:pPr>
    </w:lvl>
    <w:lvl w:ilvl="4" w:tplc="97B20712">
      <w:start w:val="1"/>
      <w:numFmt w:val="decimal"/>
      <w:lvlText w:val="%5."/>
      <w:lvlJc w:val="left"/>
      <w:pPr>
        <w:ind w:left="1020" w:hanging="360"/>
      </w:pPr>
    </w:lvl>
    <w:lvl w:ilvl="5" w:tplc="A59CF8E6">
      <w:start w:val="1"/>
      <w:numFmt w:val="decimal"/>
      <w:lvlText w:val="%6."/>
      <w:lvlJc w:val="left"/>
      <w:pPr>
        <w:ind w:left="1020" w:hanging="360"/>
      </w:pPr>
    </w:lvl>
    <w:lvl w:ilvl="6" w:tplc="23C825AE">
      <w:start w:val="1"/>
      <w:numFmt w:val="decimal"/>
      <w:lvlText w:val="%7."/>
      <w:lvlJc w:val="left"/>
      <w:pPr>
        <w:ind w:left="1020" w:hanging="360"/>
      </w:pPr>
    </w:lvl>
    <w:lvl w:ilvl="7" w:tplc="F47AA5A8">
      <w:start w:val="1"/>
      <w:numFmt w:val="decimal"/>
      <w:lvlText w:val="%8."/>
      <w:lvlJc w:val="left"/>
      <w:pPr>
        <w:ind w:left="1020" w:hanging="360"/>
      </w:pPr>
    </w:lvl>
    <w:lvl w:ilvl="8" w:tplc="8DB4CC1E">
      <w:start w:val="1"/>
      <w:numFmt w:val="decimal"/>
      <w:lvlText w:val="%9."/>
      <w:lvlJc w:val="left"/>
      <w:pPr>
        <w:ind w:left="1020" w:hanging="360"/>
      </w:pPr>
    </w:lvl>
  </w:abstractNum>
  <w:abstractNum w:abstractNumId="22" w15:restartNumberingAfterBreak="0">
    <w:nsid w:val="4E9579EB"/>
    <w:multiLevelType w:val="multilevel"/>
    <w:tmpl w:val="AF6A131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1432EF9"/>
    <w:multiLevelType w:val="hybridMultilevel"/>
    <w:tmpl w:val="7EBEBB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3D85716"/>
    <w:multiLevelType w:val="hybridMultilevel"/>
    <w:tmpl w:val="1E90DFA2"/>
    <w:lvl w:ilvl="0" w:tplc="FA72A8DE">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53339"/>
    <w:multiLevelType w:val="hybridMultilevel"/>
    <w:tmpl w:val="C6CC2122"/>
    <w:lvl w:ilvl="0" w:tplc="65CE13EC">
      <w:start w:val="2023"/>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C0DFE"/>
    <w:multiLevelType w:val="hybridMultilevel"/>
    <w:tmpl w:val="1782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3513F6"/>
    <w:multiLevelType w:val="hybridMultilevel"/>
    <w:tmpl w:val="6A52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003BC"/>
    <w:multiLevelType w:val="multilevel"/>
    <w:tmpl w:val="E4482F88"/>
    <w:lvl w:ilvl="0">
      <w:start w:val="2"/>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29" w15:restartNumberingAfterBreak="0">
    <w:nsid w:val="7891334A"/>
    <w:multiLevelType w:val="hybridMultilevel"/>
    <w:tmpl w:val="C0E0F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35125273">
    <w:abstractNumId w:val="17"/>
  </w:num>
  <w:num w:numId="2" w16cid:durableId="859122331">
    <w:abstractNumId w:val="1"/>
  </w:num>
  <w:num w:numId="3" w16cid:durableId="1931808859">
    <w:abstractNumId w:val="0"/>
  </w:num>
  <w:num w:numId="4" w16cid:durableId="1968513164">
    <w:abstractNumId w:val="24"/>
  </w:num>
  <w:num w:numId="5" w16cid:durableId="607468907">
    <w:abstractNumId w:val="14"/>
  </w:num>
  <w:num w:numId="6" w16cid:durableId="656500056">
    <w:abstractNumId w:val="5"/>
  </w:num>
  <w:num w:numId="7" w16cid:durableId="1351644090">
    <w:abstractNumId w:val="27"/>
  </w:num>
  <w:num w:numId="8" w16cid:durableId="2067144987">
    <w:abstractNumId w:val="16"/>
  </w:num>
  <w:num w:numId="9" w16cid:durableId="2048873664">
    <w:abstractNumId w:val="29"/>
  </w:num>
  <w:num w:numId="10" w16cid:durableId="1391617497">
    <w:abstractNumId w:val="8"/>
  </w:num>
  <w:num w:numId="11" w16cid:durableId="1596522907">
    <w:abstractNumId w:val="13"/>
  </w:num>
  <w:num w:numId="12" w16cid:durableId="2712299">
    <w:abstractNumId w:val="23"/>
  </w:num>
  <w:num w:numId="13" w16cid:durableId="401607328">
    <w:abstractNumId w:val="6"/>
  </w:num>
  <w:num w:numId="14" w16cid:durableId="417990463">
    <w:abstractNumId w:val="21"/>
  </w:num>
  <w:num w:numId="15" w16cid:durableId="2051030808">
    <w:abstractNumId w:val="25"/>
  </w:num>
  <w:num w:numId="16" w16cid:durableId="345406502">
    <w:abstractNumId w:val="19"/>
  </w:num>
  <w:num w:numId="17" w16cid:durableId="1989632004">
    <w:abstractNumId w:val="22"/>
  </w:num>
  <w:num w:numId="18" w16cid:durableId="283200331">
    <w:abstractNumId w:val="15"/>
  </w:num>
  <w:num w:numId="19" w16cid:durableId="1107314043">
    <w:abstractNumId w:val="12"/>
  </w:num>
  <w:num w:numId="20" w16cid:durableId="2036037771">
    <w:abstractNumId w:val="28"/>
  </w:num>
  <w:num w:numId="21" w16cid:durableId="919221421">
    <w:abstractNumId w:val="9"/>
  </w:num>
  <w:num w:numId="22" w16cid:durableId="1024549799">
    <w:abstractNumId w:val="18"/>
  </w:num>
  <w:num w:numId="23" w16cid:durableId="1893617936">
    <w:abstractNumId w:val="4"/>
  </w:num>
  <w:num w:numId="24" w16cid:durableId="681517701">
    <w:abstractNumId w:val="3"/>
  </w:num>
  <w:num w:numId="25" w16cid:durableId="646587425">
    <w:abstractNumId w:val="7"/>
  </w:num>
  <w:num w:numId="26" w16cid:durableId="266545448">
    <w:abstractNumId w:val="10"/>
  </w:num>
  <w:num w:numId="27" w16cid:durableId="1842693937">
    <w:abstractNumId w:val="26"/>
  </w:num>
  <w:num w:numId="28" w16cid:durableId="855730183">
    <w:abstractNumId w:val="15"/>
    <w:lvlOverride w:ilvl="0">
      <w:startOverride w:val="1"/>
    </w:lvlOverride>
    <w:lvlOverride w:ilvl="1">
      <w:startOverride w:val="8"/>
    </w:lvlOverride>
  </w:num>
  <w:num w:numId="29" w16cid:durableId="214203379">
    <w:abstractNumId w:val="20"/>
  </w:num>
  <w:num w:numId="30" w16cid:durableId="122841709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68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sDAyMTE2MDI0srBU0lEKTi0uzszPAymwqAUAIuDf4iwAAAA="/>
    <w:docVar w:name="__grammarly61__i" w:val="H4sIAAAAAAAEAKtWckksSQxILCpxzi/NK1GyMqwFAAEhoTITAAAA"/>
    <w:docVar w:name="__grammarly61_1" w:val="H4sIAAAAAAAEAKtWcslPLs1NzSvxTFGyUjI0TjEzskxJ1TVKMzLUNUlLTNZNSjQ30LVMNjFJMTA3TTZPNVDSUQpOLS7OzM8DaTGuBQAw8hYeQwAAAA=="/>
  </w:docVars>
  <w:rsids>
    <w:rsidRoot w:val="00482D47"/>
    <w:rsid w:val="000000F9"/>
    <w:rsid w:val="000001CB"/>
    <w:rsid w:val="000003EE"/>
    <w:rsid w:val="00000760"/>
    <w:rsid w:val="000008F9"/>
    <w:rsid w:val="00000C86"/>
    <w:rsid w:val="0000135C"/>
    <w:rsid w:val="00001C0B"/>
    <w:rsid w:val="00001CA5"/>
    <w:rsid w:val="00002230"/>
    <w:rsid w:val="00002ABF"/>
    <w:rsid w:val="00003B29"/>
    <w:rsid w:val="0000465F"/>
    <w:rsid w:val="00004EBC"/>
    <w:rsid w:val="00004F9D"/>
    <w:rsid w:val="00005023"/>
    <w:rsid w:val="0000558D"/>
    <w:rsid w:val="000059D9"/>
    <w:rsid w:val="00005EC6"/>
    <w:rsid w:val="00006516"/>
    <w:rsid w:val="00006590"/>
    <w:rsid w:val="00006BD8"/>
    <w:rsid w:val="0000759C"/>
    <w:rsid w:val="00007947"/>
    <w:rsid w:val="00007C57"/>
    <w:rsid w:val="00007D41"/>
    <w:rsid w:val="0001040A"/>
    <w:rsid w:val="000106E1"/>
    <w:rsid w:val="000106F3"/>
    <w:rsid w:val="00010CEF"/>
    <w:rsid w:val="00011032"/>
    <w:rsid w:val="000115F5"/>
    <w:rsid w:val="00011DFE"/>
    <w:rsid w:val="000122D8"/>
    <w:rsid w:val="0001230C"/>
    <w:rsid w:val="00012621"/>
    <w:rsid w:val="00012715"/>
    <w:rsid w:val="00012E1E"/>
    <w:rsid w:val="0001320F"/>
    <w:rsid w:val="000136E1"/>
    <w:rsid w:val="00013A3E"/>
    <w:rsid w:val="00013AE0"/>
    <w:rsid w:val="0001417A"/>
    <w:rsid w:val="00014697"/>
    <w:rsid w:val="000157D8"/>
    <w:rsid w:val="00015C25"/>
    <w:rsid w:val="00015C71"/>
    <w:rsid w:val="000162CC"/>
    <w:rsid w:val="0001649D"/>
    <w:rsid w:val="00016EE0"/>
    <w:rsid w:val="00017060"/>
    <w:rsid w:val="0001754A"/>
    <w:rsid w:val="00020427"/>
    <w:rsid w:val="00020915"/>
    <w:rsid w:val="00020E98"/>
    <w:rsid w:val="00020FA7"/>
    <w:rsid w:val="00020FE6"/>
    <w:rsid w:val="000210D4"/>
    <w:rsid w:val="000214CC"/>
    <w:rsid w:val="00022B51"/>
    <w:rsid w:val="000235A8"/>
    <w:rsid w:val="00023F2C"/>
    <w:rsid w:val="00024144"/>
    <w:rsid w:val="0002454C"/>
    <w:rsid w:val="000247F0"/>
    <w:rsid w:val="0002487C"/>
    <w:rsid w:val="000249B2"/>
    <w:rsid w:val="0002500A"/>
    <w:rsid w:val="00025202"/>
    <w:rsid w:val="00025469"/>
    <w:rsid w:val="000255E4"/>
    <w:rsid w:val="00025828"/>
    <w:rsid w:val="0002669A"/>
    <w:rsid w:val="000268B4"/>
    <w:rsid w:val="00026956"/>
    <w:rsid w:val="00026B70"/>
    <w:rsid w:val="00026D00"/>
    <w:rsid w:val="00026D2D"/>
    <w:rsid w:val="0002787F"/>
    <w:rsid w:val="00027D2D"/>
    <w:rsid w:val="00027DBE"/>
    <w:rsid w:val="0003013E"/>
    <w:rsid w:val="000301E8"/>
    <w:rsid w:val="000303E9"/>
    <w:rsid w:val="00030464"/>
    <w:rsid w:val="0003100B"/>
    <w:rsid w:val="000312E9"/>
    <w:rsid w:val="000313C7"/>
    <w:rsid w:val="00031BF4"/>
    <w:rsid w:val="00032402"/>
    <w:rsid w:val="00032580"/>
    <w:rsid w:val="00032679"/>
    <w:rsid w:val="00032C32"/>
    <w:rsid w:val="00032D02"/>
    <w:rsid w:val="00032DA7"/>
    <w:rsid w:val="00032F65"/>
    <w:rsid w:val="00033069"/>
    <w:rsid w:val="000330B8"/>
    <w:rsid w:val="000330EA"/>
    <w:rsid w:val="000332EE"/>
    <w:rsid w:val="00033757"/>
    <w:rsid w:val="00033970"/>
    <w:rsid w:val="0003436B"/>
    <w:rsid w:val="000344B3"/>
    <w:rsid w:val="000347B5"/>
    <w:rsid w:val="000348C8"/>
    <w:rsid w:val="000348E2"/>
    <w:rsid w:val="000349DB"/>
    <w:rsid w:val="00034F11"/>
    <w:rsid w:val="00035461"/>
    <w:rsid w:val="000355BF"/>
    <w:rsid w:val="000360E8"/>
    <w:rsid w:val="00036137"/>
    <w:rsid w:val="0003652B"/>
    <w:rsid w:val="00036CED"/>
    <w:rsid w:val="000370F4"/>
    <w:rsid w:val="0003745B"/>
    <w:rsid w:val="000375F1"/>
    <w:rsid w:val="00037728"/>
    <w:rsid w:val="000378BB"/>
    <w:rsid w:val="00037AB3"/>
    <w:rsid w:val="00040593"/>
    <w:rsid w:val="00040824"/>
    <w:rsid w:val="00040A20"/>
    <w:rsid w:val="00040C95"/>
    <w:rsid w:val="00040D1C"/>
    <w:rsid w:val="000411DE"/>
    <w:rsid w:val="0004156F"/>
    <w:rsid w:val="000418B4"/>
    <w:rsid w:val="00041C3E"/>
    <w:rsid w:val="0004273E"/>
    <w:rsid w:val="000428E2"/>
    <w:rsid w:val="00042DCD"/>
    <w:rsid w:val="00042DE0"/>
    <w:rsid w:val="000433F1"/>
    <w:rsid w:val="000439D3"/>
    <w:rsid w:val="0004508A"/>
    <w:rsid w:val="00045380"/>
    <w:rsid w:val="0004552B"/>
    <w:rsid w:val="00045E58"/>
    <w:rsid w:val="00046226"/>
    <w:rsid w:val="00046522"/>
    <w:rsid w:val="00046913"/>
    <w:rsid w:val="00046B6C"/>
    <w:rsid w:val="00046C6C"/>
    <w:rsid w:val="00047012"/>
    <w:rsid w:val="00047997"/>
    <w:rsid w:val="00047BF8"/>
    <w:rsid w:val="00047C5E"/>
    <w:rsid w:val="00047C6F"/>
    <w:rsid w:val="00050649"/>
    <w:rsid w:val="00050C3E"/>
    <w:rsid w:val="00050E7C"/>
    <w:rsid w:val="000519AF"/>
    <w:rsid w:val="00051B54"/>
    <w:rsid w:val="00051DA8"/>
    <w:rsid w:val="00051EC5"/>
    <w:rsid w:val="00051F38"/>
    <w:rsid w:val="000521D7"/>
    <w:rsid w:val="0005265D"/>
    <w:rsid w:val="00052A2E"/>
    <w:rsid w:val="00052ECE"/>
    <w:rsid w:val="00053111"/>
    <w:rsid w:val="000531EC"/>
    <w:rsid w:val="0005339D"/>
    <w:rsid w:val="00053E32"/>
    <w:rsid w:val="000544C4"/>
    <w:rsid w:val="000547A3"/>
    <w:rsid w:val="00054BCF"/>
    <w:rsid w:val="00054BE5"/>
    <w:rsid w:val="00054F42"/>
    <w:rsid w:val="000551C3"/>
    <w:rsid w:val="0005564B"/>
    <w:rsid w:val="00055F0C"/>
    <w:rsid w:val="00055F68"/>
    <w:rsid w:val="00056135"/>
    <w:rsid w:val="00056327"/>
    <w:rsid w:val="00056ABE"/>
    <w:rsid w:val="00056BF6"/>
    <w:rsid w:val="00057540"/>
    <w:rsid w:val="000576B9"/>
    <w:rsid w:val="00057A81"/>
    <w:rsid w:val="00057E6E"/>
    <w:rsid w:val="000600E9"/>
    <w:rsid w:val="00060101"/>
    <w:rsid w:val="0006010F"/>
    <w:rsid w:val="00060822"/>
    <w:rsid w:val="00060A94"/>
    <w:rsid w:val="00060E6D"/>
    <w:rsid w:val="00060F46"/>
    <w:rsid w:val="00061172"/>
    <w:rsid w:val="000614DA"/>
    <w:rsid w:val="000615EB"/>
    <w:rsid w:val="00061922"/>
    <w:rsid w:val="00061932"/>
    <w:rsid w:val="00061AB9"/>
    <w:rsid w:val="00062124"/>
    <w:rsid w:val="00062297"/>
    <w:rsid w:val="00062530"/>
    <w:rsid w:val="000625A3"/>
    <w:rsid w:val="00062B8B"/>
    <w:rsid w:val="00062BA7"/>
    <w:rsid w:val="0006322B"/>
    <w:rsid w:val="000634B5"/>
    <w:rsid w:val="00063E86"/>
    <w:rsid w:val="000640F2"/>
    <w:rsid w:val="00064541"/>
    <w:rsid w:val="000647E6"/>
    <w:rsid w:val="00065006"/>
    <w:rsid w:val="000652FF"/>
    <w:rsid w:val="000654C3"/>
    <w:rsid w:val="000655E8"/>
    <w:rsid w:val="000656C4"/>
    <w:rsid w:val="00065982"/>
    <w:rsid w:val="00065AF0"/>
    <w:rsid w:val="000665FA"/>
    <w:rsid w:val="000669CE"/>
    <w:rsid w:val="00066A10"/>
    <w:rsid w:val="00066C01"/>
    <w:rsid w:val="00066CC0"/>
    <w:rsid w:val="00066E60"/>
    <w:rsid w:val="00066F71"/>
    <w:rsid w:val="00066FBD"/>
    <w:rsid w:val="000674BC"/>
    <w:rsid w:val="00067543"/>
    <w:rsid w:val="0006767F"/>
    <w:rsid w:val="0006795F"/>
    <w:rsid w:val="00067D1F"/>
    <w:rsid w:val="00067E3A"/>
    <w:rsid w:val="00070741"/>
    <w:rsid w:val="00070D85"/>
    <w:rsid w:val="00070EE8"/>
    <w:rsid w:val="00070FBD"/>
    <w:rsid w:val="000715D7"/>
    <w:rsid w:val="000719F1"/>
    <w:rsid w:val="00071B5D"/>
    <w:rsid w:val="00071B66"/>
    <w:rsid w:val="00071C7A"/>
    <w:rsid w:val="00071F88"/>
    <w:rsid w:val="00072491"/>
    <w:rsid w:val="00072527"/>
    <w:rsid w:val="0007266E"/>
    <w:rsid w:val="0007279A"/>
    <w:rsid w:val="00072809"/>
    <w:rsid w:val="00072A6A"/>
    <w:rsid w:val="00072A8E"/>
    <w:rsid w:val="00072D1B"/>
    <w:rsid w:val="00073108"/>
    <w:rsid w:val="0007371F"/>
    <w:rsid w:val="00073A1E"/>
    <w:rsid w:val="00073BA0"/>
    <w:rsid w:val="000740DD"/>
    <w:rsid w:val="000742BA"/>
    <w:rsid w:val="000748D8"/>
    <w:rsid w:val="00075701"/>
    <w:rsid w:val="00075E4D"/>
    <w:rsid w:val="0007633A"/>
    <w:rsid w:val="00076B5D"/>
    <w:rsid w:val="00076D0D"/>
    <w:rsid w:val="00076D78"/>
    <w:rsid w:val="00077639"/>
    <w:rsid w:val="0007763E"/>
    <w:rsid w:val="000778B4"/>
    <w:rsid w:val="00077F99"/>
    <w:rsid w:val="00080072"/>
    <w:rsid w:val="00080382"/>
    <w:rsid w:val="00080429"/>
    <w:rsid w:val="000806FF"/>
    <w:rsid w:val="00080D0E"/>
    <w:rsid w:val="00080ED8"/>
    <w:rsid w:val="00081517"/>
    <w:rsid w:val="000816F8"/>
    <w:rsid w:val="00081B37"/>
    <w:rsid w:val="00082444"/>
    <w:rsid w:val="000826E5"/>
    <w:rsid w:val="000827CC"/>
    <w:rsid w:val="000832F1"/>
    <w:rsid w:val="00083514"/>
    <w:rsid w:val="00083537"/>
    <w:rsid w:val="00083943"/>
    <w:rsid w:val="0008429C"/>
    <w:rsid w:val="00084356"/>
    <w:rsid w:val="00085721"/>
    <w:rsid w:val="000857BB"/>
    <w:rsid w:val="00085804"/>
    <w:rsid w:val="00085A5A"/>
    <w:rsid w:val="00085BFB"/>
    <w:rsid w:val="00085E41"/>
    <w:rsid w:val="00086103"/>
    <w:rsid w:val="0008622E"/>
    <w:rsid w:val="00086682"/>
    <w:rsid w:val="000869D4"/>
    <w:rsid w:val="00086D22"/>
    <w:rsid w:val="0008728A"/>
    <w:rsid w:val="000877BB"/>
    <w:rsid w:val="00087A2A"/>
    <w:rsid w:val="00087EE4"/>
    <w:rsid w:val="000901E6"/>
    <w:rsid w:val="00090E1C"/>
    <w:rsid w:val="00091075"/>
    <w:rsid w:val="00091BA8"/>
    <w:rsid w:val="00091D94"/>
    <w:rsid w:val="00091DA5"/>
    <w:rsid w:val="00091EB3"/>
    <w:rsid w:val="00091EFE"/>
    <w:rsid w:val="0009216F"/>
    <w:rsid w:val="00092B88"/>
    <w:rsid w:val="00092C13"/>
    <w:rsid w:val="00092DE3"/>
    <w:rsid w:val="00092EA8"/>
    <w:rsid w:val="000932FC"/>
    <w:rsid w:val="000935BD"/>
    <w:rsid w:val="0009391A"/>
    <w:rsid w:val="00093A58"/>
    <w:rsid w:val="000942C0"/>
    <w:rsid w:val="000948BD"/>
    <w:rsid w:val="00094933"/>
    <w:rsid w:val="0009497B"/>
    <w:rsid w:val="00094A97"/>
    <w:rsid w:val="000950B8"/>
    <w:rsid w:val="00095288"/>
    <w:rsid w:val="000957BD"/>
    <w:rsid w:val="00095D82"/>
    <w:rsid w:val="000962CD"/>
    <w:rsid w:val="000967DF"/>
    <w:rsid w:val="00096D3D"/>
    <w:rsid w:val="000972B2"/>
    <w:rsid w:val="0009767D"/>
    <w:rsid w:val="00097958"/>
    <w:rsid w:val="00097E13"/>
    <w:rsid w:val="000A0046"/>
    <w:rsid w:val="000A0613"/>
    <w:rsid w:val="000A0A67"/>
    <w:rsid w:val="000A0D62"/>
    <w:rsid w:val="000A1048"/>
    <w:rsid w:val="000A15C9"/>
    <w:rsid w:val="000A199B"/>
    <w:rsid w:val="000A1CCD"/>
    <w:rsid w:val="000A1D56"/>
    <w:rsid w:val="000A224E"/>
    <w:rsid w:val="000A238B"/>
    <w:rsid w:val="000A2748"/>
    <w:rsid w:val="000A28AB"/>
    <w:rsid w:val="000A2D24"/>
    <w:rsid w:val="000A2F00"/>
    <w:rsid w:val="000A309C"/>
    <w:rsid w:val="000A314D"/>
    <w:rsid w:val="000A3554"/>
    <w:rsid w:val="000A3FEA"/>
    <w:rsid w:val="000A4174"/>
    <w:rsid w:val="000A455E"/>
    <w:rsid w:val="000A45F4"/>
    <w:rsid w:val="000A4FBC"/>
    <w:rsid w:val="000A52F9"/>
    <w:rsid w:val="000A53CA"/>
    <w:rsid w:val="000A565E"/>
    <w:rsid w:val="000A589D"/>
    <w:rsid w:val="000A5E4E"/>
    <w:rsid w:val="000A5EA6"/>
    <w:rsid w:val="000A668D"/>
    <w:rsid w:val="000A6DB1"/>
    <w:rsid w:val="000A6E52"/>
    <w:rsid w:val="000A7013"/>
    <w:rsid w:val="000A7284"/>
    <w:rsid w:val="000A7389"/>
    <w:rsid w:val="000A7C39"/>
    <w:rsid w:val="000A7E59"/>
    <w:rsid w:val="000A7F9C"/>
    <w:rsid w:val="000B008D"/>
    <w:rsid w:val="000B037A"/>
    <w:rsid w:val="000B14B6"/>
    <w:rsid w:val="000B17CC"/>
    <w:rsid w:val="000B22AF"/>
    <w:rsid w:val="000B2524"/>
    <w:rsid w:val="000B2746"/>
    <w:rsid w:val="000B27C5"/>
    <w:rsid w:val="000B2B0C"/>
    <w:rsid w:val="000B2C4B"/>
    <w:rsid w:val="000B2DB0"/>
    <w:rsid w:val="000B2E42"/>
    <w:rsid w:val="000B35AA"/>
    <w:rsid w:val="000B3605"/>
    <w:rsid w:val="000B36F5"/>
    <w:rsid w:val="000B3A64"/>
    <w:rsid w:val="000B3A87"/>
    <w:rsid w:val="000B3AB2"/>
    <w:rsid w:val="000B3AC2"/>
    <w:rsid w:val="000B4742"/>
    <w:rsid w:val="000B47A7"/>
    <w:rsid w:val="000B48C5"/>
    <w:rsid w:val="000B4CE1"/>
    <w:rsid w:val="000B50A0"/>
    <w:rsid w:val="000B53C4"/>
    <w:rsid w:val="000B5403"/>
    <w:rsid w:val="000B54AC"/>
    <w:rsid w:val="000B57D7"/>
    <w:rsid w:val="000B57E9"/>
    <w:rsid w:val="000B5926"/>
    <w:rsid w:val="000B5FF0"/>
    <w:rsid w:val="000B66B3"/>
    <w:rsid w:val="000B6BB7"/>
    <w:rsid w:val="000B7068"/>
    <w:rsid w:val="000B75D0"/>
    <w:rsid w:val="000B78BE"/>
    <w:rsid w:val="000B7D5D"/>
    <w:rsid w:val="000B7F32"/>
    <w:rsid w:val="000B7FA3"/>
    <w:rsid w:val="000C0588"/>
    <w:rsid w:val="000C102B"/>
    <w:rsid w:val="000C13EE"/>
    <w:rsid w:val="000C1436"/>
    <w:rsid w:val="000C1590"/>
    <w:rsid w:val="000C1BEC"/>
    <w:rsid w:val="000C1FE6"/>
    <w:rsid w:val="000C20F6"/>
    <w:rsid w:val="000C2102"/>
    <w:rsid w:val="000C28B7"/>
    <w:rsid w:val="000C2EB3"/>
    <w:rsid w:val="000C3641"/>
    <w:rsid w:val="000C3662"/>
    <w:rsid w:val="000C3813"/>
    <w:rsid w:val="000C3B64"/>
    <w:rsid w:val="000C3CC7"/>
    <w:rsid w:val="000C3FF3"/>
    <w:rsid w:val="000C4DBA"/>
    <w:rsid w:val="000C524D"/>
    <w:rsid w:val="000C52EB"/>
    <w:rsid w:val="000C5323"/>
    <w:rsid w:val="000C5ADD"/>
    <w:rsid w:val="000C5C2F"/>
    <w:rsid w:val="000C5C53"/>
    <w:rsid w:val="000C687A"/>
    <w:rsid w:val="000C6885"/>
    <w:rsid w:val="000C68BA"/>
    <w:rsid w:val="000C6B17"/>
    <w:rsid w:val="000C6D52"/>
    <w:rsid w:val="000C70C5"/>
    <w:rsid w:val="000C717F"/>
    <w:rsid w:val="000C7280"/>
    <w:rsid w:val="000C7D06"/>
    <w:rsid w:val="000C7ED8"/>
    <w:rsid w:val="000D063A"/>
    <w:rsid w:val="000D0BF7"/>
    <w:rsid w:val="000D0D04"/>
    <w:rsid w:val="000D0D3B"/>
    <w:rsid w:val="000D0FAA"/>
    <w:rsid w:val="000D10E6"/>
    <w:rsid w:val="000D11A0"/>
    <w:rsid w:val="000D12A2"/>
    <w:rsid w:val="000D1303"/>
    <w:rsid w:val="000D15A1"/>
    <w:rsid w:val="000D1BFF"/>
    <w:rsid w:val="000D2FC8"/>
    <w:rsid w:val="000D358D"/>
    <w:rsid w:val="000D35DE"/>
    <w:rsid w:val="000D3760"/>
    <w:rsid w:val="000D3978"/>
    <w:rsid w:val="000D3DF6"/>
    <w:rsid w:val="000D4549"/>
    <w:rsid w:val="000D463F"/>
    <w:rsid w:val="000D5235"/>
    <w:rsid w:val="000D543C"/>
    <w:rsid w:val="000D556D"/>
    <w:rsid w:val="000D6304"/>
    <w:rsid w:val="000D647C"/>
    <w:rsid w:val="000D65EF"/>
    <w:rsid w:val="000D686C"/>
    <w:rsid w:val="000D6ADC"/>
    <w:rsid w:val="000D7DAD"/>
    <w:rsid w:val="000E04C3"/>
    <w:rsid w:val="000E08FC"/>
    <w:rsid w:val="000E0C17"/>
    <w:rsid w:val="000E0C32"/>
    <w:rsid w:val="000E0D98"/>
    <w:rsid w:val="000E1203"/>
    <w:rsid w:val="000E15BB"/>
    <w:rsid w:val="000E18C4"/>
    <w:rsid w:val="000E18C6"/>
    <w:rsid w:val="000E219C"/>
    <w:rsid w:val="000E2BD6"/>
    <w:rsid w:val="000E31DB"/>
    <w:rsid w:val="000E3CA7"/>
    <w:rsid w:val="000E3EAD"/>
    <w:rsid w:val="000E40BE"/>
    <w:rsid w:val="000E44A2"/>
    <w:rsid w:val="000E4C39"/>
    <w:rsid w:val="000E5320"/>
    <w:rsid w:val="000E5508"/>
    <w:rsid w:val="000E553D"/>
    <w:rsid w:val="000E5596"/>
    <w:rsid w:val="000E59B8"/>
    <w:rsid w:val="000E6183"/>
    <w:rsid w:val="000E62B3"/>
    <w:rsid w:val="000E62D3"/>
    <w:rsid w:val="000E6394"/>
    <w:rsid w:val="000E659B"/>
    <w:rsid w:val="000E66C8"/>
    <w:rsid w:val="000E675B"/>
    <w:rsid w:val="000E6872"/>
    <w:rsid w:val="000E6E2E"/>
    <w:rsid w:val="000E792C"/>
    <w:rsid w:val="000E7D42"/>
    <w:rsid w:val="000E7EE2"/>
    <w:rsid w:val="000E7FF3"/>
    <w:rsid w:val="000F057C"/>
    <w:rsid w:val="000F082B"/>
    <w:rsid w:val="000F0A78"/>
    <w:rsid w:val="000F0B40"/>
    <w:rsid w:val="000F1070"/>
    <w:rsid w:val="000F1211"/>
    <w:rsid w:val="000F1299"/>
    <w:rsid w:val="000F1977"/>
    <w:rsid w:val="000F1FEE"/>
    <w:rsid w:val="000F2165"/>
    <w:rsid w:val="000F2283"/>
    <w:rsid w:val="000F243C"/>
    <w:rsid w:val="000F2B61"/>
    <w:rsid w:val="000F2FD5"/>
    <w:rsid w:val="000F347F"/>
    <w:rsid w:val="000F352D"/>
    <w:rsid w:val="000F379B"/>
    <w:rsid w:val="000F3971"/>
    <w:rsid w:val="000F3D5E"/>
    <w:rsid w:val="000F3EFD"/>
    <w:rsid w:val="000F40C0"/>
    <w:rsid w:val="000F499F"/>
    <w:rsid w:val="000F4A6F"/>
    <w:rsid w:val="000F5374"/>
    <w:rsid w:val="000F5858"/>
    <w:rsid w:val="000F5875"/>
    <w:rsid w:val="000F59D0"/>
    <w:rsid w:val="000F5BDC"/>
    <w:rsid w:val="000F5CF4"/>
    <w:rsid w:val="000F6289"/>
    <w:rsid w:val="000F751A"/>
    <w:rsid w:val="000F765C"/>
    <w:rsid w:val="000F76CA"/>
    <w:rsid w:val="000F7A25"/>
    <w:rsid w:val="001000F5"/>
    <w:rsid w:val="001009D4"/>
    <w:rsid w:val="00100F09"/>
    <w:rsid w:val="00100F2F"/>
    <w:rsid w:val="00101A8D"/>
    <w:rsid w:val="00101C32"/>
    <w:rsid w:val="0010281C"/>
    <w:rsid w:val="00102A2A"/>
    <w:rsid w:val="00102A81"/>
    <w:rsid w:val="00102BB6"/>
    <w:rsid w:val="00103033"/>
    <w:rsid w:val="00103259"/>
    <w:rsid w:val="0010326F"/>
    <w:rsid w:val="00103CF2"/>
    <w:rsid w:val="00104539"/>
    <w:rsid w:val="001045F8"/>
    <w:rsid w:val="001052D0"/>
    <w:rsid w:val="00105BDC"/>
    <w:rsid w:val="00105D52"/>
    <w:rsid w:val="001061C1"/>
    <w:rsid w:val="00106978"/>
    <w:rsid w:val="00106ADB"/>
    <w:rsid w:val="0010737B"/>
    <w:rsid w:val="00110290"/>
    <w:rsid w:val="0011052F"/>
    <w:rsid w:val="0011061A"/>
    <w:rsid w:val="00110CD0"/>
    <w:rsid w:val="00110F45"/>
    <w:rsid w:val="00110FA9"/>
    <w:rsid w:val="0011127B"/>
    <w:rsid w:val="0011128F"/>
    <w:rsid w:val="00111652"/>
    <w:rsid w:val="0011191D"/>
    <w:rsid w:val="00111CD4"/>
    <w:rsid w:val="00111F46"/>
    <w:rsid w:val="00112211"/>
    <w:rsid w:val="0011226D"/>
    <w:rsid w:val="001123CC"/>
    <w:rsid w:val="00112E5C"/>
    <w:rsid w:val="00112FE5"/>
    <w:rsid w:val="00112FE6"/>
    <w:rsid w:val="001137E9"/>
    <w:rsid w:val="00113811"/>
    <w:rsid w:val="00113835"/>
    <w:rsid w:val="00113961"/>
    <w:rsid w:val="00113A3A"/>
    <w:rsid w:val="00113D0C"/>
    <w:rsid w:val="00113DA0"/>
    <w:rsid w:val="001140F9"/>
    <w:rsid w:val="00114398"/>
    <w:rsid w:val="001144E6"/>
    <w:rsid w:val="00114912"/>
    <w:rsid w:val="00114917"/>
    <w:rsid w:val="00114F47"/>
    <w:rsid w:val="001166F2"/>
    <w:rsid w:val="00116844"/>
    <w:rsid w:val="0011717D"/>
    <w:rsid w:val="00117D77"/>
    <w:rsid w:val="001200CC"/>
    <w:rsid w:val="001202B5"/>
    <w:rsid w:val="001206E5"/>
    <w:rsid w:val="00120762"/>
    <w:rsid w:val="00120C2B"/>
    <w:rsid w:val="00120CEB"/>
    <w:rsid w:val="001215AD"/>
    <w:rsid w:val="00121A99"/>
    <w:rsid w:val="0012295D"/>
    <w:rsid w:val="00122B80"/>
    <w:rsid w:val="00122E00"/>
    <w:rsid w:val="00124642"/>
    <w:rsid w:val="00124DD1"/>
    <w:rsid w:val="001252BE"/>
    <w:rsid w:val="00125A48"/>
    <w:rsid w:val="00125CFB"/>
    <w:rsid w:val="00125DDC"/>
    <w:rsid w:val="00125F07"/>
    <w:rsid w:val="00126136"/>
    <w:rsid w:val="00126273"/>
    <w:rsid w:val="00126863"/>
    <w:rsid w:val="00126A41"/>
    <w:rsid w:val="00126BB0"/>
    <w:rsid w:val="00126E33"/>
    <w:rsid w:val="00127277"/>
    <w:rsid w:val="00127413"/>
    <w:rsid w:val="00127996"/>
    <w:rsid w:val="00127CF3"/>
    <w:rsid w:val="0013000A"/>
    <w:rsid w:val="001303E5"/>
    <w:rsid w:val="00130871"/>
    <w:rsid w:val="00130ABA"/>
    <w:rsid w:val="00130C69"/>
    <w:rsid w:val="00130DC4"/>
    <w:rsid w:val="00130FA7"/>
    <w:rsid w:val="00130FBD"/>
    <w:rsid w:val="001312D5"/>
    <w:rsid w:val="00131CE8"/>
    <w:rsid w:val="00132063"/>
    <w:rsid w:val="001322A4"/>
    <w:rsid w:val="00132D29"/>
    <w:rsid w:val="00132FA3"/>
    <w:rsid w:val="0013379F"/>
    <w:rsid w:val="00133B26"/>
    <w:rsid w:val="00133CE0"/>
    <w:rsid w:val="00133E7B"/>
    <w:rsid w:val="001343AA"/>
    <w:rsid w:val="00134A12"/>
    <w:rsid w:val="00134C28"/>
    <w:rsid w:val="00135308"/>
    <w:rsid w:val="00135B18"/>
    <w:rsid w:val="00136CD4"/>
    <w:rsid w:val="00137C3A"/>
    <w:rsid w:val="0014054D"/>
    <w:rsid w:val="001406BE"/>
    <w:rsid w:val="00140B43"/>
    <w:rsid w:val="00140DC4"/>
    <w:rsid w:val="00140DC6"/>
    <w:rsid w:val="00141243"/>
    <w:rsid w:val="0014145B"/>
    <w:rsid w:val="0014149A"/>
    <w:rsid w:val="001417BE"/>
    <w:rsid w:val="00143251"/>
    <w:rsid w:val="0014346C"/>
    <w:rsid w:val="00143558"/>
    <w:rsid w:val="00143832"/>
    <w:rsid w:val="001439BE"/>
    <w:rsid w:val="00143BB5"/>
    <w:rsid w:val="00143F10"/>
    <w:rsid w:val="00143FDE"/>
    <w:rsid w:val="0014431D"/>
    <w:rsid w:val="001447A5"/>
    <w:rsid w:val="00144AAC"/>
    <w:rsid w:val="00144C9C"/>
    <w:rsid w:val="00144E68"/>
    <w:rsid w:val="001451C5"/>
    <w:rsid w:val="00145605"/>
    <w:rsid w:val="00145BC6"/>
    <w:rsid w:val="00145F3B"/>
    <w:rsid w:val="001461BD"/>
    <w:rsid w:val="00146347"/>
    <w:rsid w:val="00146467"/>
    <w:rsid w:val="00146777"/>
    <w:rsid w:val="00146A39"/>
    <w:rsid w:val="00146F58"/>
    <w:rsid w:val="00147108"/>
    <w:rsid w:val="00147159"/>
    <w:rsid w:val="00147553"/>
    <w:rsid w:val="0014766B"/>
    <w:rsid w:val="00147877"/>
    <w:rsid w:val="0015003C"/>
    <w:rsid w:val="00150977"/>
    <w:rsid w:val="00150998"/>
    <w:rsid w:val="00151054"/>
    <w:rsid w:val="0015143C"/>
    <w:rsid w:val="00151617"/>
    <w:rsid w:val="00151647"/>
    <w:rsid w:val="00151FAC"/>
    <w:rsid w:val="00152655"/>
    <w:rsid w:val="00153098"/>
    <w:rsid w:val="0015325B"/>
    <w:rsid w:val="00153355"/>
    <w:rsid w:val="0015355F"/>
    <w:rsid w:val="001537FA"/>
    <w:rsid w:val="00153DD4"/>
    <w:rsid w:val="00153FB0"/>
    <w:rsid w:val="001540AB"/>
    <w:rsid w:val="00154362"/>
    <w:rsid w:val="001543A2"/>
    <w:rsid w:val="00154402"/>
    <w:rsid w:val="0015481E"/>
    <w:rsid w:val="00154AA1"/>
    <w:rsid w:val="00154B4E"/>
    <w:rsid w:val="00154BC0"/>
    <w:rsid w:val="00154E71"/>
    <w:rsid w:val="001552C3"/>
    <w:rsid w:val="001553E5"/>
    <w:rsid w:val="001553F1"/>
    <w:rsid w:val="001555BC"/>
    <w:rsid w:val="001559E2"/>
    <w:rsid w:val="00155E26"/>
    <w:rsid w:val="001563DE"/>
    <w:rsid w:val="00156C21"/>
    <w:rsid w:val="00156FA5"/>
    <w:rsid w:val="00157103"/>
    <w:rsid w:val="00157233"/>
    <w:rsid w:val="00157502"/>
    <w:rsid w:val="00160615"/>
    <w:rsid w:val="0016074E"/>
    <w:rsid w:val="00160A5B"/>
    <w:rsid w:val="00161478"/>
    <w:rsid w:val="0016171D"/>
    <w:rsid w:val="00161AA2"/>
    <w:rsid w:val="0016224A"/>
    <w:rsid w:val="00162329"/>
    <w:rsid w:val="00162500"/>
    <w:rsid w:val="00162C5C"/>
    <w:rsid w:val="0016314B"/>
    <w:rsid w:val="0016324D"/>
    <w:rsid w:val="00163495"/>
    <w:rsid w:val="00163E08"/>
    <w:rsid w:val="0016414B"/>
    <w:rsid w:val="00164CE4"/>
    <w:rsid w:val="001654EA"/>
    <w:rsid w:val="00165656"/>
    <w:rsid w:val="00165FD4"/>
    <w:rsid w:val="0016629C"/>
    <w:rsid w:val="00166407"/>
    <w:rsid w:val="001664C2"/>
    <w:rsid w:val="00166ED6"/>
    <w:rsid w:val="001673CE"/>
    <w:rsid w:val="00167E6E"/>
    <w:rsid w:val="0017018A"/>
    <w:rsid w:val="001706D7"/>
    <w:rsid w:val="00170953"/>
    <w:rsid w:val="00170A5A"/>
    <w:rsid w:val="00171107"/>
    <w:rsid w:val="0017173B"/>
    <w:rsid w:val="00171B2E"/>
    <w:rsid w:val="00171CFB"/>
    <w:rsid w:val="00171DC7"/>
    <w:rsid w:val="00171EBD"/>
    <w:rsid w:val="00172707"/>
    <w:rsid w:val="00172781"/>
    <w:rsid w:val="00172956"/>
    <w:rsid w:val="00172B12"/>
    <w:rsid w:val="00172CC1"/>
    <w:rsid w:val="0017315A"/>
    <w:rsid w:val="001731CE"/>
    <w:rsid w:val="001734AB"/>
    <w:rsid w:val="001736A6"/>
    <w:rsid w:val="0017450B"/>
    <w:rsid w:val="00174C81"/>
    <w:rsid w:val="001751C0"/>
    <w:rsid w:val="00175448"/>
    <w:rsid w:val="00175D23"/>
    <w:rsid w:val="00176914"/>
    <w:rsid w:val="00176B2C"/>
    <w:rsid w:val="00176E3B"/>
    <w:rsid w:val="00177020"/>
    <w:rsid w:val="001774DF"/>
    <w:rsid w:val="00177ADD"/>
    <w:rsid w:val="00177E65"/>
    <w:rsid w:val="00177ED9"/>
    <w:rsid w:val="00177F88"/>
    <w:rsid w:val="0018066F"/>
    <w:rsid w:val="00180680"/>
    <w:rsid w:val="00180BF6"/>
    <w:rsid w:val="00180CB6"/>
    <w:rsid w:val="00180DFE"/>
    <w:rsid w:val="0018120D"/>
    <w:rsid w:val="00181305"/>
    <w:rsid w:val="00181486"/>
    <w:rsid w:val="00181BAC"/>
    <w:rsid w:val="00181C1D"/>
    <w:rsid w:val="00181C22"/>
    <w:rsid w:val="00181DF4"/>
    <w:rsid w:val="00181DF6"/>
    <w:rsid w:val="001823E9"/>
    <w:rsid w:val="0018253E"/>
    <w:rsid w:val="00182596"/>
    <w:rsid w:val="001827AD"/>
    <w:rsid w:val="001827BF"/>
    <w:rsid w:val="0018292E"/>
    <w:rsid w:val="00182ACE"/>
    <w:rsid w:val="00182EE2"/>
    <w:rsid w:val="0018304E"/>
    <w:rsid w:val="00183DCE"/>
    <w:rsid w:val="00184236"/>
    <w:rsid w:val="001844A7"/>
    <w:rsid w:val="001847B6"/>
    <w:rsid w:val="001849A9"/>
    <w:rsid w:val="00184DCF"/>
    <w:rsid w:val="00184E20"/>
    <w:rsid w:val="00184F45"/>
    <w:rsid w:val="001850E1"/>
    <w:rsid w:val="00185141"/>
    <w:rsid w:val="001859A6"/>
    <w:rsid w:val="00185B62"/>
    <w:rsid w:val="00185B9C"/>
    <w:rsid w:val="00185C44"/>
    <w:rsid w:val="00185D96"/>
    <w:rsid w:val="0018651D"/>
    <w:rsid w:val="0018672B"/>
    <w:rsid w:val="00186C45"/>
    <w:rsid w:val="00187CD7"/>
    <w:rsid w:val="00187E0B"/>
    <w:rsid w:val="001908DD"/>
    <w:rsid w:val="001908ED"/>
    <w:rsid w:val="0019135D"/>
    <w:rsid w:val="00191A51"/>
    <w:rsid w:val="00191D3A"/>
    <w:rsid w:val="00191DF8"/>
    <w:rsid w:val="001922B1"/>
    <w:rsid w:val="00192664"/>
    <w:rsid w:val="001927BF"/>
    <w:rsid w:val="00192946"/>
    <w:rsid w:val="00192B7C"/>
    <w:rsid w:val="00192C1F"/>
    <w:rsid w:val="001934A1"/>
    <w:rsid w:val="00193534"/>
    <w:rsid w:val="00193CD3"/>
    <w:rsid w:val="001940E8"/>
    <w:rsid w:val="00194264"/>
    <w:rsid w:val="00194892"/>
    <w:rsid w:val="00194B11"/>
    <w:rsid w:val="00194B18"/>
    <w:rsid w:val="00194B4C"/>
    <w:rsid w:val="00194B50"/>
    <w:rsid w:val="00195048"/>
    <w:rsid w:val="001953A8"/>
    <w:rsid w:val="001955A2"/>
    <w:rsid w:val="001957F4"/>
    <w:rsid w:val="00195A06"/>
    <w:rsid w:val="00196390"/>
    <w:rsid w:val="0019689A"/>
    <w:rsid w:val="00196A5A"/>
    <w:rsid w:val="00196B43"/>
    <w:rsid w:val="00196BFA"/>
    <w:rsid w:val="00196FEA"/>
    <w:rsid w:val="00197330"/>
    <w:rsid w:val="00197575"/>
    <w:rsid w:val="0019773E"/>
    <w:rsid w:val="0019798A"/>
    <w:rsid w:val="001979E0"/>
    <w:rsid w:val="00197E0D"/>
    <w:rsid w:val="00197EB2"/>
    <w:rsid w:val="001A0346"/>
    <w:rsid w:val="001A06C4"/>
    <w:rsid w:val="001A0AAE"/>
    <w:rsid w:val="001A0BE3"/>
    <w:rsid w:val="001A0E4E"/>
    <w:rsid w:val="001A0F55"/>
    <w:rsid w:val="001A10C5"/>
    <w:rsid w:val="001A1707"/>
    <w:rsid w:val="001A1746"/>
    <w:rsid w:val="001A1A5C"/>
    <w:rsid w:val="001A1D8C"/>
    <w:rsid w:val="001A275F"/>
    <w:rsid w:val="001A27A3"/>
    <w:rsid w:val="001A29EB"/>
    <w:rsid w:val="001A309F"/>
    <w:rsid w:val="001A3930"/>
    <w:rsid w:val="001A41EB"/>
    <w:rsid w:val="001A466F"/>
    <w:rsid w:val="001A4CF2"/>
    <w:rsid w:val="001A4F79"/>
    <w:rsid w:val="001A559D"/>
    <w:rsid w:val="001A6403"/>
    <w:rsid w:val="001A6473"/>
    <w:rsid w:val="001A65F7"/>
    <w:rsid w:val="001A6706"/>
    <w:rsid w:val="001A6777"/>
    <w:rsid w:val="001A7176"/>
    <w:rsid w:val="001A735A"/>
    <w:rsid w:val="001A7565"/>
    <w:rsid w:val="001A77B0"/>
    <w:rsid w:val="001A77CD"/>
    <w:rsid w:val="001A78DB"/>
    <w:rsid w:val="001A7931"/>
    <w:rsid w:val="001A7D44"/>
    <w:rsid w:val="001B04DE"/>
    <w:rsid w:val="001B0607"/>
    <w:rsid w:val="001B0843"/>
    <w:rsid w:val="001B0AF0"/>
    <w:rsid w:val="001B0B72"/>
    <w:rsid w:val="001B0D92"/>
    <w:rsid w:val="001B15C7"/>
    <w:rsid w:val="001B1660"/>
    <w:rsid w:val="001B17CA"/>
    <w:rsid w:val="001B2673"/>
    <w:rsid w:val="001B2D9B"/>
    <w:rsid w:val="001B3047"/>
    <w:rsid w:val="001B3315"/>
    <w:rsid w:val="001B35F9"/>
    <w:rsid w:val="001B3B8D"/>
    <w:rsid w:val="001B3BF2"/>
    <w:rsid w:val="001B3C38"/>
    <w:rsid w:val="001B4076"/>
    <w:rsid w:val="001B425C"/>
    <w:rsid w:val="001B4303"/>
    <w:rsid w:val="001B4513"/>
    <w:rsid w:val="001B4839"/>
    <w:rsid w:val="001B4E81"/>
    <w:rsid w:val="001B56A5"/>
    <w:rsid w:val="001B57E9"/>
    <w:rsid w:val="001B5A41"/>
    <w:rsid w:val="001B5D69"/>
    <w:rsid w:val="001B634D"/>
    <w:rsid w:val="001B6943"/>
    <w:rsid w:val="001B6B09"/>
    <w:rsid w:val="001B6ED7"/>
    <w:rsid w:val="001B6F46"/>
    <w:rsid w:val="001B7469"/>
    <w:rsid w:val="001B75A8"/>
    <w:rsid w:val="001B7980"/>
    <w:rsid w:val="001B7ACD"/>
    <w:rsid w:val="001C00AA"/>
    <w:rsid w:val="001C021A"/>
    <w:rsid w:val="001C032C"/>
    <w:rsid w:val="001C0624"/>
    <w:rsid w:val="001C08E7"/>
    <w:rsid w:val="001C0BF4"/>
    <w:rsid w:val="001C0DB4"/>
    <w:rsid w:val="001C16EF"/>
    <w:rsid w:val="001C1A97"/>
    <w:rsid w:val="001C1DE6"/>
    <w:rsid w:val="001C1EED"/>
    <w:rsid w:val="001C2213"/>
    <w:rsid w:val="001C2955"/>
    <w:rsid w:val="001C2981"/>
    <w:rsid w:val="001C2B20"/>
    <w:rsid w:val="001C3087"/>
    <w:rsid w:val="001C30F2"/>
    <w:rsid w:val="001C3233"/>
    <w:rsid w:val="001C3E3E"/>
    <w:rsid w:val="001C3E75"/>
    <w:rsid w:val="001C3EC1"/>
    <w:rsid w:val="001C3FB0"/>
    <w:rsid w:val="001C4086"/>
    <w:rsid w:val="001C4525"/>
    <w:rsid w:val="001C46F1"/>
    <w:rsid w:val="001C474B"/>
    <w:rsid w:val="001C5450"/>
    <w:rsid w:val="001C574E"/>
    <w:rsid w:val="001C5A14"/>
    <w:rsid w:val="001C5DE0"/>
    <w:rsid w:val="001C64F3"/>
    <w:rsid w:val="001C70CF"/>
    <w:rsid w:val="001C7281"/>
    <w:rsid w:val="001C75C3"/>
    <w:rsid w:val="001C777D"/>
    <w:rsid w:val="001C79D1"/>
    <w:rsid w:val="001C7C43"/>
    <w:rsid w:val="001C7DE7"/>
    <w:rsid w:val="001D0203"/>
    <w:rsid w:val="001D07A4"/>
    <w:rsid w:val="001D0AAF"/>
    <w:rsid w:val="001D1000"/>
    <w:rsid w:val="001D1311"/>
    <w:rsid w:val="001D1476"/>
    <w:rsid w:val="001D14D6"/>
    <w:rsid w:val="001D1801"/>
    <w:rsid w:val="001D1ACC"/>
    <w:rsid w:val="001D1F80"/>
    <w:rsid w:val="001D2143"/>
    <w:rsid w:val="001D2A73"/>
    <w:rsid w:val="001D2D2B"/>
    <w:rsid w:val="001D31FE"/>
    <w:rsid w:val="001D326F"/>
    <w:rsid w:val="001D352A"/>
    <w:rsid w:val="001D36F6"/>
    <w:rsid w:val="001D3949"/>
    <w:rsid w:val="001D3AC9"/>
    <w:rsid w:val="001D3AFD"/>
    <w:rsid w:val="001D3C4F"/>
    <w:rsid w:val="001D3D60"/>
    <w:rsid w:val="001D4266"/>
    <w:rsid w:val="001D42A3"/>
    <w:rsid w:val="001D4335"/>
    <w:rsid w:val="001D435B"/>
    <w:rsid w:val="001D46F6"/>
    <w:rsid w:val="001D48C6"/>
    <w:rsid w:val="001D4B09"/>
    <w:rsid w:val="001D58AD"/>
    <w:rsid w:val="001D5ACC"/>
    <w:rsid w:val="001D5DC8"/>
    <w:rsid w:val="001D5E6A"/>
    <w:rsid w:val="001D6995"/>
    <w:rsid w:val="001D6A81"/>
    <w:rsid w:val="001D6C36"/>
    <w:rsid w:val="001D6FC2"/>
    <w:rsid w:val="001D725C"/>
    <w:rsid w:val="001D72E5"/>
    <w:rsid w:val="001D7454"/>
    <w:rsid w:val="001D75D7"/>
    <w:rsid w:val="001D78D7"/>
    <w:rsid w:val="001D7B3B"/>
    <w:rsid w:val="001D7DBC"/>
    <w:rsid w:val="001D7EDF"/>
    <w:rsid w:val="001E0405"/>
    <w:rsid w:val="001E0D55"/>
    <w:rsid w:val="001E10B5"/>
    <w:rsid w:val="001E1394"/>
    <w:rsid w:val="001E1437"/>
    <w:rsid w:val="001E14A0"/>
    <w:rsid w:val="001E1912"/>
    <w:rsid w:val="001E1E8D"/>
    <w:rsid w:val="001E2001"/>
    <w:rsid w:val="001E2333"/>
    <w:rsid w:val="001E233D"/>
    <w:rsid w:val="001E2868"/>
    <w:rsid w:val="001E2929"/>
    <w:rsid w:val="001E2B08"/>
    <w:rsid w:val="001E2CE0"/>
    <w:rsid w:val="001E33A1"/>
    <w:rsid w:val="001E3C67"/>
    <w:rsid w:val="001E3FC5"/>
    <w:rsid w:val="001E3FCB"/>
    <w:rsid w:val="001E40FA"/>
    <w:rsid w:val="001E435A"/>
    <w:rsid w:val="001E491C"/>
    <w:rsid w:val="001E4A67"/>
    <w:rsid w:val="001E4F51"/>
    <w:rsid w:val="001E52F6"/>
    <w:rsid w:val="001E5483"/>
    <w:rsid w:val="001E54B5"/>
    <w:rsid w:val="001E568F"/>
    <w:rsid w:val="001E5711"/>
    <w:rsid w:val="001E59B0"/>
    <w:rsid w:val="001E5C6C"/>
    <w:rsid w:val="001E5FAC"/>
    <w:rsid w:val="001E6289"/>
    <w:rsid w:val="001E6712"/>
    <w:rsid w:val="001E7B39"/>
    <w:rsid w:val="001F012A"/>
    <w:rsid w:val="001F056F"/>
    <w:rsid w:val="001F0981"/>
    <w:rsid w:val="001F0AF5"/>
    <w:rsid w:val="001F0E74"/>
    <w:rsid w:val="001F1720"/>
    <w:rsid w:val="001F17EE"/>
    <w:rsid w:val="001F186C"/>
    <w:rsid w:val="001F1CA8"/>
    <w:rsid w:val="001F20CC"/>
    <w:rsid w:val="001F2147"/>
    <w:rsid w:val="001F2E62"/>
    <w:rsid w:val="001F2ED1"/>
    <w:rsid w:val="001F2F26"/>
    <w:rsid w:val="001F30A4"/>
    <w:rsid w:val="001F31E3"/>
    <w:rsid w:val="001F3200"/>
    <w:rsid w:val="001F45EB"/>
    <w:rsid w:val="001F46D1"/>
    <w:rsid w:val="001F4AB3"/>
    <w:rsid w:val="001F4AC9"/>
    <w:rsid w:val="001F5032"/>
    <w:rsid w:val="001F560F"/>
    <w:rsid w:val="001F5705"/>
    <w:rsid w:val="001F58D0"/>
    <w:rsid w:val="001F6008"/>
    <w:rsid w:val="001F614E"/>
    <w:rsid w:val="001F657F"/>
    <w:rsid w:val="001F6996"/>
    <w:rsid w:val="001F6AC6"/>
    <w:rsid w:val="001F6E7A"/>
    <w:rsid w:val="001F70B4"/>
    <w:rsid w:val="001F7415"/>
    <w:rsid w:val="001F75B8"/>
    <w:rsid w:val="001F7E19"/>
    <w:rsid w:val="001F7ED0"/>
    <w:rsid w:val="00200225"/>
    <w:rsid w:val="00200588"/>
    <w:rsid w:val="0020095A"/>
    <w:rsid w:val="00200E2A"/>
    <w:rsid w:val="00201CE4"/>
    <w:rsid w:val="002025C0"/>
    <w:rsid w:val="0020291D"/>
    <w:rsid w:val="002031A7"/>
    <w:rsid w:val="0020348B"/>
    <w:rsid w:val="0020358C"/>
    <w:rsid w:val="00203EE4"/>
    <w:rsid w:val="00204173"/>
    <w:rsid w:val="0020429A"/>
    <w:rsid w:val="002042AF"/>
    <w:rsid w:val="00204391"/>
    <w:rsid w:val="002046A2"/>
    <w:rsid w:val="00204C5C"/>
    <w:rsid w:val="00204DE7"/>
    <w:rsid w:val="00205989"/>
    <w:rsid w:val="0020598B"/>
    <w:rsid w:val="00205CD8"/>
    <w:rsid w:val="00205E75"/>
    <w:rsid w:val="00205EB4"/>
    <w:rsid w:val="00205EC9"/>
    <w:rsid w:val="00206429"/>
    <w:rsid w:val="00206909"/>
    <w:rsid w:val="00206945"/>
    <w:rsid w:val="00207100"/>
    <w:rsid w:val="0020717C"/>
    <w:rsid w:val="00207293"/>
    <w:rsid w:val="00207394"/>
    <w:rsid w:val="002078DE"/>
    <w:rsid w:val="00207CD4"/>
    <w:rsid w:val="00207CFC"/>
    <w:rsid w:val="002100E9"/>
    <w:rsid w:val="00210107"/>
    <w:rsid w:val="0021017A"/>
    <w:rsid w:val="002109D0"/>
    <w:rsid w:val="00210A03"/>
    <w:rsid w:val="00210DA8"/>
    <w:rsid w:val="00211330"/>
    <w:rsid w:val="002116D6"/>
    <w:rsid w:val="002118D8"/>
    <w:rsid w:val="00211CE5"/>
    <w:rsid w:val="0021206B"/>
    <w:rsid w:val="00212155"/>
    <w:rsid w:val="00212B12"/>
    <w:rsid w:val="00213529"/>
    <w:rsid w:val="0021352C"/>
    <w:rsid w:val="0021366A"/>
    <w:rsid w:val="00213960"/>
    <w:rsid w:val="00213E7B"/>
    <w:rsid w:val="0021418A"/>
    <w:rsid w:val="0021436B"/>
    <w:rsid w:val="002143B4"/>
    <w:rsid w:val="002148D1"/>
    <w:rsid w:val="00214C37"/>
    <w:rsid w:val="00214CA4"/>
    <w:rsid w:val="002158CF"/>
    <w:rsid w:val="00215ABF"/>
    <w:rsid w:val="00215B41"/>
    <w:rsid w:val="00215F8D"/>
    <w:rsid w:val="002160D8"/>
    <w:rsid w:val="002163BB"/>
    <w:rsid w:val="002165DD"/>
    <w:rsid w:val="002169CE"/>
    <w:rsid w:val="00216CF2"/>
    <w:rsid w:val="00216E04"/>
    <w:rsid w:val="00216EAA"/>
    <w:rsid w:val="002170B3"/>
    <w:rsid w:val="00217BE4"/>
    <w:rsid w:val="00217CCA"/>
    <w:rsid w:val="00220096"/>
    <w:rsid w:val="0022009F"/>
    <w:rsid w:val="00220A51"/>
    <w:rsid w:val="00220BB0"/>
    <w:rsid w:val="00221104"/>
    <w:rsid w:val="0022119B"/>
    <w:rsid w:val="00221909"/>
    <w:rsid w:val="00221D8D"/>
    <w:rsid w:val="002228CF"/>
    <w:rsid w:val="00222958"/>
    <w:rsid w:val="00222E00"/>
    <w:rsid w:val="00223158"/>
    <w:rsid w:val="0022318A"/>
    <w:rsid w:val="0022324F"/>
    <w:rsid w:val="002234D5"/>
    <w:rsid w:val="002235A8"/>
    <w:rsid w:val="00223657"/>
    <w:rsid w:val="00223A3B"/>
    <w:rsid w:val="00223B3C"/>
    <w:rsid w:val="00223F0E"/>
    <w:rsid w:val="00223FFB"/>
    <w:rsid w:val="00224CA5"/>
    <w:rsid w:val="00225273"/>
    <w:rsid w:val="0022570A"/>
    <w:rsid w:val="002257E2"/>
    <w:rsid w:val="00225929"/>
    <w:rsid w:val="0022599C"/>
    <w:rsid w:val="00225C6A"/>
    <w:rsid w:val="00225CD2"/>
    <w:rsid w:val="00225DE3"/>
    <w:rsid w:val="00226472"/>
    <w:rsid w:val="00226C34"/>
    <w:rsid w:val="002271DD"/>
    <w:rsid w:val="002273F5"/>
    <w:rsid w:val="002303E1"/>
    <w:rsid w:val="00230DEC"/>
    <w:rsid w:val="00230E96"/>
    <w:rsid w:val="002319F3"/>
    <w:rsid w:val="00231E48"/>
    <w:rsid w:val="00232035"/>
    <w:rsid w:val="00232531"/>
    <w:rsid w:val="002330CB"/>
    <w:rsid w:val="00233552"/>
    <w:rsid w:val="00233AE2"/>
    <w:rsid w:val="00233B46"/>
    <w:rsid w:val="00233DF8"/>
    <w:rsid w:val="00234064"/>
    <w:rsid w:val="00234232"/>
    <w:rsid w:val="00234404"/>
    <w:rsid w:val="00234499"/>
    <w:rsid w:val="002344C4"/>
    <w:rsid w:val="002345C6"/>
    <w:rsid w:val="0023479A"/>
    <w:rsid w:val="00234853"/>
    <w:rsid w:val="00234A78"/>
    <w:rsid w:val="00235501"/>
    <w:rsid w:val="00235D33"/>
    <w:rsid w:val="00235D61"/>
    <w:rsid w:val="00235E48"/>
    <w:rsid w:val="00235F41"/>
    <w:rsid w:val="00236194"/>
    <w:rsid w:val="0023621C"/>
    <w:rsid w:val="0023641B"/>
    <w:rsid w:val="002367DE"/>
    <w:rsid w:val="00236947"/>
    <w:rsid w:val="00236A95"/>
    <w:rsid w:val="00236BC1"/>
    <w:rsid w:val="00236E7C"/>
    <w:rsid w:val="00236EDC"/>
    <w:rsid w:val="002375C1"/>
    <w:rsid w:val="00237888"/>
    <w:rsid w:val="002378DC"/>
    <w:rsid w:val="002379E7"/>
    <w:rsid w:val="00240159"/>
    <w:rsid w:val="00240188"/>
    <w:rsid w:val="002405D0"/>
    <w:rsid w:val="002408E4"/>
    <w:rsid w:val="002409F6"/>
    <w:rsid w:val="00240AE0"/>
    <w:rsid w:val="00240CEE"/>
    <w:rsid w:val="00240E92"/>
    <w:rsid w:val="00241623"/>
    <w:rsid w:val="00241AE3"/>
    <w:rsid w:val="00241D07"/>
    <w:rsid w:val="00241D34"/>
    <w:rsid w:val="00241F44"/>
    <w:rsid w:val="00242285"/>
    <w:rsid w:val="0024296C"/>
    <w:rsid w:val="00242A90"/>
    <w:rsid w:val="00242C96"/>
    <w:rsid w:val="00242E3D"/>
    <w:rsid w:val="002431EA"/>
    <w:rsid w:val="002434EA"/>
    <w:rsid w:val="002437F8"/>
    <w:rsid w:val="00243849"/>
    <w:rsid w:val="00243F68"/>
    <w:rsid w:val="00244659"/>
    <w:rsid w:val="00244C30"/>
    <w:rsid w:val="00245653"/>
    <w:rsid w:val="002456E7"/>
    <w:rsid w:val="002457D7"/>
    <w:rsid w:val="00245E5A"/>
    <w:rsid w:val="00245EC8"/>
    <w:rsid w:val="002464A9"/>
    <w:rsid w:val="00246524"/>
    <w:rsid w:val="0024675D"/>
    <w:rsid w:val="00246818"/>
    <w:rsid w:val="002469FC"/>
    <w:rsid w:val="00246B56"/>
    <w:rsid w:val="00246B79"/>
    <w:rsid w:val="002470E6"/>
    <w:rsid w:val="00247983"/>
    <w:rsid w:val="00247F7B"/>
    <w:rsid w:val="00247FD8"/>
    <w:rsid w:val="002500B0"/>
    <w:rsid w:val="00250135"/>
    <w:rsid w:val="002501B1"/>
    <w:rsid w:val="002504DD"/>
    <w:rsid w:val="00250552"/>
    <w:rsid w:val="00250D7A"/>
    <w:rsid w:val="00250F3A"/>
    <w:rsid w:val="002510FA"/>
    <w:rsid w:val="00251762"/>
    <w:rsid w:val="00251890"/>
    <w:rsid w:val="00251A2B"/>
    <w:rsid w:val="00251E71"/>
    <w:rsid w:val="00252D26"/>
    <w:rsid w:val="00252F10"/>
    <w:rsid w:val="00252F89"/>
    <w:rsid w:val="00253523"/>
    <w:rsid w:val="00253594"/>
    <w:rsid w:val="0025409D"/>
    <w:rsid w:val="002546F2"/>
    <w:rsid w:val="00254E9B"/>
    <w:rsid w:val="002557FF"/>
    <w:rsid w:val="00255B13"/>
    <w:rsid w:val="00255CB6"/>
    <w:rsid w:val="0025610B"/>
    <w:rsid w:val="00256302"/>
    <w:rsid w:val="0025668C"/>
    <w:rsid w:val="00256ECB"/>
    <w:rsid w:val="002570E4"/>
    <w:rsid w:val="00257144"/>
    <w:rsid w:val="00257425"/>
    <w:rsid w:val="00257583"/>
    <w:rsid w:val="0025766C"/>
    <w:rsid w:val="00257B0F"/>
    <w:rsid w:val="0026004F"/>
    <w:rsid w:val="00260321"/>
    <w:rsid w:val="00260A39"/>
    <w:rsid w:val="00260BA4"/>
    <w:rsid w:val="00260DE7"/>
    <w:rsid w:val="00260ED2"/>
    <w:rsid w:val="002611D6"/>
    <w:rsid w:val="00261428"/>
    <w:rsid w:val="00261D50"/>
    <w:rsid w:val="00262074"/>
    <w:rsid w:val="002622C4"/>
    <w:rsid w:val="00262508"/>
    <w:rsid w:val="002629A5"/>
    <w:rsid w:val="00262B0F"/>
    <w:rsid w:val="00262D39"/>
    <w:rsid w:val="00262ED5"/>
    <w:rsid w:val="00262FB3"/>
    <w:rsid w:val="00263004"/>
    <w:rsid w:val="00263A90"/>
    <w:rsid w:val="00263CFA"/>
    <w:rsid w:val="002641DE"/>
    <w:rsid w:val="0026420D"/>
    <w:rsid w:val="0026424F"/>
    <w:rsid w:val="002646A7"/>
    <w:rsid w:val="00264B05"/>
    <w:rsid w:val="00264C3C"/>
    <w:rsid w:val="00264D46"/>
    <w:rsid w:val="00264DFE"/>
    <w:rsid w:val="00264EFB"/>
    <w:rsid w:val="00265385"/>
    <w:rsid w:val="002657B9"/>
    <w:rsid w:val="00265CFD"/>
    <w:rsid w:val="00266359"/>
    <w:rsid w:val="0026660B"/>
    <w:rsid w:val="0026670E"/>
    <w:rsid w:val="00270133"/>
    <w:rsid w:val="00270EFB"/>
    <w:rsid w:val="00271566"/>
    <w:rsid w:val="002717FA"/>
    <w:rsid w:val="002718A5"/>
    <w:rsid w:val="00271B92"/>
    <w:rsid w:val="00271DF8"/>
    <w:rsid w:val="00272155"/>
    <w:rsid w:val="0027218C"/>
    <w:rsid w:val="00272B09"/>
    <w:rsid w:val="00272DFF"/>
    <w:rsid w:val="0027363D"/>
    <w:rsid w:val="0027421E"/>
    <w:rsid w:val="002743B2"/>
    <w:rsid w:val="00274BE8"/>
    <w:rsid w:val="00274DAE"/>
    <w:rsid w:val="002752BB"/>
    <w:rsid w:val="00275CBA"/>
    <w:rsid w:val="00275F47"/>
    <w:rsid w:val="00276539"/>
    <w:rsid w:val="00276B35"/>
    <w:rsid w:val="002771DB"/>
    <w:rsid w:val="00277755"/>
    <w:rsid w:val="00277833"/>
    <w:rsid w:val="00277BEF"/>
    <w:rsid w:val="00277CDD"/>
    <w:rsid w:val="00280608"/>
    <w:rsid w:val="00280C40"/>
    <w:rsid w:val="00280DD8"/>
    <w:rsid w:val="00281560"/>
    <w:rsid w:val="002815B1"/>
    <w:rsid w:val="00281E2A"/>
    <w:rsid w:val="002822F6"/>
    <w:rsid w:val="00282364"/>
    <w:rsid w:val="002823BC"/>
    <w:rsid w:val="002835B5"/>
    <w:rsid w:val="00283E9D"/>
    <w:rsid w:val="00284226"/>
    <w:rsid w:val="002843CE"/>
    <w:rsid w:val="00284932"/>
    <w:rsid w:val="0028507A"/>
    <w:rsid w:val="002850ED"/>
    <w:rsid w:val="002852DB"/>
    <w:rsid w:val="00285468"/>
    <w:rsid w:val="0028550D"/>
    <w:rsid w:val="00285887"/>
    <w:rsid w:val="002860DC"/>
    <w:rsid w:val="002861AB"/>
    <w:rsid w:val="002867F2"/>
    <w:rsid w:val="00286F9D"/>
    <w:rsid w:val="00287599"/>
    <w:rsid w:val="002878A7"/>
    <w:rsid w:val="00287BD1"/>
    <w:rsid w:val="00287E2B"/>
    <w:rsid w:val="00287F5B"/>
    <w:rsid w:val="00290123"/>
    <w:rsid w:val="00290E10"/>
    <w:rsid w:val="00290E3C"/>
    <w:rsid w:val="00290E82"/>
    <w:rsid w:val="0029123F"/>
    <w:rsid w:val="002919F9"/>
    <w:rsid w:val="00291BEE"/>
    <w:rsid w:val="00291DD2"/>
    <w:rsid w:val="00291FBE"/>
    <w:rsid w:val="00292195"/>
    <w:rsid w:val="00292792"/>
    <w:rsid w:val="0029294E"/>
    <w:rsid w:val="00293166"/>
    <w:rsid w:val="00293304"/>
    <w:rsid w:val="002934CE"/>
    <w:rsid w:val="00293BE1"/>
    <w:rsid w:val="0029429D"/>
    <w:rsid w:val="002942D1"/>
    <w:rsid w:val="0029431C"/>
    <w:rsid w:val="0029436A"/>
    <w:rsid w:val="002944C2"/>
    <w:rsid w:val="00294664"/>
    <w:rsid w:val="00294D74"/>
    <w:rsid w:val="002953A8"/>
    <w:rsid w:val="00295476"/>
    <w:rsid w:val="00295BDF"/>
    <w:rsid w:val="00295EF2"/>
    <w:rsid w:val="002969D1"/>
    <w:rsid w:val="002970CE"/>
    <w:rsid w:val="00297207"/>
    <w:rsid w:val="002972FF"/>
    <w:rsid w:val="00297AE6"/>
    <w:rsid w:val="00297C20"/>
    <w:rsid w:val="00297D3B"/>
    <w:rsid w:val="002A0186"/>
    <w:rsid w:val="002A05BB"/>
    <w:rsid w:val="002A0AB5"/>
    <w:rsid w:val="002A1014"/>
    <w:rsid w:val="002A16EF"/>
    <w:rsid w:val="002A1A46"/>
    <w:rsid w:val="002A1B40"/>
    <w:rsid w:val="002A1C0D"/>
    <w:rsid w:val="002A1CFF"/>
    <w:rsid w:val="002A1E1D"/>
    <w:rsid w:val="002A219D"/>
    <w:rsid w:val="002A290B"/>
    <w:rsid w:val="002A2A22"/>
    <w:rsid w:val="002A2C8E"/>
    <w:rsid w:val="002A31A1"/>
    <w:rsid w:val="002A380D"/>
    <w:rsid w:val="002A3C9A"/>
    <w:rsid w:val="002A4176"/>
    <w:rsid w:val="002A4C89"/>
    <w:rsid w:val="002A53D0"/>
    <w:rsid w:val="002A553F"/>
    <w:rsid w:val="002A5953"/>
    <w:rsid w:val="002A5D8F"/>
    <w:rsid w:val="002A5F9A"/>
    <w:rsid w:val="002A6101"/>
    <w:rsid w:val="002A65DE"/>
    <w:rsid w:val="002A688A"/>
    <w:rsid w:val="002A6F9F"/>
    <w:rsid w:val="002A7115"/>
    <w:rsid w:val="002A711D"/>
    <w:rsid w:val="002A7D60"/>
    <w:rsid w:val="002A7EFB"/>
    <w:rsid w:val="002B0547"/>
    <w:rsid w:val="002B07F7"/>
    <w:rsid w:val="002B11EC"/>
    <w:rsid w:val="002B1B26"/>
    <w:rsid w:val="002B1BFC"/>
    <w:rsid w:val="002B24F9"/>
    <w:rsid w:val="002B25DC"/>
    <w:rsid w:val="002B2D9E"/>
    <w:rsid w:val="002B3458"/>
    <w:rsid w:val="002B35C8"/>
    <w:rsid w:val="002B3AD7"/>
    <w:rsid w:val="002B554B"/>
    <w:rsid w:val="002B559D"/>
    <w:rsid w:val="002B5CDA"/>
    <w:rsid w:val="002B5E23"/>
    <w:rsid w:val="002B5EDA"/>
    <w:rsid w:val="002B6090"/>
    <w:rsid w:val="002B60F5"/>
    <w:rsid w:val="002B6159"/>
    <w:rsid w:val="002B6611"/>
    <w:rsid w:val="002B663B"/>
    <w:rsid w:val="002B67EF"/>
    <w:rsid w:val="002B6999"/>
    <w:rsid w:val="002B6A06"/>
    <w:rsid w:val="002B6B02"/>
    <w:rsid w:val="002B6D4C"/>
    <w:rsid w:val="002B71A5"/>
    <w:rsid w:val="002B7262"/>
    <w:rsid w:val="002B741F"/>
    <w:rsid w:val="002B79D9"/>
    <w:rsid w:val="002B7D3B"/>
    <w:rsid w:val="002B7F6D"/>
    <w:rsid w:val="002C05DC"/>
    <w:rsid w:val="002C05EC"/>
    <w:rsid w:val="002C0897"/>
    <w:rsid w:val="002C12E4"/>
    <w:rsid w:val="002C13AD"/>
    <w:rsid w:val="002C1661"/>
    <w:rsid w:val="002C1A33"/>
    <w:rsid w:val="002C21AE"/>
    <w:rsid w:val="002C2964"/>
    <w:rsid w:val="002C29E5"/>
    <w:rsid w:val="002C2E14"/>
    <w:rsid w:val="002C370D"/>
    <w:rsid w:val="002C3AB2"/>
    <w:rsid w:val="002C4293"/>
    <w:rsid w:val="002C4C1C"/>
    <w:rsid w:val="002C4D1F"/>
    <w:rsid w:val="002C4D68"/>
    <w:rsid w:val="002C517F"/>
    <w:rsid w:val="002C5801"/>
    <w:rsid w:val="002C60EC"/>
    <w:rsid w:val="002C69CD"/>
    <w:rsid w:val="002C6C3A"/>
    <w:rsid w:val="002C6D12"/>
    <w:rsid w:val="002C6EFE"/>
    <w:rsid w:val="002C6FAF"/>
    <w:rsid w:val="002C7176"/>
    <w:rsid w:val="002C7194"/>
    <w:rsid w:val="002C7731"/>
    <w:rsid w:val="002C7C14"/>
    <w:rsid w:val="002C7CEA"/>
    <w:rsid w:val="002C7E4E"/>
    <w:rsid w:val="002D00C2"/>
    <w:rsid w:val="002D016D"/>
    <w:rsid w:val="002D052D"/>
    <w:rsid w:val="002D06E6"/>
    <w:rsid w:val="002D076C"/>
    <w:rsid w:val="002D07D7"/>
    <w:rsid w:val="002D0987"/>
    <w:rsid w:val="002D0D77"/>
    <w:rsid w:val="002D0D9D"/>
    <w:rsid w:val="002D0E34"/>
    <w:rsid w:val="002D1540"/>
    <w:rsid w:val="002D1545"/>
    <w:rsid w:val="002D18A2"/>
    <w:rsid w:val="002D1CF8"/>
    <w:rsid w:val="002D1DC5"/>
    <w:rsid w:val="002D1EAD"/>
    <w:rsid w:val="002D1F79"/>
    <w:rsid w:val="002D1FE2"/>
    <w:rsid w:val="002D2228"/>
    <w:rsid w:val="002D260F"/>
    <w:rsid w:val="002D2682"/>
    <w:rsid w:val="002D2CDD"/>
    <w:rsid w:val="002D2F71"/>
    <w:rsid w:val="002D31F3"/>
    <w:rsid w:val="002D35B1"/>
    <w:rsid w:val="002D3B28"/>
    <w:rsid w:val="002D3B30"/>
    <w:rsid w:val="002D3F40"/>
    <w:rsid w:val="002D4443"/>
    <w:rsid w:val="002D450C"/>
    <w:rsid w:val="002D45FC"/>
    <w:rsid w:val="002D4E41"/>
    <w:rsid w:val="002D4E79"/>
    <w:rsid w:val="002D5110"/>
    <w:rsid w:val="002D5252"/>
    <w:rsid w:val="002D52C9"/>
    <w:rsid w:val="002D59D0"/>
    <w:rsid w:val="002D5D38"/>
    <w:rsid w:val="002D5E85"/>
    <w:rsid w:val="002D5F34"/>
    <w:rsid w:val="002D620C"/>
    <w:rsid w:val="002D64D5"/>
    <w:rsid w:val="002D6720"/>
    <w:rsid w:val="002D69BB"/>
    <w:rsid w:val="002D6A6C"/>
    <w:rsid w:val="002D6A9D"/>
    <w:rsid w:val="002D6CA4"/>
    <w:rsid w:val="002D6CD0"/>
    <w:rsid w:val="002D7209"/>
    <w:rsid w:val="002D7367"/>
    <w:rsid w:val="002D74E6"/>
    <w:rsid w:val="002D7566"/>
    <w:rsid w:val="002D7892"/>
    <w:rsid w:val="002D7C49"/>
    <w:rsid w:val="002D7C7A"/>
    <w:rsid w:val="002D7D44"/>
    <w:rsid w:val="002E02FB"/>
    <w:rsid w:val="002E0B31"/>
    <w:rsid w:val="002E0C9C"/>
    <w:rsid w:val="002E0D99"/>
    <w:rsid w:val="002E1EEF"/>
    <w:rsid w:val="002E1F94"/>
    <w:rsid w:val="002E2B78"/>
    <w:rsid w:val="002E2C65"/>
    <w:rsid w:val="002E3517"/>
    <w:rsid w:val="002E3669"/>
    <w:rsid w:val="002E4601"/>
    <w:rsid w:val="002E4764"/>
    <w:rsid w:val="002E4877"/>
    <w:rsid w:val="002E4FA3"/>
    <w:rsid w:val="002E51BF"/>
    <w:rsid w:val="002E567B"/>
    <w:rsid w:val="002E5871"/>
    <w:rsid w:val="002E58B4"/>
    <w:rsid w:val="002E617A"/>
    <w:rsid w:val="002E6239"/>
    <w:rsid w:val="002E626F"/>
    <w:rsid w:val="002E62AD"/>
    <w:rsid w:val="002E6369"/>
    <w:rsid w:val="002E6C3F"/>
    <w:rsid w:val="002E6C4C"/>
    <w:rsid w:val="002E6C77"/>
    <w:rsid w:val="002E7179"/>
    <w:rsid w:val="002E7496"/>
    <w:rsid w:val="002E7704"/>
    <w:rsid w:val="002E7BB9"/>
    <w:rsid w:val="002F00AA"/>
    <w:rsid w:val="002F0353"/>
    <w:rsid w:val="002F03CE"/>
    <w:rsid w:val="002F05BF"/>
    <w:rsid w:val="002F05F2"/>
    <w:rsid w:val="002F0602"/>
    <w:rsid w:val="002F0668"/>
    <w:rsid w:val="002F09CD"/>
    <w:rsid w:val="002F0B2E"/>
    <w:rsid w:val="002F0CD8"/>
    <w:rsid w:val="002F0EB6"/>
    <w:rsid w:val="002F15B7"/>
    <w:rsid w:val="002F1F14"/>
    <w:rsid w:val="002F2060"/>
    <w:rsid w:val="002F2528"/>
    <w:rsid w:val="002F256F"/>
    <w:rsid w:val="002F25FE"/>
    <w:rsid w:val="002F27E1"/>
    <w:rsid w:val="002F2CBB"/>
    <w:rsid w:val="002F2EDD"/>
    <w:rsid w:val="002F2F5F"/>
    <w:rsid w:val="002F3562"/>
    <w:rsid w:val="002F3609"/>
    <w:rsid w:val="002F3936"/>
    <w:rsid w:val="002F3B8A"/>
    <w:rsid w:val="002F3BCA"/>
    <w:rsid w:val="002F4000"/>
    <w:rsid w:val="002F4592"/>
    <w:rsid w:val="002F4CFD"/>
    <w:rsid w:val="002F4E4B"/>
    <w:rsid w:val="002F4F80"/>
    <w:rsid w:val="002F537D"/>
    <w:rsid w:val="002F6345"/>
    <w:rsid w:val="002F6438"/>
    <w:rsid w:val="002F6581"/>
    <w:rsid w:val="002F6A08"/>
    <w:rsid w:val="002F7283"/>
    <w:rsid w:val="002F7439"/>
    <w:rsid w:val="002F74DF"/>
    <w:rsid w:val="003005FE"/>
    <w:rsid w:val="00300720"/>
    <w:rsid w:val="003009A1"/>
    <w:rsid w:val="003009F4"/>
    <w:rsid w:val="00300A1B"/>
    <w:rsid w:val="00300B5C"/>
    <w:rsid w:val="00300CA1"/>
    <w:rsid w:val="00300CBD"/>
    <w:rsid w:val="003010B8"/>
    <w:rsid w:val="00301155"/>
    <w:rsid w:val="00301BBB"/>
    <w:rsid w:val="00301C9B"/>
    <w:rsid w:val="00301EAD"/>
    <w:rsid w:val="00302630"/>
    <w:rsid w:val="00302BC5"/>
    <w:rsid w:val="00302C1E"/>
    <w:rsid w:val="00302C60"/>
    <w:rsid w:val="00302E00"/>
    <w:rsid w:val="00303206"/>
    <w:rsid w:val="00303254"/>
    <w:rsid w:val="00303304"/>
    <w:rsid w:val="003035A5"/>
    <w:rsid w:val="003036DE"/>
    <w:rsid w:val="00303AA1"/>
    <w:rsid w:val="00303BB1"/>
    <w:rsid w:val="00303E4A"/>
    <w:rsid w:val="00304123"/>
    <w:rsid w:val="0030489E"/>
    <w:rsid w:val="00304937"/>
    <w:rsid w:val="00304B5A"/>
    <w:rsid w:val="00304BE8"/>
    <w:rsid w:val="00307013"/>
    <w:rsid w:val="00307092"/>
    <w:rsid w:val="003078F0"/>
    <w:rsid w:val="00307A80"/>
    <w:rsid w:val="00307A94"/>
    <w:rsid w:val="00307F1B"/>
    <w:rsid w:val="0031001A"/>
    <w:rsid w:val="0031048D"/>
    <w:rsid w:val="00310788"/>
    <w:rsid w:val="0031106E"/>
    <w:rsid w:val="0031120A"/>
    <w:rsid w:val="0031121E"/>
    <w:rsid w:val="003114E3"/>
    <w:rsid w:val="00311D45"/>
    <w:rsid w:val="00312481"/>
    <w:rsid w:val="003125BB"/>
    <w:rsid w:val="00312AA8"/>
    <w:rsid w:val="00312AAB"/>
    <w:rsid w:val="00312C00"/>
    <w:rsid w:val="003134EB"/>
    <w:rsid w:val="00313AE5"/>
    <w:rsid w:val="00313AE7"/>
    <w:rsid w:val="00313BA8"/>
    <w:rsid w:val="00314478"/>
    <w:rsid w:val="00314848"/>
    <w:rsid w:val="00314CB4"/>
    <w:rsid w:val="003151CC"/>
    <w:rsid w:val="0031558D"/>
    <w:rsid w:val="003157AD"/>
    <w:rsid w:val="00315C58"/>
    <w:rsid w:val="00315FBE"/>
    <w:rsid w:val="003160BC"/>
    <w:rsid w:val="00316548"/>
    <w:rsid w:val="00316692"/>
    <w:rsid w:val="00316C07"/>
    <w:rsid w:val="00316C3F"/>
    <w:rsid w:val="00316D88"/>
    <w:rsid w:val="003171B9"/>
    <w:rsid w:val="00317C71"/>
    <w:rsid w:val="00317EB0"/>
    <w:rsid w:val="003206C5"/>
    <w:rsid w:val="00320946"/>
    <w:rsid w:val="00320B7C"/>
    <w:rsid w:val="00320D45"/>
    <w:rsid w:val="0032117C"/>
    <w:rsid w:val="0032138E"/>
    <w:rsid w:val="003214D9"/>
    <w:rsid w:val="00321D46"/>
    <w:rsid w:val="00321DC2"/>
    <w:rsid w:val="00322208"/>
    <w:rsid w:val="00322314"/>
    <w:rsid w:val="00322424"/>
    <w:rsid w:val="0032344C"/>
    <w:rsid w:val="003235D2"/>
    <w:rsid w:val="00323D05"/>
    <w:rsid w:val="00323DA2"/>
    <w:rsid w:val="00323DAF"/>
    <w:rsid w:val="00323FB2"/>
    <w:rsid w:val="003242D6"/>
    <w:rsid w:val="00324491"/>
    <w:rsid w:val="00324BA8"/>
    <w:rsid w:val="00324C41"/>
    <w:rsid w:val="003251A0"/>
    <w:rsid w:val="00325803"/>
    <w:rsid w:val="00325BAA"/>
    <w:rsid w:val="0032624A"/>
    <w:rsid w:val="00326558"/>
    <w:rsid w:val="00326963"/>
    <w:rsid w:val="00326B3A"/>
    <w:rsid w:val="00326D0D"/>
    <w:rsid w:val="00326DA0"/>
    <w:rsid w:val="00326E18"/>
    <w:rsid w:val="00326EE7"/>
    <w:rsid w:val="0032702B"/>
    <w:rsid w:val="00327054"/>
    <w:rsid w:val="00327A1C"/>
    <w:rsid w:val="00330046"/>
    <w:rsid w:val="00330313"/>
    <w:rsid w:val="0033081E"/>
    <w:rsid w:val="00331013"/>
    <w:rsid w:val="0033104A"/>
    <w:rsid w:val="003310F2"/>
    <w:rsid w:val="00331631"/>
    <w:rsid w:val="00331940"/>
    <w:rsid w:val="00331B16"/>
    <w:rsid w:val="00331EBF"/>
    <w:rsid w:val="00332018"/>
    <w:rsid w:val="0033229E"/>
    <w:rsid w:val="0033277E"/>
    <w:rsid w:val="003329F1"/>
    <w:rsid w:val="00332E9D"/>
    <w:rsid w:val="00333407"/>
    <w:rsid w:val="003335E8"/>
    <w:rsid w:val="003335FF"/>
    <w:rsid w:val="00333628"/>
    <w:rsid w:val="00333A1D"/>
    <w:rsid w:val="00333F97"/>
    <w:rsid w:val="0033407D"/>
    <w:rsid w:val="00334081"/>
    <w:rsid w:val="00334272"/>
    <w:rsid w:val="003347D5"/>
    <w:rsid w:val="0033495D"/>
    <w:rsid w:val="00334B80"/>
    <w:rsid w:val="003354A1"/>
    <w:rsid w:val="003357DE"/>
    <w:rsid w:val="00335CBD"/>
    <w:rsid w:val="0033659F"/>
    <w:rsid w:val="0033678C"/>
    <w:rsid w:val="003367AD"/>
    <w:rsid w:val="00337139"/>
    <w:rsid w:val="00337730"/>
    <w:rsid w:val="00337853"/>
    <w:rsid w:val="00337D02"/>
    <w:rsid w:val="00337D8E"/>
    <w:rsid w:val="00337F6D"/>
    <w:rsid w:val="0034092F"/>
    <w:rsid w:val="00340A75"/>
    <w:rsid w:val="00340F70"/>
    <w:rsid w:val="0034168D"/>
    <w:rsid w:val="00342632"/>
    <w:rsid w:val="00342DF7"/>
    <w:rsid w:val="00342F7C"/>
    <w:rsid w:val="00343468"/>
    <w:rsid w:val="00343576"/>
    <w:rsid w:val="00343890"/>
    <w:rsid w:val="00343C3B"/>
    <w:rsid w:val="0034405A"/>
    <w:rsid w:val="00344612"/>
    <w:rsid w:val="00344665"/>
    <w:rsid w:val="00344693"/>
    <w:rsid w:val="003446D4"/>
    <w:rsid w:val="00344E13"/>
    <w:rsid w:val="003452D9"/>
    <w:rsid w:val="00345369"/>
    <w:rsid w:val="00345CA4"/>
    <w:rsid w:val="00346126"/>
    <w:rsid w:val="0034615B"/>
    <w:rsid w:val="0034620B"/>
    <w:rsid w:val="003467D0"/>
    <w:rsid w:val="00346F98"/>
    <w:rsid w:val="003471D3"/>
    <w:rsid w:val="003471F0"/>
    <w:rsid w:val="003474BA"/>
    <w:rsid w:val="003476AF"/>
    <w:rsid w:val="0035010B"/>
    <w:rsid w:val="003505A3"/>
    <w:rsid w:val="0035061C"/>
    <w:rsid w:val="00350E1F"/>
    <w:rsid w:val="00350E5A"/>
    <w:rsid w:val="00351F00"/>
    <w:rsid w:val="00352002"/>
    <w:rsid w:val="003521C2"/>
    <w:rsid w:val="00352674"/>
    <w:rsid w:val="003528D8"/>
    <w:rsid w:val="00352E30"/>
    <w:rsid w:val="003530F3"/>
    <w:rsid w:val="00353192"/>
    <w:rsid w:val="003535DE"/>
    <w:rsid w:val="00353B22"/>
    <w:rsid w:val="00353BD9"/>
    <w:rsid w:val="00353ED3"/>
    <w:rsid w:val="00353FF4"/>
    <w:rsid w:val="0035416A"/>
    <w:rsid w:val="0035478D"/>
    <w:rsid w:val="00354A77"/>
    <w:rsid w:val="00354B54"/>
    <w:rsid w:val="00354BEE"/>
    <w:rsid w:val="00354E5F"/>
    <w:rsid w:val="00355323"/>
    <w:rsid w:val="00355B07"/>
    <w:rsid w:val="00355B62"/>
    <w:rsid w:val="00355CFB"/>
    <w:rsid w:val="0035624E"/>
    <w:rsid w:val="00356361"/>
    <w:rsid w:val="0035684F"/>
    <w:rsid w:val="003568EE"/>
    <w:rsid w:val="00356938"/>
    <w:rsid w:val="00356A83"/>
    <w:rsid w:val="00356D00"/>
    <w:rsid w:val="00356DED"/>
    <w:rsid w:val="00357455"/>
    <w:rsid w:val="00357BA4"/>
    <w:rsid w:val="00357EA6"/>
    <w:rsid w:val="0036015F"/>
    <w:rsid w:val="00360343"/>
    <w:rsid w:val="00360389"/>
    <w:rsid w:val="003603F4"/>
    <w:rsid w:val="0036066D"/>
    <w:rsid w:val="003607C9"/>
    <w:rsid w:val="00361F29"/>
    <w:rsid w:val="003623D7"/>
    <w:rsid w:val="00362408"/>
    <w:rsid w:val="0036291F"/>
    <w:rsid w:val="00362C90"/>
    <w:rsid w:val="0036333B"/>
    <w:rsid w:val="0036342D"/>
    <w:rsid w:val="00363556"/>
    <w:rsid w:val="00363939"/>
    <w:rsid w:val="003641CF"/>
    <w:rsid w:val="003645CC"/>
    <w:rsid w:val="003648FA"/>
    <w:rsid w:val="003649EE"/>
    <w:rsid w:val="00364B10"/>
    <w:rsid w:val="00364D80"/>
    <w:rsid w:val="00364F39"/>
    <w:rsid w:val="003650B8"/>
    <w:rsid w:val="003655E1"/>
    <w:rsid w:val="003656A2"/>
    <w:rsid w:val="003665B7"/>
    <w:rsid w:val="003666EB"/>
    <w:rsid w:val="00366775"/>
    <w:rsid w:val="00366810"/>
    <w:rsid w:val="00366D7A"/>
    <w:rsid w:val="00366DE9"/>
    <w:rsid w:val="00366F31"/>
    <w:rsid w:val="003670E6"/>
    <w:rsid w:val="00367C4D"/>
    <w:rsid w:val="0037003B"/>
    <w:rsid w:val="00370741"/>
    <w:rsid w:val="00370D68"/>
    <w:rsid w:val="00370FB7"/>
    <w:rsid w:val="00371410"/>
    <w:rsid w:val="003715B9"/>
    <w:rsid w:val="00372297"/>
    <w:rsid w:val="003723E4"/>
    <w:rsid w:val="00372725"/>
    <w:rsid w:val="0037281C"/>
    <w:rsid w:val="0037289F"/>
    <w:rsid w:val="00372CB7"/>
    <w:rsid w:val="003732EE"/>
    <w:rsid w:val="003737E3"/>
    <w:rsid w:val="00374293"/>
    <w:rsid w:val="00374B55"/>
    <w:rsid w:val="00374D45"/>
    <w:rsid w:val="00375087"/>
    <w:rsid w:val="00375100"/>
    <w:rsid w:val="00375565"/>
    <w:rsid w:val="003757B7"/>
    <w:rsid w:val="003757CE"/>
    <w:rsid w:val="00375A9D"/>
    <w:rsid w:val="00376170"/>
    <w:rsid w:val="00376481"/>
    <w:rsid w:val="003769B8"/>
    <w:rsid w:val="00376A9D"/>
    <w:rsid w:val="00376D4C"/>
    <w:rsid w:val="00377190"/>
    <w:rsid w:val="0037719C"/>
    <w:rsid w:val="003772C3"/>
    <w:rsid w:val="00377303"/>
    <w:rsid w:val="0037737C"/>
    <w:rsid w:val="003773A8"/>
    <w:rsid w:val="0037760C"/>
    <w:rsid w:val="00377614"/>
    <w:rsid w:val="003802AE"/>
    <w:rsid w:val="003802B3"/>
    <w:rsid w:val="003802B9"/>
    <w:rsid w:val="00380CA9"/>
    <w:rsid w:val="003812BA"/>
    <w:rsid w:val="00381360"/>
    <w:rsid w:val="0038223E"/>
    <w:rsid w:val="0038261C"/>
    <w:rsid w:val="00382899"/>
    <w:rsid w:val="00382EB5"/>
    <w:rsid w:val="00382F7E"/>
    <w:rsid w:val="00383267"/>
    <w:rsid w:val="003838CF"/>
    <w:rsid w:val="00383A25"/>
    <w:rsid w:val="00383DA7"/>
    <w:rsid w:val="0038423F"/>
    <w:rsid w:val="00384659"/>
    <w:rsid w:val="00384839"/>
    <w:rsid w:val="0038486B"/>
    <w:rsid w:val="00384911"/>
    <w:rsid w:val="003849CA"/>
    <w:rsid w:val="003851BD"/>
    <w:rsid w:val="00385594"/>
    <w:rsid w:val="00385B04"/>
    <w:rsid w:val="00385D03"/>
    <w:rsid w:val="0038616B"/>
    <w:rsid w:val="0038622F"/>
    <w:rsid w:val="0038715A"/>
    <w:rsid w:val="00387330"/>
    <w:rsid w:val="00387410"/>
    <w:rsid w:val="00387480"/>
    <w:rsid w:val="00387590"/>
    <w:rsid w:val="00387AB4"/>
    <w:rsid w:val="00387C41"/>
    <w:rsid w:val="00387E5F"/>
    <w:rsid w:val="003907A0"/>
    <w:rsid w:val="0039094D"/>
    <w:rsid w:val="00390D4C"/>
    <w:rsid w:val="00390D7E"/>
    <w:rsid w:val="0039128D"/>
    <w:rsid w:val="0039155F"/>
    <w:rsid w:val="00391871"/>
    <w:rsid w:val="00391875"/>
    <w:rsid w:val="00391D0E"/>
    <w:rsid w:val="0039202A"/>
    <w:rsid w:val="003923A6"/>
    <w:rsid w:val="0039240D"/>
    <w:rsid w:val="003928A3"/>
    <w:rsid w:val="00392D42"/>
    <w:rsid w:val="00392D9F"/>
    <w:rsid w:val="0039366E"/>
    <w:rsid w:val="003936B1"/>
    <w:rsid w:val="003938AD"/>
    <w:rsid w:val="00393AD4"/>
    <w:rsid w:val="003941E5"/>
    <w:rsid w:val="00394514"/>
    <w:rsid w:val="0039501D"/>
    <w:rsid w:val="00395448"/>
    <w:rsid w:val="00395620"/>
    <w:rsid w:val="003958AA"/>
    <w:rsid w:val="003958E4"/>
    <w:rsid w:val="00395AB1"/>
    <w:rsid w:val="00395B7E"/>
    <w:rsid w:val="00396482"/>
    <w:rsid w:val="00396963"/>
    <w:rsid w:val="00396A45"/>
    <w:rsid w:val="00396BE8"/>
    <w:rsid w:val="003973B6"/>
    <w:rsid w:val="0039770B"/>
    <w:rsid w:val="003977CE"/>
    <w:rsid w:val="003A06BE"/>
    <w:rsid w:val="003A0977"/>
    <w:rsid w:val="003A0BE5"/>
    <w:rsid w:val="003A110C"/>
    <w:rsid w:val="003A1125"/>
    <w:rsid w:val="003A19A3"/>
    <w:rsid w:val="003A24B7"/>
    <w:rsid w:val="003A26D2"/>
    <w:rsid w:val="003A3161"/>
    <w:rsid w:val="003A36A2"/>
    <w:rsid w:val="003A377F"/>
    <w:rsid w:val="003A3C37"/>
    <w:rsid w:val="003A3EC1"/>
    <w:rsid w:val="003A4057"/>
    <w:rsid w:val="003A46F6"/>
    <w:rsid w:val="003A47AD"/>
    <w:rsid w:val="003A48F1"/>
    <w:rsid w:val="003A4979"/>
    <w:rsid w:val="003A4DB2"/>
    <w:rsid w:val="003A4F07"/>
    <w:rsid w:val="003A5578"/>
    <w:rsid w:val="003A5656"/>
    <w:rsid w:val="003A5E41"/>
    <w:rsid w:val="003A5E49"/>
    <w:rsid w:val="003A5E87"/>
    <w:rsid w:val="003A620A"/>
    <w:rsid w:val="003A68A6"/>
    <w:rsid w:val="003A6A3E"/>
    <w:rsid w:val="003A6A71"/>
    <w:rsid w:val="003A730A"/>
    <w:rsid w:val="003A78DF"/>
    <w:rsid w:val="003A7949"/>
    <w:rsid w:val="003A7DCA"/>
    <w:rsid w:val="003B0349"/>
    <w:rsid w:val="003B0917"/>
    <w:rsid w:val="003B09FE"/>
    <w:rsid w:val="003B1366"/>
    <w:rsid w:val="003B2441"/>
    <w:rsid w:val="003B27DD"/>
    <w:rsid w:val="003B2873"/>
    <w:rsid w:val="003B2D25"/>
    <w:rsid w:val="003B2DDC"/>
    <w:rsid w:val="003B321B"/>
    <w:rsid w:val="003B33D7"/>
    <w:rsid w:val="003B35C9"/>
    <w:rsid w:val="003B368F"/>
    <w:rsid w:val="003B3D2F"/>
    <w:rsid w:val="003B459E"/>
    <w:rsid w:val="003B46AE"/>
    <w:rsid w:val="003B479D"/>
    <w:rsid w:val="003B4CFF"/>
    <w:rsid w:val="003B4F2A"/>
    <w:rsid w:val="003B5075"/>
    <w:rsid w:val="003B53C0"/>
    <w:rsid w:val="003B5B5D"/>
    <w:rsid w:val="003B5E55"/>
    <w:rsid w:val="003B60A2"/>
    <w:rsid w:val="003B6449"/>
    <w:rsid w:val="003B689B"/>
    <w:rsid w:val="003B6BAB"/>
    <w:rsid w:val="003B6BF7"/>
    <w:rsid w:val="003B6E42"/>
    <w:rsid w:val="003B70A2"/>
    <w:rsid w:val="003B7199"/>
    <w:rsid w:val="003B7CC9"/>
    <w:rsid w:val="003B7D95"/>
    <w:rsid w:val="003C01FF"/>
    <w:rsid w:val="003C02A0"/>
    <w:rsid w:val="003C042C"/>
    <w:rsid w:val="003C04E5"/>
    <w:rsid w:val="003C09E0"/>
    <w:rsid w:val="003C0B31"/>
    <w:rsid w:val="003C1348"/>
    <w:rsid w:val="003C14D9"/>
    <w:rsid w:val="003C1D00"/>
    <w:rsid w:val="003C2116"/>
    <w:rsid w:val="003C2331"/>
    <w:rsid w:val="003C2354"/>
    <w:rsid w:val="003C2490"/>
    <w:rsid w:val="003C275A"/>
    <w:rsid w:val="003C2D1D"/>
    <w:rsid w:val="003C2EC3"/>
    <w:rsid w:val="003C31EB"/>
    <w:rsid w:val="003C3294"/>
    <w:rsid w:val="003C36AC"/>
    <w:rsid w:val="003C3719"/>
    <w:rsid w:val="003C3DDD"/>
    <w:rsid w:val="003C47E3"/>
    <w:rsid w:val="003C4E37"/>
    <w:rsid w:val="003C51A4"/>
    <w:rsid w:val="003C536D"/>
    <w:rsid w:val="003C53D2"/>
    <w:rsid w:val="003C558F"/>
    <w:rsid w:val="003C55CA"/>
    <w:rsid w:val="003C57C1"/>
    <w:rsid w:val="003C5A3E"/>
    <w:rsid w:val="003C5BF1"/>
    <w:rsid w:val="003C5DCA"/>
    <w:rsid w:val="003C5EC6"/>
    <w:rsid w:val="003C5F2B"/>
    <w:rsid w:val="003C639B"/>
    <w:rsid w:val="003C63ED"/>
    <w:rsid w:val="003C685C"/>
    <w:rsid w:val="003C69EB"/>
    <w:rsid w:val="003C6A6B"/>
    <w:rsid w:val="003C72B7"/>
    <w:rsid w:val="003C7F5E"/>
    <w:rsid w:val="003D0922"/>
    <w:rsid w:val="003D0FEA"/>
    <w:rsid w:val="003D18C0"/>
    <w:rsid w:val="003D199F"/>
    <w:rsid w:val="003D1C0B"/>
    <w:rsid w:val="003D21FD"/>
    <w:rsid w:val="003D2940"/>
    <w:rsid w:val="003D2A87"/>
    <w:rsid w:val="003D2F3A"/>
    <w:rsid w:val="003D3072"/>
    <w:rsid w:val="003D35A7"/>
    <w:rsid w:val="003D3EC5"/>
    <w:rsid w:val="003D41A7"/>
    <w:rsid w:val="003D48B8"/>
    <w:rsid w:val="003D49B0"/>
    <w:rsid w:val="003D5439"/>
    <w:rsid w:val="003D54FE"/>
    <w:rsid w:val="003D55CB"/>
    <w:rsid w:val="003D579B"/>
    <w:rsid w:val="003D5C29"/>
    <w:rsid w:val="003D65AB"/>
    <w:rsid w:val="003D6829"/>
    <w:rsid w:val="003D6CD0"/>
    <w:rsid w:val="003D6D16"/>
    <w:rsid w:val="003D6DF2"/>
    <w:rsid w:val="003D6FBA"/>
    <w:rsid w:val="003D7D4D"/>
    <w:rsid w:val="003E042F"/>
    <w:rsid w:val="003E0454"/>
    <w:rsid w:val="003E057C"/>
    <w:rsid w:val="003E0597"/>
    <w:rsid w:val="003E082C"/>
    <w:rsid w:val="003E09E4"/>
    <w:rsid w:val="003E0B0C"/>
    <w:rsid w:val="003E0ECB"/>
    <w:rsid w:val="003E13F6"/>
    <w:rsid w:val="003E16E2"/>
    <w:rsid w:val="003E1735"/>
    <w:rsid w:val="003E1D58"/>
    <w:rsid w:val="003E1F84"/>
    <w:rsid w:val="003E2166"/>
    <w:rsid w:val="003E2517"/>
    <w:rsid w:val="003E2792"/>
    <w:rsid w:val="003E29AD"/>
    <w:rsid w:val="003E2F50"/>
    <w:rsid w:val="003E3139"/>
    <w:rsid w:val="003E3153"/>
    <w:rsid w:val="003E35B8"/>
    <w:rsid w:val="003E3757"/>
    <w:rsid w:val="003E37CA"/>
    <w:rsid w:val="003E3927"/>
    <w:rsid w:val="003E43FD"/>
    <w:rsid w:val="003E4705"/>
    <w:rsid w:val="003E48A9"/>
    <w:rsid w:val="003E4BBE"/>
    <w:rsid w:val="003E4C9B"/>
    <w:rsid w:val="003E522D"/>
    <w:rsid w:val="003E545B"/>
    <w:rsid w:val="003E55F5"/>
    <w:rsid w:val="003E5625"/>
    <w:rsid w:val="003E59B3"/>
    <w:rsid w:val="003E5B3F"/>
    <w:rsid w:val="003E5C16"/>
    <w:rsid w:val="003E5F92"/>
    <w:rsid w:val="003E6309"/>
    <w:rsid w:val="003E6A6E"/>
    <w:rsid w:val="003E6A8C"/>
    <w:rsid w:val="003E6F94"/>
    <w:rsid w:val="003E7115"/>
    <w:rsid w:val="003E7989"/>
    <w:rsid w:val="003E7B7E"/>
    <w:rsid w:val="003E7C90"/>
    <w:rsid w:val="003E7FFE"/>
    <w:rsid w:val="003F00F9"/>
    <w:rsid w:val="003F02EE"/>
    <w:rsid w:val="003F074A"/>
    <w:rsid w:val="003F0ACB"/>
    <w:rsid w:val="003F0CBA"/>
    <w:rsid w:val="003F0CCF"/>
    <w:rsid w:val="003F0D0A"/>
    <w:rsid w:val="003F1690"/>
    <w:rsid w:val="003F17B2"/>
    <w:rsid w:val="003F26C6"/>
    <w:rsid w:val="003F2754"/>
    <w:rsid w:val="003F2916"/>
    <w:rsid w:val="003F2982"/>
    <w:rsid w:val="003F2A49"/>
    <w:rsid w:val="003F2CA5"/>
    <w:rsid w:val="003F2DDB"/>
    <w:rsid w:val="003F2EF4"/>
    <w:rsid w:val="003F2F17"/>
    <w:rsid w:val="003F39CA"/>
    <w:rsid w:val="003F44CA"/>
    <w:rsid w:val="003F4782"/>
    <w:rsid w:val="003F4A7D"/>
    <w:rsid w:val="003F4AFD"/>
    <w:rsid w:val="003F50B7"/>
    <w:rsid w:val="003F56D4"/>
    <w:rsid w:val="003F5A6E"/>
    <w:rsid w:val="003F5CF9"/>
    <w:rsid w:val="003F5EC0"/>
    <w:rsid w:val="003F60B1"/>
    <w:rsid w:val="003F621B"/>
    <w:rsid w:val="003F634F"/>
    <w:rsid w:val="003F664A"/>
    <w:rsid w:val="003F66E3"/>
    <w:rsid w:val="003F7095"/>
    <w:rsid w:val="003F788C"/>
    <w:rsid w:val="003F792C"/>
    <w:rsid w:val="003F7BB6"/>
    <w:rsid w:val="003F7EC1"/>
    <w:rsid w:val="004000C3"/>
    <w:rsid w:val="00400DC3"/>
    <w:rsid w:val="0040140B"/>
    <w:rsid w:val="004017B7"/>
    <w:rsid w:val="004018EE"/>
    <w:rsid w:val="00401B95"/>
    <w:rsid w:val="00401EF9"/>
    <w:rsid w:val="00401F7C"/>
    <w:rsid w:val="004023D5"/>
    <w:rsid w:val="00403B7E"/>
    <w:rsid w:val="00403D13"/>
    <w:rsid w:val="00404BB9"/>
    <w:rsid w:val="00404BF5"/>
    <w:rsid w:val="00404C1B"/>
    <w:rsid w:val="00404CCF"/>
    <w:rsid w:val="00404F5E"/>
    <w:rsid w:val="0040502E"/>
    <w:rsid w:val="00405184"/>
    <w:rsid w:val="00405967"/>
    <w:rsid w:val="00405CAC"/>
    <w:rsid w:val="00405DCA"/>
    <w:rsid w:val="00405DD4"/>
    <w:rsid w:val="0040643D"/>
    <w:rsid w:val="004065B2"/>
    <w:rsid w:val="004066EA"/>
    <w:rsid w:val="00406A1C"/>
    <w:rsid w:val="0040746B"/>
    <w:rsid w:val="004074A9"/>
    <w:rsid w:val="00407558"/>
    <w:rsid w:val="00407AC8"/>
    <w:rsid w:val="00407C66"/>
    <w:rsid w:val="00407F1A"/>
    <w:rsid w:val="0041006C"/>
    <w:rsid w:val="0041008C"/>
    <w:rsid w:val="0041037D"/>
    <w:rsid w:val="00410418"/>
    <w:rsid w:val="004109D3"/>
    <w:rsid w:val="0041110B"/>
    <w:rsid w:val="004111B5"/>
    <w:rsid w:val="00411559"/>
    <w:rsid w:val="00412180"/>
    <w:rsid w:val="00412344"/>
    <w:rsid w:val="00412785"/>
    <w:rsid w:val="00412BD4"/>
    <w:rsid w:val="00412BED"/>
    <w:rsid w:val="00412E5F"/>
    <w:rsid w:val="00413836"/>
    <w:rsid w:val="00413921"/>
    <w:rsid w:val="00413DC8"/>
    <w:rsid w:val="0041421F"/>
    <w:rsid w:val="00414376"/>
    <w:rsid w:val="00414397"/>
    <w:rsid w:val="004145C0"/>
    <w:rsid w:val="00414708"/>
    <w:rsid w:val="00414C8E"/>
    <w:rsid w:val="00414DD1"/>
    <w:rsid w:val="0041514E"/>
    <w:rsid w:val="00415794"/>
    <w:rsid w:val="004158C2"/>
    <w:rsid w:val="00415929"/>
    <w:rsid w:val="00415987"/>
    <w:rsid w:val="00415E60"/>
    <w:rsid w:val="00415EAE"/>
    <w:rsid w:val="00415EB2"/>
    <w:rsid w:val="00415FDF"/>
    <w:rsid w:val="0041635D"/>
    <w:rsid w:val="004163F4"/>
    <w:rsid w:val="00416456"/>
    <w:rsid w:val="00416862"/>
    <w:rsid w:val="00416B61"/>
    <w:rsid w:val="00416EA5"/>
    <w:rsid w:val="00417452"/>
    <w:rsid w:val="0041777D"/>
    <w:rsid w:val="00420A20"/>
    <w:rsid w:val="00420F89"/>
    <w:rsid w:val="00420FF4"/>
    <w:rsid w:val="00421346"/>
    <w:rsid w:val="00421C5D"/>
    <w:rsid w:val="00421C80"/>
    <w:rsid w:val="004222F9"/>
    <w:rsid w:val="00422527"/>
    <w:rsid w:val="00422DEC"/>
    <w:rsid w:val="00422E12"/>
    <w:rsid w:val="004230A9"/>
    <w:rsid w:val="00423689"/>
    <w:rsid w:val="0042380F"/>
    <w:rsid w:val="004239E2"/>
    <w:rsid w:val="00423A0A"/>
    <w:rsid w:val="00423C1D"/>
    <w:rsid w:val="004243E1"/>
    <w:rsid w:val="004247CD"/>
    <w:rsid w:val="004247D0"/>
    <w:rsid w:val="00424930"/>
    <w:rsid w:val="00425191"/>
    <w:rsid w:val="004252F0"/>
    <w:rsid w:val="00425AF9"/>
    <w:rsid w:val="00425CCF"/>
    <w:rsid w:val="00425F2A"/>
    <w:rsid w:val="0042641A"/>
    <w:rsid w:val="00426865"/>
    <w:rsid w:val="00426EC1"/>
    <w:rsid w:val="00430D4A"/>
    <w:rsid w:val="00431134"/>
    <w:rsid w:val="0043191A"/>
    <w:rsid w:val="00431E38"/>
    <w:rsid w:val="004320DC"/>
    <w:rsid w:val="00432E9A"/>
    <w:rsid w:val="00432ED4"/>
    <w:rsid w:val="00432EE6"/>
    <w:rsid w:val="00433181"/>
    <w:rsid w:val="004334F2"/>
    <w:rsid w:val="004337C8"/>
    <w:rsid w:val="004341EF"/>
    <w:rsid w:val="00434391"/>
    <w:rsid w:val="0043465F"/>
    <w:rsid w:val="004348D5"/>
    <w:rsid w:val="00434C00"/>
    <w:rsid w:val="00435124"/>
    <w:rsid w:val="004356EC"/>
    <w:rsid w:val="00435787"/>
    <w:rsid w:val="00435C81"/>
    <w:rsid w:val="00435DED"/>
    <w:rsid w:val="00436C7E"/>
    <w:rsid w:val="004376E9"/>
    <w:rsid w:val="00437780"/>
    <w:rsid w:val="00437850"/>
    <w:rsid w:val="00437E4A"/>
    <w:rsid w:val="00440585"/>
    <w:rsid w:val="00440608"/>
    <w:rsid w:val="00440AB2"/>
    <w:rsid w:val="00440D2D"/>
    <w:rsid w:val="00440E0E"/>
    <w:rsid w:val="00440EA3"/>
    <w:rsid w:val="0044104D"/>
    <w:rsid w:val="00441494"/>
    <w:rsid w:val="004414C2"/>
    <w:rsid w:val="00442106"/>
    <w:rsid w:val="00442378"/>
    <w:rsid w:val="004426CE"/>
    <w:rsid w:val="00442B71"/>
    <w:rsid w:val="00442FBC"/>
    <w:rsid w:val="004438F7"/>
    <w:rsid w:val="00443AB5"/>
    <w:rsid w:val="004442B9"/>
    <w:rsid w:val="0044495C"/>
    <w:rsid w:val="00444B70"/>
    <w:rsid w:val="00444BE8"/>
    <w:rsid w:val="00444F0B"/>
    <w:rsid w:val="00445508"/>
    <w:rsid w:val="00445BC3"/>
    <w:rsid w:val="00445CAC"/>
    <w:rsid w:val="0044614F"/>
    <w:rsid w:val="00446380"/>
    <w:rsid w:val="004466F7"/>
    <w:rsid w:val="0044679C"/>
    <w:rsid w:val="004468DC"/>
    <w:rsid w:val="00446F69"/>
    <w:rsid w:val="004474D8"/>
    <w:rsid w:val="0044750F"/>
    <w:rsid w:val="0044753A"/>
    <w:rsid w:val="00447A80"/>
    <w:rsid w:val="00447DD4"/>
    <w:rsid w:val="00450B58"/>
    <w:rsid w:val="00450C7C"/>
    <w:rsid w:val="0045121C"/>
    <w:rsid w:val="00451718"/>
    <w:rsid w:val="00451778"/>
    <w:rsid w:val="0045191D"/>
    <w:rsid w:val="00451A9D"/>
    <w:rsid w:val="00452408"/>
    <w:rsid w:val="00452453"/>
    <w:rsid w:val="0045248B"/>
    <w:rsid w:val="00452C71"/>
    <w:rsid w:val="00452E55"/>
    <w:rsid w:val="00452F2B"/>
    <w:rsid w:val="004531DE"/>
    <w:rsid w:val="004539D3"/>
    <w:rsid w:val="00453BBB"/>
    <w:rsid w:val="00453C5A"/>
    <w:rsid w:val="0045402E"/>
    <w:rsid w:val="00454339"/>
    <w:rsid w:val="004549FE"/>
    <w:rsid w:val="00454AE7"/>
    <w:rsid w:val="0045514A"/>
    <w:rsid w:val="0045526C"/>
    <w:rsid w:val="004562D0"/>
    <w:rsid w:val="00456328"/>
    <w:rsid w:val="00456357"/>
    <w:rsid w:val="00456676"/>
    <w:rsid w:val="0045680B"/>
    <w:rsid w:val="00456843"/>
    <w:rsid w:val="00457082"/>
    <w:rsid w:val="004571D3"/>
    <w:rsid w:val="00457584"/>
    <w:rsid w:val="004575C1"/>
    <w:rsid w:val="004577EF"/>
    <w:rsid w:val="00457A43"/>
    <w:rsid w:val="00457F38"/>
    <w:rsid w:val="004607EF"/>
    <w:rsid w:val="00460926"/>
    <w:rsid w:val="00460C31"/>
    <w:rsid w:val="0046122D"/>
    <w:rsid w:val="0046155D"/>
    <w:rsid w:val="004617D3"/>
    <w:rsid w:val="00461A59"/>
    <w:rsid w:val="00461D90"/>
    <w:rsid w:val="00461DAC"/>
    <w:rsid w:val="0046200C"/>
    <w:rsid w:val="00462187"/>
    <w:rsid w:val="00462871"/>
    <w:rsid w:val="00462A10"/>
    <w:rsid w:val="00462B93"/>
    <w:rsid w:val="00462C1E"/>
    <w:rsid w:val="004635B3"/>
    <w:rsid w:val="004636CB"/>
    <w:rsid w:val="004638B2"/>
    <w:rsid w:val="004641F7"/>
    <w:rsid w:val="0046426A"/>
    <w:rsid w:val="0046485C"/>
    <w:rsid w:val="00464B5F"/>
    <w:rsid w:val="00464D89"/>
    <w:rsid w:val="00465082"/>
    <w:rsid w:val="0046522F"/>
    <w:rsid w:val="004653DC"/>
    <w:rsid w:val="00465483"/>
    <w:rsid w:val="00465579"/>
    <w:rsid w:val="0046595A"/>
    <w:rsid w:val="00465AA2"/>
    <w:rsid w:val="0046602D"/>
    <w:rsid w:val="00466318"/>
    <w:rsid w:val="00466469"/>
    <w:rsid w:val="00466864"/>
    <w:rsid w:val="0046693E"/>
    <w:rsid w:val="00466C6B"/>
    <w:rsid w:val="00466F0B"/>
    <w:rsid w:val="00467AB7"/>
    <w:rsid w:val="004702B8"/>
    <w:rsid w:val="004703D8"/>
    <w:rsid w:val="00470E0B"/>
    <w:rsid w:val="00470EC1"/>
    <w:rsid w:val="0047142A"/>
    <w:rsid w:val="00471EAB"/>
    <w:rsid w:val="00472B2E"/>
    <w:rsid w:val="00473199"/>
    <w:rsid w:val="00473509"/>
    <w:rsid w:val="004735C4"/>
    <w:rsid w:val="00473ABB"/>
    <w:rsid w:val="00474765"/>
    <w:rsid w:val="00474B58"/>
    <w:rsid w:val="00475217"/>
    <w:rsid w:val="0047535F"/>
    <w:rsid w:val="004757F2"/>
    <w:rsid w:val="00475852"/>
    <w:rsid w:val="00476280"/>
    <w:rsid w:val="00476745"/>
    <w:rsid w:val="004769C9"/>
    <w:rsid w:val="00477093"/>
    <w:rsid w:val="00477631"/>
    <w:rsid w:val="0047771D"/>
    <w:rsid w:val="00477C17"/>
    <w:rsid w:val="00477C5E"/>
    <w:rsid w:val="0048019A"/>
    <w:rsid w:val="00480505"/>
    <w:rsid w:val="0048070E"/>
    <w:rsid w:val="00480E58"/>
    <w:rsid w:val="00481376"/>
    <w:rsid w:val="00481387"/>
    <w:rsid w:val="00481AA1"/>
    <w:rsid w:val="004823C0"/>
    <w:rsid w:val="0048256C"/>
    <w:rsid w:val="0048260C"/>
    <w:rsid w:val="00482698"/>
    <w:rsid w:val="00482758"/>
    <w:rsid w:val="00482D47"/>
    <w:rsid w:val="0048321D"/>
    <w:rsid w:val="0048345A"/>
    <w:rsid w:val="00483918"/>
    <w:rsid w:val="00483A00"/>
    <w:rsid w:val="004841F8"/>
    <w:rsid w:val="0048484E"/>
    <w:rsid w:val="004849D5"/>
    <w:rsid w:val="00484AF4"/>
    <w:rsid w:val="00484BDA"/>
    <w:rsid w:val="00484CD7"/>
    <w:rsid w:val="00484EFF"/>
    <w:rsid w:val="004853C6"/>
    <w:rsid w:val="0048621D"/>
    <w:rsid w:val="00486248"/>
    <w:rsid w:val="00486347"/>
    <w:rsid w:val="004865A4"/>
    <w:rsid w:val="00486BD4"/>
    <w:rsid w:val="0048744C"/>
    <w:rsid w:val="0048749A"/>
    <w:rsid w:val="004878A0"/>
    <w:rsid w:val="00487B43"/>
    <w:rsid w:val="00487BDC"/>
    <w:rsid w:val="00487C6C"/>
    <w:rsid w:val="00487C6E"/>
    <w:rsid w:val="00487C75"/>
    <w:rsid w:val="00487D82"/>
    <w:rsid w:val="00487E2D"/>
    <w:rsid w:val="00487E49"/>
    <w:rsid w:val="0049073C"/>
    <w:rsid w:val="00490A00"/>
    <w:rsid w:val="00490E21"/>
    <w:rsid w:val="00491080"/>
    <w:rsid w:val="00491954"/>
    <w:rsid w:val="00491BB7"/>
    <w:rsid w:val="00491E3C"/>
    <w:rsid w:val="00492283"/>
    <w:rsid w:val="00492501"/>
    <w:rsid w:val="00492C92"/>
    <w:rsid w:val="00492CBC"/>
    <w:rsid w:val="00492FB3"/>
    <w:rsid w:val="0049332A"/>
    <w:rsid w:val="00493907"/>
    <w:rsid w:val="00493AC0"/>
    <w:rsid w:val="00493B03"/>
    <w:rsid w:val="00493C0B"/>
    <w:rsid w:val="00493FC9"/>
    <w:rsid w:val="00494104"/>
    <w:rsid w:val="00494829"/>
    <w:rsid w:val="00494B46"/>
    <w:rsid w:val="00494DF5"/>
    <w:rsid w:val="00494ED2"/>
    <w:rsid w:val="00494F84"/>
    <w:rsid w:val="0049520C"/>
    <w:rsid w:val="00495894"/>
    <w:rsid w:val="00495AA8"/>
    <w:rsid w:val="00495D02"/>
    <w:rsid w:val="00495F57"/>
    <w:rsid w:val="004968D8"/>
    <w:rsid w:val="00496A48"/>
    <w:rsid w:val="00496C77"/>
    <w:rsid w:val="00496D0C"/>
    <w:rsid w:val="00497187"/>
    <w:rsid w:val="00497272"/>
    <w:rsid w:val="004974D7"/>
    <w:rsid w:val="00497687"/>
    <w:rsid w:val="0049771D"/>
    <w:rsid w:val="00497AF0"/>
    <w:rsid w:val="00497B25"/>
    <w:rsid w:val="004A00FD"/>
    <w:rsid w:val="004A08FE"/>
    <w:rsid w:val="004A0985"/>
    <w:rsid w:val="004A0BDF"/>
    <w:rsid w:val="004A0E81"/>
    <w:rsid w:val="004A0FEF"/>
    <w:rsid w:val="004A11BE"/>
    <w:rsid w:val="004A131A"/>
    <w:rsid w:val="004A1675"/>
    <w:rsid w:val="004A1BE9"/>
    <w:rsid w:val="004A2DC5"/>
    <w:rsid w:val="004A3055"/>
    <w:rsid w:val="004A30D6"/>
    <w:rsid w:val="004A345B"/>
    <w:rsid w:val="004A398D"/>
    <w:rsid w:val="004A39F7"/>
    <w:rsid w:val="004A3F87"/>
    <w:rsid w:val="004A46D4"/>
    <w:rsid w:val="004A4738"/>
    <w:rsid w:val="004A495E"/>
    <w:rsid w:val="004A4A3D"/>
    <w:rsid w:val="004A4D1F"/>
    <w:rsid w:val="004A51A6"/>
    <w:rsid w:val="004A5592"/>
    <w:rsid w:val="004A5598"/>
    <w:rsid w:val="004A579B"/>
    <w:rsid w:val="004A5A70"/>
    <w:rsid w:val="004A5D05"/>
    <w:rsid w:val="004A69DA"/>
    <w:rsid w:val="004A6A89"/>
    <w:rsid w:val="004A6CB1"/>
    <w:rsid w:val="004A7035"/>
    <w:rsid w:val="004A750F"/>
    <w:rsid w:val="004A7D54"/>
    <w:rsid w:val="004B0009"/>
    <w:rsid w:val="004B1142"/>
    <w:rsid w:val="004B15A4"/>
    <w:rsid w:val="004B17A1"/>
    <w:rsid w:val="004B1D1D"/>
    <w:rsid w:val="004B241D"/>
    <w:rsid w:val="004B2889"/>
    <w:rsid w:val="004B2AC9"/>
    <w:rsid w:val="004B2C5D"/>
    <w:rsid w:val="004B2E4F"/>
    <w:rsid w:val="004B3164"/>
    <w:rsid w:val="004B32D5"/>
    <w:rsid w:val="004B4054"/>
    <w:rsid w:val="004B4102"/>
    <w:rsid w:val="004B45C4"/>
    <w:rsid w:val="004B45CA"/>
    <w:rsid w:val="004B4DCA"/>
    <w:rsid w:val="004B512E"/>
    <w:rsid w:val="004B5989"/>
    <w:rsid w:val="004B5C82"/>
    <w:rsid w:val="004B5E96"/>
    <w:rsid w:val="004B69DD"/>
    <w:rsid w:val="004B6E6D"/>
    <w:rsid w:val="004B72B4"/>
    <w:rsid w:val="004B7751"/>
    <w:rsid w:val="004B7AF2"/>
    <w:rsid w:val="004B7BDE"/>
    <w:rsid w:val="004C00DF"/>
    <w:rsid w:val="004C0482"/>
    <w:rsid w:val="004C05E6"/>
    <w:rsid w:val="004C0B5E"/>
    <w:rsid w:val="004C0C5F"/>
    <w:rsid w:val="004C18C2"/>
    <w:rsid w:val="004C1C92"/>
    <w:rsid w:val="004C1E17"/>
    <w:rsid w:val="004C257F"/>
    <w:rsid w:val="004C2599"/>
    <w:rsid w:val="004C276F"/>
    <w:rsid w:val="004C2A30"/>
    <w:rsid w:val="004C2E66"/>
    <w:rsid w:val="004C3062"/>
    <w:rsid w:val="004C32D3"/>
    <w:rsid w:val="004C349C"/>
    <w:rsid w:val="004C35A2"/>
    <w:rsid w:val="004C35D7"/>
    <w:rsid w:val="004C3871"/>
    <w:rsid w:val="004C41D1"/>
    <w:rsid w:val="004C43FD"/>
    <w:rsid w:val="004C44B9"/>
    <w:rsid w:val="004C45FB"/>
    <w:rsid w:val="004C501F"/>
    <w:rsid w:val="004C5789"/>
    <w:rsid w:val="004C5DCE"/>
    <w:rsid w:val="004C6FD0"/>
    <w:rsid w:val="004C7001"/>
    <w:rsid w:val="004C797C"/>
    <w:rsid w:val="004C7A1E"/>
    <w:rsid w:val="004C7A56"/>
    <w:rsid w:val="004D0325"/>
    <w:rsid w:val="004D0799"/>
    <w:rsid w:val="004D0DF3"/>
    <w:rsid w:val="004D1075"/>
    <w:rsid w:val="004D11DC"/>
    <w:rsid w:val="004D17E8"/>
    <w:rsid w:val="004D1ED8"/>
    <w:rsid w:val="004D1FC8"/>
    <w:rsid w:val="004D266A"/>
    <w:rsid w:val="004D2BCC"/>
    <w:rsid w:val="004D372E"/>
    <w:rsid w:val="004D37D3"/>
    <w:rsid w:val="004D3ABE"/>
    <w:rsid w:val="004D3B4B"/>
    <w:rsid w:val="004D3EA1"/>
    <w:rsid w:val="004D3F96"/>
    <w:rsid w:val="004D47AE"/>
    <w:rsid w:val="004D495A"/>
    <w:rsid w:val="004D4A53"/>
    <w:rsid w:val="004D4E80"/>
    <w:rsid w:val="004D531B"/>
    <w:rsid w:val="004D5510"/>
    <w:rsid w:val="004D5CD3"/>
    <w:rsid w:val="004D5F20"/>
    <w:rsid w:val="004D5FFB"/>
    <w:rsid w:val="004D604E"/>
    <w:rsid w:val="004D62D1"/>
    <w:rsid w:val="004D63AD"/>
    <w:rsid w:val="004D663D"/>
    <w:rsid w:val="004D7799"/>
    <w:rsid w:val="004D7814"/>
    <w:rsid w:val="004E01FE"/>
    <w:rsid w:val="004E0339"/>
    <w:rsid w:val="004E037B"/>
    <w:rsid w:val="004E0578"/>
    <w:rsid w:val="004E087A"/>
    <w:rsid w:val="004E1193"/>
    <w:rsid w:val="004E128D"/>
    <w:rsid w:val="004E25B0"/>
    <w:rsid w:val="004E2A66"/>
    <w:rsid w:val="004E2C36"/>
    <w:rsid w:val="004E2F38"/>
    <w:rsid w:val="004E33B6"/>
    <w:rsid w:val="004E3457"/>
    <w:rsid w:val="004E3ABE"/>
    <w:rsid w:val="004E3AF7"/>
    <w:rsid w:val="004E459C"/>
    <w:rsid w:val="004E461B"/>
    <w:rsid w:val="004E489B"/>
    <w:rsid w:val="004E4A88"/>
    <w:rsid w:val="004E5405"/>
    <w:rsid w:val="004E5D68"/>
    <w:rsid w:val="004E5FA7"/>
    <w:rsid w:val="004E6012"/>
    <w:rsid w:val="004E6B24"/>
    <w:rsid w:val="004E71D4"/>
    <w:rsid w:val="004E7F47"/>
    <w:rsid w:val="004F02CD"/>
    <w:rsid w:val="004F04F2"/>
    <w:rsid w:val="004F053D"/>
    <w:rsid w:val="004F063F"/>
    <w:rsid w:val="004F0688"/>
    <w:rsid w:val="004F0C49"/>
    <w:rsid w:val="004F0C9A"/>
    <w:rsid w:val="004F13E6"/>
    <w:rsid w:val="004F1450"/>
    <w:rsid w:val="004F189A"/>
    <w:rsid w:val="004F1C1E"/>
    <w:rsid w:val="004F21EB"/>
    <w:rsid w:val="004F2631"/>
    <w:rsid w:val="004F282B"/>
    <w:rsid w:val="004F29C0"/>
    <w:rsid w:val="004F2A7C"/>
    <w:rsid w:val="004F2C3E"/>
    <w:rsid w:val="004F3326"/>
    <w:rsid w:val="004F345F"/>
    <w:rsid w:val="004F368F"/>
    <w:rsid w:val="004F373C"/>
    <w:rsid w:val="004F43D1"/>
    <w:rsid w:val="004F46A6"/>
    <w:rsid w:val="004F4E4F"/>
    <w:rsid w:val="004F519F"/>
    <w:rsid w:val="004F5935"/>
    <w:rsid w:val="004F5BA4"/>
    <w:rsid w:val="004F5C4E"/>
    <w:rsid w:val="004F5DA1"/>
    <w:rsid w:val="004F5E56"/>
    <w:rsid w:val="004F670D"/>
    <w:rsid w:val="004F6898"/>
    <w:rsid w:val="004F6AE3"/>
    <w:rsid w:val="004F6CCE"/>
    <w:rsid w:val="004F6DA3"/>
    <w:rsid w:val="004F6F63"/>
    <w:rsid w:val="004F718D"/>
    <w:rsid w:val="004F73C8"/>
    <w:rsid w:val="004F7530"/>
    <w:rsid w:val="004F7EC6"/>
    <w:rsid w:val="004F7F85"/>
    <w:rsid w:val="005009DA"/>
    <w:rsid w:val="00500ACC"/>
    <w:rsid w:val="00500BE3"/>
    <w:rsid w:val="00500E3C"/>
    <w:rsid w:val="00500E68"/>
    <w:rsid w:val="00501458"/>
    <w:rsid w:val="005019E8"/>
    <w:rsid w:val="00501D8F"/>
    <w:rsid w:val="005024C2"/>
    <w:rsid w:val="005029A8"/>
    <w:rsid w:val="00502D49"/>
    <w:rsid w:val="00502D64"/>
    <w:rsid w:val="00502E97"/>
    <w:rsid w:val="00502ED4"/>
    <w:rsid w:val="005032CF"/>
    <w:rsid w:val="00503383"/>
    <w:rsid w:val="005033ED"/>
    <w:rsid w:val="005039E2"/>
    <w:rsid w:val="00503F92"/>
    <w:rsid w:val="005040EE"/>
    <w:rsid w:val="00504D39"/>
    <w:rsid w:val="005050C6"/>
    <w:rsid w:val="005051D1"/>
    <w:rsid w:val="005054E4"/>
    <w:rsid w:val="00505760"/>
    <w:rsid w:val="00505844"/>
    <w:rsid w:val="00505D42"/>
    <w:rsid w:val="00505DEF"/>
    <w:rsid w:val="0050659A"/>
    <w:rsid w:val="005068BF"/>
    <w:rsid w:val="00506995"/>
    <w:rsid w:val="00506A4C"/>
    <w:rsid w:val="00506DA3"/>
    <w:rsid w:val="00506EB0"/>
    <w:rsid w:val="005070B1"/>
    <w:rsid w:val="0050727D"/>
    <w:rsid w:val="00507531"/>
    <w:rsid w:val="00507B09"/>
    <w:rsid w:val="00507B87"/>
    <w:rsid w:val="00507ECA"/>
    <w:rsid w:val="00510564"/>
    <w:rsid w:val="005108E8"/>
    <w:rsid w:val="00510949"/>
    <w:rsid w:val="00510C58"/>
    <w:rsid w:val="00510D5D"/>
    <w:rsid w:val="005110BE"/>
    <w:rsid w:val="0051185D"/>
    <w:rsid w:val="00511890"/>
    <w:rsid w:val="00511C00"/>
    <w:rsid w:val="00511D12"/>
    <w:rsid w:val="00511D78"/>
    <w:rsid w:val="005137D8"/>
    <w:rsid w:val="005139A5"/>
    <w:rsid w:val="00513C68"/>
    <w:rsid w:val="00513C86"/>
    <w:rsid w:val="00513DDD"/>
    <w:rsid w:val="00514517"/>
    <w:rsid w:val="0051471D"/>
    <w:rsid w:val="00514CF7"/>
    <w:rsid w:val="00514E64"/>
    <w:rsid w:val="005150E6"/>
    <w:rsid w:val="005170CD"/>
    <w:rsid w:val="00517370"/>
    <w:rsid w:val="00517614"/>
    <w:rsid w:val="00517784"/>
    <w:rsid w:val="00517AAC"/>
    <w:rsid w:val="00517B86"/>
    <w:rsid w:val="00517CD0"/>
    <w:rsid w:val="0052010D"/>
    <w:rsid w:val="005207AB"/>
    <w:rsid w:val="00520AFE"/>
    <w:rsid w:val="00520B11"/>
    <w:rsid w:val="00520B22"/>
    <w:rsid w:val="00520BF5"/>
    <w:rsid w:val="00521053"/>
    <w:rsid w:val="0052147F"/>
    <w:rsid w:val="005216AF"/>
    <w:rsid w:val="00521D92"/>
    <w:rsid w:val="00522100"/>
    <w:rsid w:val="00522DA0"/>
    <w:rsid w:val="005230A4"/>
    <w:rsid w:val="00523331"/>
    <w:rsid w:val="005233C7"/>
    <w:rsid w:val="00523890"/>
    <w:rsid w:val="005238A8"/>
    <w:rsid w:val="00523A28"/>
    <w:rsid w:val="0052413D"/>
    <w:rsid w:val="005242D9"/>
    <w:rsid w:val="00524371"/>
    <w:rsid w:val="0052455F"/>
    <w:rsid w:val="005245CF"/>
    <w:rsid w:val="00524D62"/>
    <w:rsid w:val="00525254"/>
    <w:rsid w:val="00525667"/>
    <w:rsid w:val="00525751"/>
    <w:rsid w:val="00525CAD"/>
    <w:rsid w:val="00525F1E"/>
    <w:rsid w:val="00526084"/>
    <w:rsid w:val="005263B0"/>
    <w:rsid w:val="00526597"/>
    <w:rsid w:val="005267E1"/>
    <w:rsid w:val="005278D5"/>
    <w:rsid w:val="00527AE6"/>
    <w:rsid w:val="005306A9"/>
    <w:rsid w:val="00530725"/>
    <w:rsid w:val="00530738"/>
    <w:rsid w:val="0053080C"/>
    <w:rsid w:val="00530C86"/>
    <w:rsid w:val="005316A2"/>
    <w:rsid w:val="00531A6E"/>
    <w:rsid w:val="0053218E"/>
    <w:rsid w:val="0053230B"/>
    <w:rsid w:val="0053234D"/>
    <w:rsid w:val="005325CC"/>
    <w:rsid w:val="005326A9"/>
    <w:rsid w:val="0053274A"/>
    <w:rsid w:val="00532758"/>
    <w:rsid w:val="00533139"/>
    <w:rsid w:val="0053353F"/>
    <w:rsid w:val="005338AF"/>
    <w:rsid w:val="00533DB5"/>
    <w:rsid w:val="0053498A"/>
    <w:rsid w:val="005349EE"/>
    <w:rsid w:val="00534B3D"/>
    <w:rsid w:val="00535A1F"/>
    <w:rsid w:val="00535D17"/>
    <w:rsid w:val="00536031"/>
    <w:rsid w:val="00536420"/>
    <w:rsid w:val="00536913"/>
    <w:rsid w:val="00536CE7"/>
    <w:rsid w:val="00536F89"/>
    <w:rsid w:val="005373C1"/>
    <w:rsid w:val="0053786E"/>
    <w:rsid w:val="00537BF0"/>
    <w:rsid w:val="00537E0A"/>
    <w:rsid w:val="00540344"/>
    <w:rsid w:val="005406DC"/>
    <w:rsid w:val="00540773"/>
    <w:rsid w:val="0054079D"/>
    <w:rsid w:val="00540F7B"/>
    <w:rsid w:val="005411F3"/>
    <w:rsid w:val="005415AD"/>
    <w:rsid w:val="00541BD9"/>
    <w:rsid w:val="0054225F"/>
    <w:rsid w:val="005426F0"/>
    <w:rsid w:val="00542866"/>
    <w:rsid w:val="0054289C"/>
    <w:rsid w:val="005429D3"/>
    <w:rsid w:val="005435DC"/>
    <w:rsid w:val="00544E12"/>
    <w:rsid w:val="0054503C"/>
    <w:rsid w:val="0054515F"/>
    <w:rsid w:val="00545204"/>
    <w:rsid w:val="00545375"/>
    <w:rsid w:val="0054541E"/>
    <w:rsid w:val="005459D1"/>
    <w:rsid w:val="00545D71"/>
    <w:rsid w:val="00545E5C"/>
    <w:rsid w:val="005460F3"/>
    <w:rsid w:val="00546138"/>
    <w:rsid w:val="005461B0"/>
    <w:rsid w:val="005462DA"/>
    <w:rsid w:val="00546458"/>
    <w:rsid w:val="005468CC"/>
    <w:rsid w:val="00546A45"/>
    <w:rsid w:val="00546B20"/>
    <w:rsid w:val="005472B4"/>
    <w:rsid w:val="005509B0"/>
    <w:rsid w:val="0055151B"/>
    <w:rsid w:val="005517A0"/>
    <w:rsid w:val="00551CCB"/>
    <w:rsid w:val="005522CD"/>
    <w:rsid w:val="00552425"/>
    <w:rsid w:val="00552BC8"/>
    <w:rsid w:val="005531FB"/>
    <w:rsid w:val="00553688"/>
    <w:rsid w:val="00553820"/>
    <w:rsid w:val="00553B49"/>
    <w:rsid w:val="00553F16"/>
    <w:rsid w:val="005549FE"/>
    <w:rsid w:val="00554CCB"/>
    <w:rsid w:val="00554EDD"/>
    <w:rsid w:val="005554E3"/>
    <w:rsid w:val="005559AC"/>
    <w:rsid w:val="00555D97"/>
    <w:rsid w:val="00555DF9"/>
    <w:rsid w:val="00555F0B"/>
    <w:rsid w:val="00555F38"/>
    <w:rsid w:val="0055658E"/>
    <w:rsid w:val="00556914"/>
    <w:rsid w:val="0055698B"/>
    <w:rsid w:val="00556A38"/>
    <w:rsid w:val="00556EF7"/>
    <w:rsid w:val="00557035"/>
    <w:rsid w:val="00557106"/>
    <w:rsid w:val="00557169"/>
    <w:rsid w:val="00557B89"/>
    <w:rsid w:val="00557E38"/>
    <w:rsid w:val="00557EA0"/>
    <w:rsid w:val="00560164"/>
    <w:rsid w:val="00560DC7"/>
    <w:rsid w:val="005612B1"/>
    <w:rsid w:val="00561F5A"/>
    <w:rsid w:val="00562712"/>
    <w:rsid w:val="00563204"/>
    <w:rsid w:val="00563247"/>
    <w:rsid w:val="00563F1B"/>
    <w:rsid w:val="00564183"/>
    <w:rsid w:val="0056469E"/>
    <w:rsid w:val="00564A54"/>
    <w:rsid w:val="00564D5E"/>
    <w:rsid w:val="00565054"/>
    <w:rsid w:val="005658F2"/>
    <w:rsid w:val="0056599A"/>
    <w:rsid w:val="005659CE"/>
    <w:rsid w:val="00565C37"/>
    <w:rsid w:val="00565FB5"/>
    <w:rsid w:val="005664FA"/>
    <w:rsid w:val="005665A0"/>
    <w:rsid w:val="00566631"/>
    <w:rsid w:val="005666A3"/>
    <w:rsid w:val="00566AE4"/>
    <w:rsid w:val="00566C0A"/>
    <w:rsid w:val="00566C90"/>
    <w:rsid w:val="00567540"/>
    <w:rsid w:val="00567554"/>
    <w:rsid w:val="005676B2"/>
    <w:rsid w:val="00567755"/>
    <w:rsid w:val="0056793E"/>
    <w:rsid w:val="00567C06"/>
    <w:rsid w:val="00567C6B"/>
    <w:rsid w:val="00567CFF"/>
    <w:rsid w:val="00567D79"/>
    <w:rsid w:val="00567F02"/>
    <w:rsid w:val="005701B9"/>
    <w:rsid w:val="00570327"/>
    <w:rsid w:val="00570496"/>
    <w:rsid w:val="0057091C"/>
    <w:rsid w:val="00570A1C"/>
    <w:rsid w:val="00570A9E"/>
    <w:rsid w:val="00570B45"/>
    <w:rsid w:val="00570EA2"/>
    <w:rsid w:val="005711B7"/>
    <w:rsid w:val="005712DF"/>
    <w:rsid w:val="0057135B"/>
    <w:rsid w:val="005713F3"/>
    <w:rsid w:val="0057152D"/>
    <w:rsid w:val="00571668"/>
    <w:rsid w:val="00571992"/>
    <w:rsid w:val="00571BC6"/>
    <w:rsid w:val="00571CC3"/>
    <w:rsid w:val="00571E2B"/>
    <w:rsid w:val="005722BA"/>
    <w:rsid w:val="005729DC"/>
    <w:rsid w:val="00572AEC"/>
    <w:rsid w:val="00572F70"/>
    <w:rsid w:val="00573693"/>
    <w:rsid w:val="0057388B"/>
    <w:rsid w:val="00573A05"/>
    <w:rsid w:val="00573AD3"/>
    <w:rsid w:val="00573C2B"/>
    <w:rsid w:val="00574579"/>
    <w:rsid w:val="005749A6"/>
    <w:rsid w:val="005751D4"/>
    <w:rsid w:val="00575469"/>
    <w:rsid w:val="00575802"/>
    <w:rsid w:val="005764F6"/>
    <w:rsid w:val="005765B6"/>
    <w:rsid w:val="005765E9"/>
    <w:rsid w:val="00576A05"/>
    <w:rsid w:val="00576C85"/>
    <w:rsid w:val="005777BC"/>
    <w:rsid w:val="0057784E"/>
    <w:rsid w:val="00577DC0"/>
    <w:rsid w:val="00580085"/>
    <w:rsid w:val="00580915"/>
    <w:rsid w:val="00580A08"/>
    <w:rsid w:val="00580A14"/>
    <w:rsid w:val="00580DCE"/>
    <w:rsid w:val="005816A6"/>
    <w:rsid w:val="00581767"/>
    <w:rsid w:val="005817D0"/>
    <w:rsid w:val="0058228F"/>
    <w:rsid w:val="00582982"/>
    <w:rsid w:val="00582F61"/>
    <w:rsid w:val="0058307B"/>
    <w:rsid w:val="005831D4"/>
    <w:rsid w:val="00583394"/>
    <w:rsid w:val="00583BD2"/>
    <w:rsid w:val="00583CB0"/>
    <w:rsid w:val="00583CC7"/>
    <w:rsid w:val="005841C8"/>
    <w:rsid w:val="0058431C"/>
    <w:rsid w:val="0058464E"/>
    <w:rsid w:val="00584BFC"/>
    <w:rsid w:val="0058515E"/>
    <w:rsid w:val="005856AB"/>
    <w:rsid w:val="00585D6A"/>
    <w:rsid w:val="005860CE"/>
    <w:rsid w:val="00586583"/>
    <w:rsid w:val="0058661E"/>
    <w:rsid w:val="00586702"/>
    <w:rsid w:val="00587AD4"/>
    <w:rsid w:val="00587C48"/>
    <w:rsid w:val="00587F28"/>
    <w:rsid w:val="0059014B"/>
    <w:rsid w:val="0059046D"/>
    <w:rsid w:val="005911B0"/>
    <w:rsid w:val="005913E8"/>
    <w:rsid w:val="0059157B"/>
    <w:rsid w:val="00591F68"/>
    <w:rsid w:val="005921F3"/>
    <w:rsid w:val="00592620"/>
    <w:rsid w:val="00592C47"/>
    <w:rsid w:val="00592C69"/>
    <w:rsid w:val="005934BD"/>
    <w:rsid w:val="005937FE"/>
    <w:rsid w:val="0059393A"/>
    <w:rsid w:val="0059411E"/>
    <w:rsid w:val="0059426B"/>
    <w:rsid w:val="00594392"/>
    <w:rsid w:val="005947A1"/>
    <w:rsid w:val="005948B3"/>
    <w:rsid w:val="00594B37"/>
    <w:rsid w:val="0059500D"/>
    <w:rsid w:val="00595126"/>
    <w:rsid w:val="005957C0"/>
    <w:rsid w:val="00595B72"/>
    <w:rsid w:val="00595E43"/>
    <w:rsid w:val="00596075"/>
    <w:rsid w:val="005964B2"/>
    <w:rsid w:val="00596C42"/>
    <w:rsid w:val="00597583"/>
    <w:rsid w:val="005975D2"/>
    <w:rsid w:val="00597813"/>
    <w:rsid w:val="00597AA5"/>
    <w:rsid w:val="005A071F"/>
    <w:rsid w:val="005A08A4"/>
    <w:rsid w:val="005A09E0"/>
    <w:rsid w:val="005A0A3F"/>
    <w:rsid w:val="005A0B96"/>
    <w:rsid w:val="005A11C7"/>
    <w:rsid w:val="005A1488"/>
    <w:rsid w:val="005A1599"/>
    <w:rsid w:val="005A1BD7"/>
    <w:rsid w:val="005A2700"/>
    <w:rsid w:val="005A35F2"/>
    <w:rsid w:val="005A45F0"/>
    <w:rsid w:val="005A4B50"/>
    <w:rsid w:val="005A4C27"/>
    <w:rsid w:val="005A4D19"/>
    <w:rsid w:val="005A500B"/>
    <w:rsid w:val="005A51D8"/>
    <w:rsid w:val="005A5675"/>
    <w:rsid w:val="005A58A4"/>
    <w:rsid w:val="005A6095"/>
    <w:rsid w:val="005A62CD"/>
    <w:rsid w:val="005A6602"/>
    <w:rsid w:val="005A6799"/>
    <w:rsid w:val="005A69E3"/>
    <w:rsid w:val="005A6E8B"/>
    <w:rsid w:val="005A6EEB"/>
    <w:rsid w:val="005A702F"/>
    <w:rsid w:val="005A747F"/>
    <w:rsid w:val="005A76A4"/>
    <w:rsid w:val="005A77F7"/>
    <w:rsid w:val="005A7A56"/>
    <w:rsid w:val="005A7AE6"/>
    <w:rsid w:val="005B005E"/>
    <w:rsid w:val="005B009C"/>
    <w:rsid w:val="005B0332"/>
    <w:rsid w:val="005B04F9"/>
    <w:rsid w:val="005B0688"/>
    <w:rsid w:val="005B094D"/>
    <w:rsid w:val="005B100E"/>
    <w:rsid w:val="005B1355"/>
    <w:rsid w:val="005B1382"/>
    <w:rsid w:val="005B16EB"/>
    <w:rsid w:val="005B1C2A"/>
    <w:rsid w:val="005B1F2F"/>
    <w:rsid w:val="005B2467"/>
    <w:rsid w:val="005B2476"/>
    <w:rsid w:val="005B2913"/>
    <w:rsid w:val="005B296C"/>
    <w:rsid w:val="005B336A"/>
    <w:rsid w:val="005B398A"/>
    <w:rsid w:val="005B3A64"/>
    <w:rsid w:val="005B3C64"/>
    <w:rsid w:val="005B3E55"/>
    <w:rsid w:val="005B4707"/>
    <w:rsid w:val="005B4A6F"/>
    <w:rsid w:val="005B4DA7"/>
    <w:rsid w:val="005B54ED"/>
    <w:rsid w:val="005B5B28"/>
    <w:rsid w:val="005B65A8"/>
    <w:rsid w:val="005B67DB"/>
    <w:rsid w:val="005B687B"/>
    <w:rsid w:val="005B68D9"/>
    <w:rsid w:val="005B6CD8"/>
    <w:rsid w:val="005B731C"/>
    <w:rsid w:val="005B7427"/>
    <w:rsid w:val="005B7432"/>
    <w:rsid w:val="005B7477"/>
    <w:rsid w:val="005B7994"/>
    <w:rsid w:val="005B7A67"/>
    <w:rsid w:val="005C03FF"/>
    <w:rsid w:val="005C041A"/>
    <w:rsid w:val="005C05B8"/>
    <w:rsid w:val="005C0E53"/>
    <w:rsid w:val="005C146A"/>
    <w:rsid w:val="005C17B6"/>
    <w:rsid w:val="005C1F7C"/>
    <w:rsid w:val="005C2192"/>
    <w:rsid w:val="005C2306"/>
    <w:rsid w:val="005C27F6"/>
    <w:rsid w:val="005C299E"/>
    <w:rsid w:val="005C2BFE"/>
    <w:rsid w:val="005C2CFF"/>
    <w:rsid w:val="005C2E7D"/>
    <w:rsid w:val="005C3134"/>
    <w:rsid w:val="005C39B7"/>
    <w:rsid w:val="005C3BAB"/>
    <w:rsid w:val="005C3BDE"/>
    <w:rsid w:val="005C4032"/>
    <w:rsid w:val="005C472C"/>
    <w:rsid w:val="005C4838"/>
    <w:rsid w:val="005C4A1D"/>
    <w:rsid w:val="005C4A67"/>
    <w:rsid w:val="005C4A71"/>
    <w:rsid w:val="005C5081"/>
    <w:rsid w:val="005C52C8"/>
    <w:rsid w:val="005C58C7"/>
    <w:rsid w:val="005C5965"/>
    <w:rsid w:val="005C59C6"/>
    <w:rsid w:val="005C6246"/>
    <w:rsid w:val="005C6282"/>
    <w:rsid w:val="005C69FB"/>
    <w:rsid w:val="005C7008"/>
    <w:rsid w:val="005C7223"/>
    <w:rsid w:val="005C7238"/>
    <w:rsid w:val="005C7400"/>
    <w:rsid w:val="005C7803"/>
    <w:rsid w:val="005C7F4D"/>
    <w:rsid w:val="005D03FC"/>
    <w:rsid w:val="005D05B6"/>
    <w:rsid w:val="005D07FF"/>
    <w:rsid w:val="005D0ADF"/>
    <w:rsid w:val="005D0B91"/>
    <w:rsid w:val="005D0DBF"/>
    <w:rsid w:val="005D105E"/>
    <w:rsid w:val="005D1808"/>
    <w:rsid w:val="005D1834"/>
    <w:rsid w:val="005D19E2"/>
    <w:rsid w:val="005D1A09"/>
    <w:rsid w:val="005D297A"/>
    <w:rsid w:val="005D29AB"/>
    <w:rsid w:val="005D2E57"/>
    <w:rsid w:val="005D33D1"/>
    <w:rsid w:val="005D35AE"/>
    <w:rsid w:val="005D3C9E"/>
    <w:rsid w:val="005D3DBF"/>
    <w:rsid w:val="005D4547"/>
    <w:rsid w:val="005D4550"/>
    <w:rsid w:val="005D495E"/>
    <w:rsid w:val="005D4EDA"/>
    <w:rsid w:val="005D5132"/>
    <w:rsid w:val="005D523A"/>
    <w:rsid w:val="005D53B2"/>
    <w:rsid w:val="005D557F"/>
    <w:rsid w:val="005D5BAD"/>
    <w:rsid w:val="005D5BCE"/>
    <w:rsid w:val="005D5D89"/>
    <w:rsid w:val="005D6B8A"/>
    <w:rsid w:val="005D794B"/>
    <w:rsid w:val="005D795E"/>
    <w:rsid w:val="005D7B31"/>
    <w:rsid w:val="005D7D4D"/>
    <w:rsid w:val="005D7F47"/>
    <w:rsid w:val="005E00BB"/>
    <w:rsid w:val="005E042C"/>
    <w:rsid w:val="005E0797"/>
    <w:rsid w:val="005E08F3"/>
    <w:rsid w:val="005E174A"/>
    <w:rsid w:val="005E230F"/>
    <w:rsid w:val="005E23CB"/>
    <w:rsid w:val="005E249B"/>
    <w:rsid w:val="005E25A1"/>
    <w:rsid w:val="005E26FC"/>
    <w:rsid w:val="005E2819"/>
    <w:rsid w:val="005E2ACC"/>
    <w:rsid w:val="005E2F01"/>
    <w:rsid w:val="005E3180"/>
    <w:rsid w:val="005E3326"/>
    <w:rsid w:val="005E341B"/>
    <w:rsid w:val="005E3CEB"/>
    <w:rsid w:val="005E3DE9"/>
    <w:rsid w:val="005E42DD"/>
    <w:rsid w:val="005E4497"/>
    <w:rsid w:val="005E471F"/>
    <w:rsid w:val="005E487F"/>
    <w:rsid w:val="005E4A44"/>
    <w:rsid w:val="005E4B0B"/>
    <w:rsid w:val="005E4C48"/>
    <w:rsid w:val="005E5312"/>
    <w:rsid w:val="005E55EB"/>
    <w:rsid w:val="005E5631"/>
    <w:rsid w:val="005E5988"/>
    <w:rsid w:val="005E62DD"/>
    <w:rsid w:val="005E6904"/>
    <w:rsid w:val="005E6CEA"/>
    <w:rsid w:val="005E6E38"/>
    <w:rsid w:val="005E719E"/>
    <w:rsid w:val="005E71DE"/>
    <w:rsid w:val="005F0661"/>
    <w:rsid w:val="005F087A"/>
    <w:rsid w:val="005F0983"/>
    <w:rsid w:val="005F0C20"/>
    <w:rsid w:val="005F0F2A"/>
    <w:rsid w:val="005F1064"/>
    <w:rsid w:val="005F12C2"/>
    <w:rsid w:val="005F1759"/>
    <w:rsid w:val="005F1875"/>
    <w:rsid w:val="005F209B"/>
    <w:rsid w:val="005F240C"/>
    <w:rsid w:val="005F282C"/>
    <w:rsid w:val="005F2A8F"/>
    <w:rsid w:val="005F2D74"/>
    <w:rsid w:val="005F2DFE"/>
    <w:rsid w:val="005F3413"/>
    <w:rsid w:val="005F3623"/>
    <w:rsid w:val="005F38F0"/>
    <w:rsid w:val="005F3C5B"/>
    <w:rsid w:val="005F3E46"/>
    <w:rsid w:val="005F4FFB"/>
    <w:rsid w:val="005F55B0"/>
    <w:rsid w:val="005F5B3E"/>
    <w:rsid w:val="005F5BE9"/>
    <w:rsid w:val="005F5C95"/>
    <w:rsid w:val="005F6437"/>
    <w:rsid w:val="005F6565"/>
    <w:rsid w:val="005F6628"/>
    <w:rsid w:val="005F6C36"/>
    <w:rsid w:val="005F6F36"/>
    <w:rsid w:val="005F6FF5"/>
    <w:rsid w:val="005F70EC"/>
    <w:rsid w:val="005F7E45"/>
    <w:rsid w:val="005F7EAB"/>
    <w:rsid w:val="00600204"/>
    <w:rsid w:val="00600A03"/>
    <w:rsid w:val="00600A80"/>
    <w:rsid w:val="00600BC1"/>
    <w:rsid w:val="00600EF3"/>
    <w:rsid w:val="00601026"/>
    <w:rsid w:val="006010C1"/>
    <w:rsid w:val="006010FF"/>
    <w:rsid w:val="0060152C"/>
    <w:rsid w:val="0060172E"/>
    <w:rsid w:val="006018D2"/>
    <w:rsid w:val="00601972"/>
    <w:rsid w:val="00601D40"/>
    <w:rsid w:val="00601DF4"/>
    <w:rsid w:val="00602624"/>
    <w:rsid w:val="00602891"/>
    <w:rsid w:val="00603703"/>
    <w:rsid w:val="00603930"/>
    <w:rsid w:val="00603B8B"/>
    <w:rsid w:val="006048E3"/>
    <w:rsid w:val="00604C64"/>
    <w:rsid w:val="006052A8"/>
    <w:rsid w:val="00605C43"/>
    <w:rsid w:val="006062EA"/>
    <w:rsid w:val="00606331"/>
    <w:rsid w:val="00606532"/>
    <w:rsid w:val="0060697D"/>
    <w:rsid w:val="00606A10"/>
    <w:rsid w:val="006071D1"/>
    <w:rsid w:val="0060748B"/>
    <w:rsid w:val="00610023"/>
    <w:rsid w:val="006102D2"/>
    <w:rsid w:val="006104AA"/>
    <w:rsid w:val="0061060F"/>
    <w:rsid w:val="00610C85"/>
    <w:rsid w:val="00610D87"/>
    <w:rsid w:val="00611325"/>
    <w:rsid w:val="00611917"/>
    <w:rsid w:val="00611B36"/>
    <w:rsid w:val="00611BE5"/>
    <w:rsid w:val="006122ED"/>
    <w:rsid w:val="00612846"/>
    <w:rsid w:val="00612FB1"/>
    <w:rsid w:val="00613061"/>
    <w:rsid w:val="006133F8"/>
    <w:rsid w:val="006135D1"/>
    <w:rsid w:val="006135E8"/>
    <w:rsid w:val="006136FD"/>
    <w:rsid w:val="00613CC9"/>
    <w:rsid w:val="0061451E"/>
    <w:rsid w:val="0061462F"/>
    <w:rsid w:val="006146F0"/>
    <w:rsid w:val="00614C35"/>
    <w:rsid w:val="00614F36"/>
    <w:rsid w:val="00615624"/>
    <w:rsid w:val="0061588C"/>
    <w:rsid w:val="00615C74"/>
    <w:rsid w:val="00616038"/>
    <w:rsid w:val="006161E4"/>
    <w:rsid w:val="006168B2"/>
    <w:rsid w:val="006168E1"/>
    <w:rsid w:val="00616BC3"/>
    <w:rsid w:val="006172C8"/>
    <w:rsid w:val="0062045E"/>
    <w:rsid w:val="006204D5"/>
    <w:rsid w:val="00620763"/>
    <w:rsid w:val="00620778"/>
    <w:rsid w:val="00620B96"/>
    <w:rsid w:val="006213C0"/>
    <w:rsid w:val="00621549"/>
    <w:rsid w:val="00621928"/>
    <w:rsid w:val="006219A6"/>
    <w:rsid w:val="00621A40"/>
    <w:rsid w:val="00623077"/>
    <w:rsid w:val="00623503"/>
    <w:rsid w:val="00623591"/>
    <w:rsid w:val="00623704"/>
    <w:rsid w:val="0062374D"/>
    <w:rsid w:val="00623912"/>
    <w:rsid w:val="00623926"/>
    <w:rsid w:val="00623F30"/>
    <w:rsid w:val="00624366"/>
    <w:rsid w:val="0062455A"/>
    <w:rsid w:val="0062490E"/>
    <w:rsid w:val="006249B5"/>
    <w:rsid w:val="00624C6C"/>
    <w:rsid w:val="006251FB"/>
    <w:rsid w:val="006253C0"/>
    <w:rsid w:val="0062548D"/>
    <w:rsid w:val="006254A9"/>
    <w:rsid w:val="00625A12"/>
    <w:rsid w:val="00625AE0"/>
    <w:rsid w:val="00625D9C"/>
    <w:rsid w:val="006267DD"/>
    <w:rsid w:val="00626CA9"/>
    <w:rsid w:val="00626E6B"/>
    <w:rsid w:val="00626F9F"/>
    <w:rsid w:val="00627192"/>
    <w:rsid w:val="006278AC"/>
    <w:rsid w:val="00627C6B"/>
    <w:rsid w:val="00627DCC"/>
    <w:rsid w:val="006302EE"/>
    <w:rsid w:val="00630319"/>
    <w:rsid w:val="00630BE7"/>
    <w:rsid w:val="00630E28"/>
    <w:rsid w:val="00631037"/>
    <w:rsid w:val="00631278"/>
    <w:rsid w:val="006314FA"/>
    <w:rsid w:val="00631580"/>
    <w:rsid w:val="00631E21"/>
    <w:rsid w:val="00631F48"/>
    <w:rsid w:val="0063209E"/>
    <w:rsid w:val="006334CD"/>
    <w:rsid w:val="006335CF"/>
    <w:rsid w:val="00634053"/>
    <w:rsid w:val="00634381"/>
    <w:rsid w:val="006345DD"/>
    <w:rsid w:val="00634EE7"/>
    <w:rsid w:val="006358BB"/>
    <w:rsid w:val="006358F9"/>
    <w:rsid w:val="00635A32"/>
    <w:rsid w:val="00635BAA"/>
    <w:rsid w:val="00635F61"/>
    <w:rsid w:val="0063627A"/>
    <w:rsid w:val="0063669F"/>
    <w:rsid w:val="00636CC9"/>
    <w:rsid w:val="006371F6"/>
    <w:rsid w:val="006376FB"/>
    <w:rsid w:val="00637C29"/>
    <w:rsid w:val="00637CC2"/>
    <w:rsid w:val="00640355"/>
    <w:rsid w:val="006403F1"/>
    <w:rsid w:val="006406EE"/>
    <w:rsid w:val="00640780"/>
    <w:rsid w:val="00640D59"/>
    <w:rsid w:val="006413F2"/>
    <w:rsid w:val="006417CA"/>
    <w:rsid w:val="00641A77"/>
    <w:rsid w:val="006421CA"/>
    <w:rsid w:val="00642705"/>
    <w:rsid w:val="00642F83"/>
    <w:rsid w:val="006430E5"/>
    <w:rsid w:val="00643244"/>
    <w:rsid w:val="00643408"/>
    <w:rsid w:val="00643D40"/>
    <w:rsid w:val="00644492"/>
    <w:rsid w:val="00644BF1"/>
    <w:rsid w:val="00644CF2"/>
    <w:rsid w:val="00644CF3"/>
    <w:rsid w:val="00644DE6"/>
    <w:rsid w:val="006456BF"/>
    <w:rsid w:val="006456C7"/>
    <w:rsid w:val="006460D9"/>
    <w:rsid w:val="006462F6"/>
    <w:rsid w:val="00646862"/>
    <w:rsid w:val="00646AE1"/>
    <w:rsid w:val="00646C5E"/>
    <w:rsid w:val="00647029"/>
    <w:rsid w:val="0064750F"/>
    <w:rsid w:val="0064785D"/>
    <w:rsid w:val="0064790D"/>
    <w:rsid w:val="00647E25"/>
    <w:rsid w:val="00647E49"/>
    <w:rsid w:val="00650011"/>
    <w:rsid w:val="006503CB"/>
    <w:rsid w:val="006505A0"/>
    <w:rsid w:val="006505E8"/>
    <w:rsid w:val="006507ED"/>
    <w:rsid w:val="00650B64"/>
    <w:rsid w:val="00651330"/>
    <w:rsid w:val="00651332"/>
    <w:rsid w:val="006514D9"/>
    <w:rsid w:val="006521BB"/>
    <w:rsid w:val="006522A4"/>
    <w:rsid w:val="006523B4"/>
    <w:rsid w:val="006525B5"/>
    <w:rsid w:val="006528DC"/>
    <w:rsid w:val="006529D8"/>
    <w:rsid w:val="00652B94"/>
    <w:rsid w:val="00652F4E"/>
    <w:rsid w:val="00652FF7"/>
    <w:rsid w:val="006531B0"/>
    <w:rsid w:val="0065356E"/>
    <w:rsid w:val="006536D0"/>
    <w:rsid w:val="00653A06"/>
    <w:rsid w:val="00653A51"/>
    <w:rsid w:val="00654A2B"/>
    <w:rsid w:val="00654C15"/>
    <w:rsid w:val="00654D22"/>
    <w:rsid w:val="00654EB5"/>
    <w:rsid w:val="00655295"/>
    <w:rsid w:val="006557F4"/>
    <w:rsid w:val="00655A1F"/>
    <w:rsid w:val="00655ABC"/>
    <w:rsid w:val="00656A6A"/>
    <w:rsid w:val="00656B3A"/>
    <w:rsid w:val="00656F5D"/>
    <w:rsid w:val="006570FD"/>
    <w:rsid w:val="00657484"/>
    <w:rsid w:val="0065766F"/>
    <w:rsid w:val="00657969"/>
    <w:rsid w:val="00657B26"/>
    <w:rsid w:val="00660383"/>
    <w:rsid w:val="0066045C"/>
    <w:rsid w:val="00660691"/>
    <w:rsid w:val="006608A2"/>
    <w:rsid w:val="00660995"/>
    <w:rsid w:val="006609B9"/>
    <w:rsid w:val="00660A80"/>
    <w:rsid w:val="00660F30"/>
    <w:rsid w:val="006612E1"/>
    <w:rsid w:val="00661344"/>
    <w:rsid w:val="0066157D"/>
    <w:rsid w:val="00661747"/>
    <w:rsid w:val="006617A0"/>
    <w:rsid w:val="00661892"/>
    <w:rsid w:val="006619ED"/>
    <w:rsid w:val="00661F83"/>
    <w:rsid w:val="006625C2"/>
    <w:rsid w:val="0066273E"/>
    <w:rsid w:val="0066280F"/>
    <w:rsid w:val="006628E3"/>
    <w:rsid w:val="00662BA7"/>
    <w:rsid w:val="006639C5"/>
    <w:rsid w:val="006640BD"/>
    <w:rsid w:val="00664EE4"/>
    <w:rsid w:val="00665356"/>
    <w:rsid w:val="00665767"/>
    <w:rsid w:val="00665CC8"/>
    <w:rsid w:val="0066629A"/>
    <w:rsid w:val="00666945"/>
    <w:rsid w:val="00666F67"/>
    <w:rsid w:val="0066702A"/>
    <w:rsid w:val="0066717D"/>
    <w:rsid w:val="006675B0"/>
    <w:rsid w:val="00667856"/>
    <w:rsid w:val="00667AB0"/>
    <w:rsid w:val="00667B9D"/>
    <w:rsid w:val="00667C45"/>
    <w:rsid w:val="006703C6"/>
    <w:rsid w:val="006705AC"/>
    <w:rsid w:val="0067070C"/>
    <w:rsid w:val="006708B4"/>
    <w:rsid w:val="006709DD"/>
    <w:rsid w:val="00670E0F"/>
    <w:rsid w:val="00671266"/>
    <w:rsid w:val="006713FC"/>
    <w:rsid w:val="006718AD"/>
    <w:rsid w:val="00671A85"/>
    <w:rsid w:val="00671DA3"/>
    <w:rsid w:val="00672160"/>
    <w:rsid w:val="00672415"/>
    <w:rsid w:val="006728CC"/>
    <w:rsid w:val="00673C46"/>
    <w:rsid w:val="00673D20"/>
    <w:rsid w:val="00673E1A"/>
    <w:rsid w:val="0067420D"/>
    <w:rsid w:val="0067477A"/>
    <w:rsid w:val="00674F39"/>
    <w:rsid w:val="00674F8B"/>
    <w:rsid w:val="00674FC2"/>
    <w:rsid w:val="006752C9"/>
    <w:rsid w:val="006752E4"/>
    <w:rsid w:val="006753F7"/>
    <w:rsid w:val="00675A04"/>
    <w:rsid w:val="006762DC"/>
    <w:rsid w:val="00676395"/>
    <w:rsid w:val="0067695F"/>
    <w:rsid w:val="0067706D"/>
    <w:rsid w:val="006775CE"/>
    <w:rsid w:val="006777A9"/>
    <w:rsid w:val="00677B5D"/>
    <w:rsid w:val="00677DAC"/>
    <w:rsid w:val="00680053"/>
    <w:rsid w:val="006801D1"/>
    <w:rsid w:val="0068031E"/>
    <w:rsid w:val="00680B08"/>
    <w:rsid w:val="00680F39"/>
    <w:rsid w:val="00681239"/>
    <w:rsid w:val="00681C3E"/>
    <w:rsid w:val="00681D1E"/>
    <w:rsid w:val="00681F86"/>
    <w:rsid w:val="00682024"/>
    <w:rsid w:val="006827F4"/>
    <w:rsid w:val="00682960"/>
    <w:rsid w:val="0068298F"/>
    <w:rsid w:val="00682B38"/>
    <w:rsid w:val="00682F97"/>
    <w:rsid w:val="0068316E"/>
    <w:rsid w:val="00683288"/>
    <w:rsid w:val="00683610"/>
    <w:rsid w:val="00683677"/>
    <w:rsid w:val="0068397C"/>
    <w:rsid w:val="00683C1C"/>
    <w:rsid w:val="00683C90"/>
    <w:rsid w:val="00683E78"/>
    <w:rsid w:val="006844A0"/>
    <w:rsid w:val="00684829"/>
    <w:rsid w:val="00685092"/>
    <w:rsid w:val="006855E3"/>
    <w:rsid w:val="00685B49"/>
    <w:rsid w:val="00685DB2"/>
    <w:rsid w:val="00685DE4"/>
    <w:rsid w:val="00685DEC"/>
    <w:rsid w:val="00686808"/>
    <w:rsid w:val="0068698A"/>
    <w:rsid w:val="006869B2"/>
    <w:rsid w:val="006874CD"/>
    <w:rsid w:val="00687E3F"/>
    <w:rsid w:val="0069011A"/>
    <w:rsid w:val="00690173"/>
    <w:rsid w:val="00690299"/>
    <w:rsid w:val="00690573"/>
    <w:rsid w:val="00690B1F"/>
    <w:rsid w:val="00690DAF"/>
    <w:rsid w:val="0069123C"/>
    <w:rsid w:val="006917F7"/>
    <w:rsid w:val="006918E5"/>
    <w:rsid w:val="006919A8"/>
    <w:rsid w:val="006919CE"/>
    <w:rsid w:val="00691A43"/>
    <w:rsid w:val="00691A44"/>
    <w:rsid w:val="00691ACC"/>
    <w:rsid w:val="00692272"/>
    <w:rsid w:val="00692407"/>
    <w:rsid w:val="0069242B"/>
    <w:rsid w:val="00692BC3"/>
    <w:rsid w:val="00692EE2"/>
    <w:rsid w:val="006931A6"/>
    <w:rsid w:val="00693508"/>
    <w:rsid w:val="00693864"/>
    <w:rsid w:val="00693BB8"/>
    <w:rsid w:val="00693D2E"/>
    <w:rsid w:val="00693D3A"/>
    <w:rsid w:val="00694370"/>
    <w:rsid w:val="0069451F"/>
    <w:rsid w:val="00694879"/>
    <w:rsid w:val="006949C1"/>
    <w:rsid w:val="00694B65"/>
    <w:rsid w:val="00694DE3"/>
    <w:rsid w:val="006953BA"/>
    <w:rsid w:val="00695548"/>
    <w:rsid w:val="00695570"/>
    <w:rsid w:val="0069598B"/>
    <w:rsid w:val="00695C02"/>
    <w:rsid w:val="00695E5D"/>
    <w:rsid w:val="0069600C"/>
    <w:rsid w:val="00696347"/>
    <w:rsid w:val="00696473"/>
    <w:rsid w:val="00696913"/>
    <w:rsid w:val="00697049"/>
    <w:rsid w:val="00697080"/>
    <w:rsid w:val="006973C4"/>
    <w:rsid w:val="006974C3"/>
    <w:rsid w:val="006979FB"/>
    <w:rsid w:val="00697B21"/>
    <w:rsid w:val="00697CE1"/>
    <w:rsid w:val="006A0174"/>
    <w:rsid w:val="006A0375"/>
    <w:rsid w:val="006A042E"/>
    <w:rsid w:val="006A058E"/>
    <w:rsid w:val="006A0FEC"/>
    <w:rsid w:val="006A136E"/>
    <w:rsid w:val="006A17FD"/>
    <w:rsid w:val="006A1978"/>
    <w:rsid w:val="006A1AF1"/>
    <w:rsid w:val="006A1B47"/>
    <w:rsid w:val="006A1FD2"/>
    <w:rsid w:val="006A20DA"/>
    <w:rsid w:val="006A2F68"/>
    <w:rsid w:val="006A3E3D"/>
    <w:rsid w:val="006A4037"/>
    <w:rsid w:val="006A40D5"/>
    <w:rsid w:val="006A46A6"/>
    <w:rsid w:val="006A4D5E"/>
    <w:rsid w:val="006A526F"/>
    <w:rsid w:val="006A52F5"/>
    <w:rsid w:val="006A55FE"/>
    <w:rsid w:val="006A5C4B"/>
    <w:rsid w:val="006A62BE"/>
    <w:rsid w:val="006A6490"/>
    <w:rsid w:val="006A689C"/>
    <w:rsid w:val="006A6FC7"/>
    <w:rsid w:val="006A7159"/>
    <w:rsid w:val="006A715D"/>
    <w:rsid w:val="006A7259"/>
    <w:rsid w:val="006A76E4"/>
    <w:rsid w:val="006A78C7"/>
    <w:rsid w:val="006A7D67"/>
    <w:rsid w:val="006B04BC"/>
    <w:rsid w:val="006B073B"/>
    <w:rsid w:val="006B0C8B"/>
    <w:rsid w:val="006B163E"/>
    <w:rsid w:val="006B19D4"/>
    <w:rsid w:val="006B1E49"/>
    <w:rsid w:val="006B216B"/>
    <w:rsid w:val="006B2601"/>
    <w:rsid w:val="006B26EC"/>
    <w:rsid w:val="006B2B9A"/>
    <w:rsid w:val="006B36DD"/>
    <w:rsid w:val="006B3A7D"/>
    <w:rsid w:val="006B3E4B"/>
    <w:rsid w:val="006B405C"/>
    <w:rsid w:val="006B420C"/>
    <w:rsid w:val="006B47BA"/>
    <w:rsid w:val="006B47E3"/>
    <w:rsid w:val="006B4980"/>
    <w:rsid w:val="006B4F12"/>
    <w:rsid w:val="006B55F4"/>
    <w:rsid w:val="006B5D04"/>
    <w:rsid w:val="006B6003"/>
    <w:rsid w:val="006B60CC"/>
    <w:rsid w:val="006B6359"/>
    <w:rsid w:val="006B641D"/>
    <w:rsid w:val="006B654D"/>
    <w:rsid w:val="006B68C3"/>
    <w:rsid w:val="006B6B6E"/>
    <w:rsid w:val="006B78EF"/>
    <w:rsid w:val="006C01F0"/>
    <w:rsid w:val="006C081E"/>
    <w:rsid w:val="006C0822"/>
    <w:rsid w:val="006C0922"/>
    <w:rsid w:val="006C0B1A"/>
    <w:rsid w:val="006C0FC5"/>
    <w:rsid w:val="006C1281"/>
    <w:rsid w:val="006C186F"/>
    <w:rsid w:val="006C1950"/>
    <w:rsid w:val="006C1A49"/>
    <w:rsid w:val="006C1E16"/>
    <w:rsid w:val="006C2BB0"/>
    <w:rsid w:val="006C33F9"/>
    <w:rsid w:val="006C35D5"/>
    <w:rsid w:val="006C3BD3"/>
    <w:rsid w:val="006C3CAD"/>
    <w:rsid w:val="006C3F75"/>
    <w:rsid w:val="006C409F"/>
    <w:rsid w:val="006C46FF"/>
    <w:rsid w:val="006C4AD4"/>
    <w:rsid w:val="006C4B9E"/>
    <w:rsid w:val="006C4D66"/>
    <w:rsid w:val="006C50A5"/>
    <w:rsid w:val="006C52EC"/>
    <w:rsid w:val="006C585D"/>
    <w:rsid w:val="006C6359"/>
    <w:rsid w:val="006C69F7"/>
    <w:rsid w:val="006C6B62"/>
    <w:rsid w:val="006C6BD8"/>
    <w:rsid w:val="006C6C18"/>
    <w:rsid w:val="006C73C1"/>
    <w:rsid w:val="006D0835"/>
    <w:rsid w:val="006D0981"/>
    <w:rsid w:val="006D09D9"/>
    <w:rsid w:val="006D0CBF"/>
    <w:rsid w:val="006D10CC"/>
    <w:rsid w:val="006D1BD1"/>
    <w:rsid w:val="006D20CE"/>
    <w:rsid w:val="006D2AEA"/>
    <w:rsid w:val="006D2E53"/>
    <w:rsid w:val="006D2ED7"/>
    <w:rsid w:val="006D3153"/>
    <w:rsid w:val="006D3334"/>
    <w:rsid w:val="006D3A33"/>
    <w:rsid w:val="006D3B24"/>
    <w:rsid w:val="006D48E3"/>
    <w:rsid w:val="006D491E"/>
    <w:rsid w:val="006D4E4A"/>
    <w:rsid w:val="006D502C"/>
    <w:rsid w:val="006D546B"/>
    <w:rsid w:val="006D5850"/>
    <w:rsid w:val="006D5FD2"/>
    <w:rsid w:val="006D677B"/>
    <w:rsid w:val="006D695E"/>
    <w:rsid w:val="006D6A53"/>
    <w:rsid w:val="006D717F"/>
    <w:rsid w:val="006D73A9"/>
    <w:rsid w:val="006D7817"/>
    <w:rsid w:val="006D7923"/>
    <w:rsid w:val="006D7948"/>
    <w:rsid w:val="006D7A5A"/>
    <w:rsid w:val="006E0580"/>
    <w:rsid w:val="006E089D"/>
    <w:rsid w:val="006E0FDD"/>
    <w:rsid w:val="006E10FF"/>
    <w:rsid w:val="006E1323"/>
    <w:rsid w:val="006E1491"/>
    <w:rsid w:val="006E1670"/>
    <w:rsid w:val="006E22C5"/>
    <w:rsid w:val="006E2341"/>
    <w:rsid w:val="006E2682"/>
    <w:rsid w:val="006E2825"/>
    <w:rsid w:val="006E2840"/>
    <w:rsid w:val="006E3102"/>
    <w:rsid w:val="006E38D7"/>
    <w:rsid w:val="006E3A0A"/>
    <w:rsid w:val="006E41BA"/>
    <w:rsid w:val="006E48BD"/>
    <w:rsid w:val="006E4B41"/>
    <w:rsid w:val="006E5BCC"/>
    <w:rsid w:val="006E61A6"/>
    <w:rsid w:val="006E6352"/>
    <w:rsid w:val="006E639E"/>
    <w:rsid w:val="006E649E"/>
    <w:rsid w:val="006E6814"/>
    <w:rsid w:val="006E6AA1"/>
    <w:rsid w:val="006E6ACD"/>
    <w:rsid w:val="006E6C25"/>
    <w:rsid w:val="006E6FA1"/>
    <w:rsid w:val="006E7085"/>
    <w:rsid w:val="006E7312"/>
    <w:rsid w:val="006F0120"/>
    <w:rsid w:val="006F0B12"/>
    <w:rsid w:val="006F0E3F"/>
    <w:rsid w:val="006F0F9B"/>
    <w:rsid w:val="006F1C79"/>
    <w:rsid w:val="006F1ECE"/>
    <w:rsid w:val="006F23D4"/>
    <w:rsid w:val="006F2E03"/>
    <w:rsid w:val="006F3132"/>
    <w:rsid w:val="006F34C9"/>
    <w:rsid w:val="006F3809"/>
    <w:rsid w:val="006F3817"/>
    <w:rsid w:val="006F3A6C"/>
    <w:rsid w:val="006F3AF2"/>
    <w:rsid w:val="006F46F6"/>
    <w:rsid w:val="006F473B"/>
    <w:rsid w:val="006F4E62"/>
    <w:rsid w:val="006F5303"/>
    <w:rsid w:val="006F543D"/>
    <w:rsid w:val="006F54A8"/>
    <w:rsid w:val="006F572F"/>
    <w:rsid w:val="006F59D9"/>
    <w:rsid w:val="006F59FC"/>
    <w:rsid w:val="006F6060"/>
    <w:rsid w:val="006F60A0"/>
    <w:rsid w:val="006F6123"/>
    <w:rsid w:val="006F657A"/>
    <w:rsid w:val="006F6A17"/>
    <w:rsid w:val="006F6FD1"/>
    <w:rsid w:val="006F7188"/>
    <w:rsid w:val="006F73AC"/>
    <w:rsid w:val="006F77B9"/>
    <w:rsid w:val="006F7B47"/>
    <w:rsid w:val="006F7C1A"/>
    <w:rsid w:val="006F7CC9"/>
    <w:rsid w:val="007000FD"/>
    <w:rsid w:val="00700371"/>
    <w:rsid w:val="007004D2"/>
    <w:rsid w:val="007004E5"/>
    <w:rsid w:val="00700C67"/>
    <w:rsid w:val="00700DE6"/>
    <w:rsid w:val="00701789"/>
    <w:rsid w:val="007018EE"/>
    <w:rsid w:val="00701C80"/>
    <w:rsid w:val="00701FB6"/>
    <w:rsid w:val="0070201F"/>
    <w:rsid w:val="0070231F"/>
    <w:rsid w:val="007029FB"/>
    <w:rsid w:val="00702EE8"/>
    <w:rsid w:val="0070301D"/>
    <w:rsid w:val="007031AE"/>
    <w:rsid w:val="007037A9"/>
    <w:rsid w:val="007037B9"/>
    <w:rsid w:val="007038C0"/>
    <w:rsid w:val="00703DA0"/>
    <w:rsid w:val="00704247"/>
    <w:rsid w:val="00704271"/>
    <w:rsid w:val="007047FB"/>
    <w:rsid w:val="007048D1"/>
    <w:rsid w:val="00704B19"/>
    <w:rsid w:val="007055CE"/>
    <w:rsid w:val="0070569F"/>
    <w:rsid w:val="00705892"/>
    <w:rsid w:val="007059E7"/>
    <w:rsid w:val="0070673A"/>
    <w:rsid w:val="00706788"/>
    <w:rsid w:val="00706B29"/>
    <w:rsid w:val="00707206"/>
    <w:rsid w:val="00707355"/>
    <w:rsid w:val="007079F5"/>
    <w:rsid w:val="00707A28"/>
    <w:rsid w:val="00707B00"/>
    <w:rsid w:val="00707CA5"/>
    <w:rsid w:val="00710071"/>
    <w:rsid w:val="00710408"/>
    <w:rsid w:val="00710AD3"/>
    <w:rsid w:val="00710F46"/>
    <w:rsid w:val="007113EA"/>
    <w:rsid w:val="00711730"/>
    <w:rsid w:val="00711B7F"/>
    <w:rsid w:val="00711DD7"/>
    <w:rsid w:val="00711E2F"/>
    <w:rsid w:val="00711F9A"/>
    <w:rsid w:val="00712AC1"/>
    <w:rsid w:val="00712AEA"/>
    <w:rsid w:val="00712B5A"/>
    <w:rsid w:val="00712D5E"/>
    <w:rsid w:val="00712F8F"/>
    <w:rsid w:val="00713065"/>
    <w:rsid w:val="00713132"/>
    <w:rsid w:val="007135C2"/>
    <w:rsid w:val="007136A1"/>
    <w:rsid w:val="00713873"/>
    <w:rsid w:val="00713959"/>
    <w:rsid w:val="00713996"/>
    <w:rsid w:val="0071424F"/>
    <w:rsid w:val="007146B3"/>
    <w:rsid w:val="00714855"/>
    <w:rsid w:val="00714A3E"/>
    <w:rsid w:val="00714B11"/>
    <w:rsid w:val="00714B3A"/>
    <w:rsid w:val="0071514C"/>
    <w:rsid w:val="00715468"/>
    <w:rsid w:val="007157D6"/>
    <w:rsid w:val="00715BBD"/>
    <w:rsid w:val="00715E83"/>
    <w:rsid w:val="00715F30"/>
    <w:rsid w:val="00716074"/>
    <w:rsid w:val="007160EC"/>
    <w:rsid w:val="007178DA"/>
    <w:rsid w:val="00717CF7"/>
    <w:rsid w:val="00717FC5"/>
    <w:rsid w:val="00720833"/>
    <w:rsid w:val="007208FB"/>
    <w:rsid w:val="0072103D"/>
    <w:rsid w:val="00722624"/>
    <w:rsid w:val="00722BB4"/>
    <w:rsid w:val="00723011"/>
    <w:rsid w:val="00723516"/>
    <w:rsid w:val="00723662"/>
    <w:rsid w:val="007236AB"/>
    <w:rsid w:val="00724728"/>
    <w:rsid w:val="00724906"/>
    <w:rsid w:val="00724BFE"/>
    <w:rsid w:val="00724FD3"/>
    <w:rsid w:val="0072570C"/>
    <w:rsid w:val="00725936"/>
    <w:rsid w:val="00725D9F"/>
    <w:rsid w:val="00725EF4"/>
    <w:rsid w:val="007265C0"/>
    <w:rsid w:val="0072677F"/>
    <w:rsid w:val="00726D85"/>
    <w:rsid w:val="00730F40"/>
    <w:rsid w:val="00730F49"/>
    <w:rsid w:val="007317A0"/>
    <w:rsid w:val="00731D6E"/>
    <w:rsid w:val="007327CD"/>
    <w:rsid w:val="00732A81"/>
    <w:rsid w:val="007333B2"/>
    <w:rsid w:val="007333DA"/>
    <w:rsid w:val="00733555"/>
    <w:rsid w:val="0073388A"/>
    <w:rsid w:val="00733C83"/>
    <w:rsid w:val="00733EF2"/>
    <w:rsid w:val="00733FD3"/>
    <w:rsid w:val="00734046"/>
    <w:rsid w:val="0073404F"/>
    <w:rsid w:val="0073423E"/>
    <w:rsid w:val="00734C55"/>
    <w:rsid w:val="00734DE4"/>
    <w:rsid w:val="00735120"/>
    <w:rsid w:val="00735859"/>
    <w:rsid w:val="00735F1E"/>
    <w:rsid w:val="0073620B"/>
    <w:rsid w:val="007364F8"/>
    <w:rsid w:val="00736570"/>
    <w:rsid w:val="00736775"/>
    <w:rsid w:val="00736BEE"/>
    <w:rsid w:val="00736D4A"/>
    <w:rsid w:val="00736ED5"/>
    <w:rsid w:val="007371C4"/>
    <w:rsid w:val="007373A7"/>
    <w:rsid w:val="00737A31"/>
    <w:rsid w:val="00737F27"/>
    <w:rsid w:val="007400E9"/>
    <w:rsid w:val="007405C0"/>
    <w:rsid w:val="00740653"/>
    <w:rsid w:val="0074076B"/>
    <w:rsid w:val="007407F4"/>
    <w:rsid w:val="00740823"/>
    <w:rsid w:val="007409E4"/>
    <w:rsid w:val="00740B19"/>
    <w:rsid w:val="00740CF8"/>
    <w:rsid w:val="00740E1E"/>
    <w:rsid w:val="00740E5E"/>
    <w:rsid w:val="0074115E"/>
    <w:rsid w:val="007412BE"/>
    <w:rsid w:val="0074143A"/>
    <w:rsid w:val="00741509"/>
    <w:rsid w:val="0074186E"/>
    <w:rsid w:val="0074194F"/>
    <w:rsid w:val="00741ADE"/>
    <w:rsid w:val="00741B6A"/>
    <w:rsid w:val="00741FC0"/>
    <w:rsid w:val="007426FE"/>
    <w:rsid w:val="007430E1"/>
    <w:rsid w:val="0074331D"/>
    <w:rsid w:val="0074387F"/>
    <w:rsid w:val="00743BCE"/>
    <w:rsid w:val="00743CBE"/>
    <w:rsid w:val="00743D31"/>
    <w:rsid w:val="00743FAE"/>
    <w:rsid w:val="0074410D"/>
    <w:rsid w:val="00744121"/>
    <w:rsid w:val="0074414A"/>
    <w:rsid w:val="0074439A"/>
    <w:rsid w:val="00744495"/>
    <w:rsid w:val="00744921"/>
    <w:rsid w:val="00744A6C"/>
    <w:rsid w:val="00744C4E"/>
    <w:rsid w:val="00744DDF"/>
    <w:rsid w:val="00744F70"/>
    <w:rsid w:val="00745669"/>
    <w:rsid w:val="007456B2"/>
    <w:rsid w:val="0074580E"/>
    <w:rsid w:val="007459B4"/>
    <w:rsid w:val="00746010"/>
    <w:rsid w:val="007465D8"/>
    <w:rsid w:val="00746DE6"/>
    <w:rsid w:val="00747A55"/>
    <w:rsid w:val="007508DF"/>
    <w:rsid w:val="00750D51"/>
    <w:rsid w:val="00751108"/>
    <w:rsid w:val="0075117A"/>
    <w:rsid w:val="007519C6"/>
    <w:rsid w:val="00752238"/>
    <w:rsid w:val="0075245F"/>
    <w:rsid w:val="00752697"/>
    <w:rsid w:val="00752725"/>
    <w:rsid w:val="00752781"/>
    <w:rsid w:val="007527E9"/>
    <w:rsid w:val="00752B0C"/>
    <w:rsid w:val="00752C54"/>
    <w:rsid w:val="00753442"/>
    <w:rsid w:val="00753728"/>
    <w:rsid w:val="0075380E"/>
    <w:rsid w:val="00753E81"/>
    <w:rsid w:val="00753EB7"/>
    <w:rsid w:val="00754039"/>
    <w:rsid w:val="00755B78"/>
    <w:rsid w:val="00755DAB"/>
    <w:rsid w:val="007561DE"/>
    <w:rsid w:val="007569AF"/>
    <w:rsid w:val="00756A97"/>
    <w:rsid w:val="00756DF4"/>
    <w:rsid w:val="00756EFC"/>
    <w:rsid w:val="00757090"/>
    <w:rsid w:val="00757211"/>
    <w:rsid w:val="007579AF"/>
    <w:rsid w:val="00757B0F"/>
    <w:rsid w:val="00757C53"/>
    <w:rsid w:val="00757DA4"/>
    <w:rsid w:val="00757FAD"/>
    <w:rsid w:val="00757FC4"/>
    <w:rsid w:val="007607BD"/>
    <w:rsid w:val="00760C36"/>
    <w:rsid w:val="00760CA2"/>
    <w:rsid w:val="00760CF8"/>
    <w:rsid w:val="00760F4A"/>
    <w:rsid w:val="0076198C"/>
    <w:rsid w:val="00761D0B"/>
    <w:rsid w:val="00761D31"/>
    <w:rsid w:val="007628FC"/>
    <w:rsid w:val="007629A5"/>
    <w:rsid w:val="00762C2D"/>
    <w:rsid w:val="00762CC0"/>
    <w:rsid w:val="007632C9"/>
    <w:rsid w:val="0076355A"/>
    <w:rsid w:val="007637CD"/>
    <w:rsid w:val="007637E0"/>
    <w:rsid w:val="00763A1D"/>
    <w:rsid w:val="00763F7D"/>
    <w:rsid w:val="00764050"/>
    <w:rsid w:val="00764226"/>
    <w:rsid w:val="00764229"/>
    <w:rsid w:val="00764B43"/>
    <w:rsid w:val="00764E63"/>
    <w:rsid w:val="00764F14"/>
    <w:rsid w:val="007652C2"/>
    <w:rsid w:val="00765302"/>
    <w:rsid w:val="007653A2"/>
    <w:rsid w:val="007658FA"/>
    <w:rsid w:val="00765DDE"/>
    <w:rsid w:val="007660F4"/>
    <w:rsid w:val="007661BB"/>
    <w:rsid w:val="00766327"/>
    <w:rsid w:val="00766A4D"/>
    <w:rsid w:val="00766CC1"/>
    <w:rsid w:val="00766D25"/>
    <w:rsid w:val="00766DC2"/>
    <w:rsid w:val="00766E04"/>
    <w:rsid w:val="00766FE3"/>
    <w:rsid w:val="0076740F"/>
    <w:rsid w:val="00767D74"/>
    <w:rsid w:val="00770590"/>
    <w:rsid w:val="00770B2F"/>
    <w:rsid w:val="00770BFD"/>
    <w:rsid w:val="00770F61"/>
    <w:rsid w:val="00771354"/>
    <w:rsid w:val="00771498"/>
    <w:rsid w:val="0077189F"/>
    <w:rsid w:val="0077197B"/>
    <w:rsid w:val="0077230B"/>
    <w:rsid w:val="0077253E"/>
    <w:rsid w:val="00772556"/>
    <w:rsid w:val="00772B71"/>
    <w:rsid w:val="00772C60"/>
    <w:rsid w:val="00772F87"/>
    <w:rsid w:val="007737A5"/>
    <w:rsid w:val="0077391A"/>
    <w:rsid w:val="0077419B"/>
    <w:rsid w:val="0077447B"/>
    <w:rsid w:val="00774535"/>
    <w:rsid w:val="00774A38"/>
    <w:rsid w:val="00774DA5"/>
    <w:rsid w:val="00774E9C"/>
    <w:rsid w:val="0077502A"/>
    <w:rsid w:val="00775158"/>
    <w:rsid w:val="007754AA"/>
    <w:rsid w:val="00775545"/>
    <w:rsid w:val="00775989"/>
    <w:rsid w:val="00776FA5"/>
    <w:rsid w:val="0077725F"/>
    <w:rsid w:val="0077733D"/>
    <w:rsid w:val="007776AF"/>
    <w:rsid w:val="00777987"/>
    <w:rsid w:val="00777D54"/>
    <w:rsid w:val="00780332"/>
    <w:rsid w:val="00780427"/>
    <w:rsid w:val="007809AF"/>
    <w:rsid w:val="00780D74"/>
    <w:rsid w:val="00780E38"/>
    <w:rsid w:val="00780FCA"/>
    <w:rsid w:val="007819FB"/>
    <w:rsid w:val="00781E0D"/>
    <w:rsid w:val="00781FA0"/>
    <w:rsid w:val="00782079"/>
    <w:rsid w:val="007821D4"/>
    <w:rsid w:val="0078228F"/>
    <w:rsid w:val="007826E1"/>
    <w:rsid w:val="0078279C"/>
    <w:rsid w:val="00782F0C"/>
    <w:rsid w:val="00782F65"/>
    <w:rsid w:val="00782F83"/>
    <w:rsid w:val="007833DA"/>
    <w:rsid w:val="007835D1"/>
    <w:rsid w:val="00783988"/>
    <w:rsid w:val="00783AE0"/>
    <w:rsid w:val="00783EDC"/>
    <w:rsid w:val="00784510"/>
    <w:rsid w:val="00784AA8"/>
    <w:rsid w:val="00784C97"/>
    <w:rsid w:val="00784D37"/>
    <w:rsid w:val="00784EEE"/>
    <w:rsid w:val="00785274"/>
    <w:rsid w:val="00785469"/>
    <w:rsid w:val="00785C78"/>
    <w:rsid w:val="00785F08"/>
    <w:rsid w:val="007869E7"/>
    <w:rsid w:val="00786E58"/>
    <w:rsid w:val="00786F6B"/>
    <w:rsid w:val="007872D2"/>
    <w:rsid w:val="0078736D"/>
    <w:rsid w:val="00787374"/>
    <w:rsid w:val="00787F94"/>
    <w:rsid w:val="007904A2"/>
    <w:rsid w:val="007905FB"/>
    <w:rsid w:val="00790739"/>
    <w:rsid w:val="00790A22"/>
    <w:rsid w:val="00791188"/>
    <w:rsid w:val="007912B2"/>
    <w:rsid w:val="007912CB"/>
    <w:rsid w:val="0079169B"/>
    <w:rsid w:val="007921B8"/>
    <w:rsid w:val="00792284"/>
    <w:rsid w:val="00792BE6"/>
    <w:rsid w:val="00792F93"/>
    <w:rsid w:val="007930FB"/>
    <w:rsid w:val="0079395A"/>
    <w:rsid w:val="00793987"/>
    <w:rsid w:val="00793EE2"/>
    <w:rsid w:val="00794751"/>
    <w:rsid w:val="00794892"/>
    <w:rsid w:val="007948E4"/>
    <w:rsid w:val="00794EB0"/>
    <w:rsid w:val="007950BA"/>
    <w:rsid w:val="00795298"/>
    <w:rsid w:val="0079562A"/>
    <w:rsid w:val="0079584D"/>
    <w:rsid w:val="007961F6"/>
    <w:rsid w:val="007965CD"/>
    <w:rsid w:val="007966E6"/>
    <w:rsid w:val="00796D4E"/>
    <w:rsid w:val="0079722B"/>
    <w:rsid w:val="0079797F"/>
    <w:rsid w:val="00797F57"/>
    <w:rsid w:val="007A016A"/>
    <w:rsid w:val="007A04CC"/>
    <w:rsid w:val="007A0D35"/>
    <w:rsid w:val="007A0F3E"/>
    <w:rsid w:val="007A10F5"/>
    <w:rsid w:val="007A12C6"/>
    <w:rsid w:val="007A1A8A"/>
    <w:rsid w:val="007A1B6F"/>
    <w:rsid w:val="007A1C11"/>
    <w:rsid w:val="007A209F"/>
    <w:rsid w:val="007A20C3"/>
    <w:rsid w:val="007A221B"/>
    <w:rsid w:val="007A2239"/>
    <w:rsid w:val="007A22D2"/>
    <w:rsid w:val="007A280E"/>
    <w:rsid w:val="007A2AE1"/>
    <w:rsid w:val="007A30BE"/>
    <w:rsid w:val="007A312C"/>
    <w:rsid w:val="007A31D2"/>
    <w:rsid w:val="007A33C9"/>
    <w:rsid w:val="007A3508"/>
    <w:rsid w:val="007A3815"/>
    <w:rsid w:val="007A3CA5"/>
    <w:rsid w:val="007A3E4D"/>
    <w:rsid w:val="007A4179"/>
    <w:rsid w:val="007A4272"/>
    <w:rsid w:val="007A4716"/>
    <w:rsid w:val="007A4789"/>
    <w:rsid w:val="007A47F0"/>
    <w:rsid w:val="007A49A8"/>
    <w:rsid w:val="007A4BC7"/>
    <w:rsid w:val="007A4C6B"/>
    <w:rsid w:val="007A4CA6"/>
    <w:rsid w:val="007A4CD9"/>
    <w:rsid w:val="007A4F7A"/>
    <w:rsid w:val="007A5141"/>
    <w:rsid w:val="007A5447"/>
    <w:rsid w:val="007A5607"/>
    <w:rsid w:val="007A5A1A"/>
    <w:rsid w:val="007A5AAA"/>
    <w:rsid w:val="007A5AEF"/>
    <w:rsid w:val="007A6001"/>
    <w:rsid w:val="007A69A5"/>
    <w:rsid w:val="007A6AE9"/>
    <w:rsid w:val="007A6CCF"/>
    <w:rsid w:val="007A6DFD"/>
    <w:rsid w:val="007A7311"/>
    <w:rsid w:val="007A751E"/>
    <w:rsid w:val="007A79CD"/>
    <w:rsid w:val="007A7BAB"/>
    <w:rsid w:val="007B00ED"/>
    <w:rsid w:val="007B0268"/>
    <w:rsid w:val="007B0749"/>
    <w:rsid w:val="007B0785"/>
    <w:rsid w:val="007B0C9E"/>
    <w:rsid w:val="007B0D26"/>
    <w:rsid w:val="007B0D52"/>
    <w:rsid w:val="007B133F"/>
    <w:rsid w:val="007B1440"/>
    <w:rsid w:val="007B16A0"/>
    <w:rsid w:val="007B172C"/>
    <w:rsid w:val="007B186A"/>
    <w:rsid w:val="007B1C58"/>
    <w:rsid w:val="007B2013"/>
    <w:rsid w:val="007B21E1"/>
    <w:rsid w:val="007B26A0"/>
    <w:rsid w:val="007B2804"/>
    <w:rsid w:val="007B29EC"/>
    <w:rsid w:val="007B3239"/>
    <w:rsid w:val="007B3892"/>
    <w:rsid w:val="007B3DBF"/>
    <w:rsid w:val="007B3E56"/>
    <w:rsid w:val="007B45C9"/>
    <w:rsid w:val="007B4747"/>
    <w:rsid w:val="007B47EA"/>
    <w:rsid w:val="007B484E"/>
    <w:rsid w:val="007B5200"/>
    <w:rsid w:val="007B54D6"/>
    <w:rsid w:val="007B595E"/>
    <w:rsid w:val="007B6888"/>
    <w:rsid w:val="007B6B52"/>
    <w:rsid w:val="007B6BA0"/>
    <w:rsid w:val="007B76AC"/>
    <w:rsid w:val="007B78C3"/>
    <w:rsid w:val="007C0200"/>
    <w:rsid w:val="007C0319"/>
    <w:rsid w:val="007C061B"/>
    <w:rsid w:val="007C07D4"/>
    <w:rsid w:val="007C0962"/>
    <w:rsid w:val="007C1449"/>
    <w:rsid w:val="007C19AB"/>
    <w:rsid w:val="007C1B40"/>
    <w:rsid w:val="007C22C2"/>
    <w:rsid w:val="007C27C7"/>
    <w:rsid w:val="007C2928"/>
    <w:rsid w:val="007C3204"/>
    <w:rsid w:val="007C353E"/>
    <w:rsid w:val="007C3AB8"/>
    <w:rsid w:val="007C3DF9"/>
    <w:rsid w:val="007C4300"/>
    <w:rsid w:val="007C45BC"/>
    <w:rsid w:val="007C45D4"/>
    <w:rsid w:val="007C4BEB"/>
    <w:rsid w:val="007C5077"/>
    <w:rsid w:val="007C55CB"/>
    <w:rsid w:val="007C59BD"/>
    <w:rsid w:val="007C5AAD"/>
    <w:rsid w:val="007C6135"/>
    <w:rsid w:val="007C64FB"/>
    <w:rsid w:val="007C65F4"/>
    <w:rsid w:val="007C6946"/>
    <w:rsid w:val="007C70CF"/>
    <w:rsid w:val="007C732B"/>
    <w:rsid w:val="007C77F6"/>
    <w:rsid w:val="007C786E"/>
    <w:rsid w:val="007C792B"/>
    <w:rsid w:val="007C7E47"/>
    <w:rsid w:val="007C7E6D"/>
    <w:rsid w:val="007D0048"/>
    <w:rsid w:val="007D00EE"/>
    <w:rsid w:val="007D01FF"/>
    <w:rsid w:val="007D0C39"/>
    <w:rsid w:val="007D0DAB"/>
    <w:rsid w:val="007D1258"/>
    <w:rsid w:val="007D1618"/>
    <w:rsid w:val="007D21D7"/>
    <w:rsid w:val="007D21E4"/>
    <w:rsid w:val="007D21EA"/>
    <w:rsid w:val="007D2489"/>
    <w:rsid w:val="007D284C"/>
    <w:rsid w:val="007D2AC8"/>
    <w:rsid w:val="007D2F90"/>
    <w:rsid w:val="007D3054"/>
    <w:rsid w:val="007D3361"/>
    <w:rsid w:val="007D365A"/>
    <w:rsid w:val="007D39A6"/>
    <w:rsid w:val="007D3A00"/>
    <w:rsid w:val="007D3A0F"/>
    <w:rsid w:val="007D3B1B"/>
    <w:rsid w:val="007D3B83"/>
    <w:rsid w:val="007D3E2B"/>
    <w:rsid w:val="007D5017"/>
    <w:rsid w:val="007D5331"/>
    <w:rsid w:val="007D591F"/>
    <w:rsid w:val="007D5B8E"/>
    <w:rsid w:val="007D5D0A"/>
    <w:rsid w:val="007D661C"/>
    <w:rsid w:val="007D6C3F"/>
    <w:rsid w:val="007D7146"/>
    <w:rsid w:val="007D7CE7"/>
    <w:rsid w:val="007E01DC"/>
    <w:rsid w:val="007E096F"/>
    <w:rsid w:val="007E0C10"/>
    <w:rsid w:val="007E0F6C"/>
    <w:rsid w:val="007E0FA3"/>
    <w:rsid w:val="007E1198"/>
    <w:rsid w:val="007E1716"/>
    <w:rsid w:val="007E1A89"/>
    <w:rsid w:val="007E1B21"/>
    <w:rsid w:val="007E1BF8"/>
    <w:rsid w:val="007E1DCA"/>
    <w:rsid w:val="007E2029"/>
    <w:rsid w:val="007E2250"/>
    <w:rsid w:val="007E25F0"/>
    <w:rsid w:val="007E2847"/>
    <w:rsid w:val="007E284F"/>
    <w:rsid w:val="007E290E"/>
    <w:rsid w:val="007E2A41"/>
    <w:rsid w:val="007E2B3E"/>
    <w:rsid w:val="007E2D88"/>
    <w:rsid w:val="007E3344"/>
    <w:rsid w:val="007E375B"/>
    <w:rsid w:val="007E3A64"/>
    <w:rsid w:val="007E3B42"/>
    <w:rsid w:val="007E3C32"/>
    <w:rsid w:val="007E417B"/>
    <w:rsid w:val="007E4480"/>
    <w:rsid w:val="007E49F7"/>
    <w:rsid w:val="007E4E35"/>
    <w:rsid w:val="007E515A"/>
    <w:rsid w:val="007E53C6"/>
    <w:rsid w:val="007E53D8"/>
    <w:rsid w:val="007E5980"/>
    <w:rsid w:val="007E5A35"/>
    <w:rsid w:val="007E5A84"/>
    <w:rsid w:val="007E5D1E"/>
    <w:rsid w:val="007E5E04"/>
    <w:rsid w:val="007E5E97"/>
    <w:rsid w:val="007E6293"/>
    <w:rsid w:val="007E63D3"/>
    <w:rsid w:val="007E6F88"/>
    <w:rsid w:val="007E7274"/>
    <w:rsid w:val="007E7D89"/>
    <w:rsid w:val="007E7DC4"/>
    <w:rsid w:val="007F0240"/>
    <w:rsid w:val="007F02FF"/>
    <w:rsid w:val="007F0A32"/>
    <w:rsid w:val="007F1970"/>
    <w:rsid w:val="007F1975"/>
    <w:rsid w:val="007F1A64"/>
    <w:rsid w:val="007F1E2C"/>
    <w:rsid w:val="007F216D"/>
    <w:rsid w:val="007F237B"/>
    <w:rsid w:val="007F26B3"/>
    <w:rsid w:val="007F2C1A"/>
    <w:rsid w:val="007F301B"/>
    <w:rsid w:val="007F3FF8"/>
    <w:rsid w:val="007F46B8"/>
    <w:rsid w:val="007F46EF"/>
    <w:rsid w:val="007F485D"/>
    <w:rsid w:val="007F4D2C"/>
    <w:rsid w:val="007F547E"/>
    <w:rsid w:val="007F54E6"/>
    <w:rsid w:val="007F55A4"/>
    <w:rsid w:val="007F55FD"/>
    <w:rsid w:val="007F5CDC"/>
    <w:rsid w:val="007F60F8"/>
    <w:rsid w:val="007F665D"/>
    <w:rsid w:val="007F6981"/>
    <w:rsid w:val="007F6CD9"/>
    <w:rsid w:val="007F6F24"/>
    <w:rsid w:val="007F6FDB"/>
    <w:rsid w:val="007F714F"/>
    <w:rsid w:val="007F7232"/>
    <w:rsid w:val="007F78D2"/>
    <w:rsid w:val="007F7DC2"/>
    <w:rsid w:val="007F7F6D"/>
    <w:rsid w:val="0080002A"/>
    <w:rsid w:val="0080023B"/>
    <w:rsid w:val="0080026C"/>
    <w:rsid w:val="008002A4"/>
    <w:rsid w:val="008003A0"/>
    <w:rsid w:val="008009D5"/>
    <w:rsid w:val="00800BD1"/>
    <w:rsid w:val="00800CD3"/>
    <w:rsid w:val="00800CEE"/>
    <w:rsid w:val="00800D03"/>
    <w:rsid w:val="00800E7D"/>
    <w:rsid w:val="00800F63"/>
    <w:rsid w:val="00801810"/>
    <w:rsid w:val="00801827"/>
    <w:rsid w:val="008018AE"/>
    <w:rsid w:val="00801969"/>
    <w:rsid w:val="00802153"/>
    <w:rsid w:val="00802C56"/>
    <w:rsid w:val="00802F00"/>
    <w:rsid w:val="00803293"/>
    <w:rsid w:val="00803CBF"/>
    <w:rsid w:val="00803E79"/>
    <w:rsid w:val="00803F19"/>
    <w:rsid w:val="0080426E"/>
    <w:rsid w:val="00804CF9"/>
    <w:rsid w:val="00804FCA"/>
    <w:rsid w:val="0080574C"/>
    <w:rsid w:val="008057C5"/>
    <w:rsid w:val="008058F3"/>
    <w:rsid w:val="00805D8C"/>
    <w:rsid w:val="00805F1B"/>
    <w:rsid w:val="008062FC"/>
    <w:rsid w:val="0080639F"/>
    <w:rsid w:val="0080680F"/>
    <w:rsid w:val="00806905"/>
    <w:rsid w:val="008069A8"/>
    <w:rsid w:val="00806D44"/>
    <w:rsid w:val="00807502"/>
    <w:rsid w:val="0080790E"/>
    <w:rsid w:val="008100E2"/>
    <w:rsid w:val="00810EDD"/>
    <w:rsid w:val="00810EE7"/>
    <w:rsid w:val="00811112"/>
    <w:rsid w:val="008116CD"/>
    <w:rsid w:val="00811948"/>
    <w:rsid w:val="00811A58"/>
    <w:rsid w:val="00811B79"/>
    <w:rsid w:val="00811C14"/>
    <w:rsid w:val="00811F52"/>
    <w:rsid w:val="00811FBD"/>
    <w:rsid w:val="00812AF4"/>
    <w:rsid w:val="00812C29"/>
    <w:rsid w:val="00813018"/>
    <w:rsid w:val="008133B8"/>
    <w:rsid w:val="0081351D"/>
    <w:rsid w:val="00813DD1"/>
    <w:rsid w:val="00814503"/>
    <w:rsid w:val="00814890"/>
    <w:rsid w:val="00814B67"/>
    <w:rsid w:val="00814B7A"/>
    <w:rsid w:val="00814EE6"/>
    <w:rsid w:val="00815133"/>
    <w:rsid w:val="00815A2F"/>
    <w:rsid w:val="0081615C"/>
    <w:rsid w:val="00816481"/>
    <w:rsid w:val="00816CB5"/>
    <w:rsid w:val="00816E9A"/>
    <w:rsid w:val="008170E4"/>
    <w:rsid w:val="00817A28"/>
    <w:rsid w:val="00817B80"/>
    <w:rsid w:val="00817D03"/>
    <w:rsid w:val="00817F89"/>
    <w:rsid w:val="0082008C"/>
    <w:rsid w:val="00820398"/>
    <w:rsid w:val="008208D4"/>
    <w:rsid w:val="008218E9"/>
    <w:rsid w:val="00821943"/>
    <w:rsid w:val="00821ABA"/>
    <w:rsid w:val="00821E57"/>
    <w:rsid w:val="0082222A"/>
    <w:rsid w:val="00822335"/>
    <w:rsid w:val="008224B2"/>
    <w:rsid w:val="0082261E"/>
    <w:rsid w:val="0082268C"/>
    <w:rsid w:val="00822CB9"/>
    <w:rsid w:val="00823092"/>
    <w:rsid w:val="00823913"/>
    <w:rsid w:val="008241FA"/>
    <w:rsid w:val="00824C9F"/>
    <w:rsid w:val="00825136"/>
    <w:rsid w:val="008251AA"/>
    <w:rsid w:val="00825787"/>
    <w:rsid w:val="008257B2"/>
    <w:rsid w:val="00825D9B"/>
    <w:rsid w:val="008266F8"/>
    <w:rsid w:val="008268D2"/>
    <w:rsid w:val="00826AC5"/>
    <w:rsid w:val="00826B38"/>
    <w:rsid w:val="008272C4"/>
    <w:rsid w:val="008274EA"/>
    <w:rsid w:val="00827B76"/>
    <w:rsid w:val="00827CCC"/>
    <w:rsid w:val="00830037"/>
    <w:rsid w:val="00830107"/>
    <w:rsid w:val="008305CA"/>
    <w:rsid w:val="008306AB"/>
    <w:rsid w:val="00830895"/>
    <w:rsid w:val="00830D28"/>
    <w:rsid w:val="00830DD4"/>
    <w:rsid w:val="008316B0"/>
    <w:rsid w:val="008316CB"/>
    <w:rsid w:val="00831B76"/>
    <w:rsid w:val="00831FA4"/>
    <w:rsid w:val="00831FE3"/>
    <w:rsid w:val="00832773"/>
    <w:rsid w:val="00832799"/>
    <w:rsid w:val="0083302A"/>
    <w:rsid w:val="008332D3"/>
    <w:rsid w:val="0083345F"/>
    <w:rsid w:val="00833753"/>
    <w:rsid w:val="008337DB"/>
    <w:rsid w:val="00834121"/>
    <w:rsid w:val="008343F4"/>
    <w:rsid w:val="008347C3"/>
    <w:rsid w:val="00834F19"/>
    <w:rsid w:val="00835796"/>
    <w:rsid w:val="00835A9C"/>
    <w:rsid w:val="00835DA7"/>
    <w:rsid w:val="00835FD2"/>
    <w:rsid w:val="0083635F"/>
    <w:rsid w:val="00836B0B"/>
    <w:rsid w:val="00836D50"/>
    <w:rsid w:val="00837057"/>
    <w:rsid w:val="0083766C"/>
    <w:rsid w:val="0083772D"/>
    <w:rsid w:val="008379CA"/>
    <w:rsid w:val="00837A56"/>
    <w:rsid w:val="008403BF"/>
    <w:rsid w:val="0084065B"/>
    <w:rsid w:val="00840680"/>
    <w:rsid w:val="00840BB4"/>
    <w:rsid w:val="00840E9C"/>
    <w:rsid w:val="00840EF3"/>
    <w:rsid w:val="00840F32"/>
    <w:rsid w:val="008410DF"/>
    <w:rsid w:val="008414B5"/>
    <w:rsid w:val="008414BD"/>
    <w:rsid w:val="00841802"/>
    <w:rsid w:val="00841A29"/>
    <w:rsid w:val="00841AFC"/>
    <w:rsid w:val="00841C3B"/>
    <w:rsid w:val="00841C9D"/>
    <w:rsid w:val="0084244A"/>
    <w:rsid w:val="00842BE3"/>
    <w:rsid w:val="00842E1B"/>
    <w:rsid w:val="00843387"/>
    <w:rsid w:val="00843F7D"/>
    <w:rsid w:val="00844049"/>
    <w:rsid w:val="00844623"/>
    <w:rsid w:val="00844D53"/>
    <w:rsid w:val="00844E76"/>
    <w:rsid w:val="0084501A"/>
    <w:rsid w:val="00845331"/>
    <w:rsid w:val="008453CF"/>
    <w:rsid w:val="00845744"/>
    <w:rsid w:val="008459CA"/>
    <w:rsid w:val="00845F3E"/>
    <w:rsid w:val="008462C2"/>
    <w:rsid w:val="00846EB3"/>
    <w:rsid w:val="008472CC"/>
    <w:rsid w:val="008476DD"/>
    <w:rsid w:val="00847D70"/>
    <w:rsid w:val="0085056E"/>
    <w:rsid w:val="00850B4E"/>
    <w:rsid w:val="00850CB6"/>
    <w:rsid w:val="00851887"/>
    <w:rsid w:val="0085188A"/>
    <w:rsid w:val="008518C1"/>
    <w:rsid w:val="008518DB"/>
    <w:rsid w:val="00851CF2"/>
    <w:rsid w:val="00851DC3"/>
    <w:rsid w:val="00852104"/>
    <w:rsid w:val="0085210D"/>
    <w:rsid w:val="00852BDD"/>
    <w:rsid w:val="00852E50"/>
    <w:rsid w:val="00852F78"/>
    <w:rsid w:val="00852FB1"/>
    <w:rsid w:val="00853492"/>
    <w:rsid w:val="008539DB"/>
    <w:rsid w:val="0085409E"/>
    <w:rsid w:val="0085423A"/>
    <w:rsid w:val="0085504A"/>
    <w:rsid w:val="00855137"/>
    <w:rsid w:val="00855369"/>
    <w:rsid w:val="0085570B"/>
    <w:rsid w:val="00855B46"/>
    <w:rsid w:val="00855D4C"/>
    <w:rsid w:val="00855E19"/>
    <w:rsid w:val="00856285"/>
    <w:rsid w:val="00856516"/>
    <w:rsid w:val="008565EA"/>
    <w:rsid w:val="00856806"/>
    <w:rsid w:val="00856B97"/>
    <w:rsid w:val="00856F18"/>
    <w:rsid w:val="0085741D"/>
    <w:rsid w:val="00860241"/>
    <w:rsid w:val="00860404"/>
    <w:rsid w:val="00860EF7"/>
    <w:rsid w:val="00861007"/>
    <w:rsid w:val="00861665"/>
    <w:rsid w:val="00861782"/>
    <w:rsid w:val="00861807"/>
    <w:rsid w:val="00861892"/>
    <w:rsid w:val="00861948"/>
    <w:rsid w:val="00861F10"/>
    <w:rsid w:val="00862164"/>
    <w:rsid w:val="00862174"/>
    <w:rsid w:val="00862280"/>
    <w:rsid w:val="00862568"/>
    <w:rsid w:val="00862755"/>
    <w:rsid w:val="00862833"/>
    <w:rsid w:val="00862E4B"/>
    <w:rsid w:val="00862F48"/>
    <w:rsid w:val="0086353D"/>
    <w:rsid w:val="008637FA"/>
    <w:rsid w:val="00863937"/>
    <w:rsid w:val="00863A9E"/>
    <w:rsid w:val="00863BDD"/>
    <w:rsid w:val="00863FD0"/>
    <w:rsid w:val="00863FF4"/>
    <w:rsid w:val="008641BD"/>
    <w:rsid w:val="00864213"/>
    <w:rsid w:val="008646E2"/>
    <w:rsid w:val="008647F4"/>
    <w:rsid w:val="00864AB8"/>
    <w:rsid w:val="00864DDC"/>
    <w:rsid w:val="00865838"/>
    <w:rsid w:val="00865AF9"/>
    <w:rsid w:val="00866344"/>
    <w:rsid w:val="0086707F"/>
    <w:rsid w:val="008678BE"/>
    <w:rsid w:val="00867D99"/>
    <w:rsid w:val="00867E9D"/>
    <w:rsid w:val="00870203"/>
    <w:rsid w:val="00870236"/>
    <w:rsid w:val="008703AB"/>
    <w:rsid w:val="00870A4A"/>
    <w:rsid w:val="00870DCC"/>
    <w:rsid w:val="00870EDF"/>
    <w:rsid w:val="00871071"/>
    <w:rsid w:val="00871099"/>
    <w:rsid w:val="0087191C"/>
    <w:rsid w:val="00872208"/>
    <w:rsid w:val="008722DF"/>
    <w:rsid w:val="008724B2"/>
    <w:rsid w:val="008729E8"/>
    <w:rsid w:val="008730F8"/>
    <w:rsid w:val="0087377D"/>
    <w:rsid w:val="008737F9"/>
    <w:rsid w:val="00873CCB"/>
    <w:rsid w:val="00874032"/>
    <w:rsid w:val="00874042"/>
    <w:rsid w:val="008740A8"/>
    <w:rsid w:val="008744EB"/>
    <w:rsid w:val="00874908"/>
    <w:rsid w:val="00874A1D"/>
    <w:rsid w:val="00874AC8"/>
    <w:rsid w:val="00874FA0"/>
    <w:rsid w:val="00875576"/>
    <w:rsid w:val="0087598A"/>
    <w:rsid w:val="00876044"/>
    <w:rsid w:val="00876600"/>
    <w:rsid w:val="0087669A"/>
    <w:rsid w:val="00876FB8"/>
    <w:rsid w:val="0087728E"/>
    <w:rsid w:val="008773F2"/>
    <w:rsid w:val="008774F8"/>
    <w:rsid w:val="008775B7"/>
    <w:rsid w:val="00877B48"/>
    <w:rsid w:val="00877C65"/>
    <w:rsid w:val="0088051E"/>
    <w:rsid w:val="00880995"/>
    <w:rsid w:val="00881279"/>
    <w:rsid w:val="0088136D"/>
    <w:rsid w:val="00881947"/>
    <w:rsid w:val="00881D1A"/>
    <w:rsid w:val="00881DB9"/>
    <w:rsid w:val="008821AD"/>
    <w:rsid w:val="0088230A"/>
    <w:rsid w:val="008823C3"/>
    <w:rsid w:val="008824AB"/>
    <w:rsid w:val="00883035"/>
    <w:rsid w:val="00883419"/>
    <w:rsid w:val="00883530"/>
    <w:rsid w:val="008838D2"/>
    <w:rsid w:val="0088438F"/>
    <w:rsid w:val="00884B4D"/>
    <w:rsid w:val="0088547E"/>
    <w:rsid w:val="00885496"/>
    <w:rsid w:val="008856B9"/>
    <w:rsid w:val="00885A72"/>
    <w:rsid w:val="00885FDF"/>
    <w:rsid w:val="008864F8"/>
    <w:rsid w:val="00886614"/>
    <w:rsid w:val="008867E2"/>
    <w:rsid w:val="00886B18"/>
    <w:rsid w:val="00887D3F"/>
    <w:rsid w:val="00887DE8"/>
    <w:rsid w:val="00890372"/>
    <w:rsid w:val="008909D8"/>
    <w:rsid w:val="00890EEF"/>
    <w:rsid w:val="00891202"/>
    <w:rsid w:val="00891282"/>
    <w:rsid w:val="00891425"/>
    <w:rsid w:val="00891C02"/>
    <w:rsid w:val="00892020"/>
    <w:rsid w:val="00892547"/>
    <w:rsid w:val="00893246"/>
    <w:rsid w:val="00893801"/>
    <w:rsid w:val="00893871"/>
    <w:rsid w:val="00893986"/>
    <w:rsid w:val="00893AFE"/>
    <w:rsid w:val="00893D08"/>
    <w:rsid w:val="008941F1"/>
    <w:rsid w:val="008948EC"/>
    <w:rsid w:val="00894AE6"/>
    <w:rsid w:val="00895075"/>
    <w:rsid w:val="008954B3"/>
    <w:rsid w:val="008954EF"/>
    <w:rsid w:val="00895A5C"/>
    <w:rsid w:val="00896111"/>
    <w:rsid w:val="0089622B"/>
    <w:rsid w:val="00896253"/>
    <w:rsid w:val="0089693B"/>
    <w:rsid w:val="00896969"/>
    <w:rsid w:val="00896E82"/>
    <w:rsid w:val="00897D14"/>
    <w:rsid w:val="008A0305"/>
    <w:rsid w:val="008A07DA"/>
    <w:rsid w:val="008A10F3"/>
    <w:rsid w:val="008A12CE"/>
    <w:rsid w:val="008A182E"/>
    <w:rsid w:val="008A1C92"/>
    <w:rsid w:val="008A1EA1"/>
    <w:rsid w:val="008A21B0"/>
    <w:rsid w:val="008A2505"/>
    <w:rsid w:val="008A2B15"/>
    <w:rsid w:val="008A388B"/>
    <w:rsid w:val="008A3899"/>
    <w:rsid w:val="008A3D66"/>
    <w:rsid w:val="008A424E"/>
    <w:rsid w:val="008A4413"/>
    <w:rsid w:val="008A48EB"/>
    <w:rsid w:val="008A4962"/>
    <w:rsid w:val="008A4D55"/>
    <w:rsid w:val="008A4D57"/>
    <w:rsid w:val="008A5027"/>
    <w:rsid w:val="008A572B"/>
    <w:rsid w:val="008A5FBA"/>
    <w:rsid w:val="008A6161"/>
    <w:rsid w:val="008A630C"/>
    <w:rsid w:val="008A649A"/>
    <w:rsid w:val="008A6574"/>
    <w:rsid w:val="008A6772"/>
    <w:rsid w:val="008A6BAB"/>
    <w:rsid w:val="008A6CCB"/>
    <w:rsid w:val="008A6E7E"/>
    <w:rsid w:val="008A6ECF"/>
    <w:rsid w:val="008A7285"/>
    <w:rsid w:val="008A766D"/>
    <w:rsid w:val="008A7F30"/>
    <w:rsid w:val="008B003A"/>
    <w:rsid w:val="008B0464"/>
    <w:rsid w:val="008B069F"/>
    <w:rsid w:val="008B0BAC"/>
    <w:rsid w:val="008B1528"/>
    <w:rsid w:val="008B155A"/>
    <w:rsid w:val="008B15BC"/>
    <w:rsid w:val="008B1799"/>
    <w:rsid w:val="008B1AA6"/>
    <w:rsid w:val="008B1CB0"/>
    <w:rsid w:val="008B1F1E"/>
    <w:rsid w:val="008B21D7"/>
    <w:rsid w:val="008B223C"/>
    <w:rsid w:val="008B2295"/>
    <w:rsid w:val="008B2478"/>
    <w:rsid w:val="008B2687"/>
    <w:rsid w:val="008B26E1"/>
    <w:rsid w:val="008B28ED"/>
    <w:rsid w:val="008B2EDB"/>
    <w:rsid w:val="008B3247"/>
    <w:rsid w:val="008B351D"/>
    <w:rsid w:val="008B3AFF"/>
    <w:rsid w:val="008B3D07"/>
    <w:rsid w:val="008B4606"/>
    <w:rsid w:val="008B47DC"/>
    <w:rsid w:val="008B4FF2"/>
    <w:rsid w:val="008B51DB"/>
    <w:rsid w:val="008B5221"/>
    <w:rsid w:val="008B5898"/>
    <w:rsid w:val="008B5CFD"/>
    <w:rsid w:val="008B6EEB"/>
    <w:rsid w:val="008B7112"/>
    <w:rsid w:val="008B72BC"/>
    <w:rsid w:val="008B72C2"/>
    <w:rsid w:val="008B788A"/>
    <w:rsid w:val="008B7F99"/>
    <w:rsid w:val="008C011A"/>
    <w:rsid w:val="008C09A6"/>
    <w:rsid w:val="008C0DC5"/>
    <w:rsid w:val="008C0F4E"/>
    <w:rsid w:val="008C0F86"/>
    <w:rsid w:val="008C12F6"/>
    <w:rsid w:val="008C1754"/>
    <w:rsid w:val="008C19E7"/>
    <w:rsid w:val="008C1FB0"/>
    <w:rsid w:val="008C2307"/>
    <w:rsid w:val="008C2494"/>
    <w:rsid w:val="008C283F"/>
    <w:rsid w:val="008C28B2"/>
    <w:rsid w:val="008C2915"/>
    <w:rsid w:val="008C2CAE"/>
    <w:rsid w:val="008C3000"/>
    <w:rsid w:val="008C312A"/>
    <w:rsid w:val="008C3405"/>
    <w:rsid w:val="008C3454"/>
    <w:rsid w:val="008C3544"/>
    <w:rsid w:val="008C37F9"/>
    <w:rsid w:val="008C3939"/>
    <w:rsid w:val="008C39B4"/>
    <w:rsid w:val="008C3AB5"/>
    <w:rsid w:val="008C3ADA"/>
    <w:rsid w:val="008C3D0B"/>
    <w:rsid w:val="008C4A28"/>
    <w:rsid w:val="008C4B76"/>
    <w:rsid w:val="008C4C4A"/>
    <w:rsid w:val="008C4E06"/>
    <w:rsid w:val="008C4FC1"/>
    <w:rsid w:val="008C54FB"/>
    <w:rsid w:val="008C592D"/>
    <w:rsid w:val="008C5985"/>
    <w:rsid w:val="008C61D3"/>
    <w:rsid w:val="008C6675"/>
    <w:rsid w:val="008C6DCD"/>
    <w:rsid w:val="008C6F2A"/>
    <w:rsid w:val="008C7387"/>
    <w:rsid w:val="008C7A0C"/>
    <w:rsid w:val="008C7AB9"/>
    <w:rsid w:val="008D059E"/>
    <w:rsid w:val="008D070F"/>
    <w:rsid w:val="008D0838"/>
    <w:rsid w:val="008D0A32"/>
    <w:rsid w:val="008D0F34"/>
    <w:rsid w:val="008D159C"/>
    <w:rsid w:val="008D1690"/>
    <w:rsid w:val="008D17B9"/>
    <w:rsid w:val="008D187A"/>
    <w:rsid w:val="008D18D2"/>
    <w:rsid w:val="008D1A3D"/>
    <w:rsid w:val="008D1C4C"/>
    <w:rsid w:val="008D1CEE"/>
    <w:rsid w:val="008D1E15"/>
    <w:rsid w:val="008D33F0"/>
    <w:rsid w:val="008D379E"/>
    <w:rsid w:val="008D3DFE"/>
    <w:rsid w:val="008D4365"/>
    <w:rsid w:val="008D490D"/>
    <w:rsid w:val="008D4F5A"/>
    <w:rsid w:val="008D564D"/>
    <w:rsid w:val="008D58EF"/>
    <w:rsid w:val="008D5CAA"/>
    <w:rsid w:val="008D5D23"/>
    <w:rsid w:val="008D5D5D"/>
    <w:rsid w:val="008D5E06"/>
    <w:rsid w:val="008D6109"/>
    <w:rsid w:val="008D63B4"/>
    <w:rsid w:val="008D63F9"/>
    <w:rsid w:val="008D642F"/>
    <w:rsid w:val="008D644C"/>
    <w:rsid w:val="008D65D4"/>
    <w:rsid w:val="008D678A"/>
    <w:rsid w:val="008D6AAD"/>
    <w:rsid w:val="008D6BD9"/>
    <w:rsid w:val="008D6E5E"/>
    <w:rsid w:val="008D6F1B"/>
    <w:rsid w:val="008D6FE5"/>
    <w:rsid w:val="008D78B2"/>
    <w:rsid w:val="008D7DC1"/>
    <w:rsid w:val="008E014F"/>
    <w:rsid w:val="008E06E2"/>
    <w:rsid w:val="008E0995"/>
    <w:rsid w:val="008E0E3D"/>
    <w:rsid w:val="008E1116"/>
    <w:rsid w:val="008E130C"/>
    <w:rsid w:val="008E13A3"/>
    <w:rsid w:val="008E13C0"/>
    <w:rsid w:val="008E15FA"/>
    <w:rsid w:val="008E1F16"/>
    <w:rsid w:val="008E21CE"/>
    <w:rsid w:val="008E2426"/>
    <w:rsid w:val="008E260C"/>
    <w:rsid w:val="008E28D0"/>
    <w:rsid w:val="008E32C5"/>
    <w:rsid w:val="008E3637"/>
    <w:rsid w:val="008E387E"/>
    <w:rsid w:val="008E3886"/>
    <w:rsid w:val="008E3E72"/>
    <w:rsid w:val="008E3E82"/>
    <w:rsid w:val="008E3EB4"/>
    <w:rsid w:val="008E3FC4"/>
    <w:rsid w:val="008E4357"/>
    <w:rsid w:val="008E4396"/>
    <w:rsid w:val="008E442B"/>
    <w:rsid w:val="008E490F"/>
    <w:rsid w:val="008E4D89"/>
    <w:rsid w:val="008E50A9"/>
    <w:rsid w:val="008E5BD8"/>
    <w:rsid w:val="008E5D35"/>
    <w:rsid w:val="008E5E94"/>
    <w:rsid w:val="008E6149"/>
    <w:rsid w:val="008E647A"/>
    <w:rsid w:val="008E6898"/>
    <w:rsid w:val="008E69F1"/>
    <w:rsid w:val="008E6E3B"/>
    <w:rsid w:val="008E705D"/>
    <w:rsid w:val="008E7729"/>
    <w:rsid w:val="008E781F"/>
    <w:rsid w:val="008E7BAB"/>
    <w:rsid w:val="008E7BFA"/>
    <w:rsid w:val="008F0297"/>
    <w:rsid w:val="008F0593"/>
    <w:rsid w:val="008F0879"/>
    <w:rsid w:val="008F0C5E"/>
    <w:rsid w:val="008F0CED"/>
    <w:rsid w:val="008F0E32"/>
    <w:rsid w:val="008F0EB1"/>
    <w:rsid w:val="008F108A"/>
    <w:rsid w:val="008F12E2"/>
    <w:rsid w:val="008F17F9"/>
    <w:rsid w:val="008F26CC"/>
    <w:rsid w:val="008F28D9"/>
    <w:rsid w:val="008F2D5C"/>
    <w:rsid w:val="008F2E05"/>
    <w:rsid w:val="008F2E0A"/>
    <w:rsid w:val="008F2FAB"/>
    <w:rsid w:val="008F3BA2"/>
    <w:rsid w:val="008F3DDA"/>
    <w:rsid w:val="008F4110"/>
    <w:rsid w:val="008F41E1"/>
    <w:rsid w:val="008F501F"/>
    <w:rsid w:val="008F527E"/>
    <w:rsid w:val="008F53C4"/>
    <w:rsid w:val="008F5CF1"/>
    <w:rsid w:val="008F5DD7"/>
    <w:rsid w:val="008F5EFA"/>
    <w:rsid w:val="008F5F9E"/>
    <w:rsid w:val="008F6007"/>
    <w:rsid w:val="008F668B"/>
    <w:rsid w:val="008F6BEE"/>
    <w:rsid w:val="008F73D7"/>
    <w:rsid w:val="008F76A1"/>
    <w:rsid w:val="008F778C"/>
    <w:rsid w:val="008F7A6E"/>
    <w:rsid w:val="008F7B78"/>
    <w:rsid w:val="009002B5"/>
    <w:rsid w:val="0090034F"/>
    <w:rsid w:val="00900476"/>
    <w:rsid w:val="009009A4"/>
    <w:rsid w:val="00900B2C"/>
    <w:rsid w:val="00900F3B"/>
    <w:rsid w:val="00901224"/>
    <w:rsid w:val="00902258"/>
    <w:rsid w:val="00902528"/>
    <w:rsid w:val="00903051"/>
    <w:rsid w:val="0090341B"/>
    <w:rsid w:val="0090361A"/>
    <w:rsid w:val="00903E70"/>
    <w:rsid w:val="00904D26"/>
    <w:rsid w:val="00904F4F"/>
    <w:rsid w:val="009051ED"/>
    <w:rsid w:val="00905279"/>
    <w:rsid w:val="0090565E"/>
    <w:rsid w:val="00905B8D"/>
    <w:rsid w:val="00905C3D"/>
    <w:rsid w:val="00905E02"/>
    <w:rsid w:val="00905F08"/>
    <w:rsid w:val="00905FE1"/>
    <w:rsid w:val="00906065"/>
    <w:rsid w:val="009061CE"/>
    <w:rsid w:val="009062F9"/>
    <w:rsid w:val="00906BFC"/>
    <w:rsid w:val="00906CFD"/>
    <w:rsid w:val="00906D8B"/>
    <w:rsid w:val="00906EC0"/>
    <w:rsid w:val="0090781B"/>
    <w:rsid w:val="0090784F"/>
    <w:rsid w:val="0090788F"/>
    <w:rsid w:val="00910E19"/>
    <w:rsid w:val="00910F51"/>
    <w:rsid w:val="00911023"/>
    <w:rsid w:val="009113A8"/>
    <w:rsid w:val="0091196B"/>
    <w:rsid w:val="0091214D"/>
    <w:rsid w:val="00912196"/>
    <w:rsid w:val="009123D1"/>
    <w:rsid w:val="009128FB"/>
    <w:rsid w:val="009133F1"/>
    <w:rsid w:val="009138D6"/>
    <w:rsid w:val="00913B75"/>
    <w:rsid w:val="00913F1E"/>
    <w:rsid w:val="009148F0"/>
    <w:rsid w:val="00915097"/>
    <w:rsid w:val="009150F4"/>
    <w:rsid w:val="00915611"/>
    <w:rsid w:val="009157EF"/>
    <w:rsid w:val="0091589A"/>
    <w:rsid w:val="009159A1"/>
    <w:rsid w:val="00915F08"/>
    <w:rsid w:val="009163F4"/>
    <w:rsid w:val="009169C4"/>
    <w:rsid w:val="00916FE3"/>
    <w:rsid w:val="009172C9"/>
    <w:rsid w:val="009173F0"/>
    <w:rsid w:val="009175DC"/>
    <w:rsid w:val="009178F7"/>
    <w:rsid w:val="00920159"/>
    <w:rsid w:val="00920820"/>
    <w:rsid w:val="009210BC"/>
    <w:rsid w:val="009216F2"/>
    <w:rsid w:val="00921DB8"/>
    <w:rsid w:val="00922068"/>
    <w:rsid w:val="00922204"/>
    <w:rsid w:val="009223F4"/>
    <w:rsid w:val="00922843"/>
    <w:rsid w:val="009229D6"/>
    <w:rsid w:val="009238DC"/>
    <w:rsid w:val="00924261"/>
    <w:rsid w:val="00924281"/>
    <w:rsid w:val="009246DC"/>
    <w:rsid w:val="00924BB4"/>
    <w:rsid w:val="00924C43"/>
    <w:rsid w:val="00925092"/>
    <w:rsid w:val="009253B0"/>
    <w:rsid w:val="00925B4D"/>
    <w:rsid w:val="0092606D"/>
    <w:rsid w:val="0092612E"/>
    <w:rsid w:val="0092622B"/>
    <w:rsid w:val="00926248"/>
    <w:rsid w:val="00926399"/>
    <w:rsid w:val="00926437"/>
    <w:rsid w:val="009269B7"/>
    <w:rsid w:val="00926C9F"/>
    <w:rsid w:val="00927025"/>
    <w:rsid w:val="00927ADD"/>
    <w:rsid w:val="00927B1F"/>
    <w:rsid w:val="00927C0E"/>
    <w:rsid w:val="0093037B"/>
    <w:rsid w:val="00930DFF"/>
    <w:rsid w:val="0093148F"/>
    <w:rsid w:val="00931622"/>
    <w:rsid w:val="0093187D"/>
    <w:rsid w:val="00931963"/>
    <w:rsid w:val="00931A09"/>
    <w:rsid w:val="00931D77"/>
    <w:rsid w:val="00931EC2"/>
    <w:rsid w:val="00931EFA"/>
    <w:rsid w:val="00932568"/>
    <w:rsid w:val="009327A8"/>
    <w:rsid w:val="00932DE4"/>
    <w:rsid w:val="0093300E"/>
    <w:rsid w:val="009333D2"/>
    <w:rsid w:val="00933986"/>
    <w:rsid w:val="00933A45"/>
    <w:rsid w:val="0093401C"/>
    <w:rsid w:val="009340E9"/>
    <w:rsid w:val="009346BE"/>
    <w:rsid w:val="0093491A"/>
    <w:rsid w:val="00934E1B"/>
    <w:rsid w:val="00934F9F"/>
    <w:rsid w:val="009352DB"/>
    <w:rsid w:val="00935996"/>
    <w:rsid w:val="00935B59"/>
    <w:rsid w:val="00936395"/>
    <w:rsid w:val="00936605"/>
    <w:rsid w:val="00936956"/>
    <w:rsid w:val="00936C46"/>
    <w:rsid w:val="00936DE3"/>
    <w:rsid w:val="00937671"/>
    <w:rsid w:val="00937741"/>
    <w:rsid w:val="00937982"/>
    <w:rsid w:val="00937D04"/>
    <w:rsid w:val="009402CF"/>
    <w:rsid w:val="00940DD4"/>
    <w:rsid w:val="00941279"/>
    <w:rsid w:val="00941559"/>
    <w:rsid w:val="00941886"/>
    <w:rsid w:val="009418ED"/>
    <w:rsid w:val="00941F4A"/>
    <w:rsid w:val="009425B2"/>
    <w:rsid w:val="009425D6"/>
    <w:rsid w:val="00942761"/>
    <w:rsid w:val="00942BA9"/>
    <w:rsid w:val="00942CF9"/>
    <w:rsid w:val="009430A0"/>
    <w:rsid w:val="009432BF"/>
    <w:rsid w:val="0094348D"/>
    <w:rsid w:val="00943649"/>
    <w:rsid w:val="00943AF6"/>
    <w:rsid w:val="00943BB2"/>
    <w:rsid w:val="00943CF2"/>
    <w:rsid w:val="00943D70"/>
    <w:rsid w:val="0094404C"/>
    <w:rsid w:val="00944107"/>
    <w:rsid w:val="0094414C"/>
    <w:rsid w:val="009441B2"/>
    <w:rsid w:val="0094482B"/>
    <w:rsid w:val="00944AC5"/>
    <w:rsid w:val="00944C29"/>
    <w:rsid w:val="00945028"/>
    <w:rsid w:val="00945351"/>
    <w:rsid w:val="00945B08"/>
    <w:rsid w:val="00945E60"/>
    <w:rsid w:val="00945EA2"/>
    <w:rsid w:val="0094615E"/>
    <w:rsid w:val="00946437"/>
    <w:rsid w:val="00947677"/>
    <w:rsid w:val="00947783"/>
    <w:rsid w:val="00950026"/>
    <w:rsid w:val="009504AF"/>
    <w:rsid w:val="0095083B"/>
    <w:rsid w:val="00950C03"/>
    <w:rsid w:val="00950FDE"/>
    <w:rsid w:val="009515CD"/>
    <w:rsid w:val="00951669"/>
    <w:rsid w:val="009516A1"/>
    <w:rsid w:val="009518F4"/>
    <w:rsid w:val="00951DEE"/>
    <w:rsid w:val="009523B9"/>
    <w:rsid w:val="0095247C"/>
    <w:rsid w:val="00952C1A"/>
    <w:rsid w:val="00953016"/>
    <w:rsid w:val="0095350B"/>
    <w:rsid w:val="0095366F"/>
    <w:rsid w:val="009536DE"/>
    <w:rsid w:val="00953840"/>
    <w:rsid w:val="009544E1"/>
    <w:rsid w:val="009545B2"/>
    <w:rsid w:val="0095491A"/>
    <w:rsid w:val="009556BB"/>
    <w:rsid w:val="00956205"/>
    <w:rsid w:val="00956504"/>
    <w:rsid w:val="00956530"/>
    <w:rsid w:val="009567BD"/>
    <w:rsid w:val="00956B65"/>
    <w:rsid w:val="00956B74"/>
    <w:rsid w:val="00957379"/>
    <w:rsid w:val="00957945"/>
    <w:rsid w:val="00957A71"/>
    <w:rsid w:val="00957E21"/>
    <w:rsid w:val="009605AE"/>
    <w:rsid w:val="009606D9"/>
    <w:rsid w:val="00960C0C"/>
    <w:rsid w:val="00960F11"/>
    <w:rsid w:val="00961384"/>
    <w:rsid w:val="00961763"/>
    <w:rsid w:val="00961998"/>
    <w:rsid w:val="00961C81"/>
    <w:rsid w:val="00962235"/>
    <w:rsid w:val="00962369"/>
    <w:rsid w:val="00962644"/>
    <w:rsid w:val="0096283F"/>
    <w:rsid w:val="00962C69"/>
    <w:rsid w:val="00962D92"/>
    <w:rsid w:val="00962E8E"/>
    <w:rsid w:val="00962EC3"/>
    <w:rsid w:val="00962EEC"/>
    <w:rsid w:val="00963538"/>
    <w:rsid w:val="00963AA7"/>
    <w:rsid w:val="00963E53"/>
    <w:rsid w:val="009643BE"/>
    <w:rsid w:val="00964522"/>
    <w:rsid w:val="00964545"/>
    <w:rsid w:val="009645C1"/>
    <w:rsid w:val="00964F9D"/>
    <w:rsid w:val="00965319"/>
    <w:rsid w:val="00965517"/>
    <w:rsid w:val="00965AAC"/>
    <w:rsid w:val="00965AB3"/>
    <w:rsid w:val="00965D3A"/>
    <w:rsid w:val="00965D63"/>
    <w:rsid w:val="009661DF"/>
    <w:rsid w:val="00966893"/>
    <w:rsid w:val="00966C85"/>
    <w:rsid w:val="0096765D"/>
    <w:rsid w:val="0096769B"/>
    <w:rsid w:val="009677FC"/>
    <w:rsid w:val="00967A32"/>
    <w:rsid w:val="00970247"/>
    <w:rsid w:val="009706AC"/>
    <w:rsid w:val="00970D0A"/>
    <w:rsid w:val="00970F2E"/>
    <w:rsid w:val="009727A4"/>
    <w:rsid w:val="00973420"/>
    <w:rsid w:val="00973886"/>
    <w:rsid w:val="00973F71"/>
    <w:rsid w:val="00975692"/>
    <w:rsid w:val="00976164"/>
    <w:rsid w:val="0097650F"/>
    <w:rsid w:val="00976DA7"/>
    <w:rsid w:val="00977A98"/>
    <w:rsid w:val="00977D6B"/>
    <w:rsid w:val="00980148"/>
    <w:rsid w:val="00980233"/>
    <w:rsid w:val="00980C78"/>
    <w:rsid w:val="009812BA"/>
    <w:rsid w:val="00981DDD"/>
    <w:rsid w:val="009822A4"/>
    <w:rsid w:val="0098288D"/>
    <w:rsid w:val="00982E98"/>
    <w:rsid w:val="0098309D"/>
    <w:rsid w:val="00983D2F"/>
    <w:rsid w:val="00983DC8"/>
    <w:rsid w:val="00983EDA"/>
    <w:rsid w:val="00983FDE"/>
    <w:rsid w:val="0098406D"/>
    <w:rsid w:val="00984CBB"/>
    <w:rsid w:val="00984CEC"/>
    <w:rsid w:val="00985361"/>
    <w:rsid w:val="009853A2"/>
    <w:rsid w:val="00985788"/>
    <w:rsid w:val="009857CC"/>
    <w:rsid w:val="00985A21"/>
    <w:rsid w:val="00985D14"/>
    <w:rsid w:val="00985F61"/>
    <w:rsid w:val="00986C02"/>
    <w:rsid w:val="00986D0E"/>
    <w:rsid w:val="00987343"/>
    <w:rsid w:val="00987B6D"/>
    <w:rsid w:val="0099000A"/>
    <w:rsid w:val="0099079E"/>
    <w:rsid w:val="00990918"/>
    <w:rsid w:val="00990A00"/>
    <w:rsid w:val="00990A6A"/>
    <w:rsid w:val="00990B24"/>
    <w:rsid w:val="00990DA0"/>
    <w:rsid w:val="00990F77"/>
    <w:rsid w:val="009912C8"/>
    <w:rsid w:val="00991429"/>
    <w:rsid w:val="00991695"/>
    <w:rsid w:val="0099170E"/>
    <w:rsid w:val="0099179B"/>
    <w:rsid w:val="009917AB"/>
    <w:rsid w:val="00991A84"/>
    <w:rsid w:val="00991F59"/>
    <w:rsid w:val="009920B1"/>
    <w:rsid w:val="00992316"/>
    <w:rsid w:val="009924AA"/>
    <w:rsid w:val="009927F9"/>
    <w:rsid w:val="009928F8"/>
    <w:rsid w:val="00992FB1"/>
    <w:rsid w:val="00993060"/>
    <w:rsid w:val="009935CC"/>
    <w:rsid w:val="0099390F"/>
    <w:rsid w:val="00993A83"/>
    <w:rsid w:val="00993CE9"/>
    <w:rsid w:val="00993DF7"/>
    <w:rsid w:val="00994579"/>
    <w:rsid w:val="00994DB4"/>
    <w:rsid w:val="009956C0"/>
    <w:rsid w:val="00995725"/>
    <w:rsid w:val="00995806"/>
    <w:rsid w:val="00995A83"/>
    <w:rsid w:val="00995B45"/>
    <w:rsid w:val="00995E06"/>
    <w:rsid w:val="0099601C"/>
    <w:rsid w:val="00996458"/>
    <w:rsid w:val="0099661C"/>
    <w:rsid w:val="009974D9"/>
    <w:rsid w:val="00997C09"/>
    <w:rsid w:val="009A03B3"/>
    <w:rsid w:val="009A16DB"/>
    <w:rsid w:val="009A1979"/>
    <w:rsid w:val="009A1CA4"/>
    <w:rsid w:val="009A1D2A"/>
    <w:rsid w:val="009A1E5D"/>
    <w:rsid w:val="009A21B4"/>
    <w:rsid w:val="009A2380"/>
    <w:rsid w:val="009A25D3"/>
    <w:rsid w:val="009A2BF3"/>
    <w:rsid w:val="009A3419"/>
    <w:rsid w:val="009A36B7"/>
    <w:rsid w:val="009A38A3"/>
    <w:rsid w:val="009A3A37"/>
    <w:rsid w:val="009A3ABC"/>
    <w:rsid w:val="009A3CF1"/>
    <w:rsid w:val="009A486C"/>
    <w:rsid w:val="009A4C11"/>
    <w:rsid w:val="009A5673"/>
    <w:rsid w:val="009A5832"/>
    <w:rsid w:val="009A5E3F"/>
    <w:rsid w:val="009A5FF9"/>
    <w:rsid w:val="009A61F1"/>
    <w:rsid w:val="009A6306"/>
    <w:rsid w:val="009A6935"/>
    <w:rsid w:val="009A6B61"/>
    <w:rsid w:val="009A6DD7"/>
    <w:rsid w:val="009A704B"/>
    <w:rsid w:val="009A73F9"/>
    <w:rsid w:val="009A7AA4"/>
    <w:rsid w:val="009A7B2C"/>
    <w:rsid w:val="009B0778"/>
    <w:rsid w:val="009B0834"/>
    <w:rsid w:val="009B0B33"/>
    <w:rsid w:val="009B0DEB"/>
    <w:rsid w:val="009B14F8"/>
    <w:rsid w:val="009B18B1"/>
    <w:rsid w:val="009B1942"/>
    <w:rsid w:val="009B1AAF"/>
    <w:rsid w:val="009B1D91"/>
    <w:rsid w:val="009B27BB"/>
    <w:rsid w:val="009B292A"/>
    <w:rsid w:val="009B2FDD"/>
    <w:rsid w:val="009B330F"/>
    <w:rsid w:val="009B344F"/>
    <w:rsid w:val="009B348E"/>
    <w:rsid w:val="009B3DC0"/>
    <w:rsid w:val="009B4368"/>
    <w:rsid w:val="009B45CE"/>
    <w:rsid w:val="009B5135"/>
    <w:rsid w:val="009B5223"/>
    <w:rsid w:val="009B5339"/>
    <w:rsid w:val="009B5432"/>
    <w:rsid w:val="009B57DB"/>
    <w:rsid w:val="009B5D60"/>
    <w:rsid w:val="009B5EFA"/>
    <w:rsid w:val="009B5FF3"/>
    <w:rsid w:val="009B66E5"/>
    <w:rsid w:val="009B66F7"/>
    <w:rsid w:val="009B6D28"/>
    <w:rsid w:val="009B6F1A"/>
    <w:rsid w:val="009B700B"/>
    <w:rsid w:val="009B7161"/>
    <w:rsid w:val="009B7DF0"/>
    <w:rsid w:val="009C0162"/>
    <w:rsid w:val="009C028E"/>
    <w:rsid w:val="009C0290"/>
    <w:rsid w:val="009C035A"/>
    <w:rsid w:val="009C042C"/>
    <w:rsid w:val="009C0A75"/>
    <w:rsid w:val="009C0C82"/>
    <w:rsid w:val="009C0DB4"/>
    <w:rsid w:val="009C0DF7"/>
    <w:rsid w:val="009C1529"/>
    <w:rsid w:val="009C15B6"/>
    <w:rsid w:val="009C16C8"/>
    <w:rsid w:val="009C1910"/>
    <w:rsid w:val="009C1CC5"/>
    <w:rsid w:val="009C214E"/>
    <w:rsid w:val="009C2910"/>
    <w:rsid w:val="009C2937"/>
    <w:rsid w:val="009C2C4E"/>
    <w:rsid w:val="009C2D2A"/>
    <w:rsid w:val="009C3016"/>
    <w:rsid w:val="009C3323"/>
    <w:rsid w:val="009C3780"/>
    <w:rsid w:val="009C3A64"/>
    <w:rsid w:val="009C4049"/>
    <w:rsid w:val="009C40E6"/>
    <w:rsid w:val="009C4401"/>
    <w:rsid w:val="009C4867"/>
    <w:rsid w:val="009C4947"/>
    <w:rsid w:val="009C4CFC"/>
    <w:rsid w:val="009C4D0E"/>
    <w:rsid w:val="009C5060"/>
    <w:rsid w:val="009C5BC9"/>
    <w:rsid w:val="009C6697"/>
    <w:rsid w:val="009C679D"/>
    <w:rsid w:val="009C68E3"/>
    <w:rsid w:val="009C6CC1"/>
    <w:rsid w:val="009C71F6"/>
    <w:rsid w:val="009C77BD"/>
    <w:rsid w:val="009D0606"/>
    <w:rsid w:val="009D0A64"/>
    <w:rsid w:val="009D0C87"/>
    <w:rsid w:val="009D113B"/>
    <w:rsid w:val="009D11E5"/>
    <w:rsid w:val="009D143E"/>
    <w:rsid w:val="009D1FD1"/>
    <w:rsid w:val="009D257D"/>
    <w:rsid w:val="009D2783"/>
    <w:rsid w:val="009D2B5E"/>
    <w:rsid w:val="009D2DCE"/>
    <w:rsid w:val="009D309D"/>
    <w:rsid w:val="009D30A4"/>
    <w:rsid w:val="009D3499"/>
    <w:rsid w:val="009D3763"/>
    <w:rsid w:val="009D3A01"/>
    <w:rsid w:val="009D3DF8"/>
    <w:rsid w:val="009D409A"/>
    <w:rsid w:val="009D4170"/>
    <w:rsid w:val="009D4416"/>
    <w:rsid w:val="009D4EA2"/>
    <w:rsid w:val="009D4FA7"/>
    <w:rsid w:val="009D5014"/>
    <w:rsid w:val="009D50AE"/>
    <w:rsid w:val="009D5128"/>
    <w:rsid w:val="009D5F71"/>
    <w:rsid w:val="009D6173"/>
    <w:rsid w:val="009D6180"/>
    <w:rsid w:val="009D6D8B"/>
    <w:rsid w:val="009D71A1"/>
    <w:rsid w:val="009D7230"/>
    <w:rsid w:val="009D76FA"/>
    <w:rsid w:val="009D79AF"/>
    <w:rsid w:val="009D7D39"/>
    <w:rsid w:val="009E052E"/>
    <w:rsid w:val="009E0634"/>
    <w:rsid w:val="009E096D"/>
    <w:rsid w:val="009E0D97"/>
    <w:rsid w:val="009E1A8E"/>
    <w:rsid w:val="009E1CCD"/>
    <w:rsid w:val="009E1F6E"/>
    <w:rsid w:val="009E1F96"/>
    <w:rsid w:val="009E1FE6"/>
    <w:rsid w:val="009E23AB"/>
    <w:rsid w:val="009E2583"/>
    <w:rsid w:val="009E28CC"/>
    <w:rsid w:val="009E297B"/>
    <w:rsid w:val="009E2AF7"/>
    <w:rsid w:val="009E2DDC"/>
    <w:rsid w:val="009E3133"/>
    <w:rsid w:val="009E316C"/>
    <w:rsid w:val="009E37EC"/>
    <w:rsid w:val="009E3CE1"/>
    <w:rsid w:val="009E3D36"/>
    <w:rsid w:val="009E4555"/>
    <w:rsid w:val="009E46BD"/>
    <w:rsid w:val="009E4A72"/>
    <w:rsid w:val="009E51DA"/>
    <w:rsid w:val="009E5390"/>
    <w:rsid w:val="009E55E7"/>
    <w:rsid w:val="009E5A12"/>
    <w:rsid w:val="009E5D2F"/>
    <w:rsid w:val="009E6048"/>
    <w:rsid w:val="009E62B6"/>
    <w:rsid w:val="009E6709"/>
    <w:rsid w:val="009E6A2E"/>
    <w:rsid w:val="009E6E13"/>
    <w:rsid w:val="009E71D9"/>
    <w:rsid w:val="009E72E3"/>
    <w:rsid w:val="009E72ED"/>
    <w:rsid w:val="009E73F2"/>
    <w:rsid w:val="009E7514"/>
    <w:rsid w:val="009E7604"/>
    <w:rsid w:val="009E7C80"/>
    <w:rsid w:val="009F0E3E"/>
    <w:rsid w:val="009F0F3D"/>
    <w:rsid w:val="009F0FEC"/>
    <w:rsid w:val="009F145F"/>
    <w:rsid w:val="009F1681"/>
    <w:rsid w:val="009F1F4C"/>
    <w:rsid w:val="009F20A8"/>
    <w:rsid w:val="009F2FB0"/>
    <w:rsid w:val="009F35BE"/>
    <w:rsid w:val="009F36B9"/>
    <w:rsid w:val="009F3A41"/>
    <w:rsid w:val="009F3AC1"/>
    <w:rsid w:val="009F42FD"/>
    <w:rsid w:val="009F46B7"/>
    <w:rsid w:val="009F4881"/>
    <w:rsid w:val="009F594D"/>
    <w:rsid w:val="009F5DE0"/>
    <w:rsid w:val="009F6310"/>
    <w:rsid w:val="009F657B"/>
    <w:rsid w:val="009F6584"/>
    <w:rsid w:val="009F6A63"/>
    <w:rsid w:val="009F6C09"/>
    <w:rsid w:val="009F707D"/>
    <w:rsid w:val="009F7342"/>
    <w:rsid w:val="009F7B3A"/>
    <w:rsid w:val="009F7FE0"/>
    <w:rsid w:val="00A00093"/>
    <w:rsid w:val="00A00365"/>
    <w:rsid w:val="00A0037A"/>
    <w:rsid w:val="00A005AB"/>
    <w:rsid w:val="00A00814"/>
    <w:rsid w:val="00A00D0F"/>
    <w:rsid w:val="00A01877"/>
    <w:rsid w:val="00A01DB5"/>
    <w:rsid w:val="00A01FA1"/>
    <w:rsid w:val="00A02399"/>
    <w:rsid w:val="00A02B59"/>
    <w:rsid w:val="00A02E82"/>
    <w:rsid w:val="00A02EA7"/>
    <w:rsid w:val="00A0332D"/>
    <w:rsid w:val="00A033B1"/>
    <w:rsid w:val="00A03B70"/>
    <w:rsid w:val="00A05167"/>
    <w:rsid w:val="00A05576"/>
    <w:rsid w:val="00A0560D"/>
    <w:rsid w:val="00A062BE"/>
    <w:rsid w:val="00A06E2E"/>
    <w:rsid w:val="00A0737C"/>
    <w:rsid w:val="00A075FD"/>
    <w:rsid w:val="00A07666"/>
    <w:rsid w:val="00A07FD1"/>
    <w:rsid w:val="00A1075D"/>
    <w:rsid w:val="00A10B2E"/>
    <w:rsid w:val="00A10D30"/>
    <w:rsid w:val="00A1119F"/>
    <w:rsid w:val="00A11677"/>
    <w:rsid w:val="00A1241C"/>
    <w:rsid w:val="00A129D8"/>
    <w:rsid w:val="00A12A4E"/>
    <w:rsid w:val="00A12C9E"/>
    <w:rsid w:val="00A12E14"/>
    <w:rsid w:val="00A13233"/>
    <w:rsid w:val="00A1332D"/>
    <w:rsid w:val="00A138FA"/>
    <w:rsid w:val="00A13CCF"/>
    <w:rsid w:val="00A14A57"/>
    <w:rsid w:val="00A14EEF"/>
    <w:rsid w:val="00A14F58"/>
    <w:rsid w:val="00A14F93"/>
    <w:rsid w:val="00A15654"/>
    <w:rsid w:val="00A1591A"/>
    <w:rsid w:val="00A16800"/>
    <w:rsid w:val="00A1687B"/>
    <w:rsid w:val="00A2009B"/>
    <w:rsid w:val="00A20114"/>
    <w:rsid w:val="00A20268"/>
    <w:rsid w:val="00A203D8"/>
    <w:rsid w:val="00A204A6"/>
    <w:rsid w:val="00A2066A"/>
    <w:rsid w:val="00A2070A"/>
    <w:rsid w:val="00A2073D"/>
    <w:rsid w:val="00A208B3"/>
    <w:rsid w:val="00A21348"/>
    <w:rsid w:val="00A216F9"/>
    <w:rsid w:val="00A21723"/>
    <w:rsid w:val="00A2182E"/>
    <w:rsid w:val="00A2266B"/>
    <w:rsid w:val="00A2297C"/>
    <w:rsid w:val="00A22F3C"/>
    <w:rsid w:val="00A22FBB"/>
    <w:rsid w:val="00A231BF"/>
    <w:rsid w:val="00A2384C"/>
    <w:rsid w:val="00A2398C"/>
    <w:rsid w:val="00A23A47"/>
    <w:rsid w:val="00A23DAE"/>
    <w:rsid w:val="00A23E4C"/>
    <w:rsid w:val="00A24678"/>
    <w:rsid w:val="00A24AC2"/>
    <w:rsid w:val="00A24F15"/>
    <w:rsid w:val="00A25197"/>
    <w:rsid w:val="00A2648F"/>
    <w:rsid w:val="00A26585"/>
    <w:rsid w:val="00A27927"/>
    <w:rsid w:val="00A3019F"/>
    <w:rsid w:val="00A30546"/>
    <w:rsid w:val="00A30622"/>
    <w:rsid w:val="00A31019"/>
    <w:rsid w:val="00A315C4"/>
    <w:rsid w:val="00A31AF8"/>
    <w:rsid w:val="00A31E5F"/>
    <w:rsid w:val="00A3224D"/>
    <w:rsid w:val="00A327A1"/>
    <w:rsid w:val="00A32F4A"/>
    <w:rsid w:val="00A33021"/>
    <w:rsid w:val="00A33235"/>
    <w:rsid w:val="00A33382"/>
    <w:rsid w:val="00A3345F"/>
    <w:rsid w:val="00A33499"/>
    <w:rsid w:val="00A33B42"/>
    <w:rsid w:val="00A33BC0"/>
    <w:rsid w:val="00A34354"/>
    <w:rsid w:val="00A3436D"/>
    <w:rsid w:val="00A34425"/>
    <w:rsid w:val="00A3499A"/>
    <w:rsid w:val="00A34AE8"/>
    <w:rsid w:val="00A34B6C"/>
    <w:rsid w:val="00A34D65"/>
    <w:rsid w:val="00A34EFA"/>
    <w:rsid w:val="00A34FF0"/>
    <w:rsid w:val="00A3571E"/>
    <w:rsid w:val="00A35962"/>
    <w:rsid w:val="00A35DFF"/>
    <w:rsid w:val="00A35E26"/>
    <w:rsid w:val="00A36208"/>
    <w:rsid w:val="00A36550"/>
    <w:rsid w:val="00A366F2"/>
    <w:rsid w:val="00A36C98"/>
    <w:rsid w:val="00A36D60"/>
    <w:rsid w:val="00A3702D"/>
    <w:rsid w:val="00A3712E"/>
    <w:rsid w:val="00A37642"/>
    <w:rsid w:val="00A37C71"/>
    <w:rsid w:val="00A400C8"/>
    <w:rsid w:val="00A402AE"/>
    <w:rsid w:val="00A402E7"/>
    <w:rsid w:val="00A4041D"/>
    <w:rsid w:val="00A4066D"/>
    <w:rsid w:val="00A4081A"/>
    <w:rsid w:val="00A4086B"/>
    <w:rsid w:val="00A408F2"/>
    <w:rsid w:val="00A4098C"/>
    <w:rsid w:val="00A40B83"/>
    <w:rsid w:val="00A40C5A"/>
    <w:rsid w:val="00A40CE2"/>
    <w:rsid w:val="00A40F80"/>
    <w:rsid w:val="00A4120A"/>
    <w:rsid w:val="00A41C0E"/>
    <w:rsid w:val="00A42198"/>
    <w:rsid w:val="00A42212"/>
    <w:rsid w:val="00A4285C"/>
    <w:rsid w:val="00A42990"/>
    <w:rsid w:val="00A42A88"/>
    <w:rsid w:val="00A42BD2"/>
    <w:rsid w:val="00A42D2D"/>
    <w:rsid w:val="00A430B4"/>
    <w:rsid w:val="00A43356"/>
    <w:rsid w:val="00A43442"/>
    <w:rsid w:val="00A435D4"/>
    <w:rsid w:val="00A43623"/>
    <w:rsid w:val="00A43B3A"/>
    <w:rsid w:val="00A4420F"/>
    <w:rsid w:val="00A44239"/>
    <w:rsid w:val="00A4452E"/>
    <w:rsid w:val="00A446BE"/>
    <w:rsid w:val="00A44B7A"/>
    <w:rsid w:val="00A44EB5"/>
    <w:rsid w:val="00A451A9"/>
    <w:rsid w:val="00A45B3C"/>
    <w:rsid w:val="00A45E9B"/>
    <w:rsid w:val="00A462CD"/>
    <w:rsid w:val="00A46433"/>
    <w:rsid w:val="00A4685B"/>
    <w:rsid w:val="00A4698B"/>
    <w:rsid w:val="00A46EB3"/>
    <w:rsid w:val="00A479C9"/>
    <w:rsid w:val="00A47D43"/>
    <w:rsid w:val="00A504AE"/>
    <w:rsid w:val="00A50632"/>
    <w:rsid w:val="00A50807"/>
    <w:rsid w:val="00A50AD5"/>
    <w:rsid w:val="00A50B9B"/>
    <w:rsid w:val="00A517A1"/>
    <w:rsid w:val="00A51863"/>
    <w:rsid w:val="00A52624"/>
    <w:rsid w:val="00A527EE"/>
    <w:rsid w:val="00A52962"/>
    <w:rsid w:val="00A529F9"/>
    <w:rsid w:val="00A535B1"/>
    <w:rsid w:val="00A53A59"/>
    <w:rsid w:val="00A53AA8"/>
    <w:rsid w:val="00A54CC4"/>
    <w:rsid w:val="00A54D3D"/>
    <w:rsid w:val="00A54E63"/>
    <w:rsid w:val="00A54E67"/>
    <w:rsid w:val="00A55412"/>
    <w:rsid w:val="00A55D5D"/>
    <w:rsid w:val="00A55E6C"/>
    <w:rsid w:val="00A56C77"/>
    <w:rsid w:val="00A56D66"/>
    <w:rsid w:val="00A56D86"/>
    <w:rsid w:val="00A57577"/>
    <w:rsid w:val="00A579BA"/>
    <w:rsid w:val="00A57E9A"/>
    <w:rsid w:val="00A602A0"/>
    <w:rsid w:val="00A602B6"/>
    <w:rsid w:val="00A602E5"/>
    <w:rsid w:val="00A603C1"/>
    <w:rsid w:val="00A6054B"/>
    <w:rsid w:val="00A609E5"/>
    <w:rsid w:val="00A60CC9"/>
    <w:rsid w:val="00A619E9"/>
    <w:rsid w:val="00A61AE2"/>
    <w:rsid w:val="00A61D23"/>
    <w:rsid w:val="00A61D5E"/>
    <w:rsid w:val="00A61EA3"/>
    <w:rsid w:val="00A62218"/>
    <w:rsid w:val="00A63032"/>
    <w:rsid w:val="00A632D5"/>
    <w:rsid w:val="00A6357C"/>
    <w:rsid w:val="00A63996"/>
    <w:rsid w:val="00A63E0A"/>
    <w:rsid w:val="00A64BFB"/>
    <w:rsid w:val="00A64CF2"/>
    <w:rsid w:val="00A651B3"/>
    <w:rsid w:val="00A652AC"/>
    <w:rsid w:val="00A658BE"/>
    <w:rsid w:val="00A6599B"/>
    <w:rsid w:val="00A65C2F"/>
    <w:rsid w:val="00A663C0"/>
    <w:rsid w:val="00A6691C"/>
    <w:rsid w:val="00A6694E"/>
    <w:rsid w:val="00A6699B"/>
    <w:rsid w:val="00A66E45"/>
    <w:rsid w:val="00A6712B"/>
    <w:rsid w:val="00A6753B"/>
    <w:rsid w:val="00A676B4"/>
    <w:rsid w:val="00A67B40"/>
    <w:rsid w:val="00A67F86"/>
    <w:rsid w:val="00A67FBA"/>
    <w:rsid w:val="00A70198"/>
    <w:rsid w:val="00A70745"/>
    <w:rsid w:val="00A7078C"/>
    <w:rsid w:val="00A70A5C"/>
    <w:rsid w:val="00A71990"/>
    <w:rsid w:val="00A71A8D"/>
    <w:rsid w:val="00A71AAA"/>
    <w:rsid w:val="00A723FD"/>
    <w:rsid w:val="00A72701"/>
    <w:rsid w:val="00A72A29"/>
    <w:rsid w:val="00A72C91"/>
    <w:rsid w:val="00A730FC"/>
    <w:rsid w:val="00A73187"/>
    <w:rsid w:val="00A7333E"/>
    <w:rsid w:val="00A73494"/>
    <w:rsid w:val="00A736D0"/>
    <w:rsid w:val="00A739DF"/>
    <w:rsid w:val="00A739EE"/>
    <w:rsid w:val="00A7462B"/>
    <w:rsid w:val="00A748EE"/>
    <w:rsid w:val="00A74B1A"/>
    <w:rsid w:val="00A74D0D"/>
    <w:rsid w:val="00A74E7F"/>
    <w:rsid w:val="00A74FE6"/>
    <w:rsid w:val="00A751B3"/>
    <w:rsid w:val="00A7546E"/>
    <w:rsid w:val="00A75584"/>
    <w:rsid w:val="00A75739"/>
    <w:rsid w:val="00A7574D"/>
    <w:rsid w:val="00A758AE"/>
    <w:rsid w:val="00A760AE"/>
    <w:rsid w:val="00A764CD"/>
    <w:rsid w:val="00A766A1"/>
    <w:rsid w:val="00A7699A"/>
    <w:rsid w:val="00A769BB"/>
    <w:rsid w:val="00A76EF7"/>
    <w:rsid w:val="00A76F36"/>
    <w:rsid w:val="00A7764D"/>
    <w:rsid w:val="00A7767D"/>
    <w:rsid w:val="00A80E0C"/>
    <w:rsid w:val="00A81514"/>
    <w:rsid w:val="00A81F05"/>
    <w:rsid w:val="00A82505"/>
    <w:rsid w:val="00A8262A"/>
    <w:rsid w:val="00A828B1"/>
    <w:rsid w:val="00A82C69"/>
    <w:rsid w:val="00A83220"/>
    <w:rsid w:val="00A83347"/>
    <w:rsid w:val="00A83521"/>
    <w:rsid w:val="00A83C3D"/>
    <w:rsid w:val="00A83C6A"/>
    <w:rsid w:val="00A83D59"/>
    <w:rsid w:val="00A84C2B"/>
    <w:rsid w:val="00A84D82"/>
    <w:rsid w:val="00A84DFB"/>
    <w:rsid w:val="00A8534A"/>
    <w:rsid w:val="00A85440"/>
    <w:rsid w:val="00A85B25"/>
    <w:rsid w:val="00A85C1C"/>
    <w:rsid w:val="00A85C36"/>
    <w:rsid w:val="00A8607C"/>
    <w:rsid w:val="00A860F4"/>
    <w:rsid w:val="00A86612"/>
    <w:rsid w:val="00A8681F"/>
    <w:rsid w:val="00A86871"/>
    <w:rsid w:val="00A86B1B"/>
    <w:rsid w:val="00A86F31"/>
    <w:rsid w:val="00A87251"/>
    <w:rsid w:val="00A87355"/>
    <w:rsid w:val="00A87461"/>
    <w:rsid w:val="00A87810"/>
    <w:rsid w:val="00A87AA9"/>
    <w:rsid w:val="00A87DAD"/>
    <w:rsid w:val="00A87EA1"/>
    <w:rsid w:val="00A87F3B"/>
    <w:rsid w:val="00A87FF2"/>
    <w:rsid w:val="00A905F2"/>
    <w:rsid w:val="00A90761"/>
    <w:rsid w:val="00A907EA"/>
    <w:rsid w:val="00A90815"/>
    <w:rsid w:val="00A90EFA"/>
    <w:rsid w:val="00A9112D"/>
    <w:rsid w:val="00A9115F"/>
    <w:rsid w:val="00A91804"/>
    <w:rsid w:val="00A919CC"/>
    <w:rsid w:val="00A9242E"/>
    <w:rsid w:val="00A92542"/>
    <w:rsid w:val="00A925D8"/>
    <w:rsid w:val="00A92A68"/>
    <w:rsid w:val="00A92E91"/>
    <w:rsid w:val="00A932AD"/>
    <w:rsid w:val="00A93B09"/>
    <w:rsid w:val="00A93E7B"/>
    <w:rsid w:val="00A940BE"/>
    <w:rsid w:val="00A942C2"/>
    <w:rsid w:val="00A9485F"/>
    <w:rsid w:val="00A94A2F"/>
    <w:rsid w:val="00A94DD8"/>
    <w:rsid w:val="00A94EB6"/>
    <w:rsid w:val="00A94EBF"/>
    <w:rsid w:val="00A9509F"/>
    <w:rsid w:val="00A950A2"/>
    <w:rsid w:val="00A9580B"/>
    <w:rsid w:val="00A95DA6"/>
    <w:rsid w:val="00A95E8E"/>
    <w:rsid w:val="00A9614D"/>
    <w:rsid w:val="00A96B56"/>
    <w:rsid w:val="00A96E70"/>
    <w:rsid w:val="00A97B04"/>
    <w:rsid w:val="00AA0228"/>
    <w:rsid w:val="00AA02E3"/>
    <w:rsid w:val="00AA04D5"/>
    <w:rsid w:val="00AA04D9"/>
    <w:rsid w:val="00AA0539"/>
    <w:rsid w:val="00AA05E2"/>
    <w:rsid w:val="00AA06CC"/>
    <w:rsid w:val="00AA075B"/>
    <w:rsid w:val="00AA0C69"/>
    <w:rsid w:val="00AA0F97"/>
    <w:rsid w:val="00AA1319"/>
    <w:rsid w:val="00AA1A3B"/>
    <w:rsid w:val="00AA22EC"/>
    <w:rsid w:val="00AA23B9"/>
    <w:rsid w:val="00AA24D7"/>
    <w:rsid w:val="00AA2681"/>
    <w:rsid w:val="00AA2DF7"/>
    <w:rsid w:val="00AA30F1"/>
    <w:rsid w:val="00AA380B"/>
    <w:rsid w:val="00AA38E3"/>
    <w:rsid w:val="00AA3926"/>
    <w:rsid w:val="00AA3C4C"/>
    <w:rsid w:val="00AA3D83"/>
    <w:rsid w:val="00AA41C5"/>
    <w:rsid w:val="00AA41EB"/>
    <w:rsid w:val="00AA4735"/>
    <w:rsid w:val="00AA47F5"/>
    <w:rsid w:val="00AA4A1E"/>
    <w:rsid w:val="00AA5494"/>
    <w:rsid w:val="00AA61BD"/>
    <w:rsid w:val="00AA6656"/>
    <w:rsid w:val="00AA6841"/>
    <w:rsid w:val="00AA6FFD"/>
    <w:rsid w:val="00AA7523"/>
    <w:rsid w:val="00AA76D3"/>
    <w:rsid w:val="00AA7FED"/>
    <w:rsid w:val="00AB0186"/>
    <w:rsid w:val="00AB066F"/>
    <w:rsid w:val="00AB1347"/>
    <w:rsid w:val="00AB17A8"/>
    <w:rsid w:val="00AB17BE"/>
    <w:rsid w:val="00AB1854"/>
    <w:rsid w:val="00AB1874"/>
    <w:rsid w:val="00AB1A20"/>
    <w:rsid w:val="00AB20CB"/>
    <w:rsid w:val="00AB296E"/>
    <w:rsid w:val="00AB2DF7"/>
    <w:rsid w:val="00AB2E50"/>
    <w:rsid w:val="00AB2E5E"/>
    <w:rsid w:val="00AB2F00"/>
    <w:rsid w:val="00AB2F8E"/>
    <w:rsid w:val="00AB3592"/>
    <w:rsid w:val="00AB3879"/>
    <w:rsid w:val="00AB3B1F"/>
    <w:rsid w:val="00AB3C92"/>
    <w:rsid w:val="00AB4481"/>
    <w:rsid w:val="00AB44DE"/>
    <w:rsid w:val="00AB49C2"/>
    <w:rsid w:val="00AB4CAC"/>
    <w:rsid w:val="00AB5D2B"/>
    <w:rsid w:val="00AB5E74"/>
    <w:rsid w:val="00AB6008"/>
    <w:rsid w:val="00AB7106"/>
    <w:rsid w:val="00AB7409"/>
    <w:rsid w:val="00AB774D"/>
    <w:rsid w:val="00AB7876"/>
    <w:rsid w:val="00AB78CA"/>
    <w:rsid w:val="00AB7F1E"/>
    <w:rsid w:val="00AC012F"/>
    <w:rsid w:val="00AC0308"/>
    <w:rsid w:val="00AC0403"/>
    <w:rsid w:val="00AC05E2"/>
    <w:rsid w:val="00AC07B6"/>
    <w:rsid w:val="00AC086F"/>
    <w:rsid w:val="00AC0918"/>
    <w:rsid w:val="00AC091C"/>
    <w:rsid w:val="00AC0D0A"/>
    <w:rsid w:val="00AC14FC"/>
    <w:rsid w:val="00AC17BE"/>
    <w:rsid w:val="00AC195C"/>
    <w:rsid w:val="00AC19BF"/>
    <w:rsid w:val="00AC1C84"/>
    <w:rsid w:val="00AC1E07"/>
    <w:rsid w:val="00AC208D"/>
    <w:rsid w:val="00AC2582"/>
    <w:rsid w:val="00AC29DB"/>
    <w:rsid w:val="00AC310F"/>
    <w:rsid w:val="00AC4A6A"/>
    <w:rsid w:val="00AC4C3B"/>
    <w:rsid w:val="00AC52F3"/>
    <w:rsid w:val="00AC5574"/>
    <w:rsid w:val="00AC55C2"/>
    <w:rsid w:val="00AC610A"/>
    <w:rsid w:val="00AC6394"/>
    <w:rsid w:val="00AC643A"/>
    <w:rsid w:val="00AC65D1"/>
    <w:rsid w:val="00AC663A"/>
    <w:rsid w:val="00AC6A3C"/>
    <w:rsid w:val="00AC730A"/>
    <w:rsid w:val="00AC7466"/>
    <w:rsid w:val="00AC75E1"/>
    <w:rsid w:val="00AC7690"/>
    <w:rsid w:val="00AC79F6"/>
    <w:rsid w:val="00AC7B4B"/>
    <w:rsid w:val="00AC7F3E"/>
    <w:rsid w:val="00AC7FD6"/>
    <w:rsid w:val="00AD01AA"/>
    <w:rsid w:val="00AD0407"/>
    <w:rsid w:val="00AD0713"/>
    <w:rsid w:val="00AD0FD7"/>
    <w:rsid w:val="00AD0FDC"/>
    <w:rsid w:val="00AD1118"/>
    <w:rsid w:val="00AD1518"/>
    <w:rsid w:val="00AD1B94"/>
    <w:rsid w:val="00AD21BB"/>
    <w:rsid w:val="00AD2A05"/>
    <w:rsid w:val="00AD2ABC"/>
    <w:rsid w:val="00AD2EBB"/>
    <w:rsid w:val="00AD3147"/>
    <w:rsid w:val="00AD361C"/>
    <w:rsid w:val="00AD3630"/>
    <w:rsid w:val="00AD3E7A"/>
    <w:rsid w:val="00AD45E0"/>
    <w:rsid w:val="00AD484C"/>
    <w:rsid w:val="00AD4DD0"/>
    <w:rsid w:val="00AD5320"/>
    <w:rsid w:val="00AD55B7"/>
    <w:rsid w:val="00AD605D"/>
    <w:rsid w:val="00AD60F1"/>
    <w:rsid w:val="00AD6391"/>
    <w:rsid w:val="00AD640C"/>
    <w:rsid w:val="00AD64D8"/>
    <w:rsid w:val="00AD681B"/>
    <w:rsid w:val="00AD68DA"/>
    <w:rsid w:val="00AD698E"/>
    <w:rsid w:val="00AD6F4E"/>
    <w:rsid w:val="00AD6F56"/>
    <w:rsid w:val="00AD7517"/>
    <w:rsid w:val="00AD7581"/>
    <w:rsid w:val="00AD7BF6"/>
    <w:rsid w:val="00AD7E81"/>
    <w:rsid w:val="00AE0094"/>
    <w:rsid w:val="00AE09E7"/>
    <w:rsid w:val="00AE0C88"/>
    <w:rsid w:val="00AE13A6"/>
    <w:rsid w:val="00AE1A41"/>
    <w:rsid w:val="00AE1D3F"/>
    <w:rsid w:val="00AE2271"/>
    <w:rsid w:val="00AE2394"/>
    <w:rsid w:val="00AE28A3"/>
    <w:rsid w:val="00AE3351"/>
    <w:rsid w:val="00AE33AF"/>
    <w:rsid w:val="00AE35AE"/>
    <w:rsid w:val="00AE3AEC"/>
    <w:rsid w:val="00AE3C7B"/>
    <w:rsid w:val="00AE3CFE"/>
    <w:rsid w:val="00AE4361"/>
    <w:rsid w:val="00AE44E1"/>
    <w:rsid w:val="00AE45B6"/>
    <w:rsid w:val="00AE4879"/>
    <w:rsid w:val="00AE58C2"/>
    <w:rsid w:val="00AE604A"/>
    <w:rsid w:val="00AE6604"/>
    <w:rsid w:val="00AE67FE"/>
    <w:rsid w:val="00AE6976"/>
    <w:rsid w:val="00AE697A"/>
    <w:rsid w:val="00AE6C37"/>
    <w:rsid w:val="00AE6F0D"/>
    <w:rsid w:val="00AE70D6"/>
    <w:rsid w:val="00AE766C"/>
    <w:rsid w:val="00AE7CDB"/>
    <w:rsid w:val="00AF0A3E"/>
    <w:rsid w:val="00AF0BCB"/>
    <w:rsid w:val="00AF0C7C"/>
    <w:rsid w:val="00AF1D98"/>
    <w:rsid w:val="00AF21D2"/>
    <w:rsid w:val="00AF2F06"/>
    <w:rsid w:val="00AF2F8C"/>
    <w:rsid w:val="00AF330C"/>
    <w:rsid w:val="00AF3759"/>
    <w:rsid w:val="00AF3822"/>
    <w:rsid w:val="00AF3890"/>
    <w:rsid w:val="00AF4080"/>
    <w:rsid w:val="00AF408F"/>
    <w:rsid w:val="00AF4241"/>
    <w:rsid w:val="00AF4319"/>
    <w:rsid w:val="00AF432A"/>
    <w:rsid w:val="00AF4828"/>
    <w:rsid w:val="00AF49F3"/>
    <w:rsid w:val="00AF566A"/>
    <w:rsid w:val="00AF5AF3"/>
    <w:rsid w:val="00AF5BEC"/>
    <w:rsid w:val="00AF5C42"/>
    <w:rsid w:val="00AF5D25"/>
    <w:rsid w:val="00AF5E31"/>
    <w:rsid w:val="00AF5F4C"/>
    <w:rsid w:val="00AF67D3"/>
    <w:rsid w:val="00AF6FE4"/>
    <w:rsid w:val="00AF7383"/>
    <w:rsid w:val="00AF759A"/>
    <w:rsid w:val="00AF7641"/>
    <w:rsid w:val="00AF7DB9"/>
    <w:rsid w:val="00B00575"/>
    <w:rsid w:val="00B00AAB"/>
    <w:rsid w:val="00B00BA6"/>
    <w:rsid w:val="00B00CC6"/>
    <w:rsid w:val="00B0100C"/>
    <w:rsid w:val="00B01194"/>
    <w:rsid w:val="00B01356"/>
    <w:rsid w:val="00B01583"/>
    <w:rsid w:val="00B0198B"/>
    <w:rsid w:val="00B01CA3"/>
    <w:rsid w:val="00B01CDC"/>
    <w:rsid w:val="00B029BC"/>
    <w:rsid w:val="00B02BE8"/>
    <w:rsid w:val="00B02D5C"/>
    <w:rsid w:val="00B0360D"/>
    <w:rsid w:val="00B039BC"/>
    <w:rsid w:val="00B03F23"/>
    <w:rsid w:val="00B0432B"/>
    <w:rsid w:val="00B0603B"/>
    <w:rsid w:val="00B066BB"/>
    <w:rsid w:val="00B0676D"/>
    <w:rsid w:val="00B067F9"/>
    <w:rsid w:val="00B06DB3"/>
    <w:rsid w:val="00B0723C"/>
    <w:rsid w:val="00B077B3"/>
    <w:rsid w:val="00B07BF9"/>
    <w:rsid w:val="00B07CDC"/>
    <w:rsid w:val="00B1073E"/>
    <w:rsid w:val="00B107E1"/>
    <w:rsid w:val="00B10AB9"/>
    <w:rsid w:val="00B10DF8"/>
    <w:rsid w:val="00B10F0E"/>
    <w:rsid w:val="00B11307"/>
    <w:rsid w:val="00B11A0B"/>
    <w:rsid w:val="00B11AAC"/>
    <w:rsid w:val="00B11BE1"/>
    <w:rsid w:val="00B11D30"/>
    <w:rsid w:val="00B11D62"/>
    <w:rsid w:val="00B11E69"/>
    <w:rsid w:val="00B11EFC"/>
    <w:rsid w:val="00B1212F"/>
    <w:rsid w:val="00B12896"/>
    <w:rsid w:val="00B12E55"/>
    <w:rsid w:val="00B1333C"/>
    <w:rsid w:val="00B13F1D"/>
    <w:rsid w:val="00B142CB"/>
    <w:rsid w:val="00B146AB"/>
    <w:rsid w:val="00B14A2E"/>
    <w:rsid w:val="00B14C80"/>
    <w:rsid w:val="00B14F53"/>
    <w:rsid w:val="00B15479"/>
    <w:rsid w:val="00B15797"/>
    <w:rsid w:val="00B15AE8"/>
    <w:rsid w:val="00B15B3E"/>
    <w:rsid w:val="00B15BF6"/>
    <w:rsid w:val="00B15EED"/>
    <w:rsid w:val="00B1606B"/>
    <w:rsid w:val="00B16392"/>
    <w:rsid w:val="00B1671B"/>
    <w:rsid w:val="00B16727"/>
    <w:rsid w:val="00B16997"/>
    <w:rsid w:val="00B16A14"/>
    <w:rsid w:val="00B16E1E"/>
    <w:rsid w:val="00B16E40"/>
    <w:rsid w:val="00B17307"/>
    <w:rsid w:val="00B17342"/>
    <w:rsid w:val="00B17425"/>
    <w:rsid w:val="00B174D5"/>
    <w:rsid w:val="00B179FD"/>
    <w:rsid w:val="00B17CEF"/>
    <w:rsid w:val="00B17E6D"/>
    <w:rsid w:val="00B17EA7"/>
    <w:rsid w:val="00B20C0F"/>
    <w:rsid w:val="00B20C31"/>
    <w:rsid w:val="00B20E80"/>
    <w:rsid w:val="00B218BC"/>
    <w:rsid w:val="00B221D9"/>
    <w:rsid w:val="00B2243A"/>
    <w:rsid w:val="00B22BBB"/>
    <w:rsid w:val="00B22EF3"/>
    <w:rsid w:val="00B2317A"/>
    <w:rsid w:val="00B23275"/>
    <w:rsid w:val="00B23DE9"/>
    <w:rsid w:val="00B23E3C"/>
    <w:rsid w:val="00B23FA3"/>
    <w:rsid w:val="00B2419F"/>
    <w:rsid w:val="00B24337"/>
    <w:rsid w:val="00B245E7"/>
    <w:rsid w:val="00B24C33"/>
    <w:rsid w:val="00B24C5C"/>
    <w:rsid w:val="00B24FFF"/>
    <w:rsid w:val="00B250DE"/>
    <w:rsid w:val="00B251D0"/>
    <w:rsid w:val="00B25658"/>
    <w:rsid w:val="00B25A07"/>
    <w:rsid w:val="00B25AEC"/>
    <w:rsid w:val="00B2632B"/>
    <w:rsid w:val="00B265CC"/>
    <w:rsid w:val="00B2705F"/>
    <w:rsid w:val="00B27297"/>
    <w:rsid w:val="00B2794C"/>
    <w:rsid w:val="00B279E6"/>
    <w:rsid w:val="00B27A93"/>
    <w:rsid w:val="00B3011F"/>
    <w:rsid w:val="00B3043E"/>
    <w:rsid w:val="00B30609"/>
    <w:rsid w:val="00B30D0A"/>
    <w:rsid w:val="00B30DF8"/>
    <w:rsid w:val="00B3111E"/>
    <w:rsid w:val="00B31588"/>
    <w:rsid w:val="00B31E9A"/>
    <w:rsid w:val="00B32063"/>
    <w:rsid w:val="00B327C8"/>
    <w:rsid w:val="00B3306E"/>
    <w:rsid w:val="00B33124"/>
    <w:rsid w:val="00B33752"/>
    <w:rsid w:val="00B33A9B"/>
    <w:rsid w:val="00B33B4E"/>
    <w:rsid w:val="00B33C59"/>
    <w:rsid w:val="00B33D39"/>
    <w:rsid w:val="00B3459C"/>
    <w:rsid w:val="00B34676"/>
    <w:rsid w:val="00B34B83"/>
    <w:rsid w:val="00B34CEF"/>
    <w:rsid w:val="00B34D65"/>
    <w:rsid w:val="00B35148"/>
    <w:rsid w:val="00B35496"/>
    <w:rsid w:val="00B35837"/>
    <w:rsid w:val="00B35B23"/>
    <w:rsid w:val="00B35B95"/>
    <w:rsid w:val="00B35E9F"/>
    <w:rsid w:val="00B361D5"/>
    <w:rsid w:val="00B3666A"/>
    <w:rsid w:val="00B366E5"/>
    <w:rsid w:val="00B36C69"/>
    <w:rsid w:val="00B36F74"/>
    <w:rsid w:val="00B3706D"/>
    <w:rsid w:val="00B37346"/>
    <w:rsid w:val="00B3740A"/>
    <w:rsid w:val="00B3748A"/>
    <w:rsid w:val="00B403D9"/>
    <w:rsid w:val="00B40483"/>
    <w:rsid w:val="00B40612"/>
    <w:rsid w:val="00B40951"/>
    <w:rsid w:val="00B40B1E"/>
    <w:rsid w:val="00B40D78"/>
    <w:rsid w:val="00B40DEE"/>
    <w:rsid w:val="00B41297"/>
    <w:rsid w:val="00B413F0"/>
    <w:rsid w:val="00B41986"/>
    <w:rsid w:val="00B41D52"/>
    <w:rsid w:val="00B429BF"/>
    <w:rsid w:val="00B42A9E"/>
    <w:rsid w:val="00B438EF"/>
    <w:rsid w:val="00B43AEE"/>
    <w:rsid w:val="00B43AF4"/>
    <w:rsid w:val="00B43B83"/>
    <w:rsid w:val="00B43EC4"/>
    <w:rsid w:val="00B4412B"/>
    <w:rsid w:val="00B4419A"/>
    <w:rsid w:val="00B44334"/>
    <w:rsid w:val="00B446A8"/>
    <w:rsid w:val="00B447EA"/>
    <w:rsid w:val="00B44C2E"/>
    <w:rsid w:val="00B44DB9"/>
    <w:rsid w:val="00B456C2"/>
    <w:rsid w:val="00B45AD8"/>
    <w:rsid w:val="00B45FFE"/>
    <w:rsid w:val="00B4602F"/>
    <w:rsid w:val="00B46196"/>
    <w:rsid w:val="00B46EEF"/>
    <w:rsid w:val="00B4701A"/>
    <w:rsid w:val="00B47121"/>
    <w:rsid w:val="00B472A4"/>
    <w:rsid w:val="00B479AE"/>
    <w:rsid w:val="00B47B90"/>
    <w:rsid w:val="00B50238"/>
    <w:rsid w:val="00B50281"/>
    <w:rsid w:val="00B508B7"/>
    <w:rsid w:val="00B50901"/>
    <w:rsid w:val="00B50A25"/>
    <w:rsid w:val="00B50AE5"/>
    <w:rsid w:val="00B50CCE"/>
    <w:rsid w:val="00B51490"/>
    <w:rsid w:val="00B51A0D"/>
    <w:rsid w:val="00B51B67"/>
    <w:rsid w:val="00B51D0B"/>
    <w:rsid w:val="00B51EFC"/>
    <w:rsid w:val="00B51FDE"/>
    <w:rsid w:val="00B5219F"/>
    <w:rsid w:val="00B5266D"/>
    <w:rsid w:val="00B52847"/>
    <w:rsid w:val="00B52B40"/>
    <w:rsid w:val="00B52BCE"/>
    <w:rsid w:val="00B5322A"/>
    <w:rsid w:val="00B53555"/>
    <w:rsid w:val="00B53A1D"/>
    <w:rsid w:val="00B53E21"/>
    <w:rsid w:val="00B53EFF"/>
    <w:rsid w:val="00B540BE"/>
    <w:rsid w:val="00B54E45"/>
    <w:rsid w:val="00B556D0"/>
    <w:rsid w:val="00B55F32"/>
    <w:rsid w:val="00B561E5"/>
    <w:rsid w:val="00B56555"/>
    <w:rsid w:val="00B568E5"/>
    <w:rsid w:val="00B5692F"/>
    <w:rsid w:val="00B5694F"/>
    <w:rsid w:val="00B56CBC"/>
    <w:rsid w:val="00B576B1"/>
    <w:rsid w:val="00B5790A"/>
    <w:rsid w:val="00B57EA8"/>
    <w:rsid w:val="00B60172"/>
    <w:rsid w:val="00B6035D"/>
    <w:rsid w:val="00B60C24"/>
    <w:rsid w:val="00B60CE6"/>
    <w:rsid w:val="00B61379"/>
    <w:rsid w:val="00B617D7"/>
    <w:rsid w:val="00B62E55"/>
    <w:rsid w:val="00B62ED1"/>
    <w:rsid w:val="00B62FEA"/>
    <w:rsid w:val="00B63D32"/>
    <w:rsid w:val="00B64157"/>
    <w:rsid w:val="00B641D9"/>
    <w:rsid w:val="00B64259"/>
    <w:rsid w:val="00B64CA8"/>
    <w:rsid w:val="00B64F99"/>
    <w:rsid w:val="00B652E9"/>
    <w:rsid w:val="00B6545A"/>
    <w:rsid w:val="00B6582C"/>
    <w:rsid w:val="00B65CE3"/>
    <w:rsid w:val="00B66009"/>
    <w:rsid w:val="00B66967"/>
    <w:rsid w:val="00B66A6C"/>
    <w:rsid w:val="00B66A8F"/>
    <w:rsid w:val="00B66B32"/>
    <w:rsid w:val="00B66F3F"/>
    <w:rsid w:val="00B6744E"/>
    <w:rsid w:val="00B6747E"/>
    <w:rsid w:val="00B67633"/>
    <w:rsid w:val="00B6782E"/>
    <w:rsid w:val="00B678DA"/>
    <w:rsid w:val="00B67BB9"/>
    <w:rsid w:val="00B67CE8"/>
    <w:rsid w:val="00B702E1"/>
    <w:rsid w:val="00B70438"/>
    <w:rsid w:val="00B70707"/>
    <w:rsid w:val="00B7080E"/>
    <w:rsid w:val="00B70BEA"/>
    <w:rsid w:val="00B70DE1"/>
    <w:rsid w:val="00B715C0"/>
    <w:rsid w:val="00B71DB8"/>
    <w:rsid w:val="00B72682"/>
    <w:rsid w:val="00B7293C"/>
    <w:rsid w:val="00B729FF"/>
    <w:rsid w:val="00B72B15"/>
    <w:rsid w:val="00B72BC8"/>
    <w:rsid w:val="00B7301A"/>
    <w:rsid w:val="00B73345"/>
    <w:rsid w:val="00B735C9"/>
    <w:rsid w:val="00B73A2B"/>
    <w:rsid w:val="00B73CC5"/>
    <w:rsid w:val="00B73DBA"/>
    <w:rsid w:val="00B7404E"/>
    <w:rsid w:val="00B74384"/>
    <w:rsid w:val="00B74403"/>
    <w:rsid w:val="00B7455B"/>
    <w:rsid w:val="00B7495A"/>
    <w:rsid w:val="00B74BB9"/>
    <w:rsid w:val="00B75170"/>
    <w:rsid w:val="00B7521C"/>
    <w:rsid w:val="00B757A3"/>
    <w:rsid w:val="00B75E40"/>
    <w:rsid w:val="00B75F29"/>
    <w:rsid w:val="00B767BF"/>
    <w:rsid w:val="00B76A47"/>
    <w:rsid w:val="00B76CB2"/>
    <w:rsid w:val="00B76FCF"/>
    <w:rsid w:val="00B770F5"/>
    <w:rsid w:val="00B773D6"/>
    <w:rsid w:val="00B7756A"/>
    <w:rsid w:val="00B77D06"/>
    <w:rsid w:val="00B80489"/>
    <w:rsid w:val="00B80637"/>
    <w:rsid w:val="00B80638"/>
    <w:rsid w:val="00B81248"/>
    <w:rsid w:val="00B8192A"/>
    <w:rsid w:val="00B819C9"/>
    <w:rsid w:val="00B82440"/>
    <w:rsid w:val="00B82CE1"/>
    <w:rsid w:val="00B82F14"/>
    <w:rsid w:val="00B8304A"/>
    <w:rsid w:val="00B83580"/>
    <w:rsid w:val="00B83820"/>
    <w:rsid w:val="00B84349"/>
    <w:rsid w:val="00B843C5"/>
    <w:rsid w:val="00B848C0"/>
    <w:rsid w:val="00B84920"/>
    <w:rsid w:val="00B84BCF"/>
    <w:rsid w:val="00B851EE"/>
    <w:rsid w:val="00B853C2"/>
    <w:rsid w:val="00B854A0"/>
    <w:rsid w:val="00B8563C"/>
    <w:rsid w:val="00B8569B"/>
    <w:rsid w:val="00B8569C"/>
    <w:rsid w:val="00B856D2"/>
    <w:rsid w:val="00B859F0"/>
    <w:rsid w:val="00B86129"/>
    <w:rsid w:val="00B8623C"/>
    <w:rsid w:val="00B863BA"/>
    <w:rsid w:val="00B86981"/>
    <w:rsid w:val="00B86EA7"/>
    <w:rsid w:val="00B870A2"/>
    <w:rsid w:val="00B8755F"/>
    <w:rsid w:val="00B8782F"/>
    <w:rsid w:val="00B8793B"/>
    <w:rsid w:val="00B87D84"/>
    <w:rsid w:val="00B87FF8"/>
    <w:rsid w:val="00B90134"/>
    <w:rsid w:val="00B902F0"/>
    <w:rsid w:val="00B90839"/>
    <w:rsid w:val="00B908EF"/>
    <w:rsid w:val="00B90C7D"/>
    <w:rsid w:val="00B9122F"/>
    <w:rsid w:val="00B919DF"/>
    <w:rsid w:val="00B91A00"/>
    <w:rsid w:val="00B92078"/>
    <w:rsid w:val="00B92171"/>
    <w:rsid w:val="00B92609"/>
    <w:rsid w:val="00B92B46"/>
    <w:rsid w:val="00B92E7A"/>
    <w:rsid w:val="00B92E8C"/>
    <w:rsid w:val="00B92ED2"/>
    <w:rsid w:val="00B93010"/>
    <w:rsid w:val="00B930BD"/>
    <w:rsid w:val="00B93B42"/>
    <w:rsid w:val="00B93F55"/>
    <w:rsid w:val="00B940E2"/>
    <w:rsid w:val="00B94238"/>
    <w:rsid w:val="00B9440F"/>
    <w:rsid w:val="00B951DC"/>
    <w:rsid w:val="00B954A9"/>
    <w:rsid w:val="00B954F5"/>
    <w:rsid w:val="00B95DD5"/>
    <w:rsid w:val="00B95F96"/>
    <w:rsid w:val="00B96484"/>
    <w:rsid w:val="00B96BB9"/>
    <w:rsid w:val="00B96F7C"/>
    <w:rsid w:val="00B97276"/>
    <w:rsid w:val="00B974C0"/>
    <w:rsid w:val="00B978EA"/>
    <w:rsid w:val="00BA029A"/>
    <w:rsid w:val="00BA05FE"/>
    <w:rsid w:val="00BA08A6"/>
    <w:rsid w:val="00BA0AD0"/>
    <w:rsid w:val="00BA0B4D"/>
    <w:rsid w:val="00BA119D"/>
    <w:rsid w:val="00BA1891"/>
    <w:rsid w:val="00BA1CF7"/>
    <w:rsid w:val="00BA1FF8"/>
    <w:rsid w:val="00BA21FC"/>
    <w:rsid w:val="00BA22C7"/>
    <w:rsid w:val="00BA27D4"/>
    <w:rsid w:val="00BA29C1"/>
    <w:rsid w:val="00BA30E1"/>
    <w:rsid w:val="00BA3897"/>
    <w:rsid w:val="00BA3C9D"/>
    <w:rsid w:val="00BA4204"/>
    <w:rsid w:val="00BA46F1"/>
    <w:rsid w:val="00BA4744"/>
    <w:rsid w:val="00BA4945"/>
    <w:rsid w:val="00BA4AB9"/>
    <w:rsid w:val="00BA51EA"/>
    <w:rsid w:val="00BA5280"/>
    <w:rsid w:val="00BA5297"/>
    <w:rsid w:val="00BA5611"/>
    <w:rsid w:val="00BA57CD"/>
    <w:rsid w:val="00BA5B5F"/>
    <w:rsid w:val="00BA61CC"/>
    <w:rsid w:val="00BA6897"/>
    <w:rsid w:val="00BA69F1"/>
    <w:rsid w:val="00BA6ABD"/>
    <w:rsid w:val="00BA6D37"/>
    <w:rsid w:val="00BA70DE"/>
    <w:rsid w:val="00BA7240"/>
    <w:rsid w:val="00BA7407"/>
    <w:rsid w:val="00BA76AF"/>
    <w:rsid w:val="00BA7767"/>
    <w:rsid w:val="00BA78DF"/>
    <w:rsid w:val="00BA78F0"/>
    <w:rsid w:val="00BA7E90"/>
    <w:rsid w:val="00BB0328"/>
    <w:rsid w:val="00BB044D"/>
    <w:rsid w:val="00BB05D1"/>
    <w:rsid w:val="00BB080D"/>
    <w:rsid w:val="00BB0CD7"/>
    <w:rsid w:val="00BB0D12"/>
    <w:rsid w:val="00BB1055"/>
    <w:rsid w:val="00BB13BA"/>
    <w:rsid w:val="00BB187F"/>
    <w:rsid w:val="00BB1AEF"/>
    <w:rsid w:val="00BB1B12"/>
    <w:rsid w:val="00BB1CC6"/>
    <w:rsid w:val="00BB1E75"/>
    <w:rsid w:val="00BB219E"/>
    <w:rsid w:val="00BB23E2"/>
    <w:rsid w:val="00BB24BB"/>
    <w:rsid w:val="00BB273C"/>
    <w:rsid w:val="00BB2F33"/>
    <w:rsid w:val="00BB2F66"/>
    <w:rsid w:val="00BB305F"/>
    <w:rsid w:val="00BB331F"/>
    <w:rsid w:val="00BB3353"/>
    <w:rsid w:val="00BB3732"/>
    <w:rsid w:val="00BB3960"/>
    <w:rsid w:val="00BB3C31"/>
    <w:rsid w:val="00BB3D67"/>
    <w:rsid w:val="00BB3ED2"/>
    <w:rsid w:val="00BB4116"/>
    <w:rsid w:val="00BB4585"/>
    <w:rsid w:val="00BB4921"/>
    <w:rsid w:val="00BB4A67"/>
    <w:rsid w:val="00BB4CB3"/>
    <w:rsid w:val="00BB5224"/>
    <w:rsid w:val="00BB5650"/>
    <w:rsid w:val="00BB5CD0"/>
    <w:rsid w:val="00BB6470"/>
    <w:rsid w:val="00BB6873"/>
    <w:rsid w:val="00BB6882"/>
    <w:rsid w:val="00BB7765"/>
    <w:rsid w:val="00BB7860"/>
    <w:rsid w:val="00BB790F"/>
    <w:rsid w:val="00BB7BE1"/>
    <w:rsid w:val="00BB7D42"/>
    <w:rsid w:val="00BB7F18"/>
    <w:rsid w:val="00BC06E4"/>
    <w:rsid w:val="00BC0FDF"/>
    <w:rsid w:val="00BC1090"/>
    <w:rsid w:val="00BC11CF"/>
    <w:rsid w:val="00BC1329"/>
    <w:rsid w:val="00BC1881"/>
    <w:rsid w:val="00BC1F45"/>
    <w:rsid w:val="00BC225A"/>
    <w:rsid w:val="00BC31A1"/>
    <w:rsid w:val="00BC3221"/>
    <w:rsid w:val="00BC4866"/>
    <w:rsid w:val="00BC48BD"/>
    <w:rsid w:val="00BC5008"/>
    <w:rsid w:val="00BC543C"/>
    <w:rsid w:val="00BC5B8C"/>
    <w:rsid w:val="00BC5D89"/>
    <w:rsid w:val="00BC614B"/>
    <w:rsid w:val="00BC61B5"/>
    <w:rsid w:val="00BC6200"/>
    <w:rsid w:val="00BC7028"/>
    <w:rsid w:val="00BC75E7"/>
    <w:rsid w:val="00BC7845"/>
    <w:rsid w:val="00BD0320"/>
    <w:rsid w:val="00BD0704"/>
    <w:rsid w:val="00BD0877"/>
    <w:rsid w:val="00BD0C62"/>
    <w:rsid w:val="00BD1111"/>
    <w:rsid w:val="00BD1652"/>
    <w:rsid w:val="00BD1775"/>
    <w:rsid w:val="00BD17B1"/>
    <w:rsid w:val="00BD1A47"/>
    <w:rsid w:val="00BD1D74"/>
    <w:rsid w:val="00BD1EDD"/>
    <w:rsid w:val="00BD209C"/>
    <w:rsid w:val="00BD24CA"/>
    <w:rsid w:val="00BD24FE"/>
    <w:rsid w:val="00BD259C"/>
    <w:rsid w:val="00BD2658"/>
    <w:rsid w:val="00BD35AE"/>
    <w:rsid w:val="00BD39DC"/>
    <w:rsid w:val="00BD3E25"/>
    <w:rsid w:val="00BD432C"/>
    <w:rsid w:val="00BD4CB7"/>
    <w:rsid w:val="00BD4E60"/>
    <w:rsid w:val="00BD5315"/>
    <w:rsid w:val="00BD5495"/>
    <w:rsid w:val="00BD5B97"/>
    <w:rsid w:val="00BD5D9D"/>
    <w:rsid w:val="00BD6014"/>
    <w:rsid w:val="00BD6378"/>
    <w:rsid w:val="00BD6486"/>
    <w:rsid w:val="00BD679C"/>
    <w:rsid w:val="00BD6930"/>
    <w:rsid w:val="00BD6FC1"/>
    <w:rsid w:val="00BD7117"/>
    <w:rsid w:val="00BD7560"/>
    <w:rsid w:val="00BD779D"/>
    <w:rsid w:val="00BD7A6A"/>
    <w:rsid w:val="00BD7ACC"/>
    <w:rsid w:val="00BE019C"/>
    <w:rsid w:val="00BE08D0"/>
    <w:rsid w:val="00BE0975"/>
    <w:rsid w:val="00BE0D53"/>
    <w:rsid w:val="00BE0E6C"/>
    <w:rsid w:val="00BE169D"/>
    <w:rsid w:val="00BE1803"/>
    <w:rsid w:val="00BE1967"/>
    <w:rsid w:val="00BE1A5A"/>
    <w:rsid w:val="00BE1A7F"/>
    <w:rsid w:val="00BE223F"/>
    <w:rsid w:val="00BE22C4"/>
    <w:rsid w:val="00BE236A"/>
    <w:rsid w:val="00BE251A"/>
    <w:rsid w:val="00BE25C7"/>
    <w:rsid w:val="00BE342C"/>
    <w:rsid w:val="00BE393F"/>
    <w:rsid w:val="00BE42E5"/>
    <w:rsid w:val="00BE454F"/>
    <w:rsid w:val="00BE46C7"/>
    <w:rsid w:val="00BE4BE6"/>
    <w:rsid w:val="00BE4D55"/>
    <w:rsid w:val="00BE4E7D"/>
    <w:rsid w:val="00BE562D"/>
    <w:rsid w:val="00BE57F0"/>
    <w:rsid w:val="00BE582D"/>
    <w:rsid w:val="00BE58ED"/>
    <w:rsid w:val="00BE597F"/>
    <w:rsid w:val="00BE5B7B"/>
    <w:rsid w:val="00BE5D60"/>
    <w:rsid w:val="00BE5FEE"/>
    <w:rsid w:val="00BE7528"/>
    <w:rsid w:val="00BE7654"/>
    <w:rsid w:val="00BE7844"/>
    <w:rsid w:val="00BE7BF7"/>
    <w:rsid w:val="00BF051D"/>
    <w:rsid w:val="00BF09B5"/>
    <w:rsid w:val="00BF13A4"/>
    <w:rsid w:val="00BF1756"/>
    <w:rsid w:val="00BF2179"/>
    <w:rsid w:val="00BF225A"/>
    <w:rsid w:val="00BF2451"/>
    <w:rsid w:val="00BF25B4"/>
    <w:rsid w:val="00BF2A0C"/>
    <w:rsid w:val="00BF2AD8"/>
    <w:rsid w:val="00BF2BE4"/>
    <w:rsid w:val="00BF2E0A"/>
    <w:rsid w:val="00BF302F"/>
    <w:rsid w:val="00BF318A"/>
    <w:rsid w:val="00BF39DE"/>
    <w:rsid w:val="00BF3BA4"/>
    <w:rsid w:val="00BF45AE"/>
    <w:rsid w:val="00BF4999"/>
    <w:rsid w:val="00BF4A3E"/>
    <w:rsid w:val="00BF5517"/>
    <w:rsid w:val="00BF55D0"/>
    <w:rsid w:val="00BF5807"/>
    <w:rsid w:val="00BF59A9"/>
    <w:rsid w:val="00BF5A44"/>
    <w:rsid w:val="00BF5D60"/>
    <w:rsid w:val="00BF612E"/>
    <w:rsid w:val="00BF652C"/>
    <w:rsid w:val="00BF6748"/>
    <w:rsid w:val="00BF6876"/>
    <w:rsid w:val="00BF6910"/>
    <w:rsid w:val="00BF6C2C"/>
    <w:rsid w:val="00BF6CB7"/>
    <w:rsid w:val="00BF6CB9"/>
    <w:rsid w:val="00BF753F"/>
    <w:rsid w:val="00BF7701"/>
    <w:rsid w:val="00BF7874"/>
    <w:rsid w:val="00BF7A13"/>
    <w:rsid w:val="00BF7E4A"/>
    <w:rsid w:val="00C003FE"/>
    <w:rsid w:val="00C007CE"/>
    <w:rsid w:val="00C00A12"/>
    <w:rsid w:val="00C00B33"/>
    <w:rsid w:val="00C010C7"/>
    <w:rsid w:val="00C0146D"/>
    <w:rsid w:val="00C01F5C"/>
    <w:rsid w:val="00C021FC"/>
    <w:rsid w:val="00C022DE"/>
    <w:rsid w:val="00C027AD"/>
    <w:rsid w:val="00C02D6E"/>
    <w:rsid w:val="00C0303B"/>
    <w:rsid w:val="00C03231"/>
    <w:rsid w:val="00C032F8"/>
    <w:rsid w:val="00C03923"/>
    <w:rsid w:val="00C03B39"/>
    <w:rsid w:val="00C03D2C"/>
    <w:rsid w:val="00C03DA4"/>
    <w:rsid w:val="00C03F12"/>
    <w:rsid w:val="00C0409C"/>
    <w:rsid w:val="00C04703"/>
    <w:rsid w:val="00C04DC3"/>
    <w:rsid w:val="00C05415"/>
    <w:rsid w:val="00C0549A"/>
    <w:rsid w:val="00C060D9"/>
    <w:rsid w:val="00C065EF"/>
    <w:rsid w:val="00C06D38"/>
    <w:rsid w:val="00C06D5F"/>
    <w:rsid w:val="00C06F4D"/>
    <w:rsid w:val="00C0702B"/>
    <w:rsid w:val="00C0777B"/>
    <w:rsid w:val="00C079CD"/>
    <w:rsid w:val="00C07BAE"/>
    <w:rsid w:val="00C1021E"/>
    <w:rsid w:val="00C1086D"/>
    <w:rsid w:val="00C10A47"/>
    <w:rsid w:val="00C1139B"/>
    <w:rsid w:val="00C11419"/>
    <w:rsid w:val="00C118FE"/>
    <w:rsid w:val="00C122EE"/>
    <w:rsid w:val="00C12579"/>
    <w:rsid w:val="00C1263D"/>
    <w:rsid w:val="00C12F6F"/>
    <w:rsid w:val="00C1334C"/>
    <w:rsid w:val="00C13435"/>
    <w:rsid w:val="00C1377B"/>
    <w:rsid w:val="00C137B3"/>
    <w:rsid w:val="00C13859"/>
    <w:rsid w:val="00C13C85"/>
    <w:rsid w:val="00C14124"/>
    <w:rsid w:val="00C1424D"/>
    <w:rsid w:val="00C14527"/>
    <w:rsid w:val="00C14FDE"/>
    <w:rsid w:val="00C15031"/>
    <w:rsid w:val="00C154DD"/>
    <w:rsid w:val="00C15A94"/>
    <w:rsid w:val="00C15B25"/>
    <w:rsid w:val="00C161B1"/>
    <w:rsid w:val="00C165D5"/>
    <w:rsid w:val="00C16615"/>
    <w:rsid w:val="00C16BDE"/>
    <w:rsid w:val="00C16CA7"/>
    <w:rsid w:val="00C1710C"/>
    <w:rsid w:val="00C1794C"/>
    <w:rsid w:val="00C203B3"/>
    <w:rsid w:val="00C2049F"/>
    <w:rsid w:val="00C20568"/>
    <w:rsid w:val="00C206D3"/>
    <w:rsid w:val="00C20D95"/>
    <w:rsid w:val="00C21000"/>
    <w:rsid w:val="00C21051"/>
    <w:rsid w:val="00C216A0"/>
    <w:rsid w:val="00C21992"/>
    <w:rsid w:val="00C21A27"/>
    <w:rsid w:val="00C21B3E"/>
    <w:rsid w:val="00C21CA2"/>
    <w:rsid w:val="00C220EC"/>
    <w:rsid w:val="00C221C2"/>
    <w:rsid w:val="00C2225E"/>
    <w:rsid w:val="00C22295"/>
    <w:rsid w:val="00C22715"/>
    <w:rsid w:val="00C22857"/>
    <w:rsid w:val="00C22960"/>
    <w:rsid w:val="00C22F24"/>
    <w:rsid w:val="00C232A7"/>
    <w:rsid w:val="00C23DEC"/>
    <w:rsid w:val="00C2449D"/>
    <w:rsid w:val="00C24CE4"/>
    <w:rsid w:val="00C250D5"/>
    <w:rsid w:val="00C25346"/>
    <w:rsid w:val="00C25358"/>
    <w:rsid w:val="00C25755"/>
    <w:rsid w:val="00C26054"/>
    <w:rsid w:val="00C26328"/>
    <w:rsid w:val="00C26549"/>
    <w:rsid w:val="00C26A23"/>
    <w:rsid w:val="00C26B30"/>
    <w:rsid w:val="00C273BF"/>
    <w:rsid w:val="00C27B1B"/>
    <w:rsid w:val="00C27C18"/>
    <w:rsid w:val="00C27C6B"/>
    <w:rsid w:val="00C27CB9"/>
    <w:rsid w:val="00C3022A"/>
    <w:rsid w:val="00C307E7"/>
    <w:rsid w:val="00C30BFF"/>
    <w:rsid w:val="00C30C0F"/>
    <w:rsid w:val="00C30C24"/>
    <w:rsid w:val="00C31496"/>
    <w:rsid w:val="00C31973"/>
    <w:rsid w:val="00C31CB2"/>
    <w:rsid w:val="00C31E7E"/>
    <w:rsid w:val="00C32FF2"/>
    <w:rsid w:val="00C3310B"/>
    <w:rsid w:val="00C334F3"/>
    <w:rsid w:val="00C336F1"/>
    <w:rsid w:val="00C337E6"/>
    <w:rsid w:val="00C3394F"/>
    <w:rsid w:val="00C33A2A"/>
    <w:rsid w:val="00C33D0A"/>
    <w:rsid w:val="00C33FED"/>
    <w:rsid w:val="00C34000"/>
    <w:rsid w:val="00C3429F"/>
    <w:rsid w:val="00C35BE2"/>
    <w:rsid w:val="00C3610C"/>
    <w:rsid w:val="00C36446"/>
    <w:rsid w:val="00C36499"/>
    <w:rsid w:val="00C36EAE"/>
    <w:rsid w:val="00C37994"/>
    <w:rsid w:val="00C406AB"/>
    <w:rsid w:val="00C40E57"/>
    <w:rsid w:val="00C41925"/>
    <w:rsid w:val="00C425B6"/>
    <w:rsid w:val="00C429DE"/>
    <w:rsid w:val="00C42E17"/>
    <w:rsid w:val="00C42E45"/>
    <w:rsid w:val="00C42F65"/>
    <w:rsid w:val="00C441EA"/>
    <w:rsid w:val="00C44B3E"/>
    <w:rsid w:val="00C44D78"/>
    <w:rsid w:val="00C450C3"/>
    <w:rsid w:val="00C4527E"/>
    <w:rsid w:val="00C454B7"/>
    <w:rsid w:val="00C45624"/>
    <w:rsid w:val="00C45C09"/>
    <w:rsid w:val="00C45DFB"/>
    <w:rsid w:val="00C46005"/>
    <w:rsid w:val="00C46394"/>
    <w:rsid w:val="00C477A4"/>
    <w:rsid w:val="00C47822"/>
    <w:rsid w:val="00C47A24"/>
    <w:rsid w:val="00C47B91"/>
    <w:rsid w:val="00C47FF4"/>
    <w:rsid w:val="00C5022D"/>
    <w:rsid w:val="00C507E3"/>
    <w:rsid w:val="00C50C8B"/>
    <w:rsid w:val="00C50D62"/>
    <w:rsid w:val="00C51880"/>
    <w:rsid w:val="00C51DFE"/>
    <w:rsid w:val="00C51FC2"/>
    <w:rsid w:val="00C52110"/>
    <w:rsid w:val="00C524F3"/>
    <w:rsid w:val="00C526BB"/>
    <w:rsid w:val="00C5276E"/>
    <w:rsid w:val="00C52CBA"/>
    <w:rsid w:val="00C52E62"/>
    <w:rsid w:val="00C53356"/>
    <w:rsid w:val="00C5361E"/>
    <w:rsid w:val="00C53642"/>
    <w:rsid w:val="00C537B1"/>
    <w:rsid w:val="00C537E9"/>
    <w:rsid w:val="00C53FEE"/>
    <w:rsid w:val="00C5430A"/>
    <w:rsid w:val="00C5461C"/>
    <w:rsid w:val="00C5461D"/>
    <w:rsid w:val="00C547A2"/>
    <w:rsid w:val="00C5495F"/>
    <w:rsid w:val="00C54BC6"/>
    <w:rsid w:val="00C54D6D"/>
    <w:rsid w:val="00C54DAA"/>
    <w:rsid w:val="00C55268"/>
    <w:rsid w:val="00C5529D"/>
    <w:rsid w:val="00C559EE"/>
    <w:rsid w:val="00C55B83"/>
    <w:rsid w:val="00C56A7E"/>
    <w:rsid w:val="00C5733F"/>
    <w:rsid w:val="00C57651"/>
    <w:rsid w:val="00C576DD"/>
    <w:rsid w:val="00C57A1C"/>
    <w:rsid w:val="00C57D9C"/>
    <w:rsid w:val="00C60141"/>
    <w:rsid w:val="00C601D0"/>
    <w:rsid w:val="00C60B6A"/>
    <w:rsid w:val="00C60ED0"/>
    <w:rsid w:val="00C60F8D"/>
    <w:rsid w:val="00C6114B"/>
    <w:rsid w:val="00C61734"/>
    <w:rsid w:val="00C618D5"/>
    <w:rsid w:val="00C62636"/>
    <w:rsid w:val="00C62BD4"/>
    <w:rsid w:val="00C62E38"/>
    <w:rsid w:val="00C62EE3"/>
    <w:rsid w:val="00C63688"/>
    <w:rsid w:val="00C637F1"/>
    <w:rsid w:val="00C63BCF"/>
    <w:rsid w:val="00C63C16"/>
    <w:rsid w:val="00C63D38"/>
    <w:rsid w:val="00C63E8A"/>
    <w:rsid w:val="00C64B32"/>
    <w:rsid w:val="00C64DB7"/>
    <w:rsid w:val="00C64F62"/>
    <w:rsid w:val="00C65059"/>
    <w:rsid w:val="00C659DF"/>
    <w:rsid w:val="00C659F5"/>
    <w:rsid w:val="00C65A05"/>
    <w:rsid w:val="00C65CBF"/>
    <w:rsid w:val="00C66130"/>
    <w:rsid w:val="00C6637B"/>
    <w:rsid w:val="00C6656C"/>
    <w:rsid w:val="00C6669F"/>
    <w:rsid w:val="00C66771"/>
    <w:rsid w:val="00C667A5"/>
    <w:rsid w:val="00C66CF8"/>
    <w:rsid w:val="00C670C2"/>
    <w:rsid w:val="00C67255"/>
    <w:rsid w:val="00C67A58"/>
    <w:rsid w:val="00C67C3B"/>
    <w:rsid w:val="00C701C2"/>
    <w:rsid w:val="00C70534"/>
    <w:rsid w:val="00C70570"/>
    <w:rsid w:val="00C70860"/>
    <w:rsid w:val="00C70AD2"/>
    <w:rsid w:val="00C7155C"/>
    <w:rsid w:val="00C71AF5"/>
    <w:rsid w:val="00C71DC9"/>
    <w:rsid w:val="00C71E71"/>
    <w:rsid w:val="00C722FA"/>
    <w:rsid w:val="00C72450"/>
    <w:rsid w:val="00C727B6"/>
    <w:rsid w:val="00C7334E"/>
    <w:rsid w:val="00C73483"/>
    <w:rsid w:val="00C73693"/>
    <w:rsid w:val="00C73811"/>
    <w:rsid w:val="00C73877"/>
    <w:rsid w:val="00C738FE"/>
    <w:rsid w:val="00C73C3E"/>
    <w:rsid w:val="00C74260"/>
    <w:rsid w:val="00C7475C"/>
    <w:rsid w:val="00C748CF"/>
    <w:rsid w:val="00C749BF"/>
    <w:rsid w:val="00C74CFA"/>
    <w:rsid w:val="00C74EBD"/>
    <w:rsid w:val="00C7554C"/>
    <w:rsid w:val="00C7578F"/>
    <w:rsid w:val="00C75956"/>
    <w:rsid w:val="00C75A86"/>
    <w:rsid w:val="00C75C85"/>
    <w:rsid w:val="00C7614F"/>
    <w:rsid w:val="00C765D1"/>
    <w:rsid w:val="00C766D8"/>
    <w:rsid w:val="00C76825"/>
    <w:rsid w:val="00C77080"/>
    <w:rsid w:val="00C7708B"/>
    <w:rsid w:val="00C77337"/>
    <w:rsid w:val="00C776E1"/>
    <w:rsid w:val="00C777BA"/>
    <w:rsid w:val="00C7795C"/>
    <w:rsid w:val="00C77B3F"/>
    <w:rsid w:val="00C77E2B"/>
    <w:rsid w:val="00C8047D"/>
    <w:rsid w:val="00C806DD"/>
    <w:rsid w:val="00C80AF6"/>
    <w:rsid w:val="00C80C11"/>
    <w:rsid w:val="00C81010"/>
    <w:rsid w:val="00C81290"/>
    <w:rsid w:val="00C815AE"/>
    <w:rsid w:val="00C815E9"/>
    <w:rsid w:val="00C81706"/>
    <w:rsid w:val="00C817C8"/>
    <w:rsid w:val="00C8314A"/>
    <w:rsid w:val="00C8332E"/>
    <w:rsid w:val="00C84044"/>
    <w:rsid w:val="00C840C0"/>
    <w:rsid w:val="00C841FC"/>
    <w:rsid w:val="00C84AA5"/>
    <w:rsid w:val="00C84E6E"/>
    <w:rsid w:val="00C85792"/>
    <w:rsid w:val="00C858D3"/>
    <w:rsid w:val="00C858FB"/>
    <w:rsid w:val="00C85A43"/>
    <w:rsid w:val="00C86589"/>
    <w:rsid w:val="00C86CEB"/>
    <w:rsid w:val="00C86E5F"/>
    <w:rsid w:val="00C870DE"/>
    <w:rsid w:val="00C87640"/>
    <w:rsid w:val="00C879E2"/>
    <w:rsid w:val="00C87A9A"/>
    <w:rsid w:val="00C9012F"/>
    <w:rsid w:val="00C9075C"/>
    <w:rsid w:val="00C90CF1"/>
    <w:rsid w:val="00C90D1F"/>
    <w:rsid w:val="00C91487"/>
    <w:rsid w:val="00C914EE"/>
    <w:rsid w:val="00C91548"/>
    <w:rsid w:val="00C91961"/>
    <w:rsid w:val="00C91C52"/>
    <w:rsid w:val="00C9268D"/>
    <w:rsid w:val="00C92C93"/>
    <w:rsid w:val="00C92DEA"/>
    <w:rsid w:val="00C92EF2"/>
    <w:rsid w:val="00C93485"/>
    <w:rsid w:val="00C93F24"/>
    <w:rsid w:val="00C93F4F"/>
    <w:rsid w:val="00C947F1"/>
    <w:rsid w:val="00C949D8"/>
    <w:rsid w:val="00C94C48"/>
    <w:rsid w:val="00C94EDE"/>
    <w:rsid w:val="00C952C3"/>
    <w:rsid w:val="00C957A3"/>
    <w:rsid w:val="00C958A6"/>
    <w:rsid w:val="00C9595C"/>
    <w:rsid w:val="00C95963"/>
    <w:rsid w:val="00C9622C"/>
    <w:rsid w:val="00C9659F"/>
    <w:rsid w:val="00C96BEF"/>
    <w:rsid w:val="00C96CF1"/>
    <w:rsid w:val="00C9742B"/>
    <w:rsid w:val="00C97567"/>
    <w:rsid w:val="00C97A03"/>
    <w:rsid w:val="00C97C6E"/>
    <w:rsid w:val="00CA030D"/>
    <w:rsid w:val="00CA07E3"/>
    <w:rsid w:val="00CA0D37"/>
    <w:rsid w:val="00CA0EAC"/>
    <w:rsid w:val="00CA0F1B"/>
    <w:rsid w:val="00CA0F1E"/>
    <w:rsid w:val="00CA1382"/>
    <w:rsid w:val="00CA15EF"/>
    <w:rsid w:val="00CA19B7"/>
    <w:rsid w:val="00CA200B"/>
    <w:rsid w:val="00CA24A3"/>
    <w:rsid w:val="00CA2638"/>
    <w:rsid w:val="00CA2725"/>
    <w:rsid w:val="00CA2A99"/>
    <w:rsid w:val="00CA2C15"/>
    <w:rsid w:val="00CA36A8"/>
    <w:rsid w:val="00CA3786"/>
    <w:rsid w:val="00CA3A34"/>
    <w:rsid w:val="00CA3AE4"/>
    <w:rsid w:val="00CA3D58"/>
    <w:rsid w:val="00CA432B"/>
    <w:rsid w:val="00CA4785"/>
    <w:rsid w:val="00CA52E1"/>
    <w:rsid w:val="00CA53D4"/>
    <w:rsid w:val="00CA54AC"/>
    <w:rsid w:val="00CA566F"/>
    <w:rsid w:val="00CA5BC0"/>
    <w:rsid w:val="00CA5C4F"/>
    <w:rsid w:val="00CA6125"/>
    <w:rsid w:val="00CA648B"/>
    <w:rsid w:val="00CA6717"/>
    <w:rsid w:val="00CA6838"/>
    <w:rsid w:val="00CA6A62"/>
    <w:rsid w:val="00CA6A8D"/>
    <w:rsid w:val="00CA70F7"/>
    <w:rsid w:val="00CA7181"/>
    <w:rsid w:val="00CA7386"/>
    <w:rsid w:val="00CA74F2"/>
    <w:rsid w:val="00CA780E"/>
    <w:rsid w:val="00CA79DE"/>
    <w:rsid w:val="00CA79E8"/>
    <w:rsid w:val="00CA7D48"/>
    <w:rsid w:val="00CA7D8B"/>
    <w:rsid w:val="00CB07BB"/>
    <w:rsid w:val="00CB07DD"/>
    <w:rsid w:val="00CB085B"/>
    <w:rsid w:val="00CB0EAF"/>
    <w:rsid w:val="00CB107C"/>
    <w:rsid w:val="00CB1397"/>
    <w:rsid w:val="00CB13E8"/>
    <w:rsid w:val="00CB1A7E"/>
    <w:rsid w:val="00CB1DFE"/>
    <w:rsid w:val="00CB2151"/>
    <w:rsid w:val="00CB26DD"/>
    <w:rsid w:val="00CB275E"/>
    <w:rsid w:val="00CB2853"/>
    <w:rsid w:val="00CB294C"/>
    <w:rsid w:val="00CB2CB7"/>
    <w:rsid w:val="00CB2ED1"/>
    <w:rsid w:val="00CB30C8"/>
    <w:rsid w:val="00CB3512"/>
    <w:rsid w:val="00CB3A18"/>
    <w:rsid w:val="00CB3E87"/>
    <w:rsid w:val="00CB3EFD"/>
    <w:rsid w:val="00CB409F"/>
    <w:rsid w:val="00CB45B1"/>
    <w:rsid w:val="00CB4C47"/>
    <w:rsid w:val="00CB5B0D"/>
    <w:rsid w:val="00CB64E0"/>
    <w:rsid w:val="00CB692C"/>
    <w:rsid w:val="00CB6BB0"/>
    <w:rsid w:val="00CB6C70"/>
    <w:rsid w:val="00CB7118"/>
    <w:rsid w:val="00CB75FB"/>
    <w:rsid w:val="00CB7908"/>
    <w:rsid w:val="00CB7BCF"/>
    <w:rsid w:val="00CB7D10"/>
    <w:rsid w:val="00CB7D93"/>
    <w:rsid w:val="00CB7F87"/>
    <w:rsid w:val="00CC067C"/>
    <w:rsid w:val="00CC0716"/>
    <w:rsid w:val="00CC10FC"/>
    <w:rsid w:val="00CC1C5B"/>
    <w:rsid w:val="00CC22B1"/>
    <w:rsid w:val="00CC313F"/>
    <w:rsid w:val="00CC33E9"/>
    <w:rsid w:val="00CC3820"/>
    <w:rsid w:val="00CC3BFD"/>
    <w:rsid w:val="00CC3C25"/>
    <w:rsid w:val="00CC4209"/>
    <w:rsid w:val="00CC478A"/>
    <w:rsid w:val="00CC49C3"/>
    <w:rsid w:val="00CC4BB9"/>
    <w:rsid w:val="00CC4CEF"/>
    <w:rsid w:val="00CC5B54"/>
    <w:rsid w:val="00CC5EA6"/>
    <w:rsid w:val="00CC64C1"/>
    <w:rsid w:val="00CC6744"/>
    <w:rsid w:val="00CC697E"/>
    <w:rsid w:val="00CC6E6E"/>
    <w:rsid w:val="00CC6EF8"/>
    <w:rsid w:val="00CC780E"/>
    <w:rsid w:val="00CC7949"/>
    <w:rsid w:val="00CC7A89"/>
    <w:rsid w:val="00CC7B69"/>
    <w:rsid w:val="00CC7FDB"/>
    <w:rsid w:val="00CD041C"/>
    <w:rsid w:val="00CD09FF"/>
    <w:rsid w:val="00CD0F34"/>
    <w:rsid w:val="00CD1096"/>
    <w:rsid w:val="00CD30FF"/>
    <w:rsid w:val="00CD360A"/>
    <w:rsid w:val="00CD3D04"/>
    <w:rsid w:val="00CD3EF7"/>
    <w:rsid w:val="00CD41C0"/>
    <w:rsid w:val="00CD4268"/>
    <w:rsid w:val="00CD4B8E"/>
    <w:rsid w:val="00CD5814"/>
    <w:rsid w:val="00CD5AED"/>
    <w:rsid w:val="00CD5DB9"/>
    <w:rsid w:val="00CD5FC2"/>
    <w:rsid w:val="00CD60BA"/>
    <w:rsid w:val="00CD6380"/>
    <w:rsid w:val="00CD63C4"/>
    <w:rsid w:val="00CD6DD7"/>
    <w:rsid w:val="00CD6DE8"/>
    <w:rsid w:val="00CD6F20"/>
    <w:rsid w:val="00CD6F31"/>
    <w:rsid w:val="00CD6FF3"/>
    <w:rsid w:val="00CD7467"/>
    <w:rsid w:val="00CD749F"/>
    <w:rsid w:val="00CD7798"/>
    <w:rsid w:val="00CD7852"/>
    <w:rsid w:val="00CD7AB9"/>
    <w:rsid w:val="00CE0235"/>
    <w:rsid w:val="00CE0556"/>
    <w:rsid w:val="00CE0838"/>
    <w:rsid w:val="00CE099F"/>
    <w:rsid w:val="00CE0B59"/>
    <w:rsid w:val="00CE17DA"/>
    <w:rsid w:val="00CE1870"/>
    <w:rsid w:val="00CE2681"/>
    <w:rsid w:val="00CE2C91"/>
    <w:rsid w:val="00CE2FC5"/>
    <w:rsid w:val="00CE3149"/>
    <w:rsid w:val="00CE31C6"/>
    <w:rsid w:val="00CE336F"/>
    <w:rsid w:val="00CE33BF"/>
    <w:rsid w:val="00CE3422"/>
    <w:rsid w:val="00CE3795"/>
    <w:rsid w:val="00CE3C4C"/>
    <w:rsid w:val="00CE3D6D"/>
    <w:rsid w:val="00CE4B2E"/>
    <w:rsid w:val="00CE4F20"/>
    <w:rsid w:val="00CE522C"/>
    <w:rsid w:val="00CE580D"/>
    <w:rsid w:val="00CE584E"/>
    <w:rsid w:val="00CE5876"/>
    <w:rsid w:val="00CE58A3"/>
    <w:rsid w:val="00CE5A3F"/>
    <w:rsid w:val="00CE5B64"/>
    <w:rsid w:val="00CE5D0D"/>
    <w:rsid w:val="00CE5D51"/>
    <w:rsid w:val="00CE5E55"/>
    <w:rsid w:val="00CE6D28"/>
    <w:rsid w:val="00CE7004"/>
    <w:rsid w:val="00CE70D1"/>
    <w:rsid w:val="00CE724F"/>
    <w:rsid w:val="00CE77FE"/>
    <w:rsid w:val="00CE7B2A"/>
    <w:rsid w:val="00CEDDE8"/>
    <w:rsid w:val="00CF02B3"/>
    <w:rsid w:val="00CF0731"/>
    <w:rsid w:val="00CF0BD6"/>
    <w:rsid w:val="00CF0D23"/>
    <w:rsid w:val="00CF0F57"/>
    <w:rsid w:val="00CF156B"/>
    <w:rsid w:val="00CF1572"/>
    <w:rsid w:val="00CF18F3"/>
    <w:rsid w:val="00CF1D6D"/>
    <w:rsid w:val="00CF25E3"/>
    <w:rsid w:val="00CF26C3"/>
    <w:rsid w:val="00CF27DB"/>
    <w:rsid w:val="00CF2A50"/>
    <w:rsid w:val="00CF2F72"/>
    <w:rsid w:val="00CF3342"/>
    <w:rsid w:val="00CF34D8"/>
    <w:rsid w:val="00CF360B"/>
    <w:rsid w:val="00CF387A"/>
    <w:rsid w:val="00CF435D"/>
    <w:rsid w:val="00CF444D"/>
    <w:rsid w:val="00CF4AF1"/>
    <w:rsid w:val="00CF4C3F"/>
    <w:rsid w:val="00CF50B5"/>
    <w:rsid w:val="00CF5232"/>
    <w:rsid w:val="00CF5841"/>
    <w:rsid w:val="00CF5B4C"/>
    <w:rsid w:val="00CF5CAC"/>
    <w:rsid w:val="00CF69E1"/>
    <w:rsid w:val="00CF6DD2"/>
    <w:rsid w:val="00CF7058"/>
    <w:rsid w:val="00CF7134"/>
    <w:rsid w:val="00CF73B1"/>
    <w:rsid w:val="00CF7670"/>
    <w:rsid w:val="00CF7A3A"/>
    <w:rsid w:val="00CF7B56"/>
    <w:rsid w:val="00CF7D5A"/>
    <w:rsid w:val="00CF7DCF"/>
    <w:rsid w:val="00D0008E"/>
    <w:rsid w:val="00D00268"/>
    <w:rsid w:val="00D003AE"/>
    <w:rsid w:val="00D00806"/>
    <w:rsid w:val="00D00A5E"/>
    <w:rsid w:val="00D00C72"/>
    <w:rsid w:val="00D011C0"/>
    <w:rsid w:val="00D012AA"/>
    <w:rsid w:val="00D01407"/>
    <w:rsid w:val="00D017EA"/>
    <w:rsid w:val="00D018AF"/>
    <w:rsid w:val="00D01D82"/>
    <w:rsid w:val="00D01EE8"/>
    <w:rsid w:val="00D02027"/>
    <w:rsid w:val="00D02C21"/>
    <w:rsid w:val="00D032D2"/>
    <w:rsid w:val="00D033D9"/>
    <w:rsid w:val="00D03410"/>
    <w:rsid w:val="00D03650"/>
    <w:rsid w:val="00D039CA"/>
    <w:rsid w:val="00D03ABA"/>
    <w:rsid w:val="00D04B28"/>
    <w:rsid w:val="00D0533F"/>
    <w:rsid w:val="00D054AE"/>
    <w:rsid w:val="00D058C8"/>
    <w:rsid w:val="00D05B9A"/>
    <w:rsid w:val="00D05F10"/>
    <w:rsid w:val="00D062B4"/>
    <w:rsid w:val="00D0632B"/>
    <w:rsid w:val="00D067EB"/>
    <w:rsid w:val="00D06847"/>
    <w:rsid w:val="00D069B1"/>
    <w:rsid w:val="00D07069"/>
    <w:rsid w:val="00D07C03"/>
    <w:rsid w:val="00D10151"/>
    <w:rsid w:val="00D1069C"/>
    <w:rsid w:val="00D10C42"/>
    <w:rsid w:val="00D10E03"/>
    <w:rsid w:val="00D10E37"/>
    <w:rsid w:val="00D111BC"/>
    <w:rsid w:val="00D11A4C"/>
    <w:rsid w:val="00D11CCC"/>
    <w:rsid w:val="00D12B35"/>
    <w:rsid w:val="00D13144"/>
    <w:rsid w:val="00D136CD"/>
    <w:rsid w:val="00D139E8"/>
    <w:rsid w:val="00D13C94"/>
    <w:rsid w:val="00D13D67"/>
    <w:rsid w:val="00D13F95"/>
    <w:rsid w:val="00D1428E"/>
    <w:rsid w:val="00D147AC"/>
    <w:rsid w:val="00D14B66"/>
    <w:rsid w:val="00D15206"/>
    <w:rsid w:val="00D15A98"/>
    <w:rsid w:val="00D16026"/>
    <w:rsid w:val="00D16503"/>
    <w:rsid w:val="00D165A3"/>
    <w:rsid w:val="00D16732"/>
    <w:rsid w:val="00D168B0"/>
    <w:rsid w:val="00D16AB1"/>
    <w:rsid w:val="00D206E8"/>
    <w:rsid w:val="00D20940"/>
    <w:rsid w:val="00D20A97"/>
    <w:rsid w:val="00D20BA6"/>
    <w:rsid w:val="00D20C53"/>
    <w:rsid w:val="00D20EFE"/>
    <w:rsid w:val="00D21B8B"/>
    <w:rsid w:val="00D2204F"/>
    <w:rsid w:val="00D22873"/>
    <w:rsid w:val="00D2287C"/>
    <w:rsid w:val="00D228A2"/>
    <w:rsid w:val="00D22A7B"/>
    <w:rsid w:val="00D22BC8"/>
    <w:rsid w:val="00D2301A"/>
    <w:rsid w:val="00D23BE3"/>
    <w:rsid w:val="00D2405D"/>
    <w:rsid w:val="00D24DE4"/>
    <w:rsid w:val="00D252DE"/>
    <w:rsid w:val="00D25BB0"/>
    <w:rsid w:val="00D25C51"/>
    <w:rsid w:val="00D25CE9"/>
    <w:rsid w:val="00D26A8E"/>
    <w:rsid w:val="00D26C37"/>
    <w:rsid w:val="00D26F6A"/>
    <w:rsid w:val="00D26FB0"/>
    <w:rsid w:val="00D27016"/>
    <w:rsid w:val="00D271F6"/>
    <w:rsid w:val="00D2778A"/>
    <w:rsid w:val="00D277A3"/>
    <w:rsid w:val="00D27DA1"/>
    <w:rsid w:val="00D3009D"/>
    <w:rsid w:val="00D30DC8"/>
    <w:rsid w:val="00D31069"/>
    <w:rsid w:val="00D3167B"/>
    <w:rsid w:val="00D31B90"/>
    <w:rsid w:val="00D32FFF"/>
    <w:rsid w:val="00D333D5"/>
    <w:rsid w:val="00D33A07"/>
    <w:rsid w:val="00D33F52"/>
    <w:rsid w:val="00D34017"/>
    <w:rsid w:val="00D3404B"/>
    <w:rsid w:val="00D340A0"/>
    <w:rsid w:val="00D342CF"/>
    <w:rsid w:val="00D34E55"/>
    <w:rsid w:val="00D35265"/>
    <w:rsid w:val="00D35337"/>
    <w:rsid w:val="00D35408"/>
    <w:rsid w:val="00D35D47"/>
    <w:rsid w:val="00D35E89"/>
    <w:rsid w:val="00D3617D"/>
    <w:rsid w:val="00D3618F"/>
    <w:rsid w:val="00D3630E"/>
    <w:rsid w:val="00D36631"/>
    <w:rsid w:val="00D369BB"/>
    <w:rsid w:val="00D370F2"/>
    <w:rsid w:val="00D37353"/>
    <w:rsid w:val="00D37916"/>
    <w:rsid w:val="00D37A12"/>
    <w:rsid w:val="00D37A5F"/>
    <w:rsid w:val="00D37BFD"/>
    <w:rsid w:val="00D37E6A"/>
    <w:rsid w:val="00D37ED2"/>
    <w:rsid w:val="00D37F09"/>
    <w:rsid w:val="00D37F15"/>
    <w:rsid w:val="00D40260"/>
    <w:rsid w:val="00D40560"/>
    <w:rsid w:val="00D41421"/>
    <w:rsid w:val="00D41566"/>
    <w:rsid w:val="00D41EF0"/>
    <w:rsid w:val="00D41F28"/>
    <w:rsid w:val="00D4205C"/>
    <w:rsid w:val="00D421AB"/>
    <w:rsid w:val="00D4228A"/>
    <w:rsid w:val="00D42560"/>
    <w:rsid w:val="00D4295C"/>
    <w:rsid w:val="00D42A4D"/>
    <w:rsid w:val="00D42D5D"/>
    <w:rsid w:val="00D42E06"/>
    <w:rsid w:val="00D42ECD"/>
    <w:rsid w:val="00D431C3"/>
    <w:rsid w:val="00D4325D"/>
    <w:rsid w:val="00D43409"/>
    <w:rsid w:val="00D4342D"/>
    <w:rsid w:val="00D43746"/>
    <w:rsid w:val="00D4392F"/>
    <w:rsid w:val="00D43994"/>
    <w:rsid w:val="00D43A04"/>
    <w:rsid w:val="00D43CCD"/>
    <w:rsid w:val="00D43CEE"/>
    <w:rsid w:val="00D44677"/>
    <w:rsid w:val="00D44789"/>
    <w:rsid w:val="00D4490A"/>
    <w:rsid w:val="00D44B7D"/>
    <w:rsid w:val="00D44C6D"/>
    <w:rsid w:val="00D44C86"/>
    <w:rsid w:val="00D44D6E"/>
    <w:rsid w:val="00D4540A"/>
    <w:rsid w:val="00D45888"/>
    <w:rsid w:val="00D46467"/>
    <w:rsid w:val="00D47103"/>
    <w:rsid w:val="00D476B7"/>
    <w:rsid w:val="00D47896"/>
    <w:rsid w:val="00D478EF"/>
    <w:rsid w:val="00D507B6"/>
    <w:rsid w:val="00D5167F"/>
    <w:rsid w:val="00D51F1F"/>
    <w:rsid w:val="00D52296"/>
    <w:rsid w:val="00D52706"/>
    <w:rsid w:val="00D52BDC"/>
    <w:rsid w:val="00D52E01"/>
    <w:rsid w:val="00D5359D"/>
    <w:rsid w:val="00D53878"/>
    <w:rsid w:val="00D5398E"/>
    <w:rsid w:val="00D54010"/>
    <w:rsid w:val="00D5405B"/>
    <w:rsid w:val="00D546C7"/>
    <w:rsid w:val="00D547FB"/>
    <w:rsid w:val="00D54C77"/>
    <w:rsid w:val="00D5513D"/>
    <w:rsid w:val="00D55264"/>
    <w:rsid w:val="00D553D3"/>
    <w:rsid w:val="00D561C2"/>
    <w:rsid w:val="00D56353"/>
    <w:rsid w:val="00D5644C"/>
    <w:rsid w:val="00D56681"/>
    <w:rsid w:val="00D57096"/>
    <w:rsid w:val="00D571CC"/>
    <w:rsid w:val="00D57313"/>
    <w:rsid w:val="00D60078"/>
    <w:rsid w:val="00D605F0"/>
    <w:rsid w:val="00D6102C"/>
    <w:rsid w:val="00D613AA"/>
    <w:rsid w:val="00D6162C"/>
    <w:rsid w:val="00D617CF"/>
    <w:rsid w:val="00D61A80"/>
    <w:rsid w:val="00D61CE0"/>
    <w:rsid w:val="00D61CE1"/>
    <w:rsid w:val="00D6232E"/>
    <w:rsid w:val="00D624FA"/>
    <w:rsid w:val="00D627A6"/>
    <w:rsid w:val="00D62A21"/>
    <w:rsid w:val="00D6321D"/>
    <w:rsid w:val="00D6328A"/>
    <w:rsid w:val="00D6408F"/>
    <w:rsid w:val="00D64922"/>
    <w:rsid w:val="00D64D6A"/>
    <w:rsid w:val="00D64EF4"/>
    <w:rsid w:val="00D65369"/>
    <w:rsid w:val="00D655B3"/>
    <w:rsid w:val="00D659E1"/>
    <w:rsid w:val="00D660A3"/>
    <w:rsid w:val="00D66209"/>
    <w:rsid w:val="00D66369"/>
    <w:rsid w:val="00D663FE"/>
    <w:rsid w:val="00D6681E"/>
    <w:rsid w:val="00D668A7"/>
    <w:rsid w:val="00D66990"/>
    <w:rsid w:val="00D66E9F"/>
    <w:rsid w:val="00D6707B"/>
    <w:rsid w:val="00D67F5F"/>
    <w:rsid w:val="00D70A24"/>
    <w:rsid w:val="00D70A74"/>
    <w:rsid w:val="00D70AB8"/>
    <w:rsid w:val="00D70C2C"/>
    <w:rsid w:val="00D70CF9"/>
    <w:rsid w:val="00D71637"/>
    <w:rsid w:val="00D7198E"/>
    <w:rsid w:val="00D71B3B"/>
    <w:rsid w:val="00D71C3E"/>
    <w:rsid w:val="00D71FDC"/>
    <w:rsid w:val="00D72743"/>
    <w:rsid w:val="00D72842"/>
    <w:rsid w:val="00D729EF"/>
    <w:rsid w:val="00D72A98"/>
    <w:rsid w:val="00D72B71"/>
    <w:rsid w:val="00D72C1B"/>
    <w:rsid w:val="00D72E7F"/>
    <w:rsid w:val="00D7303F"/>
    <w:rsid w:val="00D73154"/>
    <w:rsid w:val="00D735AB"/>
    <w:rsid w:val="00D73715"/>
    <w:rsid w:val="00D7382D"/>
    <w:rsid w:val="00D74632"/>
    <w:rsid w:val="00D74663"/>
    <w:rsid w:val="00D74790"/>
    <w:rsid w:val="00D74B49"/>
    <w:rsid w:val="00D750A2"/>
    <w:rsid w:val="00D759A8"/>
    <w:rsid w:val="00D75A4C"/>
    <w:rsid w:val="00D7670D"/>
    <w:rsid w:val="00D77265"/>
    <w:rsid w:val="00D77351"/>
    <w:rsid w:val="00D7781D"/>
    <w:rsid w:val="00D77A07"/>
    <w:rsid w:val="00D80006"/>
    <w:rsid w:val="00D800A3"/>
    <w:rsid w:val="00D80318"/>
    <w:rsid w:val="00D8087F"/>
    <w:rsid w:val="00D80F78"/>
    <w:rsid w:val="00D810DD"/>
    <w:rsid w:val="00D8115D"/>
    <w:rsid w:val="00D81289"/>
    <w:rsid w:val="00D81398"/>
    <w:rsid w:val="00D81623"/>
    <w:rsid w:val="00D819BA"/>
    <w:rsid w:val="00D81E0C"/>
    <w:rsid w:val="00D81EFD"/>
    <w:rsid w:val="00D8238C"/>
    <w:rsid w:val="00D826BB"/>
    <w:rsid w:val="00D82DBC"/>
    <w:rsid w:val="00D83469"/>
    <w:rsid w:val="00D8469F"/>
    <w:rsid w:val="00D84D81"/>
    <w:rsid w:val="00D84F8E"/>
    <w:rsid w:val="00D855DC"/>
    <w:rsid w:val="00D856E7"/>
    <w:rsid w:val="00D85896"/>
    <w:rsid w:val="00D86260"/>
    <w:rsid w:val="00D863CF"/>
    <w:rsid w:val="00D86CB4"/>
    <w:rsid w:val="00D8754C"/>
    <w:rsid w:val="00D87660"/>
    <w:rsid w:val="00D876C7"/>
    <w:rsid w:val="00D877B4"/>
    <w:rsid w:val="00D87F7E"/>
    <w:rsid w:val="00D903F1"/>
    <w:rsid w:val="00D90B8C"/>
    <w:rsid w:val="00D90DFA"/>
    <w:rsid w:val="00D91561"/>
    <w:rsid w:val="00D9177D"/>
    <w:rsid w:val="00D919BD"/>
    <w:rsid w:val="00D91A8A"/>
    <w:rsid w:val="00D91DD9"/>
    <w:rsid w:val="00D91DFB"/>
    <w:rsid w:val="00D920FF"/>
    <w:rsid w:val="00D923B2"/>
    <w:rsid w:val="00D92813"/>
    <w:rsid w:val="00D92ADE"/>
    <w:rsid w:val="00D92DA5"/>
    <w:rsid w:val="00D93272"/>
    <w:rsid w:val="00D93560"/>
    <w:rsid w:val="00D93603"/>
    <w:rsid w:val="00D937A1"/>
    <w:rsid w:val="00D93941"/>
    <w:rsid w:val="00D93CEC"/>
    <w:rsid w:val="00D941BA"/>
    <w:rsid w:val="00D943F2"/>
    <w:rsid w:val="00D943F6"/>
    <w:rsid w:val="00D9472A"/>
    <w:rsid w:val="00D95147"/>
    <w:rsid w:val="00D9528F"/>
    <w:rsid w:val="00D95B91"/>
    <w:rsid w:val="00D95EEB"/>
    <w:rsid w:val="00D966F8"/>
    <w:rsid w:val="00D96703"/>
    <w:rsid w:val="00D96A0A"/>
    <w:rsid w:val="00D96CB3"/>
    <w:rsid w:val="00D96DEB"/>
    <w:rsid w:val="00D96FBB"/>
    <w:rsid w:val="00D97951"/>
    <w:rsid w:val="00D97A19"/>
    <w:rsid w:val="00D97A69"/>
    <w:rsid w:val="00D97EAE"/>
    <w:rsid w:val="00DA0248"/>
    <w:rsid w:val="00DA1777"/>
    <w:rsid w:val="00DA1B03"/>
    <w:rsid w:val="00DA1CFE"/>
    <w:rsid w:val="00DA2C49"/>
    <w:rsid w:val="00DA3226"/>
    <w:rsid w:val="00DA3424"/>
    <w:rsid w:val="00DA3567"/>
    <w:rsid w:val="00DA35CD"/>
    <w:rsid w:val="00DA35DA"/>
    <w:rsid w:val="00DA38EF"/>
    <w:rsid w:val="00DA3905"/>
    <w:rsid w:val="00DA39B2"/>
    <w:rsid w:val="00DA3C46"/>
    <w:rsid w:val="00DA3DB4"/>
    <w:rsid w:val="00DA40DB"/>
    <w:rsid w:val="00DA4749"/>
    <w:rsid w:val="00DA4863"/>
    <w:rsid w:val="00DA4E49"/>
    <w:rsid w:val="00DA521F"/>
    <w:rsid w:val="00DA52F3"/>
    <w:rsid w:val="00DA5304"/>
    <w:rsid w:val="00DA5637"/>
    <w:rsid w:val="00DA5825"/>
    <w:rsid w:val="00DA5E5D"/>
    <w:rsid w:val="00DA62CE"/>
    <w:rsid w:val="00DA6643"/>
    <w:rsid w:val="00DA67EE"/>
    <w:rsid w:val="00DA76A8"/>
    <w:rsid w:val="00DA76FA"/>
    <w:rsid w:val="00DA7887"/>
    <w:rsid w:val="00DA7E33"/>
    <w:rsid w:val="00DB0089"/>
    <w:rsid w:val="00DB02BF"/>
    <w:rsid w:val="00DB0803"/>
    <w:rsid w:val="00DB08F9"/>
    <w:rsid w:val="00DB0AF2"/>
    <w:rsid w:val="00DB0CD4"/>
    <w:rsid w:val="00DB1602"/>
    <w:rsid w:val="00DB1828"/>
    <w:rsid w:val="00DB1B1C"/>
    <w:rsid w:val="00DB1C28"/>
    <w:rsid w:val="00DB1D06"/>
    <w:rsid w:val="00DB2162"/>
    <w:rsid w:val="00DB2772"/>
    <w:rsid w:val="00DB286E"/>
    <w:rsid w:val="00DB2B93"/>
    <w:rsid w:val="00DB31A6"/>
    <w:rsid w:val="00DB3219"/>
    <w:rsid w:val="00DB32AA"/>
    <w:rsid w:val="00DB33F4"/>
    <w:rsid w:val="00DB34FC"/>
    <w:rsid w:val="00DB3B6A"/>
    <w:rsid w:val="00DB3BDE"/>
    <w:rsid w:val="00DB3CC4"/>
    <w:rsid w:val="00DB4689"/>
    <w:rsid w:val="00DB4F88"/>
    <w:rsid w:val="00DB50EE"/>
    <w:rsid w:val="00DB546E"/>
    <w:rsid w:val="00DB55C6"/>
    <w:rsid w:val="00DB5B91"/>
    <w:rsid w:val="00DB6112"/>
    <w:rsid w:val="00DB6238"/>
    <w:rsid w:val="00DB64F6"/>
    <w:rsid w:val="00DB6ED1"/>
    <w:rsid w:val="00DB6FFA"/>
    <w:rsid w:val="00DB71C9"/>
    <w:rsid w:val="00DB7209"/>
    <w:rsid w:val="00DB7272"/>
    <w:rsid w:val="00DB7940"/>
    <w:rsid w:val="00DB7B9D"/>
    <w:rsid w:val="00DB7D04"/>
    <w:rsid w:val="00DB7D3D"/>
    <w:rsid w:val="00DC0044"/>
    <w:rsid w:val="00DC0115"/>
    <w:rsid w:val="00DC0AC3"/>
    <w:rsid w:val="00DC0BC5"/>
    <w:rsid w:val="00DC0BE4"/>
    <w:rsid w:val="00DC0D8A"/>
    <w:rsid w:val="00DC11F8"/>
    <w:rsid w:val="00DC1557"/>
    <w:rsid w:val="00DC1BB6"/>
    <w:rsid w:val="00DC1C23"/>
    <w:rsid w:val="00DC21D6"/>
    <w:rsid w:val="00DC27A7"/>
    <w:rsid w:val="00DC28EF"/>
    <w:rsid w:val="00DC2A32"/>
    <w:rsid w:val="00DC2A80"/>
    <w:rsid w:val="00DC2E7A"/>
    <w:rsid w:val="00DC2F16"/>
    <w:rsid w:val="00DC315F"/>
    <w:rsid w:val="00DC3230"/>
    <w:rsid w:val="00DC371E"/>
    <w:rsid w:val="00DC388E"/>
    <w:rsid w:val="00DC3D25"/>
    <w:rsid w:val="00DC3EE6"/>
    <w:rsid w:val="00DC3F85"/>
    <w:rsid w:val="00DC406C"/>
    <w:rsid w:val="00DC46EA"/>
    <w:rsid w:val="00DC46F2"/>
    <w:rsid w:val="00DC4AC6"/>
    <w:rsid w:val="00DC4E09"/>
    <w:rsid w:val="00DC4F11"/>
    <w:rsid w:val="00DC4FDC"/>
    <w:rsid w:val="00DC5003"/>
    <w:rsid w:val="00DC54BA"/>
    <w:rsid w:val="00DC5F4B"/>
    <w:rsid w:val="00DC5FF4"/>
    <w:rsid w:val="00DC6B2C"/>
    <w:rsid w:val="00DC71C8"/>
    <w:rsid w:val="00DC7328"/>
    <w:rsid w:val="00DC7627"/>
    <w:rsid w:val="00DC77BA"/>
    <w:rsid w:val="00DC79A4"/>
    <w:rsid w:val="00DC7E80"/>
    <w:rsid w:val="00DD0037"/>
    <w:rsid w:val="00DD0668"/>
    <w:rsid w:val="00DD0BAD"/>
    <w:rsid w:val="00DD0DD4"/>
    <w:rsid w:val="00DD12B0"/>
    <w:rsid w:val="00DD163A"/>
    <w:rsid w:val="00DD16BF"/>
    <w:rsid w:val="00DD1851"/>
    <w:rsid w:val="00DD1B85"/>
    <w:rsid w:val="00DD22C6"/>
    <w:rsid w:val="00DD2470"/>
    <w:rsid w:val="00DD2930"/>
    <w:rsid w:val="00DD2AFF"/>
    <w:rsid w:val="00DD3082"/>
    <w:rsid w:val="00DD3BAE"/>
    <w:rsid w:val="00DD3CA4"/>
    <w:rsid w:val="00DD429B"/>
    <w:rsid w:val="00DD43D3"/>
    <w:rsid w:val="00DD475A"/>
    <w:rsid w:val="00DD4A7E"/>
    <w:rsid w:val="00DD4E12"/>
    <w:rsid w:val="00DD4F76"/>
    <w:rsid w:val="00DD52B0"/>
    <w:rsid w:val="00DD5308"/>
    <w:rsid w:val="00DD5479"/>
    <w:rsid w:val="00DD5C4C"/>
    <w:rsid w:val="00DD5EB5"/>
    <w:rsid w:val="00DD62E8"/>
    <w:rsid w:val="00DD6571"/>
    <w:rsid w:val="00DD659E"/>
    <w:rsid w:val="00DD6650"/>
    <w:rsid w:val="00DD7020"/>
    <w:rsid w:val="00DD7214"/>
    <w:rsid w:val="00DD7631"/>
    <w:rsid w:val="00DD77C3"/>
    <w:rsid w:val="00DD7E9D"/>
    <w:rsid w:val="00DE170A"/>
    <w:rsid w:val="00DE1A22"/>
    <w:rsid w:val="00DE1F7A"/>
    <w:rsid w:val="00DE200D"/>
    <w:rsid w:val="00DE2C48"/>
    <w:rsid w:val="00DE2CDE"/>
    <w:rsid w:val="00DE2DB5"/>
    <w:rsid w:val="00DE2EC5"/>
    <w:rsid w:val="00DE3131"/>
    <w:rsid w:val="00DE37D2"/>
    <w:rsid w:val="00DE3AED"/>
    <w:rsid w:val="00DE3AFE"/>
    <w:rsid w:val="00DE3E3D"/>
    <w:rsid w:val="00DE3FC7"/>
    <w:rsid w:val="00DE412E"/>
    <w:rsid w:val="00DE43AE"/>
    <w:rsid w:val="00DE47E0"/>
    <w:rsid w:val="00DE4B60"/>
    <w:rsid w:val="00DE5CD6"/>
    <w:rsid w:val="00DE5D0D"/>
    <w:rsid w:val="00DE5F6E"/>
    <w:rsid w:val="00DE5FEC"/>
    <w:rsid w:val="00DE621A"/>
    <w:rsid w:val="00DE6248"/>
    <w:rsid w:val="00DE64BE"/>
    <w:rsid w:val="00DE67C5"/>
    <w:rsid w:val="00DE6ED2"/>
    <w:rsid w:val="00DE73C6"/>
    <w:rsid w:val="00DE742F"/>
    <w:rsid w:val="00DE7819"/>
    <w:rsid w:val="00DE7902"/>
    <w:rsid w:val="00DE7B07"/>
    <w:rsid w:val="00DE7FA7"/>
    <w:rsid w:val="00DF0023"/>
    <w:rsid w:val="00DF0960"/>
    <w:rsid w:val="00DF0CE5"/>
    <w:rsid w:val="00DF115E"/>
    <w:rsid w:val="00DF194D"/>
    <w:rsid w:val="00DF2157"/>
    <w:rsid w:val="00DF290F"/>
    <w:rsid w:val="00DF2F3A"/>
    <w:rsid w:val="00DF30D3"/>
    <w:rsid w:val="00DF3109"/>
    <w:rsid w:val="00DF38F0"/>
    <w:rsid w:val="00DF4073"/>
    <w:rsid w:val="00DF4194"/>
    <w:rsid w:val="00DF4211"/>
    <w:rsid w:val="00DF4275"/>
    <w:rsid w:val="00DF45D4"/>
    <w:rsid w:val="00DF4B00"/>
    <w:rsid w:val="00DF4DF4"/>
    <w:rsid w:val="00DF4F9C"/>
    <w:rsid w:val="00DF5463"/>
    <w:rsid w:val="00DF55FC"/>
    <w:rsid w:val="00DF5E4E"/>
    <w:rsid w:val="00DF657F"/>
    <w:rsid w:val="00DF67C5"/>
    <w:rsid w:val="00DF6B58"/>
    <w:rsid w:val="00DF6F2D"/>
    <w:rsid w:val="00DF7062"/>
    <w:rsid w:val="00DF731A"/>
    <w:rsid w:val="00DF74F9"/>
    <w:rsid w:val="00DF775C"/>
    <w:rsid w:val="00DF77B1"/>
    <w:rsid w:val="00DF7897"/>
    <w:rsid w:val="00DF78FC"/>
    <w:rsid w:val="00DF7A3F"/>
    <w:rsid w:val="00DF7B71"/>
    <w:rsid w:val="00DF7D91"/>
    <w:rsid w:val="00DF7F0D"/>
    <w:rsid w:val="00E00282"/>
    <w:rsid w:val="00E0071E"/>
    <w:rsid w:val="00E00CD9"/>
    <w:rsid w:val="00E00D5D"/>
    <w:rsid w:val="00E00D86"/>
    <w:rsid w:val="00E00E4F"/>
    <w:rsid w:val="00E0136A"/>
    <w:rsid w:val="00E016D0"/>
    <w:rsid w:val="00E01919"/>
    <w:rsid w:val="00E01C50"/>
    <w:rsid w:val="00E02368"/>
    <w:rsid w:val="00E02728"/>
    <w:rsid w:val="00E02DE5"/>
    <w:rsid w:val="00E02E20"/>
    <w:rsid w:val="00E02F21"/>
    <w:rsid w:val="00E043CF"/>
    <w:rsid w:val="00E0492D"/>
    <w:rsid w:val="00E04972"/>
    <w:rsid w:val="00E04B1B"/>
    <w:rsid w:val="00E050F8"/>
    <w:rsid w:val="00E05F83"/>
    <w:rsid w:val="00E06271"/>
    <w:rsid w:val="00E06425"/>
    <w:rsid w:val="00E06463"/>
    <w:rsid w:val="00E06486"/>
    <w:rsid w:val="00E06C22"/>
    <w:rsid w:val="00E06D3E"/>
    <w:rsid w:val="00E071DF"/>
    <w:rsid w:val="00E072A5"/>
    <w:rsid w:val="00E072CF"/>
    <w:rsid w:val="00E07B8B"/>
    <w:rsid w:val="00E10358"/>
    <w:rsid w:val="00E10477"/>
    <w:rsid w:val="00E10652"/>
    <w:rsid w:val="00E10A80"/>
    <w:rsid w:val="00E111E9"/>
    <w:rsid w:val="00E114DD"/>
    <w:rsid w:val="00E116B4"/>
    <w:rsid w:val="00E11A30"/>
    <w:rsid w:val="00E1212A"/>
    <w:rsid w:val="00E127F9"/>
    <w:rsid w:val="00E128A4"/>
    <w:rsid w:val="00E13422"/>
    <w:rsid w:val="00E1396C"/>
    <w:rsid w:val="00E13D4B"/>
    <w:rsid w:val="00E14067"/>
    <w:rsid w:val="00E14C0A"/>
    <w:rsid w:val="00E14D77"/>
    <w:rsid w:val="00E14FFC"/>
    <w:rsid w:val="00E15333"/>
    <w:rsid w:val="00E15821"/>
    <w:rsid w:val="00E15D02"/>
    <w:rsid w:val="00E16059"/>
    <w:rsid w:val="00E163CA"/>
    <w:rsid w:val="00E16A0B"/>
    <w:rsid w:val="00E16DBD"/>
    <w:rsid w:val="00E1701D"/>
    <w:rsid w:val="00E173ED"/>
    <w:rsid w:val="00E20198"/>
    <w:rsid w:val="00E20353"/>
    <w:rsid w:val="00E2048D"/>
    <w:rsid w:val="00E20C32"/>
    <w:rsid w:val="00E20EC5"/>
    <w:rsid w:val="00E21116"/>
    <w:rsid w:val="00E21243"/>
    <w:rsid w:val="00E21406"/>
    <w:rsid w:val="00E2244F"/>
    <w:rsid w:val="00E226E0"/>
    <w:rsid w:val="00E22BF5"/>
    <w:rsid w:val="00E22E4F"/>
    <w:rsid w:val="00E22EDE"/>
    <w:rsid w:val="00E2386B"/>
    <w:rsid w:val="00E244AC"/>
    <w:rsid w:val="00E245BC"/>
    <w:rsid w:val="00E24E97"/>
    <w:rsid w:val="00E24ECA"/>
    <w:rsid w:val="00E24F83"/>
    <w:rsid w:val="00E250BA"/>
    <w:rsid w:val="00E258A9"/>
    <w:rsid w:val="00E2591F"/>
    <w:rsid w:val="00E25D11"/>
    <w:rsid w:val="00E25DDE"/>
    <w:rsid w:val="00E25F77"/>
    <w:rsid w:val="00E26E4A"/>
    <w:rsid w:val="00E27568"/>
    <w:rsid w:val="00E277AC"/>
    <w:rsid w:val="00E27BF1"/>
    <w:rsid w:val="00E300EB"/>
    <w:rsid w:val="00E30197"/>
    <w:rsid w:val="00E3050D"/>
    <w:rsid w:val="00E31186"/>
    <w:rsid w:val="00E31489"/>
    <w:rsid w:val="00E31884"/>
    <w:rsid w:val="00E32082"/>
    <w:rsid w:val="00E321E4"/>
    <w:rsid w:val="00E327E2"/>
    <w:rsid w:val="00E3335E"/>
    <w:rsid w:val="00E33536"/>
    <w:rsid w:val="00E33565"/>
    <w:rsid w:val="00E335D6"/>
    <w:rsid w:val="00E3405F"/>
    <w:rsid w:val="00E34289"/>
    <w:rsid w:val="00E342BE"/>
    <w:rsid w:val="00E34A50"/>
    <w:rsid w:val="00E35385"/>
    <w:rsid w:val="00E35421"/>
    <w:rsid w:val="00E356A9"/>
    <w:rsid w:val="00E35A6D"/>
    <w:rsid w:val="00E36087"/>
    <w:rsid w:val="00E3656F"/>
    <w:rsid w:val="00E37294"/>
    <w:rsid w:val="00E372B3"/>
    <w:rsid w:val="00E3742E"/>
    <w:rsid w:val="00E37A12"/>
    <w:rsid w:val="00E37B7B"/>
    <w:rsid w:val="00E401AD"/>
    <w:rsid w:val="00E403CD"/>
    <w:rsid w:val="00E405EB"/>
    <w:rsid w:val="00E405EF"/>
    <w:rsid w:val="00E40989"/>
    <w:rsid w:val="00E40F29"/>
    <w:rsid w:val="00E413DC"/>
    <w:rsid w:val="00E41480"/>
    <w:rsid w:val="00E42476"/>
    <w:rsid w:val="00E4284B"/>
    <w:rsid w:val="00E42C07"/>
    <w:rsid w:val="00E42C89"/>
    <w:rsid w:val="00E42EB7"/>
    <w:rsid w:val="00E43112"/>
    <w:rsid w:val="00E4319B"/>
    <w:rsid w:val="00E4319E"/>
    <w:rsid w:val="00E4338E"/>
    <w:rsid w:val="00E43B19"/>
    <w:rsid w:val="00E43B9C"/>
    <w:rsid w:val="00E43D66"/>
    <w:rsid w:val="00E44B60"/>
    <w:rsid w:val="00E45212"/>
    <w:rsid w:val="00E452B3"/>
    <w:rsid w:val="00E45B03"/>
    <w:rsid w:val="00E46030"/>
    <w:rsid w:val="00E46501"/>
    <w:rsid w:val="00E47267"/>
    <w:rsid w:val="00E4750F"/>
    <w:rsid w:val="00E47565"/>
    <w:rsid w:val="00E4761B"/>
    <w:rsid w:val="00E47C18"/>
    <w:rsid w:val="00E47D9B"/>
    <w:rsid w:val="00E505D5"/>
    <w:rsid w:val="00E50D9D"/>
    <w:rsid w:val="00E51468"/>
    <w:rsid w:val="00E51F6F"/>
    <w:rsid w:val="00E521C9"/>
    <w:rsid w:val="00E52731"/>
    <w:rsid w:val="00E529C8"/>
    <w:rsid w:val="00E52BDA"/>
    <w:rsid w:val="00E5316E"/>
    <w:rsid w:val="00E53192"/>
    <w:rsid w:val="00E5333D"/>
    <w:rsid w:val="00E53555"/>
    <w:rsid w:val="00E53D1D"/>
    <w:rsid w:val="00E53FFC"/>
    <w:rsid w:val="00E5424E"/>
    <w:rsid w:val="00E544DC"/>
    <w:rsid w:val="00E549E4"/>
    <w:rsid w:val="00E54A99"/>
    <w:rsid w:val="00E54F6C"/>
    <w:rsid w:val="00E55583"/>
    <w:rsid w:val="00E55727"/>
    <w:rsid w:val="00E55D6E"/>
    <w:rsid w:val="00E56029"/>
    <w:rsid w:val="00E565A8"/>
    <w:rsid w:val="00E57EE1"/>
    <w:rsid w:val="00E60680"/>
    <w:rsid w:val="00E60763"/>
    <w:rsid w:val="00E60868"/>
    <w:rsid w:val="00E60AC8"/>
    <w:rsid w:val="00E60C8C"/>
    <w:rsid w:val="00E60E88"/>
    <w:rsid w:val="00E61ADD"/>
    <w:rsid w:val="00E61F95"/>
    <w:rsid w:val="00E62290"/>
    <w:rsid w:val="00E625A4"/>
    <w:rsid w:val="00E629D5"/>
    <w:rsid w:val="00E62C43"/>
    <w:rsid w:val="00E637F9"/>
    <w:rsid w:val="00E63DE4"/>
    <w:rsid w:val="00E64316"/>
    <w:rsid w:val="00E64830"/>
    <w:rsid w:val="00E64BDF"/>
    <w:rsid w:val="00E64DBD"/>
    <w:rsid w:val="00E65170"/>
    <w:rsid w:val="00E652B8"/>
    <w:rsid w:val="00E656EA"/>
    <w:rsid w:val="00E65B27"/>
    <w:rsid w:val="00E65EAE"/>
    <w:rsid w:val="00E66D7D"/>
    <w:rsid w:val="00E66EF7"/>
    <w:rsid w:val="00E67115"/>
    <w:rsid w:val="00E6721F"/>
    <w:rsid w:val="00E6736A"/>
    <w:rsid w:val="00E675C0"/>
    <w:rsid w:val="00E67D8A"/>
    <w:rsid w:val="00E67DFC"/>
    <w:rsid w:val="00E70051"/>
    <w:rsid w:val="00E70585"/>
    <w:rsid w:val="00E70648"/>
    <w:rsid w:val="00E7090A"/>
    <w:rsid w:val="00E709F4"/>
    <w:rsid w:val="00E7101D"/>
    <w:rsid w:val="00E711E6"/>
    <w:rsid w:val="00E7146B"/>
    <w:rsid w:val="00E71488"/>
    <w:rsid w:val="00E718D1"/>
    <w:rsid w:val="00E7197F"/>
    <w:rsid w:val="00E71F3F"/>
    <w:rsid w:val="00E7257B"/>
    <w:rsid w:val="00E72C86"/>
    <w:rsid w:val="00E7304B"/>
    <w:rsid w:val="00E730FC"/>
    <w:rsid w:val="00E73751"/>
    <w:rsid w:val="00E73CEE"/>
    <w:rsid w:val="00E7415E"/>
    <w:rsid w:val="00E74AC0"/>
    <w:rsid w:val="00E750F7"/>
    <w:rsid w:val="00E75A31"/>
    <w:rsid w:val="00E75B20"/>
    <w:rsid w:val="00E75D78"/>
    <w:rsid w:val="00E761F3"/>
    <w:rsid w:val="00E76535"/>
    <w:rsid w:val="00E77474"/>
    <w:rsid w:val="00E77568"/>
    <w:rsid w:val="00E776DD"/>
    <w:rsid w:val="00E80F6A"/>
    <w:rsid w:val="00E80F9C"/>
    <w:rsid w:val="00E8105C"/>
    <w:rsid w:val="00E810AC"/>
    <w:rsid w:val="00E81318"/>
    <w:rsid w:val="00E8140D"/>
    <w:rsid w:val="00E81540"/>
    <w:rsid w:val="00E816EC"/>
    <w:rsid w:val="00E81BC4"/>
    <w:rsid w:val="00E826A4"/>
    <w:rsid w:val="00E829A4"/>
    <w:rsid w:val="00E82DA6"/>
    <w:rsid w:val="00E832A5"/>
    <w:rsid w:val="00E83AA3"/>
    <w:rsid w:val="00E83BB3"/>
    <w:rsid w:val="00E83FA2"/>
    <w:rsid w:val="00E840D8"/>
    <w:rsid w:val="00E841F5"/>
    <w:rsid w:val="00E84875"/>
    <w:rsid w:val="00E849D7"/>
    <w:rsid w:val="00E84AC1"/>
    <w:rsid w:val="00E84CDB"/>
    <w:rsid w:val="00E84E09"/>
    <w:rsid w:val="00E850A5"/>
    <w:rsid w:val="00E85543"/>
    <w:rsid w:val="00E855DB"/>
    <w:rsid w:val="00E8569A"/>
    <w:rsid w:val="00E85A86"/>
    <w:rsid w:val="00E85E18"/>
    <w:rsid w:val="00E862A1"/>
    <w:rsid w:val="00E87000"/>
    <w:rsid w:val="00E87756"/>
    <w:rsid w:val="00E879F7"/>
    <w:rsid w:val="00E87C50"/>
    <w:rsid w:val="00E87CC0"/>
    <w:rsid w:val="00E87EF1"/>
    <w:rsid w:val="00E902A5"/>
    <w:rsid w:val="00E90E79"/>
    <w:rsid w:val="00E90F13"/>
    <w:rsid w:val="00E913F9"/>
    <w:rsid w:val="00E91410"/>
    <w:rsid w:val="00E916FE"/>
    <w:rsid w:val="00E9201F"/>
    <w:rsid w:val="00E9237A"/>
    <w:rsid w:val="00E9366A"/>
    <w:rsid w:val="00E9383D"/>
    <w:rsid w:val="00E93862"/>
    <w:rsid w:val="00E939E5"/>
    <w:rsid w:val="00E93A22"/>
    <w:rsid w:val="00E93B27"/>
    <w:rsid w:val="00E942BC"/>
    <w:rsid w:val="00E9492C"/>
    <w:rsid w:val="00E949A7"/>
    <w:rsid w:val="00E94BB5"/>
    <w:rsid w:val="00E94E8C"/>
    <w:rsid w:val="00E95072"/>
    <w:rsid w:val="00E958A2"/>
    <w:rsid w:val="00E95E26"/>
    <w:rsid w:val="00E95FBF"/>
    <w:rsid w:val="00E96245"/>
    <w:rsid w:val="00E965C2"/>
    <w:rsid w:val="00E965F9"/>
    <w:rsid w:val="00E9678E"/>
    <w:rsid w:val="00E96D4C"/>
    <w:rsid w:val="00E979D7"/>
    <w:rsid w:val="00E97DBB"/>
    <w:rsid w:val="00EA0476"/>
    <w:rsid w:val="00EA066E"/>
    <w:rsid w:val="00EA09D8"/>
    <w:rsid w:val="00EA0E4B"/>
    <w:rsid w:val="00EA0EDF"/>
    <w:rsid w:val="00EA1584"/>
    <w:rsid w:val="00EA1A14"/>
    <w:rsid w:val="00EA2417"/>
    <w:rsid w:val="00EA2456"/>
    <w:rsid w:val="00EA26EF"/>
    <w:rsid w:val="00EA27F6"/>
    <w:rsid w:val="00EA3313"/>
    <w:rsid w:val="00EA3562"/>
    <w:rsid w:val="00EA3EB4"/>
    <w:rsid w:val="00EA4BC2"/>
    <w:rsid w:val="00EA4E2E"/>
    <w:rsid w:val="00EA4E67"/>
    <w:rsid w:val="00EA50E6"/>
    <w:rsid w:val="00EA592C"/>
    <w:rsid w:val="00EA5961"/>
    <w:rsid w:val="00EA5AE0"/>
    <w:rsid w:val="00EA5C31"/>
    <w:rsid w:val="00EA5C47"/>
    <w:rsid w:val="00EA5E47"/>
    <w:rsid w:val="00EA5E65"/>
    <w:rsid w:val="00EA5F9B"/>
    <w:rsid w:val="00EA6A6D"/>
    <w:rsid w:val="00EA6FD0"/>
    <w:rsid w:val="00EA6FD5"/>
    <w:rsid w:val="00EA7160"/>
    <w:rsid w:val="00EA75A8"/>
    <w:rsid w:val="00EA77DA"/>
    <w:rsid w:val="00EA7CCC"/>
    <w:rsid w:val="00EB0CD8"/>
    <w:rsid w:val="00EB0E89"/>
    <w:rsid w:val="00EB15D6"/>
    <w:rsid w:val="00EB16A4"/>
    <w:rsid w:val="00EB177A"/>
    <w:rsid w:val="00EB24EF"/>
    <w:rsid w:val="00EB2569"/>
    <w:rsid w:val="00EB26D4"/>
    <w:rsid w:val="00EB2A8B"/>
    <w:rsid w:val="00EB2B38"/>
    <w:rsid w:val="00EB3042"/>
    <w:rsid w:val="00EB39D2"/>
    <w:rsid w:val="00EB402A"/>
    <w:rsid w:val="00EB4282"/>
    <w:rsid w:val="00EB42C5"/>
    <w:rsid w:val="00EB462F"/>
    <w:rsid w:val="00EB4E74"/>
    <w:rsid w:val="00EB5BF5"/>
    <w:rsid w:val="00EB5E4D"/>
    <w:rsid w:val="00EB5E68"/>
    <w:rsid w:val="00EB618A"/>
    <w:rsid w:val="00EB63FC"/>
    <w:rsid w:val="00EB6CB7"/>
    <w:rsid w:val="00EB74EA"/>
    <w:rsid w:val="00EB75CE"/>
    <w:rsid w:val="00EB7737"/>
    <w:rsid w:val="00EC0591"/>
    <w:rsid w:val="00EC1212"/>
    <w:rsid w:val="00EC16C8"/>
    <w:rsid w:val="00EC182A"/>
    <w:rsid w:val="00EC1D30"/>
    <w:rsid w:val="00EC295B"/>
    <w:rsid w:val="00EC2B63"/>
    <w:rsid w:val="00EC2D62"/>
    <w:rsid w:val="00EC2F14"/>
    <w:rsid w:val="00EC3105"/>
    <w:rsid w:val="00EC3342"/>
    <w:rsid w:val="00EC4456"/>
    <w:rsid w:val="00EC4A84"/>
    <w:rsid w:val="00EC4B86"/>
    <w:rsid w:val="00EC4CC2"/>
    <w:rsid w:val="00EC4D18"/>
    <w:rsid w:val="00EC5026"/>
    <w:rsid w:val="00EC50FD"/>
    <w:rsid w:val="00EC5278"/>
    <w:rsid w:val="00EC55EE"/>
    <w:rsid w:val="00EC5D1E"/>
    <w:rsid w:val="00EC6878"/>
    <w:rsid w:val="00EC690C"/>
    <w:rsid w:val="00EC6962"/>
    <w:rsid w:val="00EC69C3"/>
    <w:rsid w:val="00EC701D"/>
    <w:rsid w:val="00EC7415"/>
    <w:rsid w:val="00EC77AE"/>
    <w:rsid w:val="00EC7B2B"/>
    <w:rsid w:val="00ED09C2"/>
    <w:rsid w:val="00ED0B5A"/>
    <w:rsid w:val="00ED16A8"/>
    <w:rsid w:val="00ED1969"/>
    <w:rsid w:val="00ED1B82"/>
    <w:rsid w:val="00ED1CB0"/>
    <w:rsid w:val="00ED1D26"/>
    <w:rsid w:val="00ED1F05"/>
    <w:rsid w:val="00ED2138"/>
    <w:rsid w:val="00ED278D"/>
    <w:rsid w:val="00ED2E9C"/>
    <w:rsid w:val="00ED2EB6"/>
    <w:rsid w:val="00ED34FE"/>
    <w:rsid w:val="00ED34FF"/>
    <w:rsid w:val="00ED3617"/>
    <w:rsid w:val="00ED3726"/>
    <w:rsid w:val="00ED3A41"/>
    <w:rsid w:val="00ED3B77"/>
    <w:rsid w:val="00ED3EAC"/>
    <w:rsid w:val="00ED487A"/>
    <w:rsid w:val="00ED4A5C"/>
    <w:rsid w:val="00ED4B27"/>
    <w:rsid w:val="00ED4F0C"/>
    <w:rsid w:val="00ED511F"/>
    <w:rsid w:val="00ED55AE"/>
    <w:rsid w:val="00ED5A4F"/>
    <w:rsid w:val="00ED5A83"/>
    <w:rsid w:val="00ED5F93"/>
    <w:rsid w:val="00ED619F"/>
    <w:rsid w:val="00ED715A"/>
    <w:rsid w:val="00ED74BC"/>
    <w:rsid w:val="00ED7B07"/>
    <w:rsid w:val="00ED7CCA"/>
    <w:rsid w:val="00ED7E02"/>
    <w:rsid w:val="00ED7F14"/>
    <w:rsid w:val="00ED7FD3"/>
    <w:rsid w:val="00EE04B1"/>
    <w:rsid w:val="00EE05B7"/>
    <w:rsid w:val="00EE0BAC"/>
    <w:rsid w:val="00EE12CF"/>
    <w:rsid w:val="00EE1478"/>
    <w:rsid w:val="00EE14F0"/>
    <w:rsid w:val="00EE154F"/>
    <w:rsid w:val="00EE1609"/>
    <w:rsid w:val="00EE18AD"/>
    <w:rsid w:val="00EE1A9D"/>
    <w:rsid w:val="00EE1EB4"/>
    <w:rsid w:val="00EE2556"/>
    <w:rsid w:val="00EE25D8"/>
    <w:rsid w:val="00EE26F1"/>
    <w:rsid w:val="00EE2A49"/>
    <w:rsid w:val="00EE32D7"/>
    <w:rsid w:val="00EE3C38"/>
    <w:rsid w:val="00EE3DF5"/>
    <w:rsid w:val="00EE3E88"/>
    <w:rsid w:val="00EE3F0E"/>
    <w:rsid w:val="00EE3F95"/>
    <w:rsid w:val="00EE422D"/>
    <w:rsid w:val="00EE42CB"/>
    <w:rsid w:val="00EE4443"/>
    <w:rsid w:val="00EE4E87"/>
    <w:rsid w:val="00EE51CE"/>
    <w:rsid w:val="00EE556E"/>
    <w:rsid w:val="00EE56A1"/>
    <w:rsid w:val="00EE5732"/>
    <w:rsid w:val="00EE5ABC"/>
    <w:rsid w:val="00EE5B6B"/>
    <w:rsid w:val="00EE5F20"/>
    <w:rsid w:val="00EE6A13"/>
    <w:rsid w:val="00EE6BE9"/>
    <w:rsid w:val="00EE6DFC"/>
    <w:rsid w:val="00EE6E67"/>
    <w:rsid w:val="00EE6E99"/>
    <w:rsid w:val="00EE72F8"/>
    <w:rsid w:val="00EE75F9"/>
    <w:rsid w:val="00EE76A1"/>
    <w:rsid w:val="00EE7B5F"/>
    <w:rsid w:val="00EF0135"/>
    <w:rsid w:val="00EF0787"/>
    <w:rsid w:val="00EF0B24"/>
    <w:rsid w:val="00EF0C30"/>
    <w:rsid w:val="00EF0CA8"/>
    <w:rsid w:val="00EF13B5"/>
    <w:rsid w:val="00EF1427"/>
    <w:rsid w:val="00EF14E0"/>
    <w:rsid w:val="00EF169D"/>
    <w:rsid w:val="00EF1F3F"/>
    <w:rsid w:val="00EF261C"/>
    <w:rsid w:val="00EF312C"/>
    <w:rsid w:val="00EF44E2"/>
    <w:rsid w:val="00EF5079"/>
    <w:rsid w:val="00EF50F6"/>
    <w:rsid w:val="00EF53C1"/>
    <w:rsid w:val="00EF559B"/>
    <w:rsid w:val="00EF5889"/>
    <w:rsid w:val="00EF59D6"/>
    <w:rsid w:val="00EF631B"/>
    <w:rsid w:val="00EF65EE"/>
    <w:rsid w:val="00EF6832"/>
    <w:rsid w:val="00EF68FB"/>
    <w:rsid w:val="00EF69FD"/>
    <w:rsid w:val="00EF6AF7"/>
    <w:rsid w:val="00EF7138"/>
    <w:rsid w:val="00EF743D"/>
    <w:rsid w:val="00EF787F"/>
    <w:rsid w:val="00EF7CE5"/>
    <w:rsid w:val="00F0035A"/>
    <w:rsid w:val="00F0061E"/>
    <w:rsid w:val="00F006DE"/>
    <w:rsid w:val="00F00B6C"/>
    <w:rsid w:val="00F00C21"/>
    <w:rsid w:val="00F00E21"/>
    <w:rsid w:val="00F01158"/>
    <w:rsid w:val="00F018B4"/>
    <w:rsid w:val="00F01B7A"/>
    <w:rsid w:val="00F01C9F"/>
    <w:rsid w:val="00F01DD5"/>
    <w:rsid w:val="00F02BE8"/>
    <w:rsid w:val="00F02F16"/>
    <w:rsid w:val="00F03350"/>
    <w:rsid w:val="00F036EB"/>
    <w:rsid w:val="00F03929"/>
    <w:rsid w:val="00F03939"/>
    <w:rsid w:val="00F03D46"/>
    <w:rsid w:val="00F04669"/>
    <w:rsid w:val="00F04965"/>
    <w:rsid w:val="00F04CCC"/>
    <w:rsid w:val="00F04FB3"/>
    <w:rsid w:val="00F05287"/>
    <w:rsid w:val="00F057B3"/>
    <w:rsid w:val="00F05A69"/>
    <w:rsid w:val="00F05ABE"/>
    <w:rsid w:val="00F05BFD"/>
    <w:rsid w:val="00F05D6C"/>
    <w:rsid w:val="00F061A7"/>
    <w:rsid w:val="00F063C1"/>
    <w:rsid w:val="00F0693C"/>
    <w:rsid w:val="00F070DA"/>
    <w:rsid w:val="00F07243"/>
    <w:rsid w:val="00F076A0"/>
    <w:rsid w:val="00F07A08"/>
    <w:rsid w:val="00F100E1"/>
    <w:rsid w:val="00F1014D"/>
    <w:rsid w:val="00F101F1"/>
    <w:rsid w:val="00F103F3"/>
    <w:rsid w:val="00F106DF"/>
    <w:rsid w:val="00F10A68"/>
    <w:rsid w:val="00F10AD1"/>
    <w:rsid w:val="00F10B01"/>
    <w:rsid w:val="00F1141E"/>
    <w:rsid w:val="00F12527"/>
    <w:rsid w:val="00F125D2"/>
    <w:rsid w:val="00F12671"/>
    <w:rsid w:val="00F12CFF"/>
    <w:rsid w:val="00F12FA3"/>
    <w:rsid w:val="00F13104"/>
    <w:rsid w:val="00F13379"/>
    <w:rsid w:val="00F13388"/>
    <w:rsid w:val="00F13838"/>
    <w:rsid w:val="00F1399E"/>
    <w:rsid w:val="00F13A5F"/>
    <w:rsid w:val="00F142B9"/>
    <w:rsid w:val="00F1431C"/>
    <w:rsid w:val="00F147AE"/>
    <w:rsid w:val="00F14872"/>
    <w:rsid w:val="00F149CB"/>
    <w:rsid w:val="00F14EAC"/>
    <w:rsid w:val="00F152A8"/>
    <w:rsid w:val="00F1562C"/>
    <w:rsid w:val="00F157D6"/>
    <w:rsid w:val="00F15803"/>
    <w:rsid w:val="00F16EC6"/>
    <w:rsid w:val="00F1723F"/>
    <w:rsid w:val="00F1753B"/>
    <w:rsid w:val="00F17A57"/>
    <w:rsid w:val="00F17AB6"/>
    <w:rsid w:val="00F20DA6"/>
    <w:rsid w:val="00F20E95"/>
    <w:rsid w:val="00F20FC6"/>
    <w:rsid w:val="00F21639"/>
    <w:rsid w:val="00F21923"/>
    <w:rsid w:val="00F21B39"/>
    <w:rsid w:val="00F21EC4"/>
    <w:rsid w:val="00F21EDA"/>
    <w:rsid w:val="00F2215C"/>
    <w:rsid w:val="00F2221E"/>
    <w:rsid w:val="00F223BF"/>
    <w:rsid w:val="00F227A5"/>
    <w:rsid w:val="00F22B6F"/>
    <w:rsid w:val="00F22ECC"/>
    <w:rsid w:val="00F23314"/>
    <w:rsid w:val="00F2335B"/>
    <w:rsid w:val="00F23701"/>
    <w:rsid w:val="00F238B9"/>
    <w:rsid w:val="00F23A9B"/>
    <w:rsid w:val="00F23CD4"/>
    <w:rsid w:val="00F2466F"/>
    <w:rsid w:val="00F24DF3"/>
    <w:rsid w:val="00F251C2"/>
    <w:rsid w:val="00F25203"/>
    <w:rsid w:val="00F25727"/>
    <w:rsid w:val="00F257A1"/>
    <w:rsid w:val="00F25A66"/>
    <w:rsid w:val="00F25E76"/>
    <w:rsid w:val="00F260E0"/>
    <w:rsid w:val="00F2680B"/>
    <w:rsid w:val="00F2682C"/>
    <w:rsid w:val="00F26899"/>
    <w:rsid w:val="00F26AFB"/>
    <w:rsid w:val="00F26BE3"/>
    <w:rsid w:val="00F26C3F"/>
    <w:rsid w:val="00F271DB"/>
    <w:rsid w:val="00F27229"/>
    <w:rsid w:val="00F273CB"/>
    <w:rsid w:val="00F27425"/>
    <w:rsid w:val="00F277A3"/>
    <w:rsid w:val="00F279A4"/>
    <w:rsid w:val="00F27C12"/>
    <w:rsid w:val="00F30195"/>
    <w:rsid w:val="00F3062F"/>
    <w:rsid w:val="00F3097C"/>
    <w:rsid w:val="00F3098C"/>
    <w:rsid w:val="00F309F1"/>
    <w:rsid w:val="00F30C78"/>
    <w:rsid w:val="00F30E3F"/>
    <w:rsid w:val="00F3113B"/>
    <w:rsid w:val="00F3146A"/>
    <w:rsid w:val="00F31D53"/>
    <w:rsid w:val="00F31E80"/>
    <w:rsid w:val="00F327B6"/>
    <w:rsid w:val="00F327ED"/>
    <w:rsid w:val="00F3298E"/>
    <w:rsid w:val="00F32D2A"/>
    <w:rsid w:val="00F32E1B"/>
    <w:rsid w:val="00F32E73"/>
    <w:rsid w:val="00F32FA3"/>
    <w:rsid w:val="00F33AD3"/>
    <w:rsid w:val="00F33B46"/>
    <w:rsid w:val="00F3430D"/>
    <w:rsid w:val="00F34436"/>
    <w:rsid w:val="00F34449"/>
    <w:rsid w:val="00F3452D"/>
    <w:rsid w:val="00F3458F"/>
    <w:rsid w:val="00F34681"/>
    <w:rsid w:val="00F34C3D"/>
    <w:rsid w:val="00F34D65"/>
    <w:rsid w:val="00F34E17"/>
    <w:rsid w:val="00F34F1B"/>
    <w:rsid w:val="00F3546B"/>
    <w:rsid w:val="00F3549D"/>
    <w:rsid w:val="00F35780"/>
    <w:rsid w:val="00F35866"/>
    <w:rsid w:val="00F35B52"/>
    <w:rsid w:val="00F35FEB"/>
    <w:rsid w:val="00F36035"/>
    <w:rsid w:val="00F36181"/>
    <w:rsid w:val="00F36247"/>
    <w:rsid w:val="00F3655C"/>
    <w:rsid w:val="00F365B4"/>
    <w:rsid w:val="00F3672E"/>
    <w:rsid w:val="00F36AAC"/>
    <w:rsid w:val="00F377F9"/>
    <w:rsid w:val="00F37897"/>
    <w:rsid w:val="00F4046E"/>
    <w:rsid w:val="00F40A88"/>
    <w:rsid w:val="00F40AFD"/>
    <w:rsid w:val="00F40D21"/>
    <w:rsid w:val="00F40E17"/>
    <w:rsid w:val="00F40FC0"/>
    <w:rsid w:val="00F4107C"/>
    <w:rsid w:val="00F410F3"/>
    <w:rsid w:val="00F4113B"/>
    <w:rsid w:val="00F415DE"/>
    <w:rsid w:val="00F41902"/>
    <w:rsid w:val="00F41C26"/>
    <w:rsid w:val="00F41CDD"/>
    <w:rsid w:val="00F41E63"/>
    <w:rsid w:val="00F42278"/>
    <w:rsid w:val="00F427F3"/>
    <w:rsid w:val="00F42FF2"/>
    <w:rsid w:val="00F438E0"/>
    <w:rsid w:val="00F439F8"/>
    <w:rsid w:val="00F43DA5"/>
    <w:rsid w:val="00F441CF"/>
    <w:rsid w:val="00F44488"/>
    <w:rsid w:val="00F44654"/>
    <w:rsid w:val="00F448F9"/>
    <w:rsid w:val="00F44A38"/>
    <w:rsid w:val="00F44EAA"/>
    <w:rsid w:val="00F4525C"/>
    <w:rsid w:val="00F4584F"/>
    <w:rsid w:val="00F45B7A"/>
    <w:rsid w:val="00F45EC6"/>
    <w:rsid w:val="00F46076"/>
    <w:rsid w:val="00F4644C"/>
    <w:rsid w:val="00F466DB"/>
    <w:rsid w:val="00F46ADB"/>
    <w:rsid w:val="00F46C25"/>
    <w:rsid w:val="00F46E12"/>
    <w:rsid w:val="00F47204"/>
    <w:rsid w:val="00F47645"/>
    <w:rsid w:val="00F47AD3"/>
    <w:rsid w:val="00F47C71"/>
    <w:rsid w:val="00F47E21"/>
    <w:rsid w:val="00F47E35"/>
    <w:rsid w:val="00F50278"/>
    <w:rsid w:val="00F51024"/>
    <w:rsid w:val="00F515CE"/>
    <w:rsid w:val="00F51FC5"/>
    <w:rsid w:val="00F524B5"/>
    <w:rsid w:val="00F52B00"/>
    <w:rsid w:val="00F532F0"/>
    <w:rsid w:val="00F533C7"/>
    <w:rsid w:val="00F5364D"/>
    <w:rsid w:val="00F5391A"/>
    <w:rsid w:val="00F548CD"/>
    <w:rsid w:val="00F549A2"/>
    <w:rsid w:val="00F54CBF"/>
    <w:rsid w:val="00F54F46"/>
    <w:rsid w:val="00F5540B"/>
    <w:rsid w:val="00F556EE"/>
    <w:rsid w:val="00F55CE5"/>
    <w:rsid w:val="00F55D40"/>
    <w:rsid w:val="00F56094"/>
    <w:rsid w:val="00F5643A"/>
    <w:rsid w:val="00F565ED"/>
    <w:rsid w:val="00F56777"/>
    <w:rsid w:val="00F56ADE"/>
    <w:rsid w:val="00F56B32"/>
    <w:rsid w:val="00F56F5F"/>
    <w:rsid w:val="00F5706B"/>
    <w:rsid w:val="00F574D5"/>
    <w:rsid w:val="00F5785F"/>
    <w:rsid w:val="00F57953"/>
    <w:rsid w:val="00F60315"/>
    <w:rsid w:val="00F604C7"/>
    <w:rsid w:val="00F61F55"/>
    <w:rsid w:val="00F62143"/>
    <w:rsid w:val="00F623DB"/>
    <w:rsid w:val="00F6283B"/>
    <w:rsid w:val="00F62E1F"/>
    <w:rsid w:val="00F6326C"/>
    <w:rsid w:val="00F6357B"/>
    <w:rsid w:val="00F637AB"/>
    <w:rsid w:val="00F6387F"/>
    <w:rsid w:val="00F63ABF"/>
    <w:rsid w:val="00F63E30"/>
    <w:rsid w:val="00F64092"/>
    <w:rsid w:val="00F640CB"/>
    <w:rsid w:val="00F64A66"/>
    <w:rsid w:val="00F64D24"/>
    <w:rsid w:val="00F64F58"/>
    <w:rsid w:val="00F64FC5"/>
    <w:rsid w:val="00F651C6"/>
    <w:rsid w:val="00F655ED"/>
    <w:rsid w:val="00F65B4C"/>
    <w:rsid w:val="00F65DC3"/>
    <w:rsid w:val="00F6601A"/>
    <w:rsid w:val="00F66055"/>
    <w:rsid w:val="00F66207"/>
    <w:rsid w:val="00F665A7"/>
    <w:rsid w:val="00F666A7"/>
    <w:rsid w:val="00F667B2"/>
    <w:rsid w:val="00F66B74"/>
    <w:rsid w:val="00F66DA5"/>
    <w:rsid w:val="00F677E6"/>
    <w:rsid w:val="00F679A9"/>
    <w:rsid w:val="00F67B60"/>
    <w:rsid w:val="00F67C0D"/>
    <w:rsid w:val="00F704CD"/>
    <w:rsid w:val="00F70793"/>
    <w:rsid w:val="00F70794"/>
    <w:rsid w:val="00F70AEB"/>
    <w:rsid w:val="00F717EC"/>
    <w:rsid w:val="00F7192B"/>
    <w:rsid w:val="00F71C8E"/>
    <w:rsid w:val="00F71DF2"/>
    <w:rsid w:val="00F72173"/>
    <w:rsid w:val="00F7235E"/>
    <w:rsid w:val="00F72612"/>
    <w:rsid w:val="00F72677"/>
    <w:rsid w:val="00F72AB4"/>
    <w:rsid w:val="00F72AE4"/>
    <w:rsid w:val="00F72BB8"/>
    <w:rsid w:val="00F72E66"/>
    <w:rsid w:val="00F73133"/>
    <w:rsid w:val="00F7313C"/>
    <w:rsid w:val="00F73190"/>
    <w:rsid w:val="00F7348A"/>
    <w:rsid w:val="00F734A8"/>
    <w:rsid w:val="00F735A3"/>
    <w:rsid w:val="00F73881"/>
    <w:rsid w:val="00F738E3"/>
    <w:rsid w:val="00F73CDE"/>
    <w:rsid w:val="00F73DA7"/>
    <w:rsid w:val="00F745A7"/>
    <w:rsid w:val="00F74853"/>
    <w:rsid w:val="00F74C80"/>
    <w:rsid w:val="00F74EAF"/>
    <w:rsid w:val="00F753D4"/>
    <w:rsid w:val="00F75B68"/>
    <w:rsid w:val="00F75EED"/>
    <w:rsid w:val="00F76249"/>
    <w:rsid w:val="00F7658A"/>
    <w:rsid w:val="00F76818"/>
    <w:rsid w:val="00F80729"/>
    <w:rsid w:val="00F8079A"/>
    <w:rsid w:val="00F8094B"/>
    <w:rsid w:val="00F80C91"/>
    <w:rsid w:val="00F80D58"/>
    <w:rsid w:val="00F81472"/>
    <w:rsid w:val="00F81C67"/>
    <w:rsid w:val="00F81FA0"/>
    <w:rsid w:val="00F82061"/>
    <w:rsid w:val="00F820C1"/>
    <w:rsid w:val="00F820ED"/>
    <w:rsid w:val="00F82192"/>
    <w:rsid w:val="00F8229A"/>
    <w:rsid w:val="00F82F7A"/>
    <w:rsid w:val="00F83476"/>
    <w:rsid w:val="00F834F3"/>
    <w:rsid w:val="00F83D82"/>
    <w:rsid w:val="00F83EFF"/>
    <w:rsid w:val="00F84759"/>
    <w:rsid w:val="00F8491B"/>
    <w:rsid w:val="00F8492F"/>
    <w:rsid w:val="00F84B80"/>
    <w:rsid w:val="00F84D63"/>
    <w:rsid w:val="00F856FD"/>
    <w:rsid w:val="00F85768"/>
    <w:rsid w:val="00F85B03"/>
    <w:rsid w:val="00F85BE8"/>
    <w:rsid w:val="00F8613B"/>
    <w:rsid w:val="00F8662B"/>
    <w:rsid w:val="00F86BC4"/>
    <w:rsid w:val="00F86DF8"/>
    <w:rsid w:val="00F87321"/>
    <w:rsid w:val="00F875C3"/>
    <w:rsid w:val="00F8777F"/>
    <w:rsid w:val="00F87865"/>
    <w:rsid w:val="00F87B2C"/>
    <w:rsid w:val="00F87BB2"/>
    <w:rsid w:val="00F87D06"/>
    <w:rsid w:val="00F90243"/>
    <w:rsid w:val="00F9065C"/>
    <w:rsid w:val="00F9079B"/>
    <w:rsid w:val="00F9083A"/>
    <w:rsid w:val="00F90AC6"/>
    <w:rsid w:val="00F90C2D"/>
    <w:rsid w:val="00F90D25"/>
    <w:rsid w:val="00F90D93"/>
    <w:rsid w:val="00F90FC0"/>
    <w:rsid w:val="00F910C1"/>
    <w:rsid w:val="00F9121B"/>
    <w:rsid w:val="00F91490"/>
    <w:rsid w:val="00F9191E"/>
    <w:rsid w:val="00F91C67"/>
    <w:rsid w:val="00F91E1D"/>
    <w:rsid w:val="00F91F66"/>
    <w:rsid w:val="00F922EE"/>
    <w:rsid w:val="00F923C5"/>
    <w:rsid w:val="00F92468"/>
    <w:rsid w:val="00F92642"/>
    <w:rsid w:val="00F929BF"/>
    <w:rsid w:val="00F92BC6"/>
    <w:rsid w:val="00F92DA6"/>
    <w:rsid w:val="00F93248"/>
    <w:rsid w:val="00F935C8"/>
    <w:rsid w:val="00F9361F"/>
    <w:rsid w:val="00F937DE"/>
    <w:rsid w:val="00F93A2B"/>
    <w:rsid w:val="00F93D90"/>
    <w:rsid w:val="00F93E85"/>
    <w:rsid w:val="00F93FFA"/>
    <w:rsid w:val="00F94006"/>
    <w:rsid w:val="00F940FC"/>
    <w:rsid w:val="00F9552D"/>
    <w:rsid w:val="00F957E5"/>
    <w:rsid w:val="00F959B7"/>
    <w:rsid w:val="00F95A63"/>
    <w:rsid w:val="00F95AA8"/>
    <w:rsid w:val="00F95B94"/>
    <w:rsid w:val="00F95F0D"/>
    <w:rsid w:val="00F960AF"/>
    <w:rsid w:val="00F9672B"/>
    <w:rsid w:val="00F96DBA"/>
    <w:rsid w:val="00F974A2"/>
    <w:rsid w:val="00F97ADC"/>
    <w:rsid w:val="00FA006E"/>
    <w:rsid w:val="00FA027F"/>
    <w:rsid w:val="00FA05AC"/>
    <w:rsid w:val="00FA0934"/>
    <w:rsid w:val="00FA0B71"/>
    <w:rsid w:val="00FA12EF"/>
    <w:rsid w:val="00FA1944"/>
    <w:rsid w:val="00FA1E41"/>
    <w:rsid w:val="00FA289C"/>
    <w:rsid w:val="00FA2AE5"/>
    <w:rsid w:val="00FA2E1B"/>
    <w:rsid w:val="00FA2F0A"/>
    <w:rsid w:val="00FA3027"/>
    <w:rsid w:val="00FA32C9"/>
    <w:rsid w:val="00FA3A7C"/>
    <w:rsid w:val="00FA4266"/>
    <w:rsid w:val="00FA4B8D"/>
    <w:rsid w:val="00FA4C62"/>
    <w:rsid w:val="00FA552F"/>
    <w:rsid w:val="00FA5683"/>
    <w:rsid w:val="00FA5AFE"/>
    <w:rsid w:val="00FA5E50"/>
    <w:rsid w:val="00FA5EE9"/>
    <w:rsid w:val="00FA66E5"/>
    <w:rsid w:val="00FA6D0A"/>
    <w:rsid w:val="00FA7341"/>
    <w:rsid w:val="00FA74DD"/>
    <w:rsid w:val="00FA76B7"/>
    <w:rsid w:val="00FA7731"/>
    <w:rsid w:val="00FA7854"/>
    <w:rsid w:val="00FA7C2B"/>
    <w:rsid w:val="00FA7CBA"/>
    <w:rsid w:val="00FA7E7D"/>
    <w:rsid w:val="00FB0082"/>
    <w:rsid w:val="00FB0756"/>
    <w:rsid w:val="00FB0ABB"/>
    <w:rsid w:val="00FB0D35"/>
    <w:rsid w:val="00FB1005"/>
    <w:rsid w:val="00FB11EE"/>
    <w:rsid w:val="00FB1844"/>
    <w:rsid w:val="00FB1C25"/>
    <w:rsid w:val="00FB1CB4"/>
    <w:rsid w:val="00FB23B4"/>
    <w:rsid w:val="00FB28AB"/>
    <w:rsid w:val="00FB2AD3"/>
    <w:rsid w:val="00FB2E8B"/>
    <w:rsid w:val="00FB373D"/>
    <w:rsid w:val="00FB3C15"/>
    <w:rsid w:val="00FB47C0"/>
    <w:rsid w:val="00FB4BF5"/>
    <w:rsid w:val="00FB4C6B"/>
    <w:rsid w:val="00FB4E3B"/>
    <w:rsid w:val="00FB561A"/>
    <w:rsid w:val="00FB595F"/>
    <w:rsid w:val="00FB5EDB"/>
    <w:rsid w:val="00FB5EF8"/>
    <w:rsid w:val="00FB629F"/>
    <w:rsid w:val="00FB6313"/>
    <w:rsid w:val="00FB65B9"/>
    <w:rsid w:val="00FB6E0D"/>
    <w:rsid w:val="00FB70BA"/>
    <w:rsid w:val="00FB7307"/>
    <w:rsid w:val="00FB7D05"/>
    <w:rsid w:val="00FC0373"/>
    <w:rsid w:val="00FC0FD1"/>
    <w:rsid w:val="00FC1014"/>
    <w:rsid w:val="00FC13E3"/>
    <w:rsid w:val="00FC1570"/>
    <w:rsid w:val="00FC243D"/>
    <w:rsid w:val="00FC2DE4"/>
    <w:rsid w:val="00FC3114"/>
    <w:rsid w:val="00FC34C5"/>
    <w:rsid w:val="00FC358E"/>
    <w:rsid w:val="00FC3F37"/>
    <w:rsid w:val="00FC426E"/>
    <w:rsid w:val="00FC47BB"/>
    <w:rsid w:val="00FC4E0D"/>
    <w:rsid w:val="00FC4F01"/>
    <w:rsid w:val="00FC4F05"/>
    <w:rsid w:val="00FC58C4"/>
    <w:rsid w:val="00FC5BBA"/>
    <w:rsid w:val="00FC5DBB"/>
    <w:rsid w:val="00FC66F6"/>
    <w:rsid w:val="00FC71D7"/>
    <w:rsid w:val="00FC7298"/>
    <w:rsid w:val="00FC7366"/>
    <w:rsid w:val="00FC7AA5"/>
    <w:rsid w:val="00FC7ACA"/>
    <w:rsid w:val="00FC7BF1"/>
    <w:rsid w:val="00FC7EFF"/>
    <w:rsid w:val="00FC7FAC"/>
    <w:rsid w:val="00FD0105"/>
    <w:rsid w:val="00FD016C"/>
    <w:rsid w:val="00FD03FB"/>
    <w:rsid w:val="00FD14D3"/>
    <w:rsid w:val="00FD1BC8"/>
    <w:rsid w:val="00FD2038"/>
    <w:rsid w:val="00FD2094"/>
    <w:rsid w:val="00FD20A2"/>
    <w:rsid w:val="00FD22B0"/>
    <w:rsid w:val="00FD243A"/>
    <w:rsid w:val="00FD25AB"/>
    <w:rsid w:val="00FD2C84"/>
    <w:rsid w:val="00FD3047"/>
    <w:rsid w:val="00FD31EE"/>
    <w:rsid w:val="00FD3AE7"/>
    <w:rsid w:val="00FD3C0D"/>
    <w:rsid w:val="00FD3E50"/>
    <w:rsid w:val="00FD3F33"/>
    <w:rsid w:val="00FD444F"/>
    <w:rsid w:val="00FD46F4"/>
    <w:rsid w:val="00FD4A17"/>
    <w:rsid w:val="00FD4A87"/>
    <w:rsid w:val="00FD52AF"/>
    <w:rsid w:val="00FD52CB"/>
    <w:rsid w:val="00FD5538"/>
    <w:rsid w:val="00FD5AA3"/>
    <w:rsid w:val="00FD6135"/>
    <w:rsid w:val="00FD6370"/>
    <w:rsid w:val="00FD6385"/>
    <w:rsid w:val="00FD6449"/>
    <w:rsid w:val="00FD6894"/>
    <w:rsid w:val="00FD6DC8"/>
    <w:rsid w:val="00FD7CBE"/>
    <w:rsid w:val="00FE0D30"/>
    <w:rsid w:val="00FE13DE"/>
    <w:rsid w:val="00FE140E"/>
    <w:rsid w:val="00FE1B8C"/>
    <w:rsid w:val="00FE1FEF"/>
    <w:rsid w:val="00FE1FFE"/>
    <w:rsid w:val="00FE2655"/>
    <w:rsid w:val="00FE2B83"/>
    <w:rsid w:val="00FE2E82"/>
    <w:rsid w:val="00FE2E9F"/>
    <w:rsid w:val="00FE2EF1"/>
    <w:rsid w:val="00FE3278"/>
    <w:rsid w:val="00FE43D6"/>
    <w:rsid w:val="00FE48C3"/>
    <w:rsid w:val="00FE4D12"/>
    <w:rsid w:val="00FE4E2C"/>
    <w:rsid w:val="00FE537A"/>
    <w:rsid w:val="00FE58A0"/>
    <w:rsid w:val="00FE5CF9"/>
    <w:rsid w:val="00FE5DC5"/>
    <w:rsid w:val="00FE5E2E"/>
    <w:rsid w:val="00FE5EF8"/>
    <w:rsid w:val="00FE5FF2"/>
    <w:rsid w:val="00FE6123"/>
    <w:rsid w:val="00FE6EE9"/>
    <w:rsid w:val="00FE737F"/>
    <w:rsid w:val="00FE7795"/>
    <w:rsid w:val="00FE7985"/>
    <w:rsid w:val="00FE7AB3"/>
    <w:rsid w:val="00FE7E5B"/>
    <w:rsid w:val="00FF071A"/>
    <w:rsid w:val="00FF0E5C"/>
    <w:rsid w:val="00FF10A1"/>
    <w:rsid w:val="00FF163F"/>
    <w:rsid w:val="00FF178D"/>
    <w:rsid w:val="00FF1812"/>
    <w:rsid w:val="00FF1BC8"/>
    <w:rsid w:val="00FF2BDE"/>
    <w:rsid w:val="00FF2C01"/>
    <w:rsid w:val="00FF2D78"/>
    <w:rsid w:val="00FF34B5"/>
    <w:rsid w:val="00FF3AF3"/>
    <w:rsid w:val="00FF3BF2"/>
    <w:rsid w:val="00FF4215"/>
    <w:rsid w:val="00FF4239"/>
    <w:rsid w:val="00FF45ED"/>
    <w:rsid w:val="00FF4681"/>
    <w:rsid w:val="00FF477B"/>
    <w:rsid w:val="00FF47EA"/>
    <w:rsid w:val="00FF484B"/>
    <w:rsid w:val="00FF49B1"/>
    <w:rsid w:val="00FF542A"/>
    <w:rsid w:val="00FF553C"/>
    <w:rsid w:val="00FF5627"/>
    <w:rsid w:val="00FF5C4A"/>
    <w:rsid w:val="00FF5D3E"/>
    <w:rsid w:val="00FF71D3"/>
    <w:rsid w:val="00FF75A2"/>
    <w:rsid w:val="00FF75EA"/>
    <w:rsid w:val="00FF761B"/>
    <w:rsid w:val="00FF7DF3"/>
    <w:rsid w:val="00FF7F55"/>
    <w:rsid w:val="0335D4E9"/>
    <w:rsid w:val="046E4458"/>
    <w:rsid w:val="06173BE4"/>
    <w:rsid w:val="06AE53E5"/>
    <w:rsid w:val="0A229D2E"/>
    <w:rsid w:val="0A4C2A0B"/>
    <w:rsid w:val="0AF5F413"/>
    <w:rsid w:val="0B16446D"/>
    <w:rsid w:val="0C2AD3DA"/>
    <w:rsid w:val="0C3F92A2"/>
    <w:rsid w:val="0C6E3732"/>
    <w:rsid w:val="0E3E3B26"/>
    <w:rsid w:val="0EE2CDAB"/>
    <w:rsid w:val="0F1B4784"/>
    <w:rsid w:val="0F4B076A"/>
    <w:rsid w:val="112CFB68"/>
    <w:rsid w:val="114F7950"/>
    <w:rsid w:val="117ECCCA"/>
    <w:rsid w:val="1188FF08"/>
    <w:rsid w:val="11B59504"/>
    <w:rsid w:val="11E5B0D5"/>
    <w:rsid w:val="12723D96"/>
    <w:rsid w:val="12E2D2A1"/>
    <w:rsid w:val="130DFE8F"/>
    <w:rsid w:val="1352142E"/>
    <w:rsid w:val="13818136"/>
    <w:rsid w:val="1381C09E"/>
    <w:rsid w:val="138B2CC2"/>
    <w:rsid w:val="139DAFD2"/>
    <w:rsid w:val="13C5DE7C"/>
    <w:rsid w:val="13DE649C"/>
    <w:rsid w:val="13FBE240"/>
    <w:rsid w:val="140C6ECD"/>
    <w:rsid w:val="14D3F75C"/>
    <w:rsid w:val="155AB845"/>
    <w:rsid w:val="175956FD"/>
    <w:rsid w:val="17EF13BD"/>
    <w:rsid w:val="17F567FD"/>
    <w:rsid w:val="18580CF0"/>
    <w:rsid w:val="18769F35"/>
    <w:rsid w:val="18C31107"/>
    <w:rsid w:val="18E61C7F"/>
    <w:rsid w:val="1D8A5BC3"/>
    <w:rsid w:val="1E291060"/>
    <w:rsid w:val="1E470DBD"/>
    <w:rsid w:val="1E62D244"/>
    <w:rsid w:val="1E797BB5"/>
    <w:rsid w:val="1EE7DB13"/>
    <w:rsid w:val="212BA7A2"/>
    <w:rsid w:val="227EA402"/>
    <w:rsid w:val="22FC4139"/>
    <w:rsid w:val="2432D42B"/>
    <w:rsid w:val="24446D40"/>
    <w:rsid w:val="246605B8"/>
    <w:rsid w:val="24907E41"/>
    <w:rsid w:val="24F02D2F"/>
    <w:rsid w:val="25081F35"/>
    <w:rsid w:val="251FB600"/>
    <w:rsid w:val="25DDAA07"/>
    <w:rsid w:val="2648FE30"/>
    <w:rsid w:val="272CAA51"/>
    <w:rsid w:val="273FEA3E"/>
    <w:rsid w:val="283E555C"/>
    <w:rsid w:val="28BBCB2D"/>
    <w:rsid w:val="2A51A7BA"/>
    <w:rsid w:val="2B878FFD"/>
    <w:rsid w:val="2C5DB0A0"/>
    <w:rsid w:val="2D5AF2EC"/>
    <w:rsid w:val="2DB8CD33"/>
    <w:rsid w:val="2E392096"/>
    <w:rsid w:val="2E6909DB"/>
    <w:rsid w:val="2E816727"/>
    <w:rsid w:val="2E891FE1"/>
    <w:rsid w:val="2F5E51C7"/>
    <w:rsid w:val="306555E9"/>
    <w:rsid w:val="317BC9E0"/>
    <w:rsid w:val="33730718"/>
    <w:rsid w:val="347CAFE7"/>
    <w:rsid w:val="35D44D37"/>
    <w:rsid w:val="36EB9551"/>
    <w:rsid w:val="375B5CB0"/>
    <w:rsid w:val="37C437B0"/>
    <w:rsid w:val="38F49D07"/>
    <w:rsid w:val="39AAA7D2"/>
    <w:rsid w:val="39B938CC"/>
    <w:rsid w:val="3A600BB6"/>
    <w:rsid w:val="3A67426A"/>
    <w:rsid w:val="3B43C822"/>
    <w:rsid w:val="3B45C206"/>
    <w:rsid w:val="3C196FD4"/>
    <w:rsid w:val="3C6B46FA"/>
    <w:rsid w:val="3D5BB7D3"/>
    <w:rsid w:val="3E70E359"/>
    <w:rsid w:val="3F50EE2B"/>
    <w:rsid w:val="3FEAB147"/>
    <w:rsid w:val="401F021E"/>
    <w:rsid w:val="40C90649"/>
    <w:rsid w:val="4220A8AB"/>
    <w:rsid w:val="4551827D"/>
    <w:rsid w:val="463E8D0A"/>
    <w:rsid w:val="466DF372"/>
    <w:rsid w:val="47462DC9"/>
    <w:rsid w:val="47B80C6D"/>
    <w:rsid w:val="48606D82"/>
    <w:rsid w:val="490C1DE4"/>
    <w:rsid w:val="49544CF3"/>
    <w:rsid w:val="49683AA3"/>
    <w:rsid w:val="4B266B1B"/>
    <w:rsid w:val="4C43FBB9"/>
    <w:rsid w:val="4C670745"/>
    <w:rsid w:val="4C6A7190"/>
    <w:rsid w:val="4C928B3A"/>
    <w:rsid w:val="4CB2DAC4"/>
    <w:rsid w:val="4D5D5E91"/>
    <w:rsid w:val="4F49FDD7"/>
    <w:rsid w:val="504FD6D7"/>
    <w:rsid w:val="50F840BC"/>
    <w:rsid w:val="51289B91"/>
    <w:rsid w:val="51BB1FE2"/>
    <w:rsid w:val="5201FB9E"/>
    <w:rsid w:val="52257D6B"/>
    <w:rsid w:val="52726B18"/>
    <w:rsid w:val="529BBA9B"/>
    <w:rsid w:val="52E0E1C8"/>
    <w:rsid w:val="53BC26C9"/>
    <w:rsid w:val="53CD305A"/>
    <w:rsid w:val="54E20B86"/>
    <w:rsid w:val="553C787F"/>
    <w:rsid w:val="56D20721"/>
    <w:rsid w:val="57FBF78B"/>
    <w:rsid w:val="5907DBB1"/>
    <w:rsid w:val="590C9684"/>
    <w:rsid w:val="5A5C3B29"/>
    <w:rsid w:val="5A895735"/>
    <w:rsid w:val="5B2F4529"/>
    <w:rsid w:val="5CA3973F"/>
    <w:rsid w:val="5CEA2048"/>
    <w:rsid w:val="5D405683"/>
    <w:rsid w:val="5D43CEB4"/>
    <w:rsid w:val="5FAA16EA"/>
    <w:rsid w:val="5FABBB0B"/>
    <w:rsid w:val="61A57CF9"/>
    <w:rsid w:val="61CF3F55"/>
    <w:rsid w:val="62893F65"/>
    <w:rsid w:val="62CE755D"/>
    <w:rsid w:val="63547594"/>
    <w:rsid w:val="64F23EA5"/>
    <w:rsid w:val="651F5145"/>
    <w:rsid w:val="68F5DA7B"/>
    <w:rsid w:val="6907D8D6"/>
    <w:rsid w:val="69DD0416"/>
    <w:rsid w:val="6C424095"/>
    <w:rsid w:val="6CC7CB00"/>
    <w:rsid w:val="6CEBEC29"/>
    <w:rsid w:val="6DD3974D"/>
    <w:rsid w:val="6EF505A2"/>
    <w:rsid w:val="6F739DB6"/>
    <w:rsid w:val="70147D64"/>
    <w:rsid w:val="70AA998D"/>
    <w:rsid w:val="70B93984"/>
    <w:rsid w:val="70FC609C"/>
    <w:rsid w:val="7176BC80"/>
    <w:rsid w:val="71F2E4E1"/>
    <w:rsid w:val="73C801AA"/>
    <w:rsid w:val="74CEC95B"/>
    <w:rsid w:val="74FD5FE1"/>
    <w:rsid w:val="758749B6"/>
    <w:rsid w:val="75B6A962"/>
    <w:rsid w:val="7673A6A0"/>
    <w:rsid w:val="772953DF"/>
    <w:rsid w:val="78471820"/>
    <w:rsid w:val="78EE4A24"/>
    <w:rsid w:val="79374BF9"/>
    <w:rsid w:val="795C388A"/>
    <w:rsid w:val="7A540B0C"/>
    <w:rsid w:val="7A9DCB26"/>
    <w:rsid w:val="7C41409F"/>
    <w:rsid w:val="7C955BC2"/>
    <w:rsid w:val="7D73760C"/>
    <w:rsid w:val="7DC7357D"/>
    <w:rsid w:val="7DDC7C8E"/>
    <w:rsid w:val="7E3A4DAB"/>
  </w:rsids>
  <m:mathPr>
    <m:mathFont m:val="Cambria Math"/>
    <m:brkBin m:val="before"/>
    <m:brkBinSub m:val="--"/>
    <m:smallFrac m:val="0"/>
    <m:dispDef m:val="0"/>
    <m:lMargin m:val="0"/>
    <m:rMargin m:val="0"/>
    <m:defJc m:val="centerGroup"/>
    <m:wrapRight/>
    <m:intLim m:val="subSup"/>
    <m:naryLim m:val="subSup"/>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823107"/>
  <w15:chartTrackingRefBased/>
  <w15:docId w15:val="{B8A68561-6418-C94E-A0BC-4664CAAE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lsdException w:name="Medium Grid 3 Accent 2"/>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6A"/>
    <w:pPr>
      <w:widowControl w:val="0"/>
      <w:suppressAutoHyphens/>
      <w:spacing w:before="120" w:after="120" w:line="264" w:lineRule="auto"/>
    </w:pPr>
    <w:rPr>
      <w:rFonts w:ascii="Franklin Gothic Book" w:hAnsi="Franklin Gothic Book" w:cs="Calibri"/>
      <w:sz w:val="22"/>
      <w:szCs w:val="22"/>
    </w:rPr>
  </w:style>
  <w:style w:type="paragraph" w:styleId="Heading1">
    <w:name w:val="heading 1"/>
    <w:basedOn w:val="Normal"/>
    <w:next w:val="Normal"/>
    <w:link w:val="Heading1Char"/>
    <w:uiPriority w:val="9"/>
    <w:qFormat/>
    <w:rsid w:val="00943BB2"/>
    <w:pPr>
      <w:keepNext/>
      <w:keepLines/>
      <w:spacing w:before="360" w:after="240" w:line="276" w:lineRule="auto"/>
      <w:outlineLvl w:val="0"/>
    </w:pPr>
    <w:rPr>
      <w:b/>
      <w:bCs/>
      <w:color w:val="165B89"/>
      <w:sz w:val="32"/>
      <w:szCs w:val="28"/>
      <w:lang w:bidi="en-US"/>
    </w:rPr>
  </w:style>
  <w:style w:type="paragraph" w:styleId="Heading2">
    <w:name w:val="heading 2"/>
    <w:basedOn w:val="Normal"/>
    <w:next w:val="Normal"/>
    <w:link w:val="Heading2Char"/>
    <w:autoRedefine/>
    <w:uiPriority w:val="99"/>
    <w:qFormat/>
    <w:rsid w:val="009175DC"/>
    <w:pPr>
      <w:keepNext/>
      <w:keepLines/>
      <w:numPr>
        <w:numId w:val="18"/>
      </w:numPr>
      <w:spacing w:before="480" w:after="240" w:line="276" w:lineRule="auto"/>
      <w:ind w:left="380" w:hanging="380"/>
      <w:outlineLvl w:val="1"/>
    </w:pPr>
    <w:rPr>
      <w:rFonts w:ascii="Franklin Gothic Medium" w:hAnsi="Franklin Gothic Medium"/>
      <w:bCs/>
      <w:color w:val="188FBB"/>
      <w:sz w:val="28"/>
      <w:szCs w:val="26"/>
      <w:lang w:bidi="en-US"/>
    </w:rPr>
  </w:style>
  <w:style w:type="paragraph" w:styleId="Heading3">
    <w:name w:val="heading 3"/>
    <w:basedOn w:val="Normal"/>
    <w:next w:val="Normal"/>
    <w:link w:val="Heading3Char"/>
    <w:uiPriority w:val="9"/>
    <w:qFormat/>
    <w:rsid w:val="003357DE"/>
    <w:pPr>
      <w:keepNext/>
      <w:keepLines/>
      <w:tabs>
        <w:tab w:val="num" w:pos="0"/>
      </w:tabs>
      <w:spacing w:before="480"/>
      <w:outlineLvl w:val="2"/>
    </w:pPr>
    <w:rPr>
      <w:b/>
      <w:bCs/>
      <w:color w:val="4F81BD"/>
      <w:sz w:val="24"/>
    </w:rPr>
  </w:style>
  <w:style w:type="paragraph" w:styleId="Heading4">
    <w:name w:val="heading 4"/>
    <w:basedOn w:val="Normal"/>
    <w:next w:val="Normal"/>
    <w:link w:val="Heading4Char"/>
    <w:uiPriority w:val="9"/>
    <w:qFormat/>
    <w:rsid w:val="003E6F94"/>
    <w:pPr>
      <w:keepNext/>
      <w:keepLines/>
      <w:tabs>
        <w:tab w:val="num" w:pos="0"/>
      </w:tab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qFormat/>
    <w:rsid w:val="003E6F94"/>
    <w:pPr>
      <w:keepNext/>
      <w:keepLines/>
      <w:tabs>
        <w:tab w:val="num" w:pos="0"/>
      </w:tabs>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qFormat/>
    <w:rsid w:val="003E6F94"/>
    <w:pPr>
      <w:keepNext/>
      <w:keepLines/>
      <w:tabs>
        <w:tab w:val="num" w:pos="0"/>
      </w:tab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qFormat/>
    <w:rsid w:val="003E6F94"/>
    <w:pPr>
      <w:keepNext/>
      <w:keepLines/>
      <w:tabs>
        <w:tab w:val="num" w:pos="0"/>
      </w:tab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qFormat/>
    <w:rsid w:val="003E6F94"/>
    <w:pPr>
      <w:keepNext/>
      <w:keepLines/>
      <w:tabs>
        <w:tab w:val="num" w:pos="0"/>
      </w:tabs>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
    <w:qFormat/>
    <w:rsid w:val="003E6F94"/>
    <w:pPr>
      <w:keepNext/>
      <w:keepLines/>
      <w:tabs>
        <w:tab w:val="num" w:pos="0"/>
      </w:tab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3BB2"/>
    <w:rPr>
      <w:rFonts w:ascii="Franklin Gothic Book" w:hAnsi="Franklin Gothic Book" w:cs="Calibri"/>
      <w:b/>
      <w:bCs/>
      <w:color w:val="165B89"/>
      <w:sz w:val="32"/>
      <w:szCs w:val="28"/>
      <w:lang w:val="es-ES" w:bidi="en-US"/>
    </w:rPr>
  </w:style>
  <w:style w:type="character" w:customStyle="1" w:styleId="Heading2Char">
    <w:name w:val="Heading 2 Char"/>
    <w:link w:val="Heading2"/>
    <w:uiPriority w:val="99"/>
    <w:rsid w:val="009175DC"/>
    <w:rPr>
      <w:rFonts w:ascii="Franklin Gothic Medium" w:hAnsi="Franklin Gothic Medium" w:cs="Calibri"/>
      <w:bCs/>
      <w:color w:val="188FBB"/>
      <w:sz w:val="28"/>
      <w:szCs w:val="26"/>
      <w:lang w:val="es-ES" w:bidi="en-US"/>
    </w:rPr>
  </w:style>
  <w:style w:type="character" w:customStyle="1" w:styleId="Heading3Char">
    <w:name w:val="Heading 3 Char"/>
    <w:link w:val="Heading3"/>
    <w:uiPriority w:val="9"/>
    <w:rsid w:val="003357DE"/>
    <w:rPr>
      <w:rFonts w:ascii="Calibri" w:hAnsi="Calibri" w:cs="Calibri"/>
      <w:b/>
      <w:bCs/>
      <w:color w:val="4F81BD"/>
      <w:sz w:val="24"/>
      <w:szCs w:val="22"/>
    </w:rPr>
  </w:style>
  <w:style w:type="character" w:customStyle="1" w:styleId="Heading4Char">
    <w:name w:val="Heading 4 Char"/>
    <w:link w:val="Heading4"/>
    <w:uiPriority w:val="9"/>
    <w:rsid w:val="003E6F94"/>
    <w:rPr>
      <w:rFonts w:ascii="Cambria" w:hAnsi="Cambria" w:cs="Times New Roman"/>
      <w:b/>
      <w:bCs/>
      <w:i/>
      <w:iCs/>
      <w:color w:val="4F81BD"/>
      <w:sz w:val="22"/>
      <w:lang w:eastAsia="en-US"/>
    </w:rPr>
  </w:style>
  <w:style w:type="character" w:customStyle="1" w:styleId="Heading5Char">
    <w:name w:val="Heading 5 Char"/>
    <w:link w:val="Heading5"/>
    <w:uiPriority w:val="9"/>
    <w:rsid w:val="003E6F94"/>
    <w:rPr>
      <w:rFonts w:ascii="Cambria" w:hAnsi="Cambria" w:cs="Times New Roman"/>
      <w:color w:val="243F60"/>
      <w:sz w:val="22"/>
      <w:lang w:eastAsia="en-US"/>
    </w:rPr>
  </w:style>
  <w:style w:type="character" w:customStyle="1" w:styleId="Heading6Char">
    <w:name w:val="Heading 6 Char"/>
    <w:link w:val="Heading6"/>
    <w:uiPriority w:val="9"/>
    <w:rsid w:val="003E6F94"/>
    <w:rPr>
      <w:rFonts w:ascii="Cambria" w:hAnsi="Cambria" w:cs="Times New Roman"/>
      <w:i/>
      <w:iCs/>
      <w:color w:val="243F60"/>
      <w:sz w:val="22"/>
      <w:lang w:eastAsia="en-US"/>
    </w:rPr>
  </w:style>
  <w:style w:type="character" w:customStyle="1" w:styleId="Heading7Char">
    <w:name w:val="Heading 7 Char"/>
    <w:link w:val="Heading7"/>
    <w:uiPriority w:val="9"/>
    <w:rsid w:val="003E6F94"/>
    <w:rPr>
      <w:rFonts w:ascii="Cambria" w:hAnsi="Cambria" w:cs="Times New Roman"/>
      <w:i/>
      <w:iCs/>
      <w:color w:val="404040"/>
      <w:sz w:val="22"/>
      <w:lang w:eastAsia="en-US"/>
    </w:rPr>
  </w:style>
  <w:style w:type="character" w:customStyle="1" w:styleId="Heading8Char">
    <w:name w:val="Heading 8 Char"/>
    <w:link w:val="Heading8"/>
    <w:uiPriority w:val="9"/>
    <w:rsid w:val="003E6F94"/>
    <w:rPr>
      <w:rFonts w:ascii="Cambria" w:hAnsi="Cambria" w:cs="Times New Roman"/>
      <w:color w:val="4F81BD"/>
      <w:lang w:eastAsia="en-US"/>
    </w:rPr>
  </w:style>
  <w:style w:type="character" w:customStyle="1" w:styleId="Heading9Char">
    <w:name w:val="Heading 9 Char"/>
    <w:link w:val="Heading9"/>
    <w:uiPriority w:val="9"/>
    <w:rsid w:val="003E6F94"/>
    <w:rPr>
      <w:rFonts w:ascii="Cambria" w:hAnsi="Cambria" w:cs="Times New Roman"/>
      <w:i/>
      <w:iCs/>
      <w:color w:val="404040"/>
      <w:lang w:eastAsia="en-US"/>
    </w:rPr>
  </w:style>
  <w:style w:type="character" w:customStyle="1" w:styleId="WW8Num2z0">
    <w:name w:val="WW8Num2z0"/>
    <w:uiPriority w:val="99"/>
    <w:rsid w:val="003E6F94"/>
    <w:rPr>
      <w:rFonts w:ascii="Symbol" w:hAnsi="Symbol"/>
    </w:rPr>
  </w:style>
  <w:style w:type="character" w:customStyle="1" w:styleId="WW8Num2z1">
    <w:name w:val="WW8Num2z1"/>
    <w:uiPriority w:val="99"/>
    <w:rsid w:val="003E6F94"/>
    <w:rPr>
      <w:rFonts w:ascii="Courier New" w:hAnsi="Courier New"/>
    </w:rPr>
  </w:style>
  <w:style w:type="character" w:customStyle="1" w:styleId="WW8Num2z2">
    <w:name w:val="WW8Num2z2"/>
    <w:uiPriority w:val="99"/>
    <w:rsid w:val="003E6F94"/>
    <w:rPr>
      <w:rFonts w:ascii="Wingdings" w:hAnsi="Wingdings"/>
    </w:rPr>
  </w:style>
  <w:style w:type="character" w:customStyle="1" w:styleId="WW8Num3z0">
    <w:name w:val="WW8Num3z0"/>
    <w:uiPriority w:val="99"/>
    <w:rsid w:val="003E6F94"/>
    <w:rPr>
      <w:rFonts w:ascii="Symbol" w:hAnsi="Symbol"/>
    </w:rPr>
  </w:style>
  <w:style w:type="character" w:customStyle="1" w:styleId="WW8Num3z1">
    <w:name w:val="WW8Num3z1"/>
    <w:uiPriority w:val="99"/>
    <w:rsid w:val="003E6F94"/>
    <w:rPr>
      <w:rFonts w:ascii="Courier New" w:hAnsi="Courier New"/>
    </w:rPr>
  </w:style>
  <w:style w:type="character" w:customStyle="1" w:styleId="WW8Num3z2">
    <w:name w:val="WW8Num3z2"/>
    <w:uiPriority w:val="99"/>
    <w:rsid w:val="003E6F94"/>
    <w:rPr>
      <w:rFonts w:ascii="Wingdings" w:hAnsi="Wingdings"/>
    </w:rPr>
  </w:style>
  <w:style w:type="character" w:customStyle="1" w:styleId="WW8Num6z0">
    <w:name w:val="WW8Num6z0"/>
    <w:uiPriority w:val="99"/>
    <w:rsid w:val="003E6F94"/>
    <w:rPr>
      <w:rFonts w:ascii="Symbol" w:hAnsi="Symbol"/>
    </w:rPr>
  </w:style>
  <w:style w:type="character" w:customStyle="1" w:styleId="WW8Num6z1">
    <w:name w:val="WW8Num6z1"/>
    <w:uiPriority w:val="99"/>
    <w:rsid w:val="003E6F94"/>
    <w:rPr>
      <w:rFonts w:ascii="Courier New" w:hAnsi="Courier New"/>
    </w:rPr>
  </w:style>
  <w:style w:type="character" w:customStyle="1" w:styleId="WW8Num6z2">
    <w:name w:val="WW8Num6z2"/>
    <w:uiPriority w:val="99"/>
    <w:rsid w:val="003E6F94"/>
    <w:rPr>
      <w:rFonts w:ascii="Wingdings" w:hAnsi="Wingdings"/>
    </w:rPr>
  </w:style>
  <w:style w:type="character" w:customStyle="1" w:styleId="WW8Num8z0">
    <w:name w:val="WW8Num8z0"/>
    <w:uiPriority w:val="99"/>
    <w:rsid w:val="003E6F94"/>
    <w:rPr>
      <w:rFonts w:ascii="Symbol" w:hAnsi="Symbol"/>
    </w:rPr>
  </w:style>
  <w:style w:type="character" w:customStyle="1" w:styleId="WW8Num8z1">
    <w:name w:val="WW8Num8z1"/>
    <w:uiPriority w:val="99"/>
    <w:rsid w:val="003E6F94"/>
    <w:rPr>
      <w:rFonts w:ascii="Courier New" w:hAnsi="Courier New"/>
    </w:rPr>
  </w:style>
  <w:style w:type="character" w:customStyle="1" w:styleId="WW8Num8z2">
    <w:name w:val="WW8Num8z2"/>
    <w:uiPriority w:val="99"/>
    <w:rsid w:val="003E6F94"/>
    <w:rPr>
      <w:rFonts w:ascii="Wingdings" w:hAnsi="Wingdings"/>
    </w:rPr>
  </w:style>
  <w:style w:type="character" w:customStyle="1" w:styleId="WW8Num9z0">
    <w:name w:val="WW8Num9z0"/>
    <w:uiPriority w:val="99"/>
    <w:rsid w:val="003E6F94"/>
    <w:rPr>
      <w:rFonts w:ascii="Symbol" w:hAnsi="Symbol"/>
    </w:rPr>
  </w:style>
  <w:style w:type="character" w:customStyle="1" w:styleId="WW8Num9z1">
    <w:name w:val="WW8Num9z1"/>
    <w:uiPriority w:val="99"/>
    <w:rsid w:val="003E6F94"/>
    <w:rPr>
      <w:rFonts w:ascii="Courier New" w:hAnsi="Courier New"/>
    </w:rPr>
  </w:style>
  <w:style w:type="character" w:customStyle="1" w:styleId="WW8Num9z2">
    <w:name w:val="WW8Num9z2"/>
    <w:uiPriority w:val="99"/>
    <w:rsid w:val="003E6F94"/>
    <w:rPr>
      <w:rFonts w:ascii="Wingdings" w:hAnsi="Wingdings"/>
    </w:rPr>
  </w:style>
  <w:style w:type="character" w:customStyle="1" w:styleId="WW8Num13z0">
    <w:name w:val="WW8Num13z0"/>
    <w:uiPriority w:val="99"/>
    <w:rsid w:val="003E6F94"/>
    <w:rPr>
      <w:rFonts w:ascii="Symbol" w:hAnsi="Symbol"/>
    </w:rPr>
  </w:style>
  <w:style w:type="character" w:customStyle="1" w:styleId="WW8Num13z1">
    <w:name w:val="WW8Num13z1"/>
    <w:uiPriority w:val="99"/>
    <w:rsid w:val="003E6F94"/>
    <w:rPr>
      <w:rFonts w:ascii="Courier New" w:hAnsi="Courier New"/>
    </w:rPr>
  </w:style>
  <w:style w:type="character" w:customStyle="1" w:styleId="WW8Num13z2">
    <w:name w:val="WW8Num13z2"/>
    <w:uiPriority w:val="99"/>
    <w:rsid w:val="003E6F94"/>
    <w:rPr>
      <w:rFonts w:ascii="Wingdings" w:hAnsi="Wingdings"/>
    </w:rPr>
  </w:style>
  <w:style w:type="character" w:customStyle="1" w:styleId="WW8Num14z0">
    <w:name w:val="WW8Num14z0"/>
    <w:uiPriority w:val="99"/>
    <w:rsid w:val="003E6F94"/>
    <w:rPr>
      <w:rFonts w:ascii="Symbol" w:hAnsi="Symbol"/>
    </w:rPr>
  </w:style>
  <w:style w:type="character" w:customStyle="1" w:styleId="WW8Num14z1">
    <w:name w:val="WW8Num14z1"/>
    <w:uiPriority w:val="99"/>
    <w:rsid w:val="003E6F94"/>
    <w:rPr>
      <w:rFonts w:ascii="Courier New" w:hAnsi="Courier New"/>
    </w:rPr>
  </w:style>
  <w:style w:type="character" w:customStyle="1" w:styleId="WW8Num14z2">
    <w:name w:val="WW8Num14z2"/>
    <w:uiPriority w:val="99"/>
    <w:rsid w:val="003E6F94"/>
    <w:rPr>
      <w:rFonts w:ascii="Wingdings" w:hAnsi="Wingdings"/>
    </w:rPr>
  </w:style>
  <w:style w:type="character" w:customStyle="1" w:styleId="WW8Num15z0">
    <w:name w:val="WW8Num15z0"/>
    <w:uiPriority w:val="99"/>
    <w:rsid w:val="003E6F94"/>
    <w:rPr>
      <w:rFonts w:ascii="Symbol" w:hAnsi="Symbol"/>
    </w:rPr>
  </w:style>
  <w:style w:type="character" w:customStyle="1" w:styleId="WW8Num18z0">
    <w:name w:val="WW8Num18z0"/>
    <w:uiPriority w:val="99"/>
    <w:rsid w:val="003E6F94"/>
    <w:rPr>
      <w:rFonts w:ascii="Symbol" w:hAnsi="Symbol"/>
    </w:rPr>
  </w:style>
  <w:style w:type="character" w:customStyle="1" w:styleId="WW8Num18z1">
    <w:name w:val="WW8Num18z1"/>
    <w:uiPriority w:val="99"/>
    <w:rsid w:val="003E6F94"/>
    <w:rPr>
      <w:rFonts w:ascii="Courier New" w:hAnsi="Courier New"/>
    </w:rPr>
  </w:style>
  <w:style w:type="character" w:customStyle="1" w:styleId="WW8Num18z2">
    <w:name w:val="WW8Num18z2"/>
    <w:uiPriority w:val="99"/>
    <w:rsid w:val="003E6F94"/>
    <w:rPr>
      <w:rFonts w:ascii="Wingdings" w:hAnsi="Wingdings"/>
    </w:rPr>
  </w:style>
  <w:style w:type="character" w:customStyle="1" w:styleId="WW8Num19z0">
    <w:name w:val="WW8Num19z0"/>
    <w:uiPriority w:val="99"/>
    <w:rsid w:val="003E6F94"/>
    <w:rPr>
      <w:rFonts w:ascii="Symbol" w:hAnsi="Symbol"/>
    </w:rPr>
  </w:style>
  <w:style w:type="character" w:customStyle="1" w:styleId="WW8Num19z1">
    <w:name w:val="WW8Num19z1"/>
    <w:uiPriority w:val="99"/>
    <w:rsid w:val="003E6F94"/>
    <w:rPr>
      <w:rFonts w:ascii="Courier New" w:hAnsi="Courier New"/>
    </w:rPr>
  </w:style>
  <w:style w:type="character" w:customStyle="1" w:styleId="WW8Num19z2">
    <w:name w:val="WW8Num19z2"/>
    <w:uiPriority w:val="99"/>
    <w:rsid w:val="003E6F94"/>
    <w:rPr>
      <w:rFonts w:ascii="Wingdings" w:hAnsi="Wingdings"/>
    </w:rPr>
  </w:style>
  <w:style w:type="character" w:customStyle="1" w:styleId="WW8Num21z0">
    <w:name w:val="WW8Num21z0"/>
    <w:uiPriority w:val="99"/>
    <w:rsid w:val="003E6F94"/>
    <w:rPr>
      <w:rFonts w:ascii="Symbol" w:hAnsi="Symbol"/>
    </w:rPr>
  </w:style>
  <w:style w:type="character" w:customStyle="1" w:styleId="WW8Num21z1">
    <w:name w:val="WW8Num21z1"/>
    <w:uiPriority w:val="99"/>
    <w:rsid w:val="003E6F94"/>
    <w:rPr>
      <w:rFonts w:ascii="Courier New" w:hAnsi="Courier New"/>
    </w:rPr>
  </w:style>
  <w:style w:type="character" w:customStyle="1" w:styleId="WW8Num21z2">
    <w:name w:val="WW8Num21z2"/>
    <w:uiPriority w:val="99"/>
    <w:rsid w:val="003E6F94"/>
    <w:rPr>
      <w:rFonts w:ascii="Wingdings" w:hAnsi="Wingdings"/>
    </w:rPr>
  </w:style>
  <w:style w:type="character" w:customStyle="1" w:styleId="WW8Num22z0">
    <w:name w:val="WW8Num22z0"/>
    <w:uiPriority w:val="99"/>
    <w:rsid w:val="003E6F94"/>
    <w:rPr>
      <w:rFonts w:ascii="Symbol" w:hAnsi="Symbol"/>
    </w:rPr>
  </w:style>
  <w:style w:type="character" w:customStyle="1" w:styleId="WW8Num22z1">
    <w:name w:val="WW8Num22z1"/>
    <w:uiPriority w:val="99"/>
    <w:rsid w:val="003E6F94"/>
    <w:rPr>
      <w:rFonts w:ascii="Courier New" w:hAnsi="Courier New"/>
    </w:rPr>
  </w:style>
  <w:style w:type="character" w:customStyle="1" w:styleId="WW8Num22z2">
    <w:name w:val="WW8Num22z2"/>
    <w:uiPriority w:val="99"/>
    <w:rsid w:val="003E6F94"/>
    <w:rPr>
      <w:rFonts w:ascii="Wingdings" w:hAnsi="Wingdings"/>
    </w:rPr>
  </w:style>
  <w:style w:type="character" w:customStyle="1" w:styleId="WW8Num23z0">
    <w:name w:val="WW8Num23z0"/>
    <w:uiPriority w:val="99"/>
    <w:rsid w:val="003E6F94"/>
    <w:rPr>
      <w:rFonts w:ascii="Symbol" w:hAnsi="Symbol"/>
    </w:rPr>
  </w:style>
  <w:style w:type="character" w:customStyle="1" w:styleId="WW8Num23z1">
    <w:name w:val="WW8Num23z1"/>
    <w:uiPriority w:val="99"/>
    <w:rsid w:val="003E6F94"/>
    <w:rPr>
      <w:rFonts w:ascii="Courier New" w:hAnsi="Courier New"/>
    </w:rPr>
  </w:style>
  <w:style w:type="character" w:customStyle="1" w:styleId="WW8Num23z2">
    <w:name w:val="WW8Num23z2"/>
    <w:uiPriority w:val="99"/>
    <w:rsid w:val="003E6F94"/>
    <w:rPr>
      <w:rFonts w:ascii="Wingdings" w:hAnsi="Wingdings"/>
    </w:rPr>
  </w:style>
  <w:style w:type="character" w:customStyle="1" w:styleId="WW8Num23z3">
    <w:name w:val="WW8Num23z3"/>
    <w:uiPriority w:val="99"/>
    <w:rsid w:val="003E6F94"/>
    <w:rPr>
      <w:rFonts w:ascii="Symbol" w:hAnsi="Symbol"/>
    </w:rPr>
  </w:style>
  <w:style w:type="character" w:customStyle="1" w:styleId="WW8Num24z0">
    <w:name w:val="WW8Num24z0"/>
    <w:uiPriority w:val="99"/>
    <w:rsid w:val="003E6F94"/>
    <w:rPr>
      <w:rFonts w:ascii="Symbol" w:hAnsi="Symbol"/>
    </w:rPr>
  </w:style>
  <w:style w:type="character" w:customStyle="1" w:styleId="WW8Num24z2">
    <w:name w:val="WW8Num24z2"/>
    <w:uiPriority w:val="99"/>
    <w:rsid w:val="003E6F94"/>
    <w:rPr>
      <w:rFonts w:ascii="Wingdings" w:hAnsi="Wingdings"/>
    </w:rPr>
  </w:style>
  <w:style w:type="character" w:customStyle="1" w:styleId="WW8Num24z4">
    <w:name w:val="WW8Num24z4"/>
    <w:uiPriority w:val="99"/>
    <w:rsid w:val="003E6F94"/>
    <w:rPr>
      <w:rFonts w:ascii="Courier New" w:hAnsi="Courier New"/>
    </w:rPr>
  </w:style>
  <w:style w:type="character" w:customStyle="1" w:styleId="WW8Num26z0">
    <w:name w:val="WW8Num26z0"/>
    <w:uiPriority w:val="99"/>
    <w:rsid w:val="003E6F94"/>
    <w:rPr>
      <w:rFonts w:ascii="Symbol" w:hAnsi="Symbol"/>
    </w:rPr>
  </w:style>
  <w:style w:type="character" w:customStyle="1" w:styleId="WW8Num26z1">
    <w:name w:val="WW8Num26z1"/>
    <w:uiPriority w:val="99"/>
    <w:rsid w:val="003E6F94"/>
    <w:rPr>
      <w:rFonts w:ascii="Courier New" w:hAnsi="Courier New"/>
    </w:rPr>
  </w:style>
  <w:style w:type="character" w:customStyle="1" w:styleId="WW8Num26z2">
    <w:name w:val="WW8Num26z2"/>
    <w:uiPriority w:val="99"/>
    <w:rsid w:val="003E6F94"/>
    <w:rPr>
      <w:rFonts w:ascii="Wingdings" w:hAnsi="Wingdings"/>
    </w:rPr>
  </w:style>
  <w:style w:type="character" w:customStyle="1" w:styleId="WW8Num27z0">
    <w:name w:val="WW8Num27z0"/>
    <w:uiPriority w:val="99"/>
    <w:rsid w:val="003E6F94"/>
    <w:rPr>
      <w:rFonts w:ascii="Symbol" w:hAnsi="Symbol"/>
    </w:rPr>
  </w:style>
  <w:style w:type="character" w:customStyle="1" w:styleId="WW8Num27z1">
    <w:name w:val="WW8Num27z1"/>
    <w:uiPriority w:val="99"/>
    <w:rsid w:val="003E6F94"/>
    <w:rPr>
      <w:rFonts w:ascii="Courier New" w:hAnsi="Courier New"/>
    </w:rPr>
  </w:style>
  <w:style w:type="character" w:customStyle="1" w:styleId="WW8Num27z2">
    <w:name w:val="WW8Num27z2"/>
    <w:uiPriority w:val="99"/>
    <w:rsid w:val="003E6F94"/>
    <w:rPr>
      <w:rFonts w:ascii="Wingdings" w:hAnsi="Wingdings"/>
    </w:rPr>
  </w:style>
  <w:style w:type="character" w:customStyle="1" w:styleId="DefaultParagraphFont1">
    <w:name w:val="Default Paragraph Font1"/>
    <w:uiPriority w:val="99"/>
    <w:rsid w:val="003E6F94"/>
  </w:style>
  <w:style w:type="character" w:customStyle="1" w:styleId="TitleChar">
    <w:name w:val="Title Char"/>
    <w:uiPriority w:val="10"/>
    <w:rsid w:val="003E6F94"/>
    <w:rPr>
      <w:rFonts w:ascii="Myriad Pro SemiCond" w:hAnsi="Myriad Pro SemiCond" w:cs="Times New Roman"/>
      <w:caps/>
      <w:color w:val="17365D"/>
      <w:spacing w:val="5"/>
      <w:kern w:val="1"/>
      <w:sz w:val="52"/>
      <w:lang w:eastAsia="en-US"/>
    </w:rPr>
  </w:style>
  <w:style w:type="character" w:customStyle="1" w:styleId="SubtitleChar">
    <w:name w:val="Subtitle Char"/>
    <w:uiPriority w:val="11"/>
    <w:rsid w:val="003E6F94"/>
    <w:rPr>
      <w:rFonts w:ascii="Myriad Pro SemiCond" w:hAnsi="Myriad Pro SemiCond" w:cs="Times New Roman"/>
      <w:i/>
      <w:iCs/>
      <w:color w:val="4F81BD"/>
      <w:spacing w:val="15"/>
      <w:sz w:val="24"/>
      <w:lang w:eastAsia="en-US"/>
    </w:rPr>
  </w:style>
  <w:style w:type="character" w:styleId="Strong">
    <w:name w:val="Strong"/>
    <w:uiPriority w:val="22"/>
    <w:qFormat/>
    <w:rsid w:val="003E6F94"/>
    <w:rPr>
      <w:rFonts w:cs="Times New Roman"/>
      <w:b/>
      <w:bCs/>
    </w:rPr>
  </w:style>
  <w:style w:type="character" w:styleId="Emphasis">
    <w:name w:val="Emphasis"/>
    <w:uiPriority w:val="20"/>
    <w:qFormat/>
    <w:rsid w:val="003E6F94"/>
    <w:rPr>
      <w:rFonts w:cs="Times New Roman"/>
      <w:i/>
      <w:iCs/>
    </w:rPr>
  </w:style>
  <w:style w:type="character" w:customStyle="1" w:styleId="QuoteChar">
    <w:name w:val="Quote Char"/>
    <w:link w:val="Quote"/>
    <w:uiPriority w:val="73"/>
    <w:rsid w:val="003E6F94"/>
    <w:rPr>
      <w:rFonts w:ascii="Myriad Pro Light SemiCond" w:hAnsi="Myriad Pro Light SemiCond" w:cs="Times New Roman"/>
      <w:i/>
      <w:iCs/>
      <w:color w:val="000000"/>
      <w:sz w:val="22"/>
      <w:lang w:eastAsia="en-US"/>
    </w:rPr>
  </w:style>
  <w:style w:type="character" w:customStyle="1" w:styleId="IntenseQuoteChar">
    <w:name w:val="Intense Quote Char"/>
    <w:link w:val="IntenseQuote"/>
    <w:uiPriority w:val="60"/>
    <w:rsid w:val="003E6F94"/>
    <w:rPr>
      <w:rFonts w:cs="Times New Roman"/>
      <w:b/>
      <w:bCs/>
      <w:i/>
      <w:iCs/>
      <w:color w:val="4F81BD"/>
    </w:rPr>
  </w:style>
  <w:style w:type="character" w:customStyle="1" w:styleId="PlainTable31">
    <w:name w:val="Plain Table 31"/>
    <w:uiPriority w:val="19"/>
    <w:qFormat/>
    <w:rsid w:val="00F2215C"/>
    <w:rPr>
      <w:rFonts w:ascii="Calibri" w:hAnsi="Calibri"/>
      <w:u w:val="single"/>
      <w:lang w:val="es-ES" w:eastAsia="nb-NO" w:bidi="en-US"/>
    </w:rPr>
  </w:style>
  <w:style w:type="character" w:customStyle="1" w:styleId="PlainTable41">
    <w:name w:val="Plain Table 41"/>
    <w:uiPriority w:val="21"/>
    <w:qFormat/>
    <w:rsid w:val="003E6F94"/>
    <w:rPr>
      <w:rFonts w:cs="Times New Roman"/>
      <w:b/>
      <w:bCs/>
      <w:i/>
      <w:iCs/>
      <w:color w:val="4F81BD"/>
    </w:rPr>
  </w:style>
  <w:style w:type="character" w:customStyle="1" w:styleId="PlainTable51">
    <w:name w:val="Plain Table 51"/>
    <w:uiPriority w:val="31"/>
    <w:qFormat/>
    <w:rsid w:val="003E6F94"/>
    <w:rPr>
      <w:rFonts w:cs="Times New Roman"/>
      <w:smallCaps/>
      <w:color w:val="C0504D"/>
      <w:u w:val="single"/>
    </w:rPr>
  </w:style>
  <w:style w:type="character" w:customStyle="1" w:styleId="TableGridLight1">
    <w:name w:val="Table Grid Light1"/>
    <w:uiPriority w:val="32"/>
    <w:qFormat/>
    <w:rsid w:val="003E6F94"/>
    <w:rPr>
      <w:rFonts w:cs="Times New Roman"/>
      <w:b/>
      <w:bCs/>
      <w:smallCaps/>
      <w:color w:val="C0504D"/>
      <w:spacing w:val="5"/>
      <w:u w:val="single"/>
    </w:rPr>
  </w:style>
  <w:style w:type="character" w:customStyle="1" w:styleId="GridTable1Light1">
    <w:name w:val="Grid Table 1 Light1"/>
    <w:uiPriority w:val="33"/>
    <w:qFormat/>
    <w:rsid w:val="003E6F94"/>
    <w:rPr>
      <w:rFonts w:cs="Times New Roman"/>
      <w:b/>
      <w:bCs/>
      <w:smallCaps/>
      <w:spacing w:val="5"/>
    </w:rPr>
  </w:style>
  <w:style w:type="character" w:customStyle="1" w:styleId="FootnoteTextChar">
    <w:name w:val="Footnote Text Char"/>
    <w:uiPriority w:val="99"/>
    <w:rsid w:val="003E6F94"/>
    <w:rPr>
      <w:rFonts w:cs="Times New Roman"/>
      <w:lang w:val="es-ES" w:eastAsia="en-US"/>
    </w:rPr>
  </w:style>
  <w:style w:type="character" w:customStyle="1" w:styleId="Funotenzeichen1">
    <w:name w:val="Fußnotenzeichen1"/>
    <w:uiPriority w:val="99"/>
    <w:rsid w:val="003E6F94"/>
    <w:rPr>
      <w:rFonts w:cs="Times New Roman"/>
      <w:vertAlign w:val="superscript"/>
    </w:rPr>
  </w:style>
  <w:style w:type="character" w:customStyle="1" w:styleId="NoSpacingChar">
    <w:name w:val="No Spacing Char"/>
    <w:uiPriority w:val="99"/>
    <w:rsid w:val="003E6F94"/>
    <w:rPr>
      <w:rFonts w:cs="Times New Roman"/>
      <w:sz w:val="22"/>
      <w:lang w:val="es-ES" w:eastAsia="en-US"/>
    </w:rPr>
  </w:style>
  <w:style w:type="character" w:customStyle="1" w:styleId="BalloonTextChar">
    <w:name w:val="Balloon Text Char"/>
    <w:uiPriority w:val="99"/>
    <w:rsid w:val="003E6F94"/>
    <w:rPr>
      <w:rFonts w:ascii="Tahoma" w:hAnsi="Tahoma" w:cs="Tahoma"/>
      <w:sz w:val="16"/>
      <w:lang w:eastAsia="en-US"/>
    </w:rPr>
  </w:style>
  <w:style w:type="character" w:customStyle="1" w:styleId="CommentReference1">
    <w:name w:val="Comment Reference1"/>
    <w:uiPriority w:val="99"/>
    <w:rsid w:val="003E6F94"/>
    <w:rPr>
      <w:rFonts w:cs="Times New Roman"/>
      <w:sz w:val="16"/>
    </w:rPr>
  </w:style>
  <w:style w:type="character" w:styleId="Hyperlink">
    <w:name w:val="Hyperlink"/>
    <w:uiPriority w:val="99"/>
    <w:rsid w:val="00187E0B"/>
    <w:rPr>
      <w:rFonts w:ascii="Calibri" w:hAnsi="Calibri" w:cs="Times New Roman"/>
      <w:color w:val="0084B4"/>
      <w:u w:val="single"/>
    </w:rPr>
  </w:style>
  <w:style w:type="character" w:customStyle="1" w:styleId="HeaderChar">
    <w:name w:val="Header Char"/>
    <w:uiPriority w:val="99"/>
    <w:rsid w:val="003E6F94"/>
    <w:rPr>
      <w:rFonts w:ascii="Myriad Pro SemiCond" w:hAnsi="Myriad Pro SemiCond" w:cs="Times New Roman"/>
      <w:sz w:val="22"/>
      <w:lang w:val="es-ES" w:eastAsia="en-US"/>
    </w:rPr>
  </w:style>
  <w:style w:type="character" w:customStyle="1" w:styleId="apple-style-span">
    <w:name w:val="apple-style-span"/>
    <w:uiPriority w:val="99"/>
    <w:rsid w:val="003E6F94"/>
    <w:rPr>
      <w:rFonts w:cs="Times New Roman"/>
    </w:rPr>
  </w:style>
  <w:style w:type="paragraph" w:customStyle="1" w:styleId="berschrift">
    <w:name w:val="Überschrift"/>
    <w:basedOn w:val="Normal"/>
    <w:next w:val="BodyText"/>
    <w:uiPriority w:val="99"/>
    <w:rsid w:val="003E6F94"/>
    <w:pPr>
      <w:keepNext/>
      <w:spacing w:before="240"/>
    </w:pPr>
    <w:rPr>
      <w:rFonts w:ascii="Arial" w:eastAsia="MS Mincho" w:hAnsi="Arial" w:cs="Tahoma"/>
      <w:sz w:val="28"/>
      <w:szCs w:val="28"/>
    </w:rPr>
  </w:style>
  <w:style w:type="paragraph" w:styleId="BodyText">
    <w:name w:val="Body Text"/>
    <w:basedOn w:val="Normal"/>
    <w:link w:val="BodyTextChar"/>
    <w:uiPriority w:val="99"/>
    <w:rsid w:val="003E6F94"/>
  </w:style>
  <w:style w:type="character" w:customStyle="1" w:styleId="BodyTextChar">
    <w:name w:val="Body Text Char"/>
    <w:link w:val="BodyText"/>
    <w:uiPriority w:val="99"/>
    <w:rsid w:val="000044D8"/>
    <w:rPr>
      <w:rFonts w:ascii="Myriad Pro SemiCond" w:hAnsi="Myriad Pro SemiCond" w:cs="Calibri"/>
      <w:sz w:val="22"/>
      <w:szCs w:val="22"/>
    </w:rPr>
  </w:style>
  <w:style w:type="paragraph" w:styleId="List">
    <w:name w:val="List"/>
    <w:basedOn w:val="BodyText"/>
    <w:uiPriority w:val="99"/>
    <w:rsid w:val="003E6F94"/>
    <w:rPr>
      <w:rFonts w:cs="Tahoma"/>
    </w:rPr>
  </w:style>
  <w:style w:type="paragraph" w:customStyle="1" w:styleId="Beschriftung1">
    <w:name w:val="Beschriftung1"/>
    <w:basedOn w:val="Normal"/>
    <w:uiPriority w:val="99"/>
    <w:rsid w:val="003E6F94"/>
    <w:pPr>
      <w:suppressLineNumbers/>
    </w:pPr>
    <w:rPr>
      <w:rFonts w:cs="Tahoma"/>
      <w:i/>
      <w:iCs/>
      <w:sz w:val="24"/>
      <w:szCs w:val="24"/>
    </w:rPr>
  </w:style>
  <w:style w:type="paragraph" w:customStyle="1" w:styleId="Verzeichnis">
    <w:name w:val="Verzeichnis"/>
    <w:basedOn w:val="Normal"/>
    <w:uiPriority w:val="99"/>
    <w:rsid w:val="003E6F94"/>
    <w:pPr>
      <w:suppressLineNumbers/>
    </w:pPr>
    <w:rPr>
      <w:rFonts w:cs="Tahoma"/>
    </w:rPr>
  </w:style>
  <w:style w:type="paragraph" w:styleId="Header">
    <w:name w:val="header"/>
    <w:basedOn w:val="Normal"/>
    <w:link w:val="HeaderChar1"/>
    <w:uiPriority w:val="99"/>
    <w:rsid w:val="003E6F94"/>
    <w:pPr>
      <w:tabs>
        <w:tab w:val="center" w:pos="4320"/>
        <w:tab w:val="right" w:pos="8640"/>
      </w:tabs>
    </w:pPr>
  </w:style>
  <w:style w:type="character" w:customStyle="1" w:styleId="HeaderChar1">
    <w:name w:val="Header Char1"/>
    <w:link w:val="Header"/>
    <w:uiPriority w:val="99"/>
    <w:semiHidden/>
    <w:rsid w:val="000044D8"/>
    <w:rPr>
      <w:rFonts w:ascii="Myriad Pro SemiCond" w:hAnsi="Myriad Pro SemiCond" w:cs="Calibri"/>
      <w:sz w:val="22"/>
      <w:szCs w:val="22"/>
    </w:rPr>
  </w:style>
  <w:style w:type="paragraph" w:styleId="Footer">
    <w:name w:val="footer"/>
    <w:basedOn w:val="Normal"/>
    <w:link w:val="FooterChar"/>
    <w:rsid w:val="003E6F94"/>
    <w:pPr>
      <w:tabs>
        <w:tab w:val="center" w:pos="4320"/>
        <w:tab w:val="right" w:pos="8640"/>
      </w:tabs>
    </w:pPr>
  </w:style>
  <w:style w:type="character" w:customStyle="1" w:styleId="FooterChar">
    <w:name w:val="Footer Char"/>
    <w:link w:val="Footer"/>
    <w:rsid w:val="000044D8"/>
    <w:rPr>
      <w:rFonts w:ascii="Myriad Pro SemiCond" w:hAnsi="Myriad Pro SemiCond" w:cs="Calibri"/>
      <w:sz w:val="22"/>
      <w:szCs w:val="22"/>
    </w:rPr>
  </w:style>
  <w:style w:type="paragraph" w:customStyle="1" w:styleId="Caption1">
    <w:name w:val="Caption1"/>
    <w:basedOn w:val="Normal"/>
    <w:next w:val="Normal"/>
    <w:uiPriority w:val="99"/>
    <w:rsid w:val="003E6F94"/>
    <w:pPr>
      <w:spacing w:line="240" w:lineRule="auto"/>
    </w:pPr>
    <w:rPr>
      <w:b/>
      <w:bCs/>
      <w:color w:val="4F81BD"/>
      <w:sz w:val="18"/>
      <w:szCs w:val="18"/>
    </w:rPr>
  </w:style>
  <w:style w:type="paragraph" w:styleId="Title">
    <w:name w:val="Title"/>
    <w:basedOn w:val="Normal"/>
    <w:next w:val="Normal"/>
    <w:link w:val="TitleChar1"/>
    <w:uiPriority w:val="10"/>
    <w:qFormat/>
    <w:rsid w:val="003009F4"/>
    <w:pPr>
      <w:pBdr>
        <w:bottom w:val="single" w:sz="8" w:space="4" w:color="808080"/>
      </w:pBdr>
      <w:spacing w:after="300" w:line="240" w:lineRule="auto"/>
    </w:pPr>
    <w:rPr>
      <w:caps/>
      <w:color w:val="17365D"/>
      <w:spacing w:val="5"/>
      <w:kern w:val="1"/>
      <w:sz w:val="52"/>
      <w:szCs w:val="52"/>
    </w:rPr>
  </w:style>
  <w:style w:type="character" w:customStyle="1" w:styleId="TitleChar1">
    <w:name w:val="Title Char1"/>
    <w:link w:val="Title"/>
    <w:uiPriority w:val="10"/>
    <w:rsid w:val="003009F4"/>
    <w:rPr>
      <w:rFonts w:ascii="Myriad Pro SemiCond" w:hAnsi="Myriad Pro SemiCond" w:cs="Calibri"/>
      <w:caps/>
      <w:color w:val="17365D"/>
      <w:spacing w:val="5"/>
      <w:kern w:val="1"/>
      <w:sz w:val="52"/>
      <w:szCs w:val="52"/>
    </w:rPr>
  </w:style>
  <w:style w:type="paragraph" w:styleId="Subtitle">
    <w:name w:val="Subtitle"/>
    <w:basedOn w:val="Normal"/>
    <w:next w:val="Normal"/>
    <w:link w:val="SubtitleChar1"/>
    <w:uiPriority w:val="11"/>
    <w:qFormat/>
    <w:rsid w:val="003E6F94"/>
    <w:rPr>
      <w:i/>
      <w:iCs/>
      <w:color w:val="4F81BD"/>
      <w:spacing w:val="15"/>
      <w:sz w:val="24"/>
      <w:szCs w:val="24"/>
    </w:rPr>
  </w:style>
  <w:style w:type="character" w:customStyle="1" w:styleId="SubtitleChar1">
    <w:name w:val="Subtitle Char1"/>
    <w:link w:val="Subtitle"/>
    <w:uiPriority w:val="11"/>
    <w:rsid w:val="000044D8"/>
    <w:rPr>
      <w:rFonts w:ascii="Calibri" w:eastAsia="MS Gothic" w:hAnsi="Calibri" w:cs="Times New Roman"/>
      <w:sz w:val="24"/>
      <w:szCs w:val="24"/>
    </w:rPr>
  </w:style>
  <w:style w:type="paragraph" w:customStyle="1" w:styleId="MediumGrid21">
    <w:name w:val="Medium Grid 21"/>
    <w:link w:val="MediumGrid2Char"/>
    <w:uiPriority w:val="1"/>
    <w:qFormat/>
    <w:rsid w:val="003E6F94"/>
    <w:pPr>
      <w:widowControl w:val="0"/>
      <w:suppressAutoHyphens/>
    </w:pPr>
    <w:rPr>
      <w:rFonts w:ascii="Calibri" w:hAnsi="Calibri" w:cs="Calibri"/>
      <w:sz w:val="22"/>
      <w:szCs w:val="22"/>
    </w:rPr>
  </w:style>
  <w:style w:type="paragraph" w:customStyle="1" w:styleId="ColorfulList-Accent11">
    <w:name w:val="Colorful List - Accent 11"/>
    <w:basedOn w:val="Normal"/>
    <w:uiPriority w:val="34"/>
    <w:qFormat/>
    <w:rsid w:val="00570A9E"/>
    <w:pPr>
      <w:numPr>
        <w:numId w:val="4"/>
      </w:numPr>
      <w:spacing w:line="360" w:lineRule="auto"/>
    </w:pPr>
  </w:style>
  <w:style w:type="paragraph" w:customStyle="1" w:styleId="ColorfulGrid-Accent11">
    <w:name w:val="Colorful Grid - Accent 11"/>
    <w:basedOn w:val="Normal"/>
    <w:next w:val="Normal"/>
    <w:link w:val="ColorfulGrid-Accent1Char2"/>
    <w:uiPriority w:val="29"/>
    <w:qFormat/>
    <w:rsid w:val="003E6F94"/>
    <w:pPr>
      <w:ind w:left="720"/>
    </w:pPr>
    <w:rPr>
      <w:rFonts w:ascii="Myriad Pro Light SemiCond" w:hAnsi="Myriad Pro Light SemiCond"/>
      <w:i/>
      <w:iCs/>
      <w:color w:val="000000"/>
    </w:rPr>
  </w:style>
  <w:style w:type="character" w:customStyle="1" w:styleId="ColorfulGrid-Accent1Char2">
    <w:name w:val="Colorful Grid - Accent 1 Char2"/>
    <w:link w:val="ColorfulGrid-Accent11"/>
    <w:uiPriority w:val="29"/>
    <w:rsid w:val="000044D8"/>
    <w:rPr>
      <w:rFonts w:ascii="Myriad Pro SemiCond" w:hAnsi="Myriad Pro SemiCond" w:cs="Calibri"/>
      <w:sz w:val="22"/>
      <w:szCs w:val="22"/>
    </w:rPr>
  </w:style>
  <w:style w:type="paragraph" w:customStyle="1" w:styleId="LightShading-Accent21">
    <w:name w:val="Light Shading - Accent 21"/>
    <w:basedOn w:val="Normal"/>
    <w:next w:val="Normal"/>
    <w:link w:val="LightShading-Accent2Char2"/>
    <w:uiPriority w:val="30"/>
    <w:qFormat/>
    <w:rsid w:val="003E6F94"/>
    <w:pPr>
      <w:pBdr>
        <w:bottom w:val="single" w:sz="4" w:space="4" w:color="FFFF00"/>
      </w:pBdr>
      <w:spacing w:before="200" w:after="280"/>
      <w:ind w:left="936" w:right="936"/>
    </w:pPr>
    <w:rPr>
      <w:b/>
      <w:bCs/>
      <w:i/>
      <w:iCs/>
      <w:color w:val="4F81BD"/>
    </w:rPr>
  </w:style>
  <w:style w:type="character" w:customStyle="1" w:styleId="LightShading-Accent2Char2">
    <w:name w:val="Light Shading - Accent 2 Char2"/>
    <w:link w:val="LightShading-Accent21"/>
    <w:uiPriority w:val="30"/>
    <w:rsid w:val="000044D8"/>
    <w:rPr>
      <w:rFonts w:ascii="Myriad Pro SemiCond" w:hAnsi="Myriad Pro SemiCond" w:cs="Calibri"/>
      <w:sz w:val="22"/>
      <w:szCs w:val="22"/>
    </w:rPr>
  </w:style>
  <w:style w:type="paragraph" w:customStyle="1" w:styleId="GridTable31">
    <w:name w:val="Grid Table 31"/>
    <w:basedOn w:val="Heading1"/>
    <w:next w:val="Normal"/>
    <w:uiPriority w:val="39"/>
    <w:qFormat/>
    <w:rsid w:val="003E6F94"/>
    <w:pPr>
      <w:outlineLvl w:val="9"/>
    </w:pPr>
  </w:style>
  <w:style w:type="paragraph" w:styleId="FootnoteText">
    <w:name w:val="footnote text"/>
    <w:basedOn w:val="Normal"/>
    <w:link w:val="FootnoteTextChar1"/>
    <w:rsid w:val="003E6F94"/>
    <w:rPr>
      <w:sz w:val="20"/>
      <w:szCs w:val="20"/>
    </w:rPr>
  </w:style>
  <w:style w:type="character" w:customStyle="1" w:styleId="FootnoteTextChar1">
    <w:name w:val="Footnote Text Char1"/>
    <w:link w:val="FootnoteText"/>
    <w:rsid w:val="000044D8"/>
    <w:rPr>
      <w:rFonts w:ascii="Myriad Pro SemiCond" w:hAnsi="Myriad Pro SemiCond" w:cs="Calibri"/>
      <w:sz w:val="24"/>
      <w:szCs w:val="24"/>
    </w:rPr>
  </w:style>
  <w:style w:type="paragraph" w:customStyle="1" w:styleId="BalloonText1">
    <w:name w:val="Balloon Text1"/>
    <w:basedOn w:val="Normal"/>
    <w:uiPriority w:val="99"/>
    <w:rsid w:val="003E6F94"/>
    <w:pPr>
      <w:spacing w:after="0" w:line="240" w:lineRule="auto"/>
    </w:pPr>
    <w:rPr>
      <w:rFonts w:ascii="Tahoma" w:hAnsi="Tahoma" w:cs="Tahoma"/>
      <w:sz w:val="16"/>
      <w:szCs w:val="16"/>
    </w:rPr>
  </w:style>
  <w:style w:type="paragraph" w:customStyle="1" w:styleId="CommentText1">
    <w:name w:val="Comment Text1"/>
    <w:basedOn w:val="Normal"/>
    <w:uiPriority w:val="99"/>
    <w:rsid w:val="003E6F94"/>
    <w:rPr>
      <w:sz w:val="20"/>
      <w:szCs w:val="20"/>
    </w:rPr>
  </w:style>
  <w:style w:type="paragraph" w:customStyle="1" w:styleId="CommentSubject1">
    <w:name w:val="Comment Subject1"/>
    <w:basedOn w:val="CommentText1"/>
    <w:next w:val="CommentText1"/>
    <w:uiPriority w:val="99"/>
    <w:rsid w:val="003E6F94"/>
    <w:rPr>
      <w:b/>
      <w:bCs/>
    </w:rPr>
  </w:style>
  <w:style w:type="paragraph" w:customStyle="1" w:styleId="NormalWeb1">
    <w:name w:val="Normal (Web)1"/>
    <w:basedOn w:val="Normal"/>
    <w:uiPriority w:val="99"/>
    <w:rsid w:val="003E6F94"/>
    <w:pPr>
      <w:spacing w:before="280" w:after="280" w:line="240" w:lineRule="auto"/>
    </w:pPr>
    <w:rPr>
      <w:sz w:val="24"/>
      <w:szCs w:val="24"/>
      <w:lang w:eastAsia="ar-SA"/>
    </w:rPr>
  </w:style>
  <w:style w:type="paragraph" w:customStyle="1" w:styleId="listparagraph">
    <w:name w:val="listparagraph"/>
    <w:basedOn w:val="Normal"/>
    <w:uiPriority w:val="99"/>
    <w:rsid w:val="003E6F94"/>
    <w:pPr>
      <w:spacing w:before="280" w:after="280" w:line="240" w:lineRule="auto"/>
    </w:pPr>
    <w:rPr>
      <w:sz w:val="24"/>
      <w:szCs w:val="24"/>
      <w:lang w:eastAsia="ar-SA"/>
    </w:rPr>
  </w:style>
  <w:style w:type="paragraph" w:customStyle="1" w:styleId="TabellenInhalt">
    <w:name w:val="Tabellen Inhalt"/>
    <w:basedOn w:val="Normal"/>
    <w:uiPriority w:val="99"/>
    <w:rsid w:val="003E6F94"/>
    <w:pPr>
      <w:suppressLineNumbers/>
    </w:pPr>
  </w:style>
  <w:style w:type="paragraph" w:customStyle="1" w:styleId="Tabellenberschrift">
    <w:name w:val="Tabellen Überschrift"/>
    <w:basedOn w:val="TabellenInhalt"/>
    <w:uiPriority w:val="99"/>
    <w:rsid w:val="003E6F94"/>
    <w:pPr>
      <w:jc w:val="center"/>
    </w:pPr>
    <w:rPr>
      <w:b/>
      <w:bCs/>
    </w:rPr>
  </w:style>
  <w:style w:type="paragraph" w:customStyle="1" w:styleId="Rahmeninhalt">
    <w:name w:val="Rahmeninhalt"/>
    <w:basedOn w:val="BodyText"/>
    <w:uiPriority w:val="99"/>
    <w:rsid w:val="003E6F94"/>
  </w:style>
  <w:style w:type="character" w:styleId="CommentReference">
    <w:name w:val="annotation reference"/>
    <w:uiPriority w:val="99"/>
    <w:semiHidden/>
    <w:rsid w:val="00AF7641"/>
    <w:rPr>
      <w:rFonts w:cs="Times New Roman"/>
      <w:sz w:val="16"/>
    </w:rPr>
  </w:style>
  <w:style w:type="paragraph" w:styleId="CommentText">
    <w:name w:val="annotation text"/>
    <w:basedOn w:val="Normal"/>
    <w:link w:val="CommentTextChar"/>
    <w:rsid w:val="00AF7641"/>
    <w:rPr>
      <w:sz w:val="20"/>
      <w:szCs w:val="20"/>
    </w:rPr>
  </w:style>
  <w:style w:type="character" w:customStyle="1" w:styleId="CommentTextChar">
    <w:name w:val="Comment Text Char"/>
    <w:link w:val="CommentText"/>
    <w:rsid w:val="000044D8"/>
    <w:rPr>
      <w:rFonts w:ascii="Myriad Pro SemiCond" w:hAnsi="Myriad Pro SemiCond" w:cs="Calibri"/>
      <w:sz w:val="24"/>
      <w:szCs w:val="24"/>
    </w:rPr>
  </w:style>
  <w:style w:type="paragraph" w:styleId="CommentSubject">
    <w:name w:val="annotation subject"/>
    <w:basedOn w:val="CommentText"/>
    <w:next w:val="CommentText"/>
    <w:link w:val="CommentSubjectChar"/>
    <w:uiPriority w:val="99"/>
    <w:semiHidden/>
    <w:rsid w:val="00AF7641"/>
    <w:rPr>
      <w:b/>
      <w:bCs/>
    </w:rPr>
  </w:style>
  <w:style w:type="character" w:customStyle="1" w:styleId="CommentSubjectChar">
    <w:name w:val="Comment Subject Char"/>
    <w:link w:val="CommentSubject"/>
    <w:uiPriority w:val="99"/>
    <w:semiHidden/>
    <w:rsid w:val="000044D8"/>
    <w:rPr>
      <w:rFonts w:ascii="Myriad Pro SemiCond" w:hAnsi="Myriad Pro SemiCond" w:cs="Calibri"/>
      <w:b/>
      <w:bCs/>
      <w:sz w:val="24"/>
      <w:szCs w:val="24"/>
    </w:rPr>
  </w:style>
  <w:style w:type="paragraph" w:styleId="BalloonText">
    <w:name w:val="Balloon Text"/>
    <w:basedOn w:val="Normal"/>
    <w:link w:val="BalloonTextChar1"/>
    <w:uiPriority w:val="99"/>
    <w:semiHidden/>
    <w:rsid w:val="00AF7641"/>
    <w:rPr>
      <w:rFonts w:ascii="Tahoma" w:hAnsi="Tahoma" w:cs="Tahoma"/>
      <w:sz w:val="16"/>
      <w:szCs w:val="16"/>
    </w:rPr>
  </w:style>
  <w:style w:type="character" w:customStyle="1" w:styleId="BalloonTextChar1">
    <w:name w:val="Balloon Text Char1"/>
    <w:link w:val="BalloonText"/>
    <w:uiPriority w:val="99"/>
    <w:semiHidden/>
    <w:rsid w:val="000044D8"/>
    <w:rPr>
      <w:rFonts w:ascii="Lucida Grande" w:hAnsi="Lucida Grande" w:cs="Calibri"/>
      <w:sz w:val="18"/>
      <w:szCs w:val="18"/>
    </w:rPr>
  </w:style>
  <w:style w:type="character" w:styleId="FootnoteReference">
    <w:name w:val="footnote reference"/>
    <w:aliases w:val="ftref,Normal + Font:9 Point,Superscript 3 Point Times,Ref,de nota al pie,16 Point,Superscript 6 Point,BVI fnr"/>
    <w:uiPriority w:val="99"/>
    <w:rsid w:val="00AF7641"/>
    <w:rPr>
      <w:rFonts w:cs="Times New Roman"/>
      <w:vertAlign w:val="superscript"/>
    </w:rPr>
  </w:style>
  <w:style w:type="paragraph" w:customStyle="1" w:styleId="BodyText1">
    <w:name w:val="Body Text1"/>
    <w:aliases w:val="OPM"/>
    <w:basedOn w:val="Normal"/>
    <w:link w:val="BodytextChar0"/>
    <w:qFormat/>
    <w:rsid w:val="007E1A89"/>
    <w:rPr>
      <w:rFonts w:ascii="Myriad Pro" w:hAnsi="Myriad Pro"/>
      <w:lang w:eastAsia="x-none" w:bidi="en-US"/>
    </w:rPr>
  </w:style>
  <w:style w:type="character" w:customStyle="1" w:styleId="BodytextChar0">
    <w:name w:val="Body text Char"/>
    <w:link w:val="BodyText1"/>
    <w:rsid w:val="007E1A89"/>
    <w:rPr>
      <w:rFonts w:ascii="Myriad Pro" w:hAnsi="Myriad Pro" w:cs="Calibri"/>
      <w:sz w:val="22"/>
      <w:szCs w:val="22"/>
      <w:lang w:eastAsia="x-none" w:bidi="en-US"/>
    </w:rPr>
  </w:style>
  <w:style w:type="character" w:customStyle="1" w:styleId="Heading1Char1">
    <w:name w:val="Heading 1 Char1"/>
    <w:uiPriority w:val="99"/>
    <w:locked/>
    <w:rsid w:val="003F2CA5"/>
    <w:rPr>
      <w:rFonts w:ascii="Myriad Pro" w:hAnsi="Myriad Pro"/>
      <w:color w:val="365F91"/>
      <w:sz w:val="28"/>
      <w:szCs w:val="28"/>
      <w:lang w:val="es-ES"/>
    </w:rPr>
  </w:style>
  <w:style w:type="character" w:customStyle="1" w:styleId="TableTitle">
    <w:name w:val="Table Title"/>
    <w:uiPriority w:val="21"/>
    <w:qFormat/>
    <w:rsid w:val="006B163E"/>
    <w:rPr>
      <w:b/>
      <w:bCs/>
      <w:i/>
      <w:iCs/>
      <w:color w:val="4F81BD"/>
    </w:rPr>
  </w:style>
  <w:style w:type="table" w:styleId="MediumList2-Accent1">
    <w:name w:val="Medium List 2 Accent 1"/>
    <w:basedOn w:val="TableNormal"/>
    <w:uiPriority w:val="61"/>
    <w:rsid w:val="006B163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1">
    <w:name w:val="toc 1"/>
    <w:basedOn w:val="Normal"/>
    <w:next w:val="Normal"/>
    <w:autoRedefine/>
    <w:uiPriority w:val="39"/>
    <w:unhideWhenUsed/>
    <w:qFormat/>
    <w:rsid w:val="00FD20A2"/>
    <w:pPr>
      <w:tabs>
        <w:tab w:val="left" w:pos="440"/>
        <w:tab w:val="right" w:leader="dot" w:pos="9485"/>
      </w:tabs>
      <w:spacing w:after="0"/>
    </w:pPr>
    <w:rPr>
      <w:rFonts w:ascii="Franklin Gothic Medium" w:hAnsi="Franklin Gothic Medium"/>
      <w:bCs/>
      <w:noProof/>
      <w:sz w:val="24"/>
      <w:szCs w:val="24"/>
      <w:lang w:bidi="en-US"/>
    </w:rPr>
  </w:style>
  <w:style w:type="paragraph" w:styleId="TOC2">
    <w:name w:val="toc 2"/>
    <w:basedOn w:val="Normal"/>
    <w:next w:val="Normal"/>
    <w:autoRedefine/>
    <w:uiPriority w:val="39"/>
    <w:unhideWhenUsed/>
    <w:qFormat/>
    <w:rsid w:val="00AD698E"/>
    <w:pPr>
      <w:tabs>
        <w:tab w:val="left" w:pos="660"/>
        <w:tab w:val="right" w:leader="dot" w:pos="9485"/>
      </w:tabs>
      <w:spacing w:after="0"/>
      <w:ind w:left="220"/>
    </w:pPr>
    <w:rPr>
      <w:rFonts w:ascii="Franklin Gothic Medium" w:hAnsi="Franklin Gothic Medium"/>
      <w:bCs/>
      <w:noProof/>
      <w:lang w:bidi="en-US"/>
    </w:rPr>
  </w:style>
  <w:style w:type="paragraph" w:styleId="TOC3">
    <w:name w:val="toc 3"/>
    <w:basedOn w:val="Normal"/>
    <w:next w:val="Normal"/>
    <w:autoRedefine/>
    <w:uiPriority w:val="39"/>
    <w:unhideWhenUsed/>
    <w:qFormat/>
    <w:rsid w:val="009A61F1"/>
    <w:pPr>
      <w:spacing w:after="0" w:line="276" w:lineRule="auto"/>
      <w:ind w:left="440"/>
    </w:pPr>
    <w:rPr>
      <w:noProof/>
      <w:lang w:bidi="en-US"/>
    </w:rPr>
  </w:style>
  <w:style w:type="paragraph" w:styleId="TOC4">
    <w:name w:val="toc 4"/>
    <w:basedOn w:val="Normal"/>
    <w:next w:val="Normal"/>
    <w:autoRedefine/>
    <w:uiPriority w:val="39"/>
    <w:unhideWhenUsed/>
    <w:rsid w:val="007E1A89"/>
    <w:pPr>
      <w:spacing w:after="0"/>
      <w:ind w:left="660"/>
    </w:pPr>
    <w:rPr>
      <w:rFonts w:ascii="Cambria" w:hAnsi="Cambria"/>
      <w:sz w:val="20"/>
      <w:szCs w:val="20"/>
    </w:rPr>
  </w:style>
  <w:style w:type="paragraph" w:styleId="TOC5">
    <w:name w:val="toc 5"/>
    <w:basedOn w:val="Normal"/>
    <w:next w:val="Normal"/>
    <w:autoRedefine/>
    <w:uiPriority w:val="39"/>
    <w:unhideWhenUsed/>
    <w:rsid w:val="007E1A89"/>
    <w:pPr>
      <w:spacing w:after="0"/>
      <w:ind w:left="880"/>
    </w:pPr>
    <w:rPr>
      <w:rFonts w:ascii="Cambria" w:hAnsi="Cambria"/>
      <w:sz w:val="20"/>
      <w:szCs w:val="20"/>
    </w:rPr>
  </w:style>
  <w:style w:type="paragraph" w:styleId="TOC6">
    <w:name w:val="toc 6"/>
    <w:basedOn w:val="Normal"/>
    <w:next w:val="Normal"/>
    <w:autoRedefine/>
    <w:uiPriority w:val="39"/>
    <w:unhideWhenUsed/>
    <w:rsid w:val="007E1A89"/>
    <w:pPr>
      <w:spacing w:after="0"/>
      <w:ind w:left="1100"/>
    </w:pPr>
    <w:rPr>
      <w:rFonts w:ascii="Cambria" w:hAnsi="Cambria"/>
      <w:sz w:val="20"/>
      <w:szCs w:val="20"/>
    </w:rPr>
  </w:style>
  <w:style w:type="paragraph" w:styleId="TOC7">
    <w:name w:val="toc 7"/>
    <w:basedOn w:val="Normal"/>
    <w:next w:val="Normal"/>
    <w:autoRedefine/>
    <w:uiPriority w:val="39"/>
    <w:unhideWhenUsed/>
    <w:rsid w:val="007E1A89"/>
    <w:pPr>
      <w:spacing w:after="0"/>
      <w:ind w:left="1320"/>
    </w:pPr>
    <w:rPr>
      <w:rFonts w:ascii="Cambria" w:hAnsi="Cambria"/>
      <w:sz w:val="20"/>
      <w:szCs w:val="20"/>
    </w:rPr>
  </w:style>
  <w:style w:type="paragraph" w:styleId="TOC8">
    <w:name w:val="toc 8"/>
    <w:basedOn w:val="Normal"/>
    <w:next w:val="Normal"/>
    <w:autoRedefine/>
    <w:uiPriority w:val="39"/>
    <w:unhideWhenUsed/>
    <w:rsid w:val="007E1A89"/>
    <w:pPr>
      <w:spacing w:after="0"/>
      <w:ind w:left="1540"/>
    </w:pPr>
    <w:rPr>
      <w:rFonts w:ascii="Cambria" w:hAnsi="Cambria"/>
      <w:sz w:val="20"/>
      <w:szCs w:val="20"/>
    </w:rPr>
  </w:style>
  <w:style w:type="paragraph" w:styleId="TOC9">
    <w:name w:val="toc 9"/>
    <w:basedOn w:val="Normal"/>
    <w:next w:val="Normal"/>
    <w:autoRedefine/>
    <w:uiPriority w:val="39"/>
    <w:unhideWhenUsed/>
    <w:rsid w:val="007E1A89"/>
    <w:pPr>
      <w:spacing w:after="0"/>
      <w:ind w:left="1760"/>
    </w:pPr>
    <w:rPr>
      <w:rFonts w:ascii="Cambria" w:hAnsi="Cambria"/>
      <w:sz w:val="20"/>
      <w:szCs w:val="20"/>
    </w:rPr>
  </w:style>
  <w:style w:type="numbering" w:customStyle="1" w:styleId="NoList1">
    <w:name w:val="No List1"/>
    <w:next w:val="NoList"/>
    <w:uiPriority w:val="99"/>
    <w:semiHidden/>
    <w:unhideWhenUsed/>
    <w:rsid w:val="00743FAE"/>
  </w:style>
  <w:style w:type="character" w:customStyle="1" w:styleId="Heading2Char2">
    <w:name w:val="Heading 2 Char2"/>
    <w:uiPriority w:val="99"/>
    <w:rsid w:val="00743FAE"/>
    <w:rPr>
      <w:rFonts w:ascii="Myriad Pro SemiCond" w:hAnsi="Myriad Pro SemiCond"/>
      <w:b/>
      <w:bCs/>
      <w:color w:val="4F81BD"/>
      <w:sz w:val="26"/>
      <w:szCs w:val="26"/>
      <w:lang w:val="es-ES" w:eastAsia="en-US" w:bidi="en-US"/>
    </w:rPr>
  </w:style>
  <w:style w:type="character" w:customStyle="1" w:styleId="Heading3Char1">
    <w:name w:val="Heading 3 Char1"/>
    <w:uiPriority w:val="99"/>
    <w:rsid w:val="00743FAE"/>
    <w:rPr>
      <w:rFonts w:ascii="Myriad Pro SemiCond" w:hAnsi="Myriad Pro SemiCond"/>
      <w:b/>
      <w:bCs/>
      <w:color w:val="4F81BD"/>
      <w:szCs w:val="22"/>
      <w:lang w:val="es-ES" w:eastAsia="en-US" w:bidi="en-US"/>
    </w:rPr>
  </w:style>
  <w:style w:type="paragraph" w:styleId="Caption">
    <w:name w:val="caption"/>
    <w:basedOn w:val="Normal"/>
    <w:next w:val="Normal"/>
    <w:uiPriority w:val="35"/>
    <w:qFormat/>
    <w:rsid w:val="00743FAE"/>
    <w:pPr>
      <w:widowControl/>
      <w:suppressAutoHyphens w:val="0"/>
      <w:spacing w:after="0" w:line="240" w:lineRule="auto"/>
    </w:pPr>
    <w:rPr>
      <w:rFonts w:cs="Times New Roman"/>
      <w:b/>
      <w:bCs/>
      <w:color w:val="4F81BD"/>
      <w:sz w:val="18"/>
      <w:szCs w:val="18"/>
      <w:lang w:bidi="en-US"/>
    </w:rPr>
  </w:style>
  <w:style w:type="character" w:styleId="FollowedHyperlink">
    <w:name w:val="FollowedHyperlink"/>
    <w:uiPriority w:val="99"/>
    <w:rsid w:val="00743FAE"/>
    <w:rPr>
      <w:color w:val="606420"/>
      <w:u w:val="single"/>
    </w:rPr>
  </w:style>
  <w:style w:type="character" w:styleId="PageNumber">
    <w:name w:val="page number"/>
    <w:basedOn w:val="DefaultParagraphFont"/>
    <w:uiPriority w:val="99"/>
    <w:rsid w:val="00743FAE"/>
  </w:style>
  <w:style w:type="character" w:customStyle="1" w:styleId="text">
    <w:name w:val="text"/>
    <w:basedOn w:val="DefaultParagraphFont"/>
    <w:rsid w:val="00743FAE"/>
  </w:style>
  <w:style w:type="paragraph" w:customStyle="1" w:styleId="Default">
    <w:name w:val="Default"/>
    <w:rsid w:val="00743FAE"/>
    <w:pPr>
      <w:autoSpaceDE w:val="0"/>
      <w:autoSpaceDN w:val="0"/>
      <w:adjustRightInd w:val="0"/>
      <w:spacing w:after="200" w:line="276" w:lineRule="auto"/>
    </w:pPr>
    <w:rPr>
      <w:rFonts w:ascii="Arial" w:hAnsi="Arial" w:cs="Arial"/>
      <w:color w:val="000000"/>
      <w:sz w:val="24"/>
      <w:szCs w:val="24"/>
    </w:rPr>
  </w:style>
  <w:style w:type="character" w:customStyle="1" w:styleId="CommentTextChar1">
    <w:name w:val="Comment Text Char1"/>
    <w:uiPriority w:val="99"/>
    <w:semiHidden/>
    <w:rsid w:val="00743FAE"/>
    <w:rPr>
      <w:rFonts w:ascii="Myriad Pro SemiCond" w:hAnsi="Myriad Pro SemiCond"/>
      <w:lang w:val="es-ES" w:eastAsia="en-US" w:bidi="en-US"/>
    </w:rPr>
  </w:style>
  <w:style w:type="character" w:customStyle="1" w:styleId="CommentSubjectChar1">
    <w:name w:val="Comment Subject Char1"/>
    <w:uiPriority w:val="99"/>
    <w:semiHidden/>
    <w:rsid w:val="00743FAE"/>
    <w:rPr>
      <w:rFonts w:ascii="Myriad Pro SemiCond" w:hAnsi="Myriad Pro SemiCond"/>
      <w:lang w:val="es-ES" w:eastAsia="en-US" w:bidi="en-US"/>
    </w:rPr>
  </w:style>
  <w:style w:type="paragraph" w:customStyle="1" w:styleId="ListBullet1">
    <w:name w:val="List Bullet1"/>
    <w:basedOn w:val="Normal"/>
    <w:rsid w:val="00743FAE"/>
    <w:pPr>
      <w:widowControl/>
      <w:numPr>
        <w:numId w:val="1"/>
      </w:numPr>
      <w:suppressAutoHyphens w:val="0"/>
      <w:spacing w:after="60"/>
    </w:pPr>
    <w:rPr>
      <w:rFonts w:ascii="Arial" w:hAnsi="Arial" w:cs="Times New Roman"/>
      <w:sz w:val="20"/>
      <w:szCs w:val="20"/>
      <w:lang w:bidi="en-US"/>
    </w:rPr>
  </w:style>
  <w:style w:type="character" w:customStyle="1" w:styleId="a1">
    <w:name w:val="a1"/>
    <w:rsid w:val="00743FAE"/>
    <w:rPr>
      <w:color w:val="008000"/>
    </w:rPr>
  </w:style>
  <w:style w:type="table" w:customStyle="1" w:styleId="MediumList1-Accent11">
    <w:name w:val="Medium List 1 - Accent 11"/>
    <w:basedOn w:val="TableNormal"/>
    <w:uiPriority w:val="65"/>
    <w:rsid w:val="00743FAE"/>
    <w:rPr>
      <w:rFonts w:ascii="Calibri" w:hAnsi="Calibri"/>
      <w:color w:val="000000"/>
      <w:lang w:eastAsia="nb-NO"/>
    </w:rPr>
    <w:tblPr>
      <w:tblStyleRowBandSize w:val="1"/>
      <w:tblStyleColBandSize w:val="1"/>
      <w:tblBorders>
        <w:top w:val="single" w:sz="8" w:space="0" w:color="4F81BD"/>
        <w:bottom w:val="single" w:sz="8" w:space="0" w:color="4F81BD"/>
      </w:tblBorders>
    </w:tblPr>
    <w:tblStylePr w:type="firstRow">
      <w:rPr>
        <w:rFonts w:ascii="MingLiU" w:eastAsia="Times New Roman" w:hAnsi="MingLiU"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HTMLPreformatted">
    <w:name w:val="HTML Preformatted"/>
    <w:basedOn w:val="Normal"/>
    <w:link w:val="HTMLPreformattedChar"/>
    <w:rsid w:val="00743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4"/>
      <w:szCs w:val="24"/>
    </w:rPr>
  </w:style>
  <w:style w:type="character" w:customStyle="1" w:styleId="HTMLPreformattedChar">
    <w:name w:val="HTML Preformatted Char"/>
    <w:link w:val="HTMLPreformatted"/>
    <w:rsid w:val="00743FAE"/>
    <w:rPr>
      <w:rFonts w:ascii="Courier New" w:hAnsi="Courier New" w:cs="Courier New"/>
      <w:sz w:val="24"/>
      <w:szCs w:val="24"/>
      <w:lang w:val="es-ES"/>
    </w:rPr>
  </w:style>
  <w:style w:type="character" w:styleId="HTMLTypewriter">
    <w:name w:val="HTML Typewriter"/>
    <w:rsid w:val="00743FAE"/>
    <w:rPr>
      <w:rFonts w:ascii="Courier New" w:eastAsia="Times New Roman" w:hAnsi="Courier New" w:cs="Courier New"/>
      <w:sz w:val="20"/>
      <w:szCs w:val="20"/>
    </w:rPr>
  </w:style>
  <w:style w:type="table" w:customStyle="1" w:styleId="LightList-Accent11">
    <w:name w:val="Light List - Accent 11"/>
    <w:basedOn w:val="TableNormal"/>
    <w:uiPriority w:val="61"/>
    <w:rsid w:val="00743FAE"/>
    <w:rPr>
      <w:rFonts w:ascii="Calibri" w:hAnsi="Calibri"/>
      <w:lang w:eastAsia="nb-N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1">
    <w:name w:val="Style1"/>
    <w:basedOn w:val="LightList-Accent11"/>
    <w:rsid w:val="00743FAE"/>
    <w:rPr>
      <w:rFonts w:ascii="Myriad Pro SemiCond" w:hAnsi="Myriad Pro SemiCond"/>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743FAE"/>
    <w:rPr>
      <w:rFonts w:ascii="Calibri" w:hAnsi="Calibri"/>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basedOn w:val="Normal"/>
    <w:rsid w:val="00743FAE"/>
    <w:pPr>
      <w:widowControl/>
      <w:suppressAutoHyphens w:val="0"/>
      <w:spacing w:after="0"/>
    </w:pPr>
    <w:rPr>
      <w:rFonts w:cs="Times New Roman"/>
      <w:sz w:val="20"/>
      <w:szCs w:val="20"/>
      <w:lang w:eastAsia="nb-NO"/>
    </w:rPr>
  </w:style>
  <w:style w:type="paragraph" w:styleId="NormalWeb">
    <w:name w:val="Normal (Web)"/>
    <w:basedOn w:val="Normal"/>
    <w:rsid w:val="00743FAE"/>
    <w:pPr>
      <w:widowControl/>
      <w:suppressAutoHyphens w:val="0"/>
      <w:spacing w:before="100" w:beforeAutospacing="1" w:after="100" w:afterAutospacing="1" w:line="240" w:lineRule="auto"/>
    </w:pPr>
    <w:rPr>
      <w:rFonts w:eastAsia="Calibri" w:cs="Times New Roman"/>
      <w:sz w:val="24"/>
      <w:szCs w:val="24"/>
    </w:rPr>
  </w:style>
  <w:style w:type="paragraph" w:customStyle="1" w:styleId="ColorfulShading-Accent11">
    <w:name w:val="Colorful Shading - Accent 11"/>
    <w:hidden/>
    <w:uiPriority w:val="99"/>
    <w:semiHidden/>
    <w:rsid w:val="00743FAE"/>
    <w:rPr>
      <w:rFonts w:ascii="Myriad Pro SemiCond" w:hAnsi="Myriad Pro SemiCond"/>
      <w:sz w:val="22"/>
      <w:szCs w:val="22"/>
      <w:lang w:bidi="en-US"/>
    </w:rPr>
  </w:style>
  <w:style w:type="paragraph" w:styleId="PlainText">
    <w:name w:val="Plain Text"/>
    <w:basedOn w:val="Normal"/>
    <w:link w:val="PlainTextChar"/>
    <w:uiPriority w:val="99"/>
    <w:semiHidden/>
    <w:unhideWhenUsed/>
    <w:rsid w:val="00743FAE"/>
    <w:pPr>
      <w:widowControl/>
      <w:suppressAutoHyphens w:val="0"/>
      <w:spacing w:after="0" w:line="240" w:lineRule="auto"/>
    </w:pPr>
    <w:rPr>
      <w:rFonts w:cs="Times New Roman"/>
      <w:sz w:val="20"/>
      <w:szCs w:val="21"/>
    </w:rPr>
  </w:style>
  <w:style w:type="character" w:customStyle="1" w:styleId="PlainTextChar">
    <w:name w:val="Plain Text Char"/>
    <w:link w:val="PlainText"/>
    <w:uiPriority w:val="99"/>
    <w:semiHidden/>
    <w:rsid w:val="00743FAE"/>
    <w:rPr>
      <w:rFonts w:ascii="Calibri" w:hAnsi="Calibri"/>
      <w:szCs w:val="21"/>
    </w:rPr>
  </w:style>
  <w:style w:type="paragraph" w:styleId="ListBullet">
    <w:name w:val="List Bullet"/>
    <w:basedOn w:val="Normal"/>
    <w:uiPriority w:val="99"/>
    <w:unhideWhenUsed/>
    <w:rsid w:val="00743FAE"/>
    <w:pPr>
      <w:widowControl/>
      <w:numPr>
        <w:numId w:val="2"/>
      </w:numPr>
      <w:suppressAutoHyphens w:val="0"/>
      <w:contextualSpacing/>
    </w:pPr>
    <w:rPr>
      <w:rFonts w:cs="Times New Roman"/>
      <w:sz w:val="20"/>
      <w:lang w:bidi="en-US"/>
    </w:rPr>
  </w:style>
  <w:style w:type="paragraph" w:styleId="ListBullet2">
    <w:name w:val="List Bullet 2"/>
    <w:basedOn w:val="Normal"/>
    <w:uiPriority w:val="99"/>
    <w:unhideWhenUsed/>
    <w:rsid w:val="00743FAE"/>
    <w:pPr>
      <w:widowControl/>
      <w:numPr>
        <w:numId w:val="3"/>
      </w:numPr>
      <w:suppressAutoHyphens w:val="0"/>
      <w:contextualSpacing/>
    </w:pPr>
    <w:rPr>
      <w:rFonts w:cs="Times New Roman"/>
      <w:sz w:val="20"/>
      <w:lang w:bidi="en-US"/>
    </w:rPr>
  </w:style>
  <w:style w:type="character" w:customStyle="1" w:styleId="BodyTextChar1">
    <w:name w:val="Body Text Char1"/>
    <w:uiPriority w:val="99"/>
    <w:rsid w:val="00743FAE"/>
    <w:rPr>
      <w:rFonts w:ascii="Myriad Pro SemiCond" w:hAnsi="Myriad Pro SemiCond"/>
      <w:szCs w:val="22"/>
      <w:lang w:val="es-ES" w:eastAsia="en-US" w:bidi="en-US"/>
    </w:rPr>
  </w:style>
  <w:style w:type="paragraph" w:styleId="BodyTextIndent">
    <w:name w:val="Body Text Indent"/>
    <w:basedOn w:val="Normal"/>
    <w:link w:val="BodyTextIndentChar"/>
    <w:uiPriority w:val="99"/>
    <w:semiHidden/>
    <w:unhideWhenUsed/>
    <w:rsid w:val="00743FAE"/>
    <w:pPr>
      <w:widowControl/>
      <w:suppressAutoHyphens w:val="0"/>
      <w:ind w:left="360"/>
    </w:pPr>
    <w:rPr>
      <w:rFonts w:cs="Times New Roman"/>
      <w:sz w:val="20"/>
      <w:lang w:bidi="en-US"/>
    </w:rPr>
  </w:style>
  <w:style w:type="character" w:customStyle="1" w:styleId="BodyTextIndentChar">
    <w:name w:val="Body Text Indent Char"/>
    <w:link w:val="BodyTextIndent"/>
    <w:uiPriority w:val="99"/>
    <w:semiHidden/>
    <w:rsid w:val="00743FAE"/>
    <w:rPr>
      <w:rFonts w:ascii="Myriad Pro SemiCond" w:hAnsi="Myriad Pro SemiCond"/>
      <w:szCs w:val="22"/>
      <w:lang w:bidi="en-US"/>
    </w:rPr>
  </w:style>
  <w:style w:type="paragraph" w:styleId="BodyTextFirstIndent2">
    <w:name w:val="Body Text First Indent 2"/>
    <w:basedOn w:val="BodyTextIndent"/>
    <w:link w:val="BodyTextFirstIndent2Char"/>
    <w:uiPriority w:val="99"/>
    <w:unhideWhenUsed/>
    <w:rsid w:val="00743FAE"/>
    <w:pPr>
      <w:ind w:firstLine="210"/>
    </w:pPr>
  </w:style>
  <w:style w:type="character" w:customStyle="1" w:styleId="BodyTextFirstIndent2Char">
    <w:name w:val="Body Text First Indent 2 Char"/>
    <w:link w:val="BodyTextFirstIndent2"/>
    <w:uiPriority w:val="99"/>
    <w:rsid w:val="00743FAE"/>
    <w:rPr>
      <w:rFonts w:ascii="Myriad Pro SemiCond" w:hAnsi="Myriad Pro SemiCond"/>
      <w:szCs w:val="22"/>
      <w:lang w:bidi="en-US"/>
    </w:rPr>
  </w:style>
  <w:style w:type="character" w:customStyle="1" w:styleId="Heading2Char1">
    <w:name w:val="Heading 2 Char1"/>
    <w:locked/>
    <w:rsid w:val="00743FAE"/>
    <w:rPr>
      <w:rFonts w:ascii="Myriad Pro SemiCond" w:hAnsi="Myriad Pro SemiCond"/>
      <w:b/>
      <w:bCs/>
      <w:color w:val="4F81BD"/>
      <w:sz w:val="26"/>
      <w:szCs w:val="26"/>
      <w:lang w:val="es-ES" w:eastAsia="en-US" w:bidi="ar-SA"/>
    </w:rPr>
  </w:style>
  <w:style w:type="character" w:customStyle="1" w:styleId="bodytext10">
    <w:name w:val="bodytext1"/>
    <w:rsid w:val="00743FAE"/>
    <w:rPr>
      <w:rFonts w:ascii="Tahoma" w:hAnsi="Tahoma" w:cs="Tahoma" w:hint="default"/>
      <w:sz w:val="18"/>
      <w:szCs w:val="18"/>
    </w:rPr>
  </w:style>
  <w:style w:type="table" w:customStyle="1" w:styleId="LightShading1">
    <w:name w:val="Light Shading1"/>
    <w:basedOn w:val="TableNormal"/>
    <w:uiPriority w:val="60"/>
    <w:rsid w:val="00743FAE"/>
    <w:rPr>
      <w:rFonts w:ascii="Calibri" w:hAnsi="Calibri"/>
      <w:color w:val="000000"/>
      <w:lang w:eastAsia="nb-N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B86EA7"/>
  </w:style>
  <w:style w:type="character" w:customStyle="1" w:styleId="SubtleEmphasis1">
    <w:name w:val="Subtle Emphasis1"/>
    <w:uiPriority w:val="99"/>
    <w:rsid w:val="009A38A3"/>
    <w:rPr>
      <w:rFonts w:cs="Times New Roman"/>
      <w:i/>
      <w:iCs/>
      <w:color w:val="808080"/>
    </w:rPr>
  </w:style>
  <w:style w:type="character" w:customStyle="1" w:styleId="IntenseEmphasis1">
    <w:name w:val="Intense Emphasis1"/>
    <w:uiPriority w:val="99"/>
    <w:rsid w:val="009A38A3"/>
    <w:rPr>
      <w:rFonts w:cs="Times New Roman"/>
      <w:b/>
      <w:bCs/>
      <w:i/>
      <w:iCs/>
      <w:color w:val="4F81BD"/>
    </w:rPr>
  </w:style>
  <w:style w:type="character" w:customStyle="1" w:styleId="SubtleReference1">
    <w:name w:val="Subtle Reference1"/>
    <w:uiPriority w:val="99"/>
    <w:rsid w:val="009A38A3"/>
    <w:rPr>
      <w:rFonts w:cs="Times New Roman"/>
      <w:smallCaps/>
      <w:color w:val="C0504D"/>
      <w:u w:val="single"/>
    </w:rPr>
  </w:style>
  <w:style w:type="character" w:customStyle="1" w:styleId="IntenseReference1">
    <w:name w:val="Intense Reference1"/>
    <w:uiPriority w:val="99"/>
    <w:rsid w:val="009A38A3"/>
    <w:rPr>
      <w:rFonts w:cs="Times New Roman"/>
      <w:b/>
      <w:bCs/>
      <w:smallCaps/>
      <w:color w:val="C0504D"/>
      <w:spacing w:val="5"/>
      <w:u w:val="single"/>
    </w:rPr>
  </w:style>
  <w:style w:type="character" w:customStyle="1" w:styleId="BookTitle1">
    <w:name w:val="Book Title1"/>
    <w:uiPriority w:val="99"/>
    <w:rsid w:val="009A38A3"/>
    <w:rPr>
      <w:rFonts w:cs="Times New Roman"/>
      <w:b/>
      <w:bCs/>
      <w:smallCaps/>
      <w:spacing w:val="5"/>
    </w:rPr>
  </w:style>
  <w:style w:type="paragraph" w:customStyle="1" w:styleId="MediumGrid22">
    <w:name w:val="Medium Grid 22"/>
    <w:uiPriority w:val="99"/>
    <w:semiHidden/>
    <w:qFormat/>
    <w:rsid w:val="009A38A3"/>
    <w:pPr>
      <w:widowControl w:val="0"/>
      <w:suppressAutoHyphens/>
    </w:pPr>
    <w:rPr>
      <w:rFonts w:ascii="Calibri" w:hAnsi="Calibri" w:cs="Calibri"/>
      <w:sz w:val="22"/>
      <w:szCs w:val="22"/>
    </w:rPr>
  </w:style>
  <w:style w:type="paragraph" w:customStyle="1" w:styleId="ColorfulList-Accent110">
    <w:name w:val="Colorful List - Accent 110"/>
    <w:basedOn w:val="Normal"/>
    <w:uiPriority w:val="99"/>
    <w:qFormat/>
    <w:rsid w:val="009A38A3"/>
    <w:pPr>
      <w:ind w:left="720"/>
    </w:pPr>
  </w:style>
  <w:style w:type="paragraph" w:customStyle="1" w:styleId="ColorfulGrid-Accent110">
    <w:name w:val="Colorful Grid - Accent 110"/>
    <w:basedOn w:val="Normal"/>
    <w:next w:val="Normal"/>
    <w:link w:val="ColorfulGrid-Accent1Char"/>
    <w:uiPriority w:val="99"/>
    <w:rsid w:val="009A38A3"/>
    <w:pPr>
      <w:ind w:left="720"/>
    </w:pPr>
    <w:rPr>
      <w:rFonts w:ascii="Myriad Pro Light SemiCond" w:hAnsi="Myriad Pro Light SemiCond"/>
      <w:i/>
      <w:iCs/>
      <w:color w:val="000000"/>
    </w:rPr>
  </w:style>
  <w:style w:type="character" w:customStyle="1" w:styleId="ColorfulGrid-Accent1Char">
    <w:name w:val="Colorful Grid - Accent 1 Char"/>
    <w:link w:val="ColorfulGrid-Accent110"/>
    <w:uiPriority w:val="29"/>
    <w:rsid w:val="009A38A3"/>
    <w:rPr>
      <w:rFonts w:ascii="Myriad Pro Light SemiCond" w:hAnsi="Myriad Pro Light SemiCond" w:cs="Calibri"/>
      <w:i/>
      <w:iCs/>
      <w:color w:val="000000"/>
      <w:sz w:val="22"/>
      <w:szCs w:val="22"/>
      <w:lang w:val="es-ES"/>
    </w:rPr>
  </w:style>
  <w:style w:type="paragraph" w:customStyle="1" w:styleId="LightShading-Accent210">
    <w:name w:val="Light Shading - Accent 210"/>
    <w:basedOn w:val="Normal"/>
    <w:next w:val="Normal"/>
    <w:link w:val="LightShading-Accent2Char"/>
    <w:uiPriority w:val="99"/>
    <w:rsid w:val="009A38A3"/>
    <w:pPr>
      <w:pBdr>
        <w:bottom w:val="single" w:sz="4" w:space="4" w:color="FFFF00"/>
      </w:pBdr>
      <w:spacing w:before="200" w:after="280"/>
      <w:ind w:left="936" w:right="936"/>
    </w:pPr>
    <w:rPr>
      <w:b/>
      <w:bCs/>
      <w:i/>
      <w:iCs/>
      <w:color w:val="4F81BD"/>
    </w:rPr>
  </w:style>
  <w:style w:type="character" w:customStyle="1" w:styleId="LightShading-Accent2Char">
    <w:name w:val="Light Shading - Accent 2 Char"/>
    <w:link w:val="LightShading-Accent210"/>
    <w:uiPriority w:val="30"/>
    <w:rsid w:val="009A38A3"/>
    <w:rPr>
      <w:rFonts w:ascii="Franklin Gothic Book" w:hAnsi="Franklin Gothic Book" w:cs="Calibri"/>
      <w:b/>
      <w:bCs/>
      <w:i/>
      <w:iCs/>
      <w:color w:val="4F81BD"/>
      <w:sz w:val="22"/>
      <w:szCs w:val="22"/>
      <w:lang w:val="es-ES"/>
    </w:rPr>
  </w:style>
  <w:style w:type="paragraph" w:customStyle="1" w:styleId="TOCHeading1">
    <w:name w:val="TOC Heading1"/>
    <w:basedOn w:val="Heading1"/>
    <w:next w:val="Normal"/>
    <w:uiPriority w:val="39"/>
    <w:qFormat/>
    <w:rsid w:val="009A38A3"/>
    <w:pPr>
      <w:outlineLvl w:val="9"/>
    </w:pPr>
  </w:style>
  <w:style w:type="table" w:styleId="DarkList-Accent2">
    <w:name w:val="Dark List Accent 2"/>
    <w:basedOn w:val="TableNormal"/>
    <w:uiPriority w:val="61"/>
    <w:rsid w:val="009A38A3"/>
    <w:rPr>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solistparagraph0">
    <w:name w:val="msolistparagraph"/>
    <w:basedOn w:val="Normal"/>
    <w:rsid w:val="009A38A3"/>
    <w:pPr>
      <w:widowControl/>
      <w:suppressAutoHyphens w:val="0"/>
      <w:spacing w:after="0" w:line="240" w:lineRule="auto"/>
      <w:ind w:left="720"/>
    </w:pPr>
    <w:rPr>
      <w:rFonts w:eastAsia="Calibri" w:cs="Times New Roman"/>
      <w:sz w:val="24"/>
      <w:szCs w:val="24"/>
    </w:rPr>
  </w:style>
  <w:style w:type="character" w:customStyle="1" w:styleId="st">
    <w:name w:val="st"/>
    <w:rsid w:val="009A38A3"/>
  </w:style>
  <w:style w:type="character" w:customStyle="1" w:styleId="ColorfulGrid-Accent1Char1">
    <w:name w:val="Colorful Grid - Accent 1 Char1"/>
    <w:link w:val="MediumGrid2-Accent2"/>
    <w:uiPriority w:val="99"/>
    <w:rsid w:val="009A38A3"/>
    <w:rPr>
      <w:rFonts w:ascii="Myriad Pro Light SemiCond" w:hAnsi="Myriad Pro Light SemiCond" w:cs="Calibri"/>
      <w:i/>
      <w:iCs/>
      <w:color w:val="000000"/>
      <w:sz w:val="22"/>
      <w:szCs w:val="22"/>
      <w:lang w:val="es-ES" w:eastAsia="en-US"/>
    </w:rPr>
  </w:style>
  <w:style w:type="character" w:customStyle="1" w:styleId="LightShading-Accent2Char1">
    <w:name w:val="Light Shading - Accent 2 Char1"/>
    <w:link w:val="MediumGrid3-Accent2"/>
    <w:uiPriority w:val="99"/>
    <w:rsid w:val="009A38A3"/>
    <w:rPr>
      <w:rFonts w:ascii="Myriad Pro SemiCond" w:hAnsi="Myriad Pro SemiCond" w:cs="Calibri"/>
      <w:b/>
      <w:bCs/>
      <w:i/>
      <w:iCs/>
      <w:color w:val="4F81BD"/>
      <w:sz w:val="22"/>
      <w:szCs w:val="22"/>
      <w:lang w:val="es-ES" w:eastAsia="en-US"/>
    </w:rPr>
  </w:style>
  <w:style w:type="paragraph" w:customStyle="1" w:styleId="Boxedtextfront">
    <w:name w:val="Boxed text front"/>
    <w:basedOn w:val="Normal"/>
    <w:next w:val="Normal"/>
    <w:qFormat/>
    <w:rsid w:val="002D3B30"/>
    <w:pPr>
      <w:spacing w:after="240"/>
      <w:ind w:left="57" w:right="57"/>
      <w:jc w:val="both"/>
      <w:outlineLvl w:val="0"/>
    </w:pPr>
    <w:rPr>
      <w:rFonts w:eastAsia="Arial"/>
      <w:lang w:bidi="en-US"/>
    </w:rPr>
  </w:style>
  <w:style w:type="character" w:customStyle="1" w:styleId="hps">
    <w:name w:val="hps"/>
    <w:rsid w:val="009A38A3"/>
  </w:style>
  <w:style w:type="table" w:styleId="MediumGrid2-Accent2">
    <w:name w:val="Medium Grid 2 Accent 2"/>
    <w:basedOn w:val="TableNormal"/>
    <w:link w:val="ColorfulGrid-Accent1Char1"/>
    <w:uiPriority w:val="99"/>
    <w:rsid w:val="009A38A3"/>
    <w:rPr>
      <w:rFonts w:ascii="Myriad Pro Light SemiCond" w:hAnsi="Myriad Pro Light SemiCond" w:cs="Calibri"/>
      <w:i/>
      <w:iCs/>
      <w:color w:val="000000"/>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2">
    <w:name w:val="Medium Grid 3 Accent 2"/>
    <w:basedOn w:val="TableNormal"/>
    <w:link w:val="LightShading-Accent2Char1"/>
    <w:uiPriority w:val="99"/>
    <w:rsid w:val="009A38A3"/>
    <w:rPr>
      <w:rFonts w:ascii="Myriad Pro SemiCond" w:hAnsi="Myriad Pro SemiCond" w:cs="Calibri"/>
      <w:b/>
      <w:bCs/>
      <w:i/>
      <w:iCs/>
      <w:color w:val="4F81BD"/>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59"/>
    <w:rsid w:val="00ED4F0C"/>
    <w:rPr>
      <w:rFonts w:ascii="Calibri" w:hAnsi="Calibri"/>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Pfrontpagenormal">
    <w:name w:val="BP front page normal"/>
    <w:basedOn w:val="Normal"/>
    <w:qFormat/>
    <w:rsid w:val="002646A7"/>
    <w:pPr>
      <w:tabs>
        <w:tab w:val="right" w:pos="9069"/>
      </w:tabs>
    </w:pPr>
    <w:rPr>
      <w:lang w:eastAsia="nb-NO"/>
    </w:rPr>
  </w:style>
  <w:style w:type="paragraph" w:customStyle="1" w:styleId="Boxedtext">
    <w:name w:val="Boxed text"/>
    <w:basedOn w:val="Normal"/>
    <w:rsid w:val="002D3B30"/>
    <w:pPr>
      <w:framePr w:hSpace="181" w:vSpace="181" w:wrap="around" w:hAnchor="text" w:yAlign="top"/>
      <w:spacing w:after="240"/>
    </w:pPr>
    <w:rPr>
      <w:lang w:bidi="en-US"/>
    </w:rPr>
  </w:style>
  <w:style w:type="paragraph" w:customStyle="1" w:styleId="Titletitlepage">
    <w:name w:val="Title titlepage"/>
    <w:basedOn w:val="Normal"/>
    <w:qFormat/>
    <w:rsid w:val="000A3554"/>
    <w:rPr>
      <w:sz w:val="80"/>
    </w:rPr>
  </w:style>
  <w:style w:type="table" w:styleId="PlainTable5">
    <w:name w:val="Plain Table 5"/>
    <w:basedOn w:val="TableNormal"/>
    <w:uiPriority w:val="45"/>
    <w:rsid w:val="000E18C4"/>
    <w:tblPr>
      <w:tblStyleRowBandSize w:val="1"/>
      <w:tblStyleColBandSize w:val="1"/>
    </w:tblPr>
    <w:tblStylePr w:type="firstRow">
      <w:rPr>
        <w:rFonts w:ascii="Tms Rmn" w:eastAsia="Dotum" w:hAnsi="Tms Rmn" w:cs="Times New Roman"/>
        <w:i/>
        <w:iCs/>
        <w:sz w:val="26"/>
      </w:rPr>
      <w:tblPr/>
      <w:tcPr>
        <w:tcBorders>
          <w:bottom w:val="single" w:sz="4" w:space="0" w:color="7F7F7F"/>
        </w:tcBorders>
        <w:shd w:val="clear" w:color="auto" w:fill="FFFFFF"/>
      </w:tcPr>
    </w:tblStylePr>
    <w:tblStylePr w:type="lastRow">
      <w:rPr>
        <w:rFonts w:ascii="Tms Rmn" w:eastAsia="Dotum" w:hAnsi="Tms Rmn" w:cs="Times New Roman"/>
        <w:i/>
        <w:iCs/>
        <w:sz w:val="26"/>
      </w:rPr>
      <w:tblPr/>
      <w:tcPr>
        <w:tcBorders>
          <w:top w:val="single" w:sz="4" w:space="0" w:color="7F7F7F"/>
        </w:tcBorders>
        <w:shd w:val="clear" w:color="auto" w:fill="FFFFFF"/>
      </w:tcPr>
    </w:tblStylePr>
    <w:tblStylePr w:type="firstCol">
      <w:pPr>
        <w:jc w:val="right"/>
      </w:pPr>
      <w:rPr>
        <w:rFonts w:ascii="Tms Rmn" w:eastAsia="Dotum" w:hAnsi="Tms Rmn" w:cs="Times New Roman"/>
        <w:i/>
        <w:iCs/>
        <w:sz w:val="26"/>
      </w:rPr>
      <w:tblPr/>
      <w:tcPr>
        <w:tcBorders>
          <w:right w:val="single" w:sz="4" w:space="0" w:color="7F7F7F"/>
        </w:tcBorders>
        <w:shd w:val="clear" w:color="auto" w:fill="FFFFFF"/>
      </w:tcPr>
    </w:tblStylePr>
    <w:tblStylePr w:type="lastCol">
      <w:rPr>
        <w:rFonts w:ascii="Tms Rmn" w:eastAsia="Dotum"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textintable">
    <w:name w:val="Normal text in table"/>
    <w:basedOn w:val="Normal"/>
    <w:qFormat/>
    <w:rsid w:val="002D45FC"/>
    <w:rPr>
      <w:b/>
      <w:bCs/>
      <w:color w:val="FFFFFF"/>
      <w:lang w:eastAsia="nb-NO"/>
    </w:rPr>
  </w:style>
  <w:style w:type="table" w:styleId="TableTheme">
    <w:name w:val="Table Theme"/>
    <w:basedOn w:val="TableNormal"/>
    <w:uiPriority w:val="99"/>
    <w:rsid w:val="00A44EB5"/>
    <w:pPr>
      <w:widowControl w:val="0"/>
      <w:suppressAutoHyphens/>
      <w:spacing w:after="3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44E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andsubmitt">
    <w:name w:val="Date and submitt"/>
    <w:basedOn w:val="Header"/>
    <w:qFormat/>
    <w:rsid w:val="00BC5008"/>
    <w:pPr>
      <w:spacing w:after="200" w:line="360" w:lineRule="auto"/>
    </w:pPr>
    <w:rPr>
      <w:bCs/>
      <w:color w:val="FFFFFF"/>
      <w:lang w:eastAsia="nb-NO"/>
    </w:rPr>
  </w:style>
  <w:style w:type="paragraph" w:styleId="ListParagraph0">
    <w:name w:val="List Paragraph"/>
    <w:basedOn w:val="Normal"/>
    <w:uiPriority w:val="34"/>
    <w:qFormat/>
    <w:rsid w:val="004C41D1"/>
    <w:pPr>
      <w:ind w:left="720"/>
      <w:contextualSpacing/>
    </w:pPr>
  </w:style>
  <w:style w:type="paragraph" w:styleId="TOCHeading">
    <w:name w:val="TOC Heading"/>
    <w:basedOn w:val="Heading1"/>
    <w:next w:val="Normal"/>
    <w:uiPriority w:val="39"/>
    <w:unhideWhenUsed/>
    <w:qFormat/>
    <w:rsid w:val="00792BE6"/>
    <w:pPr>
      <w:widowControl/>
      <w:suppressAutoHyphens w:val="0"/>
      <w:spacing w:before="240" w:after="0" w:line="259" w:lineRule="auto"/>
      <w:outlineLvl w:val="9"/>
    </w:pPr>
    <w:rPr>
      <w:rFonts w:asciiTheme="majorHAnsi" w:eastAsiaTheme="majorEastAsia" w:hAnsiTheme="majorHAnsi" w:cstheme="majorBidi"/>
      <w:bCs w:val="0"/>
      <w:color w:val="2F5496" w:themeColor="accent1" w:themeShade="BF"/>
      <w:szCs w:val="32"/>
      <w:lang w:bidi="ar-SA"/>
    </w:rPr>
  </w:style>
  <w:style w:type="paragraph" w:styleId="Revision">
    <w:name w:val="Revision"/>
    <w:hidden/>
    <w:uiPriority w:val="71"/>
    <w:rsid w:val="001C46F1"/>
    <w:rPr>
      <w:rFonts w:ascii="Franklin Gothic Book" w:hAnsi="Franklin Gothic Book" w:cs="Calibri"/>
      <w:sz w:val="22"/>
      <w:szCs w:val="22"/>
    </w:rPr>
  </w:style>
  <w:style w:type="character" w:styleId="UnresolvedMention">
    <w:name w:val="Unresolved Mention"/>
    <w:basedOn w:val="DefaultParagraphFont"/>
    <w:uiPriority w:val="99"/>
    <w:semiHidden/>
    <w:unhideWhenUsed/>
    <w:rsid w:val="00EC50FD"/>
    <w:rPr>
      <w:color w:val="605E5C"/>
      <w:shd w:val="clear" w:color="auto" w:fill="E1DFDD"/>
    </w:rPr>
  </w:style>
  <w:style w:type="character" w:customStyle="1" w:styleId="normaltextrun">
    <w:name w:val="normaltextrun"/>
    <w:basedOn w:val="DefaultParagraphFont"/>
    <w:rsid w:val="008F28D9"/>
  </w:style>
  <w:style w:type="character" w:styleId="Mention">
    <w:name w:val="Mention"/>
    <w:basedOn w:val="DefaultParagraphFont"/>
    <w:uiPriority w:val="99"/>
    <w:unhideWhenUsed/>
    <w:rsid w:val="00525667"/>
    <w:rPr>
      <w:color w:val="2B579A"/>
      <w:shd w:val="clear" w:color="auto" w:fill="E1DFDD"/>
    </w:rPr>
  </w:style>
  <w:style w:type="character" w:customStyle="1" w:styleId="MediumGrid2Char">
    <w:name w:val="Medium Grid 2 Char"/>
    <w:link w:val="MediumGrid21"/>
    <w:uiPriority w:val="1"/>
    <w:rsid w:val="00191D3A"/>
    <w:rPr>
      <w:rFonts w:ascii="Calibri" w:hAnsi="Calibri" w:cs="Calibri"/>
      <w:sz w:val="22"/>
      <w:szCs w:val="22"/>
      <w:lang w:val="es-ES"/>
    </w:rPr>
  </w:style>
  <w:style w:type="paragraph" w:customStyle="1" w:styleId="Header2">
    <w:name w:val="Header 2"/>
    <w:rsid w:val="00191D3A"/>
    <w:pPr>
      <w:jc w:val="right"/>
    </w:pPr>
    <w:rPr>
      <w:rFonts w:ascii="Franklin Gothic Book" w:eastAsia="Cambria" w:hAnsi="Franklin Gothic Book" w:cs="Arial"/>
      <w:noProof/>
    </w:rPr>
  </w:style>
  <w:style w:type="paragraph" w:customStyle="1" w:styleId="Headerbyline">
    <w:name w:val="Header byline"/>
    <w:basedOn w:val="Normal"/>
    <w:rsid w:val="00191D3A"/>
    <w:pPr>
      <w:widowControl/>
      <w:suppressAutoHyphens w:val="0"/>
      <w:spacing w:before="240" w:after="240" w:line="240" w:lineRule="auto"/>
      <w:jc w:val="right"/>
    </w:pPr>
    <w:rPr>
      <w:rFonts w:eastAsia="Cambria" w:cs="Arial"/>
      <w:noProof/>
      <w:sz w:val="20"/>
      <w:szCs w:val="20"/>
    </w:rPr>
  </w:style>
  <w:style w:type="paragraph" w:styleId="NoSpacing">
    <w:name w:val="No Spacing"/>
    <w:uiPriority w:val="99"/>
    <w:rsid w:val="00191D3A"/>
    <w:rPr>
      <w:rFonts w:ascii="Cambria" w:eastAsia="Cambria" w:hAnsi="Cambria" w:cs="Arial"/>
      <w:sz w:val="24"/>
      <w:szCs w:val="24"/>
    </w:rPr>
  </w:style>
  <w:style w:type="character" w:styleId="BookTitle">
    <w:name w:val="Book Title"/>
    <w:uiPriority w:val="69"/>
    <w:rsid w:val="00191D3A"/>
    <w:rPr>
      <w:b/>
      <w:bCs/>
      <w:i/>
      <w:iCs/>
      <w:spacing w:val="5"/>
    </w:rPr>
  </w:style>
  <w:style w:type="paragraph" w:styleId="IntenseQuote">
    <w:name w:val="Intense Quote"/>
    <w:basedOn w:val="Normal"/>
    <w:next w:val="Normal"/>
    <w:link w:val="IntenseQuoteChar"/>
    <w:uiPriority w:val="60"/>
    <w:rsid w:val="00191D3A"/>
    <w:pPr>
      <w:widowControl/>
      <w:pBdr>
        <w:top w:val="single" w:sz="4" w:space="10" w:color="4472C4"/>
        <w:bottom w:val="single" w:sz="4" w:space="10" w:color="4472C4"/>
      </w:pBdr>
      <w:suppressAutoHyphens w:val="0"/>
      <w:spacing w:before="360" w:line="240" w:lineRule="auto"/>
      <w:ind w:left="864" w:right="864"/>
      <w:jc w:val="center"/>
    </w:pPr>
    <w:rPr>
      <w:rFonts w:ascii="Times New Roman" w:hAnsi="Times New Roman" w:cs="Times New Roman"/>
      <w:b/>
      <w:bCs/>
      <w:i/>
      <w:iCs/>
      <w:color w:val="4F81BD"/>
      <w:sz w:val="20"/>
      <w:szCs w:val="20"/>
    </w:rPr>
  </w:style>
  <w:style w:type="character" w:customStyle="1" w:styleId="IntenseQuoteChar1">
    <w:name w:val="Intense Quote Char1"/>
    <w:basedOn w:val="DefaultParagraphFont"/>
    <w:uiPriority w:val="60"/>
    <w:rsid w:val="00191D3A"/>
    <w:rPr>
      <w:rFonts w:ascii="Franklin Gothic Book" w:hAnsi="Franklin Gothic Book" w:cs="Calibri"/>
      <w:i/>
      <w:iCs/>
      <w:color w:val="4472C4" w:themeColor="accent1"/>
      <w:sz w:val="22"/>
      <w:szCs w:val="22"/>
      <w:lang w:val="es-ES"/>
    </w:rPr>
  </w:style>
  <w:style w:type="character" w:styleId="SubtleEmphasis">
    <w:name w:val="Subtle Emphasis"/>
    <w:uiPriority w:val="65"/>
    <w:rsid w:val="00191D3A"/>
    <w:rPr>
      <w:i/>
      <w:iCs/>
      <w:color w:val="404040"/>
    </w:rPr>
  </w:style>
  <w:style w:type="character" w:styleId="IntenseEmphasis">
    <w:name w:val="Intense Emphasis"/>
    <w:uiPriority w:val="66"/>
    <w:rsid w:val="00191D3A"/>
    <w:rPr>
      <w:i/>
      <w:iCs/>
      <w:color w:val="4472C4"/>
    </w:rPr>
  </w:style>
  <w:style w:type="character" w:styleId="SubtleReference">
    <w:name w:val="Subtle Reference"/>
    <w:uiPriority w:val="67"/>
    <w:rsid w:val="00191D3A"/>
    <w:rPr>
      <w:smallCaps/>
      <w:color w:val="5A5A5A"/>
    </w:rPr>
  </w:style>
  <w:style w:type="character" w:styleId="IntenseReference">
    <w:name w:val="Intense Reference"/>
    <w:uiPriority w:val="68"/>
    <w:rsid w:val="00191D3A"/>
    <w:rPr>
      <w:b/>
      <w:bCs/>
      <w:smallCaps/>
      <w:color w:val="4472C4"/>
      <w:spacing w:val="5"/>
    </w:rPr>
  </w:style>
  <w:style w:type="paragraph" w:styleId="Quote">
    <w:name w:val="Quote"/>
    <w:basedOn w:val="Normal"/>
    <w:next w:val="Normal"/>
    <w:link w:val="QuoteChar"/>
    <w:uiPriority w:val="73"/>
    <w:rsid w:val="00191D3A"/>
    <w:pPr>
      <w:widowControl/>
      <w:suppressAutoHyphens w:val="0"/>
      <w:spacing w:before="200" w:after="160" w:line="240" w:lineRule="auto"/>
      <w:ind w:left="864" w:right="864"/>
      <w:jc w:val="center"/>
    </w:pPr>
    <w:rPr>
      <w:rFonts w:ascii="Myriad Pro Light SemiCond" w:hAnsi="Myriad Pro Light SemiCond" w:cs="Times New Roman"/>
      <w:i/>
      <w:iCs/>
      <w:color w:val="000000"/>
      <w:szCs w:val="20"/>
    </w:rPr>
  </w:style>
  <w:style w:type="character" w:customStyle="1" w:styleId="QuoteChar1">
    <w:name w:val="Quote Char1"/>
    <w:basedOn w:val="DefaultParagraphFont"/>
    <w:uiPriority w:val="73"/>
    <w:rsid w:val="00191D3A"/>
    <w:rPr>
      <w:rFonts w:ascii="Franklin Gothic Book" w:hAnsi="Franklin Gothic Book" w:cs="Calibri"/>
      <w:i/>
      <w:iCs/>
      <w:color w:val="404040" w:themeColor="text1" w:themeTint="BF"/>
      <w:sz w:val="22"/>
      <w:szCs w:val="22"/>
      <w:lang w:val="es-ES"/>
    </w:rPr>
  </w:style>
  <w:style w:type="paragraph" w:customStyle="1" w:styleId="MainTitle">
    <w:name w:val="Main Title"/>
    <w:basedOn w:val="MediumGrid21"/>
    <w:qFormat/>
    <w:rsid w:val="00191D3A"/>
    <w:pPr>
      <w:widowControl/>
      <w:pBdr>
        <w:bottom w:val="single" w:sz="8" w:space="4" w:color="1A4066"/>
      </w:pBdr>
      <w:suppressAutoHyphens w:val="0"/>
      <w:spacing w:before="360" w:after="120" w:line="276" w:lineRule="auto"/>
      <w:contextualSpacing/>
    </w:pPr>
    <w:rPr>
      <w:rFonts w:ascii="Franklin Gothic Medium" w:eastAsia="MS Gothic" w:hAnsi="Franklin Gothic Medium" w:cs="Times New Roman"/>
      <w:spacing w:val="-10"/>
      <w:kern w:val="28"/>
      <w:sz w:val="44"/>
      <w:szCs w:val="44"/>
    </w:rPr>
  </w:style>
  <w:style w:type="paragraph" w:customStyle="1" w:styleId="SubTitle0">
    <w:name w:val="Sub Title"/>
    <w:basedOn w:val="Heading1"/>
    <w:qFormat/>
    <w:rsid w:val="00191D3A"/>
    <w:pPr>
      <w:widowControl/>
      <w:suppressAutoHyphens w:val="0"/>
      <w:spacing w:before="240" w:after="120"/>
    </w:pPr>
    <w:rPr>
      <w:rFonts w:eastAsia="MS Gothic" w:cs="Times New Roman"/>
      <w:b w:val="0"/>
      <w:bCs w:val="0"/>
      <w:color w:val="1A4066"/>
      <w:sz w:val="36"/>
      <w:szCs w:val="44"/>
      <w:lang w:bidi="ar-SA"/>
    </w:rPr>
  </w:style>
  <w:style w:type="paragraph" w:customStyle="1" w:styleId="HeaderDate">
    <w:name w:val="Header – Date"/>
    <w:qFormat/>
    <w:rsid w:val="004E5D68"/>
    <w:pPr>
      <w:spacing w:line="276" w:lineRule="auto"/>
      <w:jc w:val="right"/>
    </w:pPr>
    <w:rPr>
      <w:rFonts w:ascii="Franklin Gothic Book" w:eastAsia="Cambria" w:hAnsi="Franklin Gothic Book" w:cs="Arial"/>
      <w:noProof/>
      <w:sz w:val="18"/>
      <w:szCs w:val="18"/>
    </w:rPr>
  </w:style>
  <w:style w:type="paragraph" w:customStyle="1" w:styleId="Text0">
    <w:name w:val="Text"/>
    <w:basedOn w:val="Normal"/>
    <w:qFormat/>
    <w:rsid w:val="00191D3A"/>
    <w:pPr>
      <w:widowControl/>
      <w:suppressAutoHyphens w:val="0"/>
      <w:spacing w:before="240" w:line="276" w:lineRule="auto"/>
    </w:pPr>
    <w:rPr>
      <w:rFonts w:eastAsia="Cambria" w:cs="Arial"/>
      <w:szCs w:val="24"/>
    </w:rPr>
  </w:style>
  <w:style w:type="paragraph" w:customStyle="1" w:styleId="Quoteinbox">
    <w:name w:val="Quote in box"/>
    <w:basedOn w:val="Text0"/>
    <w:qFormat/>
    <w:rsid w:val="00191D3A"/>
    <w:pPr>
      <w:spacing w:after="240"/>
      <w:ind w:left="113" w:right="113"/>
    </w:pPr>
    <w:rPr>
      <w:i/>
    </w:rPr>
  </w:style>
  <w:style w:type="paragraph" w:customStyle="1" w:styleId="Captiontext">
    <w:name w:val="Caption text"/>
    <w:basedOn w:val="Normal"/>
    <w:qFormat/>
    <w:rsid w:val="00191D3A"/>
    <w:pPr>
      <w:widowControl/>
      <w:suppressAutoHyphens w:val="0"/>
      <w:spacing w:after="0" w:line="276" w:lineRule="auto"/>
    </w:pPr>
    <w:rPr>
      <w:rFonts w:eastAsia="Cambria" w:cs="Arial"/>
      <w:i/>
      <w:iCs/>
      <w:color w:val="595959"/>
      <w:sz w:val="18"/>
      <w:szCs w:val="18"/>
    </w:rPr>
  </w:style>
  <w:style w:type="paragraph" w:customStyle="1" w:styleId="TextBold">
    <w:name w:val="Text Bold"/>
    <w:basedOn w:val="Normal"/>
    <w:qFormat/>
    <w:rsid w:val="00191D3A"/>
    <w:pPr>
      <w:widowControl/>
      <w:suppressAutoHyphens w:val="0"/>
      <w:spacing w:before="240" w:line="276" w:lineRule="auto"/>
    </w:pPr>
    <w:rPr>
      <w:rFonts w:eastAsia="Cambria" w:cs="Arial"/>
      <w:b/>
      <w:noProof/>
      <w:szCs w:val="24"/>
    </w:rPr>
  </w:style>
  <w:style w:type="numbering" w:customStyle="1" w:styleId="CurrentList1">
    <w:name w:val="Current List1"/>
    <w:uiPriority w:val="99"/>
    <w:rsid w:val="00191D3A"/>
    <w:pPr>
      <w:numPr>
        <w:numId w:val="5"/>
      </w:numPr>
    </w:pPr>
  </w:style>
  <w:style w:type="paragraph" w:customStyle="1" w:styleId="Scorecard">
    <w:name w:val="Scorecard"/>
    <w:basedOn w:val="Normal"/>
    <w:qFormat/>
    <w:rsid w:val="00191D3A"/>
    <w:pPr>
      <w:widowControl/>
      <w:suppressAutoHyphens w:val="0"/>
      <w:spacing w:after="0" w:line="240" w:lineRule="auto"/>
    </w:pPr>
    <w:rPr>
      <w:rFonts w:eastAsiaTheme="minorEastAsia" w:cstheme="minorBidi"/>
      <w:szCs w:val="20"/>
    </w:rPr>
  </w:style>
  <w:style w:type="paragraph" w:customStyle="1" w:styleId="paragraph">
    <w:name w:val="paragraph"/>
    <w:basedOn w:val="Normal"/>
    <w:rsid w:val="000303E9"/>
    <w:pPr>
      <w:widowControl/>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0303E9"/>
  </w:style>
  <w:style w:type="character" w:customStyle="1" w:styleId="wacimagecontainer">
    <w:name w:val="wacimagecontainer"/>
    <w:basedOn w:val="DefaultParagraphFont"/>
    <w:rsid w:val="00AE4879"/>
  </w:style>
  <w:style w:type="character" w:customStyle="1" w:styleId="cf01">
    <w:name w:val="cf01"/>
    <w:basedOn w:val="DefaultParagraphFont"/>
    <w:rsid w:val="007B133F"/>
    <w:rPr>
      <w:rFonts w:ascii="Segoe UI" w:hAnsi="Segoe UI" w:cs="Segoe UI" w:hint="default"/>
      <w:sz w:val="18"/>
      <w:szCs w:val="18"/>
    </w:rPr>
  </w:style>
  <w:style w:type="table" w:styleId="GridTable4-Accent5">
    <w:name w:val="Grid Table 4 Accent 5"/>
    <w:basedOn w:val="TableNormal"/>
    <w:uiPriority w:val="49"/>
    <w:rsid w:val="00C16BDE"/>
    <w:rPr>
      <w:rFonts w:ascii="Cambria" w:eastAsia="Cambria" w:hAnsi="Cambria" w:cs="Ari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7956">
      <w:bodyDiv w:val="1"/>
      <w:marLeft w:val="0"/>
      <w:marRight w:val="0"/>
      <w:marTop w:val="0"/>
      <w:marBottom w:val="0"/>
      <w:divBdr>
        <w:top w:val="none" w:sz="0" w:space="0" w:color="auto"/>
        <w:left w:val="none" w:sz="0" w:space="0" w:color="auto"/>
        <w:bottom w:val="none" w:sz="0" w:space="0" w:color="auto"/>
        <w:right w:val="none" w:sz="0" w:space="0" w:color="auto"/>
      </w:divBdr>
    </w:div>
    <w:div w:id="28528620">
      <w:bodyDiv w:val="1"/>
      <w:marLeft w:val="0"/>
      <w:marRight w:val="0"/>
      <w:marTop w:val="0"/>
      <w:marBottom w:val="0"/>
      <w:divBdr>
        <w:top w:val="none" w:sz="0" w:space="0" w:color="auto"/>
        <w:left w:val="none" w:sz="0" w:space="0" w:color="auto"/>
        <w:bottom w:val="none" w:sz="0" w:space="0" w:color="auto"/>
        <w:right w:val="none" w:sz="0" w:space="0" w:color="auto"/>
      </w:divBdr>
      <w:divsChild>
        <w:div w:id="955453369">
          <w:marLeft w:val="0"/>
          <w:marRight w:val="0"/>
          <w:marTop w:val="0"/>
          <w:marBottom w:val="0"/>
          <w:divBdr>
            <w:top w:val="none" w:sz="0" w:space="0" w:color="auto"/>
            <w:left w:val="none" w:sz="0" w:space="0" w:color="auto"/>
            <w:bottom w:val="none" w:sz="0" w:space="0" w:color="auto"/>
            <w:right w:val="none" w:sz="0" w:space="0" w:color="auto"/>
          </w:divBdr>
        </w:div>
        <w:div w:id="1190872396">
          <w:marLeft w:val="0"/>
          <w:marRight w:val="0"/>
          <w:marTop w:val="0"/>
          <w:marBottom w:val="0"/>
          <w:divBdr>
            <w:top w:val="none" w:sz="0" w:space="0" w:color="auto"/>
            <w:left w:val="none" w:sz="0" w:space="0" w:color="auto"/>
            <w:bottom w:val="none" w:sz="0" w:space="0" w:color="auto"/>
            <w:right w:val="none" w:sz="0" w:space="0" w:color="auto"/>
          </w:divBdr>
        </w:div>
      </w:divsChild>
    </w:div>
    <w:div w:id="41485973">
      <w:bodyDiv w:val="1"/>
      <w:marLeft w:val="0"/>
      <w:marRight w:val="0"/>
      <w:marTop w:val="0"/>
      <w:marBottom w:val="0"/>
      <w:divBdr>
        <w:top w:val="none" w:sz="0" w:space="0" w:color="auto"/>
        <w:left w:val="none" w:sz="0" w:space="0" w:color="auto"/>
        <w:bottom w:val="none" w:sz="0" w:space="0" w:color="auto"/>
        <w:right w:val="none" w:sz="0" w:space="0" w:color="auto"/>
      </w:divBdr>
    </w:div>
    <w:div w:id="96560959">
      <w:bodyDiv w:val="1"/>
      <w:marLeft w:val="0"/>
      <w:marRight w:val="0"/>
      <w:marTop w:val="0"/>
      <w:marBottom w:val="0"/>
      <w:divBdr>
        <w:top w:val="none" w:sz="0" w:space="0" w:color="auto"/>
        <w:left w:val="none" w:sz="0" w:space="0" w:color="auto"/>
        <w:bottom w:val="none" w:sz="0" w:space="0" w:color="auto"/>
        <w:right w:val="none" w:sz="0" w:space="0" w:color="auto"/>
      </w:divBdr>
    </w:div>
    <w:div w:id="97677469">
      <w:bodyDiv w:val="1"/>
      <w:marLeft w:val="0"/>
      <w:marRight w:val="0"/>
      <w:marTop w:val="0"/>
      <w:marBottom w:val="0"/>
      <w:divBdr>
        <w:top w:val="none" w:sz="0" w:space="0" w:color="auto"/>
        <w:left w:val="none" w:sz="0" w:space="0" w:color="auto"/>
        <w:bottom w:val="none" w:sz="0" w:space="0" w:color="auto"/>
        <w:right w:val="none" w:sz="0" w:space="0" w:color="auto"/>
      </w:divBdr>
    </w:div>
    <w:div w:id="147091270">
      <w:bodyDiv w:val="1"/>
      <w:marLeft w:val="0"/>
      <w:marRight w:val="0"/>
      <w:marTop w:val="0"/>
      <w:marBottom w:val="0"/>
      <w:divBdr>
        <w:top w:val="none" w:sz="0" w:space="0" w:color="auto"/>
        <w:left w:val="none" w:sz="0" w:space="0" w:color="auto"/>
        <w:bottom w:val="none" w:sz="0" w:space="0" w:color="auto"/>
        <w:right w:val="none" w:sz="0" w:space="0" w:color="auto"/>
      </w:divBdr>
    </w:div>
    <w:div w:id="185100120">
      <w:bodyDiv w:val="1"/>
      <w:marLeft w:val="0"/>
      <w:marRight w:val="0"/>
      <w:marTop w:val="0"/>
      <w:marBottom w:val="0"/>
      <w:divBdr>
        <w:top w:val="none" w:sz="0" w:space="0" w:color="auto"/>
        <w:left w:val="none" w:sz="0" w:space="0" w:color="auto"/>
        <w:bottom w:val="none" w:sz="0" w:space="0" w:color="auto"/>
        <w:right w:val="none" w:sz="0" w:space="0" w:color="auto"/>
      </w:divBdr>
    </w:div>
    <w:div w:id="201598959">
      <w:bodyDiv w:val="1"/>
      <w:marLeft w:val="0"/>
      <w:marRight w:val="0"/>
      <w:marTop w:val="0"/>
      <w:marBottom w:val="0"/>
      <w:divBdr>
        <w:top w:val="none" w:sz="0" w:space="0" w:color="auto"/>
        <w:left w:val="none" w:sz="0" w:space="0" w:color="auto"/>
        <w:bottom w:val="none" w:sz="0" w:space="0" w:color="auto"/>
        <w:right w:val="none" w:sz="0" w:space="0" w:color="auto"/>
      </w:divBdr>
    </w:div>
    <w:div w:id="210650493">
      <w:bodyDiv w:val="1"/>
      <w:marLeft w:val="0"/>
      <w:marRight w:val="0"/>
      <w:marTop w:val="0"/>
      <w:marBottom w:val="0"/>
      <w:divBdr>
        <w:top w:val="none" w:sz="0" w:space="0" w:color="auto"/>
        <w:left w:val="none" w:sz="0" w:space="0" w:color="auto"/>
        <w:bottom w:val="none" w:sz="0" w:space="0" w:color="auto"/>
        <w:right w:val="none" w:sz="0" w:space="0" w:color="auto"/>
      </w:divBdr>
    </w:div>
    <w:div w:id="216285266">
      <w:bodyDiv w:val="1"/>
      <w:marLeft w:val="0"/>
      <w:marRight w:val="0"/>
      <w:marTop w:val="0"/>
      <w:marBottom w:val="0"/>
      <w:divBdr>
        <w:top w:val="none" w:sz="0" w:space="0" w:color="auto"/>
        <w:left w:val="none" w:sz="0" w:space="0" w:color="auto"/>
        <w:bottom w:val="none" w:sz="0" w:space="0" w:color="auto"/>
        <w:right w:val="none" w:sz="0" w:space="0" w:color="auto"/>
      </w:divBdr>
    </w:div>
    <w:div w:id="235095988">
      <w:bodyDiv w:val="1"/>
      <w:marLeft w:val="0"/>
      <w:marRight w:val="0"/>
      <w:marTop w:val="0"/>
      <w:marBottom w:val="0"/>
      <w:divBdr>
        <w:top w:val="none" w:sz="0" w:space="0" w:color="auto"/>
        <w:left w:val="none" w:sz="0" w:space="0" w:color="auto"/>
        <w:bottom w:val="none" w:sz="0" w:space="0" w:color="auto"/>
        <w:right w:val="none" w:sz="0" w:space="0" w:color="auto"/>
      </w:divBdr>
    </w:div>
    <w:div w:id="247690030">
      <w:bodyDiv w:val="1"/>
      <w:marLeft w:val="0"/>
      <w:marRight w:val="0"/>
      <w:marTop w:val="0"/>
      <w:marBottom w:val="0"/>
      <w:divBdr>
        <w:top w:val="none" w:sz="0" w:space="0" w:color="auto"/>
        <w:left w:val="none" w:sz="0" w:space="0" w:color="auto"/>
        <w:bottom w:val="none" w:sz="0" w:space="0" w:color="auto"/>
        <w:right w:val="none" w:sz="0" w:space="0" w:color="auto"/>
      </w:divBdr>
    </w:div>
    <w:div w:id="303505440">
      <w:bodyDiv w:val="1"/>
      <w:marLeft w:val="0"/>
      <w:marRight w:val="0"/>
      <w:marTop w:val="0"/>
      <w:marBottom w:val="0"/>
      <w:divBdr>
        <w:top w:val="none" w:sz="0" w:space="0" w:color="auto"/>
        <w:left w:val="none" w:sz="0" w:space="0" w:color="auto"/>
        <w:bottom w:val="none" w:sz="0" w:space="0" w:color="auto"/>
        <w:right w:val="none" w:sz="0" w:space="0" w:color="auto"/>
      </w:divBdr>
    </w:div>
    <w:div w:id="312947444">
      <w:bodyDiv w:val="1"/>
      <w:marLeft w:val="0"/>
      <w:marRight w:val="0"/>
      <w:marTop w:val="0"/>
      <w:marBottom w:val="0"/>
      <w:divBdr>
        <w:top w:val="none" w:sz="0" w:space="0" w:color="auto"/>
        <w:left w:val="none" w:sz="0" w:space="0" w:color="auto"/>
        <w:bottom w:val="none" w:sz="0" w:space="0" w:color="auto"/>
        <w:right w:val="none" w:sz="0" w:space="0" w:color="auto"/>
      </w:divBdr>
    </w:div>
    <w:div w:id="335808142">
      <w:bodyDiv w:val="1"/>
      <w:marLeft w:val="0"/>
      <w:marRight w:val="0"/>
      <w:marTop w:val="0"/>
      <w:marBottom w:val="0"/>
      <w:divBdr>
        <w:top w:val="none" w:sz="0" w:space="0" w:color="auto"/>
        <w:left w:val="none" w:sz="0" w:space="0" w:color="auto"/>
        <w:bottom w:val="none" w:sz="0" w:space="0" w:color="auto"/>
        <w:right w:val="none" w:sz="0" w:space="0" w:color="auto"/>
      </w:divBdr>
    </w:div>
    <w:div w:id="384372519">
      <w:bodyDiv w:val="1"/>
      <w:marLeft w:val="0"/>
      <w:marRight w:val="0"/>
      <w:marTop w:val="0"/>
      <w:marBottom w:val="0"/>
      <w:divBdr>
        <w:top w:val="none" w:sz="0" w:space="0" w:color="auto"/>
        <w:left w:val="none" w:sz="0" w:space="0" w:color="auto"/>
        <w:bottom w:val="none" w:sz="0" w:space="0" w:color="auto"/>
        <w:right w:val="none" w:sz="0" w:space="0" w:color="auto"/>
      </w:divBdr>
    </w:div>
    <w:div w:id="386149780">
      <w:bodyDiv w:val="1"/>
      <w:marLeft w:val="0"/>
      <w:marRight w:val="0"/>
      <w:marTop w:val="0"/>
      <w:marBottom w:val="0"/>
      <w:divBdr>
        <w:top w:val="none" w:sz="0" w:space="0" w:color="auto"/>
        <w:left w:val="none" w:sz="0" w:space="0" w:color="auto"/>
        <w:bottom w:val="none" w:sz="0" w:space="0" w:color="auto"/>
        <w:right w:val="none" w:sz="0" w:space="0" w:color="auto"/>
      </w:divBdr>
    </w:div>
    <w:div w:id="387534202">
      <w:bodyDiv w:val="1"/>
      <w:marLeft w:val="0"/>
      <w:marRight w:val="0"/>
      <w:marTop w:val="0"/>
      <w:marBottom w:val="0"/>
      <w:divBdr>
        <w:top w:val="none" w:sz="0" w:space="0" w:color="auto"/>
        <w:left w:val="none" w:sz="0" w:space="0" w:color="auto"/>
        <w:bottom w:val="none" w:sz="0" w:space="0" w:color="auto"/>
        <w:right w:val="none" w:sz="0" w:space="0" w:color="auto"/>
      </w:divBdr>
    </w:div>
    <w:div w:id="421726922">
      <w:bodyDiv w:val="1"/>
      <w:marLeft w:val="0"/>
      <w:marRight w:val="0"/>
      <w:marTop w:val="0"/>
      <w:marBottom w:val="0"/>
      <w:divBdr>
        <w:top w:val="none" w:sz="0" w:space="0" w:color="auto"/>
        <w:left w:val="none" w:sz="0" w:space="0" w:color="auto"/>
        <w:bottom w:val="none" w:sz="0" w:space="0" w:color="auto"/>
        <w:right w:val="none" w:sz="0" w:space="0" w:color="auto"/>
      </w:divBdr>
    </w:div>
    <w:div w:id="444034287">
      <w:bodyDiv w:val="1"/>
      <w:marLeft w:val="0"/>
      <w:marRight w:val="0"/>
      <w:marTop w:val="0"/>
      <w:marBottom w:val="0"/>
      <w:divBdr>
        <w:top w:val="none" w:sz="0" w:space="0" w:color="auto"/>
        <w:left w:val="none" w:sz="0" w:space="0" w:color="auto"/>
        <w:bottom w:val="none" w:sz="0" w:space="0" w:color="auto"/>
        <w:right w:val="none" w:sz="0" w:space="0" w:color="auto"/>
      </w:divBdr>
    </w:div>
    <w:div w:id="499084746">
      <w:bodyDiv w:val="1"/>
      <w:marLeft w:val="0"/>
      <w:marRight w:val="0"/>
      <w:marTop w:val="0"/>
      <w:marBottom w:val="0"/>
      <w:divBdr>
        <w:top w:val="none" w:sz="0" w:space="0" w:color="auto"/>
        <w:left w:val="none" w:sz="0" w:space="0" w:color="auto"/>
        <w:bottom w:val="none" w:sz="0" w:space="0" w:color="auto"/>
        <w:right w:val="none" w:sz="0" w:space="0" w:color="auto"/>
      </w:divBdr>
    </w:div>
    <w:div w:id="529732372">
      <w:bodyDiv w:val="1"/>
      <w:marLeft w:val="0"/>
      <w:marRight w:val="0"/>
      <w:marTop w:val="0"/>
      <w:marBottom w:val="0"/>
      <w:divBdr>
        <w:top w:val="none" w:sz="0" w:space="0" w:color="auto"/>
        <w:left w:val="none" w:sz="0" w:space="0" w:color="auto"/>
        <w:bottom w:val="none" w:sz="0" w:space="0" w:color="auto"/>
        <w:right w:val="none" w:sz="0" w:space="0" w:color="auto"/>
      </w:divBdr>
    </w:div>
    <w:div w:id="547452060">
      <w:bodyDiv w:val="1"/>
      <w:marLeft w:val="0"/>
      <w:marRight w:val="0"/>
      <w:marTop w:val="0"/>
      <w:marBottom w:val="0"/>
      <w:divBdr>
        <w:top w:val="none" w:sz="0" w:space="0" w:color="auto"/>
        <w:left w:val="none" w:sz="0" w:space="0" w:color="auto"/>
        <w:bottom w:val="none" w:sz="0" w:space="0" w:color="auto"/>
        <w:right w:val="none" w:sz="0" w:space="0" w:color="auto"/>
      </w:divBdr>
    </w:div>
    <w:div w:id="560989011">
      <w:bodyDiv w:val="1"/>
      <w:marLeft w:val="0"/>
      <w:marRight w:val="0"/>
      <w:marTop w:val="0"/>
      <w:marBottom w:val="0"/>
      <w:divBdr>
        <w:top w:val="none" w:sz="0" w:space="0" w:color="auto"/>
        <w:left w:val="none" w:sz="0" w:space="0" w:color="auto"/>
        <w:bottom w:val="none" w:sz="0" w:space="0" w:color="auto"/>
        <w:right w:val="none" w:sz="0" w:space="0" w:color="auto"/>
      </w:divBdr>
    </w:div>
    <w:div w:id="589587505">
      <w:bodyDiv w:val="1"/>
      <w:marLeft w:val="0"/>
      <w:marRight w:val="0"/>
      <w:marTop w:val="0"/>
      <w:marBottom w:val="0"/>
      <w:divBdr>
        <w:top w:val="none" w:sz="0" w:space="0" w:color="auto"/>
        <w:left w:val="none" w:sz="0" w:space="0" w:color="auto"/>
        <w:bottom w:val="none" w:sz="0" w:space="0" w:color="auto"/>
        <w:right w:val="none" w:sz="0" w:space="0" w:color="auto"/>
      </w:divBdr>
    </w:div>
    <w:div w:id="675232276">
      <w:bodyDiv w:val="1"/>
      <w:marLeft w:val="0"/>
      <w:marRight w:val="0"/>
      <w:marTop w:val="0"/>
      <w:marBottom w:val="0"/>
      <w:divBdr>
        <w:top w:val="none" w:sz="0" w:space="0" w:color="auto"/>
        <w:left w:val="none" w:sz="0" w:space="0" w:color="auto"/>
        <w:bottom w:val="none" w:sz="0" w:space="0" w:color="auto"/>
        <w:right w:val="none" w:sz="0" w:space="0" w:color="auto"/>
      </w:divBdr>
    </w:div>
    <w:div w:id="843857346">
      <w:bodyDiv w:val="1"/>
      <w:marLeft w:val="0"/>
      <w:marRight w:val="0"/>
      <w:marTop w:val="0"/>
      <w:marBottom w:val="0"/>
      <w:divBdr>
        <w:top w:val="none" w:sz="0" w:space="0" w:color="auto"/>
        <w:left w:val="none" w:sz="0" w:space="0" w:color="auto"/>
        <w:bottom w:val="none" w:sz="0" w:space="0" w:color="auto"/>
        <w:right w:val="none" w:sz="0" w:space="0" w:color="auto"/>
      </w:divBdr>
    </w:div>
    <w:div w:id="849417052">
      <w:bodyDiv w:val="1"/>
      <w:marLeft w:val="0"/>
      <w:marRight w:val="0"/>
      <w:marTop w:val="0"/>
      <w:marBottom w:val="0"/>
      <w:divBdr>
        <w:top w:val="none" w:sz="0" w:space="0" w:color="auto"/>
        <w:left w:val="none" w:sz="0" w:space="0" w:color="auto"/>
        <w:bottom w:val="none" w:sz="0" w:space="0" w:color="auto"/>
        <w:right w:val="none" w:sz="0" w:space="0" w:color="auto"/>
      </w:divBdr>
    </w:div>
    <w:div w:id="885484497">
      <w:bodyDiv w:val="1"/>
      <w:marLeft w:val="0"/>
      <w:marRight w:val="0"/>
      <w:marTop w:val="0"/>
      <w:marBottom w:val="0"/>
      <w:divBdr>
        <w:top w:val="none" w:sz="0" w:space="0" w:color="auto"/>
        <w:left w:val="none" w:sz="0" w:space="0" w:color="auto"/>
        <w:bottom w:val="none" w:sz="0" w:space="0" w:color="auto"/>
        <w:right w:val="none" w:sz="0" w:space="0" w:color="auto"/>
      </w:divBdr>
    </w:div>
    <w:div w:id="940526736">
      <w:bodyDiv w:val="1"/>
      <w:marLeft w:val="0"/>
      <w:marRight w:val="0"/>
      <w:marTop w:val="0"/>
      <w:marBottom w:val="0"/>
      <w:divBdr>
        <w:top w:val="none" w:sz="0" w:space="0" w:color="auto"/>
        <w:left w:val="none" w:sz="0" w:space="0" w:color="auto"/>
        <w:bottom w:val="none" w:sz="0" w:space="0" w:color="auto"/>
        <w:right w:val="none" w:sz="0" w:space="0" w:color="auto"/>
      </w:divBdr>
    </w:div>
    <w:div w:id="1015888953">
      <w:bodyDiv w:val="1"/>
      <w:marLeft w:val="0"/>
      <w:marRight w:val="0"/>
      <w:marTop w:val="0"/>
      <w:marBottom w:val="0"/>
      <w:divBdr>
        <w:top w:val="none" w:sz="0" w:space="0" w:color="auto"/>
        <w:left w:val="none" w:sz="0" w:space="0" w:color="auto"/>
        <w:bottom w:val="none" w:sz="0" w:space="0" w:color="auto"/>
        <w:right w:val="none" w:sz="0" w:space="0" w:color="auto"/>
      </w:divBdr>
    </w:div>
    <w:div w:id="1022053401">
      <w:bodyDiv w:val="1"/>
      <w:marLeft w:val="0"/>
      <w:marRight w:val="0"/>
      <w:marTop w:val="0"/>
      <w:marBottom w:val="0"/>
      <w:divBdr>
        <w:top w:val="none" w:sz="0" w:space="0" w:color="auto"/>
        <w:left w:val="none" w:sz="0" w:space="0" w:color="auto"/>
        <w:bottom w:val="none" w:sz="0" w:space="0" w:color="auto"/>
        <w:right w:val="none" w:sz="0" w:space="0" w:color="auto"/>
      </w:divBdr>
      <w:divsChild>
        <w:div w:id="325859346">
          <w:marLeft w:val="605"/>
          <w:marRight w:val="0"/>
          <w:marTop w:val="200"/>
          <w:marBottom w:val="40"/>
          <w:divBdr>
            <w:top w:val="none" w:sz="0" w:space="0" w:color="auto"/>
            <w:left w:val="none" w:sz="0" w:space="0" w:color="auto"/>
            <w:bottom w:val="none" w:sz="0" w:space="0" w:color="auto"/>
            <w:right w:val="none" w:sz="0" w:space="0" w:color="auto"/>
          </w:divBdr>
        </w:div>
        <w:div w:id="412631925">
          <w:marLeft w:val="605"/>
          <w:marRight w:val="0"/>
          <w:marTop w:val="200"/>
          <w:marBottom w:val="40"/>
          <w:divBdr>
            <w:top w:val="none" w:sz="0" w:space="0" w:color="auto"/>
            <w:left w:val="none" w:sz="0" w:space="0" w:color="auto"/>
            <w:bottom w:val="none" w:sz="0" w:space="0" w:color="auto"/>
            <w:right w:val="none" w:sz="0" w:space="0" w:color="auto"/>
          </w:divBdr>
        </w:div>
        <w:div w:id="715393887">
          <w:marLeft w:val="605"/>
          <w:marRight w:val="0"/>
          <w:marTop w:val="200"/>
          <w:marBottom w:val="40"/>
          <w:divBdr>
            <w:top w:val="none" w:sz="0" w:space="0" w:color="auto"/>
            <w:left w:val="none" w:sz="0" w:space="0" w:color="auto"/>
            <w:bottom w:val="none" w:sz="0" w:space="0" w:color="auto"/>
            <w:right w:val="none" w:sz="0" w:space="0" w:color="auto"/>
          </w:divBdr>
        </w:div>
        <w:div w:id="870847150">
          <w:marLeft w:val="605"/>
          <w:marRight w:val="0"/>
          <w:marTop w:val="200"/>
          <w:marBottom w:val="40"/>
          <w:divBdr>
            <w:top w:val="none" w:sz="0" w:space="0" w:color="auto"/>
            <w:left w:val="none" w:sz="0" w:space="0" w:color="auto"/>
            <w:bottom w:val="none" w:sz="0" w:space="0" w:color="auto"/>
            <w:right w:val="none" w:sz="0" w:space="0" w:color="auto"/>
          </w:divBdr>
        </w:div>
        <w:div w:id="1475610306">
          <w:marLeft w:val="605"/>
          <w:marRight w:val="0"/>
          <w:marTop w:val="200"/>
          <w:marBottom w:val="40"/>
          <w:divBdr>
            <w:top w:val="none" w:sz="0" w:space="0" w:color="auto"/>
            <w:left w:val="none" w:sz="0" w:space="0" w:color="auto"/>
            <w:bottom w:val="none" w:sz="0" w:space="0" w:color="auto"/>
            <w:right w:val="none" w:sz="0" w:space="0" w:color="auto"/>
          </w:divBdr>
        </w:div>
        <w:div w:id="1834947617">
          <w:marLeft w:val="605"/>
          <w:marRight w:val="0"/>
          <w:marTop w:val="200"/>
          <w:marBottom w:val="40"/>
          <w:divBdr>
            <w:top w:val="none" w:sz="0" w:space="0" w:color="auto"/>
            <w:left w:val="none" w:sz="0" w:space="0" w:color="auto"/>
            <w:bottom w:val="none" w:sz="0" w:space="0" w:color="auto"/>
            <w:right w:val="none" w:sz="0" w:space="0" w:color="auto"/>
          </w:divBdr>
        </w:div>
        <w:div w:id="2133205279">
          <w:marLeft w:val="605"/>
          <w:marRight w:val="0"/>
          <w:marTop w:val="200"/>
          <w:marBottom w:val="40"/>
          <w:divBdr>
            <w:top w:val="none" w:sz="0" w:space="0" w:color="auto"/>
            <w:left w:val="none" w:sz="0" w:space="0" w:color="auto"/>
            <w:bottom w:val="none" w:sz="0" w:space="0" w:color="auto"/>
            <w:right w:val="none" w:sz="0" w:space="0" w:color="auto"/>
          </w:divBdr>
        </w:div>
      </w:divsChild>
    </w:div>
    <w:div w:id="1027948389">
      <w:bodyDiv w:val="1"/>
      <w:marLeft w:val="0"/>
      <w:marRight w:val="0"/>
      <w:marTop w:val="0"/>
      <w:marBottom w:val="0"/>
      <w:divBdr>
        <w:top w:val="none" w:sz="0" w:space="0" w:color="auto"/>
        <w:left w:val="none" w:sz="0" w:space="0" w:color="auto"/>
        <w:bottom w:val="none" w:sz="0" w:space="0" w:color="auto"/>
        <w:right w:val="none" w:sz="0" w:space="0" w:color="auto"/>
      </w:divBdr>
    </w:div>
    <w:div w:id="1072895464">
      <w:bodyDiv w:val="1"/>
      <w:marLeft w:val="0"/>
      <w:marRight w:val="0"/>
      <w:marTop w:val="0"/>
      <w:marBottom w:val="0"/>
      <w:divBdr>
        <w:top w:val="none" w:sz="0" w:space="0" w:color="auto"/>
        <w:left w:val="none" w:sz="0" w:space="0" w:color="auto"/>
        <w:bottom w:val="none" w:sz="0" w:space="0" w:color="auto"/>
        <w:right w:val="none" w:sz="0" w:space="0" w:color="auto"/>
      </w:divBdr>
    </w:div>
    <w:div w:id="1074356183">
      <w:bodyDiv w:val="1"/>
      <w:marLeft w:val="0"/>
      <w:marRight w:val="0"/>
      <w:marTop w:val="0"/>
      <w:marBottom w:val="0"/>
      <w:divBdr>
        <w:top w:val="none" w:sz="0" w:space="0" w:color="auto"/>
        <w:left w:val="none" w:sz="0" w:space="0" w:color="auto"/>
        <w:bottom w:val="none" w:sz="0" w:space="0" w:color="auto"/>
        <w:right w:val="none" w:sz="0" w:space="0" w:color="auto"/>
      </w:divBdr>
    </w:div>
    <w:div w:id="1166752610">
      <w:bodyDiv w:val="1"/>
      <w:marLeft w:val="0"/>
      <w:marRight w:val="0"/>
      <w:marTop w:val="0"/>
      <w:marBottom w:val="0"/>
      <w:divBdr>
        <w:top w:val="none" w:sz="0" w:space="0" w:color="auto"/>
        <w:left w:val="none" w:sz="0" w:space="0" w:color="auto"/>
        <w:bottom w:val="none" w:sz="0" w:space="0" w:color="auto"/>
        <w:right w:val="none" w:sz="0" w:space="0" w:color="auto"/>
      </w:divBdr>
    </w:div>
    <w:div w:id="1172070150">
      <w:bodyDiv w:val="1"/>
      <w:marLeft w:val="0"/>
      <w:marRight w:val="0"/>
      <w:marTop w:val="0"/>
      <w:marBottom w:val="0"/>
      <w:divBdr>
        <w:top w:val="none" w:sz="0" w:space="0" w:color="auto"/>
        <w:left w:val="none" w:sz="0" w:space="0" w:color="auto"/>
        <w:bottom w:val="none" w:sz="0" w:space="0" w:color="auto"/>
        <w:right w:val="none" w:sz="0" w:space="0" w:color="auto"/>
      </w:divBdr>
    </w:div>
    <w:div w:id="1172985404">
      <w:bodyDiv w:val="1"/>
      <w:marLeft w:val="0"/>
      <w:marRight w:val="0"/>
      <w:marTop w:val="0"/>
      <w:marBottom w:val="0"/>
      <w:divBdr>
        <w:top w:val="none" w:sz="0" w:space="0" w:color="auto"/>
        <w:left w:val="none" w:sz="0" w:space="0" w:color="auto"/>
        <w:bottom w:val="none" w:sz="0" w:space="0" w:color="auto"/>
        <w:right w:val="none" w:sz="0" w:space="0" w:color="auto"/>
      </w:divBdr>
    </w:div>
    <w:div w:id="1201864855">
      <w:bodyDiv w:val="1"/>
      <w:marLeft w:val="0"/>
      <w:marRight w:val="0"/>
      <w:marTop w:val="0"/>
      <w:marBottom w:val="0"/>
      <w:divBdr>
        <w:top w:val="none" w:sz="0" w:space="0" w:color="auto"/>
        <w:left w:val="none" w:sz="0" w:space="0" w:color="auto"/>
        <w:bottom w:val="none" w:sz="0" w:space="0" w:color="auto"/>
        <w:right w:val="none" w:sz="0" w:space="0" w:color="auto"/>
      </w:divBdr>
      <w:divsChild>
        <w:div w:id="648052663">
          <w:marLeft w:val="0"/>
          <w:marRight w:val="0"/>
          <w:marTop w:val="0"/>
          <w:marBottom w:val="0"/>
          <w:divBdr>
            <w:top w:val="none" w:sz="0" w:space="0" w:color="auto"/>
            <w:left w:val="none" w:sz="0" w:space="0" w:color="auto"/>
            <w:bottom w:val="none" w:sz="0" w:space="0" w:color="auto"/>
            <w:right w:val="none" w:sz="0" w:space="0" w:color="auto"/>
          </w:divBdr>
        </w:div>
      </w:divsChild>
    </w:div>
    <w:div w:id="1256941027">
      <w:bodyDiv w:val="1"/>
      <w:marLeft w:val="0"/>
      <w:marRight w:val="0"/>
      <w:marTop w:val="0"/>
      <w:marBottom w:val="0"/>
      <w:divBdr>
        <w:top w:val="none" w:sz="0" w:space="0" w:color="auto"/>
        <w:left w:val="none" w:sz="0" w:space="0" w:color="auto"/>
        <w:bottom w:val="none" w:sz="0" w:space="0" w:color="auto"/>
        <w:right w:val="none" w:sz="0" w:space="0" w:color="auto"/>
      </w:divBdr>
    </w:div>
    <w:div w:id="1267155156">
      <w:bodyDiv w:val="1"/>
      <w:marLeft w:val="0"/>
      <w:marRight w:val="0"/>
      <w:marTop w:val="0"/>
      <w:marBottom w:val="0"/>
      <w:divBdr>
        <w:top w:val="none" w:sz="0" w:space="0" w:color="auto"/>
        <w:left w:val="none" w:sz="0" w:space="0" w:color="auto"/>
        <w:bottom w:val="none" w:sz="0" w:space="0" w:color="auto"/>
        <w:right w:val="none" w:sz="0" w:space="0" w:color="auto"/>
      </w:divBdr>
      <w:divsChild>
        <w:div w:id="1756436991">
          <w:marLeft w:val="547"/>
          <w:marRight w:val="0"/>
          <w:marTop w:val="0"/>
          <w:marBottom w:val="0"/>
          <w:divBdr>
            <w:top w:val="none" w:sz="0" w:space="0" w:color="auto"/>
            <w:left w:val="none" w:sz="0" w:space="0" w:color="auto"/>
            <w:bottom w:val="none" w:sz="0" w:space="0" w:color="auto"/>
            <w:right w:val="none" w:sz="0" w:space="0" w:color="auto"/>
          </w:divBdr>
        </w:div>
      </w:divsChild>
    </w:div>
    <w:div w:id="1288118718">
      <w:bodyDiv w:val="1"/>
      <w:marLeft w:val="0"/>
      <w:marRight w:val="0"/>
      <w:marTop w:val="0"/>
      <w:marBottom w:val="0"/>
      <w:divBdr>
        <w:top w:val="none" w:sz="0" w:space="0" w:color="auto"/>
        <w:left w:val="none" w:sz="0" w:space="0" w:color="auto"/>
        <w:bottom w:val="none" w:sz="0" w:space="0" w:color="auto"/>
        <w:right w:val="none" w:sz="0" w:space="0" w:color="auto"/>
      </w:divBdr>
    </w:div>
    <w:div w:id="1316563687">
      <w:bodyDiv w:val="1"/>
      <w:marLeft w:val="0"/>
      <w:marRight w:val="0"/>
      <w:marTop w:val="0"/>
      <w:marBottom w:val="0"/>
      <w:divBdr>
        <w:top w:val="none" w:sz="0" w:space="0" w:color="auto"/>
        <w:left w:val="none" w:sz="0" w:space="0" w:color="auto"/>
        <w:bottom w:val="none" w:sz="0" w:space="0" w:color="auto"/>
        <w:right w:val="none" w:sz="0" w:space="0" w:color="auto"/>
      </w:divBdr>
    </w:div>
    <w:div w:id="1335767541">
      <w:bodyDiv w:val="1"/>
      <w:marLeft w:val="0"/>
      <w:marRight w:val="0"/>
      <w:marTop w:val="0"/>
      <w:marBottom w:val="0"/>
      <w:divBdr>
        <w:top w:val="none" w:sz="0" w:space="0" w:color="auto"/>
        <w:left w:val="none" w:sz="0" w:space="0" w:color="auto"/>
        <w:bottom w:val="none" w:sz="0" w:space="0" w:color="auto"/>
        <w:right w:val="none" w:sz="0" w:space="0" w:color="auto"/>
      </w:divBdr>
    </w:div>
    <w:div w:id="1351372516">
      <w:bodyDiv w:val="1"/>
      <w:marLeft w:val="0"/>
      <w:marRight w:val="0"/>
      <w:marTop w:val="0"/>
      <w:marBottom w:val="0"/>
      <w:divBdr>
        <w:top w:val="none" w:sz="0" w:space="0" w:color="auto"/>
        <w:left w:val="none" w:sz="0" w:space="0" w:color="auto"/>
        <w:bottom w:val="none" w:sz="0" w:space="0" w:color="auto"/>
        <w:right w:val="none" w:sz="0" w:space="0" w:color="auto"/>
      </w:divBdr>
    </w:div>
    <w:div w:id="1353844510">
      <w:bodyDiv w:val="1"/>
      <w:marLeft w:val="0"/>
      <w:marRight w:val="0"/>
      <w:marTop w:val="0"/>
      <w:marBottom w:val="0"/>
      <w:divBdr>
        <w:top w:val="none" w:sz="0" w:space="0" w:color="auto"/>
        <w:left w:val="none" w:sz="0" w:space="0" w:color="auto"/>
        <w:bottom w:val="none" w:sz="0" w:space="0" w:color="auto"/>
        <w:right w:val="none" w:sz="0" w:space="0" w:color="auto"/>
      </w:divBdr>
    </w:div>
    <w:div w:id="1367290063">
      <w:bodyDiv w:val="1"/>
      <w:marLeft w:val="0"/>
      <w:marRight w:val="0"/>
      <w:marTop w:val="0"/>
      <w:marBottom w:val="0"/>
      <w:divBdr>
        <w:top w:val="none" w:sz="0" w:space="0" w:color="auto"/>
        <w:left w:val="none" w:sz="0" w:space="0" w:color="auto"/>
        <w:bottom w:val="none" w:sz="0" w:space="0" w:color="auto"/>
        <w:right w:val="none" w:sz="0" w:space="0" w:color="auto"/>
      </w:divBdr>
    </w:div>
    <w:div w:id="1408576926">
      <w:bodyDiv w:val="1"/>
      <w:marLeft w:val="0"/>
      <w:marRight w:val="0"/>
      <w:marTop w:val="0"/>
      <w:marBottom w:val="0"/>
      <w:divBdr>
        <w:top w:val="none" w:sz="0" w:space="0" w:color="auto"/>
        <w:left w:val="none" w:sz="0" w:space="0" w:color="auto"/>
        <w:bottom w:val="none" w:sz="0" w:space="0" w:color="auto"/>
        <w:right w:val="none" w:sz="0" w:space="0" w:color="auto"/>
      </w:divBdr>
    </w:div>
    <w:div w:id="1463767664">
      <w:bodyDiv w:val="1"/>
      <w:marLeft w:val="0"/>
      <w:marRight w:val="0"/>
      <w:marTop w:val="0"/>
      <w:marBottom w:val="0"/>
      <w:divBdr>
        <w:top w:val="none" w:sz="0" w:space="0" w:color="auto"/>
        <w:left w:val="none" w:sz="0" w:space="0" w:color="auto"/>
        <w:bottom w:val="none" w:sz="0" w:space="0" w:color="auto"/>
        <w:right w:val="none" w:sz="0" w:space="0" w:color="auto"/>
      </w:divBdr>
    </w:div>
    <w:div w:id="1465271983">
      <w:bodyDiv w:val="1"/>
      <w:marLeft w:val="0"/>
      <w:marRight w:val="0"/>
      <w:marTop w:val="0"/>
      <w:marBottom w:val="0"/>
      <w:divBdr>
        <w:top w:val="none" w:sz="0" w:space="0" w:color="auto"/>
        <w:left w:val="none" w:sz="0" w:space="0" w:color="auto"/>
        <w:bottom w:val="none" w:sz="0" w:space="0" w:color="auto"/>
        <w:right w:val="none" w:sz="0" w:space="0" w:color="auto"/>
      </w:divBdr>
    </w:div>
    <w:div w:id="1496072227">
      <w:bodyDiv w:val="1"/>
      <w:marLeft w:val="0"/>
      <w:marRight w:val="0"/>
      <w:marTop w:val="0"/>
      <w:marBottom w:val="0"/>
      <w:divBdr>
        <w:top w:val="none" w:sz="0" w:space="0" w:color="auto"/>
        <w:left w:val="none" w:sz="0" w:space="0" w:color="auto"/>
        <w:bottom w:val="none" w:sz="0" w:space="0" w:color="auto"/>
        <w:right w:val="none" w:sz="0" w:space="0" w:color="auto"/>
      </w:divBdr>
      <w:divsChild>
        <w:div w:id="185411549">
          <w:marLeft w:val="0"/>
          <w:marRight w:val="0"/>
          <w:marTop w:val="0"/>
          <w:marBottom w:val="0"/>
          <w:divBdr>
            <w:top w:val="none" w:sz="0" w:space="0" w:color="auto"/>
            <w:left w:val="none" w:sz="0" w:space="0" w:color="auto"/>
            <w:bottom w:val="none" w:sz="0" w:space="0" w:color="auto"/>
            <w:right w:val="none" w:sz="0" w:space="0" w:color="auto"/>
          </w:divBdr>
        </w:div>
        <w:div w:id="224531084">
          <w:marLeft w:val="0"/>
          <w:marRight w:val="0"/>
          <w:marTop w:val="0"/>
          <w:marBottom w:val="0"/>
          <w:divBdr>
            <w:top w:val="none" w:sz="0" w:space="0" w:color="auto"/>
            <w:left w:val="none" w:sz="0" w:space="0" w:color="auto"/>
            <w:bottom w:val="none" w:sz="0" w:space="0" w:color="auto"/>
            <w:right w:val="none" w:sz="0" w:space="0" w:color="auto"/>
          </w:divBdr>
        </w:div>
        <w:div w:id="1526556219">
          <w:marLeft w:val="0"/>
          <w:marRight w:val="0"/>
          <w:marTop w:val="0"/>
          <w:marBottom w:val="0"/>
          <w:divBdr>
            <w:top w:val="none" w:sz="0" w:space="0" w:color="auto"/>
            <w:left w:val="none" w:sz="0" w:space="0" w:color="auto"/>
            <w:bottom w:val="none" w:sz="0" w:space="0" w:color="auto"/>
            <w:right w:val="none" w:sz="0" w:space="0" w:color="auto"/>
          </w:divBdr>
        </w:div>
        <w:div w:id="2019040640">
          <w:marLeft w:val="0"/>
          <w:marRight w:val="0"/>
          <w:marTop w:val="0"/>
          <w:marBottom w:val="0"/>
          <w:divBdr>
            <w:top w:val="none" w:sz="0" w:space="0" w:color="auto"/>
            <w:left w:val="none" w:sz="0" w:space="0" w:color="auto"/>
            <w:bottom w:val="none" w:sz="0" w:space="0" w:color="auto"/>
            <w:right w:val="none" w:sz="0" w:space="0" w:color="auto"/>
          </w:divBdr>
        </w:div>
      </w:divsChild>
    </w:div>
    <w:div w:id="1497529820">
      <w:bodyDiv w:val="1"/>
      <w:marLeft w:val="0"/>
      <w:marRight w:val="0"/>
      <w:marTop w:val="0"/>
      <w:marBottom w:val="0"/>
      <w:divBdr>
        <w:top w:val="none" w:sz="0" w:space="0" w:color="auto"/>
        <w:left w:val="none" w:sz="0" w:space="0" w:color="auto"/>
        <w:bottom w:val="none" w:sz="0" w:space="0" w:color="auto"/>
        <w:right w:val="none" w:sz="0" w:space="0" w:color="auto"/>
      </w:divBdr>
    </w:div>
    <w:div w:id="1516651301">
      <w:bodyDiv w:val="1"/>
      <w:marLeft w:val="0"/>
      <w:marRight w:val="0"/>
      <w:marTop w:val="0"/>
      <w:marBottom w:val="0"/>
      <w:divBdr>
        <w:top w:val="none" w:sz="0" w:space="0" w:color="auto"/>
        <w:left w:val="none" w:sz="0" w:space="0" w:color="auto"/>
        <w:bottom w:val="none" w:sz="0" w:space="0" w:color="auto"/>
        <w:right w:val="none" w:sz="0" w:space="0" w:color="auto"/>
      </w:divBdr>
    </w:div>
    <w:div w:id="1576741738">
      <w:bodyDiv w:val="1"/>
      <w:marLeft w:val="0"/>
      <w:marRight w:val="0"/>
      <w:marTop w:val="0"/>
      <w:marBottom w:val="0"/>
      <w:divBdr>
        <w:top w:val="none" w:sz="0" w:space="0" w:color="auto"/>
        <w:left w:val="none" w:sz="0" w:space="0" w:color="auto"/>
        <w:bottom w:val="none" w:sz="0" w:space="0" w:color="auto"/>
        <w:right w:val="none" w:sz="0" w:space="0" w:color="auto"/>
      </w:divBdr>
    </w:div>
    <w:div w:id="1608659780">
      <w:bodyDiv w:val="1"/>
      <w:marLeft w:val="0"/>
      <w:marRight w:val="0"/>
      <w:marTop w:val="0"/>
      <w:marBottom w:val="0"/>
      <w:divBdr>
        <w:top w:val="none" w:sz="0" w:space="0" w:color="auto"/>
        <w:left w:val="none" w:sz="0" w:space="0" w:color="auto"/>
        <w:bottom w:val="none" w:sz="0" w:space="0" w:color="auto"/>
        <w:right w:val="none" w:sz="0" w:space="0" w:color="auto"/>
      </w:divBdr>
    </w:div>
    <w:div w:id="1615866206">
      <w:bodyDiv w:val="1"/>
      <w:marLeft w:val="0"/>
      <w:marRight w:val="0"/>
      <w:marTop w:val="0"/>
      <w:marBottom w:val="0"/>
      <w:divBdr>
        <w:top w:val="none" w:sz="0" w:space="0" w:color="auto"/>
        <w:left w:val="none" w:sz="0" w:space="0" w:color="auto"/>
        <w:bottom w:val="none" w:sz="0" w:space="0" w:color="auto"/>
        <w:right w:val="none" w:sz="0" w:space="0" w:color="auto"/>
      </w:divBdr>
    </w:div>
    <w:div w:id="1620599058">
      <w:bodyDiv w:val="1"/>
      <w:marLeft w:val="0"/>
      <w:marRight w:val="0"/>
      <w:marTop w:val="0"/>
      <w:marBottom w:val="0"/>
      <w:divBdr>
        <w:top w:val="none" w:sz="0" w:space="0" w:color="auto"/>
        <w:left w:val="none" w:sz="0" w:space="0" w:color="auto"/>
        <w:bottom w:val="none" w:sz="0" w:space="0" w:color="auto"/>
        <w:right w:val="none" w:sz="0" w:space="0" w:color="auto"/>
      </w:divBdr>
    </w:div>
    <w:div w:id="1644694972">
      <w:bodyDiv w:val="1"/>
      <w:marLeft w:val="0"/>
      <w:marRight w:val="0"/>
      <w:marTop w:val="0"/>
      <w:marBottom w:val="0"/>
      <w:divBdr>
        <w:top w:val="none" w:sz="0" w:space="0" w:color="auto"/>
        <w:left w:val="none" w:sz="0" w:space="0" w:color="auto"/>
        <w:bottom w:val="none" w:sz="0" w:space="0" w:color="auto"/>
        <w:right w:val="none" w:sz="0" w:space="0" w:color="auto"/>
      </w:divBdr>
    </w:div>
    <w:div w:id="1669400488">
      <w:bodyDiv w:val="1"/>
      <w:marLeft w:val="0"/>
      <w:marRight w:val="0"/>
      <w:marTop w:val="0"/>
      <w:marBottom w:val="0"/>
      <w:divBdr>
        <w:top w:val="none" w:sz="0" w:space="0" w:color="auto"/>
        <w:left w:val="none" w:sz="0" w:space="0" w:color="auto"/>
        <w:bottom w:val="none" w:sz="0" w:space="0" w:color="auto"/>
        <w:right w:val="none" w:sz="0" w:space="0" w:color="auto"/>
      </w:divBdr>
    </w:div>
    <w:div w:id="1679187408">
      <w:bodyDiv w:val="1"/>
      <w:marLeft w:val="0"/>
      <w:marRight w:val="0"/>
      <w:marTop w:val="0"/>
      <w:marBottom w:val="0"/>
      <w:divBdr>
        <w:top w:val="none" w:sz="0" w:space="0" w:color="auto"/>
        <w:left w:val="none" w:sz="0" w:space="0" w:color="auto"/>
        <w:bottom w:val="none" w:sz="0" w:space="0" w:color="auto"/>
        <w:right w:val="none" w:sz="0" w:space="0" w:color="auto"/>
      </w:divBdr>
    </w:div>
    <w:div w:id="1685939580">
      <w:bodyDiv w:val="1"/>
      <w:marLeft w:val="0"/>
      <w:marRight w:val="0"/>
      <w:marTop w:val="0"/>
      <w:marBottom w:val="0"/>
      <w:divBdr>
        <w:top w:val="none" w:sz="0" w:space="0" w:color="auto"/>
        <w:left w:val="none" w:sz="0" w:space="0" w:color="auto"/>
        <w:bottom w:val="none" w:sz="0" w:space="0" w:color="auto"/>
        <w:right w:val="none" w:sz="0" w:space="0" w:color="auto"/>
      </w:divBdr>
    </w:div>
    <w:div w:id="1693989764">
      <w:bodyDiv w:val="1"/>
      <w:marLeft w:val="0"/>
      <w:marRight w:val="0"/>
      <w:marTop w:val="0"/>
      <w:marBottom w:val="0"/>
      <w:divBdr>
        <w:top w:val="none" w:sz="0" w:space="0" w:color="auto"/>
        <w:left w:val="none" w:sz="0" w:space="0" w:color="auto"/>
        <w:bottom w:val="none" w:sz="0" w:space="0" w:color="auto"/>
        <w:right w:val="none" w:sz="0" w:space="0" w:color="auto"/>
      </w:divBdr>
    </w:div>
    <w:div w:id="1731070731">
      <w:bodyDiv w:val="1"/>
      <w:marLeft w:val="0"/>
      <w:marRight w:val="0"/>
      <w:marTop w:val="0"/>
      <w:marBottom w:val="0"/>
      <w:divBdr>
        <w:top w:val="none" w:sz="0" w:space="0" w:color="auto"/>
        <w:left w:val="none" w:sz="0" w:space="0" w:color="auto"/>
        <w:bottom w:val="none" w:sz="0" w:space="0" w:color="auto"/>
        <w:right w:val="none" w:sz="0" w:space="0" w:color="auto"/>
      </w:divBdr>
    </w:div>
    <w:div w:id="1753307516">
      <w:bodyDiv w:val="1"/>
      <w:marLeft w:val="0"/>
      <w:marRight w:val="0"/>
      <w:marTop w:val="0"/>
      <w:marBottom w:val="0"/>
      <w:divBdr>
        <w:top w:val="none" w:sz="0" w:space="0" w:color="auto"/>
        <w:left w:val="none" w:sz="0" w:space="0" w:color="auto"/>
        <w:bottom w:val="none" w:sz="0" w:space="0" w:color="auto"/>
        <w:right w:val="none" w:sz="0" w:space="0" w:color="auto"/>
      </w:divBdr>
    </w:div>
    <w:div w:id="1772696984">
      <w:bodyDiv w:val="1"/>
      <w:marLeft w:val="0"/>
      <w:marRight w:val="0"/>
      <w:marTop w:val="0"/>
      <w:marBottom w:val="0"/>
      <w:divBdr>
        <w:top w:val="none" w:sz="0" w:space="0" w:color="auto"/>
        <w:left w:val="none" w:sz="0" w:space="0" w:color="auto"/>
        <w:bottom w:val="none" w:sz="0" w:space="0" w:color="auto"/>
        <w:right w:val="none" w:sz="0" w:space="0" w:color="auto"/>
      </w:divBdr>
    </w:div>
    <w:div w:id="1820725529">
      <w:bodyDiv w:val="1"/>
      <w:marLeft w:val="0"/>
      <w:marRight w:val="0"/>
      <w:marTop w:val="0"/>
      <w:marBottom w:val="0"/>
      <w:divBdr>
        <w:top w:val="none" w:sz="0" w:space="0" w:color="auto"/>
        <w:left w:val="none" w:sz="0" w:space="0" w:color="auto"/>
        <w:bottom w:val="none" w:sz="0" w:space="0" w:color="auto"/>
        <w:right w:val="none" w:sz="0" w:space="0" w:color="auto"/>
      </w:divBdr>
    </w:div>
    <w:div w:id="1822572396">
      <w:bodyDiv w:val="1"/>
      <w:marLeft w:val="0"/>
      <w:marRight w:val="0"/>
      <w:marTop w:val="0"/>
      <w:marBottom w:val="0"/>
      <w:divBdr>
        <w:top w:val="none" w:sz="0" w:space="0" w:color="auto"/>
        <w:left w:val="none" w:sz="0" w:space="0" w:color="auto"/>
        <w:bottom w:val="none" w:sz="0" w:space="0" w:color="auto"/>
        <w:right w:val="none" w:sz="0" w:space="0" w:color="auto"/>
      </w:divBdr>
    </w:div>
    <w:div w:id="1883908160">
      <w:bodyDiv w:val="1"/>
      <w:marLeft w:val="0"/>
      <w:marRight w:val="0"/>
      <w:marTop w:val="0"/>
      <w:marBottom w:val="0"/>
      <w:divBdr>
        <w:top w:val="none" w:sz="0" w:space="0" w:color="auto"/>
        <w:left w:val="none" w:sz="0" w:space="0" w:color="auto"/>
        <w:bottom w:val="none" w:sz="0" w:space="0" w:color="auto"/>
        <w:right w:val="none" w:sz="0" w:space="0" w:color="auto"/>
      </w:divBdr>
    </w:div>
    <w:div w:id="1887640259">
      <w:bodyDiv w:val="1"/>
      <w:marLeft w:val="0"/>
      <w:marRight w:val="0"/>
      <w:marTop w:val="0"/>
      <w:marBottom w:val="0"/>
      <w:divBdr>
        <w:top w:val="none" w:sz="0" w:space="0" w:color="auto"/>
        <w:left w:val="none" w:sz="0" w:space="0" w:color="auto"/>
        <w:bottom w:val="none" w:sz="0" w:space="0" w:color="auto"/>
        <w:right w:val="none" w:sz="0" w:space="0" w:color="auto"/>
      </w:divBdr>
    </w:div>
    <w:div w:id="1889490670">
      <w:bodyDiv w:val="1"/>
      <w:marLeft w:val="0"/>
      <w:marRight w:val="0"/>
      <w:marTop w:val="0"/>
      <w:marBottom w:val="0"/>
      <w:divBdr>
        <w:top w:val="none" w:sz="0" w:space="0" w:color="auto"/>
        <w:left w:val="none" w:sz="0" w:space="0" w:color="auto"/>
        <w:bottom w:val="none" w:sz="0" w:space="0" w:color="auto"/>
        <w:right w:val="none" w:sz="0" w:space="0" w:color="auto"/>
      </w:divBdr>
    </w:div>
    <w:div w:id="1908805036">
      <w:bodyDiv w:val="1"/>
      <w:marLeft w:val="0"/>
      <w:marRight w:val="0"/>
      <w:marTop w:val="0"/>
      <w:marBottom w:val="0"/>
      <w:divBdr>
        <w:top w:val="none" w:sz="0" w:space="0" w:color="auto"/>
        <w:left w:val="none" w:sz="0" w:space="0" w:color="auto"/>
        <w:bottom w:val="none" w:sz="0" w:space="0" w:color="auto"/>
        <w:right w:val="none" w:sz="0" w:space="0" w:color="auto"/>
      </w:divBdr>
    </w:div>
    <w:div w:id="1914585793">
      <w:bodyDiv w:val="1"/>
      <w:marLeft w:val="0"/>
      <w:marRight w:val="0"/>
      <w:marTop w:val="0"/>
      <w:marBottom w:val="0"/>
      <w:divBdr>
        <w:top w:val="none" w:sz="0" w:space="0" w:color="auto"/>
        <w:left w:val="none" w:sz="0" w:space="0" w:color="auto"/>
        <w:bottom w:val="none" w:sz="0" w:space="0" w:color="auto"/>
        <w:right w:val="none" w:sz="0" w:space="0" w:color="auto"/>
      </w:divBdr>
    </w:div>
    <w:div w:id="1927110272">
      <w:bodyDiv w:val="1"/>
      <w:marLeft w:val="0"/>
      <w:marRight w:val="0"/>
      <w:marTop w:val="0"/>
      <w:marBottom w:val="0"/>
      <w:divBdr>
        <w:top w:val="none" w:sz="0" w:space="0" w:color="auto"/>
        <w:left w:val="none" w:sz="0" w:space="0" w:color="auto"/>
        <w:bottom w:val="none" w:sz="0" w:space="0" w:color="auto"/>
        <w:right w:val="none" w:sz="0" w:space="0" w:color="auto"/>
      </w:divBdr>
    </w:div>
    <w:div w:id="1951204205">
      <w:bodyDiv w:val="1"/>
      <w:marLeft w:val="0"/>
      <w:marRight w:val="0"/>
      <w:marTop w:val="0"/>
      <w:marBottom w:val="0"/>
      <w:divBdr>
        <w:top w:val="none" w:sz="0" w:space="0" w:color="auto"/>
        <w:left w:val="none" w:sz="0" w:space="0" w:color="auto"/>
        <w:bottom w:val="none" w:sz="0" w:space="0" w:color="auto"/>
        <w:right w:val="none" w:sz="0" w:space="0" w:color="auto"/>
      </w:divBdr>
    </w:div>
    <w:div w:id="2022009478">
      <w:bodyDiv w:val="1"/>
      <w:marLeft w:val="0"/>
      <w:marRight w:val="0"/>
      <w:marTop w:val="0"/>
      <w:marBottom w:val="0"/>
      <w:divBdr>
        <w:top w:val="none" w:sz="0" w:space="0" w:color="auto"/>
        <w:left w:val="none" w:sz="0" w:space="0" w:color="auto"/>
        <w:bottom w:val="none" w:sz="0" w:space="0" w:color="auto"/>
        <w:right w:val="none" w:sz="0" w:space="0" w:color="auto"/>
      </w:divBdr>
    </w:div>
    <w:div w:id="2023699564">
      <w:bodyDiv w:val="1"/>
      <w:marLeft w:val="0"/>
      <w:marRight w:val="0"/>
      <w:marTop w:val="0"/>
      <w:marBottom w:val="0"/>
      <w:divBdr>
        <w:top w:val="none" w:sz="0" w:space="0" w:color="auto"/>
        <w:left w:val="none" w:sz="0" w:space="0" w:color="auto"/>
        <w:bottom w:val="none" w:sz="0" w:space="0" w:color="auto"/>
        <w:right w:val="none" w:sz="0" w:space="0" w:color="auto"/>
      </w:divBdr>
    </w:div>
    <w:div w:id="2026128665">
      <w:bodyDiv w:val="1"/>
      <w:marLeft w:val="0"/>
      <w:marRight w:val="0"/>
      <w:marTop w:val="0"/>
      <w:marBottom w:val="0"/>
      <w:divBdr>
        <w:top w:val="none" w:sz="0" w:space="0" w:color="auto"/>
        <w:left w:val="none" w:sz="0" w:space="0" w:color="auto"/>
        <w:bottom w:val="none" w:sz="0" w:space="0" w:color="auto"/>
        <w:right w:val="none" w:sz="0" w:space="0" w:color="auto"/>
      </w:divBdr>
    </w:div>
    <w:div w:id="2030988028">
      <w:bodyDiv w:val="1"/>
      <w:marLeft w:val="0"/>
      <w:marRight w:val="0"/>
      <w:marTop w:val="0"/>
      <w:marBottom w:val="0"/>
      <w:divBdr>
        <w:top w:val="none" w:sz="0" w:space="0" w:color="auto"/>
        <w:left w:val="none" w:sz="0" w:space="0" w:color="auto"/>
        <w:bottom w:val="none" w:sz="0" w:space="0" w:color="auto"/>
        <w:right w:val="none" w:sz="0" w:space="0" w:color="auto"/>
      </w:divBdr>
    </w:div>
    <w:div w:id="213150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mailto:secretariat@eiti.org" TargetMode="External"/><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diagramQuickStyle" Target="diagrams/quickStyle1.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iaasb.org/publications/norma-internacional-de-servicios-relacionados-4400-revisad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guidance-notes/plantilla-de-datos-resumidos-eiti"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iti.org/es/guidance-notes/plantilla-de-datos-resumidos-eit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7298A-F835-4B70-B832-E6F31BA1B891}"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fr-FR"/>
        </a:p>
      </dgm:t>
    </dgm:pt>
    <dgm:pt modelId="{E3145C4D-63D3-489D-8860-839CEDA0FF4A}">
      <dgm:prSet phldrT="[Text]" custT="1"/>
      <dgm:spPr>
        <a:solidFill>
          <a:srgbClr val="132856"/>
        </a:solidFill>
      </dgm:spPr>
      <dgm:t>
        <a:bodyPr/>
        <a:lstStyle/>
        <a:p>
          <a:pPr>
            <a:buFont typeface="+mj-lt"/>
            <a:buAutoNum type="arabicParenBoth"/>
          </a:pPr>
          <a:r>
            <a:rPr lang="es-ES" sz="1200" b="0">
              <a:latin typeface="Franklin Gothic Book" panose="020B0503020102020204" pitchFamily="34" charset="0"/>
            </a:rPr>
            <a:t>1. Determinación del alcance</a:t>
          </a:r>
        </a:p>
      </dgm:t>
    </dgm:pt>
    <dgm:pt modelId="{9357ABEE-8F15-4EBC-893E-DF9685E07F9D}" type="parTrans" cxnId="{487EF117-A0FA-4E05-B84C-343061DA4EA8}">
      <dgm:prSet/>
      <dgm:spPr/>
      <dgm:t>
        <a:bodyPr/>
        <a:lstStyle/>
        <a:p>
          <a:endParaRPr lang="fr-FR" sz="1400">
            <a:latin typeface="Franklin Gothic Book" panose="020B0503020102020204" pitchFamily="34" charset="0"/>
          </a:endParaRPr>
        </a:p>
      </dgm:t>
    </dgm:pt>
    <dgm:pt modelId="{638D581D-77EA-447C-A22B-CE6DDAFBB30A}" type="sibTrans" cxnId="{487EF117-A0FA-4E05-B84C-343061DA4EA8}">
      <dgm:prSet/>
      <dgm:spPr>
        <a:gradFill flip="none" rotWithShape="0">
          <a:gsLst>
            <a:gs pos="0">
              <a:srgbClr val="132856"/>
            </a:gs>
            <a:gs pos="100000">
              <a:srgbClr val="C7F2FF">
                <a:shade val="100000"/>
                <a:satMod val="115000"/>
              </a:srgbClr>
            </a:gs>
          </a:gsLst>
          <a:lin ang="10800000" scaled="1"/>
          <a:tileRect/>
        </a:gradFill>
      </dgm:spPr>
      <dgm:t>
        <a:bodyPr/>
        <a:lstStyle/>
        <a:p>
          <a:endParaRPr lang="fr-FR" sz="1400">
            <a:latin typeface="Franklin Gothic Book" panose="020B0503020102020204" pitchFamily="34" charset="0"/>
          </a:endParaRPr>
        </a:p>
      </dgm:t>
    </dgm:pt>
    <dgm:pt modelId="{2108D773-26DD-46A3-B59D-F9AF29A8F5FC}">
      <dgm:prSet phldrT="[Text]" custT="1"/>
      <dgm:spPr>
        <a:solidFill>
          <a:srgbClr val="165B89"/>
        </a:solidFill>
      </dgm:spPr>
      <dgm:t>
        <a:bodyPr/>
        <a:lstStyle/>
        <a:p>
          <a:pPr>
            <a:buFont typeface="+mj-lt"/>
            <a:buAutoNum type="arabicParenBoth"/>
          </a:pPr>
          <a:r>
            <a:rPr lang="es-ES" sz="1200" b="0">
              <a:solidFill>
                <a:schemeClr val="bg1"/>
              </a:solidFill>
              <a:latin typeface="Franklin Gothic Book" panose="020B0503020102020204" pitchFamily="34" charset="0"/>
            </a:rPr>
            <a:t>2. Recopilación de datos y análisis inicial</a:t>
          </a:r>
        </a:p>
      </dgm:t>
    </dgm:pt>
    <dgm:pt modelId="{B407F809-EBAC-4271-A6A0-90CB1A1743CE}" type="parTrans" cxnId="{6628921A-BCF4-4B3D-807A-1039ABE331B4}">
      <dgm:prSet/>
      <dgm:spPr/>
      <dgm:t>
        <a:bodyPr/>
        <a:lstStyle/>
        <a:p>
          <a:endParaRPr lang="fr-FR" sz="1400">
            <a:latin typeface="Franklin Gothic Book" panose="020B0503020102020204" pitchFamily="34" charset="0"/>
          </a:endParaRPr>
        </a:p>
      </dgm:t>
    </dgm:pt>
    <dgm:pt modelId="{2706D56A-B624-42F2-952F-5100AB7F5133}" type="sibTrans" cxnId="{6628921A-BCF4-4B3D-807A-1039ABE331B4}">
      <dgm:prSet/>
      <dgm:spPr/>
      <dgm:t>
        <a:bodyPr/>
        <a:lstStyle/>
        <a:p>
          <a:endParaRPr lang="fr-FR" sz="1400">
            <a:latin typeface="Franklin Gothic Book" panose="020B0503020102020204" pitchFamily="34" charset="0"/>
          </a:endParaRPr>
        </a:p>
      </dgm:t>
    </dgm:pt>
    <dgm:pt modelId="{DAE8AE87-8621-42B9-B125-856E92DBF496}">
      <dgm:prSet phldrT="[Text]" custT="1"/>
      <dgm:spPr>
        <a:solidFill>
          <a:srgbClr val="1BC2EE"/>
        </a:solidFill>
      </dgm:spPr>
      <dgm:t>
        <a:bodyPr/>
        <a:lstStyle/>
        <a:p>
          <a:pPr>
            <a:buFont typeface="+mj-lt"/>
            <a:buAutoNum type="arabicParenBoth"/>
          </a:pPr>
          <a:r>
            <a:rPr lang="es-ES" sz="1200" b="0">
              <a:solidFill>
                <a:srgbClr val="132856"/>
              </a:solidFill>
              <a:latin typeface="Franklin Gothic Book" panose="020B0503020102020204" pitchFamily="34" charset="0"/>
            </a:rPr>
            <a:t>4. Análisis de brechas realizado por el GMP</a:t>
          </a:r>
        </a:p>
      </dgm:t>
    </dgm:pt>
    <dgm:pt modelId="{EFCA2CC7-07F3-43B3-8EE6-12009F7532BC}" type="parTrans" cxnId="{D72E945B-8EA4-4B6A-8256-8FF1FCE632DC}">
      <dgm:prSet/>
      <dgm:spPr/>
      <dgm:t>
        <a:bodyPr/>
        <a:lstStyle/>
        <a:p>
          <a:endParaRPr lang="fr-FR" sz="1400">
            <a:latin typeface="Franklin Gothic Book" panose="020B0503020102020204" pitchFamily="34" charset="0"/>
          </a:endParaRPr>
        </a:p>
      </dgm:t>
    </dgm:pt>
    <dgm:pt modelId="{BAF63390-E2CC-4FF3-B9F8-A5B54C5BA3F6}" type="sibTrans" cxnId="{D72E945B-8EA4-4B6A-8256-8FF1FCE632DC}">
      <dgm:prSet/>
      <dgm:spPr/>
      <dgm:t>
        <a:bodyPr/>
        <a:lstStyle/>
        <a:p>
          <a:endParaRPr lang="fr-FR" sz="1400">
            <a:latin typeface="Franklin Gothic Book" panose="020B0503020102020204" pitchFamily="34" charset="0"/>
          </a:endParaRPr>
        </a:p>
      </dgm:t>
    </dgm:pt>
    <dgm:pt modelId="{B8A380A2-4F9C-4DA3-BCE9-A9FCCB58C5D2}">
      <dgm:prSet phldrT="[Text]" custT="1"/>
      <dgm:spPr>
        <a:solidFill>
          <a:srgbClr val="87E3FA"/>
        </a:solidFill>
      </dgm:spPr>
      <dgm:t>
        <a:bodyPr/>
        <a:lstStyle/>
        <a:p>
          <a:pPr>
            <a:buFont typeface="+mj-lt"/>
            <a:buAutoNum type="arabicParenBoth"/>
          </a:pPr>
          <a:r>
            <a:rPr lang="es-ES" sz="1200" b="0">
              <a:solidFill>
                <a:srgbClr val="132856"/>
              </a:solidFill>
              <a:latin typeface="Franklin Gothic Book" panose="020B0503020102020204" pitchFamily="34" charset="0"/>
            </a:rPr>
            <a:t>5. Informe EITI orientado a generar impacto</a:t>
          </a:r>
        </a:p>
      </dgm:t>
    </dgm:pt>
    <dgm:pt modelId="{3AFC7CD4-2E3F-40E1-A5EA-CFD777DE0D33}" type="parTrans" cxnId="{5C2E05A9-4C25-45C2-AECA-6ADAFBCACAAA}">
      <dgm:prSet/>
      <dgm:spPr/>
      <dgm:t>
        <a:bodyPr/>
        <a:lstStyle/>
        <a:p>
          <a:endParaRPr lang="fr-FR" sz="1400">
            <a:latin typeface="Franklin Gothic Book" panose="020B0503020102020204" pitchFamily="34" charset="0"/>
          </a:endParaRPr>
        </a:p>
      </dgm:t>
    </dgm:pt>
    <dgm:pt modelId="{8622CE13-EC0D-41AA-9E5B-BB5E9817401E}" type="sibTrans" cxnId="{5C2E05A9-4C25-45C2-AECA-6ADAFBCACAAA}">
      <dgm:prSet/>
      <dgm:spPr/>
      <dgm:t>
        <a:bodyPr/>
        <a:lstStyle/>
        <a:p>
          <a:endParaRPr lang="fr-FR" sz="1400">
            <a:latin typeface="Franklin Gothic Book" panose="020B0503020102020204" pitchFamily="34" charset="0"/>
          </a:endParaRPr>
        </a:p>
      </dgm:t>
    </dgm:pt>
    <dgm:pt modelId="{CED9839F-6E5D-4D1D-896A-F36A445A52FC}">
      <dgm:prSet phldrT="[Text]" custT="1"/>
      <dgm:spPr>
        <a:solidFill>
          <a:srgbClr val="188FBB"/>
        </a:solidFill>
      </dgm:spPr>
      <dgm:t>
        <a:bodyPr/>
        <a:lstStyle/>
        <a:p>
          <a:r>
            <a:rPr lang="es-ES" sz="1200" b="0">
              <a:latin typeface="Franklin Gothic Book" panose="020B0503020102020204" pitchFamily="34" charset="0"/>
            </a:rPr>
            <a:t>3. Garantía de la calidad de los datos</a:t>
          </a:r>
        </a:p>
      </dgm:t>
    </dgm:pt>
    <dgm:pt modelId="{B236786D-B500-4003-84E4-564DD84D82FE}" type="parTrans" cxnId="{37DDAEBB-AABD-455A-B89C-B4D471EF776D}">
      <dgm:prSet/>
      <dgm:spPr/>
      <dgm:t>
        <a:bodyPr/>
        <a:lstStyle/>
        <a:p>
          <a:endParaRPr lang="fr-FR" sz="1400">
            <a:latin typeface="Franklin Gothic Book" panose="020B0503020102020204" pitchFamily="34" charset="0"/>
          </a:endParaRPr>
        </a:p>
      </dgm:t>
    </dgm:pt>
    <dgm:pt modelId="{0E235F66-A21B-4651-8981-8615C8B24A4D}" type="sibTrans" cxnId="{37DDAEBB-AABD-455A-B89C-B4D471EF776D}">
      <dgm:prSet/>
      <dgm:spPr/>
      <dgm:t>
        <a:bodyPr/>
        <a:lstStyle/>
        <a:p>
          <a:endParaRPr lang="fr-FR" sz="1400">
            <a:latin typeface="Franklin Gothic Book" panose="020B0503020102020204" pitchFamily="34" charset="0"/>
          </a:endParaRPr>
        </a:p>
      </dgm:t>
    </dgm:pt>
    <dgm:pt modelId="{0D6530CC-AA5D-4ADB-9414-B385D7C7289A}" type="pres">
      <dgm:prSet presAssocID="{37E7298A-F835-4B70-B832-E6F31BA1B891}" presName="Name0" presStyleCnt="0">
        <dgm:presLayoutVars>
          <dgm:dir/>
          <dgm:resizeHandles val="exact"/>
        </dgm:presLayoutVars>
      </dgm:prSet>
      <dgm:spPr/>
    </dgm:pt>
    <dgm:pt modelId="{B32FF7CC-8CF1-4DC8-960F-BEDA88894993}" type="pres">
      <dgm:prSet presAssocID="{37E7298A-F835-4B70-B832-E6F31BA1B891}" presName="cycle" presStyleCnt="0"/>
      <dgm:spPr/>
    </dgm:pt>
    <dgm:pt modelId="{F5FF2A70-E939-4DEE-B25A-032E9E11E38A}" type="pres">
      <dgm:prSet presAssocID="{E3145C4D-63D3-489D-8860-839CEDA0FF4A}" presName="nodeFirstNode" presStyleLbl="node1" presStyleIdx="0" presStyleCnt="5">
        <dgm:presLayoutVars>
          <dgm:bulletEnabled val="1"/>
        </dgm:presLayoutVars>
      </dgm:prSet>
      <dgm:spPr>
        <a:prstGeom prst="rect">
          <a:avLst/>
        </a:prstGeom>
      </dgm:spPr>
    </dgm:pt>
    <dgm:pt modelId="{9CBA3880-EF8B-44B5-A380-232018BC1861}" type="pres">
      <dgm:prSet presAssocID="{638D581D-77EA-447C-A22B-CE6DDAFBB30A}" presName="sibTransFirstNode" presStyleLbl="bgShp" presStyleIdx="0" presStyleCnt="1"/>
      <dgm:spPr/>
    </dgm:pt>
    <dgm:pt modelId="{C3974F1A-C258-4642-9FF0-8F94AC836274}" type="pres">
      <dgm:prSet presAssocID="{2108D773-26DD-46A3-B59D-F9AF29A8F5FC}" presName="nodeFollowingNodes" presStyleLbl="node1" presStyleIdx="1" presStyleCnt="5">
        <dgm:presLayoutVars>
          <dgm:bulletEnabled val="1"/>
        </dgm:presLayoutVars>
      </dgm:prSet>
      <dgm:spPr>
        <a:prstGeom prst="rect">
          <a:avLst/>
        </a:prstGeom>
      </dgm:spPr>
    </dgm:pt>
    <dgm:pt modelId="{5CBC00EC-CB4D-4CF9-907A-7B3C30846E94}" type="pres">
      <dgm:prSet presAssocID="{CED9839F-6E5D-4D1D-896A-F36A445A52FC}" presName="nodeFollowingNodes" presStyleLbl="node1" presStyleIdx="2" presStyleCnt="5">
        <dgm:presLayoutVars>
          <dgm:bulletEnabled val="1"/>
        </dgm:presLayoutVars>
      </dgm:prSet>
      <dgm:spPr>
        <a:prstGeom prst="rect">
          <a:avLst/>
        </a:prstGeom>
      </dgm:spPr>
    </dgm:pt>
    <dgm:pt modelId="{F3D9159D-3CF4-419B-9691-9953F49C014C}" type="pres">
      <dgm:prSet presAssocID="{DAE8AE87-8621-42B9-B125-856E92DBF496}" presName="nodeFollowingNodes" presStyleLbl="node1" presStyleIdx="3" presStyleCnt="5">
        <dgm:presLayoutVars>
          <dgm:bulletEnabled val="1"/>
        </dgm:presLayoutVars>
      </dgm:prSet>
      <dgm:spPr>
        <a:prstGeom prst="rect">
          <a:avLst/>
        </a:prstGeom>
      </dgm:spPr>
    </dgm:pt>
    <dgm:pt modelId="{AD358DDD-94DA-499A-BC5D-987F008A00C7}" type="pres">
      <dgm:prSet presAssocID="{B8A380A2-4F9C-4DA3-BCE9-A9FCCB58C5D2}" presName="nodeFollowingNodes" presStyleLbl="node1" presStyleIdx="4" presStyleCnt="5">
        <dgm:presLayoutVars>
          <dgm:bulletEnabled val="1"/>
        </dgm:presLayoutVars>
      </dgm:prSet>
      <dgm:spPr>
        <a:prstGeom prst="rect">
          <a:avLst/>
        </a:prstGeom>
      </dgm:spPr>
    </dgm:pt>
  </dgm:ptLst>
  <dgm:cxnLst>
    <dgm:cxn modelId="{487EF117-A0FA-4E05-B84C-343061DA4EA8}" srcId="{37E7298A-F835-4B70-B832-E6F31BA1B891}" destId="{E3145C4D-63D3-489D-8860-839CEDA0FF4A}" srcOrd="0" destOrd="0" parTransId="{9357ABEE-8F15-4EBC-893E-DF9685E07F9D}" sibTransId="{638D581D-77EA-447C-A22B-CE6DDAFBB30A}"/>
    <dgm:cxn modelId="{6628921A-BCF4-4B3D-807A-1039ABE331B4}" srcId="{37E7298A-F835-4B70-B832-E6F31BA1B891}" destId="{2108D773-26DD-46A3-B59D-F9AF29A8F5FC}" srcOrd="1" destOrd="0" parTransId="{B407F809-EBAC-4271-A6A0-90CB1A1743CE}" sibTransId="{2706D56A-B624-42F2-952F-5100AB7F5133}"/>
    <dgm:cxn modelId="{24483827-E188-474E-922A-2D2AAB501D61}" type="presOf" srcId="{E3145C4D-63D3-489D-8860-839CEDA0FF4A}" destId="{F5FF2A70-E939-4DEE-B25A-032E9E11E38A}" srcOrd="0" destOrd="0" presId="urn:microsoft.com/office/officeart/2005/8/layout/cycle3"/>
    <dgm:cxn modelId="{F447D634-0700-43D6-95BD-8BF33AE7AD34}" type="presOf" srcId="{2108D773-26DD-46A3-B59D-F9AF29A8F5FC}" destId="{C3974F1A-C258-4642-9FF0-8F94AC836274}" srcOrd="0" destOrd="0" presId="urn:microsoft.com/office/officeart/2005/8/layout/cycle3"/>
    <dgm:cxn modelId="{DE9B3E48-C765-448B-B23C-CC86CF28F096}" type="presOf" srcId="{CED9839F-6E5D-4D1D-896A-F36A445A52FC}" destId="{5CBC00EC-CB4D-4CF9-907A-7B3C30846E94}" srcOrd="0" destOrd="0" presId="urn:microsoft.com/office/officeart/2005/8/layout/cycle3"/>
    <dgm:cxn modelId="{F8C0A84D-B322-4496-9B8A-9229A7E6D61D}" type="presOf" srcId="{638D581D-77EA-447C-A22B-CE6DDAFBB30A}" destId="{9CBA3880-EF8B-44B5-A380-232018BC1861}" srcOrd="0" destOrd="0" presId="urn:microsoft.com/office/officeart/2005/8/layout/cycle3"/>
    <dgm:cxn modelId="{D72E945B-8EA4-4B6A-8256-8FF1FCE632DC}" srcId="{37E7298A-F835-4B70-B832-E6F31BA1B891}" destId="{DAE8AE87-8621-42B9-B125-856E92DBF496}" srcOrd="3" destOrd="0" parTransId="{EFCA2CC7-07F3-43B3-8EE6-12009F7532BC}" sibTransId="{BAF63390-E2CC-4FF3-B9F8-A5B54C5BA3F6}"/>
    <dgm:cxn modelId="{5C2E05A9-4C25-45C2-AECA-6ADAFBCACAAA}" srcId="{37E7298A-F835-4B70-B832-E6F31BA1B891}" destId="{B8A380A2-4F9C-4DA3-BCE9-A9FCCB58C5D2}" srcOrd="4" destOrd="0" parTransId="{3AFC7CD4-2E3F-40E1-A5EA-CFD777DE0D33}" sibTransId="{8622CE13-EC0D-41AA-9E5B-BB5E9817401E}"/>
    <dgm:cxn modelId="{087CDCB0-C3B2-4E77-A973-0F034251132F}" type="presOf" srcId="{B8A380A2-4F9C-4DA3-BCE9-A9FCCB58C5D2}" destId="{AD358DDD-94DA-499A-BC5D-987F008A00C7}" srcOrd="0" destOrd="0" presId="urn:microsoft.com/office/officeart/2005/8/layout/cycle3"/>
    <dgm:cxn modelId="{37DDAEBB-AABD-455A-B89C-B4D471EF776D}" srcId="{37E7298A-F835-4B70-B832-E6F31BA1B891}" destId="{CED9839F-6E5D-4D1D-896A-F36A445A52FC}" srcOrd="2" destOrd="0" parTransId="{B236786D-B500-4003-84E4-564DD84D82FE}" sibTransId="{0E235F66-A21B-4651-8981-8615C8B24A4D}"/>
    <dgm:cxn modelId="{E00545EA-E16C-4220-8180-557370B1F97C}" type="presOf" srcId="{DAE8AE87-8621-42B9-B125-856E92DBF496}" destId="{F3D9159D-3CF4-419B-9691-9953F49C014C}" srcOrd="0" destOrd="0" presId="urn:microsoft.com/office/officeart/2005/8/layout/cycle3"/>
    <dgm:cxn modelId="{6E4938FB-6B4C-4006-8109-3C0840EAF03E}" type="presOf" srcId="{37E7298A-F835-4B70-B832-E6F31BA1B891}" destId="{0D6530CC-AA5D-4ADB-9414-B385D7C7289A}" srcOrd="0" destOrd="0" presId="urn:microsoft.com/office/officeart/2005/8/layout/cycle3"/>
    <dgm:cxn modelId="{889D6ECB-0015-4818-80A1-76075B246B6D}" type="presParOf" srcId="{0D6530CC-AA5D-4ADB-9414-B385D7C7289A}" destId="{B32FF7CC-8CF1-4DC8-960F-BEDA88894993}" srcOrd="0" destOrd="0" presId="urn:microsoft.com/office/officeart/2005/8/layout/cycle3"/>
    <dgm:cxn modelId="{5A935F41-6230-4294-AFDE-6F4879E24DF7}" type="presParOf" srcId="{B32FF7CC-8CF1-4DC8-960F-BEDA88894993}" destId="{F5FF2A70-E939-4DEE-B25A-032E9E11E38A}" srcOrd="0" destOrd="0" presId="urn:microsoft.com/office/officeart/2005/8/layout/cycle3"/>
    <dgm:cxn modelId="{25008FC6-3110-430C-8C0F-9DA56F606FFC}" type="presParOf" srcId="{B32FF7CC-8CF1-4DC8-960F-BEDA88894993}" destId="{9CBA3880-EF8B-44B5-A380-232018BC1861}" srcOrd="1" destOrd="0" presId="urn:microsoft.com/office/officeart/2005/8/layout/cycle3"/>
    <dgm:cxn modelId="{15434603-CC8E-4945-B094-7E8723B76DB6}" type="presParOf" srcId="{B32FF7CC-8CF1-4DC8-960F-BEDA88894993}" destId="{C3974F1A-C258-4642-9FF0-8F94AC836274}" srcOrd="2" destOrd="0" presId="urn:microsoft.com/office/officeart/2005/8/layout/cycle3"/>
    <dgm:cxn modelId="{F14BEB54-23F3-4D5E-A470-8238B362BC86}" type="presParOf" srcId="{B32FF7CC-8CF1-4DC8-960F-BEDA88894993}" destId="{5CBC00EC-CB4D-4CF9-907A-7B3C30846E94}" srcOrd="3" destOrd="0" presId="urn:microsoft.com/office/officeart/2005/8/layout/cycle3"/>
    <dgm:cxn modelId="{EB9C9BB0-1954-4C46-BA97-6532772A3EFE}" type="presParOf" srcId="{B32FF7CC-8CF1-4DC8-960F-BEDA88894993}" destId="{F3D9159D-3CF4-419B-9691-9953F49C014C}" srcOrd="4" destOrd="0" presId="urn:microsoft.com/office/officeart/2005/8/layout/cycle3"/>
    <dgm:cxn modelId="{A7189048-046F-435F-AEE9-30728D0424F7}" type="presParOf" srcId="{B32FF7CC-8CF1-4DC8-960F-BEDA88894993}" destId="{AD358DDD-94DA-499A-BC5D-987F008A00C7}" srcOrd="5"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BA3880-EF8B-44B5-A380-232018BC1861}">
      <dsp:nvSpPr>
        <dsp:cNvPr id="0" name=""/>
        <dsp:cNvSpPr/>
      </dsp:nvSpPr>
      <dsp:spPr>
        <a:xfrm>
          <a:off x="1624733" y="-15271"/>
          <a:ext cx="2770332" cy="2770332"/>
        </a:xfrm>
        <a:prstGeom prst="circularArrow">
          <a:avLst>
            <a:gd name="adj1" fmla="val 5544"/>
            <a:gd name="adj2" fmla="val 330680"/>
            <a:gd name="adj3" fmla="val 13819572"/>
            <a:gd name="adj4" fmla="val 17359458"/>
            <a:gd name="adj5" fmla="val 5757"/>
          </a:avLst>
        </a:prstGeom>
        <a:gradFill flip="none" rotWithShape="0">
          <a:gsLst>
            <a:gs pos="0">
              <a:srgbClr val="132856"/>
            </a:gs>
            <a:gs pos="100000">
              <a:srgbClr val="C7F2FF">
                <a:shade val="100000"/>
                <a:satMod val="115000"/>
              </a:srgbClr>
            </a:gs>
          </a:gsLst>
          <a:lin ang="10800000" scaled="1"/>
          <a:tileRect/>
        </a:gradFill>
        <a:ln>
          <a:noFill/>
        </a:ln>
        <a:effectLst/>
      </dsp:spPr>
      <dsp:style>
        <a:lnRef idx="0">
          <a:scrgbClr r="0" g="0" b="0"/>
        </a:lnRef>
        <a:fillRef idx="1">
          <a:scrgbClr r="0" g="0" b="0"/>
        </a:fillRef>
        <a:effectRef idx="0">
          <a:scrgbClr r="0" g="0" b="0"/>
        </a:effectRef>
        <a:fontRef idx="minor"/>
      </dsp:style>
    </dsp:sp>
    <dsp:sp modelId="{F5FF2A70-E939-4DEE-B25A-032E9E11E38A}">
      <dsp:nvSpPr>
        <dsp:cNvPr id="0" name=""/>
        <dsp:cNvSpPr/>
      </dsp:nvSpPr>
      <dsp:spPr>
        <a:xfrm>
          <a:off x="2373529" y="722"/>
          <a:ext cx="1272740" cy="636370"/>
        </a:xfrm>
        <a:prstGeom prst="rect">
          <a:avLst/>
        </a:prstGeom>
        <a:solidFill>
          <a:srgbClr val="13285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mj-lt"/>
            <a:buNone/>
          </a:pPr>
          <a:r>
            <a:rPr lang="es-ES" sz="1200" b="0" kern="1200">
              <a:latin typeface="Franklin Gothic Book" panose="020B0503020102020204" pitchFamily="34" charset="0"/>
            </a:rPr>
            <a:t>1. Determinación del alcance</a:t>
          </a:r>
        </a:p>
      </dsp:txBody>
      <dsp:txXfrm>
        <a:off x="2373529" y="722"/>
        <a:ext cx="1272740" cy="636370"/>
      </dsp:txXfrm>
    </dsp:sp>
    <dsp:sp modelId="{C3974F1A-C258-4642-9FF0-8F94AC836274}">
      <dsp:nvSpPr>
        <dsp:cNvPr id="0" name=""/>
        <dsp:cNvSpPr/>
      </dsp:nvSpPr>
      <dsp:spPr>
        <a:xfrm>
          <a:off x="3497087" y="817035"/>
          <a:ext cx="1272740" cy="636370"/>
        </a:xfrm>
        <a:prstGeom prst="rect">
          <a:avLst/>
        </a:prstGeom>
        <a:solidFill>
          <a:srgbClr val="165B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mj-lt"/>
            <a:buNone/>
          </a:pPr>
          <a:r>
            <a:rPr lang="es-ES" sz="1200" b="0" kern="1200">
              <a:solidFill>
                <a:schemeClr val="bg1"/>
              </a:solidFill>
              <a:latin typeface="Franklin Gothic Book" panose="020B0503020102020204" pitchFamily="34" charset="0"/>
            </a:rPr>
            <a:t>2. Recopilación de datos y análisis inicial</a:t>
          </a:r>
        </a:p>
      </dsp:txBody>
      <dsp:txXfrm>
        <a:off x="3497087" y="817035"/>
        <a:ext cx="1272740" cy="636370"/>
      </dsp:txXfrm>
    </dsp:sp>
    <dsp:sp modelId="{5CBC00EC-CB4D-4CF9-907A-7B3C30846E94}">
      <dsp:nvSpPr>
        <dsp:cNvPr id="0" name=""/>
        <dsp:cNvSpPr/>
      </dsp:nvSpPr>
      <dsp:spPr>
        <a:xfrm>
          <a:off x="3067926" y="2137856"/>
          <a:ext cx="1272740" cy="636370"/>
        </a:xfrm>
        <a:prstGeom prst="rect">
          <a:avLst/>
        </a:prstGeom>
        <a:solidFill>
          <a:srgbClr val="188FB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0" kern="1200">
              <a:latin typeface="Franklin Gothic Book" panose="020B0503020102020204" pitchFamily="34" charset="0"/>
            </a:rPr>
            <a:t>3. Garantía de la calidad de los datos</a:t>
          </a:r>
        </a:p>
      </dsp:txBody>
      <dsp:txXfrm>
        <a:off x="3067926" y="2137856"/>
        <a:ext cx="1272740" cy="636370"/>
      </dsp:txXfrm>
    </dsp:sp>
    <dsp:sp modelId="{F3D9159D-3CF4-419B-9691-9953F49C014C}">
      <dsp:nvSpPr>
        <dsp:cNvPr id="0" name=""/>
        <dsp:cNvSpPr/>
      </dsp:nvSpPr>
      <dsp:spPr>
        <a:xfrm>
          <a:off x="1679132" y="2137856"/>
          <a:ext cx="1272740" cy="636370"/>
        </a:xfrm>
        <a:prstGeom prst="rect">
          <a:avLst/>
        </a:prstGeom>
        <a:solidFill>
          <a:srgbClr val="1BC2E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mj-lt"/>
            <a:buNone/>
          </a:pPr>
          <a:r>
            <a:rPr lang="es-ES" sz="1200" b="0" kern="1200">
              <a:solidFill>
                <a:srgbClr val="132856"/>
              </a:solidFill>
              <a:latin typeface="Franklin Gothic Book" panose="020B0503020102020204" pitchFamily="34" charset="0"/>
            </a:rPr>
            <a:t>4. Análisis de brechas realizado por el GMP</a:t>
          </a:r>
        </a:p>
      </dsp:txBody>
      <dsp:txXfrm>
        <a:off x="1679132" y="2137856"/>
        <a:ext cx="1272740" cy="636370"/>
      </dsp:txXfrm>
    </dsp:sp>
    <dsp:sp modelId="{AD358DDD-94DA-499A-BC5D-987F008A00C7}">
      <dsp:nvSpPr>
        <dsp:cNvPr id="0" name=""/>
        <dsp:cNvSpPr/>
      </dsp:nvSpPr>
      <dsp:spPr>
        <a:xfrm>
          <a:off x="1249971" y="817035"/>
          <a:ext cx="1272740" cy="636370"/>
        </a:xfrm>
        <a:prstGeom prst="rect">
          <a:avLst/>
        </a:prstGeom>
        <a:solidFill>
          <a:srgbClr val="87E3F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mj-lt"/>
            <a:buNone/>
          </a:pPr>
          <a:r>
            <a:rPr lang="es-ES" sz="1200" b="0" kern="1200">
              <a:solidFill>
                <a:srgbClr val="132856"/>
              </a:solidFill>
              <a:latin typeface="Franklin Gothic Book" panose="020B0503020102020204" pitchFamily="34" charset="0"/>
            </a:rPr>
            <a:t>5. Informe EITI orientado a generar impacto</a:t>
          </a:r>
        </a:p>
      </dsp:txBody>
      <dsp:txXfrm>
        <a:off x="1249971" y="817035"/>
        <a:ext cx="1272740" cy="63637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7A5F89B-8A77-43F6-B292-0F54DE97A851}">
    <t:Anchor>
      <t:Comment id="690097861"/>
    </t:Anchor>
    <t:History>
      <t:Event id="{8EFDA243-9A65-4460-93F0-213EE982DFC7}" time="2023-12-14T15:03:37.044Z">
        <t:Attribution userId="S::lpilliard@eiti.org::22dc6cf7-23f1-4fb6-bfda-23a269820100" userProvider="AD" userName="Leila Pilliard"/>
        <t:Anchor>
          <t:Comment id="425667855"/>
        </t:Anchor>
        <t:Create/>
      </t:Event>
      <t:Event id="{FB3ED4D5-4E9C-4554-8CE8-4B737301B4E1}" time="2023-12-14T15:03:37.044Z">
        <t:Attribution userId="S::lpilliard@eiti.org::22dc6cf7-23f1-4fb6-bfda-23a269820100" userProvider="AD" userName="Leila Pilliard"/>
        <t:Anchor>
          <t:Comment id="425667855"/>
        </t:Anchor>
        <t:Assign userId="S::AGordy@eiti.org::2c416fa5-e6ae-4789-8798-5055141c1464" userProvider="AD" userName="Alex Gordy"/>
      </t:Event>
      <t:Event id="{B112ACCF-E931-4B70-BF62-AB39497DC416}" time="2023-12-14T15:03:37.044Z">
        <t:Attribution userId="S::lpilliard@eiti.org::22dc6cf7-23f1-4fb6-bfda-23a269820100" userProvider="AD" userName="Leila Pilliard"/>
        <t:Anchor>
          <t:Comment id="425667855"/>
        </t:Anchor>
        <t:SetTitle title="I'd be happy to take this up with our graphic designer. @Alex, please feel free to prompt me in early Jan, we can discuss costs/needs then."/>
      </t:Event>
      <t:Event id="{2C728710-369A-2440-8AF2-A4DA250ACC12}" time="2024-01-05T09:11:07.672Z">
        <t:Attribution userId="S::LPilliard@eiti.org::22dc6cf7-23f1-4fb6-bfda-23a269820100" userProvider="AD" userName="Leila Pilliar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499440-f7fc-4c5f-a71d-677798310813" xsi:nil="true"/>
    <lcf76f155ced4ddcb4097134ff3c332f xmlns="022d5921-7ea6-4407-bcd7-f36ec4d27c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15317F7111E741A68076FCECAE70DE" ma:contentTypeVersion="17" ma:contentTypeDescription="Create a new document." ma:contentTypeScope="" ma:versionID="5277e0d76a0cd844798ba88257413946">
  <xsd:schema xmlns:xsd="http://www.w3.org/2001/XMLSchema" xmlns:xs="http://www.w3.org/2001/XMLSchema" xmlns:p="http://schemas.microsoft.com/office/2006/metadata/properties" xmlns:ns2="022d5921-7ea6-4407-bcd7-f36ec4d27c62" xmlns:ns3="7c499440-f7fc-4c5f-a71d-677798310813" targetNamespace="http://schemas.microsoft.com/office/2006/metadata/properties" ma:root="true" ma:fieldsID="77ad8936fdfee92a20a3418b72cc23bf" ns2:_="" ns3:_="">
    <xsd:import namespace="022d5921-7ea6-4407-bcd7-f36ec4d27c62"/>
    <xsd:import namespace="7c499440-f7fc-4c5f-a71d-67779831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d5921-7ea6-4407-bcd7-f36ec4d27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99440-f7fc-4c5f-a71d-6777983108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00a0c4-e316-4f23-b750-5d648ee38551}" ma:internalName="TaxCatchAll" ma:showField="CatchAllData" ma:web="7c499440-f7fc-4c5f-a71d-67779831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D25E8-4C60-4792-B8CC-6B55FEB6ABCD}">
  <ds:schemaRefs>
    <ds:schemaRef ds:uri="http://schemas.microsoft.com/sharepoint/v3/contenttype/forms"/>
  </ds:schemaRefs>
</ds:datastoreItem>
</file>

<file path=customXml/itemProps2.xml><?xml version="1.0" encoding="utf-8"?>
<ds:datastoreItem xmlns:ds="http://schemas.openxmlformats.org/officeDocument/2006/customXml" ds:itemID="{81FC52CC-9915-4DFA-BA63-F458D6173D0E}">
  <ds:schemaRefs>
    <ds:schemaRef ds:uri="http://schemas.microsoft.com/office/2006/metadata/properties"/>
    <ds:schemaRef ds:uri="http://schemas.microsoft.com/office/infopath/2007/PartnerControls"/>
    <ds:schemaRef ds:uri="7c499440-f7fc-4c5f-a71d-677798310813"/>
    <ds:schemaRef ds:uri="022d5921-7ea6-4407-bcd7-f36ec4d27c62"/>
  </ds:schemaRefs>
</ds:datastoreItem>
</file>

<file path=customXml/itemProps3.xml><?xml version="1.0" encoding="utf-8"?>
<ds:datastoreItem xmlns:ds="http://schemas.openxmlformats.org/officeDocument/2006/customXml" ds:itemID="{F5391652-9B35-4130-8463-960F1A296423}">
  <ds:schemaRefs>
    <ds:schemaRef ds:uri="http://schemas.openxmlformats.org/officeDocument/2006/bibliography"/>
  </ds:schemaRefs>
</ds:datastoreItem>
</file>

<file path=customXml/itemProps4.xml><?xml version="1.0" encoding="utf-8"?>
<ds:datastoreItem xmlns:ds="http://schemas.openxmlformats.org/officeDocument/2006/customXml" ds:itemID="{C80530CE-760E-4FBF-8C0A-BC9E190FF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d5921-7ea6-4407-bcd7-f36ec4d27c62"/>
    <ds:schemaRef ds:uri="7c499440-f7fc-4c5f-a71d-67779831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23</Pages>
  <Words>6345</Words>
  <Characters>36169</Characters>
  <Application>Microsoft Office Word</Application>
  <DocSecurity>0</DocSecurity>
  <Lines>301</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Auswärtiges Amt</Company>
  <LinksUpToDate>false</LinksUpToDate>
  <CharactersWithSpaces>42430</CharactersWithSpaces>
  <SharedDoc>false</SharedDoc>
  <HLinks>
    <vt:vector size="30" baseType="variant">
      <vt:variant>
        <vt:i4>1638483</vt:i4>
      </vt:variant>
      <vt:variant>
        <vt:i4>6</vt:i4>
      </vt:variant>
      <vt:variant>
        <vt:i4>0</vt:i4>
      </vt:variant>
      <vt:variant>
        <vt:i4>5</vt:i4>
      </vt:variant>
      <vt:variant>
        <vt:lpwstr>https://www.iaasb.org/publications/international-standard-related-services-isrs-4400-revised</vt:lpwstr>
      </vt:variant>
      <vt:variant>
        <vt:lpwstr/>
      </vt:variant>
      <vt:variant>
        <vt:i4>3604523</vt:i4>
      </vt:variant>
      <vt:variant>
        <vt:i4>3</vt:i4>
      </vt:variant>
      <vt:variant>
        <vt:i4>0</vt:i4>
      </vt:variant>
      <vt:variant>
        <vt:i4>5</vt:i4>
      </vt:variant>
      <vt:variant>
        <vt:lpwstr>https://eiti.org/guidance-notes/eiti-summary-data-template</vt:lpwstr>
      </vt:variant>
      <vt:variant>
        <vt:lpwstr/>
      </vt:variant>
      <vt:variant>
        <vt:i4>2490389</vt:i4>
      </vt:variant>
      <vt:variant>
        <vt:i4>0</vt:i4>
      </vt:variant>
      <vt:variant>
        <vt:i4>0</vt:i4>
      </vt:variant>
      <vt:variant>
        <vt:i4>5</vt:i4>
      </vt:variant>
      <vt:variant>
        <vt:lpwstr>mailto:secretariat@eiti.org</vt:lpwstr>
      </vt:variant>
      <vt:variant>
        <vt:lpwstr/>
      </vt:variant>
      <vt:variant>
        <vt:i4>1572947</vt:i4>
      </vt:variant>
      <vt:variant>
        <vt:i4>0</vt:i4>
      </vt:variant>
      <vt:variant>
        <vt:i4>0</vt:i4>
      </vt:variant>
      <vt:variant>
        <vt:i4>5</vt:i4>
      </vt:variant>
      <vt:variant>
        <vt:lpwstr>https://eiti.org/document/eiti-summary-data-template</vt:lpwstr>
      </vt:variant>
      <vt:variant>
        <vt:lpwstr/>
      </vt:variant>
      <vt:variant>
        <vt:i4>3473423</vt:i4>
      </vt:variant>
      <vt:variant>
        <vt:i4>0</vt:i4>
      </vt:variant>
      <vt:variant>
        <vt:i4>0</vt:i4>
      </vt:variant>
      <vt:variant>
        <vt:i4>5</vt:i4>
      </vt:variant>
      <vt:variant>
        <vt:lpwstr>mailto:Ggranado@eiti.org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Manteca</dc:creator>
  <cp:keywords/>
  <cp:lastModifiedBy>Leila Pilliard</cp:lastModifiedBy>
  <cp:revision>72</cp:revision>
  <cp:lastPrinted>2024-11-07T08:58:00Z</cp:lastPrinted>
  <dcterms:created xsi:type="dcterms:W3CDTF">2024-11-18T15:10:00Z</dcterms:created>
  <dcterms:modified xsi:type="dcterms:W3CDTF">2024-12-16T09:41:00Z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0x010100EF15317F7111E741A68076FCECAE70DE</vt:lpwstr>
  </property>
  <property fmtid="{D5CDD505-2E9C-101B-9397-08002B2CF9AE}" pid="3" name="MediaServiceImageTags">
    <vt:lpwstr/>
  </property>
</Properties>
</file>