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3CC8E4C" w14:textId="2FC278ED" w:rsidR="00805B01" w:rsidRPr="0099209D" w:rsidRDefault="009806ED" w:rsidP="00F229B9">
      <w:pPr>
        <w:jc w:val="center"/>
        <w:rPr>
          <w:b/>
          <w:lang w:bidi="en-US"/>
        </w:rPr>
      </w:pPr>
      <w:r w:rsidRPr="00785FB4">
        <w:rPr>
          <w:noProof/>
          <w:lang w:eastAsia="ja-JP"/>
        </w:rPr>
        <mc:AlternateContent>
          <mc:Choice Requires="wps">
            <w:drawing>
              <wp:anchor distT="0" distB="0" distL="114300" distR="114300" simplePos="0" relativeHeight="251658240" behindDoc="0" locked="0" layoutInCell="1" allowOverlap="1" wp14:anchorId="5B011F07" wp14:editId="6AD20B8A">
                <wp:simplePos x="0" y="0"/>
                <wp:positionH relativeFrom="column">
                  <wp:posOffset>-720090</wp:posOffset>
                </wp:positionH>
                <wp:positionV relativeFrom="paragraph">
                  <wp:posOffset>396609</wp:posOffset>
                </wp:positionV>
                <wp:extent cx="7823200" cy="415925"/>
                <wp:effectExtent l="0" t="0" r="0" b="3175"/>
                <wp:wrapSquare wrapText="bothSides"/>
                <wp:docPr id="4" name="Text Box 4"/>
                <wp:cNvGraphicFramePr/>
                <a:graphic xmlns:a="http://schemas.openxmlformats.org/drawingml/2006/main">
                  <a:graphicData uri="http://schemas.microsoft.com/office/word/2010/wordprocessingShape">
                    <wps:wsp>
                      <wps:cNvSpPr txBox="1"/>
                      <wps:spPr>
                        <a:xfrm>
                          <a:off x="0" y="0"/>
                          <a:ext cx="7823200" cy="415925"/>
                        </a:xfrm>
                        <a:prstGeom prst="rect">
                          <a:avLst/>
                        </a:prstGeom>
                        <a:solidFill>
                          <a:srgbClr val="4FB6E3"/>
                        </a:solidFill>
                        <a:ln>
                          <a:noFill/>
                        </a:ln>
                        <a:effectLst/>
                      </wps:spPr>
                      <wps:style>
                        <a:lnRef idx="0">
                          <a:schemeClr val="accent1"/>
                        </a:lnRef>
                        <a:fillRef idx="0">
                          <a:schemeClr val="accent1"/>
                        </a:fillRef>
                        <a:effectRef idx="0">
                          <a:schemeClr val="accent1"/>
                        </a:effectRef>
                        <a:fontRef idx="minor">
                          <a:schemeClr val="dk1"/>
                        </a:fontRef>
                      </wps:style>
                      <wps:txbx>
                        <w:txbxContent>
                          <w:p w14:paraId="788044A6" w14:textId="0581B6F7" w:rsidR="00802EE6" w:rsidRPr="009464B0" w:rsidRDefault="00802EE6" w:rsidP="009464B0">
                            <w:pPr>
                              <w:tabs>
                                <w:tab w:val="left" w:pos="993"/>
                                <w:tab w:val="left" w:pos="8789"/>
                              </w:tabs>
                              <w:spacing w:after="0"/>
                              <w:rPr>
                                <w:b/>
                                <w:lang w:val="nb-NO"/>
                              </w:rPr>
                            </w:pPr>
                            <w:r>
                              <w:rPr>
                                <w:lang w:val="nb-NO"/>
                              </w:rPr>
                              <w:tab/>
                            </w:r>
                            <w:r w:rsidRPr="009464B0">
                              <w:rPr>
                                <w:b/>
                                <w:sz w:val="32"/>
                                <w:lang w:val="nb-NO"/>
                              </w:rPr>
                              <w:t>EITI International Secretariat</w:t>
                            </w:r>
                            <w:r>
                              <w:rPr>
                                <w:b/>
                                <w:sz w:val="32"/>
                                <w:lang w:val="nb-NO"/>
                              </w:rPr>
                              <w:tab/>
                            </w:r>
                            <w:r>
                              <w:rPr>
                                <w:b/>
                                <w:sz w:val="32"/>
                                <w:lang w:val="nb-NO"/>
                              </w:rPr>
                              <w:tab/>
                              <w:t>9 July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B011F07" id="_x0000_t202" coordsize="21600,21600" o:spt="202" path="m,l,21600r21600,l21600,xe">
                <v:stroke joinstyle="miter"/>
                <v:path gradientshapeok="t" o:connecttype="rect"/>
              </v:shapetype>
              <v:shape id="Text Box 4" o:spid="_x0000_s1026" type="#_x0000_t202" style="position:absolute;left:0;text-align:left;margin-left:-56.7pt;margin-top:31.25pt;width:616pt;height:32.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" fillcolor="#4fb6e3" stroked="f">
                <v:textbox>
                  <w:txbxContent>
                    <w:p w14:paraId="788044A6" w14:textId="0581B6F7" w:rsidR="00802EE6" w:rsidRPr="009464B0" w:rsidRDefault="00802EE6" w:rsidP="009464B0">
                      <w:pPr>
                        <w:tabs>
                          <w:tab w:val="left" w:pos="993"/>
                          <w:tab w:val="left" w:pos="8789"/>
                        </w:tabs>
                        <w:spacing w:after="0"/>
                        <w:rPr>
                          <w:b/>
                          <w:lang w:val="nb-NO"/>
                        </w:rPr>
                      </w:pPr>
                      <w:r>
                        <w:rPr>
                          <w:lang w:val="nb-NO"/>
                        </w:rPr>
                        <w:tab/>
                      </w:r>
                      <w:r w:rsidRPr="009464B0">
                        <w:rPr>
                          <w:b/>
                          <w:sz w:val="32"/>
                          <w:lang w:val="nb-NO"/>
                        </w:rPr>
                        <w:t>EITI International Secretariat</w:t>
                      </w:r>
                      <w:r>
                        <w:rPr>
                          <w:b/>
                          <w:sz w:val="32"/>
                          <w:lang w:val="nb-NO"/>
                        </w:rPr>
                        <w:tab/>
                      </w:r>
                      <w:r>
                        <w:rPr>
                          <w:b/>
                          <w:sz w:val="32"/>
                          <w:lang w:val="nb-NO"/>
                        </w:rPr>
                        <w:tab/>
                        <w:t>9 July 2018</w:t>
                      </w:r>
                    </w:p>
                  </w:txbxContent>
                </v:textbox>
                <w10:wrap type="square"/>
              </v:shape>
            </w:pict>
          </mc:Fallback>
        </mc:AlternateContent>
      </w:r>
    </w:p>
    <w:p w14:paraId="4739FF42" w14:textId="683F19E5" w:rsidR="00597E79" w:rsidRPr="00785FB4" w:rsidRDefault="00597E79" w:rsidP="00F229B9">
      <w:pPr>
        <w:jc w:val="center"/>
        <w:rPr>
          <w:b/>
          <w:lang w:bidi="en-US"/>
        </w:rPr>
      </w:pPr>
    </w:p>
    <w:p w14:paraId="248DB386" w14:textId="77777777" w:rsidR="00597E79" w:rsidRPr="00785FB4" w:rsidRDefault="00597E79" w:rsidP="00F229B9">
      <w:pPr>
        <w:jc w:val="center"/>
        <w:rPr>
          <w:b/>
          <w:lang w:bidi="en-US"/>
        </w:rPr>
      </w:pPr>
    </w:p>
    <w:p w14:paraId="3B0F0747" w14:textId="77777777" w:rsidR="00854AF1" w:rsidRPr="00785FB4" w:rsidRDefault="00854AF1" w:rsidP="00F229B9">
      <w:pPr>
        <w:jc w:val="center"/>
        <w:rPr>
          <w:b/>
          <w:lang w:bidi="en-US"/>
        </w:rPr>
      </w:pPr>
    </w:p>
    <w:p w14:paraId="7700733D" w14:textId="082E9A7B" w:rsidR="00805B01" w:rsidRPr="00785FB4" w:rsidRDefault="00805B01" w:rsidP="009464B0">
      <w:pPr>
        <w:rPr>
          <w:sz w:val="52"/>
          <w:lang w:bidi="en-US"/>
        </w:rPr>
      </w:pPr>
      <w:r w:rsidRPr="00785FB4">
        <w:rPr>
          <w:sz w:val="52"/>
          <w:lang w:bidi="en-US"/>
        </w:rPr>
        <w:t xml:space="preserve">Validation of </w:t>
      </w:r>
      <w:r w:rsidR="003F7812" w:rsidRPr="00785FB4">
        <w:rPr>
          <w:sz w:val="52"/>
          <w:lang w:bidi="en-US"/>
        </w:rPr>
        <w:t>Afghanistan</w:t>
      </w:r>
      <w:r w:rsidR="00C27DBE" w:rsidRPr="00785FB4">
        <w:rPr>
          <w:sz w:val="52"/>
          <w:lang w:bidi="en-US"/>
        </w:rPr>
        <w:t xml:space="preserve"> </w:t>
      </w:r>
    </w:p>
    <w:p w14:paraId="487469E7" w14:textId="77777777" w:rsidR="00476F51" w:rsidRPr="00785FB4" w:rsidRDefault="00476F51" w:rsidP="009464B0">
      <w:pPr>
        <w:rPr>
          <w:sz w:val="52"/>
          <w:lang w:bidi="en-US"/>
        </w:rPr>
      </w:pPr>
    </w:p>
    <w:p w14:paraId="55233BB1" w14:textId="77777777" w:rsidR="00597E79" w:rsidRPr="00785FB4" w:rsidRDefault="00805B01" w:rsidP="009464B0">
      <w:pPr>
        <w:rPr>
          <w:sz w:val="52"/>
          <w:lang w:bidi="en-US"/>
        </w:rPr>
      </w:pPr>
      <w:r w:rsidRPr="00785FB4">
        <w:rPr>
          <w:sz w:val="52"/>
          <w:lang w:bidi="en-US"/>
        </w:rPr>
        <w:t xml:space="preserve">Report on initial data collection </w:t>
      </w:r>
    </w:p>
    <w:p w14:paraId="09CAC054" w14:textId="431552A7" w:rsidR="00597E79" w:rsidRPr="00785FB4" w:rsidRDefault="00805B01" w:rsidP="009464B0">
      <w:pPr>
        <w:rPr>
          <w:sz w:val="52"/>
          <w:lang w:bidi="en-US"/>
        </w:rPr>
      </w:pPr>
      <w:r w:rsidRPr="00785FB4">
        <w:rPr>
          <w:sz w:val="52"/>
          <w:lang w:bidi="en-US"/>
        </w:rPr>
        <w:t>and</w:t>
      </w:r>
      <w:r w:rsidR="00597E79" w:rsidRPr="00785FB4">
        <w:rPr>
          <w:sz w:val="52"/>
          <w:lang w:bidi="en-US"/>
        </w:rPr>
        <w:t xml:space="preserve"> </w:t>
      </w:r>
      <w:r w:rsidRPr="00785FB4">
        <w:rPr>
          <w:sz w:val="52"/>
          <w:lang w:bidi="en-US"/>
        </w:rPr>
        <w:t xml:space="preserve">stakeholder consultation </w:t>
      </w:r>
    </w:p>
    <w:p w14:paraId="78B25072" w14:textId="670BF9CA" w:rsidR="00F229B9" w:rsidRPr="00785FB4" w:rsidRDefault="00F229B9" w:rsidP="00F229B9">
      <w:pPr>
        <w:rPr>
          <w:lang w:bidi="en-US"/>
        </w:rPr>
      </w:pPr>
    </w:p>
    <w:p w14:paraId="7886A01F" w14:textId="7C663C57" w:rsidR="00F229B9" w:rsidRPr="00785FB4" w:rsidRDefault="00F229B9">
      <w:pPr>
        <w:widowControl/>
        <w:suppressAutoHyphens w:val="0"/>
        <w:spacing w:after="0" w:line="240" w:lineRule="auto"/>
        <w:rPr>
          <w:lang w:bidi="en-US"/>
        </w:rPr>
      </w:pPr>
      <w:r w:rsidRPr="00785FB4">
        <w:rPr>
          <w:lang w:bidi="en-US"/>
        </w:rPr>
        <w:br w:type="page"/>
      </w:r>
    </w:p>
    <w:p w14:paraId="52F9D900" w14:textId="30903EF6" w:rsidR="00172180" w:rsidRPr="00785FB4" w:rsidRDefault="00B06A27" w:rsidP="007F0FEB">
      <w:pPr>
        <w:pStyle w:val="Heading1"/>
      </w:pPr>
      <w:bookmarkStart w:id="0" w:name="_Toc434175900"/>
      <w:bookmarkStart w:id="1" w:name="_Toc452707644"/>
      <w:bookmarkStart w:id="2" w:name="_Toc459133072"/>
      <w:bookmarkStart w:id="3" w:name="_Toc461803021"/>
      <w:bookmarkStart w:id="4" w:name="_Toc461787302"/>
      <w:bookmarkStart w:id="5" w:name="_Toc461795823"/>
      <w:bookmarkStart w:id="6" w:name="_Toc505449553"/>
      <w:bookmarkStart w:id="7" w:name="_Toc505449763"/>
      <w:r w:rsidRPr="00785FB4">
        <w:lastRenderedPageBreak/>
        <w:t>Abbreviations</w:t>
      </w:r>
      <w:bookmarkEnd w:id="0"/>
      <w:bookmarkEnd w:id="1"/>
      <w:bookmarkEnd w:id="2"/>
      <w:bookmarkEnd w:id="3"/>
      <w:bookmarkEnd w:id="4"/>
      <w:bookmarkEnd w:id="5"/>
      <w:bookmarkEnd w:id="6"/>
      <w:bookmarkEnd w:id="7"/>
    </w:p>
    <w:p w14:paraId="2FC110F5" w14:textId="0EF1BB84" w:rsidR="0059480E" w:rsidRPr="00785FB4" w:rsidRDefault="0059480E" w:rsidP="000A3A8C">
      <w:pPr>
        <w:pStyle w:val="NoSpacing"/>
        <w:rPr>
          <w:lang w:val="en-GB"/>
        </w:rPr>
      </w:pPr>
      <w:bookmarkStart w:id="8" w:name="_Toc362941856"/>
      <w:bookmarkStart w:id="9" w:name="_Toc362942394"/>
      <w:bookmarkStart w:id="10" w:name="_Toc362947796"/>
      <w:bookmarkStart w:id="11" w:name="_Toc362955627"/>
      <w:bookmarkStart w:id="12" w:name="_Toc362963277"/>
      <w:bookmarkStart w:id="13" w:name="_Toc362964860"/>
      <w:bookmarkStart w:id="14" w:name="_Toc363124705"/>
      <w:bookmarkStart w:id="15" w:name="_Toc362941859"/>
      <w:bookmarkStart w:id="16" w:name="_Toc362942397"/>
      <w:bookmarkStart w:id="17" w:name="_Toc362947799"/>
      <w:bookmarkStart w:id="18" w:name="_Toc362955630"/>
      <w:bookmarkStart w:id="19" w:name="_Toc362963280"/>
      <w:bookmarkStart w:id="20" w:name="_Toc362964863"/>
      <w:bookmarkStart w:id="21" w:name="_Toc363124708"/>
      <w:bookmarkEnd w:id="8"/>
      <w:bookmarkEnd w:id="9"/>
      <w:bookmarkEnd w:id="10"/>
      <w:bookmarkEnd w:id="11"/>
      <w:bookmarkEnd w:id="12"/>
      <w:bookmarkEnd w:id="13"/>
      <w:bookmarkEnd w:id="14"/>
      <w:bookmarkEnd w:id="15"/>
      <w:bookmarkEnd w:id="16"/>
      <w:bookmarkEnd w:id="17"/>
      <w:bookmarkEnd w:id="18"/>
      <w:bookmarkEnd w:id="19"/>
      <w:bookmarkEnd w:id="20"/>
      <w:bookmarkEnd w:id="21"/>
      <w:r w:rsidRPr="00785FB4">
        <w:rPr>
          <w:lang w:val="en-GB"/>
        </w:rPr>
        <w:t>ACBR</w:t>
      </w:r>
      <w:r w:rsidRPr="00785FB4">
        <w:rPr>
          <w:lang w:val="en-GB"/>
        </w:rPr>
        <w:tab/>
      </w:r>
      <w:r w:rsidRPr="00785FB4">
        <w:rPr>
          <w:lang w:val="en-GB"/>
        </w:rPr>
        <w:tab/>
      </w:r>
      <w:r w:rsidRPr="00785FB4">
        <w:rPr>
          <w:lang w:val="en-GB"/>
        </w:rPr>
        <w:tab/>
        <w:t xml:space="preserve">Afghanistan Central Business Registry </w:t>
      </w:r>
    </w:p>
    <w:p w14:paraId="2CE2B840" w14:textId="2CA7D82E" w:rsidR="000A3A8C" w:rsidRPr="00785FB4" w:rsidRDefault="000A3A8C" w:rsidP="000A3A8C">
      <w:pPr>
        <w:pStyle w:val="NoSpacing"/>
        <w:rPr>
          <w:lang w:val="en-GB"/>
        </w:rPr>
      </w:pPr>
      <w:r w:rsidRPr="00785FB4">
        <w:rPr>
          <w:lang w:val="en-GB"/>
        </w:rPr>
        <w:t>ACCI</w:t>
      </w:r>
      <w:r w:rsidRPr="00785FB4">
        <w:rPr>
          <w:lang w:val="en-GB"/>
        </w:rPr>
        <w:tab/>
      </w:r>
      <w:r w:rsidRPr="00785FB4">
        <w:rPr>
          <w:lang w:val="en-GB"/>
        </w:rPr>
        <w:tab/>
      </w:r>
      <w:r w:rsidRPr="00785FB4">
        <w:rPr>
          <w:lang w:val="en-GB"/>
        </w:rPr>
        <w:tab/>
        <w:t>Afghanistan Chamber of Commerce and Industries</w:t>
      </w:r>
    </w:p>
    <w:p w14:paraId="10C34306" w14:textId="6F4805AC" w:rsidR="000A3A8C" w:rsidRPr="00785FB4" w:rsidRDefault="000A3A8C" w:rsidP="000A3A8C">
      <w:pPr>
        <w:pStyle w:val="NoSpacing"/>
        <w:rPr>
          <w:lang w:val="en-GB"/>
        </w:rPr>
      </w:pPr>
      <w:r w:rsidRPr="00785FB4">
        <w:rPr>
          <w:lang w:val="en-GB"/>
        </w:rPr>
        <w:t>AEITI</w:t>
      </w:r>
      <w:r w:rsidRPr="00785FB4">
        <w:rPr>
          <w:lang w:val="en-GB"/>
        </w:rPr>
        <w:tab/>
      </w:r>
      <w:r w:rsidRPr="00785FB4">
        <w:rPr>
          <w:lang w:val="en-GB"/>
        </w:rPr>
        <w:tab/>
      </w:r>
      <w:r w:rsidRPr="00785FB4">
        <w:rPr>
          <w:lang w:val="en-GB"/>
        </w:rPr>
        <w:tab/>
        <w:t>Afghanistan Extractive Industries Transparency Initiative</w:t>
      </w:r>
    </w:p>
    <w:p w14:paraId="2DEEF381" w14:textId="7320F9E8" w:rsidR="000A3A8C" w:rsidRPr="00785FB4" w:rsidRDefault="000A3A8C" w:rsidP="000A3A8C">
      <w:pPr>
        <w:pStyle w:val="NoSpacing"/>
        <w:rPr>
          <w:lang w:val="en-GB"/>
        </w:rPr>
      </w:pPr>
      <w:r w:rsidRPr="00785FB4">
        <w:rPr>
          <w:lang w:val="en-GB"/>
        </w:rPr>
        <w:t>AFMIS</w:t>
      </w:r>
      <w:r w:rsidRPr="00785FB4">
        <w:rPr>
          <w:lang w:val="en-GB"/>
        </w:rPr>
        <w:tab/>
      </w:r>
      <w:r w:rsidRPr="00785FB4">
        <w:rPr>
          <w:lang w:val="en-GB"/>
        </w:rPr>
        <w:tab/>
      </w:r>
      <w:r w:rsidRPr="00785FB4">
        <w:rPr>
          <w:lang w:val="en-GB"/>
        </w:rPr>
        <w:tab/>
        <w:t>Afghanistan Financial Management Information System</w:t>
      </w:r>
    </w:p>
    <w:p w14:paraId="26898257" w14:textId="0FA1562B" w:rsidR="00097F7C" w:rsidRPr="00785FB4" w:rsidRDefault="00097F7C" w:rsidP="000A3A8C">
      <w:pPr>
        <w:pStyle w:val="NoSpacing"/>
        <w:rPr>
          <w:lang w:val="en-GB"/>
        </w:rPr>
      </w:pPr>
      <w:r w:rsidRPr="00785FB4">
        <w:rPr>
          <w:lang w:val="en-GB"/>
        </w:rPr>
        <w:t>AGE</w:t>
      </w:r>
      <w:r w:rsidRPr="00785FB4">
        <w:rPr>
          <w:lang w:val="en-GB"/>
        </w:rPr>
        <w:tab/>
      </w:r>
      <w:r w:rsidRPr="00785FB4">
        <w:rPr>
          <w:lang w:val="en-GB"/>
        </w:rPr>
        <w:tab/>
      </w:r>
      <w:r w:rsidRPr="00785FB4">
        <w:rPr>
          <w:lang w:val="en-GB"/>
        </w:rPr>
        <w:tab/>
        <w:t xml:space="preserve">Afghan Gas Enterprise </w:t>
      </w:r>
    </w:p>
    <w:p w14:paraId="77DFF72B" w14:textId="3B736485" w:rsidR="00097F7C" w:rsidRPr="00785FB4" w:rsidRDefault="00097F7C" w:rsidP="000A3A8C">
      <w:pPr>
        <w:pStyle w:val="NoSpacing"/>
        <w:rPr>
          <w:lang w:val="en-GB"/>
        </w:rPr>
      </w:pPr>
      <w:r w:rsidRPr="00785FB4">
        <w:rPr>
          <w:lang w:val="en-GB"/>
        </w:rPr>
        <w:t>ASI</w:t>
      </w:r>
      <w:r w:rsidRPr="00785FB4">
        <w:rPr>
          <w:lang w:val="en-GB"/>
        </w:rPr>
        <w:tab/>
      </w:r>
      <w:r w:rsidRPr="00785FB4">
        <w:rPr>
          <w:lang w:val="en-GB"/>
        </w:rPr>
        <w:tab/>
      </w:r>
      <w:r w:rsidRPr="00785FB4">
        <w:rPr>
          <w:lang w:val="en-GB"/>
        </w:rPr>
        <w:tab/>
        <w:t>Adam Smith International</w:t>
      </w:r>
    </w:p>
    <w:p w14:paraId="55ED5138" w14:textId="5CA9D963" w:rsidR="0059480E" w:rsidRPr="00785FB4" w:rsidRDefault="0059480E" w:rsidP="000A3A8C">
      <w:pPr>
        <w:pStyle w:val="NoSpacing"/>
        <w:rPr>
          <w:lang w:val="en-GB"/>
        </w:rPr>
      </w:pPr>
      <w:r w:rsidRPr="00785FB4">
        <w:rPr>
          <w:lang w:val="en-GB"/>
        </w:rPr>
        <w:t>ASM</w:t>
      </w:r>
      <w:r w:rsidRPr="00785FB4">
        <w:rPr>
          <w:lang w:val="en-GB"/>
        </w:rPr>
        <w:tab/>
      </w:r>
      <w:r w:rsidRPr="00785FB4">
        <w:rPr>
          <w:lang w:val="en-GB"/>
        </w:rPr>
        <w:tab/>
      </w:r>
      <w:r w:rsidRPr="00785FB4">
        <w:rPr>
          <w:lang w:val="en-GB"/>
        </w:rPr>
        <w:tab/>
        <w:t>Artisanal and small-scale mining</w:t>
      </w:r>
    </w:p>
    <w:p w14:paraId="430069CA" w14:textId="53201BD0" w:rsidR="000A3A8C" w:rsidRPr="00785FB4" w:rsidRDefault="000A3A8C" w:rsidP="000A3A8C">
      <w:pPr>
        <w:pStyle w:val="NoSpacing"/>
        <w:rPr>
          <w:lang w:val="en-GB"/>
        </w:rPr>
      </w:pPr>
      <w:r w:rsidRPr="00785FB4">
        <w:rPr>
          <w:lang w:val="en-GB"/>
        </w:rPr>
        <w:t>ASYCUDA</w:t>
      </w:r>
      <w:r w:rsidRPr="00785FB4">
        <w:rPr>
          <w:lang w:val="en-GB"/>
        </w:rPr>
        <w:tab/>
      </w:r>
      <w:r w:rsidRPr="00785FB4">
        <w:rPr>
          <w:lang w:val="en-GB"/>
        </w:rPr>
        <w:tab/>
        <w:t>Automated System for Customs Data</w:t>
      </w:r>
    </w:p>
    <w:p w14:paraId="028B4F5A" w14:textId="140BA3D8" w:rsidR="009F7D24" w:rsidRPr="00785FB4" w:rsidRDefault="009F7D24" w:rsidP="009F7D24">
      <w:pPr>
        <w:widowControl/>
        <w:suppressAutoHyphens w:val="0"/>
        <w:spacing w:after="0" w:line="240" w:lineRule="auto"/>
        <w:rPr>
          <w:rFonts w:cs="Arial"/>
        </w:rPr>
      </w:pPr>
      <w:r w:rsidRPr="00785FB4">
        <w:rPr>
          <w:rFonts w:cs="Arial"/>
        </w:rPr>
        <w:t>BO</w:t>
      </w:r>
      <w:r w:rsidRPr="00785FB4">
        <w:rPr>
          <w:rFonts w:cs="Arial"/>
        </w:rPr>
        <w:tab/>
      </w:r>
      <w:r w:rsidRPr="00785FB4">
        <w:rPr>
          <w:rFonts w:cs="Arial"/>
        </w:rPr>
        <w:tab/>
      </w:r>
      <w:r w:rsidRPr="00785FB4">
        <w:rPr>
          <w:rFonts w:cs="Arial"/>
        </w:rPr>
        <w:tab/>
        <w:t>Beneficial ownership</w:t>
      </w:r>
    </w:p>
    <w:p w14:paraId="7B058FAA" w14:textId="48650346" w:rsidR="0059480E" w:rsidRPr="00785FB4" w:rsidRDefault="0059480E" w:rsidP="000A3A8C">
      <w:pPr>
        <w:pStyle w:val="NoSpacing"/>
        <w:rPr>
          <w:lang w:val="en-GB"/>
        </w:rPr>
      </w:pPr>
      <w:r w:rsidRPr="00785FB4">
        <w:rPr>
          <w:lang w:val="en-GB"/>
        </w:rPr>
        <w:t>CAO</w:t>
      </w:r>
      <w:r w:rsidRPr="00785FB4">
        <w:rPr>
          <w:lang w:val="en-GB"/>
        </w:rPr>
        <w:tab/>
      </w:r>
      <w:r w:rsidRPr="00785FB4">
        <w:rPr>
          <w:lang w:val="en-GB"/>
        </w:rPr>
        <w:tab/>
      </w:r>
      <w:r w:rsidRPr="00785FB4">
        <w:rPr>
          <w:lang w:val="en-GB"/>
        </w:rPr>
        <w:tab/>
        <w:t>Central Audit Office</w:t>
      </w:r>
    </w:p>
    <w:p w14:paraId="01E740A1" w14:textId="11D7CF03" w:rsidR="000A3A8C" w:rsidRPr="00785FB4" w:rsidRDefault="000A3A8C" w:rsidP="000A3A8C">
      <w:pPr>
        <w:pStyle w:val="NoSpacing"/>
        <w:rPr>
          <w:lang w:val="en-GB"/>
        </w:rPr>
      </w:pPr>
      <w:r w:rsidRPr="00785FB4">
        <w:rPr>
          <w:lang w:val="en-GB"/>
        </w:rPr>
        <w:t>CSO</w:t>
      </w:r>
      <w:r w:rsidRPr="00785FB4">
        <w:rPr>
          <w:lang w:val="en-GB"/>
        </w:rPr>
        <w:tab/>
      </w:r>
      <w:r w:rsidRPr="00785FB4">
        <w:rPr>
          <w:lang w:val="en-GB"/>
        </w:rPr>
        <w:tab/>
      </w:r>
      <w:r w:rsidRPr="00785FB4">
        <w:rPr>
          <w:lang w:val="en-GB"/>
        </w:rPr>
        <w:tab/>
        <w:t>Civil Society Organization</w:t>
      </w:r>
    </w:p>
    <w:p w14:paraId="3D677895" w14:textId="54E4254C" w:rsidR="00097F7C" w:rsidRPr="00785FB4" w:rsidRDefault="00097F7C" w:rsidP="00353F3F">
      <w:pPr>
        <w:widowControl/>
        <w:suppressAutoHyphens w:val="0"/>
        <w:spacing w:after="0" w:line="240" w:lineRule="auto"/>
        <w:rPr>
          <w:bCs/>
        </w:rPr>
      </w:pPr>
      <w:r w:rsidRPr="00785FB4">
        <w:rPr>
          <w:bCs/>
        </w:rPr>
        <w:t>DFID</w:t>
      </w:r>
      <w:r w:rsidRPr="00785FB4">
        <w:rPr>
          <w:bCs/>
        </w:rPr>
        <w:tab/>
      </w:r>
      <w:r w:rsidRPr="00785FB4">
        <w:rPr>
          <w:bCs/>
        </w:rPr>
        <w:tab/>
      </w:r>
      <w:r w:rsidRPr="00785FB4">
        <w:rPr>
          <w:bCs/>
        </w:rPr>
        <w:tab/>
        <w:t xml:space="preserve">Department for International Development </w:t>
      </w:r>
    </w:p>
    <w:p w14:paraId="37D7936A" w14:textId="4589CB5D" w:rsidR="00353F3F" w:rsidRPr="00785FB4" w:rsidRDefault="00353F3F" w:rsidP="00353F3F">
      <w:pPr>
        <w:widowControl/>
        <w:suppressAutoHyphens w:val="0"/>
        <w:spacing w:after="0" w:line="240" w:lineRule="auto"/>
        <w:rPr>
          <w:bCs/>
        </w:rPr>
      </w:pPr>
      <w:r w:rsidRPr="00785FB4">
        <w:rPr>
          <w:bCs/>
        </w:rPr>
        <w:t>EGPS</w:t>
      </w:r>
      <w:r w:rsidRPr="00785FB4">
        <w:rPr>
          <w:bCs/>
        </w:rPr>
        <w:tab/>
      </w:r>
      <w:r w:rsidRPr="00785FB4">
        <w:rPr>
          <w:bCs/>
        </w:rPr>
        <w:tab/>
      </w:r>
      <w:r w:rsidRPr="00785FB4">
        <w:rPr>
          <w:bCs/>
        </w:rPr>
        <w:tab/>
        <w:t>Extractives Global Programmatic Support</w:t>
      </w:r>
    </w:p>
    <w:p w14:paraId="25937360" w14:textId="1FBEEC5B" w:rsidR="00000464" w:rsidRPr="00785FB4" w:rsidRDefault="00000464" w:rsidP="000A3A8C">
      <w:pPr>
        <w:pStyle w:val="NoSpacing"/>
        <w:rPr>
          <w:lang w:val="en-GB"/>
        </w:rPr>
      </w:pPr>
      <w:r w:rsidRPr="00785FB4">
        <w:rPr>
          <w:lang w:val="en-GB"/>
        </w:rPr>
        <w:t xml:space="preserve">EIA </w:t>
      </w:r>
      <w:r w:rsidRPr="00785FB4">
        <w:rPr>
          <w:lang w:val="en-GB"/>
        </w:rPr>
        <w:tab/>
      </w:r>
      <w:r w:rsidRPr="00785FB4">
        <w:rPr>
          <w:lang w:val="en-GB"/>
        </w:rPr>
        <w:tab/>
      </w:r>
      <w:r w:rsidRPr="00785FB4">
        <w:rPr>
          <w:lang w:val="en-GB"/>
        </w:rPr>
        <w:tab/>
        <w:t>Environmental and Social Impact Assessment</w:t>
      </w:r>
    </w:p>
    <w:p w14:paraId="35C2E941" w14:textId="77777777" w:rsidR="00130D9D" w:rsidRPr="00785FB4" w:rsidRDefault="00130D9D" w:rsidP="00130D9D">
      <w:pPr>
        <w:pStyle w:val="NoSpacing"/>
        <w:rPr>
          <w:lang w:val="en-GB"/>
        </w:rPr>
      </w:pPr>
      <w:r w:rsidRPr="00785FB4">
        <w:rPr>
          <w:lang w:val="en-GB"/>
        </w:rPr>
        <w:t>EITI</w:t>
      </w:r>
      <w:r w:rsidRPr="00785FB4">
        <w:rPr>
          <w:lang w:val="en-GB"/>
        </w:rPr>
        <w:tab/>
      </w:r>
      <w:r w:rsidRPr="00785FB4">
        <w:rPr>
          <w:lang w:val="en-GB"/>
        </w:rPr>
        <w:tab/>
      </w:r>
      <w:r w:rsidRPr="00785FB4">
        <w:rPr>
          <w:lang w:val="en-GB"/>
        </w:rPr>
        <w:tab/>
        <w:t>Extractives Industry Transparency Initiative</w:t>
      </w:r>
    </w:p>
    <w:p w14:paraId="7A7E2770" w14:textId="55E73276" w:rsidR="00D65F45" w:rsidRPr="00785FB4" w:rsidRDefault="00D65F45" w:rsidP="000A3A8C">
      <w:pPr>
        <w:pStyle w:val="NoSpacing"/>
        <w:rPr>
          <w:lang w:val="en-GB"/>
        </w:rPr>
      </w:pPr>
      <w:r w:rsidRPr="00785FB4">
        <w:rPr>
          <w:lang w:val="en-GB"/>
        </w:rPr>
        <w:t>EPA</w:t>
      </w:r>
      <w:r w:rsidRPr="00785FB4">
        <w:rPr>
          <w:lang w:val="en-GB"/>
        </w:rPr>
        <w:tab/>
      </w:r>
      <w:r w:rsidRPr="00785FB4">
        <w:rPr>
          <w:lang w:val="en-GB"/>
        </w:rPr>
        <w:tab/>
      </w:r>
      <w:r w:rsidRPr="00785FB4">
        <w:rPr>
          <w:lang w:val="en-GB"/>
        </w:rPr>
        <w:tab/>
        <w:t>Environmental Protection Agency</w:t>
      </w:r>
    </w:p>
    <w:p w14:paraId="64CA698A" w14:textId="64B789C2" w:rsidR="002B3109" w:rsidRPr="00785FB4" w:rsidRDefault="002B3109" w:rsidP="000A3A8C">
      <w:pPr>
        <w:pStyle w:val="NoSpacing"/>
        <w:rPr>
          <w:lang w:val="en-GB"/>
        </w:rPr>
      </w:pPr>
      <w:r w:rsidRPr="00785FB4">
        <w:rPr>
          <w:lang w:val="en-GB"/>
        </w:rPr>
        <w:t>GDP</w:t>
      </w:r>
      <w:r w:rsidRPr="00785FB4">
        <w:rPr>
          <w:lang w:val="en-GB"/>
        </w:rPr>
        <w:tab/>
      </w:r>
      <w:r w:rsidRPr="00785FB4">
        <w:rPr>
          <w:lang w:val="en-GB"/>
        </w:rPr>
        <w:tab/>
      </w:r>
      <w:r w:rsidRPr="00785FB4">
        <w:rPr>
          <w:lang w:val="en-GB"/>
        </w:rPr>
        <w:tab/>
        <w:t xml:space="preserve">Gross Domestic Product </w:t>
      </w:r>
    </w:p>
    <w:p w14:paraId="1BC24266" w14:textId="11DF4DC9" w:rsidR="00353F3F" w:rsidRPr="00785FB4" w:rsidRDefault="00353F3F" w:rsidP="00353F3F">
      <w:pPr>
        <w:widowControl/>
        <w:suppressAutoHyphens w:val="0"/>
        <w:spacing w:after="0" w:line="240" w:lineRule="auto"/>
        <w:rPr>
          <w:bCs/>
        </w:rPr>
      </w:pPr>
      <w:r w:rsidRPr="00785FB4">
        <w:rPr>
          <w:bCs/>
        </w:rPr>
        <w:t>GFS</w:t>
      </w:r>
      <w:r w:rsidRPr="00785FB4">
        <w:rPr>
          <w:bCs/>
        </w:rPr>
        <w:tab/>
      </w:r>
      <w:r w:rsidRPr="00785FB4">
        <w:rPr>
          <w:bCs/>
        </w:rPr>
        <w:tab/>
      </w:r>
      <w:r w:rsidRPr="00785FB4">
        <w:rPr>
          <w:bCs/>
        </w:rPr>
        <w:tab/>
        <w:t xml:space="preserve">Government Finance Statistics </w:t>
      </w:r>
    </w:p>
    <w:p w14:paraId="681A57E0" w14:textId="76D30B24" w:rsidR="000A3A8C" w:rsidRPr="00785FB4" w:rsidRDefault="000A3A8C" w:rsidP="000A3A8C">
      <w:pPr>
        <w:pStyle w:val="NoSpacing"/>
        <w:rPr>
          <w:lang w:val="en-GB"/>
        </w:rPr>
      </w:pPr>
      <w:r w:rsidRPr="00785FB4">
        <w:rPr>
          <w:lang w:val="en-GB"/>
        </w:rPr>
        <w:t>GIZ</w:t>
      </w:r>
      <w:r w:rsidRPr="00785FB4">
        <w:rPr>
          <w:lang w:val="en-GB"/>
        </w:rPr>
        <w:tab/>
      </w:r>
      <w:r w:rsidRPr="00785FB4">
        <w:rPr>
          <w:lang w:val="en-GB"/>
        </w:rPr>
        <w:tab/>
      </w:r>
      <w:r w:rsidRPr="00785FB4">
        <w:rPr>
          <w:lang w:val="en-GB"/>
        </w:rPr>
        <w:tab/>
        <w:t>Deutsche Gesellschaft fur Internationale Zusammenarbeit</w:t>
      </w:r>
    </w:p>
    <w:p w14:paraId="195F6867" w14:textId="16BD3907" w:rsidR="000B5842" w:rsidRPr="00785FB4" w:rsidRDefault="000B5842" w:rsidP="000A3A8C">
      <w:pPr>
        <w:pStyle w:val="NoSpacing"/>
        <w:rPr>
          <w:lang w:val="en-GB"/>
        </w:rPr>
      </w:pPr>
      <w:r w:rsidRPr="00785FB4">
        <w:rPr>
          <w:lang w:val="en-GB"/>
        </w:rPr>
        <w:t>GOIRA</w:t>
      </w:r>
      <w:r w:rsidRPr="00785FB4">
        <w:rPr>
          <w:lang w:val="en-GB"/>
        </w:rPr>
        <w:tab/>
      </w:r>
      <w:r w:rsidRPr="00785FB4">
        <w:rPr>
          <w:lang w:val="en-GB"/>
        </w:rPr>
        <w:tab/>
      </w:r>
      <w:r w:rsidRPr="00785FB4">
        <w:rPr>
          <w:lang w:val="en-GB"/>
        </w:rPr>
        <w:tab/>
        <w:t>Government of the Islamic Republic of Afghanistan</w:t>
      </w:r>
    </w:p>
    <w:p w14:paraId="1D2F869B" w14:textId="32764E75" w:rsidR="006E1E43" w:rsidRPr="00785FB4" w:rsidRDefault="00353F3F" w:rsidP="007369FB">
      <w:pPr>
        <w:widowControl/>
        <w:suppressAutoHyphens w:val="0"/>
        <w:spacing w:after="0" w:line="240" w:lineRule="auto"/>
      </w:pPr>
      <w:r w:rsidRPr="00785FB4">
        <w:rPr>
          <w:bCs/>
        </w:rPr>
        <w:t>IA</w:t>
      </w:r>
      <w:r w:rsidRPr="00785FB4">
        <w:rPr>
          <w:bCs/>
        </w:rPr>
        <w:tab/>
      </w:r>
      <w:r w:rsidRPr="00785FB4">
        <w:rPr>
          <w:bCs/>
        </w:rPr>
        <w:tab/>
      </w:r>
      <w:r w:rsidRPr="00785FB4">
        <w:rPr>
          <w:bCs/>
        </w:rPr>
        <w:tab/>
        <w:t>Independent Administrator</w:t>
      </w:r>
      <w:r w:rsidR="00DA3CE3" w:rsidRPr="00785FB4">
        <w:rPr>
          <w:bCs/>
        </w:rPr>
        <w:t xml:space="preserve"> </w:t>
      </w:r>
    </w:p>
    <w:p w14:paraId="55AA25FC" w14:textId="0A666B1A" w:rsidR="000A3A8C" w:rsidRPr="00785FB4" w:rsidRDefault="000A3A8C" w:rsidP="000A3A8C">
      <w:pPr>
        <w:pStyle w:val="NoSpacing"/>
        <w:rPr>
          <w:lang w:val="en-GB"/>
        </w:rPr>
      </w:pPr>
      <w:r w:rsidRPr="00785FB4">
        <w:rPr>
          <w:lang w:val="en-GB"/>
        </w:rPr>
        <w:t>IMF</w:t>
      </w:r>
      <w:r w:rsidRPr="00785FB4">
        <w:rPr>
          <w:lang w:val="en-GB"/>
        </w:rPr>
        <w:tab/>
      </w:r>
      <w:r w:rsidRPr="00785FB4">
        <w:rPr>
          <w:lang w:val="en-GB"/>
        </w:rPr>
        <w:tab/>
      </w:r>
      <w:r w:rsidRPr="00785FB4">
        <w:rPr>
          <w:lang w:val="en-GB"/>
        </w:rPr>
        <w:tab/>
        <w:t>International Monetary Fund</w:t>
      </w:r>
    </w:p>
    <w:p w14:paraId="69DFF4C6" w14:textId="52432377" w:rsidR="002B3109" w:rsidRPr="00785FB4" w:rsidRDefault="002B3109" w:rsidP="000A3A8C">
      <w:pPr>
        <w:pStyle w:val="NoSpacing"/>
        <w:rPr>
          <w:lang w:val="en-GB"/>
        </w:rPr>
      </w:pPr>
      <w:r w:rsidRPr="00785FB4">
        <w:rPr>
          <w:lang w:val="en-GB"/>
        </w:rPr>
        <w:t xml:space="preserve">ISA </w:t>
      </w:r>
      <w:r w:rsidRPr="00785FB4">
        <w:rPr>
          <w:lang w:val="en-GB"/>
        </w:rPr>
        <w:tab/>
      </w:r>
      <w:r w:rsidRPr="00785FB4">
        <w:rPr>
          <w:lang w:val="en-GB"/>
        </w:rPr>
        <w:tab/>
      </w:r>
      <w:r w:rsidRPr="00785FB4">
        <w:rPr>
          <w:lang w:val="en-GB"/>
        </w:rPr>
        <w:tab/>
        <w:t xml:space="preserve">International Standards on Auditing </w:t>
      </w:r>
    </w:p>
    <w:p w14:paraId="48BEC742" w14:textId="4F77AC6D" w:rsidR="00097F7C" w:rsidRPr="00785FB4" w:rsidRDefault="00097F7C" w:rsidP="00D02694">
      <w:pPr>
        <w:widowControl/>
        <w:suppressAutoHyphens w:val="0"/>
        <w:spacing w:after="0" w:line="240" w:lineRule="auto"/>
        <w:rPr>
          <w:bCs/>
        </w:rPr>
      </w:pPr>
      <w:r w:rsidRPr="00785FB4">
        <w:rPr>
          <w:bCs/>
        </w:rPr>
        <w:t>LTO</w:t>
      </w:r>
      <w:r w:rsidRPr="00785FB4">
        <w:rPr>
          <w:bCs/>
        </w:rPr>
        <w:tab/>
      </w:r>
      <w:r w:rsidRPr="00785FB4">
        <w:rPr>
          <w:bCs/>
        </w:rPr>
        <w:tab/>
      </w:r>
      <w:r w:rsidRPr="00785FB4">
        <w:rPr>
          <w:bCs/>
        </w:rPr>
        <w:tab/>
        <w:t xml:space="preserve">Large Taxpayers Office </w:t>
      </w:r>
    </w:p>
    <w:p w14:paraId="1EE4CA78" w14:textId="3C99E132" w:rsidR="00097F7C" w:rsidRPr="00785FB4" w:rsidRDefault="00097F7C" w:rsidP="00D02694">
      <w:pPr>
        <w:widowControl/>
        <w:suppressAutoHyphens w:val="0"/>
        <w:spacing w:after="0" w:line="240" w:lineRule="auto"/>
        <w:rPr>
          <w:bCs/>
        </w:rPr>
      </w:pPr>
      <w:r w:rsidRPr="00785FB4">
        <w:rPr>
          <w:bCs/>
        </w:rPr>
        <w:t>MCC</w:t>
      </w:r>
      <w:r w:rsidRPr="00785FB4">
        <w:rPr>
          <w:bCs/>
        </w:rPr>
        <w:tab/>
      </w:r>
      <w:r w:rsidRPr="00785FB4">
        <w:rPr>
          <w:bCs/>
        </w:rPr>
        <w:tab/>
      </w:r>
      <w:r w:rsidRPr="00785FB4">
        <w:rPr>
          <w:bCs/>
        </w:rPr>
        <w:tab/>
        <w:t>Metallurgical Corporation of China</w:t>
      </w:r>
    </w:p>
    <w:p w14:paraId="76611167" w14:textId="4C14C611" w:rsidR="00D65F45" w:rsidRPr="00785FB4" w:rsidRDefault="00D65F45" w:rsidP="00D02694">
      <w:pPr>
        <w:widowControl/>
        <w:suppressAutoHyphens w:val="0"/>
        <w:spacing w:after="0" w:line="240" w:lineRule="auto"/>
        <w:rPr>
          <w:bCs/>
        </w:rPr>
      </w:pPr>
      <w:r w:rsidRPr="00785FB4">
        <w:rPr>
          <w:bCs/>
        </w:rPr>
        <w:t>MCI</w:t>
      </w:r>
      <w:r w:rsidRPr="00785FB4">
        <w:rPr>
          <w:bCs/>
        </w:rPr>
        <w:tab/>
      </w:r>
      <w:r w:rsidRPr="00785FB4">
        <w:rPr>
          <w:bCs/>
        </w:rPr>
        <w:tab/>
      </w:r>
      <w:r w:rsidRPr="00785FB4">
        <w:rPr>
          <w:bCs/>
        </w:rPr>
        <w:tab/>
        <w:t>Ministry of Commerce and Industry</w:t>
      </w:r>
    </w:p>
    <w:p w14:paraId="77281CB9" w14:textId="078A7C21" w:rsidR="00D02694" w:rsidRPr="00785FB4" w:rsidRDefault="00D02694" w:rsidP="00D02694">
      <w:pPr>
        <w:widowControl/>
        <w:suppressAutoHyphens w:val="0"/>
        <w:spacing w:after="0" w:line="240" w:lineRule="auto"/>
        <w:rPr>
          <w:bCs/>
        </w:rPr>
      </w:pPr>
      <w:r w:rsidRPr="00785FB4">
        <w:rPr>
          <w:bCs/>
        </w:rPr>
        <w:t>MDTF</w:t>
      </w:r>
      <w:r w:rsidRPr="00785FB4">
        <w:rPr>
          <w:bCs/>
        </w:rPr>
        <w:tab/>
      </w:r>
      <w:r w:rsidRPr="00785FB4">
        <w:rPr>
          <w:bCs/>
        </w:rPr>
        <w:tab/>
      </w:r>
      <w:r w:rsidRPr="00785FB4">
        <w:rPr>
          <w:bCs/>
        </w:rPr>
        <w:tab/>
        <w:t>Multi-Donor Trust Fund</w:t>
      </w:r>
    </w:p>
    <w:p w14:paraId="66C8B968" w14:textId="32D65535" w:rsidR="00D65F45" w:rsidRPr="00785FB4" w:rsidRDefault="00D65F45" w:rsidP="00D02694">
      <w:pPr>
        <w:widowControl/>
        <w:suppressAutoHyphens w:val="0"/>
        <w:spacing w:after="0" w:line="240" w:lineRule="auto"/>
        <w:rPr>
          <w:bCs/>
        </w:rPr>
      </w:pPr>
      <w:r w:rsidRPr="00785FB4">
        <w:rPr>
          <w:bCs/>
        </w:rPr>
        <w:t>MOE</w:t>
      </w:r>
      <w:r w:rsidRPr="00785FB4">
        <w:rPr>
          <w:bCs/>
        </w:rPr>
        <w:tab/>
      </w:r>
      <w:r w:rsidRPr="00785FB4">
        <w:rPr>
          <w:bCs/>
        </w:rPr>
        <w:tab/>
      </w:r>
      <w:r w:rsidRPr="00785FB4">
        <w:rPr>
          <w:bCs/>
        </w:rPr>
        <w:tab/>
        <w:t>Ministry of the Economy</w:t>
      </w:r>
    </w:p>
    <w:p w14:paraId="7B8006D1" w14:textId="59150189" w:rsidR="000A3A8C" w:rsidRPr="00785FB4" w:rsidRDefault="00DB56BA" w:rsidP="000A3A8C">
      <w:pPr>
        <w:pStyle w:val="NoSpacing"/>
        <w:rPr>
          <w:lang w:val="en-GB"/>
        </w:rPr>
      </w:pPr>
      <w:r w:rsidRPr="00785FB4">
        <w:rPr>
          <w:lang w:val="en-GB"/>
        </w:rPr>
        <w:t>MOF</w:t>
      </w:r>
      <w:r w:rsidR="000A3A8C" w:rsidRPr="00785FB4">
        <w:rPr>
          <w:lang w:val="en-GB"/>
        </w:rPr>
        <w:tab/>
      </w:r>
      <w:r w:rsidR="000A3A8C" w:rsidRPr="00785FB4">
        <w:rPr>
          <w:lang w:val="en-GB"/>
        </w:rPr>
        <w:tab/>
      </w:r>
      <w:r w:rsidR="000A3A8C" w:rsidRPr="00785FB4">
        <w:rPr>
          <w:lang w:val="en-GB"/>
        </w:rPr>
        <w:tab/>
        <w:t xml:space="preserve">Ministry of Finance </w:t>
      </w:r>
    </w:p>
    <w:p w14:paraId="79926AB2" w14:textId="07B489F5" w:rsidR="000A3A8C" w:rsidRPr="00785FB4" w:rsidRDefault="00DB56BA" w:rsidP="000A3A8C">
      <w:pPr>
        <w:pStyle w:val="NoSpacing"/>
        <w:rPr>
          <w:lang w:val="en-GB"/>
        </w:rPr>
      </w:pPr>
      <w:r w:rsidRPr="00785FB4">
        <w:rPr>
          <w:lang w:val="en-GB"/>
        </w:rPr>
        <w:t>MOMP</w:t>
      </w:r>
      <w:r w:rsidR="000A3A8C" w:rsidRPr="00785FB4">
        <w:rPr>
          <w:lang w:val="en-GB"/>
        </w:rPr>
        <w:tab/>
      </w:r>
      <w:r w:rsidR="000A3A8C" w:rsidRPr="00785FB4">
        <w:rPr>
          <w:lang w:val="en-GB"/>
        </w:rPr>
        <w:tab/>
      </w:r>
      <w:r w:rsidR="000A3A8C" w:rsidRPr="00785FB4">
        <w:rPr>
          <w:lang w:val="en-GB"/>
        </w:rPr>
        <w:tab/>
        <w:t>Ministry of Mines and Petroleum</w:t>
      </w:r>
    </w:p>
    <w:p w14:paraId="011428BA" w14:textId="447E311B" w:rsidR="000A3A8C" w:rsidRPr="00785FB4" w:rsidRDefault="000A3A8C" w:rsidP="000A3A8C">
      <w:pPr>
        <w:pStyle w:val="NoSpacing"/>
        <w:rPr>
          <w:lang w:val="en-GB"/>
        </w:rPr>
      </w:pPr>
      <w:r w:rsidRPr="00785FB4">
        <w:rPr>
          <w:lang w:val="en-GB"/>
        </w:rPr>
        <w:t>MSG</w:t>
      </w:r>
      <w:r w:rsidRPr="00785FB4">
        <w:rPr>
          <w:lang w:val="en-GB"/>
        </w:rPr>
        <w:tab/>
      </w:r>
      <w:r w:rsidRPr="00785FB4">
        <w:rPr>
          <w:lang w:val="en-GB"/>
        </w:rPr>
        <w:tab/>
      </w:r>
      <w:r w:rsidRPr="00785FB4">
        <w:rPr>
          <w:lang w:val="en-GB"/>
        </w:rPr>
        <w:tab/>
        <w:t>Multi Stakeholder Group</w:t>
      </w:r>
    </w:p>
    <w:p w14:paraId="285A5B8A" w14:textId="5BF7411E" w:rsidR="00097F7C" w:rsidRPr="00785FB4" w:rsidRDefault="00097F7C" w:rsidP="000A3A8C">
      <w:pPr>
        <w:pStyle w:val="NoSpacing"/>
        <w:rPr>
          <w:rFonts w:asciiTheme="majorHAnsi" w:hAnsiTheme="majorHAnsi"/>
          <w:lang w:val="en-GB"/>
        </w:rPr>
      </w:pPr>
      <w:r w:rsidRPr="00785FB4">
        <w:rPr>
          <w:rFonts w:asciiTheme="majorHAnsi" w:hAnsiTheme="majorHAnsi"/>
          <w:lang w:val="en-GB"/>
        </w:rPr>
        <w:t>NCE</w:t>
      </w:r>
      <w:r w:rsidRPr="00785FB4">
        <w:rPr>
          <w:rFonts w:asciiTheme="majorHAnsi" w:hAnsiTheme="majorHAnsi"/>
          <w:lang w:val="en-GB"/>
        </w:rPr>
        <w:tab/>
      </w:r>
      <w:r w:rsidRPr="00785FB4">
        <w:rPr>
          <w:rFonts w:asciiTheme="majorHAnsi" w:hAnsiTheme="majorHAnsi"/>
          <w:lang w:val="en-GB"/>
        </w:rPr>
        <w:tab/>
      </w:r>
      <w:r w:rsidRPr="00785FB4">
        <w:rPr>
          <w:rFonts w:asciiTheme="majorHAnsi" w:hAnsiTheme="majorHAnsi"/>
          <w:lang w:val="en-GB"/>
        </w:rPr>
        <w:tab/>
        <w:t>Northern Coal Enterprise</w:t>
      </w:r>
    </w:p>
    <w:p w14:paraId="5784A425" w14:textId="4958185E" w:rsidR="00D02694" w:rsidRPr="00785FB4" w:rsidRDefault="00D02694" w:rsidP="000A3A8C">
      <w:pPr>
        <w:pStyle w:val="NoSpacing"/>
        <w:rPr>
          <w:lang w:val="en-GB"/>
        </w:rPr>
      </w:pPr>
      <w:r w:rsidRPr="00785FB4">
        <w:rPr>
          <w:rFonts w:asciiTheme="majorHAnsi" w:hAnsiTheme="majorHAnsi"/>
          <w:lang w:val="en-GB"/>
        </w:rPr>
        <w:t>NGO</w:t>
      </w:r>
      <w:r w:rsidRPr="00785FB4">
        <w:rPr>
          <w:rFonts w:asciiTheme="majorHAnsi" w:hAnsiTheme="majorHAnsi"/>
          <w:lang w:val="en-GB"/>
        </w:rPr>
        <w:tab/>
      </w:r>
      <w:r w:rsidRPr="00785FB4">
        <w:rPr>
          <w:rFonts w:asciiTheme="majorHAnsi" w:hAnsiTheme="majorHAnsi"/>
          <w:lang w:val="en-GB"/>
        </w:rPr>
        <w:tab/>
      </w:r>
      <w:r w:rsidRPr="00785FB4">
        <w:rPr>
          <w:rFonts w:asciiTheme="majorHAnsi" w:hAnsiTheme="majorHAnsi"/>
          <w:lang w:val="en-GB"/>
        </w:rPr>
        <w:tab/>
        <w:t>Non-Governmental Organisation</w:t>
      </w:r>
    </w:p>
    <w:p w14:paraId="09C192D8" w14:textId="04422342" w:rsidR="00D02694" w:rsidRPr="00785FB4" w:rsidRDefault="00D02694" w:rsidP="00D02694">
      <w:pPr>
        <w:widowControl/>
        <w:suppressAutoHyphens w:val="0"/>
        <w:spacing w:after="0" w:line="240" w:lineRule="auto"/>
        <w:rPr>
          <w:bCs/>
        </w:rPr>
      </w:pPr>
      <w:r w:rsidRPr="00785FB4">
        <w:rPr>
          <w:bCs/>
        </w:rPr>
        <w:t>PEP</w:t>
      </w:r>
      <w:r w:rsidRPr="00785FB4">
        <w:rPr>
          <w:bCs/>
        </w:rPr>
        <w:tab/>
      </w:r>
      <w:r w:rsidRPr="00785FB4">
        <w:rPr>
          <w:bCs/>
        </w:rPr>
        <w:tab/>
      </w:r>
      <w:r w:rsidRPr="00785FB4">
        <w:rPr>
          <w:bCs/>
        </w:rPr>
        <w:tab/>
        <w:t>Politically Exposed Person</w:t>
      </w:r>
    </w:p>
    <w:p w14:paraId="702CD042" w14:textId="35773DCC" w:rsidR="002B3109" w:rsidRPr="00785FB4" w:rsidRDefault="002B3109" w:rsidP="000A3A8C">
      <w:pPr>
        <w:pStyle w:val="NoSpacing"/>
        <w:rPr>
          <w:lang w:val="en-GB"/>
        </w:rPr>
      </w:pPr>
      <w:r w:rsidRPr="00785FB4">
        <w:rPr>
          <w:lang w:val="en-GB"/>
        </w:rPr>
        <w:t>PSC</w:t>
      </w:r>
      <w:r w:rsidRPr="00785FB4">
        <w:rPr>
          <w:lang w:val="en-GB"/>
        </w:rPr>
        <w:tab/>
      </w:r>
      <w:r w:rsidRPr="00785FB4">
        <w:rPr>
          <w:lang w:val="en-GB"/>
        </w:rPr>
        <w:tab/>
      </w:r>
      <w:r w:rsidRPr="00785FB4">
        <w:rPr>
          <w:lang w:val="en-GB"/>
        </w:rPr>
        <w:tab/>
        <w:t xml:space="preserve">Production Sharing Contract </w:t>
      </w:r>
    </w:p>
    <w:p w14:paraId="7D6B16FF" w14:textId="618773DE" w:rsidR="000A3A8C" w:rsidRPr="00785FB4" w:rsidRDefault="000A3A8C" w:rsidP="000A3A8C">
      <w:pPr>
        <w:pStyle w:val="NoSpacing"/>
        <w:rPr>
          <w:lang w:val="en-GB"/>
        </w:rPr>
      </w:pPr>
      <w:r w:rsidRPr="00785FB4">
        <w:rPr>
          <w:lang w:val="en-GB"/>
        </w:rPr>
        <w:t>SAO</w:t>
      </w:r>
      <w:r w:rsidRPr="00785FB4">
        <w:rPr>
          <w:lang w:val="en-GB"/>
        </w:rPr>
        <w:tab/>
      </w:r>
      <w:r w:rsidRPr="00785FB4">
        <w:rPr>
          <w:lang w:val="en-GB"/>
        </w:rPr>
        <w:tab/>
      </w:r>
      <w:r w:rsidRPr="00785FB4">
        <w:rPr>
          <w:lang w:val="en-GB"/>
        </w:rPr>
        <w:tab/>
        <w:t>Supreme Audit Office</w:t>
      </w:r>
    </w:p>
    <w:p w14:paraId="2474EABC" w14:textId="47517DA1" w:rsidR="00153021" w:rsidRPr="00785FB4" w:rsidRDefault="00153021" w:rsidP="000A3A8C">
      <w:pPr>
        <w:pStyle w:val="NoSpacing"/>
        <w:rPr>
          <w:lang w:val="en-GB"/>
        </w:rPr>
      </w:pPr>
      <w:r w:rsidRPr="00785FB4">
        <w:rPr>
          <w:lang w:val="en-GB"/>
        </w:rPr>
        <w:t>SDNRP</w:t>
      </w:r>
      <w:r w:rsidRPr="00785FB4">
        <w:rPr>
          <w:lang w:val="en-GB"/>
        </w:rPr>
        <w:tab/>
      </w:r>
      <w:r w:rsidRPr="00785FB4">
        <w:rPr>
          <w:lang w:val="en-GB"/>
        </w:rPr>
        <w:tab/>
      </w:r>
      <w:r w:rsidRPr="00785FB4">
        <w:rPr>
          <w:lang w:val="en-GB"/>
        </w:rPr>
        <w:tab/>
        <w:t>Sustainable Development of Natural Resources Project</w:t>
      </w:r>
    </w:p>
    <w:p w14:paraId="105E3405" w14:textId="71072D4E" w:rsidR="000A3A8C" w:rsidRPr="00785FB4" w:rsidRDefault="000A3A8C" w:rsidP="000A3A8C">
      <w:pPr>
        <w:pStyle w:val="NoSpacing"/>
        <w:rPr>
          <w:lang w:val="en-GB"/>
        </w:rPr>
      </w:pPr>
      <w:r w:rsidRPr="00785FB4">
        <w:rPr>
          <w:lang w:val="en-GB"/>
        </w:rPr>
        <w:t>SIGTAS</w:t>
      </w:r>
      <w:r w:rsidRPr="00785FB4">
        <w:rPr>
          <w:lang w:val="en-GB"/>
        </w:rPr>
        <w:tab/>
      </w:r>
      <w:r w:rsidRPr="00785FB4">
        <w:rPr>
          <w:lang w:val="en-GB"/>
        </w:rPr>
        <w:tab/>
      </w:r>
      <w:r w:rsidRPr="00785FB4">
        <w:rPr>
          <w:lang w:val="en-GB"/>
        </w:rPr>
        <w:tab/>
        <w:t>Standard Integrated Government Tax Administration System</w:t>
      </w:r>
    </w:p>
    <w:p w14:paraId="08FE5ABE" w14:textId="37886DBF" w:rsidR="000A3A8C" w:rsidRPr="00785FB4" w:rsidRDefault="000A3A8C" w:rsidP="000A3A8C">
      <w:pPr>
        <w:pStyle w:val="NoSpacing"/>
        <w:rPr>
          <w:lang w:val="en-GB"/>
        </w:rPr>
      </w:pPr>
      <w:r w:rsidRPr="00785FB4">
        <w:rPr>
          <w:lang w:val="en-GB"/>
        </w:rPr>
        <w:t>SMAF</w:t>
      </w:r>
      <w:r w:rsidRPr="00785FB4">
        <w:rPr>
          <w:lang w:val="en-GB"/>
        </w:rPr>
        <w:tab/>
      </w:r>
      <w:r w:rsidRPr="00785FB4">
        <w:rPr>
          <w:lang w:val="en-GB"/>
        </w:rPr>
        <w:tab/>
      </w:r>
      <w:r w:rsidRPr="00785FB4">
        <w:rPr>
          <w:lang w:val="en-GB"/>
        </w:rPr>
        <w:tab/>
        <w:t>Self-reliance through Mutual Accountability Framework</w:t>
      </w:r>
    </w:p>
    <w:p w14:paraId="20EBE3F9" w14:textId="3D96907C" w:rsidR="000A3A8C" w:rsidRPr="00785FB4" w:rsidRDefault="002B3109" w:rsidP="000A3A8C">
      <w:pPr>
        <w:pStyle w:val="NoSpacing"/>
        <w:rPr>
          <w:lang w:val="en-GB"/>
        </w:rPr>
      </w:pPr>
      <w:r w:rsidRPr="00785FB4">
        <w:rPr>
          <w:lang w:val="en-GB"/>
        </w:rPr>
        <w:t>SOE</w:t>
      </w:r>
      <w:r w:rsidRPr="00785FB4">
        <w:rPr>
          <w:lang w:val="en-GB"/>
        </w:rPr>
        <w:tab/>
      </w:r>
      <w:r w:rsidRPr="00785FB4">
        <w:rPr>
          <w:lang w:val="en-GB"/>
        </w:rPr>
        <w:tab/>
      </w:r>
      <w:r w:rsidRPr="00785FB4">
        <w:rPr>
          <w:lang w:val="en-GB"/>
        </w:rPr>
        <w:tab/>
        <w:t>State Owned Enterprise</w:t>
      </w:r>
    </w:p>
    <w:p w14:paraId="2A560E3D" w14:textId="325A6139" w:rsidR="00365960" w:rsidRPr="00785FB4" w:rsidRDefault="00365960" w:rsidP="00365960">
      <w:pPr>
        <w:pStyle w:val="NoSpacing"/>
        <w:rPr>
          <w:lang w:val="en-GB"/>
        </w:rPr>
      </w:pPr>
      <w:r w:rsidRPr="00785FB4">
        <w:rPr>
          <w:lang w:val="en-GB"/>
        </w:rPr>
        <w:t xml:space="preserve">TAPI </w:t>
      </w:r>
      <w:r w:rsidRPr="00785FB4">
        <w:rPr>
          <w:lang w:val="en-GB"/>
        </w:rPr>
        <w:tab/>
      </w:r>
      <w:r w:rsidRPr="00785FB4">
        <w:rPr>
          <w:lang w:val="en-GB"/>
        </w:rPr>
        <w:tab/>
      </w:r>
      <w:r w:rsidRPr="00785FB4">
        <w:rPr>
          <w:lang w:val="en-GB"/>
        </w:rPr>
        <w:tab/>
        <w:t>Turkmenistan-Afghanistan-Pakistan-India gas transport pipeline project</w:t>
      </w:r>
    </w:p>
    <w:p w14:paraId="0DCEFAEA" w14:textId="3CE590FA" w:rsidR="00365960" w:rsidRPr="00785FB4" w:rsidRDefault="00365960" w:rsidP="00365960">
      <w:pPr>
        <w:pStyle w:val="NoSpacing"/>
        <w:rPr>
          <w:lang w:val="en-GB"/>
        </w:rPr>
      </w:pPr>
      <w:r w:rsidRPr="00785FB4">
        <w:rPr>
          <w:lang w:val="en-GB"/>
        </w:rPr>
        <w:t xml:space="preserve">TFBSO </w:t>
      </w:r>
      <w:r w:rsidRPr="00785FB4">
        <w:rPr>
          <w:lang w:val="en-GB"/>
        </w:rPr>
        <w:tab/>
      </w:r>
      <w:r w:rsidRPr="00785FB4">
        <w:rPr>
          <w:lang w:val="en-GB"/>
        </w:rPr>
        <w:tab/>
      </w:r>
      <w:r w:rsidRPr="00785FB4">
        <w:rPr>
          <w:lang w:val="en-GB"/>
        </w:rPr>
        <w:tab/>
        <w:t>Task Force for Business and Stability Operations</w:t>
      </w:r>
    </w:p>
    <w:p w14:paraId="361DE47C" w14:textId="3E0F0CF6" w:rsidR="00615471" w:rsidRPr="00785FB4" w:rsidRDefault="00615471" w:rsidP="000A3A8C">
      <w:pPr>
        <w:pStyle w:val="NoSpacing"/>
        <w:rPr>
          <w:lang w:val="en-GB"/>
        </w:rPr>
      </w:pPr>
      <w:r w:rsidRPr="00785FB4">
        <w:rPr>
          <w:lang w:val="en-GB"/>
        </w:rPr>
        <w:t>TIN</w:t>
      </w:r>
      <w:r w:rsidRPr="00785FB4">
        <w:rPr>
          <w:lang w:val="en-GB"/>
        </w:rPr>
        <w:tab/>
      </w:r>
      <w:r w:rsidRPr="00785FB4">
        <w:rPr>
          <w:lang w:val="en-GB"/>
        </w:rPr>
        <w:tab/>
      </w:r>
      <w:r w:rsidRPr="00785FB4">
        <w:rPr>
          <w:lang w:val="en-GB"/>
        </w:rPr>
        <w:tab/>
        <w:t xml:space="preserve">Tax Identification Number </w:t>
      </w:r>
    </w:p>
    <w:p w14:paraId="0A320FD8" w14:textId="475700A3" w:rsidR="002B3109" w:rsidRPr="00785FB4" w:rsidRDefault="002B3109" w:rsidP="000A3A8C">
      <w:pPr>
        <w:pStyle w:val="NoSpacing"/>
        <w:rPr>
          <w:lang w:val="en-GB"/>
        </w:rPr>
      </w:pPr>
      <w:r w:rsidRPr="00785FB4">
        <w:rPr>
          <w:lang w:val="en-GB"/>
        </w:rPr>
        <w:t>ToR</w:t>
      </w:r>
      <w:r w:rsidRPr="00785FB4">
        <w:rPr>
          <w:lang w:val="en-GB"/>
        </w:rPr>
        <w:tab/>
      </w:r>
      <w:r w:rsidRPr="00785FB4">
        <w:rPr>
          <w:lang w:val="en-GB"/>
        </w:rPr>
        <w:tab/>
      </w:r>
      <w:r w:rsidRPr="00785FB4">
        <w:rPr>
          <w:lang w:val="en-GB"/>
        </w:rPr>
        <w:tab/>
        <w:t xml:space="preserve">Terms of Reference </w:t>
      </w:r>
    </w:p>
    <w:p w14:paraId="570C14A4" w14:textId="5ECA79BE" w:rsidR="00615471" w:rsidRPr="00785FB4" w:rsidRDefault="00615471" w:rsidP="00615471">
      <w:pPr>
        <w:pStyle w:val="NoSpacing"/>
        <w:rPr>
          <w:lang w:val="en-GB"/>
        </w:rPr>
      </w:pPr>
      <w:r w:rsidRPr="00785FB4">
        <w:rPr>
          <w:lang w:val="en-GB"/>
        </w:rPr>
        <w:t>USAID</w:t>
      </w:r>
      <w:r w:rsidRPr="00785FB4">
        <w:rPr>
          <w:lang w:val="en-GB"/>
        </w:rPr>
        <w:tab/>
      </w:r>
      <w:r w:rsidRPr="00785FB4">
        <w:rPr>
          <w:lang w:val="en-GB"/>
        </w:rPr>
        <w:tab/>
      </w:r>
      <w:r w:rsidRPr="00785FB4">
        <w:rPr>
          <w:lang w:val="en-GB"/>
        </w:rPr>
        <w:tab/>
        <w:t xml:space="preserve">U.S. Agency for International Development </w:t>
      </w:r>
    </w:p>
    <w:p w14:paraId="3BB5C518" w14:textId="0580BA43" w:rsidR="002B3109" w:rsidRPr="00785FB4" w:rsidRDefault="002B3109" w:rsidP="00615471">
      <w:pPr>
        <w:pStyle w:val="NoSpacing"/>
        <w:rPr>
          <w:lang w:val="en-GB"/>
        </w:rPr>
      </w:pPr>
      <w:r w:rsidRPr="00785FB4">
        <w:rPr>
          <w:lang w:val="en-GB"/>
        </w:rPr>
        <w:t>USD</w:t>
      </w:r>
      <w:r w:rsidRPr="00785FB4">
        <w:rPr>
          <w:lang w:val="en-GB"/>
        </w:rPr>
        <w:tab/>
      </w:r>
      <w:r w:rsidRPr="00785FB4">
        <w:rPr>
          <w:lang w:val="en-GB"/>
        </w:rPr>
        <w:tab/>
      </w:r>
      <w:r w:rsidRPr="00785FB4">
        <w:rPr>
          <w:lang w:val="en-GB"/>
        </w:rPr>
        <w:tab/>
        <w:t xml:space="preserve">United States Dollar </w:t>
      </w:r>
    </w:p>
    <w:p w14:paraId="5F54DF1B" w14:textId="03AB31C6" w:rsidR="002B3109" w:rsidRPr="00785FB4" w:rsidRDefault="00D02694" w:rsidP="000A3A8C">
      <w:pPr>
        <w:pStyle w:val="NoSpacing"/>
        <w:rPr>
          <w:lang w:val="en-GB"/>
        </w:rPr>
      </w:pPr>
      <w:r w:rsidRPr="00785FB4">
        <w:rPr>
          <w:rFonts w:asciiTheme="majorHAnsi" w:hAnsiTheme="majorHAnsi"/>
          <w:lang w:val="en-GB"/>
        </w:rPr>
        <w:t xml:space="preserve">VAT </w:t>
      </w:r>
      <w:r w:rsidRPr="00785FB4">
        <w:rPr>
          <w:rFonts w:asciiTheme="majorHAnsi" w:hAnsiTheme="majorHAnsi"/>
          <w:lang w:val="en-GB"/>
        </w:rPr>
        <w:tab/>
      </w:r>
      <w:r w:rsidRPr="00785FB4">
        <w:rPr>
          <w:rFonts w:asciiTheme="majorHAnsi" w:hAnsiTheme="majorHAnsi"/>
          <w:lang w:val="en-GB"/>
        </w:rPr>
        <w:tab/>
      </w:r>
      <w:r w:rsidRPr="00785FB4">
        <w:rPr>
          <w:rFonts w:asciiTheme="majorHAnsi" w:hAnsiTheme="majorHAnsi"/>
          <w:lang w:val="en-GB"/>
        </w:rPr>
        <w:tab/>
        <w:t>Value Added Tax</w:t>
      </w:r>
    </w:p>
    <w:p w14:paraId="6BF9B9E7" w14:textId="77777777" w:rsidR="008A27D4" w:rsidRPr="00785FB4" w:rsidRDefault="008A27D4" w:rsidP="009464B0">
      <w:pPr>
        <w:pStyle w:val="NoSpacing"/>
        <w:rPr>
          <w:lang w:val="en-GB"/>
        </w:rPr>
      </w:pPr>
    </w:p>
    <w:p w14:paraId="13ACFEE5" w14:textId="77777777" w:rsidR="00D02694" w:rsidRPr="00785FB4" w:rsidRDefault="00D02694" w:rsidP="009464B0">
      <w:pPr>
        <w:pStyle w:val="NoSpacing"/>
        <w:rPr>
          <w:lang w:val="en-GB"/>
        </w:rPr>
        <w:sectPr w:rsidR="00D02694" w:rsidRPr="00785FB4" w:rsidSect="008F1820">
          <w:headerReference w:type="even" r:id="rId11"/>
          <w:headerReference w:type="default" r:id="rId12"/>
          <w:footerReference w:type="even" r:id="rId13"/>
          <w:footerReference w:type="default" r:id="rId14"/>
          <w:headerReference w:type="first" r:id="rId15"/>
          <w:footerReference w:type="first" r:id="rId16"/>
          <w:pgSz w:w="11905" w:h="16837"/>
          <w:pgMar w:top="1524" w:right="1276" w:bottom="1418" w:left="1134" w:header="567" w:footer="0" w:gutter="0"/>
          <w:cols w:space="708"/>
          <w:titlePg/>
          <w:docGrid w:linePitch="326"/>
        </w:sectPr>
      </w:pPr>
    </w:p>
    <w:sdt>
      <w:sdtPr>
        <w:rPr>
          <w:rFonts w:ascii="Times New Roman" w:hAnsi="Times New Roman"/>
          <w:b w:val="0"/>
          <w:color w:val="365F91"/>
          <w:sz w:val="32"/>
          <w:szCs w:val="22"/>
        </w:rPr>
        <w:id w:val="-32887779"/>
        <w:docPartObj>
          <w:docPartGallery w:val="Table of Contents"/>
          <w:docPartUnique/>
        </w:docPartObj>
      </w:sdtPr>
      <w:sdtEndPr>
        <w:rPr>
          <w:rFonts w:asciiTheme="majorHAnsi" w:hAnsiTheme="majorHAnsi"/>
        </w:rPr>
      </w:sdtEndPr>
      <w:sdtContent>
        <w:p w14:paraId="04777164" w14:textId="30C4275C" w:rsidR="009D44D1" w:rsidRPr="00785FB4" w:rsidRDefault="009D44D1">
          <w:pPr>
            <w:pStyle w:val="TOC1"/>
            <w:rPr>
              <w:rFonts w:eastAsiaTheme="minorEastAsia" w:cstheme="minorBidi"/>
              <w:lang w:eastAsia="ja-JP"/>
            </w:rPr>
          </w:pPr>
          <w:r w:rsidRPr="00785FB4">
            <w:fldChar w:fldCharType="begin"/>
          </w:r>
          <w:r w:rsidRPr="00785FB4">
            <w:rPr>
              <w:rFonts w:asciiTheme="majorHAnsi" w:hAnsiTheme="majorHAnsi"/>
              <w:b w:val="0"/>
              <w:bCs w:val="0"/>
              <w:sz w:val="22"/>
              <w:szCs w:val="22"/>
            </w:rPr>
            <w:instrText xml:space="preserve"> TOC \o "1-2" \h \z \u </w:instrText>
          </w:r>
          <w:r w:rsidRPr="00785FB4">
            <w:fldChar w:fldCharType="separate"/>
          </w:r>
          <w:hyperlink w:anchor="_Toc505449763" w:history="1">
            <w:r w:rsidRPr="00785FB4">
              <w:rPr>
                <w:rStyle w:val="Hyperlink"/>
                <w:rFonts w:asciiTheme="majorHAnsi" w:hAnsiTheme="majorHAnsi"/>
                <w:sz w:val="22"/>
                <w:szCs w:val="22"/>
              </w:rPr>
              <w:t>Abbreviations</w:t>
            </w:r>
            <w:r w:rsidRPr="00785FB4">
              <w:rPr>
                <w:webHidden/>
              </w:rPr>
              <w:tab/>
            </w:r>
            <w:r w:rsidRPr="00785FB4">
              <w:rPr>
                <w:webHidden/>
              </w:rPr>
              <w:fldChar w:fldCharType="begin"/>
            </w:r>
            <w:r w:rsidRPr="00785FB4">
              <w:rPr>
                <w:rFonts w:asciiTheme="majorHAnsi" w:hAnsiTheme="majorHAnsi"/>
                <w:webHidden/>
                <w:sz w:val="22"/>
                <w:szCs w:val="22"/>
              </w:rPr>
              <w:instrText xml:space="preserve"> PAGEREF _Toc505449763 \h </w:instrText>
            </w:r>
            <w:r w:rsidRPr="00785FB4">
              <w:rPr>
                <w:webHidden/>
              </w:rPr>
            </w:r>
            <w:r w:rsidRPr="00785FB4">
              <w:rPr>
                <w:webHidden/>
              </w:rPr>
              <w:fldChar w:fldCharType="separate"/>
            </w:r>
            <w:r w:rsidR="008E32CE" w:rsidRPr="00785FB4">
              <w:rPr>
                <w:rFonts w:asciiTheme="majorHAnsi" w:hAnsiTheme="majorHAnsi"/>
                <w:webHidden/>
                <w:sz w:val="22"/>
                <w:szCs w:val="22"/>
              </w:rPr>
              <w:t>2</w:t>
            </w:r>
            <w:r w:rsidRPr="00785FB4">
              <w:rPr>
                <w:webHidden/>
              </w:rPr>
              <w:fldChar w:fldCharType="end"/>
            </w:r>
          </w:hyperlink>
        </w:p>
        <w:p w14:paraId="7545BCA7" w14:textId="46256FBD" w:rsidR="009D44D1" w:rsidRPr="00785FB4" w:rsidRDefault="00E60909">
          <w:pPr>
            <w:pStyle w:val="TOC1"/>
            <w:rPr>
              <w:rFonts w:eastAsiaTheme="minorEastAsia" w:cstheme="minorBidi"/>
              <w:lang w:eastAsia="ja-JP"/>
            </w:rPr>
          </w:pPr>
          <w:hyperlink w:anchor="_Toc505449764" w:history="1">
            <w:r w:rsidR="009D44D1" w:rsidRPr="00785FB4">
              <w:rPr>
                <w:rStyle w:val="Hyperlink"/>
                <w:rFonts w:asciiTheme="majorHAnsi" w:hAnsiTheme="majorHAnsi"/>
                <w:sz w:val="22"/>
                <w:szCs w:val="22"/>
              </w:rPr>
              <w:t>Executive Summary</w:t>
            </w:r>
            <w:r w:rsidR="009D44D1" w:rsidRPr="00785FB4">
              <w:rPr>
                <w:webHidden/>
              </w:rPr>
              <w:tab/>
            </w:r>
            <w:r w:rsidR="009D44D1" w:rsidRPr="00785FB4">
              <w:rPr>
                <w:webHidden/>
              </w:rPr>
              <w:fldChar w:fldCharType="begin"/>
            </w:r>
            <w:r w:rsidR="009D44D1" w:rsidRPr="00785FB4">
              <w:rPr>
                <w:rFonts w:asciiTheme="majorHAnsi" w:hAnsiTheme="majorHAnsi"/>
                <w:webHidden/>
                <w:sz w:val="22"/>
                <w:szCs w:val="22"/>
              </w:rPr>
              <w:instrText xml:space="preserve"> PAGEREF _Toc505449764 \h </w:instrText>
            </w:r>
            <w:r w:rsidR="009D44D1" w:rsidRPr="00785FB4">
              <w:rPr>
                <w:webHidden/>
              </w:rPr>
            </w:r>
            <w:r w:rsidR="009D44D1" w:rsidRPr="00785FB4">
              <w:rPr>
                <w:webHidden/>
              </w:rPr>
              <w:fldChar w:fldCharType="separate"/>
            </w:r>
            <w:r w:rsidR="008E32CE" w:rsidRPr="00785FB4">
              <w:rPr>
                <w:rFonts w:asciiTheme="majorHAnsi" w:hAnsiTheme="majorHAnsi"/>
                <w:webHidden/>
                <w:sz w:val="22"/>
                <w:szCs w:val="22"/>
              </w:rPr>
              <w:t>5</w:t>
            </w:r>
            <w:r w:rsidR="009D44D1" w:rsidRPr="00785FB4">
              <w:rPr>
                <w:webHidden/>
              </w:rPr>
              <w:fldChar w:fldCharType="end"/>
            </w:r>
          </w:hyperlink>
        </w:p>
        <w:p w14:paraId="5B3C3B37" w14:textId="15B2789E" w:rsidR="009D44D1" w:rsidRPr="00785FB4" w:rsidRDefault="00E60909">
          <w:pPr>
            <w:pStyle w:val="TOC1"/>
            <w:rPr>
              <w:rFonts w:eastAsiaTheme="minorEastAsia" w:cstheme="minorBidi"/>
              <w:lang w:eastAsia="ja-JP"/>
            </w:rPr>
          </w:pPr>
          <w:hyperlink w:anchor="_Toc505449767" w:history="1">
            <w:r w:rsidR="009D44D1" w:rsidRPr="00785FB4">
              <w:rPr>
                <w:rStyle w:val="Hyperlink"/>
                <w:rFonts w:asciiTheme="majorHAnsi" w:hAnsiTheme="majorHAnsi"/>
                <w:sz w:val="22"/>
                <w:szCs w:val="22"/>
              </w:rPr>
              <w:t>Introduction</w:t>
            </w:r>
            <w:r w:rsidR="009D44D1" w:rsidRPr="00785FB4">
              <w:rPr>
                <w:webHidden/>
              </w:rPr>
              <w:tab/>
            </w:r>
            <w:r w:rsidR="009D44D1" w:rsidRPr="00785FB4">
              <w:rPr>
                <w:webHidden/>
              </w:rPr>
              <w:fldChar w:fldCharType="begin"/>
            </w:r>
            <w:r w:rsidR="009D44D1" w:rsidRPr="00785FB4">
              <w:rPr>
                <w:rFonts w:asciiTheme="majorHAnsi" w:hAnsiTheme="majorHAnsi"/>
                <w:webHidden/>
                <w:sz w:val="22"/>
                <w:szCs w:val="22"/>
              </w:rPr>
              <w:instrText xml:space="preserve"> PAGEREF _Toc505449767 \h </w:instrText>
            </w:r>
            <w:r w:rsidR="009D44D1" w:rsidRPr="00785FB4">
              <w:rPr>
                <w:webHidden/>
              </w:rPr>
            </w:r>
            <w:r w:rsidR="009D44D1" w:rsidRPr="00785FB4">
              <w:rPr>
                <w:webHidden/>
              </w:rPr>
              <w:fldChar w:fldCharType="separate"/>
            </w:r>
            <w:r w:rsidR="008E32CE" w:rsidRPr="00785FB4">
              <w:rPr>
                <w:rFonts w:asciiTheme="majorHAnsi" w:hAnsiTheme="majorHAnsi"/>
                <w:webHidden/>
                <w:sz w:val="22"/>
                <w:szCs w:val="22"/>
              </w:rPr>
              <w:t>12</w:t>
            </w:r>
            <w:r w:rsidR="009D44D1" w:rsidRPr="00785FB4">
              <w:rPr>
                <w:webHidden/>
              </w:rPr>
              <w:fldChar w:fldCharType="end"/>
            </w:r>
          </w:hyperlink>
        </w:p>
        <w:p w14:paraId="2C8813C7" w14:textId="347E010A" w:rsidR="009D44D1" w:rsidRPr="00785FB4" w:rsidRDefault="00E60909">
          <w:pPr>
            <w:pStyle w:val="TOC1"/>
            <w:rPr>
              <w:rFonts w:eastAsiaTheme="minorEastAsia" w:cstheme="minorBidi"/>
              <w:lang w:eastAsia="ja-JP"/>
            </w:rPr>
          </w:pPr>
          <w:hyperlink w:anchor="_Toc505449774" w:history="1">
            <w:r w:rsidR="009D44D1" w:rsidRPr="00785FB4">
              <w:rPr>
                <w:rStyle w:val="Hyperlink"/>
                <w:rFonts w:asciiTheme="majorHAnsi" w:hAnsiTheme="majorHAnsi"/>
                <w:sz w:val="22"/>
                <w:szCs w:val="22"/>
              </w:rPr>
              <w:t>Part I – MSG Oversight</w:t>
            </w:r>
            <w:r w:rsidR="009D44D1" w:rsidRPr="00785FB4">
              <w:rPr>
                <w:webHidden/>
              </w:rPr>
              <w:tab/>
            </w:r>
            <w:r w:rsidR="009D44D1" w:rsidRPr="00785FB4">
              <w:rPr>
                <w:webHidden/>
              </w:rPr>
              <w:fldChar w:fldCharType="begin"/>
            </w:r>
            <w:r w:rsidR="009D44D1" w:rsidRPr="00785FB4">
              <w:rPr>
                <w:rFonts w:asciiTheme="majorHAnsi" w:hAnsiTheme="majorHAnsi"/>
                <w:webHidden/>
                <w:sz w:val="22"/>
                <w:szCs w:val="22"/>
              </w:rPr>
              <w:instrText xml:space="preserve"> PAGEREF _Toc505449774 \h </w:instrText>
            </w:r>
            <w:r w:rsidR="009D44D1" w:rsidRPr="00785FB4">
              <w:rPr>
                <w:webHidden/>
              </w:rPr>
            </w:r>
            <w:r w:rsidR="009D44D1" w:rsidRPr="00785FB4">
              <w:rPr>
                <w:webHidden/>
              </w:rPr>
              <w:fldChar w:fldCharType="separate"/>
            </w:r>
            <w:r w:rsidR="008E32CE" w:rsidRPr="00785FB4">
              <w:rPr>
                <w:rFonts w:asciiTheme="majorHAnsi" w:hAnsiTheme="majorHAnsi"/>
                <w:webHidden/>
                <w:sz w:val="22"/>
                <w:szCs w:val="22"/>
              </w:rPr>
              <w:t>18</w:t>
            </w:r>
            <w:r w:rsidR="009D44D1" w:rsidRPr="00785FB4">
              <w:rPr>
                <w:webHidden/>
              </w:rPr>
              <w:fldChar w:fldCharType="end"/>
            </w:r>
          </w:hyperlink>
        </w:p>
        <w:p w14:paraId="7B6B7E13" w14:textId="2EFA3619" w:rsidR="009D44D1" w:rsidRPr="00785FB4" w:rsidRDefault="00E60909">
          <w:pPr>
            <w:pStyle w:val="TOC2"/>
            <w:tabs>
              <w:tab w:val="right" w:leader="dot" w:pos="9485"/>
            </w:tabs>
            <w:rPr>
              <w:rFonts w:asciiTheme="majorHAnsi" w:eastAsiaTheme="minorEastAsia" w:hAnsiTheme="majorHAnsi" w:cstheme="minorBidi"/>
              <w:b w:val="0"/>
              <w:lang w:eastAsia="ja-JP"/>
            </w:rPr>
          </w:pPr>
          <w:hyperlink w:anchor="_Toc505449775" w:history="1">
            <w:r w:rsidR="009D44D1" w:rsidRPr="00785FB4">
              <w:rPr>
                <w:rStyle w:val="Hyperlink"/>
                <w:rFonts w:asciiTheme="majorHAnsi" w:hAnsiTheme="majorHAnsi"/>
              </w:rPr>
              <w:t>1. Oversight of the EITI process</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_Toc505449775 \h </w:instrText>
            </w:r>
            <w:r w:rsidR="009D44D1" w:rsidRPr="00785FB4">
              <w:rPr>
                <w:rFonts w:asciiTheme="majorHAnsi" w:hAnsiTheme="majorHAnsi"/>
                <w:webHidden/>
              </w:rPr>
            </w:r>
            <w:r w:rsidR="009D44D1" w:rsidRPr="00785FB4">
              <w:rPr>
                <w:rFonts w:asciiTheme="majorHAnsi" w:hAnsiTheme="majorHAnsi"/>
                <w:webHidden/>
              </w:rPr>
              <w:fldChar w:fldCharType="separate"/>
            </w:r>
            <w:r w:rsidR="008E32CE" w:rsidRPr="00785FB4">
              <w:rPr>
                <w:rFonts w:asciiTheme="majorHAnsi" w:hAnsiTheme="majorHAnsi"/>
                <w:webHidden/>
              </w:rPr>
              <w:t>18</w:t>
            </w:r>
            <w:r w:rsidR="009D44D1" w:rsidRPr="00785FB4">
              <w:rPr>
                <w:rFonts w:asciiTheme="majorHAnsi" w:hAnsiTheme="majorHAnsi"/>
                <w:webHidden/>
              </w:rPr>
              <w:fldChar w:fldCharType="end"/>
            </w:r>
          </w:hyperlink>
        </w:p>
        <w:p w14:paraId="087E8229" w14:textId="641D374B" w:rsidR="009D44D1" w:rsidRPr="00785FB4" w:rsidRDefault="00E60909">
          <w:pPr>
            <w:pStyle w:val="TOC2"/>
            <w:tabs>
              <w:tab w:val="right" w:leader="dot" w:pos="9485"/>
            </w:tabs>
            <w:rPr>
              <w:rFonts w:asciiTheme="majorHAnsi" w:eastAsiaTheme="minorEastAsia" w:hAnsiTheme="majorHAnsi" w:cstheme="minorBidi"/>
              <w:b w:val="0"/>
              <w:lang w:eastAsia="ja-JP"/>
            </w:rPr>
          </w:pPr>
          <w:hyperlink w:anchor="_Toc505449778" w:history="1">
            <w:r w:rsidR="009D44D1" w:rsidRPr="00785FB4">
              <w:rPr>
                <w:rStyle w:val="Hyperlink"/>
                <w:rFonts w:asciiTheme="majorHAnsi" w:hAnsiTheme="majorHAnsi"/>
              </w:rPr>
              <w:t>Government engagement in the EITI process (#1.1)</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_Toc505449778 \h </w:instrText>
            </w:r>
            <w:r w:rsidR="009D44D1" w:rsidRPr="00785FB4">
              <w:rPr>
                <w:rFonts w:asciiTheme="majorHAnsi" w:hAnsiTheme="majorHAnsi"/>
                <w:webHidden/>
              </w:rPr>
            </w:r>
            <w:r w:rsidR="009D44D1" w:rsidRPr="00785FB4">
              <w:rPr>
                <w:rFonts w:asciiTheme="majorHAnsi" w:hAnsiTheme="majorHAnsi"/>
                <w:webHidden/>
              </w:rPr>
              <w:fldChar w:fldCharType="separate"/>
            </w:r>
            <w:r w:rsidR="008E32CE" w:rsidRPr="00785FB4">
              <w:rPr>
                <w:rFonts w:asciiTheme="majorHAnsi" w:hAnsiTheme="majorHAnsi"/>
                <w:webHidden/>
              </w:rPr>
              <w:t>18</w:t>
            </w:r>
            <w:r w:rsidR="009D44D1" w:rsidRPr="00785FB4">
              <w:rPr>
                <w:rFonts w:asciiTheme="majorHAnsi" w:hAnsiTheme="majorHAnsi"/>
                <w:webHidden/>
              </w:rPr>
              <w:fldChar w:fldCharType="end"/>
            </w:r>
          </w:hyperlink>
        </w:p>
        <w:p w14:paraId="78541EA8" w14:textId="2BF034BE" w:rsidR="009D44D1" w:rsidRPr="00785FB4" w:rsidRDefault="00E60909">
          <w:pPr>
            <w:pStyle w:val="TOC2"/>
            <w:tabs>
              <w:tab w:val="right" w:leader="dot" w:pos="9485"/>
            </w:tabs>
            <w:rPr>
              <w:rFonts w:asciiTheme="majorHAnsi" w:eastAsiaTheme="minorEastAsia" w:hAnsiTheme="majorHAnsi" w:cstheme="minorBidi"/>
              <w:b w:val="0"/>
              <w:lang w:eastAsia="ja-JP"/>
            </w:rPr>
          </w:pPr>
          <w:hyperlink w:anchor="_Toc505449779" w:history="1">
            <w:r w:rsidR="009D44D1" w:rsidRPr="00785FB4">
              <w:rPr>
                <w:rStyle w:val="Hyperlink"/>
                <w:rFonts w:asciiTheme="majorHAnsi" w:hAnsiTheme="majorHAnsi"/>
              </w:rPr>
              <w:t>Industry engagement in the EITI process (#1.2)</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_Toc505449779 \h </w:instrText>
            </w:r>
            <w:r w:rsidR="009D44D1" w:rsidRPr="00785FB4">
              <w:rPr>
                <w:rFonts w:asciiTheme="majorHAnsi" w:hAnsiTheme="majorHAnsi"/>
                <w:webHidden/>
              </w:rPr>
            </w:r>
            <w:r w:rsidR="009D44D1" w:rsidRPr="00785FB4">
              <w:rPr>
                <w:rFonts w:asciiTheme="majorHAnsi" w:hAnsiTheme="majorHAnsi"/>
                <w:webHidden/>
              </w:rPr>
              <w:fldChar w:fldCharType="separate"/>
            </w:r>
            <w:r w:rsidR="008E32CE" w:rsidRPr="00785FB4">
              <w:rPr>
                <w:rFonts w:asciiTheme="majorHAnsi" w:hAnsiTheme="majorHAnsi"/>
                <w:webHidden/>
              </w:rPr>
              <w:t>20</w:t>
            </w:r>
            <w:r w:rsidR="009D44D1" w:rsidRPr="00785FB4">
              <w:rPr>
                <w:rFonts w:asciiTheme="majorHAnsi" w:hAnsiTheme="majorHAnsi"/>
                <w:webHidden/>
              </w:rPr>
              <w:fldChar w:fldCharType="end"/>
            </w:r>
          </w:hyperlink>
        </w:p>
        <w:p w14:paraId="4E2902F9" w14:textId="47B19D3B" w:rsidR="009D44D1" w:rsidRPr="00785FB4" w:rsidRDefault="00E60909">
          <w:pPr>
            <w:pStyle w:val="TOC2"/>
            <w:tabs>
              <w:tab w:val="right" w:leader="dot" w:pos="9485"/>
            </w:tabs>
            <w:rPr>
              <w:rFonts w:asciiTheme="majorHAnsi" w:eastAsiaTheme="minorEastAsia" w:hAnsiTheme="majorHAnsi" w:cstheme="minorBidi"/>
              <w:b w:val="0"/>
              <w:lang w:eastAsia="ja-JP"/>
            </w:rPr>
          </w:pPr>
          <w:hyperlink w:anchor="_Toc505449780" w:history="1">
            <w:r w:rsidR="009D44D1" w:rsidRPr="00785FB4">
              <w:rPr>
                <w:rStyle w:val="Hyperlink"/>
                <w:rFonts w:asciiTheme="majorHAnsi" w:hAnsiTheme="majorHAnsi"/>
              </w:rPr>
              <w:t>Civil society engagement in the EITI process (#1.3)</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_Toc505449780 \h </w:instrText>
            </w:r>
            <w:r w:rsidR="009D44D1" w:rsidRPr="00785FB4">
              <w:rPr>
                <w:rFonts w:asciiTheme="majorHAnsi" w:hAnsiTheme="majorHAnsi"/>
                <w:webHidden/>
              </w:rPr>
            </w:r>
            <w:r w:rsidR="009D44D1" w:rsidRPr="00785FB4">
              <w:rPr>
                <w:rFonts w:asciiTheme="majorHAnsi" w:hAnsiTheme="majorHAnsi"/>
                <w:webHidden/>
              </w:rPr>
              <w:fldChar w:fldCharType="separate"/>
            </w:r>
            <w:r w:rsidR="008E32CE" w:rsidRPr="00785FB4">
              <w:rPr>
                <w:rFonts w:asciiTheme="majorHAnsi" w:hAnsiTheme="majorHAnsi"/>
                <w:webHidden/>
              </w:rPr>
              <w:t>23</w:t>
            </w:r>
            <w:r w:rsidR="009D44D1" w:rsidRPr="00785FB4">
              <w:rPr>
                <w:rFonts w:asciiTheme="majorHAnsi" w:hAnsiTheme="majorHAnsi"/>
                <w:webHidden/>
              </w:rPr>
              <w:fldChar w:fldCharType="end"/>
            </w:r>
          </w:hyperlink>
        </w:p>
        <w:p w14:paraId="1663F2AF" w14:textId="1C4E1200" w:rsidR="009D44D1" w:rsidRPr="00785FB4" w:rsidRDefault="00E60909">
          <w:pPr>
            <w:pStyle w:val="TOC2"/>
            <w:tabs>
              <w:tab w:val="right" w:leader="dot" w:pos="9485"/>
            </w:tabs>
            <w:rPr>
              <w:rFonts w:asciiTheme="majorHAnsi" w:eastAsiaTheme="minorEastAsia" w:hAnsiTheme="majorHAnsi" w:cstheme="minorBidi"/>
              <w:b w:val="0"/>
              <w:lang w:eastAsia="ja-JP"/>
            </w:rPr>
          </w:pPr>
          <w:hyperlink w:anchor="_Toc505449781" w:history="1">
            <w:r w:rsidR="009D44D1" w:rsidRPr="00785FB4">
              <w:rPr>
                <w:rStyle w:val="Hyperlink"/>
                <w:rFonts w:asciiTheme="majorHAnsi" w:hAnsiTheme="majorHAnsi"/>
              </w:rPr>
              <w:t>MSG governance and functioning (#1.4)</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_Toc505449781 \h </w:instrText>
            </w:r>
            <w:r w:rsidR="009D44D1" w:rsidRPr="00785FB4">
              <w:rPr>
                <w:rFonts w:asciiTheme="majorHAnsi" w:hAnsiTheme="majorHAnsi"/>
                <w:webHidden/>
              </w:rPr>
            </w:r>
            <w:r w:rsidR="009D44D1" w:rsidRPr="00785FB4">
              <w:rPr>
                <w:rFonts w:asciiTheme="majorHAnsi" w:hAnsiTheme="majorHAnsi"/>
                <w:webHidden/>
              </w:rPr>
              <w:fldChar w:fldCharType="separate"/>
            </w:r>
            <w:r w:rsidR="008E32CE" w:rsidRPr="00785FB4">
              <w:rPr>
                <w:rFonts w:asciiTheme="majorHAnsi" w:hAnsiTheme="majorHAnsi"/>
                <w:webHidden/>
              </w:rPr>
              <w:t>29</w:t>
            </w:r>
            <w:r w:rsidR="009D44D1" w:rsidRPr="00785FB4">
              <w:rPr>
                <w:rFonts w:asciiTheme="majorHAnsi" w:hAnsiTheme="majorHAnsi"/>
                <w:webHidden/>
              </w:rPr>
              <w:fldChar w:fldCharType="end"/>
            </w:r>
          </w:hyperlink>
        </w:p>
        <w:p w14:paraId="1361F074" w14:textId="02D50DA4" w:rsidR="009D44D1" w:rsidRPr="00785FB4" w:rsidRDefault="00E60909">
          <w:pPr>
            <w:pStyle w:val="TOC2"/>
            <w:tabs>
              <w:tab w:val="right" w:leader="dot" w:pos="9485"/>
            </w:tabs>
            <w:rPr>
              <w:rFonts w:asciiTheme="majorHAnsi" w:eastAsiaTheme="minorEastAsia" w:hAnsiTheme="majorHAnsi" w:cstheme="minorBidi"/>
              <w:b w:val="0"/>
              <w:lang w:eastAsia="ja-JP"/>
            </w:rPr>
          </w:pPr>
          <w:hyperlink w:anchor="_Toc505449782" w:history="1">
            <w:r w:rsidR="009D44D1" w:rsidRPr="00785FB4">
              <w:rPr>
                <w:rStyle w:val="Hyperlink"/>
                <w:rFonts w:asciiTheme="majorHAnsi" w:hAnsiTheme="majorHAnsi"/>
              </w:rPr>
              <w:t>Workplan (#1.5)</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_Toc505449782 \h </w:instrText>
            </w:r>
            <w:r w:rsidR="009D44D1" w:rsidRPr="00785FB4">
              <w:rPr>
                <w:rFonts w:asciiTheme="majorHAnsi" w:hAnsiTheme="majorHAnsi"/>
                <w:webHidden/>
              </w:rPr>
            </w:r>
            <w:r w:rsidR="009D44D1" w:rsidRPr="00785FB4">
              <w:rPr>
                <w:rFonts w:asciiTheme="majorHAnsi" w:hAnsiTheme="majorHAnsi"/>
                <w:webHidden/>
              </w:rPr>
              <w:fldChar w:fldCharType="separate"/>
            </w:r>
            <w:r w:rsidR="008E32CE" w:rsidRPr="00785FB4">
              <w:rPr>
                <w:rFonts w:asciiTheme="majorHAnsi" w:hAnsiTheme="majorHAnsi"/>
                <w:webHidden/>
              </w:rPr>
              <w:t>35</w:t>
            </w:r>
            <w:r w:rsidR="009D44D1" w:rsidRPr="00785FB4">
              <w:rPr>
                <w:rFonts w:asciiTheme="majorHAnsi" w:hAnsiTheme="majorHAnsi"/>
                <w:webHidden/>
              </w:rPr>
              <w:fldChar w:fldCharType="end"/>
            </w:r>
          </w:hyperlink>
        </w:p>
        <w:p w14:paraId="2F52538E" w14:textId="53F05089" w:rsidR="009D44D1" w:rsidRPr="00785FB4" w:rsidRDefault="00E60909">
          <w:pPr>
            <w:pStyle w:val="TOC1"/>
            <w:rPr>
              <w:rFonts w:eastAsiaTheme="minorEastAsia" w:cstheme="minorBidi"/>
              <w:lang w:eastAsia="ja-JP"/>
            </w:rPr>
          </w:pPr>
          <w:hyperlink w:anchor="_Toc505449783" w:history="1">
            <w:r w:rsidR="009D44D1" w:rsidRPr="00785FB4">
              <w:rPr>
                <w:rStyle w:val="Hyperlink"/>
                <w:rFonts w:asciiTheme="majorHAnsi" w:hAnsiTheme="majorHAnsi"/>
                <w:sz w:val="22"/>
                <w:szCs w:val="22"/>
              </w:rPr>
              <w:t>Part II – EITI Disclosures</w:t>
            </w:r>
            <w:r w:rsidR="009D44D1" w:rsidRPr="00785FB4">
              <w:rPr>
                <w:webHidden/>
              </w:rPr>
              <w:tab/>
            </w:r>
            <w:r w:rsidR="009D44D1" w:rsidRPr="00785FB4">
              <w:rPr>
                <w:webHidden/>
              </w:rPr>
              <w:fldChar w:fldCharType="begin"/>
            </w:r>
            <w:r w:rsidR="009D44D1" w:rsidRPr="00785FB4">
              <w:rPr>
                <w:rFonts w:asciiTheme="majorHAnsi" w:hAnsiTheme="majorHAnsi"/>
                <w:webHidden/>
                <w:sz w:val="22"/>
                <w:szCs w:val="22"/>
              </w:rPr>
              <w:instrText xml:space="preserve"> PAGEREF _Toc505449783 \h </w:instrText>
            </w:r>
            <w:r w:rsidR="009D44D1" w:rsidRPr="00785FB4">
              <w:rPr>
                <w:webHidden/>
              </w:rPr>
            </w:r>
            <w:r w:rsidR="009D44D1" w:rsidRPr="00785FB4">
              <w:rPr>
                <w:webHidden/>
              </w:rPr>
              <w:fldChar w:fldCharType="separate"/>
            </w:r>
            <w:r w:rsidR="008E32CE" w:rsidRPr="00785FB4">
              <w:rPr>
                <w:rFonts w:asciiTheme="majorHAnsi" w:hAnsiTheme="majorHAnsi"/>
                <w:webHidden/>
                <w:sz w:val="22"/>
                <w:szCs w:val="22"/>
              </w:rPr>
              <w:t>43</w:t>
            </w:r>
            <w:r w:rsidR="009D44D1" w:rsidRPr="00785FB4">
              <w:rPr>
                <w:webHidden/>
              </w:rPr>
              <w:fldChar w:fldCharType="end"/>
            </w:r>
          </w:hyperlink>
        </w:p>
        <w:p w14:paraId="045C3805" w14:textId="7584CCE8" w:rsidR="009D44D1" w:rsidRPr="00785FB4" w:rsidRDefault="00E60909">
          <w:pPr>
            <w:pStyle w:val="TOC2"/>
            <w:tabs>
              <w:tab w:val="left" w:pos="660"/>
              <w:tab w:val="right" w:leader="dot" w:pos="9485"/>
            </w:tabs>
            <w:rPr>
              <w:rFonts w:asciiTheme="majorHAnsi" w:eastAsiaTheme="minorEastAsia" w:hAnsiTheme="majorHAnsi" w:cstheme="minorBidi"/>
              <w:b w:val="0"/>
              <w:lang w:eastAsia="ja-JP"/>
            </w:rPr>
          </w:pPr>
          <w:hyperlink w:anchor="_Toc505449784" w:history="1">
            <w:r w:rsidR="009D44D1" w:rsidRPr="00785FB4">
              <w:rPr>
                <w:rStyle w:val="Hyperlink"/>
                <w:rFonts w:asciiTheme="majorHAnsi" w:hAnsiTheme="majorHAnsi"/>
              </w:rPr>
              <w:t>2.</w:t>
            </w:r>
            <w:r w:rsidR="009D44D1" w:rsidRPr="00785FB4">
              <w:rPr>
                <w:rFonts w:asciiTheme="majorHAnsi" w:eastAsiaTheme="minorEastAsia" w:hAnsiTheme="majorHAnsi" w:cstheme="minorBidi"/>
                <w:b w:val="0"/>
                <w:lang w:eastAsia="ja-JP"/>
              </w:rPr>
              <w:tab/>
            </w:r>
            <w:r w:rsidR="009D44D1" w:rsidRPr="00785FB4">
              <w:rPr>
                <w:rStyle w:val="Hyperlink"/>
                <w:rFonts w:asciiTheme="majorHAnsi" w:hAnsiTheme="majorHAnsi"/>
              </w:rPr>
              <w:t>Award of contracts and licenses</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_Toc505449784 \h </w:instrText>
            </w:r>
            <w:r w:rsidR="009D44D1" w:rsidRPr="00785FB4">
              <w:rPr>
                <w:rFonts w:asciiTheme="majorHAnsi" w:hAnsiTheme="majorHAnsi"/>
                <w:webHidden/>
              </w:rPr>
            </w:r>
            <w:r w:rsidR="009D44D1" w:rsidRPr="00785FB4">
              <w:rPr>
                <w:rFonts w:asciiTheme="majorHAnsi" w:hAnsiTheme="majorHAnsi"/>
                <w:webHidden/>
              </w:rPr>
              <w:fldChar w:fldCharType="separate"/>
            </w:r>
            <w:r w:rsidR="008E32CE" w:rsidRPr="00785FB4">
              <w:rPr>
                <w:rFonts w:asciiTheme="majorHAnsi" w:hAnsiTheme="majorHAnsi"/>
                <w:webHidden/>
              </w:rPr>
              <w:t>43</w:t>
            </w:r>
            <w:r w:rsidR="009D44D1" w:rsidRPr="00785FB4">
              <w:rPr>
                <w:rFonts w:asciiTheme="majorHAnsi" w:hAnsiTheme="majorHAnsi"/>
                <w:webHidden/>
              </w:rPr>
              <w:fldChar w:fldCharType="end"/>
            </w:r>
          </w:hyperlink>
        </w:p>
        <w:p w14:paraId="001E3154" w14:textId="3F96B7CB" w:rsidR="009D44D1" w:rsidRPr="00785FB4" w:rsidRDefault="00E60909">
          <w:pPr>
            <w:pStyle w:val="TOC2"/>
            <w:tabs>
              <w:tab w:val="right" w:leader="dot" w:pos="9485"/>
            </w:tabs>
            <w:rPr>
              <w:rFonts w:asciiTheme="majorHAnsi" w:eastAsiaTheme="minorEastAsia" w:hAnsiTheme="majorHAnsi" w:cstheme="minorBidi"/>
              <w:b w:val="0"/>
              <w:lang w:eastAsia="ja-JP"/>
            </w:rPr>
          </w:pPr>
          <w:hyperlink w:anchor="_Toc505449787" w:history="1">
            <w:r w:rsidR="009D44D1" w:rsidRPr="00785FB4">
              <w:rPr>
                <w:rStyle w:val="Hyperlink"/>
                <w:rFonts w:asciiTheme="majorHAnsi" w:hAnsiTheme="majorHAnsi"/>
              </w:rPr>
              <w:t>Legal framework (#2.1)</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_Toc505449787 \h </w:instrText>
            </w:r>
            <w:r w:rsidR="009D44D1" w:rsidRPr="00785FB4">
              <w:rPr>
                <w:rFonts w:asciiTheme="majorHAnsi" w:hAnsiTheme="majorHAnsi"/>
                <w:webHidden/>
              </w:rPr>
            </w:r>
            <w:r w:rsidR="009D44D1" w:rsidRPr="00785FB4">
              <w:rPr>
                <w:rFonts w:asciiTheme="majorHAnsi" w:hAnsiTheme="majorHAnsi"/>
                <w:webHidden/>
              </w:rPr>
              <w:fldChar w:fldCharType="separate"/>
            </w:r>
            <w:r w:rsidR="008E32CE" w:rsidRPr="00785FB4">
              <w:rPr>
                <w:rFonts w:asciiTheme="majorHAnsi" w:hAnsiTheme="majorHAnsi"/>
                <w:webHidden/>
              </w:rPr>
              <w:t>43</w:t>
            </w:r>
            <w:r w:rsidR="009D44D1" w:rsidRPr="00785FB4">
              <w:rPr>
                <w:rFonts w:asciiTheme="majorHAnsi" w:hAnsiTheme="majorHAnsi"/>
                <w:webHidden/>
              </w:rPr>
              <w:fldChar w:fldCharType="end"/>
            </w:r>
          </w:hyperlink>
        </w:p>
        <w:p w14:paraId="21570CE1" w14:textId="112C1479" w:rsidR="009D44D1" w:rsidRPr="00785FB4" w:rsidRDefault="00E60909">
          <w:pPr>
            <w:pStyle w:val="TOC2"/>
            <w:tabs>
              <w:tab w:val="right" w:leader="dot" w:pos="9485"/>
            </w:tabs>
            <w:rPr>
              <w:rFonts w:asciiTheme="majorHAnsi" w:eastAsiaTheme="minorEastAsia" w:hAnsiTheme="majorHAnsi" w:cstheme="minorBidi"/>
              <w:b w:val="0"/>
              <w:lang w:eastAsia="ja-JP"/>
            </w:rPr>
          </w:pPr>
          <w:hyperlink w:anchor="_Toc505449788" w:history="1">
            <w:r w:rsidR="009D44D1" w:rsidRPr="00785FB4">
              <w:rPr>
                <w:rStyle w:val="Hyperlink"/>
                <w:rFonts w:asciiTheme="majorHAnsi" w:hAnsiTheme="majorHAnsi"/>
              </w:rPr>
              <w:t>License allocations (#2.2)</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_Toc505449788 \h </w:instrText>
            </w:r>
            <w:r w:rsidR="009D44D1" w:rsidRPr="00785FB4">
              <w:rPr>
                <w:rFonts w:asciiTheme="majorHAnsi" w:hAnsiTheme="majorHAnsi"/>
                <w:webHidden/>
              </w:rPr>
            </w:r>
            <w:r w:rsidR="009D44D1" w:rsidRPr="00785FB4">
              <w:rPr>
                <w:rFonts w:asciiTheme="majorHAnsi" w:hAnsiTheme="majorHAnsi"/>
                <w:webHidden/>
              </w:rPr>
              <w:fldChar w:fldCharType="separate"/>
            </w:r>
            <w:r w:rsidR="008E32CE" w:rsidRPr="00785FB4">
              <w:rPr>
                <w:rFonts w:asciiTheme="majorHAnsi" w:hAnsiTheme="majorHAnsi"/>
                <w:webHidden/>
              </w:rPr>
              <w:t>45</w:t>
            </w:r>
            <w:r w:rsidR="009D44D1" w:rsidRPr="00785FB4">
              <w:rPr>
                <w:rFonts w:asciiTheme="majorHAnsi" w:hAnsiTheme="majorHAnsi"/>
                <w:webHidden/>
              </w:rPr>
              <w:fldChar w:fldCharType="end"/>
            </w:r>
          </w:hyperlink>
        </w:p>
        <w:p w14:paraId="2395D168" w14:textId="51C4CE1F" w:rsidR="009D44D1" w:rsidRPr="00785FB4" w:rsidRDefault="00E60909">
          <w:pPr>
            <w:pStyle w:val="TOC2"/>
            <w:tabs>
              <w:tab w:val="right" w:leader="dot" w:pos="9485"/>
            </w:tabs>
            <w:rPr>
              <w:rFonts w:asciiTheme="majorHAnsi" w:eastAsiaTheme="minorEastAsia" w:hAnsiTheme="majorHAnsi" w:cstheme="minorBidi"/>
              <w:b w:val="0"/>
              <w:lang w:eastAsia="ja-JP"/>
            </w:rPr>
          </w:pPr>
          <w:hyperlink w:anchor="_Toc505449789" w:history="1">
            <w:r w:rsidR="009D44D1" w:rsidRPr="00785FB4">
              <w:rPr>
                <w:rStyle w:val="Hyperlink"/>
                <w:rFonts w:asciiTheme="majorHAnsi" w:hAnsiTheme="majorHAnsi"/>
              </w:rPr>
              <w:t>License registers (#2.3)</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_Toc505449789 \h </w:instrText>
            </w:r>
            <w:r w:rsidR="009D44D1" w:rsidRPr="00785FB4">
              <w:rPr>
                <w:rFonts w:asciiTheme="majorHAnsi" w:hAnsiTheme="majorHAnsi"/>
                <w:webHidden/>
              </w:rPr>
            </w:r>
            <w:r w:rsidR="009D44D1" w:rsidRPr="00785FB4">
              <w:rPr>
                <w:rFonts w:asciiTheme="majorHAnsi" w:hAnsiTheme="majorHAnsi"/>
                <w:webHidden/>
              </w:rPr>
              <w:fldChar w:fldCharType="separate"/>
            </w:r>
            <w:r w:rsidR="008E32CE" w:rsidRPr="00785FB4">
              <w:rPr>
                <w:rFonts w:asciiTheme="majorHAnsi" w:hAnsiTheme="majorHAnsi"/>
                <w:webHidden/>
              </w:rPr>
              <w:t>51</w:t>
            </w:r>
            <w:r w:rsidR="009D44D1" w:rsidRPr="00785FB4">
              <w:rPr>
                <w:rFonts w:asciiTheme="majorHAnsi" w:hAnsiTheme="majorHAnsi"/>
                <w:webHidden/>
              </w:rPr>
              <w:fldChar w:fldCharType="end"/>
            </w:r>
          </w:hyperlink>
        </w:p>
        <w:p w14:paraId="458F5773" w14:textId="737D8B9A" w:rsidR="009D44D1" w:rsidRPr="00785FB4" w:rsidRDefault="00E60909">
          <w:pPr>
            <w:pStyle w:val="TOC2"/>
            <w:tabs>
              <w:tab w:val="right" w:leader="dot" w:pos="9485"/>
            </w:tabs>
            <w:rPr>
              <w:rFonts w:asciiTheme="majorHAnsi" w:eastAsiaTheme="minorEastAsia" w:hAnsiTheme="majorHAnsi" w:cstheme="minorBidi"/>
              <w:b w:val="0"/>
              <w:lang w:eastAsia="ja-JP"/>
            </w:rPr>
          </w:pPr>
          <w:hyperlink w:anchor="_Toc505449790" w:history="1">
            <w:r w:rsidR="009D44D1" w:rsidRPr="00785FB4">
              <w:rPr>
                <w:rStyle w:val="Hyperlink"/>
                <w:rFonts w:asciiTheme="majorHAnsi" w:hAnsiTheme="majorHAnsi"/>
              </w:rPr>
              <w:t>Contract disclosures (#2.4)</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_Toc505449790 \h </w:instrText>
            </w:r>
            <w:r w:rsidR="009D44D1" w:rsidRPr="00785FB4">
              <w:rPr>
                <w:rFonts w:asciiTheme="majorHAnsi" w:hAnsiTheme="majorHAnsi"/>
                <w:webHidden/>
              </w:rPr>
            </w:r>
            <w:r w:rsidR="009D44D1" w:rsidRPr="00785FB4">
              <w:rPr>
                <w:rFonts w:asciiTheme="majorHAnsi" w:hAnsiTheme="majorHAnsi"/>
                <w:webHidden/>
              </w:rPr>
              <w:fldChar w:fldCharType="separate"/>
            </w:r>
            <w:r w:rsidR="008E32CE" w:rsidRPr="00785FB4">
              <w:rPr>
                <w:rFonts w:asciiTheme="majorHAnsi" w:hAnsiTheme="majorHAnsi"/>
                <w:webHidden/>
              </w:rPr>
              <w:t>55</w:t>
            </w:r>
            <w:r w:rsidR="009D44D1" w:rsidRPr="00785FB4">
              <w:rPr>
                <w:rFonts w:asciiTheme="majorHAnsi" w:hAnsiTheme="majorHAnsi"/>
                <w:webHidden/>
              </w:rPr>
              <w:fldChar w:fldCharType="end"/>
            </w:r>
          </w:hyperlink>
        </w:p>
        <w:p w14:paraId="271ABA5C" w14:textId="7B802738" w:rsidR="009D44D1" w:rsidRPr="00785FB4" w:rsidRDefault="00E60909">
          <w:pPr>
            <w:pStyle w:val="TOC2"/>
            <w:tabs>
              <w:tab w:val="right" w:leader="dot" w:pos="9485"/>
            </w:tabs>
            <w:rPr>
              <w:rFonts w:asciiTheme="majorHAnsi" w:eastAsiaTheme="minorEastAsia" w:hAnsiTheme="majorHAnsi" w:cstheme="minorBidi"/>
              <w:b w:val="0"/>
              <w:lang w:eastAsia="ja-JP"/>
            </w:rPr>
          </w:pPr>
          <w:hyperlink w:anchor="_Toc505449791" w:history="1">
            <w:r w:rsidR="009D44D1" w:rsidRPr="00785FB4">
              <w:rPr>
                <w:rStyle w:val="Hyperlink"/>
                <w:rFonts w:asciiTheme="majorHAnsi" w:hAnsiTheme="majorHAnsi"/>
              </w:rPr>
              <w:t>Beneficial ownership disclosure (#2.5)</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_Toc505449791 \h </w:instrText>
            </w:r>
            <w:r w:rsidR="009D44D1" w:rsidRPr="00785FB4">
              <w:rPr>
                <w:rFonts w:asciiTheme="majorHAnsi" w:hAnsiTheme="majorHAnsi"/>
                <w:webHidden/>
              </w:rPr>
            </w:r>
            <w:r w:rsidR="009D44D1" w:rsidRPr="00785FB4">
              <w:rPr>
                <w:rFonts w:asciiTheme="majorHAnsi" w:hAnsiTheme="majorHAnsi"/>
                <w:webHidden/>
              </w:rPr>
              <w:fldChar w:fldCharType="separate"/>
            </w:r>
            <w:r w:rsidR="008E32CE" w:rsidRPr="00785FB4">
              <w:rPr>
                <w:rFonts w:asciiTheme="majorHAnsi" w:hAnsiTheme="majorHAnsi"/>
                <w:webHidden/>
              </w:rPr>
              <w:t>56</w:t>
            </w:r>
            <w:r w:rsidR="009D44D1" w:rsidRPr="00785FB4">
              <w:rPr>
                <w:rFonts w:asciiTheme="majorHAnsi" w:hAnsiTheme="majorHAnsi"/>
                <w:webHidden/>
              </w:rPr>
              <w:fldChar w:fldCharType="end"/>
            </w:r>
          </w:hyperlink>
        </w:p>
        <w:p w14:paraId="476C1E42" w14:textId="38D73A45" w:rsidR="009D44D1" w:rsidRPr="00785FB4" w:rsidRDefault="00E60909">
          <w:pPr>
            <w:pStyle w:val="TOC2"/>
            <w:tabs>
              <w:tab w:val="right" w:leader="dot" w:pos="9485"/>
            </w:tabs>
            <w:rPr>
              <w:rFonts w:asciiTheme="majorHAnsi" w:eastAsiaTheme="minorEastAsia" w:hAnsiTheme="majorHAnsi" w:cstheme="minorBidi"/>
              <w:b w:val="0"/>
              <w:lang w:eastAsia="ja-JP"/>
            </w:rPr>
          </w:pPr>
          <w:hyperlink w:anchor="_Toc505449792" w:history="1">
            <w:r w:rsidR="009D44D1" w:rsidRPr="00785FB4">
              <w:rPr>
                <w:rStyle w:val="Hyperlink"/>
                <w:rFonts w:asciiTheme="majorHAnsi" w:hAnsiTheme="majorHAnsi"/>
              </w:rPr>
              <w:t>State participation (#2.6)</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_Toc505449792 \h </w:instrText>
            </w:r>
            <w:r w:rsidR="009D44D1" w:rsidRPr="00785FB4">
              <w:rPr>
                <w:rFonts w:asciiTheme="majorHAnsi" w:hAnsiTheme="majorHAnsi"/>
                <w:webHidden/>
              </w:rPr>
            </w:r>
            <w:r w:rsidR="009D44D1" w:rsidRPr="00785FB4">
              <w:rPr>
                <w:rFonts w:asciiTheme="majorHAnsi" w:hAnsiTheme="majorHAnsi"/>
                <w:webHidden/>
              </w:rPr>
              <w:fldChar w:fldCharType="separate"/>
            </w:r>
            <w:r w:rsidR="008E32CE" w:rsidRPr="00785FB4">
              <w:rPr>
                <w:rFonts w:asciiTheme="majorHAnsi" w:hAnsiTheme="majorHAnsi"/>
                <w:webHidden/>
              </w:rPr>
              <w:t>59</w:t>
            </w:r>
            <w:r w:rsidR="009D44D1" w:rsidRPr="00785FB4">
              <w:rPr>
                <w:rFonts w:asciiTheme="majorHAnsi" w:hAnsiTheme="majorHAnsi"/>
                <w:webHidden/>
              </w:rPr>
              <w:fldChar w:fldCharType="end"/>
            </w:r>
          </w:hyperlink>
        </w:p>
        <w:p w14:paraId="19D1A4B8" w14:textId="76216E7B" w:rsidR="009D44D1" w:rsidRPr="00785FB4" w:rsidRDefault="00E60909">
          <w:pPr>
            <w:pStyle w:val="TOC2"/>
            <w:tabs>
              <w:tab w:val="left" w:pos="660"/>
              <w:tab w:val="right" w:leader="dot" w:pos="9485"/>
            </w:tabs>
            <w:rPr>
              <w:rFonts w:asciiTheme="majorHAnsi" w:eastAsiaTheme="minorEastAsia" w:hAnsiTheme="majorHAnsi" w:cstheme="minorBidi"/>
              <w:b w:val="0"/>
              <w:lang w:eastAsia="ja-JP"/>
            </w:rPr>
          </w:pPr>
          <w:hyperlink w:anchor="_Toc505449793" w:history="1">
            <w:r w:rsidR="009D44D1" w:rsidRPr="00785FB4">
              <w:rPr>
                <w:rStyle w:val="Hyperlink"/>
                <w:rFonts w:asciiTheme="majorHAnsi" w:hAnsiTheme="majorHAnsi"/>
              </w:rPr>
              <w:t>3.</w:t>
            </w:r>
            <w:r w:rsidR="009D44D1" w:rsidRPr="00785FB4">
              <w:rPr>
                <w:rFonts w:asciiTheme="majorHAnsi" w:eastAsiaTheme="minorEastAsia" w:hAnsiTheme="majorHAnsi" w:cstheme="minorBidi"/>
                <w:b w:val="0"/>
                <w:lang w:eastAsia="ja-JP"/>
              </w:rPr>
              <w:tab/>
            </w:r>
            <w:r w:rsidR="009D44D1" w:rsidRPr="00785FB4">
              <w:rPr>
                <w:rStyle w:val="Hyperlink"/>
                <w:rFonts w:asciiTheme="majorHAnsi" w:hAnsiTheme="majorHAnsi"/>
              </w:rPr>
              <w:t>Monitoring and production</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_Toc505449793 \h </w:instrText>
            </w:r>
            <w:r w:rsidR="009D44D1" w:rsidRPr="00785FB4">
              <w:rPr>
                <w:rFonts w:asciiTheme="majorHAnsi" w:hAnsiTheme="majorHAnsi"/>
                <w:webHidden/>
              </w:rPr>
            </w:r>
            <w:r w:rsidR="009D44D1" w:rsidRPr="00785FB4">
              <w:rPr>
                <w:rFonts w:asciiTheme="majorHAnsi" w:hAnsiTheme="majorHAnsi"/>
                <w:webHidden/>
              </w:rPr>
              <w:fldChar w:fldCharType="separate"/>
            </w:r>
            <w:r w:rsidR="008E32CE" w:rsidRPr="00785FB4">
              <w:rPr>
                <w:rFonts w:asciiTheme="majorHAnsi" w:hAnsiTheme="majorHAnsi"/>
                <w:webHidden/>
              </w:rPr>
              <w:t>66</w:t>
            </w:r>
            <w:r w:rsidR="009D44D1" w:rsidRPr="00785FB4">
              <w:rPr>
                <w:rFonts w:asciiTheme="majorHAnsi" w:hAnsiTheme="majorHAnsi"/>
                <w:webHidden/>
              </w:rPr>
              <w:fldChar w:fldCharType="end"/>
            </w:r>
          </w:hyperlink>
        </w:p>
        <w:p w14:paraId="1817791E" w14:textId="17957444" w:rsidR="009D44D1" w:rsidRPr="00785FB4" w:rsidRDefault="00E60909">
          <w:pPr>
            <w:pStyle w:val="TOC2"/>
            <w:tabs>
              <w:tab w:val="right" w:leader="dot" w:pos="9485"/>
            </w:tabs>
            <w:rPr>
              <w:rFonts w:asciiTheme="majorHAnsi" w:eastAsiaTheme="minorEastAsia" w:hAnsiTheme="majorHAnsi" w:cstheme="minorBidi"/>
              <w:b w:val="0"/>
              <w:lang w:eastAsia="ja-JP"/>
            </w:rPr>
          </w:pPr>
          <w:hyperlink w:anchor="_Toc505449796" w:history="1">
            <w:r w:rsidR="009D44D1" w:rsidRPr="00785FB4">
              <w:rPr>
                <w:rStyle w:val="Hyperlink"/>
                <w:rFonts w:asciiTheme="majorHAnsi" w:hAnsiTheme="majorHAnsi"/>
              </w:rPr>
              <w:t>Overview of the extractive sector, including exploration activities (#3.1)</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_Toc505449796 \h </w:instrText>
            </w:r>
            <w:r w:rsidR="009D44D1" w:rsidRPr="00785FB4">
              <w:rPr>
                <w:rFonts w:asciiTheme="majorHAnsi" w:hAnsiTheme="majorHAnsi"/>
                <w:webHidden/>
              </w:rPr>
            </w:r>
            <w:r w:rsidR="009D44D1" w:rsidRPr="00785FB4">
              <w:rPr>
                <w:rFonts w:asciiTheme="majorHAnsi" w:hAnsiTheme="majorHAnsi"/>
                <w:webHidden/>
              </w:rPr>
              <w:fldChar w:fldCharType="separate"/>
            </w:r>
            <w:r w:rsidR="008E32CE" w:rsidRPr="00785FB4">
              <w:rPr>
                <w:rFonts w:asciiTheme="majorHAnsi" w:hAnsiTheme="majorHAnsi"/>
                <w:webHidden/>
              </w:rPr>
              <w:t>66</w:t>
            </w:r>
            <w:r w:rsidR="009D44D1" w:rsidRPr="00785FB4">
              <w:rPr>
                <w:rFonts w:asciiTheme="majorHAnsi" w:hAnsiTheme="majorHAnsi"/>
                <w:webHidden/>
              </w:rPr>
              <w:fldChar w:fldCharType="end"/>
            </w:r>
          </w:hyperlink>
        </w:p>
        <w:p w14:paraId="578E3BC1" w14:textId="2ED13CE5" w:rsidR="009D44D1" w:rsidRPr="00785FB4" w:rsidRDefault="00E60909">
          <w:pPr>
            <w:pStyle w:val="TOC2"/>
            <w:tabs>
              <w:tab w:val="right" w:leader="dot" w:pos="9485"/>
            </w:tabs>
            <w:rPr>
              <w:rFonts w:asciiTheme="majorHAnsi" w:eastAsiaTheme="minorEastAsia" w:hAnsiTheme="majorHAnsi" w:cstheme="minorBidi"/>
              <w:b w:val="0"/>
              <w:lang w:eastAsia="ja-JP"/>
            </w:rPr>
          </w:pPr>
          <w:hyperlink w:anchor="_Toc505449797" w:history="1">
            <w:r w:rsidR="009D44D1" w:rsidRPr="00785FB4">
              <w:rPr>
                <w:rStyle w:val="Hyperlink"/>
                <w:rFonts w:asciiTheme="majorHAnsi" w:hAnsiTheme="majorHAnsi"/>
              </w:rPr>
              <w:t>Production data (#3.2)</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_Toc505449797 \h </w:instrText>
            </w:r>
            <w:r w:rsidR="009D44D1" w:rsidRPr="00785FB4">
              <w:rPr>
                <w:rFonts w:asciiTheme="majorHAnsi" w:hAnsiTheme="majorHAnsi"/>
                <w:webHidden/>
              </w:rPr>
            </w:r>
            <w:r w:rsidR="009D44D1" w:rsidRPr="00785FB4">
              <w:rPr>
                <w:rFonts w:asciiTheme="majorHAnsi" w:hAnsiTheme="majorHAnsi"/>
                <w:webHidden/>
              </w:rPr>
              <w:fldChar w:fldCharType="separate"/>
            </w:r>
            <w:r w:rsidR="008E32CE" w:rsidRPr="00785FB4">
              <w:rPr>
                <w:rFonts w:asciiTheme="majorHAnsi" w:hAnsiTheme="majorHAnsi"/>
                <w:webHidden/>
              </w:rPr>
              <w:t>67</w:t>
            </w:r>
            <w:r w:rsidR="009D44D1" w:rsidRPr="00785FB4">
              <w:rPr>
                <w:rFonts w:asciiTheme="majorHAnsi" w:hAnsiTheme="majorHAnsi"/>
                <w:webHidden/>
              </w:rPr>
              <w:fldChar w:fldCharType="end"/>
            </w:r>
          </w:hyperlink>
        </w:p>
        <w:p w14:paraId="06973C60" w14:textId="34E47A8C" w:rsidR="009D44D1" w:rsidRPr="00785FB4" w:rsidRDefault="00E60909">
          <w:pPr>
            <w:pStyle w:val="TOC2"/>
            <w:tabs>
              <w:tab w:val="right" w:leader="dot" w:pos="9485"/>
            </w:tabs>
            <w:rPr>
              <w:rFonts w:asciiTheme="majorHAnsi" w:eastAsiaTheme="minorEastAsia" w:hAnsiTheme="majorHAnsi" w:cstheme="minorBidi"/>
              <w:b w:val="0"/>
              <w:lang w:eastAsia="ja-JP"/>
            </w:rPr>
          </w:pPr>
          <w:hyperlink w:anchor="_Toc505449798" w:history="1">
            <w:r w:rsidR="009D44D1" w:rsidRPr="00785FB4">
              <w:rPr>
                <w:rStyle w:val="Hyperlink"/>
                <w:rFonts w:asciiTheme="majorHAnsi" w:hAnsiTheme="majorHAnsi"/>
              </w:rPr>
              <w:t>Export data (#3.3)</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_Toc505449798 \h </w:instrText>
            </w:r>
            <w:r w:rsidR="009D44D1" w:rsidRPr="00785FB4">
              <w:rPr>
                <w:rFonts w:asciiTheme="majorHAnsi" w:hAnsiTheme="majorHAnsi"/>
                <w:webHidden/>
              </w:rPr>
            </w:r>
            <w:r w:rsidR="009D44D1" w:rsidRPr="00785FB4">
              <w:rPr>
                <w:rFonts w:asciiTheme="majorHAnsi" w:hAnsiTheme="majorHAnsi"/>
                <w:webHidden/>
              </w:rPr>
              <w:fldChar w:fldCharType="separate"/>
            </w:r>
            <w:r w:rsidR="008E32CE" w:rsidRPr="00785FB4">
              <w:rPr>
                <w:rFonts w:asciiTheme="majorHAnsi" w:hAnsiTheme="majorHAnsi"/>
                <w:webHidden/>
              </w:rPr>
              <w:t>69</w:t>
            </w:r>
            <w:r w:rsidR="009D44D1" w:rsidRPr="00785FB4">
              <w:rPr>
                <w:rFonts w:asciiTheme="majorHAnsi" w:hAnsiTheme="majorHAnsi"/>
                <w:webHidden/>
              </w:rPr>
              <w:fldChar w:fldCharType="end"/>
            </w:r>
          </w:hyperlink>
        </w:p>
        <w:p w14:paraId="72F3D982" w14:textId="4E57D549" w:rsidR="009D44D1" w:rsidRPr="00785FB4" w:rsidRDefault="00E60909">
          <w:pPr>
            <w:pStyle w:val="TOC2"/>
            <w:tabs>
              <w:tab w:val="left" w:pos="880"/>
              <w:tab w:val="right" w:leader="dot" w:pos="9485"/>
            </w:tabs>
            <w:rPr>
              <w:rFonts w:asciiTheme="majorHAnsi" w:eastAsiaTheme="minorEastAsia" w:hAnsiTheme="majorHAnsi" w:cstheme="minorBidi"/>
              <w:b w:val="0"/>
              <w:lang w:eastAsia="ja-JP"/>
            </w:rPr>
          </w:pPr>
          <w:hyperlink w:anchor="_Toc505449799" w:history="1">
            <w:r w:rsidR="009D44D1" w:rsidRPr="00785FB4">
              <w:rPr>
                <w:rStyle w:val="Hyperlink"/>
                <w:rFonts w:asciiTheme="majorHAnsi" w:hAnsiTheme="majorHAnsi"/>
              </w:rPr>
              <w:t xml:space="preserve">4. </w:t>
            </w:r>
            <w:r w:rsidR="009D44D1" w:rsidRPr="00785FB4">
              <w:rPr>
                <w:rFonts w:asciiTheme="majorHAnsi" w:eastAsiaTheme="minorEastAsia" w:hAnsiTheme="majorHAnsi" w:cstheme="minorBidi"/>
                <w:b w:val="0"/>
                <w:lang w:eastAsia="ja-JP"/>
              </w:rPr>
              <w:tab/>
            </w:r>
            <w:r w:rsidR="009D44D1" w:rsidRPr="00785FB4">
              <w:rPr>
                <w:rStyle w:val="Hyperlink"/>
                <w:rFonts w:asciiTheme="majorHAnsi" w:hAnsiTheme="majorHAnsi"/>
              </w:rPr>
              <w:t>Revenue collection</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_Toc505449799 \h </w:instrText>
            </w:r>
            <w:r w:rsidR="009D44D1" w:rsidRPr="00785FB4">
              <w:rPr>
                <w:rFonts w:asciiTheme="majorHAnsi" w:hAnsiTheme="majorHAnsi"/>
                <w:webHidden/>
              </w:rPr>
            </w:r>
            <w:r w:rsidR="009D44D1" w:rsidRPr="00785FB4">
              <w:rPr>
                <w:rFonts w:asciiTheme="majorHAnsi" w:hAnsiTheme="majorHAnsi"/>
                <w:webHidden/>
              </w:rPr>
              <w:fldChar w:fldCharType="separate"/>
            </w:r>
            <w:r w:rsidR="008E32CE" w:rsidRPr="00785FB4">
              <w:rPr>
                <w:rFonts w:asciiTheme="majorHAnsi" w:hAnsiTheme="majorHAnsi"/>
                <w:webHidden/>
              </w:rPr>
              <w:t>72</w:t>
            </w:r>
            <w:r w:rsidR="009D44D1" w:rsidRPr="00785FB4">
              <w:rPr>
                <w:rFonts w:asciiTheme="majorHAnsi" w:hAnsiTheme="majorHAnsi"/>
                <w:webHidden/>
              </w:rPr>
              <w:fldChar w:fldCharType="end"/>
            </w:r>
          </w:hyperlink>
        </w:p>
        <w:p w14:paraId="60C7FF6E" w14:textId="11A7B172" w:rsidR="009D44D1" w:rsidRPr="00785FB4" w:rsidRDefault="00E60909">
          <w:pPr>
            <w:pStyle w:val="TOC2"/>
            <w:tabs>
              <w:tab w:val="right" w:leader="dot" w:pos="9485"/>
            </w:tabs>
            <w:rPr>
              <w:rFonts w:asciiTheme="majorHAnsi" w:eastAsiaTheme="minorEastAsia" w:hAnsiTheme="majorHAnsi" w:cstheme="minorBidi"/>
              <w:b w:val="0"/>
              <w:lang w:eastAsia="ja-JP"/>
            </w:rPr>
          </w:pPr>
          <w:hyperlink w:anchor="_Toc505449802" w:history="1">
            <w:r w:rsidR="009D44D1" w:rsidRPr="00785FB4">
              <w:rPr>
                <w:rStyle w:val="Hyperlink"/>
                <w:rFonts w:asciiTheme="majorHAnsi" w:hAnsiTheme="majorHAnsi"/>
              </w:rPr>
              <w:t>Materiality (#4.1)</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_Toc505449802 \h </w:instrText>
            </w:r>
            <w:r w:rsidR="009D44D1" w:rsidRPr="00785FB4">
              <w:rPr>
                <w:rFonts w:asciiTheme="majorHAnsi" w:hAnsiTheme="majorHAnsi"/>
                <w:webHidden/>
              </w:rPr>
            </w:r>
            <w:r w:rsidR="009D44D1" w:rsidRPr="00785FB4">
              <w:rPr>
                <w:rFonts w:asciiTheme="majorHAnsi" w:hAnsiTheme="majorHAnsi"/>
                <w:webHidden/>
              </w:rPr>
              <w:fldChar w:fldCharType="separate"/>
            </w:r>
            <w:r w:rsidR="008E32CE" w:rsidRPr="00785FB4">
              <w:rPr>
                <w:rFonts w:asciiTheme="majorHAnsi" w:hAnsiTheme="majorHAnsi"/>
                <w:webHidden/>
              </w:rPr>
              <w:t>72</w:t>
            </w:r>
            <w:r w:rsidR="009D44D1" w:rsidRPr="00785FB4">
              <w:rPr>
                <w:rFonts w:asciiTheme="majorHAnsi" w:hAnsiTheme="majorHAnsi"/>
                <w:webHidden/>
              </w:rPr>
              <w:fldChar w:fldCharType="end"/>
            </w:r>
          </w:hyperlink>
        </w:p>
        <w:p w14:paraId="739F0AC8" w14:textId="71A90E7E" w:rsidR="009D44D1" w:rsidRPr="00785FB4" w:rsidRDefault="00E60909">
          <w:pPr>
            <w:pStyle w:val="TOC2"/>
            <w:tabs>
              <w:tab w:val="right" w:leader="dot" w:pos="9485"/>
            </w:tabs>
            <w:rPr>
              <w:rFonts w:asciiTheme="majorHAnsi" w:eastAsiaTheme="minorEastAsia" w:hAnsiTheme="majorHAnsi" w:cstheme="minorBidi"/>
              <w:b w:val="0"/>
              <w:lang w:eastAsia="ja-JP"/>
            </w:rPr>
          </w:pPr>
          <w:hyperlink w:anchor="_Toc505449803" w:history="1">
            <w:r w:rsidR="009D44D1" w:rsidRPr="00785FB4">
              <w:rPr>
                <w:rStyle w:val="Hyperlink"/>
                <w:rFonts w:asciiTheme="majorHAnsi" w:hAnsiTheme="majorHAnsi"/>
              </w:rPr>
              <w:t>In-kind revenues (#4.2)</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_Toc505449803 \h </w:instrText>
            </w:r>
            <w:r w:rsidR="009D44D1" w:rsidRPr="00785FB4">
              <w:rPr>
                <w:rFonts w:asciiTheme="majorHAnsi" w:hAnsiTheme="majorHAnsi"/>
                <w:webHidden/>
              </w:rPr>
            </w:r>
            <w:r w:rsidR="009D44D1" w:rsidRPr="00785FB4">
              <w:rPr>
                <w:rFonts w:asciiTheme="majorHAnsi" w:hAnsiTheme="majorHAnsi"/>
                <w:webHidden/>
              </w:rPr>
              <w:fldChar w:fldCharType="separate"/>
            </w:r>
            <w:r w:rsidR="008E32CE" w:rsidRPr="00785FB4">
              <w:rPr>
                <w:rFonts w:asciiTheme="majorHAnsi" w:hAnsiTheme="majorHAnsi"/>
                <w:webHidden/>
              </w:rPr>
              <w:t>78</w:t>
            </w:r>
            <w:r w:rsidR="009D44D1" w:rsidRPr="00785FB4">
              <w:rPr>
                <w:rFonts w:asciiTheme="majorHAnsi" w:hAnsiTheme="majorHAnsi"/>
                <w:webHidden/>
              </w:rPr>
              <w:fldChar w:fldCharType="end"/>
            </w:r>
          </w:hyperlink>
        </w:p>
        <w:p w14:paraId="376D831B" w14:textId="53B110E4" w:rsidR="009D44D1" w:rsidRPr="00785FB4" w:rsidRDefault="00E60909">
          <w:pPr>
            <w:pStyle w:val="TOC2"/>
            <w:tabs>
              <w:tab w:val="right" w:leader="dot" w:pos="9485"/>
            </w:tabs>
            <w:rPr>
              <w:rFonts w:asciiTheme="majorHAnsi" w:eastAsiaTheme="minorEastAsia" w:hAnsiTheme="majorHAnsi" w:cstheme="minorBidi"/>
              <w:b w:val="0"/>
              <w:lang w:eastAsia="ja-JP"/>
            </w:rPr>
          </w:pPr>
          <w:hyperlink w:anchor="_Toc505449804" w:history="1">
            <w:r w:rsidR="009D44D1" w:rsidRPr="00785FB4">
              <w:rPr>
                <w:rStyle w:val="Hyperlink"/>
                <w:rFonts w:asciiTheme="majorHAnsi" w:hAnsiTheme="majorHAnsi"/>
              </w:rPr>
              <w:t>Barter and infrastructure transactions (#4.3)</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_Toc505449804 \h </w:instrText>
            </w:r>
            <w:r w:rsidR="009D44D1" w:rsidRPr="00785FB4">
              <w:rPr>
                <w:rFonts w:asciiTheme="majorHAnsi" w:hAnsiTheme="majorHAnsi"/>
                <w:webHidden/>
              </w:rPr>
            </w:r>
            <w:r w:rsidR="009D44D1" w:rsidRPr="00785FB4">
              <w:rPr>
                <w:rFonts w:asciiTheme="majorHAnsi" w:hAnsiTheme="majorHAnsi"/>
                <w:webHidden/>
              </w:rPr>
              <w:fldChar w:fldCharType="separate"/>
            </w:r>
            <w:r w:rsidR="008E32CE" w:rsidRPr="00785FB4">
              <w:rPr>
                <w:rFonts w:asciiTheme="majorHAnsi" w:hAnsiTheme="majorHAnsi"/>
                <w:webHidden/>
              </w:rPr>
              <w:t>79</w:t>
            </w:r>
            <w:r w:rsidR="009D44D1" w:rsidRPr="00785FB4">
              <w:rPr>
                <w:rFonts w:asciiTheme="majorHAnsi" w:hAnsiTheme="majorHAnsi"/>
                <w:webHidden/>
              </w:rPr>
              <w:fldChar w:fldCharType="end"/>
            </w:r>
          </w:hyperlink>
        </w:p>
        <w:p w14:paraId="7F4B84BD" w14:textId="20F3738E" w:rsidR="009D44D1" w:rsidRPr="00785FB4" w:rsidRDefault="00E60909">
          <w:pPr>
            <w:pStyle w:val="TOC2"/>
            <w:tabs>
              <w:tab w:val="right" w:leader="dot" w:pos="9485"/>
            </w:tabs>
            <w:rPr>
              <w:rFonts w:asciiTheme="majorHAnsi" w:eastAsiaTheme="minorEastAsia" w:hAnsiTheme="majorHAnsi" w:cstheme="minorBidi"/>
              <w:b w:val="0"/>
              <w:lang w:eastAsia="ja-JP"/>
            </w:rPr>
          </w:pPr>
          <w:hyperlink w:anchor="_Toc505449805" w:history="1">
            <w:r w:rsidR="009D44D1" w:rsidRPr="00785FB4">
              <w:rPr>
                <w:rStyle w:val="Hyperlink"/>
                <w:rFonts w:asciiTheme="majorHAnsi" w:hAnsiTheme="majorHAnsi"/>
              </w:rPr>
              <w:t>Transport revenues (#4.4)</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_Toc505449805 \h </w:instrText>
            </w:r>
            <w:r w:rsidR="009D44D1" w:rsidRPr="00785FB4">
              <w:rPr>
                <w:rFonts w:asciiTheme="majorHAnsi" w:hAnsiTheme="majorHAnsi"/>
                <w:webHidden/>
              </w:rPr>
            </w:r>
            <w:r w:rsidR="009D44D1" w:rsidRPr="00785FB4">
              <w:rPr>
                <w:rFonts w:asciiTheme="majorHAnsi" w:hAnsiTheme="majorHAnsi"/>
                <w:webHidden/>
              </w:rPr>
              <w:fldChar w:fldCharType="separate"/>
            </w:r>
            <w:r w:rsidR="008E32CE" w:rsidRPr="00785FB4">
              <w:rPr>
                <w:rFonts w:asciiTheme="majorHAnsi" w:hAnsiTheme="majorHAnsi"/>
                <w:webHidden/>
              </w:rPr>
              <w:t>80</w:t>
            </w:r>
            <w:r w:rsidR="009D44D1" w:rsidRPr="00785FB4">
              <w:rPr>
                <w:rFonts w:asciiTheme="majorHAnsi" w:hAnsiTheme="majorHAnsi"/>
                <w:webHidden/>
              </w:rPr>
              <w:fldChar w:fldCharType="end"/>
            </w:r>
          </w:hyperlink>
        </w:p>
        <w:p w14:paraId="0F303003" w14:textId="1F829182" w:rsidR="009D44D1" w:rsidRPr="00785FB4" w:rsidRDefault="00E60909">
          <w:pPr>
            <w:pStyle w:val="TOC2"/>
            <w:tabs>
              <w:tab w:val="right" w:leader="dot" w:pos="9485"/>
            </w:tabs>
            <w:rPr>
              <w:rFonts w:asciiTheme="majorHAnsi" w:eastAsiaTheme="minorEastAsia" w:hAnsiTheme="majorHAnsi" w:cstheme="minorBidi"/>
              <w:b w:val="0"/>
              <w:lang w:eastAsia="ja-JP"/>
            </w:rPr>
          </w:pPr>
          <w:hyperlink w:anchor="_Toc505449806" w:history="1">
            <w:r w:rsidR="009D44D1" w:rsidRPr="00785FB4">
              <w:rPr>
                <w:rStyle w:val="Hyperlink"/>
                <w:rFonts w:asciiTheme="majorHAnsi" w:hAnsiTheme="majorHAnsi"/>
              </w:rPr>
              <w:t>Transactions between SOEs and government (#4.5)</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_Toc505449806 \h </w:instrText>
            </w:r>
            <w:r w:rsidR="009D44D1" w:rsidRPr="00785FB4">
              <w:rPr>
                <w:rFonts w:asciiTheme="majorHAnsi" w:hAnsiTheme="majorHAnsi"/>
                <w:webHidden/>
              </w:rPr>
            </w:r>
            <w:r w:rsidR="009D44D1" w:rsidRPr="00785FB4">
              <w:rPr>
                <w:rFonts w:asciiTheme="majorHAnsi" w:hAnsiTheme="majorHAnsi"/>
                <w:webHidden/>
              </w:rPr>
              <w:fldChar w:fldCharType="separate"/>
            </w:r>
            <w:r w:rsidR="008E32CE" w:rsidRPr="00785FB4">
              <w:rPr>
                <w:rFonts w:asciiTheme="majorHAnsi" w:hAnsiTheme="majorHAnsi"/>
                <w:webHidden/>
              </w:rPr>
              <w:t>81</w:t>
            </w:r>
            <w:r w:rsidR="009D44D1" w:rsidRPr="00785FB4">
              <w:rPr>
                <w:rFonts w:asciiTheme="majorHAnsi" w:hAnsiTheme="majorHAnsi"/>
                <w:webHidden/>
              </w:rPr>
              <w:fldChar w:fldCharType="end"/>
            </w:r>
          </w:hyperlink>
        </w:p>
        <w:p w14:paraId="46AEA58D" w14:textId="3910A45D" w:rsidR="009D44D1" w:rsidRPr="00785FB4" w:rsidRDefault="00E60909">
          <w:pPr>
            <w:pStyle w:val="TOC2"/>
            <w:tabs>
              <w:tab w:val="right" w:leader="dot" w:pos="9485"/>
            </w:tabs>
            <w:rPr>
              <w:rFonts w:asciiTheme="majorHAnsi" w:eastAsiaTheme="minorEastAsia" w:hAnsiTheme="majorHAnsi" w:cstheme="minorBidi"/>
              <w:b w:val="0"/>
              <w:lang w:eastAsia="ja-JP"/>
            </w:rPr>
          </w:pPr>
          <w:hyperlink w:anchor="_Toc505449807" w:history="1">
            <w:r w:rsidR="009D44D1" w:rsidRPr="00785FB4">
              <w:rPr>
                <w:rStyle w:val="Hyperlink"/>
                <w:rFonts w:asciiTheme="majorHAnsi" w:hAnsiTheme="majorHAnsi"/>
              </w:rPr>
              <w:t>Subnational direct payments (#4.6)</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_Toc505449807 \h </w:instrText>
            </w:r>
            <w:r w:rsidR="009D44D1" w:rsidRPr="00785FB4">
              <w:rPr>
                <w:rFonts w:asciiTheme="majorHAnsi" w:hAnsiTheme="majorHAnsi"/>
                <w:webHidden/>
              </w:rPr>
            </w:r>
            <w:r w:rsidR="009D44D1" w:rsidRPr="00785FB4">
              <w:rPr>
                <w:rFonts w:asciiTheme="majorHAnsi" w:hAnsiTheme="majorHAnsi"/>
                <w:webHidden/>
              </w:rPr>
              <w:fldChar w:fldCharType="separate"/>
            </w:r>
            <w:r w:rsidR="008E32CE" w:rsidRPr="00785FB4">
              <w:rPr>
                <w:rFonts w:asciiTheme="majorHAnsi" w:hAnsiTheme="majorHAnsi"/>
                <w:webHidden/>
              </w:rPr>
              <w:t>83</w:t>
            </w:r>
            <w:r w:rsidR="009D44D1" w:rsidRPr="00785FB4">
              <w:rPr>
                <w:rFonts w:asciiTheme="majorHAnsi" w:hAnsiTheme="majorHAnsi"/>
                <w:webHidden/>
              </w:rPr>
              <w:fldChar w:fldCharType="end"/>
            </w:r>
          </w:hyperlink>
        </w:p>
        <w:p w14:paraId="3511F07C" w14:textId="1ADFCA3D" w:rsidR="009D44D1" w:rsidRPr="00785FB4" w:rsidRDefault="00E60909">
          <w:pPr>
            <w:pStyle w:val="TOC2"/>
            <w:tabs>
              <w:tab w:val="right" w:leader="dot" w:pos="9485"/>
            </w:tabs>
            <w:rPr>
              <w:rFonts w:asciiTheme="majorHAnsi" w:eastAsiaTheme="minorEastAsia" w:hAnsiTheme="majorHAnsi" w:cstheme="minorBidi"/>
              <w:b w:val="0"/>
              <w:lang w:eastAsia="ja-JP"/>
            </w:rPr>
          </w:pPr>
          <w:hyperlink w:anchor="_Toc505449808" w:history="1">
            <w:r w:rsidR="009D44D1" w:rsidRPr="00785FB4">
              <w:rPr>
                <w:rStyle w:val="Hyperlink"/>
                <w:rFonts w:asciiTheme="majorHAnsi" w:hAnsiTheme="majorHAnsi"/>
              </w:rPr>
              <w:t>Level of disaggregation (#4.7)</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_Toc505449808 \h </w:instrText>
            </w:r>
            <w:r w:rsidR="009D44D1" w:rsidRPr="00785FB4">
              <w:rPr>
                <w:rFonts w:asciiTheme="majorHAnsi" w:hAnsiTheme="majorHAnsi"/>
                <w:webHidden/>
              </w:rPr>
            </w:r>
            <w:r w:rsidR="009D44D1" w:rsidRPr="00785FB4">
              <w:rPr>
                <w:rFonts w:asciiTheme="majorHAnsi" w:hAnsiTheme="majorHAnsi"/>
                <w:webHidden/>
              </w:rPr>
              <w:fldChar w:fldCharType="separate"/>
            </w:r>
            <w:r w:rsidR="008E32CE" w:rsidRPr="00785FB4">
              <w:rPr>
                <w:rFonts w:asciiTheme="majorHAnsi" w:hAnsiTheme="majorHAnsi"/>
                <w:webHidden/>
              </w:rPr>
              <w:t>84</w:t>
            </w:r>
            <w:r w:rsidR="009D44D1" w:rsidRPr="00785FB4">
              <w:rPr>
                <w:rFonts w:asciiTheme="majorHAnsi" w:hAnsiTheme="majorHAnsi"/>
                <w:webHidden/>
              </w:rPr>
              <w:fldChar w:fldCharType="end"/>
            </w:r>
          </w:hyperlink>
        </w:p>
        <w:p w14:paraId="0C438BDC" w14:textId="38FF0D7E" w:rsidR="009D44D1" w:rsidRPr="00785FB4" w:rsidRDefault="00E60909">
          <w:pPr>
            <w:pStyle w:val="TOC2"/>
            <w:tabs>
              <w:tab w:val="right" w:leader="dot" w:pos="9485"/>
            </w:tabs>
            <w:rPr>
              <w:rFonts w:asciiTheme="majorHAnsi" w:eastAsiaTheme="minorEastAsia" w:hAnsiTheme="majorHAnsi" w:cstheme="minorBidi"/>
              <w:b w:val="0"/>
              <w:lang w:eastAsia="ja-JP"/>
            </w:rPr>
          </w:pPr>
          <w:hyperlink w:anchor="_Toc505449809" w:history="1">
            <w:r w:rsidR="009D44D1" w:rsidRPr="00785FB4">
              <w:rPr>
                <w:rStyle w:val="Hyperlink"/>
                <w:rFonts w:asciiTheme="majorHAnsi" w:hAnsiTheme="majorHAnsi"/>
              </w:rPr>
              <w:t>Data timeliness (#4.8)</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_Toc505449809 \h </w:instrText>
            </w:r>
            <w:r w:rsidR="009D44D1" w:rsidRPr="00785FB4">
              <w:rPr>
                <w:rFonts w:asciiTheme="majorHAnsi" w:hAnsiTheme="majorHAnsi"/>
                <w:webHidden/>
              </w:rPr>
            </w:r>
            <w:r w:rsidR="009D44D1" w:rsidRPr="00785FB4">
              <w:rPr>
                <w:rFonts w:asciiTheme="majorHAnsi" w:hAnsiTheme="majorHAnsi"/>
                <w:webHidden/>
              </w:rPr>
              <w:fldChar w:fldCharType="separate"/>
            </w:r>
            <w:r w:rsidR="008E32CE" w:rsidRPr="00785FB4">
              <w:rPr>
                <w:rFonts w:asciiTheme="majorHAnsi" w:hAnsiTheme="majorHAnsi"/>
                <w:webHidden/>
              </w:rPr>
              <w:t>85</w:t>
            </w:r>
            <w:r w:rsidR="009D44D1" w:rsidRPr="00785FB4">
              <w:rPr>
                <w:rFonts w:asciiTheme="majorHAnsi" w:hAnsiTheme="majorHAnsi"/>
                <w:webHidden/>
              </w:rPr>
              <w:fldChar w:fldCharType="end"/>
            </w:r>
          </w:hyperlink>
        </w:p>
        <w:p w14:paraId="16591CFD" w14:textId="24831B3A" w:rsidR="009D44D1" w:rsidRPr="00785FB4" w:rsidRDefault="00E60909">
          <w:pPr>
            <w:pStyle w:val="TOC2"/>
            <w:tabs>
              <w:tab w:val="right" w:leader="dot" w:pos="9485"/>
            </w:tabs>
            <w:rPr>
              <w:rFonts w:asciiTheme="majorHAnsi" w:eastAsiaTheme="minorEastAsia" w:hAnsiTheme="majorHAnsi" w:cstheme="minorBidi"/>
              <w:b w:val="0"/>
              <w:lang w:eastAsia="ja-JP"/>
            </w:rPr>
          </w:pPr>
          <w:hyperlink w:anchor="_Toc505449810" w:history="1">
            <w:r w:rsidR="009D44D1" w:rsidRPr="00785FB4">
              <w:rPr>
                <w:rStyle w:val="Hyperlink"/>
                <w:rFonts w:asciiTheme="majorHAnsi" w:hAnsiTheme="majorHAnsi"/>
              </w:rPr>
              <w:t>Data quality (#4.9)</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_Toc505449810 \h </w:instrText>
            </w:r>
            <w:r w:rsidR="009D44D1" w:rsidRPr="00785FB4">
              <w:rPr>
                <w:rFonts w:asciiTheme="majorHAnsi" w:hAnsiTheme="majorHAnsi"/>
                <w:webHidden/>
              </w:rPr>
            </w:r>
            <w:r w:rsidR="009D44D1" w:rsidRPr="00785FB4">
              <w:rPr>
                <w:rFonts w:asciiTheme="majorHAnsi" w:hAnsiTheme="majorHAnsi"/>
                <w:webHidden/>
              </w:rPr>
              <w:fldChar w:fldCharType="separate"/>
            </w:r>
            <w:r w:rsidR="008E32CE" w:rsidRPr="00785FB4">
              <w:rPr>
                <w:rFonts w:asciiTheme="majorHAnsi" w:hAnsiTheme="majorHAnsi"/>
                <w:webHidden/>
              </w:rPr>
              <w:t>86</w:t>
            </w:r>
            <w:r w:rsidR="009D44D1" w:rsidRPr="00785FB4">
              <w:rPr>
                <w:rFonts w:asciiTheme="majorHAnsi" w:hAnsiTheme="majorHAnsi"/>
                <w:webHidden/>
              </w:rPr>
              <w:fldChar w:fldCharType="end"/>
            </w:r>
          </w:hyperlink>
        </w:p>
        <w:p w14:paraId="73B9D3DF" w14:textId="65C986EF" w:rsidR="009D44D1" w:rsidRPr="00785FB4" w:rsidRDefault="00E60909">
          <w:pPr>
            <w:pStyle w:val="TOC2"/>
            <w:tabs>
              <w:tab w:val="left" w:pos="660"/>
              <w:tab w:val="right" w:leader="dot" w:pos="9485"/>
            </w:tabs>
            <w:rPr>
              <w:rFonts w:asciiTheme="majorHAnsi" w:eastAsiaTheme="minorEastAsia" w:hAnsiTheme="majorHAnsi" w:cstheme="minorBidi"/>
              <w:b w:val="0"/>
              <w:lang w:eastAsia="ja-JP"/>
            </w:rPr>
          </w:pPr>
          <w:hyperlink w:anchor="_Toc505449811" w:history="1">
            <w:r w:rsidR="009D44D1" w:rsidRPr="00785FB4">
              <w:rPr>
                <w:rStyle w:val="Hyperlink"/>
                <w:rFonts w:asciiTheme="majorHAnsi" w:hAnsiTheme="majorHAnsi"/>
              </w:rPr>
              <w:t>5.</w:t>
            </w:r>
            <w:r w:rsidR="009D44D1" w:rsidRPr="00785FB4">
              <w:rPr>
                <w:rFonts w:asciiTheme="majorHAnsi" w:eastAsiaTheme="minorEastAsia" w:hAnsiTheme="majorHAnsi" w:cstheme="minorBidi"/>
                <w:b w:val="0"/>
                <w:lang w:eastAsia="ja-JP"/>
              </w:rPr>
              <w:tab/>
            </w:r>
            <w:r w:rsidR="009D44D1" w:rsidRPr="00785FB4">
              <w:rPr>
                <w:rStyle w:val="Hyperlink"/>
                <w:rFonts w:asciiTheme="majorHAnsi" w:hAnsiTheme="majorHAnsi"/>
              </w:rPr>
              <w:t>Revenue management and distribution</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_Toc505449811 \h </w:instrText>
            </w:r>
            <w:r w:rsidR="009D44D1" w:rsidRPr="00785FB4">
              <w:rPr>
                <w:rFonts w:asciiTheme="majorHAnsi" w:hAnsiTheme="majorHAnsi"/>
                <w:webHidden/>
              </w:rPr>
            </w:r>
            <w:r w:rsidR="009D44D1" w:rsidRPr="00785FB4">
              <w:rPr>
                <w:rFonts w:asciiTheme="majorHAnsi" w:hAnsiTheme="majorHAnsi"/>
                <w:webHidden/>
              </w:rPr>
              <w:fldChar w:fldCharType="separate"/>
            </w:r>
            <w:r w:rsidR="008E32CE" w:rsidRPr="00785FB4">
              <w:rPr>
                <w:rFonts w:asciiTheme="majorHAnsi" w:hAnsiTheme="majorHAnsi"/>
                <w:webHidden/>
              </w:rPr>
              <w:t>96</w:t>
            </w:r>
            <w:r w:rsidR="009D44D1" w:rsidRPr="00785FB4">
              <w:rPr>
                <w:rFonts w:asciiTheme="majorHAnsi" w:hAnsiTheme="majorHAnsi"/>
                <w:webHidden/>
              </w:rPr>
              <w:fldChar w:fldCharType="end"/>
            </w:r>
          </w:hyperlink>
        </w:p>
        <w:p w14:paraId="2C7E1EAA" w14:textId="037CF105" w:rsidR="009D44D1" w:rsidRPr="00785FB4" w:rsidRDefault="00E60909">
          <w:pPr>
            <w:pStyle w:val="TOC2"/>
            <w:tabs>
              <w:tab w:val="right" w:leader="dot" w:pos="9485"/>
            </w:tabs>
            <w:rPr>
              <w:rFonts w:asciiTheme="majorHAnsi" w:eastAsiaTheme="minorEastAsia" w:hAnsiTheme="majorHAnsi" w:cstheme="minorBidi"/>
              <w:b w:val="0"/>
              <w:lang w:eastAsia="ja-JP"/>
            </w:rPr>
          </w:pPr>
          <w:hyperlink w:anchor="_Toc505449814" w:history="1">
            <w:r w:rsidR="009D44D1" w:rsidRPr="00785FB4">
              <w:rPr>
                <w:rStyle w:val="Hyperlink"/>
                <w:rFonts w:asciiTheme="majorHAnsi" w:hAnsiTheme="majorHAnsi"/>
              </w:rPr>
              <w:t>Distribution of revenues (#5.1)</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_Toc505449814 \h </w:instrText>
            </w:r>
            <w:r w:rsidR="009D44D1" w:rsidRPr="00785FB4">
              <w:rPr>
                <w:rFonts w:asciiTheme="majorHAnsi" w:hAnsiTheme="majorHAnsi"/>
                <w:webHidden/>
              </w:rPr>
            </w:r>
            <w:r w:rsidR="009D44D1" w:rsidRPr="00785FB4">
              <w:rPr>
                <w:rFonts w:asciiTheme="majorHAnsi" w:hAnsiTheme="majorHAnsi"/>
                <w:webHidden/>
              </w:rPr>
              <w:fldChar w:fldCharType="separate"/>
            </w:r>
            <w:r w:rsidR="008E32CE" w:rsidRPr="00785FB4">
              <w:rPr>
                <w:rFonts w:asciiTheme="majorHAnsi" w:hAnsiTheme="majorHAnsi"/>
                <w:webHidden/>
              </w:rPr>
              <w:t>96</w:t>
            </w:r>
            <w:r w:rsidR="009D44D1" w:rsidRPr="00785FB4">
              <w:rPr>
                <w:rFonts w:asciiTheme="majorHAnsi" w:hAnsiTheme="majorHAnsi"/>
                <w:webHidden/>
              </w:rPr>
              <w:fldChar w:fldCharType="end"/>
            </w:r>
          </w:hyperlink>
        </w:p>
        <w:p w14:paraId="7D6B28F6" w14:textId="5299807F" w:rsidR="009D44D1" w:rsidRPr="00785FB4" w:rsidRDefault="00E60909">
          <w:pPr>
            <w:pStyle w:val="TOC2"/>
            <w:tabs>
              <w:tab w:val="right" w:leader="dot" w:pos="9485"/>
            </w:tabs>
            <w:rPr>
              <w:rFonts w:asciiTheme="majorHAnsi" w:eastAsiaTheme="minorEastAsia" w:hAnsiTheme="majorHAnsi" w:cstheme="minorBidi"/>
              <w:b w:val="0"/>
              <w:lang w:eastAsia="ja-JP"/>
            </w:rPr>
          </w:pPr>
          <w:hyperlink w:anchor="_Toc505449815" w:history="1">
            <w:r w:rsidR="009D44D1" w:rsidRPr="00785FB4">
              <w:rPr>
                <w:rStyle w:val="Hyperlink"/>
                <w:rFonts w:asciiTheme="majorHAnsi" w:hAnsiTheme="majorHAnsi"/>
              </w:rPr>
              <w:t>Sub-national transfers (#5.2)</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_Toc505449815 \h </w:instrText>
            </w:r>
            <w:r w:rsidR="009D44D1" w:rsidRPr="00785FB4">
              <w:rPr>
                <w:rFonts w:asciiTheme="majorHAnsi" w:hAnsiTheme="majorHAnsi"/>
                <w:webHidden/>
              </w:rPr>
            </w:r>
            <w:r w:rsidR="009D44D1" w:rsidRPr="00785FB4">
              <w:rPr>
                <w:rFonts w:asciiTheme="majorHAnsi" w:hAnsiTheme="majorHAnsi"/>
                <w:webHidden/>
              </w:rPr>
              <w:fldChar w:fldCharType="separate"/>
            </w:r>
            <w:r w:rsidR="008E32CE" w:rsidRPr="00785FB4">
              <w:rPr>
                <w:rFonts w:asciiTheme="majorHAnsi" w:hAnsiTheme="majorHAnsi"/>
                <w:webHidden/>
              </w:rPr>
              <w:t>98</w:t>
            </w:r>
            <w:r w:rsidR="009D44D1" w:rsidRPr="00785FB4">
              <w:rPr>
                <w:rFonts w:asciiTheme="majorHAnsi" w:hAnsiTheme="majorHAnsi"/>
                <w:webHidden/>
              </w:rPr>
              <w:fldChar w:fldCharType="end"/>
            </w:r>
          </w:hyperlink>
        </w:p>
        <w:p w14:paraId="130F50F8" w14:textId="37B47F50" w:rsidR="009D44D1" w:rsidRPr="00785FB4" w:rsidRDefault="00E60909">
          <w:pPr>
            <w:pStyle w:val="TOC2"/>
            <w:tabs>
              <w:tab w:val="right" w:leader="dot" w:pos="9485"/>
            </w:tabs>
            <w:rPr>
              <w:rFonts w:asciiTheme="majorHAnsi" w:eastAsiaTheme="minorEastAsia" w:hAnsiTheme="majorHAnsi" w:cstheme="minorBidi"/>
              <w:b w:val="0"/>
              <w:lang w:eastAsia="ja-JP"/>
            </w:rPr>
          </w:pPr>
          <w:hyperlink w:anchor="_Toc505449816" w:history="1">
            <w:r w:rsidR="009D44D1" w:rsidRPr="00785FB4">
              <w:rPr>
                <w:rStyle w:val="Hyperlink"/>
                <w:rFonts w:asciiTheme="majorHAnsi" w:hAnsiTheme="majorHAnsi"/>
              </w:rPr>
              <w:t>Additional information on revenue management and expenditures (#5.3)</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_Toc505449816 \h </w:instrText>
            </w:r>
            <w:r w:rsidR="009D44D1" w:rsidRPr="00785FB4">
              <w:rPr>
                <w:rFonts w:asciiTheme="majorHAnsi" w:hAnsiTheme="majorHAnsi"/>
                <w:webHidden/>
              </w:rPr>
            </w:r>
            <w:r w:rsidR="009D44D1" w:rsidRPr="00785FB4">
              <w:rPr>
                <w:rFonts w:asciiTheme="majorHAnsi" w:hAnsiTheme="majorHAnsi"/>
                <w:webHidden/>
              </w:rPr>
              <w:fldChar w:fldCharType="separate"/>
            </w:r>
            <w:r w:rsidR="008E32CE" w:rsidRPr="00785FB4">
              <w:rPr>
                <w:rFonts w:asciiTheme="majorHAnsi" w:hAnsiTheme="majorHAnsi"/>
                <w:webHidden/>
              </w:rPr>
              <w:t>99</w:t>
            </w:r>
            <w:r w:rsidR="009D44D1" w:rsidRPr="00785FB4">
              <w:rPr>
                <w:rFonts w:asciiTheme="majorHAnsi" w:hAnsiTheme="majorHAnsi"/>
                <w:webHidden/>
              </w:rPr>
              <w:fldChar w:fldCharType="end"/>
            </w:r>
          </w:hyperlink>
        </w:p>
        <w:p w14:paraId="4DA1E746" w14:textId="5A39E0E5" w:rsidR="009D44D1" w:rsidRPr="00785FB4" w:rsidRDefault="00E60909">
          <w:pPr>
            <w:pStyle w:val="TOC2"/>
            <w:tabs>
              <w:tab w:val="left" w:pos="660"/>
              <w:tab w:val="right" w:leader="dot" w:pos="9485"/>
            </w:tabs>
            <w:rPr>
              <w:rFonts w:asciiTheme="majorHAnsi" w:eastAsiaTheme="minorEastAsia" w:hAnsiTheme="majorHAnsi" w:cstheme="minorBidi"/>
              <w:b w:val="0"/>
              <w:lang w:eastAsia="ja-JP"/>
            </w:rPr>
          </w:pPr>
          <w:hyperlink w:anchor="_Toc505449817" w:history="1">
            <w:r w:rsidR="009D44D1" w:rsidRPr="00785FB4">
              <w:rPr>
                <w:rStyle w:val="Hyperlink"/>
                <w:rFonts w:asciiTheme="majorHAnsi" w:hAnsiTheme="majorHAnsi"/>
              </w:rPr>
              <w:t>6.</w:t>
            </w:r>
            <w:r w:rsidR="009D44D1" w:rsidRPr="00785FB4">
              <w:rPr>
                <w:rFonts w:asciiTheme="majorHAnsi" w:eastAsiaTheme="minorEastAsia" w:hAnsiTheme="majorHAnsi" w:cstheme="minorBidi"/>
                <w:b w:val="0"/>
                <w:lang w:eastAsia="ja-JP"/>
              </w:rPr>
              <w:tab/>
            </w:r>
            <w:r w:rsidR="009D44D1" w:rsidRPr="00785FB4">
              <w:rPr>
                <w:rStyle w:val="Hyperlink"/>
                <w:rFonts w:asciiTheme="majorHAnsi" w:hAnsiTheme="majorHAnsi"/>
              </w:rPr>
              <w:t>Social and economic spending</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_Toc505449817 \h </w:instrText>
            </w:r>
            <w:r w:rsidR="009D44D1" w:rsidRPr="00785FB4">
              <w:rPr>
                <w:rFonts w:asciiTheme="majorHAnsi" w:hAnsiTheme="majorHAnsi"/>
                <w:webHidden/>
              </w:rPr>
            </w:r>
            <w:r w:rsidR="009D44D1" w:rsidRPr="00785FB4">
              <w:rPr>
                <w:rFonts w:asciiTheme="majorHAnsi" w:hAnsiTheme="majorHAnsi"/>
                <w:webHidden/>
              </w:rPr>
              <w:fldChar w:fldCharType="separate"/>
            </w:r>
            <w:r w:rsidR="008E32CE" w:rsidRPr="00785FB4">
              <w:rPr>
                <w:rFonts w:asciiTheme="majorHAnsi" w:hAnsiTheme="majorHAnsi"/>
                <w:webHidden/>
              </w:rPr>
              <w:t>101</w:t>
            </w:r>
            <w:r w:rsidR="009D44D1" w:rsidRPr="00785FB4">
              <w:rPr>
                <w:rFonts w:asciiTheme="majorHAnsi" w:hAnsiTheme="majorHAnsi"/>
                <w:webHidden/>
              </w:rPr>
              <w:fldChar w:fldCharType="end"/>
            </w:r>
          </w:hyperlink>
        </w:p>
        <w:p w14:paraId="6E3C9E6B" w14:textId="1677EE7A" w:rsidR="009D44D1" w:rsidRPr="00785FB4" w:rsidRDefault="00E60909">
          <w:pPr>
            <w:pStyle w:val="TOC2"/>
            <w:tabs>
              <w:tab w:val="right" w:leader="dot" w:pos="9485"/>
            </w:tabs>
            <w:rPr>
              <w:rFonts w:asciiTheme="majorHAnsi" w:eastAsiaTheme="minorEastAsia" w:hAnsiTheme="majorHAnsi" w:cstheme="minorBidi"/>
              <w:b w:val="0"/>
              <w:lang w:eastAsia="ja-JP"/>
            </w:rPr>
          </w:pPr>
          <w:hyperlink w:anchor="_Toc505449820" w:history="1">
            <w:r w:rsidR="009D44D1" w:rsidRPr="00785FB4">
              <w:rPr>
                <w:rStyle w:val="Hyperlink"/>
                <w:rFonts w:asciiTheme="majorHAnsi" w:hAnsiTheme="majorHAnsi"/>
              </w:rPr>
              <w:t>Social expenditures (#6.1)</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_Toc505449820 \h </w:instrText>
            </w:r>
            <w:r w:rsidR="009D44D1" w:rsidRPr="00785FB4">
              <w:rPr>
                <w:rFonts w:asciiTheme="majorHAnsi" w:hAnsiTheme="majorHAnsi"/>
                <w:webHidden/>
              </w:rPr>
            </w:r>
            <w:r w:rsidR="009D44D1" w:rsidRPr="00785FB4">
              <w:rPr>
                <w:rFonts w:asciiTheme="majorHAnsi" w:hAnsiTheme="majorHAnsi"/>
                <w:webHidden/>
              </w:rPr>
              <w:fldChar w:fldCharType="separate"/>
            </w:r>
            <w:r w:rsidR="008E32CE" w:rsidRPr="00785FB4">
              <w:rPr>
                <w:rFonts w:asciiTheme="majorHAnsi" w:hAnsiTheme="majorHAnsi"/>
                <w:webHidden/>
              </w:rPr>
              <w:t>101</w:t>
            </w:r>
            <w:r w:rsidR="009D44D1" w:rsidRPr="00785FB4">
              <w:rPr>
                <w:rFonts w:asciiTheme="majorHAnsi" w:hAnsiTheme="majorHAnsi"/>
                <w:webHidden/>
              </w:rPr>
              <w:fldChar w:fldCharType="end"/>
            </w:r>
          </w:hyperlink>
        </w:p>
        <w:p w14:paraId="269655E6" w14:textId="7381DDFE" w:rsidR="009D44D1" w:rsidRPr="00785FB4" w:rsidRDefault="00E60909">
          <w:pPr>
            <w:pStyle w:val="TOC2"/>
            <w:tabs>
              <w:tab w:val="right" w:leader="dot" w:pos="9485"/>
            </w:tabs>
            <w:rPr>
              <w:rFonts w:asciiTheme="majorHAnsi" w:eastAsiaTheme="minorEastAsia" w:hAnsiTheme="majorHAnsi" w:cstheme="minorBidi"/>
              <w:b w:val="0"/>
              <w:lang w:eastAsia="ja-JP"/>
            </w:rPr>
          </w:pPr>
          <w:hyperlink w:anchor="_Toc505449821" w:history="1">
            <w:r w:rsidR="009D44D1" w:rsidRPr="00785FB4">
              <w:rPr>
                <w:rStyle w:val="Hyperlink"/>
                <w:rFonts w:asciiTheme="majorHAnsi" w:hAnsiTheme="majorHAnsi"/>
              </w:rPr>
              <w:t>SOE quasi fiscal expenditures (#6.2)</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_Toc505449821 \h </w:instrText>
            </w:r>
            <w:r w:rsidR="009D44D1" w:rsidRPr="00785FB4">
              <w:rPr>
                <w:rFonts w:asciiTheme="majorHAnsi" w:hAnsiTheme="majorHAnsi"/>
                <w:webHidden/>
              </w:rPr>
            </w:r>
            <w:r w:rsidR="009D44D1" w:rsidRPr="00785FB4">
              <w:rPr>
                <w:rFonts w:asciiTheme="majorHAnsi" w:hAnsiTheme="majorHAnsi"/>
                <w:webHidden/>
              </w:rPr>
              <w:fldChar w:fldCharType="separate"/>
            </w:r>
            <w:r w:rsidR="008E32CE" w:rsidRPr="00785FB4">
              <w:rPr>
                <w:rFonts w:asciiTheme="majorHAnsi" w:hAnsiTheme="majorHAnsi"/>
                <w:webHidden/>
              </w:rPr>
              <w:t>102</w:t>
            </w:r>
            <w:r w:rsidR="009D44D1" w:rsidRPr="00785FB4">
              <w:rPr>
                <w:rFonts w:asciiTheme="majorHAnsi" w:hAnsiTheme="majorHAnsi"/>
                <w:webHidden/>
              </w:rPr>
              <w:fldChar w:fldCharType="end"/>
            </w:r>
          </w:hyperlink>
        </w:p>
        <w:p w14:paraId="706A291A" w14:textId="375C3640" w:rsidR="009D44D1" w:rsidRPr="00785FB4" w:rsidRDefault="00E60909">
          <w:pPr>
            <w:pStyle w:val="TOC2"/>
            <w:tabs>
              <w:tab w:val="right" w:leader="dot" w:pos="9485"/>
            </w:tabs>
            <w:rPr>
              <w:rFonts w:asciiTheme="majorHAnsi" w:eastAsiaTheme="minorEastAsia" w:hAnsiTheme="majorHAnsi" w:cstheme="minorBidi"/>
              <w:b w:val="0"/>
              <w:lang w:eastAsia="ja-JP"/>
            </w:rPr>
          </w:pPr>
          <w:hyperlink w:anchor="_Toc505449822" w:history="1">
            <w:r w:rsidR="009D44D1" w:rsidRPr="00785FB4">
              <w:rPr>
                <w:rStyle w:val="Hyperlink"/>
                <w:rFonts w:asciiTheme="majorHAnsi" w:hAnsiTheme="majorHAnsi"/>
              </w:rPr>
              <w:t>Contribution of the extractive sector to the economy (#6.3)</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_Toc505449822 \h </w:instrText>
            </w:r>
            <w:r w:rsidR="009D44D1" w:rsidRPr="00785FB4">
              <w:rPr>
                <w:rFonts w:asciiTheme="majorHAnsi" w:hAnsiTheme="majorHAnsi"/>
                <w:webHidden/>
              </w:rPr>
            </w:r>
            <w:r w:rsidR="009D44D1" w:rsidRPr="00785FB4">
              <w:rPr>
                <w:rFonts w:asciiTheme="majorHAnsi" w:hAnsiTheme="majorHAnsi"/>
                <w:webHidden/>
              </w:rPr>
              <w:fldChar w:fldCharType="separate"/>
            </w:r>
            <w:r w:rsidR="008E32CE" w:rsidRPr="00785FB4">
              <w:rPr>
                <w:rFonts w:asciiTheme="majorHAnsi" w:hAnsiTheme="majorHAnsi"/>
                <w:webHidden/>
              </w:rPr>
              <w:t>104</w:t>
            </w:r>
            <w:r w:rsidR="009D44D1" w:rsidRPr="00785FB4">
              <w:rPr>
                <w:rFonts w:asciiTheme="majorHAnsi" w:hAnsiTheme="majorHAnsi"/>
                <w:webHidden/>
              </w:rPr>
              <w:fldChar w:fldCharType="end"/>
            </w:r>
          </w:hyperlink>
        </w:p>
        <w:p w14:paraId="33B7AE67" w14:textId="24619D7D" w:rsidR="009D44D1" w:rsidRPr="00785FB4" w:rsidRDefault="00E60909">
          <w:pPr>
            <w:pStyle w:val="TOC1"/>
            <w:rPr>
              <w:rFonts w:eastAsiaTheme="minorEastAsia" w:cstheme="minorBidi"/>
              <w:lang w:eastAsia="ja-JP"/>
            </w:rPr>
          </w:pPr>
          <w:hyperlink w:anchor="_Toc505449823" w:history="1">
            <w:r w:rsidR="009D44D1" w:rsidRPr="00785FB4">
              <w:rPr>
                <w:rStyle w:val="Hyperlink"/>
                <w:rFonts w:asciiTheme="majorHAnsi" w:hAnsiTheme="majorHAnsi"/>
                <w:sz w:val="22"/>
                <w:szCs w:val="22"/>
              </w:rPr>
              <w:t>Part III – Outcomes and Impact</w:t>
            </w:r>
            <w:r w:rsidR="009D44D1" w:rsidRPr="00785FB4">
              <w:rPr>
                <w:webHidden/>
              </w:rPr>
              <w:tab/>
            </w:r>
            <w:r w:rsidR="009D44D1" w:rsidRPr="00785FB4">
              <w:rPr>
                <w:webHidden/>
              </w:rPr>
              <w:fldChar w:fldCharType="begin"/>
            </w:r>
            <w:r w:rsidR="009D44D1" w:rsidRPr="00785FB4">
              <w:rPr>
                <w:rFonts w:asciiTheme="majorHAnsi" w:hAnsiTheme="majorHAnsi"/>
                <w:webHidden/>
                <w:sz w:val="22"/>
                <w:szCs w:val="22"/>
              </w:rPr>
              <w:instrText xml:space="preserve"> PAGEREF _Toc505449823 \h </w:instrText>
            </w:r>
            <w:r w:rsidR="009D44D1" w:rsidRPr="00785FB4">
              <w:rPr>
                <w:webHidden/>
              </w:rPr>
            </w:r>
            <w:r w:rsidR="009D44D1" w:rsidRPr="00785FB4">
              <w:rPr>
                <w:webHidden/>
              </w:rPr>
              <w:fldChar w:fldCharType="separate"/>
            </w:r>
            <w:r w:rsidR="008E32CE" w:rsidRPr="00785FB4">
              <w:rPr>
                <w:rFonts w:asciiTheme="majorHAnsi" w:hAnsiTheme="majorHAnsi"/>
                <w:webHidden/>
                <w:sz w:val="22"/>
                <w:szCs w:val="22"/>
              </w:rPr>
              <w:t>107</w:t>
            </w:r>
            <w:r w:rsidR="009D44D1" w:rsidRPr="00785FB4">
              <w:rPr>
                <w:webHidden/>
              </w:rPr>
              <w:fldChar w:fldCharType="end"/>
            </w:r>
          </w:hyperlink>
        </w:p>
        <w:p w14:paraId="28AA64E2" w14:textId="5799AEE3" w:rsidR="009D44D1" w:rsidRPr="00785FB4" w:rsidRDefault="00E60909">
          <w:pPr>
            <w:pStyle w:val="TOC2"/>
            <w:tabs>
              <w:tab w:val="left" w:pos="660"/>
              <w:tab w:val="right" w:leader="dot" w:pos="9485"/>
            </w:tabs>
            <w:rPr>
              <w:rFonts w:asciiTheme="majorHAnsi" w:eastAsiaTheme="minorEastAsia" w:hAnsiTheme="majorHAnsi" w:cstheme="minorBidi"/>
              <w:b w:val="0"/>
              <w:lang w:eastAsia="ja-JP"/>
            </w:rPr>
          </w:pPr>
          <w:hyperlink w:anchor="_Toc505449824" w:history="1">
            <w:r w:rsidR="009D44D1" w:rsidRPr="00785FB4">
              <w:rPr>
                <w:rStyle w:val="Hyperlink"/>
                <w:rFonts w:asciiTheme="majorHAnsi" w:hAnsiTheme="majorHAnsi"/>
              </w:rPr>
              <w:t>7.</w:t>
            </w:r>
            <w:r w:rsidR="009D44D1" w:rsidRPr="00785FB4">
              <w:rPr>
                <w:rFonts w:asciiTheme="majorHAnsi" w:eastAsiaTheme="minorEastAsia" w:hAnsiTheme="majorHAnsi" w:cstheme="minorBidi"/>
                <w:b w:val="0"/>
                <w:lang w:eastAsia="ja-JP"/>
              </w:rPr>
              <w:tab/>
            </w:r>
            <w:r w:rsidR="009D44D1" w:rsidRPr="00785FB4">
              <w:rPr>
                <w:rStyle w:val="Hyperlink"/>
                <w:rFonts w:asciiTheme="majorHAnsi" w:hAnsiTheme="majorHAnsi"/>
              </w:rPr>
              <w:t>Outcomes and Impact</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_Toc505449824 \h </w:instrText>
            </w:r>
            <w:r w:rsidR="009D44D1" w:rsidRPr="00785FB4">
              <w:rPr>
                <w:rFonts w:asciiTheme="majorHAnsi" w:hAnsiTheme="majorHAnsi"/>
                <w:webHidden/>
              </w:rPr>
            </w:r>
            <w:r w:rsidR="009D44D1" w:rsidRPr="00785FB4">
              <w:rPr>
                <w:rFonts w:asciiTheme="majorHAnsi" w:hAnsiTheme="majorHAnsi"/>
                <w:webHidden/>
              </w:rPr>
              <w:fldChar w:fldCharType="separate"/>
            </w:r>
            <w:r w:rsidR="008E32CE" w:rsidRPr="00785FB4">
              <w:rPr>
                <w:rFonts w:asciiTheme="majorHAnsi" w:hAnsiTheme="majorHAnsi"/>
                <w:webHidden/>
              </w:rPr>
              <w:t>107</w:t>
            </w:r>
            <w:r w:rsidR="009D44D1" w:rsidRPr="00785FB4">
              <w:rPr>
                <w:rFonts w:asciiTheme="majorHAnsi" w:hAnsiTheme="majorHAnsi"/>
                <w:webHidden/>
              </w:rPr>
              <w:fldChar w:fldCharType="end"/>
            </w:r>
          </w:hyperlink>
        </w:p>
        <w:p w14:paraId="47650084" w14:textId="366FE7E6" w:rsidR="009D44D1" w:rsidRPr="00785FB4" w:rsidRDefault="00E60909">
          <w:pPr>
            <w:pStyle w:val="TOC2"/>
            <w:tabs>
              <w:tab w:val="right" w:leader="dot" w:pos="9485"/>
            </w:tabs>
            <w:rPr>
              <w:rFonts w:asciiTheme="majorHAnsi" w:eastAsiaTheme="minorEastAsia" w:hAnsiTheme="majorHAnsi" w:cstheme="minorBidi"/>
              <w:b w:val="0"/>
              <w:lang w:eastAsia="ja-JP"/>
            </w:rPr>
          </w:pPr>
          <w:hyperlink w:anchor="_Toc505449827" w:history="1">
            <w:r w:rsidR="009D44D1" w:rsidRPr="00785FB4">
              <w:rPr>
                <w:rStyle w:val="Hyperlink"/>
                <w:rFonts w:asciiTheme="majorHAnsi" w:hAnsiTheme="majorHAnsi"/>
              </w:rPr>
              <w:t>Public debate (#7.1)</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_Toc505449827 \h </w:instrText>
            </w:r>
            <w:r w:rsidR="009D44D1" w:rsidRPr="00785FB4">
              <w:rPr>
                <w:rFonts w:asciiTheme="majorHAnsi" w:hAnsiTheme="majorHAnsi"/>
                <w:webHidden/>
              </w:rPr>
            </w:r>
            <w:r w:rsidR="009D44D1" w:rsidRPr="00785FB4">
              <w:rPr>
                <w:rFonts w:asciiTheme="majorHAnsi" w:hAnsiTheme="majorHAnsi"/>
                <w:webHidden/>
              </w:rPr>
              <w:fldChar w:fldCharType="separate"/>
            </w:r>
            <w:r w:rsidR="008E32CE" w:rsidRPr="00785FB4">
              <w:rPr>
                <w:rFonts w:asciiTheme="majorHAnsi" w:hAnsiTheme="majorHAnsi"/>
                <w:webHidden/>
              </w:rPr>
              <w:t>107</w:t>
            </w:r>
            <w:r w:rsidR="009D44D1" w:rsidRPr="00785FB4">
              <w:rPr>
                <w:rFonts w:asciiTheme="majorHAnsi" w:hAnsiTheme="majorHAnsi"/>
                <w:webHidden/>
              </w:rPr>
              <w:fldChar w:fldCharType="end"/>
            </w:r>
          </w:hyperlink>
        </w:p>
        <w:p w14:paraId="08D19FB3" w14:textId="2A79F912" w:rsidR="009D44D1" w:rsidRPr="00785FB4" w:rsidRDefault="00E60909">
          <w:pPr>
            <w:pStyle w:val="TOC2"/>
            <w:tabs>
              <w:tab w:val="right" w:leader="dot" w:pos="9485"/>
            </w:tabs>
            <w:rPr>
              <w:rFonts w:asciiTheme="majorHAnsi" w:eastAsiaTheme="minorEastAsia" w:hAnsiTheme="majorHAnsi" w:cstheme="minorBidi"/>
              <w:b w:val="0"/>
              <w:lang w:eastAsia="ja-JP"/>
            </w:rPr>
          </w:pPr>
          <w:hyperlink w:anchor="_Toc505449828" w:history="1">
            <w:r w:rsidR="009D44D1" w:rsidRPr="00785FB4">
              <w:rPr>
                <w:rStyle w:val="Hyperlink"/>
                <w:rFonts w:asciiTheme="majorHAnsi" w:hAnsiTheme="majorHAnsi"/>
              </w:rPr>
              <w:t>Data Accessibility (#7.2)</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_Toc505449828 \h </w:instrText>
            </w:r>
            <w:r w:rsidR="009D44D1" w:rsidRPr="00785FB4">
              <w:rPr>
                <w:rFonts w:asciiTheme="majorHAnsi" w:hAnsiTheme="majorHAnsi"/>
                <w:webHidden/>
              </w:rPr>
            </w:r>
            <w:r w:rsidR="009D44D1" w:rsidRPr="00785FB4">
              <w:rPr>
                <w:rFonts w:asciiTheme="majorHAnsi" w:hAnsiTheme="majorHAnsi"/>
                <w:webHidden/>
              </w:rPr>
              <w:fldChar w:fldCharType="separate"/>
            </w:r>
            <w:r w:rsidR="008E32CE" w:rsidRPr="00785FB4">
              <w:rPr>
                <w:rFonts w:asciiTheme="majorHAnsi" w:hAnsiTheme="majorHAnsi"/>
                <w:webHidden/>
              </w:rPr>
              <w:t>111</w:t>
            </w:r>
            <w:r w:rsidR="009D44D1" w:rsidRPr="00785FB4">
              <w:rPr>
                <w:rFonts w:asciiTheme="majorHAnsi" w:hAnsiTheme="majorHAnsi"/>
                <w:webHidden/>
              </w:rPr>
              <w:fldChar w:fldCharType="end"/>
            </w:r>
          </w:hyperlink>
        </w:p>
        <w:p w14:paraId="6CE83E09" w14:textId="4C470863" w:rsidR="009D44D1" w:rsidRPr="00785FB4" w:rsidRDefault="00E60909">
          <w:pPr>
            <w:pStyle w:val="TOC2"/>
            <w:tabs>
              <w:tab w:val="right" w:leader="dot" w:pos="9485"/>
            </w:tabs>
            <w:rPr>
              <w:rFonts w:asciiTheme="majorHAnsi" w:eastAsiaTheme="minorEastAsia" w:hAnsiTheme="majorHAnsi" w:cstheme="minorBidi"/>
              <w:b w:val="0"/>
              <w:lang w:eastAsia="ja-JP"/>
            </w:rPr>
          </w:pPr>
          <w:hyperlink w:anchor="_Toc505449829" w:history="1">
            <w:r w:rsidR="009D44D1" w:rsidRPr="00785FB4">
              <w:rPr>
                <w:rStyle w:val="Hyperlink"/>
                <w:rFonts w:asciiTheme="majorHAnsi" w:hAnsiTheme="majorHAnsi"/>
              </w:rPr>
              <w:t>Lessons Learned and follow-up on recommendations (#7.3)</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_Toc505449829 \h </w:instrText>
            </w:r>
            <w:r w:rsidR="009D44D1" w:rsidRPr="00785FB4">
              <w:rPr>
                <w:rFonts w:asciiTheme="majorHAnsi" w:hAnsiTheme="majorHAnsi"/>
                <w:webHidden/>
              </w:rPr>
            </w:r>
            <w:r w:rsidR="009D44D1" w:rsidRPr="00785FB4">
              <w:rPr>
                <w:rFonts w:asciiTheme="majorHAnsi" w:hAnsiTheme="majorHAnsi"/>
                <w:webHidden/>
              </w:rPr>
              <w:fldChar w:fldCharType="separate"/>
            </w:r>
            <w:r w:rsidR="008E32CE" w:rsidRPr="00785FB4">
              <w:rPr>
                <w:rFonts w:asciiTheme="majorHAnsi" w:hAnsiTheme="majorHAnsi"/>
                <w:webHidden/>
              </w:rPr>
              <w:t>112</w:t>
            </w:r>
            <w:r w:rsidR="009D44D1" w:rsidRPr="00785FB4">
              <w:rPr>
                <w:rFonts w:asciiTheme="majorHAnsi" w:hAnsiTheme="majorHAnsi"/>
                <w:webHidden/>
              </w:rPr>
              <w:fldChar w:fldCharType="end"/>
            </w:r>
          </w:hyperlink>
        </w:p>
        <w:p w14:paraId="24A0DF53" w14:textId="6F4B355D" w:rsidR="009D44D1" w:rsidRPr="00785FB4" w:rsidRDefault="00E60909">
          <w:pPr>
            <w:pStyle w:val="TOC2"/>
            <w:tabs>
              <w:tab w:val="right" w:leader="dot" w:pos="9485"/>
            </w:tabs>
            <w:rPr>
              <w:rFonts w:asciiTheme="majorHAnsi" w:eastAsiaTheme="minorEastAsia" w:hAnsiTheme="majorHAnsi" w:cstheme="minorBidi"/>
              <w:b w:val="0"/>
              <w:lang w:eastAsia="ja-JP"/>
            </w:rPr>
          </w:pPr>
          <w:hyperlink w:anchor="_Toc505449830" w:history="1">
            <w:r w:rsidR="009D44D1" w:rsidRPr="00785FB4">
              <w:rPr>
                <w:rStyle w:val="Hyperlink"/>
                <w:rFonts w:asciiTheme="majorHAnsi" w:hAnsiTheme="majorHAnsi"/>
              </w:rPr>
              <w:t>Outcomes and impact of implementation (#7.4)</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_Toc505449830 \h </w:instrText>
            </w:r>
            <w:r w:rsidR="009D44D1" w:rsidRPr="00785FB4">
              <w:rPr>
                <w:rFonts w:asciiTheme="majorHAnsi" w:hAnsiTheme="majorHAnsi"/>
                <w:webHidden/>
              </w:rPr>
            </w:r>
            <w:r w:rsidR="009D44D1" w:rsidRPr="00785FB4">
              <w:rPr>
                <w:rFonts w:asciiTheme="majorHAnsi" w:hAnsiTheme="majorHAnsi"/>
                <w:webHidden/>
              </w:rPr>
              <w:fldChar w:fldCharType="separate"/>
            </w:r>
            <w:r w:rsidR="008E32CE" w:rsidRPr="00785FB4">
              <w:rPr>
                <w:rFonts w:asciiTheme="majorHAnsi" w:hAnsiTheme="majorHAnsi"/>
                <w:webHidden/>
              </w:rPr>
              <w:t>115</w:t>
            </w:r>
            <w:r w:rsidR="009D44D1" w:rsidRPr="00785FB4">
              <w:rPr>
                <w:rFonts w:asciiTheme="majorHAnsi" w:hAnsiTheme="majorHAnsi"/>
                <w:webHidden/>
              </w:rPr>
              <w:fldChar w:fldCharType="end"/>
            </w:r>
          </w:hyperlink>
        </w:p>
        <w:p w14:paraId="4AA436F6" w14:textId="62289836" w:rsidR="009D44D1" w:rsidRPr="00785FB4" w:rsidRDefault="00E60909">
          <w:pPr>
            <w:pStyle w:val="TOC2"/>
            <w:tabs>
              <w:tab w:val="left" w:pos="660"/>
              <w:tab w:val="right" w:leader="dot" w:pos="9485"/>
            </w:tabs>
            <w:rPr>
              <w:rFonts w:asciiTheme="majorHAnsi" w:eastAsiaTheme="minorEastAsia" w:hAnsiTheme="majorHAnsi" w:cstheme="minorBidi"/>
              <w:b w:val="0"/>
              <w:lang w:eastAsia="ja-JP"/>
            </w:rPr>
          </w:pPr>
          <w:hyperlink w:anchor="_Toc505449831" w:history="1">
            <w:r w:rsidR="009D44D1" w:rsidRPr="00785FB4">
              <w:rPr>
                <w:rStyle w:val="Hyperlink"/>
                <w:rFonts w:asciiTheme="majorHAnsi" w:hAnsiTheme="majorHAnsi"/>
              </w:rPr>
              <w:t>8.</w:t>
            </w:r>
            <w:r w:rsidR="009D44D1" w:rsidRPr="00785FB4">
              <w:rPr>
                <w:rFonts w:asciiTheme="majorHAnsi" w:eastAsiaTheme="minorEastAsia" w:hAnsiTheme="majorHAnsi" w:cstheme="minorBidi"/>
                <w:b w:val="0"/>
                <w:lang w:eastAsia="ja-JP"/>
              </w:rPr>
              <w:tab/>
            </w:r>
            <w:r w:rsidR="009D44D1" w:rsidRPr="00785FB4">
              <w:rPr>
                <w:rStyle w:val="Hyperlink"/>
                <w:rFonts w:asciiTheme="majorHAnsi" w:hAnsiTheme="majorHAnsi"/>
              </w:rPr>
              <w:t>Impact analysis</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_Toc505449831 \h </w:instrText>
            </w:r>
            <w:r w:rsidR="009D44D1" w:rsidRPr="00785FB4">
              <w:rPr>
                <w:rFonts w:asciiTheme="majorHAnsi" w:hAnsiTheme="majorHAnsi"/>
                <w:webHidden/>
              </w:rPr>
            </w:r>
            <w:r w:rsidR="009D44D1" w:rsidRPr="00785FB4">
              <w:rPr>
                <w:rFonts w:asciiTheme="majorHAnsi" w:hAnsiTheme="majorHAnsi"/>
                <w:webHidden/>
              </w:rPr>
              <w:fldChar w:fldCharType="separate"/>
            </w:r>
            <w:r w:rsidR="008E32CE" w:rsidRPr="00785FB4">
              <w:rPr>
                <w:rFonts w:asciiTheme="majorHAnsi" w:hAnsiTheme="majorHAnsi"/>
                <w:webHidden/>
              </w:rPr>
              <w:t>120</w:t>
            </w:r>
            <w:r w:rsidR="009D44D1" w:rsidRPr="00785FB4">
              <w:rPr>
                <w:rFonts w:asciiTheme="majorHAnsi" w:hAnsiTheme="majorHAnsi"/>
                <w:webHidden/>
              </w:rPr>
              <w:fldChar w:fldCharType="end"/>
            </w:r>
          </w:hyperlink>
        </w:p>
        <w:p w14:paraId="18DD63F8" w14:textId="2508B037" w:rsidR="009D44D1" w:rsidRPr="00785FB4" w:rsidRDefault="00E60909">
          <w:pPr>
            <w:pStyle w:val="TOC1"/>
            <w:rPr>
              <w:rFonts w:eastAsiaTheme="minorEastAsia" w:cstheme="minorBidi"/>
              <w:lang w:eastAsia="ja-JP"/>
            </w:rPr>
          </w:pPr>
          <w:hyperlink w:anchor="_Toc505449832" w:history="1">
            <w:r w:rsidR="009D44D1" w:rsidRPr="00785FB4">
              <w:rPr>
                <w:rStyle w:val="Hyperlink"/>
                <w:rFonts w:asciiTheme="majorHAnsi" w:hAnsiTheme="majorHAnsi"/>
                <w:sz w:val="22"/>
                <w:szCs w:val="22"/>
              </w:rPr>
              <w:t>Annexes</w:t>
            </w:r>
            <w:r w:rsidR="009D44D1" w:rsidRPr="00785FB4">
              <w:rPr>
                <w:webHidden/>
              </w:rPr>
              <w:tab/>
            </w:r>
            <w:r w:rsidR="009D44D1" w:rsidRPr="00785FB4">
              <w:rPr>
                <w:webHidden/>
              </w:rPr>
              <w:fldChar w:fldCharType="begin"/>
            </w:r>
            <w:r w:rsidR="009D44D1" w:rsidRPr="00785FB4">
              <w:rPr>
                <w:rFonts w:asciiTheme="majorHAnsi" w:hAnsiTheme="majorHAnsi"/>
                <w:webHidden/>
                <w:sz w:val="22"/>
                <w:szCs w:val="22"/>
              </w:rPr>
              <w:instrText xml:space="preserve"> PAGEREF _Toc505449832 \h </w:instrText>
            </w:r>
            <w:r w:rsidR="009D44D1" w:rsidRPr="00785FB4">
              <w:rPr>
                <w:webHidden/>
              </w:rPr>
            </w:r>
            <w:r w:rsidR="009D44D1" w:rsidRPr="00785FB4">
              <w:rPr>
                <w:webHidden/>
              </w:rPr>
              <w:fldChar w:fldCharType="separate"/>
            </w:r>
            <w:r w:rsidR="008E32CE" w:rsidRPr="00785FB4">
              <w:rPr>
                <w:rFonts w:asciiTheme="majorHAnsi" w:hAnsiTheme="majorHAnsi"/>
                <w:webHidden/>
                <w:sz w:val="22"/>
                <w:szCs w:val="22"/>
              </w:rPr>
              <w:t>121</w:t>
            </w:r>
            <w:r w:rsidR="009D44D1" w:rsidRPr="00785FB4">
              <w:rPr>
                <w:webHidden/>
              </w:rPr>
              <w:fldChar w:fldCharType="end"/>
            </w:r>
          </w:hyperlink>
        </w:p>
        <w:p w14:paraId="0050EA74" w14:textId="72CA9158" w:rsidR="009D44D1" w:rsidRPr="00785FB4" w:rsidRDefault="00E60909">
          <w:pPr>
            <w:pStyle w:val="TOC2"/>
            <w:tabs>
              <w:tab w:val="right" w:leader="dot" w:pos="9485"/>
            </w:tabs>
            <w:rPr>
              <w:rFonts w:asciiTheme="majorHAnsi" w:eastAsiaTheme="minorEastAsia" w:hAnsiTheme="majorHAnsi" w:cstheme="minorBidi"/>
              <w:b w:val="0"/>
              <w:lang w:eastAsia="ja-JP"/>
            </w:rPr>
          </w:pPr>
          <w:hyperlink w:anchor="_Toc505449833" w:history="1">
            <w:r w:rsidR="009D44D1" w:rsidRPr="00785FB4">
              <w:rPr>
                <w:rStyle w:val="Hyperlink"/>
                <w:rFonts w:asciiTheme="majorHAnsi" w:hAnsiTheme="majorHAnsi"/>
              </w:rPr>
              <w:t>Annex A - List of MSG members and contact details</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_Toc505449833 \h </w:instrText>
            </w:r>
            <w:r w:rsidR="009D44D1" w:rsidRPr="00785FB4">
              <w:rPr>
                <w:rFonts w:asciiTheme="majorHAnsi" w:hAnsiTheme="majorHAnsi"/>
                <w:webHidden/>
              </w:rPr>
            </w:r>
            <w:r w:rsidR="009D44D1" w:rsidRPr="00785FB4">
              <w:rPr>
                <w:rFonts w:asciiTheme="majorHAnsi" w:hAnsiTheme="majorHAnsi"/>
                <w:webHidden/>
              </w:rPr>
              <w:fldChar w:fldCharType="separate"/>
            </w:r>
            <w:r w:rsidR="008E32CE" w:rsidRPr="00785FB4">
              <w:rPr>
                <w:rFonts w:asciiTheme="majorHAnsi" w:hAnsiTheme="majorHAnsi"/>
                <w:webHidden/>
              </w:rPr>
              <w:t>121</w:t>
            </w:r>
            <w:r w:rsidR="009D44D1" w:rsidRPr="00785FB4">
              <w:rPr>
                <w:rFonts w:asciiTheme="majorHAnsi" w:hAnsiTheme="majorHAnsi"/>
                <w:webHidden/>
              </w:rPr>
              <w:fldChar w:fldCharType="end"/>
            </w:r>
          </w:hyperlink>
        </w:p>
        <w:p w14:paraId="3B3F10F3" w14:textId="5C597F61" w:rsidR="009D44D1" w:rsidRPr="00785FB4" w:rsidRDefault="00E60909">
          <w:pPr>
            <w:pStyle w:val="TOC2"/>
            <w:tabs>
              <w:tab w:val="right" w:leader="dot" w:pos="9485"/>
            </w:tabs>
            <w:rPr>
              <w:rFonts w:asciiTheme="majorHAnsi" w:eastAsiaTheme="minorEastAsia" w:hAnsiTheme="majorHAnsi" w:cstheme="minorBidi"/>
              <w:b w:val="0"/>
              <w:lang w:eastAsia="ja-JP"/>
            </w:rPr>
          </w:pPr>
          <w:hyperlink w:anchor="_Toc505449834" w:history="1">
            <w:r w:rsidR="009D44D1" w:rsidRPr="00785FB4">
              <w:rPr>
                <w:rStyle w:val="Hyperlink"/>
                <w:rFonts w:asciiTheme="majorHAnsi" w:hAnsiTheme="majorHAnsi"/>
              </w:rPr>
              <w:t>Annex B – MSG meeting attendance</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_Toc505449834 \h </w:instrText>
            </w:r>
            <w:r w:rsidR="009D44D1" w:rsidRPr="00785FB4">
              <w:rPr>
                <w:rFonts w:asciiTheme="majorHAnsi" w:hAnsiTheme="majorHAnsi"/>
                <w:webHidden/>
              </w:rPr>
            </w:r>
            <w:r w:rsidR="009D44D1" w:rsidRPr="00785FB4">
              <w:rPr>
                <w:rFonts w:asciiTheme="majorHAnsi" w:hAnsiTheme="majorHAnsi"/>
                <w:webHidden/>
              </w:rPr>
              <w:fldChar w:fldCharType="separate"/>
            </w:r>
            <w:r w:rsidR="008E32CE" w:rsidRPr="00785FB4">
              <w:rPr>
                <w:rFonts w:asciiTheme="majorHAnsi" w:hAnsiTheme="majorHAnsi"/>
                <w:webHidden/>
              </w:rPr>
              <w:t>123</w:t>
            </w:r>
            <w:r w:rsidR="009D44D1" w:rsidRPr="00785FB4">
              <w:rPr>
                <w:rFonts w:asciiTheme="majorHAnsi" w:hAnsiTheme="majorHAnsi"/>
                <w:webHidden/>
              </w:rPr>
              <w:fldChar w:fldCharType="end"/>
            </w:r>
          </w:hyperlink>
        </w:p>
        <w:p w14:paraId="7D7A0594" w14:textId="29242DC0" w:rsidR="009D44D1" w:rsidRPr="00785FB4" w:rsidRDefault="00E60909">
          <w:pPr>
            <w:pStyle w:val="TOC2"/>
            <w:tabs>
              <w:tab w:val="right" w:leader="dot" w:pos="9485"/>
            </w:tabs>
            <w:rPr>
              <w:rFonts w:asciiTheme="majorHAnsi" w:eastAsiaTheme="minorEastAsia" w:hAnsiTheme="majorHAnsi" w:cstheme="minorBidi"/>
              <w:b w:val="0"/>
              <w:lang w:eastAsia="ja-JP"/>
            </w:rPr>
          </w:pPr>
          <w:hyperlink w:anchor="_Toc505449835" w:history="1">
            <w:r w:rsidR="009D44D1" w:rsidRPr="00785FB4">
              <w:rPr>
                <w:rStyle w:val="Hyperlink"/>
                <w:rFonts w:asciiTheme="majorHAnsi" w:hAnsiTheme="majorHAnsi"/>
              </w:rPr>
              <w:t>Annex C – Cost of EITI Reports</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_Toc505449835 \h </w:instrText>
            </w:r>
            <w:r w:rsidR="009D44D1" w:rsidRPr="00785FB4">
              <w:rPr>
                <w:rFonts w:asciiTheme="majorHAnsi" w:hAnsiTheme="majorHAnsi"/>
                <w:webHidden/>
              </w:rPr>
            </w:r>
            <w:r w:rsidR="009D44D1" w:rsidRPr="00785FB4">
              <w:rPr>
                <w:rFonts w:asciiTheme="majorHAnsi" w:hAnsiTheme="majorHAnsi"/>
                <w:webHidden/>
              </w:rPr>
              <w:fldChar w:fldCharType="separate"/>
            </w:r>
            <w:r w:rsidR="008E32CE" w:rsidRPr="00785FB4">
              <w:rPr>
                <w:rFonts w:asciiTheme="majorHAnsi" w:hAnsiTheme="majorHAnsi"/>
                <w:webHidden/>
              </w:rPr>
              <w:t>125</w:t>
            </w:r>
            <w:r w:rsidR="009D44D1" w:rsidRPr="00785FB4">
              <w:rPr>
                <w:rFonts w:asciiTheme="majorHAnsi" w:hAnsiTheme="majorHAnsi"/>
                <w:webHidden/>
              </w:rPr>
              <w:fldChar w:fldCharType="end"/>
            </w:r>
          </w:hyperlink>
        </w:p>
        <w:p w14:paraId="4D34FC0C" w14:textId="28C5ED3D" w:rsidR="009D44D1" w:rsidRPr="00785FB4" w:rsidRDefault="00E60909">
          <w:pPr>
            <w:pStyle w:val="TOC2"/>
            <w:tabs>
              <w:tab w:val="right" w:leader="dot" w:pos="9485"/>
            </w:tabs>
            <w:rPr>
              <w:rFonts w:asciiTheme="majorHAnsi" w:eastAsiaTheme="minorEastAsia" w:hAnsiTheme="majorHAnsi" w:cstheme="minorBidi"/>
              <w:b w:val="0"/>
              <w:lang w:eastAsia="ja-JP"/>
            </w:rPr>
          </w:pPr>
          <w:hyperlink w:anchor="_Toc505449836" w:history="1">
            <w:r w:rsidR="009D44D1" w:rsidRPr="00785FB4">
              <w:rPr>
                <w:rStyle w:val="Hyperlink"/>
                <w:rFonts w:asciiTheme="majorHAnsi" w:hAnsiTheme="majorHAnsi"/>
              </w:rPr>
              <w:t>Annex D - List of stakeholders consulted</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_Toc505449836 \h </w:instrText>
            </w:r>
            <w:r w:rsidR="009D44D1" w:rsidRPr="00785FB4">
              <w:rPr>
                <w:rFonts w:asciiTheme="majorHAnsi" w:hAnsiTheme="majorHAnsi"/>
                <w:webHidden/>
              </w:rPr>
            </w:r>
            <w:r w:rsidR="009D44D1" w:rsidRPr="00785FB4">
              <w:rPr>
                <w:rFonts w:asciiTheme="majorHAnsi" w:hAnsiTheme="majorHAnsi"/>
                <w:webHidden/>
              </w:rPr>
              <w:fldChar w:fldCharType="separate"/>
            </w:r>
            <w:r w:rsidR="008E32CE" w:rsidRPr="00785FB4">
              <w:rPr>
                <w:rFonts w:asciiTheme="majorHAnsi" w:hAnsiTheme="majorHAnsi"/>
                <w:webHidden/>
              </w:rPr>
              <w:t>126</w:t>
            </w:r>
            <w:r w:rsidR="009D44D1" w:rsidRPr="00785FB4">
              <w:rPr>
                <w:rFonts w:asciiTheme="majorHAnsi" w:hAnsiTheme="majorHAnsi"/>
                <w:webHidden/>
              </w:rPr>
              <w:fldChar w:fldCharType="end"/>
            </w:r>
          </w:hyperlink>
        </w:p>
        <w:p w14:paraId="04B626D0" w14:textId="6C005050" w:rsidR="009D44D1" w:rsidRPr="00785FB4" w:rsidRDefault="00E60909">
          <w:pPr>
            <w:pStyle w:val="TOC2"/>
            <w:tabs>
              <w:tab w:val="right" w:leader="dot" w:pos="9485"/>
            </w:tabs>
            <w:rPr>
              <w:rFonts w:asciiTheme="majorHAnsi" w:eastAsiaTheme="minorEastAsia" w:hAnsiTheme="majorHAnsi" w:cstheme="minorBidi"/>
              <w:b w:val="0"/>
              <w:lang w:eastAsia="ja-JP"/>
            </w:rPr>
          </w:pPr>
          <w:hyperlink w:anchor="_Toc505449837" w:history="1">
            <w:r w:rsidR="009D44D1" w:rsidRPr="00785FB4">
              <w:rPr>
                <w:rStyle w:val="Hyperlink"/>
                <w:rFonts w:asciiTheme="majorHAnsi" w:hAnsiTheme="majorHAnsi"/>
              </w:rPr>
              <w:t>Annex E – Security situation in Afghanistan</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_Toc505449837 \h </w:instrText>
            </w:r>
            <w:r w:rsidR="009D44D1" w:rsidRPr="00785FB4">
              <w:rPr>
                <w:rFonts w:asciiTheme="majorHAnsi" w:hAnsiTheme="majorHAnsi"/>
                <w:webHidden/>
              </w:rPr>
            </w:r>
            <w:r w:rsidR="009D44D1" w:rsidRPr="00785FB4">
              <w:rPr>
                <w:rFonts w:asciiTheme="majorHAnsi" w:hAnsiTheme="majorHAnsi"/>
                <w:webHidden/>
              </w:rPr>
              <w:fldChar w:fldCharType="separate"/>
            </w:r>
            <w:r w:rsidR="008E32CE" w:rsidRPr="00785FB4">
              <w:rPr>
                <w:rFonts w:asciiTheme="majorHAnsi" w:hAnsiTheme="majorHAnsi"/>
                <w:webHidden/>
              </w:rPr>
              <w:t>129</w:t>
            </w:r>
            <w:r w:rsidR="009D44D1" w:rsidRPr="00785FB4">
              <w:rPr>
                <w:rFonts w:asciiTheme="majorHAnsi" w:hAnsiTheme="majorHAnsi"/>
                <w:webHidden/>
              </w:rPr>
              <w:fldChar w:fldCharType="end"/>
            </w:r>
          </w:hyperlink>
        </w:p>
        <w:p w14:paraId="5AFBB3DB" w14:textId="1252CC59" w:rsidR="009D44D1" w:rsidRPr="00785FB4" w:rsidRDefault="00E60909">
          <w:pPr>
            <w:pStyle w:val="TOC2"/>
            <w:tabs>
              <w:tab w:val="right" w:leader="dot" w:pos="9485"/>
            </w:tabs>
            <w:rPr>
              <w:rFonts w:asciiTheme="majorHAnsi" w:eastAsiaTheme="minorEastAsia" w:hAnsiTheme="majorHAnsi" w:cstheme="minorBidi"/>
              <w:b w:val="0"/>
              <w:lang w:eastAsia="ja-JP"/>
            </w:rPr>
          </w:pPr>
          <w:hyperlink w:anchor="_Toc505449838" w:history="1">
            <w:r w:rsidR="009D44D1" w:rsidRPr="00785FB4">
              <w:rPr>
                <w:rStyle w:val="Hyperlink"/>
                <w:rFonts w:asciiTheme="majorHAnsi" w:hAnsiTheme="majorHAnsi"/>
              </w:rPr>
              <w:t>Annex F – Outstanding loans from North Coal Enterprise (1389/2010)</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_Toc505449838 \h </w:instrText>
            </w:r>
            <w:r w:rsidR="009D44D1" w:rsidRPr="00785FB4">
              <w:rPr>
                <w:rFonts w:asciiTheme="majorHAnsi" w:hAnsiTheme="majorHAnsi"/>
                <w:webHidden/>
              </w:rPr>
            </w:r>
            <w:r w:rsidR="009D44D1" w:rsidRPr="00785FB4">
              <w:rPr>
                <w:rFonts w:asciiTheme="majorHAnsi" w:hAnsiTheme="majorHAnsi"/>
                <w:webHidden/>
              </w:rPr>
              <w:fldChar w:fldCharType="separate"/>
            </w:r>
            <w:r w:rsidR="008E32CE" w:rsidRPr="00785FB4">
              <w:rPr>
                <w:rFonts w:asciiTheme="majorHAnsi" w:hAnsiTheme="majorHAnsi"/>
                <w:webHidden/>
              </w:rPr>
              <w:t>130</w:t>
            </w:r>
            <w:r w:rsidR="009D44D1" w:rsidRPr="00785FB4">
              <w:rPr>
                <w:rFonts w:asciiTheme="majorHAnsi" w:hAnsiTheme="majorHAnsi"/>
                <w:webHidden/>
              </w:rPr>
              <w:fldChar w:fldCharType="end"/>
            </w:r>
          </w:hyperlink>
        </w:p>
        <w:p w14:paraId="052FBE8A" w14:textId="3BDE507A" w:rsidR="009D44D1" w:rsidRPr="00785FB4" w:rsidRDefault="00E60909">
          <w:pPr>
            <w:pStyle w:val="TOC2"/>
            <w:tabs>
              <w:tab w:val="right" w:leader="dot" w:pos="9485"/>
            </w:tabs>
            <w:rPr>
              <w:rFonts w:asciiTheme="majorHAnsi" w:eastAsiaTheme="minorEastAsia" w:hAnsiTheme="majorHAnsi" w:cstheme="minorBidi"/>
              <w:b w:val="0"/>
              <w:lang w:eastAsia="ja-JP"/>
            </w:rPr>
          </w:pPr>
          <w:hyperlink w:anchor="_Toc505449839" w:history="1">
            <w:r w:rsidR="009D44D1" w:rsidRPr="00785FB4">
              <w:rPr>
                <w:rStyle w:val="Hyperlink"/>
                <w:rFonts w:asciiTheme="majorHAnsi" w:hAnsiTheme="majorHAnsi"/>
              </w:rPr>
              <w:t>Annex G - List of reference documents</w:t>
            </w:r>
            <w:r w:rsidR="009D44D1" w:rsidRPr="00785FB4">
              <w:rPr>
                <w:rFonts w:asciiTheme="majorHAnsi" w:hAnsiTheme="majorHAnsi"/>
                <w:webHidden/>
              </w:rPr>
              <w:tab/>
            </w:r>
            <w:r w:rsidR="009D44D1" w:rsidRPr="00785FB4">
              <w:rPr>
                <w:rFonts w:asciiTheme="majorHAnsi" w:hAnsiTheme="majorHAnsi"/>
                <w:webHidden/>
              </w:rPr>
              <w:fldChar w:fldCharType="begin"/>
            </w:r>
            <w:r w:rsidR="009D44D1" w:rsidRPr="00785FB4">
              <w:rPr>
                <w:rFonts w:asciiTheme="majorHAnsi" w:hAnsiTheme="majorHAnsi"/>
                <w:webHidden/>
              </w:rPr>
              <w:instrText xml:space="preserve"> PAGEREF _Toc505449839 \h </w:instrText>
            </w:r>
            <w:r w:rsidR="009D44D1" w:rsidRPr="00785FB4">
              <w:rPr>
                <w:rFonts w:asciiTheme="majorHAnsi" w:hAnsiTheme="majorHAnsi"/>
                <w:webHidden/>
              </w:rPr>
            </w:r>
            <w:r w:rsidR="009D44D1" w:rsidRPr="00785FB4">
              <w:rPr>
                <w:rFonts w:asciiTheme="majorHAnsi" w:hAnsiTheme="majorHAnsi"/>
                <w:webHidden/>
              </w:rPr>
              <w:fldChar w:fldCharType="separate"/>
            </w:r>
            <w:r w:rsidR="008E32CE" w:rsidRPr="00785FB4">
              <w:rPr>
                <w:rFonts w:asciiTheme="majorHAnsi" w:hAnsiTheme="majorHAnsi"/>
                <w:webHidden/>
              </w:rPr>
              <w:t>133</w:t>
            </w:r>
            <w:r w:rsidR="009D44D1" w:rsidRPr="00785FB4">
              <w:rPr>
                <w:rFonts w:asciiTheme="majorHAnsi" w:hAnsiTheme="majorHAnsi"/>
                <w:webHidden/>
              </w:rPr>
              <w:fldChar w:fldCharType="end"/>
            </w:r>
          </w:hyperlink>
        </w:p>
        <w:p w14:paraId="770EC175" w14:textId="46EED84A" w:rsidR="00573DC1" w:rsidRPr="0099209D" w:rsidRDefault="009D44D1" w:rsidP="0099750E">
          <w:pPr>
            <w:pStyle w:val="TOCHeading"/>
          </w:pPr>
          <w:r w:rsidRPr="00785FB4">
            <w:rPr>
              <w:b/>
              <w:bCs w:val="0"/>
              <w:color w:val="auto"/>
              <w:sz w:val="22"/>
            </w:rPr>
            <w:fldChar w:fldCharType="end"/>
          </w:r>
        </w:p>
      </w:sdtContent>
    </w:sdt>
    <w:p w14:paraId="67438DEF" w14:textId="678FB699" w:rsidR="00B33EAB" w:rsidRPr="00785FB4" w:rsidRDefault="000E06FA">
      <w:pPr>
        <w:pStyle w:val="TOCHeading"/>
      </w:pPr>
      <w:r w:rsidRPr="00785FB4">
        <w:t>Index of f</w:t>
      </w:r>
      <w:r w:rsidR="00B33EAB" w:rsidRPr="00785FB4">
        <w:t>igures and tables</w:t>
      </w:r>
    </w:p>
    <w:p w14:paraId="5C8E92C8" w14:textId="680AF50E" w:rsidR="00B33EAB" w:rsidRPr="0099209D" w:rsidRDefault="00B33EAB" w:rsidP="009464B0">
      <w:pPr>
        <w:pStyle w:val="TableofFigures"/>
        <w:tabs>
          <w:tab w:val="right" w:leader="dot" w:pos="9485"/>
        </w:tabs>
        <w:rPr>
          <w:rFonts w:asciiTheme="majorHAnsi" w:hAnsiTheme="majorHAnsi"/>
        </w:rPr>
      </w:pPr>
      <w:r w:rsidRPr="00785FB4">
        <w:rPr>
          <w:rFonts w:asciiTheme="majorHAnsi" w:hAnsiTheme="majorHAnsi"/>
        </w:rPr>
        <w:fldChar w:fldCharType="begin"/>
      </w:r>
      <w:r w:rsidRPr="00785FB4">
        <w:rPr>
          <w:rFonts w:asciiTheme="majorHAnsi" w:hAnsiTheme="majorHAnsi"/>
        </w:rPr>
        <w:instrText xml:space="preserve"> TOC \c "Figure" </w:instrText>
      </w:r>
      <w:r w:rsidRPr="00785FB4">
        <w:rPr>
          <w:rFonts w:asciiTheme="majorHAnsi" w:hAnsiTheme="majorHAnsi"/>
        </w:rPr>
        <w:fldChar w:fldCharType="separate"/>
      </w:r>
      <w:r w:rsidRPr="00785FB4">
        <w:rPr>
          <w:lang w:bidi="en-US"/>
        </w:rPr>
        <w:t>Figure 1</w:t>
      </w:r>
      <w:r w:rsidRPr="00785FB4">
        <w:rPr>
          <w:rFonts w:eastAsia="Calibri"/>
          <w:i/>
          <w:lang w:bidi="en-US"/>
        </w:rPr>
        <w:t>– initial assessment card</w:t>
      </w:r>
      <w:r w:rsidRPr="00785FB4">
        <w:tab/>
      </w:r>
      <w:r w:rsidRPr="00785FB4">
        <w:fldChar w:fldCharType="begin"/>
      </w:r>
      <w:r w:rsidRPr="00785FB4">
        <w:instrText xml:space="preserve"> PAGEREF _Toc463528548 \h </w:instrText>
      </w:r>
      <w:r w:rsidRPr="00785FB4">
        <w:fldChar w:fldCharType="separate"/>
      </w:r>
      <w:r w:rsidR="008E32CE" w:rsidRPr="00785FB4">
        <w:t>10</w:t>
      </w:r>
      <w:r w:rsidRPr="00785FB4">
        <w:fldChar w:fldCharType="end"/>
      </w:r>
      <w:r w:rsidRPr="00785FB4">
        <w:rPr>
          <w:rFonts w:asciiTheme="majorHAnsi" w:hAnsiTheme="majorHAnsi"/>
        </w:rPr>
        <w:fldChar w:fldCharType="end"/>
      </w:r>
    </w:p>
    <w:p w14:paraId="1D603A79" w14:textId="3C7B2073" w:rsidR="000E06FA" w:rsidRPr="00785FB4" w:rsidRDefault="000E06FA">
      <w:pPr>
        <w:pStyle w:val="TableofFigures"/>
        <w:tabs>
          <w:tab w:val="right" w:leader="dot" w:pos="9485"/>
        </w:tabs>
        <w:rPr>
          <w:rFonts w:asciiTheme="minorHAnsi" w:eastAsiaTheme="minorEastAsia" w:hAnsiTheme="minorHAnsi" w:cstheme="minorBidi"/>
          <w:sz w:val="24"/>
          <w:szCs w:val="24"/>
        </w:rPr>
      </w:pPr>
      <w:r w:rsidRPr="00785FB4">
        <w:fldChar w:fldCharType="begin"/>
      </w:r>
      <w:r w:rsidRPr="00785FB4">
        <w:instrText xml:space="preserve"> TOC \f t \t "Abbreviations;1" \c "Table" </w:instrText>
      </w:r>
      <w:r w:rsidRPr="00785FB4">
        <w:fldChar w:fldCharType="separate"/>
      </w:r>
      <w:r w:rsidRPr="00785FB4">
        <w:rPr>
          <w:lang w:bidi="en-US"/>
        </w:rPr>
        <w:t xml:space="preserve">Table 3- </w:t>
      </w:r>
      <w:r w:rsidRPr="00785FB4">
        <w:rPr>
          <w:i/>
          <w:color w:val="000000"/>
          <w:lang w:bidi="en-US"/>
        </w:rPr>
        <w:t xml:space="preserve"> </w:t>
      </w:r>
      <w:r w:rsidRPr="00785FB4">
        <w:rPr>
          <w:rFonts w:eastAsia="Calibri"/>
          <w:i/>
          <w:lang w:bidi="en-US"/>
        </w:rPr>
        <w:t>Summary initial assessment table: Monitoring and production</w:t>
      </w:r>
      <w:r w:rsidRPr="00785FB4">
        <w:tab/>
      </w:r>
      <w:r w:rsidRPr="00785FB4">
        <w:fldChar w:fldCharType="begin"/>
      </w:r>
      <w:r w:rsidRPr="00785FB4">
        <w:instrText xml:space="preserve"> PAGEREF _Toc463537963 \h </w:instrText>
      </w:r>
      <w:r w:rsidRPr="00785FB4">
        <w:fldChar w:fldCharType="separate"/>
      </w:r>
      <w:r w:rsidR="008E32CE" w:rsidRPr="00785FB4">
        <w:t>70</w:t>
      </w:r>
      <w:r w:rsidRPr="00785FB4">
        <w:fldChar w:fldCharType="end"/>
      </w:r>
    </w:p>
    <w:p w14:paraId="0FAFEB55" w14:textId="2C65C3A3" w:rsidR="000E06FA" w:rsidRPr="00785FB4" w:rsidRDefault="000E06FA">
      <w:pPr>
        <w:pStyle w:val="TableofFigures"/>
        <w:tabs>
          <w:tab w:val="right" w:leader="dot" w:pos="9485"/>
        </w:tabs>
        <w:rPr>
          <w:rFonts w:asciiTheme="minorHAnsi" w:eastAsiaTheme="minorEastAsia" w:hAnsiTheme="minorHAnsi" w:cstheme="minorBidi"/>
          <w:sz w:val="24"/>
          <w:szCs w:val="24"/>
        </w:rPr>
      </w:pPr>
      <w:r w:rsidRPr="00785FB4">
        <w:rPr>
          <w:lang w:bidi="en-US"/>
        </w:rPr>
        <w:t>Table 4</w:t>
      </w:r>
      <w:r w:rsidRPr="00785FB4">
        <w:rPr>
          <w:i/>
          <w:color w:val="000000"/>
          <w:lang w:bidi="en-US"/>
        </w:rPr>
        <w:t xml:space="preserve">- </w:t>
      </w:r>
      <w:r w:rsidRPr="00785FB4">
        <w:rPr>
          <w:rFonts w:eastAsia="Calibri"/>
          <w:i/>
          <w:lang w:bidi="en-US"/>
        </w:rPr>
        <w:t>Summary initial assessment table: Revenue collection</w:t>
      </w:r>
      <w:r w:rsidRPr="00785FB4">
        <w:tab/>
      </w:r>
      <w:r w:rsidRPr="00785FB4">
        <w:fldChar w:fldCharType="begin"/>
      </w:r>
      <w:r w:rsidRPr="00785FB4">
        <w:instrText xml:space="preserve"> PAGEREF _Toc463537964 \h </w:instrText>
      </w:r>
      <w:r w:rsidRPr="00785FB4">
        <w:fldChar w:fldCharType="separate"/>
      </w:r>
      <w:r w:rsidR="008E32CE" w:rsidRPr="00785FB4">
        <w:t>92</w:t>
      </w:r>
      <w:r w:rsidRPr="00785FB4">
        <w:fldChar w:fldCharType="end"/>
      </w:r>
    </w:p>
    <w:p w14:paraId="6AE3D845" w14:textId="774C0FEC" w:rsidR="000E06FA" w:rsidRPr="00785FB4" w:rsidRDefault="000E06FA">
      <w:pPr>
        <w:pStyle w:val="TableofFigures"/>
        <w:tabs>
          <w:tab w:val="right" w:leader="dot" w:pos="9485"/>
        </w:tabs>
        <w:rPr>
          <w:rFonts w:asciiTheme="minorHAnsi" w:eastAsiaTheme="minorEastAsia" w:hAnsiTheme="minorHAnsi" w:cstheme="minorBidi"/>
          <w:sz w:val="24"/>
          <w:szCs w:val="24"/>
        </w:rPr>
      </w:pPr>
      <w:r w:rsidRPr="00785FB4">
        <w:rPr>
          <w:lang w:bidi="en-US"/>
        </w:rPr>
        <w:t xml:space="preserve">Table 5 </w:t>
      </w:r>
      <w:r w:rsidRPr="00785FB4">
        <w:rPr>
          <w:i/>
          <w:color w:val="000000"/>
          <w:lang w:bidi="en-US"/>
        </w:rPr>
        <w:t xml:space="preserve"> - </w:t>
      </w:r>
      <w:r w:rsidRPr="00785FB4">
        <w:rPr>
          <w:rFonts w:eastAsia="Calibri"/>
          <w:i/>
          <w:lang w:bidi="en-US"/>
        </w:rPr>
        <w:t>Summary initial assessment table: Revenue management and distribution</w:t>
      </w:r>
      <w:r w:rsidRPr="00785FB4">
        <w:tab/>
      </w:r>
      <w:r w:rsidRPr="00785FB4">
        <w:fldChar w:fldCharType="begin"/>
      </w:r>
      <w:r w:rsidRPr="00785FB4">
        <w:instrText xml:space="preserve"> PAGEREF _Toc463537965 \h </w:instrText>
      </w:r>
      <w:r w:rsidRPr="00785FB4">
        <w:fldChar w:fldCharType="separate"/>
      </w:r>
      <w:r w:rsidR="008E32CE" w:rsidRPr="00785FB4">
        <w:t>100</w:t>
      </w:r>
      <w:r w:rsidRPr="00785FB4">
        <w:fldChar w:fldCharType="end"/>
      </w:r>
    </w:p>
    <w:p w14:paraId="41ECB857" w14:textId="2BA64102" w:rsidR="000E06FA" w:rsidRPr="00785FB4" w:rsidRDefault="000E06FA">
      <w:pPr>
        <w:pStyle w:val="TableofFigures"/>
        <w:tabs>
          <w:tab w:val="right" w:leader="dot" w:pos="9485"/>
        </w:tabs>
        <w:rPr>
          <w:rFonts w:asciiTheme="minorHAnsi" w:eastAsiaTheme="minorEastAsia" w:hAnsiTheme="minorHAnsi" w:cstheme="minorBidi"/>
          <w:sz w:val="24"/>
          <w:szCs w:val="24"/>
        </w:rPr>
      </w:pPr>
      <w:r w:rsidRPr="00785FB4">
        <w:rPr>
          <w:lang w:bidi="en-US"/>
        </w:rPr>
        <w:t>Table 6</w:t>
      </w:r>
      <w:r w:rsidRPr="00785FB4">
        <w:rPr>
          <w:i/>
          <w:color w:val="000000"/>
          <w:lang w:bidi="en-US"/>
        </w:rPr>
        <w:t xml:space="preserve">- </w:t>
      </w:r>
      <w:r w:rsidRPr="00785FB4">
        <w:rPr>
          <w:rFonts w:eastAsia="Calibri"/>
          <w:i/>
          <w:lang w:bidi="en-US"/>
        </w:rPr>
        <w:t>Summary initial assessment table: Social and economic spending</w:t>
      </w:r>
      <w:r w:rsidRPr="00785FB4">
        <w:tab/>
      </w:r>
      <w:r w:rsidRPr="00785FB4">
        <w:fldChar w:fldCharType="begin"/>
      </w:r>
      <w:r w:rsidRPr="00785FB4">
        <w:instrText xml:space="preserve"> PAGEREF _Toc463537966 \h </w:instrText>
      </w:r>
      <w:r w:rsidRPr="00785FB4">
        <w:fldChar w:fldCharType="separate"/>
      </w:r>
      <w:r w:rsidR="008E32CE" w:rsidRPr="00785FB4">
        <w:t>105</w:t>
      </w:r>
      <w:r w:rsidRPr="00785FB4">
        <w:fldChar w:fldCharType="end"/>
      </w:r>
    </w:p>
    <w:p w14:paraId="3168C363" w14:textId="63AC1383" w:rsidR="000E06FA" w:rsidRPr="00785FB4" w:rsidRDefault="000E06FA">
      <w:pPr>
        <w:pStyle w:val="TableofFigures"/>
        <w:tabs>
          <w:tab w:val="right" w:leader="dot" w:pos="9485"/>
        </w:tabs>
        <w:rPr>
          <w:rFonts w:asciiTheme="minorHAnsi" w:eastAsiaTheme="minorEastAsia" w:hAnsiTheme="minorHAnsi" w:cstheme="minorBidi"/>
          <w:sz w:val="24"/>
          <w:szCs w:val="24"/>
        </w:rPr>
      </w:pPr>
      <w:r w:rsidRPr="00785FB4">
        <w:rPr>
          <w:lang w:bidi="en-US"/>
        </w:rPr>
        <w:t>Table 7</w:t>
      </w:r>
      <w:r w:rsidRPr="00785FB4">
        <w:rPr>
          <w:i/>
          <w:color w:val="000000"/>
          <w:lang w:bidi="en-US"/>
        </w:rPr>
        <w:t xml:space="preserve"> - </w:t>
      </w:r>
      <w:r w:rsidRPr="00785FB4">
        <w:rPr>
          <w:rFonts w:eastAsia="Calibri"/>
          <w:i/>
          <w:lang w:bidi="en-US"/>
        </w:rPr>
        <w:t>Summary initial assessment table: Outcomes and impact</w:t>
      </w:r>
      <w:r w:rsidRPr="00785FB4">
        <w:tab/>
      </w:r>
      <w:r w:rsidRPr="00785FB4">
        <w:fldChar w:fldCharType="begin"/>
      </w:r>
      <w:r w:rsidRPr="00785FB4">
        <w:instrText xml:space="preserve"> PAGEREF _Toc463537967 \h </w:instrText>
      </w:r>
      <w:r w:rsidRPr="00785FB4">
        <w:fldChar w:fldCharType="separate"/>
      </w:r>
      <w:r w:rsidR="008E32CE" w:rsidRPr="00785FB4">
        <w:t>117</w:t>
      </w:r>
      <w:r w:rsidRPr="00785FB4">
        <w:fldChar w:fldCharType="end"/>
      </w:r>
    </w:p>
    <w:p w14:paraId="79DA3E5A" w14:textId="6A2EF743" w:rsidR="000E06FA" w:rsidRPr="0099209D" w:rsidRDefault="000E06FA" w:rsidP="009464B0">
      <w:pPr>
        <w:pStyle w:val="TableofFigures"/>
      </w:pPr>
      <w:r w:rsidRPr="00785FB4">
        <w:fldChar w:fldCharType="end"/>
      </w:r>
    </w:p>
    <w:p w14:paraId="6875BDD4" w14:textId="77777777" w:rsidR="00AD33A3" w:rsidRPr="00785FB4" w:rsidRDefault="00AD33A3" w:rsidP="007F0FEB">
      <w:pPr>
        <w:pStyle w:val="Heading1"/>
        <w:sectPr w:rsidR="00AD33A3" w:rsidRPr="00785FB4" w:rsidSect="008F1820">
          <w:headerReference w:type="default" r:id="rId17"/>
          <w:headerReference w:type="first" r:id="rId18"/>
          <w:pgSz w:w="11905" w:h="16837"/>
          <w:pgMar w:top="1175" w:right="1276" w:bottom="1418" w:left="1134" w:header="567" w:footer="0" w:gutter="0"/>
          <w:cols w:space="708"/>
          <w:titlePg/>
          <w:docGrid w:linePitch="326"/>
        </w:sectPr>
      </w:pPr>
      <w:bookmarkStart w:id="22" w:name="_Toc461803022"/>
      <w:bookmarkStart w:id="23" w:name="_Toc461787303"/>
      <w:bookmarkStart w:id="24" w:name="_Toc461795824"/>
    </w:p>
    <w:p w14:paraId="548FC528" w14:textId="48D73DB6" w:rsidR="00A9042C" w:rsidRPr="00785FB4" w:rsidRDefault="00B517AB" w:rsidP="007F0FEB">
      <w:pPr>
        <w:pStyle w:val="Heading1"/>
      </w:pPr>
      <w:bookmarkStart w:id="25" w:name="_Toc505449554"/>
      <w:bookmarkStart w:id="26" w:name="_Toc505449764"/>
      <w:r w:rsidRPr="00785FB4">
        <w:lastRenderedPageBreak/>
        <w:t>Executive Summary</w:t>
      </w:r>
      <w:bookmarkEnd w:id="22"/>
      <w:bookmarkEnd w:id="23"/>
      <w:bookmarkEnd w:id="24"/>
      <w:bookmarkEnd w:id="25"/>
      <w:bookmarkEnd w:id="26"/>
    </w:p>
    <w:p w14:paraId="494DF3F9" w14:textId="31FD5016" w:rsidR="00615E30" w:rsidRPr="00785FB4" w:rsidRDefault="00615E30" w:rsidP="006C70B3">
      <w:bookmarkStart w:id="27" w:name="_Toc459105652"/>
      <w:r w:rsidRPr="00785FB4">
        <w:t xml:space="preserve">The Government of Afghanistan committed to implement the EITI in </w:t>
      </w:r>
      <w:r w:rsidR="00D053F8" w:rsidRPr="00785FB4">
        <w:t>March 2009</w:t>
      </w:r>
      <w:r w:rsidRPr="00785FB4">
        <w:t xml:space="preserve"> and was accepted as an EITI Candidate on </w:t>
      </w:r>
      <w:r w:rsidR="00D053F8" w:rsidRPr="00785FB4">
        <w:t>9 February 2010</w:t>
      </w:r>
      <w:r w:rsidRPr="00785FB4">
        <w:t>. On 25 October 2016, the Board agreed that Afghanistan’s Validation under the 2016 EITI Standard would commence on 1 July 2017.</w:t>
      </w:r>
      <w:r w:rsidR="006027FD" w:rsidRPr="0099209D">
        <w:rPr>
          <w:rStyle w:val="FootnoteReference"/>
        </w:rPr>
        <w:footnoteReference w:id="2"/>
      </w:r>
      <w:r w:rsidRPr="0099209D">
        <w:t xml:space="preserve"> </w:t>
      </w:r>
      <w:r w:rsidR="00D27DFA" w:rsidRPr="00785FB4">
        <w:t>On 19 September 2017, the Board delayed the commencement of Afghanistan’s Validation to 1 November 2017.</w:t>
      </w:r>
      <w:r w:rsidR="005B7BB0" w:rsidRPr="0099209D">
        <w:rPr>
          <w:rStyle w:val="FootnoteReference"/>
        </w:rPr>
        <w:footnoteReference w:id="3"/>
      </w:r>
      <w:r w:rsidR="00D27DFA" w:rsidRPr="0099209D">
        <w:t xml:space="preserve"> </w:t>
      </w:r>
      <w:r w:rsidRPr="00785FB4">
        <w:t xml:space="preserve">This report presents the findings and initial assessment of the International Secretariat’s data gathering and stakeholder consultations. The International Secretariat has followed the </w:t>
      </w:r>
      <w:r w:rsidR="00D27DFA" w:rsidRPr="00785FB4">
        <w:rPr>
          <w:rFonts w:ascii="Calibri" w:hAnsi="Calibri"/>
          <w:bCs/>
        </w:rPr>
        <w:t>Validation Procedures</w:t>
      </w:r>
      <w:r w:rsidR="00D27DFA" w:rsidRPr="0099209D">
        <w:rPr>
          <w:rFonts w:ascii="Calibri" w:hAnsi="Calibri"/>
          <w:bCs/>
          <w:vertAlign w:val="superscript"/>
        </w:rPr>
        <w:footnoteReference w:id="4"/>
      </w:r>
      <w:r w:rsidR="00D27DFA" w:rsidRPr="0099209D">
        <w:rPr>
          <w:rFonts w:ascii="Calibri" w:hAnsi="Calibri"/>
          <w:bCs/>
        </w:rPr>
        <w:t xml:space="preserve"> and applied the Validation Guide</w:t>
      </w:r>
      <w:r w:rsidR="00D27DFA" w:rsidRPr="0099209D">
        <w:rPr>
          <w:rFonts w:ascii="Calibri" w:hAnsi="Calibri"/>
          <w:bCs/>
          <w:vertAlign w:val="superscript"/>
        </w:rPr>
        <w:footnoteReference w:id="5"/>
      </w:r>
      <w:r w:rsidR="00D27DFA" w:rsidRPr="0099209D">
        <w:rPr>
          <w:rFonts w:ascii="Calibri" w:hAnsi="Calibri"/>
          <w:bCs/>
        </w:rPr>
        <w:t xml:space="preserve"> </w:t>
      </w:r>
      <w:r w:rsidRPr="00785FB4">
        <w:t xml:space="preserve">in assessing </w:t>
      </w:r>
      <w:r w:rsidR="007D5BF9" w:rsidRPr="00785FB4">
        <w:t>Afghanistan’s</w:t>
      </w:r>
      <w:r w:rsidRPr="00785FB4">
        <w:t xml:space="preserve"> progress with the EITI Standard. While the assessment has not yet been </w:t>
      </w:r>
      <w:r w:rsidR="0005226D" w:rsidRPr="00785FB4">
        <w:t xml:space="preserve">quality assured </w:t>
      </w:r>
      <w:r w:rsidR="0005226D">
        <w:t xml:space="preserve">or </w:t>
      </w:r>
      <w:r w:rsidRPr="00785FB4">
        <w:t xml:space="preserve">reviewed by the MSG, the Secretariat’s preliminary assessment is that </w:t>
      </w:r>
      <w:r w:rsidR="0005226D">
        <w:t xml:space="preserve">most of the </w:t>
      </w:r>
      <w:r w:rsidRPr="00785FB4">
        <w:t xml:space="preserve">the </w:t>
      </w:r>
      <w:r w:rsidR="0005226D">
        <w:t xml:space="preserve">provisions in </w:t>
      </w:r>
      <w:r w:rsidRPr="00785FB4">
        <w:t xml:space="preserve">the EITI Standard have not been fully addressed in </w:t>
      </w:r>
      <w:r w:rsidR="007D5BF9" w:rsidRPr="00785FB4">
        <w:t>Afghanistan</w:t>
      </w:r>
      <w:r w:rsidRPr="00785FB4">
        <w:t xml:space="preserve">. The recommendations and suggested corrective actions relate to </w:t>
      </w:r>
      <w:r w:rsidR="005E25B1" w:rsidRPr="00785FB4">
        <w:t>licensing, export data, distribution of revenues, economic contribution and state participation, including quasi-fiscal expenditures</w:t>
      </w:r>
      <w:r w:rsidRPr="00785FB4">
        <w:t xml:space="preserve">.  </w:t>
      </w:r>
    </w:p>
    <w:p w14:paraId="58D9F4B7" w14:textId="5DF6233F" w:rsidR="006D3177" w:rsidRPr="00785FB4" w:rsidRDefault="006D3177" w:rsidP="006C70B3">
      <w:r w:rsidRPr="00785FB4">
        <w:t xml:space="preserve">The overall security situation in Afghanistan remains challenging, with large areas outside government control (see Annex E). The </w:t>
      </w:r>
      <w:r w:rsidR="00CE0FCE" w:rsidRPr="00785FB4">
        <w:t xml:space="preserve">EITI Board agreed to postpone the </w:t>
      </w:r>
      <w:r w:rsidRPr="00785FB4">
        <w:t>commencement of Afghanistan’s Validation from 1 July to 1 November 2017 on security grounds</w:t>
      </w:r>
      <w:r w:rsidR="00CE0FCE" w:rsidRPr="00785FB4">
        <w:t>. Despite a significant deterioration during the week of in-country consultations</w:t>
      </w:r>
      <w:r w:rsidR="00D03BD2" w:rsidRPr="00785FB4">
        <w:t xml:space="preserve"> (20-25 January 2018)</w:t>
      </w:r>
      <w:r w:rsidR="00CE0FCE" w:rsidRPr="00785FB4">
        <w:t xml:space="preserve">, the International Secretariat took all possible measures </w:t>
      </w:r>
      <w:r w:rsidR="00D03BD2" w:rsidRPr="00785FB4">
        <w:t xml:space="preserve">to ensure as broad a set of </w:t>
      </w:r>
      <w:r w:rsidR="0005226D">
        <w:t xml:space="preserve">stakeholder </w:t>
      </w:r>
      <w:r w:rsidR="00D03BD2" w:rsidRPr="00785FB4">
        <w:t>consultations as possible</w:t>
      </w:r>
      <w:r w:rsidR="00CE0FCE" w:rsidRPr="00785FB4">
        <w:t xml:space="preserve">. </w:t>
      </w:r>
      <w:r w:rsidR="00201EDA" w:rsidRPr="00785FB4">
        <w:t>While t</w:t>
      </w:r>
      <w:r w:rsidR="00D03BD2" w:rsidRPr="00785FB4">
        <w:t>he collaboration and flexibility of Afghan stakeholders at all levels was testimony to their broader commitment</w:t>
      </w:r>
      <w:r w:rsidR="00201EDA" w:rsidRPr="00785FB4">
        <w:t>, t</w:t>
      </w:r>
      <w:r w:rsidR="00D03BD2" w:rsidRPr="00785FB4">
        <w:t>he security challenges</w:t>
      </w:r>
      <w:r w:rsidR="00166E14">
        <w:t xml:space="preserve"> encountered during Validation</w:t>
      </w:r>
      <w:r w:rsidR="00D03BD2" w:rsidRPr="00785FB4">
        <w:t xml:space="preserve"> reflect the broader </w:t>
      </w:r>
      <w:r w:rsidR="00166E14">
        <w:t xml:space="preserve">difficulties related to </w:t>
      </w:r>
      <w:r w:rsidR="00D03BD2" w:rsidRPr="00785FB4">
        <w:t xml:space="preserve">EITI implementation in Afghanistan. </w:t>
      </w:r>
    </w:p>
    <w:p w14:paraId="4CD076B8" w14:textId="67A4E211" w:rsidR="00B517AB" w:rsidRPr="00785FB4" w:rsidRDefault="00B517AB" w:rsidP="00A94167">
      <w:pPr>
        <w:pStyle w:val="Heading2notindexed"/>
      </w:pPr>
      <w:bookmarkStart w:id="28" w:name="_Toc461803023"/>
      <w:bookmarkStart w:id="29" w:name="_Toc461787304"/>
      <w:bookmarkStart w:id="30" w:name="_Toc505449555"/>
      <w:bookmarkStart w:id="31" w:name="_Toc505449765"/>
      <w:r w:rsidRPr="00785FB4">
        <w:t>Overall conclusions</w:t>
      </w:r>
      <w:bookmarkEnd w:id="27"/>
      <w:bookmarkEnd w:id="28"/>
      <w:bookmarkEnd w:id="29"/>
      <w:bookmarkEnd w:id="30"/>
      <w:bookmarkEnd w:id="31"/>
    </w:p>
    <w:p w14:paraId="5BA8CCEA" w14:textId="65C80A7C" w:rsidR="00162E81" w:rsidRPr="00785FB4" w:rsidRDefault="00D03BD2" w:rsidP="003C01D2">
      <w:pPr>
        <w:spacing w:before="120"/>
        <w:rPr>
          <w:bCs/>
        </w:rPr>
      </w:pPr>
      <w:r w:rsidRPr="00785FB4">
        <w:rPr>
          <w:bCs/>
        </w:rPr>
        <w:t xml:space="preserve">Afghanistan presents a unique case of EITI implementation. </w:t>
      </w:r>
      <w:r w:rsidR="00201EDA" w:rsidRPr="00785FB4">
        <w:rPr>
          <w:bCs/>
        </w:rPr>
        <w:t>Much of</w:t>
      </w:r>
      <w:r w:rsidRPr="00785FB4">
        <w:rPr>
          <w:bCs/>
        </w:rPr>
        <w:t xml:space="preserve"> the country</w:t>
      </w:r>
      <w:r w:rsidR="00201EDA" w:rsidRPr="00785FB4">
        <w:rPr>
          <w:bCs/>
        </w:rPr>
        <w:t xml:space="preserve"> remains</w:t>
      </w:r>
      <w:r w:rsidRPr="00785FB4">
        <w:rPr>
          <w:bCs/>
        </w:rPr>
        <w:t xml:space="preserve"> </w:t>
      </w:r>
      <w:r w:rsidR="00201EDA" w:rsidRPr="00785FB4">
        <w:rPr>
          <w:bCs/>
        </w:rPr>
        <w:t xml:space="preserve">outside </w:t>
      </w:r>
      <w:r w:rsidRPr="00785FB4">
        <w:rPr>
          <w:bCs/>
        </w:rPr>
        <w:t>government control</w:t>
      </w:r>
      <w:r w:rsidR="00201EDA" w:rsidRPr="00785FB4">
        <w:rPr>
          <w:bCs/>
        </w:rPr>
        <w:t>, and there is extensive illegal mining of gemstones and gold. Meanwhile</w:t>
      </w:r>
      <w:r w:rsidRPr="00785FB4">
        <w:rPr>
          <w:bCs/>
        </w:rPr>
        <w:t xml:space="preserve"> the EITI</w:t>
      </w:r>
      <w:r w:rsidR="00201EDA" w:rsidRPr="00785FB4">
        <w:rPr>
          <w:bCs/>
        </w:rPr>
        <w:t xml:space="preserve"> concerns primarily</w:t>
      </w:r>
      <w:r w:rsidRPr="00785FB4">
        <w:rPr>
          <w:bCs/>
        </w:rPr>
        <w:t xml:space="preserve"> the formal economy</w:t>
      </w:r>
      <w:r w:rsidR="00201EDA" w:rsidRPr="00785FB4">
        <w:rPr>
          <w:bCs/>
        </w:rPr>
        <w:t>, which</w:t>
      </w:r>
      <w:r w:rsidR="00162E81" w:rsidRPr="00785FB4">
        <w:rPr>
          <w:bCs/>
        </w:rPr>
        <w:t xml:space="preserve"> is dominated by coal, talc, small amounts of crude oil and construction materials. </w:t>
      </w:r>
      <w:r w:rsidRPr="00785FB4">
        <w:rPr>
          <w:bCs/>
        </w:rPr>
        <w:t xml:space="preserve">This translates into roughly USD 40m a year in government revenues from </w:t>
      </w:r>
      <w:r w:rsidR="00105512" w:rsidRPr="00785FB4">
        <w:rPr>
          <w:bCs/>
        </w:rPr>
        <w:t xml:space="preserve">the mining, oil and gas sector. By comparison, </w:t>
      </w:r>
      <w:r w:rsidRPr="00785FB4">
        <w:rPr>
          <w:bCs/>
        </w:rPr>
        <w:t xml:space="preserve">the Taliban is believed to collect up to an estimated USD 200m from </w:t>
      </w:r>
      <w:r w:rsidR="00105512" w:rsidRPr="00785FB4">
        <w:rPr>
          <w:bCs/>
        </w:rPr>
        <w:t xml:space="preserve">illegal </w:t>
      </w:r>
      <w:r w:rsidRPr="00785FB4">
        <w:rPr>
          <w:bCs/>
        </w:rPr>
        <w:t>mineral taxation</w:t>
      </w:r>
      <w:r w:rsidR="00162E81" w:rsidRPr="00785FB4">
        <w:rPr>
          <w:bCs/>
        </w:rPr>
        <w:t xml:space="preserve"> annually</w:t>
      </w:r>
      <w:r w:rsidRPr="00785FB4">
        <w:rPr>
          <w:bCs/>
        </w:rPr>
        <w:t>.</w:t>
      </w:r>
      <w:r w:rsidR="00166E14">
        <w:rPr>
          <w:rStyle w:val="FootnoteReference"/>
          <w:bCs/>
        </w:rPr>
        <w:footnoteReference w:id="6"/>
      </w:r>
    </w:p>
    <w:p w14:paraId="3029F4D4" w14:textId="7D104DB7" w:rsidR="00162E81" w:rsidRPr="00785FB4" w:rsidRDefault="00162E81" w:rsidP="003C01D2">
      <w:pPr>
        <w:spacing w:before="120"/>
        <w:rPr>
          <w:bCs/>
        </w:rPr>
      </w:pPr>
      <w:r w:rsidRPr="00785FB4">
        <w:rPr>
          <w:bCs/>
        </w:rPr>
        <w:t xml:space="preserve">From a low starting point, the EITI has had </w:t>
      </w:r>
      <w:r w:rsidR="00AD627D" w:rsidRPr="00785FB4">
        <w:rPr>
          <w:bCs/>
        </w:rPr>
        <w:t xml:space="preserve">some </w:t>
      </w:r>
      <w:r w:rsidRPr="00785FB4">
        <w:rPr>
          <w:bCs/>
        </w:rPr>
        <w:t xml:space="preserve">impact. </w:t>
      </w:r>
      <w:r w:rsidR="00201EDA" w:rsidRPr="00785FB4">
        <w:rPr>
          <w:bCs/>
        </w:rPr>
        <w:t>T</w:t>
      </w:r>
      <w:r w:rsidRPr="00785FB4">
        <w:rPr>
          <w:bCs/>
        </w:rPr>
        <w:t xml:space="preserve">he multi-stakeholder group has enabled discussions on the management of mining licenses, the quality of production data and the traceability of extractives revenues. </w:t>
      </w:r>
      <w:r w:rsidR="00201EDA" w:rsidRPr="00785FB4">
        <w:rPr>
          <w:bCs/>
        </w:rPr>
        <w:t>EITI reports have served as regular “diagnostics tools” to assess progress on reforms</w:t>
      </w:r>
      <w:r w:rsidR="00105512" w:rsidRPr="00785FB4">
        <w:rPr>
          <w:bCs/>
        </w:rPr>
        <w:t>, and EITI recommendations were an important factor in the government’s November 2017 decision to publish the most comprehensive list of licenses to date</w:t>
      </w:r>
      <w:r w:rsidR="00201EDA" w:rsidRPr="00785FB4">
        <w:rPr>
          <w:bCs/>
        </w:rPr>
        <w:t>. For civil society, t</w:t>
      </w:r>
      <w:r w:rsidRPr="00785FB4">
        <w:rPr>
          <w:bCs/>
        </w:rPr>
        <w:t xml:space="preserve">he EITI </w:t>
      </w:r>
      <w:r w:rsidR="00201EDA" w:rsidRPr="00785FB4">
        <w:rPr>
          <w:bCs/>
        </w:rPr>
        <w:t xml:space="preserve">has </w:t>
      </w:r>
      <w:r w:rsidRPr="00785FB4">
        <w:rPr>
          <w:bCs/>
        </w:rPr>
        <w:t xml:space="preserve">provided a key channel to follow up on the government’s commitment to contract disclosure, resulting in the </w:t>
      </w:r>
      <w:r w:rsidRPr="00785FB4">
        <w:rPr>
          <w:bCs/>
        </w:rPr>
        <w:lastRenderedPageBreak/>
        <w:t xml:space="preserve">publication of over a thousand small-scale mining contracts in 2017. </w:t>
      </w:r>
      <w:r w:rsidR="00201EDA" w:rsidRPr="00785FB4">
        <w:rPr>
          <w:bCs/>
        </w:rPr>
        <w:t>All stakeholders have made frequent reference to EITI requirements to push for reforms.</w:t>
      </w:r>
    </w:p>
    <w:p w14:paraId="70649D2D" w14:textId="4CF82108" w:rsidR="00D03BD2" w:rsidRPr="00785FB4" w:rsidRDefault="00162E81" w:rsidP="00AD627D">
      <w:pPr>
        <w:spacing w:before="120"/>
        <w:rPr>
          <w:bCs/>
        </w:rPr>
      </w:pPr>
      <w:r w:rsidRPr="00785FB4">
        <w:rPr>
          <w:bCs/>
        </w:rPr>
        <w:t xml:space="preserve">Yet in many ways the EITI remains shy of its potential, even bearing the challenging Afghan context in mind. </w:t>
      </w:r>
      <w:r w:rsidR="00105512" w:rsidRPr="00785FB4">
        <w:rPr>
          <w:bCs/>
        </w:rPr>
        <w:t>Limited</w:t>
      </w:r>
      <w:r w:rsidR="00AD627D" w:rsidRPr="00785FB4">
        <w:rPr>
          <w:bCs/>
        </w:rPr>
        <w:t xml:space="preserve"> coordination between government ministries has hindered effective follow-up on EITI recommendations. While stakeholders have used the EITI to </w:t>
      </w:r>
      <w:r w:rsidR="00201EDA" w:rsidRPr="00785FB4">
        <w:rPr>
          <w:bCs/>
        </w:rPr>
        <w:t xml:space="preserve">encourage progress on </w:t>
      </w:r>
      <w:r w:rsidR="00AD627D" w:rsidRPr="00785FB4">
        <w:rPr>
          <w:bCs/>
        </w:rPr>
        <w:t>cadastral management and revenue traceability, public financial management issues</w:t>
      </w:r>
      <w:r w:rsidR="00201EDA" w:rsidRPr="00785FB4">
        <w:rPr>
          <w:bCs/>
        </w:rPr>
        <w:t xml:space="preserve"> have not been part of the discussion</w:t>
      </w:r>
      <w:r w:rsidR="00AD627D" w:rsidRPr="00785FB4">
        <w:rPr>
          <w:bCs/>
        </w:rPr>
        <w:t>. The</w:t>
      </w:r>
      <w:r w:rsidR="00201EDA" w:rsidRPr="00785FB4">
        <w:rPr>
          <w:bCs/>
        </w:rPr>
        <w:t xml:space="preserve"> </w:t>
      </w:r>
      <w:r w:rsidR="00AD627D" w:rsidRPr="00785FB4">
        <w:rPr>
          <w:bCs/>
        </w:rPr>
        <w:t xml:space="preserve">lack of attention to the two state-owned extractives companies, which together </w:t>
      </w:r>
      <w:r w:rsidR="00D03BD2" w:rsidRPr="00785FB4">
        <w:rPr>
          <w:bCs/>
        </w:rPr>
        <w:t xml:space="preserve">account for three-quarters of the government’s extractives revenues, </w:t>
      </w:r>
      <w:r w:rsidR="00AD627D" w:rsidRPr="00785FB4">
        <w:rPr>
          <w:bCs/>
        </w:rPr>
        <w:t xml:space="preserve">is a </w:t>
      </w:r>
      <w:r w:rsidR="00C15048">
        <w:rPr>
          <w:bCs/>
        </w:rPr>
        <w:t>key weakness</w:t>
      </w:r>
      <w:r w:rsidR="00D03BD2" w:rsidRPr="00785FB4">
        <w:rPr>
          <w:bCs/>
        </w:rPr>
        <w:t xml:space="preserve">. </w:t>
      </w:r>
    </w:p>
    <w:p w14:paraId="15F4B6A4" w14:textId="0EB1CB1A" w:rsidR="00AD627D" w:rsidRPr="00785FB4" w:rsidRDefault="00C15048" w:rsidP="003C01D2">
      <w:pPr>
        <w:spacing w:before="120"/>
        <w:rPr>
          <w:bCs/>
        </w:rPr>
      </w:pPr>
      <w:r>
        <w:rPr>
          <w:bCs/>
        </w:rPr>
        <w:t xml:space="preserve">Implementation of </w:t>
      </w:r>
      <w:r w:rsidR="00AD627D" w:rsidRPr="00785FB4">
        <w:rPr>
          <w:bCs/>
        </w:rPr>
        <w:t xml:space="preserve">the EITI Standard </w:t>
      </w:r>
      <w:r>
        <w:rPr>
          <w:bCs/>
        </w:rPr>
        <w:t xml:space="preserve">provides a key instrument to drive </w:t>
      </w:r>
      <w:r w:rsidR="00201EDA" w:rsidRPr="00785FB4">
        <w:rPr>
          <w:bCs/>
        </w:rPr>
        <w:t>improve</w:t>
      </w:r>
      <w:r>
        <w:rPr>
          <w:bCs/>
        </w:rPr>
        <w:t>ments</w:t>
      </w:r>
      <w:r w:rsidR="00201EDA" w:rsidRPr="00785FB4">
        <w:rPr>
          <w:bCs/>
        </w:rPr>
        <w:t xml:space="preserve"> </w:t>
      </w:r>
      <w:r>
        <w:rPr>
          <w:bCs/>
        </w:rPr>
        <w:t xml:space="preserve">in </w:t>
      </w:r>
      <w:r w:rsidR="00201EDA" w:rsidRPr="00785FB4">
        <w:rPr>
          <w:bCs/>
        </w:rPr>
        <w:t xml:space="preserve">natural resource governance </w:t>
      </w:r>
      <w:r>
        <w:rPr>
          <w:bCs/>
        </w:rPr>
        <w:t xml:space="preserve">in </w:t>
      </w:r>
      <w:r w:rsidR="00201EDA" w:rsidRPr="00785FB4">
        <w:rPr>
          <w:bCs/>
        </w:rPr>
        <w:t>Afghanistan</w:t>
      </w:r>
      <w:r w:rsidR="00AD627D" w:rsidRPr="00785FB4">
        <w:rPr>
          <w:bCs/>
        </w:rPr>
        <w:t xml:space="preserve">. </w:t>
      </w:r>
      <w:r w:rsidR="005D6168" w:rsidRPr="00785FB4">
        <w:rPr>
          <w:bCs/>
        </w:rPr>
        <w:t>The successful e</w:t>
      </w:r>
      <w:r w:rsidR="00AD627D" w:rsidRPr="00785FB4">
        <w:rPr>
          <w:bCs/>
        </w:rPr>
        <w:t>stablish</w:t>
      </w:r>
      <w:r w:rsidR="005D6168" w:rsidRPr="00785FB4">
        <w:rPr>
          <w:bCs/>
        </w:rPr>
        <w:t>ment of</w:t>
      </w:r>
      <w:r w:rsidR="00AD627D" w:rsidRPr="00785FB4">
        <w:rPr>
          <w:bCs/>
        </w:rPr>
        <w:t xml:space="preserve"> an automated non-tax payment system </w:t>
      </w:r>
      <w:r w:rsidR="005D6168" w:rsidRPr="00785FB4">
        <w:rPr>
          <w:bCs/>
        </w:rPr>
        <w:t xml:space="preserve">as planned </w:t>
      </w:r>
      <w:r w:rsidR="00AD627D" w:rsidRPr="00785FB4">
        <w:rPr>
          <w:bCs/>
        </w:rPr>
        <w:t xml:space="preserve">and linking it to the Ministry of Finance’s revenue collection systems would provide some level of assurance over government revenues. Implementation of the government’s plans to assign individual tax ID numbers per mining license and </w:t>
      </w:r>
      <w:r w:rsidR="006F79EA" w:rsidRPr="00785FB4">
        <w:rPr>
          <w:bCs/>
        </w:rPr>
        <w:t xml:space="preserve">disaggregate extractives-specific revenue classifications should strengthen the government’s own oversight of the sector. Using annual EITI reporting as a diagnostic of state-owned enterprises’ financial relations with the government would support the government’s corporatisation plans for the two companies. Amidst </w:t>
      </w:r>
      <w:r w:rsidR="00F97661" w:rsidRPr="00785FB4">
        <w:rPr>
          <w:bCs/>
        </w:rPr>
        <w:t xml:space="preserve">sometimes </w:t>
      </w:r>
      <w:r w:rsidR="006F79EA" w:rsidRPr="00785FB4">
        <w:rPr>
          <w:bCs/>
        </w:rPr>
        <w:t xml:space="preserve">erratic </w:t>
      </w:r>
      <w:r w:rsidR="00F97661" w:rsidRPr="00785FB4">
        <w:rPr>
          <w:bCs/>
        </w:rPr>
        <w:t>institution</w:t>
      </w:r>
      <w:r w:rsidR="006F79EA" w:rsidRPr="00785FB4">
        <w:rPr>
          <w:bCs/>
        </w:rPr>
        <w:t xml:space="preserve">-building, </w:t>
      </w:r>
      <w:r>
        <w:rPr>
          <w:bCs/>
        </w:rPr>
        <w:t xml:space="preserve">developing government and company systems that systematically disclose information required under </w:t>
      </w:r>
      <w:r w:rsidR="006F79EA" w:rsidRPr="00785FB4">
        <w:rPr>
          <w:bCs/>
        </w:rPr>
        <w:t xml:space="preserve">the EITI Standard will in many cases be </w:t>
      </w:r>
      <w:r>
        <w:rPr>
          <w:bCs/>
        </w:rPr>
        <w:t xml:space="preserve">the </w:t>
      </w:r>
      <w:r w:rsidR="006F79EA" w:rsidRPr="00785FB4">
        <w:rPr>
          <w:bCs/>
        </w:rPr>
        <w:t xml:space="preserve">most efficient </w:t>
      </w:r>
      <w:r>
        <w:rPr>
          <w:bCs/>
        </w:rPr>
        <w:t>way to address key EITI reporting requirements</w:t>
      </w:r>
      <w:r w:rsidR="006F79EA" w:rsidRPr="00785FB4">
        <w:rPr>
          <w:bCs/>
        </w:rPr>
        <w:t xml:space="preserve">. </w:t>
      </w:r>
      <w:r w:rsidR="006F79EA" w:rsidRPr="00785FB4">
        <w:t xml:space="preserve">Such progress requires proactive – and operational – engagement from all constituencies. </w:t>
      </w:r>
    </w:p>
    <w:p w14:paraId="5555D39E" w14:textId="2408EF99" w:rsidR="00B517AB" w:rsidRPr="00785FB4" w:rsidRDefault="00B517AB" w:rsidP="00A94167">
      <w:pPr>
        <w:pStyle w:val="Heading2notindexed"/>
      </w:pPr>
      <w:bookmarkStart w:id="32" w:name="_Toc459105653"/>
      <w:bookmarkStart w:id="33" w:name="_Toc461803024"/>
      <w:bookmarkStart w:id="34" w:name="_Toc461787305"/>
      <w:bookmarkStart w:id="35" w:name="_Toc505449556"/>
      <w:bookmarkStart w:id="36" w:name="_Toc505449766"/>
      <w:r w:rsidRPr="00785FB4">
        <w:t>Recommendations</w:t>
      </w:r>
      <w:bookmarkEnd w:id="32"/>
      <w:bookmarkEnd w:id="33"/>
      <w:bookmarkEnd w:id="34"/>
      <w:bookmarkEnd w:id="35"/>
      <w:bookmarkEnd w:id="36"/>
    </w:p>
    <w:p w14:paraId="44B68202" w14:textId="6686A406" w:rsidR="00E755F2" w:rsidRPr="00785FB4" w:rsidRDefault="00585E5A" w:rsidP="00B517AB">
      <w:pPr>
        <w:spacing w:before="120"/>
        <w:rPr>
          <w:bCs/>
        </w:rPr>
      </w:pPr>
      <w:r w:rsidRPr="00785FB4">
        <w:rPr>
          <w:bCs/>
        </w:rPr>
        <w:t xml:space="preserve">While the following report includes recommendations for specific improvements the MSG may wish to consider implementing, the following is a list of strategic recommendations that could help Afghanistan make even greater use of the EITI as an instrument to support reforms. </w:t>
      </w:r>
    </w:p>
    <w:p w14:paraId="0A3A420F" w14:textId="539A8944" w:rsidR="00E755F2" w:rsidRPr="00785FB4" w:rsidRDefault="00E755F2" w:rsidP="007369FB">
      <w:pPr>
        <w:pStyle w:val="ListParagraph"/>
        <w:numPr>
          <w:ilvl w:val="0"/>
          <w:numId w:val="52"/>
        </w:numPr>
        <w:rPr>
          <w:rFonts w:eastAsia="Calibri"/>
        </w:rPr>
      </w:pPr>
      <w:r w:rsidRPr="00785FB4">
        <w:t xml:space="preserve">In accordance with Requirement 1.1, Afghanistan should ensure that a senior individual that has the confidence of all stakeholders, authority to coordinate action and mobilise resources provides consistent government leadership of the EITI. Afghanistan should also ensure that engagement is consistent across government </w:t>
      </w:r>
      <w:commentRangeStart w:id="37"/>
      <w:r w:rsidRPr="00785FB4">
        <w:t>departments</w:t>
      </w:r>
      <w:commentRangeEnd w:id="37"/>
      <w:r w:rsidR="00E60909">
        <w:rPr>
          <w:rStyle w:val="CommentReference"/>
          <w:szCs w:val="20"/>
        </w:rPr>
        <w:commentReference w:id="37"/>
      </w:r>
      <w:r w:rsidRPr="00785FB4">
        <w:t>. In accordance with requirement 8.3.c.i, the government constituency is requested to develop and disclose an action plan for addressing the deficiencies in government engagement documented in the initial assessment within three months of the Board’s decision. To strengthen implementation, Afghanistan is encouraged to ensure that government representatives on the MSG attend meetings regularly. Institutional disagreements over leadership of the EITI process should be addressed to ensure that the government is able to improve implementation at the operational level and use the EITI as a platform for reform. Given the importance of the Mutual Accountability Framework in the Afghan context, the government and development partners are encouraged to identify targets that will help Afghanistan address challenges to the sector through the EITI rather than continuing to focus on compliance.</w:t>
      </w:r>
    </w:p>
    <w:p w14:paraId="7804E6B4" w14:textId="55C95D8A" w:rsidR="00E755F2" w:rsidRPr="00785FB4" w:rsidRDefault="00E755F2" w:rsidP="007369FB">
      <w:pPr>
        <w:pStyle w:val="ListParagraph"/>
        <w:numPr>
          <w:ilvl w:val="0"/>
          <w:numId w:val="52"/>
        </w:numPr>
      </w:pPr>
      <w:r w:rsidRPr="00785FB4">
        <w:t xml:space="preserve">In accordance with Requirement 1.4, Afghanistan should ensure that any deviations from the MSG’s ToR are adequately and </w:t>
      </w:r>
      <w:r w:rsidR="006859DD" w:rsidRPr="00785FB4">
        <w:t>publicly</w:t>
      </w:r>
      <w:r w:rsidRPr="00785FB4">
        <w:t xml:space="preserve"> codified. The MSG should ensure that its lack of per diem </w:t>
      </w:r>
      <w:r w:rsidRPr="00785FB4">
        <w:lastRenderedPageBreak/>
        <w:t>practice is publicly clarified. In order to facilitate compliance with the ToR, the MSG may wish to consider simpler and less prescriptive ToR while ensuring that all the elements in Requirement 1.4 are covered. to ensure that the invitation to participate in the group is open and transparent, that the nomination process is independent and free from any suggestion of coercion, and that civil society MSG members are operationally, and in policy terms, independent of government and companies. Bearing in mind the desirability of pluralistic and diverse representation, CSOs and industry may wish to consider ways of encouraging women to participate in the EITI process. To help planning, encourage participation of all stakeholders and ensure that papers are submitted in time, the MSG may wish to agree dates of quarterly meetings that are aligned with the EITI’s reporting timeframes. To help members engage more actively, MSG members should consider working and publishing in local languages rather than English. The MSG should also ensure that there is sufficient advance notice of meetings and timely circulation of documents prior to their debate and proposed adoption.</w:t>
      </w:r>
    </w:p>
    <w:p w14:paraId="6F137C80" w14:textId="2BC217EB" w:rsidR="00E755F2" w:rsidRPr="00785FB4" w:rsidRDefault="00E755F2" w:rsidP="007369FB">
      <w:pPr>
        <w:pStyle w:val="ListParagraph"/>
        <w:numPr>
          <w:ilvl w:val="0"/>
          <w:numId w:val="52"/>
        </w:numPr>
      </w:pPr>
      <w:r w:rsidRPr="00785FB4">
        <w:t>In accordance with Requirement 1.5, the MSG should ensure that its work plans are fully costed, updated regularly, consistently published online and are aligned with the reporting and Validation deadlines established by the EITI Board. Work plans should also be fully costed. In order to ensure that objectives are met, Afghanistan is encouraged to ensure that the AEITI procurement plan agreed with the World Bank and other sources of funding reflects the objectives of the MSG as explained by the AEITI annual work plan.</w:t>
      </w:r>
    </w:p>
    <w:p w14:paraId="599C371B" w14:textId="0C9A2609" w:rsidR="00E755F2" w:rsidRPr="00785FB4" w:rsidRDefault="00E755F2" w:rsidP="007369FB">
      <w:pPr>
        <w:pStyle w:val="ListParagraph"/>
        <w:numPr>
          <w:ilvl w:val="0"/>
          <w:numId w:val="52"/>
        </w:numPr>
      </w:pPr>
      <w:r w:rsidRPr="00785FB4">
        <w:t>In accordance with Requirement 2.2, Afghanistan should ensure that the number of licenses awarded and transferred in the year(s) under review in both mining and oil and gas be publicly accessible, alongside a description of the actual allocation and transfer process (including the roles of relevant government entities) and any non-trivial deviations from statutory procedures in practice. Afghanistan should clarify the technical and financial criteria (and their weightings) used for assessing license allocations and transfers. Afghanistan may also wish to comment on the efficiency of the current license allocation and transfer system as a means of clarifying procedures and curbing non-trivial deviations.</w:t>
      </w:r>
    </w:p>
    <w:p w14:paraId="58FAE358" w14:textId="4B6296DD" w:rsidR="00E755F2" w:rsidRPr="00785FB4" w:rsidRDefault="00E755F2" w:rsidP="007369FB">
      <w:pPr>
        <w:pStyle w:val="ListParagraph"/>
        <w:numPr>
          <w:ilvl w:val="0"/>
          <w:numId w:val="52"/>
        </w:numPr>
      </w:pPr>
      <w:r w:rsidRPr="00785FB4">
        <w:t>In accordance with Requirement 2.3, Afghanistan should maintain a publicly available register or cadastre system with timely and comprehensive information on all mining, oil and gas licenses including license-holder name, dates of application, award and expiry, commodity(ies) covered and coordinates. The MSG should work with the MOMP to ensure all license information listed in Requirement 2.3.b is available for all extractives licenses active in the period under review.</w:t>
      </w:r>
    </w:p>
    <w:p w14:paraId="2BF08D53" w14:textId="44CAEB70" w:rsidR="00E755F2" w:rsidRPr="00785FB4" w:rsidRDefault="00E755F2" w:rsidP="007369FB">
      <w:pPr>
        <w:pStyle w:val="ListParagraph"/>
        <w:numPr>
          <w:ilvl w:val="0"/>
          <w:numId w:val="52"/>
        </w:numPr>
      </w:pPr>
      <w:r w:rsidRPr="00785FB4">
        <w:t>In accordance with Requirement 2.6, Afghanistan should provide an explanation of the prevailing rules and practices related to SOEs’ retained earnings, reinvestment and third-party financing. The government should also ensure annual disclosure of any changes in government ownership in SOEs or their subsidiaries, and provide a comprehensive account of any loans or loan guarantees extended by the state or SOEs to mining, oil, and gas companies. AEITI may wish to align reporting with the government’s corporatisation strategy for the two extractives SOEs with a view to providing annual diagnostics to support reforms. As a first step and in the absence of publicly available information on the SOEs, AEITI may also wish to pursue the publication of existing studies of SOEs that have been conducted for the MOF and MOMP but that are not currently available to the public.</w:t>
      </w:r>
    </w:p>
    <w:p w14:paraId="466A6146" w14:textId="19AE9AC4" w:rsidR="00E755F2" w:rsidRPr="00785FB4" w:rsidRDefault="00E755F2" w:rsidP="007369FB">
      <w:pPr>
        <w:pStyle w:val="ListParagraph"/>
        <w:numPr>
          <w:ilvl w:val="0"/>
          <w:numId w:val="52"/>
        </w:numPr>
      </w:pPr>
      <w:r w:rsidRPr="00785FB4">
        <w:t xml:space="preserve">In accordance with Requirement 3.2, Afghanistan should ensure that production volumes and values for all extractive commodities produced are publicly accessible. Where comprehensive disclosure of production figures for all minerals produced is not technically-feasible (e.g. for </w:t>
      </w:r>
      <w:r w:rsidRPr="00785FB4">
        <w:lastRenderedPageBreak/>
        <w:t>security reasons), Afghanistan should ensure that the reasons for non-disclosure are clearly explained and that publicly-available estimates are comprehensively disclosed and assessed. Afghanistan may wish to use EITI reporting to explain challenges in the production of official production statistics and track the implementation of key reforms in the MOMP’s mine inspection and oversight.</w:t>
      </w:r>
    </w:p>
    <w:p w14:paraId="7A229624" w14:textId="1F315C47" w:rsidR="00E755F2" w:rsidRPr="00785FB4" w:rsidRDefault="00E755F2" w:rsidP="007369FB">
      <w:pPr>
        <w:pStyle w:val="ListParagraph"/>
        <w:numPr>
          <w:ilvl w:val="0"/>
          <w:numId w:val="52"/>
        </w:numPr>
      </w:pPr>
      <w:r w:rsidRPr="00785FB4">
        <w:t>In accordance with Requirement 3.3, Afghanistan should ensure that export volumes and values for all extractive commodities exported are publicly accessible. In the absence of reliable official data, Afghanistan should at a minimum ensure that estimates are comprehensively disclosed and compared. Afghanistan may wish to use EITI reporting as a diagnostic tool to identify discrepancies in export data from different sources and support the government’s efforts to curb smuggling.</w:t>
      </w:r>
    </w:p>
    <w:p w14:paraId="1BE6C982" w14:textId="12790805" w:rsidR="00E755F2" w:rsidRPr="00785FB4" w:rsidRDefault="00E755F2" w:rsidP="007369FB">
      <w:pPr>
        <w:pStyle w:val="ListParagraph"/>
        <w:numPr>
          <w:ilvl w:val="0"/>
          <w:numId w:val="52"/>
        </w:numPr>
      </w:pPr>
      <w:r w:rsidRPr="00785FB4">
        <w:t>In accordance with Requirement 4.1, Afghanistan should ensure that all companies selected in the scope of reporting comprehensively report all material payment flows and that decisions on the materiality of revenue flows are based on government unilateral disclosure of total extractives revenues, including those not statutorily-mandated but nevertheless collected. Afghanistan should also ensure that full unilateral government disclosure of material revenues from non-material companies is presented disaggregated by revenue flow rather than by company.</w:t>
      </w:r>
    </w:p>
    <w:p w14:paraId="7FCD3F63" w14:textId="72D4AAEC" w:rsidR="00E755F2" w:rsidRPr="00785FB4" w:rsidRDefault="00E755F2" w:rsidP="007369FB">
      <w:pPr>
        <w:pStyle w:val="ListParagraph"/>
        <w:numPr>
          <w:ilvl w:val="0"/>
          <w:numId w:val="52"/>
        </w:numPr>
      </w:pPr>
      <w:r w:rsidRPr="00785FB4">
        <w:t>In accordance with Requirement 4.4, Afghanistan should ensure that its assessment of the materiality of any revenues from the transportation of oil, gas and minerals be publicly documented and that any such material revenues be disclosed disaggregated to levels commensurate with the reporting of other payments and revenue streams.</w:t>
      </w:r>
    </w:p>
    <w:p w14:paraId="0005BDE4" w14:textId="0077096F" w:rsidR="00E755F2" w:rsidRPr="00785FB4" w:rsidRDefault="00E755F2" w:rsidP="007369FB">
      <w:pPr>
        <w:pStyle w:val="ListParagraph"/>
        <w:numPr>
          <w:ilvl w:val="0"/>
          <w:numId w:val="52"/>
        </w:numPr>
      </w:pPr>
      <w:r w:rsidRPr="00785FB4">
        <w:t>In accordance with Requirement 4.5, Afghanistan should undertake a comprehensive assessment of transactions between extractives SOEs and government entities to ensure that the reporting process comprehensively addresses the role of SOEs, including transfers between SOEs and other government agencies.</w:t>
      </w:r>
    </w:p>
    <w:p w14:paraId="7752904B" w14:textId="168CB66B" w:rsidR="00E755F2" w:rsidRPr="00785FB4" w:rsidRDefault="00E755F2" w:rsidP="007369FB">
      <w:pPr>
        <w:pStyle w:val="ListParagraph"/>
        <w:numPr>
          <w:ilvl w:val="0"/>
          <w:numId w:val="52"/>
        </w:numPr>
      </w:pPr>
      <w:r w:rsidRPr="00785FB4">
        <w:t>In accordance with Requirement 4.9, Afghanistan should ensure that the ToR for the IA is in line with the standard ToR approved by the EITI Board and that agreement on any deviations from the standard ToR be properly documented. Afghanistan should ensure that a review of actual auditing practices by reporting companies and government entities be conducted before agreeing procedures to ensure the reliability of EITI information. Afghanistan should ensure that the quality assurances agreed for EITI reporting be clearly documented, that compliance with agreed procedures by reporting entities be clearly assessed and that the IA provide a clear assessment of the comprehensiveness and reliability of EITI reporting. The MSG should also ensure that summary data tables for all EITI Reports are prepared in a timely manner in line with requirements of the Board-approved IA’s ToR.</w:t>
      </w:r>
    </w:p>
    <w:p w14:paraId="35767D7E" w14:textId="547D5D3C" w:rsidR="00E755F2" w:rsidRPr="00785FB4" w:rsidRDefault="00E755F2" w:rsidP="007369FB">
      <w:pPr>
        <w:pStyle w:val="ListParagraph"/>
        <w:numPr>
          <w:ilvl w:val="0"/>
          <w:numId w:val="52"/>
        </w:numPr>
      </w:pPr>
      <w:r w:rsidRPr="00785FB4">
        <w:t>In accordance with Requirement 5.1, Afghanistan should ensure that the allocation of extractives revenues not recorded in the national budget are explained, with links provided to relevant financial reports as applicable. Afghanistan may wish to explore the extent to which it could use extractives-specific GFS classifications from its EITI summary data tables (together with its per-license tax ID numbers) as a means of disaggregating extractives revenues in MOF systems.</w:t>
      </w:r>
    </w:p>
    <w:p w14:paraId="1DB90FEF" w14:textId="34C5D9B1" w:rsidR="00E755F2" w:rsidRPr="00785FB4" w:rsidRDefault="00E755F2" w:rsidP="007369FB">
      <w:pPr>
        <w:pStyle w:val="ListParagraph"/>
        <w:numPr>
          <w:ilvl w:val="0"/>
          <w:numId w:val="52"/>
        </w:numPr>
      </w:pPr>
      <w:r w:rsidRPr="00785FB4">
        <w:t xml:space="preserve">In accordance with Requirement 6.1, Afghanistan should ensure that a clear definition of any mandatory social expenditures is publicly provided and assess the materiality of such expenditures in the period under review. The MSG may wish to consider the extent to which disclosure of Community Development Agreements (or review of key terms) would be necessary to provide a comprehensive assessment of the existence of mandatory social expenditures. </w:t>
      </w:r>
      <w:r w:rsidRPr="00785FB4">
        <w:lastRenderedPageBreak/>
        <w:t xml:space="preserve">Afghanistan should ensure that public disclosure of mandatory social expenditures be disaggregated by type of payment (distinguishing cash and in-kind) and beneficiary, clarifying the name and function of any non-government (third-party) beneficiaries of mandatory social </w:t>
      </w:r>
      <w:commentRangeStart w:id="38"/>
      <w:r w:rsidRPr="00785FB4">
        <w:t>expenditures</w:t>
      </w:r>
      <w:commentRangeEnd w:id="38"/>
      <w:r w:rsidR="00E60909">
        <w:rPr>
          <w:rStyle w:val="CommentReference"/>
          <w:szCs w:val="20"/>
        </w:rPr>
        <w:commentReference w:id="38"/>
      </w:r>
      <w:r w:rsidRPr="00785FB4">
        <w:t>.</w:t>
      </w:r>
    </w:p>
    <w:p w14:paraId="5FA51066" w14:textId="069B287F" w:rsidR="00E755F2" w:rsidRPr="00785FB4" w:rsidRDefault="00E755F2" w:rsidP="007369FB">
      <w:pPr>
        <w:pStyle w:val="ListParagraph"/>
        <w:numPr>
          <w:ilvl w:val="0"/>
          <w:numId w:val="52"/>
        </w:numPr>
      </w:pPr>
      <w:r w:rsidRPr="00785FB4">
        <w:t>In accordance with Requirement 6.2, Afghanistan should undertake a comprehensive review of all expenditures undertaken by extractives SOEs that could be considered quasi-fiscal. The MSG should develop a reporting process for quasi-fiscal expenditures with a view to achieving a level of transparency commensurate with other payments and revenue streams.</w:t>
      </w:r>
    </w:p>
    <w:p w14:paraId="5A730B52" w14:textId="6E090ADE" w:rsidR="00E755F2" w:rsidRPr="00785FB4" w:rsidRDefault="00E755F2" w:rsidP="007369FB">
      <w:pPr>
        <w:pStyle w:val="ListParagraph"/>
        <w:numPr>
          <w:ilvl w:val="0"/>
          <w:numId w:val="52"/>
        </w:numPr>
      </w:pPr>
      <w:r w:rsidRPr="00785FB4">
        <w:t>In accordance with Requirement 6.3, Afghanistan should disclose comprehensive information about the extractive industries’ contribution to the economy in relative and absolute terms, including to GDP, government revenues, exports and employment.</w:t>
      </w:r>
    </w:p>
    <w:p w14:paraId="0E843213" w14:textId="71741382" w:rsidR="00E755F2" w:rsidRPr="00785FB4" w:rsidRDefault="007739C1" w:rsidP="007369FB">
      <w:pPr>
        <w:pStyle w:val="ListParagraph"/>
        <w:numPr>
          <w:ilvl w:val="0"/>
          <w:numId w:val="52"/>
        </w:numPr>
      </w:pPr>
      <w:r w:rsidRPr="00785FB4">
        <w:t>In accordance with requirement 7.1, Afghanistan should ensure that EITI reports are comprehensible, actively promoted, publicly accessible and contribute to public debate. Taking into account the security situation, the MSG should continue to seek to carry out outreach events to spread awareness of and facilitate dialogue about the EITI Report across the country whenever possible. The MSG may wish to consider linking the AEITI communications strategy more closely to the work plan and tailoring key messages to sector priorities rather than to EITI implementation more broadly. The MSG is also encouraged to ensure that the open data policy is posted online and that EITI reports are available in open data format.</w:t>
      </w:r>
    </w:p>
    <w:p w14:paraId="0D1303D5" w14:textId="3C08899D" w:rsidR="00E755F2" w:rsidRPr="00785FB4" w:rsidRDefault="007739C1" w:rsidP="007369FB">
      <w:pPr>
        <w:pStyle w:val="ListParagraph"/>
        <w:numPr>
          <w:ilvl w:val="0"/>
          <w:numId w:val="52"/>
        </w:numPr>
      </w:pPr>
      <w:r w:rsidRPr="00785FB4">
        <w:t>In accordance with Requirement 7.3, Afghanistan should take steps to act upon lessons learnt with a view to strengthen the impact of EITI implementation on natural resource governance. In particular the MSG should consider improving its procedures to process recommendations. Taking into consideration the importance of the MAS and the IMF’s ECF review frameworks in an Afghan context, the MSG is encouraged to encourage the development of “smart deliverables” that issue from EITI recommendations and serve to prioritise these.</w:t>
      </w:r>
    </w:p>
    <w:p w14:paraId="02337B02" w14:textId="344FF092" w:rsidR="00E755F2" w:rsidRPr="00785FB4" w:rsidRDefault="007739C1" w:rsidP="007369FB">
      <w:pPr>
        <w:pStyle w:val="ListParagraph"/>
        <w:numPr>
          <w:ilvl w:val="0"/>
          <w:numId w:val="52"/>
        </w:numPr>
      </w:pPr>
      <w:r w:rsidRPr="00785FB4">
        <w:t>In accordance with Requirement 7.4, Afghanistan should ensure that all stakeholders are able to participate in the production of the annual progress report and review the impact of EITI implementation. Stakeholders beyond the MSG should be able to provide feedback on the EITI process and have their views reflected in the annual progress report. The MSG should ensure that an assessment of progress with achieving the objectives set out in its work plan is carried out, including the impact and outcomes of the stated objectives. The MSG may wish to use the APR template provided by the International Secretariat to ensure that the different tools to review progress are harmonised. The MSG is encouraged to ensure that the APR, the MSG’s action plan and any other management tools are used to feed into the annual work plans.</w:t>
      </w:r>
    </w:p>
    <w:p w14:paraId="282A2AB7" w14:textId="77777777" w:rsidR="00E755F2" w:rsidRPr="00785FB4" w:rsidRDefault="00E755F2" w:rsidP="007369FB"/>
    <w:p w14:paraId="1905AFE9" w14:textId="77777777" w:rsidR="00E755F2" w:rsidRPr="00785FB4" w:rsidRDefault="00E755F2" w:rsidP="00B517AB">
      <w:pPr>
        <w:spacing w:before="120"/>
        <w:rPr>
          <w:bCs/>
        </w:rPr>
      </w:pPr>
    </w:p>
    <w:p w14:paraId="2C7CE6C8" w14:textId="77777777" w:rsidR="007F6E3B" w:rsidRPr="00785FB4" w:rsidRDefault="007F6E3B">
      <w:pPr>
        <w:widowControl/>
        <w:suppressAutoHyphens w:val="0"/>
        <w:spacing w:after="0" w:line="240" w:lineRule="auto"/>
        <w:rPr>
          <w:rFonts w:cs="Times New Roman"/>
          <w:b/>
          <w:bCs/>
          <w:color w:val="1F497D" w:themeColor="text2"/>
          <w:szCs w:val="18"/>
          <w:lang w:bidi="en-US"/>
        </w:rPr>
      </w:pPr>
      <w:bookmarkStart w:id="39" w:name="_Toc463528548"/>
      <w:bookmarkStart w:id="40" w:name="_Toc452707647"/>
      <w:bookmarkStart w:id="41" w:name="_Toc459133076"/>
      <w:bookmarkStart w:id="42" w:name="_Toc461803025"/>
      <w:bookmarkStart w:id="43" w:name="_Toc461787306"/>
      <w:bookmarkStart w:id="44" w:name="_Toc461795825"/>
      <w:r w:rsidRPr="00785FB4">
        <w:br w:type="page"/>
      </w:r>
    </w:p>
    <w:p w14:paraId="464F1251" w14:textId="20D06D04" w:rsidR="00727A05" w:rsidRPr="0099209D" w:rsidRDefault="00727A05" w:rsidP="009464B0">
      <w:pPr>
        <w:pStyle w:val="Caption"/>
        <w:rPr>
          <w:rFonts w:eastAsia="Calibri"/>
        </w:rPr>
      </w:pPr>
      <w:r w:rsidRPr="00785FB4">
        <w:lastRenderedPageBreak/>
        <w:t xml:space="preserve">Figure </w:t>
      </w:r>
      <w:fldSimple w:instr=" SEQ Figure \* ARABIC ">
        <w:r w:rsidR="00D8510F" w:rsidRPr="00785FB4">
          <w:t>1</w:t>
        </w:r>
      </w:fldSimple>
      <w:r w:rsidRPr="0099209D">
        <w:rPr>
          <w:rFonts w:eastAsia="Calibri"/>
        </w:rPr>
        <w:t>– initial assessment card</w:t>
      </w:r>
    </w:p>
    <w:tbl>
      <w:tblPr>
        <w:tblW w:w="8263" w:type="dxa"/>
        <w:tblInd w:w="-15" w:type="dxa"/>
        <w:tblLayout w:type="fixed"/>
        <w:tblLook w:val="04A0" w:firstRow="1" w:lastRow="0" w:firstColumn="1" w:lastColumn="0" w:noHBand="0" w:noVBand="1"/>
      </w:tblPr>
      <w:tblGrid>
        <w:gridCol w:w="1908"/>
        <w:gridCol w:w="507"/>
        <w:gridCol w:w="858"/>
        <w:gridCol w:w="263"/>
        <w:gridCol w:w="2467"/>
        <w:gridCol w:w="458"/>
        <w:gridCol w:w="498"/>
        <w:gridCol w:w="461"/>
        <w:gridCol w:w="443"/>
        <w:gridCol w:w="400"/>
      </w:tblGrid>
      <w:tr w:rsidR="001563CC" w:rsidRPr="00785FB4" w14:paraId="33A4D199" w14:textId="77777777" w:rsidTr="00732837">
        <w:trPr>
          <w:trHeight w:val="142"/>
        </w:trPr>
        <w:tc>
          <w:tcPr>
            <w:tcW w:w="6003" w:type="dxa"/>
            <w:gridSpan w:val="5"/>
            <w:tcBorders>
              <w:top w:val="single" w:sz="12" w:space="0" w:color="auto"/>
              <w:left w:val="single" w:sz="12" w:space="0" w:color="auto"/>
              <w:bottom w:val="single" w:sz="4" w:space="0" w:color="auto"/>
              <w:right w:val="single" w:sz="4" w:space="0" w:color="auto"/>
            </w:tcBorders>
            <w:shd w:val="clear" w:color="000000" w:fill="366092"/>
            <w:noWrap/>
            <w:vAlign w:val="bottom"/>
          </w:tcPr>
          <w:p w14:paraId="2ADCDB22" w14:textId="77777777" w:rsidR="001563CC" w:rsidRPr="00785FB4" w:rsidRDefault="001563CC" w:rsidP="00D452A8">
            <w:pPr>
              <w:widowControl/>
              <w:suppressAutoHyphens w:val="0"/>
              <w:spacing w:after="0" w:line="240" w:lineRule="auto"/>
              <w:rPr>
                <w:rFonts w:ascii="Calibri" w:hAnsi="Calibri" w:cs="Times New Roman"/>
                <w:b/>
                <w:bCs/>
                <w:color w:val="FFFFFF"/>
                <w:lang w:eastAsia="en-GB"/>
              </w:rPr>
            </w:pPr>
            <w:r w:rsidRPr="00785FB4">
              <w:rPr>
                <w:rFonts w:ascii="Calibri" w:hAnsi="Calibri" w:cs="Times New Roman"/>
                <w:b/>
                <w:bCs/>
                <w:color w:val="FFFFFF"/>
                <w:lang w:eastAsia="en-GB"/>
              </w:rPr>
              <w:t>EITI Requirements</w:t>
            </w:r>
          </w:p>
        </w:tc>
        <w:tc>
          <w:tcPr>
            <w:tcW w:w="2260" w:type="dxa"/>
            <w:gridSpan w:val="5"/>
            <w:tcBorders>
              <w:top w:val="single" w:sz="12" w:space="0" w:color="auto"/>
              <w:left w:val="single" w:sz="4" w:space="0" w:color="auto"/>
              <w:bottom w:val="single" w:sz="4" w:space="0" w:color="auto"/>
              <w:right w:val="single" w:sz="12" w:space="0" w:color="auto"/>
            </w:tcBorders>
            <w:shd w:val="clear" w:color="000000" w:fill="366092"/>
            <w:vAlign w:val="center"/>
          </w:tcPr>
          <w:p w14:paraId="75CF7ABE" w14:textId="77777777" w:rsidR="001563CC" w:rsidRPr="00785FB4" w:rsidRDefault="001563CC" w:rsidP="00D452A8">
            <w:pPr>
              <w:widowControl/>
              <w:suppressAutoHyphens w:val="0"/>
              <w:spacing w:after="0" w:line="240" w:lineRule="auto"/>
              <w:jc w:val="center"/>
              <w:rPr>
                <w:rFonts w:ascii="Calibri" w:hAnsi="Calibri" w:cs="Times New Roman"/>
                <w:b/>
                <w:bCs/>
                <w:color w:val="FFFFFF"/>
                <w:lang w:eastAsia="en-GB"/>
              </w:rPr>
            </w:pPr>
            <w:r w:rsidRPr="00785FB4">
              <w:rPr>
                <w:rFonts w:ascii="Calibri" w:hAnsi="Calibri" w:cs="Times New Roman"/>
                <w:b/>
                <w:bCs/>
                <w:color w:val="FFFFFF"/>
                <w:lang w:eastAsia="en-GB"/>
              </w:rPr>
              <w:t>LEVEL OF PROGRESS</w:t>
            </w:r>
          </w:p>
        </w:tc>
      </w:tr>
      <w:tr w:rsidR="001563CC" w:rsidRPr="00785FB4" w14:paraId="17B4014E" w14:textId="77777777" w:rsidTr="00B45F94">
        <w:trPr>
          <w:trHeight w:val="1372"/>
        </w:trPr>
        <w:tc>
          <w:tcPr>
            <w:tcW w:w="2415" w:type="dxa"/>
            <w:gridSpan w:val="2"/>
            <w:tcBorders>
              <w:top w:val="single" w:sz="4" w:space="0" w:color="auto"/>
              <w:left w:val="single" w:sz="12" w:space="0" w:color="auto"/>
              <w:bottom w:val="nil"/>
              <w:right w:val="nil"/>
            </w:tcBorders>
            <w:shd w:val="clear" w:color="000000" w:fill="F2F2F2"/>
            <w:noWrap/>
            <w:vAlign w:val="bottom"/>
            <w:hideMark/>
          </w:tcPr>
          <w:p w14:paraId="550996C0"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858" w:type="dxa"/>
            <w:tcBorders>
              <w:top w:val="single" w:sz="4" w:space="0" w:color="auto"/>
              <w:left w:val="nil"/>
              <w:bottom w:val="nil"/>
              <w:right w:val="nil"/>
            </w:tcBorders>
            <w:shd w:val="clear" w:color="000000" w:fill="F2F2F2"/>
            <w:noWrap/>
            <w:vAlign w:val="bottom"/>
            <w:hideMark/>
          </w:tcPr>
          <w:p w14:paraId="6BE9181E"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263" w:type="dxa"/>
            <w:tcBorders>
              <w:top w:val="single" w:sz="4" w:space="0" w:color="auto"/>
              <w:left w:val="nil"/>
              <w:bottom w:val="nil"/>
              <w:right w:val="nil"/>
            </w:tcBorders>
            <w:shd w:val="clear" w:color="000000" w:fill="F2F2F2"/>
            <w:noWrap/>
            <w:vAlign w:val="bottom"/>
            <w:hideMark/>
          </w:tcPr>
          <w:p w14:paraId="684F24F7"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2467" w:type="dxa"/>
            <w:tcBorders>
              <w:top w:val="single" w:sz="4" w:space="0" w:color="auto"/>
              <w:left w:val="nil"/>
              <w:bottom w:val="nil"/>
              <w:right w:val="single" w:sz="8" w:space="0" w:color="auto"/>
            </w:tcBorders>
            <w:shd w:val="clear" w:color="000000" w:fill="F2F2F2"/>
            <w:noWrap/>
            <w:vAlign w:val="center"/>
            <w:hideMark/>
          </w:tcPr>
          <w:p w14:paraId="3F4A117D" w14:textId="77777777" w:rsidR="001563CC" w:rsidRPr="00785FB4" w:rsidRDefault="001563CC" w:rsidP="00D452A8">
            <w:pPr>
              <w:widowControl/>
              <w:suppressAutoHyphens w:val="0"/>
              <w:spacing w:after="0" w:line="240" w:lineRule="auto"/>
              <w:rPr>
                <w:rFonts w:ascii="Calibri" w:hAnsi="Calibri" w:cs="Times New Roman"/>
                <w:b/>
                <w:bCs/>
                <w:color w:val="FFFFFF"/>
                <w:lang w:eastAsia="en-GB"/>
              </w:rPr>
            </w:pPr>
            <w:r w:rsidRPr="00785FB4">
              <w:rPr>
                <w:rFonts w:ascii="Calibri" w:hAnsi="Calibri" w:cs="Times New Roman"/>
                <w:b/>
                <w:bCs/>
                <w:color w:val="FFFFFF"/>
                <w:lang w:eastAsia="en-GB"/>
              </w:rPr>
              <w:t> </w:t>
            </w:r>
          </w:p>
        </w:tc>
        <w:tc>
          <w:tcPr>
            <w:tcW w:w="458" w:type="dxa"/>
            <w:tcBorders>
              <w:top w:val="single" w:sz="4" w:space="0" w:color="auto"/>
              <w:left w:val="single" w:sz="4" w:space="0" w:color="000000" w:themeColor="text1"/>
              <w:right w:val="single" w:sz="12" w:space="0" w:color="auto"/>
            </w:tcBorders>
            <w:shd w:val="clear" w:color="000000" w:fill="F2F2F2"/>
            <w:textDirection w:val="btLr"/>
          </w:tcPr>
          <w:p w14:paraId="178DC89F" w14:textId="77777777" w:rsidR="001563CC" w:rsidRPr="00785FB4" w:rsidRDefault="001563CC" w:rsidP="00D452A8">
            <w:pPr>
              <w:widowControl/>
              <w:suppressAutoHyphens w:val="0"/>
              <w:spacing w:after="0" w:line="240" w:lineRule="auto"/>
              <w:rPr>
                <w:rFonts w:ascii="Calibri" w:hAnsi="Calibri" w:cs="Times New Roman"/>
                <w:bCs/>
                <w:color w:val="000000"/>
                <w:lang w:eastAsia="en-GB"/>
              </w:rPr>
            </w:pPr>
            <w:r w:rsidRPr="00785FB4">
              <w:rPr>
                <w:rFonts w:ascii="Calibri" w:hAnsi="Calibri" w:cs="Times New Roman"/>
                <w:bCs/>
                <w:color w:val="000000"/>
                <w:lang w:eastAsia="en-GB"/>
              </w:rPr>
              <w:t xml:space="preserve">  No progress</w:t>
            </w:r>
          </w:p>
        </w:tc>
        <w:tc>
          <w:tcPr>
            <w:tcW w:w="498" w:type="dxa"/>
            <w:tcBorders>
              <w:top w:val="single" w:sz="4" w:space="0" w:color="auto"/>
              <w:left w:val="single" w:sz="4" w:space="0" w:color="000000" w:themeColor="text1"/>
              <w:right w:val="single" w:sz="12" w:space="0" w:color="auto"/>
            </w:tcBorders>
            <w:shd w:val="clear" w:color="000000" w:fill="F2F2F2"/>
            <w:textDirection w:val="btLr"/>
          </w:tcPr>
          <w:p w14:paraId="355637EE" w14:textId="77777777" w:rsidR="001563CC" w:rsidRPr="00785FB4" w:rsidRDefault="001563CC" w:rsidP="00D452A8">
            <w:pPr>
              <w:widowControl/>
              <w:suppressAutoHyphens w:val="0"/>
              <w:spacing w:after="0" w:line="240" w:lineRule="auto"/>
              <w:rPr>
                <w:rFonts w:ascii="Calibri" w:hAnsi="Calibri" w:cs="Times New Roman"/>
                <w:bCs/>
                <w:color w:val="000000"/>
                <w:lang w:eastAsia="en-GB"/>
              </w:rPr>
            </w:pPr>
            <w:r w:rsidRPr="00785FB4">
              <w:rPr>
                <w:rFonts w:ascii="Calibri" w:hAnsi="Calibri" w:cs="Times New Roman"/>
                <w:bCs/>
                <w:color w:val="000000"/>
                <w:lang w:eastAsia="en-GB"/>
              </w:rPr>
              <w:t xml:space="preserve">  Inadequate</w:t>
            </w:r>
          </w:p>
        </w:tc>
        <w:tc>
          <w:tcPr>
            <w:tcW w:w="461" w:type="dxa"/>
            <w:tcBorders>
              <w:top w:val="single" w:sz="4" w:space="0" w:color="auto"/>
              <w:left w:val="single" w:sz="4" w:space="0" w:color="000000" w:themeColor="text1"/>
              <w:right w:val="single" w:sz="12" w:space="0" w:color="auto"/>
            </w:tcBorders>
            <w:shd w:val="clear" w:color="000000" w:fill="F2F2F2"/>
            <w:textDirection w:val="btLr"/>
          </w:tcPr>
          <w:p w14:paraId="47AC79D4" w14:textId="77777777" w:rsidR="001563CC" w:rsidRPr="00785FB4" w:rsidRDefault="001563CC" w:rsidP="00D452A8">
            <w:pPr>
              <w:widowControl/>
              <w:suppressAutoHyphens w:val="0"/>
              <w:spacing w:after="0" w:line="240" w:lineRule="auto"/>
              <w:rPr>
                <w:rFonts w:ascii="Calibri" w:hAnsi="Calibri" w:cs="Times New Roman"/>
                <w:bCs/>
                <w:color w:val="000000"/>
                <w:lang w:eastAsia="en-GB"/>
              </w:rPr>
            </w:pPr>
            <w:r w:rsidRPr="00785FB4">
              <w:rPr>
                <w:rFonts w:ascii="Calibri" w:hAnsi="Calibri" w:cs="Times New Roman"/>
                <w:bCs/>
                <w:color w:val="000000"/>
                <w:lang w:eastAsia="en-GB"/>
              </w:rPr>
              <w:t xml:space="preserve">  Meaningful</w:t>
            </w:r>
          </w:p>
        </w:tc>
        <w:tc>
          <w:tcPr>
            <w:tcW w:w="443" w:type="dxa"/>
            <w:tcBorders>
              <w:top w:val="single" w:sz="4" w:space="0" w:color="auto"/>
              <w:left w:val="single" w:sz="4" w:space="0" w:color="000000" w:themeColor="text1"/>
              <w:right w:val="single" w:sz="12" w:space="0" w:color="auto"/>
            </w:tcBorders>
            <w:shd w:val="clear" w:color="000000" w:fill="F2F2F2"/>
            <w:textDirection w:val="btLr"/>
          </w:tcPr>
          <w:p w14:paraId="3ECAA816" w14:textId="77777777" w:rsidR="001563CC" w:rsidRPr="00785FB4" w:rsidRDefault="001563CC" w:rsidP="00D452A8">
            <w:pPr>
              <w:widowControl/>
              <w:suppressAutoHyphens w:val="0"/>
              <w:spacing w:after="0" w:line="240" w:lineRule="auto"/>
              <w:rPr>
                <w:rFonts w:ascii="Calibri" w:hAnsi="Calibri" w:cs="Times New Roman"/>
                <w:bCs/>
                <w:color w:val="000000"/>
                <w:lang w:eastAsia="en-GB"/>
              </w:rPr>
            </w:pPr>
            <w:r w:rsidRPr="00785FB4">
              <w:rPr>
                <w:rFonts w:ascii="Calibri" w:hAnsi="Calibri" w:cs="Times New Roman"/>
                <w:bCs/>
                <w:color w:val="000000"/>
                <w:lang w:eastAsia="en-GB"/>
              </w:rPr>
              <w:t xml:space="preserve">  Satisfactory</w:t>
            </w:r>
          </w:p>
        </w:tc>
        <w:tc>
          <w:tcPr>
            <w:tcW w:w="400" w:type="dxa"/>
            <w:tcBorders>
              <w:top w:val="single" w:sz="4" w:space="0" w:color="auto"/>
              <w:left w:val="single" w:sz="4" w:space="0" w:color="000000" w:themeColor="text1"/>
              <w:right w:val="single" w:sz="12" w:space="0" w:color="auto"/>
            </w:tcBorders>
            <w:shd w:val="clear" w:color="000000" w:fill="F2F2F2"/>
            <w:textDirection w:val="btLr"/>
            <w:vAlign w:val="center"/>
          </w:tcPr>
          <w:p w14:paraId="7F9F274F" w14:textId="77777777" w:rsidR="001563CC" w:rsidRPr="00785FB4" w:rsidRDefault="001563CC" w:rsidP="00D452A8">
            <w:pPr>
              <w:widowControl/>
              <w:suppressAutoHyphens w:val="0"/>
              <w:spacing w:after="0" w:line="240" w:lineRule="auto"/>
              <w:rPr>
                <w:rFonts w:ascii="Calibri" w:hAnsi="Calibri" w:cs="Times New Roman"/>
                <w:bCs/>
                <w:color w:val="000000"/>
                <w:lang w:eastAsia="en-GB"/>
              </w:rPr>
            </w:pPr>
            <w:r w:rsidRPr="00785FB4">
              <w:rPr>
                <w:rFonts w:ascii="Calibri" w:hAnsi="Calibri" w:cs="Times New Roman"/>
                <w:bCs/>
                <w:color w:val="000000"/>
                <w:lang w:eastAsia="en-GB"/>
              </w:rPr>
              <w:t xml:space="preserve">  Beyond</w:t>
            </w:r>
          </w:p>
        </w:tc>
      </w:tr>
      <w:tr w:rsidR="001563CC" w:rsidRPr="00785FB4" w14:paraId="731EE30D" w14:textId="77777777" w:rsidTr="00B45F94">
        <w:trPr>
          <w:trHeight w:val="306"/>
        </w:trPr>
        <w:tc>
          <w:tcPr>
            <w:tcW w:w="1908" w:type="dxa"/>
            <w:tcBorders>
              <w:left w:val="single" w:sz="12" w:space="0" w:color="auto"/>
              <w:bottom w:val="single" w:sz="12" w:space="0" w:color="000000" w:themeColor="text1"/>
            </w:tcBorders>
            <w:shd w:val="clear" w:color="000000" w:fill="F2F2F2"/>
            <w:noWrap/>
            <w:vAlign w:val="bottom"/>
            <w:hideMark/>
          </w:tcPr>
          <w:p w14:paraId="6FA2CDB2"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r w:rsidRPr="00785FB4">
              <w:rPr>
                <w:rFonts w:ascii="Calibri" w:hAnsi="Calibri" w:cs="Times New Roman"/>
                <w:b/>
                <w:bCs/>
                <w:color w:val="000000"/>
                <w:lang w:eastAsia="en-GB"/>
              </w:rPr>
              <w:t>Categories</w:t>
            </w:r>
          </w:p>
        </w:tc>
        <w:tc>
          <w:tcPr>
            <w:tcW w:w="4095" w:type="dxa"/>
            <w:gridSpan w:val="4"/>
            <w:tcBorders>
              <w:bottom w:val="single" w:sz="12" w:space="0" w:color="000000" w:themeColor="text1"/>
              <w:right w:val="single" w:sz="8" w:space="0" w:color="auto"/>
            </w:tcBorders>
            <w:shd w:val="clear" w:color="000000" w:fill="F2F2F2"/>
            <w:noWrap/>
            <w:vAlign w:val="center"/>
            <w:hideMark/>
          </w:tcPr>
          <w:p w14:paraId="53BA26FD"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r w:rsidRPr="00785FB4">
              <w:rPr>
                <w:rFonts w:ascii="Calibri" w:hAnsi="Calibri" w:cs="Times New Roman"/>
                <w:b/>
                <w:bCs/>
                <w:color w:val="000000"/>
                <w:lang w:eastAsia="en-GB"/>
              </w:rPr>
              <w:t>Requirements</w:t>
            </w:r>
          </w:p>
        </w:tc>
        <w:tc>
          <w:tcPr>
            <w:tcW w:w="458" w:type="dxa"/>
            <w:tcBorders>
              <w:left w:val="single" w:sz="4" w:space="0" w:color="000000" w:themeColor="text1"/>
              <w:bottom w:val="single" w:sz="12" w:space="0" w:color="auto"/>
              <w:right w:val="single" w:sz="12" w:space="0" w:color="auto"/>
            </w:tcBorders>
            <w:shd w:val="clear" w:color="000000" w:fill="C00000"/>
          </w:tcPr>
          <w:p w14:paraId="2776A588" w14:textId="77777777" w:rsidR="001563CC" w:rsidRPr="00785FB4" w:rsidRDefault="001563CC" w:rsidP="00D452A8">
            <w:pPr>
              <w:widowControl/>
              <w:suppressAutoHyphens w:val="0"/>
              <w:spacing w:after="0" w:line="240" w:lineRule="auto"/>
              <w:rPr>
                <w:rFonts w:ascii="Calibri" w:hAnsi="Calibri" w:cs="Times New Roman"/>
                <w:b/>
                <w:bCs/>
                <w:color w:val="C00000"/>
                <w:lang w:eastAsia="en-GB"/>
              </w:rPr>
            </w:pPr>
          </w:p>
        </w:tc>
        <w:tc>
          <w:tcPr>
            <w:tcW w:w="498" w:type="dxa"/>
            <w:tcBorders>
              <w:left w:val="single" w:sz="4" w:space="0" w:color="000000" w:themeColor="text1"/>
              <w:bottom w:val="single" w:sz="12" w:space="0" w:color="auto"/>
              <w:right w:val="single" w:sz="12" w:space="0" w:color="auto"/>
            </w:tcBorders>
            <w:shd w:val="clear" w:color="auto" w:fill="FAC332"/>
          </w:tcPr>
          <w:p w14:paraId="0DB92249" w14:textId="77777777" w:rsidR="001563CC" w:rsidRPr="00785FB4" w:rsidRDefault="001563CC" w:rsidP="00D452A8">
            <w:pPr>
              <w:widowControl/>
              <w:suppressAutoHyphens w:val="0"/>
              <w:spacing w:after="0" w:line="240" w:lineRule="auto"/>
              <w:rPr>
                <w:rFonts w:ascii="Calibri" w:hAnsi="Calibri" w:cs="Times New Roman"/>
                <w:b/>
                <w:bCs/>
                <w:color w:val="C00000"/>
                <w:lang w:eastAsia="en-GB"/>
              </w:rPr>
            </w:pPr>
          </w:p>
        </w:tc>
        <w:tc>
          <w:tcPr>
            <w:tcW w:w="461" w:type="dxa"/>
            <w:tcBorders>
              <w:left w:val="single" w:sz="4" w:space="0" w:color="000000" w:themeColor="text1"/>
              <w:bottom w:val="single" w:sz="12" w:space="0" w:color="auto"/>
              <w:right w:val="single" w:sz="12" w:space="0" w:color="auto"/>
            </w:tcBorders>
            <w:shd w:val="clear" w:color="auto" w:fill="85AE42"/>
            <w:vAlign w:val="bottom"/>
          </w:tcPr>
          <w:p w14:paraId="1264EFC3"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r w:rsidRPr="00785FB4">
              <w:rPr>
                <w:rFonts w:ascii="Calibri" w:hAnsi="Calibri" w:cs="Times New Roman"/>
                <w:color w:val="000000"/>
                <w:lang w:eastAsia="en-GB"/>
              </w:rPr>
              <w:t> </w:t>
            </w:r>
          </w:p>
        </w:tc>
        <w:tc>
          <w:tcPr>
            <w:tcW w:w="443" w:type="dxa"/>
            <w:tcBorders>
              <w:left w:val="single" w:sz="4" w:space="0" w:color="000000" w:themeColor="text1"/>
              <w:bottom w:val="single" w:sz="12" w:space="0" w:color="auto"/>
              <w:right w:val="single" w:sz="12" w:space="0" w:color="auto"/>
            </w:tcBorders>
            <w:shd w:val="clear" w:color="000000" w:fill="2D8B2A"/>
            <w:vAlign w:val="bottom"/>
          </w:tcPr>
          <w:p w14:paraId="454EC9E1"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r w:rsidRPr="00785FB4">
              <w:rPr>
                <w:rFonts w:ascii="Calibri" w:hAnsi="Calibri" w:cs="Times New Roman"/>
                <w:color w:val="000000"/>
                <w:lang w:eastAsia="en-GB"/>
              </w:rPr>
              <w:t> </w:t>
            </w:r>
          </w:p>
        </w:tc>
        <w:tc>
          <w:tcPr>
            <w:tcW w:w="400" w:type="dxa"/>
            <w:tcBorders>
              <w:left w:val="single" w:sz="4" w:space="0" w:color="000000" w:themeColor="text1"/>
              <w:bottom w:val="single" w:sz="12" w:space="0" w:color="auto"/>
              <w:right w:val="single" w:sz="12" w:space="0" w:color="auto"/>
            </w:tcBorders>
            <w:shd w:val="clear" w:color="000000" w:fill="0074AF"/>
            <w:vAlign w:val="center"/>
          </w:tcPr>
          <w:p w14:paraId="7AA3A5DC"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r w:rsidRPr="00785FB4">
              <w:rPr>
                <w:rFonts w:ascii="Calibri" w:hAnsi="Calibri" w:cs="Times New Roman"/>
                <w:color w:val="000000"/>
                <w:lang w:eastAsia="en-GB"/>
              </w:rPr>
              <w:t> </w:t>
            </w:r>
          </w:p>
        </w:tc>
      </w:tr>
      <w:tr w:rsidR="001563CC" w:rsidRPr="00785FB4" w14:paraId="24000C36" w14:textId="77777777" w:rsidTr="007369FB">
        <w:trPr>
          <w:trHeight w:val="53"/>
        </w:trPr>
        <w:tc>
          <w:tcPr>
            <w:tcW w:w="1908" w:type="dxa"/>
            <w:vMerge w:val="restart"/>
            <w:tcBorders>
              <w:top w:val="single" w:sz="12" w:space="0" w:color="000000" w:themeColor="text1"/>
              <w:left w:val="single" w:sz="12" w:space="0" w:color="auto"/>
              <w:bottom w:val="single" w:sz="8" w:space="0" w:color="000000"/>
              <w:right w:val="single" w:sz="2" w:space="0" w:color="A6A6A6" w:themeColor="background1" w:themeShade="A6"/>
            </w:tcBorders>
            <w:shd w:val="clear" w:color="000000" w:fill="BFBFBF"/>
            <w:noWrap/>
            <w:vAlign w:val="center"/>
            <w:hideMark/>
          </w:tcPr>
          <w:p w14:paraId="02F96CED"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r w:rsidRPr="00785FB4">
              <w:rPr>
                <w:rFonts w:ascii="Calibri" w:hAnsi="Calibri" w:cs="Times New Roman"/>
                <w:b/>
                <w:bCs/>
                <w:color w:val="000000"/>
                <w:lang w:eastAsia="en-GB"/>
              </w:rPr>
              <w:t>MSG oversight</w:t>
            </w:r>
          </w:p>
        </w:tc>
        <w:tc>
          <w:tcPr>
            <w:tcW w:w="4095" w:type="dxa"/>
            <w:gridSpan w:val="4"/>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bottom"/>
            <w:hideMark/>
          </w:tcPr>
          <w:p w14:paraId="35D475AC"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Government engagement (#1.1)</w:t>
            </w:r>
          </w:p>
        </w:tc>
        <w:tc>
          <w:tcPr>
            <w:tcW w:w="458"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32B31C75"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1C577E3C"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85AE42"/>
            <w:noWrap/>
            <w:vAlign w:val="bottom"/>
            <w:hideMark/>
          </w:tcPr>
          <w:p w14:paraId="63929372"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092F597B"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12" w:space="0" w:color="auto"/>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hideMark/>
          </w:tcPr>
          <w:p w14:paraId="788867B9"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2D2A78" w:rsidRPr="00785FB4" w14:paraId="532551C3" w14:textId="77777777" w:rsidTr="007369FB">
        <w:trPr>
          <w:trHeight w:val="161"/>
        </w:trPr>
        <w:tc>
          <w:tcPr>
            <w:tcW w:w="1908" w:type="dxa"/>
            <w:vMerge/>
            <w:tcBorders>
              <w:top w:val="single" w:sz="8" w:space="0" w:color="auto"/>
              <w:left w:val="single" w:sz="12" w:space="0" w:color="auto"/>
              <w:bottom w:val="single" w:sz="8" w:space="0" w:color="000000"/>
              <w:right w:val="single" w:sz="2" w:space="0" w:color="A6A6A6" w:themeColor="background1" w:themeShade="A6"/>
            </w:tcBorders>
            <w:vAlign w:val="center"/>
            <w:hideMark/>
          </w:tcPr>
          <w:p w14:paraId="30E12B97"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bottom"/>
            <w:hideMark/>
          </w:tcPr>
          <w:p w14:paraId="49520DA1"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Industry engagement (#1.2)</w:t>
            </w:r>
          </w:p>
        </w:tc>
        <w:tc>
          <w:tcPr>
            <w:tcW w:w="45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6BE1C828"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4FC88B3C"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5B925B6E"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D8B2B"/>
            <w:noWrap/>
            <w:vAlign w:val="bottom"/>
            <w:hideMark/>
          </w:tcPr>
          <w:p w14:paraId="18CA749D"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hideMark/>
          </w:tcPr>
          <w:p w14:paraId="29E862DC"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2D2A78" w:rsidRPr="00785FB4" w14:paraId="60034D74" w14:textId="77777777" w:rsidTr="007369FB">
        <w:trPr>
          <w:trHeight w:val="53"/>
        </w:trPr>
        <w:tc>
          <w:tcPr>
            <w:tcW w:w="1908" w:type="dxa"/>
            <w:vMerge/>
            <w:tcBorders>
              <w:top w:val="single" w:sz="8" w:space="0" w:color="auto"/>
              <w:left w:val="single" w:sz="12" w:space="0" w:color="auto"/>
              <w:bottom w:val="single" w:sz="8" w:space="0" w:color="000000"/>
              <w:right w:val="single" w:sz="2" w:space="0" w:color="A6A6A6" w:themeColor="background1" w:themeShade="A6"/>
            </w:tcBorders>
            <w:vAlign w:val="center"/>
            <w:hideMark/>
          </w:tcPr>
          <w:p w14:paraId="59BE7663"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bottom"/>
            <w:hideMark/>
          </w:tcPr>
          <w:p w14:paraId="7AD097EA"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Civil society engagement (#1.3)</w:t>
            </w:r>
          </w:p>
        </w:tc>
        <w:tc>
          <w:tcPr>
            <w:tcW w:w="45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2F60F80D"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3618D0EE"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71141BDD"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D8B2B"/>
            <w:noWrap/>
            <w:vAlign w:val="bottom"/>
            <w:hideMark/>
          </w:tcPr>
          <w:p w14:paraId="2B7DF296"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hideMark/>
          </w:tcPr>
          <w:p w14:paraId="19D01D5E"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2D2A78" w:rsidRPr="00785FB4" w14:paraId="266ECB13" w14:textId="77777777" w:rsidTr="007369FB">
        <w:trPr>
          <w:trHeight w:val="147"/>
        </w:trPr>
        <w:tc>
          <w:tcPr>
            <w:tcW w:w="1908" w:type="dxa"/>
            <w:vMerge/>
            <w:tcBorders>
              <w:top w:val="single" w:sz="8" w:space="0" w:color="auto"/>
              <w:left w:val="single" w:sz="12" w:space="0" w:color="auto"/>
              <w:bottom w:val="single" w:sz="8" w:space="0" w:color="000000"/>
              <w:right w:val="single" w:sz="2" w:space="0" w:color="A6A6A6" w:themeColor="background1" w:themeShade="A6"/>
            </w:tcBorders>
            <w:vAlign w:val="center"/>
            <w:hideMark/>
          </w:tcPr>
          <w:p w14:paraId="79BF3EB8"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bottom"/>
            <w:hideMark/>
          </w:tcPr>
          <w:p w14:paraId="38D6020B"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MSG governance (#1.4)</w:t>
            </w:r>
          </w:p>
        </w:tc>
        <w:tc>
          <w:tcPr>
            <w:tcW w:w="45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05193ABD"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C000"/>
            <w:noWrap/>
            <w:vAlign w:val="bottom"/>
            <w:hideMark/>
          </w:tcPr>
          <w:p w14:paraId="33EF16DD"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764CEA95"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7FD04F36"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hideMark/>
          </w:tcPr>
          <w:p w14:paraId="757BB8D5"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2D2A78" w:rsidRPr="00785FB4" w14:paraId="67DFEDD6" w14:textId="77777777" w:rsidTr="007369FB">
        <w:trPr>
          <w:trHeight w:val="132"/>
        </w:trPr>
        <w:tc>
          <w:tcPr>
            <w:tcW w:w="1908" w:type="dxa"/>
            <w:vMerge/>
            <w:tcBorders>
              <w:top w:val="single" w:sz="8" w:space="0" w:color="auto"/>
              <w:left w:val="single" w:sz="12" w:space="0" w:color="auto"/>
              <w:bottom w:val="single" w:sz="12" w:space="0" w:color="000000" w:themeColor="text1"/>
              <w:right w:val="single" w:sz="2" w:space="0" w:color="A6A6A6" w:themeColor="background1" w:themeShade="A6"/>
            </w:tcBorders>
            <w:vAlign w:val="center"/>
            <w:hideMark/>
          </w:tcPr>
          <w:p w14:paraId="03716FF2"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FFFFFF"/>
            <w:noWrap/>
            <w:vAlign w:val="bottom"/>
            <w:hideMark/>
          </w:tcPr>
          <w:p w14:paraId="31E05ACD"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Work plan (#1.5)</w:t>
            </w:r>
          </w:p>
        </w:tc>
        <w:tc>
          <w:tcPr>
            <w:tcW w:w="458"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tcPr>
          <w:p w14:paraId="070833AE"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auto"/>
            <w:noWrap/>
            <w:vAlign w:val="bottom"/>
            <w:hideMark/>
          </w:tcPr>
          <w:p w14:paraId="60B35F71"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85AE42"/>
            <w:noWrap/>
            <w:vAlign w:val="bottom"/>
            <w:hideMark/>
          </w:tcPr>
          <w:p w14:paraId="5C616BF5"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auto"/>
            <w:noWrap/>
            <w:vAlign w:val="bottom"/>
            <w:hideMark/>
          </w:tcPr>
          <w:p w14:paraId="20778427"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auto"/>
            <w:noWrap/>
            <w:vAlign w:val="bottom"/>
            <w:hideMark/>
          </w:tcPr>
          <w:p w14:paraId="24158018"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2D2A78" w:rsidRPr="00785FB4" w14:paraId="5C656B2B" w14:textId="77777777" w:rsidTr="007369FB">
        <w:trPr>
          <w:trHeight w:val="53"/>
        </w:trPr>
        <w:tc>
          <w:tcPr>
            <w:tcW w:w="1908" w:type="dxa"/>
            <w:vMerge w:val="restart"/>
            <w:tcBorders>
              <w:top w:val="single" w:sz="12" w:space="0" w:color="000000" w:themeColor="text1"/>
              <w:left w:val="single" w:sz="12" w:space="0" w:color="auto"/>
              <w:bottom w:val="single" w:sz="2" w:space="0" w:color="A6A6A6" w:themeColor="background1" w:themeShade="A6"/>
              <w:right w:val="single" w:sz="2" w:space="0" w:color="A6A6A6" w:themeColor="background1" w:themeShade="A6"/>
            </w:tcBorders>
            <w:shd w:val="clear" w:color="000000" w:fill="BFBFBF"/>
            <w:noWrap/>
            <w:vAlign w:val="center"/>
            <w:hideMark/>
          </w:tcPr>
          <w:p w14:paraId="14B411C6"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r w:rsidRPr="00785FB4">
              <w:rPr>
                <w:rFonts w:ascii="Calibri" w:hAnsi="Calibri" w:cs="Times New Roman"/>
                <w:b/>
                <w:bCs/>
                <w:color w:val="000000"/>
                <w:lang w:eastAsia="en-GB"/>
              </w:rPr>
              <w:t>Licenses and contracts</w:t>
            </w:r>
          </w:p>
        </w:tc>
        <w:tc>
          <w:tcPr>
            <w:tcW w:w="4095" w:type="dxa"/>
            <w:gridSpan w:val="4"/>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5B1A830A"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Legal framework (#2.1)</w:t>
            </w:r>
          </w:p>
        </w:tc>
        <w:tc>
          <w:tcPr>
            <w:tcW w:w="458"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2321F39F"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688BDE32"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58D81049"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D8B2B"/>
            <w:noWrap/>
            <w:vAlign w:val="bottom"/>
            <w:hideMark/>
          </w:tcPr>
          <w:p w14:paraId="73F59E7A"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hideMark/>
          </w:tcPr>
          <w:p w14:paraId="30CDA5FB"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2D2A78" w:rsidRPr="00785FB4" w14:paraId="003643EA" w14:textId="77777777" w:rsidTr="00732837">
        <w:trPr>
          <w:trHeight w:val="53"/>
        </w:trPr>
        <w:tc>
          <w:tcPr>
            <w:tcW w:w="1908"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39CD3A6C"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114706FF"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License allocations (#2.2)</w:t>
            </w:r>
          </w:p>
        </w:tc>
        <w:tc>
          <w:tcPr>
            <w:tcW w:w="45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6CE41C3B"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AC332"/>
            <w:noWrap/>
            <w:vAlign w:val="bottom"/>
            <w:hideMark/>
          </w:tcPr>
          <w:p w14:paraId="061BFB19"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7A7CA4B4"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1AC77731"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hideMark/>
          </w:tcPr>
          <w:p w14:paraId="7134588E"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2D2A78" w:rsidRPr="00785FB4" w14:paraId="17FC393B" w14:textId="77777777" w:rsidTr="00B45F94">
        <w:trPr>
          <w:trHeight w:val="53"/>
        </w:trPr>
        <w:tc>
          <w:tcPr>
            <w:tcW w:w="1908"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3CD81318"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48614434"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License register (#2.3)</w:t>
            </w:r>
          </w:p>
        </w:tc>
        <w:tc>
          <w:tcPr>
            <w:tcW w:w="45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568267DD"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AC332"/>
            <w:noWrap/>
            <w:vAlign w:val="bottom"/>
            <w:hideMark/>
          </w:tcPr>
          <w:p w14:paraId="63D7757B"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5BC2D49C"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5C635836"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hideMark/>
          </w:tcPr>
          <w:p w14:paraId="6A3BECE7"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2D2A78" w:rsidRPr="00785FB4" w14:paraId="3E4288AD" w14:textId="77777777" w:rsidTr="00B45F94">
        <w:trPr>
          <w:trHeight w:val="53"/>
        </w:trPr>
        <w:tc>
          <w:tcPr>
            <w:tcW w:w="1908"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422C41B5"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36E19C37"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Policy on contract disclosure (#2.4)</w:t>
            </w:r>
          </w:p>
        </w:tc>
        <w:tc>
          <w:tcPr>
            <w:tcW w:w="45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0832AD32"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1B2B0805"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5CDF6BC6"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02368178"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0074AF"/>
            <w:noWrap/>
            <w:vAlign w:val="bottom"/>
            <w:hideMark/>
          </w:tcPr>
          <w:p w14:paraId="001199B6"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2D2A78" w:rsidRPr="00785FB4" w14:paraId="66611543" w14:textId="77777777" w:rsidTr="00732837">
        <w:trPr>
          <w:trHeight w:val="53"/>
        </w:trPr>
        <w:tc>
          <w:tcPr>
            <w:tcW w:w="1908"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1982301B"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327C4DDB"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Beneficial ownership (#2.5)</w:t>
            </w:r>
          </w:p>
        </w:tc>
        <w:tc>
          <w:tcPr>
            <w:tcW w:w="45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9D9D9"/>
          </w:tcPr>
          <w:p w14:paraId="65C3A06D"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9D9D9"/>
            <w:noWrap/>
            <w:vAlign w:val="bottom"/>
            <w:hideMark/>
          </w:tcPr>
          <w:p w14:paraId="1CEE5595"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9D9D9"/>
            <w:noWrap/>
            <w:vAlign w:val="bottom"/>
            <w:hideMark/>
          </w:tcPr>
          <w:p w14:paraId="7E5602C0"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9D9D9"/>
            <w:noWrap/>
            <w:vAlign w:val="bottom"/>
            <w:hideMark/>
          </w:tcPr>
          <w:p w14:paraId="44B486D9"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000000" w:fill="D9D9D9"/>
            <w:noWrap/>
            <w:vAlign w:val="bottom"/>
            <w:hideMark/>
          </w:tcPr>
          <w:p w14:paraId="5CA5F97D"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2D2A78" w:rsidRPr="00785FB4" w14:paraId="742F3540" w14:textId="77777777" w:rsidTr="00732837">
        <w:trPr>
          <w:trHeight w:val="310"/>
        </w:trPr>
        <w:tc>
          <w:tcPr>
            <w:tcW w:w="1908" w:type="dxa"/>
            <w:vMerge/>
            <w:tcBorders>
              <w:top w:val="single" w:sz="2" w:space="0" w:color="A6A6A6" w:themeColor="background1" w:themeShade="A6"/>
              <w:left w:val="single" w:sz="12" w:space="0" w:color="auto"/>
              <w:bottom w:val="single" w:sz="12" w:space="0" w:color="000000" w:themeColor="text1"/>
              <w:right w:val="single" w:sz="2" w:space="0" w:color="A6A6A6" w:themeColor="background1" w:themeShade="A6"/>
            </w:tcBorders>
            <w:vAlign w:val="center"/>
            <w:hideMark/>
          </w:tcPr>
          <w:p w14:paraId="357997E9"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FFFFFF"/>
            <w:noWrap/>
            <w:vAlign w:val="center"/>
            <w:hideMark/>
          </w:tcPr>
          <w:p w14:paraId="14C5A70E"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State participation (#2.6)</w:t>
            </w:r>
          </w:p>
        </w:tc>
        <w:tc>
          <w:tcPr>
            <w:tcW w:w="458"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FFFFFF" w:themeFill="background1"/>
          </w:tcPr>
          <w:p w14:paraId="7DA67CA7"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FAC332"/>
            <w:noWrap/>
            <w:vAlign w:val="bottom"/>
            <w:hideMark/>
          </w:tcPr>
          <w:p w14:paraId="77091830"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FFFFFF" w:themeFill="background1"/>
            <w:noWrap/>
            <w:vAlign w:val="bottom"/>
            <w:hideMark/>
          </w:tcPr>
          <w:p w14:paraId="32F1DDA7"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FFFFFF" w:themeFill="background1"/>
            <w:noWrap/>
            <w:vAlign w:val="bottom"/>
            <w:hideMark/>
          </w:tcPr>
          <w:p w14:paraId="03D11F05"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FFFFFF" w:themeFill="background1"/>
            <w:noWrap/>
            <w:vAlign w:val="bottom"/>
            <w:hideMark/>
          </w:tcPr>
          <w:p w14:paraId="089FC402"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2D2A78" w:rsidRPr="00785FB4" w14:paraId="1AEF0A4D" w14:textId="77777777" w:rsidTr="00AF3913">
        <w:trPr>
          <w:trHeight w:val="249"/>
        </w:trPr>
        <w:tc>
          <w:tcPr>
            <w:tcW w:w="1908" w:type="dxa"/>
            <w:vMerge w:val="restart"/>
            <w:tcBorders>
              <w:top w:val="single" w:sz="12" w:space="0" w:color="000000" w:themeColor="text1"/>
              <w:left w:val="single" w:sz="12" w:space="0" w:color="auto"/>
              <w:bottom w:val="single" w:sz="2" w:space="0" w:color="A6A6A6" w:themeColor="background1" w:themeShade="A6"/>
              <w:right w:val="single" w:sz="2" w:space="0" w:color="A6A6A6" w:themeColor="background1" w:themeShade="A6"/>
            </w:tcBorders>
            <w:shd w:val="clear" w:color="000000" w:fill="BFBFBF"/>
            <w:noWrap/>
            <w:vAlign w:val="center"/>
            <w:hideMark/>
          </w:tcPr>
          <w:p w14:paraId="521ABEC0"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r w:rsidRPr="00785FB4">
              <w:rPr>
                <w:rFonts w:ascii="Calibri" w:hAnsi="Calibri" w:cs="Times New Roman"/>
                <w:b/>
                <w:bCs/>
                <w:color w:val="000000"/>
                <w:lang w:eastAsia="en-GB"/>
              </w:rPr>
              <w:t>Monitoring production</w:t>
            </w:r>
          </w:p>
        </w:tc>
        <w:tc>
          <w:tcPr>
            <w:tcW w:w="4095" w:type="dxa"/>
            <w:gridSpan w:val="4"/>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6714B82B"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Exploration data (#3.1)</w:t>
            </w:r>
          </w:p>
        </w:tc>
        <w:tc>
          <w:tcPr>
            <w:tcW w:w="458"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tcPr>
          <w:p w14:paraId="20EA4375"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14:paraId="562AA051"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14:paraId="3C5521D6"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D8B2A"/>
            <w:noWrap/>
            <w:vAlign w:val="bottom"/>
            <w:hideMark/>
          </w:tcPr>
          <w:p w14:paraId="28FFE37D"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FFFFFF" w:themeFill="background1"/>
            <w:noWrap/>
            <w:vAlign w:val="bottom"/>
            <w:hideMark/>
          </w:tcPr>
          <w:p w14:paraId="7BC6F697"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2D2A78" w:rsidRPr="00785FB4" w14:paraId="028C7138" w14:textId="77777777" w:rsidTr="00AF3913">
        <w:trPr>
          <w:trHeight w:val="300"/>
        </w:trPr>
        <w:tc>
          <w:tcPr>
            <w:tcW w:w="1908"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5F6AE0CC"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223ECE20"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Production data (#3.2)</w:t>
            </w:r>
          </w:p>
        </w:tc>
        <w:tc>
          <w:tcPr>
            <w:tcW w:w="45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tcPr>
          <w:p w14:paraId="5E765732"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AC332"/>
            <w:noWrap/>
            <w:vAlign w:val="bottom"/>
            <w:hideMark/>
          </w:tcPr>
          <w:p w14:paraId="7CFC147E"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6DAB2539"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14:paraId="59BFFADC"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FFFFFF" w:themeFill="background1"/>
            <w:noWrap/>
            <w:vAlign w:val="bottom"/>
            <w:hideMark/>
          </w:tcPr>
          <w:p w14:paraId="3507AD34"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2D2A78" w:rsidRPr="00785FB4" w14:paraId="5B86F311" w14:textId="77777777" w:rsidTr="00AF3913">
        <w:trPr>
          <w:trHeight w:val="204"/>
        </w:trPr>
        <w:tc>
          <w:tcPr>
            <w:tcW w:w="1908" w:type="dxa"/>
            <w:vMerge/>
            <w:tcBorders>
              <w:top w:val="single" w:sz="2" w:space="0" w:color="A6A6A6" w:themeColor="background1" w:themeShade="A6"/>
              <w:left w:val="single" w:sz="12" w:space="0" w:color="auto"/>
              <w:bottom w:val="single" w:sz="12" w:space="0" w:color="000000" w:themeColor="text1"/>
              <w:right w:val="single" w:sz="2" w:space="0" w:color="A6A6A6" w:themeColor="background1" w:themeShade="A6"/>
            </w:tcBorders>
            <w:vAlign w:val="center"/>
            <w:hideMark/>
          </w:tcPr>
          <w:p w14:paraId="60E03634"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FFFFFF"/>
            <w:noWrap/>
            <w:vAlign w:val="center"/>
            <w:hideMark/>
          </w:tcPr>
          <w:p w14:paraId="148C3FF6"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Export data (#3.3)</w:t>
            </w:r>
          </w:p>
        </w:tc>
        <w:tc>
          <w:tcPr>
            <w:tcW w:w="458"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C00000"/>
          </w:tcPr>
          <w:p w14:paraId="637E8D64"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auto"/>
            <w:noWrap/>
            <w:vAlign w:val="bottom"/>
            <w:hideMark/>
          </w:tcPr>
          <w:p w14:paraId="09032B0B"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FFFFFF" w:themeFill="background1"/>
            <w:noWrap/>
            <w:vAlign w:val="bottom"/>
            <w:hideMark/>
          </w:tcPr>
          <w:p w14:paraId="5997062F"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FFFFFF" w:themeFill="background1"/>
            <w:noWrap/>
            <w:vAlign w:val="bottom"/>
            <w:hideMark/>
          </w:tcPr>
          <w:p w14:paraId="11D513F7"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FFFFFF" w:themeFill="background1"/>
            <w:noWrap/>
            <w:vAlign w:val="bottom"/>
            <w:hideMark/>
          </w:tcPr>
          <w:p w14:paraId="366BAADF"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2D2A78" w:rsidRPr="00785FB4" w14:paraId="13BB08E7" w14:textId="77777777" w:rsidTr="00732837">
        <w:trPr>
          <w:trHeight w:val="285"/>
        </w:trPr>
        <w:tc>
          <w:tcPr>
            <w:tcW w:w="1908" w:type="dxa"/>
            <w:vMerge w:val="restart"/>
            <w:tcBorders>
              <w:top w:val="single" w:sz="12" w:space="0" w:color="000000" w:themeColor="text1"/>
              <w:left w:val="single" w:sz="12" w:space="0" w:color="auto"/>
              <w:bottom w:val="single" w:sz="2" w:space="0" w:color="A6A6A6" w:themeColor="background1" w:themeShade="A6"/>
              <w:right w:val="single" w:sz="2" w:space="0" w:color="A6A6A6" w:themeColor="background1" w:themeShade="A6"/>
            </w:tcBorders>
            <w:shd w:val="clear" w:color="000000" w:fill="BFBFBF"/>
            <w:noWrap/>
            <w:vAlign w:val="center"/>
            <w:hideMark/>
          </w:tcPr>
          <w:p w14:paraId="6327CD02"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r w:rsidRPr="00785FB4">
              <w:rPr>
                <w:rFonts w:ascii="Calibri" w:hAnsi="Calibri" w:cs="Times New Roman"/>
                <w:b/>
                <w:bCs/>
                <w:color w:val="000000"/>
                <w:lang w:eastAsia="en-GB"/>
              </w:rPr>
              <w:t>Revenue collection</w:t>
            </w:r>
          </w:p>
        </w:tc>
        <w:tc>
          <w:tcPr>
            <w:tcW w:w="4095" w:type="dxa"/>
            <w:gridSpan w:val="4"/>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08F0ACE8"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Comprehensiveness (#4.1)</w:t>
            </w:r>
          </w:p>
        </w:tc>
        <w:tc>
          <w:tcPr>
            <w:tcW w:w="458"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tcPr>
          <w:p w14:paraId="1425F855"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14:paraId="0FB48343"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85AE42"/>
            <w:noWrap/>
            <w:vAlign w:val="bottom"/>
            <w:hideMark/>
          </w:tcPr>
          <w:p w14:paraId="1B1C6587"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14:paraId="2B6FAAC2"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FFFFFF" w:themeFill="background1"/>
            <w:noWrap/>
            <w:vAlign w:val="bottom"/>
            <w:hideMark/>
          </w:tcPr>
          <w:p w14:paraId="75F6AF96"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732837" w:rsidRPr="00785FB4" w14:paraId="2EFA8AF9" w14:textId="77777777" w:rsidTr="00732837">
        <w:trPr>
          <w:trHeight w:val="53"/>
        </w:trPr>
        <w:tc>
          <w:tcPr>
            <w:tcW w:w="1908"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09513FB1"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0D051E81"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In-kind revenues (#4.2)</w:t>
            </w:r>
          </w:p>
        </w:tc>
        <w:tc>
          <w:tcPr>
            <w:tcW w:w="45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FFFFFF" w:themeFill="background1"/>
          </w:tcPr>
          <w:p w14:paraId="186FECFE"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FFFFFF" w:themeFill="background1"/>
            <w:noWrap/>
            <w:vAlign w:val="bottom"/>
            <w:hideMark/>
          </w:tcPr>
          <w:p w14:paraId="18E3939C"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FFFFFF" w:themeFill="background1"/>
            <w:noWrap/>
            <w:vAlign w:val="bottom"/>
            <w:hideMark/>
          </w:tcPr>
          <w:p w14:paraId="6DA27826"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FFFFFF" w:themeFill="background1"/>
            <w:noWrap/>
            <w:vAlign w:val="bottom"/>
            <w:hideMark/>
          </w:tcPr>
          <w:p w14:paraId="0CE837A7"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FFFFFF" w:themeFill="background1"/>
            <w:noWrap/>
            <w:vAlign w:val="bottom"/>
            <w:hideMark/>
          </w:tcPr>
          <w:p w14:paraId="43ABC03C"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732837" w:rsidRPr="00785FB4" w14:paraId="3DCC0066" w14:textId="77777777" w:rsidTr="00B45F94">
        <w:trPr>
          <w:trHeight w:val="77"/>
        </w:trPr>
        <w:tc>
          <w:tcPr>
            <w:tcW w:w="1908"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5CB24FBE"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3FAA0B55"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Barter agreements (#4.3)</w:t>
            </w:r>
          </w:p>
        </w:tc>
        <w:tc>
          <w:tcPr>
            <w:tcW w:w="45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FFFFFF" w:themeFill="background1"/>
          </w:tcPr>
          <w:p w14:paraId="79819783"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FFFFFF" w:themeFill="background1"/>
            <w:noWrap/>
            <w:vAlign w:val="bottom"/>
            <w:hideMark/>
          </w:tcPr>
          <w:p w14:paraId="7B9E8269"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FFFFFF" w:themeFill="background1"/>
            <w:noWrap/>
            <w:vAlign w:val="bottom"/>
            <w:hideMark/>
          </w:tcPr>
          <w:p w14:paraId="0AFDDFDF"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FFFFFF" w:themeFill="background1"/>
            <w:noWrap/>
            <w:vAlign w:val="bottom"/>
            <w:hideMark/>
          </w:tcPr>
          <w:p w14:paraId="48822CE0"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FFFFFF" w:themeFill="background1"/>
            <w:noWrap/>
            <w:vAlign w:val="bottom"/>
            <w:hideMark/>
          </w:tcPr>
          <w:p w14:paraId="4500766D"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99209D" w:rsidRPr="00785FB4" w14:paraId="2381870B" w14:textId="77777777" w:rsidTr="007369FB">
        <w:trPr>
          <w:trHeight w:val="53"/>
        </w:trPr>
        <w:tc>
          <w:tcPr>
            <w:tcW w:w="1908"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563829DC"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43AAD0D6"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Transportation revenues (#4.4)</w:t>
            </w:r>
          </w:p>
        </w:tc>
        <w:tc>
          <w:tcPr>
            <w:tcW w:w="45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tcPr>
          <w:p w14:paraId="0B1A7B83"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C000"/>
            <w:noWrap/>
            <w:vAlign w:val="bottom"/>
            <w:hideMark/>
          </w:tcPr>
          <w:p w14:paraId="1200F4EF"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center"/>
            <w:hideMark/>
          </w:tcPr>
          <w:p w14:paraId="49C12BF9" w14:textId="77777777" w:rsidR="001563CC" w:rsidRPr="00785FB4" w:rsidRDefault="001563CC" w:rsidP="00D452A8">
            <w:pPr>
              <w:widowControl/>
              <w:suppressAutoHyphens w:val="0"/>
              <w:spacing w:after="0" w:line="240" w:lineRule="auto"/>
              <w:jc w:val="center"/>
              <w:rPr>
                <w:rFonts w:ascii="Calibri" w:hAnsi="Calibri" w:cs="Times New Roman"/>
                <w:color w:val="00B050"/>
                <w:lang w:eastAsia="en-GB"/>
              </w:rPr>
            </w:pPr>
            <w:r w:rsidRPr="00785FB4">
              <w:rPr>
                <w:rFonts w:ascii="Calibri" w:hAnsi="Calibri" w:cs="Times New Roman"/>
                <w:color w:val="00B050"/>
                <w:lang w:eastAsia="en-GB"/>
              </w:rPr>
              <w:t> </w:t>
            </w:r>
          </w:p>
        </w:tc>
        <w:tc>
          <w:tcPr>
            <w:tcW w:w="44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center"/>
            <w:hideMark/>
          </w:tcPr>
          <w:p w14:paraId="12C0BD50" w14:textId="77777777" w:rsidR="001563CC" w:rsidRPr="00785FB4" w:rsidRDefault="001563CC" w:rsidP="00D452A8">
            <w:pPr>
              <w:widowControl/>
              <w:suppressAutoHyphens w:val="0"/>
              <w:spacing w:after="0" w:line="240" w:lineRule="auto"/>
              <w:jc w:val="center"/>
              <w:rPr>
                <w:rFonts w:ascii="Calibri" w:hAnsi="Calibri" w:cs="Times New Roman"/>
                <w:color w:val="00B050"/>
                <w:lang w:eastAsia="en-GB"/>
              </w:rPr>
            </w:pPr>
            <w:r w:rsidRPr="00785FB4">
              <w:rPr>
                <w:rFonts w:ascii="Calibri" w:hAnsi="Calibri" w:cs="Times New Roman"/>
                <w:color w:val="00B050"/>
                <w:lang w:eastAsia="en-GB"/>
              </w:rPr>
              <w:t> </w:t>
            </w:r>
          </w:p>
        </w:tc>
        <w:tc>
          <w:tcPr>
            <w:tcW w:w="4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FFFFFF" w:themeFill="background1"/>
            <w:noWrap/>
            <w:vAlign w:val="center"/>
            <w:hideMark/>
          </w:tcPr>
          <w:p w14:paraId="072B4EFA" w14:textId="77777777" w:rsidR="001563CC" w:rsidRPr="00785FB4" w:rsidRDefault="001563CC" w:rsidP="00D452A8">
            <w:pPr>
              <w:widowControl/>
              <w:suppressAutoHyphens w:val="0"/>
              <w:spacing w:after="0" w:line="240" w:lineRule="auto"/>
              <w:jc w:val="center"/>
              <w:rPr>
                <w:rFonts w:ascii="Calibri" w:hAnsi="Calibri" w:cs="Times New Roman"/>
                <w:color w:val="00B050"/>
                <w:lang w:eastAsia="en-GB"/>
              </w:rPr>
            </w:pPr>
            <w:r w:rsidRPr="00785FB4">
              <w:rPr>
                <w:rFonts w:ascii="Calibri" w:hAnsi="Calibri" w:cs="Times New Roman"/>
                <w:color w:val="00B050"/>
                <w:lang w:eastAsia="en-GB"/>
              </w:rPr>
              <w:t> </w:t>
            </w:r>
          </w:p>
        </w:tc>
      </w:tr>
      <w:tr w:rsidR="00732837" w:rsidRPr="00785FB4" w14:paraId="65D15E06" w14:textId="77777777" w:rsidTr="00B45F94">
        <w:trPr>
          <w:trHeight w:val="53"/>
        </w:trPr>
        <w:tc>
          <w:tcPr>
            <w:tcW w:w="1908"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3B2669A4"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4BAF9EB4"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SOE transactions (#4.5)</w:t>
            </w:r>
          </w:p>
        </w:tc>
        <w:tc>
          <w:tcPr>
            <w:tcW w:w="45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tcPr>
          <w:p w14:paraId="2B684F56"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5BB857F4"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84AE44"/>
            <w:noWrap/>
            <w:vAlign w:val="center"/>
            <w:hideMark/>
          </w:tcPr>
          <w:p w14:paraId="4A1310F2" w14:textId="77777777" w:rsidR="001563CC" w:rsidRPr="00785FB4" w:rsidRDefault="001563CC" w:rsidP="00D452A8">
            <w:pPr>
              <w:widowControl/>
              <w:suppressAutoHyphens w:val="0"/>
              <w:spacing w:after="0" w:line="240" w:lineRule="auto"/>
              <w:jc w:val="center"/>
              <w:rPr>
                <w:rFonts w:ascii="Calibri" w:hAnsi="Calibri" w:cs="Times New Roman"/>
                <w:color w:val="00B050"/>
                <w:lang w:eastAsia="en-GB"/>
              </w:rPr>
            </w:pPr>
            <w:r w:rsidRPr="00785FB4">
              <w:rPr>
                <w:rFonts w:ascii="Calibri" w:hAnsi="Calibri" w:cs="Times New Roman"/>
                <w:color w:val="00B050"/>
                <w:lang w:eastAsia="en-GB"/>
              </w:rPr>
              <w:t> </w:t>
            </w:r>
          </w:p>
        </w:tc>
        <w:tc>
          <w:tcPr>
            <w:tcW w:w="44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14:paraId="587DDD91"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FFFFFF" w:themeFill="background1"/>
            <w:noWrap/>
            <w:vAlign w:val="bottom"/>
            <w:hideMark/>
          </w:tcPr>
          <w:p w14:paraId="6FA9F2B8"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732837" w:rsidRPr="00785FB4" w14:paraId="0A4C9599" w14:textId="77777777" w:rsidTr="00157160">
        <w:trPr>
          <w:trHeight w:val="281"/>
        </w:trPr>
        <w:tc>
          <w:tcPr>
            <w:tcW w:w="1908"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2C10FCA6"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22B9386F"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Direct subnational payments (#4.6)</w:t>
            </w:r>
          </w:p>
        </w:tc>
        <w:tc>
          <w:tcPr>
            <w:tcW w:w="45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FFFFFF" w:themeFill="background1"/>
          </w:tcPr>
          <w:p w14:paraId="36B6C2C8"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FFFFFF" w:themeFill="background1"/>
            <w:noWrap/>
            <w:vAlign w:val="bottom"/>
            <w:hideMark/>
          </w:tcPr>
          <w:p w14:paraId="1C5B3EF0"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FFFFFF" w:themeFill="background1"/>
            <w:noWrap/>
            <w:vAlign w:val="bottom"/>
            <w:hideMark/>
          </w:tcPr>
          <w:p w14:paraId="738A2D37"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FFFFFF" w:themeFill="background1"/>
            <w:noWrap/>
            <w:vAlign w:val="bottom"/>
            <w:hideMark/>
          </w:tcPr>
          <w:p w14:paraId="16F58162"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FFFFFF" w:themeFill="background1"/>
            <w:noWrap/>
            <w:vAlign w:val="bottom"/>
            <w:hideMark/>
          </w:tcPr>
          <w:p w14:paraId="63713D61"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732837" w:rsidRPr="00785FB4" w14:paraId="3369BD54" w14:textId="77777777" w:rsidTr="00732837">
        <w:trPr>
          <w:trHeight w:val="53"/>
        </w:trPr>
        <w:tc>
          <w:tcPr>
            <w:tcW w:w="1908"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3713BC84"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0B33D4B2"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Disaggregation (#4.7)</w:t>
            </w:r>
          </w:p>
        </w:tc>
        <w:tc>
          <w:tcPr>
            <w:tcW w:w="45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tcPr>
          <w:p w14:paraId="5E7361BE"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14:paraId="0B798EE4"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14:paraId="516B84A3"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D8B2A"/>
            <w:noWrap/>
            <w:vAlign w:val="bottom"/>
            <w:hideMark/>
          </w:tcPr>
          <w:p w14:paraId="24CC49D1"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FFFFFF" w:themeFill="background1"/>
            <w:noWrap/>
            <w:vAlign w:val="bottom"/>
            <w:hideMark/>
          </w:tcPr>
          <w:p w14:paraId="4C38A048"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732837" w:rsidRPr="00785FB4" w14:paraId="0D494BCB" w14:textId="77777777" w:rsidTr="00B45F94">
        <w:trPr>
          <w:trHeight w:val="56"/>
        </w:trPr>
        <w:tc>
          <w:tcPr>
            <w:tcW w:w="1908"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7A910AD1"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2958E2D2"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Data timeliness (#4.8)</w:t>
            </w:r>
          </w:p>
        </w:tc>
        <w:tc>
          <w:tcPr>
            <w:tcW w:w="45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tcPr>
          <w:p w14:paraId="52026589"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14:paraId="40FE0B0B"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14:paraId="6CFA6967"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D8B2A"/>
            <w:noWrap/>
            <w:vAlign w:val="bottom"/>
            <w:hideMark/>
          </w:tcPr>
          <w:p w14:paraId="5DAA8E66"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FFFFFF" w:themeFill="background1"/>
            <w:noWrap/>
            <w:vAlign w:val="bottom"/>
            <w:hideMark/>
          </w:tcPr>
          <w:p w14:paraId="7325D42A"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732837" w:rsidRPr="00785FB4" w14:paraId="68D51547" w14:textId="77777777" w:rsidTr="00B45F94">
        <w:trPr>
          <w:trHeight w:val="300"/>
        </w:trPr>
        <w:tc>
          <w:tcPr>
            <w:tcW w:w="1908" w:type="dxa"/>
            <w:vMerge/>
            <w:tcBorders>
              <w:top w:val="single" w:sz="2" w:space="0" w:color="A6A6A6" w:themeColor="background1" w:themeShade="A6"/>
              <w:left w:val="single" w:sz="12" w:space="0" w:color="auto"/>
              <w:bottom w:val="single" w:sz="12" w:space="0" w:color="000000" w:themeColor="text1"/>
              <w:right w:val="single" w:sz="2" w:space="0" w:color="A6A6A6" w:themeColor="background1" w:themeShade="A6"/>
            </w:tcBorders>
            <w:vAlign w:val="center"/>
            <w:hideMark/>
          </w:tcPr>
          <w:p w14:paraId="4FED5A06"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FFFFFF"/>
            <w:noWrap/>
            <w:vAlign w:val="center"/>
            <w:hideMark/>
          </w:tcPr>
          <w:p w14:paraId="5FA3899F"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Data quality (#4.9)</w:t>
            </w:r>
          </w:p>
        </w:tc>
        <w:tc>
          <w:tcPr>
            <w:tcW w:w="458"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FFFFFF" w:themeFill="background1"/>
          </w:tcPr>
          <w:p w14:paraId="1FE372C1"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auto"/>
            <w:noWrap/>
            <w:vAlign w:val="bottom"/>
            <w:hideMark/>
          </w:tcPr>
          <w:p w14:paraId="73B60F5B"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85AE42"/>
            <w:noWrap/>
            <w:vAlign w:val="bottom"/>
            <w:hideMark/>
          </w:tcPr>
          <w:p w14:paraId="2A780D92"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FFFFFF" w:themeFill="background1"/>
            <w:noWrap/>
            <w:vAlign w:val="bottom"/>
            <w:hideMark/>
          </w:tcPr>
          <w:p w14:paraId="5AAD6916"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FFFFFF" w:themeFill="background1"/>
            <w:noWrap/>
            <w:vAlign w:val="bottom"/>
            <w:hideMark/>
          </w:tcPr>
          <w:p w14:paraId="49A56308"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732837" w:rsidRPr="00785FB4" w14:paraId="4A7C543D" w14:textId="77777777" w:rsidTr="00EE2853">
        <w:trPr>
          <w:trHeight w:val="179"/>
        </w:trPr>
        <w:tc>
          <w:tcPr>
            <w:tcW w:w="1908" w:type="dxa"/>
            <w:vMerge w:val="restart"/>
            <w:tcBorders>
              <w:top w:val="single" w:sz="12" w:space="0" w:color="000000" w:themeColor="text1"/>
              <w:left w:val="single" w:sz="12" w:space="0" w:color="auto"/>
              <w:bottom w:val="single" w:sz="2" w:space="0" w:color="A6A6A6" w:themeColor="background1" w:themeShade="A6"/>
              <w:right w:val="single" w:sz="2" w:space="0" w:color="A6A6A6" w:themeColor="background1" w:themeShade="A6"/>
            </w:tcBorders>
            <w:shd w:val="clear" w:color="000000" w:fill="BFBFBF"/>
            <w:vAlign w:val="center"/>
            <w:hideMark/>
          </w:tcPr>
          <w:p w14:paraId="519E29CC"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r w:rsidRPr="00785FB4">
              <w:rPr>
                <w:rFonts w:ascii="Calibri" w:hAnsi="Calibri" w:cs="Times New Roman"/>
                <w:b/>
                <w:bCs/>
                <w:color w:val="000000"/>
                <w:lang w:eastAsia="en-GB"/>
              </w:rPr>
              <w:t>Revenue allocation</w:t>
            </w:r>
          </w:p>
        </w:tc>
        <w:tc>
          <w:tcPr>
            <w:tcW w:w="4095" w:type="dxa"/>
            <w:gridSpan w:val="4"/>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vAlign w:val="center"/>
            <w:hideMark/>
          </w:tcPr>
          <w:p w14:paraId="3BB64B41"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Distribution of revenues (#5.1)</w:t>
            </w:r>
          </w:p>
        </w:tc>
        <w:tc>
          <w:tcPr>
            <w:tcW w:w="458"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5B71D5C7"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AC531"/>
            <w:noWrap/>
            <w:vAlign w:val="bottom"/>
            <w:hideMark/>
          </w:tcPr>
          <w:p w14:paraId="392312FA"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119BD8F0"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auto"/>
            <w:noWrap/>
            <w:vAlign w:val="bottom"/>
            <w:hideMark/>
          </w:tcPr>
          <w:p w14:paraId="22DE3A0B"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hideMark/>
          </w:tcPr>
          <w:p w14:paraId="42657D15"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732837" w:rsidRPr="00785FB4" w14:paraId="662B5A7A" w14:textId="77777777" w:rsidTr="00B45F94">
        <w:trPr>
          <w:trHeight w:val="67"/>
        </w:trPr>
        <w:tc>
          <w:tcPr>
            <w:tcW w:w="1908"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1EB87830"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vAlign w:val="center"/>
            <w:hideMark/>
          </w:tcPr>
          <w:p w14:paraId="25E77C9E"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Subnational transfers (#5.2)</w:t>
            </w:r>
          </w:p>
        </w:tc>
        <w:tc>
          <w:tcPr>
            <w:tcW w:w="45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tcPr>
          <w:p w14:paraId="3CA46F33"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hideMark/>
          </w:tcPr>
          <w:p w14:paraId="0B4ABB0B"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hideMark/>
          </w:tcPr>
          <w:p w14:paraId="4CF63B5C"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hideMark/>
          </w:tcPr>
          <w:p w14:paraId="1D501243"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auto"/>
            <w:noWrap/>
            <w:vAlign w:val="bottom"/>
            <w:hideMark/>
          </w:tcPr>
          <w:p w14:paraId="23D96604"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732837" w:rsidRPr="00785FB4" w14:paraId="0A66E3D7" w14:textId="77777777" w:rsidTr="00B45F94">
        <w:trPr>
          <w:trHeight w:val="204"/>
        </w:trPr>
        <w:tc>
          <w:tcPr>
            <w:tcW w:w="1908" w:type="dxa"/>
            <w:vMerge/>
            <w:tcBorders>
              <w:top w:val="single" w:sz="2" w:space="0" w:color="A6A6A6" w:themeColor="background1" w:themeShade="A6"/>
              <w:left w:val="single" w:sz="12" w:space="0" w:color="auto"/>
              <w:bottom w:val="single" w:sz="12" w:space="0" w:color="000000" w:themeColor="text1"/>
              <w:right w:val="single" w:sz="2" w:space="0" w:color="A6A6A6" w:themeColor="background1" w:themeShade="A6"/>
            </w:tcBorders>
            <w:vAlign w:val="center"/>
            <w:hideMark/>
          </w:tcPr>
          <w:p w14:paraId="283AEEE9"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FFFFFF"/>
            <w:vAlign w:val="center"/>
            <w:hideMark/>
          </w:tcPr>
          <w:p w14:paraId="77EC2C65"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Revenue management and expenditures (#5.3)</w:t>
            </w:r>
          </w:p>
        </w:tc>
        <w:tc>
          <w:tcPr>
            <w:tcW w:w="458"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D9D9D9"/>
          </w:tcPr>
          <w:p w14:paraId="3A701108"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D9D9D9"/>
            <w:noWrap/>
            <w:vAlign w:val="bottom"/>
            <w:hideMark/>
          </w:tcPr>
          <w:p w14:paraId="784A40EF"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D9D9D9"/>
            <w:noWrap/>
            <w:vAlign w:val="bottom"/>
            <w:hideMark/>
          </w:tcPr>
          <w:p w14:paraId="53AA19A4"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D9D9D9"/>
            <w:noWrap/>
            <w:vAlign w:val="bottom"/>
            <w:hideMark/>
          </w:tcPr>
          <w:p w14:paraId="3FA69C7E"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000000" w:fill="D9D9D9"/>
            <w:noWrap/>
            <w:vAlign w:val="bottom"/>
            <w:hideMark/>
          </w:tcPr>
          <w:p w14:paraId="75CE6789"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732837" w:rsidRPr="00785FB4" w14:paraId="071F04CA" w14:textId="77777777" w:rsidTr="00B45F94">
        <w:trPr>
          <w:trHeight w:val="41"/>
        </w:trPr>
        <w:tc>
          <w:tcPr>
            <w:tcW w:w="1908" w:type="dxa"/>
            <w:vMerge w:val="restart"/>
            <w:tcBorders>
              <w:top w:val="single" w:sz="12" w:space="0" w:color="000000" w:themeColor="text1"/>
              <w:left w:val="single" w:sz="12" w:space="0" w:color="auto"/>
              <w:bottom w:val="single" w:sz="2" w:space="0" w:color="A6A6A6" w:themeColor="background1" w:themeShade="A6"/>
              <w:right w:val="single" w:sz="2" w:space="0" w:color="A6A6A6" w:themeColor="background1" w:themeShade="A6"/>
            </w:tcBorders>
            <w:shd w:val="clear" w:color="000000" w:fill="BFBFBF"/>
            <w:vAlign w:val="center"/>
            <w:hideMark/>
          </w:tcPr>
          <w:p w14:paraId="283F6654"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r w:rsidRPr="00785FB4">
              <w:rPr>
                <w:rFonts w:ascii="Calibri" w:hAnsi="Calibri" w:cs="Times New Roman"/>
                <w:b/>
                <w:bCs/>
                <w:color w:val="000000"/>
                <w:lang w:eastAsia="en-GB"/>
              </w:rPr>
              <w:t>Socio-economic contribution</w:t>
            </w:r>
          </w:p>
        </w:tc>
        <w:tc>
          <w:tcPr>
            <w:tcW w:w="4095" w:type="dxa"/>
            <w:gridSpan w:val="4"/>
            <w:tcBorders>
              <w:top w:val="single" w:sz="12" w:space="0" w:color="000000" w:themeColor="text1"/>
              <w:left w:val="single" w:sz="2" w:space="0" w:color="A6A6A6" w:themeColor="background1" w:themeShade="A6"/>
              <w:right w:val="single" w:sz="2" w:space="0" w:color="A6A6A6" w:themeColor="background1" w:themeShade="A6"/>
            </w:tcBorders>
            <w:shd w:val="clear" w:color="000000" w:fill="FFFFFF"/>
            <w:vAlign w:val="center"/>
            <w:hideMark/>
          </w:tcPr>
          <w:p w14:paraId="23457956" w14:textId="000DDE0B"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Mand</w:t>
            </w:r>
            <w:r w:rsidR="00732837" w:rsidRPr="00785FB4">
              <w:rPr>
                <w:rFonts w:ascii="Calibri" w:hAnsi="Calibri" w:cs="Times New Roman"/>
                <w:color w:val="000000"/>
                <w:sz w:val="20"/>
                <w:szCs w:val="20"/>
                <w:lang w:eastAsia="en-GB"/>
              </w:rPr>
              <w:t>atory social expenditures (#6.1</w:t>
            </w:r>
            <w:r w:rsidRPr="00785FB4">
              <w:rPr>
                <w:rFonts w:ascii="Calibri" w:hAnsi="Calibri" w:cs="Times New Roman"/>
                <w:color w:val="000000"/>
                <w:sz w:val="20"/>
                <w:szCs w:val="20"/>
                <w:lang w:eastAsia="en-GB"/>
              </w:rPr>
              <w:t>)</w:t>
            </w:r>
          </w:p>
        </w:tc>
        <w:tc>
          <w:tcPr>
            <w:tcW w:w="458"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3B4CA365"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AC636"/>
            <w:noWrap/>
            <w:vAlign w:val="bottom"/>
            <w:hideMark/>
          </w:tcPr>
          <w:p w14:paraId="06253AA7" w14:textId="77777777" w:rsidR="001563CC" w:rsidRPr="00785FB4" w:rsidRDefault="001563CC" w:rsidP="00D452A8">
            <w:pPr>
              <w:spacing w:after="0"/>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5D47CDCA" w14:textId="77777777" w:rsidR="001563CC" w:rsidRPr="00785FB4" w:rsidRDefault="001563CC" w:rsidP="00D452A8">
            <w:pPr>
              <w:spacing w:after="0"/>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26AEB645"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00"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hideMark/>
          </w:tcPr>
          <w:p w14:paraId="17934086"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r>
      <w:tr w:rsidR="00732837" w:rsidRPr="00785FB4" w14:paraId="7D0440AD" w14:textId="77777777" w:rsidTr="00B45F94">
        <w:trPr>
          <w:trHeight w:val="106"/>
        </w:trPr>
        <w:tc>
          <w:tcPr>
            <w:tcW w:w="1908"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4C075E06"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vAlign w:val="center"/>
            <w:hideMark/>
          </w:tcPr>
          <w:p w14:paraId="51AEDF33"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SOE quasi-fiscal expenditures (#6.2)</w:t>
            </w:r>
          </w:p>
        </w:tc>
        <w:tc>
          <w:tcPr>
            <w:tcW w:w="45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C00000"/>
          </w:tcPr>
          <w:p w14:paraId="3CB58B42"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1BAC33C0"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384A1F3F"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0E9D8D34"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hideMark/>
          </w:tcPr>
          <w:p w14:paraId="4D3ECB26"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732837" w:rsidRPr="00785FB4" w14:paraId="6DE74B3C" w14:textId="77777777" w:rsidTr="00B45F94">
        <w:trPr>
          <w:trHeight w:val="189"/>
        </w:trPr>
        <w:tc>
          <w:tcPr>
            <w:tcW w:w="1908" w:type="dxa"/>
            <w:vMerge/>
            <w:tcBorders>
              <w:top w:val="single" w:sz="2" w:space="0" w:color="A6A6A6" w:themeColor="background1" w:themeShade="A6"/>
              <w:left w:val="single" w:sz="12" w:space="0" w:color="auto"/>
              <w:bottom w:val="single" w:sz="12" w:space="0" w:color="auto"/>
              <w:right w:val="single" w:sz="2" w:space="0" w:color="A6A6A6" w:themeColor="background1" w:themeShade="A6"/>
            </w:tcBorders>
            <w:vAlign w:val="center"/>
            <w:hideMark/>
          </w:tcPr>
          <w:p w14:paraId="27321ED1"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000000" w:fill="FFFFFF"/>
            <w:vAlign w:val="center"/>
            <w:hideMark/>
          </w:tcPr>
          <w:p w14:paraId="48D4F60B"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Economic contribution (#6.3)</w:t>
            </w:r>
          </w:p>
        </w:tc>
        <w:tc>
          <w:tcPr>
            <w:tcW w:w="458"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tcPr>
          <w:p w14:paraId="2CEFCDBA"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auto" w:fill="FAC636"/>
            <w:noWrap/>
            <w:vAlign w:val="bottom"/>
            <w:hideMark/>
          </w:tcPr>
          <w:p w14:paraId="06B42839"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auto" w:fill="auto"/>
            <w:noWrap/>
            <w:vAlign w:val="bottom"/>
            <w:hideMark/>
          </w:tcPr>
          <w:p w14:paraId="4877C968"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auto" w:fill="auto"/>
            <w:noWrap/>
            <w:vAlign w:val="bottom"/>
            <w:hideMark/>
          </w:tcPr>
          <w:p w14:paraId="36766530"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2" w:space="0" w:color="A6A6A6" w:themeColor="background1" w:themeShade="A6"/>
              <w:left w:val="single" w:sz="2" w:space="0" w:color="A6A6A6" w:themeColor="background1" w:themeShade="A6"/>
              <w:bottom w:val="single" w:sz="12" w:space="0" w:color="auto"/>
              <w:right w:val="single" w:sz="12" w:space="0" w:color="auto"/>
            </w:tcBorders>
            <w:shd w:val="clear" w:color="auto" w:fill="auto"/>
            <w:noWrap/>
            <w:vAlign w:val="bottom"/>
            <w:hideMark/>
          </w:tcPr>
          <w:p w14:paraId="7714A412"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732837" w:rsidRPr="00785FB4" w14:paraId="4626DADD" w14:textId="77777777" w:rsidTr="00FE4F18">
        <w:trPr>
          <w:trHeight w:val="94"/>
        </w:trPr>
        <w:tc>
          <w:tcPr>
            <w:tcW w:w="1908" w:type="dxa"/>
            <w:vMerge w:val="restart"/>
            <w:tcBorders>
              <w:top w:val="single" w:sz="12" w:space="0" w:color="auto"/>
              <w:left w:val="single" w:sz="12" w:space="0" w:color="auto"/>
              <w:bottom w:val="single" w:sz="2" w:space="0" w:color="A6A6A6" w:themeColor="background1" w:themeShade="A6"/>
              <w:right w:val="single" w:sz="2" w:space="0" w:color="A6A6A6" w:themeColor="background1" w:themeShade="A6"/>
            </w:tcBorders>
            <w:shd w:val="clear" w:color="000000" w:fill="BFBFBF"/>
            <w:noWrap/>
            <w:vAlign w:val="center"/>
            <w:hideMark/>
          </w:tcPr>
          <w:p w14:paraId="5D3E3102"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r w:rsidRPr="00785FB4">
              <w:rPr>
                <w:rFonts w:ascii="Calibri" w:hAnsi="Calibri" w:cs="Times New Roman"/>
                <w:b/>
                <w:bCs/>
                <w:color w:val="000000"/>
                <w:lang w:eastAsia="en-GB"/>
              </w:rPr>
              <w:t>Outcomes and impact</w:t>
            </w:r>
          </w:p>
        </w:tc>
        <w:tc>
          <w:tcPr>
            <w:tcW w:w="4095" w:type="dxa"/>
            <w:gridSpan w:val="4"/>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35EB0F71"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Public debate (#7.1)</w:t>
            </w:r>
          </w:p>
        </w:tc>
        <w:tc>
          <w:tcPr>
            <w:tcW w:w="458"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tcPr>
          <w:p w14:paraId="15BC233E"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6DA0B60C"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85AE42"/>
            <w:noWrap/>
            <w:vAlign w:val="bottom"/>
            <w:hideMark/>
          </w:tcPr>
          <w:p w14:paraId="4974D0DC"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217D7458"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12" w:space="0" w:color="auto"/>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hideMark/>
          </w:tcPr>
          <w:p w14:paraId="64E52770"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732837" w:rsidRPr="00785FB4" w14:paraId="0762B67E" w14:textId="77777777" w:rsidTr="00732837">
        <w:trPr>
          <w:trHeight w:val="282"/>
        </w:trPr>
        <w:tc>
          <w:tcPr>
            <w:tcW w:w="1908"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5BA72EB2"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37B73769"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Data accessibility (#7.2)</w:t>
            </w:r>
          </w:p>
        </w:tc>
        <w:tc>
          <w:tcPr>
            <w:tcW w:w="45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9D9D9"/>
          </w:tcPr>
          <w:p w14:paraId="0AD57B55"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9D9D9"/>
            <w:noWrap/>
            <w:vAlign w:val="bottom"/>
            <w:hideMark/>
          </w:tcPr>
          <w:p w14:paraId="3AE92A98"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9D9D9"/>
            <w:noWrap/>
            <w:vAlign w:val="bottom"/>
            <w:hideMark/>
          </w:tcPr>
          <w:p w14:paraId="1E13E455"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9D9D9"/>
            <w:noWrap/>
            <w:vAlign w:val="bottom"/>
            <w:hideMark/>
          </w:tcPr>
          <w:p w14:paraId="7C2B65EB"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000000" w:fill="D9D9D9"/>
            <w:noWrap/>
            <w:vAlign w:val="bottom"/>
            <w:hideMark/>
          </w:tcPr>
          <w:p w14:paraId="27F1EECB"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732837" w:rsidRPr="00785FB4" w14:paraId="0091D041" w14:textId="77777777" w:rsidTr="00BD694A">
        <w:trPr>
          <w:trHeight w:val="105"/>
        </w:trPr>
        <w:tc>
          <w:tcPr>
            <w:tcW w:w="1908" w:type="dxa"/>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70FFC3F5"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1F0D7316"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Follow up on recommendations (#7.3)</w:t>
            </w:r>
          </w:p>
        </w:tc>
        <w:tc>
          <w:tcPr>
            <w:tcW w:w="45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tcPr>
          <w:p w14:paraId="6204C7D1"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14:paraId="6C7278EF"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85AE42"/>
            <w:noWrap/>
            <w:vAlign w:val="bottom"/>
            <w:hideMark/>
          </w:tcPr>
          <w:p w14:paraId="7E966B1F"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14:paraId="6B987FAB"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FFFFFF" w:themeFill="background1"/>
            <w:noWrap/>
            <w:vAlign w:val="bottom"/>
            <w:hideMark/>
          </w:tcPr>
          <w:p w14:paraId="5466A341"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r w:rsidR="00732837" w:rsidRPr="00785FB4" w14:paraId="40E38919" w14:textId="77777777" w:rsidTr="00DE4989">
        <w:trPr>
          <w:trHeight w:val="64"/>
        </w:trPr>
        <w:tc>
          <w:tcPr>
            <w:tcW w:w="1908" w:type="dxa"/>
            <w:vMerge/>
            <w:tcBorders>
              <w:top w:val="single" w:sz="2" w:space="0" w:color="A6A6A6" w:themeColor="background1" w:themeShade="A6"/>
              <w:left w:val="single" w:sz="12" w:space="0" w:color="auto"/>
              <w:bottom w:val="single" w:sz="12" w:space="0" w:color="auto"/>
              <w:right w:val="single" w:sz="2" w:space="0" w:color="A6A6A6" w:themeColor="background1" w:themeShade="A6"/>
            </w:tcBorders>
            <w:vAlign w:val="center"/>
            <w:hideMark/>
          </w:tcPr>
          <w:p w14:paraId="74EF06B5" w14:textId="77777777" w:rsidR="001563CC" w:rsidRPr="00785FB4" w:rsidRDefault="001563CC" w:rsidP="00D452A8">
            <w:pPr>
              <w:widowControl/>
              <w:suppressAutoHyphens w:val="0"/>
              <w:spacing w:after="0" w:line="240" w:lineRule="auto"/>
              <w:rPr>
                <w:rFonts w:ascii="Calibri" w:hAnsi="Calibri" w:cs="Times New Roman"/>
                <w:b/>
                <w:bCs/>
                <w:color w:val="000000"/>
                <w:lang w:eastAsia="en-GB"/>
              </w:rPr>
            </w:pPr>
          </w:p>
        </w:tc>
        <w:tc>
          <w:tcPr>
            <w:tcW w:w="4095" w:type="dxa"/>
            <w:gridSpan w:val="4"/>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auto" w:fill="auto"/>
            <w:noWrap/>
            <w:vAlign w:val="bottom"/>
            <w:hideMark/>
          </w:tcPr>
          <w:p w14:paraId="10E13755" w14:textId="77777777" w:rsidR="001563CC" w:rsidRPr="00785FB4" w:rsidRDefault="001563CC" w:rsidP="00D452A8">
            <w:pPr>
              <w:widowControl/>
              <w:suppressAutoHyphens w:val="0"/>
              <w:spacing w:after="0" w:line="240" w:lineRule="auto"/>
              <w:rPr>
                <w:rFonts w:ascii="Calibri" w:hAnsi="Calibri" w:cs="Times New Roman"/>
                <w:color w:val="000000"/>
                <w:sz w:val="20"/>
                <w:szCs w:val="20"/>
                <w:lang w:eastAsia="en-GB"/>
              </w:rPr>
            </w:pPr>
            <w:r w:rsidRPr="00785FB4">
              <w:rPr>
                <w:rFonts w:ascii="Calibri" w:hAnsi="Calibri" w:cs="Times New Roman"/>
                <w:color w:val="000000"/>
                <w:sz w:val="20"/>
                <w:szCs w:val="20"/>
                <w:lang w:eastAsia="en-GB"/>
              </w:rPr>
              <w:t>Outcomes and impact of implementation (#7.4)</w:t>
            </w:r>
          </w:p>
        </w:tc>
        <w:tc>
          <w:tcPr>
            <w:tcW w:w="458"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tcPr>
          <w:p w14:paraId="2B147459"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p>
        </w:tc>
        <w:tc>
          <w:tcPr>
            <w:tcW w:w="498"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auto" w:fill="auto"/>
            <w:noWrap/>
            <w:vAlign w:val="bottom"/>
            <w:hideMark/>
          </w:tcPr>
          <w:p w14:paraId="4AC04436"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61"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auto" w:fill="85AE42"/>
            <w:noWrap/>
            <w:vAlign w:val="bottom"/>
            <w:hideMark/>
          </w:tcPr>
          <w:p w14:paraId="4D05A934"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43"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auto" w:fill="auto"/>
            <w:noWrap/>
            <w:vAlign w:val="bottom"/>
            <w:hideMark/>
          </w:tcPr>
          <w:p w14:paraId="6D3904B5"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c>
          <w:tcPr>
            <w:tcW w:w="400" w:type="dxa"/>
            <w:tcBorders>
              <w:top w:val="single" w:sz="2" w:space="0" w:color="A6A6A6" w:themeColor="background1" w:themeShade="A6"/>
              <w:left w:val="single" w:sz="2" w:space="0" w:color="A6A6A6" w:themeColor="background1" w:themeShade="A6"/>
              <w:bottom w:val="single" w:sz="12" w:space="0" w:color="auto"/>
              <w:right w:val="single" w:sz="12" w:space="0" w:color="auto"/>
            </w:tcBorders>
            <w:shd w:val="clear" w:color="auto" w:fill="auto"/>
            <w:noWrap/>
            <w:vAlign w:val="bottom"/>
            <w:hideMark/>
          </w:tcPr>
          <w:p w14:paraId="3F768545" w14:textId="77777777" w:rsidR="001563CC" w:rsidRPr="00785FB4" w:rsidRDefault="001563CC" w:rsidP="00D452A8">
            <w:pPr>
              <w:widowControl/>
              <w:suppressAutoHyphens w:val="0"/>
              <w:spacing w:after="0" w:line="240" w:lineRule="auto"/>
              <w:rPr>
                <w:rFonts w:ascii="Calibri" w:hAnsi="Calibri" w:cs="Times New Roman"/>
                <w:color w:val="000000"/>
                <w:lang w:eastAsia="en-GB"/>
              </w:rPr>
            </w:pPr>
            <w:r w:rsidRPr="00785FB4">
              <w:rPr>
                <w:rFonts w:ascii="Calibri" w:hAnsi="Calibri" w:cs="Times New Roman"/>
                <w:color w:val="000000"/>
                <w:lang w:eastAsia="en-GB"/>
              </w:rPr>
              <w:t> </w:t>
            </w:r>
          </w:p>
        </w:tc>
      </w:tr>
    </w:tbl>
    <w:p w14:paraId="3110E0CE" w14:textId="77777777" w:rsidR="00903C5C" w:rsidRPr="00785FB4" w:rsidRDefault="00903C5C">
      <w:pPr>
        <w:widowControl/>
        <w:suppressAutoHyphens w:val="0"/>
        <w:spacing w:after="0" w:line="240" w:lineRule="auto"/>
      </w:pPr>
      <w:r w:rsidRPr="00785FB4">
        <w:br w:type="page"/>
      </w:r>
    </w:p>
    <w:tbl>
      <w:tblPr>
        <w:tblW w:w="9493" w:type="dxa"/>
        <w:tblLayout w:type="fixed"/>
        <w:tblLook w:val="04A0" w:firstRow="1" w:lastRow="0" w:firstColumn="1" w:lastColumn="0" w:noHBand="0" w:noVBand="1"/>
      </w:tblPr>
      <w:tblGrid>
        <w:gridCol w:w="1050"/>
        <w:gridCol w:w="8443"/>
      </w:tblGrid>
      <w:tr w:rsidR="00727A05" w:rsidRPr="00785FB4" w14:paraId="7B0C6C4D" w14:textId="77777777" w:rsidTr="009464B0">
        <w:trPr>
          <w:trHeight w:val="380"/>
        </w:trPr>
        <w:tc>
          <w:tcPr>
            <w:tcW w:w="9493" w:type="dxa"/>
            <w:gridSpan w:val="2"/>
            <w:tcBorders>
              <w:top w:val="nil"/>
              <w:left w:val="nil"/>
              <w:bottom w:val="nil"/>
              <w:right w:val="nil"/>
            </w:tcBorders>
            <w:shd w:val="clear" w:color="auto" w:fill="auto"/>
            <w:noWrap/>
            <w:vAlign w:val="bottom"/>
            <w:hideMark/>
          </w:tcPr>
          <w:p w14:paraId="509EE6E3" w14:textId="77777777" w:rsidR="00727A05" w:rsidRPr="00785FB4" w:rsidRDefault="00727A05" w:rsidP="00183360">
            <w:pPr>
              <w:widowControl/>
              <w:suppressAutoHyphens w:val="0"/>
              <w:spacing w:after="0" w:line="240" w:lineRule="auto"/>
              <w:rPr>
                <w:rFonts w:ascii="Calibri" w:hAnsi="Calibri" w:cs="Times New Roman"/>
                <w:bCs/>
                <w:i/>
                <w:color w:val="000000"/>
                <w:sz w:val="28"/>
                <w:szCs w:val="28"/>
              </w:rPr>
            </w:pPr>
            <w:r w:rsidRPr="00785FB4">
              <w:rPr>
                <w:rFonts w:ascii="Calibri" w:hAnsi="Calibri" w:cs="Times New Roman"/>
                <w:bCs/>
                <w:i/>
                <w:color w:val="000000"/>
              </w:rPr>
              <w:lastRenderedPageBreak/>
              <w:t>Legend to the assessment card</w:t>
            </w:r>
          </w:p>
        </w:tc>
      </w:tr>
      <w:tr w:rsidR="00727A05" w:rsidRPr="00785FB4" w14:paraId="5E5808DD" w14:textId="77777777" w:rsidTr="009464B0">
        <w:trPr>
          <w:trHeight w:val="160"/>
        </w:trPr>
        <w:tc>
          <w:tcPr>
            <w:tcW w:w="1050" w:type="dxa"/>
            <w:tcBorders>
              <w:top w:val="nil"/>
              <w:left w:val="nil"/>
              <w:bottom w:val="nil"/>
              <w:right w:val="nil"/>
            </w:tcBorders>
            <w:shd w:val="clear" w:color="auto" w:fill="auto"/>
            <w:noWrap/>
            <w:vAlign w:val="bottom"/>
            <w:hideMark/>
          </w:tcPr>
          <w:p w14:paraId="26A3BE02" w14:textId="77777777" w:rsidR="00727A05" w:rsidRPr="00785FB4" w:rsidRDefault="00727A05" w:rsidP="00183360">
            <w:pPr>
              <w:widowControl/>
              <w:suppressAutoHyphens w:val="0"/>
              <w:spacing w:after="0" w:line="240" w:lineRule="auto"/>
              <w:rPr>
                <w:rFonts w:ascii="Times New Roman" w:hAnsi="Times New Roman" w:cs="Times New Roman"/>
                <w:sz w:val="20"/>
                <w:szCs w:val="20"/>
              </w:rPr>
            </w:pPr>
          </w:p>
        </w:tc>
        <w:tc>
          <w:tcPr>
            <w:tcW w:w="8443" w:type="dxa"/>
            <w:tcBorders>
              <w:top w:val="nil"/>
              <w:left w:val="nil"/>
              <w:bottom w:val="nil"/>
              <w:right w:val="nil"/>
            </w:tcBorders>
            <w:shd w:val="clear" w:color="auto" w:fill="auto"/>
            <w:noWrap/>
            <w:vAlign w:val="bottom"/>
            <w:hideMark/>
          </w:tcPr>
          <w:p w14:paraId="72BD2C43" w14:textId="77777777" w:rsidR="00727A05" w:rsidRPr="00785FB4" w:rsidRDefault="00727A05" w:rsidP="00183360">
            <w:pPr>
              <w:widowControl/>
              <w:suppressAutoHyphens w:val="0"/>
              <w:spacing w:after="0" w:line="240" w:lineRule="auto"/>
              <w:rPr>
                <w:rFonts w:ascii="Times New Roman" w:hAnsi="Times New Roman" w:cs="Times New Roman"/>
                <w:sz w:val="20"/>
                <w:szCs w:val="20"/>
              </w:rPr>
            </w:pPr>
          </w:p>
        </w:tc>
      </w:tr>
      <w:tr w:rsidR="00727A05" w:rsidRPr="00785FB4" w14:paraId="1E5D7E89" w14:textId="77777777" w:rsidTr="009464B0">
        <w:trPr>
          <w:trHeight w:val="600"/>
        </w:trPr>
        <w:tc>
          <w:tcPr>
            <w:tcW w:w="1050" w:type="dxa"/>
            <w:tcBorders>
              <w:top w:val="nil"/>
              <w:left w:val="nil"/>
              <w:bottom w:val="nil"/>
              <w:right w:val="nil"/>
            </w:tcBorders>
            <w:shd w:val="clear" w:color="000000" w:fill="C00000"/>
            <w:noWrap/>
            <w:vAlign w:val="bottom"/>
            <w:hideMark/>
          </w:tcPr>
          <w:p w14:paraId="7258F04E" w14:textId="77777777" w:rsidR="00727A05" w:rsidRPr="00785FB4" w:rsidRDefault="00727A05" w:rsidP="00183360">
            <w:pPr>
              <w:widowControl/>
              <w:suppressAutoHyphens w:val="0"/>
              <w:spacing w:after="0" w:line="240" w:lineRule="auto"/>
              <w:rPr>
                <w:rFonts w:ascii="Calibri" w:hAnsi="Calibri" w:cs="Times New Roman"/>
                <w:color w:val="000000"/>
              </w:rPr>
            </w:pPr>
            <w:r w:rsidRPr="00785FB4">
              <w:rPr>
                <w:rFonts w:ascii="Calibri" w:hAnsi="Calibri" w:cs="Times New Roman"/>
                <w:color w:val="000000"/>
              </w:rPr>
              <w:t> </w:t>
            </w:r>
          </w:p>
        </w:tc>
        <w:tc>
          <w:tcPr>
            <w:tcW w:w="8443" w:type="dxa"/>
            <w:tcBorders>
              <w:top w:val="nil"/>
              <w:left w:val="nil"/>
              <w:bottom w:val="single" w:sz="4" w:space="0" w:color="A6A6A6"/>
              <w:right w:val="nil"/>
            </w:tcBorders>
            <w:shd w:val="clear" w:color="auto" w:fill="auto"/>
            <w:hideMark/>
          </w:tcPr>
          <w:p w14:paraId="5907E15C" w14:textId="77777777" w:rsidR="00727A05" w:rsidRPr="00785FB4" w:rsidRDefault="00727A05" w:rsidP="00183360">
            <w:pPr>
              <w:widowControl/>
              <w:suppressAutoHyphens w:val="0"/>
              <w:spacing w:after="0" w:line="240" w:lineRule="auto"/>
              <w:rPr>
                <w:rFonts w:ascii="Calibri" w:hAnsi="Calibri" w:cs="Times New Roman"/>
                <w:color w:val="000000"/>
                <w:sz w:val="21"/>
              </w:rPr>
            </w:pPr>
            <w:r w:rsidRPr="00785FB4">
              <w:rPr>
                <w:rFonts w:ascii="Calibri" w:hAnsi="Calibri" w:cs="Times New Roman"/>
                <w:color w:val="000000"/>
                <w:sz w:val="21"/>
              </w:rPr>
              <w:t>The country has made no progress in addressing the requirement.  The broader objective of the requirement is in no way fulfilled.</w:t>
            </w:r>
          </w:p>
        </w:tc>
      </w:tr>
      <w:tr w:rsidR="00727A05" w:rsidRPr="00785FB4" w14:paraId="10DC06D4" w14:textId="77777777" w:rsidTr="009464B0">
        <w:trPr>
          <w:trHeight w:val="600"/>
        </w:trPr>
        <w:tc>
          <w:tcPr>
            <w:tcW w:w="1050" w:type="dxa"/>
            <w:tcBorders>
              <w:top w:val="nil"/>
              <w:left w:val="nil"/>
              <w:bottom w:val="nil"/>
              <w:right w:val="nil"/>
            </w:tcBorders>
            <w:shd w:val="clear" w:color="000000" w:fill="FAA725"/>
            <w:noWrap/>
            <w:vAlign w:val="bottom"/>
            <w:hideMark/>
          </w:tcPr>
          <w:p w14:paraId="03CC07C5" w14:textId="77777777" w:rsidR="00727A05" w:rsidRPr="00785FB4" w:rsidRDefault="00727A05" w:rsidP="00183360">
            <w:pPr>
              <w:widowControl/>
              <w:suppressAutoHyphens w:val="0"/>
              <w:spacing w:after="0" w:line="240" w:lineRule="auto"/>
              <w:rPr>
                <w:rFonts w:ascii="Calibri" w:hAnsi="Calibri" w:cs="Times New Roman"/>
                <w:color w:val="000000"/>
              </w:rPr>
            </w:pPr>
            <w:r w:rsidRPr="00785FB4">
              <w:rPr>
                <w:rFonts w:ascii="Calibri" w:hAnsi="Calibri" w:cs="Times New Roman"/>
                <w:color w:val="000000"/>
              </w:rPr>
              <w:t> </w:t>
            </w:r>
          </w:p>
        </w:tc>
        <w:tc>
          <w:tcPr>
            <w:tcW w:w="8443" w:type="dxa"/>
            <w:tcBorders>
              <w:top w:val="nil"/>
              <w:left w:val="nil"/>
              <w:bottom w:val="single" w:sz="4" w:space="0" w:color="A6A6A6"/>
              <w:right w:val="nil"/>
            </w:tcBorders>
            <w:shd w:val="clear" w:color="auto" w:fill="auto"/>
            <w:hideMark/>
          </w:tcPr>
          <w:p w14:paraId="4552B44F" w14:textId="77777777" w:rsidR="00727A05" w:rsidRPr="00785FB4" w:rsidRDefault="00727A05" w:rsidP="00183360">
            <w:pPr>
              <w:widowControl/>
              <w:suppressAutoHyphens w:val="0"/>
              <w:spacing w:after="0" w:line="240" w:lineRule="auto"/>
              <w:rPr>
                <w:rFonts w:ascii="Calibri" w:hAnsi="Calibri" w:cs="Times New Roman"/>
                <w:color w:val="000000"/>
                <w:sz w:val="21"/>
              </w:rPr>
            </w:pPr>
            <w:r w:rsidRPr="00785FB4">
              <w:rPr>
                <w:rFonts w:ascii="Calibri" w:hAnsi="Calibri" w:cs="Times New Roman"/>
                <w:color w:val="000000"/>
                <w:sz w:val="21"/>
              </w:rPr>
              <w:t>The country has made inadequate progress in meeting the requirement. Significant elements of the requirement are outstanding and the broader objective of the requirement is far from being fulfilled.</w:t>
            </w:r>
          </w:p>
        </w:tc>
      </w:tr>
      <w:tr w:rsidR="00727A05" w:rsidRPr="00785FB4" w14:paraId="24B61D31" w14:textId="77777777" w:rsidTr="009464B0">
        <w:trPr>
          <w:trHeight w:val="612"/>
        </w:trPr>
        <w:tc>
          <w:tcPr>
            <w:tcW w:w="1050" w:type="dxa"/>
            <w:tcBorders>
              <w:top w:val="nil"/>
              <w:left w:val="nil"/>
              <w:bottom w:val="nil"/>
              <w:right w:val="nil"/>
            </w:tcBorders>
            <w:shd w:val="clear" w:color="000000" w:fill="84AE42"/>
            <w:noWrap/>
            <w:vAlign w:val="bottom"/>
            <w:hideMark/>
          </w:tcPr>
          <w:p w14:paraId="63FEBB78" w14:textId="77777777" w:rsidR="00727A05" w:rsidRPr="00785FB4" w:rsidRDefault="00727A05" w:rsidP="00183360">
            <w:pPr>
              <w:widowControl/>
              <w:suppressAutoHyphens w:val="0"/>
              <w:spacing w:after="0" w:line="240" w:lineRule="auto"/>
              <w:rPr>
                <w:rFonts w:ascii="Calibri" w:hAnsi="Calibri" w:cs="Times New Roman"/>
                <w:color w:val="000000"/>
              </w:rPr>
            </w:pPr>
            <w:r w:rsidRPr="00785FB4">
              <w:rPr>
                <w:rFonts w:ascii="Calibri" w:hAnsi="Calibri" w:cs="Times New Roman"/>
                <w:color w:val="000000"/>
              </w:rPr>
              <w:t> </w:t>
            </w:r>
          </w:p>
        </w:tc>
        <w:tc>
          <w:tcPr>
            <w:tcW w:w="8443" w:type="dxa"/>
            <w:tcBorders>
              <w:top w:val="nil"/>
              <w:left w:val="nil"/>
              <w:bottom w:val="single" w:sz="4" w:space="0" w:color="A6A6A6"/>
              <w:right w:val="nil"/>
            </w:tcBorders>
            <w:shd w:val="clear" w:color="auto" w:fill="auto"/>
            <w:hideMark/>
          </w:tcPr>
          <w:p w14:paraId="3E6ADD3C" w14:textId="77777777" w:rsidR="00727A05" w:rsidRPr="00785FB4" w:rsidRDefault="00727A05" w:rsidP="00183360">
            <w:pPr>
              <w:widowControl/>
              <w:suppressAutoHyphens w:val="0"/>
              <w:spacing w:after="0" w:line="240" w:lineRule="auto"/>
              <w:rPr>
                <w:rFonts w:ascii="Calibri" w:hAnsi="Calibri" w:cs="Times New Roman"/>
                <w:color w:val="000000"/>
                <w:sz w:val="21"/>
              </w:rPr>
            </w:pPr>
            <w:r w:rsidRPr="00785FB4">
              <w:rPr>
                <w:rFonts w:ascii="Calibri" w:hAnsi="Calibri" w:cs="Times New Roman"/>
                <w:color w:val="000000"/>
                <w:sz w:val="21"/>
              </w:rPr>
              <w:t xml:space="preserve">The country has made progress in meeting the requirement. Significant elements of the requirement are being implemented and the broader objective of the requirement is being fulfilled. </w:t>
            </w:r>
          </w:p>
        </w:tc>
      </w:tr>
      <w:tr w:rsidR="00727A05" w:rsidRPr="00785FB4" w14:paraId="49DDCD88" w14:textId="77777777" w:rsidTr="00284362">
        <w:trPr>
          <w:trHeight w:val="580"/>
        </w:trPr>
        <w:tc>
          <w:tcPr>
            <w:tcW w:w="1050" w:type="dxa"/>
            <w:tcBorders>
              <w:top w:val="nil"/>
              <w:left w:val="nil"/>
              <w:bottom w:val="nil"/>
              <w:right w:val="nil"/>
            </w:tcBorders>
            <w:shd w:val="clear" w:color="auto" w:fill="227020"/>
            <w:noWrap/>
            <w:vAlign w:val="bottom"/>
            <w:hideMark/>
          </w:tcPr>
          <w:p w14:paraId="798AA4D5" w14:textId="77777777" w:rsidR="00727A05" w:rsidRPr="00785FB4" w:rsidRDefault="00727A05" w:rsidP="00183360">
            <w:pPr>
              <w:widowControl/>
              <w:suppressAutoHyphens w:val="0"/>
              <w:spacing w:after="0" w:line="240" w:lineRule="auto"/>
              <w:rPr>
                <w:rFonts w:ascii="Calibri" w:hAnsi="Calibri" w:cs="Times New Roman"/>
                <w:color w:val="000000"/>
              </w:rPr>
            </w:pPr>
            <w:r w:rsidRPr="00785FB4">
              <w:rPr>
                <w:rFonts w:ascii="Calibri" w:hAnsi="Calibri" w:cs="Times New Roman"/>
                <w:color w:val="000000"/>
              </w:rPr>
              <w:t> </w:t>
            </w:r>
          </w:p>
        </w:tc>
        <w:tc>
          <w:tcPr>
            <w:tcW w:w="8443" w:type="dxa"/>
            <w:tcBorders>
              <w:top w:val="nil"/>
              <w:left w:val="nil"/>
              <w:bottom w:val="single" w:sz="4" w:space="0" w:color="A6A6A6"/>
              <w:right w:val="nil"/>
            </w:tcBorders>
            <w:shd w:val="clear" w:color="auto" w:fill="auto"/>
            <w:hideMark/>
          </w:tcPr>
          <w:p w14:paraId="56E27CE2" w14:textId="5BD99234" w:rsidR="00727A05" w:rsidRPr="00785FB4" w:rsidRDefault="00727A05" w:rsidP="00183360">
            <w:pPr>
              <w:widowControl/>
              <w:suppressAutoHyphens w:val="0"/>
              <w:spacing w:after="0" w:line="240" w:lineRule="auto"/>
              <w:rPr>
                <w:rFonts w:ascii="Calibri" w:hAnsi="Calibri" w:cs="Times New Roman"/>
                <w:color w:val="000000"/>
                <w:sz w:val="21"/>
              </w:rPr>
            </w:pPr>
            <w:r w:rsidRPr="00785FB4">
              <w:rPr>
                <w:rFonts w:ascii="Calibri" w:hAnsi="Calibri" w:cs="Times New Roman"/>
                <w:color w:val="000000"/>
                <w:sz w:val="21"/>
              </w:rPr>
              <w:t xml:space="preserve">The country </w:t>
            </w:r>
            <w:r w:rsidR="009E3467" w:rsidRPr="00785FB4">
              <w:rPr>
                <w:rFonts w:ascii="Calibri" w:hAnsi="Calibri" w:cs="Times New Roman"/>
                <w:color w:val="000000"/>
                <w:sz w:val="21"/>
              </w:rPr>
              <w:t>has made satisfactory progress in meeting</w:t>
            </w:r>
            <w:r w:rsidRPr="00785FB4">
              <w:rPr>
                <w:rFonts w:ascii="Calibri" w:hAnsi="Calibri" w:cs="Times New Roman"/>
                <w:color w:val="000000"/>
                <w:sz w:val="21"/>
              </w:rPr>
              <w:t xml:space="preserve"> the requirement. </w:t>
            </w:r>
          </w:p>
        </w:tc>
      </w:tr>
      <w:tr w:rsidR="00727A05" w:rsidRPr="00785FB4" w14:paraId="7A617142" w14:textId="77777777" w:rsidTr="009464B0">
        <w:trPr>
          <w:trHeight w:val="600"/>
        </w:trPr>
        <w:tc>
          <w:tcPr>
            <w:tcW w:w="1050" w:type="dxa"/>
            <w:tcBorders>
              <w:top w:val="nil"/>
              <w:left w:val="nil"/>
              <w:bottom w:val="nil"/>
              <w:right w:val="nil"/>
            </w:tcBorders>
            <w:shd w:val="clear" w:color="000000" w:fill="0076AF"/>
            <w:noWrap/>
            <w:vAlign w:val="bottom"/>
            <w:hideMark/>
          </w:tcPr>
          <w:p w14:paraId="5D22B5AB" w14:textId="77777777" w:rsidR="00727A05" w:rsidRPr="00785FB4" w:rsidRDefault="00727A05" w:rsidP="00183360">
            <w:pPr>
              <w:widowControl/>
              <w:suppressAutoHyphens w:val="0"/>
              <w:spacing w:after="0" w:line="240" w:lineRule="auto"/>
              <w:rPr>
                <w:rFonts w:ascii="Calibri" w:hAnsi="Calibri" w:cs="Times New Roman"/>
                <w:color w:val="000000"/>
              </w:rPr>
            </w:pPr>
            <w:r w:rsidRPr="00785FB4">
              <w:rPr>
                <w:rFonts w:ascii="Calibri" w:hAnsi="Calibri" w:cs="Times New Roman"/>
                <w:color w:val="000000"/>
              </w:rPr>
              <w:t> </w:t>
            </w:r>
          </w:p>
        </w:tc>
        <w:tc>
          <w:tcPr>
            <w:tcW w:w="8443" w:type="dxa"/>
            <w:tcBorders>
              <w:top w:val="nil"/>
              <w:left w:val="nil"/>
              <w:bottom w:val="single" w:sz="4" w:space="0" w:color="A6A6A6"/>
              <w:right w:val="nil"/>
            </w:tcBorders>
            <w:shd w:val="clear" w:color="auto" w:fill="auto"/>
            <w:hideMark/>
          </w:tcPr>
          <w:p w14:paraId="17A0441B" w14:textId="77777777" w:rsidR="00727A05" w:rsidRPr="00785FB4" w:rsidRDefault="00727A05" w:rsidP="00183360">
            <w:pPr>
              <w:widowControl/>
              <w:suppressAutoHyphens w:val="0"/>
              <w:spacing w:after="0" w:line="240" w:lineRule="auto"/>
              <w:rPr>
                <w:rFonts w:ascii="Calibri" w:hAnsi="Calibri" w:cs="Times New Roman"/>
                <w:color w:val="000000"/>
                <w:sz w:val="21"/>
              </w:rPr>
            </w:pPr>
            <w:r w:rsidRPr="00785FB4">
              <w:rPr>
                <w:rFonts w:ascii="Calibri" w:hAnsi="Calibri" w:cs="Times New Roman"/>
                <w:color w:val="000000"/>
                <w:sz w:val="21"/>
              </w:rPr>
              <w:t xml:space="preserve">The country has gone beyond the requirement. </w:t>
            </w:r>
          </w:p>
        </w:tc>
      </w:tr>
      <w:tr w:rsidR="00727A05" w:rsidRPr="00785FB4" w14:paraId="7446EE6B" w14:textId="77777777" w:rsidTr="009464B0">
        <w:trPr>
          <w:trHeight w:val="600"/>
        </w:trPr>
        <w:tc>
          <w:tcPr>
            <w:tcW w:w="1050" w:type="dxa"/>
            <w:tcBorders>
              <w:top w:val="nil"/>
              <w:left w:val="nil"/>
              <w:bottom w:val="nil"/>
              <w:right w:val="nil"/>
            </w:tcBorders>
            <w:shd w:val="clear" w:color="000000" w:fill="D9D9D9"/>
            <w:noWrap/>
            <w:vAlign w:val="bottom"/>
            <w:hideMark/>
          </w:tcPr>
          <w:p w14:paraId="0742ECB0" w14:textId="77777777" w:rsidR="00727A05" w:rsidRPr="00785FB4" w:rsidRDefault="00727A05" w:rsidP="00183360">
            <w:pPr>
              <w:widowControl/>
              <w:suppressAutoHyphens w:val="0"/>
              <w:spacing w:after="0" w:line="240" w:lineRule="auto"/>
              <w:jc w:val="center"/>
              <w:rPr>
                <w:rFonts w:ascii="Calibri" w:hAnsi="Calibri" w:cs="Times New Roman"/>
                <w:color w:val="000000"/>
              </w:rPr>
            </w:pPr>
            <w:r w:rsidRPr="00785FB4">
              <w:rPr>
                <w:rFonts w:ascii="Calibri" w:hAnsi="Calibri" w:cs="Times New Roman"/>
                <w:color w:val="000000"/>
              </w:rPr>
              <w:t> </w:t>
            </w:r>
          </w:p>
        </w:tc>
        <w:tc>
          <w:tcPr>
            <w:tcW w:w="8443" w:type="dxa"/>
            <w:tcBorders>
              <w:top w:val="nil"/>
              <w:left w:val="nil"/>
              <w:bottom w:val="single" w:sz="4" w:space="0" w:color="A6A6A6"/>
              <w:right w:val="nil"/>
            </w:tcBorders>
            <w:shd w:val="clear" w:color="auto" w:fill="auto"/>
            <w:hideMark/>
          </w:tcPr>
          <w:p w14:paraId="2D7ECB38" w14:textId="77777777" w:rsidR="00727A05" w:rsidRPr="00785FB4" w:rsidRDefault="00727A05" w:rsidP="00183360">
            <w:pPr>
              <w:widowControl/>
              <w:suppressAutoHyphens w:val="0"/>
              <w:spacing w:after="0" w:line="240" w:lineRule="auto"/>
              <w:rPr>
                <w:rFonts w:ascii="Calibri" w:hAnsi="Calibri" w:cs="Times New Roman"/>
                <w:color w:val="000000"/>
                <w:sz w:val="21"/>
              </w:rPr>
            </w:pPr>
            <w:r w:rsidRPr="00785FB4">
              <w:rPr>
                <w:rFonts w:ascii="Calibri" w:hAnsi="Calibri" w:cs="Times New Roman"/>
                <w:color w:val="000000"/>
                <w:sz w:val="21"/>
              </w:rPr>
              <w:t>This requirement is only encouraged or recommended and should not be taken into account in assessing compliance.</w:t>
            </w:r>
          </w:p>
        </w:tc>
      </w:tr>
      <w:tr w:rsidR="00727A05" w:rsidRPr="00785FB4" w14:paraId="69630D71" w14:textId="77777777" w:rsidTr="009464B0">
        <w:trPr>
          <w:trHeight w:val="560"/>
        </w:trPr>
        <w:tc>
          <w:tcPr>
            <w:tcW w:w="1050" w:type="dxa"/>
            <w:tcBorders>
              <w:top w:val="nil"/>
              <w:left w:val="nil"/>
              <w:bottom w:val="single" w:sz="4" w:space="0" w:color="A6A6A6" w:themeColor="background1" w:themeShade="A6"/>
              <w:right w:val="nil"/>
            </w:tcBorders>
            <w:shd w:val="diagStripe" w:color="D9D9D9" w:fill="auto"/>
            <w:noWrap/>
            <w:vAlign w:val="bottom"/>
            <w:hideMark/>
          </w:tcPr>
          <w:p w14:paraId="60357F39" w14:textId="77777777" w:rsidR="00727A05" w:rsidRPr="00785FB4" w:rsidRDefault="00727A05" w:rsidP="00183360">
            <w:pPr>
              <w:widowControl/>
              <w:suppressAutoHyphens w:val="0"/>
              <w:spacing w:after="0" w:line="240" w:lineRule="auto"/>
              <w:rPr>
                <w:rFonts w:ascii="Calibri" w:hAnsi="Calibri" w:cs="Times New Roman"/>
                <w:color w:val="000000"/>
              </w:rPr>
            </w:pPr>
          </w:p>
        </w:tc>
        <w:tc>
          <w:tcPr>
            <w:tcW w:w="8443" w:type="dxa"/>
            <w:tcBorders>
              <w:top w:val="nil"/>
              <w:left w:val="nil"/>
              <w:bottom w:val="single" w:sz="4" w:space="0" w:color="A6A6A6" w:themeColor="background1" w:themeShade="A6"/>
              <w:right w:val="nil"/>
            </w:tcBorders>
            <w:shd w:val="clear" w:color="auto" w:fill="auto"/>
            <w:hideMark/>
          </w:tcPr>
          <w:p w14:paraId="7F5E8D63" w14:textId="77777777" w:rsidR="00727A05" w:rsidRPr="00785FB4" w:rsidRDefault="00727A05" w:rsidP="00183360">
            <w:pPr>
              <w:widowControl/>
              <w:suppressAutoHyphens w:val="0"/>
              <w:spacing w:after="0" w:line="240" w:lineRule="auto"/>
              <w:rPr>
                <w:rFonts w:ascii="Calibri" w:hAnsi="Calibri" w:cs="Times New Roman"/>
                <w:color w:val="000000"/>
                <w:sz w:val="21"/>
              </w:rPr>
            </w:pPr>
            <w:r w:rsidRPr="00785FB4">
              <w:rPr>
                <w:rFonts w:ascii="Calibri" w:hAnsi="Calibri" w:cs="Times New Roman"/>
                <w:color w:val="000000"/>
                <w:sz w:val="21"/>
              </w:rPr>
              <w:t xml:space="preserve">The MSG has demonstrated that this requirement is not applicable in the country. </w:t>
            </w:r>
          </w:p>
        </w:tc>
      </w:tr>
      <w:bookmarkEnd w:id="39"/>
    </w:tbl>
    <w:p w14:paraId="41D247BD" w14:textId="192B6E52" w:rsidR="00FB489B" w:rsidRPr="00785FB4" w:rsidRDefault="00FB489B" w:rsidP="007F0FEB">
      <w:pPr>
        <w:pStyle w:val="Heading1"/>
        <w:rPr>
          <w:rFonts w:eastAsia="Calibri"/>
          <w:i/>
        </w:rPr>
        <w:sectPr w:rsidR="00FB489B" w:rsidRPr="00785FB4" w:rsidSect="008F1820">
          <w:headerReference w:type="first" r:id="rId22"/>
          <w:pgSz w:w="11905" w:h="16837"/>
          <w:pgMar w:top="1175" w:right="1273" w:bottom="1418" w:left="1134" w:header="567" w:footer="0" w:gutter="0"/>
          <w:cols w:space="708"/>
          <w:titlePg/>
          <w:docGrid w:linePitch="326"/>
        </w:sectPr>
      </w:pPr>
    </w:p>
    <w:p w14:paraId="681A483F" w14:textId="26466E08" w:rsidR="00D47A3F" w:rsidRPr="00785FB4" w:rsidRDefault="00D47A3F" w:rsidP="007F0FEB">
      <w:pPr>
        <w:pStyle w:val="Heading1"/>
      </w:pPr>
      <w:bookmarkStart w:id="45" w:name="_Toc505449557"/>
      <w:bookmarkStart w:id="46" w:name="_Toc505449767"/>
      <w:r w:rsidRPr="00785FB4">
        <w:lastRenderedPageBreak/>
        <w:t>Introduction</w:t>
      </w:r>
      <w:bookmarkEnd w:id="40"/>
      <w:bookmarkEnd w:id="41"/>
      <w:bookmarkEnd w:id="42"/>
      <w:bookmarkEnd w:id="43"/>
      <w:bookmarkEnd w:id="44"/>
      <w:bookmarkEnd w:id="45"/>
      <w:bookmarkEnd w:id="46"/>
    </w:p>
    <w:p w14:paraId="4957D45B" w14:textId="6B444222" w:rsidR="000B70D0" w:rsidRPr="00785FB4" w:rsidRDefault="000B70D0" w:rsidP="00A94167">
      <w:pPr>
        <w:pStyle w:val="Heading2notindexed"/>
      </w:pPr>
      <w:bookmarkStart w:id="47" w:name="_Toc307943897"/>
      <w:bookmarkStart w:id="48" w:name="_Toc459133077"/>
      <w:bookmarkStart w:id="49" w:name="_Toc461803026"/>
      <w:bookmarkStart w:id="50" w:name="_Toc461787307"/>
      <w:bookmarkStart w:id="51" w:name="_Toc505449558"/>
      <w:bookmarkStart w:id="52" w:name="_Toc505449768"/>
      <w:r w:rsidRPr="00785FB4">
        <w:t>Brief recap of the sign-up phase</w:t>
      </w:r>
      <w:bookmarkEnd w:id="47"/>
      <w:bookmarkEnd w:id="48"/>
      <w:bookmarkEnd w:id="49"/>
      <w:bookmarkEnd w:id="50"/>
      <w:bookmarkEnd w:id="51"/>
      <w:bookmarkEnd w:id="52"/>
    </w:p>
    <w:p w14:paraId="21552361" w14:textId="0D1A885F" w:rsidR="00EA6DDA" w:rsidRPr="00785FB4" w:rsidRDefault="00680938" w:rsidP="003A74F4">
      <w:r w:rsidRPr="00785FB4">
        <w:rPr>
          <w:bCs/>
        </w:rPr>
        <w:t>Afghanistan announced its commitment to join the EITI in</w:t>
      </w:r>
      <w:r w:rsidR="004705E6" w:rsidRPr="00785FB4">
        <w:rPr>
          <w:bCs/>
        </w:rPr>
        <w:t xml:space="preserve"> March 2009 in a letter to the EITI Board. T</w:t>
      </w:r>
      <w:r w:rsidRPr="00785FB4">
        <w:rPr>
          <w:bCs/>
        </w:rPr>
        <w:t>hen Minister of Finance Dr. Omar Zakhilwal</w:t>
      </w:r>
      <w:r w:rsidR="003F0EDD" w:rsidRPr="00785FB4">
        <w:rPr>
          <w:bCs/>
        </w:rPr>
        <w:t xml:space="preserve"> </w:t>
      </w:r>
      <w:r w:rsidR="00D053F8" w:rsidRPr="00785FB4">
        <w:rPr>
          <w:bCs/>
        </w:rPr>
        <w:t>was</w:t>
      </w:r>
      <w:r w:rsidR="004705E6" w:rsidRPr="00785FB4">
        <w:rPr>
          <w:bCs/>
        </w:rPr>
        <w:t xml:space="preserve"> simultaneously</w:t>
      </w:r>
      <w:r w:rsidR="00D053F8" w:rsidRPr="00785FB4">
        <w:rPr>
          <w:bCs/>
        </w:rPr>
        <w:t xml:space="preserve"> nominated to lead the process</w:t>
      </w:r>
      <w:r w:rsidRPr="00785FB4">
        <w:rPr>
          <w:bCs/>
        </w:rPr>
        <w:t>. An informal meeting of stakeholders was held on 11 November 2009 with strong media presence, at which time stakeholders were formally invited to join the process.</w:t>
      </w:r>
      <w:r w:rsidR="00DC274E" w:rsidRPr="00785FB4">
        <w:rPr>
          <w:bCs/>
        </w:rPr>
        <w:t xml:space="preserve"> </w:t>
      </w:r>
      <w:r w:rsidR="00D053F8" w:rsidRPr="00785FB4">
        <w:rPr>
          <w:bCs/>
        </w:rPr>
        <w:t>Terms of reference for the MSG were adopted at the first meeting of the MSG on 4 June 2011 and an initial work plan was approved two days later</w:t>
      </w:r>
      <w:r w:rsidR="00105512" w:rsidRPr="00785FB4">
        <w:rPr>
          <w:bCs/>
        </w:rPr>
        <w:t xml:space="preserve"> through no-objection</w:t>
      </w:r>
      <w:r w:rsidR="00D053F8" w:rsidRPr="00785FB4">
        <w:rPr>
          <w:bCs/>
        </w:rPr>
        <w:t xml:space="preserve">. A National Coordinator was appointed in July 2009. A candidature application was submitted on 22 November and approved by the EITI Board on 9 February 2010. </w:t>
      </w:r>
      <w:r w:rsidRPr="00785FB4">
        <w:rPr>
          <w:bCs/>
        </w:rPr>
        <w:t>A memorandum of understanding (MOU) was signed on 31 January 2011 between the Ministry of Finance (</w:t>
      </w:r>
      <w:r w:rsidR="00DB56BA" w:rsidRPr="00785FB4">
        <w:rPr>
          <w:bCs/>
        </w:rPr>
        <w:t>MOF</w:t>
      </w:r>
      <w:r w:rsidRPr="00785FB4">
        <w:rPr>
          <w:bCs/>
        </w:rPr>
        <w:t>) and the Ministry of Mines and Petroleum (</w:t>
      </w:r>
      <w:r w:rsidR="00DB56BA" w:rsidRPr="00785FB4">
        <w:rPr>
          <w:bCs/>
        </w:rPr>
        <w:t>MOMP</w:t>
      </w:r>
      <w:r w:rsidRPr="00785FB4">
        <w:rPr>
          <w:bCs/>
        </w:rPr>
        <w:t xml:space="preserve">) to formalise their cooperation in the process, while a further MOU was signed on October 2012 with representatives of the extractive industry to facilitate disclosures. </w:t>
      </w:r>
    </w:p>
    <w:p w14:paraId="1A4AAF1C" w14:textId="296FEA83" w:rsidR="004A1656" w:rsidRPr="00785FB4" w:rsidRDefault="000B70D0" w:rsidP="00A94167">
      <w:pPr>
        <w:pStyle w:val="Heading2notindexed"/>
      </w:pPr>
      <w:bookmarkStart w:id="53" w:name="_Toc307943898"/>
      <w:bookmarkStart w:id="54" w:name="_Toc459133078"/>
      <w:bookmarkStart w:id="55" w:name="_Toc461803027"/>
      <w:bookmarkStart w:id="56" w:name="_Toc461787308"/>
      <w:bookmarkStart w:id="57" w:name="_Toc505449559"/>
      <w:bookmarkStart w:id="58" w:name="_Toc505449769"/>
      <w:r w:rsidRPr="00785FB4">
        <w:t xml:space="preserve">Objectives for implementation and overall progress in implementing the </w:t>
      </w:r>
      <w:bookmarkEnd w:id="53"/>
      <w:r w:rsidR="0060718C" w:rsidRPr="00785FB4">
        <w:t>workplan</w:t>
      </w:r>
      <w:bookmarkEnd w:id="54"/>
      <w:bookmarkEnd w:id="55"/>
      <w:bookmarkEnd w:id="56"/>
      <w:bookmarkEnd w:id="57"/>
      <w:bookmarkEnd w:id="58"/>
    </w:p>
    <w:p w14:paraId="6309252E" w14:textId="5CF4EDD1" w:rsidR="004705E6" w:rsidRPr="00785FB4" w:rsidRDefault="004705E6" w:rsidP="00114C8C">
      <w:pPr>
        <w:rPr>
          <w:bCs/>
        </w:rPr>
      </w:pPr>
      <w:r w:rsidRPr="00785FB4">
        <w:rPr>
          <w:bCs/>
        </w:rPr>
        <w:t>The introduction to</w:t>
      </w:r>
      <w:r w:rsidR="005A25DD" w:rsidRPr="00785FB4">
        <w:rPr>
          <w:bCs/>
        </w:rPr>
        <w:t xml:space="preserve"> the MSG’s TOR defines the objectives and purpose of the EITI in </w:t>
      </w:r>
      <w:r w:rsidR="00FE729F" w:rsidRPr="00785FB4">
        <w:rPr>
          <w:bCs/>
        </w:rPr>
        <w:t>Afghanistan and confirms the MSG’s responsibility for setting objectives for EITI implementation: to help promote the efficient and effective management of revenues received from the extractive resources of the country</w:t>
      </w:r>
      <w:r w:rsidR="003F5997" w:rsidRPr="00785FB4">
        <w:rPr>
          <w:bCs/>
        </w:rPr>
        <w:t>,</w:t>
      </w:r>
      <w:r w:rsidR="00FE729F" w:rsidRPr="00785FB4">
        <w:rPr>
          <w:bCs/>
        </w:rPr>
        <w:t xml:space="preserve"> and to enable the management and use of revenues in accordance with the EITI Principles </w:t>
      </w:r>
      <w:r w:rsidR="00105512" w:rsidRPr="00785FB4">
        <w:rPr>
          <w:bCs/>
        </w:rPr>
        <w:t>so</w:t>
      </w:r>
      <w:r w:rsidR="00FE729F" w:rsidRPr="00785FB4">
        <w:rPr>
          <w:bCs/>
        </w:rPr>
        <w:t xml:space="preserve"> that transparency, inclusiveness and openness in the management of extractive resources become an engine for sustainable growth and national development.</w:t>
      </w:r>
    </w:p>
    <w:p w14:paraId="434F6DE0" w14:textId="4627D43C" w:rsidR="00746B0D" w:rsidRPr="00785FB4" w:rsidRDefault="00786462" w:rsidP="00114C8C">
      <w:pPr>
        <w:rPr>
          <w:bCs/>
        </w:rPr>
      </w:pPr>
      <w:r w:rsidRPr="00785FB4">
        <w:rPr>
          <w:bCs/>
        </w:rPr>
        <w:t>AEITI work plans began aligning to national priorities in 2016</w:t>
      </w:r>
      <w:r w:rsidR="00BD6633" w:rsidRPr="00785FB4">
        <w:rPr>
          <w:bCs/>
        </w:rPr>
        <w:t>. Objectives in previous work plans focused on compliance with the EITI’s requirements.</w:t>
      </w:r>
      <w:r w:rsidRPr="00785FB4">
        <w:rPr>
          <w:bCs/>
        </w:rPr>
        <w:t xml:space="preserve"> </w:t>
      </w:r>
      <w:r w:rsidR="003F5997" w:rsidRPr="00785FB4">
        <w:rPr>
          <w:bCs/>
        </w:rPr>
        <w:t xml:space="preserve">Subsequent </w:t>
      </w:r>
      <w:r w:rsidRPr="00785FB4">
        <w:rPr>
          <w:bCs/>
        </w:rPr>
        <w:t xml:space="preserve">work plans include brief explanation of the rationale behind the broader objectives and identify governance-related challenges </w:t>
      </w:r>
      <w:r w:rsidR="00105512" w:rsidRPr="00785FB4">
        <w:rPr>
          <w:bCs/>
        </w:rPr>
        <w:t>that the MSG wishes to address</w:t>
      </w:r>
      <w:r w:rsidRPr="00785FB4">
        <w:rPr>
          <w:bCs/>
        </w:rPr>
        <w:t xml:space="preserve">. The 2018 work plan includes the following objectives for implementation: </w:t>
      </w:r>
      <w:r w:rsidR="00B83E94" w:rsidRPr="00785FB4">
        <w:rPr>
          <w:bCs/>
        </w:rPr>
        <w:t>increase public awareness of the sector’s current and potential contribution in order to enable a more informed, evidence-based public debate</w:t>
      </w:r>
      <w:r w:rsidRPr="00785FB4">
        <w:rPr>
          <w:bCs/>
        </w:rPr>
        <w:t>;</w:t>
      </w:r>
      <w:r w:rsidR="00B83E94" w:rsidRPr="00785FB4">
        <w:rPr>
          <w:bCs/>
        </w:rPr>
        <w:t xml:space="preserve"> highlight ongoing efforts and opportunities to improve revenue collection and sector management in order to build trust in the management of the sector and improve fiscal sustainability</w:t>
      </w:r>
      <w:r w:rsidRPr="00785FB4">
        <w:rPr>
          <w:bCs/>
        </w:rPr>
        <w:t xml:space="preserve">; </w:t>
      </w:r>
      <w:r w:rsidR="00B83E94" w:rsidRPr="00785FB4">
        <w:rPr>
          <w:bCs/>
        </w:rPr>
        <w:t>ensure that the legal framework that governs the extractive sector is checked for compliance with global EITI standards</w:t>
      </w:r>
      <w:r w:rsidRPr="00785FB4">
        <w:rPr>
          <w:bCs/>
        </w:rPr>
        <w:t>;</w:t>
      </w:r>
      <w:r w:rsidR="00B83E94" w:rsidRPr="00785FB4">
        <w:rPr>
          <w:bCs/>
        </w:rPr>
        <w:t xml:space="preserve"> and ensure that there is an up-to-date license and contract registry that is comprehensive and publicly available in an easy-to-understand format.</w:t>
      </w:r>
      <w:r w:rsidR="008D7797" w:rsidRPr="00785FB4">
        <w:rPr>
          <w:bCs/>
        </w:rPr>
        <w:t xml:space="preserve"> </w:t>
      </w:r>
    </w:p>
    <w:p w14:paraId="5C012359" w14:textId="53A21502" w:rsidR="00786462" w:rsidRPr="00785FB4" w:rsidRDefault="00786462" w:rsidP="00114C8C">
      <w:pPr>
        <w:rPr>
          <w:bCs/>
        </w:rPr>
      </w:pPr>
      <w:r w:rsidRPr="00785FB4">
        <w:rPr>
          <w:bCs/>
        </w:rPr>
        <w:t>Although objectives have somewhat changed over time reflecting changes in national priorities, there is limited evidence that the work plan is regularly consulted or actively used as a tool to manage the MSG’s activities. Recommendations of EITI Reports are not routinely translated into future work plans</w:t>
      </w:r>
      <w:r w:rsidR="00777AA4" w:rsidRPr="00785FB4">
        <w:rPr>
          <w:bCs/>
        </w:rPr>
        <w:t xml:space="preserve">, however the MSG keeps a separate action plan (annex </w:t>
      </w:r>
      <w:r w:rsidR="00AB744A" w:rsidRPr="00785FB4">
        <w:rPr>
          <w:bCs/>
        </w:rPr>
        <w:t>G</w:t>
      </w:r>
      <w:r w:rsidR="00777AA4" w:rsidRPr="00785FB4">
        <w:rPr>
          <w:bCs/>
        </w:rPr>
        <w:t>) that is not integrated into the work plan</w:t>
      </w:r>
      <w:r w:rsidRPr="00785FB4">
        <w:rPr>
          <w:bCs/>
        </w:rPr>
        <w:t>. Although work plans include clear timeframes for completion of each activity, timelines are seldom followed and activities are not</w:t>
      </w:r>
      <w:r w:rsidR="003F5997" w:rsidRPr="00785FB4">
        <w:rPr>
          <w:bCs/>
        </w:rPr>
        <w:t xml:space="preserve"> fully costed in the work plan.</w:t>
      </w:r>
      <w:r w:rsidR="00777AA4" w:rsidRPr="00785FB4">
        <w:rPr>
          <w:bCs/>
        </w:rPr>
        <w:t xml:space="preserve"> </w:t>
      </w:r>
      <w:r w:rsidR="005D6168" w:rsidRPr="00785FB4">
        <w:rPr>
          <w:bCs/>
        </w:rPr>
        <w:t>T</w:t>
      </w:r>
      <w:r w:rsidR="00777AA4" w:rsidRPr="00785FB4">
        <w:rPr>
          <w:bCs/>
        </w:rPr>
        <w:t xml:space="preserve">he </w:t>
      </w:r>
      <w:r w:rsidR="005D6168" w:rsidRPr="00785FB4">
        <w:rPr>
          <w:bCs/>
        </w:rPr>
        <w:t xml:space="preserve">International </w:t>
      </w:r>
      <w:r w:rsidR="00777AA4" w:rsidRPr="00785FB4">
        <w:rPr>
          <w:bCs/>
        </w:rPr>
        <w:t>Secretariat estimates that approximately half of the 43 specific activities outlined in the 2017 work plan were completed. Most of the completed activities (12) refer directly to the publication of the EITI Report, suggesting that most of the non-</w:t>
      </w:r>
      <w:r w:rsidR="00777AA4" w:rsidRPr="00785FB4">
        <w:rPr>
          <w:bCs/>
        </w:rPr>
        <w:lastRenderedPageBreak/>
        <w:t xml:space="preserve">reporting activities </w:t>
      </w:r>
      <w:r w:rsidR="005D6168" w:rsidRPr="00785FB4">
        <w:rPr>
          <w:bCs/>
        </w:rPr>
        <w:t>have not been implemented</w:t>
      </w:r>
      <w:r w:rsidR="00777AA4" w:rsidRPr="00785FB4">
        <w:rPr>
          <w:bCs/>
        </w:rPr>
        <w:t>.</w:t>
      </w:r>
    </w:p>
    <w:p w14:paraId="2C458A78" w14:textId="6C1EECA1" w:rsidR="000B70D0" w:rsidRPr="00785FB4" w:rsidRDefault="000B70D0" w:rsidP="00A94167">
      <w:pPr>
        <w:pStyle w:val="Heading2notindexed"/>
      </w:pPr>
      <w:bookmarkStart w:id="59" w:name="_Toc307943899"/>
      <w:bookmarkStart w:id="60" w:name="_Toc459133079"/>
      <w:bookmarkStart w:id="61" w:name="_Toc461803028"/>
      <w:bookmarkStart w:id="62" w:name="_Toc461787309"/>
      <w:bookmarkStart w:id="63" w:name="_Toc505449560"/>
      <w:bookmarkStart w:id="64" w:name="_Toc505449770"/>
      <w:r w:rsidRPr="00785FB4">
        <w:t>History of EITI Reporting</w:t>
      </w:r>
      <w:bookmarkEnd w:id="59"/>
      <w:bookmarkEnd w:id="60"/>
      <w:bookmarkEnd w:id="61"/>
      <w:bookmarkEnd w:id="62"/>
      <w:bookmarkEnd w:id="63"/>
      <w:bookmarkEnd w:id="64"/>
    </w:p>
    <w:p w14:paraId="4D9B7C3D" w14:textId="4D16C695" w:rsidR="007F30AE" w:rsidRPr="00785FB4" w:rsidRDefault="003F5997" w:rsidP="00480B54">
      <w:r w:rsidRPr="00785FB4">
        <w:rPr>
          <w:bCs/>
        </w:rPr>
        <w:t xml:space="preserve">Afghanistan has published five EITI Reports covering the fiscal years 2008-2015 and is currently preparing its sixth report covering fiscal year 2016. The MSG has regularly published reports with a two-year time-lag, partly due to delays and partly due to a change in the fiscal calendar that came into force in fiscal year 2012. There is a marked difference in the quality and detail of reporting in the last two </w:t>
      </w:r>
      <w:r w:rsidR="00BA6BE1" w:rsidRPr="00785FB4">
        <w:rPr>
          <w:bCs/>
        </w:rPr>
        <w:t>EITI R</w:t>
      </w:r>
      <w:r w:rsidRPr="00785FB4">
        <w:rPr>
          <w:bCs/>
        </w:rPr>
        <w:t>eports (</w:t>
      </w:r>
      <w:r w:rsidR="00BA6BE1" w:rsidRPr="00785FB4">
        <w:rPr>
          <w:bCs/>
        </w:rPr>
        <w:t xml:space="preserve">corresponding to fiscal years </w:t>
      </w:r>
      <w:r w:rsidRPr="00785FB4">
        <w:rPr>
          <w:bCs/>
        </w:rPr>
        <w:t>2012-2013 and 2014-2015</w:t>
      </w:r>
      <w:r w:rsidR="00BA6BE1" w:rsidRPr="00785FB4">
        <w:rPr>
          <w:bCs/>
        </w:rPr>
        <w:t xml:space="preserve"> respectively</w:t>
      </w:r>
      <w:r w:rsidRPr="00785FB4">
        <w:rPr>
          <w:bCs/>
        </w:rPr>
        <w:t>)</w:t>
      </w:r>
      <w:r w:rsidR="00BA6BE1" w:rsidRPr="00785FB4">
        <w:rPr>
          <w:bCs/>
        </w:rPr>
        <w:t>, with</w:t>
      </w:r>
      <w:r w:rsidRPr="00785FB4">
        <w:rPr>
          <w:bCs/>
        </w:rPr>
        <w:t xml:space="preserve"> previous reports focusing almost exclusively on reconciliation of revenues. AEITI has also used the last two reports to publish in its annexes original research carried out for Afghan ministries that would otherwise not have been made available to the public.</w:t>
      </w:r>
    </w:p>
    <w:p w14:paraId="66E23BC4" w14:textId="066A7D45" w:rsidR="000B70D0" w:rsidRPr="00785FB4" w:rsidRDefault="000B70D0" w:rsidP="00A94167">
      <w:pPr>
        <w:pStyle w:val="Heading2notindexed"/>
      </w:pPr>
      <w:bookmarkStart w:id="65" w:name="_Toc307943900"/>
      <w:bookmarkStart w:id="66" w:name="_Toc459133080"/>
      <w:bookmarkStart w:id="67" w:name="_Toc461803029"/>
      <w:bookmarkStart w:id="68" w:name="_Toc461787310"/>
      <w:bookmarkStart w:id="69" w:name="_Toc505449561"/>
      <w:bookmarkStart w:id="70" w:name="_Toc505449771"/>
      <w:r w:rsidRPr="00785FB4">
        <w:t>Summary of engagement by government, civil society and industry</w:t>
      </w:r>
      <w:bookmarkEnd w:id="65"/>
      <w:bookmarkEnd w:id="66"/>
      <w:bookmarkEnd w:id="67"/>
      <w:bookmarkEnd w:id="68"/>
      <w:bookmarkEnd w:id="69"/>
      <w:bookmarkEnd w:id="70"/>
    </w:p>
    <w:p w14:paraId="20597F2F" w14:textId="7E18729A" w:rsidR="0029515E" w:rsidRPr="00785FB4" w:rsidRDefault="009248AD" w:rsidP="006A19CC">
      <w:r w:rsidRPr="00785FB4">
        <w:t xml:space="preserve">With the exception of the industry constituency, which has remained relatively stable over time, successive Validation reports and Secretariat Reviews have highlighted the fluid nature of </w:t>
      </w:r>
      <w:r w:rsidR="00BD6633" w:rsidRPr="00785FB4">
        <w:t xml:space="preserve">stakeholders’ </w:t>
      </w:r>
      <w:r w:rsidRPr="00785FB4">
        <w:t>membership in the MSG. Afghanistan’s first Validation report</w:t>
      </w:r>
      <w:r w:rsidR="00BD6633" w:rsidRPr="00785FB4">
        <w:t xml:space="preserve"> from 2013</w:t>
      </w:r>
      <w:r w:rsidRPr="00785FB4">
        <w:t xml:space="preserve"> showed that constituency representation from civil society </w:t>
      </w:r>
      <w:r w:rsidR="0029515E" w:rsidRPr="00785FB4">
        <w:t xml:space="preserve">and industry </w:t>
      </w:r>
      <w:r w:rsidRPr="00785FB4">
        <w:t xml:space="preserve">was organically instituted: the organisations </w:t>
      </w:r>
      <w:r w:rsidR="0029515E" w:rsidRPr="00785FB4">
        <w:t xml:space="preserve">and companies </w:t>
      </w:r>
      <w:r w:rsidRPr="00785FB4">
        <w:t>that answered the government’s open invitation to an informal meeting eventually solidified into the first constituency representatives</w:t>
      </w:r>
      <w:r w:rsidR="00312C8C" w:rsidRPr="00785FB4">
        <w:t>,</w:t>
      </w:r>
      <w:r w:rsidRPr="00785FB4">
        <w:t xml:space="preserve"> and these were only institutionalised post-hoc</w:t>
      </w:r>
      <w:r w:rsidR="00476FE6" w:rsidRPr="00785FB4">
        <w:t xml:space="preserve"> following internal nego</w:t>
      </w:r>
      <w:r w:rsidR="0029515E" w:rsidRPr="00785FB4">
        <w:t>tiations within the constituencies</w:t>
      </w:r>
      <w:r w:rsidRPr="00785FB4">
        <w:t xml:space="preserve">. The subsequent Secretariat Review </w:t>
      </w:r>
      <w:r w:rsidR="00BD6633" w:rsidRPr="00785FB4">
        <w:t xml:space="preserve">of 2014 </w:t>
      </w:r>
      <w:r w:rsidRPr="00785FB4">
        <w:t xml:space="preserve">showed that </w:t>
      </w:r>
      <w:r w:rsidR="00476FE6" w:rsidRPr="00785FB4">
        <w:t xml:space="preserve">there was often confusion between the roles of MSG members, alternates and observers, with little distinction being made </w:t>
      </w:r>
      <w:r w:rsidR="00312C8C" w:rsidRPr="00785FB4">
        <w:t>between</w:t>
      </w:r>
      <w:r w:rsidR="00476FE6" w:rsidRPr="00785FB4">
        <w:t xml:space="preserve"> them</w:t>
      </w:r>
      <w:r w:rsidR="0029515E" w:rsidRPr="00785FB4">
        <w:t xml:space="preserve"> in MSG meetings</w:t>
      </w:r>
      <w:r w:rsidRPr="00785FB4">
        <w:t xml:space="preserve">. More recently, decisions on what parliamentarians to include in the MSG and what additional government agencies to bring on board appear to have been made by the MSG </w:t>
      </w:r>
      <w:r w:rsidR="00BA6BE1" w:rsidRPr="00785FB4">
        <w:t xml:space="preserve">itself </w:t>
      </w:r>
      <w:r w:rsidR="00476FE6" w:rsidRPr="00785FB4">
        <w:t xml:space="preserve">inviting individuals to observe MSG meetings </w:t>
      </w:r>
      <w:r w:rsidRPr="00785FB4">
        <w:t xml:space="preserve">and then </w:t>
      </w:r>
      <w:r w:rsidR="00476FE6" w:rsidRPr="00785FB4">
        <w:t xml:space="preserve">having their membership </w:t>
      </w:r>
      <w:r w:rsidR="0029515E" w:rsidRPr="00785FB4">
        <w:t xml:space="preserve">formally </w:t>
      </w:r>
      <w:r w:rsidRPr="00785FB4">
        <w:t>ins</w:t>
      </w:r>
      <w:r w:rsidR="00476FE6" w:rsidRPr="00785FB4">
        <w:t xml:space="preserve">titutionalised by the government constituency. In some ways this has at times led </w:t>
      </w:r>
      <w:r w:rsidR="00312C8C" w:rsidRPr="00785FB4">
        <w:t>to a process that has priz</w:t>
      </w:r>
      <w:r w:rsidR="0029515E" w:rsidRPr="00785FB4">
        <w:t>ed inclusiveness and negotiation within constituencies over formal selection procedures. In recent refreshment exercises, the absence of open and representative elections has led to some groups from civil society being left out of the EITI process. Frequent turnover in the government constituency, with MSG members being represented by proxies, has been a constant challenge throughout.</w:t>
      </w:r>
    </w:p>
    <w:p w14:paraId="60CB04E0" w14:textId="457AFE1B" w:rsidR="00C86375" w:rsidRPr="00785FB4" w:rsidRDefault="0029515E" w:rsidP="006A19CC">
      <w:r w:rsidRPr="00785FB4">
        <w:t>A particular challenge in the case of Afghanistan is the</w:t>
      </w:r>
      <w:r w:rsidR="006B7AC8" w:rsidRPr="00785FB4">
        <w:t xml:space="preserve"> concentration of decision-making power outside of the line ministries. </w:t>
      </w:r>
      <w:r w:rsidR="00312C8C" w:rsidRPr="00785FB4">
        <w:t>An important number of</w:t>
      </w:r>
      <w:r w:rsidR="006B7AC8" w:rsidRPr="00785FB4">
        <w:t xml:space="preserve"> stakeholders, including in the government, emphasised the need for effective leadership of the EITI process</w:t>
      </w:r>
      <w:r w:rsidR="00BA6BE1" w:rsidRPr="00785FB4">
        <w:t xml:space="preserve"> in order</w:t>
      </w:r>
      <w:r w:rsidR="006B7AC8" w:rsidRPr="00785FB4">
        <w:t xml:space="preserve"> </w:t>
      </w:r>
      <w:r w:rsidR="00312C8C" w:rsidRPr="00785FB4">
        <w:t>to become</w:t>
      </w:r>
      <w:r w:rsidR="006B7AC8" w:rsidRPr="00785FB4">
        <w:t xml:space="preserve"> a platform for reform and </w:t>
      </w:r>
      <w:r w:rsidR="00BA6BE1" w:rsidRPr="00785FB4">
        <w:t>requested</w:t>
      </w:r>
      <w:r w:rsidR="006B7AC8" w:rsidRPr="00785FB4">
        <w:t xml:space="preserve"> strong recommendations that would empower the Ministry of Mines and Petroleum to regain its role in the management of the sector. </w:t>
      </w:r>
      <w:r w:rsidR="009248AD" w:rsidRPr="00785FB4">
        <w:t xml:space="preserve"> </w:t>
      </w:r>
    </w:p>
    <w:p w14:paraId="1DBF6BDD" w14:textId="22527A56" w:rsidR="006F0881" w:rsidRPr="00785FB4" w:rsidRDefault="000B70D0" w:rsidP="00A94167">
      <w:pPr>
        <w:pStyle w:val="Heading2notindexed"/>
      </w:pPr>
      <w:bookmarkStart w:id="71" w:name="_Toc307943901"/>
      <w:bookmarkStart w:id="72" w:name="_Toc459133081"/>
      <w:bookmarkStart w:id="73" w:name="_Toc461803030"/>
      <w:bookmarkStart w:id="74" w:name="_Toc461787311"/>
      <w:bookmarkStart w:id="75" w:name="_Toc461795826"/>
      <w:bookmarkStart w:id="76" w:name="_Toc505449562"/>
      <w:bookmarkStart w:id="77" w:name="_Toc505449772"/>
      <w:r w:rsidRPr="00785FB4">
        <w:t>Key features of the extractive industry</w:t>
      </w:r>
      <w:bookmarkStart w:id="78" w:name="_Toc307943902"/>
      <w:bookmarkEnd w:id="71"/>
      <w:bookmarkEnd w:id="72"/>
      <w:bookmarkEnd w:id="73"/>
      <w:bookmarkEnd w:id="74"/>
      <w:bookmarkEnd w:id="75"/>
      <w:bookmarkEnd w:id="76"/>
      <w:bookmarkEnd w:id="77"/>
    </w:p>
    <w:p w14:paraId="7D630D25" w14:textId="02DB820A" w:rsidR="00D6577B" w:rsidRPr="00785FB4" w:rsidRDefault="00D6577B" w:rsidP="00D6577B">
      <w:pPr>
        <w:rPr>
          <w:bCs/>
        </w:rPr>
      </w:pPr>
      <w:r w:rsidRPr="00785FB4">
        <w:rPr>
          <w:bCs/>
        </w:rPr>
        <w:t xml:space="preserve">While extractive industries accounted for only 0.7% of government revenues and 1.1% of merchandise </w:t>
      </w:r>
      <w:r w:rsidRPr="00785FB4">
        <w:rPr>
          <w:bCs/>
        </w:rPr>
        <w:lastRenderedPageBreak/>
        <w:t>exports in Afghanistan in 2015</w:t>
      </w:r>
      <w:r w:rsidRPr="00785FB4">
        <w:rPr>
          <w:bCs/>
          <w:vertAlign w:val="superscript"/>
        </w:rPr>
        <w:footnoteReference w:id="7"/>
      </w:r>
      <w:r w:rsidRPr="00785FB4">
        <w:rPr>
          <w:bCs/>
        </w:rPr>
        <w:t>, there is significant untapped potential for growth in the mining sector in particular.</w:t>
      </w:r>
      <w:r w:rsidRPr="00785FB4">
        <w:rPr>
          <w:bCs/>
          <w:iCs/>
          <w:vertAlign w:val="superscript"/>
        </w:rPr>
        <w:footnoteReference w:id="8"/>
      </w:r>
      <w:r w:rsidRPr="00785FB4">
        <w:rPr>
          <w:bCs/>
        </w:rPr>
        <w:t xml:space="preserve"> The country holds significant reserves of iron ore, copper, gold, marble, rare-earth minerals, various construction materials and gemstones, with the value of reserves estimates ranging from USD 1tn according to the USGS to USD 3tn according to Afghanistan’s Ministry of Mines and Petroleum (</w:t>
      </w:r>
      <w:r w:rsidR="00DB56BA" w:rsidRPr="00785FB4">
        <w:rPr>
          <w:bCs/>
        </w:rPr>
        <w:t>MOMP</w:t>
      </w:r>
      <w:r w:rsidRPr="00785FB4">
        <w:rPr>
          <w:bCs/>
        </w:rPr>
        <w:t>).</w:t>
      </w:r>
      <w:r w:rsidRPr="00785FB4">
        <w:rPr>
          <w:bCs/>
          <w:vertAlign w:val="superscript"/>
        </w:rPr>
        <w:footnoteReference w:id="9"/>
      </w:r>
      <w:r w:rsidRPr="00785FB4">
        <w:rPr>
          <w:bCs/>
        </w:rPr>
        <w:t xml:space="preserve"> The government estimates that Afghanistan holds deposits of some 2.2bn metric tons of iron ore, 1.3bn metric tons of marble, roughly 30m metric tons of copper, 1.4m metric tons of rare earths minerals and 2</w:t>
      </w:r>
      <w:r w:rsidR="009779C5" w:rsidRPr="00785FB4">
        <w:rPr>
          <w:bCs/>
        </w:rPr>
        <w:t>,</w:t>
      </w:r>
      <w:r w:rsidRPr="00785FB4">
        <w:rPr>
          <w:bCs/>
        </w:rPr>
        <w:t>700kg of gold.</w:t>
      </w:r>
      <w:r w:rsidRPr="00785FB4">
        <w:rPr>
          <w:bCs/>
          <w:iCs/>
          <w:vertAlign w:val="superscript"/>
        </w:rPr>
        <w:footnoteReference w:id="10"/>
      </w:r>
      <w:r w:rsidRPr="00785FB4">
        <w:rPr>
          <w:bCs/>
        </w:rPr>
        <w:t xml:space="preserve"> A total of 1</w:t>
      </w:r>
      <w:r w:rsidR="009779C5" w:rsidRPr="00785FB4">
        <w:rPr>
          <w:bCs/>
        </w:rPr>
        <w:t>,</w:t>
      </w:r>
      <w:r w:rsidRPr="00785FB4">
        <w:rPr>
          <w:bCs/>
        </w:rPr>
        <w:t>400 mineral deposits have been identified nationwide.</w:t>
      </w:r>
      <w:r w:rsidRPr="00785FB4">
        <w:rPr>
          <w:bCs/>
          <w:iCs/>
          <w:vertAlign w:val="superscript"/>
        </w:rPr>
        <w:footnoteReference w:id="11"/>
      </w:r>
      <w:r w:rsidRPr="00785FB4">
        <w:rPr>
          <w:bCs/>
        </w:rPr>
        <w:t xml:space="preserve"> Minerals are clustered in three main areas. The first belt, running from south-western Herat to north-eastern </w:t>
      </w:r>
      <w:r w:rsidRPr="00785FB4">
        <w:rPr>
          <w:bCs/>
          <w:iCs/>
        </w:rPr>
        <w:t>Badakhshan, contains deposits of iron-ore, gold, copper, barite, coal and gemstones. The second belt, through the southern Helmand, Kandahar, Zabol and Ghazni provinces, contains reserves of copper, gold, molybdenum, zinc, lead, and chromite. Finally, the area around Kabul contains reserves of copper, including the world-class Aynak copper deposit.</w:t>
      </w:r>
      <w:r w:rsidRPr="00785FB4">
        <w:rPr>
          <w:bCs/>
          <w:iCs/>
          <w:vertAlign w:val="superscript"/>
        </w:rPr>
        <w:footnoteReference w:id="12"/>
      </w:r>
      <w:r w:rsidRPr="00785FB4">
        <w:rPr>
          <w:bCs/>
        </w:rPr>
        <w:t xml:space="preserve"> </w:t>
      </w:r>
    </w:p>
    <w:p w14:paraId="7860B9FF" w14:textId="30B4AA38" w:rsidR="00D6577B" w:rsidRPr="00785FB4" w:rsidRDefault="00D6577B" w:rsidP="00D6577B">
      <w:pPr>
        <w:rPr>
          <w:bCs/>
          <w:iCs/>
        </w:rPr>
      </w:pPr>
      <w:r w:rsidRPr="00785FB4">
        <w:rPr>
          <w:bCs/>
          <w:iCs/>
        </w:rPr>
        <w:t xml:space="preserve">Afghanistan has long history of artisanal and small-scale mining (ASM), particularly of gemstones </w:t>
      </w:r>
      <w:r w:rsidR="009779C5" w:rsidRPr="00785FB4">
        <w:rPr>
          <w:bCs/>
          <w:iCs/>
        </w:rPr>
        <w:t xml:space="preserve">and semi-precious stones </w:t>
      </w:r>
      <w:r w:rsidRPr="00785FB4">
        <w:rPr>
          <w:bCs/>
          <w:iCs/>
        </w:rPr>
        <w:t>like lapis lazuli.</w:t>
      </w:r>
      <w:r w:rsidRPr="00785FB4">
        <w:rPr>
          <w:bCs/>
          <w:iCs/>
          <w:vertAlign w:val="superscript"/>
        </w:rPr>
        <w:footnoteReference w:id="13"/>
      </w:r>
      <w:r w:rsidRPr="00785FB4">
        <w:rPr>
          <w:bCs/>
          <w:iCs/>
        </w:rPr>
        <w:t xml:space="preserve"> </w:t>
      </w:r>
      <w:r w:rsidR="00ED65FA" w:rsidRPr="00785FB4">
        <w:rPr>
          <w:bCs/>
          <w:iCs/>
        </w:rPr>
        <w:t xml:space="preserve">A GiZ study on ASM published in 2016 estimated that some </w:t>
      </w:r>
      <w:r w:rsidR="00B408E4" w:rsidRPr="00785FB4">
        <w:rPr>
          <w:bCs/>
          <w:iCs/>
        </w:rPr>
        <w:t>50,000 miners were directly involved in ASM and 200k-450k workers were involved in upstream and downstream ASM-related activities, roughly 3%-6% of Afghanistan</w:t>
      </w:r>
      <w:r w:rsidR="009779C5" w:rsidRPr="00785FB4">
        <w:rPr>
          <w:bCs/>
          <w:iCs/>
        </w:rPr>
        <w:t>’s</w:t>
      </w:r>
      <w:r w:rsidR="00B408E4" w:rsidRPr="00785FB4">
        <w:rPr>
          <w:bCs/>
          <w:iCs/>
        </w:rPr>
        <w:t xml:space="preserve"> labour force.</w:t>
      </w:r>
      <w:r w:rsidR="00B408E4" w:rsidRPr="00785FB4">
        <w:rPr>
          <w:rStyle w:val="FootnoteReference"/>
          <w:bCs/>
          <w:iCs/>
        </w:rPr>
        <w:footnoteReference w:id="14"/>
      </w:r>
      <w:r w:rsidR="008C100B" w:rsidRPr="00785FB4">
        <w:rPr>
          <w:bCs/>
          <w:iCs/>
        </w:rPr>
        <w:t xml:space="preserve"> </w:t>
      </w:r>
      <w:r w:rsidRPr="00785FB4">
        <w:rPr>
          <w:bCs/>
          <w:iCs/>
        </w:rPr>
        <w:t xml:space="preserve">With a majority of such ASM in areas outside the central government’s control, </w:t>
      </w:r>
      <w:r w:rsidR="009779C5" w:rsidRPr="00785FB4">
        <w:rPr>
          <w:bCs/>
          <w:iCs/>
        </w:rPr>
        <w:t>c</w:t>
      </w:r>
      <w:r w:rsidRPr="00785FB4">
        <w:rPr>
          <w:bCs/>
          <w:iCs/>
        </w:rPr>
        <w:t>redible independent analysts have estimated that informal mining provides some USD 200m-USD 300m in annual revenues to the Taliban.</w:t>
      </w:r>
      <w:r w:rsidRPr="00785FB4">
        <w:rPr>
          <w:bCs/>
          <w:iCs/>
          <w:vertAlign w:val="superscript"/>
        </w:rPr>
        <w:footnoteReference w:id="15"/>
      </w:r>
      <w:r w:rsidRPr="00785FB4">
        <w:rPr>
          <w:bCs/>
          <w:iCs/>
        </w:rPr>
        <w:t xml:space="preserve"> </w:t>
      </w:r>
      <w:r w:rsidR="009779C5" w:rsidRPr="00785FB4">
        <w:rPr>
          <w:bCs/>
          <w:iCs/>
        </w:rPr>
        <w:t>T</w:t>
      </w:r>
      <w:r w:rsidRPr="00785FB4">
        <w:rPr>
          <w:bCs/>
          <w:iCs/>
        </w:rPr>
        <w:t>he government projects that the mining sector could account for 45%-50% of GDP by 2024</w:t>
      </w:r>
      <w:r w:rsidR="009779C5" w:rsidRPr="00785FB4">
        <w:rPr>
          <w:bCs/>
          <w:iCs/>
        </w:rPr>
        <w:t>,</w:t>
      </w:r>
      <w:r w:rsidRPr="00785FB4">
        <w:rPr>
          <w:bCs/>
          <w:iCs/>
          <w:vertAlign w:val="superscript"/>
        </w:rPr>
        <w:footnoteReference w:id="16"/>
      </w:r>
      <w:r w:rsidRPr="00785FB4">
        <w:rPr>
          <w:bCs/>
          <w:iCs/>
        </w:rPr>
        <w:t xml:space="preserve"> generating some USD 2bn in government revenues per annum</w:t>
      </w:r>
      <w:r w:rsidR="009779C5" w:rsidRPr="00785FB4">
        <w:rPr>
          <w:bCs/>
          <w:iCs/>
        </w:rPr>
        <w:t>.</w:t>
      </w:r>
      <w:r w:rsidRPr="00785FB4">
        <w:rPr>
          <w:bCs/>
          <w:iCs/>
          <w:vertAlign w:val="superscript"/>
        </w:rPr>
        <w:footnoteReference w:id="17"/>
      </w:r>
      <w:r w:rsidRPr="00785FB4">
        <w:rPr>
          <w:bCs/>
          <w:iCs/>
        </w:rPr>
        <w:t xml:space="preserve"> </w:t>
      </w:r>
      <w:r w:rsidR="009779C5" w:rsidRPr="00785FB4">
        <w:rPr>
          <w:bCs/>
          <w:iCs/>
        </w:rPr>
        <w:t xml:space="preserve">At present, however, </w:t>
      </w:r>
      <w:r w:rsidRPr="00785FB4">
        <w:rPr>
          <w:bCs/>
          <w:iCs/>
        </w:rPr>
        <w:t>the sector is far smaller, generating only around USD 32.5m in government revenues and USD 135m in economic activity in 2015.</w:t>
      </w:r>
      <w:r w:rsidRPr="00785FB4">
        <w:rPr>
          <w:bCs/>
          <w:iCs/>
          <w:vertAlign w:val="superscript"/>
        </w:rPr>
        <w:footnoteReference w:id="18"/>
      </w:r>
      <w:r w:rsidRPr="00785FB4">
        <w:rPr>
          <w:bCs/>
          <w:iCs/>
        </w:rPr>
        <w:t xml:space="preserve"> </w:t>
      </w:r>
      <w:r w:rsidR="008F789D" w:rsidRPr="00785FB4">
        <w:rPr>
          <w:bCs/>
          <w:iCs/>
        </w:rPr>
        <w:t xml:space="preserve">Authorities estimate that roughly USD 300m in </w:t>
      </w:r>
      <w:r w:rsidR="007D2910" w:rsidRPr="00785FB4">
        <w:rPr>
          <w:bCs/>
          <w:iCs/>
        </w:rPr>
        <w:t xml:space="preserve">government revenues are lost annually </w:t>
      </w:r>
      <w:r w:rsidR="00962A39" w:rsidRPr="00785FB4">
        <w:rPr>
          <w:bCs/>
          <w:iCs/>
        </w:rPr>
        <w:t>due to illicit mining.</w:t>
      </w:r>
      <w:r w:rsidR="00962A39" w:rsidRPr="00785FB4">
        <w:rPr>
          <w:rStyle w:val="FootnoteReference"/>
          <w:bCs/>
          <w:iCs/>
        </w:rPr>
        <w:footnoteReference w:id="19"/>
      </w:r>
      <w:r w:rsidR="000A5F6F" w:rsidRPr="00785FB4">
        <w:rPr>
          <w:bCs/>
          <w:iCs/>
        </w:rPr>
        <w:t xml:space="preserve"> </w:t>
      </w:r>
      <w:r w:rsidRPr="00785FB4">
        <w:rPr>
          <w:bCs/>
          <w:iCs/>
        </w:rPr>
        <w:t>The government has received extensive support from development partners in extractive industry reforms</w:t>
      </w:r>
      <w:r w:rsidR="009779C5" w:rsidRPr="00785FB4">
        <w:rPr>
          <w:bCs/>
          <w:iCs/>
        </w:rPr>
        <w:t>,</w:t>
      </w:r>
      <w:r w:rsidR="0000309D" w:rsidRPr="00785FB4">
        <w:rPr>
          <w:bCs/>
          <w:iCs/>
        </w:rPr>
        <w:t xml:space="preserve"> although ongoing security concerns have hampered progress</w:t>
      </w:r>
      <w:r w:rsidRPr="00785FB4">
        <w:rPr>
          <w:bCs/>
          <w:iCs/>
        </w:rPr>
        <w:t>.</w:t>
      </w:r>
      <w:r w:rsidRPr="00785FB4">
        <w:rPr>
          <w:bCs/>
          <w:iCs/>
          <w:vertAlign w:val="superscript"/>
        </w:rPr>
        <w:footnoteReference w:id="20"/>
      </w:r>
    </w:p>
    <w:p w14:paraId="1337AF10" w14:textId="4CA065C3" w:rsidR="00D6577B" w:rsidRPr="00785FB4" w:rsidRDefault="00BA6BE1" w:rsidP="00D6577B">
      <w:pPr>
        <w:rPr>
          <w:bCs/>
        </w:rPr>
      </w:pPr>
      <w:r w:rsidRPr="00785FB4">
        <w:rPr>
          <w:bCs/>
        </w:rPr>
        <w:lastRenderedPageBreak/>
        <w:t>Supported</w:t>
      </w:r>
      <w:r w:rsidR="009779C5" w:rsidRPr="00785FB4">
        <w:rPr>
          <w:bCs/>
        </w:rPr>
        <w:t xml:space="preserve"> by the World Bank, t</w:t>
      </w:r>
      <w:r w:rsidR="00D6577B" w:rsidRPr="00785FB4">
        <w:rPr>
          <w:bCs/>
        </w:rPr>
        <w:t>he</w:t>
      </w:r>
      <w:r w:rsidR="009779C5" w:rsidRPr="00785FB4">
        <w:rPr>
          <w:bCs/>
        </w:rPr>
        <w:t xml:space="preserve"> </w:t>
      </w:r>
      <w:r w:rsidR="00D6577B" w:rsidRPr="00785FB4">
        <w:rPr>
          <w:bCs/>
        </w:rPr>
        <w:t>government</w:t>
      </w:r>
      <w:r w:rsidR="008B6EEA" w:rsidRPr="00785FB4">
        <w:rPr>
          <w:bCs/>
        </w:rPr>
        <w:t xml:space="preserve"> initially </w:t>
      </w:r>
      <w:r w:rsidR="00D6577B" w:rsidRPr="00785FB4">
        <w:rPr>
          <w:bCs/>
        </w:rPr>
        <w:t>prioritised larger industrial-mining projects over formalising artisanal and small-scale mining. In 2007, a consortium of China Metallurgical Corp. (MCC) and Jiangxi Copper Corp. (JCCL) agreed to the largest single foreign investment in Afg</w:t>
      </w:r>
      <w:r w:rsidR="00123424" w:rsidRPr="00785FB4">
        <w:rPr>
          <w:bCs/>
        </w:rPr>
        <w:t>hanistan’s history</w:t>
      </w:r>
      <w:r w:rsidR="009779C5" w:rsidRPr="00785FB4">
        <w:rPr>
          <w:bCs/>
        </w:rPr>
        <w:t>, valued at USD 2.9bn,</w:t>
      </w:r>
      <w:r w:rsidR="00123424" w:rsidRPr="00785FB4">
        <w:rPr>
          <w:bCs/>
        </w:rPr>
        <w:t xml:space="preserve"> </w:t>
      </w:r>
      <w:r w:rsidR="009779C5" w:rsidRPr="00785FB4">
        <w:rPr>
          <w:bCs/>
        </w:rPr>
        <w:t>to develop the world’s second-largest copper deposit at Aynak in Logar Province,</w:t>
      </w:r>
      <w:r w:rsidR="009779C5" w:rsidRPr="00785FB4">
        <w:rPr>
          <w:rStyle w:val="FootnoteReference"/>
          <w:bCs/>
        </w:rPr>
        <w:t xml:space="preserve"> </w:t>
      </w:r>
      <w:r w:rsidR="009779C5" w:rsidRPr="00785FB4">
        <w:rPr>
          <w:bCs/>
        </w:rPr>
        <w:t>35km southeast of Kabul.</w:t>
      </w:r>
      <w:r w:rsidR="008F1820" w:rsidRPr="00785FB4">
        <w:rPr>
          <w:rStyle w:val="FootnoteReference"/>
          <w:bCs/>
        </w:rPr>
        <w:footnoteReference w:id="21"/>
      </w:r>
      <w:r w:rsidR="009779C5" w:rsidRPr="00785FB4">
        <w:rPr>
          <w:bCs/>
        </w:rPr>
        <w:t xml:space="preserve"> Aynak holds an estimated</w:t>
      </w:r>
      <w:r w:rsidR="00D6577B" w:rsidRPr="00785FB4">
        <w:rPr>
          <w:bCs/>
        </w:rPr>
        <w:t xml:space="preserve"> </w:t>
      </w:r>
      <w:r w:rsidR="00573FBC" w:rsidRPr="00785FB4">
        <w:rPr>
          <w:bCs/>
        </w:rPr>
        <w:t xml:space="preserve">450m </w:t>
      </w:r>
      <w:r w:rsidR="00D6577B" w:rsidRPr="00785FB4">
        <w:rPr>
          <w:bCs/>
        </w:rPr>
        <w:t>metric tons of copper</w:t>
      </w:r>
      <w:r w:rsidR="00CB4BA6" w:rsidRPr="00785FB4">
        <w:rPr>
          <w:bCs/>
        </w:rPr>
        <w:t xml:space="preserve"> ore worth over USD 50bn</w:t>
      </w:r>
      <w:r w:rsidR="009779C5" w:rsidRPr="00785FB4">
        <w:rPr>
          <w:bCs/>
        </w:rPr>
        <w:t>.</w:t>
      </w:r>
      <w:r w:rsidR="008F1820" w:rsidRPr="00785FB4">
        <w:rPr>
          <w:bCs/>
          <w:vertAlign w:val="superscript"/>
        </w:rPr>
        <w:t xml:space="preserve"> </w:t>
      </w:r>
      <w:r w:rsidR="008F1820" w:rsidRPr="00785FB4">
        <w:rPr>
          <w:bCs/>
          <w:vertAlign w:val="superscript"/>
        </w:rPr>
        <w:footnoteReference w:id="22"/>
      </w:r>
      <w:r w:rsidR="009779C5" w:rsidRPr="00785FB4">
        <w:rPr>
          <w:bCs/>
        </w:rPr>
        <w:t xml:space="preserve"> </w:t>
      </w:r>
      <w:r w:rsidR="000A5F6F" w:rsidRPr="00785FB4">
        <w:rPr>
          <w:bCs/>
        </w:rPr>
        <w:t>In 2012</w:t>
      </w:r>
      <w:r w:rsidR="00D6577B" w:rsidRPr="00785FB4">
        <w:rPr>
          <w:bCs/>
        </w:rPr>
        <w:t xml:space="preserve">, the government also licensed the </w:t>
      </w:r>
      <w:r w:rsidR="00D6577B" w:rsidRPr="00785FB4">
        <w:rPr>
          <w:bCs/>
          <w:iCs/>
        </w:rPr>
        <w:t>Hajigak iron-ore deposit, one of Asia’s largest undeveloped iron-ore reserves 130km west of Kabul with an estimated 1.8bn metric tons of recoverable iron-ore.</w:t>
      </w:r>
      <w:r w:rsidR="00D6577B" w:rsidRPr="00785FB4">
        <w:rPr>
          <w:bCs/>
          <w:iCs/>
          <w:vertAlign w:val="superscript"/>
        </w:rPr>
        <w:footnoteReference w:id="23"/>
      </w:r>
      <w:r w:rsidR="00D6577B" w:rsidRPr="00785FB4">
        <w:rPr>
          <w:bCs/>
          <w:iCs/>
        </w:rPr>
        <w:t xml:space="preserve"> </w:t>
      </w:r>
      <w:r w:rsidR="000A5F6F" w:rsidRPr="00785FB4">
        <w:rPr>
          <w:bCs/>
          <w:iCs/>
        </w:rPr>
        <w:t xml:space="preserve">The project was awarded to </w:t>
      </w:r>
      <w:r w:rsidR="00D6577B" w:rsidRPr="00785FB4">
        <w:rPr>
          <w:bCs/>
          <w:iCs/>
        </w:rPr>
        <w:t>a consortium of Indian companies led by the Steel Authority of India and Canada-based Kilo Goldmines.</w:t>
      </w:r>
      <w:r w:rsidR="000A5F6F" w:rsidRPr="00785FB4">
        <w:rPr>
          <w:rStyle w:val="FootnoteReference"/>
          <w:bCs/>
          <w:iCs/>
        </w:rPr>
        <w:footnoteReference w:id="24"/>
      </w:r>
      <w:r w:rsidR="00D6577B" w:rsidRPr="00785FB4">
        <w:rPr>
          <w:bCs/>
          <w:iCs/>
        </w:rPr>
        <w:t xml:space="preserve"> The estimated USD 1</w:t>
      </w:r>
      <w:r w:rsidR="00390EF7" w:rsidRPr="00785FB4">
        <w:rPr>
          <w:bCs/>
          <w:iCs/>
        </w:rPr>
        <w:t>0</w:t>
      </w:r>
      <w:r w:rsidRPr="00785FB4">
        <w:rPr>
          <w:bCs/>
          <w:iCs/>
        </w:rPr>
        <w:t xml:space="preserve">.8bn project includes plans for a </w:t>
      </w:r>
      <w:r w:rsidR="00D6577B" w:rsidRPr="00785FB4">
        <w:rPr>
          <w:bCs/>
          <w:iCs/>
        </w:rPr>
        <w:t>900km railway connection from the Hajigak region to the Iranian port of Chabahar.</w:t>
      </w:r>
      <w:r w:rsidR="00D6577B" w:rsidRPr="00785FB4">
        <w:rPr>
          <w:bCs/>
          <w:iCs/>
          <w:vertAlign w:val="superscript"/>
        </w:rPr>
        <w:footnoteReference w:id="25"/>
      </w:r>
      <w:r w:rsidR="00D6577B" w:rsidRPr="00785FB4">
        <w:rPr>
          <w:bCs/>
          <w:iCs/>
        </w:rPr>
        <w:t xml:space="preserve"> </w:t>
      </w:r>
      <w:r w:rsidR="009779C5" w:rsidRPr="00785FB4">
        <w:rPr>
          <w:bCs/>
          <w:iCs/>
        </w:rPr>
        <w:t>At the time, t</w:t>
      </w:r>
      <w:r w:rsidR="00D6577B" w:rsidRPr="00785FB4">
        <w:rPr>
          <w:bCs/>
        </w:rPr>
        <w:t>he government expect</w:t>
      </w:r>
      <w:r w:rsidR="009779C5" w:rsidRPr="00785FB4">
        <w:rPr>
          <w:bCs/>
        </w:rPr>
        <w:t>ed</w:t>
      </w:r>
      <w:r w:rsidR="00D6577B" w:rsidRPr="00785FB4">
        <w:rPr>
          <w:bCs/>
        </w:rPr>
        <w:t xml:space="preserve"> the two projects of Ainak and Hajigak to generate some 90,000 direct and indirect jobs and roughly USD 500m in annual fiscal revenues by 2020.</w:t>
      </w:r>
      <w:r w:rsidR="00D6577B" w:rsidRPr="00785FB4">
        <w:rPr>
          <w:bCs/>
          <w:iCs/>
          <w:vertAlign w:val="superscript"/>
        </w:rPr>
        <w:footnoteReference w:id="26"/>
      </w:r>
      <w:r w:rsidR="009779C5" w:rsidRPr="00785FB4">
        <w:rPr>
          <w:bCs/>
        </w:rPr>
        <w:t xml:space="preserve"> </w:t>
      </w:r>
      <w:r w:rsidR="00F96D68" w:rsidRPr="00785FB4">
        <w:rPr>
          <w:bCs/>
        </w:rPr>
        <w:t>Neither p</w:t>
      </w:r>
      <w:r w:rsidRPr="00785FB4">
        <w:rPr>
          <w:bCs/>
        </w:rPr>
        <w:t xml:space="preserve">roject is currently operational. </w:t>
      </w:r>
      <w:r w:rsidR="008B6EEA" w:rsidRPr="00785FB4">
        <w:rPr>
          <w:bCs/>
        </w:rPr>
        <w:t xml:space="preserve">President Ghani’s government </w:t>
      </w:r>
      <w:r w:rsidR="00F96D68" w:rsidRPr="00785FB4">
        <w:rPr>
          <w:bCs/>
        </w:rPr>
        <w:t>discontinued the policy of prioritising large-scale projects</w:t>
      </w:r>
      <w:r w:rsidRPr="00785FB4">
        <w:rPr>
          <w:bCs/>
        </w:rPr>
        <w:t xml:space="preserve"> and there was a </w:t>
      </w:r>
      <w:r w:rsidRPr="00785FB4">
        <w:rPr>
          <w:bCs/>
          <w:i/>
        </w:rPr>
        <w:t xml:space="preserve">de facto </w:t>
      </w:r>
      <w:r w:rsidRPr="00785FB4">
        <w:rPr>
          <w:bCs/>
        </w:rPr>
        <w:t>licensing freeze in the period 2015-2017</w:t>
      </w:r>
      <w:r w:rsidR="00F96D68" w:rsidRPr="00785FB4">
        <w:rPr>
          <w:bCs/>
        </w:rPr>
        <w:t>.</w:t>
      </w:r>
    </w:p>
    <w:p w14:paraId="4CD1C672" w14:textId="11F61966" w:rsidR="006C5BD6" w:rsidRPr="00785FB4" w:rsidRDefault="00D6577B" w:rsidP="008F2F94">
      <w:pPr>
        <w:rPr>
          <w:bCs/>
        </w:rPr>
      </w:pPr>
      <w:r w:rsidRPr="00785FB4">
        <w:rPr>
          <w:bCs/>
        </w:rPr>
        <w:t xml:space="preserve">Afghanistan holds reserves </w:t>
      </w:r>
      <w:r w:rsidR="00CA2C4E" w:rsidRPr="00785FB4">
        <w:rPr>
          <w:bCs/>
        </w:rPr>
        <w:t>estimated at 3.4bn barrels of crude oil, 440bn cu</w:t>
      </w:r>
      <w:r w:rsidR="008F0CD4">
        <w:rPr>
          <w:bCs/>
        </w:rPr>
        <w:t>bic</w:t>
      </w:r>
      <w:r w:rsidR="00CA2C4E" w:rsidRPr="00785FB4">
        <w:rPr>
          <w:bCs/>
        </w:rPr>
        <w:t xml:space="preserve"> m</w:t>
      </w:r>
      <w:r w:rsidR="008F0CD4">
        <w:rPr>
          <w:bCs/>
        </w:rPr>
        <w:t>eters</w:t>
      </w:r>
      <w:r w:rsidR="00CA2C4E" w:rsidRPr="00785FB4">
        <w:rPr>
          <w:bCs/>
        </w:rPr>
        <w:t xml:space="preserve"> of natural gas and 562m barrels of natural gas</w:t>
      </w:r>
      <w:r w:rsidR="003D29EB" w:rsidRPr="00785FB4">
        <w:rPr>
          <w:rStyle w:val="FootnoteReference"/>
          <w:bCs/>
        </w:rPr>
        <w:footnoteReference w:id="27"/>
      </w:r>
      <w:r w:rsidR="003D29EB" w:rsidRPr="00785FB4">
        <w:rPr>
          <w:bCs/>
        </w:rPr>
        <w:t xml:space="preserve"> spread over </w:t>
      </w:r>
      <w:r w:rsidRPr="00785FB4">
        <w:rPr>
          <w:bCs/>
        </w:rPr>
        <w:t>29 fields (in the Afghan-Tajik, Amu Darya and Tirpul basins).</w:t>
      </w:r>
      <w:r w:rsidRPr="00785FB4">
        <w:rPr>
          <w:bCs/>
          <w:iCs/>
          <w:vertAlign w:val="superscript"/>
        </w:rPr>
        <w:footnoteReference w:id="28"/>
      </w:r>
      <w:r w:rsidRPr="00785FB4">
        <w:rPr>
          <w:bCs/>
        </w:rPr>
        <w:t xml:space="preserve"> While oil and gas deposits were first identified in 1959, only a small share have been developed to date. </w:t>
      </w:r>
      <w:r w:rsidRPr="00785FB4">
        <w:rPr>
          <w:bCs/>
          <w:iCs/>
        </w:rPr>
        <w:t>In 2011, China National Petroleum Corp. (CNPC) and its local partner Watan Oil &amp; Gas secured rights to three oil and gas blocks in the provinces of Sar-e Pul and Faryab</w:t>
      </w:r>
      <w:r w:rsidRPr="00785FB4">
        <w:rPr>
          <w:bCs/>
          <w:vertAlign w:val="superscript"/>
        </w:rPr>
        <w:footnoteReference w:id="29"/>
      </w:r>
      <w:r w:rsidRPr="00785FB4">
        <w:rPr>
          <w:bCs/>
          <w:iCs/>
        </w:rPr>
        <w:t xml:space="preserve">, </w:t>
      </w:r>
      <w:r w:rsidR="009045D6" w:rsidRPr="00785FB4">
        <w:rPr>
          <w:bCs/>
          <w:iCs/>
        </w:rPr>
        <w:t>including to the Amu Darya oil basin that started producing in June 2012</w:t>
      </w:r>
      <w:r w:rsidRPr="00785FB4">
        <w:rPr>
          <w:bCs/>
          <w:iCs/>
        </w:rPr>
        <w:t>.</w:t>
      </w:r>
      <w:r w:rsidRPr="00785FB4">
        <w:rPr>
          <w:bCs/>
          <w:iCs/>
          <w:vertAlign w:val="superscript"/>
        </w:rPr>
        <w:footnoteReference w:id="30"/>
      </w:r>
      <w:r w:rsidRPr="00785FB4">
        <w:rPr>
          <w:bCs/>
          <w:iCs/>
        </w:rPr>
        <w:t xml:space="preserve"> The consortium produced 372k barrels of oil from the Amu-Darya oilfield in 2014 and 268k barrels in 2015</w:t>
      </w:r>
      <w:r w:rsidRPr="00785FB4">
        <w:rPr>
          <w:bCs/>
          <w:iCs/>
          <w:vertAlign w:val="superscript"/>
        </w:rPr>
        <w:footnoteReference w:id="31"/>
      </w:r>
      <w:r w:rsidRPr="00785FB4">
        <w:rPr>
          <w:bCs/>
          <w:iCs/>
        </w:rPr>
        <w:t>, far short of the government’s target of 40k barrels per day due to budgeting disputes between the companies.</w:t>
      </w:r>
      <w:r w:rsidRPr="00785FB4">
        <w:rPr>
          <w:bCs/>
          <w:iCs/>
          <w:vertAlign w:val="superscript"/>
        </w:rPr>
        <w:footnoteReference w:id="32"/>
      </w:r>
      <w:r w:rsidRPr="00785FB4">
        <w:rPr>
          <w:bCs/>
          <w:iCs/>
        </w:rPr>
        <w:t xml:space="preserve"> Two refineries were established by private investors in 2013 in northern Hairatan to handle Amu-Darya crude.</w:t>
      </w:r>
      <w:r w:rsidRPr="00785FB4">
        <w:rPr>
          <w:bCs/>
          <w:iCs/>
          <w:vertAlign w:val="superscript"/>
        </w:rPr>
        <w:footnoteReference w:id="33"/>
      </w:r>
      <w:r w:rsidRPr="00785FB4">
        <w:rPr>
          <w:bCs/>
          <w:iCs/>
        </w:rPr>
        <w:t xml:space="preserve"> While the Afghan Gas Enterprise produces natural gas from four gas fields in the country’s north, the quantities produced remain limited</w:t>
      </w:r>
      <w:r w:rsidRPr="00785FB4">
        <w:rPr>
          <w:bCs/>
          <w:iCs/>
          <w:vertAlign w:val="superscript"/>
        </w:rPr>
        <w:footnoteReference w:id="34"/>
      </w:r>
      <w:r w:rsidRPr="00785FB4">
        <w:rPr>
          <w:bCs/>
          <w:iCs/>
        </w:rPr>
        <w:t xml:space="preserve"> and supplied to a domestic fertiliser company and power plant.</w:t>
      </w:r>
      <w:r w:rsidRPr="00785FB4">
        <w:rPr>
          <w:bCs/>
          <w:iCs/>
          <w:vertAlign w:val="superscript"/>
        </w:rPr>
        <w:footnoteReference w:id="35"/>
      </w:r>
    </w:p>
    <w:p w14:paraId="0C7B6BCC" w14:textId="533FE5BC" w:rsidR="000B70D0" w:rsidRPr="00785FB4" w:rsidRDefault="000B70D0" w:rsidP="00A94167">
      <w:pPr>
        <w:pStyle w:val="Heading2notindexed"/>
      </w:pPr>
      <w:bookmarkStart w:id="79" w:name="_Toc459133082"/>
      <w:bookmarkStart w:id="80" w:name="_Toc461803031"/>
      <w:bookmarkStart w:id="81" w:name="_Toc461787312"/>
      <w:bookmarkStart w:id="82" w:name="_Toc505449563"/>
      <w:bookmarkStart w:id="83" w:name="_Toc505449773"/>
      <w:r w:rsidRPr="00785FB4">
        <w:t xml:space="preserve">Explanation of the </w:t>
      </w:r>
      <w:r w:rsidR="009F6032" w:rsidRPr="00785FB4">
        <w:t>V</w:t>
      </w:r>
      <w:r w:rsidRPr="00785FB4">
        <w:t>alidation process</w:t>
      </w:r>
      <w:bookmarkEnd w:id="78"/>
      <w:bookmarkEnd w:id="79"/>
      <w:bookmarkEnd w:id="80"/>
      <w:bookmarkEnd w:id="81"/>
      <w:bookmarkEnd w:id="82"/>
      <w:bookmarkEnd w:id="83"/>
    </w:p>
    <w:p w14:paraId="13B10C09" w14:textId="77777777" w:rsidR="001B0810" w:rsidRPr="00785FB4" w:rsidRDefault="001B0810" w:rsidP="001B0810">
      <w:pPr>
        <w:widowControl/>
        <w:suppressAutoHyphens w:val="0"/>
        <w:spacing w:after="0"/>
        <w:rPr>
          <w:rFonts w:ascii="Calibri" w:hAnsi="Calibri"/>
        </w:rPr>
      </w:pPr>
      <w:r w:rsidRPr="00785FB4">
        <w:rPr>
          <w:rFonts w:ascii="Calibri" w:hAnsi="Calibri"/>
        </w:rPr>
        <w:t xml:space="preserve">Validation is an essential feature of the EITI implementation process. It is intended to provide all stakeholders with an impartial assessment of whether EITI implementation in a country is consistent with </w:t>
      </w:r>
      <w:r w:rsidRPr="00785FB4">
        <w:rPr>
          <w:rFonts w:ascii="Calibri" w:hAnsi="Calibri"/>
        </w:rPr>
        <w:lastRenderedPageBreak/>
        <w:t xml:space="preserve">the provisions of the EITI Standard. It also addresses the impact of the EITI, the implementation of activities encouraged by the EITI Standard, lessons learnt in EITI implementation, as well as any concerns stakeholders have expressed and recommendations for future implementation of the EITI. </w:t>
      </w:r>
    </w:p>
    <w:p w14:paraId="0A276E85" w14:textId="77777777" w:rsidR="001B0810" w:rsidRPr="00785FB4" w:rsidRDefault="001B0810" w:rsidP="001B0810">
      <w:pPr>
        <w:widowControl/>
        <w:suppressAutoHyphens w:val="0"/>
        <w:spacing w:after="0"/>
        <w:rPr>
          <w:rFonts w:ascii="Calibri" w:hAnsi="Calibri"/>
        </w:rPr>
      </w:pPr>
    </w:p>
    <w:p w14:paraId="25C78F1A" w14:textId="77777777" w:rsidR="001B0810" w:rsidRPr="00785FB4" w:rsidRDefault="001B0810" w:rsidP="001B0810">
      <w:pPr>
        <w:widowControl/>
        <w:suppressAutoHyphens w:val="0"/>
        <w:spacing w:after="0"/>
        <w:rPr>
          <w:rFonts w:ascii="Calibri" w:hAnsi="Calibri"/>
          <w:b/>
          <w:bCs/>
        </w:rPr>
      </w:pPr>
      <w:r w:rsidRPr="00785FB4">
        <w:rPr>
          <w:rFonts w:ascii="Calibri" w:hAnsi="Calibri"/>
        </w:rPr>
        <w:t>The Validation process is outlined in chapter 4 of the EITI Standard</w:t>
      </w:r>
      <w:r w:rsidRPr="00785FB4">
        <w:rPr>
          <w:rStyle w:val="FootnoteReference"/>
          <w:rFonts w:ascii="Calibri" w:hAnsi="Calibri"/>
        </w:rPr>
        <w:footnoteReference w:id="36"/>
      </w:r>
      <w:r w:rsidRPr="00785FB4">
        <w:rPr>
          <w:rFonts w:ascii="Calibri" w:hAnsi="Calibri"/>
        </w:rPr>
        <w:t>. It has four phases:</w:t>
      </w:r>
    </w:p>
    <w:p w14:paraId="73C9A76B" w14:textId="77777777" w:rsidR="001B0810" w:rsidRPr="00785FB4" w:rsidRDefault="001B0810" w:rsidP="00F72955">
      <w:pPr>
        <w:pStyle w:val="ListParagraph"/>
        <w:numPr>
          <w:ilvl w:val="0"/>
          <w:numId w:val="12"/>
        </w:numPr>
      </w:pPr>
      <w:r w:rsidRPr="00785FB4">
        <w:t>Preparation for Validation by the multi-stakeholder group (MSG)</w:t>
      </w:r>
    </w:p>
    <w:p w14:paraId="1A289EF2" w14:textId="77777777" w:rsidR="001B0810" w:rsidRPr="00785FB4" w:rsidRDefault="001B0810" w:rsidP="00F72955">
      <w:pPr>
        <w:pStyle w:val="ListParagraph"/>
        <w:numPr>
          <w:ilvl w:val="0"/>
          <w:numId w:val="12"/>
        </w:numPr>
      </w:pPr>
      <w:r w:rsidRPr="00785FB4">
        <w:t>Initial data collection and stakeholder consultation undertaken by the EITI International Secretariat. </w:t>
      </w:r>
    </w:p>
    <w:p w14:paraId="2366731F" w14:textId="77777777" w:rsidR="001B0810" w:rsidRPr="00785FB4" w:rsidRDefault="001B0810" w:rsidP="00F72955">
      <w:pPr>
        <w:pStyle w:val="ListParagraph"/>
        <w:numPr>
          <w:ilvl w:val="0"/>
          <w:numId w:val="12"/>
        </w:numPr>
      </w:pPr>
      <w:r w:rsidRPr="00785FB4">
        <w:t>Independent quality assurance by an independent Validator who reports directly the EITI Board</w:t>
      </w:r>
    </w:p>
    <w:p w14:paraId="2C5B317F" w14:textId="77777777" w:rsidR="001B0810" w:rsidRPr="00785FB4" w:rsidRDefault="001B0810" w:rsidP="00F72955">
      <w:pPr>
        <w:pStyle w:val="ListParagraph"/>
        <w:numPr>
          <w:ilvl w:val="0"/>
          <w:numId w:val="12"/>
        </w:numPr>
      </w:pPr>
      <w:r w:rsidRPr="00785FB4">
        <w:t xml:space="preserve">Board review. </w:t>
      </w:r>
    </w:p>
    <w:p w14:paraId="4186A8AF" w14:textId="77777777" w:rsidR="001B0810" w:rsidRPr="00785FB4" w:rsidRDefault="001B0810" w:rsidP="001B0810">
      <w:pPr>
        <w:rPr>
          <w:rFonts w:ascii="Calibri" w:hAnsi="Calibri"/>
        </w:rPr>
      </w:pPr>
      <w:r w:rsidRPr="00785FB4">
        <w:rPr>
          <w:rFonts w:ascii="Calibri" w:hAnsi="Calibri"/>
        </w:rPr>
        <w:t xml:space="preserve">The </w:t>
      </w:r>
      <w:hyperlink r:id="rId23" w:history="1">
        <w:r w:rsidRPr="00785FB4">
          <w:rPr>
            <w:rStyle w:val="Hyperlink"/>
            <w:rFonts w:ascii="Calibri" w:hAnsi="Calibri"/>
          </w:rPr>
          <w:t>Validation Guide</w:t>
        </w:r>
      </w:hyperlink>
      <w:r w:rsidRPr="00785FB4">
        <w:rPr>
          <w:rFonts w:ascii="Calibri" w:hAnsi="Calibri"/>
        </w:rPr>
        <w:t xml:space="preserve"> provides detailed guidance on assessing EITI Requirements, and more detailed </w:t>
      </w:r>
      <w:hyperlink r:id="rId24" w:history="1">
        <w:r w:rsidRPr="00785FB4">
          <w:rPr>
            <w:rStyle w:val="Hyperlink"/>
            <w:rFonts w:ascii="Calibri" w:hAnsi="Calibri"/>
          </w:rPr>
          <w:t>Validation procedures</w:t>
        </w:r>
      </w:hyperlink>
      <w:r w:rsidRPr="00785FB4">
        <w:rPr>
          <w:rFonts w:ascii="Calibri" w:hAnsi="Calibri"/>
        </w:rPr>
        <w:t xml:space="preserve">, including a standardised procedure for data collection and stakeholder consultation by the EITI International Secretariat and standardised terms of reference for the Validator. </w:t>
      </w:r>
    </w:p>
    <w:p w14:paraId="6602095B" w14:textId="7F421800" w:rsidR="001B0810" w:rsidRPr="00785FB4" w:rsidRDefault="001B0810" w:rsidP="001B0810">
      <w:pPr>
        <w:rPr>
          <w:rFonts w:ascii="Calibri" w:hAnsi="Calibri"/>
        </w:rPr>
      </w:pPr>
      <w:r w:rsidRPr="00785FB4">
        <w:rPr>
          <w:rFonts w:ascii="Calibri" w:hAnsi="Calibri"/>
        </w:rPr>
        <w:t xml:space="preserve">The Validation Guide includes a provision that: “Where the MSG wishes that </w:t>
      </w:r>
      <w:r w:rsidR="00F96D68" w:rsidRPr="00785FB4">
        <w:rPr>
          <w:rFonts w:ascii="Calibri" w:hAnsi="Calibri"/>
        </w:rPr>
        <w:t>V</w:t>
      </w:r>
      <w:r w:rsidRPr="00785FB4">
        <w:rPr>
          <w:rFonts w:ascii="Calibri" w:hAnsi="Calibri"/>
        </w:rPr>
        <w:t xml:space="preserve">alidation pays particular attention to assessing certain objectives or activities in accordance with the MSG work plan, these should be outlined upon the request of the MSG”. </w:t>
      </w:r>
      <w:r w:rsidR="00D2427B" w:rsidRPr="00785FB4">
        <w:rPr>
          <w:rFonts w:ascii="Calibri" w:hAnsi="Calibri"/>
          <w:u w:val="single"/>
        </w:rPr>
        <w:t>The Afghanistan EITI MSG did not request any issues for particular consideration</w:t>
      </w:r>
      <w:r w:rsidR="00D2427B" w:rsidRPr="00785FB4">
        <w:rPr>
          <w:rFonts w:ascii="Calibri" w:hAnsi="Calibri"/>
        </w:rPr>
        <w:t>.</w:t>
      </w:r>
    </w:p>
    <w:p w14:paraId="772DC258" w14:textId="77777777" w:rsidR="001B0810" w:rsidRPr="00785FB4" w:rsidRDefault="001B0810" w:rsidP="001B0810">
      <w:pPr>
        <w:rPr>
          <w:rFonts w:ascii="Calibri" w:hAnsi="Calibri"/>
        </w:rPr>
      </w:pPr>
      <w:r w:rsidRPr="00785FB4">
        <w:rPr>
          <w:rFonts w:ascii="Calibri" w:hAnsi="Calibri"/>
        </w:rPr>
        <w:t xml:space="preserve">In accordance with the Validation procedures, the International Secretariat’s work on the </w:t>
      </w:r>
      <w:r w:rsidRPr="00785FB4">
        <w:t xml:space="preserve">initial data collection and stakeholder consultation </w:t>
      </w:r>
      <w:r w:rsidRPr="00785FB4">
        <w:rPr>
          <w:rFonts w:ascii="Calibri" w:hAnsi="Calibri"/>
        </w:rPr>
        <w:t>was conducted in three phases:</w:t>
      </w:r>
    </w:p>
    <w:p w14:paraId="3185A574" w14:textId="77777777" w:rsidR="001B0810" w:rsidRPr="00785FB4" w:rsidRDefault="001B0810" w:rsidP="001B0810">
      <w:pPr>
        <w:spacing w:after="240"/>
        <w:rPr>
          <w:rFonts w:ascii="Calibri" w:hAnsi="Calibri"/>
        </w:rPr>
      </w:pPr>
      <w:r w:rsidRPr="00785FB4">
        <w:rPr>
          <w:rFonts w:ascii="Calibri" w:hAnsi="Calibri"/>
          <w:u w:val="single"/>
        </w:rPr>
        <w:t>1. Desk Review</w:t>
      </w:r>
    </w:p>
    <w:p w14:paraId="6F2913CD" w14:textId="77777777" w:rsidR="001B0810" w:rsidRPr="00785FB4" w:rsidRDefault="001B0810" w:rsidP="001B0810">
      <w:pPr>
        <w:spacing w:after="240"/>
        <w:rPr>
          <w:rFonts w:ascii="Calibri" w:hAnsi="Calibri"/>
        </w:rPr>
      </w:pPr>
      <w:r w:rsidRPr="00785FB4">
        <w:rPr>
          <w:rFonts w:ascii="Calibri" w:hAnsi="Calibri"/>
        </w:rPr>
        <w:t>Prior to visiting the country, the Secretariat conducted a detailed desk review of the available documentation relating to the country’s compliance with the EITI Standard, including but not limited to:</w:t>
      </w:r>
    </w:p>
    <w:p w14:paraId="15E99650" w14:textId="77777777" w:rsidR="001B0810" w:rsidRPr="00785FB4" w:rsidRDefault="001B0810" w:rsidP="00F72955">
      <w:pPr>
        <w:pStyle w:val="ListParagraph"/>
      </w:pPr>
      <w:r w:rsidRPr="00785FB4">
        <w:t>The EITI work plan and other planning documents such as budgets and communication plans;</w:t>
      </w:r>
    </w:p>
    <w:p w14:paraId="3D3831D6" w14:textId="77777777" w:rsidR="001B0810" w:rsidRPr="00785FB4" w:rsidRDefault="001B0810" w:rsidP="00F72955">
      <w:pPr>
        <w:pStyle w:val="ListParagraph"/>
      </w:pPr>
      <w:r w:rsidRPr="00785FB4">
        <w:t>The multi-stakeholder group’s Terms of Reference, and minutes from multi-stakeholder group meetings;</w:t>
      </w:r>
    </w:p>
    <w:p w14:paraId="2FDCB01E" w14:textId="77777777" w:rsidR="001B0810" w:rsidRPr="00785FB4" w:rsidRDefault="001B0810" w:rsidP="00F72955">
      <w:pPr>
        <w:pStyle w:val="ListParagraph"/>
      </w:pPr>
      <w:r w:rsidRPr="00785FB4">
        <w:t>EITI Reports, and supplementary information such as summary reports and scoping studies;</w:t>
      </w:r>
    </w:p>
    <w:p w14:paraId="405D2C6A" w14:textId="77777777" w:rsidR="001B0810" w:rsidRPr="00785FB4" w:rsidRDefault="001B0810" w:rsidP="00F72955">
      <w:pPr>
        <w:pStyle w:val="ListParagraph"/>
      </w:pPr>
      <w:r w:rsidRPr="00785FB4">
        <w:t>Communication materials;</w:t>
      </w:r>
    </w:p>
    <w:p w14:paraId="517DBD37" w14:textId="77777777" w:rsidR="001B0810" w:rsidRPr="00785FB4" w:rsidRDefault="001B0810" w:rsidP="00F72955">
      <w:pPr>
        <w:pStyle w:val="ListParagraph"/>
      </w:pPr>
      <w:r w:rsidRPr="00785FB4">
        <w:t>Annual progress reports; and</w:t>
      </w:r>
    </w:p>
    <w:p w14:paraId="5FD0D799" w14:textId="77777777" w:rsidR="001B0810" w:rsidRPr="00785FB4" w:rsidRDefault="001B0810" w:rsidP="00F72955">
      <w:pPr>
        <w:pStyle w:val="ListParagraph"/>
      </w:pPr>
      <w:r w:rsidRPr="00785FB4">
        <w:t>Any other information of relevance to Validation.</w:t>
      </w:r>
    </w:p>
    <w:p w14:paraId="69EBE2A5" w14:textId="77777777" w:rsidR="001B0810" w:rsidRPr="00785FB4" w:rsidRDefault="001B0810" w:rsidP="001B0810">
      <w:pPr>
        <w:rPr>
          <w:rFonts w:ascii="Calibri" w:hAnsi="Calibri"/>
        </w:rPr>
      </w:pPr>
      <w:r w:rsidRPr="00785FB4">
        <w:rPr>
          <w:rFonts w:ascii="Calibri" w:hAnsi="Calibri"/>
        </w:rPr>
        <w:t xml:space="preserve">In accordance with the Validation procedures, the Secretariat has not taken into account actions undertaken after the commencement of Validation. </w:t>
      </w:r>
    </w:p>
    <w:p w14:paraId="1962BA85" w14:textId="77777777" w:rsidR="001B0810" w:rsidRPr="00785FB4" w:rsidRDefault="001B0810" w:rsidP="001B0810">
      <w:pPr>
        <w:tabs>
          <w:tab w:val="left" w:pos="284"/>
        </w:tabs>
        <w:rPr>
          <w:rFonts w:ascii="Calibri" w:hAnsi="Calibri"/>
        </w:rPr>
      </w:pPr>
      <w:r w:rsidRPr="00785FB4">
        <w:rPr>
          <w:rFonts w:ascii="Calibri" w:hAnsi="Calibri"/>
          <w:u w:val="single"/>
        </w:rPr>
        <w:t>2. Country visit</w:t>
      </w:r>
    </w:p>
    <w:p w14:paraId="7B9A4D57" w14:textId="7F964BFA" w:rsidR="001B0810" w:rsidRPr="00785FB4" w:rsidRDefault="001B0810" w:rsidP="001B0810">
      <w:pPr>
        <w:tabs>
          <w:tab w:val="left" w:pos="284"/>
        </w:tabs>
        <w:rPr>
          <w:rFonts w:ascii="Calibri" w:hAnsi="Calibri"/>
        </w:rPr>
      </w:pPr>
      <w:r w:rsidRPr="00785FB4">
        <w:rPr>
          <w:rFonts w:ascii="Calibri" w:hAnsi="Calibri"/>
        </w:rPr>
        <w:t xml:space="preserve">A country visit took place on </w:t>
      </w:r>
      <w:r w:rsidRPr="00785FB4">
        <w:rPr>
          <w:rFonts w:ascii="Calibri" w:hAnsi="Calibri"/>
          <w:bCs/>
        </w:rPr>
        <w:t>19-24 January 2018</w:t>
      </w:r>
      <w:r w:rsidRPr="00785FB4">
        <w:rPr>
          <w:rFonts w:ascii="Calibri" w:hAnsi="Calibri"/>
        </w:rPr>
        <w:t xml:space="preserve">. All meetings took place in </w:t>
      </w:r>
      <w:r w:rsidRPr="00785FB4">
        <w:rPr>
          <w:rFonts w:ascii="Calibri" w:hAnsi="Calibri"/>
          <w:bCs/>
        </w:rPr>
        <w:t>Kabul</w:t>
      </w:r>
      <w:r w:rsidRPr="00785FB4">
        <w:rPr>
          <w:rFonts w:ascii="Calibri" w:hAnsi="Calibri"/>
        </w:rPr>
        <w:t xml:space="preserve">. </w:t>
      </w:r>
      <w:r w:rsidR="00F96D68" w:rsidRPr="00785FB4">
        <w:rPr>
          <w:rFonts w:ascii="Calibri" w:hAnsi="Calibri"/>
        </w:rPr>
        <w:t xml:space="preserve">Despite important </w:t>
      </w:r>
      <w:r w:rsidR="00F96D68" w:rsidRPr="00785FB4">
        <w:rPr>
          <w:rFonts w:ascii="Calibri" w:hAnsi="Calibri"/>
        </w:rPr>
        <w:lastRenderedPageBreak/>
        <w:t>security constraints, t</w:t>
      </w:r>
      <w:r w:rsidRPr="00785FB4">
        <w:rPr>
          <w:rFonts w:ascii="Calibri" w:hAnsi="Calibri"/>
        </w:rPr>
        <w:t xml:space="preserve">he secretariat </w:t>
      </w:r>
      <w:r w:rsidR="00F96D68" w:rsidRPr="00785FB4">
        <w:rPr>
          <w:rFonts w:ascii="Calibri" w:hAnsi="Calibri"/>
        </w:rPr>
        <w:t xml:space="preserve">spoke with and/or </w:t>
      </w:r>
      <w:r w:rsidRPr="00785FB4">
        <w:rPr>
          <w:rFonts w:ascii="Calibri" w:hAnsi="Calibri"/>
        </w:rPr>
        <w:t xml:space="preserve">met with the multi-stakeholder group and its members, the Independent Administrator and other key stakeholders, including stakeholder groups that are represented on, but not directly participating in, the multi-stakeholder group. In addition to meeting with the MSG as a group, the Secretariat met with its constituent parts (government, companies and civil society) either individually or in constituency groups, with appropriate protocols to ensure that stakeholders </w:t>
      </w:r>
      <w:r w:rsidR="00F96D68" w:rsidRPr="00785FB4">
        <w:rPr>
          <w:rFonts w:ascii="Calibri" w:hAnsi="Calibri"/>
        </w:rPr>
        <w:t>we</w:t>
      </w:r>
      <w:r w:rsidRPr="00785FB4">
        <w:rPr>
          <w:rFonts w:ascii="Calibri" w:hAnsi="Calibri"/>
        </w:rPr>
        <w:t xml:space="preserve">re able to freely express their views and that requests for confidentially </w:t>
      </w:r>
      <w:r w:rsidR="00F96D68" w:rsidRPr="00785FB4">
        <w:rPr>
          <w:rFonts w:ascii="Calibri" w:hAnsi="Calibri"/>
        </w:rPr>
        <w:t>we</w:t>
      </w:r>
      <w:r w:rsidRPr="00785FB4">
        <w:rPr>
          <w:rFonts w:ascii="Calibri" w:hAnsi="Calibri"/>
        </w:rPr>
        <w:t xml:space="preserve">re respected. The list of stakeholders consulted in outlined in Annex </w:t>
      </w:r>
      <w:r w:rsidR="008A4CB1" w:rsidRPr="00785FB4">
        <w:rPr>
          <w:rFonts w:ascii="Calibri" w:hAnsi="Calibri"/>
        </w:rPr>
        <w:t>D</w:t>
      </w:r>
      <w:r w:rsidRPr="00785FB4">
        <w:rPr>
          <w:rFonts w:ascii="Calibri" w:hAnsi="Calibri"/>
        </w:rPr>
        <w:t xml:space="preserve">. </w:t>
      </w:r>
    </w:p>
    <w:p w14:paraId="6995F851" w14:textId="77777777" w:rsidR="001B0810" w:rsidRPr="00785FB4" w:rsidRDefault="001B0810" w:rsidP="001B0810">
      <w:pPr>
        <w:tabs>
          <w:tab w:val="left" w:pos="284"/>
        </w:tabs>
        <w:rPr>
          <w:rFonts w:ascii="Calibri" w:hAnsi="Calibri"/>
        </w:rPr>
      </w:pPr>
      <w:r w:rsidRPr="00785FB4">
        <w:rPr>
          <w:rFonts w:ascii="Calibri" w:hAnsi="Calibri"/>
          <w:u w:val="single"/>
        </w:rPr>
        <w:t>3. Reporting on progress against requirements</w:t>
      </w:r>
    </w:p>
    <w:p w14:paraId="3964230D" w14:textId="77777777" w:rsidR="001B0810" w:rsidRPr="00785FB4" w:rsidRDefault="001B0810" w:rsidP="001B0810">
      <w:pPr>
        <w:tabs>
          <w:tab w:val="left" w:pos="284"/>
        </w:tabs>
        <w:rPr>
          <w:rFonts w:ascii="Calibri" w:hAnsi="Calibri"/>
        </w:rPr>
      </w:pPr>
      <w:r w:rsidRPr="00785FB4">
        <w:rPr>
          <w:rFonts w:ascii="Calibri" w:hAnsi="Calibri"/>
        </w:rPr>
        <w:t xml:space="preserve">This report provides the International Secretariat initial assessment of progress against requirements in accordance with the Validation Guide. It does not include an overall assessment of compliance. </w:t>
      </w:r>
    </w:p>
    <w:p w14:paraId="4DCDB0ED" w14:textId="3F889446" w:rsidR="0078530B" w:rsidRPr="00785FB4" w:rsidRDefault="001B0810" w:rsidP="001B0810">
      <w:r w:rsidRPr="00785FB4">
        <w:rPr>
          <w:rFonts w:ascii="Calibri" w:hAnsi="Calibri"/>
        </w:rPr>
        <w:t xml:space="preserve">The International Secretariat’s team comprised: </w:t>
      </w:r>
      <w:r w:rsidR="00D2427B" w:rsidRPr="00785FB4">
        <w:rPr>
          <w:rFonts w:ascii="Calibri" w:hAnsi="Calibri"/>
          <w:bCs/>
        </w:rPr>
        <w:t xml:space="preserve">Pablo Valverde, Alex Gordy, Eddie Rich and Sam Bartlett. </w:t>
      </w:r>
      <w:r w:rsidR="007F6E3B" w:rsidRPr="00785FB4">
        <w:rPr>
          <w:rFonts w:ascii="Calibri" w:hAnsi="Calibri"/>
          <w:bCs/>
        </w:rPr>
        <w:t>Pablo Valverde and Alex Gordy conducted stakeholder consultation and prepared the draft initial assessment. Eddie Rich and Sam Bartlett provided quality assurance.</w:t>
      </w:r>
    </w:p>
    <w:p w14:paraId="7E2C2A9E" w14:textId="77777777" w:rsidR="001178E5" w:rsidRPr="00785FB4" w:rsidRDefault="001178E5" w:rsidP="004B1D32">
      <w:pPr>
        <w:sectPr w:rsidR="001178E5" w:rsidRPr="00785FB4" w:rsidSect="008F1820">
          <w:headerReference w:type="default" r:id="rId25"/>
          <w:headerReference w:type="first" r:id="rId26"/>
          <w:pgSz w:w="11905" w:h="16837"/>
          <w:pgMar w:top="1175" w:right="1276" w:bottom="1418" w:left="1134" w:header="567" w:footer="0" w:gutter="0"/>
          <w:cols w:space="708"/>
          <w:titlePg/>
          <w:docGrid w:linePitch="326"/>
        </w:sectPr>
      </w:pPr>
    </w:p>
    <w:p w14:paraId="6E775565" w14:textId="75D59357" w:rsidR="002929E0" w:rsidRPr="00785FB4" w:rsidRDefault="002929E0" w:rsidP="007F0FEB">
      <w:pPr>
        <w:pStyle w:val="Heading1"/>
      </w:pPr>
      <w:bookmarkStart w:id="84" w:name="_Toc459133083"/>
      <w:bookmarkStart w:id="85" w:name="_Toc461803032"/>
      <w:bookmarkStart w:id="86" w:name="_Toc461787313"/>
      <w:bookmarkStart w:id="87" w:name="_Toc461795827"/>
      <w:bookmarkStart w:id="88" w:name="_Toc505449564"/>
      <w:bookmarkStart w:id="89" w:name="_Toc505449774"/>
      <w:r w:rsidRPr="00785FB4">
        <w:lastRenderedPageBreak/>
        <w:t>Part I – MSG Oversight</w:t>
      </w:r>
      <w:bookmarkEnd w:id="84"/>
      <w:bookmarkEnd w:id="85"/>
      <w:bookmarkEnd w:id="86"/>
      <w:bookmarkEnd w:id="87"/>
      <w:bookmarkEnd w:id="88"/>
      <w:bookmarkEnd w:id="89"/>
    </w:p>
    <w:p w14:paraId="7851A644" w14:textId="2F2A7C13" w:rsidR="00FA3C70" w:rsidRPr="00785FB4" w:rsidRDefault="00FA3C70" w:rsidP="00A94167">
      <w:pPr>
        <w:pStyle w:val="Heading2"/>
      </w:pPr>
      <w:bookmarkStart w:id="90" w:name="_Toc505449565"/>
      <w:bookmarkStart w:id="91" w:name="_Toc505449775"/>
      <w:r w:rsidRPr="00785FB4">
        <w:t>1. Oversight of the EITI process</w:t>
      </w:r>
      <w:bookmarkEnd w:id="90"/>
      <w:bookmarkEnd w:id="91"/>
    </w:p>
    <w:p w14:paraId="7313E35F" w14:textId="34B3443E" w:rsidR="002929E0" w:rsidRPr="00785FB4" w:rsidRDefault="00DD1F94" w:rsidP="00A94167">
      <w:pPr>
        <w:pStyle w:val="Heading2notindexed"/>
      </w:pPr>
      <w:bookmarkStart w:id="92" w:name="_Toc459133084"/>
      <w:bookmarkStart w:id="93" w:name="_Toc461803033"/>
      <w:bookmarkStart w:id="94" w:name="_Toc461787314"/>
      <w:bookmarkStart w:id="95" w:name="_Toc505449566"/>
      <w:bookmarkStart w:id="96" w:name="_Toc505449776"/>
      <w:r w:rsidRPr="00785FB4">
        <w:t xml:space="preserve">1.1 </w:t>
      </w:r>
      <w:r w:rsidR="002929E0" w:rsidRPr="00785FB4">
        <w:t>Overview</w:t>
      </w:r>
      <w:bookmarkEnd w:id="92"/>
      <w:bookmarkEnd w:id="93"/>
      <w:bookmarkEnd w:id="94"/>
      <w:bookmarkEnd w:id="95"/>
      <w:bookmarkEnd w:id="96"/>
    </w:p>
    <w:p w14:paraId="5D06B210" w14:textId="77777777" w:rsidR="002929E0" w:rsidRPr="00785FB4" w:rsidRDefault="002929E0" w:rsidP="008D7517">
      <w:r w:rsidRPr="00785FB4">
        <w:t xml:space="preserve">This section relates to stakeholder engagement and the environment for implementation of EITI in country, the governance and functioning of the multi-stakeholder group (MSG), and the EITI work plan. </w:t>
      </w:r>
    </w:p>
    <w:p w14:paraId="64EA0812" w14:textId="22455F74" w:rsidR="002929E0" w:rsidRPr="00785FB4" w:rsidRDefault="00DD1F94" w:rsidP="00A94167">
      <w:pPr>
        <w:pStyle w:val="Heading2notindexed"/>
      </w:pPr>
      <w:bookmarkStart w:id="97" w:name="_Toc459133085"/>
      <w:bookmarkStart w:id="98" w:name="_Toc461803034"/>
      <w:bookmarkStart w:id="99" w:name="_Toc461787315"/>
      <w:bookmarkStart w:id="100" w:name="_Toc505449567"/>
      <w:bookmarkStart w:id="101" w:name="_Toc505449777"/>
      <w:r w:rsidRPr="00785FB4">
        <w:t xml:space="preserve">1.2 </w:t>
      </w:r>
      <w:r w:rsidR="002929E0" w:rsidRPr="00785FB4">
        <w:t>Assessment</w:t>
      </w:r>
      <w:bookmarkEnd w:id="97"/>
      <w:bookmarkEnd w:id="98"/>
      <w:bookmarkEnd w:id="99"/>
      <w:bookmarkEnd w:id="100"/>
      <w:bookmarkEnd w:id="101"/>
    </w:p>
    <w:p w14:paraId="014488D6" w14:textId="736845EC" w:rsidR="002929E0" w:rsidRPr="00785FB4" w:rsidRDefault="002929E0" w:rsidP="00A94167">
      <w:pPr>
        <w:pStyle w:val="Heading2notindexed"/>
      </w:pPr>
      <w:bookmarkStart w:id="102" w:name="_Toc459133086"/>
      <w:bookmarkStart w:id="103" w:name="_Toc461803035"/>
      <w:bookmarkStart w:id="104" w:name="_Toc461787316"/>
      <w:bookmarkStart w:id="105" w:name="_Toc461795828"/>
      <w:bookmarkStart w:id="106" w:name="_Toc505449568"/>
      <w:bookmarkStart w:id="107" w:name="_Toc505449778"/>
      <w:r w:rsidRPr="00785FB4">
        <w:t>Government engagement in the EITI process (#1.1)</w:t>
      </w:r>
      <w:bookmarkEnd w:id="102"/>
      <w:bookmarkEnd w:id="103"/>
      <w:bookmarkEnd w:id="104"/>
      <w:bookmarkEnd w:id="105"/>
      <w:bookmarkEnd w:id="106"/>
      <w:bookmarkEnd w:id="107"/>
    </w:p>
    <w:p w14:paraId="60406C24" w14:textId="386EA0B2" w:rsidR="00DD1F94" w:rsidRPr="00785FB4" w:rsidRDefault="002929E0" w:rsidP="00A94167">
      <w:pPr>
        <w:pStyle w:val="Heading3"/>
        <w:rPr>
          <w:i/>
          <w:u w:val="single"/>
        </w:rPr>
      </w:pPr>
      <w:bookmarkStart w:id="108" w:name="_Toc505449569"/>
      <w:r w:rsidRPr="00785FB4">
        <w:t>Documentation of progress</w:t>
      </w:r>
      <w:bookmarkEnd w:id="108"/>
    </w:p>
    <w:p w14:paraId="277C5E83" w14:textId="13347B5B" w:rsidR="008177A3" w:rsidRPr="00785FB4" w:rsidRDefault="00090B30" w:rsidP="00E956E1">
      <w:pPr>
        <w:spacing w:before="120"/>
        <w:rPr>
          <w:i/>
        </w:rPr>
      </w:pPr>
      <w:r w:rsidRPr="00785FB4">
        <w:rPr>
          <w:i/>
          <w:u w:val="single"/>
        </w:rPr>
        <w:t>Public statement</w:t>
      </w:r>
      <w:r w:rsidRPr="00785FB4">
        <w:rPr>
          <w:i/>
        </w:rPr>
        <w:t xml:space="preserve">: </w:t>
      </w:r>
      <w:r w:rsidR="008177A3" w:rsidRPr="00785FB4">
        <w:t>The Government of</w:t>
      </w:r>
      <w:r w:rsidR="00880246" w:rsidRPr="00785FB4">
        <w:t xml:space="preserve"> the Islamic Republic of</w:t>
      </w:r>
      <w:r w:rsidR="008177A3" w:rsidRPr="00785FB4">
        <w:t xml:space="preserve"> Afghanistan</w:t>
      </w:r>
      <w:r w:rsidR="00880246" w:rsidRPr="00785FB4">
        <w:t xml:space="preserve"> (GOIRA)</w:t>
      </w:r>
      <w:r w:rsidR="008177A3" w:rsidRPr="00785FB4">
        <w:t xml:space="preserve"> first committed to implement the EITI on</w:t>
      </w:r>
      <w:r w:rsidR="000C420B" w:rsidRPr="00785FB4">
        <w:t xml:space="preserve"> 16 March 2009, when former Minister of Finance Dr. Omar Zakhilwal wrote to the Chair of the EITI Board</w:t>
      </w:r>
      <w:r w:rsidR="0066385A" w:rsidRPr="00785FB4">
        <w:t>, the World Bank and the IMF</w:t>
      </w:r>
      <w:r w:rsidR="000C420B" w:rsidRPr="00785FB4">
        <w:t xml:space="preserve"> confirming the Government’s decision to join the EITI.</w:t>
      </w:r>
      <w:r w:rsidR="00BC6D6A" w:rsidRPr="00785FB4">
        <w:rPr>
          <w:rStyle w:val="FootnoteReference"/>
        </w:rPr>
        <w:footnoteReference w:id="37"/>
      </w:r>
      <w:r w:rsidR="000C420B" w:rsidRPr="00785FB4">
        <w:t xml:space="preserve"> </w:t>
      </w:r>
      <w:r w:rsidR="00880246" w:rsidRPr="00785FB4">
        <w:t>The GOIRA reiterated its commitment at all the major donor conferences on Afghanistan including Tokyo (2012),</w:t>
      </w:r>
      <w:r w:rsidR="0066385A" w:rsidRPr="00785FB4">
        <w:rPr>
          <w:rStyle w:val="FootnoteReference"/>
        </w:rPr>
        <w:footnoteReference w:id="38"/>
      </w:r>
      <w:r w:rsidR="00880246" w:rsidRPr="00785FB4">
        <w:t xml:space="preserve"> London (2014)</w:t>
      </w:r>
      <w:r w:rsidR="00880246" w:rsidRPr="00785FB4">
        <w:rPr>
          <w:rStyle w:val="FootnoteReference"/>
        </w:rPr>
        <w:footnoteReference w:id="39"/>
      </w:r>
      <w:r w:rsidR="00880246" w:rsidRPr="00785FB4">
        <w:t xml:space="preserve"> and Brussels (2016), where the EITI </w:t>
      </w:r>
      <w:r w:rsidR="0066385A" w:rsidRPr="00785FB4">
        <w:t xml:space="preserve">has consistently been </w:t>
      </w:r>
      <w:r w:rsidR="00880246" w:rsidRPr="00785FB4">
        <w:t>part of the “Self-reliance through mutual accountability framework”</w:t>
      </w:r>
      <w:r w:rsidR="0066385A" w:rsidRPr="00785FB4">
        <w:t xml:space="preserve"> agreed-to between the donors and the GOIRA</w:t>
      </w:r>
      <w:r w:rsidR="00880246" w:rsidRPr="00785FB4">
        <w:t>.</w:t>
      </w:r>
      <w:r w:rsidR="00880246" w:rsidRPr="00785FB4">
        <w:rPr>
          <w:rStyle w:val="FootnoteReference"/>
        </w:rPr>
        <w:footnoteReference w:id="40"/>
      </w:r>
      <w:r w:rsidR="00880246" w:rsidRPr="00785FB4">
        <w:t xml:space="preserve"> </w:t>
      </w:r>
      <w:r w:rsidR="0066385A" w:rsidRPr="00785FB4">
        <w:t>T</w:t>
      </w:r>
      <w:r w:rsidR="008177A3" w:rsidRPr="00785FB4">
        <w:t xml:space="preserve">here have </w:t>
      </w:r>
      <w:r w:rsidR="0066385A" w:rsidRPr="00785FB4">
        <w:t xml:space="preserve">also </w:t>
      </w:r>
      <w:r w:rsidR="008177A3" w:rsidRPr="00785FB4">
        <w:t xml:space="preserve">been regular high-level public statements including </w:t>
      </w:r>
      <w:r w:rsidR="0066385A" w:rsidRPr="00785FB4">
        <w:t xml:space="preserve">personal commitments delivered </w:t>
      </w:r>
      <w:r w:rsidR="008177A3" w:rsidRPr="00785FB4">
        <w:t xml:space="preserve">by President Ashraf Ghani </w:t>
      </w:r>
      <w:r w:rsidR="0066385A" w:rsidRPr="00785FB4">
        <w:t>to the EITI Chair and the EITI Head and Deputy Head,</w:t>
      </w:r>
      <w:r w:rsidR="0066385A" w:rsidRPr="00785FB4">
        <w:rPr>
          <w:rStyle w:val="FootnoteReference"/>
        </w:rPr>
        <w:footnoteReference w:id="41"/>
      </w:r>
      <w:r w:rsidR="0066385A" w:rsidRPr="00785FB4">
        <w:t xml:space="preserve"> inclusion </w:t>
      </w:r>
      <w:r w:rsidR="008177A3" w:rsidRPr="00785FB4">
        <w:t>in policy documents prepared by the Ministry of Mines and Petroleum</w:t>
      </w:r>
      <w:r w:rsidR="008177A3" w:rsidRPr="00785FB4">
        <w:rPr>
          <w:rStyle w:val="FootnoteReference"/>
        </w:rPr>
        <w:footnoteReference w:id="42"/>
      </w:r>
      <w:r w:rsidR="008177A3" w:rsidRPr="00785FB4">
        <w:t xml:space="preserve"> and </w:t>
      </w:r>
      <w:r w:rsidR="000C420B" w:rsidRPr="00785FB4">
        <w:t xml:space="preserve">most recently </w:t>
      </w:r>
      <w:r w:rsidR="008177A3" w:rsidRPr="00785FB4">
        <w:t>in</w:t>
      </w:r>
      <w:r w:rsidR="000C420B" w:rsidRPr="00785FB4">
        <w:t xml:space="preserve"> a letter</w:t>
      </w:r>
      <w:r w:rsidR="008177A3" w:rsidRPr="00785FB4">
        <w:t xml:space="preserve"> to the Chair of the EITI Internati</w:t>
      </w:r>
      <w:r w:rsidR="000C420B" w:rsidRPr="00785FB4">
        <w:t>onal Board (see next section, “</w:t>
      </w:r>
      <w:r w:rsidR="000C420B" w:rsidRPr="00785FB4">
        <w:rPr>
          <w:i/>
        </w:rPr>
        <w:t>S</w:t>
      </w:r>
      <w:r w:rsidR="008177A3" w:rsidRPr="00785FB4">
        <w:rPr>
          <w:i/>
        </w:rPr>
        <w:t>enior lead</w:t>
      </w:r>
      <w:r w:rsidR="008177A3" w:rsidRPr="00785FB4">
        <w:t>”).</w:t>
      </w:r>
      <w:r w:rsidR="00F30A5C" w:rsidRPr="00785FB4">
        <w:t xml:space="preserve"> </w:t>
      </w:r>
    </w:p>
    <w:p w14:paraId="24FFAF51" w14:textId="58CF96AD" w:rsidR="002B42E3" w:rsidRPr="00785FB4" w:rsidRDefault="002929E0" w:rsidP="00E956E1">
      <w:pPr>
        <w:spacing w:before="120"/>
      </w:pPr>
      <w:r w:rsidRPr="00785FB4">
        <w:rPr>
          <w:i/>
          <w:u w:val="single"/>
        </w:rPr>
        <w:t>Senior lead</w:t>
      </w:r>
      <w:r w:rsidRPr="00785FB4">
        <w:rPr>
          <w:i/>
        </w:rPr>
        <w:t>:</w:t>
      </w:r>
      <w:r w:rsidRPr="00785FB4">
        <w:t xml:space="preserve"> </w:t>
      </w:r>
      <w:r w:rsidR="008177A3" w:rsidRPr="00785FB4">
        <w:t xml:space="preserve">In a letter dated </w:t>
      </w:r>
      <w:r w:rsidR="008D7797" w:rsidRPr="00785FB4">
        <w:t>28 February 2017</w:t>
      </w:r>
      <w:r w:rsidR="008177A3" w:rsidRPr="00785FB4">
        <w:t xml:space="preserve">, President Ghani informed the EITI Board of the appointment of the </w:t>
      </w:r>
      <w:r w:rsidR="00550FCC" w:rsidRPr="00785FB4">
        <w:t xml:space="preserve">(at the time un-appointed) </w:t>
      </w:r>
      <w:r w:rsidR="008177A3" w:rsidRPr="00785FB4">
        <w:t>Acting Minister of Mines a</w:t>
      </w:r>
      <w:r w:rsidR="00DC6E94" w:rsidRPr="00785FB4">
        <w:t>nd Petroleum to lead on implementation</w:t>
      </w:r>
      <w:r w:rsidR="008177A3" w:rsidRPr="00785FB4">
        <w:t xml:space="preserve">. </w:t>
      </w:r>
      <w:r w:rsidR="00F30A5C" w:rsidRPr="00785FB4">
        <w:t>Nargis Nehan</w:t>
      </w:r>
      <w:r w:rsidR="00235247" w:rsidRPr="00785FB4">
        <w:t xml:space="preserve"> was subsequently appointed Acting Minister of Mines and Petroleum on </w:t>
      </w:r>
      <w:r w:rsidR="00DC6E94" w:rsidRPr="00785FB4">
        <w:t xml:space="preserve">1 </w:t>
      </w:r>
      <w:r w:rsidR="007340C2" w:rsidRPr="00785FB4">
        <w:t>April 2017</w:t>
      </w:r>
      <w:r w:rsidR="00235247" w:rsidRPr="00785FB4">
        <w:t xml:space="preserve">. </w:t>
      </w:r>
      <w:r w:rsidR="00F30A5C" w:rsidRPr="00785FB4">
        <w:t>The</w:t>
      </w:r>
      <w:r w:rsidR="00AF61B7" w:rsidRPr="00785FB4">
        <w:t xml:space="preserve"> MSG </w:t>
      </w:r>
      <w:r w:rsidR="009621C7" w:rsidRPr="00785FB4">
        <w:t xml:space="preserve">ToR </w:t>
      </w:r>
      <w:r w:rsidR="002468F7" w:rsidRPr="00785FB4">
        <w:t xml:space="preserve">state </w:t>
      </w:r>
      <w:r w:rsidR="00AF61B7" w:rsidRPr="00785FB4">
        <w:t xml:space="preserve">that “the Executive Chair [of the MSG] is the designated EITI Champion (Minister of Finance) and Co-Chair is the minister of Mines and Petroleum”, reflecting the situation when Dr. Zakhilwal was the designated “EITI Champion” </w:t>
      </w:r>
      <w:r w:rsidR="008D7797" w:rsidRPr="00785FB4">
        <w:t>until</w:t>
      </w:r>
      <w:r w:rsidR="00AF61B7" w:rsidRPr="00785FB4">
        <w:t xml:space="preserve"> his</w:t>
      </w:r>
      <w:r w:rsidR="00F30A5C" w:rsidRPr="00785FB4">
        <w:t xml:space="preserve"> </w:t>
      </w:r>
      <w:r w:rsidR="008D7797" w:rsidRPr="00785FB4">
        <w:t xml:space="preserve">replacement </w:t>
      </w:r>
      <w:r w:rsidR="00F30A5C" w:rsidRPr="00785FB4">
        <w:t xml:space="preserve">as Minister of Finance </w:t>
      </w:r>
      <w:r w:rsidR="007340C2" w:rsidRPr="00785FB4">
        <w:t>on 1 February 2015</w:t>
      </w:r>
      <w:r w:rsidR="00BA6BE1" w:rsidRPr="00785FB4">
        <w:t xml:space="preserve"> (</w:t>
      </w:r>
      <w:r w:rsidR="00BA6BE1" w:rsidRPr="00785FB4">
        <w:rPr>
          <w:i/>
        </w:rPr>
        <w:t>see Requirement 1.4</w:t>
      </w:r>
      <w:r w:rsidR="00BA6BE1" w:rsidRPr="00785FB4">
        <w:t>)</w:t>
      </w:r>
      <w:r w:rsidR="00F30A5C" w:rsidRPr="00785FB4">
        <w:t>.</w:t>
      </w:r>
      <w:r w:rsidR="007340C2" w:rsidRPr="00785FB4">
        <w:t xml:space="preserve"> AEITI did not have a formally appointed government lead in the </w:t>
      </w:r>
      <w:r w:rsidR="007340C2" w:rsidRPr="00785FB4">
        <w:lastRenderedPageBreak/>
        <w:t>period between 1 February 2015 and 1 April 2017.</w:t>
      </w:r>
      <w:r w:rsidR="00F63391" w:rsidRPr="00785FB4">
        <w:t xml:space="preserve"> </w:t>
      </w:r>
    </w:p>
    <w:p w14:paraId="7E8F01FE" w14:textId="705BB12F" w:rsidR="000B42DA" w:rsidRPr="00785FB4" w:rsidRDefault="002929E0" w:rsidP="00E956E1">
      <w:pPr>
        <w:spacing w:before="120"/>
      </w:pPr>
      <w:r w:rsidRPr="00785FB4">
        <w:rPr>
          <w:i/>
          <w:u w:val="single"/>
        </w:rPr>
        <w:t>Active engagement</w:t>
      </w:r>
      <w:r w:rsidRPr="00785FB4">
        <w:rPr>
          <w:i/>
        </w:rPr>
        <w:t>:</w:t>
      </w:r>
      <w:r w:rsidRPr="00785FB4">
        <w:t xml:space="preserve"> </w:t>
      </w:r>
      <w:r w:rsidR="00AF61B7" w:rsidRPr="00785FB4">
        <w:t xml:space="preserve">The MSG’s </w:t>
      </w:r>
      <w:r w:rsidR="009621C7" w:rsidRPr="00785FB4">
        <w:t>ToR</w:t>
      </w:r>
      <w:r w:rsidR="00AF61B7" w:rsidRPr="00785FB4">
        <w:t xml:space="preserve"> reserve six seats for representatives of government institutions and agencies</w:t>
      </w:r>
      <w:r w:rsidR="0033703B" w:rsidRPr="00785FB4">
        <w:t>, of which one should be a member of parliament</w:t>
      </w:r>
      <w:r w:rsidR="00AF61B7" w:rsidRPr="00785FB4">
        <w:t>. This does not inclu</w:t>
      </w:r>
      <w:r w:rsidR="002468F7" w:rsidRPr="00785FB4">
        <w:t>de the AEITI Chair and co-Chair</w:t>
      </w:r>
      <w:r w:rsidR="00537DA5" w:rsidRPr="00785FB4">
        <w:t>, which according to the T</w:t>
      </w:r>
      <w:r w:rsidR="009621C7" w:rsidRPr="00785FB4">
        <w:t>o</w:t>
      </w:r>
      <w:r w:rsidR="00537DA5" w:rsidRPr="00785FB4">
        <w:t>R should be the Minister of Finance and Minister of Mines and Petroleum respectively</w:t>
      </w:r>
      <w:r w:rsidR="002468F7" w:rsidRPr="00785FB4">
        <w:t xml:space="preserve">. According to the </w:t>
      </w:r>
      <w:r w:rsidR="009621C7" w:rsidRPr="00785FB4">
        <w:t>ToR, g</w:t>
      </w:r>
      <w:r w:rsidR="00AF61B7" w:rsidRPr="00785FB4">
        <w:t>overnment representatives “shall be high-ranking officials and from the relevant Directorate, Directorate Generals and, if need be,</w:t>
      </w:r>
      <w:r w:rsidR="002468F7" w:rsidRPr="00785FB4">
        <w:t xml:space="preserve"> the relevant Deputy Ministers”. </w:t>
      </w:r>
      <w:r w:rsidR="00D13B2F" w:rsidRPr="00785FB4">
        <w:t xml:space="preserve">According to the list of MSG members on the AEITI website, the current composition of the government constituency </w:t>
      </w:r>
      <w:r w:rsidR="009621C7" w:rsidRPr="00785FB4">
        <w:t>(</w:t>
      </w:r>
      <w:r w:rsidR="00D13B2F" w:rsidRPr="00785FB4">
        <w:t>not counting the Chair or Co-Chair</w:t>
      </w:r>
      <w:r w:rsidR="009621C7" w:rsidRPr="00785FB4">
        <w:t>)</w:t>
      </w:r>
      <w:r w:rsidR="00D13B2F" w:rsidRPr="00785FB4">
        <w:t xml:space="preserve"> includes one parliamentarian</w:t>
      </w:r>
      <w:r w:rsidR="008D7797" w:rsidRPr="00785FB4">
        <w:t xml:space="preserve"> (with no alternate)</w:t>
      </w:r>
      <w:r w:rsidR="00D13B2F" w:rsidRPr="00785FB4">
        <w:t xml:space="preserve">, two representatives from the </w:t>
      </w:r>
      <w:r w:rsidR="00DB56BA" w:rsidRPr="00785FB4">
        <w:t>MOMP</w:t>
      </w:r>
      <w:r w:rsidR="00D13B2F" w:rsidRPr="00785FB4">
        <w:t xml:space="preserve"> (with respective alternates), two from the </w:t>
      </w:r>
      <w:r w:rsidR="00DB56BA" w:rsidRPr="00785FB4">
        <w:t>MOF</w:t>
      </w:r>
      <w:r w:rsidR="00D13B2F" w:rsidRPr="00785FB4">
        <w:t xml:space="preserve"> (with respective alternates) and one from the Ministry of Industry and Commerce</w:t>
      </w:r>
      <w:r w:rsidR="008D7797" w:rsidRPr="00785FB4">
        <w:t xml:space="preserve"> (with no </w:t>
      </w:r>
      <w:r w:rsidR="00785FB4" w:rsidRPr="00785FB4">
        <w:t>alternate</w:t>
      </w:r>
      <w:r w:rsidR="008D7797" w:rsidRPr="00785FB4">
        <w:t>)</w:t>
      </w:r>
      <w:r w:rsidR="00D13B2F" w:rsidRPr="00785FB4">
        <w:t>.</w:t>
      </w:r>
      <w:r w:rsidR="00D13B2F" w:rsidRPr="00785FB4">
        <w:rPr>
          <w:rStyle w:val="FootnoteReference"/>
        </w:rPr>
        <w:footnoteReference w:id="43"/>
      </w:r>
      <w:r w:rsidR="00D13B2F" w:rsidRPr="00785FB4">
        <w:t xml:space="preserve"> This list d</w:t>
      </w:r>
      <w:r w:rsidR="00597EDA" w:rsidRPr="00785FB4">
        <w:t>if</w:t>
      </w:r>
      <w:r w:rsidR="00D13B2F" w:rsidRPr="00785FB4">
        <w:t>fers from the list of government representatives in the 2017 Annual progress report</w:t>
      </w:r>
      <w:r w:rsidR="00BA6BE1" w:rsidRPr="00785FB4">
        <w:t xml:space="preserve"> (</w:t>
      </w:r>
      <w:r w:rsidR="00BA6BE1" w:rsidRPr="00785FB4">
        <w:rPr>
          <w:i/>
        </w:rPr>
        <w:t>see Requirement 1.4</w:t>
      </w:r>
      <w:r w:rsidR="00BA6BE1" w:rsidRPr="00785FB4">
        <w:t>)</w:t>
      </w:r>
      <w:r w:rsidR="00D13B2F" w:rsidRPr="00785FB4">
        <w:t>.</w:t>
      </w:r>
      <w:r w:rsidR="00D13B2F" w:rsidRPr="00785FB4">
        <w:rPr>
          <w:rStyle w:val="FootnoteReference"/>
        </w:rPr>
        <w:footnoteReference w:id="44"/>
      </w:r>
      <w:r w:rsidR="00BA6BE1" w:rsidRPr="00785FB4">
        <w:t xml:space="preserve"> </w:t>
      </w:r>
      <w:r w:rsidR="00D13B2F" w:rsidRPr="00785FB4">
        <w:t xml:space="preserve"> </w:t>
      </w:r>
      <w:r w:rsidR="002468F7" w:rsidRPr="00785FB4">
        <w:t>Analysis of MSG meting attendance (see</w:t>
      </w:r>
      <w:r w:rsidR="00C27D48" w:rsidRPr="00785FB4">
        <w:t xml:space="preserve"> A</w:t>
      </w:r>
      <w:r w:rsidR="001F24CE" w:rsidRPr="00785FB4">
        <w:t>nnex B</w:t>
      </w:r>
      <w:r w:rsidR="00B45150" w:rsidRPr="00785FB4">
        <w:t xml:space="preserve">) shows that government </w:t>
      </w:r>
      <w:r w:rsidR="008D7797" w:rsidRPr="00785FB4">
        <w:t xml:space="preserve">attendance at meetings </w:t>
      </w:r>
      <w:r w:rsidR="00B45150" w:rsidRPr="00785FB4">
        <w:t>varies</w:t>
      </w:r>
      <w:r w:rsidR="00B65185" w:rsidRPr="00785FB4">
        <w:t xml:space="preserve">. Whereas the MOMP </w:t>
      </w:r>
      <w:r w:rsidR="007166E6" w:rsidRPr="00785FB4">
        <w:t>Director of Policy</w:t>
      </w:r>
      <w:r w:rsidR="00B65185" w:rsidRPr="00785FB4">
        <w:t xml:space="preserve"> and the </w:t>
      </w:r>
      <w:r w:rsidR="005D6168" w:rsidRPr="00785FB4">
        <w:t xml:space="preserve">MOTCI </w:t>
      </w:r>
      <w:r w:rsidR="00B65185" w:rsidRPr="00785FB4">
        <w:t xml:space="preserve">representative </w:t>
      </w:r>
      <w:r w:rsidR="005D6168" w:rsidRPr="00785FB4">
        <w:t xml:space="preserve">have </w:t>
      </w:r>
      <w:r w:rsidR="00B65185" w:rsidRPr="00785FB4">
        <w:t xml:space="preserve">participated regularly, </w:t>
      </w:r>
      <w:r w:rsidR="007166E6" w:rsidRPr="00785FB4">
        <w:t>only 1 more of</w:t>
      </w:r>
      <w:r w:rsidR="00B65185" w:rsidRPr="00785FB4">
        <w:t xml:space="preserve"> the 15 government representatives </w:t>
      </w:r>
      <w:r w:rsidR="00525D02" w:rsidRPr="00785FB4">
        <w:t xml:space="preserve">mentioned in the minutes </w:t>
      </w:r>
      <w:r w:rsidR="007166E6" w:rsidRPr="00785FB4">
        <w:t xml:space="preserve">of meetings held in 2017 </w:t>
      </w:r>
      <w:r w:rsidR="00525D02" w:rsidRPr="00785FB4">
        <w:t>are also on the list of</w:t>
      </w:r>
      <w:r w:rsidR="007166E6" w:rsidRPr="00785FB4">
        <w:t xml:space="preserve"> MSG members on AEITI’s website</w:t>
      </w:r>
      <w:r w:rsidR="00525D02" w:rsidRPr="00785FB4">
        <w:t xml:space="preserve">, suggesting that most government MSG members </w:t>
      </w:r>
      <w:r w:rsidR="006A07FA" w:rsidRPr="00785FB4">
        <w:t xml:space="preserve">send proxies to represent them. </w:t>
      </w:r>
      <w:r w:rsidR="009B6F18" w:rsidRPr="00785FB4">
        <w:t xml:space="preserve">Meeting minutes show that government representatives </w:t>
      </w:r>
      <w:r w:rsidR="0004276C" w:rsidRPr="00785FB4">
        <w:t xml:space="preserve">nevertheless </w:t>
      </w:r>
      <w:r w:rsidR="009B6F18" w:rsidRPr="00785FB4">
        <w:t>participate actively in meetings of the MSG and of the technical working group</w:t>
      </w:r>
      <w:r w:rsidR="008D7797" w:rsidRPr="00785FB4">
        <w:t xml:space="preserve">, </w:t>
      </w:r>
      <w:r w:rsidR="00AE66B4" w:rsidRPr="00785FB4">
        <w:t>while</w:t>
      </w:r>
      <w:r w:rsidR="008D7797" w:rsidRPr="00785FB4">
        <w:t xml:space="preserve"> the 2017 annual progress report indicates that government representatives also participate in dissemination and outreach activities.</w:t>
      </w:r>
      <w:r w:rsidR="00550FCC" w:rsidRPr="00785FB4">
        <w:rPr>
          <w:rStyle w:val="FootnoteReference"/>
        </w:rPr>
        <w:footnoteReference w:id="45"/>
      </w:r>
      <w:r w:rsidR="009B6F18" w:rsidRPr="00785FB4">
        <w:t xml:space="preserve"> </w:t>
      </w:r>
      <w:r w:rsidR="00813ADF" w:rsidRPr="00785FB4">
        <w:t>Democracy International’s 2017 AEITI Institutional Assessment noted that, in connection with EITI reporting, “some government officials were described [by stakeholders consulted] as ‘resistant’, ‘uninterested’, ‘hostile’ and ‘uncooperative’.” (p.16). Notwithstanding this purported reticence to engage on reporting, the 2014-2015 EITI Report (p.17) confirms full government reporting (</w:t>
      </w:r>
      <w:r w:rsidR="00813ADF" w:rsidRPr="00785FB4">
        <w:rPr>
          <w:i/>
        </w:rPr>
        <w:t>see Requirement 4.1</w:t>
      </w:r>
      <w:r w:rsidR="00813ADF" w:rsidRPr="00785FB4">
        <w:t xml:space="preserve">). </w:t>
      </w:r>
      <w:r w:rsidR="002E69A5" w:rsidRPr="00785FB4">
        <w:t xml:space="preserve">Democracy International’s </w:t>
      </w:r>
      <w:r w:rsidR="00813ADF" w:rsidRPr="00785FB4">
        <w:t>assessment also</w:t>
      </w:r>
      <w:r w:rsidR="002E69A5" w:rsidRPr="00785FB4">
        <w:t xml:space="preserve"> noted that the government was required to contribute to the AEITI national budget but had not made any contributions in the period 2016-2018 (p.17). </w:t>
      </w:r>
      <w:r w:rsidR="00880246" w:rsidRPr="00785FB4">
        <w:t xml:space="preserve">The Mineral Law of 2014 includes </w:t>
      </w:r>
      <w:r w:rsidR="005D6168" w:rsidRPr="00785FB4">
        <w:t xml:space="preserve">provisions requiring license-holders to participate in </w:t>
      </w:r>
      <w:r w:rsidR="00880246" w:rsidRPr="00785FB4">
        <w:t>EITI</w:t>
      </w:r>
      <w:r w:rsidR="005D6168" w:rsidRPr="00785FB4">
        <w:t xml:space="preserve"> reporting </w:t>
      </w:r>
      <w:r w:rsidR="00B578D9" w:rsidRPr="00785FB4">
        <w:t>(</w:t>
      </w:r>
      <w:r w:rsidR="00B578D9" w:rsidRPr="00785FB4">
        <w:rPr>
          <w:i/>
        </w:rPr>
        <w:t>see Requirement 1.2</w:t>
      </w:r>
      <w:r w:rsidR="00B578D9" w:rsidRPr="00785FB4">
        <w:t>)</w:t>
      </w:r>
      <w:r w:rsidR="00880246" w:rsidRPr="00785FB4">
        <w:t>.</w:t>
      </w:r>
      <w:r w:rsidR="009B6F18" w:rsidRPr="00785FB4">
        <w:t xml:space="preserve"> </w:t>
      </w:r>
      <w:r w:rsidR="00325718" w:rsidRPr="00785FB4">
        <w:t>Implementation of t</w:t>
      </w:r>
      <w:r w:rsidR="0004276C" w:rsidRPr="00785FB4">
        <w:t>he EITI regula</w:t>
      </w:r>
      <w:r w:rsidR="00325718" w:rsidRPr="00785FB4">
        <w:t xml:space="preserve">rly forms part of government policy documents, including </w:t>
      </w:r>
      <w:r w:rsidR="00DB56BA" w:rsidRPr="00785FB4">
        <w:t>MOMP</w:t>
      </w:r>
      <w:r w:rsidR="00325718" w:rsidRPr="00785FB4">
        <w:t xml:space="preserve"> white papers</w:t>
      </w:r>
      <w:r w:rsidR="007166E6" w:rsidRPr="00785FB4">
        <w:t xml:space="preserve"> and government commitments through the mutual accountability framework (MAC), which often include specific EITI recommendations (</w:t>
      </w:r>
      <w:r w:rsidR="007166E6" w:rsidRPr="00785FB4">
        <w:rPr>
          <w:i/>
        </w:rPr>
        <w:t>see Requirement 7.3</w:t>
      </w:r>
      <w:r w:rsidR="007166E6" w:rsidRPr="00785FB4">
        <w:t>)</w:t>
      </w:r>
      <w:r w:rsidR="00325718" w:rsidRPr="00785FB4">
        <w:t>.</w:t>
      </w:r>
      <w:r w:rsidR="00325718" w:rsidRPr="00785FB4">
        <w:rPr>
          <w:rStyle w:val="FootnoteReference"/>
        </w:rPr>
        <w:footnoteReference w:id="46"/>
      </w:r>
      <w:r w:rsidR="00412D99" w:rsidRPr="00785FB4">
        <w:t xml:space="preserve"> </w:t>
      </w:r>
    </w:p>
    <w:p w14:paraId="19023C6B" w14:textId="6BA56346" w:rsidR="00CC4A99" w:rsidRPr="00785FB4" w:rsidRDefault="002929E0" w:rsidP="00A94167">
      <w:pPr>
        <w:pStyle w:val="Heading3"/>
      </w:pPr>
      <w:bookmarkStart w:id="109" w:name="_Toc505449570"/>
      <w:r w:rsidRPr="00785FB4">
        <w:t>Stakeh</w:t>
      </w:r>
      <w:bookmarkStart w:id="110" w:name="governmentstakeholderviews"/>
      <w:bookmarkEnd w:id="110"/>
      <w:r w:rsidRPr="00785FB4">
        <w:t>older views</w:t>
      </w:r>
      <w:bookmarkEnd w:id="109"/>
      <w:r w:rsidR="00324B4F" w:rsidRPr="00785FB4">
        <w:t xml:space="preserve"> </w:t>
      </w:r>
    </w:p>
    <w:p w14:paraId="7B11D712" w14:textId="44FE2B77" w:rsidR="00797D06" w:rsidRPr="00785FB4" w:rsidRDefault="009B6F18" w:rsidP="003C1F83">
      <w:pPr>
        <w:spacing w:before="120"/>
      </w:pPr>
      <w:r w:rsidRPr="00785FB4">
        <w:rPr>
          <w:bCs/>
        </w:rPr>
        <w:t xml:space="preserve">Senior government officials expressed strong support for EITI implementation and went to </w:t>
      </w:r>
      <w:r w:rsidR="00B578D9" w:rsidRPr="00785FB4">
        <w:rPr>
          <w:bCs/>
        </w:rPr>
        <w:t>exceptional</w:t>
      </w:r>
      <w:r w:rsidRPr="00785FB4">
        <w:rPr>
          <w:bCs/>
        </w:rPr>
        <w:t xml:space="preserve"> lengths to speak with the International Secretariat during the stakeholder consultations despite the difficult security situation. Stakeholders from all constituencies noted that the inclusion of an EITI-specific clause in the 2014 Mineral Law reflects the </w:t>
      </w:r>
      <w:r w:rsidR="00D03F29" w:rsidRPr="00785FB4">
        <w:rPr>
          <w:bCs/>
        </w:rPr>
        <w:t>g</w:t>
      </w:r>
      <w:r w:rsidRPr="00785FB4">
        <w:rPr>
          <w:bCs/>
        </w:rPr>
        <w:t xml:space="preserve">overnment’s commitment to the EITI. Development partners noted that the regular inclusion of EITI-specific conditionalities </w:t>
      </w:r>
      <w:r w:rsidR="00B578D9" w:rsidRPr="00785FB4">
        <w:rPr>
          <w:bCs/>
        </w:rPr>
        <w:t>as part of</w:t>
      </w:r>
      <w:r w:rsidRPr="00785FB4">
        <w:rPr>
          <w:bCs/>
        </w:rPr>
        <w:t xml:space="preserve"> the Mutual Accountability Framework</w:t>
      </w:r>
      <w:r w:rsidR="00B578D9" w:rsidRPr="00785FB4">
        <w:rPr>
          <w:bCs/>
        </w:rPr>
        <w:t xml:space="preserve"> </w:t>
      </w:r>
      <w:r w:rsidRPr="00785FB4">
        <w:rPr>
          <w:bCs/>
        </w:rPr>
        <w:t>helped keep pressure on the government</w:t>
      </w:r>
      <w:r w:rsidR="001E2044" w:rsidRPr="00785FB4">
        <w:rPr>
          <w:bCs/>
        </w:rPr>
        <w:t>. O</w:t>
      </w:r>
      <w:r w:rsidRPr="00785FB4">
        <w:rPr>
          <w:bCs/>
        </w:rPr>
        <w:t>ne</w:t>
      </w:r>
      <w:r w:rsidR="001E2044" w:rsidRPr="00785FB4">
        <w:rPr>
          <w:bCs/>
        </w:rPr>
        <w:t xml:space="preserve"> development partner noted</w:t>
      </w:r>
      <w:r w:rsidRPr="00785FB4">
        <w:rPr>
          <w:bCs/>
        </w:rPr>
        <w:t xml:space="preserve"> that the nomination of the Minister of Mines and Petroleum to lead on EITI implementation in 2017 was a direct result of one such conditionality. </w:t>
      </w:r>
      <w:r w:rsidR="00761B55" w:rsidRPr="00785FB4">
        <w:rPr>
          <w:bCs/>
        </w:rPr>
        <w:t xml:space="preserve">Several CSOs considered that delays in EITI reporting were a reflection of </w:t>
      </w:r>
      <w:r w:rsidR="00761B55" w:rsidRPr="00785FB4">
        <w:rPr>
          <w:bCs/>
        </w:rPr>
        <w:lastRenderedPageBreak/>
        <w:t>inadequate government EITI engagement at the operational level</w:t>
      </w:r>
      <w:r w:rsidR="00120652" w:rsidRPr="00785FB4">
        <w:rPr>
          <w:bCs/>
        </w:rPr>
        <w:t xml:space="preserve"> (</w:t>
      </w:r>
      <w:r w:rsidR="00120652" w:rsidRPr="00785FB4">
        <w:rPr>
          <w:bCs/>
          <w:i/>
        </w:rPr>
        <w:t>see Requirement 4.8</w:t>
      </w:r>
      <w:r w:rsidR="00120652" w:rsidRPr="00785FB4">
        <w:rPr>
          <w:bCs/>
        </w:rPr>
        <w:t>)</w:t>
      </w:r>
      <w:r w:rsidRPr="00785FB4">
        <w:rPr>
          <w:bCs/>
        </w:rPr>
        <w:t xml:space="preserve">. </w:t>
      </w:r>
      <w:r w:rsidR="00797D06" w:rsidRPr="00785FB4">
        <w:rPr>
          <w:bCs/>
        </w:rPr>
        <w:t xml:space="preserve">A CSO representative who used to sit on the MSG said that there was a lack of coordination between government bodies represented in the MSG. </w:t>
      </w:r>
      <w:r w:rsidR="003C1F83" w:rsidRPr="00785FB4">
        <w:rPr>
          <w:bCs/>
        </w:rPr>
        <w:t>Seni</w:t>
      </w:r>
      <w:r w:rsidRPr="00785FB4">
        <w:rPr>
          <w:bCs/>
        </w:rPr>
        <w:t>o</w:t>
      </w:r>
      <w:r w:rsidR="003C1F83" w:rsidRPr="00785FB4">
        <w:rPr>
          <w:bCs/>
        </w:rPr>
        <w:t>r go</w:t>
      </w:r>
      <w:r w:rsidRPr="00785FB4">
        <w:rPr>
          <w:bCs/>
        </w:rPr>
        <w:t xml:space="preserve">vernment </w:t>
      </w:r>
      <w:r w:rsidR="00120652" w:rsidRPr="00785FB4">
        <w:rPr>
          <w:bCs/>
        </w:rPr>
        <w:t>representatives agreed tha</w:t>
      </w:r>
      <w:r w:rsidR="003C1F83" w:rsidRPr="00785FB4">
        <w:rPr>
          <w:bCs/>
        </w:rPr>
        <w:t>t there were institutional challenges concerning which ministry should lead on EITI implementation</w:t>
      </w:r>
      <w:r w:rsidR="003969C2" w:rsidRPr="00785FB4">
        <w:rPr>
          <w:bCs/>
        </w:rPr>
        <w:t>,</w:t>
      </w:r>
      <w:r w:rsidR="003C1F83" w:rsidRPr="00785FB4">
        <w:rPr>
          <w:bCs/>
        </w:rPr>
        <w:t xml:space="preserve"> which at times hampered</w:t>
      </w:r>
      <w:r w:rsidR="00A41822" w:rsidRPr="00785FB4">
        <w:rPr>
          <w:bCs/>
        </w:rPr>
        <w:t xml:space="preserve"> intra-government operational coordination</w:t>
      </w:r>
      <w:r w:rsidR="003C1F83" w:rsidRPr="00785FB4">
        <w:rPr>
          <w:bCs/>
        </w:rPr>
        <w:t>. The MSG’</w:t>
      </w:r>
      <w:r w:rsidR="00303418" w:rsidRPr="00785FB4">
        <w:rPr>
          <w:bCs/>
        </w:rPr>
        <w:t xml:space="preserve">s </w:t>
      </w:r>
      <w:r w:rsidR="003969C2" w:rsidRPr="00785FB4">
        <w:rPr>
          <w:bCs/>
        </w:rPr>
        <w:t xml:space="preserve">May 2017 </w:t>
      </w:r>
      <w:r w:rsidR="00303418" w:rsidRPr="00785FB4">
        <w:rPr>
          <w:bCs/>
        </w:rPr>
        <w:t xml:space="preserve">self-assessment noted that there had been important improvements in government engagement at the operational level from </w:t>
      </w:r>
      <w:r w:rsidR="00DB56BA" w:rsidRPr="00785FB4">
        <w:rPr>
          <w:bCs/>
        </w:rPr>
        <w:t>MOMP</w:t>
      </w:r>
      <w:r w:rsidR="00303418" w:rsidRPr="00785FB4">
        <w:rPr>
          <w:bCs/>
        </w:rPr>
        <w:t xml:space="preserve"> and </w:t>
      </w:r>
      <w:r w:rsidR="00DB56BA" w:rsidRPr="00785FB4">
        <w:rPr>
          <w:bCs/>
        </w:rPr>
        <w:t>MOF</w:t>
      </w:r>
      <w:r w:rsidR="00303418" w:rsidRPr="00785FB4">
        <w:rPr>
          <w:bCs/>
        </w:rPr>
        <w:t xml:space="preserve"> but noted that the absence of a senior lead for almost two years had meant that there had been no real leadership of the process for a sustained period of time.</w:t>
      </w:r>
      <w:r w:rsidR="0004276C" w:rsidRPr="00785FB4">
        <w:rPr>
          <w:bCs/>
        </w:rPr>
        <w:t xml:space="preserve"> Stakeholders confirmed that </w:t>
      </w:r>
      <w:r w:rsidR="00325718" w:rsidRPr="00785FB4">
        <w:t>t</w:t>
      </w:r>
      <w:r w:rsidR="0004276C" w:rsidRPr="00785FB4">
        <w:t>he absence of an EITI Champion between Dr. Zakhilwal’s time as Minister of Finance and Minister</w:t>
      </w:r>
      <w:r w:rsidR="00325718" w:rsidRPr="00785FB4">
        <w:t xml:space="preserve"> Nehan’s appointment in 2017 had meant that MSG meetings had</w:t>
      </w:r>
      <w:r w:rsidR="0004276C" w:rsidRPr="00785FB4">
        <w:t xml:space="preserve"> at times been chaired by Deputy Ministers at the </w:t>
      </w:r>
      <w:r w:rsidR="00DB56BA" w:rsidRPr="00785FB4">
        <w:t>MOF</w:t>
      </w:r>
      <w:r w:rsidR="0004276C" w:rsidRPr="00785FB4">
        <w:t xml:space="preserve"> and </w:t>
      </w:r>
      <w:r w:rsidR="00DB56BA" w:rsidRPr="00785FB4">
        <w:t>MOMP</w:t>
      </w:r>
      <w:r w:rsidR="0004276C" w:rsidRPr="00785FB4">
        <w:t>, depending on</w:t>
      </w:r>
      <w:r w:rsidR="00390DB7" w:rsidRPr="00785FB4">
        <w:t xml:space="preserve"> who was available at the time. </w:t>
      </w:r>
    </w:p>
    <w:p w14:paraId="2547D48A" w14:textId="771B7062" w:rsidR="00F63391" w:rsidRPr="00785FB4" w:rsidRDefault="00390DB7" w:rsidP="003C1F83">
      <w:pPr>
        <w:spacing w:before="120"/>
      </w:pPr>
      <w:r w:rsidRPr="00785FB4">
        <w:t xml:space="preserve">Stakeholders from all constituencies noted that a key challenge to </w:t>
      </w:r>
      <w:r w:rsidR="001E2044" w:rsidRPr="00785FB4">
        <w:t xml:space="preserve">meaningful </w:t>
      </w:r>
      <w:r w:rsidR="00DC6E94" w:rsidRPr="00785FB4">
        <w:t xml:space="preserve">government </w:t>
      </w:r>
      <w:r w:rsidRPr="00785FB4">
        <w:t xml:space="preserve">leadership of the EITI process was that the </w:t>
      </w:r>
      <w:r w:rsidR="00DB56BA" w:rsidRPr="00785FB4">
        <w:t>MOMP</w:t>
      </w:r>
      <w:r w:rsidRPr="00785FB4">
        <w:t xml:space="preserve"> was regularly circumvented by the Senior Economic Council (SEC) and presidential advisors. </w:t>
      </w:r>
      <w:r w:rsidR="00797D06" w:rsidRPr="00785FB4">
        <w:t xml:space="preserve">With </w:t>
      </w:r>
      <w:r w:rsidR="001E2044" w:rsidRPr="00785FB4">
        <w:t>counted</w:t>
      </w:r>
      <w:r w:rsidR="00797D06" w:rsidRPr="00785FB4">
        <w:t xml:space="preserve"> exceptions</w:t>
      </w:r>
      <w:r w:rsidR="001E2044" w:rsidRPr="00785FB4">
        <w:t>,</w:t>
      </w:r>
      <w:r w:rsidR="00797D06" w:rsidRPr="00785FB4">
        <w:t xml:space="preserve"> they also said that the </w:t>
      </w:r>
      <w:r w:rsidR="00DB56BA" w:rsidRPr="00785FB4">
        <w:t>MOMP</w:t>
      </w:r>
      <w:r w:rsidR="00797D06" w:rsidRPr="00785FB4">
        <w:t xml:space="preserve"> was purposely maintained </w:t>
      </w:r>
      <w:r w:rsidR="00492E49" w:rsidRPr="00785FB4">
        <w:t xml:space="preserve">as </w:t>
      </w:r>
      <w:r w:rsidR="00797D06" w:rsidRPr="00785FB4">
        <w:t>weak because</w:t>
      </w:r>
      <w:r w:rsidR="00A41822" w:rsidRPr="00785FB4">
        <w:t xml:space="preserve"> the sector generates revenues for the government with limited oversight</w:t>
      </w:r>
      <w:r w:rsidR="00797D06" w:rsidRPr="00785FB4">
        <w:t xml:space="preserve">, which some CSO representatives argued could be exploited for political purposes. </w:t>
      </w:r>
      <w:r w:rsidR="0018406C" w:rsidRPr="00785FB4">
        <w:t>S</w:t>
      </w:r>
      <w:r w:rsidRPr="00785FB4">
        <w:t xml:space="preserve">enior government </w:t>
      </w:r>
      <w:r w:rsidR="00DC6E94" w:rsidRPr="00785FB4">
        <w:t>officials</w:t>
      </w:r>
      <w:r w:rsidRPr="00785FB4">
        <w:t xml:space="preserve"> </w:t>
      </w:r>
      <w:r w:rsidR="00797D06" w:rsidRPr="00785FB4">
        <w:t xml:space="preserve">expressed frustration about </w:t>
      </w:r>
      <w:r w:rsidRPr="00785FB4">
        <w:t>th</w:t>
      </w:r>
      <w:r w:rsidR="0018406C" w:rsidRPr="00785FB4">
        <w:t xml:space="preserve">e effect that this was having </w:t>
      </w:r>
      <w:r w:rsidR="00492E49" w:rsidRPr="00785FB4">
        <w:t>o</w:t>
      </w:r>
      <w:r w:rsidR="0018406C" w:rsidRPr="00785FB4">
        <w:t xml:space="preserve">n the ministry’s ability to use the EITI as a platform </w:t>
      </w:r>
      <w:r w:rsidR="001E2044" w:rsidRPr="00785FB4">
        <w:t>for</w:t>
      </w:r>
      <w:r w:rsidR="0018406C" w:rsidRPr="00785FB4">
        <w:t xml:space="preserve"> reforms </w:t>
      </w:r>
      <w:r w:rsidR="00A76F84" w:rsidRPr="00785FB4">
        <w:t xml:space="preserve">and to </w:t>
      </w:r>
      <w:r w:rsidR="00A41822" w:rsidRPr="00785FB4">
        <w:t xml:space="preserve">manage </w:t>
      </w:r>
      <w:r w:rsidR="00A76F84" w:rsidRPr="00785FB4">
        <w:t>the sector more broadly</w:t>
      </w:r>
      <w:r w:rsidR="007F40CB" w:rsidRPr="00785FB4">
        <w:t xml:space="preserve">. </w:t>
      </w:r>
      <w:r w:rsidR="004F30CF" w:rsidRPr="00785FB4">
        <w:rPr>
          <w:bCs/>
        </w:rPr>
        <w:t xml:space="preserve">A former </w:t>
      </w:r>
      <w:r w:rsidR="00492E49" w:rsidRPr="00785FB4">
        <w:rPr>
          <w:bCs/>
        </w:rPr>
        <w:t xml:space="preserve">civil society </w:t>
      </w:r>
      <w:r w:rsidR="004F30CF" w:rsidRPr="00785FB4">
        <w:rPr>
          <w:bCs/>
        </w:rPr>
        <w:t xml:space="preserve">MSG </w:t>
      </w:r>
      <w:r w:rsidR="00492E49" w:rsidRPr="00785FB4">
        <w:rPr>
          <w:bCs/>
        </w:rPr>
        <w:t xml:space="preserve">member </w:t>
      </w:r>
      <w:r w:rsidR="004F30CF" w:rsidRPr="00785FB4">
        <w:rPr>
          <w:bCs/>
        </w:rPr>
        <w:t>said tha</w:t>
      </w:r>
      <w:r w:rsidR="00797D06" w:rsidRPr="00785FB4">
        <w:rPr>
          <w:bCs/>
        </w:rPr>
        <w:t xml:space="preserve">t there was little awareness among higher echelons of the </w:t>
      </w:r>
      <w:r w:rsidR="004F30CF" w:rsidRPr="00785FB4">
        <w:rPr>
          <w:bCs/>
        </w:rPr>
        <w:t xml:space="preserve">government </w:t>
      </w:r>
      <w:r w:rsidR="00797D06" w:rsidRPr="00785FB4">
        <w:rPr>
          <w:bCs/>
        </w:rPr>
        <w:t>about</w:t>
      </w:r>
      <w:r w:rsidR="004F30CF" w:rsidRPr="00785FB4">
        <w:rPr>
          <w:bCs/>
        </w:rPr>
        <w:t xml:space="preserve"> the </w:t>
      </w:r>
      <w:r w:rsidR="00492E49" w:rsidRPr="00785FB4">
        <w:rPr>
          <w:bCs/>
        </w:rPr>
        <w:t xml:space="preserve">EITI’s </w:t>
      </w:r>
      <w:r w:rsidR="004F30CF" w:rsidRPr="00785FB4">
        <w:rPr>
          <w:bCs/>
        </w:rPr>
        <w:t>work and that some government representatives were suspicious of its work.</w:t>
      </w:r>
      <w:r w:rsidR="00687284" w:rsidRPr="00785FB4">
        <w:rPr>
          <w:bCs/>
        </w:rPr>
        <w:t xml:space="preserve"> A government official confirmed that there had been initial suspicions as the EITI was seen as an attempt by foreigners to get information on the sector, </w:t>
      </w:r>
      <w:r w:rsidR="00492E49" w:rsidRPr="00785FB4">
        <w:rPr>
          <w:bCs/>
        </w:rPr>
        <w:t xml:space="preserve">but that </w:t>
      </w:r>
      <w:r w:rsidR="00687284" w:rsidRPr="00785FB4">
        <w:rPr>
          <w:bCs/>
        </w:rPr>
        <w:t xml:space="preserve">this perception had changed over time. </w:t>
      </w:r>
      <w:r w:rsidR="001E2044" w:rsidRPr="00785FB4">
        <w:rPr>
          <w:bCs/>
        </w:rPr>
        <w:t>D</w:t>
      </w:r>
      <w:r w:rsidR="003C1F83" w:rsidRPr="00785FB4">
        <w:rPr>
          <w:bCs/>
        </w:rPr>
        <w:t>evelopment partner</w:t>
      </w:r>
      <w:r w:rsidR="001E2044" w:rsidRPr="00785FB4">
        <w:rPr>
          <w:bCs/>
        </w:rPr>
        <w:t>s</w:t>
      </w:r>
      <w:r w:rsidR="003C1F83" w:rsidRPr="00785FB4">
        <w:rPr>
          <w:bCs/>
        </w:rPr>
        <w:t xml:space="preserve"> noted that the </w:t>
      </w:r>
      <w:r w:rsidR="00492E49" w:rsidRPr="00785FB4">
        <w:rPr>
          <w:bCs/>
        </w:rPr>
        <w:t xml:space="preserve">SEC’s January 2018 </w:t>
      </w:r>
      <w:r w:rsidR="003C1F83" w:rsidRPr="00785FB4">
        <w:rPr>
          <w:bCs/>
        </w:rPr>
        <w:t xml:space="preserve">Mining Roadmap did not include any references to transparency or to the EITI, whereas the </w:t>
      </w:r>
      <w:r w:rsidR="00DB56BA" w:rsidRPr="00785FB4">
        <w:rPr>
          <w:bCs/>
        </w:rPr>
        <w:t>MOMP</w:t>
      </w:r>
      <w:r w:rsidR="003C1F83" w:rsidRPr="00785FB4">
        <w:rPr>
          <w:bCs/>
        </w:rPr>
        <w:t xml:space="preserve">’s Roadmap </w:t>
      </w:r>
      <w:r w:rsidR="0004276C" w:rsidRPr="00785FB4">
        <w:rPr>
          <w:bCs/>
        </w:rPr>
        <w:t>for Reform of the Extractive Industries in Afghanistan</w:t>
      </w:r>
      <w:r w:rsidR="00B578D9" w:rsidRPr="00785FB4">
        <w:rPr>
          <w:bCs/>
        </w:rPr>
        <w:t>, which was being finalised at the beginning of Validation,</w:t>
      </w:r>
      <w:r w:rsidR="0004276C" w:rsidRPr="00785FB4">
        <w:rPr>
          <w:bCs/>
        </w:rPr>
        <w:t xml:space="preserve"> </w:t>
      </w:r>
      <w:r w:rsidR="003C1F83" w:rsidRPr="00785FB4">
        <w:rPr>
          <w:bCs/>
        </w:rPr>
        <w:t xml:space="preserve">included this as one of </w:t>
      </w:r>
      <w:r w:rsidR="0004276C" w:rsidRPr="00785FB4">
        <w:rPr>
          <w:bCs/>
        </w:rPr>
        <w:t xml:space="preserve">its </w:t>
      </w:r>
      <w:r w:rsidR="003C1F83" w:rsidRPr="00785FB4">
        <w:rPr>
          <w:bCs/>
        </w:rPr>
        <w:t>four</w:t>
      </w:r>
      <w:r w:rsidR="0004276C" w:rsidRPr="00785FB4">
        <w:rPr>
          <w:bCs/>
        </w:rPr>
        <w:t xml:space="preserve"> core</w:t>
      </w:r>
      <w:r w:rsidR="003C1F83" w:rsidRPr="00785FB4">
        <w:rPr>
          <w:bCs/>
        </w:rPr>
        <w:t xml:space="preserve"> pillars.</w:t>
      </w:r>
      <w:r w:rsidR="00303418" w:rsidRPr="00785FB4">
        <w:rPr>
          <w:bCs/>
        </w:rPr>
        <w:t xml:space="preserve"> </w:t>
      </w:r>
      <w:r w:rsidR="00797D06" w:rsidRPr="00785FB4">
        <w:rPr>
          <w:bCs/>
        </w:rPr>
        <w:t>G</w:t>
      </w:r>
      <w:r w:rsidR="00303418" w:rsidRPr="00785FB4">
        <w:rPr>
          <w:bCs/>
        </w:rPr>
        <w:t>overnment official</w:t>
      </w:r>
      <w:r w:rsidR="00797D06" w:rsidRPr="00785FB4">
        <w:rPr>
          <w:bCs/>
        </w:rPr>
        <w:t>s</w:t>
      </w:r>
      <w:r w:rsidR="00303418" w:rsidRPr="00785FB4">
        <w:rPr>
          <w:bCs/>
        </w:rPr>
        <w:t xml:space="preserve"> explained that the </w:t>
      </w:r>
      <w:r w:rsidR="00DB56BA" w:rsidRPr="00785FB4">
        <w:rPr>
          <w:bCs/>
        </w:rPr>
        <w:t>MOMP</w:t>
      </w:r>
      <w:r w:rsidR="00303418" w:rsidRPr="00785FB4">
        <w:rPr>
          <w:bCs/>
        </w:rPr>
        <w:t>’s roadmap would serve as the framework through which the SEC’s roadmap would be implemented, and consequently the focus on transparency and on the EITI would be maintained.</w:t>
      </w:r>
      <w:r w:rsidR="0004276C" w:rsidRPr="00785FB4">
        <w:rPr>
          <w:bCs/>
        </w:rPr>
        <w:t xml:space="preserve"> Secretariat staff confirmed that the GOIA would begin to contribute to funding implementation in 2018. </w:t>
      </w:r>
    </w:p>
    <w:p w14:paraId="7A21F00A" w14:textId="70ABEA68" w:rsidR="002929E0" w:rsidRPr="00785FB4" w:rsidRDefault="00F7195C" w:rsidP="00A94167">
      <w:pPr>
        <w:pStyle w:val="Heading3"/>
      </w:pPr>
      <w:bookmarkStart w:id="111" w:name="_Toc505449571"/>
      <w:r w:rsidRPr="00785FB4">
        <w:t>Initial a</w:t>
      </w:r>
      <w:r w:rsidR="002929E0" w:rsidRPr="00785FB4">
        <w:t>ssessment</w:t>
      </w:r>
      <w:bookmarkEnd w:id="111"/>
      <w:r w:rsidR="005275CE" w:rsidRPr="00785FB4">
        <w:t xml:space="preserve"> </w:t>
      </w:r>
    </w:p>
    <w:p w14:paraId="4432354D" w14:textId="4301C575" w:rsidR="00303418" w:rsidRPr="00785FB4" w:rsidRDefault="00116746" w:rsidP="008D7517">
      <w:pPr>
        <w:rPr>
          <w:bCs/>
        </w:rPr>
      </w:pPr>
      <w:r w:rsidRPr="00785FB4">
        <w:t>The International Secretariat’s initial assessment is that</w:t>
      </w:r>
      <w:r w:rsidR="00ED7E34" w:rsidRPr="00785FB4">
        <w:t xml:space="preserve"> Afghanistan </w:t>
      </w:r>
      <w:r w:rsidR="00ED7E34" w:rsidRPr="00785FB4">
        <w:rPr>
          <w:bCs/>
        </w:rPr>
        <w:t xml:space="preserve">has made </w:t>
      </w:r>
      <w:r w:rsidR="00EF255F" w:rsidRPr="00785FB4">
        <w:rPr>
          <w:bCs/>
        </w:rPr>
        <w:t>meaningful</w:t>
      </w:r>
      <w:r w:rsidR="00EF255F" w:rsidRPr="00785FB4">
        <w:t xml:space="preserve"> </w:t>
      </w:r>
      <w:r w:rsidRPr="00785FB4">
        <w:t>progress in meeting this requirement.</w:t>
      </w:r>
      <w:r w:rsidR="009C497B" w:rsidRPr="00785FB4">
        <w:t xml:space="preserve"> </w:t>
      </w:r>
      <w:r w:rsidR="00813ADF" w:rsidRPr="00785FB4">
        <w:t xml:space="preserve">The International Secretariat </w:t>
      </w:r>
      <w:r w:rsidR="006859DD">
        <w:t>assessment is</w:t>
      </w:r>
      <w:r w:rsidR="006859DD" w:rsidRPr="00785FB4">
        <w:t xml:space="preserve"> </w:t>
      </w:r>
      <w:r w:rsidR="00813ADF" w:rsidRPr="00785FB4">
        <w:t xml:space="preserve">that the government </w:t>
      </w:r>
      <w:r w:rsidR="006859DD">
        <w:t>was</w:t>
      </w:r>
      <w:r w:rsidR="006859DD" w:rsidRPr="00785FB4">
        <w:t xml:space="preserve"> </w:t>
      </w:r>
      <w:r w:rsidR="00813ADF" w:rsidRPr="00785FB4">
        <w:t xml:space="preserve">not been fully, actively engaged </w:t>
      </w:r>
      <w:r w:rsidR="00EC7D89" w:rsidRPr="00785FB4">
        <w:t>i</w:t>
      </w:r>
      <w:r w:rsidR="00813ADF" w:rsidRPr="00785FB4">
        <w:t>n the EITI process between 20</w:t>
      </w:r>
      <w:r w:rsidR="00FC64C1" w:rsidRPr="00785FB4">
        <w:t>15</w:t>
      </w:r>
      <w:r w:rsidR="00813ADF" w:rsidRPr="00785FB4">
        <w:t xml:space="preserve"> and 2017, and notes concerns from various stakeholders that the more recent engagement might not be sustained in the long-term. However,</w:t>
      </w:r>
      <w:r w:rsidR="000C5553" w:rsidRPr="00785FB4">
        <w:t xml:space="preserve"> </w:t>
      </w:r>
      <w:r w:rsidR="003C1F83" w:rsidRPr="00785FB4">
        <w:rPr>
          <w:bCs/>
        </w:rPr>
        <w:t>Afghanistan nominated the Minister of Mines and Petroleum to lead the EITI process</w:t>
      </w:r>
      <w:r w:rsidR="000C5553" w:rsidRPr="00785FB4">
        <w:rPr>
          <w:bCs/>
        </w:rPr>
        <w:t xml:space="preserve"> in 2017</w:t>
      </w:r>
      <w:r w:rsidR="003C1F83" w:rsidRPr="00785FB4">
        <w:rPr>
          <w:bCs/>
        </w:rPr>
        <w:t xml:space="preserve"> </w:t>
      </w:r>
      <w:r w:rsidR="00A41822" w:rsidRPr="00785FB4">
        <w:rPr>
          <w:bCs/>
        </w:rPr>
        <w:t xml:space="preserve">after a two-year gap </w:t>
      </w:r>
      <w:r w:rsidR="003C1F83" w:rsidRPr="00785FB4">
        <w:rPr>
          <w:bCs/>
        </w:rPr>
        <w:t xml:space="preserve">and has made regular statements of support over time. </w:t>
      </w:r>
      <w:r w:rsidR="000C5553" w:rsidRPr="00785FB4">
        <w:rPr>
          <w:bCs/>
        </w:rPr>
        <w:t>The g</w:t>
      </w:r>
      <w:r w:rsidR="00303418" w:rsidRPr="00785FB4">
        <w:rPr>
          <w:bCs/>
        </w:rPr>
        <w:t xml:space="preserve">overnment </w:t>
      </w:r>
      <w:r w:rsidR="000C5553" w:rsidRPr="00785FB4">
        <w:rPr>
          <w:bCs/>
        </w:rPr>
        <w:t>participat</w:t>
      </w:r>
      <w:r w:rsidR="005D6168" w:rsidRPr="00785FB4">
        <w:rPr>
          <w:bCs/>
        </w:rPr>
        <w:t>es</w:t>
      </w:r>
      <w:r w:rsidR="000C5553" w:rsidRPr="00785FB4">
        <w:rPr>
          <w:bCs/>
        </w:rPr>
        <w:t xml:space="preserve"> </w:t>
      </w:r>
      <w:r w:rsidR="006F3C50" w:rsidRPr="00785FB4">
        <w:rPr>
          <w:bCs/>
        </w:rPr>
        <w:t>in MSG meetings</w:t>
      </w:r>
      <w:r w:rsidR="000C5553" w:rsidRPr="00785FB4">
        <w:rPr>
          <w:bCs/>
        </w:rPr>
        <w:t xml:space="preserve">, </w:t>
      </w:r>
      <w:r w:rsidR="005D6168" w:rsidRPr="00785FB4">
        <w:rPr>
          <w:bCs/>
        </w:rPr>
        <w:t xml:space="preserve">although </w:t>
      </w:r>
      <w:r w:rsidR="00303418" w:rsidRPr="00785FB4">
        <w:rPr>
          <w:bCs/>
        </w:rPr>
        <w:t>frequent changes in representat</w:t>
      </w:r>
      <w:r w:rsidR="006F3C50" w:rsidRPr="00785FB4">
        <w:rPr>
          <w:bCs/>
        </w:rPr>
        <w:t>ives</w:t>
      </w:r>
      <w:r w:rsidR="000C5553" w:rsidRPr="00785FB4">
        <w:rPr>
          <w:bCs/>
        </w:rPr>
        <w:t xml:space="preserve"> are a problem. </w:t>
      </w:r>
      <w:r w:rsidR="00EC7D89" w:rsidRPr="00785FB4">
        <w:rPr>
          <w:bCs/>
        </w:rPr>
        <w:t xml:space="preserve">The commitment reflected in the months leading to Validation coupled with strong commitment expressed at the highest levels are signs that the government has renewed its commitment to the EITI. The extent to which the government sustains this commitment to use the EITI as an instrument to drive reforms will be key to the prospects of EITI implementation. </w:t>
      </w:r>
    </w:p>
    <w:p w14:paraId="2CFD9652" w14:textId="6FBCF97B" w:rsidR="00303418" w:rsidRPr="00785FB4" w:rsidRDefault="000A477D" w:rsidP="00303418">
      <w:bookmarkStart w:id="112" w:name="_Toc459133087"/>
      <w:bookmarkStart w:id="113" w:name="_Toc461803036"/>
      <w:bookmarkStart w:id="114" w:name="_Toc461787317"/>
      <w:bookmarkStart w:id="115" w:name="_Toc461795829"/>
      <w:bookmarkStart w:id="116" w:name="_Toc505449572"/>
      <w:bookmarkStart w:id="117" w:name="_Toc505449779"/>
      <w:r w:rsidRPr="00785FB4">
        <w:rPr>
          <w:bCs/>
        </w:rPr>
        <w:t xml:space="preserve">In accordance with Requirement 1.1, </w:t>
      </w:r>
      <w:r w:rsidR="00EF255F" w:rsidRPr="00785FB4">
        <w:rPr>
          <w:bCs/>
        </w:rPr>
        <w:t xml:space="preserve">Afghanistan should ensure that a senior individual that has the confidence of all stakeholders, authority to coordinate action and mobilise resources provides consistent </w:t>
      </w:r>
      <w:r w:rsidR="00EF255F" w:rsidRPr="00785FB4">
        <w:rPr>
          <w:bCs/>
        </w:rPr>
        <w:lastRenderedPageBreak/>
        <w:t xml:space="preserve">government leadership of the EITI. Afghanistan should also ensure that engagement is </w:t>
      </w:r>
      <w:r w:rsidRPr="00785FB4">
        <w:rPr>
          <w:bCs/>
        </w:rPr>
        <w:t xml:space="preserve">consistent across government departments. </w:t>
      </w:r>
      <w:r w:rsidR="00EF255F" w:rsidRPr="00785FB4">
        <w:rPr>
          <w:bCs/>
        </w:rPr>
        <w:t xml:space="preserve">In accordance with requirement 8.3.c.i, the government constituency is requested to develop and disclose an action plan for addressing the deficiencies in government engagement documented in the initial assessment within three months of the Board’s decision. </w:t>
      </w:r>
      <w:r w:rsidR="00303418" w:rsidRPr="00785FB4">
        <w:rPr>
          <w:bCs/>
        </w:rPr>
        <w:t xml:space="preserve">To strengthen implementation, Afghanistan is encouraged to </w:t>
      </w:r>
      <w:r w:rsidR="0004276C" w:rsidRPr="00785FB4">
        <w:rPr>
          <w:bCs/>
        </w:rPr>
        <w:t>ensure that government representatives on the MSG attend meetings regularly.</w:t>
      </w:r>
      <w:r w:rsidR="00325718" w:rsidRPr="00785FB4">
        <w:rPr>
          <w:bCs/>
        </w:rPr>
        <w:t xml:space="preserve"> Institutional disagreements over leadership of the EITI process should be addressed to ensure</w:t>
      </w:r>
      <w:r w:rsidR="00A76F84" w:rsidRPr="00785FB4">
        <w:rPr>
          <w:bCs/>
        </w:rPr>
        <w:t xml:space="preserve"> that the government is able to improve </w:t>
      </w:r>
      <w:r w:rsidR="00325718" w:rsidRPr="00785FB4">
        <w:rPr>
          <w:bCs/>
        </w:rPr>
        <w:t>implementation</w:t>
      </w:r>
      <w:r w:rsidR="00A76F84" w:rsidRPr="00785FB4">
        <w:rPr>
          <w:bCs/>
        </w:rPr>
        <w:t xml:space="preserve"> at the operational level and use the EITI as a platform for reform</w:t>
      </w:r>
      <w:r w:rsidR="00325718" w:rsidRPr="00785FB4">
        <w:rPr>
          <w:bCs/>
        </w:rPr>
        <w:t>.</w:t>
      </w:r>
      <w:r w:rsidR="0004276C" w:rsidRPr="00785FB4">
        <w:rPr>
          <w:bCs/>
        </w:rPr>
        <w:t xml:space="preserve"> Given the importance of the Mutual Accountability Framework in the Afghan context, the </w:t>
      </w:r>
      <w:r w:rsidR="00857DAD" w:rsidRPr="00785FB4">
        <w:rPr>
          <w:bCs/>
        </w:rPr>
        <w:t xml:space="preserve">government </w:t>
      </w:r>
      <w:r w:rsidR="0004276C" w:rsidRPr="00785FB4">
        <w:rPr>
          <w:bCs/>
        </w:rPr>
        <w:t xml:space="preserve">and development partners are encouraged to identify </w:t>
      </w:r>
      <w:r w:rsidR="00325718" w:rsidRPr="00785FB4">
        <w:rPr>
          <w:bCs/>
        </w:rPr>
        <w:t>targets</w:t>
      </w:r>
      <w:r w:rsidR="0004276C" w:rsidRPr="00785FB4">
        <w:rPr>
          <w:bCs/>
        </w:rPr>
        <w:t xml:space="preserve"> that will help Afghanistan address challenges to the sector through the EITI rather than continuing to focus on compliance.</w:t>
      </w:r>
    </w:p>
    <w:p w14:paraId="15914AF4" w14:textId="689C28AD" w:rsidR="002929E0" w:rsidRPr="00785FB4" w:rsidRDefault="002929E0" w:rsidP="00A94167">
      <w:pPr>
        <w:pStyle w:val="Heading2notindexed"/>
      </w:pPr>
      <w:r w:rsidRPr="00785FB4">
        <w:t>Industry engagement in the EITI process (#1.2)</w:t>
      </w:r>
      <w:bookmarkEnd w:id="112"/>
      <w:bookmarkEnd w:id="113"/>
      <w:bookmarkEnd w:id="114"/>
      <w:bookmarkEnd w:id="115"/>
      <w:bookmarkEnd w:id="116"/>
      <w:bookmarkEnd w:id="117"/>
    </w:p>
    <w:p w14:paraId="187ADC38" w14:textId="5A803342" w:rsidR="002B42E3" w:rsidRPr="00785FB4" w:rsidRDefault="002929E0" w:rsidP="00A94167">
      <w:pPr>
        <w:pStyle w:val="Heading3"/>
        <w:rPr>
          <w:i/>
          <w:u w:val="single"/>
        </w:rPr>
      </w:pPr>
      <w:bookmarkStart w:id="118" w:name="_Toc505449573"/>
      <w:r w:rsidRPr="00785FB4">
        <w:t>Documentation of progress</w:t>
      </w:r>
      <w:bookmarkEnd w:id="118"/>
    </w:p>
    <w:p w14:paraId="271EDAAC" w14:textId="2BB28074" w:rsidR="002929E0" w:rsidRPr="00785FB4" w:rsidRDefault="002929E0" w:rsidP="00E956E1">
      <w:pPr>
        <w:spacing w:before="120"/>
      </w:pPr>
      <w:r w:rsidRPr="00785FB4">
        <w:rPr>
          <w:i/>
          <w:u w:val="single"/>
        </w:rPr>
        <w:t>Active engagement</w:t>
      </w:r>
      <w:r w:rsidRPr="00785FB4">
        <w:t xml:space="preserve">: </w:t>
      </w:r>
      <w:r w:rsidR="001525CB" w:rsidRPr="00785FB4">
        <w:t>There is ample evidence that industry engages actively in the EITI process and in the MSG.</w:t>
      </w:r>
      <w:r w:rsidR="00D403A5" w:rsidRPr="00785FB4">
        <w:t xml:space="preserve"> </w:t>
      </w:r>
      <w:r w:rsidR="001525CB" w:rsidRPr="00785FB4">
        <w:t>The MSG</w:t>
      </w:r>
      <w:r w:rsidR="00077C0A" w:rsidRPr="00785FB4">
        <w:t>’s</w:t>
      </w:r>
      <w:r w:rsidR="001525CB" w:rsidRPr="00785FB4">
        <w:t xml:space="preserve"> T</w:t>
      </w:r>
      <w:r w:rsidR="00077C0A" w:rsidRPr="00785FB4">
        <w:t>o</w:t>
      </w:r>
      <w:r w:rsidR="001525CB" w:rsidRPr="00785FB4">
        <w:t>R establish that six seats in the MSG should be allocated to the “extractive sector”. The T</w:t>
      </w:r>
      <w:r w:rsidR="00077C0A" w:rsidRPr="00785FB4">
        <w:t>o</w:t>
      </w:r>
      <w:r w:rsidR="001525CB" w:rsidRPr="00785FB4">
        <w:t>R also include fifteen “responsibilities” that industry representatives are expected to carry out in order to help the MSG achieve its strategic objectives</w:t>
      </w:r>
      <w:r w:rsidR="00C27D48" w:rsidRPr="00785FB4">
        <w:t>.</w:t>
      </w:r>
      <w:r w:rsidR="00EC7D89" w:rsidRPr="00785FB4">
        <w:rPr>
          <w:rStyle w:val="FootnoteReference"/>
        </w:rPr>
        <w:footnoteReference w:id="47"/>
      </w:r>
      <w:r w:rsidR="00C27D48" w:rsidRPr="00785FB4">
        <w:t xml:space="preserve"> Analysis of MSG meting attendance and minutes (see Annex B) shows that industry participation is among the most consistent. </w:t>
      </w:r>
      <w:r w:rsidR="00DC6E94" w:rsidRPr="00785FB4">
        <w:t>Minutes also show that i</w:t>
      </w:r>
      <w:r w:rsidR="008740D4" w:rsidRPr="00785FB4">
        <w:t xml:space="preserve">ndustry representatives serve actively on the MSG’s technical working group. </w:t>
      </w:r>
      <w:r w:rsidR="00C27D48" w:rsidRPr="00785FB4">
        <w:t>The industry constituency last refreshed its representatives on the MSG on 8 February 2017 (</w:t>
      </w:r>
      <w:r w:rsidR="00C27D48" w:rsidRPr="00785FB4">
        <w:rPr>
          <w:i/>
        </w:rPr>
        <w:t>see Requirement 1.4</w:t>
      </w:r>
      <w:r w:rsidR="00F26140" w:rsidRPr="00785FB4">
        <w:t>) and includes representatives from private companies and from the Afghanistan Chamber of Commerce and Industries</w:t>
      </w:r>
      <w:r w:rsidR="005568CB" w:rsidRPr="00785FB4">
        <w:t>,</w:t>
      </w:r>
      <w:r w:rsidR="00060071" w:rsidRPr="00785FB4">
        <w:t xml:space="preserve"> but not from SOEs</w:t>
      </w:r>
      <w:r w:rsidR="00F26140" w:rsidRPr="00785FB4">
        <w:t xml:space="preserve">. </w:t>
      </w:r>
      <w:r w:rsidR="00EC7D89" w:rsidRPr="00785FB4">
        <w:t xml:space="preserve">There is no evidence of coordination within the industry representatives on the MSG and their broader constituency. </w:t>
      </w:r>
      <w:r w:rsidR="008740D4" w:rsidRPr="00785FB4">
        <w:t xml:space="preserve">Of the 28 material companies </w:t>
      </w:r>
      <w:r w:rsidR="005568CB" w:rsidRPr="00785FB4">
        <w:t xml:space="preserve">in </w:t>
      </w:r>
      <w:r w:rsidR="008740D4" w:rsidRPr="00785FB4">
        <w:t>the 2014</w:t>
      </w:r>
      <w:r w:rsidR="005568CB" w:rsidRPr="00785FB4">
        <w:t>-</w:t>
      </w:r>
      <w:r w:rsidR="008740D4" w:rsidRPr="00785FB4">
        <w:t>15 EITI report, eight did not report (s</w:t>
      </w:r>
      <w:r w:rsidR="008740D4" w:rsidRPr="00785FB4">
        <w:rPr>
          <w:i/>
        </w:rPr>
        <w:t>ee Requirement 4.1</w:t>
      </w:r>
      <w:r w:rsidR="008740D4" w:rsidRPr="00785FB4">
        <w:t>).</w:t>
      </w:r>
      <w:r w:rsidR="00226B91" w:rsidRPr="00785FB4">
        <w:t xml:space="preserve"> There is evidence that low capacity hampers industry participation in reporting.</w:t>
      </w:r>
      <w:r w:rsidR="00226B91" w:rsidRPr="00785FB4">
        <w:rPr>
          <w:rStyle w:val="FootnoteReference"/>
        </w:rPr>
        <w:footnoteReference w:id="48"/>
      </w:r>
      <w:r w:rsidR="00060071" w:rsidRPr="00785FB4">
        <w:t xml:space="preserve"> </w:t>
      </w:r>
      <w:r w:rsidR="001525CB" w:rsidRPr="00785FB4">
        <w:t>The MSG</w:t>
      </w:r>
      <w:r w:rsidR="005568CB" w:rsidRPr="00785FB4">
        <w:t>’s</w:t>
      </w:r>
      <w:r w:rsidR="001525CB" w:rsidRPr="00785FB4">
        <w:t xml:space="preserve"> T</w:t>
      </w:r>
      <w:r w:rsidR="005568CB" w:rsidRPr="00785FB4">
        <w:t>o</w:t>
      </w:r>
      <w:r w:rsidR="001525CB" w:rsidRPr="00785FB4">
        <w:t xml:space="preserve">R require that companies </w:t>
      </w:r>
      <w:r w:rsidR="00AC6D0D" w:rsidRPr="00785FB4">
        <w:t>represented o</w:t>
      </w:r>
      <w:r w:rsidR="001525CB" w:rsidRPr="00785FB4">
        <w:t>n the MSG publish p</w:t>
      </w:r>
      <w:r w:rsidR="00537DA5" w:rsidRPr="00785FB4">
        <w:t xml:space="preserve">ublic statements of support </w:t>
      </w:r>
      <w:r w:rsidR="00AC6D0D" w:rsidRPr="00785FB4">
        <w:t xml:space="preserve">for </w:t>
      </w:r>
      <w:r w:rsidR="00537DA5" w:rsidRPr="00785FB4">
        <w:t xml:space="preserve">the EITI </w:t>
      </w:r>
      <w:r w:rsidR="001525CB" w:rsidRPr="00785FB4">
        <w:t>in English and local languages. Statements were published by companies in 2014 but there is no record that new statements were published after industry selected its new representatives in February 2017.</w:t>
      </w:r>
      <w:r w:rsidR="00537DA5" w:rsidRPr="00785FB4">
        <w:rPr>
          <w:rStyle w:val="FootnoteReference"/>
        </w:rPr>
        <w:footnoteReference w:id="49"/>
      </w:r>
      <w:r w:rsidR="00537DA5" w:rsidRPr="00785FB4">
        <w:t xml:space="preserve"> </w:t>
      </w:r>
      <w:r w:rsidR="001525CB" w:rsidRPr="00785FB4">
        <w:t xml:space="preserve">All available public </w:t>
      </w:r>
      <w:r w:rsidR="00537DA5" w:rsidRPr="00785FB4">
        <w:t>statements include at a minimum the company’s commitment to AEITI disclosure requirements and an affirmation of the importance of the process for the development of the sector in Afghanistan.</w:t>
      </w:r>
      <w:r w:rsidR="004E5184" w:rsidRPr="00785FB4">
        <w:t xml:space="preserve"> </w:t>
      </w:r>
      <w:r w:rsidR="008C5F71" w:rsidRPr="00785FB4">
        <w:t xml:space="preserve"> </w:t>
      </w:r>
    </w:p>
    <w:p w14:paraId="277F0498" w14:textId="150F353F" w:rsidR="00C12F90" w:rsidRPr="00785FB4" w:rsidRDefault="002929E0" w:rsidP="00E956E1">
      <w:pPr>
        <w:tabs>
          <w:tab w:val="left" w:pos="3409"/>
        </w:tabs>
        <w:spacing w:before="120"/>
      </w:pPr>
      <w:r w:rsidRPr="00785FB4">
        <w:rPr>
          <w:i/>
          <w:u w:val="single"/>
        </w:rPr>
        <w:t>Enabling environment</w:t>
      </w:r>
      <w:r w:rsidRPr="00785FB4">
        <w:t xml:space="preserve">: </w:t>
      </w:r>
      <w:r w:rsidR="006F3C50" w:rsidRPr="00785FB4">
        <w:t>The MSG</w:t>
      </w:r>
      <w:r w:rsidR="00AC6D0D" w:rsidRPr="00785FB4">
        <w:t>’s</w:t>
      </w:r>
      <w:r w:rsidR="006F3C50" w:rsidRPr="00785FB4">
        <w:t xml:space="preserve"> T</w:t>
      </w:r>
      <w:r w:rsidR="00AC6D0D" w:rsidRPr="00785FB4">
        <w:t>o</w:t>
      </w:r>
      <w:r w:rsidR="006F3C50" w:rsidRPr="00785FB4">
        <w:t>R include</w:t>
      </w:r>
      <w:r w:rsidR="00C12F90" w:rsidRPr="00785FB4">
        <w:t xml:space="preserve"> an expectation of government representatives on the MSG to “conduct [an] assessment of obstacles in the regulatory framework relevant to the implementation of </w:t>
      </w:r>
      <w:r w:rsidR="00C12F90" w:rsidRPr="00785FB4">
        <w:lastRenderedPageBreak/>
        <w:t>the EITI, and propose or enact legal/regulatory amendments to bring about more transparency”. Government MSG representatives are furthermore encouraged to “introduce/amend legislation and/or regulations making it mandatory that companies accept AEITI standards and reporting criteria.</w:t>
      </w:r>
      <w:r w:rsidR="00AC6D0D" w:rsidRPr="00785FB4">
        <w:t>”</w:t>
      </w:r>
      <w:r w:rsidR="00C12F90" w:rsidRPr="00785FB4">
        <w:t xml:space="preserve"> </w:t>
      </w:r>
      <w:r w:rsidR="001525CB" w:rsidRPr="00785FB4">
        <w:t xml:space="preserve">Article 100 of the 2014 Minerals Law </w:t>
      </w:r>
      <w:r w:rsidR="00226B91" w:rsidRPr="00785FB4">
        <w:t>introduces mandatory EITI reporting requirements for all license-holders, contractors and relevant government agencies.</w:t>
      </w:r>
      <w:r w:rsidR="002801D5" w:rsidRPr="00785FB4">
        <w:rPr>
          <w:rStyle w:val="FootnoteReference"/>
        </w:rPr>
        <w:footnoteReference w:id="50"/>
      </w:r>
      <w:r w:rsidR="00226B91" w:rsidRPr="00785FB4">
        <w:t xml:space="preserve"> </w:t>
      </w:r>
      <w:r w:rsidR="00680938" w:rsidRPr="00785FB4">
        <w:t>Before the inclusion of this article in the law, an M</w:t>
      </w:r>
      <w:r w:rsidR="0061497A" w:rsidRPr="00785FB4">
        <w:t>o</w:t>
      </w:r>
      <w:r w:rsidR="00680938" w:rsidRPr="00785FB4">
        <w:t xml:space="preserve">U was signed in October 2012 between the </w:t>
      </w:r>
      <w:r w:rsidR="00DB56BA" w:rsidRPr="00785FB4">
        <w:t>MOF</w:t>
      </w:r>
      <w:r w:rsidR="00680938" w:rsidRPr="00785FB4">
        <w:t xml:space="preserve"> and industry representatives to facilitate disclosures.</w:t>
      </w:r>
      <w:r w:rsidR="00680938" w:rsidRPr="00785FB4">
        <w:rPr>
          <w:rStyle w:val="FootnoteReference"/>
        </w:rPr>
        <w:footnoteReference w:id="51"/>
      </w:r>
      <w:r w:rsidR="00680938" w:rsidRPr="00785FB4">
        <w:t xml:space="preserve"> </w:t>
      </w:r>
      <w:r w:rsidR="00226B91" w:rsidRPr="00785FB4">
        <w:t xml:space="preserve">There do not appear to be confidentiality provisions in the tax code that </w:t>
      </w:r>
      <w:r w:rsidR="00E023A1" w:rsidRPr="00785FB4">
        <w:t xml:space="preserve">limit the publication of information. </w:t>
      </w:r>
    </w:p>
    <w:p w14:paraId="051C51A9" w14:textId="00EC13CB" w:rsidR="00074AFF" w:rsidRPr="00785FB4" w:rsidRDefault="002929E0" w:rsidP="00A94167">
      <w:pPr>
        <w:pStyle w:val="Heading3"/>
      </w:pPr>
      <w:bookmarkStart w:id="119" w:name="_Toc505449574"/>
      <w:r w:rsidRPr="00785FB4">
        <w:t>Stakehol</w:t>
      </w:r>
      <w:bookmarkStart w:id="120" w:name="industrystakeholderviews"/>
      <w:bookmarkEnd w:id="120"/>
      <w:r w:rsidRPr="00785FB4">
        <w:t>der views</w:t>
      </w:r>
      <w:bookmarkEnd w:id="119"/>
      <w:r w:rsidR="00BC2017" w:rsidRPr="00785FB4">
        <w:t xml:space="preserve"> </w:t>
      </w:r>
    </w:p>
    <w:p w14:paraId="22A04B8F" w14:textId="1E052F70" w:rsidR="007A6995" w:rsidRPr="00785FB4" w:rsidRDefault="00325718" w:rsidP="009464B0">
      <w:r w:rsidRPr="00785FB4">
        <w:t xml:space="preserve">Industry representatives expressed strong support for the EITI but lamented that lack of </w:t>
      </w:r>
      <w:r w:rsidR="005F11D7" w:rsidRPr="00785FB4">
        <w:t xml:space="preserve">government </w:t>
      </w:r>
      <w:r w:rsidRPr="00785FB4">
        <w:t>leadership meant that it was not reaching its potential</w:t>
      </w:r>
      <w:r w:rsidR="006F3C50" w:rsidRPr="00785FB4">
        <w:t xml:space="preserve"> as a tool for reform</w:t>
      </w:r>
      <w:r w:rsidRPr="00785FB4">
        <w:t xml:space="preserve">. </w:t>
      </w:r>
      <w:r w:rsidR="007A6995" w:rsidRPr="00785FB4">
        <w:t xml:space="preserve">Industry representatives on the MSG said that they had sent numerous proposals to the </w:t>
      </w:r>
      <w:r w:rsidR="00DB56BA" w:rsidRPr="00785FB4">
        <w:t>MOMP</w:t>
      </w:r>
      <w:r w:rsidR="007A6995" w:rsidRPr="00785FB4">
        <w:t xml:space="preserve"> to support the formalisation of the sector but that they did not expect these to lead to change because the </w:t>
      </w:r>
      <w:r w:rsidR="00DB56BA" w:rsidRPr="00785FB4">
        <w:t>MOMP</w:t>
      </w:r>
      <w:r w:rsidR="007A6995" w:rsidRPr="00785FB4">
        <w:t xml:space="preserve"> did not wield any real authority. </w:t>
      </w:r>
    </w:p>
    <w:p w14:paraId="121EF936" w14:textId="6E39DFEA" w:rsidR="00CF24C0" w:rsidRPr="00785FB4" w:rsidRDefault="00AD755C" w:rsidP="009464B0">
      <w:r w:rsidRPr="00785FB4">
        <w:t>Stakeholders</w:t>
      </w:r>
      <w:r w:rsidR="006F3C50" w:rsidRPr="00785FB4">
        <w:t xml:space="preserve"> from</w:t>
      </w:r>
      <w:r w:rsidRPr="00785FB4">
        <w:t xml:space="preserve"> all constituencies expressed satisfaction with companies’ engagement with the process, although some civil society representatives expressed regret that </w:t>
      </w:r>
      <w:r w:rsidR="00AE66B4" w:rsidRPr="00785FB4">
        <w:t xml:space="preserve">weak incentives </w:t>
      </w:r>
      <w:r w:rsidR="008740D4" w:rsidRPr="00785FB4">
        <w:t>to participate</w:t>
      </w:r>
      <w:r w:rsidRPr="00785FB4">
        <w:t xml:space="preserve"> meant that some companies did not take reporting seriously and only filled in templates in a pro forma manner. </w:t>
      </w:r>
      <w:r w:rsidR="007A6995" w:rsidRPr="00785FB4">
        <w:t xml:space="preserve">This was also reflected in the MSG’s </w:t>
      </w:r>
      <w:r w:rsidR="000C36C5" w:rsidRPr="00785FB4">
        <w:t xml:space="preserve">May 2017 </w:t>
      </w:r>
      <w:r w:rsidR="007A6995" w:rsidRPr="00785FB4">
        <w:t xml:space="preserve">self-assessment, which expressed satisfaction with industry representation but noted that most companies did not participate in the MSG selection process or actively sought to avoid engagement with the EITI due to the misperception that participating companies may receive additional scrutiny from government. </w:t>
      </w:r>
      <w:r w:rsidRPr="00785FB4">
        <w:t>Stakeholders from all const</w:t>
      </w:r>
      <w:r w:rsidR="007A6995" w:rsidRPr="00785FB4">
        <w:t>ituencies concurred that there we</w:t>
      </w:r>
      <w:r w:rsidRPr="00785FB4">
        <w:t>re no legal or administrative obstacles to company participation.</w:t>
      </w:r>
    </w:p>
    <w:p w14:paraId="201DA03F" w14:textId="303E37D7" w:rsidR="002929E0" w:rsidRPr="00785FB4" w:rsidRDefault="00BC2017" w:rsidP="00A94167">
      <w:pPr>
        <w:pStyle w:val="Heading3"/>
      </w:pPr>
      <w:bookmarkStart w:id="121" w:name="_Toc505449575"/>
      <w:r w:rsidRPr="00785FB4">
        <w:t>Initial a</w:t>
      </w:r>
      <w:r w:rsidR="002929E0" w:rsidRPr="00785FB4">
        <w:t>ssessment</w:t>
      </w:r>
      <w:bookmarkEnd w:id="121"/>
    </w:p>
    <w:p w14:paraId="1B5D890D" w14:textId="755526F9" w:rsidR="008D7517" w:rsidRPr="00785FB4" w:rsidRDefault="0076558C" w:rsidP="008D7517">
      <w:r w:rsidRPr="00785FB4">
        <w:t>The International Secretariat’s initial assessment is that</w:t>
      </w:r>
      <w:r w:rsidR="00AD755C" w:rsidRPr="00785FB4">
        <w:t xml:space="preserve"> Afghanistan</w:t>
      </w:r>
      <w:r w:rsidR="00E956E1" w:rsidRPr="00785FB4">
        <w:t xml:space="preserve"> </w:t>
      </w:r>
      <w:r w:rsidRPr="00785FB4">
        <w:t>has made</w:t>
      </w:r>
      <w:r w:rsidR="00AD755C" w:rsidRPr="00785FB4">
        <w:t xml:space="preserve"> satisfactory </w:t>
      </w:r>
      <w:r w:rsidRPr="00785FB4">
        <w:t xml:space="preserve">progress in meeting this requirement. </w:t>
      </w:r>
      <w:bookmarkStart w:id="122" w:name="_Toc459133088"/>
      <w:r w:rsidR="00AD755C" w:rsidRPr="00785FB4">
        <w:t>Company representatives are fully, actively and e</w:t>
      </w:r>
      <w:r w:rsidR="008740D4" w:rsidRPr="00785FB4">
        <w:t>ffectively engaged in the EITI process. There is an enabling environment for company participation and the fundamental rights of company representatives substantially engaged in the EITI are respected. There are no obstacles to company participation in the EITI process.</w:t>
      </w:r>
    </w:p>
    <w:p w14:paraId="6633F655" w14:textId="2BF4F7D7" w:rsidR="008740D4" w:rsidRPr="00785FB4" w:rsidRDefault="008740D4" w:rsidP="008740D4">
      <w:r w:rsidRPr="00785FB4">
        <w:rPr>
          <w:bCs/>
        </w:rPr>
        <w:t xml:space="preserve">To strengthen implementation, the industry constituency is encouraged to carry out additional outreach activities to its members to avoid misperceptions that may hamper their participation in the </w:t>
      </w:r>
      <w:r w:rsidR="007A6995" w:rsidRPr="00785FB4">
        <w:rPr>
          <w:bCs/>
        </w:rPr>
        <w:t>EITI</w:t>
      </w:r>
      <w:r w:rsidRPr="00785FB4">
        <w:rPr>
          <w:bCs/>
        </w:rPr>
        <w:t xml:space="preserve">. </w:t>
      </w:r>
    </w:p>
    <w:p w14:paraId="0A3EC43A" w14:textId="6887A487" w:rsidR="002929E0" w:rsidRPr="00785FB4" w:rsidRDefault="002929E0" w:rsidP="00A94167">
      <w:pPr>
        <w:pStyle w:val="Heading2notindexed"/>
      </w:pPr>
      <w:bookmarkStart w:id="123" w:name="_Toc461803037"/>
      <w:bookmarkStart w:id="124" w:name="_Toc461787318"/>
      <w:bookmarkStart w:id="125" w:name="_Toc461795830"/>
      <w:bookmarkStart w:id="126" w:name="_Toc505449576"/>
      <w:bookmarkStart w:id="127" w:name="_Toc505449780"/>
      <w:r w:rsidRPr="00785FB4">
        <w:lastRenderedPageBreak/>
        <w:t>Civil society engagement in the EITI process (#1.3)</w:t>
      </w:r>
      <w:bookmarkEnd w:id="122"/>
      <w:bookmarkEnd w:id="123"/>
      <w:bookmarkEnd w:id="124"/>
      <w:bookmarkEnd w:id="125"/>
      <w:bookmarkEnd w:id="126"/>
      <w:bookmarkEnd w:id="127"/>
    </w:p>
    <w:p w14:paraId="6DF8F237" w14:textId="7301AE1A" w:rsidR="00F342CC" w:rsidRPr="00785FB4" w:rsidRDefault="002929E0" w:rsidP="00A94167">
      <w:pPr>
        <w:pStyle w:val="Heading3"/>
        <w:rPr>
          <w:rFonts w:cs="Arial"/>
        </w:rPr>
      </w:pPr>
      <w:bookmarkStart w:id="128" w:name="_Toc505449577"/>
      <w:r w:rsidRPr="00785FB4">
        <w:t>Documentation of progress</w:t>
      </w:r>
      <w:bookmarkEnd w:id="128"/>
    </w:p>
    <w:p w14:paraId="384C53BA" w14:textId="647A8AE2" w:rsidR="00ED7E34" w:rsidRPr="00785FB4" w:rsidRDefault="00B66878" w:rsidP="003F7EDC">
      <w:pPr>
        <w:spacing w:before="120"/>
      </w:pPr>
      <w:r w:rsidRPr="00785FB4">
        <w:t xml:space="preserve">Encouraging the development of a propitious environment for civil society to develop is an explicit goal of the </w:t>
      </w:r>
      <w:r w:rsidR="00457FB7" w:rsidRPr="00785FB4">
        <w:t>GOIA</w:t>
      </w:r>
      <w:r w:rsidR="00DE520D" w:rsidRPr="00785FB4">
        <w:t>.</w:t>
      </w:r>
      <w:r w:rsidR="007A6995" w:rsidRPr="00785FB4">
        <w:rPr>
          <w:rStyle w:val="FootnoteReference"/>
        </w:rPr>
        <w:footnoteReference w:id="52"/>
      </w:r>
      <w:r w:rsidR="00DE520D" w:rsidRPr="00785FB4">
        <w:t xml:space="preserve"> CSOs engage actively in all sectors, including the extractive industries. Since the fall of the Taliban</w:t>
      </w:r>
      <w:r w:rsidR="005D2505" w:rsidRPr="00785FB4">
        <w:t xml:space="preserve"> government</w:t>
      </w:r>
      <w:r w:rsidR="00DE520D" w:rsidRPr="00785FB4">
        <w:t xml:space="preserve">, development partners have </w:t>
      </w:r>
      <w:r w:rsidR="005D6168" w:rsidRPr="00785FB4">
        <w:t xml:space="preserve">considered </w:t>
      </w:r>
      <w:r w:rsidR="00DE520D" w:rsidRPr="00785FB4">
        <w:t>the development of civil society as the way to ensure long-term stability and democratic rule,</w:t>
      </w:r>
      <w:r w:rsidR="00BD7A97" w:rsidRPr="00785FB4">
        <w:rPr>
          <w:rStyle w:val="FootnoteReference"/>
        </w:rPr>
        <w:footnoteReference w:id="53"/>
      </w:r>
      <w:r w:rsidR="00DE520D" w:rsidRPr="00785FB4">
        <w:t xml:space="preserve"> leading to a proliferation of roadmaps</w:t>
      </w:r>
      <w:r w:rsidR="00BD7A97" w:rsidRPr="00785FB4">
        <w:rPr>
          <w:rStyle w:val="FootnoteReference"/>
        </w:rPr>
        <w:footnoteReference w:id="54"/>
      </w:r>
      <w:r w:rsidR="00DE520D" w:rsidRPr="00785FB4">
        <w:t xml:space="preserve"> </w:t>
      </w:r>
      <w:r w:rsidR="00BD7A97" w:rsidRPr="00785FB4">
        <w:t>and programmes to help the sector develop</w:t>
      </w:r>
      <w:r w:rsidR="00F5777F" w:rsidRPr="00785FB4">
        <w:t>,</w:t>
      </w:r>
      <w:r w:rsidR="00BD7A97" w:rsidRPr="00785FB4">
        <w:t xml:space="preserve"> </w:t>
      </w:r>
      <w:r w:rsidR="00F5777F" w:rsidRPr="00785FB4">
        <w:t xml:space="preserve">including </w:t>
      </w:r>
      <w:r w:rsidR="00BD7A97" w:rsidRPr="00785FB4">
        <w:t>within the extractive industries.</w:t>
      </w:r>
      <w:r w:rsidR="00BD7A97" w:rsidRPr="00785FB4">
        <w:rPr>
          <w:rStyle w:val="FootnoteReference"/>
        </w:rPr>
        <w:footnoteReference w:id="55"/>
      </w:r>
      <w:r w:rsidR="00BD7A97" w:rsidRPr="00785FB4">
        <w:t xml:space="preserve"> As should be expected following decades of Taliban-imposed ostracization, important challenges remain</w:t>
      </w:r>
      <w:r w:rsidR="00E127FD" w:rsidRPr="00785FB4">
        <w:t>, the most significant of which</w:t>
      </w:r>
      <w:r w:rsidR="00BD7A97" w:rsidRPr="00785FB4">
        <w:t xml:space="preserve"> being the insecurity prevail</w:t>
      </w:r>
      <w:r w:rsidR="00E127FD" w:rsidRPr="00785FB4">
        <w:t>ing</w:t>
      </w:r>
      <w:r w:rsidR="00BD7A97" w:rsidRPr="00785FB4">
        <w:t xml:space="preserve"> </w:t>
      </w:r>
      <w:r w:rsidRPr="00785FB4">
        <w:t xml:space="preserve">throughout </w:t>
      </w:r>
      <w:r w:rsidR="00BD7A97" w:rsidRPr="00785FB4">
        <w:t xml:space="preserve">much of the country (see annex </w:t>
      </w:r>
      <w:r w:rsidR="00AB744A" w:rsidRPr="00785FB4">
        <w:t>E</w:t>
      </w:r>
      <w:r w:rsidR="00BD7A97" w:rsidRPr="00785FB4">
        <w:t>). Other important systemic challenges include widespread illiteracy</w:t>
      </w:r>
      <w:r w:rsidR="003F7EDC" w:rsidRPr="00785FB4">
        <w:t>,</w:t>
      </w:r>
      <w:r w:rsidR="003F7EDC" w:rsidRPr="00785FB4">
        <w:rPr>
          <w:rStyle w:val="FootnoteReference"/>
        </w:rPr>
        <w:footnoteReference w:id="56"/>
      </w:r>
      <w:r w:rsidR="003F7EDC" w:rsidRPr="00785FB4">
        <w:t xml:space="preserve"> an institutionalised conservative tradition that sometimes paints political activism as promotion of moral corruption</w:t>
      </w:r>
      <w:r w:rsidR="003F7EDC" w:rsidRPr="00785FB4">
        <w:rPr>
          <w:rStyle w:val="FootnoteReference"/>
        </w:rPr>
        <w:footnoteReference w:id="57"/>
      </w:r>
      <w:r w:rsidR="003F7EDC" w:rsidRPr="00785FB4">
        <w:t xml:space="preserve"> and </w:t>
      </w:r>
      <w:r w:rsidRPr="00785FB4">
        <w:t xml:space="preserve">generalised </w:t>
      </w:r>
      <w:r w:rsidR="003F7EDC" w:rsidRPr="00785FB4">
        <w:t>low capacity, especially outside of the capital</w:t>
      </w:r>
      <w:r w:rsidR="00E77FED" w:rsidRPr="00785FB4">
        <w:t xml:space="preserve"> Kabul</w:t>
      </w:r>
      <w:r w:rsidR="003F7EDC" w:rsidRPr="00785FB4">
        <w:t xml:space="preserve">.  </w:t>
      </w:r>
    </w:p>
    <w:p w14:paraId="78C13E79" w14:textId="2E22BB6F" w:rsidR="002801D5" w:rsidRPr="00785FB4" w:rsidRDefault="002929E0" w:rsidP="005D2505">
      <w:pPr>
        <w:spacing w:before="120"/>
      </w:pPr>
      <w:r w:rsidRPr="00785FB4">
        <w:rPr>
          <w:i/>
          <w:u w:val="single"/>
        </w:rPr>
        <w:t>Expression</w:t>
      </w:r>
      <w:r w:rsidRPr="00785FB4">
        <w:rPr>
          <w:i/>
        </w:rPr>
        <w:t>:</w:t>
      </w:r>
      <w:r w:rsidR="003F7EDC" w:rsidRPr="00785FB4">
        <w:t xml:space="preserve"> </w:t>
      </w:r>
      <w:r w:rsidR="00D96F0C" w:rsidRPr="00785FB4">
        <w:t>Other than the generalised situation of insecurity, t</w:t>
      </w:r>
      <w:r w:rsidR="00390A58" w:rsidRPr="00785FB4">
        <w:t xml:space="preserve">here is little evidence to suggest constraints on an enabling legal framework for civil society organisations and companies to participate in EITI. </w:t>
      </w:r>
      <w:r w:rsidR="0025532B" w:rsidRPr="00785FB4">
        <w:t>As could be expected, t</w:t>
      </w:r>
      <w:r w:rsidR="002801D5" w:rsidRPr="00785FB4">
        <w:t xml:space="preserve">he security situation </w:t>
      </w:r>
      <w:r w:rsidR="0025532B" w:rsidRPr="00785FB4">
        <w:t xml:space="preserve">limits stakeholders’ ability </w:t>
      </w:r>
      <w:r w:rsidR="002801D5" w:rsidRPr="00785FB4">
        <w:t>to speak freely and there is some degree of self-censorship, also on EITI-related issues</w:t>
      </w:r>
      <w:r w:rsidR="0025532B" w:rsidRPr="00785FB4">
        <w:t xml:space="preserve">. This would seem to be due to </w:t>
      </w:r>
      <w:r w:rsidR="002801D5" w:rsidRPr="00785FB4">
        <w:t>fear of retaliation from individuals and reflects the government</w:t>
      </w:r>
      <w:r w:rsidR="0025532B" w:rsidRPr="00785FB4">
        <w:t>’s lack of control over much of the country rather than government policy.</w:t>
      </w:r>
    </w:p>
    <w:p w14:paraId="316D2250" w14:textId="5ED05106" w:rsidR="005D2505" w:rsidRPr="00785FB4" w:rsidRDefault="005D2505" w:rsidP="005D2505">
      <w:pPr>
        <w:spacing w:before="120"/>
      </w:pPr>
      <w:r w:rsidRPr="00785FB4">
        <w:t>Freedom of the press and of expression are enshrined in Article 34 of the constitution, and the Mass Media Law prohibits censorship although the council of religious scholars (the Ulema Council) maintains “considerable influence over media affairs”.</w:t>
      </w:r>
      <w:r w:rsidRPr="00785FB4">
        <w:rPr>
          <w:rStyle w:val="FootnoteReference"/>
        </w:rPr>
        <w:footnoteReference w:id="58"/>
      </w:r>
      <w:r w:rsidRPr="00785FB4">
        <w:t xml:space="preserve"> Defamation is criminalised in chapter 12 of the Afghanistan Penal Code, which prescribes jail sentences and fines for defamation.</w:t>
      </w:r>
      <w:r w:rsidRPr="00785FB4">
        <w:rPr>
          <w:rStyle w:val="FootnoteReference"/>
        </w:rPr>
        <w:footnoteReference w:id="59"/>
      </w:r>
      <w:r w:rsidRPr="00785FB4">
        <w:t xml:space="preserve"> Afghanistan passed an Access to Information Law (AIL) which came into effect in December 2014 that applies to governmental institutions and non-governmental entities such as CSO and political parties.</w:t>
      </w:r>
      <w:r w:rsidRPr="00785FB4">
        <w:rPr>
          <w:rStyle w:val="FootnoteReference"/>
        </w:rPr>
        <w:footnoteReference w:id="60"/>
      </w:r>
      <w:r w:rsidRPr="00785FB4">
        <w:t xml:space="preserve"> According to the US Department of </w:t>
      </w:r>
      <w:r w:rsidRPr="00785FB4">
        <w:lastRenderedPageBreak/>
        <w:t xml:space="preserve">State’s 2016 Human Rights Review, the law “had not yet been fully implemented”. </w:t>
      </w:r>
    </w:p>
    <w:p w14:paraId="00545750" w14:textId="77777777" w:rsidR="00D700B6" w:rsidRPr="00785FB4" w:rsidRDefault="003F7EDC" w:rsidP="00E956E1">
      <w:pPr>
        <w:spacing w:before="120"/>
      </w:pPr>
      <w:r w:rsidRPr="00785FB4">
        <w:t xml:space="preserve">Freedom House international ranks Afghanistan as “partly free” in 2017, noting an improvement from 2016 </w:t>
      </w:r>
      <w:r w:rsidR="00F94153" w:rsidRPr="00785FB4">
        <w:t>“</w:t>
      </w:r>
      <w:r w:rsidRPr="00785FB4">
        <w:t>due to legal changes including the creation of a mechanism to adjudicate complaints about the media without resorting to prosecution and decrees to improve protections for journalists and access to information</w:t>
      </w:r>
      <w:r w:rsidR="00F94153" w:rsidRPr="00785FB4">
        <w:t>”</w:t>
      </w:r>
      <w:r w:rsidRPr="00785FB4">
        <w:t>. Freedom House also notes</w:t>
      </w:r>
      <w:r w:rsidR="00F94153" w:rsidRPr="00785FB4">
        <w:t xml:space="preserve"> “long-term growth in the diversity of private media in Afghanistan, though the deteriorating security environment further restricted journalists’ ability to operate safely throughout the country”.</w:t>
      </w:r>
      <w:r w:rsidR="00F94153" w:rsidRPr="00785FB4">
        <w:rPr>
          <w:rStyle w:val="FootnoteReference"/>
        </w:rPr>
        <w:footnoteReference w:id="61"/>
      </w:r>
      <w:r w:rsidR="00F94153" w:rsidRPr="00785FB4">
        <w:t xml:space="preserve"> </w:t>
      </w:r>
      <w:r w:rsidR="00380314" w:rsidRPr="00785FB4">
        <w:t xml:space="preserve">The US State Department’s Human Rights Country Report in 2015 noted that “while the law provides for freedom of speech, which was widely exercised, there were reports </w:t>
      </w:r>
      <w:r w:rsidR="00D96F0C" w:rsidRPr="00785FB4">
        <w:t xml:space="preserve">that </w:t>
      </w:r>
      <w:r w:rsidR="00380314" w:rsidRPr="00785FB4">
        <w:t>authorities at times used pressure, regulations, and threats to silence critics. Freedom of speech was also considerably more constrained at the provincial level, where local power brokers, such as former mujahedin-era military leaders, exerted significant influence and authority to intimidate or threaten their critics, both private citizens and journalists.”</w:t>
      </w:r>
      <w:r w:rsidR="00380314" w:rsidRPr="00785FB4">
        <w:rPr>
          <w:rStyle w:val="FootnoteReference"/>
        </w:rPr>
        <w:footnoteReference w:id="62"/>
      </w:r>
      <w:r w:rsidR="00380314" w:rsidRPr="00785FB4">
        <w:t xml:space="preserve"> </w:t>
      </w:r>
    </w:p>
    <w:p w14:paraId="6DD3525F" w14:textId="03CD0F5E" w:rsidR="00B66878" w:rsidRPr="00785FB4" w:rsidRDefault="00F94153" w:rsidP="00E956E1">
      <w:pPr>
        <w:spacing w:before="120"/>
      </w:pPr>
      <w:r w:rsidRPr="00785FB4">
        <w:t>The deteriorating security situation poses particular restrictions on freedom of expression. At least thirteen journalists were killed in 2016, ten of them by a resurgent Taliban.</w:t>
      </w:r>
      <w:r w:rsidRPr="00785FB4">
        <w:rPr>
          <w:rStyle w:val="FootnoteReference"/>
        </w:rPr>
        <w:footnoteReference w:id="63"/>
      </w:r>
      <w:r w:rsidRPr="00785FB4">
        <w:t xml:space="preserve"> </w:t>
      </w:r>
      <w:r w:rsidR="00CF3F24" w:rsidRPr="00785FB4">
        <w:t>During the first half of 2017 t</w:t>
      </w:r>
      <w:r w:rsidRPr="00785FB4">
        <w:t xml:space="preserve">he Afghan Journalists Safety Committee (AJSC) noted </w:t>
      </w:r>
      <w:r w:rsidR="00BB7779" w:rsidRPr="00785FB4">
        <w:t xml:space="preserve">the highest record of </w:t>
      </w:r>
      <w:r w:rsidRPr="00785FB4">
        <w:t>incidents of</w:t>
      </w:r>
      <w:r w:rsidR="00BB7779" w:rsidRPr="00785FB4">
        <w:t xml:space="preserve"> murder,</w:t>
      </w:r>
      <w:r w:rsidRPr="00785FB4">
        <w:t xml:space="preserve"> assault, intimidation, abuse and other physical attacks</w:t>
      </w:r>
      <w:r w:rsidR="00BB7779" w:rsidRPr="00785FB4">
        <w:t xml:space="preserve"> in</w:t>
      </w:r>
      <w:r w:rsidR="00CF3F24" w:rsidRPr="00785FB4">
        <w:t xml:space="preserve"> a six-month period</w:t>
      </w:r>
      <w:r w:rsidRPr="00785FB4">
        <w:t>.</w:t>
      </w:r>
      <w:r w:rsidRPr="00785FB4">
        <w:rPr>
          <w:rStyle w:val="FootnoteReference"/>
        </w:rPr>
        <w:footnoteReference w:id="64"/>
      </w:r>
      <w:r w:rsidRPr="00785FB4">
        <w:t xml:space="preserve"> </w:t>
      </w:r>
      <w:r w:rsidR="00BB7779" w:rsidRPr="00785FB4">
        <w:t>According to the AJSC, government affiliated individuals or the security forces were responsible for almost half of these after journalists revealed illegal activities carried out by them. Terrorist groups account for all deaths and bodily harm</w:t>
      </w:r>
      <w:r w:rsidR="005D2505" w:rsidRPr="00785FB4">
        <w:t xml:space="preserve"> to journalists</w:t>
      </w:r>
      <w:r w:rsidR="00BB7779" w:rsidRPr="00785FB4">
        <w:t xml:space="preserve"> registered during the period, while members of parliament, warlords and other individuals are blamed for cases of threats and intimidation against journalists. </w:t>
      </w:r>
    </w:p>
    <w:p w14:paraId="6F1AD7E2" w14:textId="6D1E4321" w:rsidR="002801D5" w:rsidRPr="00785FB4" w:rsidRDefault="00B66878" w:rsidP="00E956E1">
      <w:pPr>
        <w:spacing w:before="120"/>
      </w:pPr>
      <w:r w:rsidRPr="00785FB4">
        <w:t xml:space="preserve">Notwithstanding the generalised situation of insecurity, </w:t>
      </w:r>
      <w:r w:rsidR="00FC1507" w:rsidRPr="00785FB4">
        <w:t>the last decade and a half have witnessed an explosion of</w:t>
      </w:r>
      <w:r w:rsidR="00FA6197" w:rsidRPr="00785FB4">
        <w:t xml:space="preserve"> media outlets including more than 170 radio stations</w:t>
      </w:r>
      <w:r w:rsidR="00D700B6" w:rsidRPr="00785FB4">
        <w:t>, more than thirty tv channels broadcasting from Kabul alone and hundreds of newspapers around the country.</w:t>
      </w:r>
      <w:r w:rsidR="00D700B6" w:rsidRPr="00785FB4">
        <w:rPr>
          <w:rStyle w:val="FootnoteReference"/>
        </w:rPr>
        <w:footnoteReference w:id="65"/>
      </w:r>
      <w:r w:rsidR="00D700B6" w:rsidRPr="00785FB4">
        <w:t xml:space="preserve"> </w:t>
      </w:r>
      <w:r w:rsidR="0059266B" w:rsidRPr="00785FB4">
        <w:t>The government created the Mass Media Commission in January 2016 “to support freedom of speech and the rights of journalists”,</w:t>
      </w:r>
      <w:r w:rsidR="0059266B" w:rsidRPr="00785FB4">
        <w:rPr>
          <w:rStyle w:val="FootnoteReference"/>
        </w:rPr>
        <w:footnoteReference w:id="66"/>
      </w:r>
      <w:r w:rsidR="0059266B" w:rsidRPr="00785FB4">
        <w:t xml:space="preserve"> and a number of decrees were passed in 2016 aimed at bolstering protection for media freedoms including the investigation of unsolved cases of violence against journalists, however according to Freedom house implementation continues to be inadequate.</w:t>
      </w:r>
      <w:r w:rsidR="0059266B" w:rsidRPr="00785FB4">
        <w:rPr>
          <w:rStyle w:val="FootnoteReference"/>
        </w:rPr>
        <w:footnoteReference w:id="67"/>
      </w:r>
      <w:r w:rsidR="0059266B" w:rsidRPr="00785FB4">
        <w:t xml:space="preserve"> </w:t>
      </w:r>
      <w:r w:rsidR="00E876A6" w:rsidRPr="00785FB4">
        <w:t>According to a 2015 survey covering 335 news reporters in 25 provinces conducted by Nai, an Afghan organisation which works to empower independent media and promote freedom of expression in the country,</w:t>
      </w:r>
      <w:r w:rsidR="00D96F0C" w:rsidRPr="00785FB4">
        <w:t xml:space="preserve"> </w:t>
      </w:r>
      <w:r w:rsidR="00E876A6" w:rsidRPr="00785FB4">
        <w:t>government censorship</w:t>
      </w:r>
      <w:r w:rsidR="00D96F0C" w:rsidRPr="00785FB4">
        <w:t xml:space="preserve"> focuses</w:t>
      </w:r>
      <w:r w:rsidR="00E876A6" w:rsidRPr="00785FB4">
        <w:t xml:space="preserve"> </w:t>
      </w:r>
      <w:r w:rsidR="00E876A6" w:rsidRPr="00785FB4">
        <w:lastRenderedPageBreak/>
        <w:t>on issues concerning the military, politicians and the judicial system with 40% of respondents saying that they exerted significant levels of self-censorship on issues concerning crimes, suicide attacks, the military and narcotics trafficking</w:t>
      </w:r>
      <w:r w:rsidR="00D96F0C" w:rsidRPr="00785FB4">
        <w:t xml:space="preserve"> specifically</w:t>
      </w:r>
      <w:r w:rsidR="00E876A6" w:rsidRPr="00785FB4">
        <w:t>.</w:t>
      </w:r>
      <w:r w:rsidR="00E876A6" w:rsidRPr="00785FB4">
        <w:rPr>
          <w:rStyle w:val="FootnoteReference"/>
        </w:rPr>
        <w:footnoteReference w:id="68"/>
      </w:r>
    </w:p>
    <w:p w14:paraId="4ADFC0C7" w14:textId="4CCD2A5E" w:rsidR="00DA7F58" w:rsidRPr="00785FB4" w:rsidRDefault="002929E0" w:rsidP="00E956E1">
      <w:pPr>
        <w:spacing w:before="120"/>
      </w:pPr>
      <w:r w:rsidRPr="00785FB4">
        <w:rPr>
          <w:i/>
          <w:u w:val="single"/>
        </w:rPr>
        <w:t>Operation</w:t>
      </w:r>
      <w:r w:rsidRPr="00785FB4">
        <w:rPr>
          <w:i/>
        </w:rPr>
        <w:t>:</w:t>
      </w:r>
      <w:r w:rsidRPr="00785FB4">
        <w:t xml:space="preserve"> </w:t>
      </w:r>
      <w:r w:rsidR="003D6E1B" w:rsidRPr="00785FB4">
        <w:t>Afghanistan has a hybrid legal system, based on both civil and Shariah law. Frequent legal changes since 2002 have had important consequences for CSOs, and a number of legislative initiatives are pending which should also affect the sector’s operation.</w:t>
      </w:r>
      <w:r w:rsidR="003D6E1B" w:rsidRPr="00785FB4">
        <w:rPr>
          <w:rStyle w:val="FootnoteReference"/>
        </w:rPr>
        <w:footnoteReference w:id="69"/>
      </w:r>
      <w:r w:rsidR="003D6E1B" w:rsidRPr="00785FB4">
        <w:t xml:space="preserve"> Afghanistan’</w:t>
      </w:r>
      <w:r w:rsidR="00E273BB" w:rsidRPr="00785FB4">
        <w:t>s laws distinguish between non-governmental organisations – governed by the 2005 Law on Non-Governmental Organizations</w:t>
      </w:r>
      <w:r w:rsidR="00DA7F58" w:rsidRPr="00785FB4">
        <w:t xml:space="preserve"> (NGO Law)</w:t>
      </w:r>
      <w:r w:rsidR="00521E66" w:rsidRPr="00785FB4">
        <w:rPr>
          <w:rStyle w:val="FootnoteReference"/>
        </w:rPr>
        <w:footnoteReference w:id="70"/>
      </w:r>
      <w:r w:rsidR="00E273BB" w:rsidRPr="00785FB4">
        <w:t xml:space="preserve"> – and associations, which are</w:t>
      </w:r>
      <w:r w:rsidR="003D6E1B" w:rsidRPr="00785FB4">
        <w:t xml:space="preserve"> currently regulated by the 2013 Law on Associations</w:t>
      </w:r>
      <w:r w:rsidR="00DA7F58" w:rsidRPr="00785FB4">
        <w:t xml:space="preserve"> (Association Law)</w:t>
      </w:r>
      <w:r w:rsidR="003D6E1B" w:rsidRPr="00785FB4">
        <w:t xml:space="preserve"> and</w:t>
      </w:r>
      <w:r w:rsidR="00265B55" w:rsidRPr="00785FB4">
        <w:t xml:space="preserve"> the</w:t>
      </w:r>
      <w:r w:rsidR="003D6E1B" w:rsidRPr="00785FB4">
        <w:t xml:space="preserve"> 2014 Regulations on Procedure of Establishment and Registration of Associations.</w:t>
      </w:r>
      <w:r w:rsidR="00DA7F58" w:rsidRPr="00785FB4">
        <w:t xml:space="preserve"> Domestic NGOs are defined as “a domestic non-governmental organisation which is established to pursue specific objectives” (article 5(2) of the NGO Law). Associations are defined as “communities, unions, councils, assemblies and organizations which are voluntarily established by a group of real or legal persons as non-profit, non-political entities (article 2(1) of the Association Law).</w:t>
      </w:r>
      <w:r w:rsidR="00E273BB" w:rsidRPr="00785FB4">
        <w:t xml:space="preserve"> Non-governmental organisations are registered at the </w:t>
      </w:r>
      <w:r w:rsidR="00DA7F58" w:rsidRPr="00785FB4">
        <w:t>Ministry of Economy</w:t>
      </w:r>
      <w:r w:rsidR="00E273BB" w:rsidRPr="00785FB4">
        <w:t xml:space="preserve">, which lists </w:t>
      </w:r>
      <w:r w:rsidR="00521E66" w:rsidRPr="00785FB4">
        <w:t>1,912</w:t>
      </w:r>
      <w:r w:rsidR="00E273BB" w:rsidRPr="00785FB4">
        <w:t xml:space="preserve"> Afghan NGOs and </w:t>
      </w:r>
      <w:r w:rsidR="00521E66" w:rsidRPr="00785FB4">
        <w:t>179</w:t>
      </w:r>
      <w:r w:rsidR="00E273BB" w:rsidRPr="00785FB4">
        <w:t xml:space="preserve"> international NGOs</w:t>
      </w:r>
      <w:r w:rsidR="00521E66" w:rsidRPr="00785FB4">
        <w:t xml:space="preserve"> on its website</w:t>
      </w:r>
      <w:r w:rsidR="00E273BB" w:rsidRPr="00785FB4">
        <w:t>.</w:t>
      </w:r>
      <w:r w:rsidR="00DA7F58" w:rsidRPr="00785FB4">
        <w:rPr>
          <w:rStyle w:val="FootnoteReference"/>
        </w:rPr>
        <w:footnoteReference w:id="71"/>
      </w:r>
      <w:r w:rsidR="00E273BB" w:rsidRPr="00785FB4">
        <w:t xml:space="preserve"> Associations are registered at the Ministry of Justice</w:t>
      </w:r>
      <w:r w:rsidR="00DA7F58" w:rsidRPr="00785FB4">
        <w:t xml:space="preserve"> (MOJ)</w:t>
      </w:r>
      <w:r w:rsidR="00E273BB" w:rsidRPr="00785FB4">
        <w:t>, which lists 2,052 associations on its website.</w:t>
      </w:r>
      <w:r w:rsidR="00E273BB" w:rsidRPr="00785FB4">
        <w:rPr>
          <w:rStyle w:val="FootnoteReference"/>
        </w:rPr>
        <w:footnoteReference w:id="72"/>
      </w:r>
      <w:r w:rsidR="00E273BB" w:rsidRPr="00785FB4">
        <w:t xml:space="preserve"> According to the International Center for not-for-profit law (ICNL), there are no legal barriers to international contact or access to resources.</w:t>
      </w:r>
      <w:r w:rsidR="00265B55" w:rsidRPr="00785FB4">
        <w:rPr>
          <w:rStyle w:val="FootnoteReference"/>
        </w:rPr>
        <w:footnoteReference w:id="73"/>
      </w:r>
      <w:r w:rsidR="00E273BB" w:rsidRPr="00785FB4">
        <w:t xml:space="preserve"> Domestic NGOs have to undergo a two-tiered registration process </w:t>
      </w:r>
      <w:r w:rsidR="00DA7F58" w:rsidRPr="00785FB4">
        <w:t>through</w:t>
      </w:r>
      <w:r w:rsidR="00E273BB" w:rsidRPr="00785FB4">
        <w:t xml:space="preserve"> the</w:t>
      </w:r>
      <w:r w:rsidR="00DA7F58" w:rsidRPr="00785FB4">
        <w:t xml:space="preserve"> Ministry of Economy</w:t>
      </w:r>
      <w:r w:rsidR="00E273BB" w:rsidRPr="00785FB4">
        <w:t xml:space="preserve"> Technical Commission and the High Evaluation Commission, while foreign NGOs have to register through the Ministry of Foreign Affairs and the Ministry of Finance. Foreign citizens are prohibited from serving as founders of associations. NGOs are required to submit “committed project documents” to the Ministry of Finance for approval prior to starting work and both NGOs and Associations have restrictions against participation in political activities.</w:t>
      </w:r>
      <w:r w:rsidR="00DA7F58" w:rsidRPr="00785FB4">
        <w:t xml:space="preserve"> The ICNL concludes that the Law on NGOs “generally creates an enabling framework for the formation of NGOs”.</w:t>
      </w:r>
      <w:r w:rsidR="00161182" w:rsidRPr="00785FB4">
        <w:t xml:space="preserve"> The Mass Media Commission is responsible for registering all media outlets in Afghanistan but according to the US Department registration procedures are on hold due to the absence of registration regulations.</w:t>
      </w:r>
      <w:r w:rsidR="00161182" w:rsidRPr="00785FB4">
        <w:rPr>
          <w:rStyle w:val="FootnoteReference"/>
        </w:rPr>
        <w:footnoteReference w:id="74"/>
      </w:r>
      <w:r w:rsidR="00DA7F58" w:rsidRPr="00785FB4">
        <w:t xml:space="preserve"> </w:t>
      </w:r>
    </w:p>
    <w:p w14:paraId="5447438D" w14:textId="650214A9" w:rsidR="00E876A6" w:rsidRPr="00785FB4" w:rsidRDefault="00E876A6" w:rsidP="00E956E1">
      <w:pPr>
        <w:spacing w:before="120"/>
      </w:pPr>
      <w:r w:rsidRPr="00785FB4">
        <w:t>There is no evidence of legal, regulatory or administrative obstacles affecting the ab</w:t>
      </w:r>
      <w:r w:rsidR="008266F7" w:rsidRPr="00785FB4">
        <w:t>ility of civil society represent</w:t>
      </w:r>
      <w:r w:rsidRPr="00785FB4">
        <w:t xml:space="preserve">atives to participate in the EITI process. International development partners regularly work through civil society organisations and organisations such as IWA or </w:t>
      </w:r>
      <w:commentRangeStart w:id="133"/>
      <w:r w:rsidRPr="00785FB4">
        <w:t>ENMRN</w:t>
      </w:r>
      <w:commentRangeEnd w:id="133"/>
      <w:r w:rsidR="00443D2F">
        <w:rPr>
          <w:rStyle w:val="CommentReference"/>
          <w:szCs w:val="20"/>
        </w:rPr>
        <w:commentReference w:id="133"/>
      </w:r>
      <w:r w:rsidRPr="00785FB4">
        <w:t xml:space="preserve"> are regularly funded through grants from international partners, also for their EITI-related work.</w:t>
      </w:r>
      <w:r w:rsidR="00935090" w:rsidRPr="00785FB4">
        <w:rPr>
          <w:rStyle w:val="FootnoteReference"/>
        </w:rPr>
        <w:footnoteReference w:id="75"/>
      </w:r>
      <w:r w:rsidR="007F3AED" w:rsidRPr="00785FB4">
        <w:t xml:space="preserve"> All organisations that form part of </w:t>
      </w:r>
      <w:r w:rsidR="007F3AED" w:rsidRPr="00785FB4">
        <w:lastRenderedPageBreak/>
        <w:t>the CSO constituency and are engaged in EITI appear duly registered, without any evidence of challenges in registration.</w:t>
      </w:r>
    </w:p>
    <w:p w14:paraId="193664C3" w14:textId="3E5F900A" w:rsidR="00783582" w:rsidRPr="00785FB4" w:rsidRDefault="002929E0" w:rsidP="00E876A6">
      <w:pPr>
        <w:spacing w:before="120"/>
        <w:rPr>
          <w:rFonts w:cs="Arial"/>
          <w:iCs/>
        </w:rPr>
      </w:pPr>
      <w:r w:rsidRPr="00785FB4">
        <w:rPr>
          <w:i/>
          <w:u w:val="single"/>
        </w:rPr>
        <w:t>Association</w:t>
      </w:r>
      <w:r w:rsidRPr="00785FB4">
        <w:rPr>
          <w:i/>
        </w:rPr>
        <w:t xml:space="preserve">: </w:t>
      </w:r>
      <w:r w:rsidR="00161182" w:rsidRPr="00785FB4">
        <w:t>There is no evidence to suggest that there are restrictions or limitations on CSO in terms of their ability to associate, communicate and cooperate with other national or international CSO organisations. Integrity Watch Afghanistan (IWA) regularly publishes reports and policy briefs in direct cooperation with Global Witness (GW).</w:t>
      </w:r>
      <w:r w:rsidR="00161182" w:rsidRPr="00785FB4">
        <w:rPr>
          <w:rStyle w:val="FootnoteReference"/>
        </w:rPr>
        <w:footnoteReference w:id="76"/>
      </w:r>
      <w:r w:rsidR="00161182" w:rsidRPr="00785FB4">
        <w:t xml:space="preserve"> There are numerous other organisations that work directly with international organisations specifically in the mining sector, including The Liaison Office (LTO)</w:t>
      </w:r>
      <w:r w:rsidR="00285498" w:rsidRPr="00785FB4">
        <w:rPr>
          <w:rStyle w:val="FootnoteReference"/>
        </w:rPr>
        <w:footnoteReference w:id="77"/>
      </w:r>
      <w:r w:rsidR="00161182" w:rsidRPr="00785FB4">
        <w:t xml:space="preserve"> the Civil Society Natural Resources Monitoring Network</w:t>
      </w:r>
      <w:r w:rsidR="00285498" w:rsidRPr="00785FB4">
        <w:t xml:space="preserve"> (CSNRMN)</w:t>
      </w:r>
      <w:r w:rsidR="00161182" w:rsidRPr="00785FB4">
        <w:t xml:space="preserve">, as well as international organisations working directly in the sector such as the </w:t>
      </w:r>
      <w:bookmarkStart w:id="134" w:name="_Hlk512071151"/>
      <w:r w:rsidR="00161182" w:rsidRPr="00785FB4">
        <w:t>Heinrich Boll Stiftung</w:t>
      </w:r>
      <w:bookmarkEnd w:id="134"/>
      <w:r w:rsidR="00161182" w:rsidRPr="00785FB4">
        <w:t>.</w:t>
      </w:r>
      <w:r w:rsidR="00161182" w:rsidRPr="00785FB4">
        <w:rPr>
          <w:rStyle w:val="FootnoteReference"/>
        </w:rPr>
        <w:footnoteReference w:id="78"/>
      </w:r>
      <w:r w:rsidR="00161182" w:rsidRPr="00785FB4">
        <w:t xml:space="preserve">  Civil society organisations regularly work in partnership with other</w:t>
      </w:r>
      <w:r w:rsidR="00BF213B" w:rsidRPr="00785FB4">
        <w:t xml:space="preserve"> local</w:t>
      </w:r>
      <w:r w:rsidR="00161182" w:rsidRPr="00785FB4">
        <w:t xml:space="preserve"> organisations, often through umbrella organisations such as the Environment and Natural Resources Monitoring Network (NRMN)</w:t>
      </w:r>
      <w:r w:rsidR="00A1411B" w:rsidRPr="00785FB4">
        <w:t>, the Afghanistan Anti-Corruption Network (AACN)</w:t>
      </w:r>
      <w:r w:rsidR="00161182" w:rsidRPr="00785FB4">
        <w:t xml:space="preserve"> or the Agency Coordinating Body for Afghan Relief and Development (ACBAR).</w:t>
      </w:r>
      <w:r w:rsidR="00161182" w:rsidRPr="00785FB4">
        <w:rPr>
          <w:rStyle w:val="FootnoteReference"/>
        </w:rPr>
        <w:footnoteReference w:id="79"/>
      </w:r>
      <w:r w:rsidR="00783582" w:rsidRPr="00785FB4">
        <w:rPr>
          <w:rFonts w:cs="Arial"/>
          <w:iCs/>
        </w:rPr>
        <w:t xml:space="preserve"> </w:t>
      </w:r>
      <w:r w:rsidR="005D2505" w:rsidRPr="00785FB4">
        <w:t>On 2 November 2017 the GOIA banned WhatsApp and Telegram on the grounds that the two apps are often used by terrorist organisations to evade government surveillance, but widespread backlash from civil rights groups led to the ban being overturned four days later.</w:t>
      </w:r>
      <w:r w:rsidR="005D2505" w:rsidRPr="00785FB4">
        <w:rPr>
          <w:rStyle w:val="FootnoteReference"/>
        </w:rPr>
        <w:footnoteReference w:id="80"/>
      </w:r>
    </w:p>
    <w:p w14:paraId="000D8ECB" w14:textId="04B016DE" w:rsidR="00E876A6" w:rsidRPr="00785FB4" w:rsidRDefault="002929E0" w:rsidP="00E876A6">
      <w:pPr>
        <w:spacing w:before="120"/>
      </w:pPr>
      <w:r w:rsidRPr="00785FB4">
        <w:rPr>
          <w:i/>
          <w:u w:val="single"/>
        </w:rPr>
        <w:t>Engagement</w:t>
      </w:r>
      <w:r w:rsidRPr="00785FB4">
        <w:rPr>
          <w:i/>
        </w:rPr>
        <w:t xml:space="preserve">: </w:t>
      </w:r>
      <w:r w:rsidR="00E876A6" w:rsidRPr="00785FB4">
        <w:t>Civil society is actively involved in the design, implementation, monitoring and evaluation of the EITI through its participation in MSG meetings, dissemination events and campaign efforts. CSOs publish reports on the government’s progress on implementation including shadow Validation reports,</w:t>
      </w:r>
      <w:r w:rsidR="00E876A6" w:rsidRPr="00785FB4">
        <w:rPr>
          <w:rStyle w:val="FootnoteReference"/>
        </w:rPr>
        <w:footnoteReference w:id="81"/>
      </w:r>
      <w:r w:rsidR="00E876A6" w:rsidRPr="00785FB4">
        <w:t xml:space="preserve"> comments to EITI reports</w:t>
      </w:r>
      <w:r w:rsidR="00E876A6" w:rsidRPr="00785FB4">
        <w:rPr>
          <w:rStyle w:val="FootnoteReference"/>
        </w:rPr>
        <w:footnoteReference w:id="82"/>
      </w:r>
      <w:r w:rsidR="00E876A6" w:rsidRPr="00785FB4">
        <w:t xml:space="preserve"> and public </w:t>
      </w:r>
      <w:r w:rsidR="00BF213B" w:rsidRPr="00785FB4">
        <w:t>input to EITI Validation</w:t>
      </w:r>
      <w:r w:rsidR="00E876A6" w:rsidRPr="00785FB4">
        <w:t>.</w:t>
      </w:r>
      <w:r w:rsidR="00BF213B" w:rsidRPr="00785FB4">
        <w:rPr>
          <w:rStyle w:val="FootnoteReference"/>
        </w:rPr>
        <w:footnoteReference w:id="83"/>
      </w:r>
      <w:r w:rsidR="00E876A6" w:rsidRPr="00785FB4">
        <w:t xml:space="preserve"> Civil society participates in dissemination events and there is substantial evidence of CSOs using EITI reports in their </w:t>
      </w:r>
      <w:r w:rsidR="00BF213B" w:rsidRPr="00785FB4">
        <w:t>advocacy efforts for the sector through news articles and public events.</w:t>
      </w:r>
      <w:r w:rsidR="00BF213B" w:rsidRPr="00785FB4">
        <w:rPr>
          <w:rStyle w:val="FootnoteReference"/>
        </w:rPr>
        <w:footnoteReference w:id="84"/>
      </w:r>
    </w:p>
    <w:p w14:paraId="4118D2D3" w14:textId="744BD2CC" w:rsidR="00523D79" w:rsidRPr="00785FB4" w:rsidRDefault="002929E0" w:rsidP="00E956E1">
      <w:pPr>
        <w:spacing w:before="120"/>
      </w:pPr>
      <w:r w:rsidRPr="00785FB4">
        <w:rPr>
          <w:i/>
          <w:u w:val="single"/>
        </w:rPr>
        <w:t>Access to public decision-making</w:t>
      </w:r>
      <w:r w:rsidRPr="00785FB4">
        <w:rPr>
          <w:i/>
        </w:rPr>
        <w:t>:</w:t>
      </w:r>
      <w:r w:rsidRPr="00785FB4">
        <w:t xml:space="preserve"> </w:t>
      </w:r>
      <w:r w:rsidR="00BF213B" w:rsidRPr="00785FB4">
        <w:t xml:space="preserve">Civil society has the ability to ensure that the EITI process contributes to public debate and to influence public decision making. </w:t>
      </w:r>
      <w:r w:rsidR="00A23BA1" w:rsidRPr="00785FB4">
        <w:t>There are numerous examples of CSOs participating in high-level policy discussions</w:t>
      </w:r>
      <w:r w:rsidR="00C52B0F" w:rsidRPr="00785FB4">
        <w:t xml:space="preserve"> on the development of the sector</w:t>
      </w:r>
      <w:r w:rsidR="00A23BA1" w:rsidRPr="00785FB4">
        <w:t>.</w:t>
      </w:r>
      <w:r w:rsidR="00A23BA1" w:rsidRPr="00785FB4">
        <w:rPr>
          <w:rStyle w:val="FootnoteReference"/>
        </w:rPr>
        <w:footnoteReference w:id="85"/>
      </w:r>
      <w:r w:rsidR="00A23BA1" w:rsidRPr="00785FB4">
        <w:t xml:space="preserve"> </w:t>
      </w:r>
      <w:r w:rsidR="00C52B0F" w:rsidRPr="00785FB4">
        <w:t xml:space="preserve">CSOs regularly publish </w:t>
      </w:r>
      <w:r w:rsidR="00C52B0F" w:rsidRPr="00785FB4">
        <w:lastRenderedPageBreak/>
        <w:t>briefing notes and provide input ahead of international conferences</w:t>
      </w:r>
      <w:r w:rsidR="00C52B0F" w:rsidRPr="00785FB4">
        <w:rPr>
          <w:rStyle w:val="FootnoteReference"/>
        </w:rPr>
        <w:footnoteReference w:id="86"/>
      </w:r>
      <w:r w:rsidR="00C52B0F" w:rsidRPr="00785FB4">
        <w:t xml:space="preserve"> and legislative reforms,</w:t>
      </w:r>
      <w:r w:rsidR="00C52B0F" w:rsidRPr="00785FB4">
        <w:rPr>
          <w:rStyle w:val="FootnoteReference"/>
        </w:rPr>
        <w:footnoteReference w:id="87"/>
      </w:r>
      <w:r w:rsidR="00C52B0F" w:rsidRPr="00785FB4">
        <w:t xml:space="preserve"> and </w:t>
      </w:r>
      <w:r w:rsidR="00A23BA1" w:rsidRPr="00785FB4">
        <w:t>CSOs</w:t>
      </w:r>
      <w:r w:rsidR="00C52B0F" w:rsidRPr="00785FB4">
        <w:t xml:space="preserve"> partake in roundtable discussions with sector ministers.</w:t>
      </w:r>
      <w:r w:rsidR="00C52B0F" w:rsidRPr="00785FB4">
        <w:rPr>
          <w:rStyle w:val="FootnoteReference"/>
        </w:rPr>
        <w:footnoteReference w:id="88"/>
      </w:r>
      <w:r w:rsidR="00C52B0F" w:rsidRPr="00785FB4">
        <w:t xml:space="preserve"> CSOs, i</w:t>
      </w:r>
      <w:r w:rsidR="00A23BA1" w:rsidRPr="00785FB4">
        <w:t xml:space="preserve">ncluding an AEITI MSG member, form part of the influential Independent Joint Anti-Corruption Monitoring and Evaluation Committee (MEC), which was conducting a Vulnerability to Corruption Assessment of the </w:t>
      </w:r>
      <w:r w:rsidR="00DB56BA" w:rsidRPr="00785FB4">
        <w:t>MOMP</w:t>
      </w:r>
      <w:r w:rsidR="00A23BA1" w:rsidRPr="00785FB4">
        <w:t xml:space="preserve"> during the Validation fact-finding mission. </w:t>
      </w:r>
    </w:p>
    <w:p w14:paraId="51F65AF4" w14:textId="197C1A50" w:rsidR="003969A9" w:rsidRPr="00785FB4" w:rsidRDefault="002929E0" w:rsidP="00A94167">
      <w:pPr>
        <w:pStyle w:val="Heading3"/>
      </w:pPr>
      <w:bookmarkStart w:id="135" w:name="_Toc505449578"/>
      <w:r w:rsidRPr="00785FB4">
        <w:t>Stakeholder views</w:t>
      </w:r>
      <w:bookmarkEnd w:id="135"/>
    </w:p>
    <w:p w14:paraId="127204B3" w14:textId="3EB9B77D" w:rsidR="00ED7E34" w:rsidRPr="00785FB4" w:rsidRDefault="00ED7E34" w:rsidP="003922A3">
      <w:pPr>
        <w:spacing w:before="120"/>
      </w:pPr>
      <w:r w:rsidRPr="00785FB4">
        <w:rPr>
          <w:bCs/>
        </w:rPr>
        <w:t xml:space="preserve">Assisted by representatives from IWA, the International Secretariat </w:t>
      </w:r>
      <w:r w:rsidRPr="00785FB4">
        <w:t xml:space="preserve">broadly </w:t>
      </w:r>
      <w:r w:rsidRPr="00785FB4">
        <w:rPr>
          <w:bCs/>
        </w:rPr>
        <w:t>distributed</w:t>
      </w:r>
      <w:r w:rsidRPr="00785FB4">
        <w:t xml:space="preserve"> a questionnaire in local languages to civil society on and off the MSG</w:t>
      </w:r>
      <w:r w:rsidR="00C14B77" w:rsidRPr="00785FB4">
        <w:t>,</w:t>
      </w:r>
      <w:r w:rsidR="005D2505" w:rsidRPr="00785FB4">
        <w:rPr>
          <w:rStyle w:val="FootnoteReference"/>
        </w:rPr>
        <w:footnoteReference w:id="89"/>
      </w:r>
      <w:r w:rsidRPr="00785FB4">
        <w:t xml:space="preserve"> encouraging stakeholders to provide their views on the enabling environment for civil society and in particular on their ability to speak freely on transparency and natural resource governance issues, to be substantially engaged in the design, implementation, monitoring and evaluation of the EITI process, to communicate and cooperate with each other, and to express their opinions about the EITI without restraint, coercion or reprisal. The International Secretariat did not receive any responses. </w:t>
      </w:r>
      <w:r w:rsidR="00123AF2" w:rsidRPr="00785FB4">
        <w:t xml:space="preserve">The 2017 MSG self-assessment confirms that MSG members do not experience any restrictions in relation to the EITI process </w:t>
      </w:r>
      <w:r w:rsidR="00C76223" w:rsidRPr="00785FB4">
        <w:t>but</w:t>
      </w:r>
      <w:r w:rsidR="00123AF2" w:rsidRPr="00785FB4">
        <w:t xml:space="preserve"> notes that there are some practical constraints due to the security situation in the country.</w:t>
      </w:r>
    </w:p>
    <w:p w14:paraId="2B84717A" w14:textId="332BC0A3" w:rsidR="00C52259" w:rsidRPr="00785FB4" w:rsidRDefault="00C52259" w:rsidP="003922A3">
      <w:pPr>
        <w:spacing w:before="120"/>
      </w:pPr>
      <w:r w:rsidRPr="00785FB4">
        <w:t>Stakeholders from all constituencies said that security was a real and constant challenge for everyone working in the extractive sector</w:t>
      </w:r>
      <w:r w:rsidR="00390DB7" w:rsidRPr="00785FB4">
        <w:t>, not just civil society</w:t>
      </w:r>
      <w:r w:rsidRPr="00785FB4">
        <w:t xml:space="preserve">. A member of the secretariat said that since he </w:t>
      </w:r>
      <w:r w:rsidR="00C76223" w:rsidRPr="00785FB4">
        <w:t xml:space="preserve">had </w:t>
      </w:r>
      <w:r w:rsidRPr="00785FB4">
        <w:t>beg</w:t>
      </w:r>
      <w:r w:rsidR="00C76223" w:rsidRPr="00785FB4">
        <w:t>u</w:t>
      </w:r>
      <w:r w:rsidRPr="00785FB4">
        <w:t>n working at the EITI he considered it unsafe to travel to his village because he was working on formalising the sector. When asked about specific threats to civil society operating in the sector, a ministry of mines employee responded</w:t>
      </w:r>
      <w:r w:rsidR="00C76223" w:rsidRPr="00785FB4">
        <w:t>:</w:t>
      </w:r>
      <w:r w:rsidRPr="00785FB4">
        <w:t xml:space="preserve"> “we are all civil society when we leave the office; all of us who work with extractives, we are all targets”. An industry representative shared details of an attack carried out against his company’s offices by armed men due to disagreements with a local strong-man. </w:t>
      </w:r>
      <w:r w:rsidR="00C76223" w:rsidRPr="00785FB4">
        <w:t>S</w:t>
      </w:r>
      <w:r w:rsidRPr="00785FB4">
        <w:t>takeholders from all constituencies said that they exerted an important amount of self-censorship particularly in regards to politically exposed persons (PEPs)</w:t>
      </w:r>
      <w:r w:rsidR="009F516F" w:rsidRPr="00785FB4">
        <w:t xml:space="preserve"> and their ownership of licenses</w:t>
      </w:r>
      <w:r w:rsidR="00FB43D8" w:rsidRPr="00785FB4">
        <w:t xml:space="preserve"> but pointed out that this was not limited to civil society</w:t>
      </w:r>
      <w:r w:rsidR="009F516F" w:rsidRPr="00785FB4">
        <w:t>. Civil society representatives said that notwithstanding the security situation they continued to travel to the regions whenever possible.</w:t>
      </w:r>
      <w:r w:rsidR="00390DB7" w:rsidRPr="00785FB4">
        <w:t xml:space="preserve"> Due to the security situation during the </w:t>
      </w:r>
      <w:r w:rsidR="00C76223" w:rsidRPr="00785FB4">
        <w:t xml:space="preserve">fact-finding </w:t>
      </w:r>
      <w:r w:rsidR="00390DB7" w:rsidRPr="00785FB4">
        <w:t>mission</w:t>
      </w:r>
      <w:r w:rsidR="00C76223" w:rsidRPr="00785FB4">
        <w:t>,</w:t>
      </w:r>
      <w:r w:rsidR="00390DB7" w:rsidRPr="00785FB4">
        <w:t xml:space="preserve"> one meeting was held with civil society and industry representatives together, with follow-up meetings held with individuals from either constituency who wanted to express their views independently. It was expressly stated during the joint meeting that both constituencies saw each other as having similar goals in opposition to the government, and it was clear from the meeting that participants were comfortable expressing criticism</w:t>
      </w:r>
      <w:r w:rsidR="00C76223" w:rsidRPr="00785FB4">
        <w:t xml:space="preserve"> – also of each other –</w:t>
      </w:r>
      <w:r w:rsidR="00390DB7" w:rsidRPr="00785FB4">
        <w:t xml:space="preserve"> in each other’s company.</w:t>
      </w:r>
      <w:r w:rsidR="006F3C50" w:rsidRPr="00785FB4">
        <w:t xml:space="preserve"> </w:t>
      </w:r>
    </w:p>
    <w:p w14:paraId="041F0AFB" w14:textId="53ED12AE" w:rsidR="003922A3" w:rsidRPr="00785FB4" w:rsidRDefault="00390DB7" w:rsidP="003922A3">
      <w:pPr>
        <w:spacing w:before="120"/>
      </w:pPr>
      <w:r w:rsidRPr="00785FB4">
        <w:t xml:space="preserve">Stakeholders from all constituencies and development partners confirmed that civil society representatives </w:t>
      </w:r>
      <w:r w:rsidR="006F0DDF" w:rsidRPr="00785FB4">
        <w:t>were</w:t>
      </w:r>
      <w:r w:rsidRPr="00785FB4">
        <w:t xml:space="preserve"> able to engage in public debate related to the EITI process and express opinions about the EITI process without restraint, coercion or reprisal</w:t>
      </w:r>
      <w:r w:rsidR="007F40CB" w:rsidRPr="00785FB4">
        <w:t xml:space="preserve"> other than the general security situation that affected everyone in Afghanistan</w:t>
      </w:r>
      <w:r w:rsidRPr="00785FB4">
        <w:t>.</w:t>
      </w:r>
      <w:r w:rsidR="007F40CB" w:rsidRPr="00785FB4">
        <w:t xml:space="preserve"> A CSO representative who did not sit in the MSG said that there was “understandable self-censorship” in regards to naming and shaming politically exposed persons (PEPs)</w:t>
      </w:r>
      <w:r w:rsidR="005D2505" w:rsidRPr="00785FB4">
        <w:t xml:space="preserve"> </w:t>
      </w:r>
      <w:r w:rsidR="005D2505" w:rsidRPr="00785FB4">
        <w:lastRenderedPageBreak/>
        <w:t>and explained that this was due to fear of reprisals from individuals acting in their personal capacity</w:t>
      </w:r>
      <w:r w:rsidR="007F40CB" w:rsidRPr="00785FB4">
        <w:t xml:space="preserve">, but </w:t>
      </w:r>
      <w:r w:rsidR="005D2505" w:rsidRPr="00785FB4">
        <w:t xml:space="preserve">also </w:t>
      </w:r>
      <w:r w:rsidR="007F40CB" w:rsidRPr="00785FB4">
        <w:t>argued that there was a vibrant social media where these concerns were regularly voiced</w:t>
      </w:r>
      <w:r w:rsidR="00A23BA1" w:rsidRPr="00785FB4">
        <w:t xml:space="preserve">. </w:t>
      </w:r>
      <w:r w:rsidR="007F40CB" w:rsidRPr="00785FB4">
        <w:t xml:space="preserve">Stakeholders from all constituencies confirmed that they were able to speak freely on transparency and natural resource governance but that there were some areas such as the role of PEPs and warlords in the extractive industries that were considered dangerous to discuss in detail. One civil society representative said that he </w:t>
      </w:r>
      <w:r w:rsidR="00C76223" w:rsidRPr="00785FB4">
        <w:t>was in possession of</w:t>
      </w:r>
      <w:r w:rsidR="007F40CB" w:rsidRPr="00785FB4">
        <w:t xml:space="preserve"> a list of parliamentarians who directly or indirectly own licenses in contradiction to the 2014 Minerals Law but that he did not feel safe disclosing it in public</w:t>
      </w:r>
      <w:r w:rsidR="005D2505" w:rsidRPr="00785FB4">
        <w:t xml:space="preserve"> for fear of reprisals from the individuals in </w:t>
      </w:r>
      <w:r w:rsidR="00785FB4" w:rsidRPr="00785FB4">
        <w:t>question.</w:t>
      </w:r>
      <w:r w:rsidR="007F40CB" w:rsidRPr="00785FB4">
        <w:t xml:space="preserve"> This was echoed by a government official working on beneficial ownership disclosure. Stakeholders from all constituencies nevertheless shared examples of some PEPs whose </w:t>
      </w:r>
      <w:r w:rsidR="00345482" w:rsidRPr="00785FB4">
        <w:t xml:space="preserve">ultimate beneficial </w:t>
      </w:r>
      <w:r w:rsidR="007F40CB" w:rsidRPr="00785FB4">
        <w:t xml:space="preserve">ownership of licenses had been formally established by government investigations into the license </w:t>
      </w:r>
      <w:r w:rsidR="00687284" w:rsidRPr="00785FB4">
        <w:t xml:space="preserve">awards, and one CSO representative said that he had been able to discuss specific concerns </w:t>
      </w:r>
      <w:r w:rsidR="00C76223" w:rsidRPr="00785FB4">
        <w:t xml:space="preserve">of this nature </w:t>
      </w:r>
      <w:r w:rsidR="00687284" w:rsidRPr="00785FB4">
        <w:t xml:space="preserve">with the President directly. </w:t>
      </w:r>
      <w:r w:rsidR="006F0DDF" w:rsidRPr="00785FB4">
        <w:t>Stakeholders did not express</w:t>
      </w:r>
      <w:r w:rsidR="005D2505" w:rsidRPr="00785FB4">
        <w:t xml:space="preserve"> concerns over any constraints on the</w:t>
      </w:r>
      <w:r w:rsidR="006F0DDF" w:rsidRPr="00785FB4">
        <w:t xml:space="preserve"> enabling environment for civil society participation</w:t>
      </w:r>
      <w:r w:rsidR="005C6048" w:rsidRPr="00785FB4">
        <w:t xml:space="preserve">, although some representatives from industry and civil society said that they were sometimes side-lined by the </w:t>
      </w:r>
      <w:r w:rsidR="00DB56BA" w:rsidRPr="00785FB4">
        <w:t>MOMP</w:t>
      </w:r>
      <w:r w:rsidR="005C6048" w:rsidRPr="00785FB4">
        <w:t xml:space="preserve"> in MSG discussions</w:t>
      </w:r>
      <w:r w:rsidR="006F0DDF" w:rsidRPr="00785FB4">
        <w:t>.</w:t>
      </w:r>
      <w:r w:rsidRPr="00785FB4">
        <w:t xml:space="preserve"> </w:t>
      </w:r>
      <w:r w:rsidR="005C6048" w:rsidRPr="00785FB4">
        <w:t xml:space="preserve">Another MSG member from civil society said that they had never been “shut down” or been given the impression that any issue was off the table for discussion, </w:t>
      </w:r>
      <w:r w:rsidR="00345482" w:rsidRPr="00785FB4">
        <w:t xml:space="preserve">but that </w:t>
      </w:r>
      <w:r w:rsidR="005C6048" w:rsidRPr="00785FB4">
        <w:t>the MSG’s dysfunctionality meant that they were unable to address the real issues in the sector (</w:t>
      </w:r>
      <w:r w:rsidR="005C6048" w:rsidRPr="00785FB4">
        <w:rPr>
          <w:i/>
        </w:rPr>
        <w:t>see Requirement 1.4</w:t>
      </w:r>
      <w:r w:rsidR="005C6048" w:rsidRPr="00785FB4">
        <w:t xml:space="preserve">). </w:t>
      </w:r>
      <w:r w:rsidRPr="00785FB4">
        <w:t xml:space="preserve">The </w:t>
      </w:r>
      <w:r w:rsidR="00C76223" w:rsidRPr="00785FB4">
        <w:t xml:space="preserve">May </w:t>
      </w:r>
      <w:r w:rsidRPr="00785FB4">
        <w:t xml:space="preserve">2017 MSG self-assessment explicitly states that there are no </w:t>
      </w:r>
      <w:r w:rsidR="00345482" w:rsidRPr="00785FB4">
        <w:t xml:space="preserve">government-imposed </w:t>
      </w:r>
      <w:r w:rsidRPr="00785FB4">
        <w:t xml:space="preserve">obstacles </w:t>
      </w:r>
      <w:r w:rsidR="006F0DDF" w:rsidRPr="00785FB4">
        <w:t>to civil society</w:t>
      </w:r>
      <w:r w:rsidR="00345482" w:rsidRPr="00785FB4">
        <w:t>’s</w:t>
      </w:r>
      <w:r w:rsidR="006F0DDF" w:rsidRPr="00785FB4">
        <w:t xml:space="preserve"> participation in the EITI process, but that the security situation was a pervasive problem.</w:t>
      </w:r>
      <w:r w:rsidR="00C52B0F" w:rsidRPr="00785FB4">
        <w:t xml:space="preserve"> </w:t>
      </w:r>
    </w:p>
    <w:p w14:paraId="6FF4E37A" w14:textId="0F2216F4" w:rsidR="007B124A" w:rsidRPr="00785FB4" w:rsidRDefault="00FF74E9" w:rsidP="00A94167">
      <w:pPr>
        <w:pStyle w:val="Heading3"/>
      </w:pPr>
      <w:bookmarkStart w:id="136" w:name="_Toc505449579"/>
      <w:r w:rsidRPr="00785FB4">
        <w:t>Initial a</w:t>
      </w:r>
      <w:r w:rsidR="002929E0" w:rsidRPr="00785FB4">
        <w:t>ssessment</w:t>
      </w:r>
      <w:bookmarkEnd w:id="136"/>
    </w:p>
    <w:p w14:paraId="2FD46621" w14:textId="47CF5D28" w:rsidR="00781029" w:rsidRPr="00785FB4" w:rsidRDefault="00781029" w:rsidP="00BE011F">
      <w:pPr>
        <w:spacing w:before="120"/>
      </w:pPr>
      <w:r w:rsidRPr="00785FB4">
        <w:t>The International Secretariat’s initial assessment is that</w:t>
      </w:r>
      <w:r w:rsidR="00ED7E34" w:rsidRPr="00785FB4">
        <w:t xml:space="preserve"> Afghanistan has made satisfactory </w:t>
      </w:r>
      <w:r w:rsidRPr="00785FB4">
        <w:t>progress in meeting this requirement.</w:t>
      </w:r>
      <w:r w:rsidR="00065EF2" w:rsidRPr="00785FB4">
        <w:t xml:space="preserve"> The security situation is a </w:t>
      </w:r>
      <w:r w:rsidR="005D2505" w:rsidRPr="00785FB4">
        <w:t xml:space="preserve">regular </w:t>
      </w:r>
      <w:r w:rsidR="00065EF2" w:rsidRPr="00785FB4">
        <w:t xml:space="preserve">and pervasive problem to advocacy in the extractive sector that has led to </w:t>
      </w:r>
      <w:r w:rsidR="00C76223" w:rsidRPr="00785FB4">
        <w:t>an important degree of</w:t>
      </w:r>
      <w:r w:rsidR="00065EF2" w:rsidRPr="00785FB4">
        <w:t xml:space="preserve"> self-censorship</w:t>
      </w:r>
      <w:r w:rsidR="00345482" w:rsidRPr="00785FB4">
        <w:t xml:space="preserve"> generally</w:t>
      </w:r>
      <w:r w:rsidR="00065EF2" w:rsidRPr="00785FB4">
        <w:t xml:space="preserve">, </w:t>
      </w:r>
      <w:r w:rsidR="00345482" w:rsidRPr="00785FB4">
        <w:t xml:space="preserve">although </w:t>
      </w:r>
      <w:r w:rsidR="00065EF2" w:rsidRPr="00785FB4">
        <w:t xml:space="preserve">this is a systemic challenge for all stakeholders that reflects the government’s lack of control over large parts of the country. Within these </w:t>
      </w:r>
      <w:r w:rsidR="00345482" w:rsidRPr="00785FB4">
        <w:t xml:space="preserve">general </w:t>
      </w:r>
      <w:r w:rsidR="00065EF2" w:rsidRPr="00785FB4">
        <w:t xml:space="preserve">constraints, civil society is actively effectively engaged in the EITI process and there are no indications of government actions that result in narrowing or restricting public debate in relation to implementation of the EITI. </w:t>
      </w:r>
      <w:r w:rsidR="00345482" w:rsidRPr="00785FB4">
        <w:t>There are numerous examples of s</w:t>
      </w:r>
      <w:r w:rsidR="00065EF2" w:rsidRPr="00785FB4">
        <w:t>takeholders</w:t>
      </w:r>
      <w:r w:rsidR="00345482" w:rsidRPr="00785FB4">
        <w:t>’</w:t>
      </w:r>
      <w:r w:rsidR="00065EF2" w:rsidRPr="00785FB4">
        <w:t xml:space="preserve"> ab</w:t>
      </w:r>
      <w:r w:rsidR="00345482" w:rsidRPr="00785FB4">
        <w:t>i</w:t>
      </w:r>
      <w:r w:rsidR="00065EF2" w:rsidRPr="00785FB4">
        <w:t>l</w:t>
      </w:r>
      <w:r w:rsidR="00345482" w:rsidRPr="00785FB4">
        <w:t>ity</w:t>
      </w:r>
      <w:r w:rsidR="00065EF2" w:rsidRPr="00785FB4">
        <w:t xml:space="preserve"> to speak freely on transparency and natural resource governance issues. Stakeholders are able to engage actively in the design, implementation, monitoring and evaluation of the EITI process, and there are examples of how it contributes to public debate. Stakeholders are able to communicate and cooperate with each other and are able to operate freely and express opinions about the EITI without restraint, coercion or reprisal other than the generalised insecurity that permeates the country and the sector specifically.</w:t>
      </w:r>
    </w:p>
    <w:p w14:paraId="0E3E6FF8" w14:textId="7E4F8E4D" w:rsidR="003969A9" w:rsidRPr="00785FB4" w:rsidRDefault="00E272A2" w:rsidP="00E272A2">
      <w:r w:rsidRPr="00785FB4">
        <w:rPr>
          <w:bCs/>
        </w:rPr>
        <w:t>To strengthen implementation, Afghanistan is encouraged to</w:t>
      </w:r>
      <w:r w:rsidR="00A073E5" w:rsidRPr="00785FB4">
        <w:rPr>
          <w:bCs/>
        </w:rPr>
        <w:t xml:space="preserve"> continue finding innovativ</w:t>
      </w:r>
      <w:r w:rsidR="00617258" w:rsidRPr="00785FB4">
        <w:rPr>
          <w:bCs/>
        </w:rPr>
        <w:t>e ways to ens</w:t>
      </w:r>
      <w:r w:rsidR="00A073E5" w:rsidRPr="00785FB4">
        <w:rPr>
          <w:bCs/>
        </w:rPr>
        <w:t>u</w:t>
      </w:r>
      <w:r w:rsidR="00617258" w:rsidRPr="00785FB4">
        <w:rPr>
          <w:bCs/>
        </w:rPr>
        <w:t>r</w:t>
      </w:r>
      <w:r w:rsidR="00A073E5" w:rsidRPr="00785FB4">
        <w:rPr>
          <w:bCs/>
        </w:rPr>
        <w:t xml:space="preserve">e that civil society’s engagement in the EITI </w:t>
      </w:r>
      <w:r w:rsidR="005C3C6D" w:rsidRPr="00785FB4">
        <w:rPr>
          <w:bCs/>
        </w:rPr>
        <w:t>remains</w:t>
      </w:r>
      <w:r w:rsidR="00A073E5" w:rsidRPr="00785FB4">
        <w:rPr>
          <w:bCs/>
        </w:rPr>
        <w:t xml:space="preserve"> proactive, despite the security situation. This could include</w:t>
      </w:r>
      <w:r w:rsidRPr="00785FB4">
        <w:rPr>
          <w:bCs/>
        </w:rPr>
        <w:t xml:space="preserve"> </w:t>
      </w:r>
      <w:r w:rsidR="00A073E5" w:rsidRPr="00785FB4">
        <w:rPr>
          <w:bCs/>
        </w:rPr>
        <w:t>continuing to</w:t>
      </w:r>
      <w:r w:rsidR="002128B8" w:rsidRPr="00785FB4">
        <w:rPr>
          <w:bCs/>
        </w:rPr>
        <w:t xml:space="preserve"> </w:t>
      </w:r>
      <w:r w:rsidRPr="00785FB4">
        <w:rPr>
          <w:bCs/>
        </w:rPr>
        <w:t>mak</w:t>
      </w:r>
      <w:r w:rsidR="005C3C6D" w:rsidRPr="00785FB4">
        <w:rPr>
          <w:bCs/>
        </w:rPr>
        <w:t>e</w:t>
      </w:r>
      <w:r w:rsidRPr="00785FB4">
        <w:rPr>
          <w:bCs/>
        </w:rPr>
        <w:t xml:space="preserve"> progress on beneficial ownership disclosure</w:t>
      </w:r>
      <w:r w:rsidR="007F3AED" w:rsidRPr="00785FB4">
        <w:rPr>
          <w:bCs/>
        </w:rPr>
        <w:t xml:space="preserve"> </w:t>
      </w:r>
      <w:r w:rsidR="002128B8" w:rsidRPr="00785FB4">
        <w:rPr>
          <w:bCs/>
        </w:rPr>
        <w:t>through</w:t>
      </w:r>
      <w:r w:rsidR="007F3AED" w:rsidRPr="00785FB4">
        <w:rPr>
          <w:bCs/>
        </w:rPr>
        <w:t xml:space="preserve"> Requirement 2.5</w:t>
      </w:r>
      <w:r w:rsidRPr="00785FB4">
        <w:rPr>
          <w:bCs/>
        </w:rPr>
        <w:t xml:space="preserve"> to raise awareness about the ownership of licenses by politically exposed persons and </w:t>
      </w:r>
      <w:r w:rsidR="00F82543" w:rsidRPr="00785FB4">
        <w:rPr>
          <w:bCs/>
        </w:rPr>
        <w:t xml:space="preserve">to </w:t>
      </w:r>
      <w:r w:rsidRPr="00785FB4">
        <w:rPr>
          <w:bCs/>
        </w:rPr>
        <w:t xml:space="preserve">ensure that issues of PEP ownership of legal and illegal mines are discussed without fear of reprisals. Afghanistan is also encouraged to continue to ensure that there is an enabling environment for civil society participation and ensure that existing laws protecting stakeholders’ activities in the sector are enforced. </w:t>
      </w:r>
    </w:p>
    <w:p w14:paraId="406B5B26" w14:textId="627CA417" w:rsidR="002929E0" w:rsidRPr="00785FB4" w:rsidRDefault="002929E0" w:rsidP="00A94167">
      <w:pPr>
        <w:pStyle w:val="Heading2notindexed"/>
      </w:pPr>
      <w:bookmarkStart w:id="137" w:name="_Toc459133089"/>
      <w:bookmarkStart w:id="138" w:name="_Toc461803038"/>
      <w:bookmarkStart w:id="139" w:name="_Toc461787319"/>
      <w:bookmarkStart w:id="140" w:name="_Toc461795831"/>
      <w:bookmarkStart w:id="141" w:name="_Toc505449580"/>
      <w:bookmarkStart w:id="142" w:name="_Toc505449781"/>
      <w:r w:rsidRPr="00785FB4">
        <w:lastRenderedPageBreak/>
        <w:t>MSG governance and functioning (#1.4)</w:t>
      </w:r>
      <w:bookmarkEnd w:id="137"/>
      <w:bookmarkEnd w:id="138"/>
      <w:bookmarkEnd w:id="139"/>
      <w:bookmarkEnd w:id="140"/>
      <w:bookmarkEnd w:id="141"/>
      <w:bookmarkEnd w:id="142"/>
    </w:p>
    <w:p w14:paraId="7194849D" w14:textId="35554841" w:rsidR="00F90D13" w:rsidRPr="00785FB4" w:rsidRDefault="002929E0" w:rsidP="00A94167">
      <w:pPr>
        <w:pStyle w:val="Heading3"/>
      </w:pPr>
      <w:bookmarkStart w:id="143" w:name="_Toc505449581"/>
      <w:r w:rsidRPr="00785FB4">
        <w:t>Documentation of progress</w:t>
      </w:r>
      <w:bookmarkEnd w:id="143"/>
    </w:p>
    <w:p w14:paraId="23C1B3FE" w14:textId="47EF78BC" w:rsidR="009542FC" w:rsidRPr="00785FB4" w:rsidRDefault="00296FE7" w:rsidP="009542FC">
      <w:r>
        <w:t>The A</w:t>
      </w:r>
      <w:r w:rsidR="009542FC" w:rsidRPr="00785FB4">
        <w:t xml:space="preserve">EITI </w:t>
      </w:r>
      <w:r>
        <w:t xml:space="preserve">MSG </w:t>
      </w:r>
      <w:r w:rsidR="009542FC" w:rsidRPr="00785FB4">
        <w:t xml:space="preserve">approved </w:t>
      </w:r>
      <w:r>
        <w:t xml:space="preserve">its ToR </w:t>
      </w:r>
      <w:r w:rsidR="009542FC" w:rsidRPr="00785FB4">
        <w:t>at its first meeting of the MSG on 4 June 2011</w:t>
      </w:r>
      <w:r>
        <w:t xml:space="preserve"> and </w:t>
      </w:r>
      <w:r w:rsidR="009542FC" w:rsidRPr="00785FB4">
        <w:t xml:space="preserve">subsequently amended </w:t>
      </w:r>
      <w:r>
        <w:t xml:space="preserve">them </w:t>
      </w:r>
      <w:r w:rsidR="0022154E" w:rsidRPr="00785FB4">
        <w:t>in February 2014</w:t>
      </w:r>
      <w:r w:rsidR="009542FC" w:rsidRPr="00785FB4">
        <w:t xml:space="preserve"> to address shortcomings found during</w:t>
      </w:r>
      <w:r w:rsidR="0022154E" w:rsidRPr="00785FB4">
        <w:t xml:space="preserve"> Afghanistan’s first Validation</w:t>
      </w:r>
      <w:r w:rsidR="009542FC" w:rsidRPr="00785FB4">
        <w:t xml:space="preserve">. </w:t>
      </w:r>
      <w:r>
        <w:t xml:space="preserve">The MSG discussed further updates to its </w:t>
      </w:r>
      <w:r w:rsidR="009542FC" w:rsidRPr="00785FB4">
        <w:t xml:space="preserve">TORs </w:t>
      </w:r>
      <w:r>
        <w:t xml:space="preserve">at its </w:t>
      </w:r>
      <w:r w:rsidR="00397BE6" w:rsidRPr="00785FB4">
        <w:t xml:space="preserve">14 September 2015 </w:t>
      </w:r>
      <w:r>
        <w:t xml:space="preserve">meeting before </w:t>
      </w:r>
      <w:r w:rsidR="00397BE6" w:rsidRPr="00785FB4">
        <w:t>appro</w:t>
      </w:r>
      <w:r>
        <w:t>ving</w:t>
      </w:r>
      <w:r w:rsidR="00397BE6" w:rsidRPr="00785FB4">
        <w:t xml:space="preserve"> </w:t>
      </w:r>
      <w:r>
        <w:t xml:space="preserve">them </w:t>
      </w:r>
      <w:r w:rsidR="00397BE6" w:rsidRPr="00785FB4">
        <w:t>at its 24 May 2016</w:t>
      </w:r>
      <w:r>
        <w:t xml:space="preserve"> </w:t>
      </w:r>
      <w:r w:rsidRPr="00785FB4">
        <w:t>meeting</w:t>
      </w:r>
      <w:r w:rsidR="00397BE6" w:rsidRPr="00785FB4">
        <w:t>. The T</w:t>
      </w:r>
      <w:r>
        <w:t>o</w:t>
      </w:r>
      <w:r w:rsidR="00397BE6" w:rsidRPr="00785FB4">
        <w:t>R are available on the AEITI website.</w:t>
      </w:r>
      <w:r w:rsidR="00397BE6" w:rsidRPr="00785FB4">
        <w:rPr>
          <w:rStyle w:val="FootnoteReference"/>
        </w:rPr>
        <w:footnoteReference w:id="90"/>
      </w:r>
    </w:p>
    <w:p w14:paraId="17368035" w14:textId="3FCF63D1" w:rsidR="00EC1826" w:rsidRPr="00785FB4" w:rsidRDefault="00BD694A" w:rsidP="00374AF6">
      <w:pPr>
        <w:spacing w:before="120"/>
      </w:pPr>
      <w:r w:rsidRPr="00785FB4">
        <w:rPr>
          <w:i/>
          <w:u w:val="single"/>
        </w:rPr>
        <w:t>MSG</w:t>
      </w:r>
      <w:r w:rsidR="002929E0" w:rsidRPr="00785FB4">
        <w:rPr>
          <w:i/>
          <w:u w:val="single"/>
        </w:rPr>
        <w:t xml:space="preserve"> composition and membership</w:t>
      </w:r>
      <w:r w:rsidR="002929E0" w:rsidRPr="00785FB4">
        <w:rPr>
          <w:i/>
        </w:rPr>
        <w:t xml:space="preserve">: </w:t>
      </w:r>
      <w:r w:rsidR="00F96639" w:rsidRPr="00785FB4">
        <w:t>The MSG’s T</w:t>
      </w:r>
      <w:r w:rsidR="00D31722" w:rsidRPr="00785FB4">
        <w:t>o</w:t>
      </w:r>
      <w:r w:rsidR="00F96639" w:rsidRPr="00785FB4">
        <w:t xml:space="preserve">R allocate six </w:t>
      </w:r>
      <w:r w:rsidR="00296FE7">
        <w:t xml:space="preserve">MSG </w:t>
      </w:r>
      <w:r w:rsidR="00F96639" w:rsidRPr="00785FB4">
        <w:t xml:space="preserve">seats </w:t>
      </w:r>
      <w:r w:rsidR="00E272A2" w:rsidRPr="00785FB4">
        <w:t xml:space="preserve">to </w:t>
      </w:r>
      <w:r w:rsidR="000270E1" w:rsidRPr="00785FB4">
        <w:t xml:space="preserve">each constituency, not including the Chair and Vice-Chair </w:t>
      </w:r>
      <w:r w:rsidR="00296FE7">
        <w:t xml:space="preserve">that are </w:t>
      </w:r>
      <w:r w:rsidR="000270E1" w:rsidRPr="00785FB4">
        <w:t xml:space="preserve">the Ministers of Finance and </w:t>
      </w:r>
      <w:r w:rsidR="00D271F2" w:rsidRPr="00785FB4">
        <w:t xml:space="preserve">of </w:t>
      </w:r>
      <w:r w:rsidR="000270E1" w:rsidRPr="00785FB4">
        <w:t>Mines and Petroleum respectively. The T</w:t>
      </w:r>
      <w:r w:rsidR="00D271F2" w:rsidRPr="00785FB4">
        <w:t>o</w:t>
      </w:r>
      <w:r w:rsidR="000270E1" w:rsidRPr="00785FB4">
        <w:t>R establish minimum requirements for MSG members and confirm constituencies’ independence from government</w:t>
      </w:r>
      <w:r w:rsidR="00F60507" w:rsidRPr="00785FB4">
        <w:t>,</w:t>
      </w:r>
      <w:r w:rsidR="007F3AED" w:rsidRPr="00785FB4">
        <w:t xml:space="preserve"> but </w:t>
      </w:r>
      <w:r w:rsidR="00316D53" w:rsidRPr="00785FB4">
        <w:t xml:space="preserve">leave it to the </w:t>
      </w:r>
      <w:r w:rsidR="007F3AED" w:rsidRPr="00785FB4">
        <w:t xml:space="preserve">constituencies </w:t>
      </w:r>
      <w:r w:rsidR="00316D53" w:rsidRPr="00785FB4">
        <w:t xml:space="preserve">to determine </w:t>
      </w:r>
      <w:r w:rsidR="00296FE7">
        <w:t>their nominations</w:t>
      </w:r>
      <w:r w:rsidR="00316D53" w:rsidRPr="00785FB4">
        <w:t xml:space="preserve"> process</w:t>
      </w:r>
      <w:r w:rsidR="000270E1" w:rsidRPr="00785FB4">
        <w:t>.</w:t>
      </w:r>
      <w:r w:rsidR="00D11736" w:rsidRPr="00785FB4">
        <w:t xml:space="preserve"> </w:t>
      </w:r>
      <w:r w:rsidR="00617258" w:rsidRPr="00785FB4">
        <w:t xml:space="preserve">The ToR </w:t>
      </w:r>
      <w:r w:rsidR="00FE759C">
        <w:t>require an</w:t>
      </w:r>
      <w:r w:rsidR="00617258" w:rsidRPr="00785FB4">
        <w:t xml:space="preserve"> open and participative </w:t>
      </w:r>
      <w:r w:rsidR="00FE759C">
        <w:t xml:space="preserve">nominations process, </w:t>
      </w:r>
      <w:r w:rsidR="00617258" w:rsidRPr="00785FB4">
        <w:t xml:space="preserve">based “on a transparent and open selection process, conducted amongst the constituencies, bearing in mind the desirability of pluralistic and diverse representation”. </w:t>
      </w:r>
      <w:r w:rsidR="00FE759C" w:rsidRPr="00785FB4">
        <w:t xml:space="preserve">Provision 4 in the ToR makes membership in the MSG dependent on election by the wider constituency (rather than selection). </w:t>
      </w:r>
      <w:r w:rsidR="00617258" w:rsidRPr="00785FB4">
        <w:t xml:space="preserve">The ToR </w:t>
      </w:r>
      <w:r w:rsidR="00FE759C">
        <w:t xml:space="preserve">confirm the </w:t>
      </w:r>
      <w:r w:rsidR="00617258" w:rsidRPr="00785FB4">
        <w:t>constituencies</w:t>
      </w:r>
      <w:r w:rsidR="00FE759C">
        <w:t>’</w:t>
      </w:r>
      <w:r w:rsidR="00617258" w:rsidRPr="00785FB4">
        <w:t xml:space="preserve"> responsibility for the </w:t>
      </w:r>
      <w:r w:rsidR="00FE759C">
        <w:t xml:space="preserve">nominations </w:t>
      </w:r>
      <w:r w:rsidR="00617258" w:rsidRPr="00785FB4">
        <w:t>process and the AEITI secretariat</w:t>
      </w:r>
      <w:r w:rsidR="00FE759C">
        <w:t>’s</w:t>
      </w:r>
      <w:r w:rsidR="00617258" w:rsidRPr="00785FB4">
        <w:t xml:space="preserve"> </w:t>
      </w:r>
      <w:r w:rsidR="00FE759C">
        <w:t xml:space="preserve">role </w:t>
      </w:r>
      <w:r w:rsidR="00617258" w:rsidRPr="00785FB4">
        <w:t xml:space="preserve">as </w:t>
      </w:r>
      <w:r w:rsidR="00FE759C">
        <w:t xml:space="preserve">an </w:t>
      </w:r>
      <w:r w:rsidR="00617258" w:rsidRPr="00785FB4">
        <w:t>observer. The ToR establish three-year terms and allow members to nominate an alternate to attend MSG members in their absence.</w:t>
      </w:r>
      <w:r w:rsidR="00617258" w:rsidRPr="00785FB4">
        <w:rPr>
          <w:rStyle w:val="FootnoteReference"/>
        </w:rPr>
        <w:footnoteReference w:id="91"/>
      </w:r>
      <w:r w:rsidR="00617258" w:rsidRPr="00785FB4">
        <w:t xml:space="preserve"> Responsibilities of MSG members are clarified in substantial detail by constituency.</w:t>
      </w:r>
      <w:r w:rsidR="00617258" w:rsidRPr="00785FB4">
        <w:rPr>
          <w:rStyle w:val="FootnoteReference"/>
        </w:rPr>
        <w:footnoteReference w:id="92"/>
      </w:r>
      <w:r w:rsidR="00617258" w:rsidRPr="00785FB4">
        <w:t xml:space="preserve"> </w:t>
      </w:r>
      <w:r w:rsidR="00D11736" w:rsidRPr="00785FB4">
        <w:t xml:space="preserve">MSG composition is </w:t>
      </w:r>
      <w:r w:rsidR="00397BE6" w:rsidRPr="00785FB4">
        <w:t>listed</w:t>
      </w:r>
      <w:r w:rsidR="00D11736" w:rsidRPr="00785FB4">
        <w:t xml:space="preserve"> by constituency on the AEITI website</w:t>
      </w:r>
      <w:r w:rsidR="00D11736" w:rsidRPr="00785FB4">
        <w:rPr>
          <w:rStyle w:val="FootnoteReference"/>
        </w:rPr>
        <w:footnoteReference w:id="93"/>
      </w:r>
      <w:r w:rsidR="00FE759C">
        <w:t>, although</w:t>
      </w:r>
      <w:r w:rsidR="00FD01EE" w:rsidRPr="00785FB4">
        <w:t xml:space="preserve"> Democracy International’s July 2017 AEITI </w:t>
      </w:r>
      <w:r w:rsidR="00FE759C">
        <w:t>r</w:t>
      </w:r>
      <w:r w:rsidR="00FD01EE" w:rsidRPr="00785FB4">
        <w:t xml:space="preserve">eview highlighted </w:t>
      </w:r>
      <w:r w:rsidR="00FE759C">
        <w:t>deviations</w:t>
      </w:r>
      <w:r w:rsidR="00FD01EE" w:rsidRPr="00785FB4">
        <w:t xml:space="preserve"> </w:t>
      </w:r>
      <w:r w:rsidR="00FE759C">
        <w:t xml:space="preserve">in practice from </w:t>
      </w:r>
      <w:r w:rsidR="00FD01EE" w:rsidRPr="00785FB4">
        <w:t xml:space="preserve">the MSG’s composition </w:t>
      </w:r>
      <w:r w:rsidR="00FE759C">
        <w:t xml:space="preserve">in </w:t>
      </w:r>
      <w:r w:rsidR="00FD01EE" w:rsidRPr="00785FB4">
        <w:t>the T</w:t>
      </w:r>
      <w:r w:rsidR="00385FC1" w:rsidRPr="00785FB4">
        <w:t>o</w:t>
      </w:r>
      <w:r w:rsidR="00FD01EE" w:rsidRPr="00785FB4">
        <w:t xml:space="preserve">R (p.14). </w:t>
      </w:r>
    </w:p>
    <w:p w14:paraId="5D3A614F" w14:textId="71D0EABC" w:rsidR="002929E0" w:rsidRPr="00785FB4" w:rsidRDefault="002929E0" w:rsidP="00617258">
      <w:r w:rsidRPr="00785FB4">
        <w:rPr>
          <w:i/>
        </w:rPr>
        <w:t>Civil society representation</w:t>
      </w:r>
      <w:r w:rsidRPr="00785FB4">
        <w:t xml:space="preserve">: </w:t>
      </w:r>
      <w:r w:rsidR="00FE759C">
        <w:t xml:space="preserve">A working group of </w:t>
      </w:r>
      <w:r w:rsidR="00F60507" w:rsidRPr="00785FB4">
        <w:t>seven</w:t>
      </w:r>
      <w:r w:rsidR="0022154E" w:rsidRPr="00785FB4">
        <w:t xml:space="preserve"> </w:t>
      </w:r>
      <w:r w:rsidR="006A34C1" w:rsidRPr="00785FB4">
        <w:t xml:space="preserve">individuals representing </w:t>
      </w:r>
      <w:r w:rsidR="00F60507" w:rsidRPr="00785FB4">
        <w:t>six</w:t>
      </w:r>
      <w:r w:rsidR="006A34C1" w:rsidRPr="00785FB4">
        <w:t xml:space="preserve"> </w:t>
      </w:r>
      <w:r w:rsidR="00FE759C">
        <w:t xml:space="preserve">CSOs was formed in preparation for Afghanistan’s EITI application, </w:t>
      </w:r>
      <w:r w:rsidR="0022154E" w:rsidRPr="00785FB4">
        <w:t>function</w:t>
      </w:r>
      <w:r w:rsidR="00FE759C">
        <w:t>ing</w:t>
      </w:r>
      <w:r w:rsidR="0022154E" w:rsidRPr="00785FB4">
        <w:t xml:space="preserve"> as a provisional MSG.</w:t>
      </w:r>
      <w:r w:rsidR="00316D53" w:rsidRPr="00785FB4">
        <w:rPr>
          <w:rStyle w:val="FootnoteReference"/>
        </w:rPr>
        <w:footnoteReference w:id="94"/>
      </w:r>
      <w:r w:rsidR="0022154E" w:rsidRPr="00785FB4">
        <w:t xml:space="preserve"> </w:t>
      </w:r>
      <w:r w:rsidR="00D65F45" w:rsidRPr="00785FB4">
        <w:t xml:space="preserve">All but </w:t>
      </w:r>
      <w:r w:rsidR="00F60507" w:rsidRPr="00785FB4">
        <w:t>one</w:t>
      </w:r>
      <w:r w:rsidR="00316D53" w:rsidRPr="00785FB4">
        <w:t xml:space="preserve"> became MSG members once the</w:t>
      </w:r>
      <w:r w:rsidR="0022154E" w:rsidRPr="00785FB4">
        <w:t xml:space="preserve"> MSG was constituted </w:t>
      </w:r>
      <w:r w:rsidR="00FE759C">
        <w:t xml:space="preserve">in </w:t>
      </w:r>
      <w:r w:rsidR="0022154E" w:rsidRPr="00785FB4">
        <w:t>November 2009.</w:t>
      </w:r>
      <w:r w:rsidR="00D65F45" w:rsidRPr="00785FB4">
        <w:t xml:space="preserve"> The process by which the </w:t>
      </w:r>
      <w:r w:rsidR="00F60507" w:rsidRPr="00785FB4">
        <w:t>six</w:t>
      </w:r>
      <w:r w:rsidR="00D65F45" w:rsidRPr="00785FB4">
        <w:t xml:space="preserve"> were selected is not clear.</w:t>
      </w:r>
      <w:r w:rsidR="0022154E" w:rsidRPr="00785FB4">
        <w:t xml:space="preserve"> </w:t>
      </w:r>
      <w:r w:rsidR="00316D53" w:rsidRPr="00785FB4">
        <w:t xml:space="preserve">In August 2013 the MSG decided that the constituency should be represented by </w:t>
      </w:r>
      <w:r w:rsidR="00F60507" w:rsidRPr="00785FB4">
        <w:t>six</w:t>
      </w:r>
      <w:r w:rsidR="00316D53" w:rsidRPr="00785FB4">
        <w:t xml:space="preserve"> individuals, </w:t>
      </w:r>
      <w:r w:rsidR="00FE759C">
        <w:t xml:space="preserve">including </w:t>
      </w:r>
      <w:r w:rsidR="00F60507" w:rsidRPr="00785FB4">
        <w:t>two</w:t>
      </w:r>
      <w:r w:rsidR="00316D53" w:rsidRPr="00785FB4">
        <w:t xml:space="preserve"> </w:t>
      </w:r>
      <w:r w:rsidR="00FE759C">
        <w:t xml:space="preserve">from </w:t>
      </w:r>
      <w:r w:rsidR="00316D53" w:rsidRPr="00785FB4">
        <w:t>academia and the media</w:t>
      </w:r>
      <w:r w:rsidR="006A34C1" w:rsidRPr="00785FB4">
        <w:t>. T</w:t>
      </w:r>
      <w:r w:rsidR="0022154E" w:rsidRPr="00785FB4">
        <w:t xml:space="preserve">he constituency refreshed its members </w:t>
      </w:r>
      <w:r w:rsidR="00316D53" w:rsidRPr="00785FB4">
        <w:t xml:space="preserve">in </w:t>
      </w:r>
      <w:r w:rsidR="006A34C1" w:rsidRPr="00785FB4">
        <w:t>July</w:t>
      </w:r>
      <w:r w:rsidR="00316D53" w:rsidRPr="00785FB4">
        <w:t xml:space="preserve"> 2014</w:t>
      </w:r>
      <w:r w:rsidR="00FE759C">
        <w:t>, with</w:t>
      </w:r>
      <w:r w:rsidR="00316D53" w:rsidRPr="00785FB4">
        <w:t xml:space="preserve"> </w:t>
      </w:r>
      <w:r w:rsidR="00FE759C">
        <w:t>n</w:t>
      </w:r>
      <w:r w:rsidR="00F60507" w:rsidRPr="00785FB4">
        <w:t>ine</w:t>
      </w:r>
      <w:r w:rsidR="00316D53" w:rsidRPr="00785FB4">
        <w:t xml:space="preserve"> representatives selected, </w:t>
      </w:r>
      <w:r w:rsidR="00F60507" w:rsidRPr="00785FB4">
        <w:t>three</w:t>
      </w:r>
      <w:r w:rsidR="00316D53" w:rsidRPr="00785FB4">
        <w:t xml:space="preserve"> of them as alternates, for a thre</w:t>
      </w:r>
      <w:r w:rsidR="006A34C1" w:rsidRPr="00785FB4">
        <w:t>e-</w:t>
      </w:r>
      <w:r w:rsidR="00316D53" w:rsidRPr="00785FB4">
        <w:t xml:space="preserve">year period. </w:t>
      </w:r>
      <w:r w:rsidR="00FE759C">
        <w:t>Members of the MSG were nominated from</w:t>
      </w:r>
      <w:r w:rsidR="00316D53" w:rsidRPr="00785FB4">
        <w:t xml:space="preserve"> </w:t>
      </w:r>
      <w:r w:rsidR="00F60507" w:rsidRPr="00785FB4">
        <w:t>two</w:t>
      </w:r>
      <w:r w:rsidR="00316D53" w:rsidRPr="00785FB4">
        <w:t xml:space="preserve"> organisations, the Natural Resources Monitoring Network (</w:t>
      </w:r>
      <w:r w:rsidR="006A34C1" w:rsidRPr="00785FB4">
        <w:t xml:space="preserve">it’s successor, ENRMN, is </w:t>
      </w:r>
      <w:r w:rsidR="00316D53" w:rsidRPr="00785FB4">
        <w:t>still on the MSG)</w:t>
      </w:r>
      <w:r w:rsidR="00FE759C">
        <w:t>,</w:t>
      </w:r>
      <w:r w:rsidR="00316D53" w:rsidRPr="00785FB4">
        <w:t xml:space="preserve"> a network of organisations known as the Civil Society Coalition</w:t>
      </w:r>
      <w:r w:rsidR="006A34C1" w:rsidRPr="00785FB4">
        <w:t xml:space="preserve">, </w:t>
      </w:r>
      <w:r w:rsidR="00FE759C">
        <w:t xml:space="preserve">and </w:t>
      </w:r>
      <w:r w:rsidR="006A34C1" w:rsidRPr="00785FB4">
        <w:t>one representative from academia</w:t>
      </w:r>
      <w:r w:rsidR="00316D53" w:rsidRPr="00785FB4">
        <w:t>.</w:t>
      </w:r>
      <w:r w:rsidR="00316D53" w:rsidRPr="00785FB4">
        <w:rPr>
          <w:rStyle w:val="FootnoteReference"/>
        </w:rPr>
        <w:footnoteReference w:id="95"/>
      </w:r>
      <w:r w:rsidR="00316D53" w:rsidRPr="00785FB4">
        <w:t xml:space="preserve"> </w:t>
      </w:r>
      <w:r w:rsidR="0001207E" w:rsidRPr="00785FB4">
        <w:t>T</w:t>
      </w:r>
      <w:r w:rsidR="00736108" w:rsidRPr="00785FB4">
        <w:t>he</w:t>
      </w:r>
      <w:r w:rsidR="007F3AED" w:rsidRPr="00785FB4">
        <w:t xml:space="preserve"> </w:t>
      </w:r>
      <w:r w:rsidR="00736108" w:rsidRPr="00785FB4">
        <w:t>constituency</w:t>
      </w:r>
      <w:r w:rsidR="00316D53" w:rsidRPr="00785FB4">
        <w:t xml:space="preserve"> again</w:t>
      </w:r>
      <w:r w:rsidR="00736108" w:rsidRPr="00785FB4">
        <w:t xml:space="preserve"> refreshed its </w:t>
      </w:r>
      <w:r w:rsidR="00FE759C">
        <w:t xml:space="preserve">MSG </w:t>
      </w:r>
      <w:r w:rsidR="00736108" w:rsidRPr="00785FB4">
        <w:t xml:space="preserve">representatives at </w:t>
      </w:r>
      <w:r w:rsidR="00FE759C">
        <w:t xml:space="preserve">its </w:t>
      </w:r>
      <w:r w:rsidR="00FE759C" w:rsidRPr="00785FB4">
        <w:t xml:space="preserve">7 February 2017 </w:t>
      </w:r>
      <w:r w:rsidR="00736108" w:rsidRPr="00785FB4">
        <w:t>meeting facilitated by the national secretariat and hosted by Integrity Watch Afghanistan.</w:t>
      </w:r>
      <w:r w:rsidR="0001207E" w:rsidRPr="00785FB4">
        <w:rPr>
          <w:rStyle w:val="FootnoteReference"/>
        </w:rPr>
        <w:footnoteReference w:id="96"/>
      </w:r>
      <w:r w:rsidR="00736108" w:rsidRPr="00785FB4">
        <w:t xml:space="preserve"> </w:t>
      </w:r>
      <w:r w:rsidR="006667B4" w:rsidRPr="00785FB4">
        <w:t>According to meeting minutes</w:t>
      </w:r>
      <w:r w:rsidR="00397BE6" w:rsidRPr="00785FB4">
        <w:t>,</w:t>
      </w:r>
      <w:r w:rsidR="00736108" w:rsidRPr="00785FB4">
        <w:t xml:space="preserve"> IWA and </w:t>
      </w:r>
      <w:r w:rsidR="00397BE6" w:rsidRPr="00785FB4">
        <w:t xml:space="preserve">the </w:t>
      </w:r>
      <w:r w:rsidR="00736108" w:rsidRPr="00785FB4">
        <w:t>ENRMN network were each asked to elect three representatives to the MSG on behalf of</w:t>
      </w:r>
      <w:r w:rsidR="00D33EC7" w:rsidRPr="00785FB4">
        <w:t xml:space="preserve"> the organisation</w:t>
      </w:r>
      <w:r w:rsidR="006667B4" w:rsidRPr="00785FB4">
        <w:t>s that they represented</w:t>
      </w:r>
      <w:r w:rsidR="00D11736" w:rsidRPr="00785FB4">
        <w:t>, with no alternates</w:t>
      </w:r>
      <w:r w:rsidR="006667B4" w:rsidRPr="00785FB4">
        <w:t>. The electio</w:t>
      </w:r>
      <w:r w:rsidR="00397BE6" w:rsidRPr="00785FB4">
        <w:t>ns within each group took place through simple majority</w:t>
      </w:r>
      <w:r w:rsidR="006667B4" w:rsidRPr="00785FB4">
        <w:t xml:space="preserve"> </w:t>
      </w:r>
      <w:r w:rsidR="00397BE6" w:rsidRPr="00785FB4">
        <w:t xml:space="preserve">voting </w:t>
      </w:r>
      <w:r w:rsidR="006667B4" w:rsidRPr="00785FB4">
        <w:t xml:space="preserve">and the results of </w:t>
      </w:r>
      <w:r w:rsidR="006667B4" w:rsidRPr="00785FB4">
        <w:lastRenderedPageBreak/>
        <w:t>the election</w:t>
      </w:r>
      <w:r w:rsidR="00397BE6" w:rsidRPr="00785FB4">
        <w:t>,</w:t>
      </w:r>
      <w:r w:rsidR="006667B4" w:rsidRPr="00785FB4">
        <w:t xml:space="preserve"> </w:t>
      </w:r>
      <w:r w:rsidR="00E272A2" w:rsidRPr="00785FB4">
        <w:t>along with a brief summary of the process followed</w:t>
      </w:r>
      <w:r w:rsidR="00397BE6" w:rsidRPr="00785FB4">
        <w:t>,</w:t>
      </w:r>
      <w:r w:rsidR="00E272A2" w:rsidRPr="00785FB4">
        <w:t xml:space="preserve"> </w:t>
      </w:r>
      <w:r w:rsidR="006667B4" w:rsidRPr="00785FB4">
        <w:t>are available online.</w:t>
      </w:r>
      <w:r w:rsidR="006667B4" w:rsidRPr="00785FB4">
        <w:rPr>
          <w:rStyle w:val="FootnoteReference"/>
        </w:rPr>
        <w:footnoteReference w:id="97"/>
      </w:r>
      <w:r w:rsidR="00D11736" w:rsidRPr="00785FB4">
        <w:t xml:space="preserve"> </w:t>
      </w:r>
      <w:r w:rsidR="000270E1" w:rsidRPr="00785FB4">
        <w:t>There is no documentary evidence that civil society outside of either group (IWA and ENRMN) participated in the</w:t>
      </w:r>
      <w:r w:rsidR="00E272A2" w:rsidRPr="00785FB4">
        <w:t xml:space="preserve"> nomination or election</w:t>
      </w:r>
      <w:r w:rsidR="000270E1" w:rsidRPr="00785FB4">
        <w:t xml:space="preserve"> process.</w:t>
      </w:r>
      <w:r w:rsidR="00D11736" w:rsidRPr="00785FB4">
        <w:t xml:space="preserve"> </w:t>
      </w:r>
    </w:p>
    <w:p w14:paraId="159DD36A" w14:textId="7D6945C0" w:rsidR="00971939" w:rsidRPr="00785FB4" w:rsidRDefault="002929E0" w:rsidP="00E956E1">
      <w:r w:rsidRPr="00785FB4">
        <w:rPr>
          <w:i/>
        </w:rPr>
        <w:t>Industry representation:</w:t>
      </w:r>
      <w:r w:rsidR="00E40AC3" w:rsidRPr="00785FB4">
        <w:t xml:space="preserve"> </w:t>
      </w:r>
      <w:r w:rsidR="00121F2F" w:rsidRPr="00785FB4">
        <w:t>As with CSOs, t</w:t>
      </w:r>
      <w:r w:rsidR="006667B4" w:rsidRPr="00785FB4">
        <w:t>he industry sector</w:t>
      </w:r>
      <w:r w:rsidR="006A34C1" w:rsidRPr="00785FB4">
        <w:t xml:space="preserve"> </w:t>
      </w:r>
      <w:r w:rsidR="00121F2F" w:rsidRPr="00785FB4">
        <w:t xml:space="preserve">was initially represented by </w:t>
      </w:r>
      <w:r w:rsidR="00FE759C">
        <w:t>seven</w:t>
      </w:r>
      <w:r w:rsidR="006A34C1" w:rsidRPr="00785FB4">
        <w:t xml:space="preserve"> individuals</w:t>
      </w:r>
      <w:r w:rsidR="00121F2F" w:rsidRPr="00785FB4">
        <w:t xml:space="preserve"> who</w:t>
      </w:r>
      <w:r w:rsidR="006A34C1" w:rsidRPr="00785FB4">
        <w:t xml:space="preserve"> were invited by the government to form part of an initial working group that was eventually formalised into the first MSG. </w:t>
      </w:r>
      <w:r w:rsidR="00FE759C">
        <w:t>Six</w:t>
      </w:r>
      <w:r w:rsidR="006A34C1" w:rsidRPr="00785FB4">
        <w:t xml:space="preserve"> of the individuals represented two companies and one represented the Afghan Chamber of Commerce and industries (ACCI). </w:t>
      </w:r>
      <w:r w:rsidR="00D65F45" w:rsidRPr="00785FB4">
        <w:t xml:space="preserve">As with CSOs, the </w:t>
      </w:r>
      <w:r w:rsidR="00FE759C">
        <w:t xml:space="preserve">MSG reduced the </w:t>
      </w:r>
      <w:r w:rsidR="00D65F45" w:rsidRPr="00785FB4">
        <w:t xml:space="preserve">number to </w:t>
      </w:r>
      <w:r w:rsidR="00FE759C">
        <w:t>six</w:t>
      </w:r>
      <w:r w:rsidR="00D65F45" w:rsidRPr="00785FB4">
        <w:t xml:space="preserve"> </w:t>
      </w:r>
      <w:r w:rsidR="00FE759C">
        <w:t xml:space="preserve">at its </w:t>
      </w:r>
      <w:r w:rsidR="00D65F45" w:rsidRPr="00785FB4">
        <w:t xml:space="preserve">first meeting, </w:t>
      </w:r>
      <w:r w:rsidR="00FE759C">
        <w:t xml:space="preserve">although the </w:t>
      </w:r>
      <w:r w:rsidR="00D65F45" w:rsidRPr="00785FB4">
        <w:t xml:space="preserve">process </w:t>
      </w:r>
      <w:r w:rsidR="00FE759C">
        <w:t>for selecting the MSG members remains unclear</w:t>
      </w:r>
      <w:r w:rsidR="00D65F45" w:rsidRPr="00785FB4">
        <w:t>. T</w:t>
      </w:r>
      <w:r w:rsidR="006A34C1" w:rsidRPr="00785FB4">
        <w:t>he constituency refreshed its members in September 2014 for a three-year period.</w:t>
      </w:r>
      <w:r w:rsidR="006A34C1" w:rsidRPr="00785FB4">
        <w:rPr>
          <w:rStyle w:val="FootnoteReference"/>
        </w:rPr>
        <w:footnoteReference w:id="98"/>
      </w:r>
      <w:r w:rsidR="006A34C1" w:rsidRPr="00785FB4">
        <w:t xml:space="preserve"> The constituency again</w:t>
      </w:r>
      <w:r w:rsidR="00E40AC3" w:rsidRPr="00785FB4">
        <w:t xml:space="preserve"> refreshed its </w:t>
      </w:r>
      <w:r w:rsidR="00FE759C">
        <w:t xml:space="preserve">MSG </w:t>
      </w:r>
      <w:r w:rsidR="00E40AC3" w:rsidRPr="00785FB4">
        <w:t xml:space="preserve">representatives </w:t>
      </w:r>
      <w:r w:rsidR="00FE759C">
        <w:t xml:space="preserve">at its </w:t>
      </w:r>
      <w:r w:rsidR="00E40AC3" w:rsidRPr="00785FB4">
        <w:t>8 February 2017 meeting facilitated by the national secretariat and hosted by ACCI.</w:t>
      </w:r>
      <w:r w:rsidR="006667B4" w:rsidRPr="00785FB4">
        <w:rPr>
          <w:rStyle w:val="FootnoteReference"/>
        </w:rPr>
        <w:footnoteReference w:id="99"/>
      </w:r>
      <w:r w:rsidR="00E40AC3" w:rsidRPr="00785FB4">
        <w:t xml:space="preserve"> M</w:t>
      </w:r>
      <w:r w:rsidR="00FE759C">
        <w:t>eeting m</w:t>
      </w:r>
      <w:r w:rsidR="00E40AC3" w:rsidRPr="00785FB4">
        <w:t>inutes show that</w:t>
      </w:r>
      <w:r w:rsidR="00FE759C">
        <w:t>, of the</w:t>
      </w:r>
      <w:r w:rsidR="00E40AC3" w:rsidRPr="00785FB4">
        <w:t xml:space="preserve"> 30 companies </w:t>
      </w:r>
      <w:r w:rsidR="00FE759C">
        <w:t xml:space="preserve">invited, </w:t>
      </w:r>
      <w:r w:rsidR="00B76391">
        <w:t xml:space="preserve">representatives from </w:t>
      </w:r>
      <w:r w:rsidR="00FE759C">
        <w:t>s</w:t>
      </w:r>
      <w:r w:rsidR="00E40AC3" w:rsidRPr="00785FB4">
        <w:t xml:space="preserve">ix private companies, two SOEs and two </w:t>
      </w:r>
      <w:r w:rsidR="00B76391">
        <w:t xml:space="preserve">from </w:t>
      </w:r>
      <w:r w:rsidR="00E40AC3" w:rsidRPr="00785FB4">
        <w:t>ACCI participated</w:t>
      </w:r>
      <w:r w:rsidR="00397BE6" w:rsidRPr="00785FB4">
        <w:t xml:space="preserve"> in the </w:t>
      </w:r>
      <w:r w:rsidR="00B76391" w:rsidRPr="00785FB4">
        <w:t>elect</w:t>
      </w:r>
      <w:r w:rsidR="00B76391">
        <w:t>ion</w:t>
      </w:r>
      <w:r w:rsidR="00B76391" w:rsidRPr="00785FB4">
        <w:t xml:space="preserve"> </w:t>
      </w:r>
      <w:r w:rsidR="00B76391">
        <w:t xml:space="preserve">of industry MSG </w:t>
      </w:r>
      <w:r w:rsidR="00B76391" w:rsidRPr="00785FB4">
        <w:t>members</w:t>
      </w:r>
      <w:r w:rsidR="00B76391" w:rsidRPr="00785FB4" w:rsidDel="00B76391">
        <w:t xml:space="preserve"> </w:t>
      </w:r>
      <w:r w:rsidR="00E40AC3" w:rsidRPr="00785FB4">
        <w:t xml:space="preserve">. </w:t>
      </w:r>
      <w:r w:rsidR="000731BA" w:rsidRPr="00785FB4">
        <w:t xml:space="preserve">Eight of the </w:t>
      </w:r>
      <w:r w:rsidR="00E272A2" w:rsidRPr="00785FB4">
        <w:t xml:space="preserve">entities </w:t>
      </w:r>
      <w:r w:rsidR="000731BA" w:rsidRPr="00785FB4">
        <w:t>represented expressed an interest in representing their constituency and the minutes show that the election process was carried out through simple majority</w:t>
      </w:r>
      <w:r w:rsidR="00D11736" w:rsidRPr="00785FB4">
        <w:t xml:space="preserve"> to select six</w:t>
      </w:r>
      <w:r w:rsidR="00E272A2" w:rsidRPr="00785FB4">
        <w:t xml:space="preserve"> representatives</w:t>
      </w:r>
      <w:r w:rsidR="00D11736" w:rsidRPr="00785FB4">
        <w:t xml:space="preserve"> with no alternates</w:t>
      </w:r>
      <w:r w:rsidR="000731BA" w:rsidRPr="00785FB4">
        <w:t xml:space="preserve">. </w:t>
      </w:r>
      <w:r w:rsidR="006F0DA5" w:rsidRPr="00785FB4">
        <w:t>A</w:t>
      </w:r>
      <w:r w:rsidR="000731BA" w:rsidRPr="00785FB4">
        <w:t xml:space="preserve"> statement</w:t>
      </w:r>
      <w:r w:rsidR="006F0DA5" w:rsidRPr="00785FB4">
        <w:t xml:space="preserve"> </w:t>
      </w:r>
      <w:r w:rsidR="00B76391">
        <w:t xml:space="preserve">in </w:t>
      </w:r>
      <w:r w:rsidR="006F0DA5" w:rsidRPr="00785FB4">
        <w:t xml:space="preserve">annex to the meeting minutes </w:t>
      </w:r>
      <w:r w:rsidR="00B76391">
        <w:t xml:space="preserve">confirm the </w:t>
      </w:r>
      <w:r w:rsidR="000731BA" w:rsidRPr="00785FB4">
        <w:t>unanimous support</w:t>
      </w:r>
      <w:r w:rsidR="00E272A2" w:rsidRPr="00785FB4">
        <w:t xml:space="preserve"> </w:t>
      </w:r>
      <w:r w:rsidR="00B76391">
        <w:t xml:space="preserve">for industry MSG representatives selected </w:t>
      </w:r>
      <w:r w:rsidR="00397BE6" w:rsidRPr="00785FB4">
        <w:t>for 2017-2020</w:t>
      </w:r>
      <w:r w:rsidR="00D11736" w:rsidRPr="00785FB4">
        <w:t>.</w:t>
      </w:r>
    </w:p>
    <w:p w14:paraId="265C9D2A" w14:textId="09DD2110" w:rsidR="00D07B2A" w:rsidRPr="00785FB4" w:rsidRDefault="002929E0" w:rsidP="006667B4">
      <w:r w:rsidRPr="00785FB4">
        <w:rPr>
          <w:i/>
        </w:rPr>
        <w:t xml:space="preserve">Government representation: </w:t>
      </w:r>
      <w:r w:rsidR="00F60CA8" w:rsidRPr="00785FB4">
        <w:t xml:space="preserve">The first MSG included representatives from </w:t>
      </w:r>
      <w:r w:rsidR="00D65F45" w:rsidRPr="00785FB4">
        <w:t>the MOF, the MOMP, the MFA, the MCI, the MOE and the EPA. It was chaired by the Minister of Finance and the Minister of Mines and Petroleum.</w:t>
      </w:r>
      <w:r w:rsidR="00D65F45" w:rsidRPr="00785FB4">
        <w:rPr>
          <w:rStyle w:val="FootnoteReference"/>
        </w:rPr>
        <w:footnoteReference w:id="100"/>
      </w:r>
      <w:r w:rsidR="00D65F45" w:rsidRPr="00785FB4">
        <w:t xml:space="preserve"> </w:t>
      </w:r>
      <w:r w:rsidR="0039605E" w:rsidRPr="00785FB4">
        <w:t xml:space="preserve">According to the AEITI website at the </w:t>
      </w:r>
      <w:r w:rsidR="00E4130C">
        <w:t>start of Validation</w:t>
      </w:r>
      <w:r w:rsidR="0039605E" w:rsidRPr="00785FB4">
        <w:t>,</w:t>
      </w:r>
      <w:r w:rsidR="0039605E" w:rsidRPr="00785FB4">
        <w:rPr>
          <w:rStyle w:val="FootnoteReference"/>
        </w:rPr>
        <w:footnoteReference w:id="101"/>
      </w:r>
      <w:r w:rsidR="0039605E" w:rsidRPr="00785FB4">
        <w:t xml:space="preserve"> g</w:t>
      </w:r>
      <w:r w:rsidR="006667B4" w:rsidRPr="00785FB4">
        <w:t xml:space="preserve">overnment is represented in the MSG by six members, including a representative from Parliament, and four alternates. </w:t>
      </w:r>
      <w:r w:rsidR="00E4130C">
        <w:t xml:space="preserve">MSG </w:t>
      </w:r>
      <w:r w:rsidR="006667B4" w:rsidRPr="00785FB4">
        <w:t xml:space="preserve">members include two Director Generals from the </w:t>
      </w:r>
      <w:r w:rsidR="00DB56BA" w:rsidRPr="00785FB4">
        <w:t>MOF</w:t>
      </w:r>
      <w:r w:rsidR="006667B4" w:rsidRPr="00785FB4">
        <w:t xml:space="preserve"> (Revenue and Customs), two from the </w:t>
      </w:r>
      <w:r w:rsidR="00DB56BA" w:rsidRPr="00785FB4">
        <w:t>MOMP</w:t>
      </w:r>
      <w:r w:rsidR="009E0CC2" w:rsidRPr="00785FB4">
        <w:t xml:space="preserve"> </w:t>
      </w:r>
      <w:r w:rsidR="006667B4" w:rsidRPr="00785FB4">
        <w:t xml:space="preserve">(Cadastre and Admin/Finance), </w:t>
      </w:r>
      <w:r w:rsidR="00E4130C">
        <w:t xml:space="preserve">one </w:t>
      </w:r>
      <w:r w:rsidR="006667B4" w:rsidRPr="00785FB4">
        <w:t xml:space="preserve">from the Ministry of Trade and Commerce </w:t>
      </w:r>
      <w:r w:rsidR="00E4130C">
        <w:t>as well as</w:t>
      </w:r>
      <w:r w:rsidR="00E4130C" w:rsidRPr="00785FB4">
        <w:t xml:space="preserve"> </w:t>
      </w:r>
      <w:r w:rsidR="006667B4" w:rsidRPr="00785FB4">
        <w:t>the Chair of the Parliamentary Committee on natural resources. T</w:t>
      </w:r>
      <w:r w:rsidR="0039605E" w:rsidRPr="00785FB4">
        <w:t>here are t</w:t>
      </w:r>
      <w:r w:rsidR="006667B4" w:rsidRPr="00785FB4">
        <w:t xml:space="preserve">wo alternates </w:t>
      </w:r>
      <w:r w:rsidR="0039605E" w:rsidRPr="00785FB4">
        <w:t xml:space="preserve">from </w:t>
      </w:r>
      <w:r w:rsidR="006667B4" w:rsidRPr="00785FB4">
        <w:t xml:space="preserve">the </w:t>
      </w:r>
      <w:r w:rsidR="00DB56BA" w:rsidRPr="00785FB4">
        <w:t>MOF</w:t>
      </w:r>
      <w:r w:rsidR="006667B4" w:rsidRPr="00785FB4">
        <w:t xml:space="preserve"> and two </w:t>
      </w:r>
      <w:r w:rsidR="0039605E" w:rsidRPr="00785FB4">
        <w:t xml:space="preserve">from </w:t>
      </w:r>
      <w:r w:rsidR="006667B4" w:rsidRPr="00785FB4">
        <w:t xml:space="preserve">the </w:t>
      </w:r>
      <w:r w:rsidR="00DB56BA" w:rsidRPr="00785FB4">
        <w:t>MOMP</w:t>
      </w:r>
      <w:r w:rsidR="006667B4" w:rsidRPr="00785FB4">
        <w:t xml:space="preserve">. </w:t>
      </w:r>
      <w:r w:rsidR="00D65F45" w:rsidRPr="00785FB4">
        <w:t>Although the process for selecting government representatives is not clear, it is understood that they were selected by the head</w:t>
      </w:r>
      <w:r w:rsidR="00E4130C">
        <w:t>s</w:t>
      </w:r>
      <w:r w:rsidR="00D65F45" w:rsidRPr="00785FB4">
        <w:t xml:space="preserve"> of their respective agency. </w:t>
      </w:r>
    </w:p>
    <w:p w14:paraId="1EBF6F33" w14:textId="5D2022BD" w:rsidR="002D1244" w:rsidRPr="00785FB4" w:rsidRDefault="002929E0" w:rsidP="00E956E1">
      <w:pPr>
        <w:spacing w:before="120"/>
      </w:pPr>
      <w:r w:rsidRPr="00785FB4">
        <w:rPr>
          <w:i/>
          <w:u w:val="single"/>
        </w:rPr>
        <w:t>Terms of reference</w:t>
      </w:r>
      <w:r w:rsidRPr="00785FB4">
        <w:rPr>
          <w:i/>
        </w:rPr>
        <w:t>:</w:t>
      </w:r>
      <w:r w:rsidR="00F93BB0" w:rsidRPr="00785FB4">
        <w:rPr>
          <w:i/>
        </w:rPr>
        <w:t xml:space="preserve"> </w:t>
      </w:r>
      <w:r w:rsidR="00D77D7F" w:rsidRPr="00785FB4">
        <w:t>The</w:t>
      </w:r>
      <w:r w:rsidR="00D77D7F" w:rsidRPr="00785FB4">
        <w:rPr>
          <w:i/>
        </w:rPr>
        <w:t xml:space="preserve"> </w:t>
      </w:r>
      <w:r w:rsidR="00F93BB0" w:rsidRPr="00785FB4">
        <w:t>MSG</w:t>
      </w:r>
      <w:r w:rsidR="00D65F45" w:rsidRPr="00785FB4">
        <w:t xml:space="preserve"> </w:t>
      </w:r>
      <w:r w:rsidR="00D77D7F" w:rsidRPr="00785FB4">
        <w:t>’s</w:t>
      </w:r>
      <w:r w:rsidR="00F93BB0" w:rsidRPr="00785FB4">
        <w:t xml:space="preserve"> </w:t>
      </w:r>
      <w:r w:rsidR="00D65F45" w:rsidRPr="00785FB4">
        <w:t xml:space="preserve">current </w:t>
      </w:r>
      <w:r w:rsidR="00D77D7F" w:rsidRPr="00785FB4">
        <w:t xml:space="preserve">ToR </w:t>
      </w:r>
      <w:r w:rsidR="00F93BB0" w:rsidRPr="00785FB4">
        <w:t xml:space="preserve">are available </w:t>
      </w:r>
      <w:r w:rsidR="00564E4A" w:rsidRPr="00785FB4">
        <w:t xml:space="preserve">(in English only) </w:t>
      </w:r>
      <w:r w:rsidR="00F93BB0" w:rsidRPr="00785FB4">
        <w:t>on the AEITI website.</w:t>
      </w:r>
      <w:r w:rsidR="00F93BB0" w:rsidRPr="00785FB4">
        <w:rPr>
          <w:rStyle w:val="FootnoteReference"/>
        </w:rPr>
        <w:footnoteReference w:id="102"/>
      </w:r>
      <w:r w:rsidR="00F93BB0" w:rsidRPr="00785FB4">
        <w:t xml:space="preserve"> The</w:t>
      </w:r>
      <w:r w:rsidR="00715103" w:rsidRPr="00785FB4">
        <w:t xml:space="preserve"> T</w:t>
      </w:r>
      <w:r w:rsidR="00D77D7F" w:rsidRPr="00785FB4">
        <w:t>o</w:t>
      </w:r>
      <w:r w:rsidR="00715103" w:rsidRPr="00785FB4">
        <w:t>R confirm the responsibility of the MSG to oversee implementation and “ensure that the findings contribute to public debate”. The T</w:t>
      </w:r>
      <w:r w:rsidR="00410777" w:rsidRPr="00785FB4">
        <w:t>o</w:t>
      </w:r>
      <w:r w:rsidR="00715103" w:rsidRPr="00785FB4">
        <w:t>R also confirm the MSG’s ability to govern itself, approve annual work plans, appoint the IA and its T</w:t>
      </w:r>
      <w:r w:rsidR="00410777" w:rsidRPr="00785FB4">
        <w:t>o</w:t>
      </w:r>
      <w:r w:rsidR="00715103" w:rsidRPr="00785FB4">
        <w:t xml:space="preserve">R, publish information required by the EITI Standard and approve annual progress reports as well as engage on Validation (p.1). </w:t>
      </w:r>
    </w:p>
    <w:p w14:paraId="376CB215" w14:textId="2669015F" w:rsidR="002929E0" w:rsidRPr="00785FB4" w:rsidRDefault="002929E0" w:rsidP="00E956E1">
      <w:pPr>
        <w:spacing w:before="120"/>
      </w:pPr>
      <w:r w:rsidRPr="00785FB4">
        <w:rPr>
          <w:i/>
        </w:rPr>
        <w:t>Internal governance and procedures:</w:t>
      </w:r>
      <w:r w:rsidR="00E00638" w:rsidRPr="00785FB4">
        <w:t xml:space="preserve"> The T</w:t>
      </w:r>
      <w:r w:rsidR="00410777" w:rsidRPr="00785FB4">
        <w:t>o</w:t>
      </w:r>
      <w:r w:rsidR="00E00638" w:rsidRPr="00785FB4">
        <w:t xml:space="preserve">R establish the MSG’s obligation to create working groups </w:t>
      </w:r>
      <w:r w:rsidR="00A709C5" w:rsidRPr="00785FB4">
        <w:t xml:space="preserve">to </w:t>
      </w:r>
      <w:r w:rsidR="00E00638" w:rsidRPr="00785FB4">
        <w:t>discuss issues of impo</w:t>
      </w:r>
      <w:r w:rsidR="00564E4A" w:rsidRPr="00785FB4">
        <w:t>rtance to the MSG</w:t>
      </w:r>
      <w:r w:rsidR="00E00638" w:rsidRPr="00785FB4">
        <w:t>.</w:t>
      </w:r>
      <w:r w:rsidR="00E00638" w:rsidRPr="00785FB4">
        <w:rPr>
          <w:rStyle w:val="FootnoteReference"/>
        </w:rPr>
        <w:footnoteReference w:id="103"/>
      </w:r>
      <w:r w:rsidR="00E00638" w:rsidRPr="00785FB4">
        <w:t xml:space="preserve"> </w:t>
      </w:r>
      <w:r w:rsidR="00A709C5" w:rsidRPr="00785FB4">
        <w:t xml:space="preserve">It is explicitly stated that said working </w:t>
      </w:r>
      <w:r w:rsidR="004F7BCD" w:rsidRPr="00785FB4">
        <w:t xml:space="preserve">groups do not have </w:t>
      </w:r>
      <w:r w:rsidR="004F7BCD" w:rsidRPr="00785FB4">
        <w:lastRenderedPageBreak/>
        <w:t>delegated decision-making authority.</w:t>
      </w:r>
      <w:r w:rsidR="00A709C5" w:rsidRPr="00785FB4">
        <w:t xml:space="preserve"> </w:t>
      </w:r>
      <w:r w:rsidR="00E00638" w:rsidRPr="00785FB4">
        <w:t>The T</w:t>
      </w:r>
      <w:r w:rsidR="00881AB3" w:rsidRPr="00785FB4">
        <w:t>o</w:t>
      </w:r>
      <w:r w:rsidR="00E00638" w:rsidRPr="00785FB4">
        <w:t xml:space="preserve">R set a minimum meeting </w:t>
      </w:r>
      <w:r w:rsidR="00E4130C">
        <w:t xml:space="preserve">frequency of </w:t>
      </w:r>
      <w:r w:rsidR="00E00638" w:rsidRPr="00785FB4">
        <w:t>once a quarter</w:t>
      </w:r>
      <w:r w:rsidR="00E4130C">
        <w:t>,</w:t>
      </w:r>
      <w:r w:rsidR="00564E4A" w:rsidRPr="00785FB4">
        <w:t xml:space="preserve"> while constituencies are expected to meet </w:t>
      </w:r>
      <w:r w:rsidR="00E4130C">
        <w:t>monthly</w:t>
      </w:r>
      <w:r w:rsidR="00564E4A" w:rsidRPr="00785FB4">
        <w:t>.</w:t>
      </w:r>
      <w:r w:rsidR="00C2482A" w:rsidRPr="00785FB4">
        <w:t xml:space="preserve"> While meeting minutes show that the MSG has consistently met at least quarterly, there is no evidence of constituency meetings.</w:t>
      </w:r>
      <w:r w:rsidR="0070656D">
        <w:t xml:space="preserve"> </w:t>
      </w:r>
      <w:r w:rsidR="0070656D" w:rsidRPr="00785FB4">
        <w:t>The ToR require meeting documents to be submitted at least ten days before each MSG meetings and minutes to be made available on the AEITI website within 72 hours of meetings being held.</w:t>
      </w:r>
      <w:r w:rsidR="0070656D">
        <w:t xml:space="preserve"> </w:t>
      </w:r>
      <w:r w:rsidR="0038455F" w:rsidRPr="00785FB4">
        <w:t>The T</w:t>
      </w:r>
      <w:r w:rsidR="00881AB3" w:rsidRPr="00785FB4">
        <w:t>o</w:t>
      </w:r>
      <w:r w:rsidR="0038455F" w:rsidRPr="00785FB4">
        <w:t>R confirm the MSG</w:t>
      </w:r>
      <w:r w:rsidR="00881AB3" w:rsidRPr="00785FB4">
        <w:t>’s</w:t>
      </w:r>
      <w:r w:rsidR="0038455F" w:rsidRPr="00785FB4">
        <w:t xml:space="preserve"> obligation to submit annual activity reports and develop work plans and agree EITI Reports.</w:t>
      </w:r>
      <w:r w:rsidR="00C2482A" w:rsidRPr="00785FB4">
        <w:rPr>
          <w:rStyle w:val="FootnoteReference"/>
        </w:rPr>
        <w:footnoteReference w:id="104"/>
      </w:r>
      <w:r w:rsidR="0038455F" w:rsidRPr="00785FB4">
        <w:t xml:space="preserve"> </w:t>
      </w:r>
    </w:p>
    <w:p w14:paraId="6577C249" w14:textId="6094F216" w:rsidR="00050132" w:rsidRPr="00785FB4" w:rsidRDefault="002929E0" w:rsidP="001D2A50">
      <w:pPr>
        <w:spacing w:before="120"/>
      </w:pPr>
      <w:r w:rsidRPr="00785FB4">
        <w:rPr>
          <w:i/>
        </w:rPr>
        <w:t>Decision-making</w:t>
      </w:r>
      <w:r w:rsidRPr="00785FB4">
        <w:t xml:space="preserve">: </w:t>
      </w:r>
      <w:r w:rsidR="00564E4A" w:rsidRPr="00785FB4">
        <w:t>The T</w:t>
      </w:r>
      <w:r w:rsidR="00881AB3" w:rsidRPr="00785FB4">
        <w:t>o</w:t>
      </w:r>
      <w:r w:rsidR="00564E4A" w:rsidRPr="00785FB4">
        <w:t>R establish the principle of inclusive decision-making</w:t>
      </w:r>
      <w:r w:rsidR="00465069">
        <w:rPr>
          <w:rStyle w:val="FootnoteReference"/>
        </w:rPr>
        <w:footnoteReference w:id="105"/>
      </w:r>
      <w:r w:rsidR="00564E4A" w:rsidRPr="00785FB4">
        <w:t>, with each constituency treated as a partner. In the absence of consensus, resolutions are to be “adopted by a qualified majority and include support from all the constituencies”.</w:t>
      </w:r>
      <w:r w:rsidR="00036D68" w:rsidRPr="00785FB4">
        <w:t xml:space="preserve"> Decision-making through voting requires the approval of the Chair and the Co-Chair (p.7). </w:t>
      </w:r>
      <w:r w:rsidR="004854FB" w:rsidRPr="00785FB4">
        <w:t xml:space="preserve">There is no evidence from meeting minutes of </w:t>
      </w:r>
      <w:r w:rsidR="00465069">
        <w:t>deviations from these principles in practice</w:t>
      </w:r>
      <w:r w:rsidR="004854FB" w:rsidRPr="00785FB4">
        <w:t>.</w:t>
      </w:r>
    </w:p>
    <w:p w14:paraId="6D4D5BC8" w14:textId="6370F5D3" w:rsidR="00C008D7" w:rsidRPr="00785FB4" w:rsidRDefault="002929E0" w:rsidP="00FD013B">
      <w:r w:rsidRPr="00785FB4">
        <w:rPr>
          <w:i/>
        </w:rPr>
        <w:t>Record-keeping</w:t>
      </w:r>
      <w:r w:rsidRPr="00785FB4">
        <w:t xml:space="preserve">: </w:t>
      </w:r>
      <w:r w:rsidR="00036D68" w:rsidRPr="00785FB4">
        <w:t>The T</w:t>
      </w:r>
      <w:r w:rsidR="00881AB3" w:rsidRPr="00785FB4">
        <w:t>o</w:t>
      </w:r>
      <w:r w:rsidR="00036D68" w:rsidRPr="00785FB4">
        <w:t xml:space="preserve">R state that “full minutes” should be shared with MSG members and made available on the AEITI website within 72 hours of a meeting being held. Minutes are designated “full minutes” when they include information on attendance, summarised statements and action points. </w:t>
      </w:r>
      <w:r w:rsidR="00035FCC" w:rsidRPr="00785FB4">
        <w:t>At the beginning of Validation, t</w:t>
      </w:r>
      <w:r w:rsidR="00036D68" w:rsidRPr="00785FB4">
        <w:t>he AEITI website include</w:t>
      </w:r>
      <w:r w:rsidR="00035FCC" w:rsidRPr="00785FB4">
        <w:t>d</w:t>
      </w:r>
      <w:r w:rsidR="00036D68" w:rsidRPr="00785FB4">
        <w:t xml:space="preserve"> minutes from MSG meetings for the period 2009-2017.</w:t>
      </w:r>
      <w:r w:rsidR="00036D68" w:rsidRPr="00785FB4">
        <w:rPr>
          <w:rStyle w:val="FootnoteReference"/>
        </w:rPr>
        <w:footnoteReference w:id="106"/>
      </w:r>
    </w:p>
    <w:p w14:paraId="21A9F1C0" w14:textId="3583BCDB" w:rsidR="002929E0" w:rsidRPr="00785FB4" w:rsidRDefault="002929E0" w:rsidP="00CD1619">
      <w:pPr>
        <w:spacing w:before="120"/>
      </w:pPr>
      <w:r w:rsidRPr="00785FB4">
        <w:rPr>
          <w:i/>
        </w:rPr>
        <w:t>Capacity</w:t>
      </w:r>
      <w:r w:rsidR="00E956E1" w:rsidRPr="00785FB4">
        <w:rPr>
          <w:i/>
        </w:rPr>
        <w:t xml:space="preserve"> of the MS</w:t>
      </w:r>
      <w:r w:rsidR="00CD1619" w:rsidRPr="00785FB4">
        <w:rPr>
          <w:i/>
        </w:rPr>
        <w:t>G</w:t>
      </w:r>
      <w:r w:rsidRPr="00785FB4">
        <w:rPr>
          <w:i/>
        </w:rPr>
        <w:t xml:space="preserve">: </w:t>
      </w:r>
      <w:r w:rsidR="004F7BCD" w:rsidRPr="00785FB4">
        <w:t>The T</w:t>
      </w:r>
      <w:r w:rsidR="00C15A11" w:rsidRPr="00785FB4">
        <w:t>o</w:t>
      </w:r>
      <w:r w:rsidR="004F7BCD" w:rsidRPr="00785FB4">
        <w:t>R establish that MSG members “must have the required capacity to carry out MSG duties” and “should have relevant background experiences”</w:t>
      </w:r>
      <w:r w:rsidR="00C2482A" w:rsidRPr="00785FB4">
        <w:t>.</w:t>
      </w:r>
      <w:r w:rsidR="00C2482A" w:rsidRPr="00785FB4">
        <w:rPr>
          <w:rStyle w:val="FootnoteReference"/>
        </w:rPr>
        <w:footnoteReference w:id="107"/>
      </w:r>
      <w:r w:rsidR="00D11736" w:rsidRPr="00785FB4">
        <w:t xml:space="preserve"> </w:t>
      </w:r>
      <w:r w:rsidR="00C15A11" w:rsidRPr="00785FB4">
        <w:t xml:space="preserve">Civil society </w:t>
      </w:r>
      <w:r w:rsidR="00D11736" w:rsidRPr="00785FB4">
        <w:t>and industry procedures for selecting MSG memb</w:t>
      </w:r>
      <w:r w:rsidR="00035FCC" w:rsidRPr="00785FB4">
        <w:t xml:space="preserve">ers include a requirement that </w:t>
      </w:r>
      <w:r w:rsidR="00D11736" w:rsidRPr="00785FB4">
        <w:t xml:space="preserve">candidates have adequate capacity to represent their constituency’s interests, without further explanation. </w:t>
      </w:r>
      <w:r w:rsidR="00412068" w:rsidRPr="00785FB4">
        <w:t xml:space="preserve">The AEITI </w:t>
      </w:r>
      <w:r w:rsidR="00041DCB" w:rsidRPr="00785FB4">
        <w:t xml:space="preserve">2017 </w:t>
      </w:r>
      <w:r w:rsidR="00412068" w:rsidRPr="00785FB4">
        <w:t>procurement plan</w:t>
      </w:r>
      <w:r w:rsidR="00D11736" w:rsidRPr="00785FB4">
        <w:t xml:space="preserve"> </w:t>
      </w:r>
      <w:r w:rsidR="00412068" w:rsidRPr="00785FB4">
        <w:t>includes</w:t>
      </w:r>
      <w:r w:rsidR="00041DCB" w:rsidRPr="00785FB4">
        <w:t xml:space="preserve"> </w:t>
      </w:r>
      <w:r w:rsidR="0070656D">
        <w:t>funds for capacity-building both of the MSG, national secretariat and MOMP staff</w:t>
      </w:r>
      <w:r w:rsidR="00035FCC" w:rsidRPr="00785FB4">
        <w:t xml:space="preserve"> (</w:t>
      </w:r>
      <w:r w:rsidR="00035FCC" w:rsidRPr="00785FB4">
        <w:rPr>
          <w:i/>
        </w:rPr>
        <w:t>see Requirement 1.5</w:t>
      </w:r>
      <w:r w:rsidR="00035FCC" w:rsidRPr="00785FB4">
        <w:t>)</w:t>
      </w:r>
      <w:r w:rsidR="00041DCB" w:rsidRPr="00785FB4">
        <w:t>.</w:t>
      </w:r>
      <w:r w:rsidR="00D11736" w:rsidRPr="00785FB4">
        <w:t xml:space="preserve"> </w:t>
      </w:r>
      <w:r w:rsidR="004E5184" w:rsidRPr="00785FB4">
        <w:t xml:space="preserve">Democracy International’s 2017 </w:t>
      </w:r>
      <w:r w:rsidR="0070656D">
        <w:t>r</w:t>
      </w:r>
      <w:r w:rsidR="004E5184" w:rsidRPr="00785FB4">
        <w:t>eview concluded that “MSG effectiveness is hindered by unqualified and disengaged members, insufficient government participation, informal and unstructured working groups, and language constraints”</w:t>
      </w:r>
      <w:r w:rsidR="00C2482A" w:rsidRPr="00785FB4">
        <w:t>.</w:t>
      </w:r>
      <w:r w:rsidR="00C2482A" w:rsidRPr="00785FB4">
        <w:rPr>
          <w:rStyle w:val="FootnoteReference"/>
        </w:rPr>
        <w:footnoteReference w:id="108"/>
      </w:r>
    </w:p>
    <w:p w14:paraId="245D8D76" w14:textId="0661C46A" w:rsidR="00FD013B" w:rsidRPr="00785FB4" w:rsidRDefault="002929E0" w:rsidP="00E956E1">
      <w:pPr>
        <w:spacing w:before="120"/>
      </w:pPr>
      <w:r w:rsidRPr="00785FB4">
        <w:rPr>
          <w:i/>
        </w:rPr>
        <w:t>Per diems:</w:t>
      </w:r>
      <w:r w:rsidRPr="00785FB4">
        <w:t xml:space="preserve"> </w:t>
      </w:r>
      <w:r w:rsidR="005A25DD" w:rsidRPr="00785FB4">
        <w:t>Although not explicitly stated in the MSG</w:t>
      </w:r>
      <w:r w:rsidR="00C15A11" w:rsidRPr="00785FB4">
        <w:t>’s</w:t>
      </w:r>
      <w:r w:rsidR="005A25DD" w:rsidRPr="00785FB4">
        <w:t xml:space="preserve"> T</w:t>
      </w:r>
      <w:r w:rsidR="00C15A11" w:rsidRPr="00785FB4">
        <w:t>o</w:t>
      </w:r>
      <w:r w:rsidR="005A25DD" w:rsidRPr="00785FB4">
        <w:t>R or on AEITI’s website, t</w:t>
      </w:r>
      <w:r w:rsidR="00564E4A" w:rsidRPr="00785FB4">
        <w:t>here</w:t>
      </w:r>
      <w:r w:rsidR="005A25DD" w:rsidRPr="00785FB4">
        <w:t xml:space="preserve"> </w:t>
      </w:r>
      <w:r w:rsidR="00564E4A" w:rsidRPr="00785FB4">
        <w:t xml:space="preserve">are no provisions for per diems to be payed or </w:t>
      </w:r>
      <w:r w:rsidR="004854FB" w:rsidRPr="00785FB4">
        <w:t>evidence</w:t>
      </w:r>
      <w:r w:rsidR="00564E4A" w:rsidRPr="00785FB4">
        <w:t xml:space="preserve"> that any such payments are made in practice.</w:t>
      </w:r>
      <w:r w:rsidR="005A25DD" w:rsidRPr="00785FB4">
        <w:t xml:space="preserve"> </w:t>
      </w:r>
    </w:p>
    <w:p w14:paraId="20C75B08" w14:textId="3827BE75" w:rsidR="00034884" w:rsidRPr="00785FB4" w:rsidRDefault="002929E0" w:rsidP="00FE345D">
      <w:pPr>
        <w:spacing w:before="120"/>
      </w:pPr>
      <w:r w:rsidRPr="00785FB4">
        <w:rPr>
          <w:i/>
          <w:u w:val="single"/>
        </w:rPr>
        <w:t>Attendance</w:t>
      </w:r>
      <w:r w:rsidRPr="00785FB4">
        <w:rPr>
          <w:i/>
        </w:rPr>
        <w:t>:</w:t>
      </w:r>
      <w:r w:rsidRPr="00785FB4">
        <w:t xml:space="preserve"> </w:t>
      </w:r>
      <w:r w:rsidR="0070656D">
        <w:t>The ToR defines q</w:t>
      </w:r>
      <w:r w:rsidR="0070656D" w:rsidRPr="00785FB4">
        <w:t xml:space="preserve">uorum as “when at least 10 members (50% - with a minimum of three members from each constituency) are present” (p.6). </w:t>
      </w:r>
      <w:r w:rsidR="0070656D">
        <w:t>T</w:t>
      </w:r>
      <w:r w:rsidR="0070656D" w:rsidRPr="00785FB4">
        <w:t>here is no indication that any of the meetings held in 2017 were officially quorate.</w:t>
      </w:r>
      <w:r w:rsidR="0070656D">
        <w:t xml:space="preserve"> </w:t>
      </w:r>
      <w:r w:rsidR="009F3DFE" w:rsidRPr="00785FB4">
        <w:t>The T</w:t>
      </w:r>
      <w:r w:rsidR="00C15A11" w:rsidRPr="00785FB4">
        <w:t>o</w:t>
      </w:r>
      <w:r w:rsidR="009F3DFE" w:rsidRPr="00785FB4">
        <w:t xml:space="preserve">R </w:t>
      </w:r>
      <w:r w:rsidR="0070656D">
        <w:t xml:space="preserve">state </w:t>
      </w:r>
      <w:r w:rsidR="009F3DFE" w:rsidRPr="00785FB4">
        <w:t xml:space="preserve">that missing two consecutive MSG meeting “without prior notification and legitimate reasons” will lead the MSG to “review their membership so that it can make decision about their membership. The decision will be announced in the next MSG meetings, that might be replacement by another member from the same group” (p.2). Attendance is often noted in MSG </w:t>
      </w:r>
      <w:r w:rsidR="009F3DFE" w:rsidRPr="00785FB4">
        <w:lastRenderedPageBreak/>
        <w:t>minutes, although not consistently. Although an analysis of attendance in MSG meetings on the basis of available minutes suggests that although meetings always include at least one representatives from each of the constituencies</w:t>
      </w:r>
      <w:r w:rsidR="00035FCC" w:rsidRPr="00785FB4">
        <w:t>,</w:t>
      </w:r>
      <w:r w:rsidR="009F3DFE" w:rsidRPr="00785FB4">
        <w:t xml:space="preserve"> there are frequent absences (see Annex B). There is no record </w:t>
      </w:r>
      <w:r w:rsidR="00351491" w:rsidRPr="00785FB4">
        <w:t xml:space="preserve">of any </w:t>
      </w:r>
      <w:r w:rsidR="0070656D">
        <w:t xml:space="preserve">review of </w:t>
      </w:r>
      <w:r w:rsidR="00351491" w:rsidRPr="00785FB4">
        <w:t xml:space="preserve">MSG </w:t>
      </w:r>
      <w:r w:rsidR="00C15A11" w:rsidRPr="00785FB4">
        <w:t xml:space="preserve">representative’s </w:t>
      </w:r>
      <w:r w:rsidR="00351491" w:rsidRPr="00785FB4">
        <w:t xml:space="preserve">membership following repeated consecutive </w:t>
      </w:r>
      <w:r w:rsidR="009F3DFE" w:rsidRPr="00785FB4">
        <w:t xml:space="preserve">absences. </w:t>
      </w:r>
      <w:r w:rsidR="0070656D">
        <w:t>A</w:t>
      </w:r>
      <w:r w:rsidR="009F3DFE" w:rsidRPr="00785FB4">
        <w:t>nalysis of MSG meeting attendance suggests that some observers such as the World Bank consistently participate in MSG meetings.</w:t>
      </w:r>
      <w:r w:rsidR="004F7BCD" w:rsidRPr="00785FB4">
        <w:t xml:space="preserve"> </w:t>
      </w:r>
      <w:r w:rsidR="00FD01EE" w:rsidRPr="00785FB4">
        <w:t xml:space="preserve">Democracy International’s 2017 AEITI Institutional Assessment </w:t>
      </w:r>
      <w:r w:rsidR="00412D99" w:rsidRPr="00785FB4">
        <w:t xml:space="preserve">noted concerns that </w:t>
      </w:r>
      <w:r w:rsidR="00FD01EE" w:rsidRPr="00785FB4">
        <w:t xml:space="preserve">the participation of observers </w:t>
      </w:r>
      <w:r w:rsidR="00412D99" w:rsidRPr="00785FB4">
        <w:t>should “</w:t>
      </w:r>
      <w:r w:rsidR="00FD01EE" w:rsidRPr="00785FB4">
        <w:t xml:space="preserve">be moderated to allow fuller participation from less assertive MSG members” and </w:t>
      </w:r>
      <w:r w:rsidR="00412D99" w:rsidRPr="00785FB4">
        <w:t xml:space="preserve">recommended </w:t>
      </w:r>
      <w:r w:rsidR="00FD01EE" w:rsidRPr="00785FB4">
        <w:t>that the role of observers be formally defined “to non-speaking roles unless formally invited by the MSG to address the MSG</w:t>
      </w:r>
      <w:r w:rsidR="00412D99" w:rsidRPr="00785FB4">
        <w:t>”</w:t>
      </w:r>
      <w:r w:rsidR="00FD01EE" w:rsidRPr="00785FB4">
        <w:t xml:space="preserve"> (p.14). </w:t>
      </w:r>
    </w:p>
    <w:p w14:paraId="537F658C" w14:textId="5302717E" w:rsidR="00034884" w:rsidRPr="00785FB4" w:rsidRDefault="00CD1619" w:rsidP="00E956E1">
      <w:pPr>
        <w:spacing w:before="120"/>
      </w:pPr>
      <w:r w:rsidRPr="00785FB4">
        <w:rPr>
          <w:i/>
          <w:u w:val="single"/>
        </w:rPr>
        <w:t>National secretariat</w:t>
      </w:r>
      <w:r w:rsidRPr="00785FB4">
        <w:t xml:space="preserve">: </w:t>
      </w:r>
      <w:r w:rsidR="00564E4A" w:rsidRPr="00785FB4">
        <w:t>The T</w:t>
      </w:r>
      <w:r w:rsidR="00C15A11" w:rsidRPr="00785FB4">
        <w:t>o</w:t>
      </w:r>
      <w:r w:rsidR="00564E4A" w:rsidRPr="00785FB4">
        <w:t xml:space="preserve">R establish the MSG’s obligation to ensure that an AEITI secretariat “is adequately funded and staffed” (p.2). </w:t>
      </w:r>
      <w:r w:rsidR="004F7BCD" w:rsidRPr="00785FB4">
        <w:t xml:space="preserve">Provision 3 establishes the secretariat’s obligation through the National Coordinator to “monitor implementation of the EITI work plan and report its findings to the MSG members”. </w:t>
      </w:r>
      <w:r w:rsidR="00564E4A" w:rsidRPr="00785FB4">
        <w:t>Provision 5.i establishes the secretariat’s right to participate in meetings b</w:t>
      </w:r>
      <w:r w:rsidR="004F7BCD" w:rsidRPr="00785FB4">
        <w:t xml:space="preserve">ut not to vote on any decision. </w:t>
      </w:r>
      <w:r w:rsidR="00D11736" w:rsidRPr="00785FB4">
        <w:t xml:space="preserve">The AEITI 2017 procurement plan confirms that secretariat staff are employed by the Ministry of Finance </w:t>
      </w:r>
      <w:r w:rsidR="005212AF" w:rsidRPr="00785FB4">
        <w:t xml:space="preserve">with funding </w:t>
      </w:r>
      <w:r w:rsidR="00035FCC" w:rsidRPr="00785FB4">
        <w:t xml:space="preserve">provided </w:t>
      </w:r>
      <w:r w:rsidR="005212AF" w:rsidRPr="00785FB4">
        <w:t xml:space="preserve">by the World Bank. MSG meeting minutes from July-December 2017 show that </w:t>
      </w:r>
      <w:r w:rsidR="00035FCC" w:rsidRPr="00785FB4">
        <w:t xml:space="preserve">the </w:t>
      </w:r>
      <w:r w:rsidR="005212AF" w:rsidRPr="00785FB4">
        <w:t>select</w:t>
      </w:r>
      <w:r w:rsidR="00035FCC" w:rsidRPr="00785FB4">
        <w:t>ion of</w:t>
      </w:r>
      <w:r w:rsidR="005212AF" w:rsidRPr="00785FB4">
        <w:t xml:space="preserve"> a new </w:t>
      </w:r>
      <w:r w:rsidR="00E875CA" w:rsidRPr="00785FB4">
        <w:t>N</w:t>
      </w:r>
      <w:r w:rsidR="005212AF" w:rsidRPr="00785FB4">
        <w:t xml:space="preserve">ational </w:t>
      </w:r>
      <w:r w:rsidR="00E875CA" w:rsidRPr="00785FB4">
        <w:t>C</w:t>
      </w:r>
      <w:r w:rsidR="005212AF" w:rsidRPr="00785FB4">
        <w:t>oordinator has been regularly discussed by the MSG.</w:t>
      </w:r>
      <w:r w:rsidR="00A93077" w:rsidRPr="00785FB4">
        <w:t xml:space="preserve"> </w:t>
      </w:r>
    </w:p>
    <w:p w14:paraId="6D0AA577" w14:textId="31DEA231" w:rsidR="007B124A" w:rsidRPr="00785FB4" w:rsidRDefault="002929E0" w:rsidP="00A94167">
      <w:pPr>
        <w:pStyle w:val="Heading3"/>
      </w:pPr>
      <w:bookmarkStart w:id="145" w:name="_Toc505449582"/>
      <w:r w:rsidRPr="00785FB4">
        <w:t>St</w:t>
      </w:r>
      <w:bookmarkStart w:id="146" w:name="MSGstakeholderviews"/>
      <w:bookmarkEnd w:id="146"/>
      <w:r w:rsidRPr="00785FB4">
        <w:t>akeholder views</w:t>
      </w:r>
      <w:bookmarkEnd w:id="145"/>
      <w:r w:rsidR="00027AC3" w:rsidRPr="00785FB4">
        <w:t xml:space="preserve"> </w:t>
      </w:r>
    </w:p>
    <w:p w14:paraId="0D095F2E" w14:textId="5155476F" w:rsidR="00736108" w:rsidRPr="00785FB4" w:rsidRDefault="00BD694A" w:rsidP="00CD3686">
      <w:pPr>
        <w:spacing w:before="120"/>
        <w:rPr>
          <w:bCs/>
        </w:rPr>
      </w:pPr>
      <w:r w:rsidRPr="00785FB4">
        <w:rPr>
          <w:i/>
          <w:u w:val="single"/>
        </w:rPr>
        <w:t>MSG composition and membership</w:t>
      </w:r>
      <w:r w:rsidR="00041DCB" w:rsidRPr="00785FB4">
        <w:rPr>
          <w:bCs/>
        </w:rPr>
        <w:t xml:space="preserve">: </w:t>
      </w:r>
      <w:r w:rsidR="00736108" w:rsidRPr="00785FB4">
        <w:rPr>
          <w:bCs/>
        </w:rPr>
        <w:t xml:space="preserve">Stakeholders from CSO not represented on the MSG </w:t>
      </w:r>
      <w:r w:rsidR="0039605E" w:rsidRPr="00785FB4">
        <w:rPr>
          <w:bCs/>
        </w:rPr>
        <w:t>expressed frustration</w:t>
      </w:r>
      <w:r w:rsidR="00736108" w:rsidRPr="00785FB4">
        <w:rPr>
          <w:bCs/>
        </w:rPr>
        <w:t xml:space="preserve"> that the constituency’s selection </w:t>
      </w:r>
      <w:r w:rsidR="00D33EC7" w:rsidRPr="00785FB4">
        <w:rPr>
          <w:bCs/>
        </w:rPr>
        <w:t xml:space="preserve">process had not been opened to organisations </w:t>
      </w:r>
      <w:r w:rsidR="0070656D">
        <w:rPr>
          <w:bCs/>
        </w:rPr>
        <w:t xml:space="preserve">outside of </w:t>
      </w:r>
      <w:r w:rsidR="00D33EC7" w:rsidRPr="00785FB4">
        <w:rPr>
          <w:bCs/>
        </w:rPr>
        <w:t xml:space="preserve">IWA or ENRMN. An MSG member from ENRMN confirmed this </w:t>
      </w:r>
      <w:r w:rsidR="0070656D">
        <w:rPr>
          <w:bCs/>
        </w:rPr>
        <w:t>was</w:t>
      </w:r>
      <w:r w:rsidR="00D33EC7" w:rsidRPr="00785FB4">
        <w:rPr>
          <w:bCs/>
        </w:rPr>
        <w:t xml:space="preserve"> a fault of the proc</w:t>
      </w:r>
      <w:r w:rsidR="00041DCB" w:rsidRPr="00785FB4">
        <w:rPr>
          <w:bCs/>
        </w:rPr>
        <w:t xml:space="preserve">ess that </w:t>
      </w:r>
      <w:r w:rsidR="0070656D">
        <w:rPr>
          <w:bCs/>
        </w:rPr>
        <w:t xml:space="preserve">should </w:t>
      </w:r>
      <w:r w:rsidR="00041DCB" w:rsidRPr="00785FB4">
        <w:rPr>
          <w:bCs/>
        </w:rPr>
        <w:t xml:space="preserve">be addressed. Email exchanges </w:t>
      </w:r>
      <w:r w:rsidR="00035FCC" w:rsidRPr="00785FB4">
        <w:rPr>
          <w:bCs/>
        </w:rPr>
        <w:t xml:space="preserve">in 2016 </w:t>
      </w:r>
      <w:r w:rsidR="00041DCB" w:rsidRPr="00785FB4">
        <w:rPr>
          <w:bCs/>
        </w:rPr>
        <w:t xml:space="preserve">show that the process of selecting CSO representation was </w:t>
      </w:r>
      <w:r w:rsidR="000E76B3" w:rsidRPr="00785FB4">
        <w:rPr>
          <w:bCs/>
        </w:rPr>
        <w:t>fraught with dis</w:t>
      </w:r>
      <w:r w:rsidR="0001207E" w:rsidRPr="00785FB4">
        <w:rPr>
          <w:bCs/>
        </w:rPr>
        <w:t>agreements between IWA and ENRMN</w:t>
      </w:r>
      <w:r w:rsidR="0039605E" w:rsidRPr="00785FB4">
        <w:rPr>
          <w:bCs/>
        </w:rPr>
        <w:t>,</w:t>
      </w:r>
      <w:r w:rsidR="0001207E" w:rsidRPr="00785FB4">
        <w:rPr>
          <w:bCs/>
        </w:rPr>
        <w:t xml:space="preserve"> and a former secretariat </w:t>
      </w:r>
      <w:r w:rsidR="0070656D">
        <w:rPr>
          <w:bCs/>
        </w:rPr>
        <w:t xml:space="preserve">staff </w:t>
      </w:r>
      <w:r w:rsidR="0001207E" w:rsidRPr="00785FB4">
        <w:rPr>
          <w:bCs/>
        </w:rPr>
        <w:t>explained that the process end</w:t>
      </w:r>
      <w:r w:rsidR="0070656D">
        <w:rPr>
          <w:bCs/>
        </w:rPr>
        <w:t>ed</w:t>
      </w:r>
      <w:r w:rsidR="0001207E" w:rsidRPr="00785FB4">
        <w:rPr>
          <w:bCs/>
        </w:rPr>
        <w:t xml:space="preserve"> </w:t>
      </w:r>
      <w:r w:rsidR="0070656D">
        <w:rPr>
          <w:bCs/>
        </w:rPr>
        <w:t xml:space="preserve">up being </w:t>
      </w:r>
      <w:r w:rsidR="0001207E" w:rsidRPr="00785FB4">
        <w:rPr>
          <w:bCs/>
        </w:rPr>
        <w:t xml:space="preserve">a power-sharing compromise between the two. </w:t>
      </w:r>
      <w:r w:rsidR="0070656D">
        <w:rPr>
          <w:bCs/>
        </w:rPr>
        <w:t xml:space="preserve">One </w:t>
      </w:r>
      <w:r w:rsidR="0001207E" w:rsidRPr="00785FB4">
        <w:rPr>
          <w:bCs/>
        </w:rPr>
        <w:t xml:space="preserve">CSO not on the MSG </w:t>
      </w:r>
      <w:r w:rsidR="0070656D">
        <w:rPr>
          <w:bCs/>
        </w:rPr>
        <w:t xml:space="preserve">considered it </w:t>
      </w:r>
      <w:r w:rsidR="0001207E" w:rsidRPr="00785FB4">
        <w:rPr>
          <w:bCs/>
        </w:rPr>
        <w:t xml:space="preserve">unfortunate </w:t>
      </w:r>
      <w:r w:rsidR="0070656D">
        <w:rPr>
          <w:bCs/>
        </w:rPr>
        <w:t xml:space="preserve">that </w:t>
      </w:r>
      <w:r w:rsidR="0001207E" w:rsidRPr="00785FB4">
        <w:rPr>
          <w:bCs/>
        </w:rPr>
        <w:t xml:space="preserve">this compromise </w:t>
      </w:r>
      <w:r w:rsidR="0070656D">
        <w:rPr>
          <w:bCs/>
        </w:rPr>
        <w:t xml:space="preserve">resulted in </w:t>
      </w:r>
      <w:r w:rsidR="0001207E" w:rsidRPr="00785FB4">
        <w:rPr>
          <w:bCs/>
        </w:rPr>
        <w:t>the two groups align</w:t>
      </w:r>
      <w:r w:rsidR="0070656D">
        <w:rPr>
          <w:bCs/>
        </w:rPr>
        <w:t>ing</w:t>
      </w:r>
      <w:r w:rsidR="0001207E" w:rsidRPr="00785FB4">
        <w:rPr>
          <w:bCs/>
        </w:rPr>
        <w:t xml:space="preserve"> their </w:t>
      </w:r>
      <w:r w:rsidR="0070656D">
        <w:rPr>
          <w:bCs/>
        </w:rPr>
        <w:t xml:space="preserve">opinions and not representing </w:t>
      </w:r>
      <w:r w:rsidR="0001207E" w:rsidRPr="00785FB4">
        <w:rPr>
          <w:bCs/>
        </w:rPr>
        <w:t>the constituency.</w:t>
      </w:r>
      <w:r w:rsidR="00041DCB" w:rsidRPr="00785FB4">
        <w:rPr>
          <w:bCs/>
        </w:rPr>
        <w:t xml:space="preserve"> Stakeholders from industry regretted that more companies had not participated in the process for selecting representatives but </w:t>
      </w:r>
      <w:r w:rsidR="0070656D">
        <w:rPr>
          <w:bCs/>
        </w:rPr>
        <w:t xml:space="preserve">considered </w:t>
      </w:r>
      <w:r w:rsidR="00041DCB" w:rsidRPr="00785FB4">
        <w:rPr>
          <w:bCs/>
        </w:rPr>
        <w:t xml:space="preserve">that </w:t>
      </w:r>
      <w:r w:rsidR="0070656D">
        <w:rPr>
          <w:bCs/>
        </w:rPr>
        <w:t xml:space="preserve">their being </w:t>
      </w:r>
      <w:r w:rsidR="00041DCB" w:rsidRPr="00785FB4">
        <w:rPr>
          <w:bCs/>
        </w:rPr>
        <w:t xml:space="preserve">given the opportunity </w:t>
      </w:r>
      <w:r w:rsidR="0001207E" w:rsidRPr="00785FB4">
        <w:rPr>
          <w:bCs/>
        </w:rPr>
        <w:t xml:space="preserve">to </w:t>
      </w:r>
      <w:r w:rsidR="0070656D">
        <w:rPr>
          <w:bCs/>
        </w:rPr>
        <w:t xml:space="preserve">participate was </w:t>
      </w:r>
      <w:r w:rsidR="0070656D" w:rsidRPr="00785FB4">
        <w:rPr>
          <w:bCs/>
        </w:rPr>
        <w:t>important</w:t>
      </w:r>
      <w:r w:rsidR="001D3DC7">
        <w:rPr>
          <w:bCs/>
        </w:rPr>
        <w:t xml:space="preserve"> in itself</w:t>
      </w:r>
      <w:r w:rsidR="0001207E" w:rsidRPr="00785FB4">
        <w:rPr>
          <w:bCs/>
        </w:rPr>
        <w:t xml:space="preserve">. Secretariat staff </w:t>
      </w:r>
      <w:r w:rsidR="00035FCC" w:rsidRPr="00785FB4">
        <w:rPr>
          <w:bCs/>
        </w:rPr>
        <w:t>said</w:t>
      </w:r>
      <w:r w:rsidR="0001207E" w:rsidRPr="00785FB4">
        <w:rPr>
          <w:bCs/>
        </w:rPr>
        <w:t xml:space="preserve"> that </w:t>
      </w:r>
      <w:r w:rsidR="00035FCC" w:rsidRPr="00785FB4">
        <w:rPr>
          <w:bCs/>
        </w:rPr>
        <w:t xml:space="preserve">even though SOEs were not represented </w:t>
      </w:r>
      <w:r w:rsidR="001D3DC7">
        <w:rPr>
          <w:bCs/>
        </w:rPr>
        <w:t>o</w:t>
      </w:r>
      <w:r w:rsidR="00035FCC" w:rsidRPr="00785FB4">
        <w:rPr>
          <w:bCs/>
        </w:rPr>
        <w:t xml:space="preserve">n the MSG </w:t>
      </w:r>
      <w:r w:rsidR="001D3DC7">
        <w:rPr>
          <w:bCs/>
        </w:rPr>
        <w:t xml:space="preserve">given that </w:t>
      </w:r>
      <w:r w:rsidR="00035FCC" w:rsidRPr="00785FB4">
        <w:rPr>
          <w:bCs/>
        </w:rPr>
        <w:t>they had not been elected by the</w:t>
      </w:r>
      <w:r w:rsidR="001D3DC7">
        <w:rPr>
          <w:bCs/>
        </w:rPr>
        <w:t>ir</w:t>
      </w:r>
      <w:r w:rsidR="00035FCC" w:rsidRPr="00785FB4">
        <w:rPr>
          <w:bCs/>
        </w:rPr>
        <w:t xml:space="preserve"> constituency, </w:t>
      </w:r>
      <w:r w:rsidR="0001207E" w:rsidRPr="00785FB4">
        <w:rPr>
          <w:bCs/>
        </w:rPr>
        <w:t xml:space="preserve">the MSG </w:t>
      </w:r>
      <w:r w:rsidR="001D3DC7">
        <w:rPr>
          <w:bCs/>
        </w:rPr>
        <w:t xml:space="preserve">planned </w:t>
      </w:r>
      <w:r w:rsidR="0001207E" w:rsidRPr="00785FB4">
        <w:rPr>
          <w:bCs/>
        </w:rPr>
        <w:t xml:space="preserve">to </w:t>
      </w:r>
      <w:r w:rsidR="00035FCC" w:rsidRPr="00785FB4">
        <w:rPr>
          <w:bCs/>
        </w:rPr>
        <w:t xml:space="preserve">invite them </w:t>
      </w:r>
      <w:r w:rsidR="001D3DC7">
        <w:rPr>
          <w:bCs/>
        </w:rPr>
        <w:t xml:space="preserve">as </w:t>
      </w:r>
      <w:r w:rsidR="0001207E" w:rsidRPr="00785FB4">
        <w:rPr>
          <w:bCs/>
        </w:rPr>
        <w:t>observe</w:t>
      </w:r>
      <w:r w:rsidR="001D3DC7">
        <w:rPr>
          <w:bCs/>
        </w:rPr>
        <w:t>rs</w:t>
      </w:r>
      <w:r w:rsidR="0001207E" w:rsidRPr="00785FB4">
        <w:rPr>
          <w:bCs/>
        </w:rPr>
        <w:t xml:space="preserve">. Stakeholders did not </w:t>
      </w:r>
      <w:r w:rsidR="00035FCC" w:rsidRPr="00785FB4">
        <w:rPr>
          <w:bCs/>
        </w:rPr>
        <w:t>express</w:t>
      </w:r>
      <w:r w:rsidR="0001207E" w:rsidRPr="00785FB4">
        <w:rPr>
          <w:bCs/>
        </w:rPr>
        <w:t xml:space="preserve"> any views on the fact that neither CSOs nor industry </w:t>
      </w:r>
      <w:r w:rsidR="0039605E" w:rsidRPr="00785FB4">
        <w:rPr>
          <w:bCs/>
        </w:rPr>
        <w:t xml:space="preserve">currently </w:t>
      </w:r>
      <w:r w:rsidR="0001207E" w:rsidRPr="00785FB4">
        <w:rPr>
          <w:bCs/>
        </w:rPr>
        <w:t>had any women representatives on the MSG.</w:t>
      </w:r>
      <w:r w:rsidR="00B01D93" w:rsidRPr="00785FB4">
        <w:rPr>
          <w:bCs/>
        </w:rPr>
        <w:t xml:space="preserve"> </w:t>
      </w:r>
      <w:r w:rsidR="00C15A11" w:rsidRPr="00785FB4">
        <w:rPr>
          <w:bCs/>
        </w:rPr>
        <w:t>The MSG’s May 2017</w:t>
      </w:r>
      <w:r w:rsidR="00B01D93" w:rsidRPr="00785FB4">
        <w:rPr>
          <w:bCs/>
        </w:rPr>
        <w:t xml:space="preserve"> self-assessment confirmed the </w:t>
      </w:r>
      <w:r w:rsidR="00035FCC" w:rsidRPr="00785FB4">
        <w:rPr>
          <w:bCs/>
        </w:rPr>
        <w:t>MSG members’</w:t>
      </w:r>
      <w:r w:rsidR="00B01D93" w:rsidRPr="00785FB4">
        <w:rPr>
          <w:bCs/>
        </w:rPr>
        <w:t xml:space="preserve"> belief that all representatives were appointed independently by each constituency, that the constituencies were adequately represented and that CSOs and industry had carried out broad and inclusive nominations procedures. </w:t>
      </w:r>
    </w:p>
    <w:p w14:paraId="4AEB9B5C" w14:textId="120307A9" w:rsidR="002B5C31" w:rsidRPr="00785FB4" w:rsidRDefault="00BD694A" w:rsidP="00CD3686">
      <w:pPr>
        <w:spacing w:before="120"/>
      </w:pPr>
      <w:r w:rsidRPr="00785FB4">
        <w:rPr>
          <w:i/>
          <w:u w:val="single"/>
        </w:rPr>
        <w:t>Terms of reference</w:t>
      </w:r>
      <w:r w:rsidR="002B5C31" w:rsidRPr="00785FB4">
        <w:rPr>
          <w:i/>
          <w:u w:val="single"/>
        </w:rPr>
        <w:t xml:space="preserve"> and internal procedures</w:t>
      </w:r>
      <w:r w:rsidR="0001207E" w:rsidRPr="00785FB4">
        <w:t xml:space="preserve">: </w:t>
      </w:r>
      <w:r w:rsidR="00035FCC" w:rsidRPr="00785FB4">
        <w:t>MSG members</w:t>
      </w:r>
      <w:r w:rsidR="0001207E" w:rsidRPr="00785FB4">
        <w:t xml:space="preserve"> </w:t>
      </w:r>
      <w:r w:rsidR="0039605E" w:rsidRPr="00785FB4">
        <w:t>did not e</w:t>
      </w:r>
      <w:r w:rsidR="00035FCC" w:rsidRPr="00785FB4">
        <w:t>xpress any views on whether the T</w:t>
      </w:r>
      <w:r w:rsidR="002B4676" w:rsidRPr="00785FB4">
        <w:t>o</w:t>
      </w:r>
      <w:r w:rsidR="00035FCC" w:rsidRPr="00785FB4">
        <w:t>R</w:t>
      </w:r>
      <w:r w:rsidR="0039605E" w:rsidRPr="00785FB4">
        <w:t xml:space="preserve"> </w:t>
      </w:r>
      <w:r w:rsidR="0001207E" w:rsidRPr="00785FB4">
        <w:t xml:space="preserve">were being followed. </w:t>
      </w:r>
      <w:r w:rsidR="000270E1" w:rsidRPr="00785FB4">
        <w:t xml:space="preserve">The 2017 MSG self-assessment stated that the process followed for agreeing the </w:t>
      </w:r>
      <w:r w:rsidR="002B4676" w:rsidRPr="00785FB4">
        <w:t xml:space="preserve">ToR </w:t>
      </w:r>
      <w:r w:rsidR="000270E1" w:rsidRPr="00785FB4">
        <w:t xml:space="preserve">was unclear and that the MSG would review </w:t>
      </w:r>
      <w:r w:rsidR="002B4676" w:rsidRPr="00785FB4">
        <w:t xml:space="preserve">them </w:t>
      </w:r>
      <w:r w:rsidR="000270E1" w:rsidRPr="00785FB4">
        <w:t>shortly. It also confirmed that the T</w:t>
      </w:r>
      <w:r w:rsidR="002B4676" w:rsidRPr="00785FB4">
        <w:t>o</w:t>
      </w:r>
      <w:r w:rsidR="000270E1" w:rsidRPr="00785FB4">
        <w:t>R</w:t>
      </w:r>
      <w:r w:rsidR="00035FCC" w:rsidRPr="00785FB4">
        <w:t>’</w:t>
      </w:r>
      <w:r w:rsidR="002B4676" w:rsidRPr="00785FB4">
        <w:t>s</w:t>
      </w:r>
      <w:r w:rsidR="000270E1" w:rsidRPr="00785FB4">
        <w:t xml:space="preserve"> provisions on notifications of meetings and submission of MSG papers were not being followed</w:t>
      </w:r>
      <w:r w:rsidR="002B4676" w:rsidRPr="00785FB4">
        <w:t xml:space="preserve"> in practice</w:t>
      </w:r>
      <w:r w:rsidR="000270E1" w:rsidRPr="00785FB4">
        <w:t>.</w:t>
      </w:r>
      <w:r w:rsidR="002B5C31" w:rsidRPr="00785FB4">
        <w:t xml:space="preserve"> Representatives from CSO and industry said that although draft work plans, EITI Reports and annual progress reports were shared with them for approval, they were unable to meaningful</w:t>
      </w:r>
      <w:r w:rsidR="001D3DC7">
        <w:t xml:space="preserve">ly </w:t>
      </w:r>
      <w:r w:rsidR="001D3DC7" w:rsidRPr="00785FB4">
        <w:t>engage</w:t>
      </w:r>
      <w:r w:rsidR="002B5C31" w:rsidRPr="00785FB4">
        <w:t xml:space="preserve"> because of </w:t>
      </w:r>
      <w:r w:rsidR="001D3DC7">
        <w:t xml:space="preserve">tight internal </w:t>
      </w:r>
      <w:r w:rsidR="002B5C31" w:rsidRPr="00785FB4">
        <w:t xml:space="preserve">reporting deadlines. One </w:t>
      </w:r>
      <w:r w:rsidR="002B4676" w:rsidRPr="00785FB4">
        <w:t xml:space="preserve">CSO </w:t>
      </w:r>
      <w:r w:rsidR="002B5C31" w:rsidRPr="00785FB4">
        <w:t xml:space="preserve">representative noted that there had been substantial disagreements and comments from civil society to the publication of the 2013-14 AEITI Report, which </w:t>
      </w:r>
      <w:r w:rsidR="001D3DC7">
        <w:t>MSG members</w:t>
      </w:r>
      <w:r w:rsidR="001D3DC7" w:rsidRPr="00785FB4">
        <w:t xml:space="preserve"> </w:t>
      </w:r>
      <w:r w:rsidR="00A76F84" w:rsidRPr="00785FB4">
        <w:t xml:space="preserve">had been given </w:t>
      </w:r>
      <w:r w:rsidR="001D3DC7">
        <w:t xml:space="preserve">ten </w:t>
      </w:r>
      <w:r w:rsidR="00A76F84" w:rsidRPr="00785FB4">
        <w:t>hours to approve. He said that</w:t>
      </w:r>
      <w:r w:rsidR="00035FCC" w:rsidRPr="00785FB4">
        <w:t xml:space="preserve"> the</w:t>
      </w:r>
      <w:r w:rsidR="00A76F84" w:rsidRPr="00785FB4">
        <w:t xml:space="preserve"> report </w:t>
      </w:r>
      <w:r w:rsidR="002B5C31" w:rsidRPr="00785FB4">
        <w:t xml:space="preserve">had been approved only </w:t>
      </w:r>
      <w:r w:rsidR="002B5C31" w:rsidRPr="00785FB4">
        <w:lastRenderedPageBreak/>
        <w:t xml:space="preserve">after it was agreed that the constituency’s comments </w:t>
      </w:r>
      <w:r w:rsidR="00A76F84" w:rsidRPr="00785FB4">
        <w:t xml:space="preserve">to the report </w:t>
      </w:r>
      <w:r w:rsidR="002B5C31" w:rsidRPr="00785FB4">
        <w:t xml:space="preserve">would be </w:t>
      </w:r>
      <w:r w:rsidR="001D3DC7">
        <w:t>independently</w:t>
      </w:r>
      <w:r w:rsidR="001D3DC7" w:rsidRPr="00785FB4">
        <w:t xml:space="preserve"> </w:t>
      </w:r>
      <w:r w:rsidR="002B5C31" w:rsidRPr="00785FB4">
        <w:t>posted on the AEITI website.</w:t>
      </w:r>
      <w:r w:rsidR="002B5C31" w:rsidRPr="00785FB4">
        <w:rPr>
          <w:rStyle w:val="FootnoteReference"/>
        </w:rPr>
        <w:footnoteReference w:id="109"/>
      </w:r>
      <w:r w:rsidR="005C6048" w:rsidRPr="00785FB4">
        <w:t xml:space="preserve"> </w:t>
      </w:r>
      <w:r w:rsidR="00D21144" w:rsidRPr="00785FB4">
        <w:t xml:space="preserve">Stakeholders confirmed that decisions were generally made by consensus and that there had not been any instances of voting, although stakeholders from civil society said that they sometimes felt overruled in MSG decisions when deadlines took priority over discussions. </w:t>
      </w:r>
      <w:r w:rsidR="005C6048" w:rsidRPr="00785FB4">
        <w:t xml:space="preserve">When asked whether they felt ownership over the AEITI report, civil society representatives said that they had been </w:t>
      </w:r>
      <w:r w:rsidR="006F0A91" w:rsidRPr="00785FB4">
        <w:t xml:space="preserve">actively </w:t>
      </w:r>
      <w:r w:rsidR="005C6048" w:rsidRPr="00785FB4">
        <w:t xml:space="preserve">engaged in the reporting process but that they did not feel that the </w:t>
      </w:r>
      <w:r w:rsidR="006F0A91" w:rsidRPr="00785FB4">
        <w:t xml:space="preserve">IA had </w:t>
      </w:r>
      <w:r w:rsidR="005C6048" w:rsidRPr="00785FB4">
        <w:t>reflected their engagement or comments</w:t>
      </w:r>
      <w:r w:rsidR="006F0A91" w:rsidRPr="00785FB4">
        <w:t xml:space="preserve"> in the final product</w:t>
      </w:r>
      <w:r w:rsidR="005C6048" w:rsidRPr="00785FB4">
        <w:t>.</w:t>
      </w:r>
      <w:r w:rsidR="00A76F84" w:rsidRPr="00785FB4">
        <w:t xml:space="preserve"> </w:t>
      </w:r>
      <w:r w:rsidR="006A73E3" w:rsidRPr="00785FB4">
        <w:t xml:space="preserve">Several industry and CSO </w:t>
      </w:r>
      <w:r w:rsidR="00A76F84" w:rsidRPr="00785FB4">
        <w:t xml:space="preserve">MSG members said that they were not able to propose agenda items for MSG meetings. </w:t>
      </w:r>
      <w:r w:rsidR="005C6048" w:rsidRPr="00785FB4">
        <w:t xml:space="preserve">A civil society </w:t>
      </w:r>
      <w:r w:rsidR="006A73E3" w:rsidRPr="00785FB4">
        <w:t xml:space="preserve">MSG </w:t>
      </w:r>
      <w:r w:rsidR="005C6048" w:rsidRPr="00785FB4">
        <w:t xml:space="preserve">representative summarised the situation by saying that although </w:t>
      </w:r>
      <w:r w:rsidR="004854FB" w:rsidRPr="00785FB4">
        <w:t xml:space="preserve">CSO MSG members </w:t>
      </w:r>
      <w:r w:rsidR="005C6048" w:rsidRPr="00785FB4">
        <w:t xml:space="preserve">were fully informed, they did not always feel </w:t>
      </w:r>
      <w:r w:rsidR="001D3DC7">
        <w:t>so</w:t>
      </w:r>
      <w:r w:rsidR="005C6048" w:rsidRPr="00785FB4">
        <w:t xml:space="preserve">. </w:t>
      </w:r>
      <w:r w:rsidR="001D3DC7">
        <w:t xml:space="preserve">One </w:t>
      </w:r>
      <w:r w:rsidR="00A76F84" w:rsidRPr="00785FB4">
        <w:t xml:space="preserve">secretariat </w:t>
      </w:r>
      <w:r w:rsidR="001D3DC7">
        <w:t xml:space="preserve">staff </w:t>
      </w:r>
      <w:r w:rsidR="00A76F84" w:rsidRPr="00785FB4">
        <w:t xml:space="preserve">acknowledged </w:t>
      </w:r>
      <w:r w:rsidR="005C6048" w:rsidRPr="00785FB4">
        <w:t xml:space="preserve">concerns about MSG involvement in EITI </w:t>
      </w:r>
      <w:r w:rsidR="001D3DC7">
        <w:t xml:space="preserve">implementation </w:t>
      </w:r>
      <w:r w:rsidR="00A76F84" w:rsidRPr="00785FB4">
        <w:t xml:space="preserve">and </w:t>
      </w:r>
      <w:r w:rsidR="006A73E3" w:rsidRPr="00785FB4">
        <w:t>highlighted</w:t>
      </w:r>
      <w:r w:rsidR="00A76F84" w:rsidRPr="00785FB4">
        <w:t xml:space="preserve"> plans to engage the MSG more closely in the development of agendas and committee papers in future.</w:t>
      </w:r>
      <w:r w:rsidR="005C6048" w:rsidRPr="00785FB4">
        <w:t xml:space="preserve"> </w:t>
      </w:r>
      <w:r w:rsidR="001228EB" w:rsidRPr="00785FB4">
        <w:t xml:space="preserve">Stakeholders confirmed that the MSG </w:t>
      </w:r>
      <w:r w:rsidR="001D3DC7">
        <w:t>did</w:t>
      </w:r>
      <w:r w:rsidR="001D3DC7" w:rsidRPr="00785FB4">
        <w:t xml:space="preserve"> </w:t>
      </w:r>
      <w:r w:rsidR="001228EB" w:rsidRPr="00785FB4">
        <w:t>not have a per-diem policy or practice.</w:t>
      </w:r>
      <w:r w:rsidR="00D21144" w:rsidRPr="00785FB4">
        <w:t xml:space="preserve"> </w:t>
      </w:r>
    </w:p>
    <w:p w14:paraId="32588E88" w14:textId="1F09EF9B" w:rsidR="00BD694A" w:rsidRPr="00785FB4" w:rsidRDefault="00BD694A" w:rsidP="00CD3686">
      <w:pPr>
        <w:spacing w:before="120"/>
      </w:pPr>
      <w:r w:rsidRPr="00785FB4">
        <w:rPr>
          <w:i/>
          <w:u w:val="single"/>
        </w:rPr>
        <w:t>Attendance</w:t>
      </w:r>
      <w:r w:rsidR="00BF213B" w:rsidRPr="00785FB4">
        <w:t xml:space="preserve">: Stakeholders from all constituencies noted that government </w:t>
      </w:r>
      <w:r w:rsidR="006A73E3" w:rsidRPr="00785FB4">
        <w:t xml:space="preserve">MSG members </w:t>
      </w:r>
      <w:r w:rsidR="00BF213B" w:rsidRPr="00785FB4">
        <w:t>were often represented by pro</w:t>
      </w:r>
      <w:r w:rsidR="00084F13" w:rsidRPr="00785FB4">
        <w:t>xies</w:t>
      </w:r>
      <w:r w:rsidR="006A73E3" w:rsidRPr="00785FB4">
        <w:t xml:space="preserve"> at MSG meetings</w:t>
      </w:r>
      <w:r w:rsidR="00084F13" w:rsidRPr="00785FB4">
        <w:t xml:space="preserve">. </w:t>
      </w:r>
      <w:r w:rsidR="001228EB" w:rsidRPr="00785FB4">
        <w:t xml:space="preserve">Some MSG members said that </w:t>
      </w:r>
      <w:r w:rsidR="006A73E3" w:rsidRPr="00785FB4">
        <w:t xml:space="preserve">the </w:t>
      </w:r>
      <w:r w:rsidR="001228EB" w:rsidRPr="00785FB4">
        <w:t>short notice of meetings made it difficult to participate regularly. Stakeholders did not offer any views on the T</w:t>
      </w:r>
      <w:r w:rsidR="006A73E3" w:rsidRPr="00785FB4">
        <w:t>o</w:t>
      </w:r>
      <w:r w:rsidR="001228EB" w:rsidRPr="00785FB4">
        <w:t>R’</w:t>
      </w:r>
      <w:r w:rsidR="006A73E3" w:rsidRPr="00785FB4">
        <w:t>s</w:t>
      </w:r>
      <w:r w:rsidR="001228EB" w:rsidRPr="00785FB4">
        <w:t xml:space="preserve"> provisions for changing MSG members who did not attend meetings. </w:t>
      </w:r>
    </w:p>
    <w:p w14:paraId="2ADA2C28" w14:textId="2295146D" w:rsidR="000270E1" w:rsidRPr="00785FB4" w:rsidRDefault="000270E1" w:rsidP="00CD3686">
      <w:pPr>
        <w:spacing w:before="120"/>
      </w:pPr>
      <w:r w:rsidRPr="00785FB4">
        <w:rPr>
          <w:i/>
          <w:u w:val="single"/>
        </w:rPr>
        <w:t>Record keeping</w:t>
      </w:r>
      <w:r w:rsidRPr="00785FB4">
        <w:t>: MSG members did not express views on record</w:t>
      </w:r>
      <w:r w:rsidR="006A73E3" w:rsidRPr="00785FB4">
        <w:t>-</w:t>
      </w:r>
      <w:r w:rsidRPr="00785FB4">
        <w:t>keeping</w:t>
      </w:r>
      <w:r w:rsidR="001228EB" w:rsidRPr="00785FB4">
        <w:t xml:space="preserve">, other than </w:t>
      </w:r>
      <w:r w:rsidR="006A73E3" w:rsidRPr="00785FB4">
        <w:t xml:space="preserve">expressing confusion about </w:t>
      </w:r>
      <w:r w:rsidR="001228EB" w:rsidRPr="00785FB4">
        <w:t>why MSG documents and records were kept in English when some of the MSG members only understood local languages</w:t>
      </w:r>
      <w:r w:rsidRPr="00785FB4">
        <w:t>. The 2017 MSG self-assessment expressed satisfaction with the way records were kept and made available online.</w:t>
      </w:r>
    </w:p>
    <w:p w14:paraId="4DD8F27F" w14:textId="1949A0B5" w:rsidR="00412068" w:rsidRPr="00785FB4" w:rsidRDefault="00BD694A" w:rsidP="00CD3686">
      <w:pPr>
        <w:spacing w:before="120"/>
      </w:pPr>
      <w:r w:rsidRPr="00785FB4">
        <w:rPr>
          <w:i/>
          <w:u w:val="single"/>
        </w:rPr>
        <w:t>National Secretariat</w:t>
      </w:r>
      <w:r w:rsidR="009F516F" w:rsidRPr="00785FB4">
        <w:t>: All stakeholders confirmed that the lack of institutional clarity over who the national secretariat should report to was a challenge</w:t>
      </w:r>
      <w:r w:rsidR="00A76F84" w:rsidRPr="00785FB4">
        <w:t>,</w:t>
      </w:r>
      <w:r w:rsidR="009F516F" w:rsidRPr="00785FB4">
        <w:t xml:space="preserve"> as secretariat staff were </w:t>
      </w:r>
      <w:r w:rsidR="00DB56BA" w:rsidRPr="00785FB4">
        <w:t>MOF</w:t>
      </w:r>
      <w:r w:rsidR="009F516F" w:rsidRPr="00785FB4">
        <w:t xml:space="preserve"> employees while the </w:t>
      </w:r>
      <w:r w:rsidR="00DB56BA" w:rsidRPr="00785FB4">
        <w:t>MOMP</w:t>
      </w:r>
      <w:r w:rsidR="009F516F" w:rsidRPr="00785FB4">
        <w:t xml:space="preserve"> was the lead ministry on implementation. A senior government representative explained that this was indicative of a broa</w:t>
      </w:r>
      <w:r w:rsidR="00A76F84" w:rsidRPr="00785FB4">
        <w:t xml:space="preserve">der problem in the sector, where </w:t>
      </w:r>
      <w:r w:rsidR="006A73E3" w:rsidRPr="00785FB4">
        <w:t xml:space="preserve">jurisdictional frictions </w:t>
      </w:r>
      <w:r w:rsidR="00A76F84" w:rsidRPr="00785FB4">
        <w:t>betwee</w:t>
      </w:r>
      <w:r w:rsidR="009F516F" w:rsidRPr="00785FB4">
        <w:t xml:space="preserve">n the </w:t>
      </w:r>
      <w:r w:rsidR="00DB56BA" w:rsidRPr="00785FB4">
        <w:t>MOF</w:t>
      </w:r>
      <w:r w:rsidR="009F516F" w:rsidRPr="00785FB4">
        <w:t xml:space="preserve"> and the </w:t>
      </w:r>
      <w:r w:rsidR="00DB56BA" w:rsidRPr="00785FB4">
        <w:t>MOMP</w:t>
      </w:r>
      <w:r w:rsidR="009F516F" w:rsidRPr="00785FB4">
        <w:t xml:space="preserve"> </w:t>
      </w:r>
      <w:r w:rsidR="00A76F84" w:rsidRPr="00785FB4">
        <w:t>had caused</w:t>
      </w:r>
      <w:r w:rsidR="009F516F" w:rsidRPr="00785FB4">
        <w:t xml:space="preserve"> </w:t>
      </w:r>
      <w:r w:rsidR="001D3DC7">
        <w:t>challenges</w:t>
      </w:r>
      <w:r w:rsidR="00B63CD8" w:rsidRPr="00785FB4">
        <w:t>,</w:t>
      </w:r>
      <w:r w:rsidR="009F516F" w:rsidRPr="00785FB4">
        <w:t xml:space="preserve"> which were sometimes </w:t>
      </w:r>
      <w:r w:rsidR="006A73E3" w:rsidRPr="00785FB4">
        <w:t>exacerbated</w:t>
      </w:r>
      <w:r w:rsidR="009F516F" w:rsidRPr="00785FB4">
        <w:t xml:space="preserve"> by the secretariat </w:t>
      </w:r>
      <w:r w:rsidR="002128B8" w:rsidRPr="00785FB4">
        <w:t>“</w:t>
      </w:r>
      <w:r w:rsidR="009F516F" w:rsidRPr="00785FB4">
        <w:t>playing off</w:t>
      </w:r>
      <w:r w:rsidR="002128B8" w:rsidRPr="00785FB4">
        <w:t>”</w:t>
      </w:r>
      <w:r w:rsidR="009F516F" w:rsidRPr="00785FB4">
        <w:t xml:space="preserve"> one minister against the other. All stakeholders confirmed that the resignation of the </w:t>
      </w:r>
      <w:r w:rsidR="00E875CA" w:rsidRPr="00785FB4">
        <w:t>N</w:t>
      </w:r>
      <w:r w:rsidR="009F516F" w:rsidRPr="00785FB4">
        <w:t xml:space="preserve">ational </w:t>
      </w:r>
      <w:r w:rsidR="00E875CA" w:rsidRPr="00785FB4">
        <w:t>C</w:t>
      </w:r>
      <w:r w:rsidR="009F516F" w:rsidRPr="00785FB4">
        <w:t xml:space="preserve">oordinator in July 2017 had thrown the MSG into turmoil as the </w:t>
      </w:r>
      <w:r w:rsidR="00DB56BA" w:rsidRPr="00785FB4">
        <w:t>MOF</w:t>
      </w:r>
      <w:r w:rsidR="009F516F" w:rsidRPr="00785FB4">
        <w:t xml:space="preserve">, the </w:t>
      </w:r>
      <w:r w:rsidR="00DB56BA" w:rsidRPr="00785FB4">
        <w:t>MOMP</w:t>
      </w:r>
      <w:r w:rsidR="009F516F" w:rsidRPr="00785FB4">
        <w:t xml:space="preserve"> and the MSG disagreed on who should lead the proce</w:t>
      </w:r>
      <w:r w:rsidR="0039605E" w:rsidRPr="00785FB4">
        <w:t>ss of hiring a new coordinator.</w:t>
      </w:r>
      <w:r w:rsidR="001228EB" w:rsidRPr="00785FB4">
        <w:t xml:space="preserve"> </w:t>
      </w:r>
      <w:r w:rsidR="00412068" w:rsidRPr="00785FB4">
        <w:t>MSG members from all constituencies confirmed that the national secretariat regularly sent meeting minutes to MSG members</w:t>
      </w:r>
      <w:r w:rsidR="00620A65" w:rsidRPr="00785FB4">
        <w:t>. However, they noted</w:t>
      </w:r>
      <w:r w:rsidR="00412068" w:rsidRPr="00785FB4">
        <w:t xml:space="preserve"> that meetings were often called with little advance notice and that papers were </w:t>
      </w:r>
      <w:r w:rsidR="00620A65" w:rsidRPr="00785FB4">
        <w:t xml:space="preserve">often </w:t>
      </w:r>
      <w:r w:rsidR="00412068" w:rsidRPr="00785FB4">
        <w:t xml:space="preserve">submitted at the last minute. </w:t>
      </w:r>
      <w:r w:rsidR="004854FB" w:rsidRPr="00785FB4">
        <w:t xml:space="preserve">Government representatives and secretariat staff complained that MSG members did not read meeting minutes or papers ahead of MSG meetings. </w:t>
      </w:r>
    </w:p>
    <w:p w14:paraId="32125A0C" w14:textId="214C8600" w:rsidR="00412068" w:rsidRPr="00785FB4" w:rsidRDefault="00412068" w:rsidP="00CD3686">
      <w:pPr>
        <w:spacing w:before="120"/>
        <w:rPr>
          <w:bCs/>
        </w:rPr>
      </w:pPr>
      <w:r w:rsidRPr="00785FB4">
        <w:rPr>
          <w:i/>
          <w:u w:val="single"/>
        </w:rPr>
        <w:t>MSG</w:t>
      </w:r>
      <w:r w:rsidR="001228EB" w:rsidRPr="00785FB4">
        <w:rPr>
          <w:i/>
          <w:u w:val="single"/>
        </w:rPr>
        <w:t xml:space="preserve"> and secretariat</w:t>
      </w:r>
      <w:r w:rsidR="00620A65" w:rsidRPr="00785FB4">
        <w:rPr>
          <w:i/>
          <w:u w:val="single"/>
        </w:rPr>
        <w:t xml:space="preserve"> capacity</w:t>
      </w:r>
      <w:r w:rsidRPr="00785FB4">
        <w:t xml:space="preserve">: </w:t>
      </w:r>
      <w:r w:rsidR="000270E1" w:rsidRPr="00785FB4">
        <w:t>The 2017 MSG self-assessment stated that civil society and industry had good capacity but that frequent changes of government participants led to capacity challenges in that constituency.</w:t>
      </w:r>
      <w:r w:rsidR="002230E7" w:rsidRPr="00785FB4">
        <w:t xml:space="preserve"> MSG members expressed appreciation at GIZ’s efforts to </w:t>
      </w:r>
      <w:r w:rsidR="00FE3AB4" w:rsidRPr="00785FB4">
        <w:t xml:space="preserve">develop </w:t>
      </w:r>
      <w:r w:rsidR="002230E7" w:rsidRPr="00785FB4">
        <w:t xml:space="preserve">the </w:t>
      </w:r>
      <w:r w:rsidR="00FE3AB4" w:rsidRPr="00785FB4">
        <w:t xml:space="preserve">MSG’s </w:t>
      </w:r>
      <w:r w:rsidR="002230E7" w:rsidRPr="00785FB4">
        <w:t>capacity.</w:t>
      </w:r>
      <w:r w:rsidR="001228EB" w:rsidRPr="00785FB4">
        <w:t xml:space="preserve"> Secretariat staff expressed concern </w:t>
      </w:r>
      <w:r w:rsidR="00FE3AB4" w:rsidRPr="00785FB4">
        <w:t xml:space="preserve">over its own </w:t>
      </w:r>
      <w:r w:rsidR="001228EB" w:rsidRPr="00785FB4">
        <w:t>technical capacity</w:t>
      </w:r>
      <w:r w:rsidR="00FE3AB4" w:rsidRPr="00785FB4">
        <w:t xml:space="preserve"> constraints</w:t>
      </w:r>
      <w:r w:rsidR="001228EB" w:rsidRPr="00785FB4">
        <w:t xml:space="preserve">. One government employee lamented that the World Bank was using the EITI programme to hire senior advisors for the </w:t>
      </w:r>
      <w:r w:rsidR="00DB56BA" w:rsidRPr="00785FB4">
        <w:t>MOF</w:t>
      </w:r>
      <w:r w:rsidR="001228EB" w:rsidRPr="00785FB4">
        <w:t xml:space="preserve"> and </w:t>
      </w:r>
      <w:r w:rsidR="00DB56BA" w:rsidRPr="00785FB4">
        <w:t>MOMP</w:t>
      </w:r>
      <w:r w:rsidR="001228EB" w:rsidRPr="00785FB4">
        <w:t xml:space="preserve"> who were not involved with EITI implementation and considered that this posed a</w:t>
      </w:r>
      <w:r w:rsidR="00D10F4B" w:rsidRPr="00785FB4">
        <w:t xml:space="preserve"> </w:t>
      </w:r>
      <w:r w:rsidR="00D10F4B" w:rsidRPr="00785FB4">
        <w:lastRenderedPageBreak/>
        <w:t>reputational</w:t>
      </w:r>
      <w:r w:rsidR="001228EB" w:rsidRPr="00785FB4">
        <w:t xml:space="preserve"> risk to the EITI in Afghanistan</w:t>
      </w:r>
      <w:r w:rsidR="00D10F4B" w:rsidRPr="00785FB4">
        <w:t xml:space="preserve"> </w:t>
      </w:r>
      <w:r w:rsidR="000A4FFD" w:rsidRPr="00785FB4">
        <w:t xml:space="preserve">and </w:t>
      </w:r>
      <w:r w:rsidR="00D10F4B" w:rsidRPr="00785FB4">
        <w:t>limit</w:t>
      </w:r>
      <w:r w:rsidR="000A4FFD" w:rsidRPr="00785FB4">
        <w:t>ed</w:t>
      </w:r>
      <w:r w:rsidR="00D10F4B" w:rsidRPr="00785FB4">
        <w:t xml:space="preserve"> funding available for hiring specialists </w:t>
      </w:r>
      <w:r w:rsidR="000A4FFD" w:rsidRPr="00785FB4">
        <w:t xml:space="preserve">for </w:t>
      </w:r>
      <w:r w:rsidR="00D10F4B" w:rsidRPr="00785FB4">
        <w:t>the national secretariat</w:t>
      </w:r>
      <w:r w:rsidR="001228EB" w:rsidRPr="00785FB4">
        <w:t>.</w:t>
      </w:r>
    </w:p>
    <w:p w14:paraId="147E7DCA" w14:textId="62ADBE86" w:rsidR="002929E0" w:rsidRPr="00785FB4" w:rsidRDefault="00027AC3" w:rsidP="00A94167">
      <w:pPr>
        <w:pStyle w:val="Heading3"/>
        <w:rPr>
          <w:color w:val="000000" w:themeColor="text1"/>
        </w:rPr>
      </w:pPr>
      <w:bookmarkStart w:id="147" w:name="_Toc505449583"/>
      <w:r w:rsidRPr="00785FB4">
        <w:t>Initial a</w:t>
      </w:r>
      <w:r w:rsidR="002929E0" w:rsidRPr="00785FB4">
        <w:t>ssessment</w:t>
      </w:r>
      <w:bookmarkEnd w:id="147"/>
    </w:p>
    <w:p w14:paraId="53AC720B" w14:textId="03E4980F" w:rsidR="00335F55" w:rsidRPr="00785FB4" w:rsidRDefault="000C6E3D" w:rsidP="008D7517">
      <w:r w:rsidRPr="00785FB4">
        <w:t>The International Secretariat’s initial assessment is that</w:t>
      </w:r>
      <w:r w:rsidR="004F7BCD" w:rsidRPr="00785FB4">
        <w:t xml:space="preserve"> Afghanistan has made </w:t>
      </w:r>
      <w:r w:rsidR="00C15E35" w:rsidRPr="00785FB4">
        <w:t xml:space="preserve">inadequate </w:t>
      </w:r>
      <w:r w:rsidR="004F7BCD" w:rsidRPr="00785FB4">
        <w:t>progress</w:t>
      </w:r>
      <w:r w:rsidRPr="00785FB4">
        <w:t xml:space="preserve"> </w:t>
      </w:r>
      <w:r w:rsidR="003F6245" w:rsidRPr="00785FB4">
        <w:t xml:space="preserve">towards meeting this requirement. </w:t>
      </w:r>
      <w:r w:rsidR="00BD694A" w:rsidRPr="00785FB4">
        <w:t xml:space="preserve">The MSG has </w:t>
      </w:r>
      <w:r w:rsidR="000A4FFD" w:rsidRPr="00785FB4">
        <w:t>T</w:t>
      </w:r>
      <w:r w:rsidR="00BD694A" w:rsidRPr="00785FB4">
        <w:t xml:space="preserve">erms of </w:t>
      </w:r>
      <w:r w:rsidR="000A4FFD" w:rsidRPr="00785FB4">
        <w:t>R</w:t>
      </w:r>
      <w:r w:rsidR="00BD694A" w:rsidRPr="00785FB4">
        <w:t xml:space="preserve">eference that address the minimum requirements in the Standard, </w:t>
      </w:r>
      <w:r w:rsidR="00374AF6" w:rsidRPr="00785FB4">
        <w:t xml:space="preserve">and these have been reviewed on a number of occasions.  The MSG does not follow its ToRs in practice, however, and this appears to have had an impact on its ability to exert adequate oversight over the </w:t>
      </w:r>
      <w:r w:rsidR="00C15E35" w:rsidRPr="00785FB4">
        <w:t>reporting process as stakeholders have not had sufficient time to review draft reports before publication</w:t>
      </w:r>
      <w:r w:rsidR="00BD694A" w:rsidRPr="00785FB4">
        <w:t>.</w:t>
      </w:r>
      <w:r w:rsidR="00374AF6" w:rsidRPr="00785FB4">
        <w:t xml:space="preserve"> </w:t>
      </w:r>
      <w:r w:rsidR="0038455F" w:rsidRPr="00785FB4">
        <w:t>Although each stakeholder group has the right to appoint its own representatives and c</w:t>
      </w:r>
      <w:r w:rsidR="00BD694A" w:rsidRPr="00785FB4">
        <w:t xml:space="preserve">onstituencies have developed </w:t>
      </w:r>
      <w:r w:rsidR="0039605E" w:rsidRPr="00785FB4">
        <w:t>procedures</w:t>
      </w:r>
      <w:r w:rsidR="0038455F" w:rsidRPr="00785FB4">
        <w:t xml:space="preserve"> to nominate their members, there are concerns that the selection process followed by civil society is not representative or open to CSOs that are not affiliated with IWA or ENMRN. Although </w:t>
      </w:r>
      <w:r w:rsidR="002B5C31" w:rsidRPr="00785FB4">
        <w:t>constituencies</w:t>
      </w:r>
      <w:r w:rsidR="0038455F" w:rsidRPr="00785FB4">
        <w:t xml:space="preserve"> are adequately represented, frequent turnover in the government constituency is generally recognised as a challenge.</w:t>
      </w:r>
      <w:r w:rsidR="002B5C31" w:rsidRPr="00785FB4">
        <w:t xml:space="preserve"> Work plans, EITI Reports and annual progress reports are approved by the MSG, but there are concerns that short deadlines do not allow for meaningful engagement.</w:t>
      </w:r>
    </w:p>
    <w:p w14:paraId="508A282C" w14:textId="58667E22" w:rsidR="002B5C31" w:rsidRPr="00785FB4" w:rsidRDefault="000A4FFD" w:rsidP="008D7517">
      <w:pPr>
        <w:rPr>
          <w:bCs/>
        </w:rPr>
      </w:pPr>
      <w:r w:rsidRPr="00785FB4">
        <w:rPr>
          <w:bCs/>
        </w:rPr>
        <w:t>In accordance with Requirement 1.4</w:t>
      </w:r>
      <w:r w:rsidR="002B5C31" w:rsidRPr="00785FB4">
        <w:rPr>
          <w:bCs/>
        </w:rPr>
        <w:t xml:space="preserve">, Afghanistan </w:t>
      </w:r>
      <w:r w:rsidR="005A25DD" w:rsidRPr="00785FB4">
        <w:rPr>
          <w:bCs/>
        </w:rPr>
        <w:t xml:space="preserve">should </w:t>
      </w:r>
      <w:r w:rsidR="00C2482A" w:rsidRPr="00785FB4">
        <w:rPr>
          <w:bCs/>
        </w:rPr>
        <w:t>ensure that any deviations from the MSG’s ToR are adequately and publicly codified</w:t>
      </w:r>
      <w:r w:rsidR="002B5C31" w:rsidRPr="00785FB4">
        <w:rPr>
          <w:bCs/>
        </w:rPr>
        <w:t>.</w:t>
      </w:r>
      <w:r w:rsidR="005A25DD" w:rsidRPr="00785FB4">
        <w:rPr>
          <w:bCs/>
        </w:rPr>
        <w:t xml:space="preserve"> </w:t>
      </w:r>
      <w:r w:rsidR="00D10F4B" w:rsidRPr="00785FB4">
        <w:rPr>
          <w:bCs/>
        </w:rPr>
        <w:t xml:space="preserve">The </w:t>
      </w:r>
      <w:r w:rsidR="00C2482A" w:rsidRPr="00785FB4">
        <w:rPr>
          <w:bCs/>
        </w:rPr>
        <w:t>MSG should ensure that its lack of per diem practice is publicly clarified.</w:t>
      </w:r>
      <w:r w:rsidR="00D10F4B" w:rsidRPr="00785FB4">
        <w:rPr>
          <w:bCs/>
        </w:rPr>
        <w:t xml:space="preserve"> In order to facilitate compliance with the T</w:t>
      </w:r>
      <w:r w:rsidR="0078795F" w:rsidRPr="00785FB4">
        <w:rPr>
          <w:bCs/>
        </w:rPr>
        <w:t>o</w:t>
      </w:r>
      <w:r w:rsidR="00D10F4B" w:rsidRPr="00785FB4">
        <w:rPr>
          <w:bCs/>
        </w:rPr>
        <w:t>R, the MSG may wish to consider simpler and less prescriptive T</w:t>
      </w:r>
      <w:r w:rsidR="0078795F" w:rsidRPr="00785FB4">
        <w:rPr>
          <w:bCs/>
        </w:rPr>
        <w:t>o</w:t>
      </w:r>
      <w:r w:rsidR="00D10F4B" w:rsidRPr="00785FB4">
        <w:rPr>
          <w:bCs/>
        </w:rPr>
        <w:t xml:space="preserve">R while ensuring that all the elements in Requirement 1.4 are covered. </w:t>
      </w:r>
      <w:r w:rsidR="00765A19" w:rsidRPr="00785FB4">
        <w:t>to ensure that the invitation to participate in the group is open and transparent, that the nomination process is independent and free from any suggestion of coercion, and that civil society MSG members are operationally, and in policy terms, independent of government and companies.</w:t>
      </w:r>
      <w:r w:rsidR="00A93077" w:rsidRPr="00785FB4">
        <w:rPr>
          <w:bCs/>
        </w:rPr>
        <w:t xml:space="preserve"> Bearing in mind the </w:t>
      </w:r>
      <w:r w:rsidR="002B5C31" w:rsidRPr="00785FB4">
        <w:rPr>
          <w:bCs/>
        </w:rPr>
        <w:t>desirability of pluralistic and diverse representation</w:t>
      </w:r>
      <w:r w:rsidR="00A93077" w:rsidRPr="00785FB4">
        <w:rPr>
          <w:bCs/>
        </w:rPr>
        <w:t>, CSOs and industry may wish to consider ways of encouraging women to participate in the EITI process</w:t>
      </w:r>
      <w:r w:rsidR="002B5C31" w:rsidRPr="00785FB4">
        <w:rPr>
          <w:bCs/>
        </w:rPr>
        <w:t>. To help planning, encourage participation of all stakeholders and ensure that papers are submitted in time, the MSG may wish to agree dates of quarterly meetings that are aligned with the EITI’</w:t>
      </w:r>
      <w:r w:rsidR="00A93077" w:rsidRPr="00785FB4">
        <w:rPr>
          <w:bCs/>
        </w:rPr>
        <w:t>s reporting timeframes</w:t>
      </w:r>
      <w:r w:rsidR="005A25DD" w:rsidRPr="00785FB4">
        <w:rPr>
          <w:bCs/>
        </w:rPr>
        <w:t>.</w:t>
      </w:r>
      <w:r w:rsidR="001228EB" w:rsidRPr="00785FB4">
        <w:rPr>
          <w:bCs/>
        </w:rPr>
        <w:t xml:space="preserve"> To help members engage more actively, MSG members should consider working and publishing in local languages rather than English.</w:t>
      </w:r>
      <w:r w:rsidR="00765A19" w:rsidRPr="00785FB4">
        <w:rPr>
          <w:bCs/>
        </w:rPr>
        <w:t xml:space="preserve"> The MSG should also ensure that there is </w:t>
      </w:r>
      <w:r w:rsidR="00765A19" w:rsidRPr="00785FB4">
        <w:t>sufficient advance notice of meetings and timely circulation of documents prior to their debate and proposed adoption.</w:t>
      </w:r>
    </w:p>
    <w:p w14:paraId="199FEAA9" w14:textId="4E705D2F" w:rsidR="002929E0" w:rsidRPr="00785FB4" w:rsidRDefault="002929E0" w:rsidP="00A94167">
      <w:pPr>
        <w:pStyle w:val="Heading2notindexed"/>
      </w:pPr>
      <w:bookmarkStart w:id="148" w:name="_Toc459133090"/>
      <w:bookmarkStart w:id="149" w:name="_Toc461803039"/>
      <w:bookmarkStart w:id="150" w:name="_Toc461787320"/>
      <w:bookmarkStart w:id="151" w:name="_Toc461795832"/>
      <w:bookmarkStart w:id="152" w:name="_Toc505449584"/>
      <w:bookmarkStart w:id="153" w:name="_Toc505449782"/>
      <w:r w:rsidRPr="00785FB4">
        <w:t>Workplan (#1.5)</w:t>
      </w:r>
      <w:bookmarkEnd w:id="148"/>
      <w:bookmarkEnd w:id="149"/>
      <w:bookmarkEnd w:id="150"/>
      <w:bookmarkEnd w:id="151"/>
      <w:bookmarkEnd w:id="152"/>
      <w:bookmarkEnd w:id="153"/>
      <w:r w:rsidRPr="00785FB4">
        <w:t xml:space="preserve"> </w:t>
      </w:r>
    </w:p>
    <w:p w14:paraId="5EABAFD3" w14:textId="52D64212" w:rsidR="0091418B" w:rsidRPr="00785FB4" w:rsidRDefault="002929E0" w:rsidP="00A94167">
      <w:pPr>
        <w:pStyle w:val="Heading3"/>
      </w:pPr>
      <w:bookmarkStart w:id="154" w:name="_Toc505449585"/>
      <w:r w:rsidRPr="00785FB4">
        <w:t>Documentation of progress</w:t>
      </w:r>
      <w:bookmarkEnd w:id="154"/>
      <w:r w:rsidR="00ED7496" w:rsidRPr="00785FB4">
        <w:t xml:space="preserve"> </w:t>
      </w:r>
    </w:p>
    <w:p w14:paraId="296F7175" w14:textId="60FD41CC" w:rsidR="00F605B3" w:rsidRPr="00785FB4" w:rsidRDefault="00D21144" w:rsidP="00F605B3">
      <w:pPr>
        <w:rPr>
          <w:color w:val="1F497D"/>
          <w:lang w:eastAsia="nb-NO"/>
        </w:rPr>
      </w:pPr>
      <w:r w:rsidRPr="00785FB4">
        <w:rPr>
          <w:bCs/>
        </w:rPr>
        <w:t>AEITI work plans began aligning to national priorities in 2016</w:t>
      </w:r>
      <w:r w:rsidR="00F605B3" w:rsidRPr="00785FB4">
        <w:rPr>
          <w:bCs/>
        </w:rPr>
        <w:t xml:space="preserve"> after a thorough </w:t>
      </w:r>
      <w:r w:rsidR="008861E5" w:rsidRPr="00785FB4">
        <w:rPr>
          <w:bCs/>
        </w:rPr>
        <w:t xml:space="preserve">revision </w:t>
      </w:r>
      <w:r w:rsidR="00F605B3" w:rsidRPr="00785FB4">
        <w:rPr>
          <w:bCs/>
        </w:rPr>
        <w:t>of the work plan process was facilitated in a workshop facilitated by GIZ, the World Bank and the EITI International Secretariat in June 2015</w:t>
      </w:r>
      <w:r w:rsidRPr="00785FB4">
        <w:rPr>
          <w:bCs/>
        </w:rPr>
        <w:t xml:space="preserve">. </w:t>
      </w:r>
      <w:commentRangeStart w:id="155"/>
      <w:r w:rsidR="00F605B3" w:rsidRPr="00785FB4">
        <w:rPr>
          <w:bCs/>
        </w:rPr>
        <w:t>The</w:t>
      </w:r>
      <w:commentRangeEnd w:id="155"/>
      <w:r w:rsidR="00802EE6">
        <w:rPr>
          <w:rStyle w:val="CommentReference"/>
          <w:szCs w:val="20"/>
        </w:rPr>
        <w:commentReference w:id="155"/>
      </w:r>
      <w:r w:rsidR="00F605B3" w:rsidRPr="00785FB4">
        <w:rPr>
          <w:bCs/>
        </w:rPr>
        <w:t xml:space="preserve"> MSG </w:t>
      </w:r>
      <w:r w:rsidR="00EC3DCC" w:rsidRPr="00785FB4">
        <w:rPr>
          <w:bCs/>
        </w:rPr>
        <w:t xml:space="preserve">purportedly </w:t>
      </w:r>
      <w:r w:rsidR="00F605B3" w:rsidRPr="00785FB4">
        <w:rPr>
          <w:bCs/>
        </w:rPr>
        <w:t xml:space="preserve">updated its work plan for 2017 on </w:t>
      </w:r>
      <w:r w:rsidR="00935F44" w:rsidRPr="00785FB4">
        <w:rPr>
          <w:bCs/>
        </w:rPr>
        <w:t>5 November 2016</w:t>
      </w:r>
      <w:r w:rsidR="00EC3DCC" w:rsidRPr="00785FB4">
        <w:rPr>
          <w:bCs/>
        </w:rPr>
        <w:t xml:space="preserve">, but the work plan shows that it was a repetition of the last work plan with an update on progress to date. The work plan was again updated in </w:t>
      </w:r>
      <w:r w:rsidR="00144735" w:rsidRPr="00785FB4">
        <w:rPr>
          <w:bCs/>
        </w:rPr>
        <w:t xml:space="preserve">September </w:t>
      </w:r>
      <w:r w:rsidR="00EC3DCC" w:rsidRPr="00785FB4">
        <w:rPr>
          <w:bCs/>
        </w:rPr>
        <w:t>2017, this time with changes to the objectives and tasks</w:t>
      </w:r>
      <w:r w:rsidR="00F605B3" w:rsidRPr="00785FB4">
        <w:rPr>
          <w:bCs/>
        </w:rPr>
        <w:t>.</w:t>
      </w:r>
      <w:r w:rsidR="006B0FF9" w:rsidRPr="00785FB4">
        <w:rPr>
          <w:bCs/>
        </w:rPr>
        <w:t xml:space="preserve"> </w:t>
      </w:r>
      <w:r w:rsidR="00144735" w:rsidRPr="00785FB4">
        <w:rPr>
          <w:bCs/>
        </w:rPr>
        <w:t>The MSG approved the 2018 work plan at its meeting of 14 September 2017.</w:t>
      </w:r>
      <w:r w:rsidR="00E11F18" w:rsidRPr="00785FB4">
        <w:rPr>
          <w:bCs/>
        </w:rPr>
        <w:t xml:space="preserve"> </w:t>
      </w:r>
      <w:r w:rsidR="00374AF6" w:rsidRPr="00785FB4">
        <w:rPr>
          <w:bCs/>
        </w:rPr>
        <w:t>The 2018 work plan included tasks to be completed by end of 2017 and is therefore the work plan that has been reviewed under this requirement</w:t>
      </w:r>
      <w:r w:rsidR="00E11F18" w:rsidRPr="00785FB4">
        <w:rPr>
          <w:bCs/>
        </w:rPr>
        <w:t>.</w:t>
      </w:r>
    </w:p>
    <w:p w14:paraId="62CB9CAC" w14:textId="593574E1" w:rsidR="00F605B3" w:rsidRPr="00785FB4" w:rsidRDefault="00FE345D" w:rsidP="00DA4B4A">
      <w:pPr>
        <w:spacing w:before="120"/>
        <w:rPr>
          <w:iCs/>
        </w:rPr>
      </w:pPr>
      <w:r w:rsidRPr="00785FB4">
        <w:rPr>
          <w:i/>
        </w:rPr>
        <w:t>Publicly accessible workplan</w:t>
      </w:r>
      <w:r w:rsidRPr="00785FB4">
        <w:rPr>
          <w:iCs/>
        </w:rPr>
        <w:t xml:space="preserve">: </w:t>
      </w:r>
      <w:r w:rsidR="00D21144" w:rsidRPr="00785FB4">
        <w:rPr>
          <w:iCs/>
        </w:rPr>
        <w:t xml:space="preserve">AEITI regularly publishes its work plans on the AEITI website, although the </w:t>
      </w:r>
      <w:r w:rsidR="00D21144" w:rsidRPr="00785FB4">
        <w:rPr>
          <w:iCs/>
        </w:rPr>
        <w:lastRenderedPageBreak/>
        <w:t xml:space="preserve">latest work plan, agreed by the MSG in October 2017, </w:t>
      </w:r>
      <w:r w:rsidR="006C0120" w:rsidRPr="00785FB4">
        <w:rPr>
          <w:iCs/>
        </w:rPr>
        <w:t>does not appear to be</w:t>
      </w:r>
      <w:r w:rsidR="00D21144" w:rsidRPr="00785FB4">
        <w:rPr>
          <w:iCs/>
        </w:rPr>
        <w:t xml:space="preserve"> available online. An article on the AEITI website informs the public about the MSG’s discussions of the work plan</w:t>
      </w:r>
      <w:r w:rsidR="006B0FF9" w:rsidRPr="00785FB4">
        <w:rPr>
          <w:iCs/>
        </w:rPr>
        <w:t xml:space="preserve"> (referred to as “the AEITI Secretariat’s work plan”)</w:t>
      </w:r>
      <w:r w:rsidR="00D21144" w:rsidRPr="00785FB4">
        <w:rPr>
          <w:iCs/>
        </w:rPr>
        <w:t xml:space="preserve"> and briefly summarises its content </w:t>
      </w:r>
      <w:r w:rsidR="006B0FF9" w:rsidRPr="00785FB4">
        <w:rPr>
          <w:iCs/>
        </w:rPr>
        <w:t xml:space="preserve">in two points: </w:t>
      </w:r>
      <w:r w:rsidR="00D21144" w:rsidRPr="00785FB4">
        <w:rPr>
          <w:iCs/>
        </w:rPr>
        <w:t>the publication of the next Afghanistan EITI Report by October 2018 and outreach missions by the national secretariat to 10 provinces.</w:t>
      </w:r>
      <w:r w:rsidR="00F605B3" w:rsidRPr="00785FB4">
        <w:rPr>
          <w:rStyle w:val="FootnoteReference"/>
          <w:iCs/>
        </w:rPr>
        <w:footnoteReference w:id="110"/>
      </w:r>
      <w:r w:rsidR="00D21144" w:rsidRPr="00785FB4">
        <w:rPr>
          <w:iCs/>
        </w:rPr>
        <w:t xml:space="preserve"> An outline of the work plan was submitted to MSG members by the national secretariat on 11 October 2017 and a one-day workshop was held on 18 October to discuss its content. </w:t>
      </w:r>
      <w:r w:rsidR="00F605B3" w:rsidRPr="00785FB4">
        <w:rPr>
          <w:iCs/>
        </w:rPr>
        <w:t>There is no evidence that the work plan or its draft were shared or disseminated beyond the MSG mailing list.</w:t>
      </w:r>
    </w:p>
    <w:p w14:paraId="24054E43" w14:textId="3DECC18E" w:rsidR="00672CA5" w:rsidRPr="00785FB4" w:rsidRDefault="00E956E1" w:rsidP="00E956E1">
      <w:pPr>
        <w:spacing w:before="120"/>
      </w:pPr>
      <w:r w:rsidRPr="00785FB4">
        <w:rPr>
          <w:i/>
        </w:rPr>
        <w:t>Objective for implementation:</w:t>
      </w:r>
      <w:r w:rsidR="009909C7" w:rsidRPr="00785FB4">
        <w:rPr>
          <w:i/>
        </w:rPr>
        <w:t xml:space="preserve"> </w:t>
      </w:r>
      <w:r w:rsidR="00935F44" w:rsidRPr="00785FB4">
        <w:rPr>
          <w:bCs/>
        </w:rPr>
        <w:t xml:space="preserve">AEITI’s objectives for implementation have remained relatively constant since </w:t>
      </w:r>
      <w:r w:rsidR="00765A19" w:rsidRPr="00785FB4">
        <w:rPr>
          <w:bCs/>
        </w:rPr>
        <w:t>the 2016 work plan was developed</w:t>
      </w:r>
      <w:r w:rsidR="00935F44" w:rsidRPr="00785FB4">
        <w:rPr>
          <w:bCs/>
        </w:rPr>
        <w:t xml:space="preserve">. </w:t>
      </w:r>
      <w:r w:rsidR="00143AAF" w:rsidRPr="00785FB4">
        <w:rPr>
          <w:bCs/>
        </w:rPr>
        <w:t>Whereas objectives in previous work plans focused on compliance with the EITI’s requirements, this was the first time that MSG members were asked to reflect on their constituencies’ objectives for implementation before agreeing on a work plan for implementation.</w:t>
      </w:r>
      <w:r w:rsidR="00737E00" w:rsidRPr="00785FB4">
        <w:rPr>
          <w:rStyle w:val="FootnoteReference"/>
          <w:bCs/>
        </w:rPr>
        <w:footnoteReference w:id="111"/>
      </w:r>
      <w:r w:rsidR="00143AAF" w:rsidRPr="00785FB4">
        <w:rPr>
          <w:bCs/>
        </w:rPr>
        <w:t xml:space="preserve"> </w:t>
      </w:r>
      <w:r w:rsidR="00935F44" w:rsidRPr="00785FB4">
        <w:rPr>
          <w:bCs/>
        </w:rPr>
        <w:t>Subsequent</w:t>
      </w:r>
      <w:r w:rsidR="00F605B3" w:rsidRPr="00785FB4">
        <w:rPr>
          <w:bCs/>
        </w:rPr>
        <w:t xml:space="preserve"> work plans include brief explanation of the rationale behind the broader objectives and identify governance-related challenges that the MSG wishes to ad</w:t>
      </w:r>
      <w:r w:rsidR="00935F44" w:rsidRPr="00785FB4">
        <w:rPr>
          <w:bCs/>
        </w:rPr>
        <w:t xml:space="preserve">dress. Whereas the 2017 work plan only updated the timeframes for tasks and sub-objectives, the 2018 work plan replaces two objectives (improving MSG performance and improving the investment environment). </w:t>
      </w:r>
      <w:r w:rsidR="00F605B3" w:rsidRPr="00785FB4">
        <w:rPr>
          <w:bCs/>
        </w:rPr>
        <w:t>The 2018 work plan includes the following objectives for implementation: increase public awareness of the sector’s current and potential contribution in order to enable a more informed, evidence-based public debate; highlight ongoing efforts and opportunities to improve revenue collection and sector management in order to build trust in the management of the sector and improve fiscal sustainability; ensure that the legal framework that governs the extractive sector is checked for compliance with global EITI standards; and ensure that there is an up-to-date license and contract registry that is comprehensive and publicly available in an easy-to-understand format.</w:t>
      </w:r>
      <w:r w:rsidR="00935F44" w:rsidRPr="00785FB4">
        <w:rPr>
          <w:bCs/>
        </w:rPr>
        <w:t xml:space="preserve"> </w:t>
      </w:r>
    </w:p>
    <w:p w14:paraId="26DC380A" w14:textId="3FB6F1B7" w:rsidR="00935F44" w:rsidRPr="00785FB4" w:rsidRDefault="002929E0" w:rsidP="00704D5C">
      <w:pPr>
        <w:spacing w:before="120"/>
        <w:rPr>
          <w:bCs/>
        </w:rPr>
      </w:pPr>
      <w:r w:rsidRPr="00785FB4">
        <w:rPr>
          <w:i/>
        </w:rPr>
        <w:t>Measurable and time-bound activities</w:t>
      </w:r>
      <w:r w:rsidR="00935F44" w:rsidRPr="00785FB4">
        <w:rPr>
          <w:i/>
        </w:rPr>
        <w:t xml:space="preserve">: </w:t>
      </w:r>
      <w:r w:rsidR="00935F44" w:rsidRPr="00785FB4">
        <w:rPr>
          <w:bCs/>
        </w:rPr>
        <w:t xml:space="preserve">AEITI’s work plans since 2015 include sub-objectives and specific tasks </w:t>
      </w:r>
      <w:r w:rsidR="001D1839" w:rsidRPr="00785FB4">
        <w:rPr>
          <w:bCs/>
        </w:rPr>
        <w:t>for each objective, with clear timelines and outputs. With some exceptions concerning the publication of summary reports and follow-up of recommendations with government entities,</w:t>
      </w:r>
      <w:r w:rsidR="00737E00" w:rsidRPr="00785FB4">
        <w:rPr>
          <w:bCs/>
        </w:rPr>
        <w:t xml:space="preserve"> which are scheduled for completion in the beginning of 2019,</w:t>
      </w:r>
      <w:r w:rsidR="001D1839" w:rsidRPr="00785FB4">
        <w:rPr>
          <w:bCs/>
        </w:rPr>
        <w:t xml:space="preserve"> </w:t>
      </w:r>
      <w:r w:rsidR="00737E00" w:rsidRPr="00785FB4">
        <w:rPr>
          <w:bCs/>
        </w:rPr>
        <w:t xml:space="preserve">most </w:t>
      </w:r>
      <w:r w:rsidR="001D1839" w:rsidRPr="00785FB4">
        <w:rPr>
          <w:bCs/>
        </w:rPr>
        <w:t>activities listed are due for completion by end-2018.</w:t>
      </w:r>
      <w:r w:rsidR="00C35367" w:rsidRPr="00785FB4">
        <w:rPr>
          <w:bCs/>
        </w:rPr>
        <w:t xml:space="preserve"> According to an institutional assessment carried out on AEITI by Democracy International in July 2017, there were concerns by stakeholders that AEITI work plans were not regularly followed to guide the MSG’s efforts.</w:t>
      </w:r>
      <w:r w:rsidR="00C35367" w:rsidRPr="00785FB4">
        <w:rPr>
          <w:rStyle w:val="FootnoteReference"/>
          <w:bCs/>
        </w:rPr>
        <w:footnoteReference w:id="112"/>
      </w:r>
    </w:p>
    <w:p w14:paraId="7FEE6D27" w14:textId="15E9993D" w:rsidR="00070986" w:rsidRPr="00785FB4" w:rsidRDefault="002929E0" w:rsidP="00704D5C">
      <w:pPr>
        <w:spacing w:before="120"/>
        <w:rPr>
          <w:iCs/>
        </w:rPr>
      </w:pPr>
      <w:r w:rsidRPr="00785FB4">
        <w:rPr>
          <w:i/>
        </w:rPr>
        <w:t>Activities aimed at addressing</w:t>
      </w:r>
      <w:r w:rsidR="00EE596C" w:rsidRPr="00785FB4">
        <w:rPr>
          <w:i/>
        </w:rPr>
        <w:t xml:space="preserve"> any capacity constraints</w:t>
      </w:r>
      <w:r w:rsidR="00E956E1" w:rsidRPr="00785FB4">
        <w:rPr>
          <w:iCs/>
        </w:rPr>
        <w:t>:</w:t>
      </w:r>
      <w:r w:rsidR="00EE596C" w:rsidRPr="00785FB4">
        <w:rPr>
          <w:iCs/>
        </w:rPr>
        <w:t xml:space="preserve"> </w:t>
      </w:r>
      <w:r w:rsidR="001D1839" w:rsidRPr="00785FB4">
        <w:rPr>
          <w:iCs/>
        </w:rPr>
        <w:t xml:space="preserve">The 2018 work plan includes </w:t>
      </w:r>
      <w:r w:rsidR="00070986" w:rsidRPr="00785FB4">
        <w:rPr>
          <w:iCs/>
        </w:rPr>
        <w:t xml:space="preserve">activities aimed at capacity building of local stakeholders, defined as </w:t>
      </w:r>
      <w:r w:rsidR="00144735" w:rsidRPr="00785FB4">
        <w:rPr>
          <w:iCs/>
        </w:rPr>
        <w:t>“</w:t>
      </w:r>
      <w:r w:rsidR="00070986" w:rsidRPr="00785FB4">
        <w:rPr>
          <w:iCs/>
        </w:rPr>
        <w:t>government regional offices, communities and industry</w:t>
      </w:r>
      <w:r w:rsidR="00144735" w:rsidRPr="00785FB4">
        <w:rPr>
          <w:iCs/>
        </w:rPr>
        <w:t>”</w:t>
      </w:r>
      <w:r w:rsidR="00070986" w:rsidRPr="00785FB4">
        <w:rPr>
          <w:iCs/>
        </w:rPr>
        <w:t xml:space="preserve"> but does not clarify what constraints should be addressed beyond “EITI implementation”. The work plan also includes specific activities on addressing challenges identified with implementing beneficial </w:t>
      </w:r>
      <w:r w:rsidR="00070986" w:rsidRPr="00785FB4">
        <w:rPr>
          <w:iCs/>
        </w:rPr>
        <w:lastRenderedPageBreak/>
        <w:t>ownership transparency and support to developing government systems.</w:t>
      </w:r>
    </w:p>
    <w:p w14:paraId="6AC255B5" w14:textId="213A779B" w:rsidR="00935073" w:rsidRPr="00785FB4" w:rsidRDefault="002929E0" w:rsidP="00345FB7">
      <w:pPr>
        <w:spacing w:before="120"/>
      </w:pPr>
      <w:r w:rsidRPr="00785FB4">
        <w:rPr>
          <w:i/>
        </w:rPr>
        <w:t>Activities related to the sco</w:t>
      </w:r>
      <w:r w:rsidR="00B03B35" w:rsidRPr="00785FB4">
        <w:rPr>
          <w:i/>
        </w:rPr>
        <w:t>pe o</w:t>
      </w:r>
      <w:r w:rsidR="00E956E1" w:rsidRPr="00785FB4">
        <w:rPr>
          <w:i/>
        </w:rPr>
        <w:t>f EITI reporting:</w:t>
      </w:r>
      <w:r w:rsidR="00B03B35" w:rsidRPr="00785FB4">
        <w:rPr>
          <w:i/>
        </w:rPr>
        <w:t xml:space="preserve"> </w:t>
      </w:r>
      <w:r w:rsidR="00070986" w:rsidRPr="00785FB4">
        <w:t xml:space="preserve">The 2018 work plan includes activities related to the scope of EITI reporting, </w:t>
      </w:r>
      <w:r w:rsidR="00977FAD" w:rsidRPr="00785FB4">
        <w:t>especially in terms of addressing revenue management and expenditure (</w:t>
      </w:r>
      <w:r w:rsidR="00144735" w:rsidRPr="00785FB4">
        <w:t xml:space="preserve">work plan </w:t>
      </w:r>
      <w:r w:rsidR="00977FAD" w:rsidRPr="00785FB4">
        <w:t>objectives 2 and 4) and contracts (objective 4). The work plan includes activities aimed at improving</w:t>
      </w:r>
      <w:r w:rsidR="00070986" w:rsidRPr="00785FB4">
        <w:t xml:space="preserve"> technical aspects of EITI reporting and addressing challenges in government database systems to support data gathering</w:t>
      </w:r>
      <w:r w:rsidR="00153021" w:rsidRPr="00785FB4">
        <w:t>, as well as beneficial ownership disclosure.</w:t>
      </w:r>
      <w:r w:rsidR="00153021" w:rsidRPr="00785FB4">
        <w:rPr>
          <w:rStyle w:val="FootnoteReference"/>
        </w:rPr>
        <w:footnoteReference w:id="113"/>
      </w:r>
      <w:r w:rsidR="00977FAD" w:rsidRPr="00785FB4">
        <w:t xml:space="preserve"> Transportation payments, discretionary social expenditures and ad-hoc subnational transfers are not addressed by the work plan, although with the exception of discretionary social expenditures this is probably because they are not considered applicable by the MSG.</w:t>
      </w:r>
    </w:p>
    <w:p w14:paraId="33AFFCB0" w14:textId="2F8F1E24" w:rsidR="006B0FF9" w:rsidRPr="00785FB4" w:rsidRDefault="004A6522" w:rsidP="00610726">
      <w:pPr>
        <w:spacing w:before="120"/>
        <w:rPr>
          <w:iCs/>
        </w:rPr>
      </w:pPr>
      <w:r w:rsidRPr="00785FB4">
        <w:rPr>
          <w:i/>
        </w:rPr>
        <w:t>L</w:t>
      </w:r>
      <w:r w:rsidR="002929E0" w:rsidRPr="00785FB4">
        <w:rPr>
          <w:i/>
        </w:rPr>
        <w:t>egal or regulatory o</w:t>
      </w:r>
      <w:r w:rsidR="00610726" w:rsidRPr="00785FB4">
        <w:rPr>
          <w:i/>
        </w:rPr>
        <w:t>bstacles</w:t>
      </w:r>
      <w:r w:rsidR="00E956E1" w:rsidRPr="00785FB4">
        <w:rPr>
          <w:iCs/>
        </w:rPr>
        <w:t>:</w:t>
      </w:r>
      <w:r w:rsidR="00B03B35" w:rsidRPr="00785FB4">
        <w:rPr>
          <w:iCs/>
        </w:rPr>
        <w:t xml:space="preserve"> </w:t>
      </w:r>
      <w:r w:rsidR="00935073" w:rsidRPr="00785FB4">
        <w:rPr>
          <w:iCs/>
        </w:rPr>
        <w:t xml:space="preserve">Objective 3 in the 2018 work plan specifically addresses the regulatory framework and includes a specific task aimed at creating a joint commission “between the Legal Department of the </w:t>
      </w:r>
      <w:r w:rsidR="00DB56BA" w:rsidRPr="00785FB4">
        <w:rPr>
          <w:iCs/>
        </w:rPr>
        <w:t>MOMP</w:t>
      </w:r>
      <w:r w:rsidR="00935073" w:rsidRPr="00785FB4">
        <w:rPr>
          <w:iCs/>
        </w:rPr>
        <w:t xml:space="preserve">, the MSG and selected CSOs to develop recommendations to address gaps [identified through EITI reporting] through amendments of draft laws or regulations”. The work plan also identifies the </w:t>
      </w:r>
      <w:r w:rsidR="002C6190" w:rsidRPr="00785FB4">
        <w:rPr>
          <w:iCs/>
        </w:rPr>
        <w:t xml:space="preserve">lack </w:t>
      </w:r>
      <w:r w:rsidR="00935073" w:rsidRPr="00785FB4">
        <w:rPr>
          <w:iCs/>
        </w:rPr>
        <w:t xml:space="preserve">of implementation of laws as a challenge and includes </w:t>
      </w:r>
      <w:r w:rsidR="002C6190" w:rsidRPr="00785FB4">
        <w:rPr>
          <w:iCs/>
        </w:rPr>
        <w:t xml:space="preserve">several </w:t>
      </w:r>
      <w:r w:rsidR="00935073" w:rsidRPr="00785FB4">
        <w:rPr>
          <w:iCs/>
        </w:rPr>
        <w:t>tasks under objective</w:t>
      </w:r>
      <w:r w:rsidR="006B0FF9" w:rsidRPr="00785FB4">
        <w:rPr>
          <w:iCs/>
        </w:rPr>
        <w:t xml:space="preserve"> </w:t>
      </w:r>
      <w:r w:rsidR="002C6190" w:rsidRPr="00785FB4">
        <w:rPr>
          <w:iCs/>
        </w:rPr>
        <w:t xml:space="preserve">4 </w:t>
      </w:r>
      <w:r w:rsidR="006B0FF9" w:rsidRPr="00785FB4">
        <w:rPr>
          <w:iCs/>
        </w:rPr>
        <w:t xml:space="preserve">to ensure that information that is already legally required is </w:t>
      </w:r>
      <w:r w:rsidR="002C6190" w:rsidRPr="00785FB4">
        <w:rPr>
          <w:iCs/>
        </w:rPr>
        <w:t>collected</w:t>
      </w:r>
      <w:r w:rsidR="006B0FF9" w:rsidRPr="00785FB4">
        <w:rPr>
          <w:iCs/>
        </w:rPr>
        <w:t>, comprehensive</w:t>
      </w:r>
      <w:r w:rsidR="002C6190" w:rsidRPr="00785FB4">
        <w:rPr>
          <w:iCs/>
        </w:rPr>
        <w:t>ly disclosed</w:t>
      </w:r>
      <w:r w:rsidR="006B0FF9" w:rsidRPr="00785FB4">
        <w:rPr>
          <w:iCs/>
        </w:rPr>
        <w:t xml:space="preserve"> and </w:t>
      </w:r>
      <w:r w:rsidR="002C6190" w:rsidRPr="00785FB4">
        <w:rPr>
          <w:iCs/>
        </w:rPr>
        <w:t>publicly-</w:t>
      </w:r>
      <w:r w:rsidR="006B0FF9" w:rsidRPr="00785FB4">
        <w:rPr>
          <w:iCs/>
        </w:rPr>
        <w:t>available in a</w:t>
      </w:r>
      <w:r w:rsidR="002C6190" w:rsidRPr="00785FB4">
        <w:rPr>
          <w:iCs/>
        </w:rPr>
        <w:t>n accessible</w:t>
      </w:r>
      <w:r w:rsidR="006B0FF9" w:rsidRPr="00785FB4">
        <w:rPr>
          <w:iCs/>
        </w:rPr>
        <w:t xml:space="preserve"> format. </w:t>
      </w:r>
    </w:p>
    <w:p w14:paraId="6FD03E96" w14:textId="3CADC8E7" w:rsidR="002929E0" w:rsidRPr="00785FB4" w:rsidRDefault="004A6522" w:rsidP="008B6D3C">
      <w:pPr>
        <w:spacing w:before="120"/>
        <w:rPr>
          <w:iCs/>
        </w:rPr>
      </w:pPr>
      <w:r w:rsidRPr="00785FB4">
        <w:rPr>
          <w:i/>
        </w:rPr>
        <w:t>R</w:t>
      </w:r>
      <w:r w:rsidR="002929E0" w:rsidRPr="00785FB4">
        <w:rPr>
          <w:i/>
        </w:rPr>
        <w:t>ecommendations from Va</w:t>
      </w:r>
      <w:r w:rsidR="00610726" w:rsidRPr="00785FB4">
        <w:rPr>
          <w:i/>
        </w:rPr>
        <w:t>lidation and EITI reporting</w:t>
      </w:r>
      <w:r w:rsidR="00E956E1" w:rsidRPr="00785FB4">
        <w:rPr>
          <w:iCs/>
        </w:rPr>
        <w:t>:</w:t>
      </w:r>
      <w:r w:rsidR="00704D5C" w:rsidRPr="00785FB4">
        <w:rPr>
          <w:iCs/>
        </w:rPr>
        <w:t xml:space="preserve"> </w:t>
      </w:r>
      <w:r w:rsidR="006B0FF9" w:rsidRPr="00785FB4">
        <w:rPr>
          <w:iCs/>
        </w:rPr>
        <w:t xml:space="preserve">The 2018 work plan indirectly outlines plans to follow up </w:t>
      </w:r>
      <w:r w:rsidRPr="00785FB4">
        <w:rPr>
          <w:iCs/>
        </w:rPr>
        <w:t>on</w:t>
      </w:r>
      <w:r w:rsidR="006B0FF9" w:rsidRPr="00785FB4">
        <w:rPr>
          <w:iCs/>
        </w:rPr>
        <w:t xml:space="preserve"> recommendations of past EITI Reports under objectives 3 (development of a joint commission to follow up recommendations that have legal implications) and objective 4 (improving license and contract registries at the </w:t>
      </w:r>
      <w:r w:rsidR="00DB56BA" w:rsidRPr="00785FB4">
        <w:rPr>
          <w:iCs/>
        </w:rPr>
        <w:t>MOMP</w:t>
      </w:r>
      <w:r w:rsidR="006B0FF9" w:rsidRPr="00785FB4">
        <w:rPr>
          <w:iCs/>
        </w:rPr>
        <w:t xml:space="preserve"> and the </w:t>
      </w:r>
      <w:r w:rsidR="00DB56BA" w:rsidRPr="00785FB4">
        <w:rPr>
          <w:iCs/>
        </w:rPr>
        <w:t>MOF</w:t>
      </w:r>
      <w:r w:rsidR="006B0FF9" w:rsidRPr="00785FB4">
        <w:rPr>
          <w:iCs/>
        </w:rPr>
        <w:t>).</w:t>
      </w:r>
      <w:r w:rsidR="00D21148" w:rsidRPr="00785FB4">
        <w:rPr>
          <w:iCs/>
        </w:rPr>
        <w:t xml:space="preserve"> Although not part of the work plan (see next section), the AEITI procurement plan includes a budget line of USD 20,000 to hire a consultancy firm to resolve discrepancies of the last two Afghanistan EITI Reports.</w:t>
      </w:r>
    </w:p>
    <w:p w14:paraId="5F58C7E9" w14:textId="7AE12624" w:rsidR="00E2038D" w:rsidRPr="00785FB4" w:rsidRDefault="002929E0" w:rsidP="00E956E1">
      <w:pPr>
        <w:spacing w:before="120"/>
      </w:pPr>
      <w:r w:rsidRPr="00785FB4">
        <w:rPr>
          <w:i/>
        </w:rPr>
        <w:t>Costings and funding</w:t>
      </w:r>
      <w:r w:rsidR="00E956E1" w:rsidRPr="00785FB4">
        <w:rPr>
          <w:i/>
        </w:rPr>
        <w:t>:</w:t>
      </w:r>
      <w:r w:rsidR="006B0FF9" w:rsidRPr="00785FB4">
        <w:t xml:space="preserve"> Although the work plan includes a column to specify the budget, none of the activities in the 2018 work plan are costed. This is also the case in previous work plans. Some of the activities </w:t>
      </w:r>
      <w:r w:rsidR="00924E40" w:rsidRPr="00785FB4">
        <w:t>identify the prospective sources of</w:t>
      </w:r>
      <w:r w:rsidR="006B0FF9" w:rsidRPr="00785FB4">
        <w:t xml:space="preserve"> funding and technical assistance (WB, GIZ, RDF, GOIA and </w:t>
      </w:r>
      <w:r w:rsidR="00924E40" w:rsidRPr="00785FB4">
        <w:t xml:space="preserve">other unspecified </w:t>
      </w:r>
      <w:r w:rsidR="006B0FF9" w:rsidRPr="00785FB4">
        <w:t xml:space="preserve">“donors”). An AEITI procurement plan exists </w:t>
      </w:r>
      <w:r w:rsidR="00D21148" w:rsidRPr="00785FB4">
        <w:t xml:space="preserve">for the period 1 April 2017-31 March 2018 </w:t>
      </w:r>
      <w:r w:rsidR="006B0FF9" w:rsidRPr="00785FB4">
        <w:t xml:space="preserve">but </w:t>
      </w:r>
      <w:r w:rsidR="00D21148" w:rsidRPr="00785FB4">
        <w:t>is not available to the public. Although the procurement plan includes some of the same posts as the 2018 work plan</w:t>
      </w:r>
      <w:r w:rsidR="00924E40" w:rsidRPr="00785FB4">
        <w:t>,</w:t>
      </w:r>
      <w:r w:rsidR="00D21148" w:rsidRPr="00785FB4">
        <w:t xml:space="preserve"> such as </w:t>
      </w:r>
      <w:r w:rsidR="00924E40" w:rsidRPr="00785FB4">
        <w:t xml:space="preserve">for </w:t>
      </w:r>
      <w:r w:rsidR="00D21148" w:rsidRPr="00785FB4">
        <w:t xml:space="preserve">capacity building, printing and communication and the hiring of an </w:t>
      </w:r>
      <w:r w:rsidR="00924E40" w:rsidRPr="00785FB4">
        <w:t>I</w:t>
      </w:r>
      <w:r w:rsidR="00D21148" w:rsidRPr="00785FB4">
        <w:t xml:space="preserve">ndependent </w:t>
      </w:r>
      <w:r w:rsidR="00924E40" w:rsidRPr="00785FB4">
        <w:t>A</w:t>
      </w:r>
      <w:r w:rsidR="00D21148" w:rsidRPr="00785FB4">
        <w:t xml:space="preserve">dministrator among others, </w:t>
      </w:r>
      <w:r w:rsidR="00924E40" w:rsidRPr="00785FB4">
        <w:t xml:space="preserve">the relation between </w:t>
      </w:r>
      <w:r w:rsidR="00D21148" w:rsidRPr="00785FB4">
        <w:t xml:space="preserve">the procurement plan or the work plan </w:t>
      </w:r>
      <w:r w:rsidR="00924E40" w:rsidRPr="00785FB4">
        <w:t>is not explained</w:t>
      </w:r>
      <w:r w:rsidR="00D21148" w:rsidRPr="00785FB4">
        <w:t xml:space="preserve">. According to the procurement plan, AEITI’s budget is 100% funded by the World Bank and amounts to USD 1,497,765 for the period in question. Of this amount, </w:t>
      </w:r>
      <w:r w:rsidR="00BE39F0" w:rsidRPr="00785FB4">
        <w:t>67</w:t>
      </w:r>
      <w:r w:rsidR="00D21148" w:rsidRPr="00785FB4">
        <w:t>% is earmarked for a</w:t>
      </w:r>
      <w:r w:rsidR="00BE39F0" w:rsidRPr="00785FB4">
        <w:t xml:space="preserve">dvisors, officers and other specialist staff to the </w:t>
      </w:r>
      <w:r w:rsidR="00DB56BA" w:rsidRPr="00785FB4">
        <w:t>MOF</w:t>
      </w:r>
      <w:r w:rsidR="00BE39F0" w:rsidRPr="00785FB4">
        <w:t xml:space="preserve"> and the </w:t>
      </w:r>
      <w:r w:rsidR="00DB56BA" w:rsidRPr="00785FB4">
        <w:t>MOMP</w:t>
      </w:r>
      <w:r w:rsidR="00BE39F0" w:rsidRPr="00785FB4">
        <w:t>.</w:t>
      </w:r>
      <w:r w:rsidR="00BE39F0" w:rsidRPr="00785FB4">
        <w:rPr>
          <w:rStyle w:val="FootnoteReference"/>
        </w:rPr>
        <w:footnoteReference w:id="114"/>
      </w:r>
      <w:r w:rsidR="00BE39F0" w:rsidRPr="00785FB4">
        <w:t xml:space="preserve"> Roughly USD 500,000 </w:t>
      </w:r>
      <w:r w:rsidR="002B35A6" w:rsidRPr="00785FB4">
        <w:t xml:space="preserve">(one third) </w:t>
      </w:r>
      <w:r w:rsidR="00BE39F0" w:rsidRPr="00785FB4">
        <w:t xml:space="preserve">of the </w:t>
      </w:r>
      <w:r w:rsidR="00BE39F0" w:rsidRPr="00785FB4">
        <w:lastRenderedPageBreak/>
        <w:t>budget</w:t>
      </w:r>
      <w:r w:rsidR="00977FAD" w:rsidRPr="00785FB4">
        <w:t xml:space="preserve"> in the procurement plan</w:t>
      </w:r>
      <w:r w:rsidR="00BE39F0" w:rsidRPr="00785FB4">
        <w:t xml:space="preserve"> can be linked to specific tasks outlined in the 2018 AEITI work plan.</w:t>
      </w:r>
      <w:r w:rsidR="00BE39F0" w:rsidRPr="00785FB4">
        <w:rPr>
          <w:rStyle w:val="FootnoteReference"/>
        </w:rPr>
        <w:footnoteReference w:id="115"/>
      </w:r>
    </w:p>
    <w:p w14:paraId="7A381A87" w14:textId="66B83DA7" w:rsidR="002929E0" w:rsidRPr="00785FB4" w:rsidRDefault="002929E0" w:rsidP="00A94167">
      <w:pPr>
        <w:pStyle w:val="Heading3"/>
      </w:pPr>
      <w:bookmarkStart w:id="156" w:name="_Toc505449586"/>
      <w:r w:rsidRPr="00785FB4">
        <w:t>St</w:t>
      </w:r>
      <w:bookmarkStart w:id="157" w:name="workplanstakeholderviews"/>
      <w:bookmarkEnd w:id="157"/>
      <w:r w:rsidRPr="00785FB4">
        <w:t>akeholder views</w:t>
      </w:r>
      <w:bookmarkEnd w:id="156"/>
    </w:p>
    <w:p w14:paraId="45222C6C" w14:textId="5674E073" w:rsidR="00977FAD" w:rsidRPr="00785FB4" w:rsidRDefault="00144735" w:rsidP="00977FAD">
      <w:r w:rsidRPr="00785FB4">
        <w:t xml:space="preserve">A senior government representative said that the AEITI work plan should ideally be used to guide the government’s reform strategy for the sector but lamented that this was not possible because decisions on the development of the sector were </w:t>
      </w:r>
      <w:r w:rsidR="00C35367" w:rsidRPr="00785FB4">
        <w:t>often</w:t>
      </w:r>
      <w:r w:rsidRPr="00785FB4">
        <w:t xml:space="preserve"> made outside of the line ministry. </w:t>
      </w:r>
      <w:r w:rsidR="00A93EEB" w:rsidRPr="00785FB4">
        <w:t xml:space="preserve">Several industry and CSO </w:t>
      </w:r>
      <w:r w:rsidRPr="00785FB4">
        <w:t xml:space="preserve">MSG members </w:t>
      </w:r>
      <w:r w:rsidR="003D5BF1" w:rsidRPr="00785FB4">
        <w:t xml:space="preserve">confirmed that they had been able to influence the content of the work plan, including </w:t>
      </w:r>
      <w:r w:rsidR="00A93EEB" w:rsidRPr="00785FB4">
        <w:t>objectives</w:t>
      </w:r>
      <w:r w:rsidR="00644190" w:rsidRPr="00785FB4">
        <w:t xml:space="preserve"> that </w:t>
      </w:r>
      <w:r w:rsidR="003D5BF1" w:rsidRPr="00785FB4">
        <w:t xml:space="preserve">they considered aligned with national priorities for the sector, </w:t>
      </w:r>
      <w:r w:rsidR="00644190" w:rsidRPr="00785FB4">
        <w:t xml:space="preserve">although </w:t>
      </w:r>
      <w:r w:rsidR="003D5BF1" w:rsidRPr="00785FB4">
        <w:t xml:space="preserve">they expressed some doubts about </w:t>
      </w:r>
      <w:r w:rsidR="00C35367" w:rsidRPr="00785FB4">
        <w:t>whether work plans were actually followed</w:t>
      </w:r>
      <w:r w:rsidR="003D5BF1" w:rsidRPr="00785FB4">
        <w:t xml:space="preserve">. </w:t>
      </w:r>
      <w:r w:rsidR="00493A50" w:rsidRPr="00785FB4">
        <w:t xml:space="preserve">The MSG’s May 2017 self-assessment confirmed the MSG’s belief that the </w:t>
      </w:r>
      <w:r w:rsidR="00143AAF" w:rsidRPr="00785FB4">
        <w:t xml:space="preserve">work plan </w:t>
      </w:r>
      <w:r w:rsidR="00493A50" w:rsidRPr="00785FB4">
        <w:t>contained objectives that reflected national priorities, contained measurable and time-bound activities, included actions to address capacity constraints identified by the MSG and was aligned with EITI reporting deadlines.</w:t>
      </w:r>
      <w:r w:rsidR="00F10310" w:rsidRPr="00785FB4">
        <w:t xml:space="preserve"> According to the self-assessment, the 2017 work plan was also translated to Dari but this version was not available online.</w:t>
      </w:r>
      <w:r w:rsidR="00493A50" w:rsidRPr="00785FB4">
        <w:t xml:space="preserve"> The self-assessment identified </w:t>
      </w:r>
      <w:r w:rsidR="00F10310" w:rsidRPr="00785FB4">
        <w:t>the absence of updated information on cost</w:t>
      </w:r>
      <w:r w:rsidR="00644190" w:rsidRPr="00785FB4">
        <w:t>s</w:t>
      </w:r>
      <w:r w:rsidR="00F10310" w:rsidRPr="00785FB4">
        <w:t xml:space="preserve"> and funding sources as a key challenge that needed to be addressed along with closer follow-up </w:t>
      </w:r>
      <w:r w:rsidR="00644190" w:rsidRPr="00785FB4">
        <w:t xml:space="preserve">on </w:t>
      </w:r>
      <w:r w:rsidR="00F10310" w:rsidRPr="00785FB4">
        <w:t xml:space="preserve">the </w:t>
      </w:r>
      <w:r w:rsidR="00644190" w:rsidRPr="00785FB4">
        <w:t xml:space="preserve">work plan’s </w:t>
      </w:r>
      <w:r w:rsidR="00F10310" w:rsidRPr="00785FB4">
        <w:t xml:space="preserve">activities and timeframes. </w:t>
      </w:r>
      <w:r w:rsidR="003D5BF1" w:rsidRPr="00785FB4">
        <w:t xml:space="preserve">Secretariat staff explained that the work plan was developed with the MSG independently of the secretariat’s procurement plan, which was agreed with the World Bank through a separate process. When asked whether the two were aligned, secretariat staff explained that they were only aligned insofar as the secretariat conveyed their operational needs – and in particular staffing needs –  to the </w:t>
      </w:r>
      <w:r w:rsidR="00DB56BA" w:rsidRPr="00785FB4">
        <w:t>MOF</w:t>
      </w:r>
      <w:r w:rsidR="003D5BF1" w:rsidRPr="00785FB4">
        <w:t>/</w:t>
      </w:r>
      <w:r w:rsidR="00DB56BA" w:rsidRPr="00785FB4">
        <w:t>MOMP</w:t>
      </w:r>
      <w:r w:rsidR="003D5BF1" w:rsidRPr="00785FB4">
        <w:t xml:space="preserve"> and the </w:t>
      </w:r>
      <w:r w:rsidR="00644190" w:rsidRPr="00785FB4">
        <w:t xml:space="preserve">World Bank </w:t>
      </w:r>
      <w:r w:rsidR="003D5BF1" w:rsidRPr="00785FB4">
        <w:t xml:space="preserve">on the basis of the MSG’s work plan, </w:t>
      </w:r>
      <w:r w:rsidR="00644190" w:rsidRPr="00785FB4">
        <w:t xml:space="preserve">but that </w:t>
      </w:r>
      <w:r w:rsidR="003D5BF1" w:rsidRPr="00785FB4">
        <w:t xml:space="preserve">the final procurement plan was </w:t>
      </w:r>
      <w:r w:rsidR="00644190" w:rsidRPr="00785FB4">
        <w:t xml:space="preserve">beyond </w:t>
      </w:r>
      <w:r w:rsidR="003D5BF1" w:rsidRPr="00785FB4">
        <w:t>the control</w:t>
      </w:r>
      <w:r w:rsidR="00644190" w:rsidRPr="00785FB4">
        <w:t xml:space="preserve"> of the MSG or secretariat</w:t>
      </w:r>
      <w:r w:rsidR="003D5BF1" w:rsidRPr="00785FB4">
        <w:t xml:space="preserve">. </w:t>
      </w:r>
      <w:r w:rsidR="00C35367" w:rsidRPr="00785FB4">
        <w:t>Current and former staff</w:t>
      </w:r>
      <w:r w:rsidR="003D5BF1" w:rsidRPr="00785FB4">
        <w:t xml:space="preserve"> expressed concern that most of the procurement plan only nominally concerned EITI implementation</w:t>
      </w:r>
      <w:r w:rsidR="00431E07" w:rsidRPr="00785FB4">
        <w:t xml:space="preserve"> and </w:t>
      </w:r>
      <w:r w:rsidR="00C35367" w:rsidRPr="00785FB4">
        <w:t xml:space="preserve">lamented </w:t>
      </w:r>
      <w:r w:rsidR="00431E07" w:rsidRPr="00785FB4">
        <w:t xml:space="preserve">the </w:t>
      </w:r>
      <w:r w:rsidR="00644190" w:rsidRPr="00785FB4">
        <w:t xml:space="preserve">impact on </w:t>
      </w:r>
      <w:r w:rsidR="00431E07" w:rsidRPr="00785FB4">
        <w:t xml:space="preserve">the secretariat’s </w:t>
      </w:r>
      <w:r w:rsidR="00644190" w:rsidRPr="00785FB4">
        <w:t>capacities</w:t>
      </w:r>
      <w:r w:rsidR="003D5BF1" w:rsidRPr="00785FB4">
        <w:t xml:space="preserve">. A former </w:t>
      </w:r>
      <w:r w:rsidR="00644190" w:rsidRPr="00785FB4">
        <w:t>N</w:t>
      </w:r>
      <w:r w:rsidR="003D5BF1" w:rsidRPr="00785FB4">
        <w:t xml:space="preserve">ational </w:t>
      </w:r>
      <w:r w:rsidR="00644190" w:rsidRPr="00785FB4">
        <w:t>C</w:t>
      </w:r>
      <w:r w:rsidR="003D5BF1" w:rsidRPr="00785FB4">
        <w:t>oordina</w:t>
      </w:r>
      <w:r w:rsidR="00431E07" w:rsidRPr="00785FB4">
        <w:t xml:space="preserve">tor explained that the good scores received by AEITI in the </w:t>
      </w:r>
      <w:r w:rsidR="00DB56BA" w:rsidRPr="00785FB4">
        <w:t>MOF</w:t>
      </w:r>
      <w:r w:rsidR="00431E07" w:rsidRPr="00785FB4">
        <w:t xml:space="preserve">’s annual performance reports had led to AEITI </w:t>
      </w:r>
      <w:r w:rsidR="00644190" w:rsidRPr="00785FB4">
        <w:t xml:space="preserve">to </w:t>
      </w:r>
      <w:r w:rsidR="00431E07" w:rsidRPr="00785FB4">
        <w:t>be used as the preferred channel to fund support to other areas under the World Bank’s sector grants (S</w:t>
      </w:r>
      <w:r w:rsidR="00153021" w:rsidRPr="00785FB4">
        <w:t xml:space="preserve">ustainable </w:t>
      </w:r>
      <w:r w:rsidR="00431E07" w:rsidRPr="00785FB4">
        <w:t>D</w:t>
      </w:r>
      <w:r w:rsidR="00153021" w:rsidRPr="00785FB4">
        <w:t xml:space="preserve">evelopment of </w:t>
      </w:r>
      <w:r w:rsidR="00431E07" w:rsidRPr="00785FB4">
        <w:t>N</w:t>
      </w:r>
      <w:r w:rsidR="00153021" w:rsidRPr="00785FB4">
        <w:t xml:space="preserve">atural </w:t>
      </w:r>
      <w:r w:rsidR="00431E07" w:rsidRPr="00785FB4">
        <w:t>R</w:t>
      </w:r>
      <w:r w:rsidR="00153021" w:rsidRPr="00785FB4">
        <w:t xml:space="preserve">esources </w:t>
      </w:r>
      <w:r w:rsidR="00431E07" w:rsidRPr="00785FB4">
        <w:t>P</w:t>
      </w:r>
      <w:r w:rsidR="00153021" w:rsidRPr="00785FB4">
        <w:t>roject (SDNRP)</w:t>
      </w:r>
      <w:r w:rsidR="00431E07" w:rsidRPr="00785FB4">
        <w:t xml:space="preserve"> I and II and</w:t>
      </w:r>
      <w:r w:rsidR="00644190" w:rsidRPr="00785FB4">
        <w:t>,</w:t>
      </w:r>
      <w:r w:rsidR="00431E07" w:rsidRPr="00785FB4">
        <w:t xml:space="preserve"> since 2017</w:t>
      </w:r>
      <w:r w:rsidR="00644190" w:rsidRPr="00785FB4">
        <w:t>,</w:t>
      </w:r>
      <w:r w:rsidR="00431E07" w:rsidRPr="00785FB4">
        <w:t xml:space="preserve"> E</w:t>
      </w:r>
      <w:r w:rsidR="00153021" w:rsidRPr="00785FB4">
        <w:t xml:space="preserve">xtractive </w:t>
      </w:r>
      <w:r w:rsidR="00431E07" w:rsidRPr="00785FB4">
        <w:t>G</w:t>
      </w:r>
      <w:r w:rsidR="00153021" w:rsidRPr="00785FB4">
        <w:t xml:space="preserve">overnance </w:t>
      </w:r>
      <w:r w:rsidR="00431E07" w:rsidRPr="00785FB4">
        <w:t>P</w:t>
      </w:r>
      <w:r w:rsidR="00153021" w:rsidRPr="00785FB4">
        <w:t xml:space="preserve">rogrammatic </w:t>
      </w:r>
      <w:r w:rsidR="00431E07" w:rsidRPr="00785FB4">
        <w:t>S</w:t>
      </w:r>
      <w:r w:rsidR="00153021" w:rsidRPr="00785FB4">
        <w:t>upport (EGPS)</w:t>
      </w:r>
      <w:r w:rsidR="00431E07" w:rsidRPr="00785FB4">
        <w:t>).</w:t>
      </w:r>
      <w:r w:rsidR="00C35367" w:rsidRPr="00785FB4">
        <w:t xml:space="preserve"> Secretariat staff and development partners confirmed that additional support, for example </w:t>
      </w:r>
      <w:r w:rsidR="00644190" w:rsidRPr="00785FB4">
        <w:t xml:space="preserve">from </w:t>
      </w:r>
      <w:r w:rsidR="00C35367" w:rsidRPr="00785FB4">
        <w:t xml:space="preserve">GIZ, </w:t>
      </w:r>
      <w:r w:rsidR="00644190" w:rsidRPr="00785FB4">
        <w:t xml:space="preserve">was </w:t>
      </w:r>
      <w:r w:rsidR="00C35367" w:rsidRPr="00785FB4">
        <w:t xml:space="preserve">not </w:t>
      </w:r>
      <w:r w:rsidR="00644190" w:rsidRPr="00785FB4">
        <w:t xml:space="preserve">consistently </w:t>
      </w:r>
      <w:r w:rsidR="00C35367" w:rsidRPr="00785FB4">
        <w:t>reflected in the MSG’s work plan.</w:t>
      </w:r>
    </w:p>
    <w:p w14:paraId="79AC1232" w14:textId="18879FEF" w:rsidR="002929E0" w:rsidRPr="00785FB4" w:rsidRDefault="004828D2" w:rsidP="00A94167">
      <w:pPr>
        <w:pStyle w:val="Heading3"/>
        <w:rPr>
          <w:color w:val="000000" w:themeColor="text1"/>
        </w:rPr>
      </w:pPr>
      <w:bookmarkStart w:id="158" w:name="_Toc505449587"/>
      <w:r w:rsidRPr="00785FB4">
        <w:t>Initial a</w:t>
      </w:r>
      <w:r w:rsidR="002929E0" w:rsidRPr="00785FB4">
        <w:t>ssessment</w:t>
      </w:r>
      <w:bookmarkEnd w:id="158"/>
    </w:p>
    <w:p w14:paraId="59430BD0" w14:textId="114D8DFF" w:rsidR="00A83F0A" w:rsidRPr="00785FB4" w:rsidRDefault="00A83F0A" w:rsidP="00A83F0A">
      <w:pPr>
        <w:spacing w:before="120"/>
        <w:rPr>
          <w:color w:val="000000" w:themeColor="text1"/>
          <w:lang w:eastAsia="x-none"/>
        </w:rPr>
      </w:pPr>
      <w:r w:rsidRPr="00785FB4">
        <w:rPr>
          <w:color w:val="000000" w:themeColor="text1"/>
          <w:lang w:eastAsia="x-none"/>
        </w:rPr>
        <w:t>The International Secretariat’s initial assessment is that</w:t>
      </w:r>
      <w:r w:rsidR="002B35A6" w:rsidRPr="00785FB4">
        <w:rPr>
          <w:color w:val="000000" w:themeColor="text1"/>
          <w:lang w:eastAsia="x-none"/>
        </w:rPr>
        <w:t xml:space="preserve"> Afghanistan</w:t>
      </w:r>
      <w:r w:rsidR="00E956E1" w:rsidRPr="00785FB4">
        <w:rPr>
          <w:color w:val="000000" w:themeColor="text1"/>
          <w:lang w:eastAsia="x-none"/>
        </w:rPr>
        <w:t xml:space="preserve"> </w:t>
      </w:r>
      <w:r w:rsidRPr="00785FB4">
        <w:rPr>
          <w:color w:val="000000" w:themeColor="text1"/>
          <w:lang w:eastAsia="x-none"/>
        </w:rPr>
        <w:t>has made</w:t>
      </w:r>
      <w:r w:rsidR="002B35A6" w:rsidRPr="00785FB4">
        <w:rPr>
          <w:color w:val="000000" w:themeColor="text1"/>
          <w:lang w:eastAsia="x-none"/>
        </w:rPr>
        <w:t xml:space="preserve"> meaningful </w:t>
      </w:r>
      <w:r w:rsidRPr="00785FB4">
        <w:rPr>
          <w:color w:val="000000" w:themeColor="text1"/>
          <w:lang w:eastAsia="x-none"/>
        </w:rPr>
        <w:t>progress to</w:t>
      </w:r>
      <w:r w:rsidR="002B35A6" w:rsidRPr="00785FB4">
        <w:rPr>
          <w:color w:val="000000" w:themeColor="text1"/>
          <w:lang w:eastAsia="x-none"/>
        </w:rPr>
        <w:t xml:space="preserve">wards meeting this requirement. </w:t>
      </w:r>
      <w:r w:rsidR="00737E00" w:rsidRPr="00785FB4">
        <w:rPr>
          <w:color w:val="000000" w:themeColor="text1"/>
          <w:lang w:eastAsia="x-none"/>
        </w:rPr>
        <w:t>Except for the 2017 work plan, which was primarily an update of the 2016 work plan, t</w:t>
      </w:r>
      <w:r w:rsidR="002B35A6" w:rsidRPr="00785FB4">
        <w:rPr>
          <w:color w:val="000000" w:themeColor="text1"/>
          <w:lang w:eastAsia="x-none"/>
        </w:rPr>
        <w:t>he MSG updates its work plans annually, including its objectives. Work plans are endorsed by the MSG and there is some, albeit limited, consultation with key stakeholders. Work plans include measurable and time-bound activities to achieve the agreed objectives</w:t>
      </w:r>
      <w:r w:rsidR="0099752C" w:rsidRPr="00785FB4">
        <w:rPr>
          <w:color w:val="000000" w:themeColor="text1"/>
          <w:lang w:eastAsia="x-none"/>
        </w:rPr>
        <w:t>.</w:t>
      </w:r>
      <w:r w:rsidR="002B35A6" w:rsidRPr="00785FB4">
        <w:rPr>
          <w:color w:val="000000" w:themeColor="text1"/>
          <w:lang w:eastAsia="x-none"/>
        </w:rPr>
        <w:t xml:space="preserve"> </w:t>
      </w:r>
      <w:r w:rsidR="0099752C" w:rsidRPr="00785FB4">
        <w:rPr>
          <w:color w:val="000000" w:themeColor="text1"/>
          <w:lang w:eastAsia="x-none"/>
        </w:rPr>
        <w:t xml:space="preserve">Although they </w:t>
      </w:r>
      <w:r w:rsidR="002B35A6" w:rsidRPr="00785FB4">
        <w:rPr>
          <w:color w:val="000000" w:themeColor="text1"/>
          <w:lang w:eastAsia="x-none"/>
        </w:rPr>
        <w:t xml:space="preserve">are </w:t>
      </w:r>
      <w:r w:rsidR="0099752C" w:rsidRPr="00785FB4">
        <w:rPr>
          <w:color w:val="000000" w:themeColor="text1"/>
          <w:lang w:eastAsia="x-none"/>
        </w:rPr>
        <w:t xml:space="preserve">usually </w:t>
      </w:r>
      <w:r w:rsidR="002B35A6" w:rsidRPr="00785FB4">
        <w:rPr>
          <w:color w:val="000000" w:themeColor="text1"/>
          <w:lang w:eastAsia="x-none"/>
        </w:rPr>
        <w:t>published on the national EITI website</w:t>
      </w:r>
      <w:r w:rsidR="0099752C" w:rsidRPr="00785FB4">
        <w:rPr>
          <w:color w:val="000000" w:themeColor="text1"/>
          <w:lang w:eastAsia="x-none"/>
        </w:rPr>
        <w:t xml:space="preserve">, </w:t>
      </w:r>
      <w:r w:rsidR="002B35A6" w:rsidRPr="00785FB4">
        <w:rPr>
          <w:color w:val="000000" w:themeColor="text1"/>
          <w:lang w:eastAsia="x-none"/>
        </w:rPr>
        <w:t>the 2018 work plan had not been published on the website at the time of review</w:t>
      </w:r>
      <w:r w:rsidR="00737E00" w:rsidRPr="00785FB4">
        <w:rPr>
          <w:color w:val="000000" w:themeColor="text1"/>
          <w:lang w:eastAsia="x-none"/>
        </w:rPr>
        <w:t xml:space="preserve"> and is currently only available on the EITI International website</w:t>
      </w:r>
      <w:r w:rsidR="002B35A6" w:rsidRPr="00785FB4">
        <w:rPr>
          <w:color w:val="000000" w:themeColor="text1"/>
          <w:lang w:eastAsia="x-none"/>
        </w:rPr>
        <w:t>. Work plans include a timetable for implementation that is aligned with the reporting and Validation deadlines established by the EITI Board that takes into account administrative requirements such as procurement processes and funding</w:t>
      </w:r>
      <w:r w:rsidR="008F73A8" w:rsidRPr="00785FB4">
        <w:rPr>
          <w:color w:val="000000" w:themeColor="text1"/>
          <w:lang w:eastAsia="x-none"/>
        </w:rPr>
        <w:t>.</w:t>
      </w:r>
      <w:r w:rsidR="002B35A6" w:rsidRPr="00785FB4">
        <w:rPr>
          <w:color w:val="000000" w:themeColor="text1"/>
          <w:lang w:eastAsia="x-none"/>
        </w:rPr>
        <w:t xml:space="preserve"> </w:t>
      </w:r>
      <w:r w:rsidR="008F73A8" w:rsidRPr="00785FB4">
        <w:rPr>
          <w:color w:val="000000" w:themeColor="text1"/>
          <w:lang w:eastAsia="x-none"/>
        </w:rPr>
        <w:t>H</w:t>
      </w:r>
      <w:r w:rsidR="002B35A6" w:rsidRPr="00785FB4">
        <w:rPr>
          <w:color w:val="000000" w:themeColor="text1"/>
          <w:lang w:eastAsia="x-none"/>
        </w:rPr>
        <w:t>owever</w:t>
      </w:r>
      <w:r w:rsidR="0099752C" w:rsidRPr="00785FB4">
        <w:rPr>
          <w:color w:val="000000" w:themeColor="text1"/>
          <w:lang w:eastAsia="x-none"/>
        </w:rPr>
        <w:t>,</w:t>
      </w:r>
      <w:r w:rsidR="002B35A6" w:rsidRPr="00785FB4">
        <w:rPr>
          <w:color w:val="000000" w:themeColor="text1"/>
          <w:lang w:eastAsia="x-none"/>
        </w:rPr>
        <w:t xml:space="preserve"> </w:t>
      </w:r>
      <w:r w:rsidR="008F73A8" w:rsidRPr="00785FB4">
        <w:rPr>
          <w:color w:val="000000" w:themeColor="text1"/>
          <w:lang w:eastAsia="x-none"/>
        </w:rPr>
        <w:t>the lack of consistent costings</w:t>
      </w:r>
      <w:r w:rsidR="00143AAF" w:rsidRPr="00785FB4">
        <w:rPr>
          <w:color w:val="000000" w:themeColor="text1"/>
          <w:lang w:eastAsia="x-none"/>
        </w:rPr>
        <w:t xml:space="preserve"> and identification of funding sources for</w:t>
      </w:r>
      <w:r w:rsidR="008F73A8" w:rsidRPr="00785FB4">
        <w:rPr>
          <w:color w:val="000000" w:themeColor="text1"/>
          <w:lang w:eastAsia="x-none"/>
        </w:rPr>
        <w:t xml:space="preserve"> all activities in </w:t>
      </w:r>
      <w:r w:rsidR="008F73A8" w:rsidRPr="00785FB4">
        <w:rPr>
          <w:color w:val="000000" w:themeColor="text1"/>
          <w:lang w:eastAsia="x-none"/>
        </w:rPr>
        <w:lastRenderedPageBreak/>
        <w:t xml:space="preserve">the </w:t>
      </w:r>
      <w:r w:rsidR="002B35A6" w:rsidRPr="00785FB4">
        <w:rPr>
          <w:color w:val="000000" w:themeColor="text1"/>
          <w:lang w:eastAsia="x-none"/>
        </w:rPr>
        <w:t xml:space="preserve">work plans </w:t>
      </w:r>
      <w:r w:rsidR="008F73A8" w:rsidRPr="00785FB4">
        <w:rPr>
          <w:color w:val="000000" w:themeColor="text1"/>
          <w:lang w:eastAsia="x-none"/>
        </w:rPr>
        <w:t>is a concern</w:t>
      </w:r>
      <w:r w:rsidR="002B35A6" w:rsidRPr="00785FB4">
        <w:rPr>
          <w:color w:val="000000" w:themeColor="text1"/>
          <w:lang w:eastAsia="x-none"/>
        </w:rPr>
        <w:t>. It is also a concern that work plans are not reflected in the AE</w:t>
      </w:r>
      <w:r w:rsidR="00977FAD" w:rsidRPr="00785FB4">
        <w:rPr>
          <w:color w:val="000000" w:themeColor="text1"/>
          <w:lang w:eastAsia="x-none"/>
        </w:rPr>
        <w:t xml:space="preserve">ITI procurement plan, meaning that there is no coherence between </w:t>
      </w:r>
      <w:r w:rsidR="00C35367" w:rsidRPr="00785FB4">
        <w:rPr>
          <w:color w:val="000000" w:themeColor="text1"/>
          <w:lang w:eastAsia="x-none"/>
        </w:rPr>
        <w:t>AEITI’s</w:t>
      </w:r>
      <w:r w:rsidR="00977FAD" w:rsidRPr="00785FB4">
        <w:rPr>
          <w:color w:val="000000" w:themeColor="text1"/>
          <w:lang w:eastAsia="x-none"/>
        </w:rPr>
        <w:t xml:space="preserve"> budget and the MSG’s objectives. </w:t>
      </w:r>
    </w:p>
    <w:p w14:paraId="10666BFC" w14:textId="20968FA2" w:rsidR="00977FAD" w:rsidRPr="00785FB4" w:rsidRDefault="00977FAD" w:rsidP="00A83F0A">
      <w:pPr>
        <w:spacing w:before="120"/>
      </w:pPr>
      <w:r w:rsidRPr="00785FB4">
        <w:t>In accordance with Requirement 1.5, the MSG should ensure that its work plans are fully costed</w:t>
      </w:r>
      <w:r w:rsidR="00737E00" w:rsidRPr="00785FB4">
        <w:t>, updated regularly, consistently published online</w:t>
      </w:r>
      <w:r w:rsidRPr="00785FB4">
        <w:t xml:space="preserve"> and are aligned with the reporting and Validation deadlines established by the EITI Board.</w:t>
      </w:r>
      <w:r w:rsidR="00737E00" w:rsidRPr="00785FB4">
        <w:t xml:space="preserve"> Work plans should also be fully costed.</w:t>
      </w:r>
      <w:r w:rsidRPr="00785FB4">
        <w:t xml:space="preserve"> In order to ensure that objectives are met, Afghanistan is encouraged to ensure that the AEITI procurement plan agreed with the World Bank and other sources of funding reflects the objectives of the MSG as explaine</w:t>
      </w:r>
      <w:r w:rsidR="00737E00" w:rsidRPr="00785FB4">
        <w:t>d by the AEITI annual work plan.</w:t>
      </w:r>
      <w:r w:rsidRPr="00785FB4">
        <w:t xml:space="preserve"> </w:t>
      </w:r>
    </w:p>
    <w:p w14:paraId="622A91FC" w14:textId="73AA3543" w:rsidR="002929E0" w:rsidRPr="00785FB4" w:rsidRDefault="00034884" w:rsidP="009464B0">
      <w:pPr>
        <w:pStyle w:val="Caption"/>
        <w:rPr>
          <w:i/>
          <w:color w:val="000000"/>
        </w:rPr>
      </w:pPr>
      <w:r w:rsidRPr="00785FB4">
        <w:t xml:space="preserve">Table </w:t>
      </w:r>
      <w:fldSimple w:instr=" SEQ Table \* ARABIC ">
        <w:r w:rsidR="00D8510F" w:rsidRPr="00785FB4">
          <w:t>1</w:t>
        </w:r>
      </w:fldSimple>
      <w:r w:rsidR="002929E0" w:rsidRPr="00785FB4">
        <w:rPr>
          <w:i/>
          <w:color w:val="000000"/>
        </w:rPr>
        <w:t xml:space="preserve"> </w:t>
      </w:r>
      <w:r w:rsidR="00AA364B" w:rsidRPr="00785FB4">
        <w:rPr>
          <w:i/>
          <w:color w:val="000000"/>
        </w:rPr>
        <w:t>–</w:t>
      </w:r>
      <w:r w:rsidR="002929E0" w:rsidRPr="00785FB4">
        <w:rPr>
          <w:i/>
          <w:color w:val="000000"/>
        </w:rPr>
        <w:t xml:space="preserve"> </w:t>
      </w:r>
      <w:r w:rsidR="002929E0" w:rsidRPr="00785FB4">
        <w:rPr>
          <w:rFonts w:eastAsia="Calibri"/>
          <w:i/>
        </w:rPr>
        <w:t>Summary</w:t>
      </w:r>
      <w:r w:rsidR="00AA364B" w:rsidRPr="00785FB4">
        <w:rPr>
          <w:rFonts w:eastAsia="Calibri"/>
          <w:i/>
        </w:rPr>
        <w:t xml:space="preserve"> initial</w:t>
      </w:r>
      <w:r w:rsidR="002929E0" w:rsidRPr="00785FB4">
        <w:rPr>
          <w:rFonts w:eastAsia="Calibri"/>
          <w:i/>
        </w:rPr>
        <w:t xml:space="preserve"> assessment table: MSG oversight</w:t>
      </w:r>
    </w:p>
    <w:tbl>
      <w:tblPr>
        <w:tblW w:w="96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4385"/>
        <w:gridCol w:w="2827"/>
        <w:gridCol w:w="9"/>
      </w:tblGrid>
      <w:tr w:rsidR="00601017" w:rsidRPr="00785FB4" w14:paraId="71530B9B" w14:textId="77777777" w:rsidTr="007369FB">
        <w:trPr>
          <w:gridAfter w:val="1"/>
          <w:wAfter w:w="9" w:type="dxa"/>
          <w:trHeight w:val="675"/>
        </w:trPr>
        <w:tc>
          <w:tcPr>
            <w:tcW w:w="2401" w:type="dxa"/>
            <w:shd w:val="clear" w:color="auto" w:fill="D9D9D9"/>
            <w:vAlign w:val="center"/>
          </w:tcPr>
          <w:p w14:paraId="162F51CF" w14:textId="77777777" w:rsidR="00601017" w:rsidRPr="00785FB4" w:rsidRDefault="00601017" w:rsidP="00D8510F">
            <w:pPr>
              <w:pStyle w:val="Tabletext"/>
              <w:rPr>
                <w:lang w:val="en-GB"/>
              </w:rPr>
            </w:pPr>
            <w:r w:rsidRPr="00785FB4">
              <w:rPr>
                <w:lang w:val="en-GB"/>
              </w:rPr>
              <w:t>EITI provisions</w:t>
            </w:r>
          </w:p>
        </w:tc>
        <w:tc>
          <w:tcPr>
            <w:tcW w:w="4385" w:type="dxa"/>
            <w:shd w:val="clear" w:color="auto" w:fill="D9D9D9"/>
            <w:vAlign w:val="center"/>
          </w:tcPr>
          <w:p w14:paraId="30621CD6" w14:textId="77777777" w:rsidR="00601017" w:rsidRPr="00785FB4" w:rsidRDefault="00601017" w:rsidP="00D8510F">
            <w:pPr>
              <w:pStyle w:val="Tabletext"/>
              <w:rPr>
                <w:lang w:val="en-GB"/>
              </w:rPr>
            </w:pPr>
            <w:r w:rsidRPr="00785FB4">
              <w:rPr>
                <w:lang w:val="en-GB"/>
              </w:rPr>
              <w:t>Summary of main findings</w:t>
            </w:r>
          </w:p>
        </w:tc>
        <w:tc>
          <w:tcPr>
            <w:tcW w:w="2827" w:type="dxa"/>
            <w:shd w:val="clear" w:color="auto" w:fill="D9D9D9"/>
            <w:vAlign w:val="center"/>
          </w:tcPr>
          <w:p w14:paraId="3EF8FEC8" w14:textId="63CA45EC" w:rsidR="00601017" w:rsidRPr="00785FB4" w:rsidRDefault="00601017" w:rsidP="00D8510F">
            <w:pPr>
              <w:pStyle w:val="Tabletext"/>
              <w:rPr>
                <w:lang w:val="en-GB"/>
              </w:rPr>
            </w:pPr>
            <w:r w:rsidRPr="00785FB4">
              <w:rPr>
                <w:lang w:val="en-GB"/>
              </w:rPr>
              <w:t xml:space="preserve">International Secretariat’s initial assessment of progress with the EITI provisions </w:t>
            </w:r>
          </w:p>
        </w:tc>
      </w:tr>
      <w:tr w:rsidR="00B149DB" w:rsidRPr="00785FB4" w14:paraId="33E287B2" w14:textId="77777777" w:rsidTr="007369FB">
        <w:trPr>
          <w:gridAfter w:val="1"/>
          <w:wAfter w:w="9" w:type="dxa"/>
        </w:trPr>
        <w:tc>
          <w:tcPr>
            <w:tcW w:w="2401" w:type="dxa"/>
            <w:shd w:val="clear" w:color="auto" w:fill="auto"/>
            <w:vAlign w:val="center"/>
          </w:tcPr>
          <w:p w14:paraId="19F1280E" w14:textId="77777777" w:rsidR="002929E0" w:rsidRPr="00785FB4" w:rsidRDefault="002929E0" w:rsidP="00D8510F">
            <w:pPr>
              <w:pStyle w:val="Tabletext"/>
              <w:rPr>
                <w:lang w:val="en-GB"/>
              </w:rPr>
            </w:pPr>
            <w:r w:rsidRPr="00785FB4">
              <w:rPr>
                <w:lang w:val="en-GB"/>
              </w:rPr>
              <w:t>Government oversight of the EITI process (#1.1)</w:t>
            </w:r>
          </w:p>
        </w:tc>
        <w:tc>
          <w:tcPr>
            <w:tcW w:w="4385" w:type="dxa"/>
            <w:shd w:val="clear" w:color="auto" w:fill="auto"/>
            <w:vAlign w:val="center"/>
          </w:tcPr>
          <w:p w14:paraId="539A668B" w14:textId="5D93D7E4" w:rsidR="002929E0" w:rsidRPr="00785FB4" w:rsidRDefault="007F1B22" w:rsidP="00737E00">
            <w:pPr>
              <w:rPr>
                <w:bCs/>
              </w:rPr>
            </w:pPr>
            <w:r w:rsidRPr="00785FB4">
              <w:t xml:space="preserve">There is evidence </w:t>
            </w:r>
            <w:r w:rsidR="00737E00" w:rsidRPr="00785FB4">
              <w:t xml:space="preserve">that the government has not been fully, actively engaged in the EITI process between 2015 and 2017, </w:t>
            </w:r>
            <w:r w:rsidR="007D2F00" w:rsidRPr="00785FB4">
              <w:t xml:space="preserve">despite </w:t>
            </w:r>
            <w:r w:rsidR="00737E00" w:rsidRPr="00785FB4">
              <w:t xml:space="preserve">concerns from various stakeholders that the more recent engagement might not be sustained in the </w:t>
            </w:r>
            <w:r w:rsidR="007D2F00" w:rsidRPr="00785FB4">
              <w:t xml:space="preserve">medium </w:t>
            </w:r>
            <w:r w:rsidR="00737E00" w:rsidRPr="00785FB4">
              <w:t xml:space="preserve">term. However, </w:t>
            </w:r>
            <w:r w:rsidR="00737E00" w:rsidRPr="00785FB4">
              <w:rPr>
                <w:bCs/>
              </w:rPr>
              <w:t xml:space="preserve">Afghanistan nominated the Minister of Mines and Petroleum to lead the EITI process in 2017 after a two-year gap and has made regular statements of support over time. There is government participation in MSG meetings, however frequent changes in representatives are a problem. The commitment reflected in the months leading to Validation coupled with strong commitment expressed at the highest levels are signs that the government has renewed its commitment to the EITI. </w:t>
            </w:r>
          </w:p>
        </w:tc>
        <w:tc>
          <w:tcPr>
            <w:tcW w:w="2827" w:type="dxa"/>
            <w:vAlign w:val="center"/>
          </w:tcPr>
          <w:p w14:paraId="655CCAF2" w14:textId="0BCE3B65" w:rsidR="002929E0" w:rsidRPr="00785FB4" w:rsidRDefault="00737E00" w:rsidP="00D8510F">
            <w:pPr>
              <w:pStyle w:val="Tabletext"/>
              <w:rPr>
                <w:lang w:val="en-GB"/>
              </w:rPr>
            </w:pPr>
            <w:r w:rsidRPr="00785FB4">
              <w:rPr>
                <w:lang w:val="en-GB"/>
              </w:rPr>
              <w:t xml:space="preserve">Meaningful </w:t>
            </w:r>
            <w:r w:rsidR="00B578D9" w:rsidRPr="00785FB4">
              <w:rPr>
                <w:lang w:val="en-GB"/>
              </w:rPr>
              <w:t>progress</w:t>
            </w:r>
          </w:p>
        </w:tc>
      </w:tr>
      <w:tr w:rsidR="00CA44C7" w:rsidRPr="00785FB4" w14:paraId="3AD83E28" w14:textId="77777777" w:rsidTr="007369FB">
        <w:trPr>
          <w:gridAfter w:val="1"/>
          <w:wAfter w:w="9" w:type="dxa"/>
        </w:trPr>
        <w:tc>
          <w:tcPr>
            <w:tcW w:w="2401" w:type="dxa"/>
            <w:shd w:val="clear" w:color="auto" w:fill="auto"/>
            <w:vAlign w:val="center"/>
          </w:tcPr>
          <w:p w14:paraId="015BA6BA" w14:textId="6A7BA6C1" w:rsidR="00CA44C7" w:rsidRPr="00785FB4" w:rsidRDefault="00CA44C7" w:rsidP="00D8510F">
            <w:pPr>
              <w:pStyle w:val="Tabletext"/>
              <w:rPr>
                <w:lang w:val="en-GB"/>
              </w:rPr>
            </w:pPr>
            <w:r w:rsidRPr="00785FB4">
              <w:rPr>
                <w:lang w:val="en-GB"/>
              </w:rPr>
              <w:t>Company engagement (#1.2)</w:t>
            </w:r>
          </w:p>
        </w:tc>
        <w:tc>
          <w:tcPr>
            <w:tcW w:w="4385" w:type="dxa"/>
            <w:shd w:val="clear" w:color="auto" w:fill="auto"/>
            <w:vAlign w:val="center"/>
          </w:tcPr>
          <w:p w14:paraId="3417D4E9" w14:textId="2166B4AF" w:rsidR="00CA44C7" w:rsidRPr="00785FB4" w:rsidRDefault="00737E00" w:rsidP="00D96F0C">
            <w:r w:rsidRPr="00785FB4">
              <w:t>Company representatives are fully, actively and effectively engaged in the EITI process. There is an enabling environment for company participation and the fundamental rights of company representatives substantially engaged in the EITI are respected. There are no obstacles to company participation in the EITI process.</w:t>
            </w:r>
          </w:p>
        </w:tc>
        <w:tc>
          <w:tcPr>
            <w:tcW w:w="2827" w:type="dxa"/>
            <w:vAlign w:val="center"/>
          </w:tcPr>
          <w:p w14:paraId="114FBB7C" w14:textId="50B095F7" w:rsidR="00CA44C7" w:rsidRPr="00785FB4" w:rsidRDefault="00D96F0C" w:rsidP="00D8510F">
            <w:pPr>
              <w:pStyle w:val="Tabletext"/>
              <w:rPr>
                <w:lang w:val="en-GB"/>
              </w:rPr>
            </w:pPr>
            <w:r w:rsidRPr="00785FB4">
              <w:rPr>
                <w:lang w:val="en-GB"/>
              </w:rPr>
              <w:t>Satisfactory progress</w:t>
            </w:r>
          </w:p>
        </w:tc>
      </w:tr>
      <w:tr w:rsidR="00B149DB" w:rsidRPr="00785FB4" w14:paraId="4CDE6F61" w14:textId="77777777" w:rsidTr="007369FB">
        <w:trPr>
          <w:gridAfter w:val="1"/>
          <w:wAfter w:w="9" w:type="dxa"/>
        </w:trPr>
        <w:tc>
          <w:tcPr>
            <w:tcW w:w="2401" w:type="dxa"/>
            <w:shd w:val="clear" w:color="auto" w:fill="auto"/>
            <w:vAlign w:val="center"/>
          </w:tcPr>
          <w:p w14:paraId="147C9314" w14:textId="503A3A12" w:rsidR="002929E0" w:rsidRPr="00785FB4" w:rsidRDefault="00CA44C7" w:rsidP="00D8510F">
            <w:pPr>
              <w:pStyle w:val="Tabletext"/>
              <w:rPr>
                <w:lang w:val="en-GB"/>
              </w:rPr>
            </w:pPr>
            <w:r w:rsidRPr="00785FB4">
              <w:rPr>
                <w:lang w:val="en-GB"/>
              </w:rPr>
              <w:lastRenderedPageBreak/>
              <w:t>Civil society engagement (#1.3)</w:t>
            </w:r>
            <w:r w:rsidR="002929E0" w:rsidRPr="00785FB4">
              <w:rPr>
                <w:lang w:val="en-GB"/>
              </w:rPr>
              <w:t>)</w:t>
            </w:r>
          </w:p>
        </w:tc>
        <w:tc>
          <w:tcPr>
            <w:tcW w:w="4385" w:type="dxa"/>
            <w:shd w:val="clear" w:color="auto" w:fill="auto"/>
            <w:vAlign w:val="center"/>
          </w:tcPr>
          <w:p w14:paraId="0A2330D3" w14:textId="174AA73C" w:rsidR="002929E0" w:rsidRPr="00785FB4" w:rsidRDefault="00737E00" w:rsidP="00737E00">
            <w:pPr>
              <w:spacing w:before="120"/>
            </w:pPr>
            <w:r w:rsidRPr="00785FB4">
              <w:t xml:space="preserve">The security situation is a regular and pervasive problem to advocacy in the extractive sector that has led to an important degree of self-censorship generally, although this is a systemic challenge for all stakeholders that reflects the government’s lack of control over large parts of the country. Within these general constraints, civil society is actively effectively engaged in the EITI process and there are no indications of government actions that result in narrowing or restricting public debate in relation to implementation of the EITI. There are numerous examples of stakeholders’ ability to speak freely on transparency and natural resource governance issues. Stakeholders are able to engage actively in the design, implementation, monitoring and evaluation of the EITI process, and there are examples of how it contributes to public debate. Stakeholders are able to communicate and cooperate with each other and are able to operate freely and express opinions about the EITI without restraint, coercion or reprisal other than the generalised insecurity that permeates the country and the sector specifically. </w:t>
            </w:r>
          </w:p>
        </w:tc>
        <w:tc>
          <w:tcPr>
            <w:tcW w:w="2827" w:type="dxa"/>
            <w:vAlign w:val="center"/>
          </w:tcPr>
          <w:p w14:paraId="0314B7DE" w14:textId="7AC6B721" w:rsidR="002929E0" w:rsidRPr="00785FB4" w:rsidRDefault="00F82543" w:rsidP="00D8510F">
            <w:pPr>
              <w:pStyle w:val="Tabletext"/>
              <w:rPr>
                <w:lang w:val="en-GB"/>
              </w:rPr>
            </w:pPr>
            <w:r w:rsidRPr="00785FB4">
              <w:rPr>
                <w:lang w:val="en-GB"/>
              </w:rPr>
              <w:t>Satisfactory progress</w:t>
            </w:r>
          </w:p>
        </w:tc>
      </w:tr>
      <w:tr w:rsidR="00B149DB" w:rsidRPr="00785FB4" w14:paraId="494917CE" w14:textId="77777777" w:rsidTr="007369FB">
        <w:trPr>
          <w:gridAfter w:val="1"/>
          <w:wAfter w:w="9" w:type="dxa"/>
        </w:trPr>
        <w:tc>
          <w:tcPr>
            <w:tcW w:w="2401" w:type="dxa"/>
            <w:shd w:val="clear" w:color="auto" w:fill="auto"/>
            <w:vAlign w:val="center"/>
          </w:tcPr>
          <w:p w14:paraId="0C63AAC5" w14:textId="77777777" w:rsidR="002929E0" w:rsidRPr="00785FB4" w:rsidRDefault="002929E0" w:rsidP="00D8510F">
            <w:pPr>
              <w:pStyle w:val="Tabletext"/>
              <w:rPr>
                <w:lang w:val="en-GB"/>
              </w:rPr>
            </w:pPr>
            <w:r w:rsidRPr="00785FB4">
              <w:rPr>
                <w:lang w:val="en-GB"/>
              </w:rPr>
              <w:t>MSG governance and functioning (#1.4)</w:t>
            </w:r>
          </w:p>
        </w:tc>
        <w:tc>
          <w:tcPr>
            <w:tcW w:w="4385" w:type="dxa"/>
            <w:shd w:val="clear" w:color="auto" w:fill="auto"/>
            <w:vAlign w:val="center"/>
          </w:tcPr>
          <w:p w14:paraId="669AF977" w14:textId="065C01A4" w:rsidR="002929E0" w:rsidRPr="00785FB4" w:rsidRDefault="00C15E35" w:rsidP="00C15E35">
            <w:r w:rsidRPr="00785FB4">
              <w:t xml:space="preserve">The MSG has </w:t>
            </w:r>
            <w:r w:rsidR="00F03A49" w:rsidRPr="00785FB4">
              <w:t>ToR</w:t>
            </w:r>
            <w:r w:rsidRPr="00785FB4">
              <w:t xml:space="preserve"> that address the minimum requirements in the Standard, and these have been reviewed on a number of occasions.  The MSG does not follow its ToR in practice, however, and this appears to have had an impact on its ability to exert adequate oversight over the reporting process as stakeholders have not had sufficient time to review draft reports before publication. Although each stakeholder group has the right to appoint its own representatives and constituencies have developed procedures to nominate their members, there are concerns that the selection process followed by civil society is not representative or open to CSOs that are not affiliated with IWA or ENMRN. </w:t>
            </w:r>
            <w:r w:rsidRPr="00785FB4">
              <w:lastRenderedPageBreak/>
              <w:t>Although constituencies are adequately represented, frequent turnover in the government constituency is generally recognised as a challenge. Work plans, EITI Reports and annual progress reports are approved by the MSG, but there are concerns that short deadlines do not allow for meaningful engagement.</w:t>
            </w:r>
            <w:r w:rsidR="00095F4D" w:rsidRPr="00785FB4">
              <w:t xml:space="preserve"> The MSG does not practice a per diem policy, although this is not explicitly stated publicly. </w:t>
            </w:r>
          </w:p>
        </w:tc>
        <w:tc>
          <w:tcPr>
            <w:tcW w:w="2827" w:type="dxa"/>
            <w:vAlign w:val="center"/>
          </w:tcPr>
          <w:p w14:paraId="62614962" w14:textId="12B7AC13" w:rsidR="002929E0" w:rsidRPr="00785FB4" w:rsidRDefault="00C15E35" w:rsidP="00D8510F">
            <w:pPr>
              <w:pStyle w:val="Tabletext"/>
              <w:rPr>
                <w:lang w:val="en-GB"/>
              </w:rPr>
            </w:pPr>
            <w:r w:rsidRPr="00785FB4">
              <w:rPr>
                <w:lang w:val="en-GB"/>
              </w:rPr>
              <w:lastRenderedPageBreak/>
              <w:t xml:space="preserve">Inadequate </w:t>
            </w:r>
            <w:r w:rsidR="00D10F4B" w:rsidRPr="00785FB4">
              <w:rPr>
                <w:lang w:val="en-GB"/>
              </w:rPr>
              <w:t>progress</w:t>
            </w:r>
          </w:p>
        </w:tc>
      </w:tr>
      <w:tr w:rsidR="00B149DB" w:rsidRPr="00785FB4" w14:paraId="34F1B914" w14:textId="77777777" w:rsidTr="007369FB">
        <w:trPr>
          <w:gridAfter w:val="1"/>
          <w:wAfter w:w="9" w:type="dxa"/>
        </w:trPr>
        <w:tc>
          <w:tcPr>
            <w:tcW w:w="2401" w:type="dxa"/>
            <w:shd w:val="clear" w:color="auto" w:fill="auto"/>
            <w:vAlign w:val="center"/>
          </w:tcPr>
          <w:p w14:paraId="1423268F" w14:textId="77777777" w:rsidR="002929E0" w:rsidRPr="00785FB4" w:rsidRDefault="002929E0" w:rsidP="00D8510F">
            <w:pPr>
              <w:pStyle w:val="Tabletext"/>
              <w:rPr>
                <w:lang w:val="en-GB"/>
              </w:rPr>
            </w:pPr>
            <w:r w:rsidRPr="00785FB4">
              <w:rPr>
                <w:lang w:val="en-GB"/>
              </w:rPr>
              <w:t>Work plan (#1.5)</w:t>
            </w:r>
          </w:p>
        </w:tc>
        <w:tc>
          <w:tcPr>
            <w:tcW w:w="4385" w:type="dxa"/>
            <w:shd w:val="clear" w:color="auto" w:fill="auto"/>
            <w:vAlign w:val="center"/>
          </w:tcPr>
          <w:p w14:paraId="238B04EE" w14:textId="1F863C63" w:rsidR="002929E0" w:rsidRPr="00785FB4" w:rsidRDefault="006F0A91" w:rsidP="00C15E35">
            <w:pPr>
              <w:spacing w:before="120"/>
              <w:rPr>
                <w:color w:val="000000" w:themeColor="text1"/>
                <w:lang w:eastAsia="x-none"/>
              </w:rPr>
            </w:pPr>
            <w:r w:rsidRPr="00785FB4">
              <w:rPr>
                <w:color w:val="000000" w:themeColor="text1"/>
                <w:lang w:eastAsia="x-none"/>
              </w:rPr>
              <w:t>Aside</w:t>
            </w:r>
            <w:r w:rsidR="00C15E35" w:rsidRPr="00785FB4">
              <w:rPr>
                <w:color w:val="000000" w:themeColor="text1"/>
                <w:lang w:eastAsia="x-none"/>
              </w:rPr>
              <w:t xml:space="preserve"> for the 2017 work plan, which was primarily an update of the 2016 work plan, the MSG updates its work plans annually, including its objectives. Work plans are endorsed by the MSG and there is some, albeit limited, consultation with key stakeholders. Work plans include measurable and time-bound activities to achieve the agreed objectives. Although they are usually published on the national EITI website, the 2018 work plan had not been published on the website at the time of review and is currently only available on the EITI International website. Work plans include a timetable for implementation that is aligned with the reporting and Validation deadlines established by the EITI Board that takes into account administrative requirements such as procurement processes and funding. However, the lack of consistent costings and identification of funding sources for all activities in the work plans is a concern. It is also a concern that work plans are not reflected in the AEITI procurement plan, meaning that there is no coherence between AEITI’s budget and the MSG’s objectives. </w:t>
            </w:r>
          </w:p>
        </w:tc>
        <w:tc>
          <w:tcPr>
            <w:tcW w:w="2827" w:type="dxa"/>
            <w:vAlign w:val="center"/>
          </w:tcPr>
          <w:p w14:paraId="2748F528" w14:textId="092E8C73" w:rsidR="002929E0" w:rsidRPr="00785FB4" w:rsidRDefault="006F0A91" w:rsidP="00D8510F">
            <w:pPr>
              <w:pStyle w:val="Tabletext"/>
              <w:rPr>
                <w:lang w:val="en-GB"/>
              </w:rPr>
            </w:pPr>
            <w:r w:rsidRPr="00785FB4">
              <w:rPr>
                <w:lang w:val="en-GB"/>
              </w:rPr>
              <w:t>Meaningful progress</w:t>
            </w:r>
          </w:p>
        </w:tc>
      </w:tr>
      <w:tr w:rsidR="002929E0" w:rsidRPr="00785FB4" w14:paraId="22E519CD" w14:textId="77777777" w:rsidTr="007369FB">
        <w:tc>
          <w:tcPr>
            <w:tcW w:w="9622" w:type="dxa"/>
            <w:gridSpan w:val="4"/>
            <w:shd w:val="clear" w:color="auto" w:fill="FFFFFF"/>
          </w:tcPr>
          <w:p w14:paraId="2B36E9BE" w14:textId="2BA8CF69" w:rsidR="002929E0" w:rsidRPr="00785FB4" w:rsidRDefault="00F96D88" w:rsidP="00D8510F">
            <w:pPr>
              <w:pStyle w:val="Tabletext"/>
              <w:rPr>
                <w:lang w:val="en-GB"/>
              </w:rPr>
            </w:pPr>
            <w:r w:rsidRPr="00785FB4">
              <w:rPr>
                <w:lang w:val="en-GB"/>
              </w:rPr>
              <w:t>Secretariat’s</w:t>
            </w:r>
            <w:r w:rsidR="002929E0" w:rsidRPr="00785FB4">
              <w:rPr>
                <w:lang w:val="en-GB"/>
              </w:rPr>
              <w:t xml:space="preserve"> recommendations:</w:t>
            </w:r>
          </w:p>
          <w:p w14:paraId="275F19FE" w14:textId="3190A501" w:rsidR="00BA3D79" w:rsidRPr="00785FB4" w:rsidRDefault="00737E00" w:rsidP="00F72955">
            <w:pPr>
              <w:pStyle w:val="ListParagraph"/>
              <w:numPr>
                <w:ilvl w:val="0"/>
                <w:numId w:val="19"/>
              </w:numPr>
              <w:rPr>
                <w:rFonts w:eastAsia="Calibri"/>
              </w:rPr>
            </w:pPr>
            <w:r w:rsidRPr="00785FB4">
              <w:rPr>
                <w:bCs/>
              </w:rPr>
              <w:t xml:space="preserve">In accordance with Requirement 1.1, Afghanistan should ensure that a senior individual that has the confidence of all stakeholders, authority to coordinate action and mobilise resources provides consistent government leadership of the EITI. Afghanistan should also ensure that engagement is consistent across government departments. In accordance with requirement </w:t>
            </w:r>
            <w:r w:rsidRPr="00785FB4">
              <w:rPr>
                <w:bCs/>
              </w:rPr>
              <w:lastRenderedPageBreak/>
              <w:t>8.3.c.i, the government constituency is requested to develop and disclose an action plan for addressing the deficiencies in government engagement documented in the initial assessment within three months of the Board’s decision. To strengthen implementation, Afghanistan is encouraged to ensure that government representatives on the MSG attend meetings regularly. Institutional disagreements over leadership of the EITI process should be addressed to ensure that the government is able to improve implementation at the operational level and use the EITI as a platform for reform. Given the importance of the Mutual Accountability Framework in the Afghan context, the government and development partners are encouraged to identify targets that will help Afghanistan address challenges to the sector through the EITI rather than continuing to focus on compliance.</w:t>
            </w:r>
          </w:p>
          <w:p w14:paraId="1A96093D" w14:textId="2C050B81" w:rsidR="00BA3D79" w:rsidRPr="00785FB4" w:rsidRDefault="00737E00" w:rsidP="00737E00">
            <w:pPr>
              <w:pStyle w:val="ListParagraph"/>
              <w:numPr>
                <w:ilvl w:val="0"/>
                <w:numId w:val="19"/>
              </w:numPr>
              <w:rPr>
                <w:rFonts w:eastAsia="Calibri"/>
              </w:rPr>
            </w:pPr>
            <w:r w:rsidRPr="00785FB4">
              <w:t xml:space="preserve">To strengthen implementation, the industry constituency is encouraged to carry out additional outreach activities to its members to avoid misperceptions that may hamper their participation in the EITI. </w:t>
            </w:r>
          </w:p>
          <w:p w14:paraId="12A437B1" w14:textId="1D063E66" w:rsidR="00DB7E5C" w:rsidRPr="00785FB4" w:rsidRDefault="00737E00" w:rsidP="00F72955">
            <w:pPr>
              <w:pStyle w:val="ListParagraph"/>
              <w:numPr>
                <w:ilvl w:val="0"/>
                <w:numId w:val="19"/>
              </w:numPr>
              <w:rPr>
                <w:bCs/>
              </w:rPr>
            </w:pPr>
            <w:r w:rsidRPr="00785FB4">
              <w:rPr>
                <w:bCs/>
              </w:rPr>
              <w:t xml:space="preserve">To strengthen implementation, Afghanistan is encouraged to continue finding innovative ways to ensure that civil society’s engagement in the EITI is proactive, despite the security situation. This could include continuing to </w:t>
            </w:r>
            <w:r w:rsidR="00785FB4" w:rsidRPr="00785FB4">
              <w:rPr>
                <w:bCs/>
              </w:rPr>
              <w:t>make</w:t>
            </w:r>
            <w:r w:rsidRPr="00785FB4">
              <w:rPr>
                <w:bCs/>
              </w:rPr>
              <w:t xml:space="preserve"> progress on beneficial ownership disclosure through Requirement 2.5 to raise awareness about the ownership of licenses by politically exposed persons and to ensure that issues of </w:t>
            </w:r>
            <w:r w:rsidR="00E64F83" w:rsidRPr="00785FB4">
              <w:t>politically-exposed</w:t>
            </w:r>
            <w:r w:rsidRPr="00785FB4">
              <w:rPr>
                <w:bCs/>
              </w:rPr>
              <w:t xml:space="preserve"> ownership of legal and illegal mines are discussed without fear of reprisals. Afghanistan is also encouraged to continue to ensure that there is an enabling environment for civil society participation and ensure that existing laws protecting stakeholders’ activities in the sector are enforced. </w:t>
            </w:r>
          </w:p>
          <w:p w14:paraId="5A3A0995" w14:textId="13948588" w:rsidR="00D31D88" w:rsidRPr="00785FB4" w:rsidRDefault="00D31D88" w:rsidP="00D31D88">
            <w:pPr>
              <w:pStyle w:val="ListParagraph"/>
              <w:numPr>
                <w:ilvl w:val="0"/>
                <w:numId w:val="19"/>
              </w:numPr>
              <w:rPr>
                <w:bCs/>
              </w:rPr>
            </w:pPr>
            <w:r w:rsidRPr="00785FB4">
              <w:rPr>
                <w:bCs/>
              </w:rPr>
              <w:t xml:space="preserve">In accordance with Requirement 1.4, Afghanistan should ensure that any deviations from the MSG’s ToR are adequately and </w:t>
            </w:r>
            <w:r w:rsidR="00785FB4" w:rsidRPr="00785FB4">
              <w:rPr>
                <w:bCs/>
              </w:rPr>
              <w:t>publicly</w:t>
            </w:r>
            <w:r w:rsidRPr="00785FB4">
              <w:rPr>
                <w:bCs/>
              </w:rPr>
              <w:t xml:space="preserve"> codified. The MSG should ensure that its lack of per diem practice is publicly clarified. In order to facilitate compliance with the ToR, the MSG may wish to consider simpler and less prescriptive ToR while ensuring that all the elements in Requirement 1.4 are covered. to ensure that the invitation to participate in the group is open and transparent, that the nomination process is independent and free from any suggestion of coercion, and that civil society MSG members are operationally, and in policy terms, independent of government and companies. Bearing in mind the desirability of pluralistic and diverse representation, CSOs and industry may wish to consider ways of encouraging women to participate in the EITI process. To help planning, encourage participation of all stakeholders and ensure that papers are submitted in time, the MSG may wish to agree dates of quarterly meetings that are aligned with the EITI’s reporting timeframes. To help members engage more actively, MSG members should consider working and publishing in local languages rather than English. The MSG should also ensure that there is sufficient advance notice of meetings and timely circulation of documents prior to their debate and proposed adoption.</w:t>
            </w:r>
          </w:p>
          <w:p w14:paraId="1F516B53" w14:textId="4DCBC81B" w:rsidR="00144735" w:rsidRPr="00785FB4" w:rsidDel="00F96D88" w:rsidRDefault="00C15E35" w:rsidP="00F72955">
            <w:pPr>
              <w:pStyle w:val="ListParagraph"/>
              <w:numPr>
                <w:ilvl w:val="0"/>
                <w:numId w:val="19"/>
              </w:numPr>
              <w:rPr>
                <w:rFonts w:eastAsia="Calibri"/>
              </w:rPr>
            </w:pPr>
            <w:r w:rsidRPr="00785FB4">
              <w:t xml:space="preserve">In accordance with Requirement 1.5, the MSG should ensure that its work plans are fully costed, updated regularly, consistently published online and are aligned with the reporting and Validation deadlines established by the EITI Board. Work plans should also be fully costed. In order to ensure that objectives are met, Afghanistan is encouraged to ensure that the AEITI procurement plan agreed with the World Bank and other sources of funding reflects the objectives of the MSG as explained by the AEITI annual work plan. </w:t>
            </w:r>
          </w:p>
        </w:tc>
      </w:tr>
    </w:tbl>
    <w:p w14:paraId="4A1B9720" w14:textId="2EAB3D6F" w:rsidR="00FA3B01" w:rsidRPr="00785FB4" w:rsidRDefault="00FA3B01" w:rsidP="009464B0"/>
    <w:p w14:paraId="7A6091FA" w14:textId="77777777" w:rsidR="00FA3B01" w:rsidRPr="00785FB4" w:rsidRDefault="00FA3B01">
      <w:pPr>
        <w:widowControl/>
        <w:suppressAutoHyphens w:val="0"/>
        <w:spacing w:after="0" w:line="240" w:lineRule="auto"/>
        <w:rPr>
          <w:bCs/>
          <w:color w:val="365F91"/>
          <w:sz w:val="32"/>
        </w:rPr>
      </w:pPr>
      <w:r w:rsidRPr="00785FB4">
        <w:br w:type="page"/>
      </w:r>
    </w:p>
    <w:p w14:paraId="6E3440DD" w14:textId="45D75CFE" w:rsidR="00A441F1" w:rsidRPr="00785FB4" w:rsidRDefault="00A441F1" w:rsidP="007F0FEB">
      <w:pPr>
        <w:pStyle w:val="Heading1"/>
      </w:pPr>
      <w:bookmarkStart w:id="159" w:name="_Toc452707649"/>
      <w:bookmarkStart w:id="160" w:name="_Toc459133091"/>
      <w:bookmarkStart w:id="161" w:name="_Toc461803040"/>
      <w:bookmarkStart w:id="162" w:name="_Toc461787321"/>
      <w:bookmarkStart w:id="163" w:name="_Toc461795833"/>
      <w:bookmarkStart w:id="164" w:name="_Toc505449588"/>
      <w:bookmarkStart w:id="165" w:name="_Toc505449783"/>
      <w:r w:rsidRPr="00785FB4">
        <w:lastRenderedPageBreak/>
        <w:t>Part I</w:t>
      </w:r>
      <w:r w:rsidR="008912F5" w:rsidRPr="00785FB4">
        <w:t>I</w:t>
      </w:r>
      <w:r w:rsidRPr="00785FB4">
        <w:t xml:space="preserve"> – EITI Disclosures</w:t>
      </w:r>
      <w:bookmarkEnd w:id="159"/>
      <w:bookmarkEnd w:id="160"/>
      <w:bookmarkEnd w:id="161"/>
      <w:bookmarkEnd w:id="162"/>
      <w:bookmarkEnd w:id="163"/>
      <w:bookmarkEnd w:id="164"/>
      <w:bookmarkEnd w:id="165"/>
    </w:p>
    <w:p w14:paraId="65A94409" w14:textId="44047681" w:rsidR="00A441F1" w:rsidRPr="00785FB4" w:rsidRDefault="00A441F1" w:rsidP="00A94167">
      <w:pPr>
        <w:pStyle w:val="Heading2"/>
        <w:numPr>
          <w:ilvl w:val="0"/>
          <w:numId w:val="4"/>
        </w:numPr>
      </w:pPr>
      <w:bookmarkStart w:id="166" w:name="_Toc458773220"/>
      <w:bookmarkStart w:id="167" w:name="_Toc458780318"/>
      <w:bookmarkStart w:id="168" w:name="_Toc459133092"/>
      <w:bookmarkStart w:id="169" w:name="_Toc461803041"/>
      <w:bookmarkStart w:id="170" w:name="_Toc461787322"/>
      <w:bookmarkStart w:id="171" w:name="_Toc461795834"/>
      <w:bookmarkStart w:id="172" w:name="_Toc505449589"/>
      <w:bookmarkStart w:id="173" w:name="_Toc505449784"/>
      <w:bookmarkEnd w:id="166"/>
      <w:bookmarkEnd w:id="167"/>
      <w:r w:rsidRPr="00785FB4">
        <w:t>Award of contracts and licenses</w:t>
      </w:r>
      <w:bookmarkEnd w:id="168"/>
      <w:bookmarkEnd w:id="169"/>
      <w:bookmarkEnd w:id="170"/>
      <w:bookmarkEnd w:id="171"/>
      <w:bookmarkEnd w:id="172"/>
      <w:bookmarkEnd w:id="173"/>
      <w:r w:rsidRPr="00785FB4">
        <w:t xml:space="preserve"> </w:t>
      </w:r>
    </w:p>
    <w:p w14:paraId="29A400E3" w14:textId="1185B46F" w:rsidR="0048579D" w:rsidRPr="00785FB4" w:rsidRDefault="00FA3C70" w:rsidP="00A94167">
      <w:pPr>
        <w:pStyle w:val="Heading2notindexed"/>
      </w:pPr>
      <w:bookmarkStart w:id="174" w:name="_Toc459133093"/>
      <w:bookmarkStart w:id="175" w:name="_Toc461803042"/>
      <w:bookmarkStart w:id="176" w:name="_Toc461787323"/>
      <w:bookmarkStart w:id="177" w:name="_Toc461795835"/>
      <w:bookmarkStart w:id="178" w:name="_Toc505449590"/>
      <w:bookmarkStart w:id="179" w:name="_Toc505449785"/>
      <w:r w:rsidRPr="00785FB4">
        <w:t xml:space="preserve">2.1 </w:t>
      </w:r>
      <w:r w:rsidR="00A441F1" w:rsidRPr="00785FB4">
        <w:t>Overview</w:t>
      </w:r>
      <w:bookmarkEnd w:id="174"/>
      <w:bookmarkEnd w:id="175"/>
      <w:bookmarkEnd w:id="176"/>
      <w:bookmarkEnd w:id="177"/>
      <w:bookmarkEnd w:id="178"/>
      <w:bookmarkEnd w:id="179"/>
    </w:p>
    <w:p w14:paraId="13C2C25C" w14:textId="77777777" w:rsidR="003E42CB" w:rsidRPr="00785FB4" w:rsidRDefault="003E42CB" w:rsidP="008D7517">
      <w:r w:rsidRPr="00785FB4">
        <w:t>This section provides details on the implementation of the EITI requirements related to the legal framework for the extractive sector, licensing activities, contracts, beneficial ownership and state</w:t>
      </w:r>
      <w:r w:rsidR="00F425D1" w:rsidRPr="00785FB4">
        <w:t xml:space="preserve"> </w:t>
      </w:r>
      <w:r w:rsidRPr="00785FB4">
        <w:t>participation.</w:t>
      </w:r>
    </w:p>
    <w:p w14:paraId="31A6F83F" w14:textId="020ED45B" w:rsidR="00A441F1" w:rsidRPr="00785FB4" w:rsidRDefault="00FA3C70" w:rsidP="00A94167">
      <w:pPr>
        <w:pStyle w:val="Heading2notindexed"/>
      </w:pPr>
      <w:bookmarkStart w:id="180" w:name="_Toc459133094"/>
      <w:bookmarkStart w:id="181" w:name="_Toc461803043"/>
      <w:bookmarkStart w:id="182" w:name="_Toc461787324"/>
      <w:bookmarkStart w:id="183" w:name="_Toc461795836"/>
      <w:bookmarkStart w:id="184" w:name="_Toc505449591"/>
      <w:bookmarkStart w:id="185" w:name="_Toc505449786"/>
      <w:r w:rsidRPr="00785FB4">
        <w:t xml:space="preserve">2.2 </w:t>
      </w:r>
      <w:r w:rsidR="00A441F1" w:rsidRPr="00785FB4">
        <w:t>Assessment</w:t>
      </w:r>
      <w:bookmarkEnd w:id="180"/>
      <w:bookmarkEnd w:id="181"/>
      <w:bookmarkEnd w:id="182"/>
      <w:bookmarkEnd w:id="183"/>
      <w:bookmarkEnd w:id="184"/>
      <w:bookmarkEnd w:id="185"/>
    </w:p>
    <w:p w14:paraId="6D8E64E5" w14:textId="3AC0B1A8" w:rsidR="00A441F1" w:rsidRPr="00785FB4" w:rsidRDefault="00A441F1" w:rsidP="00A94167">
      <w:pPr>
        <w:pStyle w:val="Heading2notindexed"/>
      </w:pPr>
      <w:bookmarkStart w:id="186" w:name="_Toc459133095"/>
      <w:bookmarkStart w:id="187" w:name="_Toc461803044"/>
      <w:bookmarkStart w:id="188" w:name="_Toc461787325"/>
      <w:bookmarkStart w:id="189" w:name="_Toc461795837"/>
      <w:bookmarkStart w:id="190" w:name="_Toc505449592"/>
      <w:bookmarkStart w:id="191" w:name="_Toc505449787"/>
      <w:r w:rsidRPr="00785FB4">
        <w:t>Legal framework (#</w:t>
      </w:r>
      <w:r w:rsidR="00EE25D1" w:rsidRPr="00785FB4">
        <w:t>2</w:t>
      </w:r>
      <w:r w:rsidRPr="00785FB4">
        <w:t>.</w:t>
      </w:r>
      <w:r w:rsidR="00EE25D1" w:rsidRPr="00785FB4">
        <w:t>1</w:t>
      </w:r>
      <w:r w:rsidRPr="00785FB4">
        <w:t>)</w:t>
      </w:r>
      <w:bookmarkEnd w:id="186"/>
      <w:bookmarkEnd w:id="187"/>
      <w:bookmarkEnd w:id="188"/>
      <w:bookmarkEnd w:id="189"/>
      <w:bookmarkEnd w:id="190"/>
      <w:bookmarkEnd w:id="191"/>
    </w:p>
    <w:p w14:paraId="7EBF2000" w14:textId="471203EA" w:rsidR="002103DA" w:rsidRPr="00785FB4" w:rsidRDefault="00F425D1" w:rsidP="00A94167">
      <w:pPr>
        <w:pStyle w:val="Heading3"/>
      </w:pPr>
      <w:bookmarkStart w:id="192" w:name="_Toc505449593"/>
      <w:r w:rsidRPr="00785FB4">
        <w:t>Documentation of progress</w:t>
      </w:r>
      <w:bookmarkEnd w:id="192"/>
    </w:p>
    <w:p w14:paraId="45E77A5E" w14:textId="6C83EE78" w:rsidR="00D75FCF" w:rsidRPr="00785FB4" w:rsidRDefault="00F425D1" w:rsidP="005B46D7">
      <w:pPr>
        <w:spacing w:before="120"/>
      </w:pPr>
      <w:r w:rsidRPr="00785FB4">
        <w:rPr>
          <w:i/>
          <w:u w:val="single"/>
        </w:rPr>
        <w:t>Legal framework</w:t>
      </w:r>
      <w:r w:rsidRPr="00785FB4">
        <w:t xml:space="preserve">: </w:t>
      </w:r>
      <w:r w:rsidR="00494636" w:rsidRPr="00785FB4">
        <w:t xml:space="preserve">The </w:t>
      </w:r>
      <w:r w:rsidR="0089586D" w:rsidRPr="00785FB4">
        <w:t>2014</w:t>
      </w:r>
      <w:r w:rsidR="005B46D7" w:rsidRPr="00785FB4">
        <w:t>-</w:t>
      </w:r>
      <w:r w:rsidR="00494636" w:rsidRPr="00785FB4">
        <w:t>15</w:t>
      </w:r>
      <w:r w:rsidR="005B46D7" w:rsidRPr="00785FB4">
        <w:t xml:space="preserve"> EITI Report </w:t>
      </w:r>
      <w:r w:rsidR="00D75FCF" w:rsidRPr="00785FB4">
        <w:t>provides an overview of the key terms of the main laws governing the extractive industries, including the 2005 Minerals Law effective up to August 2014, the 2014 Minerals Law effective thereafter, the 2009 Oil and Gas Law and other key texts</w:t>
      </w:r>
      <w:r w:rsidR="005B46D7" w:rsidRPr="00785FB4">
        <w:t xml:space="preserve"> (pp.21-30</w:t>
      </w:r>
      <w:r w:rsidR="00386435" w:rsidRPr="00785FB4">
        <w:rPr>
          <w:rStyle w:val="FootnoteReference"/>
        </w:rPr>
        <w:footnoteReference w:id="116"/>
      </w:r>
      <w:r w:rsidR="005B46D7" w:rsidRPr="00785FB4">
        <w:t>)</w:t>
      </w:r>
      <w:r w:rsidR="00D75FCF" w:rsidRPr="00785FB4">
        <w:t>.</w:t>
      </w:r>
    </w:p>
    <w:p w14:paraId="4F743EE0" w14:textId="53E92DB7" w:rsidR="00D75FCF" w:rsidRPr="00785FB4" w:rsidRDefault="00F425D1" w:rsidP="00F425D1">
      <w:pPr>
        <w:spacing w:before="120"/>
      </w:pPr>
      <w:r w:rsidRPr="00785FB4">
        <w:rPr>
          <w:i/>
          <w:u w:val="single"/>
        </w:rPr>
        <w:t>Government agencies’ roles</w:t>
      </w:r>
      <w:r w:rsidRPr="00785FB4">
        <w:t>:</w:t>
      </w:r>
      <w:r w:rsidR="005B46D7" w:rsidRPr="00785FB4">
        <w:t xml:space="preserve"> The report </w:t>
      </w:r>
      <w:r w:rsidR="00D75FCF" w:rsidRPr="00785FB4">
        <w:t>briefly describes the roles of the key agencies involved in licensing in the mining, oil and gas sectors</w:t>
      </w:r>
      <w:r w:rsidR="00443885" w:rsidRPr="00785FB4">
        <w:t xml:space="preserve"> (pp.22,</w:t>
      </w:r>
      <w:r w:rsidR="00E20F1D" w:rsidRPr="00785FB4">
        <w:t>26-</w:t>
      </w:r>
      <w:r w:rsidR="005B46D7" w:rsidRPr="00785FB4">
        <w:t>28)</w:t>
      </w:r>
      <w:r w:rsidR="00E20F1D" w:rsidRPr="00785FB4">
        <w:t>, but does not refer to the role of the Presidency or the</w:t>
      </w:r>
      <w:r w:rsidR="00F96D68" w:rsidRPr="00785FB4">
        <w:t xml:space="preserve"> </w:t>
      </w:r>
      <w:r w:rsidR="000E14AD" w:rsidRPr="00785FB4">
        <w:t xml:space="preserve">highly </w:t>
      </w:r>
      <w:r w:rsidR="00F96D68" w:rsidRPr="00785FB4">
        <w:t>influential</w:t>
      </w:r>
      <w:r w:rsidR="00E20F1D" w:rsidRPr="00785FB4">
        <w:t xml:space="preserve"> High Economic Council (HEC) in the sectors. </w:t>
      </w:r>
    </w:p>
    <w:p w14:paraId="0734AB76" w14:textId="5001AD95" w:rsidR="00D75FCF" w:rsidRPr="00785FB4" w:rsidRDefault="00F425D1" w:rsidP="00D75FCF">
      <w:pPr>
        <w:spacing w:before="120"/>
      </w:pPr>
      <w:r w:rsidRPr="00785FB4">
        <w:rPr>
          <w:i/>
          <w:u w:val="single"/>
        </w:rPr>
        <w:t>Fiscal regime</w:t>
      </w:r>
      <w:r w:rsidRPr="00785FB4">
        <w:t xml:space="preserve">: </w:t>
      </w:r>
      <w:r w:rsidR="00DD3B26" w:rsidRPr="00785FB4">
        <w:t xml:space="preserve">For </w:t>
      </w:r>
      <w:r w:rsidR="00DD3B26" w:rsidRPr="00785FB4">
        <w:rPr>
          <w:i/>
        </w:rPr>
        <w:t>mining</w:t>
      </w:r>
      <w:r w:rsidR="00DD3B26" w:rsidRPr="00785FB4">
        <w:t>, t</w:t>
      </w:r>
      <w:r w:rsidR="005B46D7" w:rsidRPr="00785FB4">
        <w:t xml:space="preserve">he report </w:t>
      </w:r>
      <w:r w:rsidR="00D75FCF" w:rsidRPr="00785FB4">
        <w:t xml:space="preserve">provides an overview of fiscal terms </w:t>
      </w:r>
      <w:r w:rsidR="005B46D7" w:rsidRPr="00785FB4">
        <w:t>(pp.23-24)</w:t>
      </w:r>
      <w:r w:rsidR="00D75FCF" w:rsidRPr="00785FB4">
        <w:t xml:space="preserve"> </w:t>
      </w:r>
      <w:r w:rsidR="005B46D7" w:rsidRPr="00785FB4">
        <w:t xml:space="preserve">as well as </w:t>
      </w:r>
      <w:r w:rsidR="00D75FCF" w:rsidRPr="00785FB4">
        <w:t>the specific royalty rate</w:t>
      </w:r>
      <w:r w:rsidR="005B46D7" w:rsidRPr="00785FB4">
        <w:t>s</w:t>
      </w:r>
      <w:r w:rsidR="00E20F1D" w:rsidRPr="00785FB4">
        <w:t xml:space="preserve"> applicable to each of the 302</w:t>
      </w:r>
      <w:r w:rsidR="00D75FCF" w:rsidRPr="00785FB4">
        <w:t xml:space="preserve"> mining contracts </w:t>
      </w:r>
      <w:r w:rsidR="005B46D7" w:rsidRPr="00785FB4">
        <w:t xml:space="preserve">in </w:t>
      </w:r>
      <w:r w:rsidR="00E20F1D" w:rsidRPr="00785FB4">
        <w:t xml:space="preserve">the English-language list of licenses provided in </w:t>
      </w:r>
      <w:r w:rsidR="005B46D7" w:rsidRPr="00785FB4">
        <w:t>Appendix 9.3</w:t>
      </w:r>
      <w:r w:rsidR="00E20F1D" w:rsidRPr="00785FB4">
        <w:t xml:space="preserve"> (a/pp.78-86)</w:t>
      </w:r>
      <w:r w:rsidR="00D75FCF" w:rsidRPr="00785FB4">
        <w:t xml:space="preserve">. </w:t>
      </w:r>
      <w:r w:rsidR="004A56E7" w:rsidRPr="00785FB4">
        <w:t>It</w:t>
      </w:r>
      <w:r w:rsidR="005B46D7" w:rsidRPr="00785FB4">
        <w:t xml:space="preserve"> raises concerns over </w:t>
      </w:r>
      <w:r w:rsidR="004A56E7" w:rsidRPr="00785FB4">
        <w:t xml:space="preserve">the lack of correlation between </w:t>
      </w:r>
      <w:r w:rsidR="005B46D7" w:rsidRPr="00785FB4">
        <w:t xml:space="preserve">reported production values and royalty paid by </w:t>
      </w:r>
      <w:r w:rsidR="004A56E7" w:rsidRPr="00785FB4">
        <w:t xml:space="preserve">mining </w:t>
      </w:r>
      <w:r w:rsidR="005B46D7" w:rsidRPr="00785FB4">
        <w:t xml:space="preserve">companies (pp.20,40). </w:t>
      </w:r>
      <w:r w:rsidR="004A56E7" w:rsidRPr="00785FB4">
        <w:t>A</w:t>
      </w:r>
      <w:r w:rsidR="005B46D7" w:rsidRPr="00785FB4">
        <w:t xml:space="preserve"> unique </w:t>
      </w:r>
      <w:r w:rsidR="004A56E7" w:rsidRPr="00785FB4">
        <w:t xml:space="preserve">royalty collection </w:t>
      </w:r>
      <w:r w:rsidR="005B46D7" w:rsidRPr="00785FB4">
        <w:t xml:space="preserve">farm-out arrangement </w:t>
      </w:r>
      <w:r w:rsidR="004A56E7" w:rsidRPr="00785FB4">
        <w:t xml:space="preserve">is also described, </w:t>
      </w:r>
      <w:r w:rsidR="005B46D7" w:rsidRPr="00785FB4">
        <w:t>where</w:t>
      </w:r>
      <w:r w:rsidR="004A56E7" w:rsidRPr="00785FB4">
        <w:t>by</w:t>
      </w:r>
      <w:r w:rsidR="005B46D7" w:rsidRPr="00785FB4">
        <w:t xml:space="preserve"> a private company, Shair Pawan, collected royalties </w:t>
      </w:r>
      <w:r w:rsidR="004A56E7" w:rsidRPr="00785FB4">
        <w:t xml:space="preserve">on construction materials transported on </w:t>
      </w:r>
      <w:r w:rsidR="005B46D7" w:rsidRPr="00785FB4">
        <w:t xml:space="preserve">two roads in Bagram district </w:t>
      </w:r>
      <w:r w:rsidR="004A56E7" w:rsidRPr="00785FB4">
        <w:t>(</w:t>
      </w:r>
      <w:r w:rsidR="005B46D7" w:rsidRPr="00785FB4">
        <w:t>Parwan Province</w:t>
      </w:r>
      <w:r w:rsidR="004A56E7" w:rsidRPr="00785FB4">
        <w:t>)</w:t>
      </w:r>
      <w:r w:rsidR="005B46D7" w:rsidRPr="00785FB4">
        <w:t xml:space="preserve">, despite the company’s one-year contract having </w:t>
      </w:r>
      <w:r w:rsidR="004A56E7" w:rsidRPr="00785FB4">
        <w:t>expired in May 2014</w:t>
      </w:r>
      <w:r w:rsidR="005B46D7" w:rsidRPr="00785FB4">
        <w:t xml:space="preserve"> (p.20). </w:t>
      </w:r>
      <w:r w:rsidR="004A56E7" w:rsidRPr="00785FB4">
        <w:t>A</w:t>
      </w:r>
      <w:r w:rsidR="005B46D7" w:rsidRPr="00785FB4">
        <w:t xml:space="preserve"> copy of Shair Pawan’s contract with </w:t>
      </w:r>
      <w:r w:rsidR="00DB56BA" w:rsidRPr="00785FB4">
        <w:t>MOMP</w:t>
      </w:r>
      <w:r w:rsidR="005B46D7" w:rsidRPr="00785FB4">
        <w:t xml:space="preserve"> (</w:t>
      </w:r>
      <w:r w:rsidR="004A56E7" w:rsidRPr="00785FB4">
        <w:t>a/p.208</w:t>
      </w:r>
      <w:r w:rsidR="005B46D7" w:rsidRPr="00785FB4">
        <w:t xml:space="preserve">) and </w:t>
      </w:r>
      <w:r w:rsidR="004A56E7" w:rsidRPr="00785FB4">
        <w:t>royalty</w:t>
      </w:r>
      <w:r w:rsidR="005B46D7" w:rsidRPr="00785FB4">
        <w:t xml:space="preserve"> rates (p.20)</w:t>
      </w:r>
      <w:r w:rsidR="004A56E7" w:rsidRPr="00785FB4">
        <w:t xml:space="preserve"> are provided</w:t>
      </w:r>
      <w:r w:rsidR="005B46D7" w:rsidRPr="00785FB4">
        <w:t xml:space="preserve">. </w:t>
      </w:r>
      <w:r w:rsidR="00E2302C" w:rsidRPr="00785FB4">
        <w:t xml:space="preserve">For </w:t>
      </w:r>
      <w:r w:rsidR="00E2302C" w:rsidRPr="00785FB4">
        <w:rPr>
          <w:i/>
        </w:rPr>
        <w:t>oil and gas</w:t>
      </w:r>
      <w:r w:rsidR="00E2302C" w:rsidRPr="00785FB4">
        <w:t>, t</w:t>
      </w:r>
      <w:r w:rsidR="004A56E7" w:rsidRPr="00785FB4">
        <w:t>he report provides a</w:t>
      </w:r>
      <w:r w:rsidR="00D75FCF" w:rsidRPr="00785FB4">
        <w:t xml:space="preserve">n overview of fiscal terms </w:t>
      </w:r>
      <w:r w:rsidR="005B46D7" w:rsidRPr="00785FB4">
        <w:t xml:space="preserve">(pp.30-31) and </w:t>
      </w:r>
      <w:r w:rsidR="004A56E7" w:rsidRPr="00785FB4">
        <w:t xml:space="preserve">confirms the lack of </w:t>
      </w:r>
      <w:r w:rsidR="00D75FCF" w:rsidRPr="00785FB4">
        <w:t>in-kind revenues</w:t>
      </w:r>
      <w:r w:rsidR="005B46D7" w:rsidRPr="00785FB4">
        <w:t xml:space="preserve"> in </w:t>
      </w:r>
      <w:r w:rsidR="0089586D" w:rsidRPr="00785FB4">
        <w:t xml:space="preserve">2014-15 </w:t>
      </w:r>
      <w:r w:rsidR="005B46D7" w:rsidRPr="00785FB4">
        <w:t>despite statutory provisions (pp.43-44)</w:t>
      </w:r>
      <w:r w:rsidR="00D75FCF" w:rsidRPr="00785FB4">
        <w:t xml:space="preserve">. </w:t>
      </w:r>
    </w:p>
    <w:p w14:paraId="10D78D14" w14:textId="3E85C6CF" w:rsidR="00D75FCF" w:rsidRPr="00785FB4" w:rsidRDefault="00F425D1" w:rsidP="00D75FCF">
      <w:pPr>
        <w:spacing w:before="120"/>
      </w:pPr>
      <w:r w:rsidRPr="00785FB4">
        <w:rPr>
          <w:i/>
          <w:u w:val="single"/>
        </w:rPr>
        <w:t>Degree of fiscal devolution</w:t>
      </w:r>
      <w:r w:rsidRPr="00785FB4">
        <w:t xml:space="preserve">: </w:t>
      </w:r>
      <w:r w:rsidR="005B46D7" w:rsidRPr="00785FB4">
        <w:t xml:space="preserve">The report clarifies that </w:t>
      </w:r>
      <w:r w:rsidR="00D75FCF" w:rsidRPr="00785FB4">
        <w:t xml:space="preserve">no </w:t>
      </w:r>
      <w:r w:rsidR="005B46D7" w:rsidRPr="00785FB4">
        <w:t xml:space="preserve">direct </w:t>
      </w:r>
      <w:r w:rsidR="00D75FCF" w:rsidRPr="00785FB4">
        <w:t xml:space="preserve">subnational payments specific to the extractives sector </w:t>
      </w:r>
      <w:r w:rsidR="005B46D7" w:rsidRPr="00785FB4">
        <w:t>were identified by stakeholders (p.44). It describes statutory provisions for subnational transfers of “overall mining revenue”</w:t>
      </w:r>
      <w:r w:rsidR="000747C6" w:rsidRPr="00785FB4">
        <w:t xml:space="preserve"> under the 2014 Minerals Law</w:t>
      </w:r>
      <w:r w:rsidR="00F67C96" w:rsidRPr="00785FB4">
        <w:t xml:space="preserve"> </w:t>
      </w:r>
      <w:r w:rsidR="005B46D7" w:rsidRPr="00785FB4">
        <w:t xml:space="preserve">but explains that the law </w:t>
      </w:r>
      <w:r w:rsidR="000747C6" w:rsidRPr="00785FB4">
        <w:t xml:space="preserve">had </w:t>
      </w:r>
      <w:r w:rsidR="005B46D7" w:rsidRPr="00785FB4">
        <w:t xml:space="preserve">not </w:t>
      </w:r>
      <w:r w:rsidR="000747C6" w:rsidRPr="00785FB4">
        <w:t xml:space="preserve">yet </w:t>
      </w:r>
      <w:r w:rsidR="000747C6" w:rsidRPr="00785FB4">
        <w:lastRenderedPageBreak/>
        <w:t xml:space="preserve">been </w:t>
      </w:r>
      <w:r w:rsidR="005B46D7" w:rsidRPr="00785FB4">
        <w:t>implemented in the 2013-2015 period</w:t>
      </w:r>
      <w:r w:rsidR="000747C6" w:rsidRPr="00785FB4">
        <w:t xml:space="preserve"> (pp.44-45). </w:t>
      </w:r>
    </w:p>
    <w:p w14:paraId="730E2BC8" w14:textId="62D0B297" w:rsidR="00D75FCF" w:rsidRPr="00785FB4" w:rsidRDefault="00F425D1" w:rsidP="0055005F">
      <w:pPr>
        <w:spacing w:before="120"/>
      </w:pPr>
      <w:r w:rsidRPr="00785FB4">
        <w:rPr>
          <w:i/>
          <w:u w:val="single"/>
        </w:rPr>
        <w:t>Reforms</w:t>
      </w:r>
      <w:r w:rsidRPr="00785FB4">
        <w:t xml:space="preserve">: </w:t>
      </w:r>
      <w:r w:rsidR="000747C6" w:rsidRPr="00785FB4">
        <w:t xml:space="preserve">The report briefly </w:t>
      </w:r>
      <w:r w:rsidR="00D75FCF" w:rsidRPr="00785FB4">
        <w:t>describes recent reforms including the 2014 Minerals Law</w:t>
      </w:r>
      <w:r w:rsidR="000747C6" w:rsidRPr="00785FB4">
        <w:t xml:space="preserve"> (pp.21-30)</w:t>
      </w:r>
      <w:r w:rsidR="006D0D10" w:rsidRPr="00785FB4">
        <w:t>, but does not make reference to ongoing or planned reforms</w:t>
      </w:r>
      <w:r w:rsidR="00D75FCF" w:rsidRPr="00785FB4">
        <w:t>.</w:t>
      </w:r>
    </w:p>
    <w:p w14:paraId="5ADA67DB" w14:textId="77777777" w:rsidR="002103DA" w:rsidRPr="00785FB4" w:rsidRDefault="00F425D1" w:rsidP="00A94167">
      <w:pPr>
        <w:pStyle w:val="Heading3"/>
      </w:pPr>
      <w:bookmarkStart w:id="193" w:name="_Toc505449594"/>
      <w:r w:rsidRPr="00785FB4">
        <w:t>Stakeholder views</w:t>
      </w:r>
      <w:bookmarkEnd w:id="193"/>
    </w:p>
    <w:p w14:paraId="22183824" w14:textId="447EF833" w:rsidR="00F67C96" w:rsidRPr="00785FB4" w:rsidRDefault="009A444E" w:rsidP="00D26C4A">
      <w:pPr>
        <w:rPr>
          <w:bCs/>
        </w:rPr>
      </w:pPr>
      <w:r w:rsidRPr="00785FB4">
        <w:rPr>
          <w:bCs/>
          <w:i/>
          <w:u w:val="single"/>
        </w:rPr>
        <w:t>Legal</w:t>
      </w:r>
      <w:r w:rsidR="000E14AD" w:rsidRPr="00785FB4">
        <w:rPr>
          <w:bCs/>
          <w:i/>
          <w:u w:val="single"/>
        </w:rPr>
        <w:t xml:space="preserve"> framework</w:t>
      </w:r>
      <w:r w:rsidRPr="00785FB4">
        <w:rPr>
          <w:bCs/>
        </w:rPr>
        <w:t>:</w:t>
      </w:r>
      <w:r w:rsidR="00493E21" w:rsidRPr="00785FB4">
        <w:rPr>
          <w:bCs/>
        </w:rPr>
        <w:t xml:space="preserve"> </w:t>
      </w:r>
      <w:r w:rsidR="00A37E54" w:rsidRPr="00785FB4">
        <w:rPr>
          <w:bCs/>
        </w:rPr>
        <w:t xml:space="preserve">While most stakeholders did not express any particular views about the 2014-15 EITI Report’s coverage of extractives-related laws, </w:t>
      </w:r>
      <w:r w:rsidR="00CA5895" w:rsidRPr="00785FB4">
        <w:rPr>
          <w:bCs/>
        </w:rPr>
        <w:t xml:space="preserve">several CSOs considered that the summary of relevant laws was cursory and </w:t>
      </w:r>
      <w:r w:rsidR="00D90DFA" w:rsidRPr="00785FB4">
        <w:rPr>
          <w:bCs/>
        </w:rPr>
        <w:t xml:space="preserve">insufficiently specific. </w:t>
      </w:r>
      <w:r w:rsidR="00800EE5" w:rsidRPr="00785FB4">
        <w:rPr>
          <w:bCs/>
        </w:rPr>
        <w:t>The CSOs called for EITI reporting to more clearly highlight the frequent legal changes for both mining and hydrocarbons, which were considered to have undermined legal certainty and created instability in the sector, thereby deterring serious investment.</w:t>
      </w:r>
      <w:r w:rsidR="000E14AD" w:rsidRPr="00785FB4">
        <w:rPr>
          <w:bCs/>
        </w:rPr>
        <w:t xml:space="preserve"> </w:t>
      </w:r>
      <w:r w:rsidR="000E036C" w:rsidRPr="00785FB4">
        <w:rPr>
          <w:bCs/>
        </w:rPr>
        <w:t xml:space="preserve">One CSO alleged that the 2014 Minerals Law had subsequently been revised (one month later) </w:t>
      </w:r>
      <w:r w:rsidR="00217DEF" w:rsidRPr="00785FB4">
        <w:rPr>
          <w:bCs/>
        </w:rPr>
        <w:t xml:space="preserve">through the official gazette </w:t>
      </w:r>
      <w:r w:rsidR="000E036C" w:rsidRPr="00785FB4">
        <w:rPr>
          <w:bCs/>
        </w:rPr>
        <w:t>to reduce constraints on license transfers</w:t>
      </w:r>
      <w:r w:rsidR="00217DEF" w:rsidRPr="00785FB4">
        <w:rPr>
          <w:bCs/>
        </w:rPr>
        <w:t xml:space="preserve">, but deplored that these changes had not been broadly publicised. </w:t>
      </w:r>
      <w:r w:rsidR="00DF2A69" w:rsidRPr="00785FB4">
        <w:rPr>
          <w:bCs/>
        </w:rPr>
        <w:t xml:space="preserve">It was not possible for the International Secretariat to verify the existence of revisions to the 2014 Minerals Law through publicly-available sources. </w:t>
      </w:r>
      <w:r w:rsidR="00FF0523" w:rsidRPr="00785FB4">
        <w:rPr>
          <w:bCs/>
        </w:rPr>
        <w:t xml:space="preserve">Several development partners </w:t>
      </w:r>
      <w:r w:rsidR="000E14AD" w:rsidRPr="00785FB4">
        <w:t xml:space="preserve">and CSOs </w:t>
      </w:r>
      <w:r w:rsidR="00FF0523" w:rsidRPr="00785FB4">
        <w:t>highlighted significant deviations from mining laws and regulations in practice.</w:t>
      </w:r>
      <w:r w:rsidR="000E14AD" w:rsidRPr="00785FB4">
        <w:t xml:space="preserve"> This was also </w:t>
      </w:r>
      <w:r w:rsidR="000E14AD" w:rsidRPr="00785FB4">
        <w:rPr>
          <w:bCs/>
        </w:rPr>
        <w:t xml:space="preserve">highlighted in the </w:t>
      </w:r>
      <w:r w:rsidR="000E14AD" w:rsidRPr="00785FB4">
        <w:t>US 2014 fiscal transparency report.</w:t>
      </w:r>
      <w:r w:rsidR="000E14AD" w:rsidRPr="00785FB4">
        <w:rPr>
          <w:rStyle w:val="FootnoteReference"/>
        </w:rPr>
        <w:footnoteReference w:id="117"/>
      </w:r>
      <w:r w:rsidR="000E14AD" w:rsidRPr="00785FB4">
        <w:t xml:space="preserve"> </w:t>
      </w:r>
      <w:r w:rsidR="00FF0523" w:rsidRPr="00785FB4">
        <w:t xml:space="preserve"> </w:t>
      </w:r>
      <w:r w:rsidR="00A37F7E" w:rsidRPr="00785FB4">
        <w:t xml:space="preserve">A senior government official explained that the 2014 Minerals Law was not retroactively applied to previously-granted contracts, which were only converted to the new legal framework upon renewal. </w:t>
      </w:r>
    </w:p>
    <w:p w14:paraId="3552CCCB" w14:textId="78EBBB15" w:rsidR="00135AAF" w:rsidRPr="00785FB4" w:rsidRDefault="00135AAF" w:rsidP="009A444E">
      <w:pPr>
        <w:spacing w:before="120"/>
      </w:pPr>
      <w:r w:rsidRPr="00785FB4">
        <w:rPr>
          <w:i/>
          <w:u w:val="single"/>
        </w:rPr>
        <w:t>Government agencies</w:t>
      </w:r>
      <w:r w:rsidRPr="00785FB4">
        <w:t xml:space="preserve">: </w:t>
      </w:r>
      <w:r w:rsidR="002E6C62" w:rsidRPr="00785FB4">
        <w:t>Several stakeholders from all constituencies</w:t>
      </w:r>
      <w:r w:rsidR="000E14AD" w:rsidRPr="00785FB4">
        <w:t xml:space="preserve"> and development partners</w:t>
      </w:r>
      <w:r w:rsidR="002E6C62" w:rsidRPr="00785FB4">
        <w:t xml:space="preserve"> highlighted the key role played by the Presidency and the HEC in overseeing the mining, oil and gas sectors, most notably in license allocations. </w:t>
      </w:r>
      <w:r w:rsidR="000E14AD" w:rsidRPr="00785FB4">
        <w:t xml:space="preserve">A senior government representative confirmed that although the role played both the Presidency and the HEC had increased in recent years to the detriment of the </w:t>
      </w:r>
      <w:r w:rsidR="00DB56BA" w:rsidRPr="00785FB4">
        <w:t>MOMP</w:t>
      </w:r>
      <w:r w:rsidR="000E14AD" w:rsidRPr="00785FB4">
        <w:t>, this was not codified in the legal framework.</w:t>
      </w:r>
    </w:p>
    <w:p w14:paraId="39B48F1D" w14:textId="26734BF5" w:rsidR="000D3F6F" w:rsidRPr="00785FB4" w:rsidRDefault="009A444E" w:rsidP="00D26C4A">
      <w:r w:rsidRPr="00785FB4">
        <w:rPr>
          <w:i/>
          <w:u w:val="single"/>
        </w:rPr>
        <w:t>Fiscal</w:t>
      </w:r>
      <w:r w:rsidR="000E14AD" w:rsidRPr="00785FB4">
        <w:rPr>
          <w:i/>
          <w:u w:val="single"/>
        </w:rPr>
        <w:t xml:space="preserve"> framework</w:t>
      </w:r>
      <w:r w:rsidRPr="00785FB4">
        <w:t xml:space="preserve">: </w:t>
      </w:r>
      <w:r w:rsidR="00F01A34" w:rsidRPr="00785FB4">
        <w:t xml:space="preserve">Stakeholders from all constituencies confirmed that </w:t>
      </w:r>
      <w:r w:rsidR="00705FD0" w:rsidRPr="00785FB4">
        <w:t>royalty rates differed by contract, albeit with</w:t>
      </w:r>
      <w:r w:rsidR="00BD341D" w:rsidRPr="00785FB4">
        <w:t>in</w:t>
      </w:r>
      <w:r w:rsidR="00705FD0" w:rsidRPr="00785FB4">
        <w:t xml:space="preserve"> broad guidelines for different minerals</w:t>
      </w:r>
      <w:r w:rsidR="009D3996" w:rsidRPr="00785FB4">
        <w:t>.</w:t>
      </w:r>
      <w:r w:rsidR="00560FFB" w:rsidRPr="00785FB4">
        <w:rPr>
          <w:rStyle w:val="FootnoteReference"/>
        </w:rPr>
        <w:footnoteReference w:id="118"/>
      </w:r>
      <w:r w:rsidR="009D3996" w:rsidRPr="00785FB4">
        <w:t xml:space="preserve"> A senior government official explained that the </w:t>
      </w:r>
      <w:r w:rsidR="00DB56BA" w:rsidRPr="00785FB4">
        <w:t>MOMP</w:t>
      </w:r>
      <w:r w:rsidR="00D04E25" w:rsidRPr="00785FB4">
        <w:t xml:space="preserve"> intended to review all effective royalty rates to ensure consistency across different contracts. A development partner noted that such a review of royalty rates would enable different government entities to monitor mining operations more effectively given the current lack of awareness of the spectrum of royalty rates in different provinces and contracts. Development partners and industry stakeholders explained that royalties were based on production plans agreed in advance annually, regardless of whether actual production was below planned levels. Given that tax liabilities were calculated on actual production, this could cause discrepancies between tax and non-tax revenues for the same period. Several stakeholders from all constituencies also highlighted that provisions in the 2014 Minerals Law for the ring-fencing of all tax and non-tax liabilities on a per-license basis had not yet been implemented, although several government representatives</w:t>
      </w:r>
      <w:r w:rsidR="00DE2B04" w:rsidRPr="00785FB4">
        <w:t xml:space="preserve"> highlighted plans to implement tax ID numbers (TIN) on a per-license basis in 2018.</w:t>
      </w:r>
      <w:r w:rsidR="00F249F4" w:rsidRPr="00785FB4">
        <w:t xml:space="preserve"> Government representatives confirmed that it was not unusual for companies who were unable to renew their licenses to continue producing and paying non-tax revenues, with the understanding from the </w:t>
      </w:r>
      <w:r w:rsidR="00DB56BA" w:rsidRPr="00785FB4">
        <w:t>MOMP</w:t>
      </w:r>
      <w:r w:rsidR="00F249F4" w:rsidRPr="00785FB4">
        <w:t xml:space="preserve"> that if operations were anyway going to continue </w:t>
      </w:r>
      <w:r w:rsidR="00F249F4" w:rsidRPr="00785FB4">
        <w:lastRenderedPageBreak/>
        <w:t>illegally it was nevertheless better to keep receiving some revenues from production than no revenues at all.</w:t>
      </w:r>
    </w:p>
    <w:p w14:paraId="142C55F1" w14:textId="2EF077CC" w:rsidR="000D3F6F" w:rsidRPr="00785FB4" w:rsidRDefault="000D3F6F" w:rsidP="00D26C4A">
      <w:r w:rsidRPr="00785FB4">
        <w:rPr>
          <w:i/>
          <w:u w:val="single"/>
        </w:rPr>
        <w:t>Reforms</w:t>
      </w:r>
      <w:r w:rsidRPr="00785FB4">
        <w:t xml:space="preserve">: </w:t>
      </w:r>
      <w:r w:rsidR="008E5B5B" w:rsidRPr="00785FB4">
        <w:t>Reports from several development partners, including the US Special Inspector General for Afghanistan Reconstruction (SIGAR), and CSOs have highlighted areas for improvement in the 2014 Minerals Law.</w:t>
      </w:r>
      <w:r w:rsidR="008E5B5B" w:rsidRPr="00785FB4">
        <w:rPr>
          <w:rStyle w:val="FootnoteReference"/>
          <w:iCs/>
        </w:rPr>
        <w:footnoteReference w:id="119"/>
      </w:r>
      <w:r w:rsidR="00A4458A" w:rsidRPr="00785FB4">
        <w:t xml:space="preserve"> </w:t>
      </w:r>
      <w:r w:rsidR="00F249F4" w:rsidRPr="00785FB4">
        <w:rPr>
          <w:bCs/>
        </w:rPr>
        <w:t xml:space="preserve">CSO representatives and development partners said that a new revision to the law was again planned for the spring of 2018. </w:t>
      </w:r>
      <w:r w:rsidR="00A4458A" w:rsidRPr="00785FB4">
        <w:t>Several CSOs called for annual EITI reporting to provide more analysis of the various sector reforms and their implementation in practice. A senior government official considered that the EITI work plan should provide a roadmap for reforms in the sector (</w:t>
      </w:r>
      <w:r w:rsidR="00A4458A" w:rsidRPr="00785FB4">
        <w:rPr>
          <w:i/>
        </w:rPr>
        <w:t>see Requirement 1.5</w:t>
      </w:r>
      <w:r w:rsidR="00A4458A" w:rsidRPr="00785FB4">
        <w:t xml:space="preserve">). </w:t>
      </w:r>
    </w:p>
    <w:p w14:paraId="672ADE47" w14:textId="739BC6D2" w:rsidR="001E68AF" w:rsidRPr="00785FB4" w:rsidRDefault="00F425D1" w:rsidP="00A94167">
      <w:pPr>
        <w:pStyle w:val="Heading3"/>
      </w:pPr>
      <w:bookmarkStart w:id="194" w:name="_Toc459133098"/>
      <w:bookmarkStart w:id="195" w:name="_Toc461803047"/>
      <w:bookmarkStart w:id="196" w:name="_Toc505449595"/>
      <w:r w:rsidRPr="00785FB4">
        <w:t>Initial assessment</w:t>
      </w:r>
      <w:bookmarkEnd w:id="194"/>
      <w:bookmarkEnd w:id="195"/>
      <w:bookmarkEnd w:id="196"/>
    </w:p>
    <w:p w14:paraId="2D14B53C" w14:textId="2312EA98" w:rsidR="005275CE" w:rsidRPr="00785FB4" w:rsidRDefault="00F425D1" w:rsidP="005275CE">
      <w:pPr>
        <w:rPr>
          <w:bCs/>
        </w:rPr>
      </w:pPr>
      <w:r w:rsidRPr="00785FB4">
        <w:t xml:space="preserve">The International Secretariat’s initial assessment is that </w:t>
      </w:r>
      <w:r w:rsidR="003F5D9F" w:rsidRPr="00785FB4">
        <w:rPr>
          <w:bCs/>
        </w:rPr>
        <w:t>Afghanistan</w:t>
      </w:r>
      <w:r w:rsidR="0055005F" w:rsidRPr="00785FB4">
        <w:t xml:space="preserve"> </w:t>
      </w:r>
      <w:r w:rsidRPr="00785FB4">
        <w:t xml:space="preserve">has made </w:t>
      </w:r>
      <w:r w:rsidR="003F5D9F" w:rsidRPr="00785FB4">
        <w:rPr>
          <w:bCs/>
        </w:rPr>
        <w:t>satisfactory</w:t>
      </w:r>
      <w:r w:rsidR="003F5D9F" w:rsidRPr="00785FB4">
        <w:rPr>
          <w:b/>
          <w:bCs/>
        </w:rPr>
        <w:t xml:space="preserve"> </w:t>
      </w:r>
      <w:r w:rsidRPr="00785FB4">
        <w:t>progress in</w:t>
      </w:r>
      <w:bookmarkStart w:id="197" w:name="_Toc459133099"/>
      <w:bookmarkStart w:id="198" w:name="_Toc461803048"/>
      <w:bookmarkStart w:id="199" w:name="_Toc461787326"/>
      <w:bookmarkStart w:id="200" w:name="_Toc461795838"/>
      <w:bookmarkStart w:id="201" w:name="_Toc459133100"/>
      <w:r w:rsidR="0055005F" w:rsidRPr="00785FB4">
        <w:t xml:space="preserve"> </w:t>
      </w:r>
      <w:r w:rsidR="003F5D9F" w:rsidRPr="00785FB4">
        <w:rPr>
          <w:bCs/>
        </w:rPr>
        <w:t>meeting this requirement</w:t>
      </w:r>
      <w:r w:rsidR="00383860" w:rsidRPr="00785FB4">
        <w:rPr>
          <w:bCs/>
        </w:rPr>
        <w:t>, although the lack of information on the role of the Presidency and the HEC is a problem given their</w:t>
      </w:r>
      <w:r w:rsidR="002A28C4" w:rsidRPr="00785FB4">
        <w:rPr>
          <w:bCs/>
        </w:rPr>
        <w:t xml:space="preserve"> increasing</w:t>
      </w:r>
      <w:r w:rsidR="00F806A0" w:rsidRPr="00785FB4">
        <w:rPr>
          <w:bCs/>
        </w:rPr>
        <w:t xml:space="preserve"> importance</w:t>
      </w:r>
      <w:r w:rsidR="00383860" w:rsidRPr="00785FB4">
        <w:rPr>
          <w:bCs/>
        </w:rPr>
        <w:t xml:space="preserve"> in the </w:t>
      </w:r>
      <w:r w:rsidR="00F806A0" w:rsidRPr="00785FB4">
        <w:rPr>
          <w:bCs/>
        </w:rPr>
        <w:t xml:space="preserve">management of the </w:t>
      </w:r>
      <w:r w:rsidR="00383860" w:rsidRPr="00785FB4">
        <w:rPr>
          <w:bCs/>
        </w:rPr>
        <w:t>sector</w:t>
      </w:r>
      <w:r w:rsidR="00F806A0" w:rsidRPr="00785FB4">
        <w:rPr>
          <w:bCs/>
        </w:rPr>
        <w:t xml:space="preserve"> and lack of clarity on the division of roles between them and the </w:t>
      </w:r>
      <w:r w:rsidR="00DB56BA" w:rsidRPr="00785FB4">
        <w:rPr>
          <w:bCs/>
        </w:rPr>
        <w:t>MOMP</w:t>
      </w:r>
      <w:r w:rsidR="003F5D9F" w:rsidRPr="00785FB4">
        <w:rPr>
          <w:bCs/>
        </w:rPr>
        <w:t xml:space="preserve">. The </w:t>
      </w:r>
      <w:r w:rsidR="0089586D" w:rsidRPr="00785FB4">
        <w:t xml:space="preserve">2014-15 </w:t>
      </w:r>
      <w:r w:rsidR="003F5D9F" w:rsidRPr="00785FB4">
        <w:rPr>
          <w:bCs/>
        </w:rPr>
        <w:t>EITI Report includes an overview of relevant laws, government entities, fiscal terms in the mining, oil and gas sector, the degree of fiscal devolution and brief commentary on current reforms.</w:t>
      </w:r>
    </w:p>
    <w:p w14:paraId="13216BF5" w14:textId="51208DD1" w:rsidR="003F5D9F" w:rsidRPr="00785FB4" w:rsidRDefault="003F5D9F" w:rsidP="005275CE">
      <w:r w:rsidRPr="00785FB4">
        <w:rPr>
          <w:bCs/>
        </w:rPr>
        <w:t>To strengthen implementat</w:t>
      </w:r>
      <w:r w:rsidR="009A4961" w:rsidRPr="00785FB4">
        <w:rPr>
          <w:bCs/>
        </w:rPr>
        <w:t xml:space="preserve">ion, </w:t>
      </w:r>
      <w:r w:rsidR="008F648D" w:rsidRPr="00785FB4">
        <w:rPr>
          <w:bCs/>
        </w:rPr>
        <w:t>Afghanistan</w:t>
      </w:r>
      <w:r w:rsidR="009A4961" w:rsidRPr="00785FB4">
        <w:rPr>
          <w:bCs/>
        </w:rPr>
        <w:t xml:space="preserve"> is encouraged to ensure that comprehensive review of reforms in the mining, oil and gas sectors are publicly documented</w:t>
      </w:r>
      <w:r w:rsidR="00383860" w:rsidRPr="00785FB4">
        <w:rPr>
          <w:bCs/>
        </w:rPr>
        <w:t xml:space="preserve"> and that the role of all government agencies and their </w:t>
      </w:r>
      <w:r w:rsidR="00F806A0" w:rsidRPr="00785FB4">
        <w:rPr>
          <w:bCs/>
        </w:rPr>
        <w:t xml:space="preserve">division of responsibilities </w:t>
      </w:r>
      <w:r w:rsidR="00383860" w:rsidRPr="00785FB4">
        <w:rPr>
          <w:bCs/>
        </w:rPr>
        <w:t>is clearly explained</w:t>
      </w:r>
      <w:r w:rsidR="009A4961" w:rsidRPr="00785FB4">
        <w:rPr>
          <w:bCs/>
        </w:rPr>
        <w:t xml:space="preserve">. </w:t>
      </w:r>
      <w:r w:rsidR="008F648D" w:rsidRPr="00785FB4">
        <w:rPr>
          <w:bCs/>
        </w:rPr>
        <w:t xml:space="preserve">Afghanistan </w:t>
      </w:r>
      <w:r w:rsidR="009A4961" w:rsidRPr="00785FB4">
        <w:rPr>
          <w:bCs/>
        </w:rPr>
        <w:t xml:space="preserve">may wish to use annual EITI reporting to analyse the implementation of recent regulatory reforms as a regular diagnostic on which further reforms can be based. </w:t>
      </w:r>
    </w:p>
    <w:p w14:paraId="47E6042D" w14:textId="7AC9DC48" w:rsidR="00A441F1" w:rsidRPr="00785FB4" w:rsidRDefault="000722F1" w:rsidP="00A94167">
      <w:pPr>
        <w:pStyle w:val="Heading2notindexed"/>
      </w:pPr>
      <w:bookmarkStart w:id="202" w:name="_Toc505449596"/>
      <w:bookmarkStart w:id="203" w:name="_Toc505449788"/>
      <w:r w:rsidRPr="00785FB4">
        <w:t>L</w:t>
      </w:r>
      <w:r w:rsidR="00A441F1" w:rsidRPr="00785FB4">
        <w:t>icense allocations (#</w:t>
      </w:r>
      <w:r w:rsidR="00EE25D1" w:rsidRPr="00785FB4">
        <w:t>2</w:t>
      </w:r>
      <w:r w:rsidR="00A441F1" w:rsidRPr="00785FB4">
        <w:t>.</w:t>
      </w:r>
      <w:r w:rsidR="00EE25D1" w:rsidRPr="00785FB4">
        <w:t>2</w:t>
      </w:r>
      <w:r w:rsidR="00A441F1" w:rsidRPr="00785FB4">
        <w:t>)</w:t>
      </w:r>
      <w:bookmarkEnd w:id="197"/>
      <w:bookmarkEnd w:id="198"/>
      <w:bookmarkEnd w:id="199"/>
      <w:bookmarkEnd w:id="200"/>
      <w:bookmarkEnd w:id="202"/>
      <w:bookmarkEnd w:id="203"/>
    </w:p>
    <w:p w14:paraId="35B684A8" w14:textId="4ACC4D10" w:rsidR="00FC3BBE" w:rsidRPr="00785FB4" w:rsidRDefault="00F425D1" w:rsidP="00A94167">
      <w:pPr>
        <w:pStyle w:val="Heading3"/>
        <w:rPr>
          <w:i/>
          <w:u w:val="single"/>
        </w:rPr>
      </w:pPr>
      <w:bookmarkStart w:id="204" w:name="_Toc505449597"/>
      <w:bookmarkEnd w:id="201"/>
      <w:r w:rsidRPr="00785FB4">
        <w:t>Documentation of progress</w:t>
      </w:r>
      <w:bookmarkEnd w:id="204"/>
      <w:r w:rsidR="002103DA" w:rsidRPr="00785FB4">
        <w:t xml:space="preserve"> </w:t>
      </w:r>
    </w:p>
    <w:p w14:paraId="4E543B87" w14:textId="6FA27A25" w:rsidR="00262AE5" w:rsidRPr="00785FB4" w:rsidRDefault="00F425D1" w:rsidP="00FC366D">
      <w:pPr>
        <w:spacing w:before="120"/>
      </w:pPr>
      <w:r w:rsidRPr="00785FB4">
        <w:rPr>
          <w:i/>
          <w:u w:val="single"/>
        </w:rPr>
        <w:t>Awards/transfers</w:t>
      </w:r>
      <w:r w:rsidRPr="00785FB4">
        <w:t xml:space="preserve">: </w:t>
      </w:r>
      <w:r w:rsidR="00D70014" w:rsidRPr="00785FB4">
        <w:t xml:space="preserve">In </w:t>
      </w:r>
      <w:r w:rsidR="00D70014" w:rsidRPr="00785FB4">
        <w:rPr>
          <w:i/>
        </w:rPr>
        <w:t>mining</w:t>
      </w:r>
      <w:r w:rsidR="00D70014" w:rsidRPr="00785FB4">
        <w:t>, t</w:t>
      </w:r>
      <w:r w:rsidR="0089586D" w:rsidRPr="00785FB4">
        <w:t>he 2014-15 EITI Report provides a list of 30 mining licenses</w:t>
      </w:r>
      <w:r w:rsidR="00F20144" w:rsidRPr="00785FB4">
        <w:t xml:space="preserve"> awarded in 2014-15, including </w:t>
      </w:r>
      <w:r w:rsidR="00A9025F" w:rsidRPr="00785FB4">
        <w:t xml:space="preserve">licenses for </w:t>
      </w:r>
      <w:r w:rsidR="00F20144" w:rsidRPr="00785FB4">
        <w:t>exploration</w:t>
      </w:r>
      <w:r w:rsidR="00A9025F" w:rsidRPr="00785FB4">
        <w:t xml:space="preserve"> (20)</w:t>
      </w:r>
      <w:r w:rsidR="00F20144" w:rsidRPr="00785FB4">
        <w:t>, production</w:t>
      </w:r>
      <w:r w:rsidR="00A9025F" w:rsidRPr="00785FB4">
        <w:t xml:space="preserve"> (9)</w:t>
      </w:r>
      <w:r w:rsidR="00F20144" w:rsidRPr="00785FB4">
        <w:t xml:space="preserve"> and exploration and production </w:t>
      </w:r>
      <w:r w:rsidR="00A9025F" w:rsidRPr="00785FB4">
        <w:t>(1)</w:t>
      </w:r>
      <w:r w:rsidR="00A21728" w:rsidRPr="00785FB4">
        <w:t>,</w:t>
      </w:r>
      <w:r w:rsidR="007C3330" w:rsidRPr="00785FB4">
        <w:t xml:space="preserve"> in appendix 9.3</w:t>
      </w:r>
      <w:r w:rsidR="00F20144" w:rsidRPr="00785FB4">
        <w:t xml:space="preserve"> (a/pp.76-77)</w:t>
      </w:r>
      <w:r w:rsidR="000F6A63" w:rsidRPr="00785FB4">
        <w:t>, albeit without any additional information (</w:t>
      </w:r>
      <w:r w:rsidR="00A9025F" w:rsidRPr="00785FB4">
        <w:t>e.g.</w:t>
      </w:r>
      <w:r w:rsidR="000F6A63" w:rsidRPr="00785FB4">
        <w:t xml:space="preserve"> license name</w:t>
      </w:r>
      <w:r w:rsidR="00A9025F" w:rsidRPr="00785FB4">
        <w:t xml:space="preserve"> and location</w:t>
      </w:r>
      <w:r w:rsidR="000F6A63" w:rsidRPr="00785FB4">
        <w:t xml:space="preserve">) aside from </w:t>
      </w:r>
      <w:r w:rsidR="00F20144" w:rsidRPr="00785FB4">
        <w:t xml:space="preserve">the </w:t>
      </w:r>
      <w:r w:rsidR="000F6A63" w:rsidRPr="00785FB4">
        <w:t xml:space="preserve">license-holder </w:t>
      </w:r>
      <w:r w:rsidR="00F20144" w:rsidRPr="00785FB4">
        <w:t xml:space="preserve">names. </w:t>
      </w:r>
      <w:r w:rsidR="00A9025F" w:rsidRPr="00785FB4">
        <w:t xml:space="preserve">The report also provides two different lists of active licenses from </w:t>
      </w:r>
      <w:r w:rsidR="00DB56BA" w:rsidRPr="00785FB4">
        <w:t>MOMP</w:t>
      </w:r>
      <w:r w:rsidR="00A9025F" w:rsidRPr="00785FB4">
        <w:t xml:space="preserve"> (in English and Dari respectively)</w:t>
      </w:r>
      <w:r w:rsidR="009102C3" w:rsidRPr="00785FB4">
        <w:t xml:space="preserve"> and highlights gaps in license information provided by the </w:t>
      </w:r>
      <w:r w:rsidR="00DB56BA" w:rsidRPr="00785FB4">
        <w:t>MOMP</w:t>
      </w:r>
      <w:r w:rsidR="009102C3" w:rsidRPr="00785FB4">
        <w:t xml:space="preserve"> cadastre (p.31)</w:t>
      </w:r>
      <w:r w:rsidR="00A9025F" w:rsidRPr="00785FB4">
        <w:t xml:space="preserve">. </w:t>
      </w:r>
      <w:r w:rsidR="0089295B" w:rsidRPr="00785FB4">
        <w:t xml:space="preserve">While the </w:t>
      </w:r>
      <w:r w:rsidR="001A24DC" w:rsidRPr="00785FB4">
        <w:t xml:space="preserve">English </w:t>
      </w:r>
      <w:r w:rsidR="00DB56BA" w:rsidRPr="00785FB4">
        <w:t>MOMP</w:t>
      </w:r>
      <w:r w:rsidR="001A24DC" w:rsidRPr="00785FB4">
        <w:t xml:space="preserve"> database of mining licenses in Appendices 9.3-9.4 do not list any licenses awarded after </w:t>
      </w:r>
      <w:r w:rsidR="00A9025F" w:rsidRPr="00785FB4">
        <w:t>2013</w:t>
      </w:r>
      <w:r w:rsidR="001A24DC" w:rsidRPr="00785FB4">
        <w:t xml:space="preserve"> (a/pp.78-86), the Dari </w:t>
      </w:r>
      <w:r w:rsidR="00DB56BA" w:rsidRPr="00785FB4">
        <w:t>MOMP</w:t>
      </w:r>
      <w:r w:rsidR="001A24DC" w:rsidRPr="00785FB4">
        <w:t xml:space="preserve"> database of mining licenses in Appendix 9.5 lists </w:t>
      </w:r>
      <w:r w:rsidR="009D7A32" w:rsidRPr="00785FB4">
        <w:t>76 mining licenses with “enforcement dates”</w:t>
      </w:r>
      <w:r w:rsidR="004D4E93" w:rsidRPr="00785FB4">
        <w:t xml:space="preserve"> of </w:t>
      </w:r>
      <w:r w:rsidR="00A9025F" w:rsidRPr="00785FB4">
        <w:t>2013 and 2014</w:t>
      </w:r>
      <w:r w:rsidR="004D4E93" w:rsidRPr="00785FB4">
        <w:t xml:space="preserve"> (a/pp.87-98). </w:t>
      </w:r>
      <w:r w:rsidR="00A332AC" w:rsidRPr="00785FB4">
        <w:t xml:space="preserve">The “enforcement date” is listed as “not mentioned” for three licenses in the English and Dari databases respectively. </w:t>
      </w:r>
      <w:r w:rsidR="00D70014" w:rsidRPr="00785FB4">
        <w:t xml:space="preserve">In </w:t>
      </w:r>
      <w:r w:rsidR="00D70014" w:rsidRPr="00785FB4">
        <w:rPr>
          <w:i/>
        </w:rPr>
        <w:t>oil and gas</w:t>
      </w:r>
      <w:r w:rsidR="00D70014" w:rsidRPr="00785FB4">
        <w:t>, t</w:t>
      </w:r>
      <w:r w:rsidR="00262AE5" w:rsidRPr="00785FB4">
        <w:t xml:space="preserve">he report does not clearly state whether any </w:t>
      </w:r>
      <w:r w:rsidR="00AB7DD8" w:rsidRPr="00785FB4">
        <w:t>oil and gas</w:t>
      </w:r>
      <w:r w:rsidR="00262AE5" w:rsidRPr="00785FB4">
        <w:t xml:space="preserve"> </w:t>
      </w:r>
      <w:r w:rsidR="004D0C20" w:rsidRPr="00785FB4">
        <w:t>contracts</w:t>
      </w:r>
      <w:r w:rsidR="00570822" w:rsidRPr="00785FB4">
        <w:t xml:space="preserve"> were awarded in 2014-15, </w:t>
      </w:r>
      <w:r w:rsidR="00570822" w:rsidRPr="00785FB4">
        <w:lastRenderedPageBreak/>
        <w:t>although</w:t>
      </w:r>
      <w:r w:rsidR="00262AE5" w:rsidRPr="00785FB4">
        <w:t xml:space="preserve"> </w:t>
      </w:r>
      <w:r w:rsidR="00570822" w:rsidRPr="00785FB4">
        <w:t>t</w:t>
      </w:r>
      <w:r w:rsidR="007B7895" w:rsidRPr="00785FB4">
        <w:t xml:space="preserve">he list of hydrocarbons contracts </w:t>
      </w:r>
      <w:r w:rsidR="00EE4E3C" w:rsidRPr="00785FB4">
        <w:t xml:space="preserve">in the report (p.32) and </w:t>
      </w:r>
      <w:r w:rsidR="007B7895" w:rsidRPr="00785FB4">
        <w:t xml:space="preserve">on the </w:t>
      </w:r>
      <w:r w:rsidR="00DB56BA" w:rsidRPr="00785FB4">
        <w:t>MOMP</w:t>
      </w:r>
      <w:r w:rsidR="007B7895" w:rsidRPr="00785FB4">
        <w:t xml:space="preserve"> website indicates that all three hydrocarbons contracts were concluded in 2011-13.</w:t>
      </w:r>
      <w:r w:rsidR="007B7895" w:rsidRPr="00785FB4">
        <w:rPr>
          <w:rStyle w:val="FootnoteReference"/>
        </w:rPr>
        <w:footnoteReference w:id="120"/>
      </w:r>
      <w:r w:rsidR="007B7895" w:rsidRPr="00785FB4">
        <w:t xml:space="preserve"> </w:t>
      </w:r>
      <w:r w:rsidR="00B8478D" w:rsidRPr="00785FB4">
        <w:t xml:space="preserve">It is unclear from the report whether any mining, oil and gas licenses were transferred in 2014-15. </w:t>
      </w:r>
    </w:p>
    <w:p w14:paraId="33AC7AA0" w14:textId="70D4B2ED" w:rsidR="0068353F" w:rsidRPr="00785FB4" w:rsidRDefault="00F425D1" w:rsidP="00FC366D">
      <w:pPr>
        <w:spacing w:before="120"/>
      </w:pPr>
      <w:r w:rsidRPr="00785FB4">
        <w:rPr>
          <w:i/>
          <w:u w:val="single"/>
        </w:rPr>
        <w:t>Award/transfer process</w:t>
      </w:r>
      <w:r w:rsidRPr="00785FB4">
        <w:t xml:space="preserve">: </w:t>
      </w:r>
      <w:r w:rsidR="00D70014" w:rsidRPr="00785FB4">
        <w:t xml:space="preserve">In </w:t>
      </w:r>
      <w:r w:rsidR="00D70014" w:rsidRPr="00785FB4">
        <w:rPr>
          <w:i/>
        </w:rPr>
        <w:t>mining</w:t>
      </w:r>
      <w:r w:rsidR="00D70014" w:rsidRPr="00785FB4">
        <w:t xml:space="preserve">, </w:t>
      </w:r>
      <w:r w:rsidR="00DF2A69" w:rsidRPr="00785FB4">
        <w:t>there are five types of licenses in Afghanistan, two of which are awarded through first-come-first-served application</w:t>
      </w:r>
      <w:r w:rsidR="00DF2A69" w:rsidRPr="00785FB4">
        <w:rPr>
          <w:vertAlign w:val="superscript"/>
        </w:rPr>
        <w:footnoteReference w:id="121"/>
      </w:r>
      <w:r w:rsidR="00DF2A69" w:rsidRPr="00785FB4">
        <w:t xml:space="preserve"> and three through competitive tender</w:t>
      </w:r>
      <w:r w:rsidR="00DF2A69" w:rsidRPr="00785FB4">
        <w:rPr>
          <w:vertAlign w:val="superscript"/>
        </w:rPr>
        <w:footnoteReference w:id="122"/>
      </w:r>
      <w:r w:rsidR="00DF2A69" w:rsidRPr="00785FB4">
        <w:t xml:space="preserve"> according to the 2014 Minerals Law (Article 19). However, the </w:t>
      </w:r>
      <w:r w:rsidR="00DB56BA" w:rsidRPr="00785FB4">
        <w:t>MOMP</w:t>
      </w:r>
      <w:r w:rsidR="00DF2A69" w:rsidRPr="00785FB4">
        <w:t xml:space="preserve"> may also award Exploration and Exploitation licenses in a single bidding process upon approval from the Council of Ministers (known as a Minerals Development Contract, which allows the holder to acquire up to five Exploitation Licences in the area of an Exploration Licence).</w:t>
      </w:r>
      <w:r w:rsidR="00DF2A69" w:rsidRPr="00785FB4">
        <w:rPr>
          <w:vertAlign w:val="superscript"/>
        </w:rPr>
        <w:footnoteReference w:id="123"/>
      </w:r>
      <w:r w:rsidR="00DF2A69" w:rsidRPr="00785FB4">
        <w:t xml:space="preserve">  T</w:t>
      </w:r>
      <w:r w:rsidR="002675B7" w:rsidRPr="00785FB4">
        <w:t xml:space="preserve">he </w:t>
      </w:r>
      <w:r w:rsidR="00DF2A69" w:rsidRPr="00785FB4">
        <w:t>2014-15 EITI R</w:t>
      </w:r>
      <w:r w:rsidR="002675B7" w:rsidRPr="00785FB4">
        <w:t xml:space="preserve">eport describes the </w:t>
      </w:r>
      <w:r w:rsidR="00DB56BA" w:rsidRPr="00785FB4">
        <w:t>MOMP</w:t>
      </w:r>
      <w:r w:rsidR="002675B7" w:rsidRPr="00785FB4">
        <w:t xml:space="preserve">’s general process for awarding mining licenses, which is through direct application for reconnaissance </w:t>
      </w:r>
      <w:r w:rsidR="00DF2A69" w:rsidRPr="00785FB4">
        <w:t xml:space="preserve">and small-scale mining </w:t>
      </w:r>
      <w:r w:rsidR="002675B7" w:rsidRPr="00785FB4">
        <w:t>licenses and through competitive tender for exploration</w:t>
      </w:r>
      <w:r w:rsidR="00DF2A69" w:rsidRPr="00785FB4">
        <w:t xml:space="preserve"> and</w:t>
      </w:r>
      <w:r w:rsidR="002675B7" w:rsidRPr="00785FB4">
        <w:t xml:space="preserve"> production (pp.24-25). </w:t>
      </w:r>
      <w:r w:rsidR="0068353F" w:rsidRPr="00785FB4">
        <w:t xml:space="preserve">The process for the </w:t>
      </w:r>
      <w:r w:rsidR="00DB56BA" w:rsidRPr="00785FB4">
        <w:t>MOMP</w:t>
      </w:r>
      <w:r w:rsidR="0068353F" w:rsidRPr="00785FB4">
        <w:t xml:space="preserve"> concluding Minerals Development Contracts (subject to Cabinet approval) is also described in general terms (p.26). </w:t>
      </w:r>
      <w:r w:rsidR="00013CF8" w:rsidRPr="00785FB4">
        <w:t xml:space="preserve">However, the report also highlights confusion and inconsistencies in mining cadastral management given the fact that mining licenses are </w:t>
      </w:r>
      <w:r w:rsidR="00DF2A69" w:rsidRPr="00785FB4">
        <w:t xml:space="preserve">statutorily </w:t>
      </w:r>
      <w:r w:rsidR="00013CF8" w:rsidRPr="00785FB4">
        <w:t xml:space="preserve">issued at </w:t>
      </w:r>
      <w:r w:rsidR="00DF2A69" w:rsidRPr="00785FB4">
        <w:t xml:space="preserve">both the central </w:t>
      </w:r>
      <w:r w:rsidR="00DB56BA" w:rsidRPr="00785FB4">
        <w:t>MOMP</w:t>
      </w:r>
      <w:r w:rsidR="00DF2A69" w:rsidRPr="00785FB4">
        <w:t xml:space="preserve"> office in Kabul or through provincial offices of </w:t>
      </w:r>
      <w:r w:rsidR="00DB56BA" w:rsidRPr="00785FB4">
        <w:t>MOMP</w:t>
      </w:r>
      <w:r w:rsidR="00013CF8" w:rsidRPr="00785FB4">
        <w:t xml:space="preserve"> (pp.16-17).</w:t>
      </w:r>
      <w:r w:rsidR="00274B27" w:rsidRPr="00785FB4">
        <w:t xml:space="preserve"> </w:t>
      </w:r>
      <w:r w:rsidR="00D70014" w:rsidRPr="00785FB4">
        <w:t xml:space="preserve">In </w:t>
      </w:r>
      <w:r w:rsidR="00D70014" w:rsidRPr="00785FB4">
        <w:rPr>
          <w:i/>
        </w:rPr>
        <w:t>oil and gas</w:t>
      </w:r>
      <w:r w:rsidR="00D70014" w:rsidRPr="00785FB4">
        <w:t xml:space="preserve">, the report </w:t>
      </w:r>
      <w:r w:rsidR="00274B27" w:rsidRPr="00785FB4">
        <w:t>describes</w:t>
      </w:r>
      <w:r w:rsidR="004D0C20" w:rsidRPr="00785FB4">
        <w:t xml:space="preserve"> two types of hydrocarbons contracts</w:t>
      </w:r>
      <w:r w:rsidR="004D0C20" w:rsidRPr="00785FB4">
        <w:rPr>
          <w:rStyle w:val="FootnoteReference"/>
        </w:rPr>
        <w:footnoteReference w:id="124"/>
      </w:r>
      <w:r w:rsidR="004D0C20" w:rsidRPr="00785FB4">
        <w:t xml:space="preserve"> and </w:t>
      </w:r>
      <w:r w:rsidR="00274B27" w:rsidRPr="00785FB4">
        <w:t>explains</w:t>
      </w:r>
      <w:r w:rsidR="00D70014" w:rsidRPr="00785FB4">
        <w:t xml:space="preserve"> the general process for </w:t>
      </w:r>
      <w:r w:rsidR="00DB56BA" w:rsidRPr="00785FB4">
        <w:t>MOMP</w:t>
      </w:r>
      <w:r w:rsidR="00D70014" w:rsidRPr="00785FB4">
        <w:t xml:space="preserve">’s awarding of hydrocarbons </w:t>
      </w:r>
      <w:r w:rsidR="004D0C20" w:rsidRPr="00785FB4">
        <w:t>contracts</w:t>
      </w:r>
      <w:r w:rsidR="00D70014" w:rsidRPr="00785FB4">
        <w:t xml:space="preserve"> throu</w:t>
      </w:r>
      <w:r w:rsidR="00274B27" w:rsidRPr="00785FB4">
        <w:t>gh competitive tender</w:t>
      </w:r>
      <w:r w:rsidR="00274B27" w:rsidRPr="00785FB4">
        <w:rPr>
          <w:rStyle w:val="FootnoteReference"/>
        </w:rPr>
        <w:footnoteReference w:id="125"/>
      </w:r>
      <w:r w:rsidR="004D0C20" w:rsidRPr="00785FB4">
        <w:t xml:space="preserve"> </w:t>
      </w:r>
      <w:r w:rsidR="00D70014" w:rsidRPr="00785FB4">
        <w:t>(p.28)</w:t>
      </w:r>
      <w:r w:rsidR="00DF2A69" w:rsidRPr="00785FB4">
        <w:t>, even if no oil and gas licenses were awarded in the period under review</w:t>
      </w:r>
      <w:r w:rsidR="00D70014" w:rsidRPr="00785FB4">
        <w:t xml:space="preserve">. </w:t>
      </w:r>
      <w:r w:rsidR="00B8478D" w:rsidRPr="00785FB4">
        <w:t>However, the report does not describe the process for transferring licenses in the mining, oil and gas sectors</w:t>
      </w:r>
      <w:r w:rsidR="00D872CE" w:rsidRPr="00785FB4">
        <w:t xml:space="preserve"> aside from noting that mining license transfers are contingent on the written approval of the </w:t>
      </w:r>
      <w:r w:rsidR="00DB56BA" w:rsidRPr="00785FB4">
        <w:t>MOMP</w:t>
      </w:r>
      <w:r w:rsidR="00D872CE" w:rsidRPr="00785FB4">
        <w:t xml:space="preserve"> and the Cabinet, with the new license-holder required to have the same capabilities as the original license-holder (p.26)</w:t>
      </w:r>
      <w:r w:rsidR="00B8478D" w:rsidRPr="00785FB4">
        <w:t xml:space="preserve">. </w:t>
      </w:r>
    </w:p>
    <w:p w14:paraId="392931C5" w14:textId="1392D155" w:rsidR="0068353F" w:rsidRPr="00785FB4" w:rsidRDefault="00F425D1" w:rsidP="00F425D1">
      <w:pPr>
        <w:spacing w:before="120"/>
      </w:pPr>
      <w:r w:rsidRPr="00785FB4">
        <w:rPr>
          <w:i/>
          <w:u w:val="single"/>
        </w:rPr>
        <w:t>Technical and financial criteria</w:t>
      </w:r>
      <w:r w:rsidRPr="00785FB4">
        <w:t xml:space="preserve">: </w:t>
      </w:r>
      <w:r w:rsidR="00D70014" w:rsidRPr="00785FB4">
        <w:t xml:space="preserve">In </w:t>
      </w:r>
      <w:r w:rsidR="00D70014" w:rsidRPr="00785FB4">
        <w:rPr>
          <w:i/>
        </w:rPr>
        <w:t>mining</w:t>
      </w:r>
      <w:r w:rsidR="00D70014" w:rsidRPr="00785FB4">
        <w:t xml:space="preserve">, </w:t>
      </w:r>
      <w:r w:rsidR="00594691" w:rsidRPr="00785FB4">
        <w:t>the report does not describe technical and financial criteria, either for reconnaissance licenses awarded through direct application</w:t>
      </w:r>
      <w:r w:rsidR="00E537B8" w:rsidRPr="00785FB4">
        <w:t xml:space="preserve"> or</w:t>
      </w:r>
      <w:r w:rsidR="00BB1885" w:rsidRPr="00785FB4">
        <w:t xml:space="preserve"> for</w:t>
      </w:r>
      <w:r w:rsidR="00594691" w:rsidRPr="00785FB4">
        <w:t xml:space="preserve"> the three license types awarded through competitive tender, aside from noting that the bid criteria are set out in unspecified “regulations”</w:t>
      </w:r>
      <w:r w:rsidR="007A44C5" w:rsidRPr="00785FB4">
        <w:t xml:space="preserve"> (p.25)</w:t>
      </w:r>
      <w:r w:rsidR="00594691" w:rsidRPr="00785FB4">
        <w:t xml:space="preserve">. </w:t>
      </w:r>
      <w:r w:rsidR="004A3516" w:rsidRPr="00785FB4">
        <w:t>While Article 16 of the 2014 Minerals Law refers to general technical and financial capacities for companies seeking a license or contract, it does not define the specific criteria assessed during the application process</w:t>
      </w:r>
      <w:r w:rsidR="00E537B8" w:rsidRPr="00785FB4">
        <w:t xml:space="preserve"> or explain where these may be found</w:t>
      </w:r>
      <w:r w:rsidR="004A3516" w:rsidRPr="00785FB4">
        <w:t>.</w:t>
      </w:r>
      <w:r w:rsidR="004A3516" w:rsidRPr="00785FB4">
        <w:rPr>
          <w:rStyle w:val="FootnoteReference"/>
        </w:rPr>
        <w:footnoteReference w:id="126"/>
      </w:r>
      <w:r w:rsidR="004A3516" w:rsidRPr="00785FB4">
        <w:t xml:space="preserve"> </w:t>
      </w:r>
      <w:r w:rsidR="00BB1885" w:rsidRPr="00785FB4">
        <w:t xml:space="preserve">In </w:t>
      </w:r>
      <w:r w:rsidR="00BB1885" w:rsidRPr="00785FB4">
        <w:rPr>
          <w:i/>
        </w:rPr>
        <w:t>oil and gas</w:t>
      </w:r>
      <w:r w:rsidR="00BB1885" w:rsidRPr="00785FB4">
        <w:t xml:space="preserve">, </w:t>
      </w:r>
      <w:r w:rsidR="00DF2A69" w:rsidRPr="00785FB4">
        <w:t xml:space="preserve">despite the lack of oil and gas license awards in 2014-15, </w:t>
      </w:r>
      <w:r w:rsidR="00BB1885" w:rsidRPr="00785FB4">
        <w:t xml:space="preserve">the report </w:t>
      </w:r>
      <w:r w:rsidR="004B02A8" w:rsidRPr="00785FB4">
        <w:t xml:space="preserve">only refers to bidding terms </w:t>
      </w:r>
      <w:r w:rsidR="004A3516" w:rsidRPr="00785FB4">
        <w:t xml:space="preserve">set </w:t>
      </w:r>
      <w:r w:rsidR="004B02A8" w:rsidRPr="00785FB4">
        <w:t xml:space="preserve">by </w:t>
      </w:r>
      <w:r w:rsidR="00DB56BA" w:rsidRPr="00785FB4">
        <w:t>MOMP</w:t>
      </w:r>
      <w:r w:rsidR="00850F6D" w:rsidRPr="00785FB4">
        <w:t xml:space="preserve"> and highlights that </w:t>
      </w:r>
      <w:r w:rsidR="00373B54" w:rsidRPr="00785FB4">
        <w:t xml:space="preserve">tenders for which two </w:t>
      </w:r>
      <w:r w:rsidR="00850F6D" w:rsidRPr="00785FB4">
        <w:t xml:space="preserve">bids </w:t>
      </w:r>
      <w:r w:rsidR="00373B54" w:rsidRPr="00785FB4">
        <w:t>are tied</w:t>
      </w:r>
      <w:r w:rsidR="00DB56BA" w:rsidRPr="00785FB4">
        <w:t xml:space="preserve"> (i.e. assessed as presenting the same qualifications)</w:t>
      </w:r>
      <w:r w:rsidR="00373B54" w:rsidRPr="00785FB4">
        <w:t xml:space="preserve"> </w:t>
      </w:r>
      <w:r w:rsidR="00850F6D" w:rsidRPr="00785FB4">
        <w:t>are awarded to the bidde</w:t>
      </w:r>
      <w:r w:rsidR="004A3516" w:rsidRPr="00785FB4">
        <w:t xml:space="preserve">r with an Afghan partner (p.28). However, </w:t>
      </w:r>
      <w:r w:rsidR="00850F6D" w:rsidRPr="00785FB4">
        <w:t xml:space="preserve">it does not provide an overview of past bid criteria nor reference to where past bidding terms are publicly-accessible. </w:t>
      </w:r>
    </w:p>
    <w:p w14:paraId="384D44AE" w14:textId="131DF4DB" w:rsidR="00A209E6" w:rsidRPr="00785FB4" w:rsidRDefault="00F425D1" w:rsidP="00181BF6">
      <w:pPr>
        <w:spacing w:before="120"/>
      </w:pPr>
      <w:r w:rsidRPr="00785FB4">
        <w:rPr>
          <w:i/>
          <w:u w:val="single"/>
        </w:rPr>
        <w:t>License awardee information</w:t>
      </w:r>
      <w:r w:rsidRPr="00785FB4">
        <w:t xml:space="preserve">: </w:t>
      </w:r>
      <w:r w:rsidR="00A209E6" w:rsidRPr="00785FB4">
        <w:t xml:space="preserve">In mining, the 2014-15 EITI Report provides a list of 30 companies </w:t>
      </w:r>
      <w:r w:rsidR="00E537B8" w:rsidRPr="00785FB4">
        <w:t xml:space="preserve">that received </w:t>
      </w:r>
      <w:r w:rsidR="00A209E6" w:rsidRPr="00785FB4">
        <w:t xml:space="preserve">mining licenses in 2014-15 in appendix 9.3 (a/pp.76-77), although the lack of license names or numbers makes it impossible to identify the specific licenses held by each of these 30 companies. </w:t>
      </w:r>
    </w:p>
    <w:p w14:paraId="6F50A5A5" w14:textId="250F5051" w:rsidR="00BB1885" w:rsidRPr="00785FB4" w:rsidRDefault="00F425D1" w:rsidP="00F425D1">
      <w:pPr>
        <w:spacing w:before="120"/>
        <w:rPr>
          <w:bCs/>
        </w:rPr>
      </w:pPr>
      <w:r w:rsidRPr="00785FB4">
        <w:rPr>
          <w:i/>
          <w:u w:val="single"/>
        </w:rPr>
        <w:lastRenderedPageBreak/>
        <w:t>Non-trivial deviations</w:t>
      </w:r>
      <w:r w:rsidRPr="00785FB4">
        <w:t xml:space="preserve">: </w:t>
      </w:r>
      <w:r w:rsidR="00A209E6" w:rsidRPr="00785FB4">
        <w:t xml:space="preserve">The report does not refer to any non-trivial deviations from statutory procedures in the allocation of the 30 mining licenses granted in 2014-15. </w:t>
      </w:r>
    </w:p>
    <w:p w14:paraId="7F079E02" w14:textId="3DDD2DCA" w:rsidR="00F425D1" w:rsidRPr="00785FB4" w:rsidRDefault="00F425D1" w:rsidP="00F425D1">
      <w:pPr>
        <w:spacing w:before="120"/>
        <w:rPr>
          <w:bCs/>
        </w:rPr>
      </w:pPr>
      <w:r w:rsidRPr="00785FB4">
        <w:rPr>
          <w:i/>
          <w:u w:val="single"/>
        </w:rPr>
        <w:t>Comprehensiveness</w:t>
      </w:r>
      <w:r w:rsidRPr="00785FB4">
        <w:t xml:space="preserve">: </w:t>
      </w:r>
      <w:r w:rsidR="00116035" w:rsidRPr="00785FB4">
        <w:t xml:space="preserve">The report does not provide information on the process for awarding mining licenses </w:t>
      </w:r>
      <w:r w:rsidR="00E537B8" w:rsidRPr="00785FB4">
        <w:t xml:space="preserve">to companies covered by the EITI Report </w:t>
      </w:r>
      <w:r w:rsidR="00116035" w:rsidRPr="00785FB4">
        <w:t xml:space="preserve">awarded prior to 2014-15. However, it provides general reference to the award of </w:t>
      </w:r>
      <w:r w:rsidR="004A3516" w:rsidRPr="00785FB4">
        <w:t>oil and gas</w:t>
      </w:r>
      <w:r w:rsidR="00116035" w:rsidRPr="00785FB4">
        <w:t xml:space="preserve"> contracts for the Amu Darya block in 2011 and for the Sanduqli and Mazar-i-Sharif blocks in 2013 and refers to a </w:t>
      </w:r>
      <w:r w:rsidR="003F2148" w:rsidRPr="00785FB4">
        <w:t xml:space="preserve">report describing </w:t>
      </w:r>
      <w:r w:rsidR="00116035" w:rsidRPr="00785FB4">
        <w:t xml:space="preserve">the process for tendering the Amu Darya block in 2011 available on the </w:t>
      </w:r>
      <w:r w:rsidR="00DB56BA" w:rsidRPr="00785FB4">
        <w:t>MOMP</w:t>
      </w:r>
      <w:r w:rsidR="00116035" w:rsidRPr="00785FB4">
        <w:t xml:space="preserve"> website (p.30)</w:t>
      </w:r>
      <w:r w:rsidR="003F2148" w:rsidRPr="00785FB4">
        <w:t>, although no specific link is provided</w:t>
      </w:r>
      <w:r w:rsidR="00116035" w:rsidRPr="00785FB4">
        <w:t>. The report also refers to an open tender for the Sheberghan Gas Fields Rehabilitation Project</w:t>
      </w:r>
      <w:r w:rsidR="00DD75CB" w:rsidRPr="00785FB4">
        <w:t xml:space="preserve"> on the “tender” page of the </w:t>
      </w:r>
      <w:r w:rsidR="00DB56BA" w:rsidRPr="00785FB4">
        <w:t>MOMP</w:t>
      </w:r>
      <w:r w:rsidR="00DD75CB" w:rsidRPr="00785FB4">
        <w:t xml:space="preserve"> website, accessed on 21 March 2017 (p.30). </w:t>
      </w:r>
    </w:p>
    <w:p w14:paraId="26DBB2D0" w14:textId="34D363CE" w:rsidR="00514B75" w:rsidRPr="00785FB4" w:rsidRDefault="00F425D1" w:rsidP="00F425D1">
      <w:pPr>
        <w:spacing w:before="120"/>
      </w:pPr>
      <w:r w:rsidRPr="00785FB4">
        <w:rPr>
          <w:i/>
          <w:u w:val="single"/>
        </w:rPr>
        <w:t>Bidding process</w:t>
      </w:r>
      <w:r w:rsidRPr="00785FB4">
        <w:t xml:space="preserve">: </w:t>
      </w:r>
      <w:r w:rsidR="00B8478D" w:rsidRPr="00785FB4">
        <w:t>The report</w:t>
      </w:r>
      <w:r w:rsidR="00807362" w:rsidRPr="00785FB4">
        <w:t xml:space="preserve"> describes the statutory process for competitive tendering</w:t>
      </w:r>
      <w:r w:rsidR="00B8478D" w:rsidRPr="00785FB4">
        <w:t xml:space="preserve"> </w:t>
      </w:r>
      <w:r w:rsidR="00807362" w:rsidRPr="00785FB4">
        <w:t xml:space="preserve">of </w:t>
      </w:r>
      <w:r w:rsidR="00B8478D" w:rsidRPr="00785FB4">
        <w:t>exploration, production and small-scale mining licenses (pp.</w:t>
      </w:r>
      <w:r w:rsidR="00807362" w:rsidRPr="00785FB4">
        <w:t>24-</w:t>
      </w:r>
      <w:r w:rsidR="00B8478D" w:rsidRPr="00785FB4">
        <w:t>25,30)</w:t>
      </w:r>
      <w:r w:rsidR="004D0C20" w:rsidRPr="00785FB4">
        <w:t xml:space="preserve">, as </w:t>
      </w:r>
      <w:r w:rsidR="00807362" w:rsidRPr="00785FB4">
        <w:t xml:space="preserve">well as for </w:t>
      </w:r>
      <w:r w:rsidR="004D0C20" w:rsidRPr="00785FB4">
        <w:t>hydrocarbons contracts (p.28)</w:t>
      </w:r>
      <w:r w:rsidR="00807362" w:rsidRPr="00785FB4">
        <w:t xml:space="preserve"> (</w:t>
      </w:r>
      <w:r w:rsidR="00807362" w:rsidRPr="00785FB4">
        <w:rPr>
          <w:i/>
        </w:rPr>
        <w:t>see above</w:t>
      </w:r>
      <w:r w:rsidR="00807362" w:rsidRPr="00785FB4">
        <w:t>)</w:t>
      </w:r>
      <w:r w:rsidR="004D0C20" w:rsidRPr="00785FB4">
        <w:t xml:space="preserve">. </w:t>
      </w:r>
      <w:r w:rsidR="00807362" w:rsidRPr="00785FB4">
        <w:t xml:space="preserve">While </w:t>
      </w:r>
      <w:r w:rsidR="009142FC" w:rsidRPr="00785FB4">
        <w:t xml:space="preserve">the report indicates that 30 mining licenses were awarded through competitive bidding in 2014-15 (a/pp.76-77), it does not describe the bid criteria for the 30 mining licenses granted in 2014-15 and does not provide a list of unsuccessful bidders. </w:t>
      </w:r>
      <w:r w:rsidR="00394057" w:rsidRPr="00785FB4">
        <w:t>For oil and gas, while the report describes the general process for awarding hydrocarbons contracts through competitive bidding (p.28), albeit without guidance on public access to bid criteria or unsuccessful bidders, it appears that no hydrocarbons contract was awarded in 2014-15</w:t>
      </w:r>
      <w:r w:rsidR="00BD5502" w:rsidRPr="00785FB4">
        <w:t xml:space="preserve">, based on the </w:t>
      </w:r>
      <w:r w:rsidR="00DB56BA" w:rsidRPr="00785FB4">
        <w:t>MOMP</w:t>
      </w:r>
      <w:r w:rsidR="00BD5502" w:rsidRPr="00785FB4">
        <w:t xml:space="preserve"> website’s list of hydrocarbons contracts.</w:t>
      </w:r>
      <w:r w:rsidR="00BD5502" w:rsidRPr="00785FB4">
        <w:rPr>
          <w:rStyle w:val="FootnoteReference"/>
        </w:rPr>
        <w:footnoteReference w:id="127"/>
      </w:r>
      <w:r w:rsidR="00394057" w:rsidRPr="00785FB4">
        <w:t xml:space="preserve"> </w:t>
      </w:r>
    </w:p>
    <w:p w14:paraId="24BD9F5A" w14:textId="4E91AEBA" w:rsidR="00F425D1" w:rsidRPr="00785FB4" w:rsidRDefault="00F425D1" w:rsidP="00F425D1">
      <w:pPr>
        <w:spacing w:before="120"/>
        <w:rPr>
          <w:bCs/>
        </w:rPr>
      </w:pPr>
      <w:r w:rsidRPr="00785FB4">
        <w:rPr>
          <w:i/>
          <w:u w:val="single"/>
        </w:rPr>
        <w:t>Commentary on efficiency</w:t>
      </w:r>
      <w:r w:rsidRPr="00785FB4">
        <w:t xml:space="preserve">: </w:t>
      </w:r>
      <w:r w:rsidR="00BD5502" w:rsidRPr="00785FB4">
        <w:t xml:space="preserve">While the report provides brief descriptions of the general process for awarding licenses in the </w:t>
      </w:r>
      <w:r w:rsidR="005A2073" w:rsidRPr="00785FB4">
        <w:t xml:space="preserve">mining and hydrocarbons sectors, it does not include any comments on the efficiency of the </w:t>
      </w:r>
      <w:r w:rsidR="00B367FE" w:rsidRPr="00785FB4">
        <w:t xml:space="preserve">oil and gas </w:t>
      </w:r>
      <w:r w:rsidR="005A2073" w:rsidRPr="00785FB4">
        <w:t xml:space="preserve">license allocation process. </w:t>
      </w:r>
      <w:r w:rsidR="00B367FE" w:rsidRPr="00785FB4">
        <w:t xml:space="preserve">In mining however, the report highlights significant inefficiencies in the license management system, noting </w:t>
      </w:r>
      <w:r w:rsidR="00DB56BA" w:rsidRPr="00785FB4">
        <w:t>MOMP</w:t>
      </w:r>
      <w:r w:rsidR="00B367FE" w:rsidRPr="00785FB4">
        <w:t xml:space="preserve">’s manual record-keeping, overlapping jurisdictions for license allocations between national and subnational </w:t>
      </w:r>
      <w:r w:rsidR="006944F0" w:rsidRPr="00785FB4">
        <w:t>agencies</w:t>
      </w:r>
      <w:r w:rsidR="00B367FE" w:rsidRPr="00785FB4">
        <w:t xml:space="preserve">, inconsistencies between different </w:t>
      </w:r>
      <w:r w:rsidR="00DB56BA" w:rsidRPr="00785FB4">
        <w:t>MOMP</w:t>
      </w:r>
      <w:r w:rsidR="006944F0" w:rsidRPr="00785FB4">
        <w:t xml:space="preserve"> records</w:t>
      </w:r>
      <w:r w:rsidR="00B367FE" w:rsidRPr="00785FB4">
        <w:t xml:space="preserve"> on the same licenses, the lack of robust systems at the level of provincial government offices and the lack of cadastral information on mining companies for whom other government departments reported activity (pp.16-17). </w:t>
      </w:r>
    </w:p>
    <w:p w14:paraId="5CEC8AAC" w14:textId="7F2B4EDC" w:rsidR="00247985" w:rsidRPr="00785FB4" w:rsidRDefault="00F425D1" w:rsidP="00A94167">
      <w:pPr>
        <w:pStyle w:val="Heading3"/>
      </w:pPr>
      <w:bookmarkStart w:id="205" w:name="_Toc505449598"/>
      <w:r w:rsidRPr="00785FB4">
        <w:t>Stakeholder views</w:t>
      </w:r>
      <w:bookmarkEnd w:id="205"/>
    </w:p>
    <w:p w14:paraId="270ED7BB" w14:textId="11863384" w:rsidR="00B000C6" w:rsidRPr="00785FB4" w:rsidRDefault="004A3516" w:rsidP="004A3516">
      <w:r w:rsidRPr="00785FB4">
        <w:t>There was considerable debate, and uncertainty, between different stakeholders</w:t>
      </w:r>
      <w:r w:rsidR="006944F0" w:rsidRPr="00785FB4">
        <w:t xml:space="preserve">, including within the </w:t>
      </w:r>
      <w:r w:rsidR="00DB56BA" w:rsidRPr="00785FB4">
        <w:t>MOMP</w:t>
      </w:r>
      <w:r w:rsidR="006944F0" w:rsidRPr="00785FB4">
        <w:t>,</w:t>
      </w:r>
      <w:r w:rsidRPr="00785FB4">
        <w:t xml:space="preserve"> over the specific number of mining license awards and transfers in 2014-15</w:t>
      </w:r>
      <w:r w:rsidR="006944F0" w:rsidRPr="00785FB4">
        <w:t>.</w:t>
      </w:r>
      <w:r w:rsidRPr="00785FB4">
        <w:t xml:space="preserve"> While there was consensus amongst </w:t>
      </w:r>
      <w:r w:rsidR="008E7FD4" w:rsidRPr="00785FB4">
        <w:t>most</w:t>
      </w:r>
      <w:r w:rsidRPr="00785FB4">
        <w:t xml:space="preserve"> stakeholders</w:t>
      </w:r>
      <w:r w:rsidR="008E7FD4" w:rsidRPr="00785FB4">
        <w:t xml:space="preserve"> consulted (including government</w:t>
      </w:r>
      <w:r w:rsidR="006944F0" w:rsidRPr="00785FB4">
        <w:t xml:space="preserve"> representatives</w:t>
      </w:r>
      <w:r w:rsidR="008E7FD4" w:rsidRPr="00785FB4">
        <w:t>)</w:t>
      </w:r>
      <w:r w:rsidRPr="00785FB4">
        <w:t xml:space="preserve"> that there were significant deviations from the statutory license allocation procedures in practice, there were different views about the actual practice of license awards. </w:t>
      </w:r>
      <w:r w:rsidR="00FC67ED" w:rsidRPr="00785FB4">
        <w:t xml:space="preserve">There was consensus amongst all consulted that there were no oil and gas license awards in the 2014-15 period. </w:t>
      </w:r>
      <w:r w:rsidR="00C01EDC" w:rsidRPr="00785FB4">
        <w:t xml:space="preserve"> </w:t>
      </w:r>
    </w:p>
    <w:p w14:paraId="2C12C929" w14:textId="0CCFE845" w:rsidR="00682F20" w:rsidRPr="00785FB4" w:rsidRDefault="001C1FB0" w:rsidP="00682F20">
      <w:pPr>
        <w:spacing w:before="120"/>
        <w:rPr>
          <w:bCs/>
        </w:rPr>
      </w:pPr>
      <w:r w:rsidRPr="00785FB4">
        <w:rPr>
          <w:i/>
          <w:u w:val="single"/>
        </w:rPr>
        <w:t>Licensing freeze</w:t>
      </w:r>
      <w:r w:rsidRPr="00785FB4">
        <w:t xml:space="preserve">: </w:t>
      </w:r>
      <w:r w:rsidR="00206E98" w:rsidRPr="00785FB4">
        <w:t>While all stakeholders consulted confirmed that there had been a suspension of mining licensing activity in the 2015-17 period, there was disagreement over whether this reflected a formal government policy</w:t>
      </w:r>
      <w:r w:rsidR="00760C18" w:rsidRPr="00785FB4">
        <w:t xml:space="preserve">. A senior government official </w:t>
      </w:r>
      <w:r w:rsidR="00C232E6" w:rsidRPr="00785FB4">
        <w:t xml:space="preserve">explained that the HEC had </w:t>
      </w:r>
      <w:r w:rsidR="00BE5BFF" w:rsidRPr="00785FB4">
        <w:t xml:space="preserve">decided on a review of four gold and copper mining licenses pending final signature in 2015. Considering that their tender may have deviated from statutory licensing procedures, the HEC decided to require all licensing activity to be </w:t>
      </w:r>
      <w:r w:rsidR="00FB4E89" w:rsidRPr="00785FB4">
        <w:lastRenderedPageBreak/>
        <w:t xml:space="preserve">thereafter </w:t>
      </w:r>
      <w:r w:rsidR="00BE5BFF" w:rsidRPr="00785FB4">
        <w:t xml:space="preserve">undertaken by the National Procurement Agency (NPA). However, given the lack of codified procedures for the NPA to undertake mining license allocations, this decision had effectively interrupted new licensing activity in the 2015-17 period and implied that new license allocations would proceed on a case-by-case basis, upon approval by the HEC. The senior official noted that the </w:t>
      </w:r>
      <w:r w:rsidR="00E87464" w:rsidRPr="00785FB4">
        <w:t xml:space="preserve">government’s </w:t>
      </w:r>
      <w:r w:rsidR="00BE5BFF" w:rsidRPr="00785FB4">
        <w:t xml:space="preserve">new Mining </w:t>
      </w:r>
      <w:r w:rsidR="00E87464" w:rsidRPr="00785FB4">
        <w:t xml:space="preserve">Plan </w:t>
      </w:r>
      <w:r w:rsidR="00FB4E89" w:rsidRPr="00785FB4">
        <w:t xml:space="preserve">published in January </w:t>
      </w:r>
      <w:r w:rsidR="00E87464" w:rsidRPr="00785FB4">
        <w:t xml:space="preserve">2018 confirmed the HEC’s responsibility for awarding licenses. </w:t>
      </w:r>
      <w:r w:rsidR="00760C18" w:rsidRPr="00785FB4">
        <w:t xml:space="preserve">Development partners </w:t>
      </w:r>
      <w:r w:rsidR="00FB4E89" w:rsidRPr="00785FB4">
        <w:t xml:space="preserve">confirmed </w:t>
      </w:r>
      <w:r w:rsidR="00760C18" w:rsidRPr="00785FB4">
        <w:t xml:space="preserve">that the freeze had been agreed through an HEC decision in 2015, but that it was not codified in an official decree or government regulation. </w:t>
      </w:r>
      <w:r w:rsidR="00DB23ED" w:rsidRPr="00785FB4">
        <w:rPr>
          <w:bCs/>
        </w:rPr>
        <w:t xml:space="preserve">A development partner had seen a 2015 letter from the Minister of Mines and Petroleum to all </w:t>
      </w:r>
      <w:r w:rsidR="00DB56BA" w:rsidRPr="00785FB4">
        <w:rPr>
          <w:bCs/>
        </w:rPr>
        <w:t>MOMP</w:t>
      </w:r>
      <w:r w:rsidR="00DB23ED" w:rsidRPr="00785FB4">
        <w:rPr>
          <w:bCs/>
        </w:rPr>
        <w:t xml:space="preserve"> Provincial Offices halting new license allocations until further notice. </w:t>
      </w:r>
      <w:r w:rsidR="00700CB7" w:rsidRPr="00785FB4">
        <w:rPr>
          <w:bCs/>
        </w:rPr>
        <w:t>Several stakeholders from all constituencies noted that the government had recently resumed licensing activity, highlighting the award of a salt-mining contract in January 2018</w:t>
      </w:r>
      <w:r w:rsidR="00FB4E89" w:rsidRPr="00785FB4">
        <w:rPr>
          <w:bCs/>
        </w:rPr>
        <w:t>.</w:t>
      </w:r>
      <w:r w:rsidR="00700CB7" w:rsidRPr="00785FB4">
        <w:rPr>
          <w:rStyle w:val="FootnoteReference"/>
          <w:bCs/>
        </w:rPr>
        <w:footnoteReference w:id="128"/>
      </w:r>
      <w:r w:rsidR="00700CB7" w:rsidRPr="00785FB4">
        <w:rPr>
          <w:bCs/>
        </w:rPr>
        <w:t xml:space="preserve"> </w:t>
      </w:r>
      <w:r w:rsidR="00FB4E89" w:rsidRPr="00785FB4">
        <w:rPr>
          <w:bCs/>
        </w:rPr>
        <w:t>S</w:t>
      </w:r>
      <w:r w:rsidR="00700CB7" w:rsidRPr="00785FB4">
        <w:rPr>
          <w:bCs/>
        </w:rPr>
        <w:t>everal CSOs</w:t>
      </w:r>
      <w:r w:rsidR="00FB4E89" w:rsidRPr="00785FB4">
        <w:rPr>
          <w:bCs/>
        </w:rPr>
        <w:t xml:space="preserve">, </w:t>
      </w:r>
      <w:r w:rsidR="00700CB7" w:rsidRPr="00785FB4">
        <w:rPr>
          <w:bCs/>
        </w:rPr>
        <w:t>development partners</w:t>
      </w:r>
      <w:r w:rsidR="00FB4E89" w:rsidRPr="00785FB4">
        <w:rPr>
          <w:bCs/>
        </w:rPr>
        <w:t xml:space="preserve"> and government officials</w:t>
      </w:r>
      <w:r w:rsidR="00700CB7" w:rsidRPr="00785FB4">
        <w:rPr>
          <w:bCs/>
        </w:rPr>
        <w:t xml:space="preserve"> expressed concerns </w:t>
      </w:r>
      <w:r w:rsidR="00FB4E89" w:rsidRPr="00785FB4">
        <w:rPr>
          <w:bCs/>
        </w:rPr>
        <w:t xml:space="preserve">about the process followed </w:t>
      </w:r>
      <w:r w:rsidR="00700CB7" w:rsidRPr="00785FB4">
        <w:rPr>
          <w:bCs/>
        </w:rPr>
        <w:t xml:space="preserve">due to the lack of information surrounding this recent award. </w:t>
      </w:r>
      <w:r w:rsidR="0084080E" w:rsidRPr="00785FB4">
        <w:t>There was</w:t>
      </w:r>
      <w:r w:rsidR="00FB4E89" w:rsidRPr="00785FB4">
        <w:t xml:space="preserve"> also</w:t>
      </w:r>
      <w:r w:rsidR="0084080E" w:rsidRPr="00785FB4">
        <w:t xml:space="preserve"> consensus that </w:t>
      </w:r>
      <w:r w:rsidR="00FB4E89" w:rsidRPr="00785FB4">
        <w:t xml:space="preserve">although </w:t>
      </w:r>
      <w:r w:rsidR="0084080E" w:rsidRPr="00785FB4">
        <w:t xml:space="preserve">the suspension of new licensing was enacted in 2015 there had been mining license awards in the 2014-15 period. </w:t>
      </w:r>
    </w:p>
    <w:p w14:paraId="766D9B52" w14:textId="4CAF4D9C" w:rsidR="002C2BE4" w:rsidRPr="00785FB4" w:rsidRDefault="002C2BE4" w:rsidP="00682F20">
      <w:pPr>
        <w:rPr>
          <w:bCs/>
        </w:rPr>
      </w:pPr>
      <w:r w:rsidRPr="00785FB4">
        <w:rPr>
          <w:bCs/>
          <w:i/>
          <w:u w:val="single"/>
        </w:rPr>
        <w:t>A</w:t>
      </w:r>
      <w:r w:rsidR="000327F7" w:rsidRPr="00785FB4">
        <w:rPr>
          <w:bCs/>
          <w:i/>
          <w:u w:val="single"/>
        </w:rPr>
        <w:t>wards/</w:t>
      </w:r>
      <w:r w:rsidRPr="00785FB4">
        <w:rPr>
          <w:bCs/>
          <w:i/>
          <w:u w:val="single"/>
        </w:rPr>
        <w:t>transfers</w:t>
      </w:r>
      <w:r w:rsidRPr="00785FB4">
        <w:rPr>
          <w:bCs/>
        </w:rPr>
        <w:t xml:space="preserve">: </w:t>
      </w:r>
      <w:r w:rsidR="000327F7" w:rsidRPr="00785FB4">
        <w:rPr>
          <w:bCs/>
        </w:rPr>
        <w:t xml:space="preserve">While all stakeholders confirmed </w:t>
      </w:r>
      <w:r w:rsidR="00B60B5B" w:rsidRPr="00785FB4">
        <w:rPr>
          <w:bCs/>
        </w:rPr>
        <w:t xml:space="preserve">the </w:t>
      </w:r>
      <w:r w:rsidR="00284362" w:rsidRPr="00785FB4">
        <w:rPr>
          <w:bCs/>
        </w:rPr>
        <w:t>absence</w:t>
      </w:r>
      <w:r w:rsidR="00B60B5B" w:rsidRPr="00785FB4">
        <w:rPr>
          <w:bCs/>
        </w:rPr>
        <w:t xml:space="preserve"> of </w:t>
      </w:r>
      <w:r w:rsidR="000327F7" w:rsidRPr="00785FB4">
        <w:rPr>
          <w:bCs/>
        </w:rPr>
        <w:t xml:space="preserve">new oil and gas license allocations or transfers since 2013, there was no consensus amongst those consulted over the number of mining licenses awarded and transferred in 2014-15. </w:t>
      </w:r>
      <w:r w:rsidR="00A529A5" w:rsidRPr="00785FB4">
        <w:rPr>
          <w:bCs/>
        </w:rPr>
        <w:t xml:space="preserve">There was disagreement over whether any mining licenses had been transferred in the period. </w:t>
      </w:r>
      <w:r w:rsidR="00F325F9" w:rsidRPr="00785FB4">
        <w:rPr>
          <w:bCs/>
        </w:rPr>
        <w:t xml:space="preserve">While the IA confirmed that it had secured the list of license allocations </w:t>
      </w:r>
      <w:r w:rsidR="00B60B5B" w:rsidRPr="00785FB4">
        <w:rPr>
          <w:bCs/>
        </w:rPr>
        <w:t>(</w:t>
      </w:r>
      <w:r w:rsidR="00F325F9" w:rsidRPr="00785FB4">
        <w:rPr>
          <w:bCs/>
        </w:rPr>
        <w:t>provided in the 2014-15 EITI Report</w:t>
      </w:r>
      <w:r w:rsidR="00B60B5B" w:rsidRPr="00785FB4">
        <w:rPr>
          <w:bCs/>
        </w:rPr>
        <w:t>)</w:t>
      </w:r>
      <w:r w:rsidR="00F325F9" w:rsidRPr="00785FB4">
        <w:rPr>
          <w:bCs/>
        </w:rPr>
        <w:t xml:space="preserve"> from the </w:t>
      </w:r>
      <w:r w:rsidR="00DB56BA" w:rsidRPr="00785FB4">
        <w:rPr>
          <w:bCs/>
        </w:rPr>
        <w:t>MOMP</w:t>
      </w:r>
      <w:r w:rsidR="00F325F9" w:rsidRPr="00785FB4">
        <w:rPr>
          <w:bCs/>
        </w:rPr>
        <w:t>’s Cadastre Department, secretariat staff considered that the information provided in</w:t>
      </w:r>
      <w:r w:rsidR="00FB4E89" w:rsidRPr="00785FB4">
        <w:rPr>
          <w:bCs/>
        </w:rPr>
        <w:t xml:space="preserve"> the</w:t>
      </w:r>
      <w:r w:rsidR="00F325F9" w:rsidRPr="00785FB4">
        <w:rPr>
          <w:bCs/>
        </w:rPr>
        <w:t xml:space="preserve"> appendix was not</w:t>
      </w:r>
      <w:r w:rsidR="009A3FFC" w:rsidRPr="00785FB4">
        <w:rPr>
          <w:bCs/>
        </w:rPr>
        <w:t xml:space="preserve"> an accurate list of licenses awarded in that period. Members of the MSG consulted recalled discussing general licensing procedures, but not the specific number of licenses awarded and transferred in the years under review. None of the stakeholders consulted could produce a list of licenses awarded in 2014-15</w:t>
      </w:r>
      <w:r w:rsidR="00FB4E89" w:rsidRPr="00785FB4">
        <w:rPr>
          <w:bCs/>
        </w:rPr>
        <w:t xml:space="preserve"> or explain how they would go about doing so</w:t>
      </w:r>
      <w:r w:rsidR="00287CD2" w:rsidRPr="00785FB4">
        <w:rPr>
          <w:bCs/>
        </w:rPr>
        <w:t xml:space="preserve"> in practice</w:t>
      </w:r>
      <w:r w:rsidR="009A3FFC" w:rsidRPr="00785FB4">
        <w:rPr>
          <w:bCs/>
        </w:rPr>
        <w:t>.</w:t>
      </w:r>
      <w:r w:rsidR="00287CD2" w:rsidRPr="00785FB4">
        <w:rPr>
          <w:bCs/>
        </w:rPr>
        <w:t xml:space="preserve"> </w:t>
      </w:r>
      <w:r w:rsidR="009A3FFC" w:rsidRPr="00785FB4">
        <w:rPr>
          <w:bCs/>
        </w:rPr>
        <w:t>While several government representatives considered that there had been no transfer of licenses, but rather mergers and acquisitions of license-holding companies, several CSOs considered that mining licenses were transferred in practice</w:t>
      </w:r>
      <w:r w:rsidR="00A529A5" w:rsidRPr="00785FB4">
        <w:rPr>
          <w:bCs/>
        </w:rPr>
        <w:t>,</w:t>
      </w:r>
      <w:r w:rsidR="009A3FFC" w:rsidRPr="00785FB4">
        <w:rPr>
          <w:bCs/>
        </w:rPr>
        <w:t xml:space="preserve"> </w:t>
      </w:r>
      <w:r w:rsidR="00A529A5" w:rsidRPr="00785FB4">
        <w:rPr>
          <w:bCs/>
        </w:rPr>
        <w:t xml:space="preserve">albeit </w:t>
      </w:r>
      <w:r w:rsidR="009A3FFC" w:rsidRPr="00785FB4">
        <w:rPr>
          <w:bCs/>
        </w:rPr>
        <w:t>provid</w:t>
      </w:r>
      <w:r w:rsidR="00A529A5" w:rsidRPr="00785FB4">
        <w:rPr>
          <w:bCs/>
        </w:rPr>
        <w:t>ing</w:t>
      </w:r>
      <w:r w:rsidR="009A3FFC" w:rsidRPr="00785FB4">
        <w:rPr>
          <w:bCs/>
        </w:rPr>
        <w:t xml:space="preserve"> only examples of license transfers prior to </w:t>
      </w:r>
      <w:r w:rsidR="00A529A5" w:rsidRPr="00785FB4">
        <w:rPr>
          <w:bCs/>
        </w:rPr>
        <w:t>2014-15</w:t>
      </w:r>
      <w:r w:rsidR="00136940" w:rsidRPr="00785FB4">
        <w:rPr>
          <w:bCs/>
        </w:rPr>
        <w:t xml:space="preserve">. </w:t>
      </w:r>
    </w:p>
    <w:p w14:paraId="3DF4D4D0" w14:textId="281DCAC1" w:rsidR="00B937E6" w:rsidRPr="00785FB4" w:rsidRDefault="002C2BE4" w:rsidP="00F425D1">
      <w:pPr>
        <w:spacing w:before="120"/>
        <w:rPr>
          <w:bCs/>
        </w:rPr>
      </w:pPr>
      <w:r w:rsidRPr="00785FB4">
        <w:rPr>
          <w:bCs/>
          <w:i/>
          <w:u w:val="single"/>
        </w:rPr>
        <w:t>Award process</w:t>
      </w:r>
      <w:r w:rsidRPr="00785FB4">
        <w:rPr>
          <w:bCs/>
        </w:rPr>
        <w:t xml:space="preserve">: </w:t>
      </w:r>
      <w:r w:rsidR="009C7D81" w:rsidRPr="00785FB4">
        <w:rPr>
          <w:bCs/>
        </w:rPr>
        <w:t xml:space="preserve">All stakeholders consulted confirmed that all mining licenses other than </w:t>
      </w:r>
      <w:r w:rsidR="00BF2663" w:rsidRPr="00785FB4">
        <w:t xml:space="preserve">reconnaissance, artisanal, and construction material </w:t>
      </w:r>
      <w:r w:rsidR="009C7D81" w:rsidRPr="00785FB4">
        <w:rPr>
          <w:bCs/>
        </w:rPr>
        <w:t xml:space="preserve">licenses are </w:t>
      </w:r>
      <w:r w:rsidR="00287CD2" w:rsidRPr="00785FB4">
        <w:rPr>
          <w:bCs/>
        </w:rPr>
        <w:t xml:space="preserve">generally </w:t>
      </w:r>
      <w:r w:rsidR="009C7D81" w:rsidRPr="00785FB4">
        <w:rPr>
          <w:bCs/>
        </w:rPr>
        <w:t>awarded through competitive tender, although several CSOs and development partners raised concerns over the level of transparency in the bidding process (</w:t>
      </w:r>
      <w:r w:rsidR="009C7D81" w:rsidRPr="00785FB4">
        <w:rPr>
          <w:bCs/>
          <w:i/>
        </w:rPr>
        <w:t>see non-trivial deviations</w:t>
      </w:r>
      <w:r w:rsidR="009C7D81" w:rsidRPr="00785FB4">
        <w:rPr>
          <w:bCs/>
        </w:rPr>
        <w:t xml:space="preserve">). </w:t>
      </w:r>
      <w:r w:rsidR="00EB3FC4" w:rsidRPr="00785FB4">
        <w:rPr>
          <w:bCs/>
        </w:rPr>
        <w:t xml:space="preserve">Stakeholders from all constituencies highlighted that </w:t>
      </w:r>
      <w:r w:rsidR="00DB56BA" w:rsidRPr="00785FB4">
        <w:rPr>
          <w:bCs/>
        </w:rPr>
        <w:t>MOMP</w:t>
      </w:r>
      <w:r w:rsidR="00EB3FC4" w:rsidRPr="00785FB4">
        <w:rPr>
          <w:bCs/>
        </w:rPr>
        <w:t xml:space="preserve"> Provincial Offices were </w:t>
      </w:r>
      <w:r w:rsidR="00287CD2" w:rsidRPr="00785FB4">
        <w:rPr>
          <w:bCs/>
        </w:rPr>
        <w:t xml:space="preserve">entitled </w:t>
      </w:r>
      <w:r w:rsidR="00EB3FC4" w:rsidRPr="00785FB4">
        <w:rPr>
          <w:bCs/>
        </w:rPr>
        <w:t xml:space="preserve">to award mining licenses for construction materials, but that they had awarded all types of licenses in the past, contributing to the lack of clarity over the number of active mining contracts and licenses. Government officials explained that </w:t>
      </w:r>
      <w:r w:rsidR="00A37058" w:rsidRPr="00785FB4">
        <w:rPr>
          <w:bCs/>
        </w:rPr>
        <w:t xml:space="preserve">since 2014 </w:t>
      </w:r>
      <w:r w:rsidR="00EB3FC4" w:rsidRPr="00785FB4">
        <w:rPr>
          <w:bCs/>
        </w:rPr>
        <w:t xml:space="preserve">the </w:t>
      </w:r>
      <w:r w:rsidR="00DB56BA" w:rsidRPr="00785FB4">
        <w:rPr>
          <w:bCs/>
        </w:rPr>
        <w:t>MOMP</w:t>
      </w:r>
      <w:r w:rsidR="00EB3FC4" w:rsidRPr="00785FB4">
        <w:rPr>
          <w:bCs/>
        </w:rPr>
        <w:t xml:space="preserve"> Provincial Offices were statutorily required to seek the </w:t>
      </w:r>
      <w:r w:rsidR="00DB56BA" w:rsidRPr="00785FB4">
        <w:rPr>
          <w:bCs/>
        </w:rPr>
        <w:t>MOMP</w:t>
      </w:r>
      <w:r w:rsidR="00EB3FC4" w:rsidRPr="00785FB4">
        <w:rPr>
          <w:bCs/>
        </w:rPr>
        <w:t>’s approval (through the Provincial Department) before awarding licenses</w:t>
      </w:r>
      <w:r w:rsidR="00287CD2" w:rsidRPr="00785FB4">
        <w:rPr>
          <w:bCs/>
        </w:rPr>
        <w:t xml:space="preserve"> but that there was no assurance that this was the case in practice</w:t>
      </w:r>
      <w:r w:rsidR="00EB3FC4" w:rsidRPr="00785FB4">
        <w:rPr>
          <w:bCs/>
        </w:rPr>
        <w:t xml:space="preserve">. </w:t>
      </w:r>
    </w:p>
    <w:p w14:paraId="02A7F0A9" w14:textId="2133A503" w:rsidR="00B937E6" w:rsidRPr="00785FB4" w:rsidRDefault="00EB3FC4" w:rsidP="00031EA7">
      <w:pPr>
        <w:spacing w:before="120"/>
      </w:pPr>
      <w:r w:rsidRPr="00785FB4">
        <w:rPr>
          <w:bCs/>
        </w:rPr>
        <w:t xml:space="preserve">Stakeholders from all constituencies confirmed that mining licenses awarded in 2014-15 would have been </w:t>
      </w:r>
      <w:r w:rsidRPr="00785FB4">
        <w:rPr>
          <w:bCs/>
        </w:rPr>
        <w:lastRenderedPageBreak/>
        <w:t xml:space="preserve">allocated through competitive bidding. </w:t>
      </w:r>
      <w:r w:rsidR="00031EA7" w:rsidRPr="00785FB4">
        <w:t xml:space="preserve">Senior government officials confirmed that specific technical and financial criteria for license tenders were included in the bid documents. While the specific criteria differed according to the types of licenses tendered, officials confirmed that the broad criteria were consistent across all licenses and that the publication of all bid criteria and list of unsuccessful bidders would not pose any problem. </w:t>
      </w:r>
      <w:r w:rsidRPr="00785FB4">
        <w:rPr>
          <w:bCs/>
        </w:rPr>
        <w:t>Several civil society, industry and development partner representatives – and policy briefs from CSOs like Global Witness</w:t>
      </w:r>
      <w:r w:rsidRPr="00785FB4">
        <w:rPr>
          <w:rStyle w:val="FootnoteReference"/>
        </w:rPr>
        <w:footnoteReference w:id="129"/>
      </w:r>
      <w:r w:rsidRPr="00785FB4">
        <w:rPr>
          <w:bCs/>
        </w:rPr>
        <w:t xml:space="preserve"> – raised concerns over the perceived opacity of bidding procedures and criticised the fact that bid document (including criteria) and lists of unsuccessful bidders were not publicly-accessible</w:t>
      </w:r>
      <w:r w:rsidR="00892170" w:rsidRPr="00785FB4">
        <w:rPr>
          <w:bCs/>
        </w:rPr>
        <w:t xml:space="preserve"> except for a few large projects like Aynak</w:t>
      </w:r>
      <w:r w:rsidRPr="00785FB4">
        <w:rPr>
          <w:bCs/>
        </w:rPr>
        <w:t xml:space="preserve">. </w:t>
      </w:r>
      <w:r w:rsidR="001E59C5" w:rsidRPr="00785FB4">
        <w:rPr>
          <w:bCs/>
        </w:rPr>
        <w:t>Several representatives from industry and the donor community also questioned the suitability of awarding mining licenses through competitive tender rather than direct application or first-come-first-served, perceived to be international best practice.</w:t>
      </w:r>
      <w:r w:rsidR="001E59C5" w:rsidRPr="00785FB4">
        <w:rPr>
          <w:rStyle w:val="FootnoteReference"/>
          <w:iCs/>
        </w:rPr>
        <w:footnoteReference w:id="130"/>
      </w:r>
      <w:r w:rsidR="001E59C5" w:rsidRPr="00785FB4">
        <w:rPr>
          <w:bCs/>
        </w:rPr>
        <w:t xml:space="preserve"> </w:t>
      </w:r>
    </w:p>
    <w:p w14:paraId="4EE9B878" w14:textId="7BD3B2C3" w:rsidR="00532406" w:rsidRPr="00785FB4" w:rsidRDefault="001E59C5" w:rsidP="00554835">
      <w:pPr>
        <w:spacing w:before="120"/>
        <w:rPr>
          <w:bCs/>
        </w:rPr>
      </w:pPr>
      <w:r w:rsidRPr="00785FB4">
        <w:rPr>
          <w:bCs/>
        </w:rPr>
        <w:t>A November 2015 report by Adam Smith International</w:t>
      </w:r>
      <w:r w:rsidR="00796F5F" w:rsidRPr="00785FB4">
        <w:rPr>
          <w:bCs/>
        </w:rPr>
        <w:t xml:space="preserve"> (ASI)</w:t>
      </w:r>
      <w:r w:rsidRPr="00785FB4">
        <w:rPr>
          <w:bCs/>
        </w:rPr>
        <w:t xml:space="preserve"> for </w:t>
      </w:r>
      <w:r w:rsidR="00DB56BA" w:rsidRPr="00785FB4">
        <w:rPr>
          <w:bCs/>
        </w:rPr>
        <w:t>MOMP</w:t>
      </w:r>
      <w:r w:rsidRPr="00785FB4">
        <w:rPr>
          <w:bCs/>
        </w:rPr>
        <w:t xml:space="preserve"> considered that the level of bureaucracy and long waiting times for obtaining licenses was a major driver of illegal mining and called for simplification of the procedures at both central and provincial levels</w:t>
      </w:r>
      <w:r w:rsidR="00CD5767" w:rsidRPr="00785FB4">
        <w:rPr>
          <w:bCs/>
        </w:rPr>
        <w:t>, including regular publication of information on the tender process throughout</w:t>
      </w:r>
      <w:r w:rsidRPr="00785FB4">
        <w:rPr>
          <w:bCs/>
        </w:rPr>
        <w:t>.</w:t>
      </w:r>
      <w:r w:rsidR="00934F01" w:rsidRPr="00785FB4">
        <w:rPr>
          <w:rStyle w:val="FootnoteReference"/>
          <w:bCs/>
        </w:rPr>
        <w:footnoteReference w:id="131"/>
      </w:r>
      <w:r w:rsidR="00BF2663" w:rsidRPr="00785FB4">
        <w:rPr>
          <w:bCs/>
        </w:rPr>
        <w:t xml:space="preserve"> </w:t>
      </w:r>
      <w:r w:rsidR="00B60B5B" w:rsidRPr="00785FB4">
        <w:t xml:space="preserve">Stakeholders from all constituencies considered that the suspension in new licensing had also extended the timeframe for renewing active licenses and thereby contributed to the growth in illegal mining, given that license-holders tended to continue operating on lapsed licenses pending their renewal. </w:t>
      </w:r>
      <w:r w:rsidR="00F73DD0" w:rsidRPr="00785FB4">
        <w:t>The January 2016 SIGAR audit report quoted a “senior official in the Afghan government” stating that many mines operated illegally due to the inefficient and often corrupt registration process.</w:t>
      </w:r>
      <w:r w:rsidR="00F73DD0" w:rsidRPr="00785FB4">
        <w:rPr>
          <w:rStyle w:val="FootnoteReference"/>
          <w:iCs/>
        </w:rPr>
        <w:footnoteReference w:id="132"/>
      </w:r>
      <w:r w:rsidR="00F73DD0" w:rsidRPr="00785FB4">
        <w:t xml:space="preserve"> </w:t>
      </w:r>
      <w:r w:rsidR="00BF2663" w:rsidRPr="00785FB4">
        <w:rPr>
          <w:bCs/>
        </w:rPr>
        <w:t xml:space="preserve">The government’s 2018 Mining Plan calls for </w:t>
      </w:r>
      <w:r w:rsidR="00F62D47" w:rsidRPr="00785FB4">
        <w:rPr>
          <w:bCs/>
        </w:rPr>
        <w:t>revisions to the 2010 Mining Regulations</w:t>
      </w:r>
      <w:r w:rsidR="00B60B5B" w:rsidRPr="00785FB4">
        <w:rPr>
          <w:bCs/>
        </w:rPr>
        <w:t>,</w:t>
      </w:r>
      <w:r w:rsidR="00F62D47" w:rsidRPr="00785FB4">
        <w:rPr>
          <w:bCs/>
        </w:rPr>
        <w:t xml:space="preserve"> </w:t>
      </w:r>
      <w:r w:rsidR="00B60B5B" w:rsidRPr="00785FB4">
        <w:rPr>
          <w:bCs/>
        </w:rPr>
        <w:t xml:space="preserve">in light of reforms in the 2014 Minerals Law, </w:t>
      </w:r>
      <w:r w:rsidR="00F80A7C" w:rsidRPr="00785FB4">
        <w:rPr>
          <w:bCs/>
        </w:rPr>
        <w:t>to migrate to allocating</w:t>
      </w:r>
      <w:r w:rsidR="00BF2663" w:rsidRPr="00785FB4">
        <w:rPr>
          <w:bCs/>
        </w:rPr>
        <w:t xml:space="preserve"> all production licenses through competitive tender, with a standing board established by the Presidency to evaluate all bids and final approval by the HEC and Cabinet.</w:t>
      </w:r>
      <w:r w:rsidR="002E0076" w:rsidRPr="00785FB4">
        <w:rPr>
          <w:bCs/>
        </w:rPr>
        <w:t xml:space="preserve"> </w:t>
      </w:r>
      <w:r w:rsidR="00DF5AD7" w:rsidRPr="00785FB4">
        <w:rPr>
          <w:bCs/>
        </w:rPr>
        <w:t xml:space="preserve">A senior government official explained that a December 2017 Presidential Decree </w:t>
      </w:r>
      <w:r w:rsidR="001053D9" w:rsidRPr="00785FB4">
        <w:rPr>
          <w:bCs/>
        </w:rPr>
        <w:t>had merged the Afghanistan Investment Support Agency (AISA) and the Afghanistan Central Business Regist</w:t>
      </w:r>
      <w:r w:rsidR="00F812E4" w:rsidRPr="00785FB4">
        <w:rPr>
          <w:bCs/>
        </w:rPr>
        <w:t>ry (ACBR)</w:t>
      </w:r>
      <w:r w:rsidR="00C44119" w:rsidRPr="00785FB4">
        <w:rPr>
          <w:bCs/>
        </w:rPr>
        <w:t>,</w:t>
      </w:r>
      <w:r w:rsidR="00F812E4" w:rsidRPr="00785FB4">
        <w:rPr>
          <w:bCs/>
        </w:rPr>
        <w:t xml:space="preserve"> </w:t>
      </w:r>
      <w:r w:rsidR="00C44119" w:rsidRPr="00785FB4">
        <w:rPr>
          <w:bCs/>
        </w:rPr>
        <w:t xml:space="preserve">centralising </w:t>
      </w:r>
      <w:r w:rsidR="00F812E4" w:rsidRPr="00785FB4">
        <w:rPr>
          <w:bCs/>
        </w:rPr>
        <w:t xml:space="preserve">the front-end of all licensing activity through the ACBR, with back-end bid evaluation functions undertaken by the line ministry. The official explained that the ACBR was now re-engineering the licensing process to seek to reduce superfluous paperwork. </w:t>
      </w:r>
    </w:p>
    <w:p w14:paraId="259B67CA" w14:textId="1A6CEA8D" w:rsidR="00002478" w:rsidRPr="00785FB4" w:rsidRDefault="00002478" w:rsidP="00F425D1">
      <w:pPr>
        <w:spacing w:before="120"/>
      </w:pPr>
      <w:r w:rsidRPr="00785FB4">
        <w:rPr>
          <w:i/>
          <w:u w:val="single"/>
        </w:rPr>
        <w:t>Transfer process</w:t>
      </w:r>
      <w:r w:rsidR="00D54D8B" w:rsidRPr="00785FB4">
        <w:t xml:space="preserve">: While there was no consensus on whether any mining licenses had been transferred in 2014-15, all stakeholders confirmed that transfers were allowed upon written approval from </w:t>
      </w:r>
      <w:r w:rsidR="00DB56BA" w:rsidRPr="00785FB4">
        <w:t>MOMP</w:t>
      </w:r>
      <w:r w:rsidR="00D54D8B" w:rsidRPr="00785FB4">
        <w:t xml:space="preserve"> and contingent on the new license-holder having the same capacities as the former. One CSO alleged that the 2014 Minerals Law had been revised within a month of enactment in August 2014 to provide for license transfers (</w:t>
      </w:r>
      <w:r w:rsidR="00D54D8B" w:rsidRPr="00785FB4">
        <w:rPr>
          <w:i/>
        </w:rPr>
        <w:t>see Requirement 2.1</w:t>
      </w:r>
      <w:r w:rsidR="00D54D8B" w:rsidRPr="00785FB4">
        <w:t xml:space="preserve">). Several CSOs raised concern that, while initial license allocations were decided by an Inter-Ministerial Committee, transfers were approved by the </w:t>
      </w:r>
      <w:r w:rsidR="00DB56BA" w:rsidRPr="00785FB4">
        <w:t>MOMP</w:t>
      </w:r>
      <w:r w:rsidR="00D54D8B" w:rsidRPr="00785FB4">
        <w:t xml:space="preserve"> alone, creating a potentially excessive concentration of decision-making power</w:t>
      </w:r>
      <w:r w:rsidR="00892170" w:rsidRPr="00785FB4">
        <w:t xml:space="preserve"> over license transfers</w:t>
      </w:r>
      <w:r w:rsidR="00D54D8B" w:rsidRPr="00785FB4">
        <w:t xml:space="preserve"> in the </w:t>
      </w:r>
      <w:r w:rsidR="00DB56BA" w:rsidRPr="00785FB4">
        <w:t>MOMP</w:t>
      </w:r>
      <w:r w:rsidR="00D54D8B" w:rsidRPr="00785FB4">
        <w:t xml:space="preserve">. Government officials noted that information on license transfers was not publicly accessible, but that </w:t>
      </w:r>
      <w:r w:rsidR="00DB56BA" w:rsidRPr="00785FB4">
        <w:t>MOMP</w:t>
      </w:r>
      <w:r w:rsidR="00D54D8B" w:rsidRPr="00785FB4">
        <w:t xml:space="preserve"> tracked license movements internally. </w:t>
      </w:r>
    </w:p>
    <w:p w14:paraId="6669658F" w14:textId="46104FD7" w:rsidR="001C0FB2" w:rsidRPr="00785FB4" w:rsidRDefault="00002478" w:rsidP="00F425D1">
      <w:pPr>
        <w:spacing w:before="120"/>
      </w:pPr>
      <w:r w:rsidRPr="00785FB4">
        <w:rPr>
          <w:i/>
          <w:u w:val="single"/>
        </w:rPr>
        <w:t>Non-trivial deviations</w:t>
      </w:r>
      <w:r w:rsidRPr="00785FB4">
        <w:t xml:space="preserve">: </w:t>
      </w:r>
      <w:r w:rsidR="00FC3A42" w:rsidRPr="00785FB4">
        <w:t xml:space="preserve">All stakeholders consulted aside from those from the </w:t>
      </w:r>
      <w:r w:rsidR="00DB56BA" w:rsidRPr="00785FB4">
        <w:t>MOMP</w:t>
      </w:r>
      <w:r w:rsidR="00FC3A42" w:rsidRPr="00785FB4">
        <w:t xml:space="preserve"> Cadastre Department considered that there were non-trivial deviations from the statutory license allocation procedures in </w:t>
      </w:r>
      <w:r w:rsidR="00FC3A42" w:rsidRPr="00785FB4">
        <w:lastRenderedPageBreak/>
        <w:t xml:space="preserve">practice, although there was no consensus on the nature of deviations. </w:t>
      </w:r>
      <w:r w:rsidR="00D20AD8" w:rsidRPr="00785FB4">
        <w:t xml:space="preserve">The IA noted that it had inquired about any non-trivial deviations from statutory licensing procedures in preparing the 2014-15 EITI Report by asking the acting Minister of Mines and Petroleum, whom they considered to be competent to assess any non-trivial deviations. The IA confirmed that it had reported the </w:t>
      </w:r>
      <w:r w:rsidR="00DB56BA" w:rsidRPr="00785FB4">
        <w:t>MOMP</w:t>
      </w:r>
      <w:r w:rsidR="00D20AD8" w:rsidRPr="00785FB4">
        <w:t xml:space="preserve">’s views that there were no non-trivial deviations in licenses awarded in 2014-15, although it had not checked the procedures followed in practice. </w:t>
      </w:r>
      <w:r w:rsidR="00E93631" w:rsidRPr="00785FB4">
        <w:t xml:space="preserve">While some government representatives considered that the existence of bid evaluation committees ensured that there were no deviations from licensing procedures in practice, other senior government officials </w:t>
      </w:r>
      <w:r w:rsidR="00D40C6D" w:rsidRPr="00785FB4">
        <w:t xml:space="preserve">and development partners </w:t>
      </w:r>
      <w:r w:rsidR="00E93631" w:rsidRPr="00785FB4">
        <w:t xml:space="preserve">explained that </w:t>
      </w:r>
      <w:r w:rsidR="00C6296E" w:rsidRPr="00785FB4">
        <w:t xml:space="preserve">there were concerns over deviations from statutory procedures in the past tendering of dozens of licenses, including four gold and copper licenses that had proved particularly controversial. </w:t>
      </w:r>
    </w:p>
    <w:p w14:paraId="25F9B001" w14:textId="63423D36" w:rsidR="00FC3A42" w:rsidRPr="00785FB4" w:rsidRDefault="00A839F2" w:rsidP="00F425D1">
      <w:pPr>
        <w:spacing w:before="120"/>
      </w:pPr>
      <w:r w:rsidRPr="00785FB4">
        <w:t xml:space="preserve">An organisational assessment of AEITI prepared by Democracy International in May 2017 highlighted the confusion caused by dual licensing regimes at the national and provincial levels. It quoted a 2016 compliance audit report by </w:t>
      </w:r>
      <w:r w:rsidR="00772F35" w:rsidRPr="00785FB4">
        <w:t>the Supreme Audit Office (</w:t>
      </w:r>
      <w:r w:rsidRPr="00785FB4">
        <w:t>SAO</w:t>
      </w:r>
      <w:r w:rsidR="00772F35" w:rsidRPr="00785FB4">
        <w:t>)</w:t>
      </w:r>
      <w:r w:rsidRPr="00785FB4">
        <w:t>, which found that certain contracts awarded at the provincial level were not compliant with the legal framework and had not been awarded in a transparent manner.</w:t>
      </w:r>
      <w:r w:rsidRPr="00785FB4">
        <w:rPr>
          <w:vertAlign w:val="superscript"/>
        </w:rPr>
        <w:footnoteReference w:id="133"/>
      </w:r>
      <w:r w:rsidRPr="00785FB4">
        <w:t xml:space="preserve"> Despite the 2014 Minerals Law ban on awarding mining licenses to staff of the Ministries of Defence and the Interior, the report noted that many mines were still controlled by political elites, warlords, military personnel, and the police.</w:t>
      </w:r>
      <w:r w:rsidRPr="00785FB4">
        <w:rPr>
          <w:rStyle w:val="FootnoteReference"/>
          <w:iCs/>
        </w:rPr>
        <w:footnoteReference w:id="134"/>
      </w:r>
      <w:r w:rsidR="00796F5F" w:rsidRPr="00785FB4">
        <w:t xml:space="preserve"> The November 2015 ASI report related stakeholder concerns over the lack of sound technical assessments of bids for mining licenses.</w:t>
      </w:r>
      <w:r w:rsidR="00796F5F" w:rsidRPr="00785FB4">
        <w:rPr>
          <w:rStyle w:val="FootnoteReference"/>
          <w:bCs/>
        </w:rPr>
        <w:footnoteReference w:id="135"/>
      </w:r>
      <w:r w:rsidR="00796F5F" w:rsidRPr="00785FB4">
        <w:t xml:space="preserve"> These concerns were also reflected in a January 2015 report by the US Institute for Peace</w:t>
      </w:r>
      <w:r w:rsidR="00326FFC" w:rsidRPr="00785FB4">
        <w:t xml:space="preserve"> (USIP)</w:t>
      </w:r>
      <w:r w:rsidR="00796F5F" w:rsidRPr="00785FB4">
        <w:t>, which highlighted irregularities and lack of transparency in the tender process</w:t>
      </w:r>
      <w:r w:rsidR="00561CFE" w:rsidRPr="00785FB4">
        <w:t xml:space="preserve"> as well as the award of licenses “through political influence in exchange for cash, election favours, or various other kinds of support.”</w:t>
      </w:r>
      <w:r w:rsidR="00561CFE" w:rsidRPr="00785FB4">
        <w:rPr>
          <w:rStyle w:val="FootnoteReference"/>
          <w:bCs/>
        </w:rPr>
        <w:t xml:space="preserve"> </w:t>
      </w:r>
      <w:r w:rsidR="00561CFE" w:rsidRPr="00785FB4">
        <w:rPr>
          <w:rStyle w:val="FootnoteReference"/>
          <w:bCs/>
        </w:rPr>
        <w:footnoteReference w:id="136"/>
      </w:r>
      <w:r w:rsidR="00561CFE" w:rsidRPr="00785FB4">
        <w:t xml:space="preserve"> The report also noted that tender documents for the </w:t>
      </w:r>
      <w:r w:rsidR="009E7AA5" w:rsidRPr="00785FB4">
        <w:t xml:space="preserve">five </w:t>
      </w:r>
      <w:r w:rsidR="00561CFE" w:rsidRPr="00785FB4">
        <w:t xml:space="preserve">mining licenses examined </w:t>
      </w:r>
      <w:r w:rsidR="009E7AA5" w:rsidRPr="00785FB4">
        <w:t xml:space="preserve">in the study </w:t>
      </w:r>
      <w:r w:rsidR="00561CFE" w:rsidRPr="00785FB4">
        <w:t>had been drafted in order to provide a competitive advantage to the successful bidder, noting evidence of influence peddling.</w:t>
      </w:r>
      <w:r w:rsidR="00561CFE" w:rsidRPr="00785FB4">
        <w:rPr>
          <w:rStyle w:val="FootnoteReference"/>
          <w:bCs/>
        </w:rPr>
        <w:footnoteReference w:id="137"/>
      </w:r>
      <w:r w:rsidR="00326FFC" w:rsidRPr="00785FB4">
        <w:t xml:space="preserve"> A June 2017 USIP report noted the existence of abuses “at all stages” of the licensing process, from the issuance of tenders to the review of bids and awarding of contracts.</w:t>
      </w:r>
      <w:r w:rsidR="00326FFC" w:rsidRPr="00785FB4">
        <w:rPr>
          <w:rStyle w:val="FootnoteReference"/>
        </w:rPr>
        <w:footnoteReference w:id="138"/>
      </w:r>
      <w:r w:rsidR="00326FFC" w:rsidRPr="00785FB4">
        <w:t xml:space="preserve"> </w:t>
      </w:r>
    </w:p>
    <w:p w14:paraId="33725B96" w14:textId="3C463F05" w:rsidR="00132810" w:rsidRPr="00785FB4" w:rsidRDefault="009F3202" w:rsidP="00A65D94">
      <w:pPr>
        <w:spacing w:before="120"/>
      </w:pPr>
      <w:r w:rsidRPr="00785FB4">
        <w:t xml:space="preserve">In addition to noting the concerns above, several CSOs highlighted the </w:t>
      </w:r>
      <w:r w:rsidR="00D66DF7" w:rsidRPr="00785FB4">
        <w:t xml:space="preserve">legal requirement for all applicants for mining production licenses to undertake environmental and social impact assessments (ESIA). They considered that very few companies complied with this requirement, aside from the handful of larger mining, oil and gas projects that had been more transparently allocated. </w:t>
      </w:r>
      <w:r w:rsidR="00132810" w:rsidRPr="00785FB4">
        <w:t>Government officials, development partners and CSOs explained that the planned MCAS cadastre project would ensure that all bid documents were posted online and would facilitate the identification of any non-trivial deviations from licensing procedures in future, although the project appeared stalled at the time of Validation (</w:t>
      </w:r>
      <w:r w:rsidR="00132810" w:rsidRPr="00785FB4">
        <w:rPr>
          <w:i/>
        </w:rPr>
        <w:t xml:space="preserve">see Requirement </w:t>
      </w:r>
      <w:r w:rsidR="00D40C6D" w:rsidRPr="00785FB4">
        <w:rPr>
          <w:i/>
        </w:rPr>
        <w:t>2</w:t>
      </w:r>
      <w:r w:rsidR="00132810" w:rsidRPr="00785FB4">
        <w:rPr>
          <w:i/>
        </w:rPr>
        <w:t>.3</w:t>
      </w:r>
      <w:r w:rsidR="00132810" w:rsidRPr="00785FB4">
        <w:t xml:space="preserve">). </w:t>
      </w:r>
    </w:p>
    <w:p w14:paraId="5BE659C1" w14:textId="5BFB0938" w:rsidR="001E68AF" w:rsidRPr="00785FB4" w:rsidRDefault="00F425D1" w:rsidP="00A94167">
      <w:pPr>
        <w:pStyle w:val="Heading3"/>
      </w:pPr>
      <w:bookmarkStart w:id="206" w:name="_Toc459133102"/>
      <w:bookmarkStart w:id="207" w:name="_Toc461803051"/>
      <w:bookmarkStart w:id="208" w:name="_Toc505449599"/>
      <w:r w:rsidRPr="00785FB4">
        <w:t>Initial assessment</w:t>
      </w:r>
      <w:bookmarkEnd w:id="206"/>
      <w:bookmarkEnd w:id="207"/>
      <w:bookmarkEnd w:id="208"/>
    </w:p>
    <w:p w14:paraId="6A33CFA5" w14:textId="69AE1323" w:rsidR="007439C0" w:rsidRPr="00785FB4" w:rsidRDefault="00F425D1" w:rsidP="007439C0">
      <w:pPr>
        <w:spacing w:before="120"/>
      </w:pPr>
      <w:r w:rsidRPr="00785FB4">
        <w:rPr>
          <w:color w:val="000000" w:themeColor="text1"/>
          <w:lang w:eastAsia="x-none"/>
        </w:rPr>
        <w:t xml:space="preserve">The International Secretariat’s initial assessment is that </w:t>
      </w:r>
      <w:r w:rsidR="00932587" w:rsidRPr="00785FB4">
        <w:rPr>
          <w:bCs/>
        </w:rPr>
        <w:t>Afghanistan</w:t>
      </w:r>
      <w:r w:rsidR="00151988" w:rsidRPr="00785FB4">
        <w:rPr>
          <w:color w:val="000000" w:themeColor="text1"/>
          <w:lang w:eastAsia="x-none"/>
        </w:rPr>
        <w:t xml:space="preserve"> </w:t>
      </w:r>
      <w:r w:rsidRPr="00785FB4">
        <w:rPr>
          <w:color w:val="000000" w:themeColor="text1"/>
          <w:lang w:eastAsia="x-none"/>
        </w:rPr>
        <w:t xml:space="preserve">has made </w:t>
      </w:r>
      <w:r w:rsidR="00932587" w:rsidRPr="00785FB4">
        <w:rPr>
          <w:bCs/>
        </w:rPr>
        <w:t>inadequate</w:t>
      </w:r>
      <w:r w:rsidR="00932587" w:rsidRPr="00785FB4">
        <w:rPr>
          <w:b/>
          <w:bCs/>
        </w:rPr>
        <w:t xml:space="preserve"> </w:t>
      </w:r>
      <w:r w:rsidRPr="00785FB4">
        <w:rPr>
          <w:color w:val="000000" w:themeColor="text1"/>
          <w:lang w:eastAsia="x-none"/>
        </w:rPr>
        <w:t xml:space="preserve">progress </w:t>
      </w:r>
      <w:r w:rsidRPr="00785FB4">
        <w:rPr>
          <w:color w:val="000000" w:themeColor="text1"/>
          <w:lang w:eastAsia="x-none"/>
        </w:rPr>
        <w:lastRenderedPageBreak/>
        <w:t xml:space="preserve">towards meeting this requirement. </w:t>
      </w:r>
      <w:r w:rsidR="00CB077C" w:rsidRPr="00785FB4">
        <w:t xml:space="preserve">The 2014-15 EITI Report </w:t>
      </w:r>
      <w:r w:rsidR="00D46CEB" w:rsidRPr="00785FB4">
        <w:t xml:space="preserve">lists 30 mining licenses awarded in the period under review, but does not clarify </w:t>
      </w:r>
      <w:r w:rsidR="007439C0" w:rsidRPr="00785FB4">
        <w:t xml:space="preserve">the procedures followed for their award in practice. It is unclear whether any mining licenses were transferred in this period. </w:t>
      </w:r>
      <w:r w:rsidR="00AD3FE7" w:rsidRPr="00785FB4">
        <w:t>The report provides general descriptions of the process for awarding mining licenses and hydrocarbons contracts</w:t>
      </w:r>
      <w:r w:rsidR="00746C37" w:rsidRPr="00785FB4">
        <w:t xml:space="preserve"> through competitive bidding</w:t>
      </w:r>
      <w:r w:rsidR="00AD3FE7" w:rsidRPr="00785FB4">
        <w:t xml:space="preserve">, </w:t>
      </w:r>
      <w:r w:rsidR="00746C37" w:rsidRPr="00785FB4">
        <w:t xml:space="preserve">but not </w:t>
      </w:r>
      <w:r w:rsidR="007439C0" w:rsidRPr="00785FB4">
        <w:t xml:space="preserve">of the process for </w:t>
      </w:r>
      <w:r w:rsidR="00746C37" w:rsidRPr="00785FB4">
        <w:t>t</w:t>
      </w:r>
      <w:r w:rsidR="007439C0" w:rsidRPr="00785FB4">
        <w:t>ransfer licenses</w:t>
      </w:r>
      <w:r w:rsidR="00746C37" w:rsidRPr="00785FB4">
        <w:t>. The report only refers to the existence of bid criteria for license awards</w:t>
      </w:r>
      <w:r w:rsidR="00D40C6D" w:rsidRPr="00785FB4">
        <w:t xml:space="preserve"> and</w:t>
      </w:r>
      <w:r w:rsidR="00746C37" w:rsidRPr="00785FB4">
        <w:t xml:space="preserve"> does not describe technical and financial criteria nor provide guidance on accessing bid criteria </w:t>
      </w:r>
      <w:r w:rsidR="00D40C6D" w:rsidRPr="00785FB4">
        <w:t xml:space="preserve">or </w:t>
      </w:r>
      <w:r w:rsidR="00746C37" w:rsidRPr="00785FB4">
        <w:t xml:space="preserve">a list of unsuccessful bidders for the 30 mining licenses awarded in 2014-15. </w:t>
      </w:r>
      <w:r w:rsidR="007439C0" w:rsidRPr="00785FB4">
        <w:t xml:space="preserve">While the report does not clearly state whether any hydrocarbons contracts were awarded or transferred in 2014-15, there is no indication of any award or transfer of oil and gas licenses in the period under review. </w:t>
      </w:r>
    </w:p>
    <w:p w14:paraId="3A382935" w14:textId="5A60A340" w:rsidR="00746C37" w:rsidRPr="00785FB4" w:rsidRDefault="00746C37" w:rsidP="007D0428">
      <w:pPr>
        <w:spacing w:before="120"/>
      </w:pPr>
      <w:r w:rsidRPr="00785FB4">
        <w:t xml:space="preserve">In </w:t>
      </w:r>
      <w:r w:rsidR="005649B0" w:rsidRPr="00785FB4">
        <w:t xml:space="preserve">accordance </w:t>
      </w:r>
      <w:r w:rsidRPr="00785FB4">
        <w:t>with Re</w:t>
      </w:r>
      <w:r w:rsidR="00CE3E32" w:rsidRPr="00785FB4">
        <w:t xml:space="preserve">quirement 2.2, </w:t>
      </w:r>
      <w:r w:rsidR="008F648D" w:rsidRPr="00785FB4">
        <w:t xml:space="preserve">Afghanistan </w:t>
      </w:r>
      <w:r w:rsidR="00CE3E32" w:rsidRPr="00785FB4">
        <w:t xml:space="preserve">should ensure that </w:t>
      </w:r>
      <w:r w:rsidR="00542049" w:rsidRPr="00785FB4">
        <w:t xml:space="preserve">the number of licenses awarded and transferred in the year(s) under review in both mining and oil and gas be publicly accessible, alongside a description of the actual </w:t>
      </w:r>
      <w:r w:rsidR="00F84F0F" w:rsidRPr="00785FB4">
        <w:t xml:space="preserve">allocation and transfer </w:t>
      </w:r>
      <w:r w:rsidR="00542049" w:rsidRPr="00785FB4">
        <w:t>process</w:t>
      </w:r>
      <w:r w:rsidR="00B2371F" w:rsidRPr="00785FB4">
        <w:t xml:space="preserve"> (including the roles of relevant government entities)</w:t>
      </w:r>
      <w:r w:rsidR="00803981" w:rsidRPr="00785FB4">
        <w:t xml:space="preserve"> </w:t>
      </w:r>
      <w:r w:rsidR="00542049" w:rsidRPr="00785FB4">
        <w:t xml:space="preserve">and any non-trivial deviations </w:t>
      </w:r>
      <w:r w:rsidR="00F84F0F" w:rsidRPr="00785FB4">
        <w:t xml:space="preserve">from statutory procedures </w:t>
      </w:r>
      <w:r w:rsidR="00542049" w:rsidRPr="00785FB4">
        <w:t>in practice</w:t>
      </w:r>
      <w:r w:rsidR="00F84F0F" w:rsidRPr="00785FB4">
        <w:t xml:space="preserve">. </w:t>
      </w:r>
      <w:r w:rsidR="008F648D" w:rsidRPr="00785FB4">
        <w:t xml:space="preserve">Afghanistan </w:t>
      </w:r>
      <w:r w:rsidR="00803981" w:rsidRPr="00785FB4">
        <w:t xml:space="preserve">should clarify the technical and financial criteria (and their weightings) used for assessing license allocations and transfers. </w:t>
      </w:r>
      <w:r w:rsidR="008F648D" w:rsidRPr="00785FB4">
        <w:t xml:space="preserve">Afghanistan </w:t>
      </w:r>
      <w:r w:rsidR="00803981" w:rsidRPr="00785FB4">
        <w:t>may also wish to comment on the efficiency of the current license allocation and transfer system as a means of clarifying procedures and curbing non-trivial deviations.</w:t>
      </w:r>
    </w:p>
    <w:p w14:paraId="6BE69D43" w14:textId="28554F70" w:rsidR="00F425D1" w:rsidRPr="00785FB4" w:rsidRDefault="00F425D1" w:rsidP="00A94167">
      <w:pPr>
        <w:pStyle w:val="Heading2notindexed"/>
      </w:pPr>
      <w:bookmarkStart w:id="209" w:name="_Toc459133103"/>
      <w:bookmarkStart w:id="210" w:name="_Toc461803052"/>
      <w:bookmarkStart w:id="211" w:name="_Toc461787327"/>
      <w:bookmarkStart w:id="212" w:name="_Toc461795839"/>
      <w:bookmarkStart w:id="213" w:name="_Toc505449600"/>
      <w:bookmarkStart w:id="214" w:name="_Toc505449789"/>
      <w:r w:rsidRPr="00785FB4">
        <w:t>License registers (#2.3)</w:t>
      </w:r>
      <w:bookmarkEnd w:id="209"/>
      <w:bookmarkEnd w:id="210"/>
      <w:bookmarkEnd w:id="211"/>
      <w:bookmarkEnd w:id="212"/>
      <w:bookmarkEnd w:id="213"/>
      <w:bookmarkEnd w:id="214"/>
    </w:p>
    <w:p w14:paraId="11D7194F" w14:textId="1D7E14FD" w:rsidR="0017680B" w:rsidRPr="00785FB4" w:rsidRDefault="00F425D1" w:rsidP="00A94167">
      <w:pPr>
        <w:pStyle w:val="Heading3"/>
      </w:pPr>
      <w:bookmarkStart w:id="215" w:name="_Toc505449601"/>
      <w:r w:rsidRPr="00785FB4">
        <w:t>Documentation of progress</w:t>
      </w:r>
      <w:bookmarkEnd w:id="215"/>
    </w:p>
    <w:p w14:paraId="7F9AA4D8" w14:textId="3ECB7893" w:rsidR="00EE4E3C" w:rsidRPr="00785FB4" w:rsidRDefault="00F425D1" w:rsidP="00151988">
      <w:pPr>
        <w:spacing w:before="120"/>
      </w:pPr>
      <w:r w:rsidRPr="00785FB4">
        <w:rPr>
          <w:i/>
          <w:u w:val="single"/>
        </w:rPr>
        <w:t>Licenses held by material companies</w:t>
      </w:r>
      <w:r w:rsidRPr="00785FB4">
        <w:t xml:space="preserve">: </w:t>
      </w:r>
      <w:r w:rsidR="00977DAF" w:rsidRPr="00785FB4">
        <w:t>The 2014-15 EITI R</w:t>
      </w:r>
      <w:r w:rsidR="00A80867" w:rsidRPr="00785FB4">
        <w:t xml:space="preserve">eport </w:t>
      </w:r>
      <w:r w:rsidR="00DB7629" w:rsidRPr="00785FB4">
        <w:t xml:space="preserve">explains that the IA received two lists of </w:t>
      </w:r>
      <w:r w:rsidR="00DB7629" w:rsidRPr="00785FB4">
        <w:rPr>
          <w:i/>
        </w:rPr>
        <w:t>mining</w:t>
      </w:r>
      <w:r w:rsidR="00DB7629" w:rsidRPr="00785FB4">
        <w:t xml:space="preserve"> licenses for 2014</w:t>
      </w:r>
      <w:r w:rsidR="008704C0" w:rsidRPr="00785FB4">
        <w:t>-15</w:t>
      </w:r>
      <w:r w:rsidR="00DB7629" w:rsidRPr="00785FB4">
        <w:t xml:space="preserve"> f</w:t>
      </w:r>
      <w:r w:rsidR="00973F40" w:rsidRPr="00785FB4">
        <w:t xml:space="preserve">rom </w:t>
      </w:r>
      <w:r w:rsidR="00DB56BA" w:rsidRPr="00785FB4">
        <w:t>MOMP</w:t>
      </w:r>
      <w:r w:rsidR="00973F40" w:rsidRPr="00785FB4">
        <w:t xml:space="preserve"> (one in English,</w:t>
      </w:r>
      <w:r w:rsidR="00DB7629" w:rsidRPr="00785FB4">
        <w:t xml:space="preserve"> one in Dari) and highlights </w:t>
      </w:r>
      <w:r w:rsidR="009E46A1" w:rsidRPr="00785FB4">
        <w:t xml:space="preserve">the existence of </w:t>
      </w:r>
      <w:r w:rsidR="00DB7629" w:rsidRPr="00785FB4">
        <w:t xml:space="preserve">discrepancies </w:t>
      </w:r>
      <w:r w:rsidR="009E46A1" w:rsidRPr="00785FB4">
        <w:t>in the</w:t>
      </w:r>
      <w:r w:rsidR="00E14F04" w:rsidRPr="00785FB4">
        <w:t xml:space="preserve"> general</w:t>
      </w:r>
      <w:r w:rsidR="009E46A1" w:rsidRPr="00785FB4">
        <w:t xml:space="preserve"> number of licenses </w:t>
      </w:r>
      <w:r w:rsidR="00DB7629" w:rsidRPr="00785FB4">
        <w:t xml:space="preserve">between the two lists (p.32). </w:t>
      </w:r>
      <w:r w:rsidR="00977DAF" w:rsidRPr="00785FB4">
        <w:t xml:space="preserve">The report provides the English and Dari license registers in Appendices </w:t>
      </w:r>
      <w:r w:rsidR="00576072" w:rsidRPr="00785FB4">
        <w:t>9.3-9.</w:t>
      </w:r>
      <w:r w:rsidR="00AB519A" w:rsidRPr="00785FB4">
        <w:t xml:space="preserve">4 </w:t>
      </w:r>
      <w:r w:rsidR="00576072" w:rsidRPr="00785FB4">
        <w:t>and 9.5</w:t>
      </w:r>
      <w:r w:rsidR="006C65D2" w:rsidRPr="00785FB4">
        <w:t>, listing 302 licenses in the English version and 438 licenses in the Dari register</w:t>
      </w:r>
      <w:r w:rsidR="00563226" w:rsidRPr="00785FB4">
        <w:t xml:space="preserve"> (a/pp.78-98)</w:t>
      </w:r>
      <w:r w:rsidR="00576072" w:rsidRPr="00785FB4">
        <w:t xml:space="preserve">. </w:t>
      </w:r>
      <w:r w:rsidR="00EE4E3C" w:rsidRPr="00785FB4">
        <w:t xml:space="preserve">For </w:t>
      </w:r>
      <w:r w:rsidR="00EE4E3C" w:rsidRPr="00785FB4">
        <w:rPr>
          <w:i/>
        </w:rPr>
        <w:t>oil and gas</w:t>
      </w:r>
      <w:r w:rsidR="00EE4E3C" w:rsidRPr="00785FB4">
        <w:t xml:space="preserve">, the report provides links to the full text of three oil and gas contracts (on the </w:t>
      </w:r>
      <w:r w:rsidR="00DB56BA" w:rsidRPr="00785FB4">
        <w:t>MOMP</w:t>
      </w:r>
      <w:r w:rsidR="00EE4E3C" w:rsidRPr="00785FB4">
        <w:t xml:space="preserve"> website) (p.32)</w:t>
      </w:r>
      <w:r w:rsidR="007A2C3B" w:rsidRPr="00785FB4">
        <w:t xml:space="preserve">, but does not clarify </w:t>
      </w:r>
      <w:r w:rsidR="00026960" w:rsidRPr="00785FB4">
        <w:t xml:space="preserve">whether there were any further </w:t>
      </w:r>
      <w:r w:rsidR="007A2C3B" w:rsidRPr="00785FB4">
        <w:t>oil and gas licenses active in 2014-15</w:t>
      </w:r>
      <w:r w:rsidR="00EE4E3C" w:rsidRPr="00785FB4">
        <w:t xml:space="preserve">. </w:t>
      </w:r>
    </w:p>
    <w:p w14:paraId="7A87E1A8" w14:textId="30B9D215" w:rsidR="00F425D1" w:rsidRPr="00785FB4" w:rsidRDefault="00F425D1" w:rsidP="00F425D1">
      <w:pPr>
        <w:spacing w:before="120"/>
      </w:pPr>
      <w:r w:rsidRPr="00785FB4">
        <w:rPr>
          <w:i/>
          <w:u w:val="single"/>
        </w:rPr>
        <w:t>License-holder names</w:t>
      </w:r>
      <w:r w:rsidRPr="00785FB4">
        <w:t xml:space="preserve">: </w:t>
      </w:r>
      <w:r w:rsidR="00481BB6" w:rsidRPr="00785FB4">
        <w:t xml:space="preserve">In </w:t>
      </w:r>
      <w:r w:rsidR="00481BB6" w:rsidRPr="00785FB4">
        <w:rPr>
          <w:i/>
        </w:rPr>
        <w:t>mining</w:t>
      </w:r>
      <w:r w:rsidR="00481BB6" w:rsidRPr="00785FB4">
        <w:t>, d</w:t>
      </w:r>
      <w:r w:rsidR="00EE4E3C" w:rsidRPr="00785FB4">
        <w:t xml:space="preserve">espite inconsistencies between the two license databases, the report provides the license-holder names for all 302 </w:t>
      </w:r>
      <w:r w:rsidR="00513291" w:rsidRPr="00785FB4">
        <w:t xml:space="preserve">mining </w:t>
      </w:r>
      <w:r w:rsidR="00EE4E3C" w:rsidRPr="00785FB4">
        <w:t xml:space="preserve">licenses in the English </w:t>
      </w:r>
      <w:r w:rsidR="00DB56BA" w:rsidRPr="00785FB4">
        <w:t>MOMP</w:t>
      </w:r>
      <w:r w:rsidR="00EE4E3C" w:rsidRPr="00785FB4">
        <w:t xml:space="preserve"> database (a/pp.78-86) and the 438 </w:t>
      </w:r>
      <w:r w:rsidR="00513291" w:rsidRPr="00785FB4">
        <w:t xml:space="preserve">mining </w:t>
      </w:r>
      <w:r w:rsidR="00EE4E3C" w:rsidRPr="00785FB4">
        <w:t xml:space="preserve">licenses in the Dari </w:t>
      </w:r>
      <w:r w:rsidR="00DB56BA" w:rsidRPr="00785FB4">
        <w:t>MOMP</w:t>
      </w:r>
      <w:r w:rsidR="00EE4E3C" w:rsidRPr="00785FB4">
        <w:t xml:space="preserve"> database (a/pp.87-98).</w:t>
      </w:r>
      <w:r w:rsidR="00DB1974" w:rsidRPr="00785FB4">
        <w:t xml:space="preserve"> For </w:t>
      </w:r>
      <w:r w:rsidR="00DB1974" w:rsidRPr="00785FB4">
        <w:rPr>
          <w:i/>
        </w:rPr>
        <w:t>oil and gas</w:t>
      </w:r>
      <w:r w:rsidR="00DB1974" w:rsidRPr="00785FB4">
        <w:t xml:space="preserve">, the report </w:t>
      </w:r>
      <w:r w:rsidR="00144A51" w:rsidRPr="00785FB4">
        <w:t xml:space="preserve">provides links </w:t>
      </w:r>
      <w:r w:rsidR="00DB1974" w:rsidRPr="00785FB4">
        <w:t xml:space="preserve">to three </w:t>
      </w:r>
      <w:r w:rsidR="00144A51" w:rsidRPr="00785FB4">
        <w:t xml:space="preserve">PSCs on the </w:t>
      </w:r>
      <w:r w:rsidR="00DB56BA" w:rsidRPr="00785FB4">
        <w:t>MOMP</w:t>
      </w:r>
      <w:r w:rsidR="00144A51" w:rsidRPr="00785FB4">
        <w:t xml:space="preserve"> website, from which </w:t>
      </w:r>
      <w:r w:rsidR="00CD75B0" w:rsidRPr="00785FB4">
        <w:t xml:space="preserve">the names of parties to the contracts are available (p.32). </w:t>
      </w:r>
    </w:p>
    <w:p w14:paraId="49E8E3CA" w14:textId="1B5125EC" w:rsidR="00F425D1" w:rsidRPr="00785FB4" w:rsidRDefault="00F425D1" w:rsidP="00F425D1">
      <w:pPr>
        <w:spacing w:before="120"/>
      </w:pPr>
      <w:r w:rsidRPr="00785FB4">
        <w:rPr>
          <w:i/>
          <w:color w:val="000000" w:themeColor="text1"/>
          <w:u w:val="single"/>
        </w:rPr>
        <w:t>License coordinates</w:t>
      </w:r>
      <w:r w:rsidRPr="00785FB4">
        <w:rPr>
          <w:color w:val="000000" w:themeColor="text1"/>
        </w:rPr>
        <w:t xml:space="preserve">: </w:t>
      </w:r>
      <w:r w:rsidR="00827C67" w:rsidRPr="00785FB4">
        <w:rPr>
          <w:color w:val="000000" w:themeColor="text1"/>
        </w:rPr>
        <w:t xml:space="preserve">The report does not provide guidance on accessing coordinates of any of the </w:t>
      </w:r>
      <w:r w:rsidR="00827C67" w:rsidRPr="00785FB4">
        <w:rPr>
          <w:i/>
          <w:color w:val="000000" w:themeColor="text1"/>
        </w:rPr>
        <w:t>mining</w:t>
      </w:r>
      <w:r w:rsidR="00827C67" w:rsidRPr="00785FB4">
        <w:rPr>
          <w:color w:val="000000" w:themeColor="text1"/>
        </w:rPr>
        <w:t xml:space="preserve"> licenses in either </w:t>
      </w:r>
      <w:r w:rsidR="00DB56BA" w:rsidRPr="00785FB4">
        <w:rPr>
          <w:color w:val="000000" w:themeColor="text1"/>
        </w:rPr>
        <w:t>MOMP</w:t>
      </w:r>
      <w:r w:rsidR="00827C67" w:rsidRPr="00785FB4">
        <w:rPr>
          <w:color w:val="000000" w:themeColor="text1"/>
        </w:rPr>
        <w:t xml:space="preserve"> database provided in Appendices 9.3-9.5</w:t>
      </w:r>
      <w:r w:rsidR="00B7275E" w:rsidRPr="00785FB4">
        <w:rPr>
          <w:color w:val="000000" w:themeColor="text1"/>
        </w:rPr>
        <w:t>, aside from the general name of the license location</w:t>
      </w:r>
      <w:r w:rsidR="00026960" w:rsidRPr="00785FB4">
        <w:rPr>
          <w:color w:val="000000" w:themeColor="text1"/>
        </w:rPr>
        <w:t xml:space="preserve"> in the English database</w:t>
      </w:r>
      <w:r w:rsidR="00B7275E" w:rsidRPr="00785FB4">
        <w:rPr>
          <w:color w:val="000000" w:themeColor="text1"/>
        </w:rPr>
        <w:t xml:space="preserve"> </w:t>
      </w:r>
      <w:r w:rsidR="00B7275E" w:rsidRPr="00785FB4">
        <w:t>(a/pp.78-98)</w:t>
      </w:r>
      <w:r w:rsidR="00827C67" w:rsidRPr="00785FB4">
        <w:rPr>
          <w:color w:val="000000" w:themeColor="text1"/>
        </w:rPr>
        <w:t xml:space="preserve">. </w:t>
      </w:r>
      <w:r w:rsidR="00827C67" w:rsidRPr="00785FB4">
        <w:t xml:space="preserve">For </w:t>
      </w:r>
      <w:r w:rsidR="00827C67" w:rsidRPr="00785FB4">
        <w:rPr>
          <w:i/>
        </w:rPr>
        <w:t>oil and gas</w:t>
      </w:r>
      <w:r w:rsidR="00827C67" w:rsidRPr="00785FB4">
        <w:t xml:space="preserve"> however, the report provides links to three PSCs on the </w:t>
      </w:r>
      <w:r w:rsidR="00DB56BA" w:rsidRPr="00785FB4">
        <w:t>MOMP</w:t>
      </w:r>
      <w:r w:rsidR="00827C67" w:rsidRPr="00785FB4">
        <w:t xml:space="preserve"> website, which include coordinates of the three blocks (p.32).</w:t>
      </w:r>
    </w:p>
    <w:p w14:paraId="06779CAB" w14:textId="29537692" w:rsidR="00F425D1" w:rsidRPr="00785FB4" w:rsidRDefault="00F425D1" w:rsidP="00F425D1">
      <w:pPr>
        <w:spacing w:before="120"/>
        <w:rPr>
          <w:color w:val="000000" w:themeColor="text1"/>
        </w:rPr>
      </w:pPr>
      <w:r w:rsidRPr="00785FB4">
        <w:rPr>
          <w:i/>
          <w:u w:val="single"/>
        </w:rPr>
        <w:t>Dates</w:t>
      </w:r>
      <w:r w:rsidRPr="00785FB4">
        <w:t xml:space="preserve">: </w:t>
      </w:r>
      <w:r w:rsidR="00F615E1" w:rsidRPr="00785FB4">
        <w:t xml:space="preserve">In </w:t>
      </w:r>
      <w:r w:rsidR="00F615E1" w:rsidRPr="00785FB4">
        <w:rPr>
          <w:i/>
        </w:rPr>
        <w:t>mining</w:t>
      </w:r>
      <w:r w:rsidR="00F615E1" w:rsidRPr="00785FB4">
        <w:t>, t</w:t>
      </w:r>
      <w:r w:rsidR="000302E6" w:rsidRPr="00785FB4">
        <w:t xml:space="preserve">he English </w:t>
      </w:r>
      <w:r w:rsidR="00DB56BA" w:rsidRPr="00785FB4">
        <w:t>MOMP</w:t>
      </w:r>
      <w:r w:rsidR="00F45807" w:rsidRPr="00785FB4">
        <w:t xml:space="preserve"> database of 302 licenses </w:t>
      </w:r>
      <w:r w:rsidR="000302E6" w:rsidRPr="00785FB4">
        <w:t xml:space="preserve">in Appendices 9.3-9.4 provides dates of </w:t>
      </w:r>
      <w:r w:rsidR="005812C5" w:rsidRPr="00785FB4">
        <w:t xml:space="preserve">“enforcement” (understood to mean dates of </w:t>
      </w:r>
      <w:r w:rsidR="000302E6" w:rsidRPr="00785FB4">
        <w:t>award</w:t>
      </w:r>
      <w:r w:rsidR="005812C5" w:rsidRPr="00785FB4">
        <w:t>)</w:t>
      </w:r>
      <w:r w:rsidR="000302E6" w:rsidRPr="00785FB4">
        <w:t xml:space="preserve"> and expiry, but no dates of application (a/pp.78-86). The Dari </w:t>
      </w:r>
      <w:r w:rsidR="00DB56BA" w:rsidRPr="00785FB4">
        <w:t>MOMP</w:t>
      </w:r>
      <w:r w:rsidR="00F45807" w:rsidRPr="00785FB4">
        <w:t xml:space="preserve"> database of 438 </w:t>
      </w:r>
      <w:r w:rsidR="000302E6" w:rsidRPr="00785FB4">
        <w:t>license</w:t>
      </w:r>
      <w:r w:rsidR="00F45807" w:rsidRPr="00785FB4">
        <w:t>s</w:t>
      </w:r>
      <w:r w:rsidR="000302E6" w:rsidRPr="00785FB4">
        <w:t xml:space="preserve"> in Appendix 9.5 provides date of award</w:t>
      </w:r>
      <w:r w:rsidR="00F45807" w:rsidRPr="00785FB4">
        <w:t>,</w:t>
      </w:r>
      <w:r w:rsidR="000302E6" w:rsidRPr="00785FB4">
        <w:t xml:space="preserve"> but no dates of application or expiry (a/pp.87-98).</w:t>
      </w:r>
      <w:r w:rsidR="00F615E1" w:rsidRPr="00785FB4">
        <w:t xml:space="preserve"> In </w:t>
      </w:r>
      <w:r w:rsidR="00F615E1" w:rsidRPr="00785FB4">
        <w:rPr>
          <w:i/>
        </w:rPr>
        <w:t>oil and gas</w:t>
      </w:r>
      <w:r w:rsidR="00F615E1" w:rsidRPr="00785FB4">
        <w:t xml:space="preserve">, the three PSCs to which links are provided in the EITI </w:t>
      </w:r>
      <w:r w:rsidR="00F615E1" w:rsidRPr="00785FB4">
        <w:lastRenderedPageBreak/>
        <w:t xml:space="preserve">Report (p.32) include the dates of award and period of </w:t>
      </w:r>
      <w:r w:rsidR="00464CF6" w:rsidRPr="00785FB4">
        <w:t>validity</w:t>
      </w:r>
      <w:r w:rsidR="00F615E1" w:rsidRPr="00785FB4">
        <w:t xml:space="preserve">, but do not provide the dates of application for the three oil and gas licenses. </w:t>
      </w:r>
      <w:r w:rsidR="00673EB3" w:rsidRPr="00785FB4">
        <w:t xml:space="preserve">However, the </w:t>
      </w:r>
      <w:r w:rsidR="00DB56BA" w:rsidRPr="00785FB4">
        <w:t>MOMP</w:t>
      </w:r>
      <w:r w:rsidR="00673EB3" w:rsidRPr="00785FB4">
        <w:t xml:space="preserve"> website provides an overview of the tender process for the Amu Darya PSC, where the date of application is accessible.</w:t>
      </w:r>
      <w:r w:rsidR="00673EB3" w:rsidRPr="00785FB4">
        <w:rPr>
          <w:rStyle w:val="FootnoteReference"/>
        </w:rPr>
        <w:footnoteReference w:id="139"/>
      </w:r>
    </w:p>
    <w:p w14:paraId="35C20F42" w14:textId="3FC74F97" w:rsidR="00F425D1" w:rsidRPr="00785FB4" w:rsidRDefault="00F425D1" w:rsidP="00F425D1">
      <w:pPr>
        <w:spacing w:before="120"/>
      </w:pPr>
      <w:r w:rsidRPr="00785FB4">
        <w:rPr>
          <w:i/>
          <w:u w:val="single"/>
        </w:rPr>
        <w:t>Commodity</w:t>
      </w:r>
      <w:r w:rsidRPr="00785FB4">
        <w:t xml:space="preserve">: </w:t>
      </w:r>
      <w:r w:rsidR="00FA1636" w:rsidRPr="00785FB4">
        <w:t xml:space="preserve">Both the English and Dari license registers in Appendices 9.3-9.5 provide the commodity(ies) covered by each mining license (a/pp.78-98). </w:t>
      </w:r>
      <w:r w:rsidR="002E75CB" w:rsidRPr="00785FB4">
        <w:t>The report provides links to the three oil and gas PSCs</w:t>
      </w:r>
      <w:r w:rsidR="00CF4CF0" w:rsidRPr="00785FB4">
        <w:t xml:space="preserve">, which confirm that the licenses </w:t>
      </w:r>
      <w:r w:rsidR="008F630B" w:rsidRPr="00785FB4">
        <w:t>cover both oil and natural gas (p.32).</w:t>
      </w:r>
    </w:p>
    <w:p w14:paraId="70D02739" w14:textId="7C271114" w:rsidR="00F425D1" w:rsidRPr="00785FB4" w:rsidRDefault="00F425D1" w:rsidP="00A961ED">
      <w:pPr>
        <w:spacing w:before="120"/>
        <w:rPr>
          <w:bCs/>
        </w:rPr>
      </w:pPr>
      <w:r w:rsidRPr="00785FB4">
        <w:rPr>
          <w:i/>
          <w:u w:val="single"/>
        </w:rPr>
        <w:t>Licenses held by non-material companies:</w:t>
      </w:r>
      <w:r w:rsidRPr="00785FB4">
        <w:t xml:space="preserve"> </w:t>
      </w:r>
      <w:r w:rsidR="00CB3289" w:rsidRPr="00785FB4">
        <w:t>The report provides information on licenses held by non-material companies and individuals, despite significant inconsistencies in the two</w:t>
      </w:r>
      <w:r w:rsidR="002B2DA9" w:rsidRPr="00785FB4">
        <w:t xml:space="preserve"> mining</w:t>
      </w:r>
      <w:r w:rsidR="00CB3289" w:rsidRPr="00785FB4">
        <w:t xml:space="preserve"> license databases provided. </w:t>
      </w:r>
    </w:p>
    <w:p w14:paraId="5BF4289D" w14:textId="7EEF10FA" w:rsidR="005A2073" w:rsidRPr="00785FB4" w:rsidRDefault="00F425D1" w:rsidP="00F425D1">
      <w:pPr>
        <w:spacing w:before="120"/>
      </w:pPr>
      <w:r w:rsidRPr="00785FB4">
        <w:rPr>
          <w:i/>
          <w:u w:val="single"/>
        </w:rPr>
        <w:t>Public cadastre</w:t>
      </w:r>
      <w:r w:rsidRPr="00785FB4">
        <w:rPr>
          <w:u w:val="single"/>
        </w:rPr>
        <w:t>/register</w:t>
      </w:r>
      <w:r w:rsidRPr="00785FB4">
        <w:t xml:space="preserve">: </w:t>
      </w:r>
      <w:r w:rsidR="00013CF8" w:rsidRPr="00785FB4">
        <w:t xml:space="preserve">For </w:t>
      </w:r>
      <w:r w:rsidR="00013CF8" w:rsidRPr="00785FB4">
        <w:rPr>
          <w:i/>
        </w:rPr>
        <w:t>mining</w:t>
      </w:r>
      <w:r w:rsidR="00013CF8" w:rsidRPr="00785FB4">
        <w:t xml:space="preserve">, the report provides a description of the </w:t>
      </w:r>
      <w:r w:rsidR="00DB56BA" w:rsidRPr="00785FB4">
        <w:t>MOMP</w:t>
      </w:r>
      <w:r w:rsidR="00013CF8" w:rsidRPr="00785FB4">
        <w:t xml:space="preserve">’s cadastral management, raising concerns over government record-keeping and quality assurance. It explains that mining license records are kept manually by the </w:t>
      </w:r>
      <w:r w:rsidR="00DB56BA" w:rsidRPr="00785FB4">
        <w:t>MOMP</w:t>
      </w:r>
      <w:r w:rsidR="00013CF8" w:rsidRPr="00785FB4">
        <w:t xml:space="preserve"> headquarters and provincial offices, and notes that the </w:t>
      </w:r>
      <w:r w:rsidR="005A1ACE" w:rsidRPr="00785FB4">
        <w:t>cadastre</w:t>
      </w:r>
      <w:r w:rsidR="00013CF8" w:rsidRPr="00785FB4">
        <w:t xml:space="preserve"> is incomplete and outdated (pp.16-17). </w:t>
      </w:r>
      <w:r w:rsidR="00026960" w:rsidRPr="00785FB4">
        <w:t>T</w:t>
      </w:r>
      <w:r w:rsidR="00013CF8" w:rsidRPr="00785FB4">
        <w:t xml:space="preserve">he report </w:t>
      </w:r>
      <w:r w:rsidR="00026960" w:rsidRPr="00785FB4">
        <w:t xml:space="preserve">also </w:t>
      </w:r>
      <w:r w:rsidR="00013CF8" w:rsidRPr="00785FB4">
        <w:t>notes inconsistencies in license information provided from different government sources</w:t>
      </w:r>
      <w:r w:rsidR="007544C7" w:rsidRPr="00785FB4">
        <w:t xml:space="preserve"> (including </w:t>
      </w:r>
      <w:r w:rsidR="00DB56BA" w:rsidRPr="00785FB4">
        <w:t>MOMP</w:t>
      </w:r>
      <w:r w:rsidR="007544C7" w:rsidRPr="00785FB4">
        <w:t xml:space="preserve"> and </w:t>
      </w:r>
      <w:r w:rsidR="00DB56BA" w:rsidRPr="00785FB4">
        <w:t>MOF</w:t>
      </w:r>
      <w:r w:rsidR="007544C7" w:rsidRPr="00785FB4">
        <w:t>)</w:t>
      </w:r>
      <w:r w:rsidR="00013CF8" w:rsidRPr="00785FB4">
        <w:t xml:space="preserve"> and </w:t>
      </w:r>
      <w:r w:rsidR="00026960" w:rsidRPr="00785FB4">
        <w:t xml:space="preserve">concludes </w:t>
      </w:r>
      <w:r w:rsidR="00013CF8" w:rsidRPr="00785FB4">
        <w:t>that cadastral management systems “did not appear to be robust” (pp.16-17</w:t>
      </w:r>
      <w:r w:rsidR="007544C7" w:rsidRPr="00785FB4">
        <w:t>,47</w:t>
      </w:r>
      <w:r w:rsidR="00013CF8" w:rsidRPr="00785FB4">
        <w:t xml:space="preserve">). </w:t>
      </w:r>
      <w:r w:rsidR="007544C7" w:rsidRPr="00785FB4">
        <w:rPr>
          <w:bCs/>
        </w:rPr>
        <w:t xml:space="preserve">For </w:t>
      </w:r>
      <w:r w:rsidR="007544C7" w:rsidRPr="00785FB4">
        <w:rPr>
          <w:bCs/>
          <w:i/>
        </w:rPr>
        <w:t>oil and gas</w:t>
      </w:r>
      <w:r w:rsidR="007544C7" w:rsidRPr="00785FB4">
        <w:rPr>
          <w:bCs/>
        </w:rPr>
        <w:t xml:space="preserve">, </w:t>
      </w:r>
      <w:r w:rsidR="009B06F4" w:rsidRPr="00785FB4">
        <w:rPr>
          <w:bCs/>
        </w:rPr>
        <w:t xml:space="preserve">the report </w:t>
      </w:r>
      <w:r w:rsidR="005238B2" w:rsidRPr="00785FB4">
        <w:rPr>
          <w:bCs/>
        </w:rPr>
        <w:t xml:space="preserve">explains that the </w:t>
      </w:r>
      <w:r w:rsidR="00DB56BA" w:rsidRPr="00785FB4">
        <w:rPr>
          <w:bCs/>
        </w:rPr>
        <w:t>MOMP</w:t>
      </w:r>
      <w:r w:rsidR="005649B0" w:rsidRPr="00785FB4">
        <w:rPr>
          <w:bCs/>
        </w:rPr>
        <w:t xml:space="preserve">’s </w:t>
      </w:r>
      <w:r w:rsidR="005238B2" w:rsidRPr="00785FB4">
        <w:rPr>
          <w:bCs/>
        </w:rPr>
        <w:t xml:space="preserve">hydrocarbons register </w:t>
      </w:r>
      <w:r w:rsidR="005649B0" w:rsidRPr="00785FB4">
        <w:rPr>
          <w:bCs/>
        </w:rPr>
        <w:t>is accessible to the public upon request free of charge (with</w:t>
      </w:r>
      <w:r w:rsidR="005812C5" w:rsidRPr="00785FB4">
        <w:rPr>
          <w:bCs/>
        </w:rPr>
        <w:t xml:space="preserve"> printed</w:t>
      </w:r>
      <w:r w:rsidR="005649B0" w:rsidRPr="00785FB4">
        <w:rPr>
          <w:bCs/>
        </w:rPr>
        <w:t xml:space="preserve"> copies</w:t>
      </w:r>
      <w:r w:rsidR="005812C5" w:rsidRPr="00785FB4">
        <w:rPr>
          <w:bCs/>
        </w:rPr>
        <w:t xml:space="preserve"> of data</w:t>
      </w:r>
      <w:r w:rsidR="005649B0" w:rsidRPr="00785FB4">
        <w:rPr>
          <w:bCs/>
        </w:rPr>
        <w:t xml:space="preserve"> available at a fee)</w:t>
      </w:r>
      <w:r w:rsidR="005649B0" w:rsidRPr="00785FB4">
        <w:t xml:space="preserve"> (p.30). </w:t>
      </w:r>
    </w:p>
    <w:p w14:paraId="1CFA3F6A" w14:textId="6A07A3B0" w:rsidR="0017680B" w:rsidRPr="00785FB4" w:rsidRDefault="00F425D1" w:rsidP="00A94167">
      <w:pPr>
        <w:pStyle w:val="Heading3"/>
      </w:pPr>
      <w:bookmarkStart w:id="216" w:name="_Toc505449602"/>
      <w:r w:rsidRPr="00785FB4">
        <w:t>Stakeholder views</w:t>
      </w:r>
      <w:bookmarkEnd w:id="216"/>
    </w:p>
    <w:p w14:paraId="2E0C0A8E" w14:textId="346B363D" w:rsidR="00133242" w:rsidRPr="00785FB4" w:rsidRDefault="00133242" w:rsidP="00EA1598">
      <w:pPr>
        <w:spacing w:before="120"/>
      </w:pPr>
      <w:r w:rsidRPr="00785FB4">
        <w:rPr>
          <w:i/>
          <w:u w:val="single"/>
        </w:rPr>
        <w:t>Oil and gas licenses</w:t>
      </w:r>
      <w:r w:rsidRPr="00785FB4">
        <w:t xml:space="preserve">: </w:t>
      </w:r>
      <w:r w:rsidR="005910F3" w:rsidRPr="00785FB4">
        <w:t xml:space="preserve">All stakeholders consulted confirmed that </w:t>
      </w:r>
      <w:r w:rsidR="00EA1598" w:rsidRPr="00785FB4">
        <w:t xml:space="preserve">there have only been three oil and gas license awards to date. An industry representative stated that the status of the two Afghan-Tajik Basin licenses (Sanduqli and Mazar-i-Sharif blocks) was unclear as the respective operators had left the country in 2016. While </w:t>
      </w:r>
      <w:r w:rsidR="00756C4A" w:rsidRPr="00785FB4">
        <w:t xml:space="preserve">stakeholders explained that </w:t>
      </w:r>
      <w:r w:rsidR="00EA1598" w:rsidRPr="00785FB4">
        <w:t xml:space="preserve">the </w:t>
      </w:r>
      <w:r w:rsidR="00DB56BA" w:rsidRPr="00785FB4">
        <w:t>MOMP</w:t>
      </w:r>
      <w:r w:rsidR="00EA1598" w:rsidRPr="00785FB4">
        <w:t xml:space="preserve"> does not maintain a cadastre system for its oil and gas licenses, the full-text of contracts </w:t>
      </w:r>
      <w:r w:rsidR="00756C4A" w:rsidRPr="00785FB4">
        <w:t xml:space="preserve">is accessible </w:t>
      </w:r>
      <w:r w:rsidR="00EA1598" w:rsidRPr="00785FB4">
        <w:t xml:space="preserve">on its website. Oil and gas field and geophysical data (but not licenses) are accessible through a </w:t>
      </w:r>
      <w:r w:rsidRPr="00785FB4">
        <w:t>USGS</w:t>
      </w:r>
      <w:r w:rsidR="00EA1598" w:rsidRPr="00785FB4">
        <w:t>-operated</w:t>
      </w:r>
      <w:r w:rsidRPr="00785FB4">
        <w:t xml:space="preserve"> </w:t>
      </w:r>
      <w:r w:rsidR="00EA1598" w:rsidRPr="00785FB4">
        <w:t>ArcGIS web portal.</w:t>
      </w:r>
      <w:r w:rsidRPr="00785FB4">
        <w:rPr>
          <w:rStyle w:val="FootnoteReference"/>
        </w:rPr>
        <w:footnoteReference w:id="140"/>
      </w:r>
      <w:r w:rsidRPr="00785FB4">
        <w:t xml:space="preserve"> </w:t>
      </w:r>
    </w:p>
    <w:p w14:paraId="64B8844D" w14:textId="3AD7803C" w:rsidR="002E2642" w:rsidRPr="00785FB4" w:rsidRDefault="0011633D" w:rsidP="007A5FA1">
      <w:r w:rsidRPr="00785FB4">
        <w:rPr>
          <w:i/>
          <w:u w:val="single"/>
        </w:rPr>
        <w:t>Mining cadastre</w:t>
      </w:r>
      <w:r w:rsidR="007A5FA1" w:rsidRPr="00785FB4">
        <w:t xml:space="preserve">: </w:t>
      </w:r>
      <w:r w:rsidR="002E2642" w:rsidRPr="00785FB4">
        <w:t>There was consensus amongst stakeholders consulted that Afghanistan does not yet have a</w:t>
      </w:r>
      <w:r w:rsidR="0077762F" w:rsidRPr="00785FB4">
        <w:t xml:space="preserve"> functioning</w:t>
      </w:r>
      <w:r w:rsidR="002E2642" w:rsidRPr="00785FB4">
        <w:t xml:space="preserve"> mining cadastre despite several attempts over the past decade. </w:t>
      </w:r>
      <w:r w:rsidR="00D23DBB" w:rsidRPr="00785FB4" w:rsidDel="0077762F">
        <w:t xml:space="preserve">Democracy International’s May 2017 organisational assessment highlighted provisions of the 2014 Minerals Law requiring the establishment of a computer-based Mining Rights Management System. It attributed delays to a lack of leadership and capacity within </w:t>
      </w:r>
      <w:r w:rsidR="00DB56BA" w:rsidRPr="00785FB4">
        <w:t>MOMP</w:t>
      </w:r>
      <w:r w:rsidR="00D23DBB" w:rsidRPr="00785FB4" w:rsidDel="0077762F">
        <w:t>, with frequent turnover in staff assigned to implement the system.</w:t>
      </w:r>
      <w:r w:rsidR="00D23DBB" w:rsidRPr="00785FB4">
        <w:t xml:space="preserve"> </w:t>
      </w:r>
      <w:r w:rsidR="002E2642" w:rsidRPr="00785FB4">
        <w:t xml:space="preserve">Representatives from civil society and the donor community expressed </w:t>
      </w:r>
      <w:r w:rsidR="00CC2B75" w:rsidRPr="00785FB4">
        <w:t>alarm</w:t>
      </w:r>
      <w:r w:rsidR="002E2642" w:rsidRPr="00785FB4">
        <w:t xml:space="preserve"> over the succession of</w:t>
      </w:r>
      <w:r w:rsidR="00323AA5" w:rsidRPr="00785FB4">
        <w:t xml:space="preserve"> </w:t>
      </w:r>
      <w:r w:rsidR="002E2642" w:rsidRPr="00785FB4">
        <w:t>unsuccessful attempts at developing a cadastral system. In 20</w:t>
      </w:r>
      <w:r w:rsidR="000361CC" w:rsidRPr="00785FB4">
        <w:t>13-14</w:t>
      </w:r>
      <w:r w:rsidR="002E2642" w:rsidRPr="00785FB4">
        <w:t>, donors</w:t>
      </w:r>
      <w:r w:rsidR="007719A0" w:rsidRPr="00785FB4">
        <w:t xml:space="preserve"> (through the World Bank’s Sustainable Development of</w:t>
      </w:r>
      <w:r w:rsidR="00323AA5" w:rsidRPr="00785FB4">
        <w:t xml:space="preserve"> </w:t>
      </w:r>
      <w:r w:rsidR="007719A0" w:rsidRPr="00785FB4">
        <w:t>Natural Resources Project – SDNRP)</w:t>
      </w:r>
      <w:r w:rsidR="002E2642" w:rsidRPr="00785FB4">
        <w:t xml:space="preserve"> supported the </w:t>
      </w:r>
      <w:r w:rsidR="00DB56BA" w:rsidRPr="00785FB4">
        <w:t>MOMP</w:t>
      </w:r>
      <w:r w:rsidR="000361CC" w:rsidRPr="00785FB4">
        <w:t>’s</w:t>
      </w:r>
      <w:r w:rsidR="002E2642" w:rsidRPr="00785FB4">
        <w:t xml:space="preserve"> develop</w:t>
      </w:r>
      <w:r w:rsidR="000361CC" w:rsidRPr="00785FB4">
        <w:t>ment of</w:t>
      </w:r>
      <w:r w:rsidR="002E2642" w:rsidRPr="00785FB4">
        <w:t xml:space="preserve"> a modern cadastre </w:t>
      </w:r>
      <w:r w:rsidR="000361CC" w:rsidRPr="00785FB4">
        <w:t xml:space="preserve">using </w:t>
      </w:r>
      <w:r w:rsidR="002E2642" w:rsidRPr="00785FB4">
        <w:t>GAF AG’s EMC+ system.</w:t>
      </w:r>
      <w:r w:rsidR="002E2642" w:rsidRPr="00785FB4">
        <w:rPr>
          <w:rStyle w:val="FootnoteReference"/>
        </w:rPr>
        <w:footnoteReference w:id="141"/>
      </w:r>
      <w:r w:rsidR="002E2642" w:rsidRPr="00785FB4">
        <w:t xml:space="preserve"> While the beta-version of the </w:t>
      </w:r>
      <w:r w:rsidR="002E2642" w:rsidRPr="00785FB4">
        <w:lastRenderedPageBreak/>
        <w:t>cadastral portal was soft-launched and is publicly-accessible</w:t>
      </w:r>
      <w:r w:rsidR="002E2642" w:rsidRPr="00785FB4">
        <w:rPr>
          <w:rStyle w:val="FootnoteReference"/>
        </w:rPr>
        <w:footnoteReference w:id="142"/>
      </w:r>
      <w:r w:rsidR="002E2642" w:rsidRPr="00785FB4">
        <w:t xml:space="preserve">, </w:t>
      </w:r>
      <w:r w:rsidR="00125C84" w:rsidRPr="00785FB4">
        <w:t>the project was cancelled before the license digitisation process was complete</w:t>
      </w:r>
      <w:r w:rsidR="0077762F" w:rsidRPr="00785FB4">
        <w:t xml:space="preserve"> and the cadastre is not in use</w:t>
      </w:r>
      <w:r w:rsidR="002E2642" w:rsidRPr="00785FB4">
        <w:t>.</w:t>
      </w:r>
      <w:r w:rsidR="00323AA5" w:rsidRPr="00785FB4">
        <w:t xml:space="preserve"> DfID</w:t>
      </w:r>
      <w:r w:rsidR="00C92289" w:rsidRPr="00785FB4">
        <w:t xml:space="preserve">’s 2014-17 </w:t>
      </w:r>
      <w:r w:rsidR="00323AA5" w:rsidRPr="00785FB4">
        <w:t xml:space="preserve">Extractive Sector Support Programme (ESSP) initially </w:t>
      </w:r>
      <w:r w:rsidR="00C92289" w:rsidRPr="00785FB4">
        <w:t xml:space="preserve">supported the development of a </w:t>
      </w:r>
      <w:r w:rsidR="00323AA5" w:rsidRPr="00785FB4">
        <w:t>mining cadastre</w:t>
      </w:r>
      <w:r w:rsidR="00BC0A65" w:rsidRPr="00785FB4">
        <w:t xml:space="preserve"> </w:t>
      </w:r>
      <w:r w:rsidR="00C92289" w:rsidRPr="00785FB4">
        <w:t xml:space="preserve">based on </w:t>
      </w:r>
      <w:r w:rsidR="00BC0A65" w:rsidRPr="00785FB4">
        <w:t xml:space="preserve">the </w:t>
      </w:r>
      <w:r w:rsidR="00587D42" w:rsidRPr="00785FB4">
        <w:t>Revenue Development Foundation</w:t>
      </w:r>
      <w:r w:rsidR="00BC0A65" w:rsidRPr="00785FB4">
        <w:t xml:space="preserve"> (RDF)’s MCAS system</w:t>
      </w:r>
      <w:r w:rsidR="0077762F" w:rsidRPr="00785FB4">
        <w:t xml:space="preserve">. </w:t>
      </w:r>
      <w:r w:rsidR="00BC0A65" w:rsidRPr="00785FB4">
        <w:t xml:space="preserve">The aim was to develop a parallel non-tax revenue payment system (NTRS), which would together be integrated into an extractives transparency portal. </w:t>
      </w:r>
      <w:r w:rsidR="0077762F" w:rsidRPr="00785FB4">
        <w:t xml:space="preserve">Following the end of DfID funding in September 2017, the project was continued by GiZ. </w:t>
      </w:r>
      <w:r w:rsidR="00BC0A65" w:rsidRPr="00785FB4">
        <w:t xml:space="preserve">While a beta version of the cadastral portal was </w:t>
      </w:r>
      <w:r w:rsidR="00C92289" w:rsidRPr="00785FB4">
        <w:t>developed</w:t>
      </w:r>
      <w:r w:rsidR="00BC0A65" w:rsidRPr="00785FB4">
        <w:rPr>
          <w:rStyle w:val="FootnoteReference"/>
        </w:rPr>
        <w:footnoteReference w:id="143"/>
      </w:r>
      <w:r w:rsidR="00BC0A65" w:rsidRPr="00785FB4">
        <w:t xml:space="preserve">, </w:t>
      </w:r>
      <w:r w:rsidR="00062741" w:rsidRPr="00785FB4">
        <w:t xml:space="preserve">only 30 licenses had been digitised as of January 2018. </w:t>
      </w:r>
      <w:r w:rsidR="00722409" w:rsidRPr="00785FB4">
        <w:t xml:space="preserve">Senior government officials confirmed that the project </w:t>
      </w:r>
      <w:r w:rsidR="00C92289" w:rsidRPr="00785FB4">
        <w:t xml:space="preserve">had been cancelled by the </w:t>
      </w:r>
      <w:r w:rsidR="00DB56BA" w:rsidRPr="00785FB4">
        <w:t>MOMP</w:t>
      </w:r>
      <w:r w:rsidR="00C92289" w:rsidRPr="00785FB4">
        <w:t xml:space="preserve"> in January 2018</w:t>
      </w:r>
      <w:r w:rsidR="002648B3" w:rsidRPr="00785FB4">
        <w:t xml:space="preserve"> </w:t>
      </w:r>
      <w:r w:rsidR="00873A96" w:rsidRPr="00785FB4">
        <w:t xml:space="preserve">following concerns that the consultant was unresponsive to </w:t>
      </w:r>
      <w:r w:rsidR="00DB56BA" w:rsidRPr="00785FB4">
        <w:t>MOMP</w:t>
      </w:r>
      <w:r w:rsidR="00873A96" w:rsidRPr="00785FB4">
        <w:t xml:space="preserve"> requests and accusations that the project was donor-driven with insufficient buy-in from the ministry. As a </w:t>
      </w:r>
      <w:r w:rsidR="00785FB4" w:rsidRPr="00785FB4">
        <w:t>result,</w:t>
      </w:r>
      <w:r w:rsidR="00873A96" w:rsidRPr="00785FB4">
        <w:t xml:space="preserve"> the </w:t>
      </w:r>
      <w:r w:rsidR="00DB56BA" w:rsidRPr="00785FB4">
        <w:t>MOMP</w:t>
      </w:r>
      <w:r w:rsidR="002648B3" w:rsidRPr="00785FB4">
        <w:t xml:space="preserve"> intended to contract an Afghan company to develop the cadastre.</w:t>
      </w:r>
      <w:r w:rsidR="00873A96" w:rsidRPr="00785FB4">
        <w:t xml:space="preserve"> A senior government official highlighted the </w:t>
      </w:r>
      <w:r w:rsidR="00DB56BA" w:rsidRPr="00785FB4">
        <w:t>MOMP</w:t>
      </w:r>
      <w:r w:rsidR="00873A96" w:rsidRPr="00785FB4">
        <w:t xml:space="preserve">’s commitment to e-government and the priority placed on developing a robust cadastre system. </w:t>
      </w:r>
    </w:p>
    <w:p w14:paraId="2E3C3DD4" w14:textId="4E4C1968" w:rsidR="005C5644" w:rsidRPr="00785FB4" w:rsidRDefault="005C5644" w:rsidP="0011633D">
      <w:r w:rsidRPr="00785FB4">
        <w:rPr>
          <w:i/>
          <w:u w:val="single"/>
        </w:rPr>
        <w:t xml:space="preserve">License </w:t>
      </w:r>
      <w:r w:rsidR="00567A54" w:rsidRPr="00785FB4">
        <w:rPr>
          <w:i/>
          <w:u w:val="single"/>
        </w:rPr>
        <w:t>information</w:t>
      </w:r>
      <w:r w:rsidR="00C92289" w:rsidRPr="00785FB4">
        <w:t xml:space="preserve">: </w:t>
      </w:r>
      <w:r w:rsidRPr="00785FB4">
        <w:t xml:space="preserve">The IA </w:t>
      </w:r>
      <w:r w:rsidR="00382697" w:rsidRPr="00785FB4">
        <w:t xml:space="preserve">confirmed that </w:t>
      </w:r>
      <w:r w:rsidR="006B5557" w:rsidRPr="00785FB4">
        <w:t xml:space="preserve">the two lists of mining licenses included in the 2014-15 EITI Report were </w:t>
      </w:r>
      <w:r w:rsidR="00382697" w:rsidRPr="00785FB4">
        <w:t xml:space="preserve">drawn from the </w:t>
      </w:r>
      <w:r w:rsidR="00DB56BA" w:rsidRPr="00785FB4">
        <w:t>MOMP</w:t>
      </w:r>
      <w:r w:rsidR="00382697" w:rsidRPr="00785FB4">
        <w:t xml:space="preserve"> website in early 2017. </w:t>
      </w:r>
      <w:r w:rsidR="009C1A59" w:rsidRPr="00785FB4">
        <w:t>While stakeholders from all constituencies highlighted the lack of a unified license register in the past, most stakeholders consulted considered that the list of 1</w:t>
      </w:r>
      <w:r w:rsidR="00873A96" w:rsidRPr="00785FB4">
        <w:t>,</w:t>
      </w:r>
      <w:r w:rsidR="009C1A59" w:rsidRPr="00785FB4">
        <w:t xml:space="preserve">000 licenses published on the </w:t>
      </w:r>
      <w:r w:rsidR="00DB56BA" w:rsidRPr="00785FB4">
        <w:t>MOMP</w:t>
      </w:r>
      <w:r w:rsidR="009C1A59" w:rsidRPr="00785FB4">
        <w:t xml:space="preserve"> website in November 2017 was comprehensive of all legal licenses</w:t>
      </w:r>
      <w:r w:rsidR="00873A96" w:rsidRPr="00785FB4">
        <w:t xml:space="preserve"> at that time</w:t>
      </w:r>
      <w:r w:rsidR="009C1A59" w:rsidRPr="00785FB4">
        <w:t xml:space="preserve">. </w:t>
      </w:r>
      <w:r w:rsidR="00873A96" w:rsidRPr="00785FB4">
        <w:t xml:space="preserve">A former government official who had worked with compiling the list confirmed that there were no mechanisms in place to maintain it updated, so subsequent revisions would require a new round of enquiries with the </w:t>
      </w:r>
      <w:r w:rsidR="00374F10" w:rsidRPr="00785FB4">
        <w:t>Provincial Governments</w:t>
      </w:r>
      <w:r w:rsidR="00873A96" w:rsidRPr="00785FB4">
        <w:t xml:space="preserve">. </w:t>
      </w:r>
      <w:r w:rsidR="009C1A59" w:rsidRPr="00785FB4">
        <w:t xml:space="preserve">While the contracts provide dates of award and expiry, commodity(ies) covered and name of license-holder, </w:t>
      </w:r>
      <w:r w:rsidR="003D1845" w:rsidRPr="00785FB4">
        <w:t xml:space="preserve">the dates of application and bid criteria are not publicly accessible for the published contracts. Most </w:t>
      </w:r>
      <w:r w:rsidR="00873A96" w:rsidRPr="00785FB4">
        <w:t xml:space="preserve">licenses </w:t>
      </w:r>
      <w:r w:rsidR="003D1845" w:rsidRPr="00785FB4">
        <w:t>contain coordinates, although several small-scale contracts do not. However, a development partner noted th</w:t>
      </w:r>
      <w:r w:rsidR="006B5557" w:rsidRPr="00785FB4">
        <w:t>at small-scale mining</w:t>
      </w:r>
      <w:r w:rsidR="003D1845" w:rsidRPr="00785FB4">
        <w:t xml:space="preserve"> contracts at least included a location name</w:t>
      </w:r>
      <w:r w:rsidR="00CA1BC2" w:rsidRPr="00785FB4">
        <w:t xml:space="preserve"> or single coordinate, which was sufficient</w:t>
      </w:r>
      <w:r w:rsidR="003D1845" w:rsidRPr="00785FB4">
        <w:t xml:space="preserve"> to </w:t>
      </w:r>
      <w:r w:rsidR="00CA1BC2" w:rsidRPr="00785FB4">
        <w:t>map</w:t>
      </w:r>
      <w:r w:rsidR="003D1845" w:rsidRPr="00785FB4">
        <w:t xml:space="preserve"> the location. </w:t>
      </w:r>
    </w:p>
    <w:p w14:paraId="30E82750" w14:textId="558DE201" w:rsidR="005F4F7E" w:rsidRPr="00785FB4" w:rsidRDefault="0011633D" w:rsidP="005F4F7E">
      <w:pPr>
        <w:spacing w:before="120"/>
        <w:rPr>
          <w:bCs/>
        </w:rPr>
      </w:pPr>
      <w:r w:rsidRPr="00785FB4">
        <w:rPr>
          <w:bCs/>
          <w:i/>
          <w:u w:val="single"/>
        </w:rPr>
        <w:t>Comprehensiveness</w:t>
      </w:r>
      <w:r w:rsidRPr="00785FB4">
        <w:rPr>
          <w:bCs/>
        </w:rPr>
        <w:t>: Most stakeholders consulted highlighted the</w:t>
      </w:r>
      <w:r w:rsidR="001C2269" w:rsidRPr="00785FB4">
        <w:rPr>
          <w:bCs/>
        </w:rPr>
        <w:t xml:space="preserve"> existence of</w:t>
      </w:r>
      <w:r w:rsidRPr="00785FB4">
        <w:rPr>
          <w:bCs/>
        </w:rPr>
        <w:t xml:space="preserve"> significant illegal mining, particularly in zones not controlled by government forces. Several stakeholders from all constituencies also considered that the suspension of new licensing in the 2015-17 period had also contributed to the growth of illegal mining, given that license-holders tended to continue operating their mines while they awaited the renewal of their license(s)</w:t>
      </w:r>
      <w:r w:rsidR="000E069B" w:rsidRPr="00785FB4">
        <w:rPr>
          <w:bCs/>
        </w:rPr>
        <w:t xml:space="preserve"> (</w:t>
      </w:r>
      <w:r w:rsidR="000E069B" w:rsidRPr="00785FB4">
        <w:rPr>
          <w:bCs/>
          <w:i/>
        </w:rPr>
        <w:t>s</w:t>
      </w:r>
      <w:r w:rsidR="001C2269" w:rsidRPr="00785FB4">
        <w:rPr>
          <w:bCs/>
          <w:i/>
        </w:rPr>
        <w:t xml:space="preserve">ee </w:t>
      </w:r>
      <w:r w:rsidR="000E069B" w:rsidRPr="00785FB4">
        <w:rPr>
          <w:bCs/>
          <w:i/>
        </w:rPr>
        <w:t xml:space="preserve">Requirement </w:t>
      </w:r>
      <w:r w:rsidR="001C2269" w:rsidRPr="00785FB4">
        <w:rPr>
          <w:bCs/>
          <w:i/>
        </w:rPr>
        <w:t>2.1</w:t>
      </w:r>
      <w:r w:rsidR="001C2269" w:rsidRPr="00785FB4">
        <w:rPr>
          <w:bCs/>
        </w:rPr>
        <w:t>)</w:t>
      </w:r>
      <w:r w:rsidRPr="00785FB4">
        <w:rPr>
          <w:bCs/>
        </w:rPr>
        <w:t xml:space="preserve">. The IA highlighted significant </w:t>
      </w:r>
      <w:r w:rsidR="006B5557" w:rsidRPr="00785FB4">
        <w:rPr>
          <w:bCs/>
        </w:rPr>
        <w:t xml:space="preserve">discrepancies </w:t>
      </w:r>
      <w:r w:rsidRPr="00785FB4">
        <w:rPr>
          <w:bCs/>
        </w:rPr>
        <w:t xml:space="preserve">between </w:t>
      </w:r>
      <w:r w:rsidR="006B5557" w:rsidRPr="00785FB4">
        <w:rPr>
          <w:bCs/>
        </w:rPr>
        <w:t xml:space="preserve">different </w:t>
      </w:r>
      <w:r w:rsidRPr="00785FB4">
        <w:rPr>
          <w:bCs/>
        </w:rPr>
        <w:t xml:space="preserve">lists </w:t>
      </w:r>
      <w:r w:rsidR="00C44108" w:rsidRPr="00785FB4">
        <w:rPr>
          <w:bCs/>
        </w:rPr>
        <w:t xml:space="preserve">from various government entities </w:t>
      </w:r>
      <w:r w:rsidRPr="00785FB4">
        <w:rPr>
          <w:bCs/>
        </w:rPr>
        <w:t>of</w:t>
      </w:r>
      <w:r w:rsidR="00C44108" w:rsidRPr="00785FB4">
        <w:rPr>
          <w:bCs/>
        </w:rPr>
        <w:t xml:space="preserve"> companies holding</w:t>
      </w:r>
      <w:r w:rsidRPr="00785FB4">
        <w:rPr>
          <w:bCs/>
        </w:rPr>
        <w:t xml:space="preserve"> </w:t>
      </w:r>
      <w:r w:rsidR="00C44108" w:rsidRPr="00785FB4">
        <w:rPr>
          <w:bCs/>
        </w:rPr>
        <w:t>mining licenses</w:t>
      </w:r>
      <w:r w:rsidRPr="00785FB4">
        <w:rPr>
          <w:bCs/>
        </w:rPr>
        <w:t xml:space="preserve">, </w:t>
      </w:r>
      <w:r w:rsidR="006B5557" w:rsidRPr="00785FB4">
        <w:rPr>
          <w:bCs/>
        </w:rPr>
        <w:t xml:space="preserve">including between lists of companies </w:t>
      </w:r>
      <w:r w:rsidRPr="00785FB4">
        <w:rPr>
          <w:bCs/>
        </w:rPr>
        <w:t xml:space="preserve">paying royalties and </w:t>
      </w:r>
      <w:r w:rsidR="006B5557" w:rsidRPr="00785FB4">
        <w:rPr>
          <w:bCs/>
        </w:rPr>
        <w:t xml:space="preserve">lists of </w:t>
      </w:r>
      <w:r w:rsidRPr="00785FB4">
        <w:rPr>
          <w:bCs/>
        </w:rPr>
        <w:t xml:space="preserve">those paying tax. </w:t>
      </w:r>
      <w:bookmarkStart w:id="217" w:name="_Hlk507516360"/>
      <w:r w:rsidRPr="00785FB4">
        <w:rPr>
          <w:bCs/>
        </w:rPr>
        <w:t xml:space="preserve">A government official explained that some companies held contracts with the </w:t>
      </w:r>
      <w:r w:rsidR="00DB56BA" w:rsidRPr="00785FB4">
        <w:rPr>
          <w:bCs/>
        </w:rPr>
        <w:t>MOMP</w:t>
      </w:r>
      <w:r w:rsidRPr="00785FB4">
        <w:rPr>
          <w:bCs/>
        </w:rPr>
        <w:t xml:space="preserve"> but simply did not pay royalty </w:t>
      </w:r>
      <w:r w:rsidR="00374F10" w:rsidRPr="00785FB4">
        <w:rPr>
          <w:bCs/>
        </w:rPr>
        <w:t>because</w:t>
      </w:r>
      <w:r w:rsidRPr="00785FB4">
        <w:rPr>
          <w:bCs/>
        </w:rPr>
        <w:t xml:space="preserve"> they controlled their own armed groups.</w:t>
      </w:r>
      <w:bookmarkEnd w:id="217"/>
      <w:r w:rsidRPr="00785FB4">
        <w:rPr>
          <w:bCs/>
        </w:rPr>
        <w:t xml:space="preserve"> While the </w:t>
      </w:r>
      <w:r w:rsidR="00DB56BA" w:rsidRPr="00785FB4">
        <w:rPr>
          <w:bCs/>
        </w:rPr>
        <w:t>MOMP</w:t>
      </w:r>
      <w:r w:rsidRPr="00785FB4">
        <w:rPr>
          <w:bCs/>
        </w:rPr>
        <w:t xml:space="preserve"> liaised with the security services on such issues, there had not been a tangible reduction in illegal mining according to the official. The NGO Integrity Watch Afghanistan estimated that some 1</w:t>
      </w:r>
      <w:r w:rsidR="00374F10" w:rsidRPr="00785FB4">
        <w:rPr>
          <w:bCs/>
        </w:rPr>
        <w:t>,</w:t>
      </w:r>
      <w:r w:rsidRPr="00785FB4">
        <w:rPr>
          <w:bCs/>
        </w:rPr>
        <w:t>400 illegal mines operated nationwide</w:t>
      </w:r>
      <w:r w:rsidR="006F5BA5" w:rsidRPr="00785FB4">
        <w:rPr>
          <w:bCs/>
        </w:rPr>
        <w:t xml:space="preserve"> </w:t>
      </w:r>
      <w:r w:rsidR="006F5BA5" w:rsidRPr="00785FB4">
        <w:t>(including 710 in the Kabul area alone)</w:t>
      </w:r>
      <w:r w:rsidRPr="00785FB4">
        <w:rPr>
          <w:bCs/>
        </w:rPr>
        <w:t xml:space="preserve"> in 2016.</w:t>
      </w:r>
      <w:r w:rsidRPr="00785FB4">
        <w:rPr>
          <w:rStyle w:val="FootnoteReference"/>
          <w:bCs/>
        </w:rPr>
        <w:footnoteReference w:id="144"/>
      </w:r>
      <w:r w:rsidR="005F4F7E" w:rsidRPr="00785FB4">
        <w:rPr>
          <w:bCs/>
        </w:rPr>
        <w:t xml:space="preserve"> While some development partners expressed uncertainty over whether the </w:t>
      </w:r>
      <w:r w:rsidR="005F4F7E" w:rsidRPr="00785FB4">
        <w:rPr>
          <w:bCs/>
        </w:rPr>
        <w:lastRenderedPageBreak/>
        <w:t>list of over 1</w:t>
      </w:r>
      <w:r w:rsidR="00374F10" w:rsidRPr="00785FB4">
        <w:rPr>
          <w:bCs/>
        </w:rPr>
        <w:t>,</w:t>
      </w:r>
      <w:r w:rsidR="005F4F7E" w:rsidRPr="00785FB4">
        <w:rPr>
          <w:bCs/>
        </w:rPr>
        <w:t xml:space="preserve">000 contracts published on the </w:t>
      </w:r>
      <w:r w:rsidR="00DB56BA" w:rsidRPr="00785FB4">
        <w:rPr>
          <w:bCs/>
        </w:rPr>
        <w:t>MOMP</w:t>
      </w:r>
      <w:r w:rsidR="005F4F7E" w:rsidRPr="00785FB4">
        <w:rPr>
          <w:bCs/>
        </w:rPr>
        <w:t xml:space="preserve"> website in November 2017 was comprehensive, most other stakeholders consulted considered that this was the full set of licenses. </w:t>
      </w:r>
    </w:p>
    <w:p w14:paraId="7BC7881B" w14:textId="396CC736" w:rsidR="00A550CB" w:rsidRPr="00785FB4" w:rsidRDefault="00A550CB" w:rsidP="007A2C3B">
      <w:r w:rsidRPr="00785FB4">
        <w:rPr>
          <w:i/>
          <w:u w:val="single"/>
        </w:rPr>
        <w:t>Active/inactive licenses</w:t>
      </w:r>
      <w:r w:rsidRPr="00785FB4">
        <w:t xml:space="preserve">: </w:t>
      </w:r>
      <w:r w:rsidR="005F4F7E" w:rsidRPr="00785FB4">
        <w:t>While there was consensus that a majority of the 1</w:t>
      </w:r>
      <w:r w:rsidR="00374F10" w:rsidRPr="00785FB4">
        <w:t>,</w:t>
      </w:r>
      <w:r w:rsidR="005F4F7E" w:rsidRPr="00785FB4">
        <w:t xml:space="preserve">000 contracts available on the </w:t>
      </w:r>
      <w:r w:rsidR="00DB56BA" w:rsidRPr="00785FB4">
        <w:t>MOMP</w:t>
      </w:r>
      <w:r w:rsidR="005F4F7E" w:rsidRPr="00785FB4">
        <w:t xml:space="preserve"> website were inactive, there were differing views about the definition of an “inactive contract” and on the precise number of active contracts. </w:t>
      </w:r>
      <w:r w:rsidR="0098462B" w:rsidRPr="00785FB4">
        <w:t xml:space="preserve">While certain stakeholders considered that contracts marked “inactive” on the </w:t>
      </w:r>
      <w:r w:rsidR="00DB56BA" w:rsidRPr="00785FB4">
        <w:t>MOMP</w:t>
      </w:r>
      <w:r w:rsidR="0098462B" w:rsidRPr="00785FB4">
        <w:t xml:space="preserve"> website represented lapsed contracts pending renewal, </w:t>
      </w:r>
      <w:r w:rsidR="00374F10" w:rsidRPr="00785FB4">
        <w:t xml:space="preserve">a senior </w:t>
      </w:r>
      <w:r w:rsidR="0098462B" w:rsidRPr="00785FB4">
        <w:t xml:space="preserve">government </w:t>
      </w:r>
      <w:r w:rsidR="00374F10" w:rsidRPr="00785FB4">
        <w:t>official</w:t>
      </w:r>
      <w:r w:rsidR="0098462B" w:rsidRPr="00785FB4">
        <w:t xml:space="preserve"> explained that inactive contracts were those suspended due to non-compliance with certain license terms such as payment of license fees or adherence to health and safety rules. </w:t>
      </w:r>
      <w:r w:rsidR="00374F10" w:rsidRPr="00785FB4">
        <w:t>O</w:t>
      </w:r>
      <w:r w:rsidR="0098462B" w:rsidRPr="00785FB4">
        <w:t xml:space="preserve">fficials drew the distinction between “inactive”, “lapsed” and “terminated”. A development partner highlighted the challenges in </w:t>
      </w:r>
      <w:r w:rsidR="00DB56BA" w:rsidRPr="00785FB4">
        <w:t>MOMP</w:t>
      </w:r>
      <w:r w:rsidR="0098462B" w:rsidRPr="00785FB4">
        <w:t xml:space="preserve">’s oversight of contracts given that all but 32 mining contracts had been awarded by </w:t>
      </w:r>
      <w:r w:rsidR="00DB56BA" w:rsidRPr="00785FB4">
        <w:t>MOMP</w:t>
      </w:r>
      <w:r w:rsidR="0098462B" w:rsidRPr="00785FB4">
        <w:t xml:space="preserve"> Provincial Offices, with many mines located in areas outside the government’s control. </w:t>
      </w:r>
      <w:r w:rsidR="00001789" w:rsidRPr="00785FB4">
        <w:rPr>
          <w:bCs/>
        </w:rPr>
        <w:t xml:space="preserve">In written comments to the International Secretariat in December 2017, a CSO </w:t>
      </w:r>
      <w:r w:rsidR="00001789" w:rsidRPr="00785FB4">
        <w:t xml:space="preserve">questioned why 20 companies such as the Hashmi Group retained their licenses from </w:t>
      </w:r>
      <w:r w:rsidR="00DB56BA" w:rsidRPr="00785FB4">
        <w:t>MOMP</w:t>
      </w:r>
      <w:r w:rsidR="00001789" w:rsidRPr="00785FB4">
        <w:t xml:space="preserve"> when they did not make payments to government despite evidence of active mining operations. </w:t>
      </w:r>
      <w:r w:rsidR="00F20F9F" w:rsidRPr="00785FB4">
        <w:t xml:space="preserve">While a senior government official noted that one of the </w:t>
      </w:r>
      <w:r w:rsidR="00DB56BA" w:rsidRPr="00785FB4">
        <w:t>MOMP</w:t>
      </w:r>
      <w:r w:rsidR="00F20F9F" w:rsidRPr="00785FB4">
        <w:t xml:space="preserve">’s priorities was to review and triage the list of contracts, there was uncertainty about how often the list of contracts on the </w:t>
      </w:r>
      <w:r w:rsidR="00DB56BA" w:rsidRPr="00785FB4">
        <w:t>MOMP</w:t>
      </w:r>
      <w:r w:rsidR="00F20F9F" w:rsidRPr="00785FB4">
        <w:t xml:space="preserve"> website was updated (and thus whether the contracts marked “inactive” had subsequently become “active”). There were </w:t>
      </w:r>
      <w:r w:rsidR="00374F10" w:rsidRPr="00785FB4">
        <w:t xml:space="preserve">also </w:t>
      </w:r>
      <w:r w:rsidR="00F20F9F" w:rsidRPr="00785FB4">
        <w:t xml:space="preserve">differing views about the number of active contracts, with some government officials citing 180 and others citing 213 active contracts. </w:t>
      </w:r>
      <w:r w:rsidR="00670E94" w:rsidRPr="00785FB4">
        <w:t xml:space="preserve">A government official noted that the </w:t>
      </w:r>
      <w:r w:rsidR="00DB56BA" w:rsidRPr="00785FB4">
        <w:t>MOF</w:t>
      </w:r>
      <w:r w:rsidR="00670E94" w:rsidRPr="00785FB4">
        <w:t xml:space="preserve">’s Large Taxpayer Office (LTO) had audited 16 allegedly inactive mining companies in 2017 and had found that five of these were in fact active. </w:t>
      </w:r>
      <w:r w:rsidR="00F20F9F" w:rsidRPr="00785FB4">
        <w:t>Members of the MSG stated that the MSG had not discussed the categorisation of “active” mining licenses</w:t>
      </w:r>
      <w:r w:rsidR="00E11748" w:rsidRPr="00785FB4">
        <w:t xml:space="preserve"> and agreed that it would be helpful if the list on the </w:t>
      </w:r>
      <w:r w:rsidR="00DB56BA" w:rsidRPr="00785FB4">
        <w:t>MOMP</w:t>
      </w:r>
      <w:r w:rsidR="00E11748" w:rsidRPr="00785FB4">
        <w:t xml:space="preserve"> website provided an explanation of the terms</w:t>
      </w:r>
      <w:r w:rsidR="00F20F9F" w:rsidRPr="00785FB4">
        <w:t xml:space="preserve">. </w:t>
      </w:r>
    </w:p>
    <w:p w14:paraId="087AC4FC" w14:textId="0B8E36BD" w:rsidR="0011633D" w:rsidRPr="00785FB4" w:rsidRDefault="0011633D" w:rsidP="00E16A77">
      <w:pPr>
        <w:spacing w:before="120"/>
        <w:rPr>
          <w:bCs/>
        </w:rPr>
      </w:pPr>
      <w:r w:rsidRPr="00785FB4">
        <w:rPr>
          <w:bCs/>
          <w:i/>
          <w:u w:val="single"/>
        </w:rPr>
        <w:t>Lack of licenses for SOEs</w:t>
      </w:r>
      <w:r w:rsidRPr="00785FB4">
        <w:rPr>
          <w:bCs/>
        </w:rPr>
        <w:t xml:space="preserve">: </w:t>
      </w:r>
      <w:r w:rsidR="00007421" w:rsidRPr="00785FB4">
        <w:rPr>
          <w:bCs/>
        </w:rPr>
        <w:t>Several stakeholders from all constituencies confirmed that SOEs like North Coal Enterprise and Afghan Gas Enterprise did not hold licenses for their areas of operation, which is confirmed in third-party literature.</w:t>
      </w:r>
      <w:r w:rsidR="00007421" w:rsidRPr="00785FB4">
        <w:rPr>
          <w:rStyle w:val="FootnoteReference"/>
        </w:rPr>
        <w:footnoteReference w:id="145"/>
      </w:r>
      <w:r w:rsidR="00E16A77" w:rsidRPr="00785FB4">
        <w:rPr>
          <w:bCs/>
        </w:rPr>
        <w:t xml:space="preserve"> Donor-funded assessments of the two SOEs have highlighted that the lack of licenses for SOEs means that they are not responsible to the </w:t>
      </w:r>
      <w:r w:rsidR="00DB56BA" w:rsidRPr="00785FB4">
        <w:rPr>
          <w:bCs/>
        </w:rPr>
        <w:t>MOMP</w:t>
      </w:r>
      <w:r w:rsidR="00E16A77" w:rsidRPr="00785FB4">
        <w:rPr>
          <w:bCs/>
        </w:rPr>
        <w:t>’s Cadastre and Inspectorate Departments. Government officials noted that the government intended on introducing licenses for SOEs as part of the corporatisation effort (</w:t>
      </w:r>
      <w:r w:rsidR="00E16A77" w:rsidRPr="00785FB4">
        <w:rPr>
          <w:bCs/>
          <w:i/>
        </w:rPr>
        <w:t>see Requirement 2.6</w:t>
      </w:r>
      <w:r w:rsidR="00E16A77" w:rsidRPr="00785FB4">
        <w:rPr>
          <w:bCs/>
        </w:rPr>
        <w:t xml:space="preserve">). </w:t>
      </w:r>
    </w:p>
    <w:p w14:paraId="4CBE49EB" w14:textId="30F87F59" w:rsidR="001E68AF" w:rsidRPr="00785FB4" w:rsidRDefault="00F425D1" w:rsidP="00A94167">
      <w:pPr>
        <w:pStyle w:val="Heading3"/>
      </w:pPr>
      <w:bookmarkStart w:id="218" w:name="_Toc459133106"/>
      <w:bookmarkStart w:id="219" w:name="_Toc461803055"/>
      <w:bookmarkStart w:id="220" w:name="_Toc505449603"/>
      <w:r w:rsidRPr="00785FB4">
        <w:t>Initial assessment</w:t>
      </w:r>
      <w:bookmarkEnd w:id="218"/>
      <w:bookmarkEnd w:id="219"/>
      <w:bookmarkEnd w:id="220"/>
    </w:p>
    <w:p w14:paraId="4596CAF1" w14:textId="62AC35D5" w:rsidR="00F425D1" w:rsidRPr="00785FB4" w:rsidRDefault="00F425D1" w:rsidP="00F425D1">
      <w:pPr>
        <w:spacing w:before="120"/>
      </w:pPr>
      <w:r w:rsidRPr="00785FB4">
        <w:t>The</w:t>
      </w:r>
      <w:r w:rsidRPr="00785FB4">
        <w:rPr>
          <w:b/>
        </w:rPr>
        <w:t xml:space="preserve"> </w:t>
      </w:r>
      <w:r w:rsidRPr="00785FB4">
        <w:t xml:space="preserve">International Secretariat’s initial assessment is that </w:t>
      </w:r>
      <w:r w:rsidR="005649B0" w:rsidRPr="00785FB4">
        <w:rPr>
          <w:bCs/>
        </w:rPr>
        <w:t>Afghanistan</w:t>
      </w:r>
      <w:r w:rsidR="00151988" w:rsidRPr="00785FB4">
        <w:t xml:space="preserve"> </w:t>
      </w:r>
      <w:r w:rsidRPr="00785FB4">
        <w:t xml:space="preserve">has made </w:t>
      </w:r>
      <w:r w:rsidR="00EF4B37" w:rsidRPr="00785FB4">
        <w:rPr>
          <w:bCs/>
        </w:rPr>
        <w:t>inadequate</w:t>
      </w:r>
      <w:r w:rsidR="005649B0" w:rsidRPr="00785FB4">
        <w:rPr>
          <w:b/>
          <w:bCs/>
        </w:rPr>
        <w:t xml:space="preserve"> </w:t>
      </w:r>
      <w:r w:rsidRPr="00785FB4">
        <w:t xml:space="preserve">progress towards meeting this requirement. </w:t>
      </w:r>
      <w:r w:rsidR="005649B0" w:rsidRPr="00785FB4">
        <w:t xml:space="preserve">The 2014-15 EITI Report highlights inconsistencies between two mining license registers </w:t>
      </w:r>
      <w:r w:rsidR="00EC3B0D" w:rsidRPr="00785FB4">
        <w:t xml:space="preserve">sourced from the </w:t>
      </w:r>
      <w:r w:rsidR="00DB56BA" w:rsidRPr="00785FB4">
        <w:t>MOMP</w:t>
      </w:r>
      <w:r w:rsidR="005649B0" w:rsidRPr="00785FB4">
        <w:t xml:space="preserve">, but only provides </w:t>
      </w:r>
      <w:r w:rsidR="00EC3B0D" w:rsidRPr="00785FB4">
        <w:t xml:space="preserve">a fraction </w:t>
      </w:r>
      <w:r w:rsidR="005649B0" w:rsidRPr="00785FB4">
        <w:t>of the information mandated by Requirement 2.3</w:t>
      </w:r>
      <w:r w:rsidR="00830C8F" w:rsidRPr="00785FB4">
        <w:t>.b</w:t>
      </w:r>
      <w:r w:rsidR="005649B0" w:rsidRPr="00785FB4">
        <w:t xml:space="preserve">. </w:t>
      </w:r>
      <w:r w:rsidR="00A414C4" w:rsidRPr="00785FB4">
        <w:t xml:space="preserve">While the </w:t>
      </w:r>
      <w:r w:rsidR="00DB56BA" w:rsidRPr="00785FB4">
        <w:t>MOMP</w:t>
      </w:r>
      <w:r w:rsidR="00A414C4" w:rsidRPr="00785FB4">
        <w:t xml:space="preserve"> published over 1</w:t>
      </w:r>
      <w:r w:rsidR="00E11748" w:rsidRPr="00785FB4">
        <w:t>,</w:t>
      </w:r>
      <w:r w:rsidR="00A414C4" w:rsidRPr="00785FB4">
        <w:t xml:space="preserve">000 contracts on its website in November 2017, which include most information listed under Requirement 2.3.b aside from dates of application, the lack of clear categorisation of active licenses is a concern given the significant uncertainty over the comprehensiveness of license information collected by </w:t>
      </w:r>
      <w:r w:rsidR="00DB56BA" w:rsidRPr="00785FB4">
        <w:t>MOMP</w:t>
      </w:r>
      <w:r w:rsidR="00A414C4" w:rsidRPr="00785FB4">
        <w:t xml:space="preserve">. </w:t>
      </w:r>
      <w:r w:rsidR="00EC3B0D" w:rsidRPr="00785FB4">
        <w:t>T</w:t>
      </w:r>
      <w:r w:rsidR="005649B0" w:rsidRPr="00785FB4">
        <w:t xml:space="preserve">he report provides links to </w:t>
      </w:r>
      <w:r w:rsidR="00EC3B0D" w:rsidRPr="00785FB4">
        <w:t xml:space="preserve">the </w:t>
      </w:r>
      <w:r w:rsidR="005649B0" w:rsidRPr="00785FB4">
        <w:t xml:space="preserve">three oil and gas PSCs </w:t>
      </w:r>
      <w:r w:rsidR="00EC3B0D" w:rsidRPr="00785FB4">
        <w:t xml:space="preserve">awarded to date </w:t>
      </w:r>
      <w:r w:rsidR="005649B0" w:rsidRPr="00785FB4">
        <w:t xml:space="preserve">accessible on the </w:t>
      </w:r>
      <w:r w:rsidR="00DB56BA" w:rsidRPr="00785FB4">
        <w:t>MOMP</w:t>
      </w:r>
      <w:r w:rsidR="005649B0" w:rsidRPr="00785FB4">
        <w:t xml:space="preserve"> website, which include all information </w:t>
      </w:r>
      <w:r w:rsidR="005649B0" w:rsidRPr="00785FB4">
        <w:lastRenderedPageBreak/>
        <w:t>mandated under Requirement 2.3</w:t>
      </w:r>
      <w:r w:rsidR="00830C8F" w:rsidRPr="00785FB4">
        <w:t>.b</w:t>
      </w:r>
      <w:r w:rsidR="00EC3B0D" w:rsidRPr="00785FB4">
        <w:t xml:space="preserve"> aside from dates of application</w:t>
      </w:r>
      <w:r w:rsidR="005649B0" w:rsidRPr="00785FB4">
        <w:t xml:space="preserve">. </w:t>
      </w:r>
    </w:p>
    <w:p w14:paraId="0E7E6707" w14:textId="019AA1E8" w:rsidR="005649B0" w:rsidRPr="00785FB4" w:rsidRDefault="005649B0" w:rsidP="00F425D1">
      <w:pPr>
        <w:spacing w:before="120"/>
      </w:pPr>
      <w:r w:rsidRPr="00785FB4">
        <w:t>In accordance with Requirement 2.3,</w:t>
      </w:r>
      <w:r w:rsidR="00E11748" w:rsidRPr="00785FB4">
        <w:t xml:space="preserve"> Afghanistan should maintain a publicly available register or cadastre system with timely and comprehensive information </w:t>
      </w:r>
      <w:r w:rsidR="00806D19" w:rsidRPr="00785FB4">
        <w:t>on all mining, oil and gas licenses including license-holder name, dates of application, award and expiry, commodity(ies) covered and coordinates</w:t>
      </w:r>
      <w:r w:rsidR="00E11748" w:rsidRPr="00785FB4">
        <w:t xml:space="preserve">. </w:t>
      </w:r>
      <w:r w:rsidR="00806D19" w:rsidRPr="00785FB4">
        <w:t xml:space="preserve">The MSG </w:t>
      </w:r>
      <w:r w:rsidR="00E11748" w:rsidRPr="00785FB4">
        <w:t xml:space="preserve">should </w:t>
      </w:r>
      <w:r w:rsidR="00806D19" w:rsidRPr="00785FB4">
        <w:t xml:space="preserve">work with the </w:t>
      </w:r>
      <w:r w:rsidR="00DB56BA" w:rsidRPr="00785FB4">
        <w:t>MOMP</w:t>
      </w:r>
      <w:r w:rsidR="00806D19" w:rsidRPr="00785FB4">
        <w:t xml:space="preserve"> to ensure all license information listed in Requirement 2.3.b is available for all extractives licenses active in the peri</w:t>
      </w:r>
      <w:r w:rsidR="00A60609" w:rsidRPr="00785FB4">
        <w:t xml:space="preserve"> </w:t>
      </w:r>
      <w:r w:rsidR="00806D19" w:rsidRPr="00785FB4">
        <w:t xml:space="preserve">od under review. </w:t>
      </w:r>
    </w:p>
    <w:p w14:paraId="21404976" w14:textId="58C794F5" w:rsidR="00F425D1" w:rsidRPr="00785FB4" w:rsidRDefault="00F425D1" w:rsidP="00A94167">
      <w:pPr>
        <w:pStyle w:val="Heading2notindexed"/>
      </w:pPr>
      <w:bookmarkStart w:id="221" w:name="_Toc459133107"/>
      <w:bookmarkStart w:id="222" w:name="_Toc461803056"/>
      <w:bookmarkStart w:id="223" w:name="_Toc461787328"/>
      <w:bookmarkStart w:id="224" w:name="_Toc461795840"/>
      <w:bookmarkStart w:id="225" w:name="_Toc505449604"/>
      <w:bookmarkStart w:id="226" w:name="_Toc505449790"/>
      <w:r w:rsidRPr="00785FB4">
        <w:t>Contract disclosures (#2.4)</w:t>
      </w:r>
      <w:bookmarkEnd w:id="221"/>
      <w:bookmarkEnd w:id="222"/>
      <w:bookmarkEnd w:id="223"/>
      <w:bookmarkEnd w:id="224"/>
      <w:bookmarkEnd w:id="225"/>
      <w:bookmarkEnd w:id="226"/>
    </w:p>
    <w:p w14:paraId="5E4D5867" w14:textId="4D982BA6" w:rsidR="00247985" w:rsidRPr="00785FB4" w:rsidRDefault="00F425D1" w:rsidP="00A94167">
      <w:pPr>
        <w:pStyle w:val="Heading3"/>
      </w:pPr>
      <w:bookmarkStart w:id="227" w:name="_Toc505449605"/>
      <w:r w:rsidRPr="00785FB4">
        <w:t>Documentation of progress</w:t>
      </w:r>
      <w:bookmarkEnd w:id="227"/>
    </w:p>
    <w:p w14:paraId="6C5BF30A" w14:textId="3824B7C0" w:rsidR="00D75FCF" w:rsidRPr="00785FB4" w:rsidRDefault="00023287" w:rsidP="00405360">
      <w:pPr>
        <w:spacing w:before="120"/>
      </w:pPr>
      <w:r w:rsidRPr="00785FB4">
        <w:rPr>
          <w:i/>
          <w:u w:val="single"/>
        </w:rPr>
        <w:t>Government policy</w:t>
      </w:r>
      <w:r w:rsidRPr="00785FB4">
        <w:t xml:space="preserve">: </w:t>
      </w:r>
      <w:r w:rsidR="00F9479C" w:rsidRPr="00785FB4">
        <w:t>The 2014-15 EITI Report clarifies the government’s commitment, made at the 5-6 October 2016 Brussels Conference on Afghanistan, to publish all mining contracts “by first half of 2018”</w:t>
      </w:r>
      <w:r w:rsidR="00D75FCF" w:rsidRPr="00785FB4">
        <w:t xml:space="preserve"> (p.33)</w:t>
      </w:r>
      <w:r w:rsidR="00F9479C" w:rsidRPr="00785FB4">
        <w:t>.</w:t>
      </w:r>
      <w:r w:rsidR="00D75FCF" w:rsidRPr="00785FB4">
        <w:t xml:space="preserve"> </w:t>
      </w:r>
      <w:r w:rsidR="00F9479C" w:rsidRPr="00785FB4">
        <w:t xml:space="preserve">It also refers to legal provisions requiring the publication of Minerals Development Contracts on the </w:t>
      </w:r>
      <w:r w:rsidR="00DB56BA" w:rsidRPr="00785FB4">
        <w:t>MOMP</w:t>
      </w:r>
      <w:r w:rsidR="00F9479C" w:rsidRPr="00785FB4">
        <w:t xml:space="preserve"> website within ten days of signature, although </w:t>
      </w:r>
      <w:r w:rsidR="00A60609" w:rsidRPr="00785FB4">
        <w:t xml:space="preserve">the report does not specifically state that these legal provisions relate to the 2014 Minerals Law </w:t>
      </w:r>
      <w:r w:rsidR="00D75FCF" w:rsidRPr="00785FB4">
        <w:t xml:space="preserve">(p.26). </w:t>
      </w:r>
      <w:r w:rsidR="00F9479C" w:rsidRPr="00785FB4">
        <w:t xml:space="preserve">However, the report does not clarify the government’s policy on contract disclosure in the oil and gas sector, aside from a general reference to “prevailing laws prohibiting disclosures of state records (public registered documents)” (p.30). </w:t>
      </w:r>
    </w:p>
    <w:p w14:paraId="1F2AA26C" w14:textId="60E50F38" w:rsidR="00F425D1" w:rsidRPr="00785FB4" w:rsidRDefault="008D374C" w:rsidP="00E171DA">
      <w:pPr>
        <w:spacing w:before="120"/>
        <w:rPr>
          <w:color w:val="000000" w:themeColor="text1"/>
        </w:rPr>
      </w:pPr>
      <w:r w:rsidRPr="00785FB4">
        <w:rPr>
          <w:i/>
          <w:color w:val="000000" w:themeColor="text1"/>
          <w:u w:val="single"/>
        </w:rPr>
        <w:t>P</w:t>
      </w:r>
      <w:r w:rsidR="00F425D1" w:rsidRPr="00785FB4">
        <w:rPr>
          <w:i/>
          <w:color w:val="000000" w:themeColor="text1"/>
          <w:u w:val="single"/>
        </w:rPr>
        <w:t>ractice</w:t>
      </w:r>
      <w:r w:rsidRPr="00785FB4">
        <w:rPr>
          <w:i/>
          <w:color w:val="000000" w:themeColor="text1"/>
          <w:u w:val="single"/>
        </w:rPr>
        <w:t xml:space="preserve"> and accessibility</w:t>
      </w:r>
      <w:r w:rsidR="00F425D1" w:rsidRPr="00785FB4">
        <w:rPr>
          <w:color w:val="000000" w:themeColor="text1"/>
        </w:rPr>
        <w:t xml:space="preserve">: </w:t>
      </w:r>
      <w:r w:rsidR="0092309F" w:rsidRPr="00785FB4">
        <w:rPr>
          <w:color w:val="000000" w:themeColor="text1"/>
        </w:rPr>
        <w:t xml:space="preserve">The report states that one mining contract, covering the Aynak copper project, and three oil and gas PSCs, covering the Amu Daya, Sanduqli and Mazar-i-Sharif blocks, are accessible on the </w:t>
      </w:r>
      <w:r w:rsidR="00DB56BA" w:rsidRPr="00785FB4">
        <w:rPr>
          <w:color w:val="000000" w:themeColor="text1"/>
        </w:rPr>
        <w:t>MOMP</w:t>
      </w:r>
      <w:r w:rsidR="0092309F" w:rsidRPr="00785FB4">
        <w:rPr>
          <w:color w:val="000000" w:themeColor="text1"/>
        </w:rPr>
        <w:t xml:space="preserve"> website and provides relevant links (pp.30,32). </w:t>
      </w:r>
      <w:r w:rsidR="002C7882" w:rsidRPr="00785FB4">
        <w:rPr>
          <w:color w:val="000000" w:themeColor="text1"/>
        </w:rPr>
        <w:t xml:space="preserve">The report states that </w:t>
      </w:r>
      <w:r w:rsidR="00A60609" w:rsidRPr="00785FB4">
        <w:rPr>
          <w:color w:val="000000" w:themeColor="text1"/>
        </w:rPr>
        <w:t xml:space="preserve">information on </w:t>
      </w:r>
      <w:r w:rsidR="003426BA" w:rsidRPr="00785FB4">
        <w:rPr>
          <w:color w:val="000000" w:themeColor="text1"/>
        </w:rPr>
        <w:t xml:space="preserve">Dari-language </w:t>
      </w:r>
      <w:r w:rsidR="002C7882" w:rsidRPr="00785FB4">
        <w:rPr>
          <w:color w:val="000000" w:themeColor="text1"/>
        </w:rPr>
        <w:t xml:space="preserve">small mine contracts </w:t>
      </w:r>
      <w:r w:rsidR="00A60609" w:rsidRPr="00785FB4">
        <w:rPr>
          <w:color w:val="000000" w:themeColor="text1"/>
        </w:rPr>
        <w:t xml:space="preserve">is </w:t>
      </w:r>
      <w:r w:rsidR="002C7882" w:rsidRPr="00785FB4">
        <w:rPr>
          <w:color w:val="000000" w:themeColor="text1"/>
        </w:rPr>
        <w:t xml:space="preserve">available on the </w:t>
      </w:r>
      <w:r w:rsidR="00DB56BA" w:rsidRPr="00785FB4">
        <w:rPr>
          <w:color w:val="000000" w:themeColor="text1"/>
        </w:rPr>
        <w:t>MOMP</w:t>
      </w:r>
      <w:r w:rsidR="002C7882" w:rsidRPr="00785FB4">
        <w:rPr>
          <w:color w:val="000000" w:themeColor="text1"/>
        </w:rPr>
        <w:t xml:space="preserve"> website, although it </w:t>
      </w:r>
      <w:r w:rsidR="00A60609" w:rsidRPr="00785FB4">
        <w:rPr>
          <w:color w:val="000000" w:themeColor="text1"/>
        </w:rPr>
        <w:t xml:space="preserve">highlights that there are three different lists of contracts (listing </w:t>
      </w:r>
      <w:r w:rsidR="003426BA" w:rsidRPr="00785FB4">
        <w:rPr>
          <w:color w:val="000000" w:themeColor="text1"/>
        </w:rPr>
        <w:t xml:space="preserve">302, 867 and 491 contracts </w:t>
      </w:r>
      <w:r w:rsidR="00A60609" w:rsidRPr="00785FB4">
        <w:rPr>
          <w:color w:val="000000" w:themeColor="text1"/>
        </w:rPr>
        <w:t xml:space="preserve">respectively), and a fourth list of (488) small-scale contracts actually published and whose full-text is publicly accessible </w:t>
      </w:r>
      <w:r w:rsidR="003426BA" w:rsidRPr="00785FB4">
        <w:rPr>
          <w:color w:val="000000" w:themeColor="text1"/>
        </w:rPr>
        <w:t>(p.32)</w:t>
      </w:r>
      <w:r w:rsidR="00A60609" w:rsidRPr="00785FB4">
        <w:rPr>
          <w:color w:val="000000" w:themeColor="text1"/>
        </w:rPr>
        <w:t>,</w:t>
      </w:r>
      <w:r w:rsidR="006F3507" w:rsidRPr="00785FB4">
        <w:rPr>
          <w:color w:val="000000" w:themeColor="text1"/>
        </w:rPr>
        <w:t xml:space="preserve"> without </w:t>
      </w:r>
      <w:r w:rsidR="00A60609" w:rsidRPr="00785FB4">
        <w:rPr>
          <w:color w:val="000000" w:themeColor="text1"/>
        </w:rPr>
        <w:t xml:space="preserve">providing </w:t>
      </w:r>
      <w:r w:rsidR="006F3507" w:rsidRPr="00785FB4">
        <w:rPr>
          <w:color w:val="000000" w:themeColor="text1"/>
        </w:rPr>
        <w:t>further explanation</w:t>
      </w:r>
      <w:r w:rsidR="00A60609" w:rsidRPr="00785FB4">
        <w:rPr>
          <w:color w:val="000000" w:themeColor="text1"/>
        </w:rPr>
        <w:t xml:space="preserve"> for these discrepancies</w:t>
      </w:r>
      <w:r w:rsidR="003426BA" w:rsidRPr="00785FB4">
        <w:rPr>
          <w:color w:val="000000" w:themeColor="text1"/>
        </w:rPr>
        <w:t xml:space="preserve">. </w:t>
      </w:r>
      <w:r w:rsidR="000D43F9" w:rsidRPr="00785FB4">
        <w:rPr>
          <w:color w:val="000000" w:themeColor="text1"/>
        </w:rPr>
        <w:t>The Resource Contracts portal</w:t>
      </w:r>
      <w:r w:rsidR="00E171DA" w:rsidRPr="00785FB4">
        <w:rPr>
          <w:color w:val="000000" w:themeColor="text1"/>
        </w:rPr>
        <w:t xml:space="preserve"> lists two coal concessions</w:t>
      </w:r>
      <w:r w:rsidR="00E171DA" w:rsidRPr="00785FB4">
        <w:rPr>
          <w:rStyle w:val="FootnoteReference"/>
          <w:color w:val="000000" w:themeColor="text1"/>
        </w:rPr>
        <w:footnoteReference w:id="146"/>
      </w:r>
      <w:r w:rsidR="00E171DA" w:rsidRPr="00785FB4">
        <w:rPr>
          <w:color w:val="000000" w:themeColor="text1"/>
        </w:rPr>
        <w:t xml:space="preserve"> and one gold concession</w:t>
      </w:r>
      <w:r w:rsidR="00E171DA" w:rsidRPr="00785FB4">
        <w:rPr>
          <w:rStyle w:val="FootnoteReference"/>
          <w:color w:val="000000" w:themeColor="text1"/>
        </w:rPr>
        <w:footnoteReference w:id="147"/>
      </w:r>
      <w:r w:rsidR="00E171DA" w:rsidRPr="00785FB4">
        <w:rPr>
          <w:color w:val="000000" w:themeColor="text1"/>
        </w:rPr>
        <w:t>, alongside the same three PSCs and the various contracts related to the Aynak copper project cited in the 2014-15 EITI Report.</w:t>
      </w:r>
      <w:r w:rsidR="00E171DA" w:rsidRPr="00785FB4">
        <w:rPr>
          <w:rStyle w:val="FootnoteReference"/>
          <w:color w:val="000000" w:themeColor="text1"/>
        </w:rPr>
        <w:footnoteReference w:id="148"/>
      </w:r>
      <w:r w:rsidR="00E171DA" w:rsidRPr="00785FB4">
        <w:rPr>
          <w:color w:val="000000" w:themeColor="text1"/>
        </w:rPr>
        <w:t xml:space="preserve"> </w:t>
      </w:r>
    </w:p>
    <w:p w14:paraId="56F8D60E" w14:textId="77777777" w:rsidR="00247985" w:rsidRPr="00785FB4" w:rsidRDefault="00545BBC" w:rsidP="00A94167">
      <w:pPr>
        <w:pStyle w:val="Heading3"/>
      </w:pPr>
      <w:bookmarkStart w:id="228" w:name="_Toc505449606"/>
      <w:r w:rsidRPr="00785FB4">
        <w:t>Stakeholder views</w:t>
      </w:r>
      <w:bookmarkEnd w:id="228"/>
    </w:p>
    <w:p w14:paraId="29760502" w14:textId="1148F5A6" w:rsidR="00F368CD" w:rsidRPr="00785FB4" w:rsidRDefault="00F368CD" w:rsidP="00F425D1">
      <w:pPr>
        <w:spacing w:before="120"/>
        <w:rPr>
          <w:bCs/>
        </w:rPr>
      </w:pPr>
      <w:r w:rsidRPr="00785FB4">
        <w:rPr>
          <w:bCs/>
          <w:i/>
          <w:u w:val="single"/>
        </w:rPr>
        <w:t>Government policy</w:t>
      </w:r>
      <w:r w:rsidRPr="00785FB4">
        <w:rPr>
          <w:bCs/>
        </w:rPr>
        <w:t xml:space="preserve">: </w:t>
      </w:r>
      <w:r w:rsidR="006F3507" w:rsidRPr="00785FB4">
        <w:rPr>
          <w:bCs/>
        </w:rPr>
        <w:t xml:space="preserve">Stakeholders from all constituencies confirmed that the government’s policy was to publish all extractives contracts and several CSOs praised the government for implementing this commitment in 2017. </w:t>
      </w:r>
      <w:r w:rsidR="00A63916" w:rsidRPr="00785FB4">
        <w:rPr>
          <w:color w:val="000000" w:themeColor="text1"/>
        </w:rPr>
        <w:t>The May 2017 AEITI organisational assessment noted that the 2016 Brussels Conference commitment was made to “operationalise” the commitment to mining contract transparency by amending the 2014 Minerals Law with provisions requiring the systematic publication of mining contracts.</w:t>
      </w:r>
      <w:r w:rsidR="004E7543" w:rsidRPr="00785FB4">
        <w:rPr>
          <w:bCs/>
          <w:vertAlign w:val="superscript"/>
        </w:rPr>
        <w:footnoteReference w:id="149"/>
      </w:r>
      <w:r w:rsidR="00837BE8" w:rsidRPr="00785FB4">
        <w:t xml:space="preserve"> In 2015, Global Witness called for amendments to the Minerals Law stipulating that extractives contracts only became valid once they were made public.</w:t>
      </w:r>
      <w:r w:rsidR="00837BE8" w:rsidRPr="00785FB4">
        <w:rPr>
          <w:rStyle w:val="FootnoteReference"/>
        </w:rPr>
        <w:footnoteReference w:id="150"/>
      </w:r>
    </w:p>
    <w:p w14:paraId="4D881200" w14:textId="2E07CB7F" w:rsidR="000947FC" w:rsidRPr="00785FB4" w:rsidRDefault="00F368CD" w:rsidP="00D770FC">
      <w:pPr>
        <w:spacing w:before="120"/>
      </w:pPr>
      <w:r w:rsidRPr="00785FB4">
        <w:rPr>
          <w:i/>
          <w:u w:val="single"/>
        </w:rPr>
        <w:lastRenderedPageBreak/>
        <w:t>Practice and accessibility</w:t>
      </w:r>
      <w:r w:rsidRPr="00785FB4">
        <w:t xml:space="preserve">: </w:t>
      </w:r>
      <w:r w:rsidR="000947FC" w:rsidRPr="00785FB4">
        <w:t>Despite uncertainty from some development partners over whether the more than 1</w:t>
      </w:r>
      <w:r w:rsidR="005D55FC" w:rsidRPr="00785FB4">
        <w:t>,</w:t>
      </w:r>
      <w:r w:rsidR="000947FC" w:rsidRPr="00785FB4">
        <w:t xml:space="preserve">000 contracts published on the </w:t>
      </w:r>
      <w:r w:rsidR="00DB56BA" w:rsidRPr="00785FB4">
        <w:t>MOMP</w:t>
      </w:r>
      <w:r w:rsidR="000947FC" w:rsidRPr="00785FB4">
        <w:t xml:space="preserve"> website in 2017 represented the full list of agreements, all other stakeholders consulted considered that the published contracts were comprehensive. Several CSOs expressed satisfaction at the government’s implementation of its contract disclosure policy. </w:t>
      </w:r>
      <w:r w:rsidR="006A4797" w:rsidRPr="00785FB4">
        <w:t xml:space="preserve">The May 2017 AEITI organisational assessment quoted a SAO 2016 compliance audit report that found that </w:t>
      </w:r>
      <w:r w:rsidR="00DB56BA" w:rsidRPr="00785FB4">
        <w:t>MOF</w:t>
      </w:r>
      <w:r w:rsidR="006A4797" w:rsidRPr="00785FB4">
        <w:t xml:space="preserve"> departments including the Revenue Department did not systematically have access to extractives contracts from </w:t>
      </w:r>
      <w:r w:rsidR="00DB56BA" w:rsidRPr="00785FB4">
        <w:t>MOMP</w:t>
      </w:r>
      <w:r w:rsidR="006A4797" w:rsidRPr="00785FB4">
        <w:t xml:space="preserve">, despite requirements for </w:t>
      </w:r>
      <w:r w:rsidR="00DB56BA" w:rsidRPr="00785FB4">
        <w:t>MOMP</w:t>
      </w:r>
      <w:r w:rsidR="006A4797" w:rsidRPr="00785FB4">
        <w:t xml:space="preserve"> to make all contracts available to the </w:t>
      </w:r>
      <w:r w:rsidR="00DB56BA" w:rsidRPr="00785FB4">
        <w:t>MOF</w:t>
      </w:r>
      <w:r w:rsidR="006A4797" w:rsidRPr="00785FB4">
        <w:t>.</w:t>
      </w:r>
      <w:r w:rsidR="00F9479C" w:rsidRPr="00785FB4">
        <w:rPr>
          <w:vertAlign w:val="superscript"/>
        </w:rPr>
        <w:footnoteReference w:id="151"/>
      </w:r>
      <w:r w:rsidR="002C7882" w:rsidRPr="00785FB4">
        <w:t xml:space="preserve"> </w:t>
      </w:r>
      <w:r w:rsidR="00907B0E" w:rsidRPr="00785FB4">
        <w:t xml:space="preserve">Several government officials highlighted the </w:t>
      </w:r>
      <w:r w:rsidR="00DB56BA" w:rsidRPr="00785FB4">
        <w:t>MOMP</w:t>
      </w:r>
      <w:r w:rsidR="00907B0E" w:rsidRPr="00785FB4">
        <w:t xml:space="preserve">’s plans to review and standardise royalty rates, which differ per contract, and to develop a model mining contract. </w:t>
      </w:r>
    </w:p>
    <w:p w14:paraId="7597F72F" w14:textId="18431199" w:rsidR="001E68AF" w:rsidRPr="00785FB4" w:rsidRDefault="00F425D1" w:rsidP="00A94167">
      <w:pPr>
        <w:pStyle w:val="Heading3"/>
      </w:pPr>
      <w:bookmarkStart w:id="229" w:name="_Toc459133110"/>
      <w:bookmarkStart w:id="230" w:name="_Toc461803059"/>
      <w:bookmarkStart w:id="231" w:name="_Toc505449607"/>
      <w:r w:rsidRPr="00785FB4">
        <w:t>Initial assessment</w:t>
      </w:r>
      <w:bookmarkEnd w:id="229"/>
      <w:bookmarkEnd w:id="230"/>
      <w:bookmarkEnd w:id="231"/>
    </w:p>
    <w:p w14:paraId="65AB457A" w14:textId="0051B2BB" w:rsidR="00B15B0D" w:rsidRPr="00785FB4" w:rsidRDefault="00F425D1" w:rsidP="00F425D1">
      <w:pPr>
        <w:spacing w:before="120"/>
      </w:pPr>
      <w:r w:rsidRPr="00785FB4">
        <w:t xml:space="preserve">The International Secretariat’s initial assessment is that </w:t>
      </w:r>
      <w:r w:rsidR="009B1522" w:rsidRPr="00785FB4">
        <w:rPr>
          <w:bCs/>
        </w:rPr>
        <w:t>Afghanistan</w:t>
      </w:r>
      <w:r w:rsidR="009B1522" w:rsidRPr="00785FB4">
        <w:t xml:space="preserve"> </w:t>
      </w:r>
      <w:r w:rsidRPr="00785FB4">
        <w:t xml:space="preserve">has made </w:t>
      </w:r>
      <w:r w:rsidR="003426BA" w:rsidRPr="00785FB4">
        <w:rPr>
          <w:bCs/>
        </w:rPr>
        <w:t>satisfactory</w:t>
      </w:r>
      <w:r w:rsidR="00405360" w:rsidRPr="00785FB4">
        <w:t xml:space="preserve"> </w:t>
      </w:r>
      <w:r w:rsidRPr="00785FB4">
        <w:t xml:space="preserve">progress towards meeting this requirement. </w:t>
      </w:r>
      <w:r w:rsidR="003426BA" w:rsidRPr="00785FB4">
        <w:t>The 2014-15 EITI Report clarifies the government’s policy for contract disclosure in the mining sector and documents actual disclosure practice and accessibility of contracts in the mining, oil and gas sectors. While the report does not clarify the government’s policy on contract disclosure in the oil and gas sector, it can be inferred that the government’s pro-disclosure policy covers both mining and oil and gas contracts</w:t>
      </w:r>
      <w:r w:rsidR="00B421A5" w:rsidRPr="00785FB4">
        <w:t>.</w:t>
      </w:r>
      <w:r w:rsidR="00A738BF" w:rsidRPr="00785FB4">
        <w:t xml:space="preserve"> </w:t>
      </w:r>
      <w:r w:rsidR="00B421A5" w:rsidRPr="00785FB4">
        <w:t>In the Secretariat’s view, Afghanistan has also gone beyond the minimum requirements by making contracts public as encouraged by the EITI Standard.</w:t>
      </w:r>
    </w:p>
    <w:p w14:paraId="7D6D9B01" w14:textId="4C999A9D" w:rsidR="003426BA" w:rsidRPr="00785FB4" w:rsidRDefault="003426BA" w:rsidP="00F425D1">
      <w:pPr>
        <w:spacing w:before="120"/>
      </w:pPr>
      <w:r w:rsidRPr="00785FB4">
        <w:t>To st</w:t>
      </w:r>
      <w:r w:rsidR="000973E3" w:rsidRPr="00785FB4">
        <w:t xml:space="preserve">rengthen implementation, </w:t>
      </w:r>
      <w:r w:rsidR="008F648D" w:rsidRPr="00785FB4">
        <w:t xml:space="preserve">Afghanistan </w:t>
      </w:r>
      <w:r w:rsidR="00A738BF" w:rsidRPr="00785FB4">
        <w:t xml:space="preserve">is encouraged to undertake a review of published mining contracts to clearly categorise contracts and ensure that the published contracts on the </w:t>
      </w:r>
      <w:r w:rsidR="00DB56BA" w:rsidRPr="00785FB4">
        <w:t>MOMP</w:t>
      </w:r>
      <w:r w:rsidR="00A738BF" w:rsidRPr="00785FB4">
        <w:t xml:space="preserve"> website </w:t>
      </w:r>
      <w:r w:rsidR="00DF2B54" w:rsidRPr="00785FB4">
        <w:t xml:space="preserve">are </w:t>
      </w:r>
      <w:r w:rsidR="00A738BF" w:rsidRPr="00785FB4">
        <w:t xml:space="preserve">regularly updated. </w:t>
      </w:r>
    </w:p>
    <w:p w14:paraId="7980B881" w14:textId="293C3F99" w:rsidR="00A441F1" w:rsidRPr="00785FB4" w:rsidRDefault="000722F1" w:rsidP="00A94167">
      <w:pPr>
        <w:pStyle w:val="Heading2notindexed"/>
      </w:pPr>
      <w:bookmarkStart w:id="232" w:name="_Toc459133111"/>
      <w:bookmarkStart w:id="233" w:name="_Toc461803060"/>
      <w:bookmarkStart w:id="234" w:name="_Toc461787329"/>
      <w:bookmarkStart w:id="235" w:name="_Toc461795841"/>
      <w:bookmarkStart w:id="236" w:name="_Toc505449608"/>
      <w:bookmarkStart w:id="237" w:name="_Toc505449791"/>
      <w:r w:rsidRPr="00785FB4">
        <w:t>B</w:t>
      </w:r>
      <w:r w:rsidR="00A441F1" w:rsidRPr="00785FB4">
        <w:t>eneficial ownership disclosure (#</w:t>
      </w:r>
      <w:r w:rsidR="00EE25D1" w:rsidRPr="00785FB4">
        <w:t>2</w:t>
      </w:r>
      <w:r w:rsidR="00A441F1" w:rsidRPr="00785FB4">
        <w:t>.</w:t>
      </w:r>
      <w:r w:rsidR="00EE25D1" w:rsidRPr="00785FB4">
        <w:t>5</w:t>
      </w:r>
      <w:r w:rsidR="00A441F1" w:rsidRPr="00785FB4">
        <w:t>)</w:t>
      </w:r>
      <w:bookmarkEnd w:id="232"/>
      <w:bookmarkEnd w:id="233"/>
      <w:bookmarkEnd w:id="234"/>
      <w:bookmarkEnd w:id="235"/>
      <w:bookmarkEnd w:id="236"/>
      <w:bookmarkEnd w:id="237"/>
    </w:p>
    <w:p w14:paraId="34468C6C" w14:textId="1CCFF770" w:rsidR="00247985" w:rsidRPr="00785FB4" w:rsidRDefault="00F425D1" w:rsidP="00A94167">
      <w:pPr>
        <w:pStyle w:val="Heading3"/>
      </w:pPr>
      <w:bookmarkStart w:id="238" w:name="_Toc505449609"/>
      <w:r w:rsidRPr="00785FB4">
        <w:t>Documentation of progress</w:t>
      </w:r>
      <w:bookmarkEnd w:id="238"/>
    </w:p>
    <w:p w14:paraId="2A1DE0A0" w14:textId="004049A2" w:rsidR="002B34EF" w:rsidRPr="00785FB4" w:rsidRDefault="00F425D1" w:rsidP="00F425D1">
      <w:pPr>
        <w:spacing w:before="120"/>
      </w:pPr>
      <w:r w:rsidRPr="00785FB4">
        <w:rPr>
          <w:i/>
          <w:u w:val="single"/>
        </w:rPr>
        <w:t>Government policy</w:t>
      </w:r>
      <w:r w:rsidRPr="00785FB4">
        <w:t xml:space="preserve">: </w:t>
      </w:r>
      <w:r w:rsidR="00372EE7" w:rsidRPr="00785FB4">
        <w:t xml:space="preserve">The 2014-15 EITI Report describes the government’s </w:t>
      </w:r>
      <w:r w:rsidR="00DB08DF" w:rsidRPr="00785FB4">
        <w:t>commitment</w:t>
      </w:r>
      <w:r w:rsidR="00DF2B54" w:rsidRPr="00785FB4">
        <w:t xml:space="preserve"> made at international conferences in Tokyo and London in 2016</w:t>
      </w:r>
      <w:r w:rsidR="00DB08DF" w:rsidRPr="00785FB4">
        <w:t xml:space="preserve"> to disclose beneficial owners of mining, oil and gas companies through a public register (p.34). The report describes Afghanistan’s 2017-2021 National Peace and Development Framework, which commits to introduce new (unspecified) requirements for disclosure of beneficial ownership, and the Self-Reliance Through Mutual Accountability Framework (SMART) 2017-18 deliverables agreed at the Brussels Conference on Afghanistan in October 2016, which seek to “operationalise” the government’s commitment to EITI, including identifying beneficial owners involved in mining contracts (pp.33-34). </w:t>
      </w:r>
    </w:p>
    <w:p w14:paraId="626262BD" w14:textId="4FA1113F" w:rsidR="00DA1BD8" w:rsidRPr="00785FB4" w:rsidRDefault="00363745" w:rsidP="00F425D1">
      <w:pPr>
        <w:spacing w:before="120"/>
      </w:pPr>
      <w:r w:rsidRPr="00785FB4">
        <w:t xml:space="preserve">The report also describes provisions of </w:t>
      </w:r>
      <w:r w:rsidR="002C0B55" w:rsidRPr="00785FB4">
        <w:t>the 2009 Mining and Hydrocarbons Law</w:t>
      </w:r>
      <w:r w:rsidR="00DE020A" w:rsidRPr="00785FB4">
        <w:t xml:space="preserve"> (Article 100)</w:t>
      </w:r>
      <w:r w:rsidR="00DF2B54" w:rsidRPr="00785FB4">
        <w:t xml:space="preserve"> and the Mining Regulations of 2010</w:t>
      </w:r>
      <w:r w:rsidR="00DE020A" w:rsidRPr="00785FB4">
        <w:t xml:space="preserve"> banning “certain” politically-exposed persons from holding mineral rights, albeit highlighting (unspecified) inconsistencies with the definition of politically-exposed persons</w:t>
      </w:r>
      <w:r w:rsidR="007639EC" w:rsidRPr="00785FB4">
        <w:t xml:space="preserve"> (PEPs)</w:t>
      </w:r>
      <w:r w:rsidR="00DE020A" w:rsidRPr="00785FB4">
        <w:t xml:space="preserve"> in (unspecified) “other laws” (p</w:t>
      </w:r>
      <w:r w:rsidR="00DF2B54" w:rsidRPr="00785FB4">
        <w:t>p</w:t>
      </w:r>
      <w:r w:rsidR="00DE020A" w:rsidRPr="00785FB4">
        <w:t>.</w:t>
      </w:r>
      <w:r w:rsidR="00DF2B54" w:rsidRPr="00785FB4">
        <w:t>22</w:t>
      </w:r>
      <w:r w:rsidR="009719B8" w:rsidRPr="00785FB4">
        <w:t>,</w:t>
      </w:r>
      <w:r w:rsidR="00DE020A" w:rsidRPr="00785FB4">
        <w:t xml:space="preserve">34). </w:t>
      </w:r>
      <w:r w:rsidR="00DF2B54" w:rsidRPr="00785FB4">
        <w:t xml:space="preserve">The report is not clear about whether the same provisions apply in </w:t>
      </w:r>
      <w:r w:rsidR="00DF2B54" w:rsidRPr="00785FB4">
        <w:lastRenderedPageBreak/>
        <w:t>the 2014 Minerals Law</w:t>
      </w:r>
      <w:r w:rsidR="00205DFE" w:rsidRPr="00785FB4">
        <w:t>.</w:t>
      </w:r>
    </w:p>
    <w:p w14:paraId="69D71452" w14:textId="50CEB4F0" w:rsidR="0076185D" w:rsidRPr="00785FB4" w:rsidRDefault="00C4714E" w:rsidP="00F425D1">
      <w:pPr>
        <w:spacing w:before="120"/>
      </w:pPr>
      <w:r w:rsidRPr="00785FB4">
        <w:rPr>
          <w:i/>
          <w:u w:val="single"/>
        </w:rPr>
        <w:t>R</w:t>
      </w:r>
      <w:r w:rsidR="00F03860" w:rsidRPr="00785FB4">
        <w:rPr>
          <w:i/>
          <w:u w:val="single"/>
        </w:rPr>
        <w:t>eforms</w:t>
      </w:r>
      <w:r w:rsidRPr="00785FB4">
        <w:t xml:space="preserve">: </w:t>
      </w:r>
      <w:r w:rsidR="00E67C74" w:rsidRPr="00785FB4">
        <w:t xml:space="preserve">The 2014-15 EITI Report </w:t>
      </w:r>
      <w:r w:rsidR="00F03860" w:rsidRPr="00785FB4">
        <w:t xml:space="preserve">states that the MSG approved the three-year beneficial ownership roadmap in February 2017 and describes the MSG’s activities in preparing the roadmap (pp.33-34). The </w:t>
      </w:r>
      <w:r w:rsidR="00A738BF" w:rsidRPr="00785FB4">
        <w:t xml:space="preserve">report highlights the </w:t>
      </w:r>
      <w:r w:rsidR="00F03860" w:rsidRPr="00785FB4">
        <w:t>roadmap</w:t>
      </w:r>
      <w:r w:rsidR="00A738BF" w:rsidRPr="00785FB4">
        <w:t>’s aim</w:t>
      </w:r>
      <w:r w:rsidR="00F03860" w:rsidRPr="00785FB4">
        <w:t xml:space="preserve"> to collect and publish a first set of beneficial ownership information by January 2018, prior to finalising the assurance procedures for beneficial ownership reporting by January 2019 (p.34).</w:t>
      </w:r>
      <w:r w:rsidR="00A738BF" w:rsidRPr="00785FB4">
        <w:t xml:space="preserve"> </w:t>
      </w:r>
      <w:r w:rsidR="0076185D" w:rsidRPr="00785FB4">
        <w:t>The roadmap, accessible on the AEITI website</w:t>
      </w:r>
      <w:r w:rsidR="0076185D" w:rsidRPr="00785FB4">
        <w:rPr>
          <w:rStyle w:val="FootnoteReference"/>
        </w:rPr>
        <w:footnoteReference w:id="152"/>
      </w:r>
      <w:r w:rsidR="0076185D" w:rsidRPr="00785FB4">
        <w:t xml:space="preserve">, </w:t>
      </w:r>
      <w:r w:rsidR="00C35C25" w:rsidRPr="00785FB4">
        <w:t>is structured in nine points covering aspects recommended in the International Secretariat’s guidance (covering institutional framework, data collection and dissemination). The majority of activities in the roadmap were planned for 2017, with data collection expected to start no later than January 2018, although evidence indicates delays in implementation.</w:t>
      </w:r>
    </w:p>
    <w:p w14:paraId="199E6317" w14:textId="0500CD9F" w:rsidR="00F03860" w:rsidRPr="00785FB4" w:rsidRDefault="00E67C74" w:rsidP="00F425D1">
      <w:pPr>
        <w:spacing w:before="120"/>
      </w:pPr>
      <w:r w:rsidRPr="00785FB4">
        <w:t xml:space="preserve">The 2014-15 EITI Report </w:t>
      </w:r>
      <w:r w:rsidR="00F03860" w:rsidRPr="00785FB4">
        <w:t xml:space="preserve">explains that CSOs have been in discussion with the </w:t>
      </w:r>
      <w:r w:rsidR="00DB56BA" w:rsidRPr="00785FB4">
        <w:t>MOMP</w:t>
      </w:r>
      <w:r w:rsidR="00F03860" w:rsidRPr="00785FB4">
        <w:t xml:space="preserve"> in 2016-17 to define the terms “beneficial ownership” and “politically-exposed persons” either through amendments to the Minerals Law or through standalone beneficial ownership legislation. It also describes ongoing work by AEITI together with the </w:t>
      </w:r>
      <w:r w:rsidR="004515FE" w:rsidRPr="00785FB4">
        <w:t xml:space="preserve">Ministry of Commerce and Industries’ </w:t>
      </w:r>
      <w:r w:rsidR="00F03860" w:rsidRPr="00785FB4">
        <w:t>Afghanistan Central Business Registry</w:t>
      </w:r>
      <w:r w:rsidR="004515FE" w:rsidRPr="00785FB4">
        <w:t xml:space="preserve"> (ACBR)</w:t>
      </w:r>
      <w:r w:rsidR="00F03860" w:rsidRPr="00785FB4">
        <w:t xml:space="preserve"> and </w:t>
      </w:r>
      <w:r w:rsidR="000D0A6E" w:rsidRPr="00785FB4">
        <w:t xml:space="preserve">the </w:t>
      </w:r>
      <w:r w:rsidR="00DB56BA" w:rsidRPr="00785FB4">
        <w:t>MOMP</w:t>
      </w:r>
      <w:r w:rsidR="00F03860" w:rsidRPr="00785FB4">
        <w:t xml:space="preserve"> to assess options for collecting and publishing beneficial ownership information (p.34). </w:t>
      </w:r>
    </w:p>
    <w:p w14:paraId="29F6F1DF" w14:textId="21A0F25E" w:rsidR="00F425D1" w:rsidRPr="00785FB4" w:rsidRDefault="00C4714E" w:rsidP="00F425D1">
      <w:pPr>
        <w:spacing w:before="120"/>
      </w:pPr>
      <w:r w:rsidRPr="00785FB4">
        <w:rPr>
          <w:i/>
          <w:u w:val="single"/>
        </w:rPr>
        <w:t>P</w:t>
      </w:r>
      <w:r w:rsidR="00F425D1" w:rsidRPr="00785FB4">
        <w:rPr>
          <w:i/>
          <w:u w:val="single"/>
        </w:rPr>
        <w:t>ractice</w:t>
      </w:r>
      <w:r w:rsidR="00F425D1" w:rsidRPr="00785FB4">
        <w:t xml:space="preserve">: </w:t>
      </w:r>
      <w:r w:rsidR="00F03860" w:rsidRPr="00785FB4">
        <w:t xml:space="preserve">There is no evidence in the 2014-15 EITI Report, its annexes or reporting templates of any MSG attempt to report the beneficial ownership of material companies. The report notes the target of January 2018 for publishing the first set of beneficial ownership information. </w:t>
      </w:r>
    </w:p>
    <w:p w14:paraId="55B0EE31" w14:textId="40578AC1" w:rsidR="00B97E0F" w:rsidRPr="00785FB4" w:rsidRDefault="00F425D1" w:rsidP="00405360">
      <w:pPr>
        <w:spacing w:before="120"/>
        <w:rPr>
          <w:bCs/>
        </w:rPr>
      </w:pPr>
      <w:r w:rsidRPr="00785FB4">
        <w:rPr>
          <w:i/>
          <w:u w:val="single"/>
        </w:rPr>
        <w:t>Legal owners of material companies</w:t>
      </w:r>
      <w:r w:rsidRPr="00785FB4">
        <w:t xml:space="preserve">: </w:t>
      </w:r>
      <w:r w:rsidR="00B97E0F" w:rsidRPr="00785FB4">
        <w:t xml:space="preserve">The </w:t>
      </w:r>
      <w:r w:rsidR="00F03860" w:rsidRPr="00785FB4">
        <w:t xml:space="preserve">2014-15 </w:t>
      </w:r>
      <w:r w:rsidR="00B97E0F" w:rsidRPr="00785FB4">
        <w:t xml:space="preserve">EITI Report does not disclose the identity of legal owners of material companies. </w:t>
      </w:r>
      <w:r w:rsidR="004D5C54" w:rsidRPr="00785FB4">
        <w:t>However, there is evidence in the reporting templates provided in annex that material companies were requested to report details of their legal ownership (a/p</w:t>
      </w:r>
      <w:r w:rsidR="00C921BF" w:rsidRPr="00785FB4">
        <w:t>p</w:t>
      </w:r>
      <w:r w:rsidR="004D5C54" w:rsidRPr="00785FB4">
        <w:t>.</w:t>
      </w:r>
      <w:r w:rsidR="00C921BF" w:rsidRPr="00785FB4">
        <w:t xml:space="preserve">136,143). </w:t>
      </w:r>
      <w:r w:rsidR="001F1F5C" w:rsidRPr="00785FB4">
        <w:t xml:space="preserve">While it is possible to access details of companies operating in Afghanistan through the </w:t>
      </w:r>
      <w:r w:rsidR="004515FE" w:rsidRPr="00785FB4">
        <w:t>ACBR</w:t>
      </w:r>
      <w:r w:rsidR="001F1F5C" w:rsidRPr="00785FB4">
        <w:t xml:space="preserve"> website</w:t>
      </w:r>
      <w:r w:rsidR="001F1F5C" w:rsidRPr="00785FB4">
        <w:rPr>
          <w:rStyle w:val="FootnoteReference"/>
        </w:rPr>
        <w:footnoteReference w:id="153"/>
      </w:r>
      <w:r w:rsidR="001F1F5C" w:rsidRPr="00785FB4">
        <w:t xml:space="preserve">, </w:t>
      </w:r>
      <w:r w:rsidR="00C4714E" w:rsidRPr="00785FB4">
        <w:t xml:space="preserve">shareholder </w:t>
      </w:r>
      <w:r w:rsidR="001F1F5C" w:rsidRPr="00785FB4">
        <w:t xml:space="preserve">information does not appear available for </w:t>
      </w:r>
      <w:r w:rsidR="00C4714E" w:rsidRPr="00785FB4">
        <w:t>all material companies.</w:t>
      </w:r>
      <w:r w:rsidR="00C4714E" w:rsidRPr="00785FB4">
        <w:rPr>
          <w:rStyle w:val="FootnoteReference"/>
        </w:rPr>
        <w:footnoteReference w:id="154"/>
      </w:r>
    </w:p>
    <w:p w14:paraId="47BC60C1" w14:textId="77777777" w:rsidR="00247985" w:rsidRPr="00785FB4" w:rsidRDefault="00247985" w:rsidP="00A94167">
      <w:pPr>
        <w:pStyle w:val="Heading3"/>
      </w:pPr>
      <w:bookmarkStart w:id="239" w:name="_Toc505449610"/>
      <w:r w:rsidRPr="00785FB4">
        <w:t>Stakeholder views</w:t>
      </w:r>
      <w:bookmarkEnd w:id="239"/>
    </w:p>
    <w:p w14:paraId="32CB54EA" w14:textId="0B6A8604" w:rsidR="00101488" w:rsidRPr="00785FB4" w:rsidRDefault="00C4714E" w:rsidP="00101488">
      <w:pPr>
        <w:spacing w:before="120"/>
        <w:rPr>
          <w:bCs/>
        </w:rPr>
      </w:pPr>
      <w:r w:rsidRPr="00785FB4">
        <w:rPr>
          <w:bCs/>
          <w:i/>
          <w:u w:val="single"/>
        </w:rPr>
        <w:t>Policy</w:t>
      </w:r>
      <w:r w:rsidRPr="00785FB4">
        <w:rPr>
          <w:bCs/>
        </w:rPr>
        <w:t xml:space="preserve">: </w:t>
      </w:r>
      <w:r w:rsidR="00645C00" w:rsidRPr="00785FB4">
        <w:rPr>
          <w:bCs/>
        </w:rPr>
        <w:t xml:space="preserve">Stakeholders from all constituencies confirmed the government’s commitment to </w:t>
      </w:r>
      <w:r w:rsidR="00185DF4" w:rsidRPr="00785FB4">
        <w:rPr>
          <w:bCs/>
        </w:rPr>
        <w:t xml:space="preserve">beneficial ownership disclosure for </w:t>
      </w:r>
      <w:r w:rsidR="007639EC" w:rsidRPr="00785FB4">
        <w:rPr>
          <w:bCs/>
        </w:rPr>
        <w:t xml:space="preserve">all companies in Afghanistan. </w:t>
      </w:r>
      <w:r w:rsidRPr="00785FB4">
        <w:rPr>
          <w:bCs/>
        </w:rPr>
        <w:t>The May 2017 AEITI assessment noted the government’s commitment at the 2016 Brussels Conference on Afghanistan to “operationalise” its commitment to beneficial ownership disclosure by requiring the identification of beneficial owners of parties to mining contracts</w:t>
      </w:r>
      <w:r w:rsidRPr="00785FB4">
        <w:t>.</w:t>
      </w:r>
      <w:r w:rsidRPr="00785FB4">
        <w:rPr>
          <w:vertAlign w:val="superscript"/>
        </w:rPr>
        <w:footnoteReference w:id="155"/>
      </w:r>
    </w:p>
    <w:p w14:paraId="3FEAE3E0" w14:textId="7BCA7884" w:rsidR="007639EC" w:rsidRPr="00785FB4" w:rsidRDefault="007639EC" w:rsidP="003C5F86">
      <w:pPr>
        <w:spacing w:before="120"/>
      </w:pPr>
      <w:r w:rsidRPr="00785FB4">
        <w:rPr>
          <w:i/>
          <w:u w:val="single"/>
        </w:rPr>
        <w:t>PEPs</w:t>
      </w:r>
      <w:r w:rsidRPr="00785FB4">
        <w:t xml:space="preserve">: </w:t>
      </w:r>
      <w:r w:rsidR="00950573" w:rsidRPr="00785FB4">
        <w:t xml:space="preserve">Several stakeholders from all constituencies highlighted </w:t>
      </w:r>
      <w:r w:rsidRPr="00785FB4">
        <w:t xml:space="preserve">the </w:t>
      </w:r>
      <w:r w:rsidR="00950573" w:rsidRPr="00785FB4">
        <w:t xml:space="preserve">(often hidden) </w:t>
      </w:r>
      <w:r w:rsidRPr="00785FB4">
        <w:t xml:space="preserve">ownership of mining </w:t>
      </w:r>
      <w:r w:rsidRPr="00785FB4">
        <w:lastRenderedPageBreak/>
        <w:t xml:space="preserve">licenses by PEPs, particularly parliamentarians. </w:t>
      </w:r>
      <w:r w:rsidR="00203F5F" w:rsidRPr="00785FB4">
        <w:t xml:space="preserve">A minority of industry and government officials consulted considered that PEPs systematically divested from their mining assets upon being appointed to public office. </w:t>
      </w:r>
      <w:r w:rsidR="00205DFE" w:rsidRPr="00785FB4">
        <w:t>D</w:t>
      </w:r>
      <w:r w:rsidRPr="00785FB4">
        <w:t>espite provisions in the 20</w:t>
      </w:r>
      <w:r w:rsidR="000B480E" w:rsidRPr="00785FB4">
        <w:t>05</w:t>
      </w:r>
      <w:r w:rsidRPr="00785FB4">
        <w:t xml:space="preserve"> and 2014 Mineral Laws prohibiting politicians and senior government officials from holding mining assets, </w:t>
      </w:r>
      <w:r w:rsidR="00950573" w:rsidRPr="00785FB4">
        <w:t xml:space="preserve">several independent </w:t>
      </w:r>
      <w:r w:rsidRPr="00785FB4">
        <w:t xml:space="preserve">studies </w:t>
      </w:r>
      <w:r w:rsidR="00950573" w:rsidRPr="00785FB4">
        <w:t xml:space="preserve">have </w:t>
      </w:r>
      <w:r w:rsidRPr="00785FB4">
        <w:t>r</w:t>
      </w:r>
      <w:r w:rsidR="00950573" w:rsidRPr="00785FB4">
        <w:t>evealed</w:t>
      </w:r>
      <w:r w:rsidRPr="00785FB4">
        <w:t xml:space="preserve"> connections between PEPs</w:t>
      </w:r>
      <w:r w:rsidR="00950573" w:rsidRPr="00785FB4">
        <w:t xml:space="preserve"> and key mining contracts</w:t>
      </w:r>
      <w:r w:rsidRPr="00785FB4">
        <w:t>.</w:t>
      </w:r>
      <w:r w:rsidRPr="00785FB4">
        <w:rPr>
          <w:rStyle w:val="FootnoteReference"/>
          <w:bCs/>
        </w:rPr>
        <w:footnoteReference w:id="156"/>
      </w:r>
      <w:r w:rsidR="00160B1A" w:rsidRPr="00785FB4">
        <w:t xml:space="preserve"> </w:t>
      </w:r>
      <w:r w:rsidR="004554EF" w:rsidRPr="00785FB4">
        <w:t>Several stakeholders noted that parliamentarians applied political pressure on government officials to protect their mining interests</w:t>
      </w:r>
      <w:r w:rsidR="00205DFE" w:rsidRPr="00785FB4">
        <w:t>, and stakeholders from all constituencies took it for granted that PEPs circumvent the law’s prohibition by transferring legal ownership of companies to proxies under their control</w:t>
      </w:r>
      <w:r w:rsidR="004554EF" w:rsidRPr="00785FB4">
        <w:t xml:space="preserve">. </w:t>
      </w:r>
      <w:r w:rsidR="00A971EF" w:rsidRPr="00785FB4">
        <w:t xml:space="preserve">While a government official explained that the </w:t>
      </w:r>
      <w:r w:rsidR="00DB56BA" w:rsidRPr="00785FB4">
        <w:t>MOMP</w:t>
      </w:r>
      <w:r w:rsidR="00A971EF" w:rsidRPr="00785FB4">
        <w:t xml:space="preserve"> did not currently require disclosure of beneficial ownership in license applications, </w:t>
      </w:r>
      <w:r w:rsidR="00BB6B4F" w:rsidRPr="00785FB4">
        <w:t xml:space="preserve">applicants were required to complete an eligibility form that asked whether the applicant was linked to a PEP. </w:t>
      </w:r>
      <w:r w:rsidR="00160B1A" w:rsidRPr="00785FB4">
        <w:t xml:space="preserve">While </w:t>
      </w:r>
      <w:r w:rsidR="00160B1A" w:rsidRPr="00785FB4">
        <w:rPr>
          <w:bCs/>
        </w:rPr>
        <w:t>the government published asset declarations by top-ranking officials in 2015 for the first time</w:t>
      </w:r>
      <w:r w:rsidR="00160B1A" w:rsidRPr="00785FB4">
        <w:rPr>
          <w:rStyle w:val="FootnoteReference"/>
          <w:bCs/>
        </w:rPr>
        <w:footnoteReference w:id="157"/>
      </w:r>
      <w:r w:rsidR="00160B1A" w:rsidRPr="00785FB4">
        <w:rPr>
          <w:bCs/>
        </w:rPr>
        <w:t xml:space="preserve">, several CSOs noted that the reporting was not comprehensive with only a handful of officials disclosing their assets. </w:t>
      </w:r>
      <w:r w:rsidR="00160B1A" w:rsidRPr="00785FB4">
        <w:t xml:space="preserve">A development partner noted that provisions of the IMF’s extended credit facility required asset disclosures by government officials, with the first round of disclosures under the programme expected in April 2018. </w:t>
      </w:r>
      <w:r w:rsidR="00B35E63" w:rsidRPr="00785FB4">
        <w:t>Global Witness has publicly called for the government to set a clear definition for PEPs.</w:t>
      </w:r>
      <w:r w:rsidR="00B35E63" w:rsidRPr="00785FB4">
        <w:rPr>
          <w:rStyle w:val="FootnoteReference"/>
        </w:rPr>
        <w:footnoteReference w:id="158"/>
      </w:r>
    </w:p>
    <w:p w14:paraId="59554E05" w14:textId="0113B821" w:rsidR="00562B2B" w:rsidRPr="00785FB4" w:rsidRDefault="00C4714E" w:rsidP="009E6307">
      <w:pPr>
        <w:spacing w:before="120"/>
        <w:rPr>
          <w:bCs/>
        </w:rPr>
      </w:pPr>
      <w:r w:rsidRPr="00785FB4">
        <w:rPr>
          <w:bCs/>
          <w:i/>
          <w:u w:val="single"/>
        </w:rPr>
        <w:t>Practice</w:t>
      </w:r>
      <w:r w:rsidRPr="00785FB4">
        <w:rPr>
          <w:bCs/>
        </w:rPr>
        <w:t xml:space="preserve">: </w:t>
      </w:r>
      <w:r w:rsidR="0035292D" w:rsidRPr="00785FB4">
        <w:rPr>
          <w:bCs/>
        </w:rPr>
        <w:t xml:space="preserve">Members of the MSG confirmed that AEITI had </w:t>
      </w:r>
      <w:r w:rsidR="00E82992" w:rsidRPr="00785FB4">
        <w:rPr>
          <w:bCs/>
        </w:rPr>
        <w:t xml:space="preserve">yet to begin collecting data on </w:t>
      </w:r>
      <w:r w:rsidR="00B35E63" w:rsidRPr="00785FB4">
        <w:rPr>
          <w:bCs/>
        </w:rPr>
        <w:t>extractives companies’ beneficial ownership. However, a government official explained that the ACBR had already started piloting beneficial ownership reporting for new company registrations, pending legal reform to make such disclosures compulsory. The official noted however that the experience thus far was that company management tended to report legal shareholders as beneficial owners</w:t>
      </w:r>
      <w:r w:rsidR="00205DFE" w:rsidRPr="00785FB4">
        <w:rPr>
          <w:bCs/>
        </w:rPr>
        <w:t xml:space="preserve"> and that there was little or no understanding – also within the ACBR – on how a beneficial ownership registry </w:t>
      </w:r>
      <w:r w:rsidR="00DE5123" w:rsidRPr="00785FB4">
        <w:rPr>
          <w:bCs/>
        </w:rPr>
        <w:t xml:space="preserve">could be expected to </w:t>
      </w:r>
      <w:r w:rsidR="00205DFE" w:rsidRPr="00785FB4">
        <w:rPr>
          <w:bCs/>
        </w:rPr>
        <w:t>function in an Afghan context</w:t>
      </w:r>
      <w:r w:rsidR="00B35E63" w:rsidRPr="00785FB4">
        <w:rPr>
          <w:bCs/>
        </w:rPr>
        <w:t xml:space="preserve">. </w:t>
      </w:r>
      <w:r w:rsidR="00A400FB" w:rsidRPr="00785FB4">
        <w:rPr>
          <w:bCs/>
        </w:rPr>
        <w:t xml:space="preserve">Members of the MSG noted their intention to include the first set of beneficial ownership reporting in the next EITI Report. </w:t>
      </w:r>
    </w:p>
    <w:p w14:paraId="30CF3F2F" w14:textId="5920E228" w:rsidR="009E6307" w:rsidRPr="00785FB4" w:rsidRDefault="00000353" w:rsidP="009E6307">
      <w:pPr>
        <w:spacing w:before="120"/>
        <w:rPr>
          <w:bCs/>
        </w:rPr>
      </w:pPr>
      <w:r w:rsidRPr="00785FB4">
        <w:rPr>
          <w:bCs/>
          <w:i/>
          <w:u w:val="single"/>
        </w:rPr>
        <w:t>Legal owners</w:t>
      </w:r>
      <w:r w:rsidRPr="00785FB4">
        <w:rPr>
          <w:bCs/>
        </w:rPr>
        <w:t xml:space="preserve">: </w:t>
      </w:r>
      <w:r w:rsidR="00B35E63" w:rsidRPr="00785FB4">
        <w:t>A September 2015 policy brief by Integrity Watch Afghanistan and Global Witness noted that, while the</w:t>
      </w:r>
      <w:r w:rsidR="00DE5123" w:rsidRPr="00785FB4">
        <w:t xml:space="preserve"> then</w:t>
      </w:r>
      <w:r w:rsidR="00B35E63" w:rsidRPr="00785FB4">
        <w:t xml:space="preserve"> Afghanistan Investment Support Agency (AISA) </w:t>
      </w:r>
      <w:r w:rsidR="00DE5123" w:rsidRPr="00785FB4">
        <w:t>wa</w:t>
      </w:r>
      <w:r w:rsidR="00B35E63" w:rsidRPr="00785FB4">
        <w:t>s responsible for publishing details of companies’ shareholders, it did not do so in practice.</w:t>
      </w:r>
      <w:r w:rsidR="00B35E63" w:rsidRPr="00785FB4">
        <w:rPr>
          <w:rStyle w:val="FootnoteReference"/>
        </w:rPr>
        <w:footnoteReference w:id="159"/>
      </w:r>
      <w:r w:rsidR="00B35E63" w:rsidRPr="00785FB4">
        <w:t xml:space="preserve"> </w:t>
      </w:r>
      <w:r w:rsidR="00DE5123" w:rsidRPr="00785FB4">
        <w:t>The AISA has since merged with the ACBR, and</w:t>
      </w:r>
      <w:r w:rsidR="00B35E63" w:rsidRPr="00785FB4">
        <w:t xml:space="preserve"> stakeholders from all constituencies highlighted that the ACBR web portal</w:t>
      </w:r>
      <w:r w:rsidR="00DE5123" w:rsidRPr="00785FB4">
        <w:t xml:space="preserve"> now</w:t>
      </w:r>
      <w:r w:rsidR="00B35E63" w:rsidRPr="00785FB4">
        <w:t xml:space="preserve"> provided information on the shareholding of all registered companies although certain CSOs noted gaps in the legal ownership information for some companies. </w:t>
      </w:r>
      <w:r w:rsidR="004515FE" w:rsidRPr="00785FB4">
        <w:rPr>
          <w:bCs/>
        </w:rPr>
        <w:t>The May 2017 AEITI assessment explained that all companies operating in Afghanistan are required to register with the ACBR</w:t>
      </w:r>
      <w:r w:rsidR="00822ABC" w:rsidRPr="00785FB4">
        <w:rPr>
          <w:bCs/>
        </w:rPr>
        <w:t xml:space="preserve">, with extractives companies first requiring a referral letter from </w:t>
      </w:r>
      <w:r w:rsidR="00DB56BA" w:rsidRPr="00785FB4">
        <w:rPr>
          <w:bCs/>
        </w:rPr>
        <w:t>MOMP</w:t>
      </w:r>
      <w:r w:rsidR="00822ABC" w:rsidRPr="00785FB4">
        <w:rPr>
          <w:bCs/>
        </w:rPr>
        <w:t xml:space="preserve"> in order to register.</w:t>
      </w:r>
      <w:r w:rsidR="000D0A6E" w:rsidRPr="00785FB4">
        <w:rPr>
          <w:vertAlign w:val="superscript"/>
        </w:rPr>
        <w:footnoteReference w:id="160"/>
      </w:r>
      <w:r w:rsidR="00822ABC" w:rsidRPr="00785FB4">
        <w:rPr>
          <w:bCs/>
        </w:rPr>
        <w:t xml:space="preserve"> However, the assessment noted that </w:t>
      </w:r>
      <w:r w:rsidR="009E6307" w:rsidRPr="00785FB4">
        <w:rPr>
          <w:bCs/>
        </w:rPr>
        <w:t xml:space="preserve">lists of extractives companies maintained by </w:t>
      </w:r>
      <w:r w:rsidR="00DB56BA" w:rsidRPr="00785FB4">
        <w:rPr>
          <w:bCs/>
        </w:rPr>
        <w:t>MOMP</w:t>
      </w:r>
      <w:r w:rsidR="009E6307" w:rsidRPr="00785FB4">
        <w:rPr>
          <w:bCs/>
        </w:rPr>
        <w:t xml:space="preserve"> and the ACBR </w:t>
      </w:r>
      <w:r w:rsidR="00B35E63" w:rsidRPr="00785FB4">
        <w:rPr>
          <w:bCs/>
        </w:rPr>
        <w:t>are inconsistent</w:t>
      </w:r>
      <w:r w:rsidR="009E6307" w:rsidRPr="00785FB4">
        <w:rPr>
          <w:bCs/>
        </w:rPr>
        <w:t>.</w:t>
      </w:r>
      <w:r w:rsidR="00906FFF" w:rsidRPr="00785FB4">
        <w:rPr>
          <w:vertAlign w:val="superscript"/>
        </w:rPr>
        <w:footnoteReference w:id="161"/>
      </w:r>
      <w:r w:rsidR="00906FFF" w:rsidRPr="00785FB4">
        <w:t xml:space="preserve"> </w:t>
      </w:r>
    </w:p>
    <w:p w14:paraId="2FF9DB1F" w14:textId="58893A48" w:rsidR="00101488" w:rsidRPr="00785FB4" w:rsidRDefault="00101488" w:rsidP="00101488">
      <w:pPr>
        <w:spacing w:before="120"/>
        <w:rPr>
          <w:bCs/>
        </w:rPr>
      </w:pPr>
      <w:r w:rsidRPr="00785FB4">
        <w:rPr>
          <w:bCs/>
          <w:i/>
          <w:u w:val="single"/>
        </w:rPr>
        <w:lastRenderedPageBreak/>
        <w:t>Reforms</w:t>
      </w:r>
      <w:r w:rsidRPr="00785FB4">
        <w:rPr>
          <w:bCs/>
        </w:rPr>
        <w:t xml:space="preserve">: The NGO Global Witness has called for amendments to the Minerals Law to require any company applying for or </w:t>
      </w:r>
      <w:r w:rsidR="00B35E63" w:rsidRPr="00785FB4">
        <w:rPr>
          <w:bCs/>
        </w:rPr>
        <w:t>holding</w:t>
      </w:r>
      <w:r w:rsidRPr="00785FB4">
        <w:rPr>
          <w:bCs/>
        </w:rPr>
        <w:t xml:space="preserve"> extractives licenses to publish details of their beneficial owners</w:t>
      </w:r>
      <w:r w:rsidR="00B35E63" w:rsidRPr="00785FB4">
        <w:rPr>
          <w:bCs/>
        </w:rPr>
        <w:t xml:space="preserve"> and for </w:t>
      </w:r>
      <w:r w:rsidRPr="00785FB4">
        <w:rPr>
          <w:bCs/>
        </w:rPr>
        <w:t>clear penalties for hidden ownership.</w:t>
      </w:r>
      <w:r w:rsidRPr="00785FB4">
        <w:rPr>
          <w:rStyle w:val="FootnoteReference"/>
        </w:rPr>
        <w:footnoteReference w:id="162"/>
      </w:r>
      <w:r w:rsidR="00E32E40" w:rsidRPr="00785FB4">
        <w:rPr>
          <w:bCs/>
        </w:rPr>
        <w:t xml:space="preserve"> </w:t>
      </w:r>
      <w:r w:rsidR="00B35E63" w:rsidRPr="00785FB4">
        <w:rPr>
          <w:bCs/>
        </w:rPr>
        <w:t xml:space="preserve">While stakeholders from civil society and government noted some delays in implementation of the AEITI beneficial ownership roadmap, stakeholders from all constituencies highlighted that the issue was a priority for the Presidency. </w:t>
      </w:r>
      <w:r w:rsidR="00BB6B4F" w:rsidRPr="00785FB4">
        <w:rPr>
          <w:bCs/>
        </w:rPr>
        <w:t>Several government representatives noted that the government’s concept note on beneficial ownership had been approved in January 2018</w:t>
      </w:r>
      <w:r w:rsidR="00DE5123" w:rsidRPr="00785FB4">
        <w:rPr>
          <w:bCs/>
        </w:rPr>
        <w:t xml:space="preserve"> but this was not public at the time of the mission</w:t>
      </w:r>
      <w:r w:rsidR="00BB6B4F" w:rsidRPr="00785FB4">
        <w:rPr>
          <w:bCs/>
        </w:rPr>
        <w:t xml:space="preserve">. </w:t>
      </w:r>
      <w:r w:rsidR="00537433" w:rsidRPr="00785FB4">
        <w:rPr>
          <w:bCs/>
        </w:rPr>
        <w:t xml:space="preserve">Stakeholders confirmed that ACBR had been designated as the lead agency for developing the public beneficial ownership register. </w:t>
      </w:r>
    </w:p>
    <w:p w14:paraId="6ED2FAD6" w14:textId="3DB2B034" w:rsidR="001E68AF" w:rsidRPr="00785FB4" w:rsidRDefault="00F425D1" w:rsidP="00A94167">
      <w:pPr>
        <w:pStyle w:val="Heading3"/>
      </w:pPr>
      <w:bookmarkStart w:id="240" w:name="_Toc459133114"/>
      <w:bookmarkStart w:id="241" w:name="_Toc461803063"/>
      <w:bookmarkStart w:id="242" w:name="_Toc505449611"/>
      <w:r w:rsidRPr="00785FB4">
        <w:t>Initial assessment</w:t>
      </w:r>
      <w:bookmarkEnd w:id="240"/>
      <w:bookmarkEnd w:id="241"/>
      <w:bookmarkEnd w:id="242"/>
    </w:p>
    <w:p w14:paraId="1F0A45AF" w14:textId="165EBA56" w:rsidR="00F425D1" w:rsidRPr="00785FB4" w:rsidRDefault="00E0305D" w:rsidP="00F425D1">
      <w:pPr>
        <w:spacing w:before="120"/>
      </w:pPr>
      <w:r w:rsidRPr="00785FB4">
        <w:t>Implementing countries are not yet required to address beneficial ownership and progress with this requirement does not yet have any implications for a country’s EITI status.</w:t>
      </w:r>
      <w:r w:rsidR="005275CE" w:rsidRPr="00785FB4">
        <w:t xml:space="preserve"> </w:t>
      </w:r>
      <w:r w:rsidR="00895F58" w:rsidRPr="00785FB4">
        <w:t xml:space="preserve">Nonetheless, </w:t>
      </w:r>
      <w:r w:rsidR="003E148F" w:rsidRPr="00785FB4">
        <w:t>Afghanistan</w:t>
      </w:r>
      <w:r w:rsidR="00895F58" w:rsidRPr="00785FB4">
        <w:t xml:space="preserve"> has made some progress</w:t>
      </w:r>
      <w:r w:rsidR="003E148F" w:rsidRPr="00785FB4">
        <w:t xml:space="preserve"> in agreeing a three-year beneficial ownership roadmap, even if beneficial ownership reporting has yet to begin. While the ACBR provides information on legal owners of some extractives companies, there are gaps in information on shareholding of </w:t>
      </w:r>
      <w:r w:rsidR="00A400FB" w:rsidRPr="00785FB4">
        <w:t>some</w:t>
      </w:r>
      <w:r w:rsidR="003E148F" w:rsidRPr="00785FB4">
        <w:t xml:space="preserve"> material companies. </w:t>
      </w:r>
    </w:p>
    <w:p w14:paraId="35E09CA3" w14:textId="141AC99E" w:rsidR="003E148F" w:rsidRPr="00785FB4" w:rsidRDefault="003E148F" w:rsidP="00F425D1">
      <w:pPr>
        <w:spacing w:before="120"/>
      </w:pPr>
      <w:r w:rsidRPr="00785FB4">
        <w:t xml:space="preserve">In order to strengthen implementation and prepare for full disclosure of beneficial ownership by 2020, it is recommended that AEITI considers piloting beneficial ownership reporting in the forthcoming EITI Report in order to increase awareness of beneficial ownership transparency and pilot beneficial ownership definitions and thresholds. </w:t>
      </w:r>
      <w:r w:rsidR="00EE2DB4" w:rsidRPr="00785FB4">
        <w:t xml:space="preserve">Afghanistan </w:t>
      </w:r>
      <w:r w:rsidRPr="00785FB4">
        <w:t>may also wish to conduct broader outreach to the companies on the objectives of beneficial ownership transparency, as well as hold conversations with government agencies on how to make such disclosures mandatory.</w:t>
      </w:r>
    </w:p>
    <w:p w14:paraId="74C2D78C" w14:textId="77777777" w:rsidR="00A441F1" w:rsidRPr="00785FB4" w:rsidRDefault="000722F1" w:rsidP="00A94167">
      <w:pPr>
        <w:pStyle w:val="Heading2notindexed"/>
      </w:pPr>
      <w:bookmarkStart w:id="243" w:name="_Toc459133115"/>
      <w:bookmarkStart w:id="244" w:name="_Toc461803064"/>
      <w:bookmarkStart w:id="245" w:name="_Toc461787330"/>
      <w:bookmarkStart w:id="246" w:name="_Toc461795842"/>
      <w:bookmarkStart w:id="247" w:name="_Toc505449612"/>
      <w:bookmarkStart w:id="248" w:name="_Toc505449792"/>
      <w:bookmarkStart w:id="249" w:name="_Toc459133116"/>
      <w:r w:rsidRPr="00785FB4">
        <w:t>S</w:t>
      </w:r>
      <w:r w:rsidR="00A029B7" w:rsidRPr="00785FB4">
        <w:t xml:space="preserve">tate </w:t>
      </w:r>
      <w:r w:rsidR="00A441F1" w:rsidRPr="00785FB4">
        <w:t>participation (#</w:t>
      </w:r>
      <w:r w:rsidR="00EE25D1" w:rsidRPr="00785FB4">
        <w:t>2</w:t>
      </w:r>
      <w:r w:rsidR="00A441F1" w:rsidRPr="00785FB4">
        <w:t>.6)</w:t>
      </w:r>
      <w:bookmarkEnd w:id="243"/>
      <w:bookmarkEnd w:id="244"/>
      <w:bookmarkEnd w:id="245"/>
      <w:bookmarkEnd w:id="246"/>
      <w:bookmarkEnd w:id="247"/>
      <w:bookmarkEnd w:id="248"/>
    </w:p>
    <w:p w14:paraId="193F68B1" w14:textId="4D225088" w:rsidR="00247985" w:rsidRPr="00785FB4" w:rsidRDefault="00F425D1" w:rsidP="00A94167">
      <w:pPr>
        <w:pStyle w:val="Heading3"/>
      </w:pPr>
      <w:bookmarkStart w:id="250" w:name="_Toc505449613"/>
      <w:bookmarkEnd w:id="249"/>
      <w:r w:rsidRPr="00785FB4">
        <w:t>Documentation of progress</w:t>
      </w:r>
      <w:bookmarkEnd w:id="250"/>
    </w:p>
    <w:p w14:paraId="58CA6EEF" w14:textId="305E85A7" w:rsidR="00F7584A" w:rsidRPr="00785FB4" w:rsidRDefault="00F425D1" w:rsidP="00B97E0F">
      <w:pPr>
        <w:spacing w:before="120"/>
      </w:pPr>
      <w:r w:rsidRPr="00785FB4">
        <w:rPr>
          <w:i/>
          <w:u w:val="single"/>
        </w:rPr>
        <w:t>Materiality</w:t>
      </w:r>
      <w:r w:rsidRPr="00785FB4">
        <w:t xml:space="preserve">: </w:t>
      </w:r>
      <w:r w:rsidR="00D83EAA" w:rsidRPr="00785FB4">
        <w:t>The 2014-15 EITI Report lists two SOEs in the extractive industries</w:t>
      </w:r>
      <w:r w:rsidR="00EB1ACA" w:rsidRPr="00785FB4">
        <w:t xml:space="preserve">, </w:t>
      </w:r>
      <w:r w:rsidR="002B52CE" w:rsidRPr="00785FB4">
        <w:t>North</w:t>
      </w:r>
      <w:r w:rsidR="00EB1ACA" w:rsidRPr="00785FB4">
        <w:t xml:space="preserve"> Coal Enterprise </w:t>
      </w:r>
      <w:r w:rsidR="002B52CE" w:rsidRPr="00785FB4">
        <w:t xml:space="preserve">(NCE) </w:t>
      </w:r>
      <w:r w:rsidR="00EB1ACA" w:rsidRPr="00785FB4">
        <w:t>and Afghan Gas Enterprise</w:t>
      </w:r>
      <w:r w:rsidR="002B52CE" w:rsidRPr="00785FB4">
        <w:t xml:space="preserve"> (AGE)</w:t>
      </w:r>
      <w:r w:rsidR="00EB1ACA" w:rsidRPr="00785FB4">
        <w:rPr>
          <w:bCs/>
        </w:rPr>
        <w:t>, which were included in the scope of reconciliation</w:t>
      </w:r>
      <w:r w:rsidR="00EB1ACA" w:rsidRPr="00785FB4">
        <w:t xml:space="preserve"> (pp.20,52)</w:t>
      </w:r>
      <w:r w:rsidR="00F030DD" w:rsidRPr="00785FB4">
        <w:t>. The report</w:t>
      </w:r>
      <w:r w:rsidR="00537433" w:rsidRPr="00785FB4">
        <w:t xml:space="preserve"> confirms </w:t>
      </w:r>
      <w:r w:rsidR="00EB1ACA" w:rsidRPr="00785FB4">
        <w:t xml:space="preserve">that the government had no other ownership interest in the extractive </w:t>
      </w:r>
      <w:r w:rsidR="00C97567" w:rsidRPr="00785FB4">
        <w:t xml:space="preserve">industries </w:t>
      </w:r>
      <w:r w:rsidR="00987DF1" w:rsidRPr="00785FB4">
        <w:t xml:space="preserve">in the years under review </w:t>
      </w:r>
      <w:r w:rsidR="00C97567" w:rsidRPr="00785FB4">
        <w:t xml:space="preserve">(p.52). </w:t>
      </w:r>
      <w:r w:rsidR="006A002E" w:rsidRPr="00785FB4">
        <w:t>Reconciled data in the report shows that the t</w:t>
      </w:r>
      <w:r w:rsidR="00A979C5" w:rsidRPr="00785FB4">
        <w:t>wo SOEs accounted for roughly 75</w:t>
      </w:r>
      <w:r w:rsidR="006A002E" w:rsidRPr="00785FB4">
        <w:t xml:space="preserve">% of </w:t>
      </w:r>
      <w:r w:rsidR="00A979C5" w:rsidRPr="00785FB4">
        <w:t xml:space="preserve">extractives </w:t>
      </w:r>
      <w:r w:rsidR="006A002E" w:rsidRPr="00785FB4">
        <w:t>revenues in 2014-15</w:t>
      </w:r>
      <w:r w:rsidR="00A979C5" w:rsidRPr="00785FB4">
        <w:t xml:space="preserve"> (p.49)</w:t>
      </w:r>
      <w:r w:rsidR="006A002E" w:rsidRPr="00785FB4">
        <w:t>.</w:t>
      </w:r>
      <w:r w:rsidR="00A979C5" w:rsidRPr="00785FB4">
        <w:t xml:space="preserve"> </w:t>
      </w:r>
      <w:r w:rsidR="00F7584A" w:rsidRPr="00785FB4">
        <w:t xml:space="preserve">While the 2012 EITI Report included </w:t>
      </w:r>
      <w:r w:rsidR="00A979C5" w:rsidRPr="00785FB4">
        <w:t xml:space="preserve">a third SOE, </w:t>
      </w:r>
      <w:r w:rsidR="00F7584A" w:rsidRPr="00785FB4">
        <w:t xml:space="preserve">the </w:t>
      </w:r>
      <w:r w:rsidR="00094CFD" w:rsidRPr="00785FB4">
        <w:t xml:space="preserve">state-owned </w:t>
      </w:r>
      <w:r w:rsidR="008C02FD" w:rsidRPr="00785FB4">
        <w:t>Kode Barq fertilizer company</w:t>
      </w:r>
      <w:r w:rsidR="00A979C5" w:rsidRPr="00785FB4">
        <w:t>,</w:t>
      </w:r>
      <w:r w:rsidR="008C02FD" w:rsidRPr="00785FB4">
        <w:t xml:space="preserve"> in the scope of reporting, the 2012-13 EITI Report </w:t>
      </w:r>
      <w:r w:rsidR="00094CFD" w:rsidRPr="00785FB4">
        <w:t>explained that the SOE had not been considered an extractives SOE for EITI reporting purposes given it</w:t>
      </w:r>
      <w:r w:rsidR="00537433" w:rsidRPr="00785FB4">
        <w:t xml:space="preserve">s operations as </w:t>
      </w:r>
      <w:r w:rsidR="00094CFD" w:rsidRPr="00785FB4">
        <w:t>a processor of extractives materials rather than an extractives company.</w:t>
      </w:r>
      <w:r w:rsidR="00094CFD" w:rsidRPr="00785FB4">
        <w:rPr>
          <w:rStyle w:val="FootnoteReference"/>
        </w:rPr>
        <w:footnoteReference w:id="163"/>
      </w:r>
    </w:p>
    <w:p w14:paraId="208054C8" w14:textId="11305EE5" w:rsidR="0026090F" w:rsidRPr="00785FB4" w:rsidRDefault="00F425D1" w:rsidP="00496223">
      <w:pPr>
        <w:spacing w:before="120"/>
      </w:pPr>
      <w:r w:rsidRPr="00785FB4">
        <w:rPr>
          <w:i/>
          <w:u w:val="single"/>
        </w:rPr>
        <w:t>Financial relationship with government</w:t>
      </w:r>
      <w:r w:rsidRPr="00785FB4">
        <w:t xml:space="preserve">: </w:t>
      </w:r>
      <w:r w:rsidR="003C6D36" w:rsidRPr="00785FB4">
        <w:t xml:space="preserve">The </w:t>
      </w:r>
      <w:r w:rsidR="00ED5C1B" w:rsidRPr="00785FB4">
        <w:t xml:space="preserve">report does not comprehensively describe the </w:t>
      </w:r>
      <w:r w:rsidR="003C6D36" w:rsidRPr="00785FB4">
        <w:t>statutory rules governing the financial relations</w:t>
      </w:r>
      <w:r w:rsidR="002B52CE" w:rsidRPr="00785FB4">
        <w:rPr>
          <w:rStyle w:val="FootnoteReference"/>
        </w:rPr>
        <w:footnoteReference w:id="164"/>
      </w:r>
      <w:r w:rsidR="003C6D36" w:rsidRPr="00785FB4">
        <w:t xml:space="preserve"> between t</w:t>
      </w:r>
      <w:r w:rsidR="002B52CE" w:rsidRPr="00785FB4">
        <w:t>he two SOEs and the government</w:t>
      </w:r>
      <w:r w:rsidR="003C6D36" w:rsidRPr="00785FB4">
        <w:t xml:space="preserve">, nor any deviations in </w:t>
      </w:r>
      <w:r w:rsidR="002B52CE" w:rsidRPr="00785FB4">
        <w:t xml:space="preserve">the </w:t>
      </w:r>
      <w:r w:rsidR="002B52CE" w:rsidRPr="00785FB4">
        <w:lastRenderedPageBreak/>
        <w:t>years under review</w:t>
      </w:r>
      <w:r w:rsidR="003C6D36" w:rsidRPr="00785FB4">
        <w:t xml:space="preserve">. </w:t>
      </w:r>
      <w:r w:rsidR="00F27987" w:rsidRPr="00785FB4">
        <w:t>T</w:t>
      </w:r>
      <w:r w:rsidR="002B52CE" w:rsidRPr="00785FB4">
        <w:t>he report describes the NCE</w:t>
      </w:r>
      <w:r w:rsidR="00F27987" w:rsidRPr="00785FB4">
        <w:t xml:space="preserve"> as a public enterprise of </w:t>
      </w:r>
      <w:r w:rsidR="00DB56BA" w:rsidRPr="00785FB4">
        <w:t>MOMP</w:t>
      </w:r>
      <w:r w:rsidR="00F27987" w:rsidRPr="00785FB4">
        <w:rPr>
          <w:rStyle w:val="FootnoteReference"/>
        </w:rPr>
        <w:footnoteReference w:id="165"/>
      </w:r>
      <w:r w:rsidR="00F27987" w:rsidRPr="00785FB4">
        <w:t xml:space="preserve"> established by charter, overseen by </w:t>
      </w:r>
      <w:r w:rsidR="003B6563" w:rsidRPr="00785FB4">
        <w:t>a seven-member Supreme Council</w:t>
      </w:r>
      <w:r w:rsidR="003B6563" w:rsidRPr="00785FB4">
        <w:rPr>
          <w:rStyle w:val="FootnoteReference"/>
        </w:rPr>
        <w:footnoteReference w:id="166"/>
      </w:r>
      <w:r w:rsidR="00F27987" w:rsidRPr="00785FB4">
        <w:t xml:space="preserve"> and managed by an Operations Board (p.52). It also provides a cursory description of the </w:t>
      </w:r>
      <w:r w:rsidR="003B6563" w:rsidRPr="00785FB4">
        <w:t>AGE,</w:t>
      </w:r>
      <w:r w:rsidR="00F27987" w:rsidRPr="00785FB4">
        <w:t xml:space="preserve"> a public enterprise of </w:t>
      </w:r>
      <w:r w:rsidR="00DB56BA" w:rsidRPr="00785FB4">
        <w:t>MOMP</w:t>
      </w:r>
      <w:r w:rsidR="00F27987" w:rsidRPr="00785FB4">
        <w:rPr>
          <w:rStyle w:val="FootnoteReference"/>
        </w:rPr>
        <w:footnoteReference w:id="167"/>
      </w:r>
      <w:r w:rsidR="00F27987" w:rsidRPr="00785FB4">
        <w:t xml:space="preserve"> </w:t>
      </w:r>
      <w:r w:rsidR="003B6563" w:rsidRPr="00785FB4">
        <w:t xml:space="preserve">that </w:t>
      </w:r>
      <w:r w:rsidR="004A5013" w:rsidRPr="00785FB4">
        <w:t>operates four gas fields, a small pipeline network and represents Afghanistan in the international consortium</w:t>
      </w:r>
      <w:r w:rsidR="004A5013" w:rsidRPr="00785FB4">
        <w:rPr>
          <w:rStyle w:val="FootnoteReference"/>
        </w:rPr>
        <w:footnoteReference w:id="168"/>
      </w:r>
      <w:r w:rsidR="004A5013" w:rsidRPr="00785FB4">
        <w:t xml:space="preserve"> </w:t>
      </w:r>
      <w:r w:rsidR="003B6563" w:rsidRPr="00785FB4">
        <w:t xml:space="preserve">to develop the TAPI pipeline </w:t>
      </w:r>
      <w:r w:rsidR="004A5013" w:rsidRPr="00785FB4">
        <w:t xml:space="preserve">(p.52). The report highlights challenges in obtaining information from both SOEs as well as the </w:t>
      </w:r>
      <w:r w:rsidR="00DB56BA" w:rsidRPr="00785FB4">
        <w:t>MOF</w:t>
      </w:r>
      <w:r w:rsidR="004A5013" w:rsidRPr="00785FB4">
        <w:t xml:space="preserve"> and </w:t>
      </w:r>
      <w:r w:rsidR="00DB56BA" w:rsidRPr="00785FB4">
        <w:t>MOMP</w:t>
      </w:r>
      <w:r w:rsidR="004A5013" w:rsidRPr="00785FB4">
        <w:t xml:space="preserve"> departments responsible for SOEs (p.68). It highlights the two SOEs’ lack of accounting capacity, with records maintained manually, </w:t>
      </w:r>
      <w:r w:rsidR="003B6563" w:rsidRPr="00785FB4">
        <w:t>which hindered</w:t>
      </w:r>
      <w:r w:rsidR="004A5013" w:rsidRPr="00785FB4">
        <w:t xml:space="preserve"> their ability to provide basic financial data (pp.19-20). </w:t>
      </w:r>
      <w:r w:rsidR="003B6563" w:rsidRPr="00785FB4">
        <w:t>T</w:t>
      </w:r>
      <w:r w:rsidR="004A5013" w:rsidRPr="00785FB4">
        <w:t>he report provides Central Statistics Organisation of Afghanistan (CSOA) figures on the two SOEs’ revenues and profits for 2014</w:t>
      </w:r>
      <w:r w:rsidR="00496223" w:rsidRPr="00785FB4">
        <w:t>-15 (p.52) and a reconciliation of</w:t>
      </w:r>
      <w:r w:rsidR="004A5013" w:rsidRPr="00785FB4">
        <w:t xml:space="preserve"> the two SOEs’ payments </w:t>
      </w:r>
      <w:r w:rsidR="00496223" w:rsidRPr="00785FB4">
        <w:t>of five taxes</w:t>
      </w:r>
      <w:r w:rsidR="00496223" w:rsidRPr="00785FB4">
        <w:rPr>
          <w:rStyle w:val="FootnoteReference"/>
        </w:rPr>
        <w:footnoteReference w:id="169"/>
      </w:r>
      <w:r w:rsidR="00496223" w:rsidRPr="00785FB4">
        <w:t xml:space="preserve"> and dividends (categorised as “Other Receipts Profit”) </w:t>
      </w:r>
      <w:r w:rsidR="004A5013" w:rsidRPr="00785FB4">
        <w:t xml:space="preserve">to </w:t>
      </w:r>
      <w:r w:rsidR="00DB56BA" w:rsidRPr="00785FB4">
        <w:t>MOF</w:t>
      </w:r>
      <w:r w:rsidR="004A5013" w:rsidRPr="00785FB4">
        <w:t xml:space="preserve"> (p.69). </w:t>
      </w:r>
      <w:r w:rsidR="00496223" w:rsidRPr="00785FB4">
        <w:t>The lack of information on SOEs has been the focus of sporadic discussions on the MSG, most notably at its 24 May 2016 meeting when</w:t>
      </w:r>
      <w:r w:rsidR="00EA4B5D" w:rsidRPr="00785FB4">
        <w:t xml:space="preserve"> then</w:t>
      </w:r>
      <w:r w:rsidR="0026090F" w:rsidRPr="00785FB4">
        <w:t xml:space="preserve"> </w:t>
      </w:r>
      <w:r w:rsidR="00496223" w:rsidRPr="00785FB4">
        <w:t xml:space="preserve">acting Minister of Mines and Petroleum </w:t>
      </w:r>
      <w:r w:rsidR="0026090F" w:rsidRPr="00785FB4">
        <w:t>Ghazaal Habibyar-Safi</w:t>
      </w:r>
      <w:r w:rsidR="00496223" w:rsidRPr="00785FB4">
        <w:t xml:space="preserve"> announced plans for </w:t>
      </w:r>
      <w:r w:rsidR="0026090F" w:rsidRPr="00785FB4">
        <w:rPr>
          <w:lang w:bidi="en-US"/>
        </w:rPr>
        <w:t xml:space="preserve">an assessment </w:t>
      </w:r>
      <w:r w:rsidR="00496223" w:rsidRPr="00785FB4">
        <w:rPr>
          <w:lang w:bidi="en-US"/>
        </w:rPr>
        <w:t>of SOEs following the findings of the 2012-13 EITI Report</w:t>
      </w:r>
      <w:r w:rsidR="0026090F" w:rsidRPr="00785FB4">
        <w:rPr>
          <w:lang w:bidi="en-US"/>
        </w:rPr>
        <w:t>.</w:t>
      </w:r>
      <w:r w:rsidR="0026090F" w:rsidRPr="00785FB4">
        <w:rPr>
          <w:rStyle w:val="FootnoteReference"/>
          <w:lang w:bidi="en-US"/>
        </w:rPr>
        <w:footnoteReference w:id="170"/>
      </w:r>
    </w:p>
    <w:p w14:paraId="49A9DE17" w14:textId="17D2EF03" w:rsidR="00B97E0F" w:rsidRPr="00785FB4" w:rsidRDefault="00F425D1" w:rsidP="00405360">
      <w:pPr>
        <w:spacing w:before="120"/>
      </w:pPr>
      <w:r w:rsidRPr="00785FB4">
        <w:rPr>
          <w:i/>
          <w:u w:val="single"/>
        </w:rPr>
        <w:t>Government ownership</w:t>
      </w:r>
      <w:r w:rsidRPr="00785FB4">
        <w:t xml:space="preserve">: </w:t>
      </w:r>
      <w:r w:rsidR="000B480E" w:rsidRPr="00785FB4">
        <w:t>Although t</w:t>
      </w:r>
      <w:r w:rsidR="00B97E0F" w:rsidRPr="00785FB4">
        <w:t xml:space="preserve">he EITI Report does not explicitly state that the government owns 100% of </w:t>
      </w:r>
      <w:r w:rsidR="00496223" w:rsidRPr="00785FB4">
        <w:t>NCE</w:t>
      </w:r>
      <w:r w:rsidR="00D57832" w:rsidRPr="00785FB4">
        <w:t xml:space="preserve"> </w:t>
      </w:r>
      <w:r w:rsidR="00B97E0F" w:rsidRPr="00785FB4">
        <w:t xml:space="preserve">and </w:t>
      </w:r>
      <w:r w:rsidR="00496223" w:rsidRPr="00785FB4">
        <w:t>AGE, nor describe</w:t>
      </w:r>
      <w:r w:rsidR="00D57832" w:rsidRPr="00785FB4">
        <w:t xml:space="preserve"> the terms associated with state equity</w:t>
      </w:r>
      <w:r w:rsidR="00496223" w:rsidRPr="00785FB4">
        <w:t xml:space="preserve"> in the two SOEs</w:t>
      </w:r>
      <w:r w:rsidR="00D57832" w:rsidRPr="00785FB4">
        <w:t xml:space="preserve"> (p.68)</w:t>
      </w:r>
      <w:r w:rsidR="000B480E" w:rsidRPr="00785FB4">
        <w:t>, a GiZ study on accounting, auditing and reporting web-based software in Afghanistan’s mineral sector, provided in annex to the report, states that SOEs are 100%-owned by the government (a/p.229)</w:t>
      </w:r>
      <w:r w:rsidR="00B97E0F" w:rsidRPr="00785FB4">
        <w:t xml:space="preserve">. </w:t>
      </w:r>
      <w:r w:rsidR="00D57832" w:rsidRPr="00785FB4">
        <w:t>It is unclear whether either of these SOEs has any subsidiaries or joint-ventures, but the report confirms that the government had no other ownership interest in the extractive industries</w:t>
      </w:r>
      <w:r w:rsidR="00EA4B5D" w:rsidRPr="00785FB4">
        <w:t xml:space="preserve"> in the years under review</w:t>
      </w:r>
      <w:r w:rsidR="00D57832" w:rsidRPr="00785FB4">
        <w:t xml:space="preserve"> (p.52). The report does not refer to any changes in ownership in </w:t>
      </w:r>
      <w:r w:rsidR="00496223" w:rsidRPr="00785FB4">
        <w:t>2014-15</w:t>
      </w:r>
      <w:r w:rsidR="00D57832" w:rsidRPr="00785FB4">
        <w:t xml:space="preserve">. </w:t>
      </w:r>
    </w:p>
    <w:p w14:paraId="755EDAD1" w14:textId="42ADC403" w:rsidR="00B97E0F" w:rsidRPr="00785FB4" w:rsidRDefault="00F425D1" w:rsidP="00405360">
      <w:pPr>
        <w:spacing w:before="120"/>
        <w:rPr>
          <w:bCs/>
        </w:rPr>
      </w:pPr>
      <w:r w:rsidRPr="00785FB4">
        <w:rPr>
          <w:i/>
          <w:u w:val="single"/>
        </w:rPr>
        <w:t>Loans and guarantees</w:t>
      </w:r>
      <w:r w:rsidRPr="00785FB4">
        <w:t xml:space="preserve">: </w:t>
      </w:r>
      <w:r w:rsidR="00D57832" w:rsidRPr="00785FB4">
        <w:t>The r</w:t>
      </w:r>
      <w:r w:rsidR="00B97E0F" w:rsidRPr="00785FB4">
        <w:t xml:space="preserve">eport does not refer to any loans or loan guarantees extended by the government or </w:t>
      </w:r>
      <w:r w:rsidR="00D57832" w:rsidRPr="00785FB4">
        <w:t>either</w:t>
      </w:r>
      <w:r w:rsidR="00B97E0F" w:rsidRPr="00785FB4">
        <w:t xml:space="preserve"> SOE to companies operating in the mining, oil and gas sectors.</w:t>
      </w:r>
      <w:r w:rsidR="009F7118" w:rsidRPr="00785FB4">
        <w:t xml:space="preserve"> While the report confirms that the MSG included “loan repayments” and “interest on loans” in the scope of reporting by SOEs (p.43), there is no evidence of SOEs’ reporting of such items. </w:t>
      </w:r>
    </w:p>
    <w:p w14:paraId="72838168" w14:textId="14DE33A1" w:rsidR="00247985" w:rsidRPr="00785FB4" w:rsidRDefault="00F425D1" w:rsidP="00A94167">
      <w:pPr>
        <w:pStyle w:val="Heading3"/>
      </w:pPr>
      <w:bookmarkStart w:id="251" w:name="_Toc505449614"/>
      <w:r w:rsidRPr="00785FB4">
        <w:t>Stakeholder views</w:t>
      </w:r>
      <w:bookmarkEnd w:id="251"/>
      <w:r w:rsidR="00E8755F" w:rsidRPr="00785FB4">
        <w:t xml:space="preserve"> </w:t>
      </w:r>
    </w:p>
    <w:p w14:paraId="4216C987" w14:textId="39CC4F20" w:rsidR="00F425D1" w:rsidRPr="00785FB4" w:rsidRDefault="00CB4998" w:rsidP="00F425D1">
      <w:pPr>
        <w:spacing w:before="120"/>
        <w:rPr>
          <w:bCs/>
        </w:rPr>
      </w:pPr>
      <w:r w:rsidRPr="00785FB4">
        <w:rPr>
          <w:bCs/>
          <w:i/>
          <w:u w:val="single"/>
        </w:rPr>
        <w:t>Materiality</w:t>
      </w:r>
      <w:r w:rsidRPr="00785FB4">
        <w:rPr>
          <w:bCs/>
        </w:rPr>
        <w:t xml:space="preserve">: </w:t>
      </w:r>
      <w:r w:rsidR="00D17789" w:rsidRPr="00785FB4">
        <w:rPr>
          <w:bCs/>
        </w:rPr>
        <w:t>There was consensus amongst stakeholders consulted that only two SOEs were material in line with the definition of SOE</w:t>
      </w:r>
      <w:r w:rsidR="00EA4B5D" w:rsidRPr="00785FB4">
        <w:rPr>
          <w:bCs/>
        </w:rPr>
        <w:t>s</w:t>
      </w:r>
      <w:r w:rsidR="00D17789" w:rsidRPr="00785FB4">
        <w:rPr>
          <w:bCs/>
        </w:rPr>
        <w:t xml:space="preserve"> in Requirement </w:t>
      </w:r>
      <w:r w:rsidR="00C015C4" w:rsidRPr="00785FB4">
        <w:rPr>
          <w:bCs/>
        </w:rPr>
        <w:t xml:space="preserve">2.6.b. </w:t>
      </w:r>
      <w:r w:rsidR="005D4A66" w:rsidRPr="00785FB4">
        <w:rPr>
          <w:bCs/>
        </w:rPr>
        <w:t>Several stakeholders noted that the state-owned Jabal-Saraj Cement (JSC) had resumed operations in 2016</w:t>
      </w:r>
      <w:r w:rsidR="005D4A66" w:rsidRPr="00785FB4">
        <w:rPr>
          <w:rStyle w:val="FootnoteReference"/>
          <w:bCs/>
        </w:rPr>
        <w:footnoteReference w:id="171"/>
      </w:r>
      <w:r w:rsidR="005D4A66" w:rsidRPr="00785FB4">
        <w:rPr>
          <w:bCs/>
        </w:rPr>
        <w:t xml:space="preserve"> after two decades of inactivity</w:t>
      </w:r>
      <w:r w:rsidR="00EA4B5D" w:rsidRPr="00785FB4">
        <w:rPr>
          <w:bCs/>
        </w:rPr>
        <w:t xml:space="preserve"> </w:t>
      </w:r>
      <w:r w:rsidR="004C3DFB" w:rsidRPr="00785FB4">
        <w:rPr>
          <w:bCs/>
        </w:rPr>
        <w:t>and</w:t>
      </w:r>
      <w:r w:rsidR="00EA4B5D" w:rsidRPr="00785FB4">
        <w:rPr>
          <w:bCs/>
        </w:rPr>
        <w:t xml:space="preserve"> was not operating in the years under review</w:t>
      </w:r>
      <w:r w:rsidR="005D4A66" w:rsidRPr="00785FB4">
        <w:rPr>
          <w:bCs/>
        </w:rPr>
        <w:t xml:space="preserve">. </w:t>
      </w:r>
      <w:r w:rsidR="009D1CD6" w:rsidRPr="00785FB4">
        <w:rPr>
          <w:bCs/>
        </w:rPr>
        <w:t xml:space="preserve">A senior government official noted that the three most profitable SOEs (out of 30) were under the </w:t>
      </w:r>
      <w:r w:rsidR="00DB56BA" w:rsidRPr="00785FB4">
        <w:rPr>
          <w:bCs/>
        </w:rPr>
        <w:t>MOMP</w:t>
      </w:r>
      <w:r w:rsidR="009D1CD6" w:rsidRPr="00785FB4">
        <w:rPr>
          <w:bCs/>
        </w:rPr>
        <w:t xml:space="preserve">’s purview. </w:t>
      </w:r>
      <w:r w:rsidR="00177589" w:rsidRPr="00785FB4">
        <w:rPr>
          <w:bCs/>
        </w:rPr>
        <w:t xml:space="preserve">While some MSG members noted the MSG’s occasional discussions of SOEs, there was consensus amongst stakeholders consulted that the MSG had never comprehensively discussed the EITI Standard’s full set of disclosure requirements for SOEs. </w:t>
      </w:r>
      <w:bookmarkStart w:id="252" w:name="_Hlk507582897"/>
      <w:r w:rsidR="00177589" w:rsidRPr="00785FB4">
        <w:rPr>
          <w:bCs/>
        </w:rPr>
        <w:t xml:space="preserve">While </w:t>
      </w:r>
      <w:r w:rsidR="00177589" w:rsidRPr="00785FB4">
        <w:rPr>
          <w:bCs/>
        </w:rPr>
        <w:lastRenderedPageBreak/>
        <w:t xml:space="preserve">there was consensus that the two SOEs were the largest contributors to government extractives revenues, several representatives from government and the donor community explained that the public typically trusted SOEs and that there was little political momentum to reform </w:t>
      </w:r>
      <w:r w:rsidR="004C3DFB" w:rsidRPr="00785FB4">
        <w:rPr>
          <w:bCs/>
        </w:rPr>
        <w:t xml:space="preserve">or otherwise scrutinise too closely </w:t>
      </w:r>
      <w:r w:rsidR="00177589" w:rsidRPr="00785FB4">
        <w:rPr>
          <w:bCs/>
        </w:rPr>
        <w:t xml:space="preserve">companies that were </w:t>
      </w:r>
      <w:r w:rsidR="004C3DFB" w:rsidRPr="00785FB4">
        <w:rPr>
          <w:bCs/>
        </w:rPr>
        <w:t>generating revenues</w:t>
      </w:r>
      <w:bookmarkEnd w:id="252"/>
      <w:r w:rsidR="00177589" w:rsidRPr="00785FB4">
        <w:rPr>
          <w:bCs/>
        </w:rPr>
        <w:t xml:space="preserve">. </w:t>
      </w:r>
      <w:r w:rsidR="004C3DFB" w:rsidRPr="00785FB4">
        <w:rPr>
          <w:bCs/>
        </w:rPr>
        <w:t>S</w:t>
      </w:r>
      <w:r w:rsidR="00177589" w:rsidRPr="00785FB4">
        <w:rPr>
          <w:bCs/>
        </w:rPr>
        <w:t>everal MSG members highlighted the MSG’s decision in 2017 to invite SOE representatives to attend AEITI meetings as observers.</w:t>
      </w:r>
    </w:p>
    <w:p w14:paraId="4C29A715" w14:textId="1F06B3D3" w:rsidR="00A34869" w:rsidRPr="00785FB4" w:rsidRDefault="00CB4998" w:rsidP="00F425D1">
      <w:pPr>
        <w:spacing w:before="120"/>
        <w:rPr>
          <w:bCs/>
        </w:rPr>
      </w:pPr>
      <w:r w:rsidRPr="00785FB4">
        <w:rPr>
          <w:bCs/>
          <w:i/>
          <w:u w:val="single"/>
        </w:rPr>
        <w:t>Financial relations</w:t>
      </w:r>
      <w:r w:rsidRPr="00785FB4">
        <w:rPr>
          <w:bCs/>
        </w:rPr>
        <w:t xml:space="preserve">: </w:t>
      </w:r>
      <w:r w:rsidR="00647046" w:rsidRPr="00785FB4">
        <w:rPr>
          <w:bCs/>
        </w:rPr>
        <w:t>S</w:t>
      </w:r>
      <w:r w:rsidR="006969C8" w:rsidRPr="00785FB4">
        <w:rPr>
          <w:bCs/>
        </w:rPr>
        <w:t xml:space="preserve">takeholders from all constituencies confirmed that </w:t>
      </w:r>
      <w:r w:rsidR="007A0B7E" w:rsidRPr="00785FB4">
        <w:rPr>
          <w:bCs/>
        </w:rPr>
        <w:t xml:space="preserve">the financial relations between </w:t>
      </w:r>
      <w:r w:rsidR="006969C8" w:rsidRPr="00785FB4">
        <w:rPr>
          <w:bCs/>
        </w:rPr>
        <w:t>NCE</w:t>
      </w:r>
      <w:r w:rsidR="007A0B7E" w:rsidRPr="00785FB4">
        <w:rPr>
          <w:bCs/>
        </w:rPr>
        <w:t>,</w:t>
      </w:r>
      <w:r w:rsidR="006969C8" w:rsidRPr="00785FB4">
        <w:rPr>
          <w:bCs/>
        </w:rPr>
        <w:t xml:space="preserve"> AGE </w:t>
      </w:r>
      <w:r w:rsidR="007A0B7E" w:rsidRPr="00785FB4">
        <w:rPr>
          <w:bCs/>
        </w:rPr>
        <w:t xml:space="preserve">and the government </w:t>
      </w:r>
      <w:r w:rsidR="006969C8" w:rsidRPr="00785FB4">
        <w:rPr>
          <w:bCs/>
        </w:rPr>
        <w:t xml:space="preserve">were </w:t>
      </w:r>
      <w:r w:rsidR="007A0B7E" w:rsidRPr="00785FB4">
        <w:rPr>
          <w:bCs/>
        </w:rPr>
        <w:t>governed by the SOE Law (Articles 11 to 28</w:t>
      </w:r>
      <w:r w:rsidR="007A0B7E" w:rsidRPr="00785FB4">
        <w:rPr>
          <w:rStyle w:val="FootnoteReference"/>
          <w:bCs/>
        </w:rPr>
        <w:footnoteReference w:id="172"/>
      </w:r>
      <w:r w:rsidR="007A0B7E" w:rsidRPr="00785FB4">
        <w:rPr>
          <w:bCs/>
        </w:rPr>
        <w:t xml:space="preserve">), which set clear rules for retained earnings, reinvestment and third-party (debt) financing. </w:t>
      </w:r>
      <w:bookmarkStart w:id="253" w:name="_Hlk507583051"/>
      <w:r w:rsidR="009D6577" w:rsidRPr="00785FB4">
        <w:rPr>
          <w:bCs/>
        </w:rPr>
        <w:t xml:space="preserve">The </w:t>
      </w:r>
      <w:r w:rsidR="00C0197A" w:rsidRPr="00785FB4">
        <w:rPr>
          <w:bCs/>
        </w:rPr>
        <w:t>law</w:t>
      </w:r>
      <w:r w:rsidR="009D6577" w:rsidRPr="00785FB4">
        <w:rPr>
          <w:bCs/>
        </w:rPr>
        <w:t xml:space="preserve"> allow</w:t>
      </w:r>
      <w:r w:rsidR="00245AB4" w:rsidRPr="00785FB4">
        <w:rPr>
          <w:bCs/>
        </w:rPr>
        <w:t>s</w:t>
      </w:r>
      <w:r w:rsidR="009D6577" w:rsidRPr="00785FB4">
        <w:rPr>
          <w:bCs/>
        </w:rPr>
        <w:t xml:space="preserve"> SOEs to retain 5% of their revenues as “development funds”, 2% as petty cash for </w:t>
      </w:r>
      <w:r w:rsidR="0010047C" w:rsidRPr="00785FB4">
        <w:rPr>
          <w:bCs/>
        </w:rPr>
        <w:t xml:space="preserve">the company </w:t>
      </w:r>
      <w:r w:rsidR="009D6577" w:rsidRPr="00785FB4">
        <w:rPr>
          <w:bCs/>
        </w:rPr>
        <w:t>reserve fund, 3% for social expenditures and 15% for staff bonuses, with the remaining 75% of revenues to be transferred to the Treasury.</w:t>
      </w:r>
      <w:bookmarkEnd w:id="253"/>
      <w:r w:rsidR="009D6577" w:rsidRPr="00785FB4">
        <w:rPr>
          <w:bCs/>
        </w:rPr>
        <w:t xml:space="preserve"> </w:t>
      </w:r>
      <w:r w:rsidR="00B4711E" w:rsidRPr="00785FB4">
        <w:rPr>
          <w:bCs/>
        </w:rPr>
        <w:t xml:space="preserve">The law also bars SOEs from third-party investment without written permission from the </w:t>
      </w:r>
      <w:r w:rsidR="00DB56BA" w:rsidRPr="00785FB4">
        <w:rPr>
          <w:bCs/>
        </w:rPr>
        <w:t>MOF</w:t>
      </w:r>
      <w:r w:rsidR="00B4711E" w:rsidRPr="00785FB4">
        <w:rPr>
          <w:bCs/>
        </w:rPr>
        <w:t xml:space="preserve">. </w:t>
      </w:r>
      <w:r w:rsidR="0010047C" w:rsidRPr="00785FB4">
        <w:rPr>
          <w:bCs/>
        </w:rPr>
        <w:t>S</w:t>
      </w:r>
      <w:r w:rsidR="00B4711E" w:rsidRPr="00785FB4">
        <w:rPr>
          <w:bCs/>
        </w:rPr>
        <w:t>everal government officials and independent reports</w:t>
      </w:r>
      <w:r w:rsidR="00B4711E" w:rsidRPr="00785FB4">
        <w:rPr>
          <w:rStyle w:val="FootnoteReference"/>
          <w:bCs/>
        </w:rPr>
        <w:footnoteReference w:id="173"/>
      </w:r>
      <w:r w:rsidR="00B4711E" w:rsidRPr="00785FB4">
        <w:rPr>
          <w:bCs/>
        </w:rPr>
        <w:t xml:space="preserve"> have noted that the lack of licenses for SOEs exempts them from non-tax (royalty and license fee) liabilities to government. </w:t>
      </w:r>
    </w:p>
    <w:p w14:paraId="722062A5" w14:textId="433C3333" w:rsidR="006A002E" w:rsidRPr="00785FB4" w:rsidRDefault="00B4711E" w:rsidP="00F425D1">
      <w:pPr>
        <w:spacing w:before="120"/>
        <w:rPr>
          <w:bCs/>
        </w:rPr>
      </w:pPr>
      <w:r w:rsidRPr="00785FB4">
        <w:rPr>
          <w:bCs/>
        </w:rPr>
        <w:t xml:space="preserve">While there was consensus on the statutory rules governing </w:t>
      </w:r>
      <w:r w:rsidR="00EE588B" w:rsidRPr="00785FB4">
        <w:rPr>
          <w:bCs/>
        </w:rPr>
        <w:t xml:space="preserve">SOEs’ </w:t>
      </w:r>
      <w:r w:rsidRPr="00785FB4">
        <w:rPr>
          <w:bCs/>
        </w:rPr>
        <w:t xml:space="preserve">financial relations </w:t>
      </w:r>
      <w:r w:rsidR="00EE588B" w:rsidRPr="00785FB4">
        <w:rPr>
          <w:bCs/>
        </w:rPr>
        <w:t>with</w:t>
      </w:r>
      <w:r w:rsidRPr="00785FB4">
        <w:rPr>
          <w:bCs/>
        </w:rPr>
        <w:t xml:space="preserve"> the government, stakeholders from all constituencies highlighted the opacity of the two SOEs’ financial management in practice</w:t>
      </w:r>
      <w:r w:rsidR="00DA3D7D" w:rsidRPr="00785FB4">
        <w:rPr>
          <w:bCs/>
        </w:rPr>
        <w:t>. Several g</w:t>
      </w:r>
      <w:r w:rsidRPr="00785FB4">
        <w:rPr>
          <w:bCs/>
        </w:rPr>
        <w:t xml:space="preserve">overnment officials noted that the </w:t>
      </w:r>
      <w:r w:rsidR="00DB56BA" w:rsidRPr="00785FB4">
        <w:rPr>
          <w:bCs/>
        </w:rPr>
        <w:t>MOF</w:t>
      </w:r>
      <w:r w:rsidRPr="00785FB4">
        <w:rPr>
          <w:bCs/>
        </w:rPr>
        <w:t>’s Revenue Department did not receive profit and loss statements from SOEs, hindering their ability to undertake tax liability assessments of the SOEs. In addition, SOEs normally made lump sum payments for all payments to government combined (commonly called “SOE Tax” by NCE according to a 2011 study on NCE</w:t>
      </w:r>
      <w:r w:rsidRPr="00785FB4">
        <w:rPr>
          <w:rStyle w:val="FootnoteReference"/>
          <w:bCs/>
        </w:rPr>
        <w:footnoteReference w:id="174"/>
      </w:r>
      <w:r w:rsidRPr="00785FB4">
        <w:rPr>
          <w:bCs/>
        </w:rPr>
        <w:t xml:space="preserve">), hindering the </w:t>
      </w:r>
      <w:r w:rsidR="00DB56BA" w:rsidRPr="00785FB4">
        <w:rPr>
          <w:bCs/>
        </w:rPr>
        <w:t>MOF</w:t>
      </w:r>
      <w:r w:rsidRPr="00785FB4">
        <w:rPr>
          <w:bCs/>
        </w:rPr>
        <w:t xml:space="preserve">’s ability to track revenues. One government official considered that the </w:t>
      </w:r>
      <w:r w:rsidR="00DB56BA" w:rsidRPr="00785FB4">
        <w:rPr>
          <w:bCs/>
        </w:rPr>
        <w:t>MOF</w:t>
      </w:r>
      <w:r w:rsidRPr="00785FB4">
        <w:rPr>
          <w:bCs/>
        </w:rPr>
        <w:t xml:space="preserve">’s SOE Department should be able to disclose financial data on the two SOEs, </w:t>
      </w:r>
      <w:r w:rsidR="00DA3D7D" w:rsidRPr="00785FB4">
        <w:rPr>
          <w:bCs/>
        </w:rPr>
        <w:t xml:space="preserve">given that SOEs were required to submit balance sheets, annual production and expenditure plans to the </w:t>
      </w:r>
      <w:r w:rsidR="00DB56BA" w:rsidRPr="00785FB4">
        <w:rPr>
          <w:bCs/>
        </w:rPr>
        <w:t>MOF</w:t>
      </w:r>
      <w:r w:rsidR="00DA3D7D" w:rsidRPr="00785FB4">
        <w:rPr>
          <w:bCs/>
        </w:rPr>
        <w:t>’s SOE Department every year</w:t>
      </w:r>
      <w:r w:rsidR="00245AB4" w:rsidRPr="00785FB4">
        <w:rPr>
          <w:bCs/>
        </w:rPr>
        <w:t>, but other government officials said that the balance sheets were in effect one-page statements with no disaggregated information</w:t>
      </w:r>
      <w:r w:rsidR="00DA3D7D" w:rsidRPr="00785FB4">
        <w:rPr>
          <w:bCs/>
        </w:rPr>
        <w:t xml:space="preserve">. </w:t>
      </w:r>
      <w:r w:rsidR="00245AB4" w:rsidRPr="00785FB4">
        <w:rPr>
          <w:bCs/>
        </w:rPr>
        <w:t>T</w:t>
      </w:r>
      <w:r w:rsidRPr="00785FB4">
        <w:rPr>
          <w:bCs/>
        </w:rPr>
        <w:t>he IA highlighted the SOEs’ weak accounting systems</w:t>
      </w:r>
      <w:r w:rsidR="0090427E" w:rsidRPr="00785FB4">
        <w:rPr>
          <w:bCs/>
        </w:rPr>
        <w:t xml:space="preserve"> and location in dangerous areas as key challenges for EITI data collection. </w:t>
      </w:r>
      <w:r w:rsidR="0025651D" w:rsidRPr="00785FB4">
        <w:rPr>
          <w:bCs/>
        </w:rPr>
        <w:t xml:space="preserve">One CSO expressed concern at the apparent lack of correlation between NCE’s reported production and its payments to government. </w:t>
      </w:r>
      <w:r w:rsidR="003664D0" w:rsidRPr="00785FB4">
        <w:rPr>
          <w:bCs/>
        </w:rPr>
        <w:t xml:space="preserve">While none of the stakeholders consulted knew whether NCE and AGE had financial statements for 2014-15, a senior government official considered that their financial statements were prepared (albeit not published) for 2016-17. </w:t>
      </w:r>
      <w:r w:rsidR="00436F7D" w:rsidRPr="00785FB4">
        <w:rPr>
          <w:bCs/>
        </w:rPr>
        <w:t xml:space="preserve">Several development partners noted the weak institutional cooperation between </w:t>
      </w:r>
      <w:r w:rsidR="00DB56BA" w:rsidRPr="00785FB4">
        <w:rPr>
          <w:bCs/>
        </w:rPr>
        <w:t>MOF</w:t>
      </w:r>
      <w:r w:rsidR="00436F7D" w:rsidRPr="00785FB4">
        <w:rPr>
          <w:bCs/>
        </w:rPr>
        <w:t xml:space="preserve"> and </w:t>
      </w:r>
      <w:r w:rsidR="00DB56BA" w:rsidRPr="00785FB4">
        <w:rPr>
          <w:bCs/>
        </w:rPr>
        <w:t>MOMP</w:t>
      </w:r>
      <w:r w:rsidR="00436F7D" w:rsidRPr="00785FB4">
        <w:rPr>
          <w:bCs/>
        </w:rPr>
        <w:t xml:space="preserve"> on the issue of SOEs, but confirmed that the </w:t>
      </w:r>
      <w:r w:rsidR="00DB56BA" w:rsidRPr="00785FB4">
        <w:rPr>
          <w:bCs/>
        </w:rPr>
        <w:t>MOF</w:t>
      </w:r>
      <w:r w:rsidR="00436F7D" w:rsidRPr="00785FB4">
        <w:rPr>
          <w:bCs/>
        </w:rPr>
        <w:t xml:space="preserve"> (not </w:t>
      </w:r>
      <w:r w:rsidR="00DB56BA" w:rsidRPr="00785FB4">
        <w:rPr>
          <w:bCs/>
        </w:rPr>
        <w:t>MOMP</w:t>
      </w:r>
      <w:r w:rsidR="00436F7D" w:rsidRPr="00785FB4">
        <w:rPr>
          <w:bCs/>
        </w:rPr>
        <w:t>) had primary responsibility for overseeing SOEs</w:t>
      </w:r>
      <w:r w:rsidR="00753B41" w:rsidRPr="00785FB4">
        <w:rPr>
          <w:bCs/>
        </w:rPr>
        <w:t xml:space="preserve"> </w:t>
      </w:r>
      <w:r w:rsidR="008422F7" w:rsidRPr="00785FB4">
        <w:rPr>
          <w:bCs/>
        </w:rPr>
        <w:t>(</w:t>
      </w:r>
      <w:r w:rsidR="005658A7" w:rsidRPr="00785FB4">
        <w:rPr>
          <w:bCs/>
        </w:rPr>
        <w:t xml:space="preserve">which was </w:t>
      </w:r>
      <w:r w:rsidR="00753B41" w:rsidRPr="00785FB4">
        <w:rPr>
          <w:bCs/>
        </w:rPr>
        <w:t>confirmed in the May 2017 AEITI organisational assessment</w:t>
      </w:r>
      <w:r w:rsidR="00753B41" w:rsidRPr="00785FB4">
        <w:rPr>
          <w:rStyle w:val="FootnoteReference"/>
          <w:bCs/>
        </w:rPr>
        <w:footnoteReference w:id="175"/>
      </w:r>
      <w:r w:rsidR="008422F7" w:rsidRPr="00785FB4">
        <w:rPr>
          <w:bCs/>
        </w:rPr>
        <w:t>).</w:t>
      </w:r>
      <w:r w:rsidR="00436F7D" w:rsidRPr="00785FB4">
        <w:rPr>
          <w:bCs/>
        </w:rPr>
        <w:t xml:space="preserve"> </w:t>
      </w:r>
      <w:r w:rsidR="00245AB4" w:rsidRPr="00785FB4">
        <w:rPr>
          <w:bCs/>
        </w:rPr>
        <w:t xml:space="preserve">Meanwhile, the May 2017 AEITI assessment noted that the SAO currently conducts compliance audits of SOEs but does not have the capacity to undertake financial audits, while the </w:t>
      </w:r>
      <w:r w:rsidR="00DB56BA" w:rsidRPr="00785FB4">
        <w:rPr>
          <w:bCs/>
        </w:rPr>
        <w:t>MOMP</w:t>
      </w:r>
      <w:r w:rsidR="00245AB4" w:rsidRPr="00785FB4">
        <w:rPr>
          <w:bCs/>
        </w:rPr>
        <w:t>’s internal audit, responsible for auditing extractives SOEs, was described as “very weak”.</w:t>
      </w:r>
      <w:r w:rsidR="00245AB4" w:rsidRPr="00785FB4">
        <w:rPr>
          <w:rStyle w:val="FootnoteReference"/>
          <w:bCs/>
        </w:rPr>
        <w:footnoteReference w:id="176"/>
      </w:r>
      <w:r w:rsidR="00245AB4" w:rsidRPr="00785FB4">
        <w:rPr>
          <w:bCs/>
        </w:rPr>
        <w:t xml:space="preserve"> </w:t>
      </w:r>
      <w:r w:rsidR="00E1464D" w:rsidRPr="00785FB4">
        <w:rPr>
          <w:bCs/>
        </w:rPr>
        <w:t xml:space="preserve">The IA noted that the </w:t>
      </w:r>
      <w:r w:rsidR="00DB56BA" w:rsidRPr="00785FB4">
        <w:rPr>
          <w:bCs/>
        </w:rPr>
        <w:t>MOF</w:t>
      </w:r>
      <w:r w:rsidR="00E1464D" w:rsidRPr="00785FB4">
        <w:rPr>
          <w:bCs/>
        </w:rPr>
        <w:t xml:space="preserve"> had highlighted three years of tax payment arrears from the two SOEs during preparations of the 2014-15 EITI Report. </w:t>
      </w:r>
      <w:r w:rsidR="001B028A" w:rsidRPr="00785FB4">
        <w:rPr>
          <w:bCs/>
        </w:rPr>
        <w:lastRenderedPageBreak/>
        <w:t xml:space="preserve">One CSO raised concern over the fact that the Chief Executive of NCE was always a political appointee. </w:t>
      </w:r>
    </w:p>
    <w:p w14:paraId="254DD127" w14:textId="37B13D1A" w:rsidR="00297365" w:rsidRPr="00785FB4" w:rsidRDefault="006D5F20" w:rsidP="00297365">
      <w:pPr>
        <w:spacing w:before="120"/>
        <w:rPr>
          <w:bCs/>
        </w:rPr>
      </w:pPr>
      <w:r w:rsidRPr="00785FB4">
        <w:rPr>
          <w:bCs/>
        </w:rPr>
        <w:t xml:space="preserve">Stakeholders from all constituencies confirmed that NCE relied on independent miners for much of its coal production. </w:t>
      </w:r>
      <w:r w:rsidR="0016390D" w:rsidRPr="00785FB4">
        <w:rPr>
          <w:bCs/>
        </w:rPr>
        <w:t xml:space="preserve">While several government officials </w:t>
      </w:r>
      <w:r w:rsidR="002A49DE" w:rsidRPr="00785FB4">
        <w:rPr>
          <w:bCs/>
        </w:rPr>
        <w:t>noted</w:t>
      </w:r>
      <w:r w:rsidR="0016390D" w:rsidRPr="00785FB4">
        <w:rPr>
          <w:bCs/>
        </w:rPr>
        <w:t xml:space="preserve"> that this practice was not codified by law, </w:t>
      </w:r>
      <w:r w:rsidR="00D952C9" w:rsidRPr="00785FB4">
        <w:rPr>
          <w:bCs/>
        </w:rPr>
        <w:t>they explained that a 2006 Presidential Decree on the corporatisation of NCE provided for NCE to shift the burden of production to independent miners. While the five-year Decree expired in 2010, it has reportedly been extended annually since then</w:t>
      </w:r>
      <w:r w:rsidR="00D952C9" w:rsidRPr="00785FB4">
        <w:rPr>
          <w:rStyle w:val="FootnoteReference"/>
          <w:bCs/>
        </w:rPr>
        <w:footnoteReference w:id="177"/>
      </w:r>
      <w:r w:rsidR="00D93052" w:rsidRPr="00785FB4">
        <w:rPr>
          <w:bCs/>
        </w:rPr>
        <w:t>, although the independent miners operate without formal contractual relationship with NCE</w:t>
      </w:r>
      <w:r w:rsidR="00A67AEF" w:rsidRPr="00785FB4">
        <w:rPr>
          <w:bCs/>
        </w:rPr>
        <w:t xml:space="preserve"> according to a 2016 World Bank-funded assessment of NCE for the </w:t>
      </w:r>
      <w:r w:rsidR="00DB56BA" w:rsidRPr="00785FB4">
        <w:rPr>
          <w:bCs/>
        </w:rPr>
        <w:t>MOMP</w:t>
      </w:r>
      <w:r w:rsidR="00D93052" w:rsidRPr="00785FB4">
        <w:rPr>
          <w:bCs/>
        </w:rPr>
        <w:t>.</w:t>
      </w:r>
      <w:r w:rsidR="00D93052" w:rsidRPr="00785FB4">
        <w:rPr>
          <w:rStyle w:val="FootnoteReference"/>
        </w:rPr>
        <w:footnoteReference w:id="178"/>
      </w:r>
      <w:r w:rsidR="002725F5" w:rsidRPr="00785FB4">
        <w:rPr>
          <w:bCs/>
        </w:rPr>
        <w:t xml:space="preserve"> </w:t>
      </w:r>
      <w:r w:rsidR="00297365" w:rsidRPr="00785FB4">
        <w:rPr>
          <w:bCs/>
        </w:rPr>
        <w:t>Meanwhile r</w:t>
      </w:r>
      <w:r w:rsidR="002725F5" w:rsidRPr="00785FB4">
        <w:rPr>
          <w:bCs/>
        </w:rPr>
        <w:t>eports published in 2016 by USAID and SIGAR highlighted the AGE’s low profitability, particularly given payment arrears from its main clients</w:t>
      </w:r>
      <w:r w:rsidR="00EE2DB4" w:rsidRPr="00785FB4">
        <w:rPr>
          <w:bCs/>
        </w:rPr>
        <w:t xml:space="preserve"> (including the Northern Fertilizer Power Plant)</w:t>
      </w:r>
      <w:r w:rsidR="002725F5" w:rsidRPr="00785FB4">
        <w:rPr>
          <w:bCs/>
        </w:rPr>
        <w:t>, with the enterprise using the majority of its USD4m-USD5m in annual revenues to cover salaries and transfers to the Treasury in 2012.</w:t>
      </w:r>
      <w:r w:rsidR="002725F5" w:rsidRPr="00785FB4">
        <w:rPr>
          <w:rStyle w:val="FootnoteReference"/>
          <w:bCs/>
        </w:rPr>
        <w:footnoteReference w:id="179"/>
      </w:r>
      <w:r w:rsidR="00297365" w:rsidRPr="00785FB4">
        <w:rPr>
          <w:bCs/>
        </w:rPr>
        <w:t xml:space="preserve"> Several stakeholders from government, civil society and the donor community highlighted plans to corporatize the two SOEs, with a SOE roadmap announced in January 2018. The World Bank, under SDNRP-2, has provided technical assistance to restructuring and reforming NCE, proposing that reforms allow NCE to retain earnings but to remit funds to the Treasury via a royalty fee on coal production and a dividend on profits.</w:t>
      </w:r>
      <w:r w:rsidR="00297365" w:rsidRPr="00785FB4">
        <w:rPr>
          <w:rStyle w:val="FootnoteReference"/>
          <w:bCs/>
        </w:rPr>
        <w:footnoteReference w:id="180"/>
      </w:r>
    </w:p>
    <w:p w14:paraId="7A676104" w14:textId="72D4C88E" w:rsidR="00316B8B" w:rsidRPr="00785FB4" w:rsidRDefault="00CB4998" w:rsidP="00F425D1">
      <w:pPr>
        <w:spacing w:before="120"/>
        <w:rPr>
          <w:bCs/>
        </w:rPr>
      </w:pPr>
      <w:r w:rsidRPr="00785FB4">
        <w:rPr>
          <w:bCs/>
          <w:i/>
          <w:u w:val="single"/>
        </w:rPr>
        <w:t>Ownership</w:t>
      </w:r>
      <w:r w:rsidRPr="00785FB4">
        <w:rPr>
          <w:bCs/>
        </w:rPr>
        <w:t xml:space="preserve">: </w:t>
      </w:r>
      <w:r w:rsidR="00297365" w:rsidRPr="00785FB4">
        <w:rPr>
          <w:bCs/>
        </w:rPr>
        <w:t>Senior government officials confirmed that NCE and AGE were both wholly-owned by the government and that neither had any subsidiaries. The SOE Law bars SOEs from having investments in third-party companies, although they are allowed to form joint-ventures upon written authorisation from the Ministry of Finance (Articles 16 and 17).</w:t>
      </w:r>
      <w:r w:rsidR="00297365" w:rsidRPr="00785FB4">
        <w:rPr>
          <w:rStyle w:val="FootnoteReference"/>
          <w:bCs/>
        </w:rPr>
        <w:footnoteReference w:id="181"/>
      </w:r>
      <w:r w:rsidR="00297365" w:rsidRPr="00785FB4">
        <w:rPr>
          <w:bCs/>
        </w:rPr>
        <w:t xml:space="preserve"> </w:t>
      </w:r>
    </w:p>
    <w:p w14:paraId="5B594B8D" w14:textId="4CE95A4C" w:rsidR="009B1522" w:rsidRPr="00785FB4" w:rsidRDefault="00CB4998" w:rsidP="008230BF">
      <w:pPr>
        <w:spacing w:before="120"/>
        <w:rPr>
          <w:bCs/>
        </w:rPr>
      </w:pPr>
      <w:r w:rsidRPr="00785FB4">
        <w:rPr>
          <w:bCs/>
          <w:i/>
          <w:u w:val="single"/>
        </w:rPr>
        <w:t>Loans and guarantees</w:t>
      </w:r>
      <w:r w:rsidRPr="00785FB4">
        <w:rPr>
          <w:bCs/>
        </w:rPr>
        <w:t xml:space="preserve">: </w:t>
      </w:r>
      <w:r w:rsidR="0060767E" w:rsidRPr="00785FB4">
        <w:rPr>
          <w:bCs/>
        </w:rPr>
        <w:t xml:space="preserve">There was consensus amongst stakeholders consulted that the government did not have the capacity to provide loans or guarantees to extractives companies and that, with around 70% of the budget funded directly by donors, </w:t>
      </w:r>
      <w:r w:rsidR="00A32117" w:rsidRPr="00785FB4">
        <w:rPr>
          <w:bCs/>
        </w:rPr>
        <w:t>Afghanistan relied on concessional funding for its government functions. There is however evidence of outstanding loans from NCE to various government entities and SOEs in fertilizer and cement production, with a 2011 assessment of NCE, funded by DfID and conducted by ASI, highlighting some USD 4.3m in outstanding loans, at times to entities that no longer existed.</w:t>
      </w:r>
      <w:r w:rsidR="00A32117" w:rsidRPr="00785FB4">
        <w:rPr>
          <w:rStyle w:val="FootnoteReference"/>
          <w:bCs/>
        </w:rPr>
        <w:footnoteReference w:id="182"/>
      </w:r>
      <w:r w:rsidR="00A32117" w:rsidRPr="00785FB4">
        <w:rPr>
          <w:bCs/>
        </w:rPr>
        <w:t xml:space="preserve"> The list of outstanding loans from NCE, often in the form of coal supplies categorised as loans on NCE’s books</w:t>
      </w:r>
      <w:r w:rsidR="00AB744A" w:rsidRPr="00785FB4">
        <w:rPr>
          <w:bCs/>
        </w:rPr>
        <w:t xml:space="preserve"> (see </w:t>
      </w:r>
      <w:r w:rsidR="00A32117" w:rsidRPr="00785FB4">
        <w:rPr>
          <w:bCs/>
        </w:rPr>
        <w:t>Annex F</w:t>
      </w:r>
      <w:r w:rsidR="00AB744A" w:rsidRPr="00785FB4">
        <w:rPr>
          <w:bCs/>
        </w:rPr>
        <w:t>)</w:t>
      </w:r>
      <w:r w:rsidR="00A32117" w:rsidRPr="00785FB4">
        <w:rPr>
          <w:bCs/>
        </w:rPr>
        <w:t xml:space="preserve">. The IA noted that it had not received any information on loans or guarantees despite including lines in the reporting templates. Development partners did not have visibility on loans involving SOEs. </w:t>
      </w:r>
    </w:p>
    <w:p w14:paraId="0E2094A0" w14:textId="2B6F57D2" w:rsidR="001E68AF" w:rsidRPr="00785FB4" w:rsidRDefault="00E8755F" w:rsidP="00A94167">
      <w:pPr>
        <w:pStyle w:val="Heading3"/>
      </w:pPr>
      <w:bookmarkStart w:id="254" w:name="_Toc505449615"/>
      <w:r w:rsidRPr="00785FB4">
        <w:t>Initial assessment</w:t>
      </w:r>
      <w:bookmarkEnd w:id="254"/>
    </w:p>
    <w:p w14:paraId="1AB97C15" w14:textId="755270D9" w:rsidR="00405360" w:rsidRPr="00785FB4" w:rsidRDefault="00F425D1" w:rsidP="00405360">
      <w:pPr>
        <w:spacing w:before="120"/>
      </w:pPr>
      <w:r w:rsidRPr="00785FB4">
        <w:t xml:space="preserve">The International Secretariat’s initial assessment is that </w:t>
      </w:r>
      <w:r w:rsidR="009B1522" w:rsidRPr="00785FB4">
        <w:rPr>
          <w:bCs/>
        </w:rPr>
        <w:t>Afghanistan</w:t>
      </w:r>
      <w:r w:rsidR="009B1522" w:rsidRPr="00785FB4">
        <w:t xml:space="preserve"> </w:t>
      </w:r>
      <w:r w:rsidRPr="00785FB4">
        <w:t xml:space="preserve">has made </w:t>
      </w:r>
      <w:r w:rsidR="000973E3" w:rsidRPr="00785FB4">
        <w:rPr>
          <w:bCs/>
        </w:rPr>
        <w:t>inadequate</w:t>
      </w:r>
      <w:r w:rsidR="00405360" w:rsidRPr="00785FB4">
        <w:t xml:space="preserve"> </w:t>
      </w:r>
      <w:r w:rsidRPr="00785FB4">
        <w:t xml:space="preserve">progress in meeting this requirement. </w:t>
      </w:r>
      <w:r w:rsidR="000973E3" w:rsidRPr="00785FB4">
        <w:t xml:space="preserve">The 2014-15 EITI Report lists two SOEs in the extractive industries, but does not describe the level of state ownership, terms associated with state equity nor any changes in state </w:t>
      </w:r>
      <w:r w:rsidR="000973E3" w:rsidRPr="00785FB4">
        <w:lastRenderedPageBreak/>
        <w:t>ownership in the years under review. The report does not describe statutory financial relations between the two SOEs and the state, nor any deviations in practice</w:t>
      </w:r>
      <w:r w:rsidR="00A32117" w:rsidRPr="00785FB4">
        <w:t xml:space="preserve"> beyond a description of SOEs’ weak accounting systems</w:t>
      </w:r>
      <w:r w:rsidR="000973E3" w:rsidRPr="00785FB4">
        <w:t xml:space="preserve">. While there is evidence that the MSG requested details of loan repayments and interest on loans from the two SOEs, the report does not categorically state whether any loans or loan guarantees from the state or SOEs to extractives companies existed in the years under review. </w:t>
      </w:r>
    </w:p>
    <w:p w14:paraId="65949C2E" w14:textId="4253738C" w:rsidR="000973E3" w:rsidRPr="00785FB4" w:rsidRDefault="000973E3" w:rsidP="00405360">
      <w:pPr>
        <w:spacing w:before="120"/>
      </w:pPr>
      <w:r w:rsidRPr="00785FB4">
        <w:t xml:space="preserve">In accordance with Requirement 2.6, </w:t>
      </w:r>
      <w:r w:rsidR="00EE2DB4" w:rsidRPr="00785FB4">
        <w:t xml:space="preserve">Afghanistan </w:t>
      </w:r>
      <w:r w:rsidRPr="00785FB4">
        <w:t xml:space="preserve">should </w:t>
      </w:r>
      <w:r w:rsidR="00A84BC4" w:rsidRPr="00785FB4">
        <w:t xml:space="preserve">provide an explanation of the prevailing rules and practices related to SOEs’ retained earnings, reinvestment and third-party financing. The government should also ensure annual disclosure of any changes in government ownership in SOEs or their subsidiaries, and provide a comprehensive account of any loans or loan guarantees extended by the state or SOEs to mining, oil, and gas companies. AEITI may wish to align reporting with the government’s corporatisation strategy for the two extractives SOEs with a view to providing annual diagnostics to support reforms. </w:t>
      </w:r>
      <w:r w:rsidR="00A5114B" w:rsidRPr="00785FB4">
        <w:t xml:space="preserve">As a first step and in the absence of publicly available information on the SOEs, AEITI may also wish to pursue the publication of existing studies of SOEs that have been conducted for the </w:t>
      </w:r>
      <w:r w:rsidR="00DB56BA" w:rsidRPr="00785FB4">
        <w:t>MOF</w:t>
      </w:r>
      <w:r w:rsidR="00A5114B" w:rsidRPr="00785FB4">
        <w:t xml:space="preserve"> and </w:t>
      </w:r>
      <w:r w:rsidR="00DB56BA" w:rsidRPr="00785FB4">
        <w:t>MOMP</w:t>
      </w:r>
      <w:r w:rsidR="00A5114B" w:rsidRPr="00785FB4">
        <w:t xml:space="preserve"> but that are not currently available to the public. </w:t>
      </w:r>
    </w:p>
    <w:p w14:paraId="49DF4EF6" w14:textId="2F39EFE6" w:rsidR="00D47A3F" w:rsidRPr="00785FB4" w:rsidRDefault="0045114B" w:rsidP="009464B0">
      <w:pPr>
        <w:pStyle w:val="Caption"/>
        <w:rPr>
          <w:i/>
          <w:color w:val="000000"/>
        </w:rPr>
      </w:pPr>
      <w:r w:rsidRPr="00785FB4">
        <w:t xml:space="preserve">Table </w:t>
      </w:r>
      <w:fldSimple w:instr=" SEQ Table \* ARABIC ">
        <w:r w:rsidR="00D8510F" w:rsidRPr="00785FB4">
          <w:t>2</w:t>
        </w:r>
      </w:fldSimple>
      <w:r w:rsidR="000722F1" w:rsidRPr="00785FB4">
        <w:rPr>
          <w:i/>
          <w:color w:val="000000"/>
        </w:rPr>
        <w:t xml:space="preserve">- </w:t>
      </w:r>
      <w:r w:rsidR="000722F1" w:rsidRPr="00785FB4">
        <w:rPr>
          <w:rFonts w:eastAsia="Calibri"/>
          <w:i/>
        </w:rPr>
        <w:t xml:space="preserve">Summary </w:t>
      </w:r>
      <w:r w:rsidR="002215D2" w:rsidRPr="00785FB4">
        <w:rPr>
          <w:rFonts w:eastAsia="Calibri"/>
          <w:i/>
        </w:rPr>
        <w:t xml:space="preserve">initial </w:t>
      </w:r>
      <w:r w:rsidR="000722F1" w:rsidRPr="00785FB4">
        <w:rPr>
          <w:rFonts w:eastAsia="Calibri"/>
          <w:i/>
        </w:rPr>
        <w:t>assessment table: Award of contracts and licenses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6"/>
        <w:gridCol w:w="4634"/>
        <w:gridCol w:w="2377"/>
      </w:tblGrid>
      <w:tr w:rsidR="00EF4B37" w:rsidRPr="00785FB4" w14:paraId="242C0E3A" w14:textId="77777777" w:rsidTr="007369FB">
        <w:trPr>
          <w:trHeight w:val="675"/>
        </w:trPr>
        <w:tc>
          <w:tcPr>
            <w:tcW w:w="2128" w:type="dxa"/>
            <w:shd w:val="clear" w:color="auto" w:fill="D9D9D9"/>
            <w:vAlign w:val="center"/>
          </w:tcPr>
          <w:p w14:paraId="16E5105B" w14:textId="77777777" w:rsidR="00601017" w:rsidRPr="00785FB4" w:rsidRDefault="00601017" w:rsidP="00D8510F">
            <w:pPr>
              <w:pStyle w:val="Tabletext"/>
              <w:rPr>
                <w:lang w:val="en-GB"/>
              </w:rPr>
            </w:pPr>
            <w:r w:rsidRPr="00785FB4">
              <w:rPr>
                <w:lang w:val="en-GB"/>
              </w:rPr>
              <w:t>EITI provisions</w:t>
            </w:r>
          </w:p>
        </w:tc>
        <w:tc>
          <w:tcPr>
            <w:tcW w:w="5130" w:type="dxa"/>
            <w:shd w:val="clear" w:color="auto" w:fill="D9D9D9"/>
            <w:vAlign w:val="center"/>
          </w:tcPr>
          <w:p w14:paraId="6CB1367E" w14:textId="77777777" w:rsidR="00601017" w:rsidRPr="00785FB4" w:rsidRDefault="00601017" w:rsidP="00D8510F">
            <w:pPr>
              <w:pStyle w:val="Tabletext"/>
              <w:rPr>
                <w:lang w:val="en-GB"/>
              </w:rPr>
            </w:pPr>
            <w:r w:rsidRPr="00785FB4">
              <w:rPr>
                <w:lang w:val="en-GB"/>
              </w:rPr>
              <w:t>Summary of main findings</w:t>
            </w:r>
          </w:p>
        </w:tc>
        <w:tc>
          <w:tcPr>
            <w:tcW w:w="2119" w:type="dxa"/>
            <w:shd w:val="clear" w:color="auto" w:fill="D9D9D9"/>
            <w:vAlign w:val="center"/>
          </w:tcPr>
          <w:p w14:paraId="65846BE5" w14:textId="033E8173" w:rsidR="00601017" w:rsidRPr="00785FB4" w:rsidRDefault="00601017" w:rsidP="00D8510F">
            <w:pPr>
              <w:pStyle w:val="Tabletext"/>
              <w:rPr>
                <w:lang w:val="en-GB"/>
              </w:rPr>
            </w:pPr>
            <w:r w:rsidRPr="00785FB4">
              <w:rPr>
                <w:lang w:val="en-GB"/>
              </w:rPr>
              <w:t xml:space="preserve">International Secretariat’s initial assessment of progress with the EITI provisions </w:t>
            </w:r>
          </w:p>
        </w:tc>
      </w:tr>
      <w:tr w:rsidR="00EF4B37" w:rsidRPr="00785FB4" w14:paraId="5880D3E5" w14:textId="77777777" w:rsidTr="007369FB">
        <w:trPr>
          <w:trHeight w:val="1381"/>
        </w:trPr>
        <w:tc>
          <w:tcPr>
            <w:tcW w:w="2128" w:type="dxa"/>
            <w:shd w:val="clear" w:color="auto" w:fill="auto"/>
            <w:vAlign w:val="center"/>
          </w:tcPr>
          <w:p w14:paraId="492A9F56" w14:textId="77777777" w:rsidR="00F425D1" w:rsidRPr="00785FB4" w:rsidRDefault="00F425D1" w:rsidP="00D8510F">
            <w:pPr>
              <w:pStyle w:val="Tabletext"/>
              <w:rPr>
                <w:lang w:val="en-GB"/>
              </w:rPr>
            </w:pPr>
            <w:r w:rsidRPr="00785FB4">
              <w:rPr>
                <w:lang w:val="en-GB"/>
              </w:rPr>
              <w:t>Legal framework (#2.1)</w:t>
            </w:r>
          </w:p>
        </w:tc>
        <w:tc>
          <w:tcPr>
            <w:tcW w:w="5130" w:type="dxa"/>
            <w:shd w:val="clear" w:color="auto" w:fill="auto"/>
            <w:vAlign w:val="center"/>
          </w:tcPr>
          <w:p w14:paraId="032F7F09" w14:textId="1A5198A3" w:rsidR="00F425D1" w:rsidRPr="00785FB4" w:rsidRDefault="00EF4B37" w:rsidP="00D8510F">
            <w:pPr>
              <w:pStyle w:val="Tabletext"/>
              <w:rPr>
                <w:lang w:val="en-GB"/>
              </w:rPr>
            </w:pPr>
            <w:r w:rsidRPr="00785FB4">
              <w:rPr>
                <w:lang w:val="en-GB"/>
              </w:rPr>
              <w:t>The 2014-15 EITI Report includes an overview of relevant laws, government entities</w:t>
            </w:r>
            <w:r w:rsidR="00A5114B" w:rsidRPr="00785FB4">
              <w:rPr>
                <w:lang w:val="en-GB"/>
              </w:rPr>
              <w:t xml:space="preserve"> except for the Presidency and the High Economic Council</w:t>
            </w:r>
            <w:r w:rsidRPr="00785FB4">
              <w:rPr>
                <w:lang w:val="en-GB"/>
              </w:rPr>
              <w:t>, fiscal terms in the mining, oil and gas sector, the degree of fiscal devolution and brief commentary on current reforms.</w:t>
            </w:r>
          </w:p>
        </w:tc>
        <w:tc>
          <w:tcPr>
            <w:tcW w:w="2119" w:type="dxa"/>
            <w:vAlign w:val="center"/>
          </w:tcPr>
          <w:p w14:paraId="5029391C" w14:textId="08619B52" w:rsidR="00F425D1" w:rsidRPr="00785FB4" w:rsidRDefault="00EF4B37" w:rsidP="00D8510F">
            <w:pPr>
              <w:pStyle w:val="Tabletext"/>
              <w:rPr>
                <w:lang w:val="en-GB"/>
              </w:rPr>
            </w:pPr>
            <w:r w:rsidRPr="00785FB4">
              <w:rPr>
                <w:lang w:val="en-GB"/>
              </w:rPr>
              <w:t>Satisfactory p</w:t>
            </w:r>
            <w:r w:rsidR="000973E3" w:rsidRPr="00785FB4">
              <w:rPr>
                <w:lang w:val="en-GB"/>
              </w:rPr>
              <w:t>rogress</w:t>
            </w:r>
          </w:p>
        </w:tc>
      </w:tr>
      <w:tr w:rsidR="00EF4B37" w:rsidRPr="00785FB4" w14:paraId="04E3127E" w14:textId="77777777" w:rsidTr="007369FB">
        <w:tc>
          <w:tcPr>
            <w:tcW w:w="2128" w:type="dxa"/>
            <w:shd w:val="clear" w:color="auto" w:fill="auto"/>
            <w:vAlign w:val="center"/>
          </w:tcPr>
          <w:p w14:paraId="614DD82C" w14:textId="77777777" w:rsidR="00F425D1" w:rsidRPr="00785FB4" w:rsidRDefault="00F425D1" w:rsidP="00D8510F">
            <w:pPr>
              <w:pStyle w:val="Tabletext"/>
              <w:rPr>
                <w:lang w:val="en-GB"/>
              </w:rPr>
            </w:pPr>
            <w:r w:rsidRPr="00785FB4">
              <w:rPr>
                <w:lang w:val="en-GB"/>
              </w:rPr>
              <w:t>License allocations (#2.2)</w:t>
            </w:r>
          </w:p>
        </w:tc>
        <w:tc>
          <w:tcPr>
            <w:tcW w:w="5130" w:type="dxa"/>
            <w:shd w:val="clear" w:color="auto" w:fill="auto"/>
            <w:vAlign w:val="center"/>
          </w:tcPr>
          <w:p w14:paraId="5E844830" w14:textId="298F55C4" w:rsidR="00F425D1" w:rsidRPr="00785FB4" w:rsidRDefault="00EF4B37" w:rsidP="00D8510F">
            <w:pPr>
              <w:pStyle w:val="Tabletext"/>
              <w:rPr>
                <w:lang w:val="en-GB"/>
              </w:rPr>
            </w:pPr>
            <w:r w:rsidRPr="00785FB4">
              <w:rPr>
                <w:lang w:val="en-GB"/>
              </w:rPr>
              <w:t xml:space="preserve">The 2014-15 EITI Report lists 30 </w:t>
            </w:r>
            <w:r w:rsidR="000C45E3" w:rsidRPr="00785FB4">
              <w:rPr>
                <w:lang w:val="en-GB"/>
              </w:rPr>
              <w:t xml:space="preserve">(unidentified) </w:t>
            </w:r>
            <w:r w:rsidRPr="00785FB4">
              <w:rPr>
                <w:lang w:val="en-GB"/>
              </w:rPr>
              <w:t xml:space="preserve">mining licenses awarded in the period under review, but does not clarify </w:t>
            </w:r>
            <w:r w:rsidR="000C45E3" w:rsidRPr="00785FB4">
              <w:rPr>
                <w:lang w:val="en-GB"/>
              </w:rPr>
              <w:t xml:space="preserve">the procedures followed for their award in practice. It is unclear </w:t>
            </w:r>
            <w:r w:rsidRPr="00785FB4">
              <w:rPr>
                <w:lang w:val="en-GB"/>
              </w:rPr>
              <w:t>whether any mining licenses</w:t>
            </w:r>
            <w:r w:rsidR="000C45E3" w:rsidRPr="00785FB4">
              <w:rPr>
                <w:lang w:val="en-GB"/>
              </w:rPr>
              <w:t xml:space="preserve"> were transferred in this period.</w:t>
            </w:r>
            <w:r w:rsidRPr="00785FB4">
              <w:rPr>
                <w:lang w:val="en-GB"/>
              </w:rPr>
              <w:t xml:space="preserve"> The report provides general descriptions of the process for awarding mining licenses and hydrocarbons contracts through competitive bidding, but not </w:t>
            </w:r>
            <w:r w:rsidR="000C45E3" w:rsidRPr="00785FB4">
              <w:rPr>
                <w:lang w:val="en-GB"/>
              </w:rPr>
              <w:t>of the process for transfer licenses.</w:t>
            </w:r>
            <w:r w:rsidRPr="00785FB4">
              <w:rPr>
                <w:lang w:val="en-GB"/>
              </w:rPr>
              <w:t xml:space="preserve"> The report only refers to the existence of bid criteria for license awards, it does not describe technical and financial criteria nor provide guidance on accessing bid criteria and a list of unsuccessful bidders for the 30 mining licenses awarded in 2014-15.</w:t>
            </w:r>
            <w:r w:rsidR="000C45E3" w:rsidRPr="00785FB4">
              <w:rPr>
                <w:lang w:val="en-GB"/>
              </w:rPr>
              <w:t xml:space="preserve"> While the report does not clearly state whether any hydrocarbons contracts were awarded or </w:t>
            </w:r>
            <w:r w:rsidR="000C45E3" w:rsidRPr="00785FB4">
              <w:rPr>
                <w:lang w:val="en-GB"/>
              </w:rPr>
              <w:lastRenderedPageBreak/>
              <w:t>transferred in 2014-15, there is no indication of any award or transfer of oil and gas licenses in the period under review.</w:t>
            </w:r>
          </w:p>
        </w:tc>
        <w:tc>
          <w:tcPr>
            <w:tcW w:w="2119" w:type="dxa"/>
            <w:vAlign w:val="center"/>
          </w:tcPr>
          <w:p w14:paraId="13D24663" w14:textId="3F1FAA98" w:rsidR="00F425D1" w:rsidRPr="00785FB4" w:rsidRDefault="00EF4B37" w:rsidP="00D8510F">
            <w:pPr>
              <w:pStyle w:val="Tabletext"/>
              <w:rPr>
                <w:lang w:val="en-GB"/>
              </w:rPr>
            </w:pPr>
            <w:r w:rsidRPr="00785FB4">
              <w:rPr>
                <w:lang w:val="en-GB"/>
              </w:rPr>
              <w:lastRenderedPageBreak/>
              <w:t>Inadequate progress</w:t>
            </w:r>
          </w:p>
        </w:tc>
      </w:tr>
      <w:tr w:rsidR="00EF4B37" w:rsidRPr="00785FB4" w14:paraId="09345DD9" w14:textId="77777777" w:rsidTr="007369FB">
        <w:tc>
          <w:tcPr>
            <w:tcW w:w="2128" w:type="dxa"/>
            <w:shd w:val="clear" w:color="auto" w:fill="auto"/>
            <w:vAlign w:val="center"/>
          </w:tcPr>
          <w:p w14:paraId="16492D0A" w14:textId="77777777" w:rsidR="00F425D1" w:rsidRPr="00785FB4" w:rsidRDefault="00F425D1" w:rsidP="00D8510F">
            <w:pPr>
              <w:pStyle w:val="Tabletext"/>
              <w:rPr>
                <w:lang w:val="en-GB"/>
              </w:rPr>
            </w:pPr>
            <w:r w:rsidRPr="00785FB4">
              <w:rPr>
                <w:lang w:val="en-GB"/>
              </w:rPr>
              <w:t>License registers (#2.3)</w:t>
            </w:r>
          </w:p>
        </w:tc>
        <w:tc>
          <w:tcPr>
            <w:tcW w:w="5130" w:type="dxa"/>
            <w:shd w:val="clear" w:color="auto" w:fill="auto"/>
            <w:vAlign w:val="center"/>
          </w:tcPr>
          <w:p w14:paraId="24AC7202" w14:textId="3146DB75" w:rsidR="00F425D1" w:rsidRPr="00785FB4" w:rsidRDefault="00EF4B37" w:rsidP="00D8510F">
            <w:pPr>
              <w:pStyle w:val="Tabletext"/>
              <w:rPr>
                <w:lang w:val="en-GB"/>
              </w:rPr>
            </w:pPr>
            <w:r w:rsidRPr="00785FB4">
              <w:rPr>
                <w:lang w:val="en-GB"/>
              </w:rPr>
              <w:t xml:space="preserve">The 2014-15 EITI Report highlights inconsistencies between two mining license registers </w:t>
            </w:r>
            <w:r w:rsidR="000C45E3" w:rsidRPr="00785FB4">
              <w:rPr>
                <w:lang w:val="en-GB"/>
              </w:rPr>
              <w:t xml:space="preserve">sourced from the </w:t>
            </w:r>
            <w:r w:rsidR="00DB56BA" w:rsidRPr="00785FB4">
              <w:rPr>
                <w:lang w:val="en-GB"/>
              </w:rPr>
              <w:t>MOMP</w:t>
            </w:r>
            <w:r w:rsidRPr="00785FB4">
              <w:rPr>
                <w:lang w:val="en-GB"/>
              </w:rPr>
              <w:t xml:space="preserve">, but only provides </w:t>
            </w:r>
            <w:r w:rsidR="000C45E3" w:rsidRPr="00785FB4">
              <w:rPr>
                <w:lang w:val="en-GB"/>
              </w:rPr>
              <w:t>a fraction</w:t>
            </w:r>
            <w:r w:rsidRPr="00785FB4">
              <w:rPr>
                <w:lang w:val="en-GB"/>
              </w:rPr>
              <w:t xml:space="preserve"> of the information mandated by Requirement 2.3.b. While the </w:t>
            </w:r>
            <w:r w:rsidR="00DB56BA" w:rsidRPr="00785FB4">
              <w:rPr>
                <w:lang w:val="en-GB"/>
              </w:rPr>
              <w:t>MOMP</w:t>
            </w:r>
            <w:r w:rsidR="000C45E3" w:rsidRPr="00785FB4">
              <w:rPr>
                <w:lang w:val="en-GB"/>
              </w:rPr>
              <w:t xml:space="preserve"> published over 1000 contracts on its website in November 2017, which include most information listed under Requirement 2.3.b aside from dates of application, the lack of clear categorisation of active licenses is a concern given the significant uncertainty over the comprehensiveness of license information collected by </w:t>
            </w:r>
            <w:r w:rsidR="00DB56BA" w:rsidRPr="00785FB4">
              <w:rPr>
                <w:lang w:val="en-GB"/>
              </w:rPr>
              <w:t>MOMP</w:t>
            </w:r>
            <w:r w:rsidR="000C45E3" w:rsidRPr="00785FB4">
              <w:rPr>
                <w:lang w:val="en-GB"/>
              </w:rPr>
              <w:t xml:space="preserve">. The </w:t>
            </w:r>
            <w:r w:rsidRPr="00785FB4">
              <w:rPr>
                <w:lang w:val="en-GB"/>
              </w:rPr>
              <w:t xml:space="preserve">report provides links to </w:t>
            </w:r>
            <w:r w:rsidR="000C45E3" w:rsidRPr="00785FB4">
              <w:rPr>
                <w:lang w:val="en-GB"/>
              </w:rPr>
              <w:t xml:space="preserve">the </w:t>
            </w:r>
            <w:r w:rsidRPr="00785FB4">
              <w:rPr>
                <w:lang w:val="en-GB"/>
              </w:rPr>
              <w:t xml:space="preserve">three oil and gas PSCs </w:t>
            </w:r>
            <w:r w:rsidR="000C45E3" w:rsidRPr="00785FB4">
              <w:rPr>
                <w:lang w:val="en-GB"/>
              </w:rPr>
              <w:t>awarded to date and</w:t>
            </w:r>
            <w:r w:rsidRPr="00785FB4">
              <w:rPr>
                <w:lang w:val="en-GB"/>
              </w:rPr>
              <w:t xml:space="preserve"> accessible on the </w:t>
            </w:r>
            <w:r w:rsidR="00DB56BA" w:rsidRPr="00785FB4">
              <w:rPr>
                <w:lang w:val="en-GB"/>
              </w:rPr>
              <w:t>MOMP</w:t>
            </w:r>
            <w:r w:rsidRPr="00785FB4">
              <w:rPr>
                <w:lang w:val="en-GB"/>
              </w:rPr>
              <w:t xml:space="preserve"> website, which include all information mandated under Requirement 2.3.b</w:t>
            </w:r>
            <w:r w:rsidR="000C45E3" w:rsidRPr="00785FB4">
              <w:rPr>
                <w:lang w:val="en-GB"/>
              </w:rPr>
              <w:t xml:space="preserve"> aside from dates of application.</w:t>
            </w:r>
          </w:p>
        </w:tc>
        <w:tc>
          <w:tcPr>
            <w:tcW w:w="2119" w:type="dxa"/>
            <w:vAlign w:val="center"/>
          </w:tcPr>
          <w:p w14:paraId="069E7D2A" w14:textId="776166B6" w:rsidR="00F425D1" w:rsidRPr="00785FB4" w:rsidRDefault="00EF4B37" w:rsidP="00D8510F">
            <w:pPr>
              <w:pStyle w:val="Tabletext"/>
              <w:rPr>
                <w:lang w:val="en-GB"/>
              </w:rPr>
            </w:pPr>
            <w:r w:rsidRPr="00785FB4">
              <w:rPr>
                <w:lang w:val="en-GB"/>
              </w:rPr>
              <w:t>Inadequate progress</w:t>
            </w:r>
          </w:p>
        </w:tc>
      </w:tr>
      <w:tr w:rsidR="00EF4B37" w:rsidRPr="00785FB4" w14:paraId="446A967A" w14:textId="77777777" w:rsidTr="007369FB">
        <w:tc>
          <w:tcPr>
            <w:tcW w:w="2128" w:type="dxa"/>
            <w:shd w:val="clear" w:color="auto" w:fill="auto"/>
            <w:vAlign w:val="center"/>
          </w:tcPr>
          <w:p w14:paraId="3900FA0A" w14:textId="77777777" w:rsidR="00F425D1" w:rsidRPr="00785FB4" w:rsidRDefault="00F425D1" w:rsidP="00D8510F">
            <w:pPr>
              <w:pStyle w:val="Tabletext"/>
              <w:rPr>
                <w:lang w:val="en-GB"/>
              </w:rPr>
            </w:pPr>
            <w:r w:rsidRPr="00785FB4">
              <w:rPr>
                <w:lang w:val="en-GB"/>
              </w:rPr>
              <w:t>Contract disclosures (#2.4)</w:t>
            </w:r>
          </w:p>
        </w:tc>
        <w:tc>
          <w:tcPr>
            <w:tcW w:w="5130" w:type="dxa"/>
            <w:shd w:val="clear" w:color="auto" w:fill="auto"/>
            <w:vAlign w:val="center"/>
          </w:tcPr>
          <w:p w14:paraId="758531EA" w14:textId="201A1BC9" w:rsidR="00F425D1" w:rsidRPr="00785FB4" w:rsidRDefault="00EF4B37" w:rsidP="00D8510F">
            <w:pPr>
              <w:pStyle w:val="Tabletext"/>
              <w:rPr>
                <w:lang w:val="en-GB"/>
              </w:rPr>
            </w:pPr>
            <w:r w:rsidRPr="00785FB4">
              <w:rPr>
                <w:lang w:val="en-GB"/>
              </w:rPr>
              <w:t>The 2014-15 EITI Report clarifies the government’s policy for contract disclosure in the mining sector and documents actual disclosure practice and accessibility of contracts in the mining, oil and gas sectors. While the report does not clarify the government’s policy on contract disclosure in the oil and gas sector, it can be inferred that the government’s pro-disclosure policy covers both mining and oil and gas contracts</w:t>
            </w:r>
            <w:r w:rsidR="00527318" w:rsidRPr="00785FB4">
              <w:rPr>
                <w:lang w:val="en-GB"/>
              </w:rPr>
              <w:t xml:space="preserve"> given the publication of all oil and gas contracts</w:t>
            </w:r>
            <w:r w:rsidRPr="00785FB4">
              <w:rPr>
                <w:lang w:val="en-GB"/>
              </w:rPr>
              <w:t>.</w:t>
            </w:r>
            <w:r w:rsidR="00B421A5" w:rsidRPr="00785FB4">
              <w:rPr>
                <w:lang w:val="en-GB"/>
              </w:rPr>
              <w:t xml:space="preserve"> In the Secretariat’s view, Afghanistan has also gone beyond the minimum requirements by making contracts public as encouraged by the EITI Standard.</w:t>
            </w:r>
          </w:p>
        </w:tc>
        <w:tc>
          <w:tcPr>
            <w:tcW w:w="2119" w:type="dxa"/>
            <w:tcBorders>
              <w:bottom w:val="single" w:sz="4" w:space="0" w:color="auto"/>
            </w:tcBorders>
            <w:vAlign w:val="center"/>
          </w:tcPr>
          <w:p w14:paraId="11D8C783" w14:textId="2BB88FD7" w:rsidR="00F425D1" w:rsidRPr="00785FB4" w:rsidRDefault="00EF4B37" w:rsidP="00D8510F">
            <w:pPr>
              <w:pStyle w:val="Tabletext"/>
              <w:rPr>
                <w:lang w:val="en-GB"/>
              </w:rPr>
            </w:pPr>
            <w:r w:rsidRPr="00785FB4">
              <w:rPr>
                <w:lang w:val="en-GB"/>
              </w:rPr>
              <w:t>Satisfactory progress</w:t>
            </w:r>
            <w:r w:rsidR="00B421A5" w:rsidRPr="00785FB4">
              <w:rPr>
                <w:lang w:val="en-GB"/>
              </w:rPr>
              <w:t xml:space="preserve"> (beyond)</w:t>
            </w:r>
          </w:p>
        </w:tc>
      </w:tr>
      <w:tr w:rsidR="00EF4B37" w:rsidRPr="00785FB4" w14:paraId="33FC2459" w14:textId="77777777" w:rsidTr="007369FB">
        <w:tc>
          <w:tcPr>
            <w:tcW w:w="2128" w:type="dxa"/>
            <w:shd w:val="clear" w:color="auto" w:fill="auto"/>
            <w:vAlign w:val="center"/>
          </w:tcPr>
          <w:p w14:paraId="481B8E67" w14:textId="77777777" w:rsidR="00E0305D" w:rsidRPr="00785FB4" w:rsidRDefault="00E0305D" w:rsidP="00D8510F">
            <w:pPr>
              <w:pStyle w:val="Tabletext"/>
              <w:rPr>
                <w:lang w:val="en-GB"/>
              </w:rPr>
            </w:pPr>
            <w:r w:rsidRPr="00785FB4">
              <w:rPr>
                <w:lang w:val="en-GB"/>
              </w:rPr>
              <w:t>Beneficial ownership disclosure (#2.5)</w:t>
            </w:r>
          </w:p>
        </w:tc>
        <w:tc>
          <w:tcPr>
            <w:tcW w:w="5130" w:type="dxa"/>
            <w:shd w:val="clear" w:color="auto" w:fill="auto"/>
            <w:vAlign w:val="center"/>
          </w:tcPr>
          <w:p w14:paraId="6432D537" w14:textId="4A012D2F" w:rsidR="00E0305D" w:rsidRPr="00785FB4" w:rsidRDefault="00EF4B37" w:rsidP="00D8510F">
            <w:pPr>
              <w:pStyle w:val="Tabletext"/>
              <w:rPr>
                <w:lang w:val="en-GB"/>
              </w:rPr>
            </w:pPr>
            <w:r w:rsidRPr="00785FB4">
              <w:rPr>
                <w:lang w:val="en-GB"/>
              </w:rPr>
              <w:t>Afghanistan has made some progress in agreeing a three-year beneficial ownership roadmap, even if beneficial ownership reporting has yet to begin. While the ACBR provides information on legal owners of some extractives companies, there are gaps in information on shareholding of all material companies.</w:t>
            </w:r>
          </w:p>
        </w:tc>
        <w:tc>
          <w:tcPr>
            <w:tcW w:w="2119" w:type="dxa"/>
            <w:shd w:val="clear" w:color="auto" w:fill="BFBFBF" w:themeFill="background1" w:themeFillShade="BF"/>
            <w:vAlign w:val="center"/>
          </w:tcPr>
          <w:p w14:paraId="0D2A89FB" w14:textId="08BFCF38" w:rsidR="00E0305D" w:rsidRPr="00785FB4" w:rsidRDefault="00E0305D" w:rsidP="00D8510F">
            <w:pPr>
              <w:pStyle w:val="Tabletext"/>
              <w:rPr>
                <w:lang w:val="en-GB"/>
              </w:rPr>
            </w:pPr>
          </w:p>
        </w:tc>
      </w:tr>
      <w:tr w:rsidR="00EF4B37" w:rsidRPr="00785FB4" w14:paraId="72A0C0DD" w14:textId="77777777" w:rsidTr="007369FB">
        <w:tc>
          <w:tcPr>
            <w:tcW w:w="2128" w:type="dxa"/>
            <w:shd w:val="clear" w:color="auto" w:fill="auto"/>
            <w:vAlign w:val="center"/>
          </w:tcPr>
          <w:p w14:paraId="6B0B2CB7" w14:textId="77777777" w:rsidR="00E0305D" w:rsidRPr="00785FB4" w:rsidRDefault="00E0305D" w:rsidP="00D8510F">
            <w:pPr>
              <w:pStyle w:val="Tabletext"/>
              <w:rPr>
                <w:lang w:val="en-GB"/>
              </w:rPr>
            </w:pPr>
            <w:r w:rsidRPr="00785FB4">
              <w:rPr>
                <w:lang w:val="en-GB"/>
              </w:rPr>
              <w:t>State-participation (#2.6)</w:t>
            </w:r>
          </w:p>
        </w:tc>
        <w:tc>
          <w:tcPr>
            <w:tcW w:w="5130" w:type="dxa"/>
            <w:shd w:val="clear" w:color="auto" w:fill="auto"/>
            <w:vAlign w:val="center"/>
          </w:tcPr>
          <w:p w14:paraId="26BF6623" w14:textId="79331A0A" w:rsidR="00E0305D" w:rsidRPr="00785FB4" w:rsidRDefault="00EF4B37" w:rsidP="00D8510F">
            <w:pPr>
              <w:pStyle w:val="Tabletext"/>
              <w:rPr>
                <w:lang w:val="en-GB"/>
              </w:rPr>
            </w:pPr>
            <w:r w:rsidRPr="00785FB4">
              <w:rPr>
                <w:lang w:val="en-GB"/>
              </w:rPr>
              <w:t xml:space="preserve">The 2014-15 EITI Report lists two SOEs in the extractive industries, but does not describe the level of state ownership, terms associated with state equity nor any changes in state ownership in the years under review. The report does not </w:t>
            </w:r>
            <w:r w:rsidRPr="00785FB4">
              <w:rPr>
                <w:lang w:val="en-GB"/>
              </w:rPr>
              <w:lastRenderedPageBreak/>
              <w:t>describe statutory financial relations between the two SOEs and the state, nor any deviations in practice</w:t>
            </w:r>
            <w:r w:rsidR="00527318" w:rsidRPr="00785FB4">
              <w:rPr>
                <w:lang w:val="en-GB"/>
              </w:rPr>
              <w:t xml:space="preserve"> beyond a description of SOEs’ weak accounting systems.</w:t>
            </w:r>
            <w:r w:rsidRPr="00785FB4">
              <w:rPr>
                <w:lang w:val="en-GB"/>
              </w:rPr>
              <w:t xml:space="preserve"> While there is evidence that the MSG requested details of loan repayments and interest on loans from the two SOEs, the report does not categorically state whether any loans or loan guarantees from the state or SOEs to extractives companies existed in the years under review.</w:t>
            </w:r>
          </w:p>
        </w:tc>
        <w:tc>
          <w:tcPr>
            <w:tcW w:w="2119" w:type="dxa"/>
            <w:shd w:val="clear" w:color="auto" w:fill="FFFFFF"/>
            <w:vAlign w:val="center"/>
          </w:tcPr>
          <w:p w14:paraId="17BE17B9" w14:textId="2EFC35BB" w:rsidR="00E0305D" w:rsidRPr="00785FB4" w:rsidRDefault="00EF4B37" w:rsidP="00D8510F">
            <w:pPr>
              <w:pStyle w:val="Tabletext"/>
              <w:rPr>
                <w:lang w:val="en-GB"/>
              </w:rPr>
            </w:pPr>
            <w:r w:rsidRPr="00785FB4">
              <w:rPr>
                <w:lang w:val="en-GB"/>
              </w:rPr>
              <w:lastRenderedPageBreak/>
              <w:t>Inadequate progress</w:t>
            </w:r>
          </w:p>
        </w:tc>
      </w:tr>
      <w:tr w:rsidR="00E0305D" w:rsidRPr="00785FB4" w14:paraId="2130C11B" w14:textId="77777777" w:rsidTr="00FB14C1">
        <w:tc>
          <w:tcPr>
            <w:tcW w:w="0" w:type="auto"/>
            <w:gridSpan w:val="3"/>
            <w:shd w:val="clear" w:color="auto" w:fill="FFFFFF"/>
            <w:vAlign w:val="center"/>
          </w:tcPr>
          <w:p w14:paraId="1C13C204" w14:textId="7DFC0834" w:rsidR="00E0305D" w:rsidRPr="00785FB4" w:rsidRDefault="00E0305D" w:rsidP="00D8510F">
            <w:pPr>
              <w:pStyle w:val="Tabletext"/>
              <w:rPr>
                <w:lang w:val="en-GB"/>
              </w:rPr>
            </w:pPr>
            <w:r w:rsidRPr="00785FB4">
              <w:rPr>
                <w:lang w:val="en-GB"/>
              </w:rPr>
              <w:t>Secretariat’s recommendations:</w:t>
            </w:r>
          </w:p>
          <w:p w14:paraId="02AE6CC2" w14:textId="6518C3A6" w:rsidR="00D7536B" w:rsidRPr="00785FB4" w:rsidRDefault="004E3443" w:rsidP="00F72955">
            <w:pPr>
              <w:pStyle w:val="ListParagraph"/>
              <w:numPr>
                <w:ilvl w:val="0"/>
                <w:numId w:val="40"/>
              </w:numPr>
              <w:rPr>
                <w:rFonts w:eastAsia="Calibri"/>
              </w:rPr>
            </w:pPr>
            <w:r w:rsidRPr="00785FB4">
              <w:t>To strengthen implementation, Afghanistan is encouraged to ensure that comprehensive review of reforms in the mining, oil and gas sectors are publicly documented and that the role of all government agencies and their division of responsibilities is clearly explained. Afghanistan may wish to use annual EITI reporting to analyse the implementation of recent regulatory reforms as a regular diagnostic on which further reforms can be based.</w:t>
            </w:r>
          </w:p>
          <w:p w14:paraId="4D8A0CE8" w14:textId="6954AB46" w:rsidR="00D7536B" w:rsidRPr="00785FB4" w:rsidRDefault="004E3443" w:rsidP="00F72955">
            <w:pPr>
              <w:pStyle w:val="ListParagraph"/>
              <w:numPr>
                <w:ilvl w:val="0"/>
                <w:numId w:val="40"/>
              </w:numPr>
              <w:rPr>
                <w:rFonts w:eastAsia="Calibri"/>
              </w:rPr>
            </w:pPr>
            <w:r w:rsidRPr="00785FB4">
              <w:t>In accordance with Requirement 2.2, Afghanistan should ensure that the number of licenses awarded and transferred in the year(s) under review in both mining and oil and gas be publicly accessible, alongside a description of the actual allocation and transfer process (including the roles of relevant government entities) and any non-trivial deviations from statutory procedures in practice. Afghanistan should clarify the technical and financial criteria (and their weightings) used for assessing license allocations and transfers. Afghanistan may also wish to comment on the efficiency of the current license allocation and transfer system as a means of clarifying procedures and curbing non-trivial deviations.</w:t>
            </w:r>
          </w:p>
          <w:p w14:paraId="3AF37D98" w14:textId="497B61AA" w:rsidR="00D7536B" w:rsidRPr="00785FB4" w:rsidRDefault="004E3443" w:rsidP="00F72955">
            <w:pPr>
              <w:pStyle w:val="ListParagraph"/>
              <w:numPr>
                <w:ilvl w:val="0"/>
                <w:numId w:val="40"/>
              </w:numPr>
              <w:rPr>
                <w:rFonts w:eastAsia="Calibri"/>
              </w:rPr>
            </w:pPr>
            <w:r w:rsidRPr="00785FB4">
              <w:t xml:space="preserve">In accordance with Requirement 2.3, Afghanistan should maintain a publicly available register or cadastre system with timely and comprehensive information on all mining, oil and gas licenses including license-holder name, dates of application, award and expiry, commodity(ies) covered and coordinates. The MSG should work with the </w:t>
            </w:r>
            <w:r w:rsidR="00DB56BA" w:rsidRPr="00785FB4">
              <w:t>MOMP</w:t>
            </w:r>
            <w:r w:rsidRPr="00785FB4">
              <w:t xml:space="preserve"> to ensure all license information listed in Requirement 2.3.b is available for all extractives licenses active in the period under review.</w:t>
            </w:r>
          </w:p>
          <w:p w14:paraId="4975D25B" w14:textId="1D5E959F" w:rsidR="00D7536B" w:rsidRPr="00785FB4" w:rsidRDefault="004E3443" w:rsidP="00F72955">
            <w:pPr>
              <w:pStyle w:val="ListParagraph"/>
              <w:numPr>
                <w:ilvl w:val="0"/>
                <w:numId w:val="40"/>
              </w:numPr>
              <w:rPr>
                <w:rFonts w:eastAsia="Calibri"/>
              </w:rPr>
            </w:pPr>
            <w:r w:rsidRPr="00785FB4">
              <w:t xml:space="preserve">To strengthen implementation, Afghanistan is encouraged to undertake a review of published mining contracts to clearly categorise contracts and ensure that the published contracts on the </w:t>
            </w:r>
            <w:r w:rsidR="00DB56BA" w:rsidRPr="00785FB4">
              <w:t>MOMP</w:t>
            </w:r>
            <w:r w:rsidRPr="00785FB4">
              <w:t xml:space="preserve"> website are regularly updated.</w:t>
            </w:r>
          </w:p>
          <w:p w14:paraId="0200F7DD" w14:textId="07C0BA0C" w:rsidR="00D7536B" w:rsidRPr="00785FB4" w:rsidRDefault="004E3443" w:rsidP="00F72955">
            <w:pPr>
              <w:pStyle w:val="ListParagraph"/>
              <w:numPr>
                <w:ilvl w:val="0"/>
                <w:numId w:val="40"/>
              </w:numPr>
              <w:rPr>
                <w:rFonts w:eastAsia="Calibri"/>
              </w:rPr>
            </w:pPr>
            <w:r w:rsidRPr="00785FB4">
              <w:t>In order to strengthen implementation and prepare for full disclosure of beneficial ownership by 2020, it is recommended that AEITI considers piloting beneficial ownership reporting in the forthcoming EITI Report in order to increase awareness of beneficial ownership transparency and pilot beneficial ownership definitions and thresholds. Afghanistan may also wish to conduct broader outreach to the companies on the objectives of beneficial ownership transparency, as well as hold conversations with government agencies on how to make such disclosures mandatory.</w:t>
            </w:r>
          </w:p>
          <w:p w14:paraId="57382D5A" w14:textId="310767A0" w:rsidR="00E0305D" w:rsidRPr="00785FB4" w:rsidRDefault="004E3443" w:rsidP="00F72955">
            <w:pPr>
              <w:pStyle w:val="ListParagraph"/>
              <w:numPr>
                <w:ilvl w:val="0"/>
                <w:numId w:val="40"/>
              </w:numPr>
            </w:pPr>
            <w:r w:rsidRPr="00785FB4">
              <w:t xml:space="preserve">In accordance with Requirement 2.6, Afghanistan should provide an explanation of the prevailing rules and practices related to SOEs’ retained earnings, reinvestment and third-party financing. The government should also ensure annual disclosure of any changes in government ownership in SOEs or their subsidiaries, and provide a comprehensive account of any loans or loan guarantees extended by the state or SOEs to mining, oil, and gas companies. </w:t>
            </w:r>
            <w:r w:rsidRPr="00785FB4">
              <w:lastRenderedPageBreak/>
              <w:t xml:space="preserve">AEITI may wish to align reporting with the government’s corporatisation strategy for the two extractives SOEs with a view to providing annual diagnostics to support reforms. As a first step and in the absence of publicly available information on the SOEs, AEITI may also wish to pursue the publication of existing studies of SOEs that have been conducted for the </w:t>
            </w:r>
            <w:r w:rsidR="00DB56BA" w:rsidRPr="00785FB4">
              <w:t>MOF</w:t>
            </w:r>
            <w:r w:rsidRPr="00785FB4">
              <w:t xml:space="preserve"> and </w:t>
            </w:r>
            <w:r w:rsidR="00DB56BA" w:rsidRPr="00785FB4">
              <w:t>MOMP</w:t>
            </w:r>
            <w:r w:rsidRPr="00785FB4">
              <w:t xml:space="preserve"> but that are not currently available to the public.</w:t>
            </w:r>
          </w:p>
        </w:tc>
      </w:tr>
    </w:tbl>
    <w:p w14:paraId="46999B57" w14:textId="58F3A210" w:rsidR="000722F1" w:rsidRPr="00785FB4" w:rsidRDefault="000722F1" w:rsidP="00A94167">
      <w:pPr>
        <w:pStyle w:val="Heading2"/>
        <w:numPr>
          <w:ilvl w:val="0"/>
          <w:numId w:val="4"/>
        </w:numPr>
      </w:pPr>
      <w:bookmarkStart w:id="255" w:name="_Toc459133119"/>
      <w:bookmarkStart w:id="256" w:name="_Toc461803068"/>
      <w:bookmarkStart w:id="257" w:name="_Toc461787331"/>
      <w:bookmarkStart w:id="258" w:name="_Toc461795843"/>
      <w:bookmarkStart w:id="259" w:name="_Toc505449616"/>
      <w:bookmarkStart w:id="260" w:name="_Toc505449793"/>
      <w:r w:rsidRPr="00785FB4">
        <w:lastRenderedPageBreak/>
        <w:t>Monitoring and production</w:t>
      </w:r>
      <w:bookmarkEnd w:id="255"/>
      <w:bookmarkEnd w:id="256"/>
      <w:bookmarkEnd w:id="257"/>
      <w:bookmarkEnd w:id="258"/>
      <w:bookmarkEnd w:id="259"/>
      <w:bookmarkEnd w:id="260"/>
      <w:r w:rsidRPr="00785FB4">
        <w:t xml:space="preserve"> </w:t>
      </w:r>
    </w:p>
    <w:p w14:paraId="0DE92D34" w14:textId="00CB0F9D" w:rsidR="00C4408F" w:rsidRPr="00785FB4" w:rsidRDefault="00E66A26" w:rsidP="00A94167">
      <w:pPr>
        <w:pStyle w:val="Heading2notindexed"/>
      </w:pPr>
      <w:bookmarkStart w:id="261" w:name="_Toc459133120"/>
      <w:bookmarkStart w:id="262" w:name="_Toc461803069"/>
      <w:bookmarkStart w:id="263" w:name="_Toc461787332"/>
      <w:bookmarkStart w:id="264" w:name="_Toc461795844"/>
      <w:bookmarkStart w:id="265" w:name="_Toc505449617"/>
      <w:bookmarkStart w:id="266" w:name="_Toc505449794"/>
      <w:r w:rsidRPr="00785FB4">
        <w:t xml:space="preserve">3.1 </w:t>
      </w:r>
      <w:r w:rsidR="000722F1" w:rsidRPr="00785FB4">
        <w:t>Overview</w:t>
      </w:r>
      <w:bookmarkEnd w:id="261"/>
      <w:bookmarkEnd w:id="262"/>
      <w:bookmarkEnd w:id="263"/>
      <w:bookmarkEnd w:id="264"/>
      <w:bookmarkEnd w:id="265"/>
      <w:bookmarkEnd w:id="266"/>
    </w:p>
    <w:p w14:paraId="4577DA24" w14:textId="77777777" w:rsidR="000722F1" w:rsidRPr="00785FB4" w:rsidRDefault="00C4408F" w:rsidP="000722F1">
      <w:pPr>
        <w:spacing w:before="120"/>
      </w:pPr>
      <w:r w:rsidRPr="00785FB4">
        <w:t>This section provides details on the implementation of the EITI requirements related to exploration, production and exports.</w:t>
      </w:r>
    </w:p>
    <w:p w14:paraId="21F85E0A" w14:textId="76C227E0" w:rsidR="000722F1" w:rsidRPr="00785FB4" w:rsidRDefault="00E66A26" w:rsidP="00A94167">
      <w:pPr>
        <w:pStyle w:val="Heading2notindexed"/>
      </w:pPr>
      <w:bookmarkStart w:id="267" w:name="_Toc459133121"/>
      <w:bookmarkStart w:id="268" w:name="_Toc461803070"/>
      <w:bookmarkStart w:id="269" w:name="_Toc461787333"/>
      <w:bookmarkStart w:id="270" w:name="_Toc461795845"/>
      <w:bookmarkStart w:id="271" w:name="_Toc505449618"/>
      <w:bookmarkStart w:id="272" w:name="_Toc505449795"/>
      <w:r w:rsidRPr="00785FB4">
        <w:t xml:space="preserve">3.2 </w:t>
      </w:r>
      <w:r w:rsidR="000722F1" w:rsidRPr="00785FB4">
        <w:t>Assessment</w:t>
      </w:r>
      <w:bookmarkEnd w:id="267"/>
      <w:bookmarkEnd w:id="268"/>
      <w:bookmarkEnd w:id="269"/>
      <w:bookmarkEnd w:id="270"/>
      <w:bookmarkEnd w:id="271"/>
      <w:bookmarkEnd w:id="272"/>
    </w:p>
    <w:p w14:paraId="503C59A2" w14:textId="1A269920" w:rsidR="000722F1" w:rsidRPr="00785FB4" w:rsidRDefault="00F7195C" w:rsidP="00A94167">
      <w:pPr>
        <w:pStyle w:val="Heading2notindexed"/>
      </w:pPr>
      <w:bookmarkStart w:id="273" w:name="_Toc459133122"/>
      <w:bookmarkStart w:id="274" w:name="_Toc461803071"/>
      <w:bookmarkStart w:id="275" w:name="_Toc461787334"/>
      <w:bookmarkStart w:id="276" w:name="_Toc461795846"/>
      <w:bookmarkStart w:id="277" w:name="_Toc505449619"/>
      <w:bookmarkStart w:id="278" w:name="_Toc505449796"/>
      <w:r w:rsidRPr="00785FB4">
        <w:t>O</w:t>
      </w:r>
      <w:r w:rsidR="000722F1" w:rsidRPr="00785FB4">
        <w:t>verview of the extractive sector, including exploration activities (#3.</w:t>
      </w:r>
      <w:r w:rsidR="007C5BEB" w:rsidRPr="00785FB4">
        <w:t>1</w:t>
      </w:r>
      <w:r w:rsidR="000722F1" w:rsidRPr="00785FB4">
        <w:t>)</w:t>
      </w:r>
      <w:bookmarkEnd w:id="273"/>
      <w:bookmarkEnd w:id="274"/>
      <w:bookmarkEnd w:id="275"/>
      <w:bookmarkEnd w:id="276"/>
      <w:bookmarkEnd w:id="277"/>
      <w:bookmarkEnd w:id="278"/>
    </w:p>
    <w:p w14:paraId="5A1034D9" w14:textId="7C5F104B" w:rsidR="00701856" w:rsidRPr="00785FB4" w:rsidRDefault="00675030" w:rsidP="00A94167">
      <w:pPr>
        <w:pStyle w:val="Heading3"/>
      </w:pPr>
      <w:bookmarkStart w:id="279" w:name="_Toc505449620"/>
      <w:r w:rsidRPr="00785FB4">
        <w:t>Documentation of progress</w:t>
      </w:r>
      <w:bookmarkEnd w:id="279"/>
      <w:r w:rsidRPr="00785FB4">
        <w:t xml:space="preserve"> </w:t>
      </w:r>
    </w:p>
    <w:p w14:paraId="29044FAA" w14:textId="5A36ED29" w:rsidR="00B97E0F" w:rsidRPr="00785FB4" w:rsidRDefault="00630CB5" w:rsidP="00630CB5">
      <w:pPr>
        <w:spacing w:before="120"/>
      </w:pPr>
      <w:r w:rsidRPr="00785FB4">
        <w:rPr>
          <w:bCs/>
        </w:rPr>
        <w:t xml:space="preserve">The 2014-15 EITI Report </w:t>
      </w:r>
      <w:r w:rsidR="00B97E0F" w:rsidRPr="00785FB4">
        <w:t>provides an overview of the mining, oil and gas sectors including significant explo</w:t>
      </w:r>
      <w:r w:rsidRPr="00785FB4">
        <w:t>ration activities</w:t>
      </w:r>
      <w:r w:rsidR="00B97E0F" w:rsidRPr="00785FB4">
        <w:t xml:space="preserve"> for oil and gas</w:t>
      </w:r>
      <w:r w:rsidR="005317D7" w:rsidRPr="00785FB4">
        <w:t xml:space="preserve"> </w:t>
      </w:r>
      <w:r w:rsidRPr="00785FB4">
        <w:t>(pp.7-9)</w:t>
      </w:r>
      <w:r w:rsidR="00B97E0F" w:rsidRPr="00785FB4">
        <w:t xml:space="preserve">. </w:t>
      </w:r>
      <w:r w:rsidR="005317D7" w:rsidRPr="00785FB4">
        <w:t>Although exploration activities for mining are not</w:t>
      </w:r>
      <w:r w:rsidR="00967B4E" w:rsidRPr="00785FB4">
        <w:t xml:space="preserve"> explicitly</w:t>
      </w:r>
      <w:r w:rsidR="005317D7" w:rsidRPr="00785FB4">
        <w:t xml:space="preserve"> included, </w:t>
      </w:r>
      <w:r w:rsidRPr="00785FB4">
        <w:t xml:space="preserve">a description of the USAID-supported 2014-2017 Mining Investment and Development for Afghanistan Sustainability (MIDAS) project is provided, which includes an overview of a granite drilling programme and geological studies </w:t>
      </w:r>
      <w:r w:rsidR="00B97E0F" w:rsidRPr="00785FB4">
        <w:t>(p.37)</w:t>
      </w:r>
      <w:r w:rsidRPr="00785FB4">
        <w:t>.</w:t>
      </w:r>
      <w:r w:rsidR="00B97E0F" w:rsidRPr="00785FB4">
        <w:t xml:space="preserve"> </w:t>
      </w:r>
      <w:r w:rsidRPr="00785FB4">
        <w:t>The report also refers to</w:t>
      </w:r>
      <w:r w:rsidR="009351E0" w:rsidRPr="00785FB4">
        <w:t xml:space="preserve"> the US Geological Survey’s descriptions of artisanal mining of aluminium, barite, gold, lapis-lazuli, sand, gravel and talc (p.7), and to</w:t>
      </w:r>
      <w:r w:rsidRPr="00785FB4">
        <w:t xml:space="preserve"> a GiZ report on </w:t>
      </w:r>
      <w:r w:rsidR="00237892" w:rsidRPr="00785FB4">
        <w:t>extractives information systems that covers revenues from artisanal and small-scale mining (ASM)</w:t>
      </w:r>
      <w:r w:rsidRPr="00785FB4">
        <w:t xml:space="preserve"> (p.78), which is provided </w:t>
      </w:r>
      <w:r w:rsidR="00237892" w:rsidRPr="00785FB4">
        <w:t xml:space="preserve">in Appendix 9.4 (a/pp.217-241). </w:t>
      </w:r>
    </w:p>
    <w:p w14:paraId="6BBFB834" w14:textId="2411F998" w:rsidR="00AC3CE6" w:rsidRPr="00785FB4" w:rsidRDefault="00675030" w:rsidP="00A94167">
      <w:pPr>
        <w:pStyle w:val="Heading3"/>
      </w:pPr>
      <w:bookmarkStart w:id="280" w:name="_Toc505449621"/>
      <w:r w:rsidRPr="00785FB4">
        <w:t>Stakeholder views</w:t>
      </w:r>
      <w:bookmarkEnd w:id="280"/>
      <w:r w:rsidRPr="00785FB4">
        <w:t xml:space="preserve"> </w:t>
      </w:r>
    </w:p>
    <w:p w14:paraId="3B2C2650" w14:textId="11B89C7B" w:rsidR="00630CB5" w:rsidRPr="00785FB4" w:rsidRDefault="00D00416" w:rsidP="00630CB5">
      <w:pPr>
        <w:rPr>
          <w:bCs/>
        </w:rPr>
      </w:pPr>
      <w:r w:rsidRPr="00785FB4">
        <w:rPr>
          <w:bCs/>
        </w:rPr>
        <w:t>Stakeholders did not express any particular views on the comprehensiveness of the coverage of extractive industries and exploration activities in the AEITI Reports</w:t>
      </w:r>
      <w:r w:rsidR="00967B4E" w:rsidRPr="00785FB4">
        <w:rPr>
          <w:bCs/>
        </w:rPr>
        <w:t>, other than to highlight the challenge posed by extensive, uncontrolled mineral production</w:t>
      </w:r>
      <w:r w:rsidRPr="00785FB4">
        <w:rPr>
          <w:bCs/>
        </w:rPr>
        <w:t xml:space="preserve">. </w:t>
      </w:r>
      <w:r w:rsidR="00630CB5" w:rsidRPr="00785FB4">
        <w:rPr>
          <w:bCs/>
        </w:rPr>
        <w:t xml:space="preserve">The May 2017 AEITI organisational </w:t>
      </w:r>
      <w:r w:rsidRPr="00785FB4">
        <w:rPr>
          <w:bCs/>
        </w:rPr>
        <w:t>review</w:t>
      </w:r>
      <w:r w:rsidR="00630CB5" w:rsidRPr="00785FB4">
        <w:rPr>
          <w:bCs/>
        </w:rPr>
        <w:t xml:space="preserve"> </w:t>
      </w:r>
      <w:r w:rsidR="00237892" w:rsidRPr="00785FB4">
        <w:rPr>
          <w:bCs/>
        </w:rPr>
        <w:t xml:space="preserve">highlighted the </w:t>
      </w:r>
      <w:r w:rsidR="00DB56BA" w:rsidRPr="00785FB4">
        <w:rPr>
          <w:bCs/>
        </w:rPr>
        <w:t>MOMP</w:t>
      </w:r>
      <w:r w:rsidR="00237892" w:rsidRPr="00785FB4">
        <w:rPr>
          <w:bCs/>
        </w:rPr>
        <w:t>’s lack of information on ASM</w:t>
      </w:r>
      <w:r w:rsidR="00967B4E" w:rsidRPr="00785FB4">
        <w:rPr>
          <w:bCs/>
        </w:rPr>
        <w:t xml:space="preserve"> </w:t>
      </w:r>
      <w:r w:rsidR="00237892" w:rsidRPr="00785FB4">
        <w:rPr>
          <w:bCs/>
        </w:rPr>
        <w:t>and describe</w:t>
      </w:r>
      <w:r w:rsidR="00967B4E" w:rsidRPr="00785FB4">
        <w:rPr>
          <w:bCs/>
        </w:rPr>
        <w:t>d</w:t>
      </w:r>
      <w:r w:rsidR="00237892" w:rsidRPr="00785FB4">
        <w:rPr>
          <w:bCs/>
        </w:rPr>
        <w:t xml:space="preserve"> the MSG’s intent to incorporate revenues from ASM in the scope of EITI reporting.</w:t>
      </w:r>
      <w:r w:rsidR="00630CB5" w:rsidRPr="00785FB4">
        <w:rPr>
          <w:rStyle w:val="FootnoteReference"/>
          <w:bCs/>
        </w:rPr>
        <w:footnoteReference w:id="183"/>
      </w:r>
    </w:p>
    <w:p w14:paraId="5F158EFC" w14:textId="1076A72F" w:rsidR="00675030" w:rsidRPr="00785FB4" w:rsidRDefault="00675030" w:rsidP="00A94167">
      <w:pPr>
        <w:pStyle w:val="Heading3"/>
      </w:pPr>
      <w:bookmarkStart w:id="281" w:name="_Toc459133125"/>
      <w:bookmarkStart w:id="282" w:name="_Toc461803074"/>
      <w:bookmarkStart w:id="283" w:name="_Toc505449622"/>
      <w:r w:rsidRPr="00785FB4">
        <w:t>Initial assessment</w:t>
      </w:r>
      <w:bookmarkEnd w:id="281"/>
      <w:bookmarkEnd w:id="282"/>
      <w:bookmarkEnd w:id="283"/>
    </w:p>
    <w:p w14:paraId="3F03F0E6" w14:textId="1D4EF61A" w:rsidR="00A96C3E" w:rsidRPr="00785FB4" w:rsidRDefault="00675030" w:rsidP="00E66A26">
      <w:pPr>
        <w:spacing w:before="120"/>
      </w:pPr>
      <w:r w:rsidRPr="00785FB4">
        <w:t xml:space="preserve">The International Secretariat’s initial assessment is that </w:t>
      </w:r>
      <w:r w:rsidR="009B1522" w:rsidRPr="00785FB4">
        <w:rPr>
          <w:bCs/>
        </w:rPr>
        <w:t>Afghanistan</w:t>
      </w:r>
      <w:r w:rsidR="009B1522" w:rsidRPr="00785FB4">
        <w:t xml:space="preserve"> </w:t>
      </w:r>
      <w:r w:rsidRPr="00785FB4">
        <w:t xml:space="preserve">has made </w:t>
      </w:r>
      <w:r w:rsidR="00237892" w:rsidRPr="00785FB4">
        <w:rPr>
          <w:bCs/>
        </w:rPr>
        <w:t>satisfactory</w:t>
      </w:r>
      <w:r w:rsidR="00405360" w:rsidRPr="00785FB4">
        <w:t xml:space="preserve"> </w:t>
      </w:r>
      <w:r w:rsidRPr="00785FB4">
        <w:t xml:space="preserve">progress towards meeting this requirement. </w:t>
      </w:r>
      <w:r w:rsidR="00237892" w:rsidRPr="00785FB4">
        <w:t xml:space="preserve">The 2014-15 EITI Report </w:t>
      </w:r>
      <w:r w:rsidR="0016015E" w:rsidRPr="00785FB4">
        <w:t xml:space="preserve">provides an overview of the extractive industries, including significant exploration and informal activities. </w:t>
      </w:r>
    </w:p>
    <w:p w14:paraId="7943F2CC" w14:textId="33F1B48D" w:rsidR="0016015E" w:rsidRPr="00785FB4" w:rsidRDefault="0016015E" w:rsidP="00E66A26">
      <w:pPr>
        <w:spacing w:before="120"/>
      </w:pPr>
      <w:r w:rsidRPr="00785FB4">
        <w:t xml:space="preserve">To strengthen implementation, </w:t>
      </w:r>
      <w:r w:rsidR="00E01883" w:rsidRPr="00785FB4">
        <w:t xml:space="preserve">Afghanistan </w:t>
      </w:r>
      <w:r w:rsidR="00165CD3" w:rsidRPr="00785FB4">
        <w:t xml:space="preserve">may wish to expand its coverage of the mining sector by </w:t>
      </w:r>
      <w:r w:rsidR="00165CD3" w:rsidRPr="00785FB4">
        <w:lastRenderedPageBreak/>
        <w:t>including more specific updates on estimated deposits, ongoing and stalled projects.</w:t>
      </w:r>
    </w:p>
    <w:p w14:paraId="08159A86" w14:textId="0F17BA0C" w:rsidR="000722F1" w:rsidRPr="00785FB4" w:rsidRDefault="000722F1" w:rsidP="00A94167">
      <w:pPr>
        <w:pStyle w:val="Heading2notindexed"/>
      </w:pPr>
      <w:bookmarkStart w:id="284" w:name="_Toc459133126"/>
      <w:bookmarkStart w:id="285" w:name="_Toc461803075"/>
      <w:bookmarkStart w:id="286" w:name="_Toc461787335"/>
      <w:bookmarkStart w:id="287" w:name="_Toc461795847"/>
      <w:bookmarkStart w:id="288" w:name="_Toc505449623"/>
      <w:bookmarkStart w:id="289" w:name="_Toc505449797"/>
      <w:r w:rsidRPr="00785FB4">
        <w:t>Production data (#3.</w:t>
      </w:r>
      <w:r w:rsidR="007C5BEB" w:rsidRPr="00785FB4">
        <w:t>2</w:t>
      </w:r>
      <w:r w:rsidRPr="00785FB4">
        <w:t>)</w:t>
      </w:r>
      <w:bookmarkEnd w:id="284"/>
      <w:bookmarkEnd w:id="285"/>
      <w:bookmarkEnd w:id="286"/>
      <w:bookmarkEnd w:id="287"/>
      <w:bookmarkEnd w:id="288"/>
      <w:bookmarkEnd w:id="289"/>
      <w:r w:rsidRPr="00785FB4">
        <w:t xml:space="preserve"> </w:t>
      </w:r>
    </w:p>
    <w:p w14:paraId="631906BB" w14:textId="2176B641" w:rsidR="009B332B" w:rsidRPr="00785FB4" w:rsidRDefault="00675030" w:rsidP="00A94167">
      <w:pPr>
        <w:pStyle w:val="Heading3"/>
      </w:pPr>
      <w:bookmarkStart w:id="290" w:name="_Toc505449624"/>
      <w:r w:rsidRPr="00785FB4">
        <w:t>Documentation of progress</w:t>
      </w:r>
      <w:bookmarkEnd w:id="290"/>
      <w:r w:rsidRPr="00785FB4">
        <w:t xml:space="preserve"> </w:t>
      </w:r>
    </w:p>
    <w:p w14:paraId="5DA0B3B9" w14:textId="00E5D87B" w:rsidR="000F45A4" w:rsidRPr="00785FB4" w:rsidRDefault="000F45A4" w:rsidP="009A383B">
      <w:pPr>
        <w:spacing w:before="120"/>
      </w:pPr>
      <w:r w:rsidRPr="00785FB4">
        <w:t xml:space="preserve">The </w:t>
      </w:r>
      <w:r w:rsidRPr="00785FB4">
        <w:rPr>
          <w:bCs/>
        </w:rPr>
        <w:t>2014-15 EITI Report states that there is no industrial-scale mining and only a “comparative small” formal mining sector in Afghanistan (p.7)</w:t>
      </w:r>
      <w:r w:rsidR="002A437B" w:rsidRPr="00785FB4">
        <w:rPr>
          <w:bCs/>
        </w:rPr>
        <w:t xml:space="preserve">. The report also notes that </w:t>
      </w:r>
      <w:r w:rsidRPr="00785FB4">
        <w:rPr>
          <w:bCs/>
        </w:rPr>
        <w:t>there is oil production from the Amu Darya PSC since 2013 (p.8) and gas production from four fields operated by the Afghan Gas Enterprise</w:t>
      </w:r>
      <w:r w:rsidR="006119D5" w:rsidRPr="00785FB4">
        <w:rPr>
          <w:bCs/>
        </w:rPr>
        <w:t xml:space="preserve"> (p.52). </w:t>
      </w:r>
      <w:r w:rsidR="00790CC3" w:rsidRPr="00785FB4">
        <w:rPr>
          <w:bCs/>
        </w:rPr>
        <w:t xml:space="preserve">The report explicitly states that ASM was excluded from the scope of reporting (p.16).  </w:t>
      </w:r>
    </w:p>
    <w:p w14:paraId="4BD3DCB8" w14:textId="138113E2" w:rsidR="009A383B" w:rsidRPr="00785FB4" w:rsidRDefault="00405360" w:rsidP="009A383B">
      <w:pPr>
        <w:spacing w:before="120"/>
        <w:rPr>
          <w:bCs/>
        </w:rPr>
      </w:pPr>
      <w:r w:rsidRPr="00785FB4">
        <w:rPr>
          <w:i/>
          <w:u w:val="single"/>
        </w:rPr>
        <w:t>P</w:t>
      </w:r>
      <w:r w:rsidR="00675030" w:rsidRPr="00785FB4">
        <w:rPr>
          <w:i/>
          <w:u w:val="single"/>
        </w:rPr>
        <w:t>roduction volumes</w:t>
      </w:r>
      <w:r w:rsidR="009A383B" w:rsidRPr="00785FB4">
        <w:rPr>
          <w:u w:val="single"/>
        </w:rPr>
        <w:t>:</w:t>
      </w:r>
      <w:r w:rsidR="009A383B" w:rsidRPr="00785FB4">
        <w:t xml:space="preserve"> </w:t>
      </w:r>
      <w:r w:rsidR="009A383B" w:rsidRPr="00785FB4">
        <w:rPr>
          <w:bCs/>
        </w:rPr>
        <w:t xml:space="preserve">The </w:t>
      </w:r>
      <w:r w:rsidR="000F45A4" w:rsidRPr="00785FB4">
        <w:rPr>
          <w:bCs/>
        </w:rPr>
        <w:t xml:space="preserve">report </w:t>
      </w:r>
      <w:r w:rsidR="00B74C55" w:rsidRPr="00785FB4">
        <w:rPr>
          <w:bCs/>
        </w:rPr>
        <w:t xml:space="preserve">presents the results of reconciliation </w:t>
      </w:r>
      <w:r w:rsidR="002A437B" w:rsidRPr="00785FB4">
        <w:rPr>
          <w:bCs/>
        </w:rPr>
        <w:t xml:space="preserve">between reporting companies and </w:t>
      </w:r>
      <w:r w:rsidR="00DB56BA" w:rsidRPr="00785FB4">
        <w:rPr>
          <w:bCs/>
        </w:rPr>
        <w:t>MOMP</w:t>
      </w:r>
      <w:r w:rsidR="002A437B" w:rsidRPr="00785FB4">
        <w:rPr>
          <w:bCs/>
        </w:rPr>
        <w:t xml:space="preserve"> </w:t>
      </w:r>
      <w:r w:rsidR="00B74C55" w:rsidRPr="00785FB4">
        <w:rPr>
          <w:bCs/>
        </w:rPr>
        <w:t xml:space="preserve">of </w:t>
      </w:r>
      <w:r w:rsidR="00B30F9E" w:rsidRPr="00785FB4">
        <w:rPr>
          <w:bCs/>
        </w:rPr>
        <w:t xml:space="preserve">2014 and 2015 </w:t>
      </w:r>
      <w:r w:rsidR="00B74C55" w:rsidRPr="00785FB4">
        <w:rPr>
          <w:bCs/>
        </w:rPr>
        <w:t xml:space="preserve">production volumes </w:t>
      </w:r>
      <w:r w:rsidR="00B30F9E" w:rsidRPr="00785FB4">
        <w:rPr>
          <w:bCs/>
        </w:rPr>
        <w:t>for nine mineral commodities produced, with significant unexplained discrepancies</w:t>
      </w:r>
      <w:r w:rsidR="00B74C55" w:rsidRPr="00785FB4">
        <w:rPr>
          <w:bCs/>
        </w:rPr>
        <w:t xml:space="preserve"> </w:t>
      </w:r>
      <w:r w:rsidR="00B30F9E" w:rsidRPr="00785FB4">
        <w:rPr>
          <w:bCs/>
        </w:rPr>
        <w:t>(pp.38-39)</w:t>
      </w:r>
      <w:r w:rsidR="002A437B" w:rsidRPr="00785FB4">
        <w:rPr>
          <w:bCs/>
        </w:rPr>
        <w:t xml:space="preserve">. The report also includes </w:t>
      </w:r>
      <w:r w:rsidR="00B30F9E" w:rsidRPr="00785FB4">
        <w:rPr>
          <w:bCs/>
        </w:rPr>
        <w:t>a comparison of reported production figures and royalties paid (p.40). It is notable that most companies did not report any talc production. The report is transparent about the incomplete nature of reported production volumes</w:t>
      </w:r>
      <w:r w:rsidR="00E930B6" w:rsidRPr="00785FB4">
        <w:rPr>
          <w:bCs/>
        </w:rPr>
        <w:t>, noting the lack of robust systems to monitor production</w:t>
      </w:r>
      <w:r w:rsidR="00B30F9E" w:rsidRPr="00785FB4">
        <w:rPr>
          <w:bCs/>
        </w:rPr>
        <w:t xml:space="preserve"> </w:t>
      </w:r>
      <w:r w:rsidR="00B30F9E" w:rsidRPr="00785FB4">
        <w:t xml:space="preserve">(p.20). </w:t>
      </w:r>
      <w:r w:rsidR="00B30F9E" w:rsidRPr="00785FB4">
        <w:rPr>
          <w:bCs/>
        </w:rPr>
        <w:t xml:space="preserve">It also provides the USGS figures for annual production volumes for 11 mineral commodities in the 2009-13 period, although not for 2014 or 2015 (p.8). </w:t>
      </w:r>
      <w:r w:rsidR="00F2796E" w:rsidRPr="00785FB4">
        <w:rPr>
          <w:bCs/>
        </w:rPr>
        <w:t>The production volumes reported by material companies in the 2014-15 EITI Report are significantly higher than USGS figures for 2009-13</w:t>
      </w:r>
      <w:r w:rsidR="00065833" w:rsidRPr="00785FB4">
        <w:rPr>
          <w:bCs/>
        </w:rPr>
        <w:t>.</w:t>
      </w:r>
    </w:p>
    <w:p w14:paraId="2F7BE2FB" w14:textId="6F003BE1" w:rsidR="00675030" w:rsidRPr="00785FB4" w:rsidRDefault="00405360" w:rsidP="00675030">
      <w:pPr>
        <w:spacing w:before="120"/>
      </w:pPr>
      <w:r w:rsidRPr="00785FB4">
        <w:rPr>
          <w:i/>
          <w:u w:val="single"/>
        </w:rPr>
        <w:t>P</w:t>
      </w:r>
      <w:r w:rsidR="00675030" w:rsidRPr="00785FB4">
        <w:rPr>
          <w:i/>
          <w:u w:val="single"/>
        </w:rPr>
        <w:t>roduction value</w:t>
      </w:r>
      <w:r w:rsidRPr="00785FB4">
        <w:rPr>
          <w:i/>
          <w:u w:val="single"/>
        </w:rPr>
        <w:t>s</w:t>
      </w:r>
      <w:r w:rsidR="00675030" w:rsidRPr="00785FB4">
        <w:rPr>
          <w:u w:val="single"/>
        </w:rPr>
        <w:t>:</w:t>
      </w:r>
      <w:r w:rsidR="00675030" w:rsidRPr="00785FB4">
        <w:t xml:space="preserve"> </w:t>
      </w:r>
      <w:r w:rsidR="00B30F9E" w:rsidRPr="00785FB4">
        <w:t xml:space="preserve">The report does not provide any information on production values for any of the mineral commodities produced, nor any average or reference commodity prices for 2014 or 2015. </w:t>
      </w:r>
    </w:p>
    <w:p w14:paraId="6B02D358" w14:textId="0FCDEC9F" w:rsidR="00163971" w:rsidRPr="00785FB4" w:rsidRDefault="00675030" w:rsidP="00163971">
      <w:pPr>
        <w:spacing w:before="120"/>
      </w:pPr>
      <w:r w:rsidRPr="00785FB4">
        <w:rPr>
          <w:i/>
          <w:u w:val="single"/>
        </w:rPr>
        <w:t>Location</w:t>
      </w:r>
      <w:r w:rsidRPr="00785FB4">
        <w:rPr>
          <w:i/>
        </w:rPr>
        <w:t xml:space="preserve">: </w:t>
      </w:r>
      <w:r w:rsidR="006119D5" w:rsidRPr="00785FB4">
        <w:t>The report provides an overview of the general production location for oil (</w:t>
      </w:r>
      <w:r w:rsidR="00C90BB7" w:rsidRPr="00785FB4">
        <w:t>p.8</w:t>
      </w:r>
      <w:r w:rsidR="006119D5" w:rsidRPr="00785FB4">
        <w:t>) and gas (p</w:t>
      </w:r>
      <w:r w:rsidR="00805D35" w:rsidRPr="00785FB4">
        <w:t>p</w:t>
      </w:r>
      <w:r w:rsidR="006119D5" w:rsidRPr="00785FB4">
        <w:t>.</w:t>
      </w:r>
      <w:r w:rsidR="00805D35" w:rsidRPr="00785FB4">
        <w:t>9,</w:t>
      </w:r>
      <w:r w:rsidR="006119D5" w:rsidRPr="00785FB4">
        <w:t>52).</w:t>
      </w:r>
      <w:r w:rsidR="00805D35" w:rsidRPr="00785FB4">
        <w:t xml:space="preserve"> While the report does not explicitly describe the location of mining production, </w:t>
      </w:r>
      <w:r w:rsidR="00163971" w:rsidRPr="00785FB4">
        <w:t xml:space="preserve">the English </w:t>
      </w:r>
      <w:r w:rsidR="00DB56BA" w:rsidRPr="00785FB4">
        <w:t>MOMP</w:t>
      </w:r>
      <w:r w:rsidR="00163971" w:rsidRPr="00785FB4">
        <w:t xml:space="preserve"> mining license register provided in Appendices 9.3-9.4 provides the general location of each license (a/pp.78-86).</w:t>
      </w:r>
    </w:p>
    <w:p w14:paraId="31955BCC" w14:textId="77777777" w:rsidR="008C1A47" w:rsidRPr="00785FB4" w:rsidRDefault="00675030" w:rsidP="00A94167">
      <w:pPr>
        <w:pStyle w:val="Heading3"/>
      </w:pPr>
      <w:bookmarkStart w:id="291" w:name="_Toc505449625"/>
      <w:r w:rsidRPr="00785FB4">
        <w:t>Stakeholder views</w:t>
      </w:r>
      <w:bookmarkEnd w:id="291"/>
      <w:r w:rsidRPr="00785FB4">
        <w:t xml:space="preserve"> </w:t>
      </w:r>
    </w:p>
    <w:p w14:paraId="5881B9B5" w14:textId="5B0B15F6" w:rsidR="00A37FDF" w:rsidRPr="00785FB4" w:rsidRDefault="00A62AF2" w:rsidP="002F4183">
      <w:pPr>
        <w:spacing w:before="120"/>
        <w:rPr>
          <w:bCs/>
        </w:rPr>
      </w:pPr>
      <w:r w:rsidRPr="00785FB4">
        <w:rPr>
          <w:bCs/>
        </w:rPr>
        <w:t xml:space="preserve">Stakeholders from all constituencies considered that production data in the AEITI Reports was not comprehensive. </w:t>
      </w:r>
      <w:r w:rsidR="00B6279A" w:rsidRPr="00785FB4">
        <w:t xml:space="preserve">In its pre-Validation self-assessment in 2017, the MSG considered that it had made “insufficient” progress towards addressing Requirement 3.2. </w:t>
      </w:r>
      <w:r w:rsidR="00C170A6" w:rsidRPr="00785FB4">
        <w:rPr>
          <w:bCs/>
        </w:rPr>
        <w:t>Several CSOs noted that production reported by material companies represented only a fraction of total production given the significance of illegal mining</w:t>
      </w:r>
      <w:r w:rsidR="009E4789" w:rsidRPr="00785FB4">
        <w:rPr>
          <w:bCs/>
        </w:rPr>
        <w:t xml:space="preserve">. In written comments to the International Secretariat in December 2017, the CSO ENRMN raised significant concerns over under-reporting and inaccuracies of production figures in the 2014-15 EITI Report. More specifically, it </w:t>
      </w:r>
      <w:r w:rsidR="002F4183" w:rsidRPr="00785FB4">
        <w:rPr>
          <w:bCs/>
        </w:rPr>
        <w:t xml:space="preserve">estimated that </w:t>
      </w:r>
      <w:r w:rsidR="009E4789" w:rsidRPr="00785FB4">
        <w:rPr>
          <w:bCs/>
        </w:rPr>
        <w:t xml:space="preserve">the Kushak Brothers Company </w:t>
      </w:r>
      <w:r w:rsidR="002F4183" w:rsidRPr="00785FB4">
        <w:rPr>
          <w:bCs/>
        </w:rPr>
        <w:t xml:space="preserve">produced over 1m tons of coal a year, despite the </w:t>
      </w:r>
      <w:r w:rsidR="009E4789" w:rsidRPr="00785FB4">
        <w:rPr>
          <w:bCs/>
        </w:rPr>
        <w:t xml:space="preserve">45,118 tons </w:t>
      </w:r>
      <w:r w:rsidR="002F4183" w:rsidRPr="00785FB4">
        <w:rPr>
          <w:bCs/>
        </w:rPr>
        <w:t xml:space="preserve">reported for </w:t>
      </w:r>
      <w:r w:rsidR="009E4789" w:rsidRPr="00785FB4">
        <w:rPr>
          <w:bCs/>
        </w:rPr>
        <w:t>2015</w:t>
      </w:r>
      <w:r w:rsidR="002F4183" w:rsidRPr="00785FB4">
        <w:rPr>
          <w:bCs/>
        </w:rPr>
        <w:t xml:space="preserve"> in the EITI Report</w:t>
      </w:r>
      <w:r w:rsidR="009E4789" w:rsidRPr="00785FB4">
        <w:rPr>
          <w:bCs/>
        </w:rPr>
        <w:t xml:space="preserve">. </w:t>
      </w:r>
      <w:r w:rsidR="00360271" w:rsidRPr="00785FB4">
        <w:rPr>
          <w:bCs/>
        </w:rPr>
        <w:t xml:space="preserve">Several CSOs reported other specific instances of alleged under-reporting of actual production by material companies in the 2014-15 EITI Report. </w:t>
      </w:r>
      <w:r w:rsidR="005E15CA" w:rsidRPr="00785FB4">
        <w:rPr>
          <w:bCs/>
        </w:rPr>
        <w:t xml:space="preserve">However, several industry representatives raised concerns over the calculation of royalties on the basis of </w:t>
      </w:r>
      <w:r w:rsidR="00266DDD" w:rsidRPr="00785FB4">
        <w:rPr>
          <w:bCs/>
        </w:rPr>
        <w:t>planned production, regardless of actual output (</w:t>
      </w:r>
      <w:r w:rsidR="00266DDD" w:rsidRPr="00785FB4">
        <w:rPr>
          <w:bCs/>
          <w:i/>
        </w:rPr>
        <w:t>see Requirement 2.1</w:t>
      </w:r>
      <w:r w:rsidR="00266DDD" w:rsidRPr="00785FB4">
        <w:rPr>
          <w:bCs/>
        </w:rPr>
        <w:t xml:space="preserve">). </w:t>
      </w:r>
      <w:r w:rsidR="00F1103A" w:rsidRPr="00785FB4">
        <w:rPr>
          <w:bCs/>
        </w:rPr>
        <w:t>The IA confirmed that reported production in the EITI Report was incomplete</w:t>
      </w:r>
      <w:r w:rsidR="00272BE1" w:rsidRPr="00785FB4">
        <w:rPr>
          <w:bCs/>
        </w:rPr>
        <w:t xml:space="preserve"> and did not reconcile with data from other sources</w:t>
      </w:r>
      <w:r w:rsidR="00F1103A" w:rsidRPr="00785FB4">
        <w:rPr>
          <w:bCs/>
        </w:rPr>
        <w:t xml:space="preserve">. </w:t>
      </w:r>
      <w:r w:rsidR="00EA3B61" w:rsidRPr="00785FB4">
        <w:rPr>
          <w:bCs/>
        </w:rPr>
        <w:t>The Central Statistics Organisation (CSO) website provides production figures</w:t>
      </w:r>
      <w:r w:rsidR="00AA1BE1" w:rsidRPr="00785FB4">
        <w:rPr>
          <w:bCs/>
        </w:rPr>
        <w:t xml:space="preserve"> (sourced from </w:t>
      </w:r>
      <w:r w:rsidR="00DB56BA" w:rsidRPr="00785FB4">
        <w:rPr>
          <w:bCs/>
        </w:rPr>
        <w:lastRenderedPageBreak/>
        <w:t>MOMP</w:t>
      </w:r>
      <w:r w:rsidR="00AA1BE1" w:rsidRPr="00785FB4">
        <w:rPr>
          <w:bCs/>
        </w:rPr>
        <w:t>)</w:t>
      </w:r>
      <w:r w:rsidR="00EA3B61" w:rsidRPr="00785FB4">
        <w:rPr>
          <w:bCs/>
        </w:rPr>
        <w:t xml:space="preserve"> for seven minerals produced in 2014-15</w:t>
      </w:r>
      <w:r w:rsidR="00EA3B61" w:rsidRPr="00785FB4">
        <w:rPr>
          <w:rStyle w:val="FootnoteReference"/>
          <w:bCs/>
        </w:rPr>
        <w:footnoteReference w:id="184"/>
      </w:r>
      <w:r w:rsidR="00EA3B61" w:rsidRPr="00785FB4">
        <w:rPr>
          <w:bCs/>
        </w:rPr>
        <w:t>, although production volumes provided are significantly lower than those published in the EITI Report.</w:t>
      </w:r>
    </w:p>
    <w:p w14:paraId="2C82D5DB" w14:textId="096C2506" w:rsidR="00177ACF" w:rsidRPr="00785FB4" w:rsidRDefault="009E4789" w:rsidP="00675030">
      <w:pPr>
        <w:spacing w:before="120"/>
        <w:rPr>
          <w:bCs/>
        </w:rPr>
      </w:pPr>
      <w:r w:rsidRPr="00785FB4">
        <w:rPr>
          <w:bCs/>
        </w:rPr>
        <w:t xml:space="preserve">The May 2017 AEITI organisational assessment highlighted inconsistencies between </w:t>
      </w:r>
      <w:r w:rsidR="00DB56BA" w:rsidRPr="00785FB4">
        <w:rPr>
          <w:bCs/>
        </w:rPr>
        <w:t>MOMP</w:t>
      </w:r>
      <w:r w:rsidRPr="00785FB4">
        <w:rPr>
          <w:bCs/>
        </w:rPr>
        <w:t xml:space="preserve"> production and royalty figures, as well as the lack of officially-reported gemstone production figures despite press reports of extensive production.</w:t>
      </w:r>
      <w:r w:rsidRPr="00785FB4">
        <w:rPr>
          <w:rStyle w:val="FootnoteReference"/>
          <w:bCs/>
        </w:rPr>
        <w:footnoteReference w:id="185"/>
      </w:r>
      <w:r w:rsidRPr="00785FB4">
        <w:rPr>
          <w:bCs/>
        </w:rPr>
        <w:t xml:space="preserve"> </w:t>
      </w:r>
      <w:r w:rsidR="00272BE1" w:rsidRPr="00785FB4">
        <w:rPr>
          <w:bCs/>
        </w:rPr>
        <w:t xml:space="preserve">Several </w:t>
      </w:r>
      <w:r w:rsidR="00D469BB" w:rsidRPr="00785FB4">
        <w:rPr>
          <w:bCs/>
        </w:rPr>
        <w:t>stakeholders</w:t>
      </w:r>
      <w:r w:rsidR="00272BE1" w:rsidRPr="00785FB4">
        <w:rPr>
          <w:bCs/>
        </w:rPr>
        <w:t xml:space="preserve"> </w:t>
      </w:r>
      <w:r w:rsidR="002F4183" w:rsidRPr="00785FB4">
        <w:rPr>
          <w:bCs/>
        </w:rPr>
        <w:t>from different constituencies described the practice of “laundering” illegal minerals by selling them to legitimate license-holders, who then sold the minerals on open markets. Several CSOs express doubt over whether such production was reported through EITI. They also noted that the significant amounts of coal mined by independent miners on behalf of NCE (</w:t>
      </w:r>
      <w:r w:rsidR="002F4183" w:rsidRPr="00785FB4">
        <w:rPr>
          <w:bCs/>
          <w:i/>
        </w:rPr>
        <w:t>see Requirement 2.6</w:t>
      </w:r>
      <w:r w:rsidR="002F4183" w:rsidRPr="00785FB4">
        <w:rPr>
          <w:bCs/>
        </w:rPr>
        <w:t xml:space="preserve">) were not reported in the AEITI Reports. </w:t>
      </w:r>
    </w:p>
    <w:p w14:paraId="37B45AB4" w14:textId="0C979EB1" w:rsidR="00696E01" w:rsidRPr="00785FB4" w:rsidRDefault="00272BE1" w:rsidP="00675030">
      <w:pPr>
        <w:spacing w:before="120"/>
        <w:rPr>
          <w:bCs/>
        </w:rPr>
      </w:pPr>
      <w:r w:rsidRPr="00785FB4">
        <w:rPr>
          <w:bCs/>
        </w:rPr>
        <w:t xml:space="preserve">Several </w:t>
      </w:r>
      <w:r w:rsidR="00D469BB" w:rsidRPr="00785FB4">
        <w:rPr>
          <w:bCs/>
        </w:rPr>
        <w:t>stakeholders</w:t>
      </w:r>
      <w:r w:rsidRPr="00785FB4">
        <w:rPr>
          <w:bCs/>
        </w:rPr>
        <w:t xml:space="preserve"> considered that CSO estimates of mineral production were closer to being accurate than official figures, given their work in counting trucks and estimating informal activity. </w:t>
      </w:r>
      <w:r w:rsidR="002F4183" w:rsidRPr="00785FB4">
        <w:rPr>
          <w:bCs/>
        </w:rPr>
        <w:t>The USIP has used these techniques in estimating informal production and export of coal, talc and nephrite.</w:t>
      </w:r>
      <w:r w:rsidR="002F4183" w:rsidRPr="00785FB4">
        <w:rPr>
          <w:rStyle w:val="FootnoteReference"/>
          <w:bCs/>
        </w:rPr>
        <w:footnoteReference w:id="186"/>
      </w:r>
      <w:r w:rsidR="002F4183" w:rsidRPr="00785FB4">
        <w:rPr>
          <w:bCs/>
        </w:rPr>
        <w:t xml:space="preserve"> </w:t>
      </w:r>
      <w:r w:rsidR="00AA1BE1" w:rsidRPr="00785FB4">
        <w:rPr>
          <w:bCs/>
        </w:rPr>
        <w:t xml:space="preserve">Representatives from all constituencies highlighted weaknesses in the </w:t>
      </w:r>
      <w:r w:rsidR="00DB56BA" w:rsidRPr="00785FB4">
        <w:rPr>
          <w:bCs/>
        </w:rPr>
        <w:t>MOMP</w:t>
      </w:r>
      <w:r w:rsidR="00AA1BE1" w:rsidRPr="00785FB4">
        <w:rPr>
          <w:bCs/>
        </w:rPr>
        <w:t xml:space="preserve">’s Inspectorate Department, which hindered its ability to gather reliable statistics. One development partner described GiZ’s support to the </w:t>
      </w:r>
      <w:r w:rsidR="00DB56BA" w:rsidRPr="00785FB4">
        <w:rPr>
          <w:bCs/>
        </w:rPr>
        <w:t>MOMP</w:t>
      </w:r>
      <w:r w:rsidR="00AA1BE1" w:rsidRPr="00785FB4">
        <w:rPr>
          <w:bCs/>
        </w:rPr>
        <w:t xml:space="preserve">’s Inspectorate Department to increase its technical and human resource capacity, reduce the scope for corruption in the inspection process itself and bolster the </w:t>
      </w:r>
      <w:r w:rsidR="00DB56BA" w:rsidRPr="00785FB4">
        <w:rPr>
          <w:bCs/>
        </w:rPr>
        <w:t>MOMP</w:t>
      </w:r>
      <w:r w:rsidR="00AA1BE1" w:rsidRPr="00785FB4">
        <w:rPr>
          <w:bCs/>
        </w:rPr>
        <w:t xml:space="preserve">’s internal controls. A senior government official noted the creation of a Mining Inspectorate Audit Committee within </w:t>
      </w:r>
      <w:r w:rsidR="00DB56BA" w:rsidRPr="00785FB4">
        <w:rPr>
          <w:bCs/>
        </w:rPr>
        <w:t>MOMP</w:t>
      </w:r>
      <w:r w:rsidR="00AA1BE1" w:rsidRPr="00785FB4">
        <w:rPr>
          <w:bCs/>
        </w:rPr>
        <w:t xml:space="preserve"> in 2017, which provided weekly reports to the Minister. Another development partner noted plans to develop excel databases to track production, which would be shared between </w:t>
      </w:r>
      <w:r w:rsidR="00DB56BA" w:rsidRPr="00785FB4">
        <w:rPr>
          <w:bCs/>
        </w:rPr>
        <w:t>MOMP</w:t>
      </w:r>
      <w:r w:rsidR="00AA1BE1" w:rsidRPr="00785FB4">
        <w:rPr>
          <w:bCs/>
        </w:rPr>
        <w:t xml:space="preserve"> and </w:t>
      </w:r>
      <w:r w:rsidR="00DB56BA" w:rsidRPr="00785FB4">
        <w:rPr>
          <w:bCs/>
        </w:rPr>
        <w:t>MOF</w:t>
      </w:r>
      <w:r w:rsidR="00AA1BE1" w:rsidRPr="00785FB4">
        <w:rPr>
          <w:bCs/>
        </w:rPr>
        <w:t xml:space="preserve">, to improve production data reporting. </w:t>
      </w:r>
    </w:p>
    <w:p w14:paraId="2CA7AAA8" w14:textId="45D6A336" w:rsidR="00597FC5" w:rsidRPr="00785FB4" w:rsidRDefault="00675030" w:rsidP="00A94167">
      <w:pPr>
        <w:pStyle w:val="Heading3"/>
      </w:pPr>
      <w:bookmarkStart w:id="292" w:name="_Toc459133129"/>
      <w:bookmarkStart w:id="293" w:name="_Toc461803078"/>
      <w:bookmarkStart w:id="294" w:name="_Toc505449626"/>
      <w:r w:rsidRPr="00785FB4">
        <w:t>Initial assessment</w:t>
      </w:r>
      <w:bookmarkEnd w:id="292"/>
      <w:bookmarkEnd w:id="293"/>
      <w:bookmarkEnd w:id="294"/>
    </w:p>
    <w:p w14:paraId="4D100405" w14:textId="5D389339" w:rsidR="009A7BD4" w:rsidRPr="00785FB4" w:rsidRDefault="00675030" w:rsidP="00405360">
      <w:pPr>
        <w:spacing w:before="120"/>
      </w:pPr>
      <w:r w:rsidRPr="00785FB4">
        <w:t xml:space="preserve">The International Secretariat’s initial assessment is that </w:t>
      </w:r>
      <w:r w:rsidR="009B1522" w:rsidRPr="00785FB4">
        <w:rPr>
          <w:bCs/>
        </w:rPr>
        <w:t>Afghanistan</w:t>
      </w:r>
      <w:r w:rsidR="009B1522" w:rsidRPr="00785FB4">
        <w:t xml:space="preserve"> </w:t>
      </w:r>
      <w:r w:rsidRPr="00785FB4">
        <w:t xml:space="preserve">has made </w:t>
      </w:r>
      <w:r w:rsidR="00CB5691" w:rsidRPr="00785FB4">
        <w:rPr>
          <w:bCs/>
        </w:rPr>
        <w:t>inadequate</w:t>
      </w:r>
      <w:r w:rsidR="00405360" w:rsidRPr="00785FB4">
        <w:t xml:space="preserve"> </w:t>
      </w:r>
      <w:r w:rsidRPr="00785FB4">
        <w:t xml:space="preserve">progress towards meeting this requirement. </w:t>
      </w:r>
      <w:r w:rsidR="00696E01" w:rsidRPr="00785FB4">
        <w:t>The 2014-15 EITI Report provides the results of reconciliation of production volumes for minerals</w:t>
      </w:r>
      <w:r w:rsidR="00241AB8" w:rsidRPr="00785FB4">
        <w:t xml:space="preserve"> (including oil and gas)</w:t>
      </w:r>
      <w:r w:rsidR="00696E01" w:rsidRPr="00785FB4">
        <w:t xml:space="preserve"> </w:t>
      </w:r>
      <w:r w:rsidR="00D05632" w:rsidRPr="00785FB4">
        <w:t xml:space="preserve">reported by companies and government </w:t>
      </w:r>
      <w:r w:rsidR="00696E01" w:rsidRPr="00785FB4">
        <w:t xml:space="preserve">in the years under review, albeit with significant unexplained discrepancies. </w:t>
      </w:r>
      <w:r w:rsidR="00241AB8" w:rsidRPr="00785FB4">
        <w:t xml:space="preserve">There are significant concerns from all constituencies consulted over the reliability of official production statistics. </w:t>
      </w:r>
      <w:r w:rsidR="00696E01" w:rsidRPr="00785FB4">
        <w:t>The report does not provide values for any of the production volumes reported, although it does</w:t>
      </w:r>
      <w:r w:rsidR="00D05632" w:rsidRPr="00785FB4">
        <w:t xml:space="preserve"> indirectly</w:t>
      </w:r>
      <w:r w:rsidR="00696E01" w:rsidRPr="00785FB4">
        <w:t xml:space="preserve"> provide some information on the location of production. </w:t>
      </w:r>
    </w:p>
    <w:p w14:paraId="2FD5B37A" w14:textId="524962EC" w:rsidR="00696E01" w:rsidRPr="00785FB4" w:rsidRDefault="00696E01" w:rsidP="00405360">
      <w:pPr>
        <w:spacing w:before="120"/>
      </w:pPr>
      <w:r w:rsidRPr="00785FB4">
        <w:t>In accordance with Re</w:t>
      </w:r>
      <w:r w:rsidR="00241AB8" w:rsidRPr="00785FB4">
        <w:t xml:space="preserve">quirement 3.2, </w:t>
      </w:r>
      <w:r w:rsidR="00E01883" w:rsidRPr="00785FB4">
        <w:t xml:space="preserve">Afghanistan </w:t>
      </w:r>
      <w:r w:rsidR="00241AB8" w:rsidRPr="00785FB4">
        <w:t xml:space="preserve">should </w:t>
      </w:r>
      <w:r w:rsidR="00F20CB3" w:rsidRPr="00785FB4">
        <w:t xml:space="preserve">ensure that production volumes and values for all extractive commodities produced are publicly accessible. </w:t>
      </w:r>
      <w:r w:rsidR="00D05632" w:rsidRPr="00785FB4">
        <w:t xml:space="preserve">Where </w:t>
      </w:r>
      <w:r w:rsidR="00E01883" w:rsidRPr="00785FB4">
        <w:t xml:space="preserve">comprehensive disclosure of production figures for all minerals produced is not technically-feasible (e.g. for security reasons), Afghanistan </w:t>
      </w:r>
      <w:r w:rsidR="00D05632" w:rsidRPr="00785FB4">
        <w:t xml:space="preserve">should ensure that the reasons </w:t>
      </w:r>
      <w:r w:rsidR="00E01883" w:rsidRPr="00785FB4">
        <w:t xml:space="preserve">for non-disclosure </w:t>
      </w:r>
      <w:r w:rsidR="00D05632" w:rsidRPr="00785FB4">
        <w:t xml:space="preserve">are clearly explained and that </w:t>
      </w:r>
      <w:r w:rsidR="00E01883" w:rsidRPr="00785FB4">
        <w:t>publicly-</w:t>
      </w:r>
      <w:r w:rsidR="00D05632" w:rsidRPr="00785FB4">
        <w:t xml:space="preserve">available estimates are comprehensively disclosed and </w:t>
      </w:r>
      <w:r w:rsidR="00E01883" w:rsidRPr="00785FB4">
        <w:t>assessed</w:t>
      </w:r>
      <w:r w:rsidR="00D05632" w:rsidRPr="00785FB4">
        <w:t xml:space="preserve">. </w:t>
      </w:r>
      <w:r w:rsidR="00F20CB3" w:rsidRPr="00785FB4">
        <w:t xml:space="preserve">The MSG may wish to use EITI reporting to explain challenges in the production of official production statistics and track the implementation of key reforms in the </w:t>
      </w:r>
      <w:r w:rsidR="00DB56BA" w:rsidRPr="00785FB4">
        <w:t>MOMP</w:t>
      </w:r>
      <w:r w:rsidR="00F20CB3" w:rsidRPr="00785FB4">
        <w:t xml:space="preserve">’s mine inspection and oversight. </w:t>
      </w:r>
    </w:p>
    <w:p w14:paraId="6A9A6BE0" w14:textId="69F05C2E" w:rsidR="00675030" w:rsidRPr="00785FB4" w:rsidRDefault="00675030" w:rsidP="00A94167">
      <w:pPr>
        <w:pStyle w:val="Heading2notindexed"/>
      </w:pPr>
      <w:bookmarkStart w:id="295" w:name="_Toc459133130"/>
      <w:bookmarkStart w:id="296" w:name="_Toc461803079"/>
      <w:bookmarkStart w:id="297" w:name="_Toc461787336"/>
      <w:bookmarkStart w:id="298" w:name="_Toc461795848"/>
      <w:bookmarkStart w:id="299" w:name="_Toc505449627"/>
      <w:bookmarkStart w:id="300" w:name="_Toc505449798"/>
      <w:r w:rsidRPr="00785FB4">
        <w:lastRenderedPageBreak/>
        <w:t>Export data (#3.3)</w:t>
      </w:r>
      <w:bookmarkEnd w:id="295"/>
      <w:bookmarkEnd w:id="296"/>
      <w:bookmarkEnd w:id="297"/>
      <w:bookmarkEnd w:id="298"/>
      <w:bookmarkEnd w:id="299"/>
      <w:bookmarkEnd w:id="300"/>
    </w:p>
    <w:p w14:paraId="7F3CF03F" w14:textId="2BA64D7E" w:rsidR="00240C0D" w:rsidRPr="00785FB4" w:rsidRDefault="00675030" w:rsidP="00A94167">
      <w:pPr>
        <w:pStyle w:val="Heading3"/>
      </w:pPr>
      <w:bookmarkStart w:id="301" w:name="_Toc505449628"/>
      <w:r w:rsidRPr="00785FB4">
        <w:t>Documentation of progress</w:t>
      </w:r>
      <w:bookmarkEnd w:id="301"/>
      <w:r w:rsidRPr="00785FB4">
        <w:t xml:space="preserve"> </w:t>
      </w:r>
    </w:p>
    <w:p w14:paraId="55942513" w14:textId="250EBB18" w:rsidR="003A5628" w:rsidRPr="00785FB4" w:rsidRDefault="00696E01" w:rsidP="00675030">
      <w:pPr>
        <w:spacing w:before="120"/>
      </w:pPr>
      <w:r w:rsidRPr="00785FB4">
        <w:t xml:space="preserve">The 2014-15 EITI Report quotes the </w:t>
      </w:r>
      <w:r w:rsidR="00DB56BA" w:rsidRPr="00785FB4">
        <w:t>MOF</w:t>
      </w:r>
      <w:r w:rsidRPr="00785FB4">
        <w:t xml:space="preserve"> Macro Fiscal Performance Directorate’s statement that information on extractives exports </w:t>
      </w:r>
      <w:r w:rsidR="00951123" w:rsidRPr="00785FB4">
        <w:t>is not currently available (p.41).</w:t>
      </w:r>
      <w:r w:rsidR="00D22BFC" w:rsidRPr="00785FB4">
        <w:t xml:space="preserve"> </w:t>
      </w:r>
      <w:r w:rsidR="003A5628" w:rsidRPr="00785FB4">
        <w:t>The report states that “almost all” of Afghanistan’s gas production is supplied to the Northern Fertilizer and Power Plant (p.52), but does not explain whether any crude oil production is exported. While confirming that ASM was excluded from the scope of the 2014-15 EITI Report, the report quotes estimates of lapis lazuli export volumes and values from a June 2016 Global Witness report</w:t>
      </w:r>
      <w:r w:rsidR="003A5628" w:rsidRPr="00785FB4">
        <w:rPr>
          <w:rStyle w:val="FootnoteReference"/>
        </w:rPr>
        <w:footnoteReference w:id="187"/>
      </w:r>
      <w:r w:rsidR="003A5628" w:rsidRPr="00785FB4">
        <w:t xml:space="preserve"> (p.16).</w:t>
      </w:r>
    </w:p>
    <w:p w14:paraId="20F6BC61" w14:textId="076C5EEA" w:rsidR="00790CC3" w:rsidRPr="00785FB4" w:rsidRDefault="00D22BFC" w:rsidP="003A5628">
      <w:pPr>
        <w:spacing w:before="120"/>
      </w:pPr>
      <w:r w:rsidRPr="00785FB4">
        <w:t xml:space="preserve">While the report provides World Bank figures for total (not extractives) exports in 2015 (p.41), it does not refer to other publicly-accessible estimates of extractives exports. </w:t>
      </w:r>
    </w:p>
    <w:p w14:paraId="305C79E5" w14:textId="34357CEA" w:rsidR="004F5E5F" w:rsidRPr="00785FB4" w:rsidRDefault="00675030" w:rsidP="00A94167">
      <w:pPr>
        <w:pStyle w:val="Heading3"/>
      </w:pPr>
      <w:bookmarkStart w:id="302" w:name="_Toc505449629"/>
      <w:r w:rsidRPr="00785FB4">
        <w:t>Stakeholder views</w:t>
      </w:r>
      <w:bookmarkEnd w:id="302"/>
      <w:r w:rsidRPr="00785FB4">
        <w:t xml:space="preserve"> </w:t>
      </w:r>
    </w:p>
    <w:p w14:paraId="65C10295" w14:textId="53F838F1" w:rsidR="00DC12E5" w:rsidRPr="00785FB4" w:rsidRDefault="00BA17D2" w:rsidP="00BC5EF6">
      <w:r w:rsidRPr="00785FB4">
        <w:t>Industry representatives and the IA confirmed that all natural gas production was sold domestically. An industry representative explained that CNPCI, the sole crude oil producer, sold all of its production to domestic buyers</w:t>
      </w:r>
      <w:r w:rsidR="00260DA3" w:rsidRPr="00785FB4">
        <w:t>, which included oil traders</w:t>
      </w:r>
      <w:r w:rsidRPr="00785FB4">
        <w:t xml:space="preserve">. While </w:t>
      </w:r>
      <w:r w:rsidR="00260DA3" w:rsidRPr="00785FB4">
        <w:t xml:space="preserve">it was possible that the traders subsequently exported the oil to neighbouring countries, the representative </w:t>
      </w:r>
      <w:r w:rsidR="004614A8" w:rsidRPr="00785FB4">
        <w:t xml:space="preserve">considered that the oil was consumed locally by the several small domestic refineries given that Afghanistan was a net fuel importer. </w:t>
      </w:r>
    </w:p>
    <w:p w14:paraId="3B7D9BFD" w14:textId="24D51E73" w:rsidR="00794F55" w:rsidRPr="00785FB4" w:rsidRDefault="0009048F" w:rsidP="00DC12E5">
      <w:pPr>
        <w:spacing w:before="120"/>
        <w:rPr>
          <w:bCs/>
        </w:rPr>
      </w:pPr>
      <w:r w:rsidRPr="00785FB4">
        <w:t xml:space="preserve">There was consensus amongst all stakeholders consulted that Afghanistan exported significant quantities of minerals to neighbouring countries. Several MSG members </w:t>
      </w:r>
      <w:r w:rsidR="00D05632" w:rsidRPr="00785FB4">
        <w:t xml:space="preserve">and development partners </w:t>
      </w:r>
      <w:r w:rsidRPr="00785FB4">
        <w:t>expressed concern at the lack of official export data in the 2014-15 EITI Report</w:t>
      </w:r>
      <w:r w:rsidR="00D05632" w:rsidRPr="00785FB4">
        <w:t xml:space="preserve"> and confirmed </w:t>
      </w:r>
      <w:r w:rsidRPr="00785FB4">
        <w:t xml:space="preserve">that </w:t>
      </w:r>
      <w:r w:rsidR="00D05632" w:rsidRPr="00785FB4">
        <w:t xml:space="preserve">such </w:t>
      </w:r>
      <w:r w:rsidRPr="00785FB4">
        <w:t>data existed even if it was considered inaccurate. In its pre-Validation self-assessment in 2017, the MSG considered that it had made no progress towards addressing Requirement 3.3.</w:t>
      </w:r>
      <w:r w:rsidR="00D708D6" w:rsidRPr="00785FB4">
        <w:t xml:space="preserve"> </w:t>
      </w:r>
      <w:r w:rsidR="009257FC" w:rsidRPr="00785FB4">
        <w:t xml:space="preserve">The MSG’s Technical Committee explained that </w:t>
      </w:r>
      <w:r w:rsidR="00DB56BA" w:rsidRPr="00785FB4">
        <w:t>MOF</w:t>
      </w:r>
      <w:r w:rsidR="009257FC" w:rsidRPr="00785FB4">
        <w:t xml:space="preserve"> Customs had submitted reporting templates with </w:t>
      </w:r>
      <w:r w:rsidR="00D05632" w:rsidRPr="00785FB4">
        <w:t>“</w:t>
      </w:r>
      <w:r w:rsidR="009257FC" w:rsidRPr="00785FB4">
        <w:t>zero</w:t>
      </w:r>
      <w:r w:rsidR="00D05632" w:rsidRPr="00785FB4">
        <w:t>”</w:t>
      </w:r>
      <w:r w:rsidR="009257FC" w:rsidRPr="00785FB4">
        <w:t xml:space="preserve"> for all exports, even though they considered that </w:t>
      </w:r>
      <w:r w:rsidR="00DB56BA" w:rsidRPr="00785FB4">
        <w:t>MOF</w:t>
      </w:r>
      <w:r w:rsidR="009257FC" w:rsidRPr="00785FB4">
        <w:t xml:space="preserve"> Customs’ ASYCUDA system provided export data searchable by company name. </w:t>
      </w:r>
      <w:r w:rsidR="00624E34" w:rsidRPr="00785FB4">
        <w:rPr>
          <w:bCs/>
        </w:rPr>
        <w:t xml:space="preserve">The May 2017 AEITI organisational assessment raised concerns over </w:t>
      </w:r>
      <w:r w:rsidR="00DB56BA" w:rsidRPr="00785FB4">
        <w:rPr>
          <w:bCs/>
        </w:rPr>
        <w:t>MOF</w:t>
      </w:r>
      <w:r w:rsidR="00624E34" w:rsidRPr="00785FB4">
        <w:rPr>
          <w:bCs/>
        </w:rPr>
        <w:t xml:space="preserve"> Customs’ slow response to EITI data collection and its inability to provide information on exports.</w:t>
      </w:r>
      <w:r w:rsidR="00624E34" w:rsidRPr="00785FB4">
        <w:rPr>
          <w:rStyle w:val="FootnoteReference"/>
          <w:bCs/>
        </w:rPr>
        <w:footnoteReference w:id="188"/>
      </w:r>
      <w:r w:rsidR="009257FC" w:rsidRPr="00785FB4">
        <w:t xml:space="preserve"> One development partner explained that the ASYCUDA system did not share export data with the </w:t>
      </w:r>
      <w:r w:rsidR="00DB56BA" w:rsidRPr="00785FB4">
        <w:t>MOMP</w:t>
      </w:r>
      <w:r w:rsidR="009257FC" w:rsidRPr="00785FB4">
        <w:t xml:space="preserve"> or </w:t>
      </w:r>
      <w:r w:rsidR="00DB56BA" w:rsidRPr="00785FB4">
        <w:t>MOF</w:t>
      </w:r>
      <w:r w:rsidR="009257FC" w:rsidRPr="00785FB4">
        <w:t xml:space="preserve">. Several government officials noted the significant need to share export data with entities such as the </w:t>
      </w:r>
      <w:r w:rsidR="00DB56BA" w:rsidRPr="00785FB4">
        <w:t>MOMP</w:t>
      </w:r>
      <w:r w:rsidR="009257FC" w:rsidRPr="00785FB4">
        <w:t xml:space="preserve"> and Ministry of Transport to improve revenue collection. </w:t>
      </w:r>
      <w:r w:rsidR="00C81F4F" w:rsidRPr="00785FB4">
        <w:t>A June 2017 USIP report highlighted weak government supervision of exports and rampant trade mis-invoicing, given the lack of incentives to improve oversight in light of “negligible” export taxes.</w:t>
      </w:r>
      <w:r w:rsidR="0041013A" w:rsidRPr="00785FB4">
        <w:rPr>
          <w:rStyle w:val="FootnoteReference"/>
          <w:bCs/>
        </w:rPr>
        <w:footnoteReference w:id="189"/>
      </w:r>
      <w:r w:rsidR="00624E34" w:rsidRPr="00785FB4">
        <w:t xml:space="preserve"> Development partners noted constraints in the ASYCUDA system, which was only effectively deployed in Kabul. They explained that exporters tended to apply for export permits at one provincial customs office but export at a different location, with the trade usually unrecorded by the ASYCUDA system. An industry </w:t>
      </w:r>
      <w:r w:rsidR="00E01883" w:rsidRPr="00785FB4">
        <w:t xml:space="preserve">MSG member </w:t>
      </w:r>
      <w:r w:rsidR="00624E34" w:rsidRPr="00785FB4">
        <w:t xml:space="preserve">noted that the ACCI collected statistics on exports, given its responsibility for issuing Certificates of Origin in line with </w:t>
      </w:r>
      <w:r w:rsidR="00624E34" w:rsidRPr="00785FB4">
        <w:rPr>
          <w:bCs/>
        </w:rPr>
        <w:t xml:space="preserve">the ACCI’s MoU with </w:t>
      </w:r>
      <w:r w:rsidR="00DB56BA" w:rsidRPr="00785FB4">
        <w:rPr>
          <w:bCs/>
        </w:rPr>
        <w:t>MOF</w:t>
      </w:r>
      <w:r w:rsidR="00624E34" w:rsidRPr="00785FB4">
        <w:rPr>
          <w:bCs/>
        </w:rPr>
        <w:t xml:space="preserve"> Customs and the </w:t>
      </w:r>
      <w:r w:rsidR="00624E34" w:rsidRPr="00785FB4">
        <w:t xml:space="preserve">Ministry of Commerce and Industries. While the </w:t>
      </w:r>
      <w:r w:rsidR="00E01883" w:rsidRPr="00785FB4">
        <w:t xml:space="preserve">MSG member </w:t>
      </w:r>
      <w:r w:rsidR="00624E34" w:rsidRPr="00785FB4">
        <w:t xml:space="preserve">noted the lack of comprehensiveness of ACCI export data given widespread smuggling, he explained that the MSG had </w:t>
      </w:r>
      <w:r w:rsidR="00624E34" w:rsidRPr="00785FB4">
        <w:lastRenderedPageBreak/>
        <w:t xml:space="preserve">never requested export data from ACCI. </w:t>
      </w:r>
    </w:p>
    <w:p w14:paraId="66AD5649" w14:textId="71BDB04E" w:rsidR="002C01AD" w:rsidRPr="00785FB4" w:rsidRDefault="002C01AD" w:rsidP="00430CE8">
      <w:r w:rsidRPr="00785FB4">
        <w:t>All stakeholders consulted highlighted the challenge posed by significant smuggling of minerals to neighbouring countries. A CSO explained that while mineral smuggling used to focus on the Afghan-Pakistan border, it was now widespread on the borders with other neighbours like Iran, Tajikistan and Uzbekistan. The June 2017 USIP report considered that mineral smuggling was primarily through Pakistan, both through three regular border crossings suitable for large trucks and smaller irregular border points.</w:t>
      </w:r>
      <w:r w:rsidRPr="00785FB4">
        <w:rPr>
          <w:rStyle w:val="FootnoteReference"/>
          <w:bCs/>
        </w:rPr>
        <w:footnoteReference w:id="190"/>
      </w:r>
      <w:r w:rsidR="008670F5" w:rsidRPr="00785FB4">
        <w:t xml:space="preserve"> A development partner noted discrepancies in exports to Iran, which were reported as USD 500m a year by Afghanistan and USD 2bn by Iran. </w:t>
      </w:r>
      <w:r w:rsidR="00E01883" w:rsidRPr="00785FB4">
        <w:t>The World Bank’s world trade database provides the value of mineral exports as zero in 2014 and USD 6.086m in 2015.</w:t>
      </w:r>
      <w:r w:rsidR="00E01883" w:rsidRPr="00785FB4">
        <w:rPr>
          <w:rStyle w:val="FootnoteReference"/>
        </w:rPr>
        <w:footnoteReference w:id="191"/>
      </w:r>
      <w:r w:rsidR="00E01883" w:rsidRPr="00785FB4">
        <w:t xml:space="preserve"> Pakistan’s Federal Board of Revenue website provides statistics on imports from Afghanistan, which include imports of minerals like coal.</w:t>
      </w:r>
      <w:r w:rsidR="00E01883" w:rsidRPr="00785FB4">
        <w:rPr>
          <w:rStyle w:val="FootnoteReference"/>
        </w:rPr>
        <w:footnoteReference w:id="192"/>
      </w:r>
      <w:r w:rsidR="00E01883" w:rsidRPr="00785FB4">
        <w:t xml:space="preserve"> </w:t>
      </w:r>
      <w:r w:rsidR="008670F5" w:rsidRPr="00785FB4">
        <w:t>A May 2017 report by the Independent Joint Anti-Corruption Monitoring and Evaluation Committee (MEC) highlighted significant smuggling of gemstones and gold, with an estimate</w:t>
      </w:r>
      <w:r w:rsidR="00997E6D" w:rsidRPr="00785FB4">
        <w:t>d</w:t>
      </w:r>
      <w:r w:rsidR="008670F5" w:rsidRPr="00785FB4">
        <w:t xml:space="preserve"> </w:t>
      </w:r>
      <w:commentRangeStart w:id="303"/>
      <w:r w:rsidR="008670F5" w:rsidRPr="00785FB4">
        <w:t>500kg</w:t>
      </w:r>
      <w:commentRangeEnd w:id="303"/>
      <w:r w:rsidR="00A14663">
        <w:rPr>
          <w:rStyle w:val="CommentReference"/>
          <w:szCs w:val="20"/>
        </w:rPr>
        <w:commentReference w:id="303"/>
      </w:r>
      <w:r w:rsidR="008670F5" w:rsidRPr="00785FB4">
        <w:t xml:space="preserve"> of gold smuggled through Kabul airport monthly according to gold smugglers interviewed.</w:t>
      </w:r>
      <w:r w:rsidR="008670F5" w:rsidRPr="00785FB4">
        <w:rPr>
          <w:rStyle w:val="FootnoteReference"/>
        </w:rPr>
        <w:footnoteReference w:id="193"/>
      </w:r>
      <w:r w:rsidR="00EB1DD3" w:rsidRPr="00785FB4">
        <w:t xml:space="preserve"> The May 2017 AEITI assessment </w:t>
      </w:r>
      <w:r w:rsidR="00430CE8" w:rsidRPr="00785FB4">
        <w:t>highlighted the lack of implementation to date of MoUs with neighbouring countries to cross-check export data.</w:t>
      </w:r>
      <w:r w:rsidRPr="00785FB4">
        <w:rPr>
          <w:rStyle w:val="FootnoteReference"/>
          <w:bCs/>
        </w:rPr>
        <w:footnoteReference w:id="194"/>
      </w:r>
      <w:r w:rsidRPr="00785FB4">
        <w:rPr>
          <w:bCs/>
        </w:rPr>
        <w:t xml:space="preserve"> </w:t>
      </w:r>
    </w:p>
    <w:p w14:paraId="69A57AC5" w14:textId="422E62B2" w:rsidR="00597FC5" w:rsidRPr="00785FB4" w:rsidRDefault="00675030" w:rsidP="00A94167">
      <w:pPr>
        <w:pStyle w:val="Heading3"/>
      </w:pPr>
      <w:bookmarkStart w:id="304" w:name="_Toc459133133"/>
      <w:bookmarkStart w:id="305" w:name="_Toc461803082"/>
      <w:bookmarkStart w:id="306" w:name="_Toc505449630"/>
      <w:r w:rsidRPr="00785FB4">
        <w:t>Initial assessment</w:t>
      </w:r>
      <w:bookmarkEnd w:id="304"/>
      <w:bookmarkEnd w:id="305"/>
      <w:bookmarkEnd w:id="306"/>
    </w:p>
    <w:p w14:paraId="63585469" w14:textId="2FF33256" w:rsidR="00405360" w:rsidRPr="00785FB4" w:rsidRDefault="00675030" w:rsidP="00405360">
      <w:pPr>
        <w:spacing w:before="120"/>
      </w:pPr>
      <w:r w:rsidRPr="00785FB4">
        <w:t xml:space="preserve">The International Secretariat’s initial assessment is that </w:t>
      </w:r>
      <w:r w:rsidR="009B1522" w:rsidRPr="00785FB4">
        <w:rPr>
          <w:bCs/>
        </w:rPr>
        <w:t>Afghanistan</w:t>
      </w:r>
      <w:r w:rsidR="009B1522" w:rsidRPr="00785FB4">
        <w:t xml:space="preserve"> </w:t>
      </w:r>
      <w:r w:rsidRPr="00785FB4">
        <w:t xml:space="preserve">has made </w:t>
      </w:r>
      <w:r w:rsidR="00430CE8" w:rsidRPr="00785FB4">
        <w:rPr>
          <w:bCs/>
        </w:rPr>
        <w:t xml:space="preserve">no </w:t>
      </w:r>
      <w:r w:rsidR="0094284E" w:rsidRPr="00785FB4">
        <w:rPr>
          <w:bCs/>
        </w:rPr>
        <w:t>progress</w:t>
      </w:r>
      <w:r w:rsidR="00405360" w:rsidRPr="00785FB4">
        <w:t xml:space="preserve"> </w:t>
      </w:r>
      <w:r w:rsidRPr="00785FB4">
        <w:t xml:space="preserve">in meeting this requirement. </w:t>
      </w:r>
      <w:r w:rsidR="0094284E" w:rsidRPr="00785FB4">
        <w:t xml:space="preserve">The 2014-15 EITI Report quotes the </w:t>
      </w:r>
      <w:r w:rsidR="00DB56BA" w:rsidRPr="00785FB4">
        <w:t>MOF</w:t>
      </w:r>
      <w:r w:rsidR="0094284E" w:rsidRPr="00785FB4">
        <w:t xml:space="preserve">’s statement that extractives export data is not currently available, despite evidence of </w:t>
      </w:r>
      <w:r w:rsidR="00430CE8" w:rsidRPr="00785FB4">
        <w:t xml:space="preserve">publicly-accessible (yet inconsistent) </w:t>
      </w:r>
      <w:r w:rsidR="0094284E" w:rsidRPr="00785FB4">
        <w:t xml:space="preserve">third-party </w:t>
      </w:r>
      <w:r w:rsidR="00430CE8" w:rsidRPr="00785FB4">
        <w:t>sources for mineral export data</w:t>
      </w:r>
      <w:r w:rsidR="0094284E" w:rsidRPr="00785FB4">
        <w:t xml:space="preserve">. </w:t>
      </w:r>
      <w:r w:rsidR="00430CE8" w:rsidRPr="00785FB4">
        <w:t xml:space="preserve">While the report provides civil society </w:t>
      </w:r>
      <w:r w:rsidR="00747742" w:rsidRPr="00785FB4">
        <w:t xml:space="preserve">estimates of </w:t>
      </w:r>
      <w:r w:rsidR="00430CE8" w:rsidRPr="00785FB4">
        <w:t xml:space="preserve">informal </w:t>
      </w:r>
      <w:r w:rsidR="00747742" w:rsidRPr="00785FB4">
        <w:t>lapis lazuli export volumes and values</w:t>
      </w:r>
      <w:r w:rsidR="00430CE8" w:rsidRPr="00785FB4">
        <w:t>, there is no evidence of the MSG tackling the issue of export data in preparing the 2014-15 EITI Report</w:t>
      </w:r>
      <w:r w:rsidR="00747742" w:rsidRPr="00785FB4">
        <w:t xml:space="preserve">. </w:t>
      </w:r>
    </w:p>
    <w:p w14:paraId="54BABA05" w14:textId="13AE365B" w:rsidR="00FA51E8" w:rsidRPr="00785FB4" w:rsidRDefault="0094284E" w:rsidP="007369FB">
      <w:pPr>
        <w:spacing w:before="120"/>
        <w:rPr>
          <w:i/>
          <w:color w:val="000000"/>
        </w:rPr>
      </w:pPr>
      <w:r w:rsidRPr="00785FB4">
        <w:t xml:space="preserve">In accordance with Requirement 3.3, </w:t>
      </w:r>
      <w:r w:rsidR="00A876FC" w:rsidRPr="00785FB4">
        <w:t>Afghanistan</w:t>
      </w:r>
      <w:r w:rsidRPr="00785FB4">
        <w:t xml:space="preserve"> should </w:t>
      </w:r>
      <w:r w:rsidR="00C266B8" w:rsidRPr="00785FB4">
        <w:t>ensure that export volumes and values for all extractive commodities exported are publicly accessible.</w:t>
      </w:r>
      <w:r w:rsidR="00997E6D" w:rsidRPr="00785FB4">
        <w:t xml:space="preserve"> In the absence of reliable official data, </w:t>
      </w:r>
      <w:r w:rsidR="00A876FC" w:rsidRPr="00785FB4">
        <w:t xml:space="preserve">Afghanistan </w:t>
      </w:r>
      <w:r w:rsidR="00997E6D" w:rsidRPr="00785FB4">
        <w:t>should at a minimum ensure that estimates are comprehensively disclosed and compared.</w:t>
      </w:r>
      <w:r w:rsidR="00C266B8" w:rsidRPr="00785FB4">
        <w:t xml:space="preserve"> </w:t>
      </w:r>
      <w:r w:rsidR="00A876FC" w:rsidRPr="00785FB4">
        <w:t xml:space="preserve">Afghanistan </w:t>
      </w:r>
      <w:r w:rsidR="00C266B8" w:rsidRPr="00785FB4">
        <w:t xml:space="preserve">may wish to use EITI reporting as a diagnostic tool to identify discrepancies in export data from different sources and support the government’s efforts to curb smuggling. </w:t>
      </w:r>
    </w:p>
    <w:p w14:paraId="7FE1C478" w14:textId="1D67F07E" w:rsidR="00675030" w:rsidRPr="00785FB4" w:rsidRDefault="00045490" w:rsidP="009464B0">
      <w:pPr>
        <w:pStyle w:val="Caption"/>
        <w:rPr>
          <w:color w:val="000000"/>
        </w:rPr>
      </w:pPr>
      <w:bookmarkStart w:id="307" w:name="_Toc463537776"/>
      <w:bookmarkStart w:id="308" w:name="_Toc463537963"/>
      <w:r w:rsidRPr="00785FB4">
        <w:t xml:space="preserve">Table </w:t>
      </w:r>
      <w:fldSimple w:instr=" SEQ Table \* ARABIC ">
        <w:r w:rsidR="00D8510F" w:rsidRPr="00785FB4">
          <w:t>3</w:t>
        </w:r>
      </w:fldSimple>
      <w:r w:rsidRPr="00785FB4">
        <w:t xml:space="preserve">- </w:t>
      </w:r>
      <w:r w:rsidR="00675030" w:rsidRPr="00785FB4">
        <w:rPr>
          <w:color w:val="000000"/>
        </w:rPr>
        <w:t xml:space="preserve"> </w:t>
      </w:r>
      <w:r w:rsidR="00675030" w:rsidRPr="00785FB4">
        <w:rPr>
          <w:rFonts w:eastAsia="Calibri"/>
        </w:rPr>
        <w:t>Summary initial assessment table: Monitoring and production</w:t>
      </w:r>
      <w:bookmarkEnd w:id="307"/>
      <w:bookmarkEnd w:id="30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4081"/>
        <w:gridCol w:w="2755"/>
      </w:tblGrid>
      <w:tr w:rsidR="00FC3899" w:rsidRPr="00785FB4" w14:paraId="720A2BDA" w14:textId="77777777" w:rsidTr="007369FB">
        <w:trPr>
          <w:trHeight w:val="879"/>
        </w:trPr>
        <w:tc>
          <w:tcPr>
            <w:tcW w:w="2386" w:type="dxa"/>
            <w:shd w:val="clear" w:color="auto" w:fill="D9D9D9"/>
            <w:vAlign w:val="center"/>
          </w:tcPr>
          <w:p w14:paraId="25182590" w14:textId="77777777" w:rsidR="00FC3899" w:rsidRPr="00785FB4" w:rsidRDefault="00FC3899" w:rsidP="00D8510F">
            <w:pPr>
              <w:pStyle w:val="Tabletext"/>
              <w:rPr>
                <w:lang w:val="en-GB"/>
              </w:rPr>
            </w:pPr>
            <w:r w:rsidRPr="00785FB4">
              <w:rPr>
                <w:lang w:val="en-GB"/>
              </w:rPr>
              <w:t>EITI provisions</w:t>
            </w:r>
          </w:p>
        </w:tc>
        <w:tc>
          <w:tcPr>
            <w:tcW w:w="4447" w:type="dxa"/>
            <w:shd w:val="clear" w:color="auto" w:fill="D9D9D9"/>
            <w:vAlign w:val="center"/>
          </w:tcPr>
          <w:p w14:paraId="2A65BF62" w14:textId="77777777" w:rsidR="00FC3899" w:rsidRPr="00785FB4" w:rsidRDefault="00FC3899" w:rsidP="00D8510F">
            <w:pPr>
              <w:pStyle w:val="Tabletext"/>
              <w:rPr>
                <w:lang w:val="en-GB"/>
              </w:rPr>
            </w:pPr>
            <w:r w:rsidRPr="00785FB4">
              <w:rPr>
                <w:lang w:val="en-GB"/>
              </w:rPr>
              <w:t>Summary of main findings</w:t>
            </w:r>
          </w:p>
        </w:tc>
        <w:tc>
          <w:tcPr>
            <w:tcW w:w="2544" w:type="dxa"/>
            <w:shd w:val="clear" w:color="auto" w:fill="D9D9D9"/>
            <w:vAlign w:val="center"/>
          </w:tcPr>
          <w:p w14:paraId="1C6BE3AD" w14:textId="05473090" w:rsidR="00FC3899" w:rsidRPr="00785FB4" w:rsidRDefault="00FC3899" w:rsidP="00D8510F">
            <w:pPr>
              <w:pStyle w:val="Tabletext"/>
              <w:rPr>
                <w:lang w:val="en-GB"/>
              </w:rPr>
            </w:pPr>
            <w:r w:rsidRPr="00785FB4">
              <w:rPr>
                <w:lang w:val="en-GB"/>
              </w:rPr>
              <w:t xml:space="preserve">International Secretariat’s initial assessment of progress with the EITI provisions </w:t>
            </w:r>
          </w:p>
        </w:tc>
      </w:tr>
      <w:tr w:rsidR="00675030" w:rsidRPr="00785FB4" w14:paraId="44B21D36" w14:textId="77777777" w:rsidTr="007369FB">
        <w:tc>
          <w:tcPr>
            <w:tcW w:w="2386" w:type="dxa"/>
            <w:shd w:val="clear" w:color="auto" w:fill="auto"/>
            <w:vAlign w:val="center"/>
          </w:tcPr>
          <w:p w14:paraId="133B38B7" w14:textId="09A374AD" w:rsidR="00675030" w:rsidRPr="00785FB4" w:rsidRDefault="00675030" w:rsidP="00D8510F">
            <w:pPr>
              <w:pStyle w:val="Tabletext"/>
              <w:rPr>
                <w:lang w:val="en-GB"/>
              </w:rPr>
            </w:pPr>
            <w:r w:rsidRPr="00785FB4">
              <w:rPr>
                <w:lang w:val="en-GB"/>
              </w:rPr>
              <w:t xml:space="preserve">Overview of the </w:t>
            </w:r>
            <w:r w:rsidRPr="00785FB4">
              <w:rPr>
                <w:lang w:val="en-GB"/>
              </w:rPr>
              <w:lastRenderedPageBreak/>
              <w:t>extractive sector, including exploration activities (#3.1)</w:t>
            </w:r>
          </w:p>
        </w:tc>
        <w:tc>
          <w:tcPr>
            <w:tcW w:w="4447" w:type="dxa"/>
            <w:shd w:val="clear" w:color="auto" w:fill="auto"/>
            <w:vAlign w:val="center"/>
          </w:tcPr>
          <w:p w14:paraId="17AF5FC8" w14:textId="4173341F" w:rsidR="00675030" w:rsidRPr="00785FB4" w:rsidRDefault="00D352D2" w:rsidP="00D8510F">
            <w:pPr>
              <w:pStyle w:val="Tabletext"/>
              <w:rPr>
                <w:lang w:val="en-GB"/>
              </w:rPr>
            </w:pPr>
            <w:r w:rsidRPr="00785FB4">
              <w:rPr>
                <w:lang w:val="en-GB"/>
              </w:rPr>
              <w:lastRenderedPageBreak/>
              <w:t xml:space="preserve">The 2014-15 EITI Report provides an </w:t>
            </w:r>
            <w:r w:rsidRPr="00785FB4">
              <w:rPr>
                <w:lang w:val="en-GB"/>
              </w:rPr>
              <w:lastRenderedPageBreak/>
              <w:t>overview of the extractive industries, including significant exploration and informal activities.</w:t>
            </w:r>
          </w:p>
        </w:tc>
        <w:tc>
          <w:tcPr>
            <w:tcW w:w="2544" w:type="dxa"/>
            <w:vAlign w:val="center"/>
          </w:tcPr>
          <w:p w14:paraId="3DFA4191" w14:textId="171EACDA" w:rsidR="00675030" w:rsidRPr="00785FB4" w:rsidRDefault="00D352D2" w:rsidP="00D8510F">
            <w:pPr>
              <w:pStyle w:val="Tabletext"/>
              <w:rPr>
                <w:lang w:val="en-GB"/>
              </w:rPr>
            </w:pPr>
            <w:r w:rsidRPr="00785FB4">
              <w:rPr>
                <w:lang w:val="en-GB"/>
              </w:rPr>
              <w:lastRenderedPageBreak/>
              <w:t>Satisfactory progress</w:t>
            </w:r>
          </w:p>
        </w:tc>
      </w:tr>
      <w:tr w:rsidR="00675030" w:rsidRPr="00785FB4" w14:paraId="35F6E81A" w14:textId="77777777" w:rsidTr="007369FB">
        <w:tc>
          <w:tcPr>
            <w:tcW w:w="2386" w:type="dxa"/>
            <w:shd w:val="clear" w:color="auto" w:fill="auto"/>
            <w:vAlign w:val="center"/>
          </w:tcPr>
          <w:p w14:paraId="001769AD" w14:textId="77777777" w:rsidR="00675030" w:rsidRPr="00785FB4" w:rsidRDefault="00675030" w:rsidP="00D8510F">
            <w:pPr>
              <w:pStyle w:val="Tabletext"/>
              <w:rPr>
                <w:lang w:val="en-GB"/>
              </w:rPr>
            </w:pPr>
            <w:r w:rsidRPr="00785FB4">
              <w:rPr>
                <w:lang w:val="en-GB"/>
              </w:rPr>
              <w:t>Production data (#3.2)</w:t>
            </w:r>
          </w:p>
        </w:tc>
        <w:tc>
          <w:tcPr>
            <w:tcW w:w="4447" w:type="dxa"/>
            <w:shd w:val="clear" w:color="auto" w:fill="auto"/>
            <w:vAlign w:val="center"/>
          </w:tcPr>
          <w:p w14:paraId="1D3DC926" w14:textId="14A712F7" w:rsidR="00675030" w:rsidRPr="00785FB4" w:rsidRDefault="00A876FC" w:rsidP="00D8510F">
            <w:pPr>
              <w:pStyle w:val="Tabletext"/>
              <w:rPr>
                <w:lang w:val="en-GB"/>
              </w:rPr>
            </w:pPr>
            <w:r w:rsidRPr="00785FB4">
              <w:rPr>
                <w:lang w:val="en-GB"/>
              </w:rPr>
              <w:t>The 2014-15 EITI Report provides the results of reconciliation of production volumes for minerals (including oil and gas) reported by companies and government in the years under review, albeit with significant unexplained discrepancies. There are significant concerns from all constituencies consulted over the reliability of official production statistics. The report does not provide values for any of the production volumes reported, although it does indirectly provide some information on the location of production.</w:t>
            </w:r>
          </w:p>
        </w:tc>
        <w:tc>
          <w:tcPr>
            <w:tcW w:w="2544" w:type="dxa"/>
            <w:vAlign w:val="center"/>
          </w:tcPr>
          <w:p w14:paraId="665A6C3A" w14:textId="0E454363" w:rsidR="00675030" w:rsidRPr="00785FB4" w:rsidRDefault="002E2E66" w:rsidP="00D8510F">
            <w:pPr>
              <w:pStyle w:val="Tabletext"/>
              <w:rPr>
                <w:lang w:val="en-GB"/>
              </w:rPr>
            </w:pPr>
            <w:r w:rsidRPr="00785FB4">
              <w:rPr>
                <w:lang w:val="en-GB"/>
              </w:rPr>
              <w:t>Inadequate</w:t>
            </w:r>
            <w:r w:rsidR="00D352D2" w:rsidRPr="00785FB4">
              <w:rPr>
                <w:lang w:val="en-GB"/>
              </w:rPr>
              <w:t xml:space="preserve"> progress</w:t>
            </w:r>
          </w:p>
        </w:tc>
      </w:tr>
      <w:tr w:rsidR="00675030" w:rsidRPr="00785FB4" w14:paraId="1AC92263" w14:textId="77777777" w:rsidTr="007369FB">
        <w:tc>
          <w:tcPr>
            <w:tcW w:w="2386" w:type="dxa"/>
            <w:shd w:val="clear" w:color="auto" w:fill="auto"/>
            <w:vAlign w:val="center"/>
          </w:tcPr>
          <w:p w14:paraId="5C331106" w14:textId="77777777" w:rsidR="00675030" w:rsidRPr="00785FB4" w:rsidRDefault="00675030" w:rsidP="00D8510F">
            <w:pPr>
              <w:pStyle w:val="Tabletext"/>
              <w:rPr>
                <w:lang w:val="en-GB"/>
              </w:rPr>
            </w:pPr>
            <w:r w:rsidRPr="00785FB4">
              <w:rPr>
                <w:lang w:val="en-GB"/>
              </w:rPr>
              <w:t>Export data (#3.3)</w:t>
            </w:r>
          </w:p>
        </w:tc>
        <w:tc>
          <w:tcPr>
            <w:tcW w:w="4447" w:type="dxa"/>
            <w:shd w:val="clear" w:color="auto" w:fill="auto"/>
            <w:vAlign w:val="center"/>
          </w:tcPr>
          <w:p w14:paraId="2E20FC61" w14:textId="65C8890F" w:rsidR="00675030" w:rsidRPr="00785FB4" w:rsidRDefault="00A876FC" w:rsidP="00D8510F">
            <w:pPr>
              <w:pStyle w:val="Tabletext"/>
              <w:rPr>
                <w:lang w:val="en-GB"/>
              </w:rPr>
            </w:pPr>
            <w:r w:rsidRPr="00785FB4">
              <w:rPr>
                <w:lang w:val="en-GB"/>
              </w:rPr>
              <w:t xml:space="preserve">The 2014-15 EITI Report quotes the </w:t>
            </w:r>
            <w:r w:rsidR="00DB56BA" w:rsidRPr="00785FB4">
              <w:rPr>
                <w:lang w:val="en-GB"/>
              </w:rPr>
              <w:t>MOF</w:t>
            </w:r>
            <w:r w:rsidRPr="00785FB4">
              <w:rPr>
                <w:lang w:val="en-GB"/>
              </w:rPr>
              <w:t>’s statement that extractives export data is not currently available, despite evidence of publicly-accessible (yet inconsistent) third-party sources for mineral export data. While the report provides civil society estimates of informal lapis lazuli export volumes and values, there is no evidence of the MSG tackling the issue of export data in preparing the 2014-15 EITI Report.</w:t>
            </w:r>
          </w:p>
        </w:tc>
        <w:tc>
          <w:tcPr>
            <w:tcW w:w="2544" w:type="dxa"/>
            <w:vAlign w:val="center"/>
          </w:tcPr>
          <w:p w14:paraId="427EEFFA" w14:textId="499CF4DF" w:rsidR="00675030" w:rsidRPr="00785FB4" w:rsidRDefault="002E2E66" w:rsidP="00D8510F">
            <w:pPr>
              <w:pStyle w:val="Tabletext"/>
              <w:rPr>
                <w:lang w:val="en-GB"/>
              </w:rPr>
            </w:pPr>
            <w:r w:rsidRPr="00785FB4">
              <w:rPr>
                <w:lang w:val="en-GB"/>
              </w:rPr>
              <w:t>No</w:t>
            </w:r>
            <w:r w:rsidR="00D352D2" w:rsidRPr="00785FB4">
              <w:rPr>
                <w:lang w:val="en-GB"/>
              </w:rPr>
              <w:t xml:space="preserve"> progress</w:t>
            </w:r>
          </w:p>
        </w:tc>
      </w:tr>
      <w:tr w:rsidR="00675030" w:rsidRPr="00785FB4" w14:paraId="0B3315C8" w14:textId="77777777" w:rsidTr="008C1A47">
        <w:tc>
          <w:tcPr>
            <w:tcW w:w="0" w:type="auto"/>
            <w:gridSpan w:val="3"/>
            <w:shd w:val="clear" w:color="auto" w:fill="FFFFFF"/>
            <w:vAlign w:val="center"/>
          </w:tcPr>
          <w:p w14:paraId="3138FE44" w14:textId="1D96C38A" w:rsidR="00675030" w:rsidRPr="00785FB4" w:rsidRDefault="008C1A47" w:rsidP="00D8510F">
            <w:pPr>
              <w:pStyle w:val="Tabletext"/>
              <w:rPr>
                <w:lang w:val="en-GB"/>
              </w:rPr>
            </w:pPr>
            <w:r w:rsidRPr="00785FB4">
              <w:rPr>
                <w:lang w:val="en-GB"/>
              </w:rPr>
              <w:t xml:space="preserve">Secretariat’s </w:t>
            </w:r>
            <w:r w:rsidR="00675030" w:rsidRPr="00785FB4">
              <w:rPr>
                <w:lang w:val="en-GB"/>
              </w:rPr>
              <w:t>recommendations:</w:t>
            </w:r>
          </w:p>
          <w:p w14:paraId="53AD4D9F" w14:textId="2D68A667" w:rsidR="002E2E66" w:rsidRPr="00785FB4" w:rsidRDefault="002E2E66" w:rsidP="00F72955">
            <w:pPr>
              <w:pStyle w:val="ListParagraph"/>
              <w:numPr>
                <w:ilvl w:val="0"/>
                <w:numId w:val="41"/>
              </w:numPr>
              <w:rPr>
                <w:rFonts w:eastAsia="Calibri"/>
              </w:rPr>
            </w:pPr>
            <w:r w:rsidRPr="00785FB4">
              <w:t xml:space="preserve">To strengthen implementation, </w:t>
            </w:r>
            <w:r w:rsidR="00A876FC" w:rsidRPr="00785FB4">
              <w:t xml:space="preserve">Afghanistan </w:t>
            </w:r>
            <w:r w:rsidRPr="00785FB4">
              <w:t>may wish to expand its coverage of the mining sector by including more specific updates on estimated deposits, ongoing and stalled projects.</w:t>
            </w:r>
          </w:p>
          <w:p w14:paraId="3E045F9E" w14:textId="593EE6FB" w:rsidR="002E2E66" w:rsidRPr="00785FB4" w:rsidRDefault="00A876FC" w:rsidP="00F72955">
            <w:pPr>
              <w:pStyle w:val="ListParagraph"/>
              <w:numPr>
                <w:ilvl w:val="0"/>
                <w:numId w:val="41"/>
              </w:numPr>
              <w:rPr>
                <w:rFonts w:eastAsia="Calibri"/>
              </w:rPr>
            </w:pPr>
            <w:r w:rsidRPr="00785FB4">
              <w:t xml:space="preserve">In accordance with Requirement 3.2, Afghanistan should ensure that production volumes and values for all extractive commodities produced are publicly accessible. Where comprehensive disclosure of production figures for all minerals produced is not technically-feasible (e.g. for security reasons), Afghanistan should ensure that the reasons for non-disclosure are clearly explained and that publicly-available estimates are comprehensively disclosed and assessed. Afghanistan may wish to use EITI reporting to explain challenges in the production of official production statistics and track the implementation of key reforms in the </w:t>
            </w:r>
            <w:r w:rsidR="00DB56BA" w:rsidRPr="00785FB4">
              <w:t>MOMP</w:t>
            </w:r>
            <w:r w:rsidRPr="00785FB4">
              <w:t>’s mine inspection and oversight.</w:t>
            </w:r>
          </w:p>
          <w:p w14:paraId="2B237B04" w14:textId="1A810024" w:rsidR="00675030" w:rsidRPr="00785FB4" w:rsidRDefault="00A876FC" w:rsidP="00F72955">
            <w:pPr>
              <w:pStyle w:val="ListParagraph"/>
              <w:numPr>
                <w:ilvl w:val="0"/>
                <w:numId w:val="41"/>
              </w:numPr>
              <w:rPr>
                <w:rFonts w:eastAsia="Calibri"/>
              </w:rPr>
            </w:pPr>
            <w:r w:rsidRPr="00785FB4">
              <w:t>In accordance with Requirement 3.3, Afghanistan should ensure that export volumes and values for all extractive commodities exported are publicly accessible. In the absence of reliable official data, Afghanistan should at a minimum ensure that estimates are comprehensively disclosed and compared. Afghanistan may wish to use EITI reporting as a diagnostic tool to identify discrepancies in export data from different sources and support the government’s efforts to curb smuggling.</w:t>
            </w:r>
          </w:p>
        </w:tc>
      </w:tr>
    </w:tbl>
    <w:p w14:paraId="1CA4FA7C" w14:textId="263B8D56" w:rsidR="00FA51E8" w:rsidRPr="00785FB4" w:rsidRDefault="00FA51E8" w:rsidP="00A94167">
      <w:pPr>
        <w:pStyle w:val="Heading2"/>
      </w:pPr>
      <w:bookmarkStart w:id="309" w:name="_Toc461796629"/>
      <w:bookmarkStart w:id="310" w:name="_Toc461803083"/>
      <w:bookmarkStart w:id="311" w:name="_Toc461786601"/>
      <w:bookmarkStart w:id="312" w:name="_Toc461787172"/>
      <w:bookmarkStart w:id="313" w:name="_Toc461787337"/>
      <w:bookmarkStart w:id="314" w:name="_Toc461792499"/>
      <w:bookmarkStart w:id="315" w:name="_Toc461792572"/>
      <w:bookmarkStart w:id="316" w:name="_Toc461792650"/>
      <w:bookmarkStart w:id="317" w:name="_Toc461795849"/>
      <w:bookmarkStart w:id="318" w:name="_Toc461816222"/>
      <w:bookmarkStart w:id="319" w:name="_Toc461808559"/>
      <w:bookmarkStart w:id="320" w:name="_Toc459133134"/>
      <w:bookmarkStart w:id="321" w:name="_Toc461803084"/>
      <w:bookmarkStart w:id="322" w:name="_Toc461787338"/>
      <w:bookmarkStart w:id="323" w:name="_Toc461795850"/>
      <w:bookmarkStart w:id="324" w:name="_Toc459133135"/>
      <w:bookmarkEnd w:id="309"/>
      <w:bookmarkEnd w:id="310"/>
      <w:bookmarkEnd w:id="311"/>
      <w:bookmarkEnd w:id="312"/>
      <w:bookmarkEnd w:id="313"/>
      <w:bookmarkEnd w:id="314"/>
      <w:bookmarkEnd w:id="315"/>
      <w:bookmarkEnd w:id="316"/>
      <w:bookmarkEnd w:id="317"/>
      <w:bookmarkEnd w:id="318"/>
      <w:bookmarkEnd w:id="319"/>
    </w:p>
    <w:p w14:paraId="61FB878A" w14:textId="28284E1D" w:rsidR="000722F1" w:rsidRPr="00785FB4" w:rsidRDefault="00E91ADB" w:rsidP="00A94167">
      <w:pPr>
        <w:pStyle w:val="Heading2"/>
      </w:pPr>
      <w:bookmarkStart w:id="325" w:name="_Toc505449631"/>
      <w:bookmarkStart w:id="326" w:name="_Toc505449799"/>
      <w:r w:rsidRPr="00785FB4">
        <w:t xml:space="preserve">4. </w:t>
      </w:r>
      <w:r w:rsidRPr="00785FB4">
        <w:tab/>
      </w:r>
      <w:r w:rsidR="000722F1" w:rsidRPr="00785FB4">
        <w:t>Revenue collection</w:t>
      </w:r>
      <w:bookmarkEnd w:id="320"/>
      <w:bookmarkEnd w:id="321"/>
      <w:bookmarkEnd w:id="322"/>
      <w:bookmarkEnd w:id="323"/>
      <w:bookmarkEnd w:id="325"/>
      <w:bookmarkEnd w:id="326"/>
      <w:r w:rsidR="000722F1" w:rsidRPr="00785FB4">
        <w:t xml:space="preserve"> </w:t>
      </w:r>
    </w:p>
    <w:p w14:paraId="30050D7B" w14:textId="1F36DF24" w:rsidR="006056F7" w:rsidRPr="00785FB4" w:rsidRDefault="00E91ADB" w:rsidP="00A94167">
      <w:pPr>
        <w:pStyle w:val="Heading2notindexed"/>
      </w:pPr>
      <w:bookmarkStart w:id="327" w:name="_Toc461803085"/>
      <w:bookmarkStart w:id="328" w:name="_Toc461787339"/>
      <w:bookmarkStart w:id="329" w:name="_Toc461795851"/>
      <w:bookmarkStart w:id="330" w:name="_Toc505449632"/>
      <w:bookmarkStart w:id="331" w:name="_Toc505449800"/>
      <w:r w:rsidRPr="00785FB4">
        <w:t xml:space="preserve">4.1 </w:t>
      </w:r>
      <w:r w:rsidR="000722F1" w:rsidRPr="00785FB4">
        <w:t>Overview</w:t>
      </w:r>
      <w:bookmarkEnd w:id="324"/>
      <w:bookmarkEnd w:id="327"/>
      <w:bookmarkEnd w:id="328"/>
      <w:bookmarkEnd w:id="329"/>
      <w:bookmarkEnd w:id="330"/>
      <w:bookmarkEnd w:id="331"/>
    </w:p>
    <w:p w14:paraId="472332B9" w14:textId="66409320" w:rsidR="000722F1" w:rsidRPr="00785FB4" w:rsidRDefault="006056F7" w:rsidP="000722F1">
      <w:pPr>
        <w:spacing w:before="120"/>
      </w:pPr>
      <w:r w:rsidRPr="00785FB4">
        <w:t xml:space="preserve">This section provides details on the implementation of the EITI requirements related to </w:t>
      </w:r>
      <w:r w:rsidR="00785FB4" w:rsidRPr="00785FB4">
        <w:t>revenue</w:t>
      </w:r>
      <w:r w:rsidRPr="00785FB4">
        <w:t xml:space="preserve"> transparency, including the comprehensiveness, quality and level of detail disclosed. It also considers compliance with the EITI Requirements related to procedures for producing EITI Reports.</w:t>
      </w:r>
      <w:r w:rsidR="00495C47" w:rsidRPr="00785FB4">
        <w:t xml:space="preserve"> </w:t>
      </w:r>
    </w:p>
    <w:p w14:paraId="2C5DCAFC" w14:textId="3CA26FE6" w:rsidR="000722F1" w:rsidRPr="00785FB4" w:rsidRDefault="00E91ADB" w:rsidP="00A94167">
      <w:pPr>
        <w:pStyle w:val="Heading2notindexed"/>
      </w:pPr>
      <w:bookmarkStart w:id="332" w:name="_Toc459133136"/>
      <w:bookmarkStart w:id="333" w:name="_Toc461803086"/>
      <w:bookmarkStart w:id="334" w:name="_Toc461787340"/>
      <w:bookmarkStart w:id="335" w:name="_Toc461795852"/>
      <w:bookmarkStart w:id="336" w:name="_Toc505449633"/>
      <w:bookmarkStart w:id="337" w:name="_Toc505449801"/>
      <w:r w:rsidRPr="00785FB4">
        <w:t xml:space="preserve">4.2 </w:t>
      </w:r>
      <w:r w:rsidR="000722F1" w:rsidRPr="00785FB4">
        <w:t>Assessment</w:t>
      </w:r>
      <w:bookmarkEnd w:id="332"/>
      <w:bookmarkEnd w:id="333"/>
      <w:bookmarkEnd w:id="334"/>
      <w:bookmarkEnd w:id="335"/>
      <w:bookmarkEnd w:id="336"/>
      <w:bookmarkEnd w:id="337"/>
    </w:p>
    <w:p w14:paraId="26F4ECB0" w14:textId="51055A66" w:rsidR="000722F1" w:rsidRPr="00785FB4" w:rsidRDefault="003D5730" w:rsidP="00A94167">
      <w:pPr>
        <w:pStyle w:val="Heading2notindexed"/>
      </w:pPr>
      <w:bookmarkStart w:id="338" w:name="_Toc459133137"/>
      <w:bookmarkStart w:id="339" w:name="_Toc461803087"/>
      <w:bookmarkStart w:id="340" w:name="_Toc461787341"/>
      <w:bookmarkStart w:id="341" w:name="_Toc461795853"/>
      <w:bookmarkStart w:id="342" w:name="_Toc505449634"/>
      <w:bookmarkStart w:id="343" w:name="_Toc505449802"/>
      <w:r w:rsidRPr="00785FB4">
        <w:t>Materiality</w:t>
      </w:r>
      <w:r w:rsidR="00B32C5D" w:rsidRPr="00785FB4">
        <w:t xml:space="preserve"> (#4.1</w:t>
      </w:r>
      <w:r w:rsidR="000722F1" w:rsidRPr="00785FB4">
        <w:t>)</w:t>
      </w:r>
      <w:bookmarkEnd w:id="338"/>
      <w:bookmarkEnd w:id="339"/>
      <w:bookmarkEnd w:id="340"/>
      <w:bookmarkEnd w:id="341"/>
      <w:bookmarkEnd w:id="342"/>
      <w:bookmarkEnd w:id="343"/>
    </w:p>
    <w:p w14:paraId="13B9B3FD" w14:textId="4480DCE4" w:rsidR="00240C0D" w:rsidRPr="00785FB4" w:rsidRDefault="00533AAF" w:rsidP="00A94167">
      <w:pPr>
        <w:pStyle w:val="Heading3"/>
      </w:pPr>
      <w:bookmarkStart w:id="344" w:name="_Toc505449635"/>
      <w:r w:rsidRPr="00785FB4">
        <w:t>Documentation of progress</w:t>
      </w:r>
      <w:bookmarkEnd w:id="344"/>
      <w:r w:rsidRPr="00785FB4">
        <w:t xml:space="preserve"> </w:t>
      </w:r>
    </w:p>
    <w:p w14:paraId="35FE97A3" w14:textId="619697AC" w:rsidR="001B4981" w:rsidRPr="00785FB4" w:rsidRDefault="00533AAF" w:rsidP="00C8623E">
      <w:pPr>
        <w:spacing w:before="120"/>
      </w:pPr>
      <w:r w:rsidRPr="00785FB4">
        <w:rPr>
          <w:i/>
          <w:u w:val="single"/>
        </w:rPr>
        <w:t>Materiality threshold for revenue streams</w:t>
      </w:r>
      <w:r w:rsidRPr="00785FB4">
        <w:t xml:space="preserve">: </w:t>
      </w:r>
      <w:r w:rsidR="001B4981" w:rsidRPr="00785FB4">
        <w:t xml:space="preserve">The </w:t>
      </w:r>
      <w:r w:rsidR="00741180" w:rsidRPr="00785FB4">
        <w:t xml:space="preserve">2014-15 </w:t>
      </w:r>
      <w:r w:rsidR="001B4981" w:rsidRPr="00785FB4">
        <w:t>EITI Report does not set an explicit materiality threshold for sel</w:t>
      </w:r>
      <w:r w:rsidR="00F3105B" w:rsidRPr="00785FB4">
        <w:t xml:space="preserve">ecting material revenue streams, although it refers to the MSG’s scoping decisions taken at its 23 January 2017 meeting (p.42). </w:t>
      </w:r>
      <w:r w:rsidR="000512E5" w:rsidRPr="00785FB4">
        <w:t>The report states that the MSG decided to include all revenue flows, including those for which the government reported no receipts in either years covered (p.53)</w:t>
      </w:r>
      <w:r w:rsidR="0012104B" w:rsidRPr="00785FB4">
        <w:t>, which is reflected in the list of material revenue streams provided (pp.42-43)</w:t>
      </w:r>
      <w:r w:rsidR="000E0F64" w:rsidRPr="00785FB4">
        <w:t xml:space="preserve"> and in line with the approach adopted in previous EITI Reports.</w:t>
      </w:r>
      <w:r w:rsidR="000E0F64" w:rsidRPr="00785FB4">
        <w:rPr>
          <w:rStyle w:val="FootnoteReference"/>
        </w:rPr>
        <w:footnoteReference w:id="195"/>
      </w:r>
      <w:r w:rsidR="000E0F64" w:rsidRPr="00785FB4">
        <w:t xml:space="preserve"> The 2014-15 inception report justified the MSG’s materiality threshold of zero for selecting revenue flows for reconciliation on the basis of the “uncertainty of comprehensiveness of reporting”.</w:t>
      </w:r>
      <w:r w:rsidR="000E0F64" w:rsidRPr="00785FB4">
        <w:rPr>
          <w:rStyle w:val="FootnoteReference"/>
        </w:rPr>
        <w:footnoteReference w:id="196"/>
      </w:r>
    </w:p>
    <w:p w14:paraId="54B12267" w14:textId="6BA26C6D" w:rsidR="00533AAF" w:rsidRPr="00785FB4" w:rsidRDefault="00533AAF" w:rsidP="003B12A5">
      <w:pPr>
        <w:spacing w:before="120"/>
      </w:pPr>
      <w:r w:rsidRPr="00785FB4">
        <w:rPr>
          <w:i/>
          <w:u w:val="single"/>
        </w:rPr>
        <w:t>Descriptions of material revenue streams</w:t>
      </w:r>
      <w:r w:rsidR="0048348D" w:rsidRPr="00785FB4">
        <w:rPr>
          <w:i/>
          <w:u w:val="single"/>
        </w:rPr>
        <w:t>:</w:t>
      </w:r>
      <w:r w:rsidRPr="00785FB4">
        <w:t xml:space="preserve"> </w:t>
      </w:r>
      <w:r w:rsidR="0048348D" w:rsidRPr="00785FB4">
        <w:t xml:space="preserve">The report lists the </w:t>
      </w:r>
      <w:r w:rsidR="003B12A5" w:rsidRPr="00785FB4">
        <w:t xml:space="preserve">26 </w:t>
      </w:r>
      <w:r w:rsidR="0048348D" w:rsidRPr="00785FB4">
        <w:t>material revenue streams</w:t>
      </w:r>
      <w:r w:rsidR="003B12A5" w:rsidRPr="00785FB4">
        <w:rPr>
          <w:rStyle w:val="FootnoteReference"/>
        </w:rPr>
        <w:footnoteReference w:id="197"/>
      </w:r>
      <w:r w:rsidR="0048348D" w:rsidRPr="00785FB4">
        <w:t xml:space="preserve"> included in the scope of reconciliation</w:t>
      </w:r>
      <w:r w:rsidR="003B12A5" w:rsidRPr="00785FB4">
        <w:t xml:space="preserve"> (pp.42-43), but does not provide descriptions </w:t>
      </w:r>
      <w:r w:rsidR="00C35DD7" w:rsidRPr="00785FB4">
        <w:t>of</w:t>
      </w:r>
      <w:r w:rsidR="003B12A5" w:rsidRPr="00785FB4">
        <w:t xml:space="preserve"> revenue stream</w:t>
      </w:r>
      <w:r w:rsidR="00C35DD7" w:rsidRPr="00785FB4">
        <w:t xml:space="preserve">s. </w:t>
      </w:r>
    </w:p>
    <w:p w14:paraId="43AB31F0" w14:textId="60D03D89" w:rsidR="001B4981" w:rsidRPr="00785FB4" w:rsidRDefault="00533AAF" w:rsidP="00C8623E">
      <w:r w:rsidRPr="00785FB4">
        <w:rPr>
          <w:i/>
          <w:u w:val="single"/>
        </w:rPr>
        <w:t>Materiality threshold for companies</w:t>
      </w:r>
      <w:r w:rsidRPr="00785FB4">
        <w:t xml:space="preserve">: </w:t>
      </w:r>
      <w:r w:rsidR="00C35DD7" w:rsidRPr="00785FB4">
        <w:t xml:space="preserve">The report </w:t>
      </w:r>
      <w:r w:rsidR="00E8739E" w:rsidRPr="00785FB4">
        <w:t xml:space="preserve">confirms the MSG’s approval of the selection of material companies (p.54) and provides the materiality threshold of AFS 6m (roughly USD </w:t>
      </w:r>
      <w:r w:rsidR="007D0330" w:rsidRPr="00785FB4">
        <w:t xml:space="preserve">86k) in total payments to government in one of the two years covered (2014 and 2015) for selecting material companies (p.48). It confirms that materiality decisions were based on government departments’ disclosures of revenues collected </w:t>
      </w:r>
      <w:r w:rsidR="005924A7" w:rsidRPr="00785FB4">
        <w:t>(pp.15,48</w:t>
      </w:r>
      <w:r w:rsidR="007D0330" w:rsidRPr="00785FB4">
        <w:t xml:space="preserve">). The report explains that the MSG considered this threshold “reasonable” given that it provided coverage of 94.8% and 96.7% of extractives revenues collected by government in 2014 and 2015 respectively (p.48). However, the report also noted challenges in selecting material companies on the basis of a threshold defined in terms of total payments to government, given the lack of an “embedded process” for government production of information on revenues and production </w:t>
      </w:r>
      <w:r w:rsidR="001B4981" w:rsidRPr="00785FB4">
        <w:t>(pp.15-16</w:t>
      </w:r>
      <w:r w:rsidR="007D0330" w:rsidRPr="00785FB4">
        <w:t>,46</w:t>
      </w:r>
      <w:r w:rsidR="001B4981" w:rsidRPr="00785FB4">
        <w:t>).</w:t>
      </w:r>
      <w:r w:rsidR="007D0330" w:rsidRPr="00785FB4">
        <w:t xml:space="preserve"> It highlights that significantly more companies were identified as material for the 2014-15 EITI </w:t>
      </w:r>
      <w:r w:rsidR="007D0330" w:rsidRPr="00785FB4">
        <w:lastRenderedPageBreak/>
        <w:t>Report than in previous EITI Reports, but notes that government reporting (on which materiality decisions were based</w:t>
      </w:r>
      <w:r w:rsidR="00BA4BD0" w:rsidRPr="00785FB4">
        <w:t xml:space="preserve"> in previous years</w:t>
      </w:r>
      <w:r w:rsidR="007D0330" w:rsidRPr="00785FB4">
        <w:t>) was incomplete (with missing Tax Identification Numbers for instance) and inconsistent across different government sources (pp.15,47).</w:t>
      </w:r>
      <w:r w:rsidR="00E7359A" w:rsidRPr="00785FB4">
        <w:t xml:space="preserve"> It also notes the inclusion of </w:t>
      </w:r>
      <w:r w:rsidR="00DB56BA" w:rsidRPr="00785FB4">
        <w:t>MOMP</w:t>
      </w:r>
      <w:r w:rsidR="00E7359A" w:rsidRPr="00785FB4">
        <w:t xml:space="preserve"> Provincial Directorate receipts for the first time as a factor extending the coverage of the reconciliation exercise on previous years (p.15).</w:t>
      </w:r>
      <w:r w:rsidR="007D0330" w:rsidRPr="00785FB4">
        <w:t xml:space="preserve"> The report also explicitly states that ASM was excluded from the scope of reporting, meaning that operators in lapis lazuli mining were not included in reconciliation (p.16). </w:t>
      </w:r>
    </w:p>
    <w:p w14:paraId="60110E2A" w14:textId="6BD6635F" w:rsidR="001D4946" w:rsidRPr="00785FB4" w:rsidRDefault="001D4946" w:rsidP="001D4946">
      <w:r w:rsidRPr="00785FB4">
        <w:t>The report justifies the inclusion of one company, Shair Pawan, in the scope of reporting despite its lack of an extractives license (p.20). It describes a royalty collection farm-out arrangement involving Shair Pawan, whereby the company collects royalties from companies transporting construction materials (stone and gravel) at checkpoints on two roads</w:t>
      </w:r>
      <w:r w:rsidRPr="00785FB4">
        <w:rPr>
          <w:rStyle w:val="FootnoteReference"/>
        </w:rPr>
        <w:footnoteReference w:id="198"/>
      </w:r>
      <w:r w:rsidRPr="00785FB4">
        <w:t xml:space="preserve"> in Bagram District (p.20). The original contract between Shair Pawan and the </w:t>
      </w:r>
      <w:r w:rsidR="00DB56BA" w:rsidRPr="00785FB4">
        <w:t>MOMP</w:t>
      </w:r>
      <w:r w:rsidRPr="00785FB4">
        <w:t xml:space="preserve"> was concluded for one year on 5 May 2013, although the report notes that the company continued paying the annual royalty to government in line with the original contract</w:t>
      </w:r>
      <w:r w:rsidR="00187A19" w:rsidRPr="00785FB4">
        <w:t xml:space="preserve"> despite the lapsing</w:t>
      </w:r>
      <w:r w:rsidRPr="00785FB4">
        <w:t xml:space="preserve"> </w:t>
      </w:r>
      <w:r w:rsidR="00187A19" w:rsidRPr="00785FB4">
        <w:t xml:space="preserve">of the agreement in May 2014 </w:t>
      </w:r>
      <w:r w:rsidRPr="00785FB4">
        <w:t xml:space="preserve">(p.20). A copy of the one-page 2013 contract between Shair Pawan and the </w:t>
      </w:r>
      <w:r w:rsidR="00DB56BA" w:rsidRPr="00785FB4">
        <w:t>MOMP</w:t>
      </w:r>
      <w:r w:rsidRPr="00785FB4">
        <w:t xml:space="preserve"> Parwan Mine Directorate is provided in annex to the report (a/p.208).</w:t>
      </w:r>
      <w:r w:rsidR="00187A19" w:rsidRPr="00785FB4">
        <w:t xml:space="preserve"> The report quotes assurances from the </w:t>
      </w:r>
      <w:r w:rsidR="00DB56BA" w:rsidRPr="00785FB4">
        <w:t>MOMP</w:t>
      </w:r>
      <w:r w:rsidR="00187A19" w:rsidRPr="00785FB4">
        <w:t xml:space="preserve"> Cadastre Directorate that there are no other such arrangements in force (p.</w:t>
      </w:r>
      <w:commentRangeStart w:id="345"/>
      <w:r w:rsidR="00187A19" w:rsidRPr="00785FB4">
        <w:t>20</w:t>
      </w:r>
      <w:commentRangeEnd w:id="345"/>
      <w:r w:rsidR="00F85C84">
        <w:rPr>
          <w:rStyle w:val="CommentReference"/>
          <w:szCs w:val="20"/>
        </w:rPr>
        <w:commentReference w:id="345"/>
      </w:r>
      <w:r w:rsidR="00187A19" w:rsidRPr="00785FB4">
        <w:t>).</w:t>
      </w:r>
    </w:p>
    <w:p w14:paraId="7B4B7102" w14:textId="4F4C039B" w:rsidR="00533AAF" w:rsidRPr="00785FB4" w:rsidRDefault="00533AAF" w:rsidP="00533AAF">
      <w:pPr>
        <w:spacing w:before="120"/>
      </w:pPr>
      <w:r w:rsidRPr="00785FB4">
        <w:rPr>
          <w:i/>
          <w:u w:val="single"/>
        </w:rPr>
        <w:t>Material companies</w:t>
      </w:r>
      <w:r w:rsidRPr="00785FB4">
        <w:rPr>
          <w:u w:val="single"/>
        </w:rPr>
        <w:t>:</w:t>
      </w:r>
      <w:r w:rsidRPr="00785FB4">
        <w:t xml:space="preserve"> </w:t>
      </w:r>
      <w:r w:rsidR="001A53C7" w:rsidRPr="00785FB4">
        <w:t xml:space="preserve">The report lists the </w:t>
      </w:r>
      <w:r w:rsidR="001D1A77" w:rsidRPr="00785FB4">
        <w:t>28</w:t>
      </w:r>
      <w:r w:rsidR="001A53C7" w:rsidRPr="00785FB4">
        <w:t xml:space="preserve"> material companies (including two SOEs) included in the scope of reporting, alongside government reporting of 2014 and 2015 revenues from each company in absolute terms and relative to total extractives revenues (p</w:t>
      </w:r>
      <w:r w:rsidR="001D1A77" w:rsidRPr="00785FB4">
        <w:t>p</w:t>
      </w:r>
      <w:r w:rsidR="001A53C7" w:rsidRPr="00785FB4">
        <w:t>.49</w:t>
      </w:r>
      <w:r w:rsidR="001D1A77" w:rsidRPr="00785FB4">
        <w:t>-50</w:t>
      </w:r>
      <w:r w:rsidR="001A53C7" w:rsidRPr="00785FB4">
        <w:t xml:space="preserve">). </w:t>
      </w:r>
      <w:r w:rsidR="006018E1" w:rsidRPr="00785FB4">
        <w:t xml:space="preserve">A comparison of the lists of material companies included in the 2014-15 EITI Report and the 2012-13 EITI Report is also provided (p.51). </w:t>
      </w:r>
    </w:p>
    <w:p w14:paraId="0A4FE09B" w14:textId="7CB72048" w:rsidR="00EB0514" w:rsidRPr="00785FB4" w:rsidRDefault="00533AAF" w:rsidP="00533AAF">
      <w:pPr>
        <w:spacing w:before="120"/>
      </w:pPr>
      <w:r w:rsidRPr="00785FB4">
        <w:rPr>
          <w:i/>
          <w:u w:val="single"/>
        </w:rPr>
        <w:t>Material company reporting</w:t>
      </w:r>
      <w:r w:rsidRPr="00785FB4">
        <w:t xml:space="preserve">: </w:t>
      </w:r>
      <w:r w:rsidR="005D5937" w:rsidRPr="00785FB4">
        <w:t>The report names the eight material companies that did not report, including four for which no contact details were found</w:t>
      </w:r>
      <w:r w:rsidR="005D5937" w:rsidRPr="00785FB4">
        <w:rPr>
          <w:rStyle w:val="FootnoteReference"/>
        </w:rPr>
        <w:footnoteReference w:id="199"/>
      </w:r>
      <w:r w:rsidR="005D5937" w:rsidRPr="00785FB4">
        <w:t xml:space="preserve"> and four companies that did not respond to data requests</w:t>
      </w:r>
      <w:r w:rsidR="005D5937" w:rsidRPr="00785FB4">
        <w:rPr>
          <w:rStyle w:val="FootnoteReference"/>
        </w:rPr>
        <w:footnoteReference w:id="200"/>
      </w:r>
      <w:r w:rsidR="005D5937" w:rsidRPr="00785FB4">
        <w:t xml:space="preserve"> (pp.</w:t>
      </w:r>
      <w:r w:rsidR="00010184" w:rsidRPr="00785FB4">
        <w:t>16,</w:t>
      </w:r>
      <w:r w:rsidR="005D5937" w:rsidRPr="00785FB4">
        <w:t xml:space="preserve">62-63). </w:t>
      </w:r>
      <w:r w:rsidR="00010184" w:rsidRPr="00785FB4">
        <w:t>The report explains that one of the companies that could not be contacted</w:t>
      </w:r>
      <w:r w:rsidR="00010184" w:rsidRPr="00785FB4">
        <w:rPr>
          <w:rStyle w:val="FootnoteReference"/>
        </w:rPr>
        <w:footnoteReference w:id="201"/>
      </w:r>
      <w:r w:rsidR="00010184" w:rsidRPr="00785FB4">
        <w:t xml:space="preserve"> was described by the </w:t>
      </w:r>
      <w:r w:rsidR="00DB56BA" w:rsidRPr="00785FB4">
        <w:t>MOMP</w:t>
      </w:r>
      <w:r w:rsidR="00010184" w:rsidRPr="00785FB4">
        <w:t xml:space="preserve"> Cadastre Department as “closed and the responsible person is not in Afghanistan”, and cites press reports suggesting that disputes between local factions prevented the company from operating on the licensed area (p.16), although it is unclear whether this was the case in 2014-15. The report also describes each of the four material companies’ stated reasons for not reporting</w:t>
      </w:r>
      <w:r w:rsidR="00010184" w:rsidRPr="00785FB4">
        <w:rPr>
          <w:rStyle w:val="FootnoteReference"/>
        </w:rPr>
        <w:footnoteReference w:id="202"/>
      </w:r>
      <w:r w:rsidR="00010184" w:rsidRPr="00785FB4">
        <w:t xml:space="preserve"> (p.16). </w:t>
      </w:r>
      <w:r w:rsidR="009D254F" w:rsidRPr="00785FB4">
        <w:t xml:space="preserve">The materiality of non-reporting companies’ payments to government </w:t>
      </w:r>
      <w:r w:rsidR="00F22B11" w:rsidRPr="00785FB4">
        <w:t>in 2014 and 2015 is provided (p</w:t>
      </w:r>
      <w:r w:rsidR="009D254F" w:rsidRPr="00785FB4">
        <w:t>.49)</w:t>
      </w:r>
      <w:r w:rsidR="00F22B11" w:rsidRPr="00785FB4">
        <w:t>.</w:t>
      </w:r>
    </w:p>
    <w:p w14:paraId="7276E240" w14:textId="27B806C5" w:rsidR="00533AAF" w:rsidRPr="00785FB4" w:rsidRDefault="00533AAF" w:rsidP="00C8623E">
      <w:pPr>
        <w:spacing w:before="120"/>
      </w:pPr>
      <w:r w:rsidRPr="00785FB4">
        <w:rPr>
          <w:i/>
          <w:u w:val="single"/>
        </w:rPr>
        <w:t>Material government entities</w:t>
      </w:r>
      <w:r w:rsidRPr="00785FB4">
        <w:t xml:space="preserve">: </w:t>
      </w:r>
      <w:r w:rsidR="00802480" w:rsidRPr="00785FB4">
        <w:t xml:space="preserve">The 2014-15 EITI Report lists the </w:t>
      </w:r>
      <w:r w:rsidR="00921A89" w:rsidRPr="00785FB4">
        <w:t>eight</w:t>
      </w:r>
      <w:r w:rsidR="001D5CCC" w:rsidRPr="00785FB4">
        <w:t xml:space="preserve"> </w:t>
      </w:r>
      <w:r w:rsidR="00802480" w:rsidRPr="00785FB4">
        <w:t>national government entities included in the scope of reporting</w:t>
      </w:r>
      <w:r w:rsidR="00802480" w:rsidRPr="00785FB4">
        <w:rPr>
          <w:rStyle w:val="FootnoteReference"/>
        </w:rPr>
        <w:footnoteReference w:id="203"/>
      </w:r>
      <w:r w:rsidR="001D5CCC" w:rsidRPr="00785FB4">
        <w:t xml:space="preserve"> and confirms that no sub-national government entity was included in reporting, given the lack of evidence of any extractives revenues collected directly by sub-national </w:t>
      </w:r>
      <w:r w:rsidR="001D5CCC" w:rsidRPr="00785FB4">
        <w:lastRenderedPageBreak/>
        <w:t xml:space="preserve">governments (p.45). The MSG’s approval of material government entities is confirmed </w:t>
      </w:r>
      <w:r w:rsidR="00802480" w:rsidRPr="00785FB4">
        <w:t xml:space="preserve">(p.54). </w:t>
      </w:r>
    </w:p>
    <w:p w14:paraId="1DD25CDC" w14:textId="74861B3C" w:rsidR="00EB0514" w:rsidRPr="00785FB4" w:rsidRDefault="00533AAF" w:rsidP="00533AAF">
      <w:pPr>
        <w:spacing w:before="120"/>
        <w:rPr>
          <w:bCs/>
        </w:rPr>
      </w:pPr>
      <w:r w:rsidRPr="00785FB4">
        <w:rPr>
          <w:i/>
          <w:u w:val="single"/>
        </w:rPr>
        <w:t>Government reporting</w:t>
      </w:r>
      <w:r w:rsidRPr="00785FB4">
        <w:rPr>
          <w:u w:val="single"/>
        </w:rPr>
        <w:t>:</w:t>
      </w:r>
      <w:r w:rsidRPr="00785FB4">
        <w:t xml:space="preserve"> </w:t>
      </w:r>
      <w:r w:rsidR="00E83B79" w:rsidRPr="00785FB4">
        <w:t xml:space="preserve">The report states that all government entities aside from </w:t>
      </w:r>
      <w:r w:rsidR="00DB56BA" w:rsidRPr="00785FB4">
        <w:t>MOF</w:t>
      </w:r>
      <w:r w:rsidR="00E83B79" w:rsidRPr="00785FB4">
        <w:t xml:space="preserve"> Customs provided full unilateral disclosure of revenues during the inception phase ahead of materiality decisions (pp.17-18,63). It clarifies that </w:t>
      </w:r>
      <w:r w:rsidR="00DB56BA" w:rsidRPr="00785FB4">
        <w:t>MOF</w:t>
      </w:r>
      <w:r w:rsidR="00E83B79" w:rsidRPr="00785FB4">
        <w:t xml:space="preserve"> Customs subsequently responded to data collection requests, albeit slowly (p.63). While it notes that </w:t>
      </w:r>
      <w:r w:rsidR="00DB56BA" w:rsidRPr="00785FB4">
        <w:t>MOF</w:t>
      </w:r>
      <w:r w:rsidR="00E83B79" w:rsidRPr="00785FB4">
        <w:t xml:space="preserve"> Revenue and </w:t>
      </w:r>
      <w:r w:rsidR="00DB56BA" w:rsidRPr="00785FB4">
        <w:t>MOF</w:t>
      </w:r>
      <w:r w:rsidR="00E83B79" w:rsidRPr="00785FB4">
        <w:t xml:space="preserve"> Customs did not complete the subsequent reporting templates for each material company, it explains that the IA was provided access to supporting documentation to investigate </w:t>
      </w:r>
      <w:r w:rsidR="00CC72FB" w:rsidRPr="00785FB4">
        <w:t xml:space="preserve">discrepancies, which ensured full government reporting (p.17). </w:t>
      </w:r>
    </w:p>
    <w:p w14:paraId="6E79278E" w14:textId="780041A1" w:rsidR="001B4981" w:rsidRPr="00785FB4" w:rsidRDefault="00533AAF" w:rsidP="00C8623E">
      <w:pPr>
        <w:spacing w:before="120"/>
        <w:rPr>
          <w:bCs/>
        </w:rPr>
      </w:pPr>
      <w:r w:rsidRPr="00785FB4">
        <w:rPr>
          <w:i/>
          <w:u w:val="single"/>
        </w:rPr>
        <w:t>Discrepancies</w:t>
      </w:r>
      <w:r w:rsidRPr="00785FB4">
        <w:t xml:space="preserve">: </w:t>
      </w:r>
      <w:r w:rsidR="00CC72FB" w:rsidRPr="00785FB4">
        <w:t>The report refers to the materiality threshold for investigating discrepancies of AFS 1m (roughly USD 14k)</w:t>
      </w:r>
      <w:r w:rsidR="001B4981" w:rsidRPr="00785FB4">
        <w:t xml:space="preserve"> (p.48).</w:t>
      </w:r>
      <w:r w:rsidR="003B13BF" w:rsidRPr="00785FB4">
        <w:t xml:space="preserve"> </w:t>
      </w:r>
      <w:r w:rsidR="008B7236" w:rsidRPr="00785FB4">
        <w:t>The net unreconciled discrepancies are provided in aggregate both in absolute terms and relative to total government extractives revenues (pp.10</w:t>
      </w:r>
      <w:r w:rsidR="000717CE" w:rsidRPr="00785FB4">
        <w:t>-11</w:t>
      </w:r>
      <w:r w:rsidR="008B7236" w:rsidRPr="00785FB4">
        <w:t xml:space="preserve">,13,57-58,66) and disaggregated by revenue stream and company </w:t>
      </w:r>
      <w:r w:rsidR="00A951F8" w:rsidRPr="00785FB4">
        <w:t>(pp.67-68</w:t>
      </w:r>
      <w:r w:rsidR="0004618F" w:rsidRPr="00785FB4">
        <w:t xml:space="preserve">, </w:t>
      </w:r>
      <w:r w:rsidR="00A951F8" w:rsidRPr="00785FB4">
        <w:t>a/pp.18-74)</w:t>
      </w:r>
      <w:r w:rsidR="008B7236" w:rsidRPr="00785FB4">
        <w:t xml:space="preserve">. </w:t>
      </w:r>
      <w:r w:rsidR="0004618F" w:rsidRPr="00785FB4">
        <w:t>Final unreconciled discrepancies represented 10.8% and 2.5% of government extractives revenues in 2014 and 2015 respectively (pp.</w:t>
      </w:r>
      <w:r w:rsidR="000717CE" w:rsidRPr="00785FB4">
        <w:t>10-11,</w:t>
      </w:r>
      <w:r w:rsidR="0004618F" w:rsidRPr="00785FB4">
        <w:t xml:space="preserve">57-58). </w:t>
      </w:r>
      <w:r w:rsidR="000717CE" w:rsidRPr="00785FB4">
        <w:t>The report describes the causes for discrepancies in general terms (mainly due to the provision of information by one of the two reporting entities only), without additiona</w:t>
      </w:r>
      <w:r w:rsidR="00496E8D" w:rsidRPr="00785FB4">
        <w:t xml:space="preserve">l detail (pp.11-15). </w:t>
      </w:r>
    </w:p>
    <w:p w14:paraId="7A7CB25E" w14:textId="7E49A5D9" w:rsidR="00EB0514" w:rsidRPr="00785FB4" w:rsidRDefault="00533AAF" w:rsidP="006C39A1">
      <w:pPr>
        <w:spacing w:before="120"/>
      </w:pPr>
      <w:r w:rsidRPr="00785FB4">
        <w:rPr>
          <w:i/>
          <w:u w:val="single"/>
        </w:rPr>
        <w:t>Full government disclosure</w:t>
      </w:r>
      <w:r w:rsidRPr="00785FB4">
        <w:rPr>
          <w:u w:val="single"/>
        </w:rPr>
        <w:t>:</w:t>
      </w:r>
      <w:r w:rsidRPr="00785FB4">
        <w:t xml:space="preserve"> </w:t>
      </w:r>
      <w:r w:rsidR="006C39A1" w:rsidRPr="00785FB4">
        <w:t xml:space="preserve">The report provides full unilateral government disclosure of extractives revenues disaggregated by collecting government entity (p.9) and by company (a/pp.209-216), but not disaggregated by revenue stream. The report describes the data collection process for the government’s unilateral reporting, raising concerns over the scope for error in government reporting </w:t>
      </w:r>
      <w:r w:rsidR="00EB0514" w:rsidRPr="00785FB4">
        <w:t>(pp.46-47)</w:t>
      </w:r>
      <w:r w:rsidR="006C39A1" w:rsidRPr="00785FB4">
        <w:t>.</w:t>
      </w:r>
      <w:r w:rsidR="00EB0514" w:rsidRPr="00785FB4">
        <w:t xml:space="preserve"> </w:t>
      </w:r>
    </w:p>
    <w:p w14:paraId="50C0199B" w14:textId="2B6BF7DF" w:rsidR="007236DF" w:rsidRPr="00785FB4" w:rsidRDefault="00533AAF" w:rsidP="00A94167">
      <w:pPr>
        <w:pStyle w:val="Heading3"/>
      </w:pPr>
      <w:bookmarkStart w:id="346" w:name="_Toc505449636"/>
      <w:r w:rsidRPr="00785FB4">
        <w:t>Stakeholder views</w:t>
      </w:r>
      <w:bookmarkEnd w:id="346"/>
      <w:r w:rsidRPr="00785FB4">
        <w:t xml:space="preserve"> </w:t>
      </w:r>
    </w:p>
    <w:p w14:paraId="426AB506" w14:textId="5824DF88" w:rsidR="0035655C" w:rsidRPr="00785FB4" w:rsidRDefault="00A61021" w:rsidP="00A955B1">
      <w:pPr>
        <w:spacing w:before="120"/>
        <w:rPr>
          <w:bCs/>
        </w:rPr>
      </w:pPr>
      <w:r w:rsidRPr="00785FB4">
        <w:rPr>
          <w:bCs/>
          <w:i/>
          <w:u w:val="single"/>
        </w:rPr>
        <w:t>Material revenues</w:t>
      </w:r>
      <w:r w:rsidRPr="00785FB4">
        <w:rPr>
          <w:bCs/>
        </w:rPr>
        <w:t xml:space="preserve">: </w:t>
      </w:r>
      <w:r w:rsidR="008032A5" w:rsidRPr="00785FB4">
        <w:rPr>
          <w:bCs/>
        </w:rPr>
        <w:t xml:space="preserve">The IA </w:t>
      </w:r>
      <w:r w:rsidR="00B809E6" w:rsidRPr="00785FB4">
        <w:rPr>
          <w:bCs/>
        </w:rPr>
        <w:t xml:space="preserve">and MSG’s Technical Committee </w:t>
      </w:r>
      <w:r w:rsidR="008032A5" w:rsidRPr="00785FB4">
        <w:rPr>
          <w:bCs/>
        </w:rPr>
        <w:t>confirmed that the MSG had agreed on a materiality threshold of zero for selecting material revenue streams</w:t>
      </w:r>
      <w:r w:rsidR="0035655C" w:rsidRPr="00785FB4">
        <w:rPr>
          <w:bCs/>
        </w:rPr>
        <w:t xml:space="preserve"> and </w:t>
      </w:r>
      <w:r w:rsidR="008032A5" w:rsidRPr="00785FB4">
        <w:rPr>
          <w:bCs/>
        </w:rPr>
        <w:t xml:space="preserve">explained that the poor quality of the government’s initial reporting, on which materiality decision were based, prompted the MSG’s decision to include all revenues in the scope of reconciliation. </w:t>
      </w:r>
      <w:r w:rsidR="00371B9A" w:rsidRPr="00785FB4">
        <w:rPr>
          <w:bCs/>
        </w:rPr>
        <w:t xml:space="preserve">The March 2015 Secretariat Review of Afghanistan </w:t>
      </w:r>
      <w:r w:rsidR="00DE1B46" w:rsidRPr="00785FB4">
        <w:rPr>
          <w:bCs/>
        </w:rPr>
        <w:t xml:space="preserve">had raised concerns </w:t>
      </w:r>
      <w:r w:rsidR="00371B9A" w:rsidRPr="00785FB4">
        <w:rPr>
          <w:bCs/>
        </w:rPr>
        <w:t xml:space="preserve">that </w:t>
      </w:r>
      <w:r w:rsidR="00A17BD0" w:rsidRPr="00785FB4">
        <w:rPr>
          <w:bCs/>
        </w:rPr>
        <w:t xml:space="preserve">the rationale for selecting </w:t>
      </w:r>
      <w:r w:rsidR="00DE1B46" w:rsidRPr="00785FB4">
        <w:rPr>
          <w:bCs/>
        </w:rPr>
        <w:t xml:space="preserve">material </w:t>
      </w:r>
      <w:r w:rsidR="00A17BD0" w:rsidRPr="00785FB4">
        <w:rPr>
          <w:bCs/>
        </w:rPr>
        <w:t xml:space="preserve">revenue streams </w:t>
      </w:r>
      <w:r w:rsidR="00DE1B46" w:rsidRPr="00785FB4">
        <w:rPr>
          <w:bCs/>
        </w:rPr>
        <w:t xml:space="preserve">was </w:t>
      </w:r>
      <w:r w:rsidR="00A17BD0" w:rsidRPr="00785FB4">
        <w:rPr>
          <w:bCs/>
        </w:rPr>
        <w:t>unclear, despite evidence of MSG endorsement of reporting thresholds.</w:t>
      </w:r>
      <w:r w:rsidR="00A955B1" w:rsidRPr="00785FB4">
        <w:rPr>
          <w:rStyle w:val="FootnoteReference"/>
        </w:rPr>
        <w:footnoteReference w:id="204"/>
      </w:r>
      <w:r w:rsidR="00E40D8B" w:rsidRPr="00785FB4">
        <w:rPr>
          <w:bCs/>
        </w:rPr>
        <w:t xml:space="preserve"> The </w:t>
      </w:r>
      <w:r w:rsidR="00DE1B46" w:rsidRPr="00785FB4">
        <w:rPr>
          <w:bCs/>
        </w:rPr>
        <w:t xml:space="preserve">review </w:t>
      </w:r>
      <w:r w:rsidR="00E40D8B" w:rsidRPr="00785FB4">
        <w:rPr>
          <w:bCs/>
        </w:rPr>
        <w:t>found that the inclusion of 21 revenue streams in the scope of reconciliation was not based on an assessment of the materiality of individual revenue streams, but rather on a review of relevant law and regulations regardless of revenue streams’ individual significance.</w:t>
      </w:r>
      <w:r w:rsidR="00E40D8B" w:rsidRPr="00785FB4">
        <w:rPr>
          <w:rStyle w:val="FootnoteReference"/>
        </w:rPr>
        <w:footnoteReference w:id="205"/>
      </w:r>
      <w:r w:rsidR="00E40D8B" w:rsidRPr="00785FB4">
        <w:rPr>
          <w:bCs/>
        </w:rPr>
        <w:t xml:space="preserve"> </w:t>
      </w:r>
      <w:r w:rsidR="00B624D8" w:rsidRPr="00785FB4">
        <w:rPr>
          <w:bCs/>
        </w:rPr>
        <w:t>The MSG’s Technical Committee confirmed that this was still the case</w:t>
      </w:r>
      <w:r w:rsidR="0035655C" w:rsidRPr="00785FB4">
        <w:rPr>
          <w:bCs/>
        </w:rPr>
        <w:t xml:space="preserve"> but defended the decision on the basis of the poor quality of the data</w:t>
      </w:r>
      <w:r w:rsidR="00B624D8" w:rsidRPr="00785FB4">
        <w:rPr>
          <w:bCs/>
        </w:rPr>
        <w:t xml:space="preserve">. </w:t>
      </w:r>
    </w:p>
    <w:p w14:paraId="5D9F3AFA" w14:textId="75114614" w:rsidR="00157C18" w:rsidRPr="00785FB4" w:rsidRDefault="00A61021" w:rsidP="00157C18">
      <w:pPr>
        <w:spacing w:before="120"/>
      </w:pPr>
      <w:r w:rsidRPr="00785FB4">
        <w:rPr>
          <w:bCs/>
          <w:i/>
          <w:u w:val="single"/>
        </w:rPr>
        <w:t>Material companies</w:t>
      </w:r>
      <w:r w:rsidRPr="00785FB4">
        <w:rPr>
          <w:bCs/>
        </w:rPr>
        <w:t xml:space="preserve">: </w:t>
      </w:r>
      <w:r w:rsidR="00AC4A17" w:rsidRPr="00785FB4">
        <w:rPr>
          <w:bCs/>
        </w:rPr>
        <w:t xml:space="preserve">The IA expressed satisfaction at the fact that the number of companies selected for reporting had risen considerably between the 2012-13 EITI Report and the 2014-15 EITI Report, as the MSG gained better insight about the number of companies operating in Afghanistan, a significant challenge in the past. </w:t>
      </w:r>
      <w:r w:rsidR="005E59EC" w:rsidRPr="00785FB4">
        <w:rPr>
          <w:bCs/>
        </w:rPr>
        <w:t xml:space="preserve">While government and industry representatives consulted considered that the companies making the largest payments to government had been included in the scope of reporting, several CSOs expressed concern that the scoping for the 2014-15 EITI Report had omitted companies holding contracts with the </w:t>
      </w:r>
      <w:r w:rsidR="00DB56BA" w:rsidRPr="00785FB4">
        <w:rPr>
          <w:bCs/>
        </w:rPr>
        <w:t>MOMP</w:t>
      </w:r>
      <w:r w:rsidR="005E59EC" w:rsidRPr="00785FB4">
        <w:rPr>
          <w:bCs/>
        </w:rPr>
        <w:t xml:space="preserve">. </w:t>
      </w:r>
      <w:r w:rsidR="0089356F" w:rsidRPr="00785FB4">
        <w:rPr>
          <w:bCs/>
        </w:rPr>
        <w:t xml:space="preserve">While the 2014-15 EITI Report listed 491 companies holding mining </w:t>
      </w:r>
      <w:r w:rsidR="0089356F" w:rsidRPr="00785FB4">
        <w:rPr>
          <w:bCs/>
        </w:rPr>
        <w:lastRenderedPageBreak/>
        <w:t xml:space="preserve">licenses during the period under review, </w:t>
      </w:r>
      <w:r w:rsidR="005E59EC" w:rsidRPr="00785FB4">
        <w:rPr>
          <w:bCs/>
        </w:rPr>
        <w:t>a</w:t>
      </w:r>
      <w:r w:rsidR="0089356F" w:rsidRPr="00785FB4">
        <w:rPr>
          <w:bCs/>
        </w:rPr>
        <w:t xml:space="preserve"> CSO highlighted </w:t>
      </w:r>
      <w:r w:rsidR="00254EB3" w:rsidRPr="00785FB4">
        <w:t xml:space="preserve">(in written comments to the International Secretariat in December 2017) </w:t>
      </w:r>
      <w:r w:rsidR="0089356F" w:rsidRPr="00785FB4">
        <w:rPr>
          <w:bCs/>
        </w:rPr>
        <w:t>an unspecified report from “</w:t>
      </w:r>
      <w:r w:rsidR="0089356F" w:rsidRPr="00785FB4">
        <w:t xml:space="preserve">a very credible body” listing 905 contracts and the Minister of Mines and Petroleum </w:t>
      </w:r>
      <w:r w:rsidR="005E59EC" w:rsidRPr="00785FB4">
        <w:t>citing 1047 contracts</w:t>
      </w:r>
      <w:r w:rsidR="00254EB3" w:rsidRPr="00785FB4">
        <w:t xml:space="preserve">. Several CSOs used the example of three emerald mining contracts in Panjshir that had recently been published on the </w:t>
      </w:r>
      <w:r w:rsidR="00DB56BA" w:rsidRPr="00785FB4">
        <w:t>MOMP</w:t>
      </w:r>
      <w:r w:rsidR="00254EB3" w:rsidRPr="00785FB4">
        <w:t xml:space="preserve"> website but did not appear as part of the scoping for the 2014-15 EITI Report as an example of omissions of potentially material companies. </w:t>
      </w:r>
      <w:r w:rsidR="00254EB3" w:rsidRPr="00785FB4">
        <w:rPr>
          <w:bCs/>
        </w:rPr>
        <w:t xml:space="preserve">A November 2015 report by Adam Smith International (ASI) for </w:t>
      </w:r>
      <w:r w:rsidR="00DB56BA" w:rsidRPr="00785FB4">
        <w:rPr>
          <w:bCs/>
        </w:rPr>
        <w:t>MOMP</w:t>
      </w:r>
      <w:r w:rsidR="00254EB3" w:rsidRPr="00785FB4">
        <w:rPr>
          <w:bCs/>
        </w:rPr>
        <w:t xml:space="preserve"> reported concerns from some interviewees that records from some mining companies that </w:t>
      </w:r>
      <w:r w:rsidR="00A66A17" w:rsidRPr="00785FB4">
        <w:rPr>
          <w:bCs/>
        </w:rPr>
        <w:t xml:space="preserve">made payments </w:t>
      </w:r>
      <w:r w:rsidR="00254EB3" w:rsidRPr="00785FB4">
        <w:rPr>
          <w:bCs/>
        </w:rPr>
        <w:t xml:space="preserve">to </w:t>
      </w:r>
      <w:r w:rsidR="00DB56BA" w:rsidRPr="00785FB4">
        <w:rPr>
          <w:bCs/>
        </w:rPr>
        <w:t>MOF</w:t>
      </w:r>
      <w:r w:rsidR="00254EB3" w:rsidRPr="00785FB4">
        <w:rPr>
          <w:bCs/>
        </w:rPr>
        <w:t xml:space="preserve"> were not included in EITI Reports.</w:t>
      </w:r>
      <w:r w:rsidR="00157C18" w:rsidRPr="00785FB4">
        <w:rPr>
          <w:rStyle w:val="FootnoteReference"/>
          <w:bCs/>
        </w:rPr>
        <w:footnoteReference w:id="206"/>
      </w:r>
    </w:p>
    <w:p w14:paraId="267CAB55" w14:textId="41E08848" w:rsidR="002E2DAD" w:rsidRPr="00785FB4" w:rsidRDefault="00DC120C" w:rsidP="00533AAF">
      <w:pPr>
        <w:spacing w:before="120"/>
        <w:rPr>
          <w:bCs/>
        </w:rPr>
      </w:pPr>
      <w:r w:rsidRPr="00785FB4">
        <w:rPr>
          <w:bCs/>
        </w:rPr>
        <w:t>Upon discussing the inclusion of companies that did not hold mining licenses (Shair Pawan) in the scope of reporting, t</w:t>
      </w:r>
      <w:r w:rsidR="00D7638D" w:rsidRPr="00785FB4">
        <w:rPr>
          <w:bCs/>
        </w:rPr>
        <w:t xml:space="preserve">here was considerable debate amongst different stakeholders consulted over the </w:t>
      </w:r>
      <w:r w:rsidR="00DB56BA" w:rsidRPr="00785FB4">
        <w:rPr>
          <w:bCs/>
        </w:rPr>
        <w:t>MOMP</w:t>
      </w:r>
      <w:r w:rsidR="00D7638D" w:rsidRPr="00785FB4">
        <w:rPr>
          <w:bCs/>
        </w:rPr>
        <w:t>’s practice of farming out royalty collection in certain areas to private companies, a practice several CSOs categorised as “laundering”</w:t>
      </w:r>
      <w:r w:rsidR="00ED10C8" w:rsidRPr="00785FB4">
        <w:rPr>
          <w:bCs/>
        </w:rPr>
        <w:t xml:space="preserve"> of illegally-</w:t>
      </w:r>
      <w:r w:rsidR="00D7638D" w:rsidRPr="00785FB4">
        <w:rPr>
          <w:bCs/>
        </w:rPr>
        <w:t xml:space="preserve">produced minerals. </w:t>
      </w:r>
      <w:r w:rsidRPr="00785FB4">
        <w:rPr>
          <w:bCs/>
        </w:rPr>
        <w:t>Members of the MSG’s Technical Committee explained that</w:t>
      </w:r>
      <w:r w:rsidR="00DC2445" w:rsidRPr="00785FB4">
        <w:rPr>
          <w:bCs/>
        </w:rPr>
        <w:t xml:space="preserve"> in an effort to collect at least some revenues from illegal mining,</w:t>
      </w:r>
      <w:r w:rsidRPr="00785FB4">
        <w:rPr>
          <w:bCs/>
        </w:rPr>
        <w:t xml:space="preserve"> the </w:t>
      </w:r>
      <w:r w:rsidR="00DB56BA" w:rsidRPr="00785FB4">
        <w:rPr>
          <w:bCs/>
        </w:rPr>
        <w:t>MOMP</w:t>
      </w:r>
      <w:r w:rsidRPr="00785FB4">
        <w:rPr>
          <w:bCs/>
        </w:rPr>
        <w:t xml:space="preserve"> had</w:t>
      </w:r>
      <w:r w:rsidR="00DC2445" w:rsidRPr="00785FB4">
        <w:rPr>
          <w:bCs/>
        </w:rPr>
        <w:t xml:space="preserve"> established</w:t>
      </w:r>
      <w:r w:rsidRPr="00785FB4">
        <w:rPr>
          <w:bCs/>
        </w:rPr>
        <w:t xml:space="preserve"> checkpoints to collect royalties from trucks carrying illegally-produced minerals</w:t>
      </w:r>
      <w:r w:rsidR="00DC2445" w:rsidRPr="00785FB4">
        <w:rPr>
          <w:bCs/>
        </w:rPr>
        <w:t xml:space="preserve"> but that this practice had been discontinued</w:t>
      </w:r>
      <w:r w:rsidRPr="00785FB4">
        <w:rPr>
          <w:bCs/>
        </w:rPr>
        <w:t xml:space="preserve"> in 2009 due to the security situation. </w:t>
      </w:r>
      <w:r w:rsidR="00EF1839" w:rsidRPr="00785FB4">
        <w:rPr>
          <w:bCs/>
        </w:rPr>
        <w:t xml:space="preserve">Instead, it contracted private companies to operate checkpoints in provinces such as Paktia and Parwan, which then remitted fixed royalties to the </w:t>
      </w:r>
      <w:r w:rsidR="00DB56BA" w:rsidRPr="00785FB4">
        <w:rPr>
          <w:bCs/>
        </w:rPr>
        <w:t>MOMP</w:t>
      </w:r>
      <w:r w:rsidR="00EF1839" w:rsidRPr="00785FB4">
        <w:rPr>
          <w:bCs/>
        </w:rPr>
        <w:t xml:space="preserve">. </w:t>
      </w:r>
      <w:r w:rsidR="002F3E88" w:rsidRPr="00785FB4">
        <w:rPr>
          <w:bCs/>
        </w:rPr>
        <w:t>Members confirmed that the Afghan Emerald Company’s royalty collections</w:t>
      </w:r>
      <w:r w:rsidR="00DC2445" w:rsidRPr="00785FB4">
        <w:rPr>
          <w:bCs/>
        </w:rPr>
        <w:t xml:space="preserve"> discussed in previous AEITI Reports</w:t>
      </w:r>
      <w:r w:rsidR="002F3E88" w:rsidRPr="00785FB4">
        <w:rPr>
          <w:bCs/>
        </w:rPr>
        <w:t xml:space="preserve"> were also in this context. However, </w:t>
      </w:r>
      <w:r w:rsidR="007E153B" w:rsidRPr="00785FB4">
        <w:rPr>
          <w:bCs/>
        </w:rPr>
        <w:t xml:space="preserve">they explained that </w:t>
      </w:r>
      <w:r w:rsidR="00DB56BA" w:rsidRPr="00785FB4">
        <w:rPr>
          <w:bCs/>
        </w:rPr>
        <w:t>MOMP</w:t>
      </w:r>
      <w:r w:rsidR="007E153B" w:rsidRPr="00785FB4">
        <w:rPr>
          <w:bCs/>
        </w:rPr>
        <w:t xml:space="preserve"> had discontinued this practice in mid-2015. </w:t>
      </w:r>
      <w:r w:rsidR="002E2DAD" w:rsidRPr="00785FB4">
        <w:rPr>
          <w:bCs/>
        </w:rPr>
        <w:t xml:space="preserve">A government official said that </w:t>
      </w:r>
      <w:r w:rsidR="00DB56BA" w:rsidRPr="00785FB4">
        <w:rPr>
          <w:bCs/>
        </w:rPr>
        <w:t>MOMP</w:t>
      </w:r>
      <w:r w:rsidR="002E2DAD" w:rsidRPr="00785FB4">
        <w:rPr>
          <w:bCs/>
        </w:rPr>
        <w:t xml:space="preserve"> had internal estimates of significant lost revenue as a consequence of the termination of this process</w:t>
      </w:r>
      <w:r w:rsidR="00DC2445" w:rsidRPr="00785FB4">
        <w:rPr>
          <w:bCs/>
        </w:rPr>
        <w:t>, prompting a review of the policy</w:t>
      </w:r>
      <w:r w:rsidR="002E2DAD" w:rsidRPr="00785FB4">
        <w:rPr>
          <w:bCs/>
        </w:rPr>
        <w:t xml:space="preserve">. There was consensus among all stakeholders consulted that </w:t>
      </w:r>
      <w:r w:rsidR="00DC2445" w:rsidRPr="00785FB4">
        <w:rPr>
          <w:bCs/>
        </w:rPr>
        <w:t xml:space="preserve">notwithstanding the classification in the contract with Shair Pawan annexed to the AEITI Report, </w:t>
      </w:r>
      <w:r w:rsidR="002E2DAD" w:rsidRPr="00785FB4">
        <w:rPr>
          <w:bCs/>
        </w:rPr>
        <w:t xml:space="preserve">the </w:t>
      </w:r>
      <w:r w:rsidR="00DB56BA" w:rsidRPr="00785FB4">
        <w:rPr>
          <w:bCs/>
        </w:rPr>
        <w:t>revenue</w:t>
      </w:r>
      <w:r w:rsidR="002E2DAD" w:rsidRPr="00785FB4">
        <w:rPr>
          <w:bCs/>
        </w:rPr>
        <w:t xml:space="preserve">-collecting companies’ payments to </w:t>
      </w:r>
      <w:r w:rsidR="00DB56BA" w:rsidRPr="00785FB4">
        <w:rPr>
          <w:bCs/>
        </w:rPr>
        <w:t>MOMP</w:t>
      </w:r>
      <w:r w:rsidR="002E2DAD" w:rsidRPr="00785FB4">
        <w:rPr>
          <w:bCs/>
        </w:rPr>
        <w:t xml:space="preserve"> represented royalties on illegally-produced minerals rather than a form of transportation payment. </w:t>
      </w:r>
      <w:r w:rsidR="0050052F" w:rsidRPr="00785FB4">
        <w:rPr>
          <w:bCs/>
        </w:rPr>
        <w:t xml:space="preserve">Members of the MSG consulted expressed satisfaction at the inclusion of Shair Pawan in the scope of the 2014-15 EITI Report, even if many CSOs expressed concern at the royalty collection farm-out practice. </w:t>
      </w:r>
      <w:r w:rsidR="00DC2445" w:rsidRPr="00785FB4">
        <w:rPr>
          <w:bCs/>
        </w:rPr>
        <w:t>S</w:t>
      </w:r>
      <w:r w:rsidR="000E069B" w:rsidRPr="00785FB4">
        <w:rPr>
          <w:bCs/>
        </w:rPr>
        <w:t>eparately, s</w:t>
      </w:r>
      <w:r w:rsidR="00DC2445" w:rsidRPr="00785FB4">
        <w:rPr>
          <w:bCs/>
        </w:rPr>
        <w:t>takeholders from all constituenc</w:t>
      </w:r>
      <w:r w:rsidR="000E069B" w:rsidRPr="00785FB4">
        <w:rPr>
          <w:bCs/>
        </w:rPr>
        <w:t xml:space="preserve">ies said that the </w:t>
      </w:r>
      <w:r w:rsidR="00DB56BA" w:rsidRPr="00785FB4">
        <w:rPr>
          <w:bCs/>
        </w:rPr>
        <w:t>MOMP</w:t>
      </w:r>
      <w:r w:rsidR="000E069B" w:rsidRPr="00785FB4">
        <w:rPr>
          <w:bCs/>
        </w:rPr>
        <w:t xml:space="preserve"> continued to collect revenues from checkpoints around major cities for construction materials but did not have any comments about why these were not identified or included as a revenue stream in the report.</w:t>
      </w:r>
    </w:p>
    <w:p w14:paraId="1E8D436C" w14:textId="7B6AC853" w:rsidR="00846A0F" w:rsidRPr="00785FB4" w:rsidRDefault="00A955B1" w:rsidP="00C3268A">
      <w:pPr>
        <w:spacing w:before="120"/>
        <w:rPr>
          <w:bCs/>
        </w:rPr>
      </w:pPr>
      <w:r w:rsidRPr="00785FB4">
        <w:rPr>
          <w:i/>
          <w:u w:val="single"/>
        </w:rPr>
        <w:t>Material government entities</w:t>
      </w:r>
      <w:r w:rsidRPr="00785FB4">
        <w:t xml:space="preserve">: </w:t>
      </w:r>
      <w:r w:rsidR="009E7AB1" w:rsidRPr="00785FB4">
        <w:t xml:space="preserve">Stakeholders consulted confirmed that all extractives payments were collected by the </w:t>
      </w:r>
      <w:r w:rsidR="00DB56BA" w:rsidRPr="00785FB4">
        <w:t>MOF</w:t>
      </w:r>
      <w:r w:rsidR="009E7AB1" w:rsidRPr="00785FB4">
        <w:t xml:space="preserve"> (for tax) and </w:t>
      </w:r>
      <w:r w:rsidR="00DB56BA" w:rsidRPr="00785FB4">
        <w:t>MOMP</w:t>
      </w:r>
      <w:r w:rsidR="009E7AB1" w:rsidRPr="00785FB4">
        <w:t xml:space="preserve"> (non-tax). </w:t>
      </w:r>
      <w:r w:rsidR="00526985" w:rsidRPr="00785FB4">
        <w:t xml:space="preserve">While the </w:t>
      </w:r>
      <w:r w:rsidR="00921A89" w:rsidRPr="00785FB4">
        <w:rPr>
          <w:bCs/>
        </w:rPr>
        <w:t>March 2015 Secretariat Review raised concerns over the inclusion of unspecified municipalities in the scope of reporting in the 2011-12 EITI Report</w:t>
      </w:r>
      <w:r w:rsidR="00921A89" w:rsidRPr="00785FB4">
        <w:rPr>
          <w:rStyle w:val="FootnoteReference"/>
        </w:rPr>
        <w:footnoteReference w:id="207"/>
      </w:r>
      <w:r w:rsidR="00526985" w:rsidRPr="00785FB4">
        <w:rPr>
          <w:bCs/>
        </w:rPr>
        <w:t xml:space="preserve">, the MSG’s Technical Committee confirmed that </w:t>
      </w:r>
      <w:r w:rsidR="00337C24" w:rsidRPr="00785FB4">
        <w:rPr>
          <w:bCs/>
        </w:rPr>
        <w:t>municipality taxes had been discontinued prior to 2014 (</w:t>
      </w:r>
      <w:r w:rsidR="00337C24" w:rsidRPr="00785FB4">
        <w:rPr>
          <w:bCs/>
          <w:i/>
        </w:rPr>
        <w:t>see Requirement 4.6</w:t>
      </w:r>
      <w:r w:rsidR="00337C24" w:rsidRPr="00785FB4">
        <w:rPr>
          <w:bCs/>
        </w:rPr>
        <w:t xml:space="preserve">). </w:t>
      </w:r>
      <w:r w:rsidR="00E90B14" w:rsidRPr="00785FB4">
        <w:rPr>
          <w:bCs/>
        </w:rPr>
        <w:t xml:space="preserve">Several government officials and donors noted that </w:t>
      </w:r>
      <w:r w:rsidR="00752584" w:rsidRPr="00785FB4">
        <w:rPr>
          <w:bCs/>
        </w:rPr>
        <w:t xml:space="preserve">the </w:t>
      </w:r>
      <w:r w:rsidR="00DB56BA" w:rsidRPr="00785FB4">
        <w:rPr>
          <w:bCs/>
        </w:rPr>
        <w:t>MOF</w:t>
      </w:r>
      <w:r w:rsidR="00670E94" w:rsidRPr="00785FB4">
        <w:rPr>
          <w:bCs/>
        </w:rPr>
        <w:t xml:space="preserve">’s </w:t>
      </w:r>
      <w:r w:rsidR="00752584" w:rsidRPr="00785FB4">
        <w:rPr>
          <w:bCs/>
        </w:rPr>
        <w:t xml:space="preserve">Large Taxpayer Office </w:t>
      </w:r>
      <w:r w:rsidR="00670E94" w:rsidRPr="00785FB4">
        <w:rPr>
          <w:bCs/>
        </w:rPr>
        <w:t xml:space="preserve">(LTO) </w:t>
      </w:r>
      <w:r w:rsidR="00E90B14" w:rsidRPr="00785FB4">
        <w:rPr>
          <w:bCs/>
        </w:rPr>
        <w:t xml:space="preserve">had been </w:t>
      </w:r>
      <w:r w:rsidR="005A0533" w:rsidRPr="00785FB4">
        <w:rPr>
          <w:bCs/>
        </w:rPr>
        <w:t xml:space="preserve">given responsibility for collecting fiscal payments from </w:t>
      </w:r>
      <w:r w:rsidR="00752146" w:rsidRPr="00785FB4">
        <w:rPr>
          <w:bCs/>
        </w:rPr>
        <w:t>all extractives companies</w:t>
      </w:r>
      <w:r w:rsidR="00E90B14" w:rsidRPr="00785FB4">
        <w:rPr>
          <w:bCs/>
        </w:rPr>
        <w:t xml:space="preserve"> in June 2017</w:t>
      </w:r>
      <w:r w:rsidR="005A0533" w:rsidRPr="00785FB4">
        <w:rPr>
          <w:bCs/>
        </w:rPr>
        <w:t xml:space="preserve">, </w:t>
      </w:r>
      <w:r w:rsidR="00752146" w:rsidRPr="00785FB4">
        <w:rPr>
          <w:bCs/>
        </w:rPr>
        <w:t xml:space="preserve">in line with conditions of </w:t>
      </w:r>
      <w:r w:rsidR="005A0533" w:rsidRPr="00785FB4">
        <w:rPr>
          <w:bCs/>
        </w:rPr>
        <w:t>the IMF</w:t>
      </w:r>
      <w:r w:rsidR="00752146" w:rsidRPr="00785FB4">
        <w:rPr>
          <w:bCs/>
        </w:rPr>
        <w:t>’s extended credit facility</w:t>
      </w:r>
      <w:r w:rsidR="005A0533" w:rsidRPr="00785FB4">
        <w:rPr>
          <w:bCs/>
        </w:rPr>
        <w:t>.</w:t>
      </w:r>
      <w:r w:rsidR="005A0533" w:rsidRPr="00785FB4">
        <w:rPr>
          <w:rStyle w:val="FootnoteReference"/>
          <w:bCs/>
        </w:rPr>
        <w:footnoteReference w:id="208"/>
      </w:r>
      <w:r w:rsidR="008D4EA2" w:rsidRPr="00785FB4">
        <w:rPr>
          <w:bCs/>
        </w:rPr>
        <w:t xml:space="preserve"> </w:t>
      </w:r>
      <w:r w:rsidR="00670E94" w:rsidRPr="00785FB4">
        <w:rPr>
          <w:bCs/>
        </w:rPr>
        <w:t xml:space="preserve">Several representatives from government and the donor community noted that only around 120 mining companies had registered with the LTO to date, implying that a significant number of mining companies had yet to do so. </w:t>
      </w:r>
      <w:r w:rsidR="00846A0F" w:rsidRPr="00785FB4">
        <w:rPr>
          <w:bCs/>
        </w:rPr>
        <w:t xml:space="preserve">The representatives also highlighted the </w:t>
      </w:r>
      <w:r w:rsidR="00DB56BA" w:rsidRPr="00785FB4">
        <w:rPr>
          <w:bCs/>
        </w:rPr>
        <w:t>MOMP</w:t>
      </w:r>
      <w:r w:rsidR="00846A0F" w:rsidRPr="00785FB4">
        <w:rPr>
          <w:bCs/>
        </w:rPr>
        <w:t xml:space="preserve">’s plans to digitise the non-tax payments system and link it to the </w:t>
      </w:r>
      <w:r w:rsidR="00DB56BA" w:rsidRPr="00785FB4">
        <w:rPr>
          <w:bCs/>
        </w:rPr>
        <w:t>MOF</w:t>
      </w:r>
      <w:r w:rsidR="00846A0F" w:rsidRPr="00785FB4">
        <w:rPr>
          <w:bCs/>
        </w:rPr>
        <w:t xml:space="preserve">’s SYGTAS and ASYCUDA systems to ensure greater traceability of revenue </w:t>
      </w:r>
      <w:r w:rsidR="00846A0F" w:rsidRPr="00785FB4">
        <w:rPr>
          <w:bCs/>
        </w:rPr>
        <w:lastRenderedPageBreak/>
        <w:t>flows (</w:t>
      </w:r>
      <w:r w:rsidR="00846A0F" w:rsidRPr="00785FB4">
        <w:rPr>
          <w:bCs/>
          <w:i/>
        </w:rPr>
        <w:t>see Requirement 5.1</w:t>
      </w:r>
      <w:r w:rsidR="00846A0F" w:rsidRPr="00785FB4">
        <w:rPr>
          <w:bCs/>
        </w:rPr>
        <w:t xml:space="preserve">). </w:t>
      </w:r>
    </w:p>
    <w:p w14:paraId="0E9C0053" w14:textId="2EFB5F49" w:rsidR="00D01394" w:rsidRPr="00785FB4" w:rsidRDefault="00A61021" w:rsidP="00C3268A">
      <w:pPr>
        <w:spacing w:before="120"/>
        <w:rPr>
          <w:bCs/>
        </w:rPr>
      </w:pPr>
      <w:r w:rsidRPr="00785FB4">
        <w:rPr>
          <w:bCs/>
          <w:i/>
          <w:u w:val="single"/>
        </w:rPr>
        <w:t>Reporting omissions</w:t>
      </w:r>
      <w:r w:rsidRPr="00785FB4">
        <w:rPr>
          <w:bCs/>
        </w:rPr>
        <w:t xml:space="preserve">: </w:t>
      </w:r>
      <w:r w:rsidR="00960E43" w:rsidRPr="00785FB4">
        <w:rPr>
          <w:bCs/>
        </w:rPr>
        <w:t xml:space="preserve">The IA noted that, while material government entities had provided the initial reporting on which materiality decisions were made, there were subsequent </w:t>
      </w:r>
      <w:bookmarkStart w:id="347" w:name="_Hlk518854160"/>
      <w:r w:rsidR="00960E43" w:rsidRPr="00785FB4">
        <w:rPr>
          <w:bCs/>
        </w:rPr>
        <w:t xml:space="preserve">gaps in information provided by some departments of </w:t>
      </w:r>
      <w:r w:rsidR="00DB56BA" w:rsidRPr="00785FB4">
        <w:rPr>
          <w:bCs/>
        </w:rPr>
        <w:t>MOF</w:t>
      </w:r>
      <w:r w:rsidR="00960E43" w:rsidRPr="00785FB4">
        <w:rPr>
          <w:bCs/>
        </w:rPr>
        <w:t xml:space="preserve"> and </w:t>
      </w:r>
      <w:r w:rsidR="00DB56BA" w:rsidRPr="00785FB4">
        <w:rPr>
          <w:bCs/>
        </w:rPr>
        <w:t>MOMP</w:t>
      </w:r>
      <w:bookmarkEnd w:id="347"/>
      <w:r w:rsidR="00960E43" w:rsidRPr="00785FB4">
        <w:rPr>
          <w:bCs/>
        </w:rPr>
        <w:t xml:space="preserve">. Nonetheless </w:t>
      </w:r>
      <w:r w:rsidR="000E069B" w:rsidRPr="00785FB4">
        <w:rPr>
          <w:bCs/>
        </w:rPr>
        <w:t xml:space="preserve">the IA </w:t>
      </w:r>
      <w:r w:rsidR="00960E43" w:rsidRPr="00785FB4">
        <w:rPr>
          <w:bCs/>
        </w:rPr>
        <w:t xml:space="preserve">expressed satisfaction that the </w:t>
      </w:r>
      <w:r w:rsidR="00DB56BA" w:rsidRPr="00785FB4">
        <w:rPr>
          <w:bCs/>
        </w:rPr>
        <w:t>MOMP</w:t>
      </w:r>
      <w:r w:rsidR="00960E43" w:rsidRPr="00785FB4">
        <w:rPr>
          <w:bCs/>
        </w:rPr>
        <w:t xml:space="preserve">’s Provincial Directorate had been more involved in preparing the 2014-15 EITI Report than in the past. </w:t>
      </w:r>
      <w:r w:rsidR="00E44081" w:rsidRPr="00785FB4">
        <w:rPr>
          <w:bCs/>
        </w:rPr>
        <w:t xml:space="preserve">The May 2017 AEITI organisational assessment raised concerns over challenges in ensuring reporting by </w:t>
      </w:r>
      <w:r w:rsidR="00DB56BA" w:rsidRPr="00785FB4">
        <w:rPr>
          <w:bCs/>
        </w:rPr>
        <w:t>MOF</w:t>
      </w:r>
      <w:r w:rsidR="00E44081" w:rsidRPr="00785FB4">
        <w:rPr>
          <w:bCs/>
        </w:rPr>
        <w:t xml:space="preserve"> Customs in the 2014-15 EITI Report, including the low level of reported revenue, delays in responses, inability to provide export data and unresolved discrepancies.</w:t>
      </w:r>
      <w:r w:rsidR="00E44081" w:rsidRPr="00785FB4">
        <w:rPr>
          <w:rStyle w:val="FootnoteReference"/>
          <w:bCs/>
        </w:rPr>
        <w:footnoteReference w:id="209"/>
      </w:r>
      <w:r w:rsidR="00E44081" w:rsidRPr="00785FB4">
        <w:rPr>
          <w:bCs/>
        </w:rPr>
        <w:t xml:space="preserve"> It noted that EITI Reports were consistently delayed “in large part” due to challenges in obtaining information from reporting entities, with some government officials described as “resistant”, “uncooperative” and “uninterested in meeting their requirements”</w:t>
      </w:r>
      <w:r w:rsidR="00E44081" w:rsidRPr="00785FB4">
        <w:t>.</w:t>
      </w:r>
      <w:r w:rsidR="00E44081" w:rsidRPr="00785FB4">
        <w:rPr>
          <w:rStyle w:val="FootnoteReference"/>
          <w:bCs/>
        </w:rPr>
        <w:footnoteReference w:id="210"/>
      </w:r>
      <w:r w:rsidR="00E44081" w:rsidRPr="00785FB4">
        <w:t xml:space="preserve"> </w:t>
      </w:r>
      <w:r w:rsidR="00E44081" w:rsidRPr="00785FB4">
        <w:rPr>
          <w:bCs/>
        </w:rPr>
        <w:t>It called for more consistent cooperation between the MSG and government reporting entities throughout the year.</w:t>
      </w:r>
      <w:r w:rsidR="00E44081" w:rsidRPr="00785FB4">
        <w:rPr>
          <w:rStyle w:val="FootnoteReference"/>
          <w:bCs/>
        </w:rPr>
        <w:footnoteReference w:id="211"/>
      </w:r>
      <w:r w:rsidR="00E44081" w:rsidRPr="00785FB4">
        <w:rPr>
          <w:bCs/>
        </w:rPr>
        <w:t xml:space="preserve"> </w:t>
      </w:r>
      <w:r w:rsidR="00603A75" w:rsidRPr="00785FB4">
        <w:rPr>
          <w:bCs/>
        </w:rPr>
        <w:t xml:space="preserve">In written comments to the International Secretariat in December 2017, a CSO </w:t>
      </w:r>
      <w:r w:rsidR="00603A75" w:rsidRPr="00785FB4">
        <w:t xml:space="preserve">considered that the USD 60k reported as annual revenues by </w:t>
      </w:r>
      <w:r w:rsidR="00DB56BA" w:rsidRPr="00785FB4">
        <w:t>MOF</w:t>
      </w:r>
      <w:r w:rsidR="00603A75" w:rsidRPr="00785FB4">
        <w:t xml:space="preserve"> Customs was “scandalous”. </w:t>
      </w:r>
      <w:r w:rsidR="005F4023" w:rsidRPr="00785FB4">
        <w:rPr>
          <w:bCs/>
        </w:rPr>
        <w:t xml:space="preserve">Stakeholders from all constituencies – including government – </w:t>
      </w:r>
      <w:r w:rsidR="000F073B" w:rsidRPr="00785FB4">
        <w:rPr>
          <w:bCs/>
        </w:rPr>
        <w:t>highlighted weak coordination between different government entities</w:t>
      </w:r>
      <w:r w:rsidR="000E069B" w:rsidRPr="00785FB4">
        <w:rPr>
          <w:bCs/>
        </w:rPr>
        <w:t xml:space="preserve"> both between </w:t>
      </w:r>
      <w:r w:rsidR="00DB56BA" w:rsidRPr="00785FB4">
        <w:rPr>
          <w:bCs/>
        </w:rPr>
        <w:t>MOF</w:t>
      </w:r>
      <w:r w:rsidR="000E069B" w:rsidRPr="00785FB4">
        <w:rPr>
          <w:bCs/>
        </w:rPr>
        <w:t xml:space="preserve"> and </w:t>
      </w:r>
      <w:r w:rsidR="00DB56BA" w:rsidRPr="00785FB4">
        <w:rPr>
          <w:bCs/>
        </w:rPr>
        <w:t>MOMP</w:t>
      </w:r>
      <w:r w:rsidR="000E069B" w:rsidRPr="00785FB4">
        <w:rPr>
          <w:bCs/>
        </w:rPr>
        <w:t xml:space="preserve"> and within the ministries </w:t>
      </w:r>
      <w:r w:rsidR="000F073B" w:rsidRPr="00785FB4">
        <w:rPr>
          <w:bCs/>
        </w:rPr>
        <w:t xml:space="preserve">on EITI reporting. They highlighted inconsistencies between lists of companies paying royalties and those paying tax as evidence of poor communication between the two ministries. </w:t>
      </w:r>
      <w:r w:rsidR="00FD573B" w:rsidRPr="00785FB4">
        <w:rPr>
          <w:bCs/>
        </w:rPr>
        <w:t xml:space="preserve">Nonetheless, several members of the MSG’s Technical Committee considered that the </w:t>
      </w:r>
      <w:r w:rsidR="00DB56BA" w:rsidRPr="00785FB4">
        <w:rPr>
          <w:bCs/>
        </w:rPr>
        <w:t>MOMP</w:t>
      </w:r>
      <w:r w:rsidR="00FD573B" w:rsidRPr="00785FB4">
        <w:rPr>
          <w:bCs/>
        </w:rPr>
        <w:t xml:space="preserve"> had been active in following up with government entities that were slow to submit EITI data. </w:t>
      </w:r>
      <w:r w:rsidR="000F073B" w:rsidRPr="00785FB4">
        <w:rPr>
          <w:bCs/>
        </w:rPr>
        <w:t xml:space="preserve">Several government officials noted that, while it was always challenging to collect data for EITI Reports, the process was becoming easier every year. A senior government official highlighted the start of monthly meetings between the </w:t>
      </w:r>
      <w:r w:rsidR="00DB56BA" w:rsidRPr="00785FB4">
        <w:rPr>
          <w:bCs/>
        </w:rPr>
        <w:t>MOF</w:t>
      </w:r>
      <w:r w:rsidR="000F073B" w:rsidRPr="00785FB4">
        <w:rPr>
          <w:bCs/>
        </w:rPr>
        <w:t xml:space="preserve"> Revenue Department and </w:t>
      </w:r>
      <w:r w:rsidR="00DB56BA" w:rsidRPr="00785FB4">
        <w:rPr>
          <w:bCs/>
        </w:rPr>
        <w:t>MOMP</w:t>
      </w:r>
      <w:r w:rsidR="000F073B" w:rsidRPr="00785FB4">
        <w:rPr>
          <w:bCs/>
        </w:rPr>
        <w:t xml:space="preserve"> in 2017 as a means of improving coordination. </w:t>
      </w:r>
      <w:r w:rsidR="00D24CFA" w:rsidRPr="00785FB4">
        <w:rPr>
          <w:bCs/>
        </w:rPr>
        <w:t xml:space="preserve">Several government representatives and the IA noted challenges linked to the </w:t>
      </w:r>
      <w:r w:rsidR="000E069B" w:rsidRPr="00785FB4">
        <w:rPr>
          <w:bCs/>
        </w:rPr>
        <w:t xml:space="preserve">absence </w:t>
      </w:r>
      <w:r w:rsidR="00D24CFA" w:rsidRPr="00785FB4">
        <w:rPr>
          <w:bCs/>
        </w:rPr>
        <w:t xml:space="preserve">of tax ID numbers (TIN) for </w:t>
      </w:r>
      <w:r w:rsidR="000E069B" w:rsidRPr="00785FB4">
        <w:rPr>
          <w:bCs/>
        </w:rPr>
        <w:t xml:space="preserve">most </w:t>
      </w:r>
      <w:r w:rsidR="00E44081" w:rsidRPr="00785FB4">
        <w:rPr>
          <w:bCs/>
        </w:rPr>
        <w:t xml:space="preserve">companies, although officials highlighted the </w:t>
      </w:r>
      <w:r w:rsidR="00DB56BA" w:rsidRPr="00785FB4">
        <w:rPr>
          <w:bCs/>
        </w:rPr>
        <w:t>MOF</w:t>
      </w:r>
      <w:r w:rsidR="00E44081" w:rsidRPr="00785FB4">
        <w:rPr>
          <w:bCs/>
        </w:rPr>
        <w:t xml:space="preserve">’s work with </w:t>
      </w:r>
      <w:r w:rsidR="00DB56BA" w:rsidRPr="00785FB4">
        <w:rPr>
          <w:bCs/>
        </w:rPr>
        <w:t>MOMP</w:t>
      </w:r>
      <w:r w:rsidR="00E44081" w:rsidRPr="00785FB4">
        <w:rPr>
          <w:bCs/>
        </w:rPr>
        <w:t xml:space="preserve"> to roll out TINs for every company and every license-holder (</w:t>
      </w:r>
      <w:r w:rsidR="00E44081" w:rsidRPr="00785FB4">
        <w:rPr>
          <w:bCs/>
          <w:i/>
        </w:rPr>
        <w:t>see Requirement 4.7</w:t>
      </w:r>
      <w:r w:rsidR="00E44081" w:rsidRPr="00785FB4">
        <w:rPr>
          <w:bCs/>
        </w:rPr>
        <w:t xml:space="preserve">). </w:t>
      </w:r>
    </w:p>
    <w:p w14:paraId="1AFC5308" w14:textId="7C833D2C" w:rsidR="00603A75" w:rsidRPr="00785FB4" w:rsidRDefault="00D51CDF" w:rsidP="00C3268A">
      <w:pPr>
        <w:spacing w:before="120"/>
        <w:rPr>
          <w:bCs/>
        </w:rPr>
      </w:pPr>
      <w:r w:rsidRPr="00785FB4">
        <w:rPr>
          <w:bCs/>
        </w:rPr>
        <w:t xml:space="preserve">Several CSOs raised concerns over the lack of reporting by eight material companies. </w:t>
      </w:r>
      <w:r w:rsidR="00D01394" w:rsidRPr="00785FB4">
        <w:rPr>
          <w:bCs/>
        </w:rPr>
        <w:t xml:space="preserve">In written comments to the International Secretariat in December 2017, </w:t>
      </w:r>
      <w:r w:rsidRPr="00785FB4">
        <w:rPr>
          <w:bCs/>
        </w:rPr>
        <w:t>a</w:t>
      </w:r>
      <w:r w:rsidR="00D01394" w:rsidRPr="00785FB4">
        <w:rPr>
          <w:bCs/>
        </w:rPr>
        <w:t xml:space="preserve"> CSO noted that </w:t>
      </w:r>
      <w:r w:rsidR="00D01394" w:rsidRPr="00785FB4">
        <w:t xml:space="preserve">Shamsher Zameer was one of the largest talc producers in Nangarhar Province and </w:t>
      </w:r>
      <w:r w:rsidR="008A510B" w:rsidRPr="00785FB4">
        <w:t>questioned its professed reasons for non</w:t>
      </w:r>
      <w:r w:rsidR="00D01394" w:rsidRPr="00785FB4">
        <w:t>-reporting (pending resolutio</w:t>
      </w:r>
      <w:r w:rsidRPr="00785FB4">
        <w:t xml:space="preserve">n of </w:t>
      </w:r>
      <w:r w:rsidR="008A510B" w:rsidRPr="00785FB4">
        <w:t>a</w:t>
      </w:r>
      <w:r w:rsidRPr="00785FB4">
        <w:t xml:space="preserve"> management dispute) </w:t>
      </w:r>
      <w:r w:rsidR="008A510B" w:rsidRPr="00785FB4">
        <w:t>as un</w:t>
      </w:r>
      <w:r w:rsidR="00D01394" w:rsidRPr="00785FB4">
        <w:t xml:space="preserve">convincing. </w:t>
      </w:r>
      <w:r w:rsidR="00CB46D5" w:rsidRPr="00785FB4">
        <w:rPr>
          <w:bCs/>
        </w:rPr>
        <w:t xml:space="preserve">Members of the MSG’s Technical Committee noted that the IA </w:t>
      </w:r>
      <w:r w:rsidR="000E069B" w:rsidRPr="00785FB4">
        <w:rPr>
          <w:bCs/>
        </w:rPr>
        <w:t xml:space="preserve">and the national secretariat </w:t>
      </w:r>
      <w:r w:rsidR="00CB46D5" w:rsidRPr="00785FB4">
        <w:rPr>
          <w:bCs/>
        </w:rPr>
        <w:t xml:space="preserve">had visited many material companies to help them complete reporting templates. </w:t>
      </w:r>
      <w:r w:rsidR="00001E35" w:rsidRPr="00785FB4">
        <w:rPr>
          <w:bCs/>
        </w:rPr>
        <w:t xml:space="preserve">However, </w:t>
      </w:r>
      <w:r w:rsidR="00001E35" w:rsidRPr="00785FB4">
        <w:t>the 2017 AEITI assessment also quoted certain stakeholders that considered that better data collection results would have been achieved if the IA had been more “aggressive” in collecting required information by spending more time in-country engaging directly with reporting entities (</w:t>
      </w:r>
      <w:r w:rsidR="00001E35" w:rsidRPr="00785FB4">
        <w:rPr>
          <w:i/>
        </w:rPr>
        <w:t>see Requirement 4.9</w:t>
      </w:r>
      <w:r w:rsidR="00001E35" w:rsidRPr="00785FB4">
        <w:t>).</w:t>
      </w:r>
      <w:r w:rsidR="00001E35" w:rsidRPr="00785FB4">
        <w:rPr>
          <w:rStyle w:val="FootnoteReference"/>
          <w:bCs/>
        </w:rPr>
        <w:footnoteReference w:id="212"/>
      </w:r>
      <w:r w:rsidR="00001E35" w:rsidRPr="00785FB4">
        <w:rPr>
          <w:bCs/>
        </w:rPr>
        <w:t xml:space="preserve"> </w:t>
      </w:r>
      <w:r w:rsidR="00001789" w:rsidRPr="00785FB4">
        <w:rPr>
          <w:bCs/>
        </w:rPr>
        <w:t>S</w:t>
      </w:r>
      <w:r w:rsidR="00673B3E" w:rsidRPr="00785FB4">
        <w:rPr>
          <w:bCs/>
        </w:rPr>
        <w:t xml:space="preserve">everal CSOs considered that the </w:t>
      </w:r>
      <w:r w:rsidR="00DB56BA" w:rsidRPr="00785FB4">
        <w:rPr>
          <w:bCs/>
        </w:rPr>
        <w:t>MOMP</w:t>
      </w:r>
      <w:r w:rsidR="00673B3E" w:rsidRPr="00785FB4">
        <w:rPr>
          <w:bCs/>
        </w:rPr>
        <w:t xml:space="preserve"> should have done more to pressure non-reporting companies. T</w:t>
      </w:r>
      <w:r w:rsidR="00CB46D5" w:rsidRPr="00785FB4">
        <w:rPr>
          <w:bCs/>
        </w:rPr>
        <w:t>he 2017 assessment noted that, while all companies were required to participate in EITI reporting</w:t>
      </w:r>
      <w:r w:rsidR="0063356B" w:rsidRPr="00785FB4">
        <w:rPr>
          <w:bCs/>
        </w:rPr>
        <w:t xml:space="preserve"> under the 2014 Minerals Law</w:t>
      </w:r>
      <w:r w:rsidR="00CB46D5" w:rsidRPr="00785FB4">
        <w:rPr>
          <w:bCs/>
        </w:rPr>
        <w:t>, sanctions for non-reporting such as fines and suspensions of licenses had never been implemented in practice.</w:t>
      </w:r>
      <w:r w:rsidR="00CB46D5" w:rsidRPr="00785FB4">
        <w:rPr>
          <w:rStyle w:val="FootnoteReference"/>
          <w:bCs/>
        </w:rPr>
        <w:footnoteReference w:id="213"/>
      </w:r>
      <w:r w:rsidR="00001E35" w:rsidRPr="00785FB4">
        <w:rPr>
          <w:bCs/>
        </w:rPr>
        <w:t xml:space="preserve"> Members of the MSG also raised concerns over the comprehensiveness of reporting companies’ disclosures, noting </w:t>
      </w:r>
      <w:r w:rsidR="00001E35" w:rsidRPr="00785FB4">
        <w:rPr>
          <w:bCs/>
        </w:rPr>
        <w:lastRenderedPageBreak/>
        <w:t xml:space="preserve">that several companies appeared to have simply reported zero for smaller payments in order to expedite the reporting process. </w:t>
      </w:r>
    </w:p>
    <w:p w14:paraId="061BA24B" w14:textId="0143DDE1" w:rsidR="002F1514" w:rsidRPr="00785FB4" w:rsidRDefault="00A61021" w:rsidP="00533AAF">
      <w:pPr>
        <w:spacing w:before="120"/>
        <w:rPr>
          <w:bCs/>
        </w:rPr>
      </w:pPr>
      <w:r w:rsidRPr="00785FB4">
        <w:rPr>
          <w:bCs/>
          <w:i/>
          <w:u w:val="single"/>
        </w:rPr>
        <w:t>Discrepancies</w:t>
      </w:r>
      <w:r w:rsidRPr="00785FB4">
        <w:rPr>
          <w:bCs/>
        </w:rPr>
        <w:t xml:space="preserve">: </w:t>
      </w:r>
      <w:r w:rsidR="00673B3E" w:rsidRPr="00785FB4">
        <w:rPr>
          <w:bCs/>
        </w:rPr>
        <w:t xml:space="preserve">Several CSOs criticised the significant discrepancies in the 2014-15 reconciliation, considering that it reflected poor record-keeping by government and unreliable reporting by certain companies. A senior government official </w:t>
      </w:r>
      <w:r w:rsidR="00F801CE" w:rsidRPr="00785FB4">
        <w:rPr>
          <w:bCs/>
        </w:rPr>
        <w:t xml:space="preserve">explained that most discrepancies were usually </w:t>
      </w:r>
      <w:r w:rsidR="00861E7D" w:rsidRPr="00785FB4">
        <w:rPr>
          <w:bCs/>
        </w:rPr>
        <w:t xml:space="preserve">at the level of </w:t>
      </w:r>
      <w:r w:rsidR="00DB56BA" w:rsidRPr="00785FB4">
        <w:rPr>
          <w:bCs/>
        </w:rPr>
        <w:t>MOF</w:t>
      </w:r>
      <w:r w:rsidR="00861E7D" w:rsidRPr="00785FB4">
        <w:rPr>
          <w:bCs/>
        </w:rPr>
        <w:t xml:space="preserve"> revenues and were </w:t>
      </w:r>
      <w:r w:rsidR="00F801CE" w:rsidRPr="00785FB4">
        <w:rPr>
          <w:bCs/>
        </w:rPr>
        <w:t xml:space="preserve">due to </w:t>
      </w:r>
      <w:r w:rsidR="00861E7D" w:rsidRPr="00785FB4">
        <w:rPr>
          <w:bCs/>
        </w:rPr>
        <w:t>companies</w:t>
      </w:r>
      <w:r w:rsidR="00F801CE" w:rsidRPr="00785FB4">
        <w:rPr>
          <w:bCs/>
        </w:rPr>
        <w:t xml:space="preserve"> acquiring a mining license under one company name</w:t>
      </w:r>
      <w:r w:rsidR="00861E7D" w:rsidRPr="00785FB4">
        <w:rPr>
          <w:bCs/>
        </w:rPr>
        <w:t xml:space="preserve"> and </w:t>
      </w:r>
      <w:r w:rsidR="00F801CE" w:rsidRPr="00785FB4">
        <w:rPr>
          <w:bCs/>
        </w:rPr>
        <w:t xml:space="preserve">submitting </w:t>
      </w:r>
      <w:r w:rsidR="00861E7D" w:rsidRPr="00785FB4">
        <w:rPr>
          <w:bCs/>
        </w:rPr>
        <w:t xml:space="preserve">consolidated </w:t>
      </w:r>
      <w:r w:rsidR="00F801CE" w:rsidRPr="00785FB4">
        <w:rPr>
          <w:bCs/>
        </w:rPr>
        <w:t>tax returns</w:t>
      </w:r>
      <w:r w:rsidR="00861E7D" w:rsidRPr="00785FB4">
        <w:rPr>
          <w:bCs/>
        </w:rPr>
        <w:t xml:space="preserve"> as a group, under a different company name. </w:t>
      </w:r>
      <w:r w:rsidR="00E17B7E" w:rsidRPr="00785FB4">
        <w:rPr>
          <w:bCs/>
        </w:rPr>
        <w:t xml:space="preserve">Several CSOs expressed scepticism at this explanation, citing unreconciled discrepancies in non-tax revenues collected by </w:t>
      </w:r>
      <w:r w:rsidR="00DB56BA" w:rsidRPr="00785FB4">
        <w:rPr>
          <w:bCs/>
        </w:rPr>
        <w:t>MOMP</w:t>
      </w:r>
      <w:r w:rsidR="00E17B7E" w:rsidRPr="00785FB4">
        <w:rPr>
          <w:bCs/>
        </w:rPr>
        <w:t xml:space="preserve">. </w:t>
      </w:r>
    </w:p>
    <w:p w14:paraId="0AE0E836" w14:textId="5F757706" w:rsidR="000E0297" w:rsidRPr="00785FB4" w:rsidRDefault="00A61021" w:rsidP="00533AAF">
      <w:pPr>
        <w:spacing w:before="120"/>
        <w:rPr>
          <w:bCs/>
        </w:rPr>
      </w:pPr>
      <w:r w:rsidRPr="00785FB4">
        <w:rPr>
          <w:bCs/>
          <w:i/>
          <w:u w:val="single"/>
        </w:rPr>
        <w:t>Unilateral government reporting</w:t>
      </w:r>
      <w:r w:rsidRPr="00785FB4">
        <w:rPr>
          <w:bCs/>
        </w:rPr>
        <w:t xml:space="preserve">: </w:t>
      </w:r>
      <w:r w:rsidR="00B73192" w:rsidRPr="00785FB4">
        <w:rPr>
          <w:bCs/>
        </w:rPr>
        <w:t xml:space="preserve">Members of the MSG’s Technical Committee </w:t>
      </w:r>
      <w:r w:rsidR="00197F3B" w:rsidRPr="00785FB4">
        <w:rPr>
          <w:bCs/>
        </w:rPr>
        <w:t xml:space="preserve">considered that the government had unilaterally disclosed all extractives revenues in the 2014-15 EITI Report, although several CSOs considered that the government’s poor record-keeping created uncertainty over whether all government extractives revenues had indeed been disclosed. </w:t>
      </w:r>
    </w:p>
    <w:p w14:paraId="75B3D44B" w14:textId="22A6A47D" w:rsidR="00597FC5" w:rsidRPr="00785FB4" w:rsidRDefault="00533AAF" w:rsidP="00A94167">
      <w:pPr>
        <w:pStyle w:val="Heading3"/>
      </w:pPr>
      <w:bookmarkStart w:id="348" w:name="_Toc459133140"/>
      <w:bookmarkStart w:id="349" w:name="_Toc461803090"/>
      <w:bookmarkStart w:id="350" w:name="_Toc505449637"/>
      <w:r w:rsidRPr="00785FB4">
        <w:t>Initial assessment</w:t>
      </w:r>
      <w:bookmarkEnd w:id="348"/>
      <w:bookmarkEnd w:id="349"/>
      <w:bookmarkEnd w:id="350"/>
    </w:p>
    <w:p w14:paraId="21C444DA" w14:textId="75FBE962" w:rsidR="00D80AD3" w:rsidRPr="00785FB4" w:rsidRDefault="0063356B">
      <w:pPr>
        <w:spacing w:before="120"/>
      </w:pPr>
      <w:r w:rsidRPr="00785FB4">
        <w:t>Th</w:t>
      </w:r>
      <w:r w:rsidR="00C44804">
        <w:t xml:space="preserve">e assessment </w:t>
      </w:r>
      <w:r w:rsidR="00001789" w:rsidRPr="00785FB4">
        <w:t xml:space="preserve">raises </w:t>
      </w:r>
      <w:r w:rsidR="00C44804">
        <w:t xml:space="preserve">several </w:t>
      </w:r>
      <w:r w:rsidR="00001789" w:rsidRPr="00785FB4">
        <w:t>issues of interpretation of the EITI Standard</w:t>
      </w:r>
      <w:r w:rsidRPr="00785FB4">
        <w:t>. On the one hand</w:t>
      </w:r>
      <w:r w:rsidR="00001789" w:rsidRPr="00785FB4">
        <w:t>,</w:t>
      </w:r>
      <w:r w:rsidRPr="00785FB4">
        <w:t xml:space="preserve"> the MSG and IA have made a commendable attempt at ensuring that reports are comprehensive given the absence of reliabl</w:t>
      </w:r>
      <w:r w:rsidR="00001789" w:rsidRPr="00785FB4">
        <w:t>y comprehensive</w:t>
      </w:r>
      <w:r w:rsidRPr="00785FB4">
        <w:t xml:space="preserve"> government </w:t>
      </w:r>
      <w:r w:rsidR="00001789" w:rsidRPr="00785FB4">
        <w:t xml:space="preserve">license and revenue </w:t>
      </w:r>
      <w:r w:rsidRPr="00785FB4">
        <w:t xml:space="preserve">data.  The 2014-15 EITI Report includes the MSG’s definition of the materiality thresholds for payments and companies to be included in reconciliation based on payments to government, including a justification for the specific thresholds based on a targeted reconciliation coverage. The review of the revenue streams covered in the EITI Report against the applicable laws and regulations gives assurance that no statutory revenue streams have been omitted from the scope of the report. </w:t>
      </w:r>
      <w:r w:rsidR="00C44804" w:rsidRPr="00785FB4">
        <w:t xml:space="preserve">All material government entities appear to have reported all revenues despite challenges in data collection (particularly from MOF Customs) and the government appears to have disclosed all extractives revenues, including from non-material companies, albeit disaggregated by company rather than by revenue stream. </w:t>
      </w:r>
      <w:r w:rsidRPr="00785FB4">
        <w:t xml:space="preserve">The companies that did not report are named and the value of their payments to government is provided relative to government-reported revenues. </w:t>
      </w:r>
      <w:r w:rsidR="00D80AD3" w:rsidRPr="00785FB4">
        <w:t xml:space="preserve">The share of non-reporting companies appears to be significant in 2014, but not in 2015. </w:t>
      </w:r>
      <w:r w:rsidRPr="00785FB4">
        <w:t xml:space="preserve">On the other hand, inconsistencies in government record-keeping raise questions over the comprehensiveness of government revenues disclosed, and thus the reconciliation coverage. </w:t>
      </w:r>
      <w:r w:rsidR="00D80AD3" w:rsidRPr="00785FB4">
        <w:t>T</w:t>
      </w:r>
      <w:r w:rsidR="0063234E" w:rsidRPr="00785FB4">
        <w:t>he lack of assessment of the materiality of payments prior to data collection</w:t>
      </w:r>
      <w:r w:rsidR="00D80AD3" w:rsidRPr="00785FB4">
        <w:t xml:space="preserve"> also</w:t>
      </w:r>
      <w:r w:rsidR="0063234E" w:rsidRPr="00785FB4">
        <w:t xml:space="preserve"> leaves scope for excluding significant ad hoc payments not described in sector regulations.</w:t>
      </w:r>
    </w:p>
    <w:p w14:paraId="1BE72795" w14:textId="17D866F6" w:rsidR="00B50912" w:rsidRPr="00785FB4" w:rsidRDefault="00D80AD3">
      <w:pPr>
        <w:spacing w:before="120"/>
      </w:pPr>
      <w:r w:rsidRPr="00785FB4">
        <w:t xml:space="preserve">The challenges </w:t>
      </w:r>
      <w:r w:rsidR="00001789" w:rsidRPr="00785FB4">
        <w:t>in</w:t>
      </w:r>
      <w:r w:rsidRPr="00785FB4">
        <w:t xml:space="preserve"> demonstrating satisfactory progress </w:t>
      </w:r>
      <w:r w:rsidR="00001789" w:rsidRPr="00785FB4">
        <w:t xml:space="preserve">in meeting </w:t>
      </w:r>
      <w:r w:rsidRPr="00785FB4">
        <w:t xml:space="preserve">Requirement 4.1 in Afghanistan are fundamentally linked to </w:t>
      </w:r>
      <w:r w:rsidR="00001789" w:rsidRPr="00785FB4">
        <w:t xml:space="preserve">weaknesses in government </w:t>
      </w:r>
      <w:r w:rsidRPr="00785FB4">
        <w:t>record</w:t>
      </w:r>
      <w:r w:rsidR="00001789" w:rsidRPr="00785FB4">
        <w:t>-</w:t>
      </w:r>
      <w:r w:rsidRPr="00785FB4">
        <w:t>keeping</w:t>
      </w:r>
      <w:r w:rsidR="00001789" w:rsidRPr="00785FB4">
        <w:t>.</w:t>
      </w:r>
      <w:r w:rsidRPr="00785FB4">
        <w:t xml:space="preserve"> </w:t>
      </w:r>
      <w:r w:rsidR="00001789" w:rsidRPr="00785FB4">
        <w:t>I</w:t>
      </w:r>
      <w:r w:rsidRPr="00785FB4">
        <w:t>t would be unreasonable to conclude that the MSG should be expected to resolve these before making materiality decisions. The International Secretariat considers that given these restraints, the MSG and the IA have sought to follow a process that allows for a considerable amount of certainty under the circumstances. At the same time</w:t>
      </w:r>
      <w:r w:rsidR="003458F6" w:rsidRPr="00785FB4">
        <w:t xml:space="preserve"> </w:t>
      </w:r>
      <w:bookmarkStart w:id="351" w:name="_Hlk518854113"/>
      <w:r w:rsidR="003458F6" w:rsidRPr="00785FB4">
        <w:t xml:space="preserve">there are </w:t>
      </w:r>
      <w:r w:rsidR="00C44804">
        <w:t xml:space="preserve">additional </w:t>
      </w:r>
      <w:r w:rsidR="003458F6" w:rsidRPr="00785FB4">
        <w:t xml:space="preserve">steps that the MSG could make to ensure that all companies selected report comprehensively, that </w:t>
      </w:r>
      <w:r w:rsidR="00001789" w:rsidRPr="00785FB4">
        <w:t xml:space="preserve">any </w:t>
      </w:r>
      <w:r w:rsidR="003458F6" w:rsidRPr="00785FB4">
        <w:t xml:space="preserve">non-statutory </w:t>
      </w:r>
      <w:r w:rsidR="00001789" w:rsidRPr="00785FB4">
        <w:t xml:space="preserve">government extractives </w:t>
      </w:r>
      <w:r w:rsidR="003458F6" w:rsidRPr="00785FB4">
        <w:t>revenue</w:t>
      </w:r>
      <w:r w:rsidR="00001789" w:rsidRPr="00785FB4">
        <w:t xml:space="preserve">s </w:t>
      </w:r>
      <w:r w:rsidR="003458F6" w:rsidRPr="00785FB4">
        <w:t xml:space="preserve">are also identified </w:t>
      </w:r>
      <w:r w:rsidR="00001789" w:rsidRPr="00785FB4">
        <w:t xml:space="preserve">where relevant </w:t>
      </w:r>
      <w:r w:rsidR="003458F6" w:rsidRPr="00785FB4">
        <w:t xml:space="preserve">and that </w:t>
      </w:r>
      <w:r w:rsidR="00001789" w:rsidRPr="00785FB4">
        <w:t xml:space="preserve">all </w:t>
      </w:r>
      <w:r w:rsidR="003458F6" w:rsidRPr="00785FB4">
        <w:t xml:space="preserve">government </w:t>
      </w:r>
      <w:r w:rsidR="00001789" w:rsidRPr="00785FB4">
        <w:t xml:space="preserve">entities </w:t>
      </w:r>
      <w:r w:rsidR="003458F6" w:rsidRPr="00785FB4">
        <w:t>unilateral</w:t>
      </w:r>
      <w:r w:rsidR="00001789" w:rsidRPr="00785FB4">
        <w:t>ly</w:t>
      </w:r>
      <w:r w:rsidR="003458F6" w:rsidRPr="00785FB4">
        <w:t xml:space="preserve"> disclos</w:t>
      </w:r>
      <w:r w:rsidR="00001789" w:rsidRPr="00785FB4">
        <w:t>e</w:t>
      </w:r>
      <w:r w:rsidR="003458F6" w:rsidRPr="00785FB4">
        <w:t xml:space="preserve"> </w:t>
      </w:r>
      <w:r w:rsidR="00001789" w:rsidRPr="00785FB4">
        <w:t>all extractives revenues collected</w:t>
      </w:r>
      <w:bookmarkEnd w:id="351"/>
      <w:r w:rsidR="003458F6" w:rsidRPr="00785FB4">
        <w:t xml:space="preserve">. The International Secretariat’s initial assessment is </w:t>
      </w:r>
      <w:r w:rsidR="002B3FA2">
        <w:t>therefore</w:t>
      </w:r>
      <w:r w:rsidR="002B3FA2" w:rsidRPr="00785FB4">
        <w:t xml:space="preserve"> </w:t>
      </w:r>
      <w:r w:rsidR="003458F6" w:rsidRPr="00785FB4">
        <w:t xml:space="preserve">that </w:t>
      </w:r>
      <w:r w:rsidR="003458F6" w:rsidRPr="00785FB4">
        <w:rPr>
          <w:bCs/>
        </w:rPr>
        <w:t>Afghanistan</w:t>
      </w:r>
      <w:r w:rsidR="003458F6" w:rsidRPr="00785FB4">
        <w:t xml:space="preserve"> has made </w:t>
      </w:r>
      <w:r w:rsidR="003458F6" w:rsidRPr="00785FB4">
        <w:rPr>
          <w:bCs/>
        </w:rPr>
        <w:t xml:space="preserve">meaningful progress </w:t>
      </w:r>
      <w:r w:rsidR="003458F6" w:rsidRPr="00785FB4">
        <w:t>in meeting this requirement.</w:t>
      </w:r>
      <w:r w:rsidRPr="00785FB4">
        <w:t xml:space="preserve"> </w:t>
      </w:r>
    </w:p>
    <w:p w14:paraId="495D8A19" w14:textId="7F0B49E9" w:rsidR="0063234E" w:rsidRPr="00785FB4" w:rsidRDefault="0063234E" w:rsidP="00533AAF">
      <w:pPr>
        <w:spacing w:before="120"/>
      </w:pPr>
      <w:r w:rsidRPr="00785FB4">
        <w:lastRenderedPageBreak/>
        <w:t>In accordance with Re</w:t>
      </w:r>
      <w:r w:rsidR="007C4C34" w:rsidRPr="00785FB4">
        <w:t xml:space="preserve">quirement 4.1, </w:t>
      </w:r>
      <w:r w:rsidR="003035C8" w:rsidRPr="00785FB4">
        <w:t xml:space="preserve">Afghanistan </w:t>
      </w:r>
      <w:r w:rsidR="007C4C34" w:rsidRPr="00785FB4">
        <w:t xml:space="preserve">should </w:t>
      </w:r>
      <w:r w:rsidR="003458F6" w:rsidRPr="00785FB4">
        <w:t xml:space="preserve">ensure </w:t>
      </w:r>
      <w:r w:rsidR="004B5591" w:rsidRPr="00785FB4">
        <w:t xml:space="preserve">that </w:t>
      </w:r>
      <w:r w:rsidR="0078177C" w:rsidRPr="00785FB4">
        <w:t xml:space="preserve">all companies </w:t>
      </w:r>
      <w:r w:rsidR="00617EAB" w:rsidRPr="00785FB4">
        <w:t>selected in the scope of reporting comprehensively report all material payment flows</w:t>
      </w:r>
      <w:r w:rsidR="003458F6" w:rsidRPr="00785FB4">
        <w:t xml:space="preserve"> and that decisions on </w:t>
      </w:r>
      <w:r w:rsidR="00001789" w:rsidRPr="00785FB4">
        <w:t xml:space="preserve">the </w:t>
      </w:r>
      <w:r w:rsidR="003458F6" w:rsidRPr="00785FB4">
        <w:t xml:space="preserve">materiality of revenue flows are based on </w:t>
      </w:r>
      <w:r w:rsidR="00001789" w:rsidRPr="00785FB4">
        <w:t xml:space="preserve">government unilateral disclosure of </w:t>
      </w:r>
      <w:r w:rsidR="003458F6" w:rsidRPr="00785FB4">
        <w:t xml:space="preserve">total </w:t>
      </w:r>
      <w:r w:rsidR="00001789" w:rsidRPr="00785FB4">
        <w:t xml:space="preserve">extractives </w:t>
      </w:r>
      <w:r w:rsidR="003458F6" w:rsidRPr="00785FB4">
        <w:t>revenue</w:t>
      </w:r>
      <w:r w:rsidR="00001789" w:rsidRPr="00785FB4">
        <w:t>s</w:t>
      </w:r>
      <w:r w:rsidR="003458F6" w:rsidRPr="00785FB4">
        <w:t>, including those not statutorily</w:t>
      </w:r>
      <w:r w:rsidR="00001789" w:rsidRPr="00785FB4">
        <w:t>-</w:t>
      </w:r>
      <w:r w:rsidR="003458F6" w:rsidRPr="00785FB4">
        <w:t>mandated but nevertheless collected</w:t>
      </w:r>
      <w:r w:rsidR="00617EAB" w:rsidRPr="00785FB4">
        <w:t xml:space="preserve">. </w:t>
      </w:r>
      <w:r w:rsidR="003035C8" w:rsidRPr="00785FB4">
        <w:t xml:space="preserve">Afghanistan </w:t>
      </w:r>
      <w:r w:rsidR="00617EAB" w:rsidRPr="00785FB4">
        <w:t xml:space="preserve">should also ensure that </w:t>
      </w:r>
      <w:r w:rsidR="004B5591" w:rsidRPr="00785FB4">
        <w:t xml:space="preserve">full unilateral government disclosure of material revenues from non-material companies is presented disaggregated by revenue flow rather than by company. </w:t>
      </w:r>
    </w:p>
    <w:p w14:paraId="4D154672" w14:textId="03F0B626" w:rsidR="000722F1" w:rsidRPr="00785FB4" w:rsidRDefault="000722F1" w:rsidP="00A94167">
      <w:pPr>
        <w:pStyle w:val="Heading2notindexed"/>
      </w:pPr>
      <w:bookmarkStart w:id="352" w:name="_Toc459133141"/>
      <w:bookmarkStart w:id="353" w:name="_Toc461803091"/>
      <w:bookmarkStart w:id="354" w:name="_Toc461787342"/>
      <w:bookmarkStart w:id="355" w:name="_Toc461795854"/>
      <w:bookmarkStart w:id="356" w:name="_Toc505449638"/>
      <w:bookmarkStart w:id="357" w:name="_Toc505449803"/>
      <w:r w:rsidRPr="00785FB4">
        <w:t>In-kind revenues (#4.</w:t>
      </w:r>
      <w:r w:rsidR="008D3D57" w:rsidRPr="00785FB4">
        <w:t>2</w:t>
      </w:r>
      <w:r w:rsidRPr="00785FB4">
        <w:t>)</w:t>
      </w:r>
      <w:bookmarkEnd w:id="352"/>
      <w:bookmarkEnd w:id="353"/>
      <w:bookmarkEnd w:id="354"/>
      <w:bookmarkEnd w:id="355"/>
      <w:bookmarkEnd w:id="356"/>
      <w:bookmarkEnd w:id="357"/>
    </w:p>
    <w:p w14:paraId="02A06985" w14:textId="322791B9" w:rsidR="007236DF" w:rsidRPr="00785FB4" w:rsidRDefault="00FB10EA" w:rsidP="00A94167">
      <w:pPr>
        <w:pStyle w:val="Heading3"/>
      </w:pPr>
      <w:bookmarkStart w:id="358" w:name="_Toc505449639"/>
      <w:r w:rsidRPr="00785FB4">
        <w:t>Documentation of progress</w:t>
      </w:r>
      <w:bookmarkEnd w:id="358"/>
      <w:r w:rsidRPr="00785FB4">
        <w:t xml:space="preserve"> </w:t>
      </w:r>
    </w:p>
    <w:p w14:paraId="5C7045A9" w14:textId="36B25029" w:rsidR="00FB10EA" w:rsidRPr="00785FB4" w:rsidRDefault="0063234E" w:rsidP="00FB10EA">
      <w:pPr>
        <w:spacing w:before="120"/>
        <w:rPr>
          <w:bCs/>
        </w:rPr>
      </w:pPr>
      <w:r w:rsidRPr="00785FB4">
        <w:rPr>
          <w:bCs/>
        </w:rPr>
        <w:t xml:space="preserve">The 2014-15 EITI Report states that the government did not receive any in-kind revenues in the period under review, despite statutory provisions for such revenues under Article 47 of the Hydrocarbons Law and Article 10 of the Amu Darya PSC, the sole oil-producing block </w:t>
      </w:r>
      <w:r w:rsidRPr="00785FB4">
        <w:t xml:space="preserve">(pp.43-44). The report </w:t>
      </w:r>
      <w:r w:rsidR="00CD2941" w:rsidRPr="00785FB4">
        <w:t>refers to</w:t>
      </w:r>
      <w:r w:rsidRPr="00785FB4">
        <w:t xml:space="preserve"> assurances from the </w:t>
      </w:r>
      <w:r w:rsidR="00DB56BA" w:rsidRPr="00785FB4">
        <w:t>MOMP</w:t>
      </w:r>
      <w:r w:rsidRPr="00785FB4">
        <w:t xml:space="preserve"> Petroleum Directorate and Cadastre Directorate that the state received no in-kind oil revenues in 2014-15 (pp.43-44).</w:t>
      </w:r>
    </w:p>
    <w:p w14:paraId="034FA96C" w14:textId="3B2A0974" w:rsidR="007236DF" w:rsidRPr="00785FB4" w:rsidRDefault="00FB10EA" w:rsidP="00A94167">
      <w:pPr>
        <w:pStyle w:val="Heading3"/>
      </w:pPr>
      <w:bookmarkStart w:id="359" w:name="_Toc505449640"/>
      <w:r w:rsidRPr="00785FB4">
        <w:t>Stakeholder views</w:t>
      </w:r>
      <w:bookmarkEnd w:id="359"/>
      <w:r w:rsidRPr="00785FB4">
        <w:t xml:space="preserve"> </w:t>
      </w:r>
    </w:p>
    <w:p w14:paraId="2818A636" w14:textId="73A432CE" w:rsidR="00CD2941" w:rsidRPr="00785FB4" w:rsidRDefault="00CD2941" w:rsidP="00FB10EA">
      <w:pPr>
        <w:spacing w:before="120"/>
        <w:rPr>
          <w:bCs/>
        </w:rPr>
      </w:pPr>
      <w:r w:rsidRPr="00785FB4">
        <w:rPr>
          <w:bCs/>
        </w:rPr>
        <w:t>There was consensus among all stakeholders consulted that the government did not collect any in-kind revenues in 2014-15. While the 2017 AEITI organisational assessment considered that the government had not been asked of the existence of in-kind revenues in preparing the 2014-15 EITI Report</w:t>
      </w:r>
      <w:r w:rsidRPr="00785FB4">
        <w:rPr>
          <w:rStyle w:val="FootnoteReference"/>
          <w:bCs/>
        </w:rPr>
        <w:footnoteReference w:id="214"/>
      </w:r>
      <w:r w:rsidRPr="00785FB4">
        <w:rPr>
          <w:bCs/>
        </w:rPr>
        <w:t xml:space="preserve">, government officials and the IA confirmed that the issue had been discussed by the MSG during the inception phase. In oil and gas, several industry, government and civil society representatives confirmed that the CNPCI consortium had not yet reached the 40k bpd production target nor achieved profitability, meaning that the government was not yet entitled to Profit Oil, which could either be paid in cash or in-kind. </w:t>
      </w:r>
    </w:p>
    <w:p w14:paraId="7D3DF122" w14:textId="70A6EDB7" w:rsidR="00CD2941" w:rsidRPr="00785FB4" w:rsidRDefault="00CD2941" w:rsidP="00FB10EA">
      <w:pPr>
        <w:spacing w:before="120"/>
        <w:rPr>
          <w:bCs/>
        </w:rPr>
      </w:pPr>
      <w:r w:rsidRPr="00785FB4">
        <w:rPr>
          <w:bCs/>
        </w:rPr>
        <w:t xml:space="preserve">While there was consensus that the NCE did not collect in-kind coal revenues, several industry and government representatives explained that there were statutory provisions under the Minerals Law for royalty on mineral production to be paid either in cash or in-kind. Yet while industry sources noted that the government had received gold royalties in-kind in 2008-09, the MSG’s Technical Committee explained that the government had collected only small quantities of gold (517g in 2008 and 1748g in 2009), which it had sold in 2012. A government official explained that the government had ceased collecting royalties in-kind due to the high cost of selling such small quantities of gold. </w:t>
      </w:r>
    </w:p>
    <w:p w14:paraId="5A7937B4" w14:textId="4EF628FE" w:rsidR="00FB10EA" w:rsidRPr="00785FB4" w:rsidRDefault="00FB10EA" w:rsidP="00A94167">
      <w:pPr>
        <w:pStyle w:val="Heading3"/>
      </w:pPr>
      <w:bookmarkStart w:id="360" w:name="_Toc459133144"/>
      <w:bookmarkStart w:id="361" w:name="_Toc461803094"/>
      <w:bookmarkStart w:id="362" w:name="_Toc505449641"/>
      <w:r w:rsidRPr="00785FB4">
        <w:t>Initial assessment</w:t>
      </w:r>
      <w:bookmarkEnd w:id="360"/>
      <w:bookmarkEnd w:id="361"/>
      <w:bookmarkEnd w:id="362"/>
    </w:p>
    <w:p w14:paraId="05A74838" w14:textId="18E8DB7E" w:rsidR="000A62BC" w:rsidRPr="00785FB4" w:rsidRDefault="00FB10EA" w:rsidP="00B90F5B">
      <w:pPr>
        <w:spacing w:before="120"/>
      </w:pPr>
      <w:r w:rsidRPr="00785FB4">
        <w:t xml:space="preserve">The International Secretariat’s initial assessment is that </w:t>
      </w:r>
      <w:r w:rsidR="00C36C65" w:rsidRPr="00785FB4">
        <w:t xml:space="preserve">this requirement was not applicable to </w:t>
      </w:r>
      <w:r w:rsidR="00FC66E3" w:rsidRPr="00785FB4">
        <w:rPr>
          <w:bCs/>
        </w:rPr>
        <w:t>Afghanistan</w:t>
      </w:r>
      <w:r w:rsidR="00FC66E3" w:rsidRPr="00785FB4">
        <w:t xml:space="preserve"> </w:t>
      </w:r>
      <w:r w:rsidR="00C36C65" w:rsidRPr="00785FB4">
        <w:t>in the years under review</w:t>
      </w:r>
      <w:r w:rsidR="00C8623E" w:rsidRPr="00785FB4">
        <w:t>.</w:t>
      </w:r>
      <w:r w:rsidRPr="00785FB4">
        <w:t xml:space="preserve"> </w:t>
      </w:r>
      <w:r w:rsidR="00C36C65" w:rsidRPr="00785FB4">
        <w:t xml:space="preserve">The 2014-15 EITI Report states that the government did not receive any in-kind revenues in the period under review, based on assurances from the </w:t>
      </w:r>
      <w:r w:rsidR="00DB56BA" w:rsidRPr="00785FB4">
        <w:t>MOMP</w:t>
      </w:r>
      <w:r w:rsidR="00C36C65" w:rsidRPr="00785FB4">
        <w:t xml:space="preserve">. </w:t>
      </w:r>
    </w:p>
    <w:p w14:paraId="3E87F482" w14:textId="77777777" w:rsidR="008D3D57" w:rsidRPr="00785FB4" w:rsidRDefault="008D3D57" w:rsidP="00A94167">
      <w:pPr>
        <w:pStyle w:val="Heading2notindexed"/>
      </w:pPr>
      <w:bookmarkStart w:id="363" w:name="_Toc459133145"/>
      <w:bookmarkStart w:id="364" w:name="_Toc461803095"/>
      <w:bookmarkStart w:id="365" w:name="_Toc461787343"/>
      <w:bookmarkStart w:id="366" w:name="_Toc461795855"/>
      <w:bookmarkStart w:id="367" w:name="_Toc505449642"/>
      <w:bookmarkStart w:id="368" w:name="_Toc505449804"/>
      <w:bookmarkStart w:id="369" w:name="_Toc459133146"/>
      <w:r w:rsidRPr="00785FB4">
        <w:lastRenderedPageBreak/>
        <w:t>Barter and infrastructure transactions (#4.3)</w:t>
      </w:r>
      <w:bookmarkEnd w:id="363"/>
      <w:bookmarkEnd w:id="364"/>
      <w:bookmarkEnd w:id="365"/>
      <w:bookmarkEnd w:id="366"/>
      <w:bookmarkEnd w:id="367"/>
      <w:bookmarkEnd w:id="368"/>
    </w:p>
    <w:p w14:paraId="394396FB" w14:textId="47F4FBDD" w:rsidR="008A023B" w:rsidRPr="00785FB4" w:rsidRDefault="009F0617" w:rsidP="00A94167">
      <w:pPr>
        <w:pStyle w:val="Heading3"/>
      </w:pPr>
      <w:bookmarkStart w:id="370" w:name="_Toc505449643"/>
      <w:bookmarkEnd w:id="369"/>
      <w:r w:rsidRPr="00785FB4">
        <w:t>Documentation of progress</w:t>
      </w:r>
      <w:bookmarkEnd w:id="370"/>
      <w:r w:rsidRPr="00785FB4">
        <w:t xml:space="preserve"> </w:t>
      </w:r>
    </w:p>
    <w:p w14:paraId="24770737" w14:textId="04167294" w:rsidR="00C36C65" w:rsidRPr="00785FB4" w:rsidRDefault="00C36C65" w:rsidP="00EB0514">
      <w:pPr>
        <w:spacing w:before="120"/>
        <w:rPr>
          <w:bCs/>
        </w:rPr>
      </w:pPr>
      <w:r w:rsidRPr="00785FB4">
        <w:t xml:space="preserve">The 2014-15 EITI Report states that there were no barter arrangements or infrastructure provisions in force in the years under review, based on assurances from the </w:t>
      </w:r>
      <w:r w:rsidR="00DB56BA" w:rsidRPr="00785FB4">
        <w:t>MOMP</w:t>
      </w:r>
      <w:r w:rsidRPr="00785FB4">
        <w:t xml:space="preserve"> Petroleum Directorate and Cadastre Directorate (pp.44,69). </w:t>
      </w:r>
      <w:r w:rsidR="00597E7B" w:rsidRPr="00785FB4">
        <w:rPr>
          <w:bCs/>
        </w:rPr>
        <w:t xml:space="preserve">The 2015 Secretariat Review of Afghanistan also quoted </w:t>
      </w:r>
      <w:r w:rsidR="00DB56BA" w:rsidRPr="00785FB4">
        <w:rPr>
          <w:bCs/>
        </w:rPr>
        <w:t>MOMP</w:t>
      </w:r>
      <w:r w:rsidR="00597E7B" w:rsidRPr="00785FB4">
        <w:rPr>
          <w:bCs/>
        </w:rPr>
        <w:t xml:space="preserve"> assurances that there were no barter arrangements or infrastructure provisions in force in 2011-12.</w:t>
      </w:r>
      <w:r w:rsidR="00597E7B" w:rsidRPr="00785FB4">
        <w:rPr>
          <w:rStyle w:val="FootnoteReference"/>
        </w:rPr>
        <w:footnoteReference w:id="215"/>
      </w:r>
      <w:r w:rsidR="00597E7B" w:rsidRPr="00785FB4">
        <w:rPr>
          <w:bCs/>
        </w:rPr>
        <w:t xml:space="preserve"> </w:t>
      </w:r>
    </w:p>
    <w:p w14:paraId="7C84173B" w14:textId="77777777" w:rsidR="00E91ADB" w:rsidRPr="00785FB4" w:rsidRDefault="009F0617" w:rsidP="00A94167">
      <w:pPr>
        <w:pStyle w:val="Heading3"/>
      </w:pPr>
      <w:bookmarkStart w:id="371" w:name="_Toc505449644"/>
      <w:r w:rsidRPr="00785FB4">
        <w:t>Stakeholder views</w:t>
      </w:r>
      <w:bookmarkEnd w:id="371"/>
    </w:p>
    <w:p w14:paraId="65C24E10" w14:textId="3CF635E3" w:rsidR="004941A7" w:rsidRPr="00785FB4" w:rsidRDefault="00395DC7" w:rsidP="00C36C65">
      <w:pPr>
        <w:spacing w:before="120"/>
        <w:rPr>
          <w:bCs/>
        </w:rPr>
      </w:pPr>
      <w:r w:rsidRPr="00785FB4">
        <w:rPr>
          <w:bCs/>
        </w:rPr>
        <w:t xml:space="preserve">While </w:t>
      </w:r>
      <w:r w:rsidR="00C36C65" w:rsidRPr="00785FB4">
        <w:rPr>
          <w:bCs/>
        </w:rPr>
        <w:t>the 2017 AEITI organisational assessment considered that the government had not been asked of the existence of barter arrangements</w:t>
      </w:r>
      <w:r w:rsidR="00C36C65" w:rsidRPr="00785FB4">
        <w:rPr>
          <w:rStyle w:val="FootnoteReference"/>
          <w:bCs/>
        </w:rPr>
        <w:footnoteReference w:id="216"/>
      </w:r>
      <w:r w:rsidRPr="00785FB4">
        <w:rPr>
          <w:bCs/>
        </w:rPr>
        <w:t>, there was consensus among stakeholders consulted that there were no barter arrangements in force in 2014-15. Several civil society and development partner representatives considered that several large-scale mining project contracts contained infrastructure provisions, given that open-access roads, railroads and power plant had been biddable items during the tender phase for these contracts. In particular, as part of the Mes-Aynak copper project the MCC consortium had pledged to develop a railway from the Torkham border with Pakistan to the Khairatan border with Uzbekistan and a 400MW power plant as build-own-operate-transfer arrangements at the consortium’s expense.</w:t>
      </w:r>
      <w:r w:rsidR="0067308E" w:rsidRPr="00785FB4">
        <w:rPr>
          <w:rStyle w:val="FootnoteReference"/>
          <w:bCs/>
        </w:rPr>
        <w:footnoteReference w:id="217"/>
      </w:r>
      <w:r w:rsidR="0067308E" w:rsidRPr="00785FB4">
        <w:rPr>
          <w:bCs/>
        </w:rPr>
        <w:t xml:space="preserve"> </w:t>
      </w:r>
      <w:r w:rsidRPr="00785FB4">
        <w:rPr>
          <w:bCs/>
        </w:rPr>
        <w:t xml:space="preserve">As part of the </w:t>
      </w:r>
      <w:r w:rsidRPr="00785FB4">
        <w:rPr>
          <w:bCs/>
          <w:iCs/>
        </w:rPr>
        <w:t>Hajigak iron-ore project, the consortium led by the Steel Authority of India and Kilo Goldmines had pledged to build a 900km railway from the Hajigak region to the Iranian port of Chabahar.</w:t>
      </w:r>
      <w:r w:rsidRPr="00785FB4">
        <w:rPr>
          <w:bCs/>
          <w:iCs/>
          <w:vertAlign w:val="superscript"/>
        </w:rPr>
        <w:footnoteReference w:id="218"/>
      </w:r>
      <w:r w:rsidRPr="00785FB4">
        <w:rPr>
          <w:bCs/>
          <w:iCs/>
        </w:rPr>
        <w:t xml:space="preserve"> However, there was consensus among all stakeholders consulted and from third-party sources that the two projects were stalled pending renegotiation, that no investment in the associated infrastructure had yet taken place and that the infrastructure components of both projects now appeared unrealistic.</w:t>
      </w:r>
      <w:r w:rsidR="004941A7" w:rsidRPr="00785FB4">
        <w:rPr>
          <w:rStyle w:val="FootnoteReference"/>
          <w:bCs/>
        </w:rPr>
        <w:footnoteReference w:id="219"/>
      </w:r>
    </w:p>
    <w:p w14:paraId="3816184B" w14:textId="105171F3" w:rsidR="009F0617" w:rsidRPr="00785FB4" w:rsidRDefault="009F0617" w:rsidP="00A94167">
      <w:pPr>
        <w:pStyle w:val="Heading3"/>
      </w:pPr>
      <w:bookmarkStart w:id="372" w:name="_Toc459133148"/>
      <w:bookmarkStart w:id="373" w:name="_Toc461803098"/>
      <w:bookmarkStart w:id="374" w:name="_Toc505449645"/>
      <w:r w:rsidRPr="00785FB4">
        <w:t>Initial assessment</w:t>
      </w:r>
      <w:bookmarkEnd w:id="372"/>
      <w:bookmarkEnd w:id="373"/>
      <w:bookmarkEnd w:id="374"/>
    </w:p>
    <w:p w14:paraId="294BED03" w14:textId="6C365A60" w:rsidR="000722F1" w:rsidRPr="00785FB4" w:rsidRDefault="00C36C65" w:rsidP="00946D61">
      <w:r w:rsidRPr="00785FB4">
        <w:t xml:space="preserve">The International Secretariat’s initial assessment is that this requirement was not applicable to </w:t>
      </w:r>
      <w:r w:rsidRPr="00785FB4">
        <w:rPr>
          <w:bCs/>
        </w:rPr>
        <w:t>Afghanistan</w:t>
      </w:r>
      <w:r w:rsidRPr="00785FB4">
        <w:t xml:space="preserve"> in the years under review. The 2014-15 EITI Report states that there were no barter arrangements or infrastructure provisions in force in the period under review, based on assurances from the </w:t>
      </w:r>
      <w:r w:rsidR="00DB56BA" w:rsidRPr="00785FB4">
        <w:t>MOMP</w:t>
      </w:r>
      <w:r w:rsidRPr="00785FB4">
        <w:t>.</w:t>
      </w:r>
      <w:r w:rsidR="00395DC7" w:rsidRPr="00785FB4">
        <w:t xml:space="preserve"> While the International Secretariat understands that</w:t>
      </w:r>
      <w:r w:rsidR="00DB451C" w:rsidRPr="00785FB4">
        <w:t xml:space="preserve"> </w:t>
      </w:r>
      <w:r w:rsidR="0097770D" w:rsidRPr="00785FB4">
        <w:t xml:space="preserve">certain large-scale mining contracts included infrastructure provisions as biddable items, </w:t>
      </w:r>
      <w:r w:rsidR="00CF2EA2" w:rsidRPr="00785FB4">
        <w:t xml:space="preserve">even if </w:t>
      </w:r>
      <w:r w:rsidR="0097770D" w:rsidRPr="00785FB4">
        <w:t xml:space="preserve">these were not actively developed during the period under review. </w:t>
      </w:r>
    </w:p>
    <w:p w14:paraId="0541CD2C" w14:textId="4136B109" w:rsidR="0097770D" w:rsidRPr="00785FB4" w:rsidRDefault="0097770D" w:rsidP="00946D61">
      <w:r w:rsidRPr="00785FB4">
        <w:t xml:space="preserve">To strengthen implementation, </w:t>
      </w:r>
      <w:r w:rsidR="003035C8" w:rsidRPr="00785FB4">
        <w:t xml:space="preserve">Afghanistan </w:t>
      </w:r>
      <w:r w:rsidR="00A62C8C" w:rsidRPr="00785FB4">
        <w:t xml:space="preserve">is encouraged to assess the existence of any barter type arrangements or infrastructure provisions during the scoping for future EITI reporting to ensure that reporting of the implementation of such agreements provides a level of detail and transparency commensurate with the disclosure and reconciliation of other payments and revenues streams. </w:t>
      </w:r>
      <w:r w:rsidR="003035C8" w:rsidRPr="00785FB4">
        <w:t>Afghanistan</w:t>
      </w:r>
      <w:r w:rsidR="00A62C8C" w:rsidRPr="00785FB4">
        <w:t xml:space="preserve">, with </w:t>
      </w:r>
      <w:r w:rsidR="003035C8" w:rsidRPr="00785FB4">
        <w:t xml:space="preserve">support from </w:t>
      </w:r>
      <w:r w:rsidR="00A62C8C" w:rsidRPr="00785FB4">
        <w:t xml:space="preserve">the IA, may wish to gain a full understanding of the terms of the relevant agreements and contracts, the parties involved, the resources which have been pledged by the state, the value of the balancing benefit stream (e.g. infrastructure works), and the materiality of these agreements </w:t>
      </w:r>
      <w:r w:rsidR="00A62C8C" w:rsidRPr="00785FB4">
        <w:lastRenderedPageBreak/>
        <w:t>relative to conventional contracts.</w:t>
      </w:r>
    </w:p>
    <w:p w14:paraId="794BFE52" w14:textId="77777777" w:rsidR="000722F1" w:rsidRPr="00785FB4" w:rsidRDefault="000722F1" w:rsidP="00A94167">
      <w:pPr>
        <w:pStyle w:val="Heading2notindexed"/>
      </w:pPr>
      <w:bookmarkStart w:id="375" w:name="_Toc459133149"/>
      <w:bookmarkStart w:id="376" w:name="_Toc461803099"/>
      <w:bookmarkStart w:id="377" w:name="_Toc461787344"/>
      <w:bookmarkStart w:id="378" w:name="_Toc461795856"/>
      <w:bookmarkStart w:id="379" w:name="_Toc505449646"/>
      <w:bookmarkStart w:id="380" w:name="_Toc505449805"/>
      <w:bookmarkStart w:id="381" w:name="_Toc459133150"/>
      <w:r w:rsidRPr="00785FB4">
        <w:t>Transport revenues (#4.</w:t>
      </w:r>
      <w:r w:rsidR="008D3D57" w:rsidRPr="00785FB4">
        <w:t>4</w:t>
      </w:r>
      <w:r w:rsidRPr="00785FB4">
        <w:t>)</w:t>
      </w:r>
      <w:bookmarkEnd w:id="375"/>
      <w:bookmarkEnd w:id="376"/>
      <w:bookmarkEnd w:id="377"/>
      <w:bookmarkEnd w:id="378"/>
      <w:bookmarkEnd w:id="379"/>
      <w:bookmarkEnd w:id="380"/>
    </w:p>
    <w:p w14:paraId="659B146A" w14:textId="120B454D" w:rsidR="003E58F5" w:rsidRPr="00785FB4" w:rsidRDefault="00852467" w:rsidP="00A94167">
      <w:pPr>
        <w:pStyle w:val="Heading3"/>
      </w:pPr>
      <w:bookmarkStart w:id="382" w:name="_Toc505449647"/>
      <w:bookmarkEnd w:id="381"/>
      <w:r w:rsidRPr="00785FB4">
        <w:t>Documentation of progress</w:t>
      </w:r>
      <w:bookmarkEnd w:id="382"/>
      <w:r w:rsidRPr="00785FB4">
        <w:t xml:space="preserve"> </w:t>
      </w:r>
    </w:p>
    <w:p w14:paraId="0C622FAB" w14:textId="3605D30C" w:rsidR="00852467" w:rsidRPr="00785FB4" w:rsidRDefault="008E6CF9" w:rsidP="00852467">
      <w:pPr>
        <w:spacing w:before="120"/>
        <w:rPr>
          <w:bCs/>
        </w:rPr>
      </w:pPr>
      <w:r w:rsidRPr="00785FB4">
        <w:rPr>
          <w:bCs/>
          <w:i/>
          <w:u w:val="single"/>
        </w:rPr>
        <w:t>Materiality</w:t>
      </w:r>
      <w:r w:rsidRPr="00785FB4">
        <w:rPr>
          <w:bCs/>
        </w:rPr>
        <w:t xml:space="preserve">: </w:t>
      </w:r>
      <w:r w:rsidR="00C56CA4" w:rsidRPr="00785FB4">
        <w:rPr>
          <w:bCs/>
        </w:rPr>
        <w:t xml:space="preserve">The 2014-15 EITI Report </w:t>
      </w:r>
      <w:r w:rsidR="00D046CE" w:rsidRPr="00785FB4">
        <w:rPr>
          <w:bCs/>
        </w:rPr>
        <w:t xml:space="preserve">describes </w:t>
      </w:r>
      <w:r w:rsidR="00CF2EA2" w:rsidRPr="00785FB4">
        <w:rPr>
          <w:bCs/>
        </w:rPr>
        <w:t xml:space="preserve">four </w:t>
      </w:r>
      <w:r w:rsidR="00D046CE" w:rsidRPr="00785FB4">
        <w:rPr>
          <w:bCs/>
        </w:rPr>
        <w:t xml:space="preserve">types of transportation arrangements, although </w:t>
      </w:r>
      <w:r w:rsidR="001D4946" w:rsidRPr="00785FB4">
        <w:rPr>
          <w:bCs/>
        </w:rPr>
        <w:t xml:space="preserve">none </w:t>
      </w:r>
      <w:r w:rsidR="00D046CE" w:rsidRPr="00785FB4">
        <w:rPr>
          <w:bCs/>
        </w:rPr>
        <w:t xml:space="preserve">of these appears to give rise to transportation revenues in line with Requirement 4.4. </w:t>
      </w:r>
    </w:p>
    <w:p w14:paraId="51890F52" w14:textId="3E78E25F" w:rsidR="00EB0514" w:rsidRPr="00785FB4" w:rsidRDefault="00D046CE" w:rsidP="00EB0514">
      <w:pPr>
        <w:spacing w:before="120"/>
        <w:rPr>
          <w:bCs/>
        </w:rPr>
      </w:pPr>
      <w:bookmarkStart w:id="383" w:name="_Hlk507597158"/>
      <w:r w:rsidRPr="00785FB4">
        <w:rPr>
          <w:bCs/>
        </w:rPr>
        <w:t>The report notes that the gov</w:t>
      </w:r>
      <w:r w:rsidR="001D4946" w:rsidRPr="00785FB4">
        <w:rPr>
          <w:bCs/>
        </w:rPr>
        <w:t xml:space="preserve">ernment, </w:t>
      </w:r>
      <w:r w:rsidRPr="00785FB4">
        <w:rPr>
          <w:bCs/>
        </w:rPr>
        <w:t xml:space="preserve">through </w:t>
      </w:r>
      <w:r w:rsidR="001D4946" w:rsidRPr="00785FB4">
        <w:rPr>
          <w:bCs/>
        </w:rPr>
        <w:t xml:space="preserve">its </w:t>
      </w:r>
      <w:r w:rsidRPr="00785FB4">
        <w:rPr>
          <w:bCs/>
        </w:rPr>
        <w:t>budget statement</w:t>
      </w:r>
      <w:r w:rsidR="001D4946" w:rsidRPr="00785FB4">
        <w:rPr>
          <w:bCs/>
        </w:rPr>
        <w:t>,</w:t>
      </w:r>
      <w:r w:rsidRPr="00785FB4">
        <w:rPr>
          <w:bCs/>
        </w:rPr>
        <w:t xml:space="preserve"> reported AFS 2.388m (roughly USD 34k) in “revenue from oil transit” for 2014, </w:t>
      </w:r>
      <w:r w:rsidR="001D4946" w:rsidRPr="00785FB4">
        <w:rPr>
          <w:bCs/>
        </w:rPr>
        <w:t xml:space="preserve">although </w:t>
      </w:r>
      <w:r w:rsidRPr="00785FB4">
        <w:rPr>
          <w:bCs/>
        </w:rPr>
        <w:t xml:space="preserve">it explains that this represents revenues collected by the Ministry of Commerce and Industries from the transport of vegetable oil (p.44). </w:t>
      </w:r>
      <w:bookmarkEnd w:id="383"/>
      <w:r w:rsidR="00CF2EA2" w:rsidRPr="00785FB4">
        <w:rPr>
          <w:bCs/>
        </w:rPr>
        <w:t xml:space="preserve">In the revenue figures included from the national budget for 2014 and 2015, the report includes a line for “revenue from railway” (p.35), although no additional explanation of this revenue flow </w:t>
      </w:r>
      <w:r w:rsidR="0097093C" w:rsidRPr="00785FB4">
        <w:rPr>
          <w:bCs/>
        </w:rPr>
        <w:t>is</w:t>
      </w:r>
      <w:r w:rsidR="00CF2EA2" w:rsidRPr="00785FB4">
        <w:rPr>
          <w:bCs/>
        </w:rPr>
        <w:t xml:space="preserve"> provided. </w:t>
      </w:r>
      <w:r w:rsidR="003B6CD2" w:rsidRPr="00785FB4">
        <w:rPr>
          <w:bCs/>
        </w:rPr>
        <w:t xml:space="preserve">The report also describes “a small network of (gas) pipelines” operated by the </w:t>
      </w:r>
      <w:r w:rsidR="001D4946" w:rsidRPr="00785FB4">
        <w:rPr>
          <w:bCs/>
        </w:rPr>
        <w:t xml:space="preserve">AGE </w:t>
      </w:r>
      <w:r w:rsidR="003B6CD2" w:rsidRPr="00785FB4">
        <w:rPr>
          <w:bCs/>
        </w:rPr>
        <w:t xml:space="preserve">in Jowzjan Province, which supplies the Northern Fertilizer and Power Plant (p.52). However, there is no evidence that </w:t>
      </w:r>
      <w:r w:rsidR="001D4946" w:rsidRPr="00785FB4">
        <w:rPr>
          <w:bCs/>
        </w:rPr>
        <w:t xml:space="preserve">the </w:t>
      </w:r>
      <w:r w:rsidR="003B6CD2" w:rsidRPr="00785FB4">
        <w:rPr>
          <w:bCs/>
        </w:rPr>
        <w:t xml:space="preserve">operation of the pipeline gives rise to </w:t>
      </w:r>
      <w:r w:rsidR="001D4946" w:rsidRPr="00785FB4">
        <w:rPr>
          <w:bCs/>
        </w:rPr>
        <w:t>pipeline use-</w:t>
      </w:r>
      <w:r w:rsidR="003B6CD2" w:rsidRPr="00785FB4">
        <w:rPr>
          <w:bCs/>
        </w:rPr>
        <w:t>fee revenues to the government, given that the gas pipeline</w:t>
      </w:r>
      <w:r w:rsidR="001D4946" w:rsidRPr="00785FB4">
        <w:rPr>
          <w:bCs/>
        </w:rPr>
        <w:t>s appear</w:t>
      </w:r>
      <w:r w:rsidR="003B6CD2" w:rsidRPr="00785FB4">
        <w:rPr>
          <w:bCs/>
        </w:rPr>
        <w:t xml:space="preserve"> integrated into </w:t>
      </w:r>
      <w:r w:rsidR="001D4946" w:rsidRPr="00785FB4">
        <w:rPr>
          <w:bCs/>
        </w:rPr>
        <w:t xml:space="preserve">AGE’s </w:t>
      </w:r>
      <w:r w:rsidR="003B6CD2" w:rsidRPr="00785FB4">
        <w:rPr>
          <w:bCs/>
        </w:rPr>
        <w:t xml:space="preserve">operations. </w:t>
      </w:r>
      <w:r w:rsidR="00701FF4" w:rsidRPr="00785FB4">
        <w:rPr>
          <w:bCs/>
        </w:rPr>
        <w:t xml:space="preserve">Finally, the report describes a </w:t>
      </w:r>
      <w:r w:rsidR="00187A19" w:rsidRPr="00785FB4">
        <w:rPr>
          <w:bCs/>
        </w:rPr>
        <w:t>royalty collection</w:t>
      </w:r>
      <w:r w:rsidR="00701FF4" w:rsidRPr="00785FB4">
        <w:rPr>
          <w:bCs/>
        </w:rPr>
        <w:t xml:space="preserve"> farm-out arrangement to a company (</w:t>
      </w:r>
      <w:r w:rsidR="00701FF4" w:rsidRPr="00785FB4">
        <w:t xml:space="preserve">Shair Pawan) that does not hold an extractives license but collected </w:t>
      </w:r>
      <w:r w:rsidR="001D4946" w:rsidRPr="00785FB4">
        <w:t xml:space="preserve">royalties from companies transporting construction materials (stone and gravel) at checkpoints on </w:t>
      </w:r>
      <w:r w:rsidR="00701FF4" w:rsidRPr="00785FB4">
        <w:t>two roads</w:t>
      </w:r>
      <w:r w:rsidR="008E6CF9" w:rsidRPr="00785FB4">
        <w:rPr>
          <w:rStyle w:val="FootnoteReference"/>
        </w:rPr>
        <w:footnoteReference w:id="220"/>
      </w:r>
      <w:r w:rsidR="00701FF4" w:rsidRPr="00785FB4">
        <w:t xml:space="preserve"> in Bagram District (p.20). </w:t>
      </w:r>
      <w:r w:rsidR="00187A19" w:rsidRPr="00785FB4">
        <w:t xml:space="preserve">A copy of the one-page 2013 contract between Shair Pawan and the </w:t>
      </w:r>
      <w:r w:rsidR="00DB56BA" w:rsidRPr="00785FB4">
        <w:t>MOMP</w:t>
      </w:r>
      <w:r w:rsidR="00187A19" w:rsidRPr="00785FB4">
        <w:t xml:space="preserve"> Parwan Mine Directorate is provided in annex to the report (a/p.208). It is clear from the terms of the contract that the fees collected by Shair Pawan and transferred to the government represent royalt</w:t>
      </w:r>
      <w:r w:rsidR="00784F54" w:rsidRPr="00785FB4">
        <w:t>y-type fees</w:t>
      </w:r>
      <w:r w:rsidR="00187A19" w:rsidRPr="00785FB4">
        <w:t xml:space="preserve"> rather than a form of transportation revenues (</w:t>
      </w:r>
      <w:r w:rsidR="00187A19" w:rsidRPr="00785FB4">
        <w:rPr>
          <w:i/>
        </w:rPr>
        <w:t>see Requirement 4.1</w:t>
      </w:r>
      <w:r w:rsidR="00187A19" w:rsidRPr="00785FB4">
        <w:t xml:space="preserve">). </w:t>
      </w:r>
    </w:p>
    <w:p w14:paraId="5967C969" w14:textId="2802190D" w:rsidR="003E58F5" w:rsidRPr="00785FB4" w:rsidRDefault="00852467" w:rsidP="00A94167">
      <w:pPr>
        <w:pStyle w:val="Heading3"/>
      </w:pPr>
      <w:bookmarkStart w:id="384" w:name="_Toc505449648"/>
      <w:r w:rsidRPr="00785FB4">
        <w:t>Stakeholder views</w:t>
      </w:r>
      <w:bookmarkEnd w:id="384"/>
    </w:p>
    <w:p w14:paraId="00C58E38" w14:textId="5897C221" w:rsidR="00187A19" w:rsidRPr="00785FB4" w:rsidRDefault="003875E6" w:rsidP="0044760D">
      <w:pPr>
        <w:spacing w:before="120"/>
        <w:rPr>
          <w:bCs/>
        </w:rPr>
      </w:pPr>
      <w:r w:rsidRPr="00785FB4">
        <w:rPr>
          <w:bCs/>
        </w:rPr>
        <w:t xml:space="preserve">There was consensus among all stakeholders consulted that AGE fully owned its pipeline network and did not transport third-party natural gas in its pipelines, which was </w:t>
      </w:r>
      <w:r w:rsidR="000873AE" w:rsidRPr="00785FB4">
        <w:rPr>
          <w:bCs/>
        </w:rPr>
        <w:t xml:space="preserve">also </w:t>
      </w:r>
      <w:r w:rsidRPr="00785FB4">
        <w:rPr>
          <w:bCs/>
        </w:rPr>
        <w:t>confirmed in secondary sources.</w:t>
      </w:r>
      <w:r w:rsidRPr="00785FB4">
        <w:rPr>
          <w:rStyle w:val="FootnoteReference"/>
          <w:iCs/>
        </w:rPr>
        <w:footnoteReference w:id="221"/>
      </w:r>
      <w:r w:rsidRPr="00785FB4">
        <w:rPr>
          <w:bCs/>
        </w:rPr>
        <w:t xml:space="preserve"> There was also consensus that the arrangement with Shair Pawan did not represent a form of </w:t>
      </w:r>
      <w:r w:rsidR="00E831DA" w:rsidRPr="00785FB4">
        <w:rPr>
          <w:bCs/>
        </w:rPr>
        <w:t>transportation revenues, but rather a royalty collection farm-out arrangement that some CSOs categorised as “mineral laundering” (</w:t>
      </w:r>
      <w:r w:rsidR="00E831DA" w:rsidRPr="00785FB4">
        <w:rPr>
          <w:bCs/>
          <w:i/>
        </w:rPr>
        <w:t>see Requirement 4.1</w:t>
      </w:r>
      <w:r w:rsidR="00E831DA" w:rsidRPr="00785FB4">
        <w:rPr>
          <w:bCs/>
        </w:rPr>
        <w:t xml:space="preserve">). </w:t>
      </w:r>
      <w:r w:rsidR="0097093C" w:rsidRPr="00785FB4">
        <w:rPr>
          <w:bCs/>
        </w:rPr>
        <w:t>Stakeholders consulted from all constituencies also confirmed that Afghanistan’s railways were not operational and external sources confirm the lack of government revenues from rail transport in 2014-15.</w:t>
      </w:r>
      <w:r w:rsidR="0097093C" w:rsidRPr="00785FB4">
        <w:rPr>
          <w:rStyle w:val="FootnoteReference"/>
          <w:bCs/>
        </w:rPr>
        <w:footnoteReference w:id="222"/>
      </w:r>
    </w:p>
    <w:p w14:paraId="160793E5" w14:textId="0B21DF81" w:rsidR="0044760D" w:rsidRPr="00785FB4" w:rsidRDefault="00E831DA" w:rsidP="00F93BF7">
      <w:pPr>
        <w:spacing w:before="120"/>
        <w:rPr>
          <w:bCs/>
        </w:rPr>
      </w:pPr>
      <w:r w:rsidRPr="00785FB4">
        <w:rPr>
          <w:bCs/>
        </w:rPr>
        <w:t>Several government and civil society representatives highlighted the (highway) road-use fees collected by the Ministry of Transport</w:t>
      </w:r>
      <w:r w:rsidR="00F93BF7" w:rsidRPr="00785FB4">
        <w:rPr>
          <w:bCs/>
        </w:rPr>
        <w:t xml:space="preserve"> (MoT)</w:t>
      </w:r>
      <w:r w:rsidRPr="00785FB4">
        <w:rPr>
          <w:bCs/>
        </w:rPr>
        <w:t xml:space="preserve"> from all vehicles, which was also highlighted in the </w:t>
      </w:r>
      <w:r w:rsidR="00613E51" w:rsidRPr="00785FB4">
        <w:rPr>
          <w:bCs/>
        </w:rPr>
        <w:t xml:space="preserve">2017 </w:t>
      </w:r>
      <w:r w:rsidRPr="00785FB4">
        <w:rPr>
          <w:bCs/>
        </w:rPr>
        <w:t xml:space="preserve">AEITI </w:t>
      </w:r>
      <w:r w:rsidRPr="00785FB4">
        <w:rPr>
          <w:bCs/>
        </w:rPr>
        <w:lastRenderedPageBreak/>
        <w:t>organisational assessment.</w:t>
      </w:r>
      <w:r w:rsidRPr="00785FB4">
        <w:rPr>
          <w:rStyle w:val="FootnoteReference"/>
          <w:bCs/>
        </w:rPr>
        <w:footnoteReference w:id="223"/>
      </w:r>
      <w:r w:rsidR="00F93BF7" w:rsidRPr="00785FB4">
        <w:rPr>
          <w:bCs/>
        </w:rPr>
        <w:t xml:space="preserve"> There was consensus that these road-use fees were not specific to trucks transporting minerals. An official provided the road-use fee rates, which were higher for asphalted roads. The MSG’s Technical Committee explained that the MSG had briefly discussed this issue but decided not to include road-use fees levied by the MoT given the Ministry’s inability to provide data on revenues collected from trucks carrying minerals</w:t>
      </w:r>
      <w:r w:rsidR="000873AE" w:rsidRPr="00785FB4">
        <w:rPr>
          <w:bCs/>
        </w:rPr>
        <w:t xml:space="preserve"> specifically</w:t>
      </w:r>
      <w:r w:rsidR="00F93BF7" w:rsidRPr="00785FB4">
        <w:rPr>
          <w:bCs/>
        </w:rPr>
        <w:t xml:space="preserve">. Government officials and the 2017 AEITI assessment highlighted that the </w:t>
      </w:r>
      <w:r w:rsidR="00613E51" w:rsidRPr="00785FB4">
        <w:rPr>
          <w:bCs/>
        </w:rPr>
        <w:t xml:space="preserve">AEITI work plan </w:t>
      </w:r>
      <w:r w:rsidR="00F93BF7" w:rsidRPr="00785FB4">
        <w:rPr>
          <w:bCs/>
        </w:rPr>
        <w:t xml:space="preserve">included activities related to </w:t>
      </w:r>
      <w:r w:rsidR="00613E51" w:rsidRPr="00785FB4">
        <w:rPr>
          <w:bCs/>
        </w:rPr>
        <w:t>establish</w:t>
      </w:r>
      <w:r w:rsidR="00F93BF7" w:rsidRPr="00785FB4">
        <w:rPr>
          <w:bCs/>
        </w:rPr>
        <w:t>ing</w:t>
      </w:r>
      <w:r w:rsidR="00613E51" w:rsidRPr="00785FB4">
        <w:rPr>
          <w:bCs/>
        </w:rPr>
        <w:t xml:space="preserve"> a</w:t>
      </w:r>
      <w:r w:rsidR="00F93BF7" w:rsidRPr="00785FB4">
        <w:rPr>
          <w:bCs/>
        </w:rPr>
        <w:t>n accounting</w:t>
      </w:r>
      <w:r w:rsidR="00613E51" w:rsidRPr="00785FB4">
        <w:rPr>
          <w:bCs/>
        </w:rPr>
        <w:t xml:space="preserve"> system for </w:t>
      </w:r>
      <w:r w:rsidR="00F93BF7" w:rsidRPr="00785FB4">
        <w:rPr>
          <w:bCs/>
        </w:rPr>
        <w:t xml:space="preserve">MoT-collected </w:t>
      </w:r>
      <w:r w:rsidR="00613E51" w:rsidRPr="00785FB4">
        <w:rPr>
          <w:bCs/>
        </w:rPr>
        <w:t>transportation revenues</w:t>
      </w:r>
      <w:r w:rsidR="000873AE" w:rsidRPr="00785FB4">
        <w:rPr>
          <w:bCs/>
        </w:rPr>
        <w:t xml:space="preserve"> from extractives</w:t>
      </w:r>
      <w:r w:rsidR="00613E51" w:rsidRPr="00785FB4">
        <w:rPr>
          <w:bCs/>
        </w:rPr>
        <w:t>.</w:t>
      </w:r>
      <w:r w:rsidR="00613E51" w:rsidRPr="00785FB4">
        <w:rPr>
          <w:rStyle w:val="FootnoteReference"/>
          <w:bCs/>
        </w:rPr>
        <w:footnoteReference w:id="224"/>
      </w:r>
    </w:p>
    <w:p w14:paraId="288EFCC3" w14:textId="01E453B5" w:rsidR="00852467" w:rsidRPr="00785FB4" w:rsidRDefault="00852467" w:rsidP="00A94167">
      <w:pPr>
        <w:pStyle w:val="Heading3"/>
      </w:pPr>
      <w:bookmarkStart w:id="385" w:name="_Toc459133152"/>
      <w:bookmarkStart w:id="386" w:name="_Toc461803102"/>
      <w:bookmarkStart w:id="387" w:name="_Toc505449649"/>
      <w:r w:rsidRPr="00785FB4">
        <w:t>Initial assessment</w:t>
      </w:r>
      <w:bookmarkEnd w:id="385"/>
      <w:bookmarkEnd w:id="386"/>
      <w:bookmarkEnd w:id="387"/>
    </w:p>
    <w:p w14:paraId="447214DF" w14:textId="02F25745" w:rsidR="00F93BF7" w:rsidRPr="00785FB4" w:rsidRDefault="00852467" w:rsidP="009264A4">
      <w:pPr>
        <w:spacing w:before="120"/>
      </w:pPr>
      <w:r w:rsidRPr="00785FB4">
        <w:t xml:space="preserve">The International Secretariat’s initial assessment is that </w:t>
      </w:r>
      <w:r w:rsidR="00FC66E3" w:rsidRPr="00785FB4">
        <w:rPr>
          <w:bCs/>
        </w:rPr>
        <w:t>Afghanistan</w:t>
      </w:r>
      <w:r w:rsidR="00FC66E3" w:rsidRPr="00785FB4">
        <w:t xml:space="preserve"> </w:t>
      </w:r>
      <w:r w:rsidRPr="00785FB4">
        <w:t xml:space="preserve">has made </w:t>
      </w:r>
      <w:r w:rsidR="00E11F18" w:rsidRPr="00785FB4">
        <w:rPr>
          <w:bCs/>
        </w:rPr>
        <w:t>inadequate</w:t>
      </w:r>
      <w:r w:rsidR="00E11F18" w:rsidRPr="00785FB4">
        <w:t xml:space="preserve"> </w:t>
      </w:r>
      <w:r w:rsidRPr="00785FB4">
        <w:t xml:space="preserve">progress in meeting this requirement. </w:t>
      </w:r>
      <w:r w:rsidR="00AC5658" w:rsidRPr="00785FB4">
        <w:t>The Validation Guide states that “Disclosure of material transportation revenues is expected, but not required for compliance with the EITI provisions. Where transportation revenues are material but not disclosed, the validator is expected to evaluate whether the MSG has documented and explained the barriers to provision of this information and any government plans to overcome these barriers”.</w:t>
      </w:r>
      <w:r w:rsidR="00AC5658" w:rsidRPr="00785FB4">
        <w:rPr>
          <w:rStyle w:val="FootnoteReference"/>
        </w:rPr>
        <w:footnoteReference w:id="225"/>
      </w:r>
      <w:r w:rsidR="00AC5658" w:rsidRPr="00785FB4">
        <w:t xml:space="preserve"> </w:t>
      </w:r>
      <w:r w:rsidR="009264A4" w:rsidRPr="00785FB4">
        <w:t>T</w:t>
      </w:r>
      <w:r w:rsidR="00F93BF7" w:rsidRPr="00785FB4">
        <w:t>he MSG appears to have considered the existence of transportation arrangements in the extractive industries</w:t>
      </w:r>
      <w:r w:rsidR="009264A4" w:rsidRPr="00785FB4">
        <w:t xml:space="preserve"> in general</w:t>
      </w:r>
      <w:r w:rsidR="00F93BF7" w:rsidRPr="00785FB4">
        <w:t xml:space="preserve">, </w:t>
      </w:r>
      <w:r w:rsidR="009264A4" w:rsidRPr="00785FB4">
        <w:t xml:space="preserve">although </w:t>
      </w:r>
      <w:r w:rsidR="00F93BF7" w:rsidRPr="00785FB4">
        <w:t xml:space="preserve">the 2014-15 EITI Report </w:t>
      </w:r>
      <w:r w:rsidR="00AC5658" w:rsidRPr="00785FB4">
        <w:t xml:space="preserve">refers to four </w:t>
      </w:r>
      <w:r w:rsidR="00F93BF7" w:rsidRPr="00785FB4">
        <w:t>arrangements that do not give rise to transportation revenues</w:t>
      </w:r>
      <w:r w:rsidR="009264A4" w:rsidRPr="00785FB4">
        <w:t xml:space="preserve">. Yet the International Secretariat finds no evidence of any such discussion by the MSG of </w:t>
      </w:r>
      <w:r w:rsidR="00F93BF7" w:rsidRPr="00785FB4">
        <w:t xml:space="preserve">road-use fees collected by the Ministry of Transport on all vehicles (not extractives-specific). While these are likely immaterial, the lack of clear assessment of the materiality of such road-use fee revenues is a concern. </w:t>
      </w:r>
    </w:p>
    <w:p w14:paraId="35B0071F" w14:textId="3A1EEA64" w:rsidR="00C03301" w:rsidRPr="00785FB4" w:rsidRDefault="00C03301" w:rsidP="00F93BF7">
      <w:pPr>
        <w:spacing w:before="120"/>
      </w:pPr>
      <w:r w:rsidRPr="00785FB4">
        <w:t xml:space="preserve">In accordance with Requirement 4.4, </w:t>
      </w:r>
      <w:r w:rsidR="003035C8" w:rsidRPr="00785FB4">
        <w:t xml:space="preserve">Afghanistan </w:t>
      </w:r>
      <w:r w:rsidRPr="00785FB4">
        <w:t xml:space="preserve">should </w:t>
      </w:r>
      <w:r w:rsidR="00F93BF7" w:rsidRPr="00785FB4">
        <w:t xml:space="preserve">ensure that its assessment of the materiality of any revenues from the transportation of oil, gas and minerals be publicly documented and that any such material revenues be disclosed disaggregated to levels commensurate with the reporting of other payments and revenue streams. </w:t>
      </w:r>
    </w:p>
    <w:p w14:paraId="50A759B0" w14:textId="77777777" w:rsidR="008D3D57" w:rsidRPr="00785FB4" w:rsidRDefault="008D3D57" w:rsidP="00A94167">
      <w:pPr>
        <w:pStyle w:val="Heading2notindexed"/>
      </w:pPr>
      <w:bookmarkStart w:id="388" w:name="_Toc459133153"/>
      <w:bookmarkStart w:id="389" w:name="_Toc461803103"/>
      <w:bookmarkStart w:id="390" w:name="_Toc461787345"/>
      <w:bookmarkStart w:id="391" w:name="_Toc461795857"/>
      <w:bookmarkStart w:id="392" w:name="_Toc505449650"/>
      <w:bookmarkStart w:id="393" w:name="_Toc505449806"/>
      <w:bookmarkStart w:id="394" w:name="_Toc459133154"/>
      <w:r w:rsidRPr="00785FB4">
        <w:t>Transactions between SOEs and government (#4.5)</w:t>
      </w:r>
      <w:bookmarkEnd w:id="388"/>
      <w:bookmarkEnd w:id="389"/>
      <w:bookmarkEnd w:id="390"/>
      <w:bookmarkEnd w:id="391"/>
      <w:bookmarkEnd w:id="392"/>
      <w:bookmarkEnd w:id="393"/>
    </w:p>
    <w:p w14:paraId="394A3F90" w14:textId="1873570C" w:rsidR="003E58F5" w:rsidRPr="00785FB4" w:rsidRDefault="00852467" w:rsidP="00A94167">
      <w:pPr>
        <w:pStyle w:val="Heading3"/>
      </w:pPr>
      <w:bookmarkStart w:id="395" w:name="_Toc505449651"/>
      <w:bookmarkEnd w:id="394"/>
      <w:r w:rsidRPr="00785FB4">
        <w:t>Documentation of progress</w:t>
      </w:r>
      <w:bookmarkEnd w:id="395"/>
      <w:r w:rsidRPr="00785FB4">
        <w:t xml:space="preserve"> </w:t>
      </w:r>
    </w:p>
    <w:p w14:paraId="3149A746" w14:textId="26B61D46" w:rsidR="00C03301" w:rsidRPr="00785FB4" w:rsidRDefault="009264A4" w:rsidP="001D407B">
      <w:pPr>
        <w:spacing w:before="120"/>
      </w:pPr>
      <w:r w:rsidRPr="00785FB4">
        <w:t xml:space="preserve">The 2014-15 EITI Report does not confirm that </w:t>
      </w:r>
      <w:r w:rsidRPr="00785FB4">
        <w:rPr>
          <w:u w:val="single"/>
        </w:rPr>
        <w:t>mining, oil and gas companies do not make payments</w:t>
      </w:r>
      <w:r w:rsidRPr="00785FB4">
        <w:t xml:space="preserve"> to either of the two extractives SOEs</w:t>
      </w:r>
      <w:r w:rsidR="00C03301" w:rsidRPr="00785FB4">
        <w:t xml:space="preserve">. </w:t>
      </w:r>
      <w:r w:rsidR="00E02BE1" w:rsidRPr="00785FB4">
        <w:t xml:space="preserve">There is no evidence of revenues from extractives companies collected by either of the two SOEs in the reconciliation </w:t>
      </w:r>
      <w:r w:rsidR="00520574" w:rsidRPr="00785FB4">
        <w:t xml:space="preserve">results </w:t>
      </w:r>
      <w:r w:rsidR="00E02BE1" w:rsidRPr="00785FB4">
        <w:t>in annex to the report (a/pp.19,20,47,48).</w:t>
      </w:r>
    </w:p>
    <w:p w14:paraId="31EFB5E0" w14:textId="2AE1780A" w:rsidR="00846A67" w:rsidRPr="00785FB4" w:rsidRDefault="00C03301" w:rsidP="001D407B">
      <w:pPr>
        <w:spacing w:before="120"/>
      </w:pPr>
      <w:r w:rsidRPr="00785FB4">
        <w:t xml:space="preserve">In terms of </w:t>
      </w:r>
      <w:r w:rsidRPr="00785FB4">
        <w:rPr>
          <w:u w:val="single"/>
        </w:rPr>
        <w:t>SOEs’ transactions with government</w:t>
      </w:r>
      <w:r w:rsidRPr="00785FB4">
        <w:t xml:space="preserve">, the report states that </w:t>
      </w:r>
      <w:r w:rsidR="00846A67" w:rsidRPr="00785FB4">
        <w:t xml:space="preserve">the two extractives SOEs (Northern Coal Enterprise and Afghan Gas Enterprise) were included in the scope of reporting given that they accounted for “a large part” of government extractives revenues (pp.20,52). The report </w:t>
      </w:r>
      <w:r w:rsidR="009264A4" w:rsidRPr="00785FB4">
        <w:t xml:space="preserve">states that three companies (the two SOEs and CNPCI) accounted for 63.4% of government extractives revenues in 2014 and 85.8% in 2015 (p.48), while it is clear from the results of reconciliation that the two SOEs accounted for 56% and 77% of extractives revenues in 2014 and 2015 respectively (pp.70-73). </w:t>
      </w:r>
      <w:r w:rsidR="00600354" w:rsidRPr="00785FB4">
        <w:tab/>
      </w:r>
    </w:p>
    <w:p w14:paraId="34D18713" w14:textId="48FC4240" w:rsidR="001D407B" w:rsidRPr="00785FB4" w:rsidRDefault="00846A67" w:rsidP="001D407B">
      <w:pPr>
        <w:spacing w:before="120"/>
      </w:pPr>
      <w:r w:rsidRPr="00785FB4">
        <w:lastRenderedPageBreak/>
        <w:t>The list of material revenue streams in the scope of reconciliation includes dividends from SOEs, alongside loan repayments, interest on loans, “core and non-core revenue”, “payment of expenditure”, business receipt tax and income tax (pp.42-43).</w:t>
      </w:r>
      <w:r w:rsidR="00E02BE1" w:rsidRPr="00785FB4">
        <w:t xml:space="preserve"> The report provides the USD value of “</w:t>
      </w:r>
      <w:r w:rsidR="00DB56BA" w:rsidRPr="00785FB4">
        <w:t>MOMP</w:t>
      </w:r>
      <w:r w:rsidR="00E02BE1" w:rsidRPr="00785FB4">
        <w:t xml:space="preserve"> Profit from SOEs” for 2014 and 2015, although it is unclear whether this represents the value of dividends or other types of payments (p.36). </w:t>
      </w:r>
      <w:r w:rsidR="00FB03EE" w:rsidRPr="00785FB4">
        <w:t xml:space="preserve">The report provides the results of reconciliation of SOE payments to government in 2014 and 2015, with significant discrepancies, although it is unclear whether the “Other Receipts Profit” payments to </w:t>
      </w:r>
      <w:r w:rsidR="00DB56BA" w:rsidRPr="00785FB4">
        <w:t>MOF</w:t>
      </w:r>
      <w:r w:rsidR="00FB03EE" w:rsidRPr="00785FB4">
        <w:t xml:space="preserve"> represent SOE dividends to government (p.69, a/pp.19,20,47,48). All other payments reported by the SOEs are common to all extractives companies</w:t>
      </w:r>
      <w:r w:rsidR="00FB03EE" w:rsidRPr="00785FB4">
        <w:rPr>
          <w:rStyle w:val="FootnoteReference"/>
        </w:rPr>
        <w:footnoteReference w:id="226"/>
      </w:r>
      <w:r w:rsidR="00FB03EE" w:rsidRPr="00785FB4">
        <w:t xml:space="preserve"> and it is notable that only Northern Coal Enterprise reported payments of “Other Receipts Profit”, while Afghan Gas Enterprise did not. </w:t>
      </w:r>
    </w:p>
    <w:p w14:paraId="6B97767B" w14:textId="3907B181" w:rsidR="001D407B" w:rsidRPr="00785FB4" w:rsidRDefault="007124B6" w:rsidP="00852467">
      <w:pPr>
        <w:spacing w:before="120"/>
      </w:pPr>
      <w:r w:rsidRPr="00785FB4">
        <w:t xml:space="preserve">The report describes challenges in SOE record-keeping and accounting, which affected their ability to provide basic financial data for EITI reporting purposes, and explains that Afghan Gas Enterprise did not fully or correctly complete the reporting templates (pp.19-20,68-69). The report does not describe any other types of ad hoc transfers between </w:t>
      </w:r>
      <w:r w:rsidR="00B76628" w:rsidRPr="00785FB4">
        <w:t xml:space="preserve">SOEs and the government. </w:t>
      </w:r>
    </w:p>
    <w:p w14:paraId="5FA21841" w14:textId="071F8A20" w:rsidR="003E58F5" w:rsidRPr="00785FB4" w:rsidRDefault="00852467" w:rsidP="00A94167">
      <w:pPr>
        <w:pStyle w:val="Heading3"/>
      </w:pPr>
      <w:bookmarkStart w:id="396" w:name="_Toc505449652"/>
      <w:r w:rsidRPr="00785FB4">
        <w:t>Stakeholder views</w:t>
      </w:r>
      <w:bookmarkEnd w:id="396"/>
      <w:r w:rsidR="00B639EC" w:rsidRPr="00785FB4">
        <w:t xml:space="preserve"> </w:t>
      </w:r>
    </w:p>
    <w:p w14:paraId="5AA1E4FF" w14:textId="7ABBB015" w:rsidR="00A91BC7" w:rsidRPr="00785FB4" w:rsidRDefault="00520574" w:rsidP="0072254A">
      <w:pPr>
        <w:rPr>
          <w:bCs/>
        </w:rPr>
      </w:pPr>
      <w:r w:rsidRPr="00785FB4">
        <w:rPr>
          <w:bCs/>
        </w:rPr>
        <w:t xml:space="preserve">There was consensus among all stakeholders consulted that neither AGE nor NCE collected any tax or non-tax revenues from companies operating in the mining, oil and gas sectors. With regards to transactions between the two SOEs and government, there was consensus that neither AGE nor NCE relied on subsidies </w:t>
      </w:r>
      <w:r w:rsidR="00B67F1A" w:rsidRPr="00785FB4">
        <w:rPr>
          <w:bCs/>
        </w:rPr>
        <w:t xml:space="preserve">or budgetary transfers </w:t>
      </w:r>
      <w:r w:rsidRPr="00785FB4">
        <w:rPr>
          <w:bCs/>
        </w:rPr>
        <w:t>from the government, which was confirmed in independent studies of the two SOEs.</w:t>
      </w:r>
      <w:r w:rsidRPr="00785FB4">
        <w:rPr>
          <w:rStyle w:val="FootnoteReference"/>
          <w:bCs/>
        </w:rPr>
        <w:footnoteReference w:id="227"/>
      </w:r>
      <w:r w:rsidR="005B228C" w:rsidRPr="00785FB4">
        <w:rPr>
          <w:bCs/>
        </w:rPr>
        <w:t xml:space="preserve"> Stakeholders also confirmed that neither of the SOEs made any payments to </w:t>
      </w:r>
      <w:r w:rsidR="00DB56BA" w:rsidRPr="00785FB4">
        <w:rPr>
          <w:bCs/>
        </w:rPr>
        <w:t>MOMP</w:t>
      </w:r>
      <w:r w:rsidR="005B228C" w:rsidRPr="00785FB4">
        <w:rPr>
          <w:bCs/>
        </w:rPr>
        <w:t xml:space="preserve"> and only paid tax</w:t>
      </w:r>
      <w:r w:rsidR="002F2F75" w:rsidRPr="00785FB4">
        <w:rPr>
          <w:bCs/>
        </w:rPr>
        <w:t xml:space="preserve"> and dividends (categorised as “other receipts profit”)</w:t>
      </w:r>
      <w:r w:rsidR="005B228C" w:rsidRPr="00785FB4">
        <w:rPr>
          <w:bCs/>
        </w:rPr>
        <w:t xml:space="preserve">, in lump sum, to </w:t>
      </w:r>
      <w:r w:rsidR="00DB56BA" w:rsidRPr="00785FB4">
        <w:rPr>
          <w:bCs/>
        </w:rPr>
        <w:t>MOF</w:t>
      </w:r>
      <w:r w:rsidR="005B228C" w:rsidRPr="00785FB4">
        <w:rPr>
          <w:bCs/>
        </w:rPr>
        <w:t xml:space="preserve">. The IA explained that the two SOEs required special visits to ensure adequate EITI reporting and noted </w:t>
      </w:r>
      <w:r w:rsidR="00DB56BA" w:rsidRPr="00785FB4">
        <w:rPr>
          <w:bCs/>
        </w:rPr>
        <w:t>MOF</w:t>
      </w:r>
      <w:r w:rsidR="005B228C" w:rsidRPr="00785FB4">
        <w:rPr>
          <w:bCs/>
        </w:rPr>
        <w:t xml:space="preserve"> concerns over arrears of several years in tax payments from the SOEs. The MSG’s Technical Committee confirmed findings of independent studies</w:t>
      </w:r>
      <w:r w:rsidR="005B228C" w:rsidRPr="00785FB4">
        <w:rPr>
          <w:rStyle w:val="FootnoteReference"/>
          <w:i/>
        </w:rPr>
        <w:footnoteReference w:id="228"/>
      </w:r>
      <w:r w:rsidR="005B228C" w:rsidRPr="00785FB4">
        <w:rPr>
          <w:bCs/>
        </w:rPr>
        <w:t xml:space="preserve"> that NCE made advance tax payments to the </w:t>
      </w:r>
      <w:r w:rsidR="00DB56BA" w:rsidRPr="00785FB4">
        <w:rPr>
          <w:bCs/>
        </w:rPr>
        <w:t>MOF</w:t>
      </w:r>
      <w:r w:rsidR="005B228C" w:rsidRPr="00785FB4">
        <w:rPr>
          <w:bCs/>
        </w:rPr>
        <w:t xml:space="preserve"> throughout the year, which it then deducted from its final tax settlement at the end of the year. While Committee members confirmed that all such advances were disclosed in NCE’s EITI reporting, several government officials highlighted the challenges in the </w:t>
      </w:r>
      <w:r w:rsidR="00DB56BA" w:rsidRPr="00785FB4">
        <w:rPr>
          <w:bCs/>
        </w:rPr>
        <w:t>MOF</w:t>
      </w:r>
      <w:r w:rsidR="005B228C" w:rsidRPr="00785FB4">
        <w:rPr>
          <w:bCs/>
        </w:rPr>
        <w:t>’s tracking of NCE’s tax liabilities given the lack of information on the SOE’s balance sheet</w:t>
      </w:r>
      <w:r w:rsidR="00997C37" w:rsidRPr="00785FB4">
        <w:rPr>
          <w:bCs/>
        </w:rPr>
        <w:t xml:space="preserve">. </w:t>
      </w:r>
      <w:r w:rsidR="00B67F1A" w:rsidRPr="00785FB4">
        <w:rPr>
          <w:bCs/>
        </w:rPr>
        <w:t xml:space="preserve">One senior government official explained that the SOE balance sheets presented to the </w:t>
      </w:r>
      <w:r w:rsidR="00DB56BA" w:rsidRPr="00785FB4">
        <w:rPr>
          <w:bCs/>
        </w:rPr>
        <w:t>MOF</w:t>
      </w:r>
      <w:r w:rsidR="00B67F1A" w:rsidRPr="00785FB4">
        <w:rPr>
          <w:bCs/>
        </w:rPr>
        <w:t xml:space="preserve"> consisted of one-page summaries with little explanation of underlying data. </w:t>
      </w:r>
      <w:r w:rsidR="00997C37" w:rsidRPr="00785FB4">
        <w:rPr>
          <w:bCs/>
        </w:rPr>
        <w:t>The NGO IWA has raised public concerns at the significant restatements in NCE’s successive rounds of reporting for the 2014-15 EITI Report, when its reported revenue rose from an initial AFS 4m for 2015 to a final AFS 2bn without explanation.</w:t>
      </w:r>
      <w:r w:rsidR="00A12866" w:rsidRPr="00785FB4">
        <w:rPr>
          <w:rStyle w:val="FootnoteReference"/>
          <w:bCs/>
        </w:rPr>
        <w:footnoteReference w:id="229"/>
      </w:r>
      <w:r w:rsidR="00997C37" w:rsidRPr="00785FB4">
        <w:rPr>
          <w:bCs/>
        </w:rPr>
        <w:t xml:space="preserve"> While government officials stated that AGE and NCE had prepared financial statements for 2016-17, they could not provide assurances that financial statements had been prepared for 2014-15. A 2011 study on NCE conducted by ASI for the </w:t>
      </w:r>
      <w:r w:rsidR="00DB56BA" w:rsidRPr="00785FB4">
        <w:rPr>
          <w:bCs/>
        </w:rPr>
        <w:t>MOMP</w:t>
      </w:r>
      <w:r w:rsidR="00997C37" w:rsidRPr="00785FB4">
        <w:rPr>
          <w:bCs/>
        </w:rPr>
        <w:t xml:space="preserve"> highlighted the practice of NCE paying advances to the </w:t>
      </w:r>
      <w:r w:rsidR="00DB56BA" w:rsidRPr="00785FB4">
        <w:rPr>
          <w:bCs/>
        </w:rPr>
        <w:t>MOF</w:t>
      </w:r>
      <w:r w:rsidR="00997C37" w:rsidRPr="00785FB4">
        <w:rPr>
          <w:bCs/>
        </w:rPr>
        <w:t xml:space="preserve"> and </w:t>
      </w:r>
      <w:r w:rsidR="00DB56BA" w:rsidRPr="00785FB4">
        <w:rPr>
          <w:bCs/>
        </w:rPr>
        <w:t>MOMP</w:t>
      </w:r>
      <w:r w:rsidR="00997C37" w:rsidRPr="00785FB4">
        <w:rPr>
          <w:bCs/>
        </w:rPr>
        <w:t>, as well as “cash transfers to local governments in support of miscellaneous requests”</w:t>
      </w:r>
      <w:r w:rsidR="00997C37" w:rsidRPr="00785FB4">
        <w:rPr>
          <w:rStyle w:val="FootnoteReference"/>
          <w:bCs/>
        </w:rPr>
        <w:footnoteReference w:id="230"/>
      </w:r>
      <w:r w:rsidR="00997C37" w:rsidRPr="00785FB4">
        <w:rPr>
          <w:bCs/>
        </w:rPr>
        <w:t xml:space="preserve">, although the International Secretariat understands from stakeholder consultations that payments to local governments were not statutorily required. </w:t>
      </w:r>
    </w:p>
    <w:p w14:paraId="44D1BEF1" w14:textId="1257C611" w:rsidR="008D3D57" w:rsidRPr="00785FB4" w:rsidRDefault="00780017" w:rsidP="00A94167">
      <w:pPr>
        <w:pStyle w:val="Heading3"/>
      </w:pPr>
      <w:bookmarkStart w:id="397" w:name="_Toc459133156"/>
      <w:bookmarkStart w:id="398" w:name="_Toc461803106"/>
      <w:bookmarkStart w:id="399" w:name="_Toc505449653"/>
      <w:r w:rsidRPr="00785FB4">
        <w:lastRenderedPageBreak/>
        <w:t>Initial a</w:t>
      </w:r>
      <w:r w:rsidR="008D3D57" w:rsidRPr="00785FB4">
        <w:t>ssessment</w:t>
      </w:r>
      <w:bookmarkEnd w:id="397"/>
      <w:bookmarkEnd w:id="398"/>
      <w:bookmarkEnd w:id="399"/>
    </w:p>
    <w:p w14:paraId="7301BC9F" w14:textId="0D5F196E" w:rsidR="00997C37" w:rsidRPr="00785FB4" w:rsidRDefault="00B76628" w:rsidP="00997C37">
      <w:r w:rsidRPr="00785FB4">
        <w:t xml:space="preserve">The International Secretariat’s initial assessment is that Afghanistan has made meaningful progress in meeting this requirement. </w:t>
      </w:r>
      <w:r w:rsidR="00997C37" w:rsidRPr="00785FB4">
        <w:t xml:space="preserve">Stakeholders confirmed that neither of the two extractives SOEs collected any tax or non-tax revenues from mining, oil and gas companies, even if this was not clearly stated in </w:t>
      </w:r>
      <w:r w:rsidRPr="00785FB4">
        <w:t xml:space="preserve">the 2014-15 EITI Report. While the MSG’s assessment of the materiality of SOE payments to government is </w:t>
      </w:r>
      <w:r w:rsidR="00997C37" w:rsidRPr="00785FB4">
        <w:t>unclear</w:t>
      </w:r>
      <w:r w:rsidRPr="00785FB4">
        <w:t xml:space="preserve">, it is clear that SOE payments to government were considered material and both SOEs were included in the scope of reporting. However, the </w:t>
      </w:r>
      <w:r w:rsidR="00997C37" w:rsidRPr="00785FB4">
        <w:t xml:space="preserve">report does not clearly distinguish payments from SOEs to </w:t>
      </w:r>
      <w:r w:rsidR="00DB56BA" w:rsidRPr="00785FB4">
        <w:t>MOF</w:t>
      </w:r>
      <w:r w:rsidR="00997C37" w:rsidRPr="00785FB4">
        <w:t xml:space="preserve"> that are specific to SOEs from those common to all extractives companies and the comprehensiveness of SOE reporting is unclear. </w:t>
      </w:r>
      <w:r w:rsidR="002F2F75" w:rsidRPr="00785FB4">
        <w:t>Uncertainty over the comprehensiveness of SOEs’ reporting of transactions with government are linked to weaknesses in their record-keeping (</w:t>
      </w:r>
      <w:r w:rsidR="002F2F75" w:rsidRPr="00785FB4">
        <w:rPr>
          <w:i/>
        </w:rPr>
        <w:t>see Requirement 4.9</w:t>
      </w:r>
      <w:r w:rsidR="002F2F75" w:rsidRPr="00785FB4">
        <w:t xml:space="preserve">). </w:t>
      </w:r>
    </w:p>
    <w:p w14:paraId="2B96B2C8" w14:textId="1ACCF1B5" w:rsidR="00B76628" w:rsidRPr="00785FB4" w:rsidRDefault="00B76628" w:rsidP="00093D84">
      <w:r w:rsidRPr="00785FB4">
        <w:t xml:space="preserve">In accordance with Requirement 4.5, </w:t>
      </w:r>
      <w:r w:rsidR="003035C8" w:rsidRPr="00785FB4">
        <w:t>Afghanistan</w:t>
      </w:r>
      <w:r w:rsidR="003035C8" w:rsidRPr="00785FB4" w:rsidDel="003035C8">
        <w:t xml:space="preserve"> </w:t>
      </w:r>
      <w:r w:rsidR="00093D84" w:rsidRPr="00785FB4">
        <w:t>should undertake a comprehensive assessment of transactions between extractives SOEs and government entities to ensure that the reporting process comprehensively addresses the role of SOEs, including transfers between SOEs and other government agencies.</w:t>
      </w:r>
    </w:p>
    <w:p w14:paraId="724A7933" w14:textId="77777777" w:rsidR="000722F1" w:rsidRPr="00785FB4" w:rsidRDefault="000722F1" w:rsidP="00A94167">
      <w:pPr>
        <w:pStyle w:val="Heading2notindexed"/>
      </w:pPr>
      <w:bookmarkStart w:id="400" w:name="_Toc459133157"/>
      <w:bookmarkStart w:id="401" w:name="_Toc461803107"/>
      <w:bookmarkStart w:id="402" w:name="_Toc461787346"/>
      <w:bookmarkStart w:id="403" w:name="_Toc461795858"/>
      <w:bookmarkStart w:id="404" w:name="_Toc505449654"/>
      <w:bookmarkStart w:id="405" w:name="_Toc505449807"/>
      <w:bookmarkStart w:id="406" w:name="_Toc459133158"/>
      <w:r w:rsidRPr="00785FB4">
        <w:t>Subnational direct payments (#4.</w:t>
      </w:r>
      <w:r w:rsidR="008D3D57" w:rsidRPr="00785FB4">
        <w:t>6</w:t>
      </w:r>
      <w:r w:rsidRPr="00785FB4">
        <w:t>)</w:t>
      </w:r>
      <w:bookmarkEnd w:id="400"/>
      <w:bookmarkEnd w:id="401"/>
      <w:bookmarkEnd w:id="402"/>
      <w:bookmarkEnd w:id="403"/>
      <w:bookmarkEnd w:id="404"/>
      <w:bookmarkEnd w:id="405"/>
    </w:p>
    <w:p w14:paraId="7E028DDF" w14:textId="390B7F3A" w:rsidR="00946D61" w:rsidRPr="00785FB4" w:rsidRDefault="005021B3" w:rsidP="00A94167">
      <w:pPr>
        <w:pStyle w:val="Heading3"/>
      </w:pPr>
      <w:bookmarkStart w:id="407" w:name="_Toc505449655"/>
      <w:bookmarkEnd w:id="406"/>
      <w:r w:rsidRPr="00785FB4">
        <w:t>Documentation of progress</w:t>
      </w:r>
      <w:bookmarkEnd w:id="407"/>
      <w:r w:rsidRPr="00785FB4">
        <w:t xml:space="preserve"> </w:t>
      </w:r>
    </w:p>
    <w:p w14:paraId="363F3B00" w14:textId="1DC14244" w:rsidR="004E03F3" w:rsidRPr="00785FB4" w:rsidRDefault="004E03F3" w:rsidP="001D407B">
      <w:pPr>
        <w:spacing w:before="120"/>
        <w:rPr>
          <w:bCs/>
        </w:rPr>
      </w:pPr>
      <w:r w:rsidRPr="00785FB4">
        <w:rPr>
          <w:bCs/>
        </w:rPr>
        <w:t>The 2014-15 EITI Report states that subnational governments did not receive any revenues directly from extractives companies in the years under review (pp.44-45). While the report explains that no such direct subnational payments were identified (p.44), the basis for the MSG’s assessment of the non-applicability of Requirement 4.4 is not clear</w:t>
      </w:r>
      <w:r w:rsidR="00EF71DB" w:rsidRPr="00785FB4">
        <w:rPr>
          <w:bCs/>
        </w:rPr>
        <w:t xml:space="preserve"> from the 2014-15 EITI Report</w:t>
      </w:r>
      <w:r w:rsidRPr="00785FB4">
        <w:rPr>
          <w:bCs/>
        </w:rPr>
        <w:t>.</w:t>
      </w:r>
    </w:p>
    <w:p w14:paraId="45561731" w14:textId="2427CF73" w:rsidR="003E58F5" w:rsidRPr="00785FB4" w:rsidRDefault="00946D61" w:rsidP="00A94167">
      <w:pPr>
        <w:pStyle w:val="Heading3"/>
      </w:pPr>
      <w:bookmarkStart w:id="408" w:name="_Toc505449656"/>
      <w:r w:rsidRPr="00785FB4">
        <w:t>Stakeholder views</w:t>
      </w:r>
      <w:bookmarkEnd w:id="408"/>
    </w:p>
    <w:p w14:paraId="26388EC1" w14:textId="693B8462" w:rsidR="00B92931" w:rsidRPr="00785FB4" w:rsidRDefault="00A87973" w:rsidP="00FA4FF2">
      <w:pPr>
        <w:spacing w:before="120"/>
        <w:rPr>
          <w:bCs/>
        </w:rPr>
      </w:pPr>
      <w:r w:rsidRPr="00785FB4">
        <w:rPr>
          <w:bCs/>
        </w:rPr>
        <w:t>There was consensus among all stakeholders consulted that there were no statutory subnational payments from extractives companies to local governments in 2014-15, despite the existence of informal payments considered to be “extorted” by various local governments. While the 2017 AEITI organisational assessment quoted recommendations in the 2012-13 and 2014-15 EITI Reports for the MSG to undertake more work on identifying payment flows</w:t>
      </w:r>
      <w:r w:rsidRPr="00785FB4">
        <w:rPr>
          <w:rStyle w:val="FootnoteReference"/>
          <w:bCs/>
        </w:rPr>
        <w:footnoteReference w:id="231"/>
      </w:r>
      <w:r w:rsidRPr="00785FB4">
        <w:rPr>
          <w:bCs/>
        </w:rPr>
        <w:t xml:space="preserve">, the </w:t>
      </w:r>
      <w:r w:rsidR="00FA4FF2" w:rsidRPr="00785FB4">
        <w:rPr>
          <w:bCs/>
        </w:rPr>
        <w:t xml:space="preserve">2015 Secretariat Review </w:t>
      </w:r>
      <w:r w:rsidRPr="00785FB4">
        <w:rPr>
          <w:bCs/>
        </w:rPr>
        <w:t xml:space="preserve">identified only identified one “very small” payment stream to local governments, </w:t>
      </w:r>
      <w:r w:rsidRPr="00785FB4">
        <w:t>‘municipality cleaning payments’.</w:t>
      </w:r>
      <w:r w:rsidRPr="00785FB4">
        <w:rPr>
          <w:rStyle w:val="FootnoteReference"/>
        </w:rPr>
        <w:footnoteReference w:id="232"/>
      </w:r>
      <w:r w:rsidRPr="00785FB4">
        <w:t xml:space="preserve"> Stakeholders confirmed that municipal taxes had been abolished prior to 2014-15. </w:t>
      </w:r>
      <w:r w:rsidR="00F93992" w:rsidRPr="00785FB4">
        <w:rPr>
          <w:bCs/>
        </w:rPr>
        <w:t xml:space="preserve">In comments on the 2014-15 EITI Report published in April 2017, CSOs raised concerns over the report’s lack of clarity on extractives contracts concluded directly with subnational governments, </w:t>
      </w:r>
      <w:r w:rsidRPr="00785FB4">
        <w:rPr>
          <w:bCs/>
        </w:rPr>
        <w:t>which implied</w:t>
      </w:r>
      <w:r w:rsidR="00F93992" w:rsidRPr="00785FB4">
        <w:rPr>
          <w:bCs/>
        </w:rPr>
        <w:t xml:space="preserve"> the existence of d</w:t>
      </w:r>
      <w:r w:rsidRPr="00785FB4">
        <w:rPr>
          <w:bCs/>
        </w:rPr>
        <w:t>irect subnational revenue flows</w:t>
      </w:r>
      <w:r w:rsidR="00F93992" w:rsidRPr="00785FB4">
        <w:rPr>
          <w:bCs/>
        </w:rPr>
        <w:t>.</w:t>
      </w:r>
      <w:r w:rsidR="00F93992" w:rsidRPr="00785FB4">
        <w:rPr>
          <w:rStyle w:val="FootnoteReference"/>
          <w:bCs/>
        </w:rPr>
        <w:footnoteReference w:id="233"/>
      </w:r>
      <w:r w:rsidRPr="00785FB4">
        <w:rPr>
          <w:bCs/>
        </w:rPr>
        <w:t xml:space="preserve"> However, upon discussion, CSOs considered that any small-scale mining contract not yet published on the </w:t>
      </w:r>
      <w:r w:rsidR="00DB56BA" w:rsidRPr="00785FB4">
        <w:rPr>
          <w:bCs/>
        </w:rPr>
        <w:t>MOMP</w:t>
      </w:r>
      <w:r w:rsidRPr="00785FB4">
        <w:rPr>
          <w:bCs/>
        </w:rPr>
        <w:t xml:space="preserve"> website would be considered illegal and confirmed that all published contracts required payments to central government entities (</w:t>
      </w:r>
      <w:r w:rsidR="00DB56BA" w:rsidRPr="00785FB4">
        <w:rPr>
          <w:bCs/>
        </w:rPr>
        <w:t>MOF</w:t>
      </w:r>
      <w:r w:rsidRPr="00785FB4">
        <w:rPr>
          <w:bCs/>
        </w:rPr>
        <w:t xml:space="preserve"> and </w:t>
      </w:r>
      <w:r w:rsidR="00DB56BA" w:rsidRPr="00785FB4">
        <w:rPr>
          <w:bCs/>
        </w:rPr>
        <w:t>MOMP</w:t>
      </w:r>
      <w:r w:rsidRPr="00785FB4">
        <w:rPr>
          <w:bCs/>
        </w:rPr>
        <w:t xml:space="preserve">) rather than local governments. </w:t>
      </w:r>
    </w:p>
    <w:p w14:paraId="531D4E82" w14:textId="51723889" w:rsidR="00FC7A1B" w:rsidRPr="00785FB4" w:rsidRDefault="00710900" w:rsidP="00A94167">
      <w:pPr>
        <w:pStyle w:val="Heading3"/>
      </w:pPr>
      <w:bookmarkStart w:id="409" w:name="_Toc459133160"/>
      <w:bookmarkStart w:id="410" w:name="_Toc461803110"/>
      <w:bookmarkStart w:id="411" w:name="_Toc505449657"/>
      <w:r w:rsidRPr="00785FB4">
        <w:lastRenderedPageBreak/>
        <w:t>Initial a</w:t>
      </w:r>
      <w:r w:rsidR="00FC7A1B" w:rsidRPr="00785FB4">
        <w:t>ssessment</w:t>
      </w:r>
      <w:bookmarkEnd w:id="409"/>
      <w:bookmarkEnd w:id="410"/>
      <w:bookmarkEnd w:id="411"/>
    </w:p>
    <w:p w14:paraId="57976D45" w14:textId="7947FEDB" w:rsidR="008D3D57" w:rsidRPr="00785FB4" w:rsidRDefault="005021B3" w:rsidP="00946D61">
      <w:r w:rsidRPr="00785FB4">
        <w:t xml:space="preserve">The International Secretariat’s initial assessment is that </w:t>
      </w:r>
      <w:r w:rsidR="00A87973" w:rsidRPr="00785FB4">
        <w:t xml:space="preserve">this requirement was not applicable to </w:t>
      </w:r>
      <w:r w:rsidR="00FC66E3" w:rsidRPr="00785FB4">
        <w:rPr>
          <w:bCs/>
        </w:rPr>
        <w:t>Afghanistan</w:t>
      </w:r>
      <w:r w:rsidR="00FC66E3" w:rsidRPr="00785FB4">
        <w:t xml:space="preserve"> </w:t>
      </w:r>
      <w:r w:rsidR="00A87973" w:rsidRPr="00785FB4">
        <w:t>in the period under review (2014-15)</w:t>
      </w:r>
      <w:r w:rsidRPr="00785FB4">
        <w:t xml:space="preserve">. </w:t>
      </w:r>
      <w:r w:rsidR="00A87973" w:rsidRPr="00785FB4">
        <w:t xml:space="preserve">The 2014-15 EITI Report confirms the absence of direct subnational payments, which was confirmed by stakeholder consultations despite evidence of </w:t>
      </w:r>
      <w:r w:rsidR="0019006B" w:rsidRPr="00785FB4">
        <w:t xml:space="preserve">extensive </w:t>
      </w:r>
      <w:r w:rsidR="00A87973" w:rsidRPr="00785FB4">
        <w:t xml:space="preserve">informal ad hoc payments that have no statutory basis. </w:t>
      </w:r>
    </w:p>
    <w:p w14:paraId="78AA9372" w14:textId="77777777" w:rsidR="008D3D57" w:rsidRPr="00785FB4" w:rsidRDefault="008D3D57" w:rsidP="00A94167">
      <w:pPr>
        <w:pStyle w:val="Heading2notindexed"/>
      </w:pPr>
      <w:bookmarkStart w:id="412" w:name="_Toc459133161"/>
      <w:bookmarkStart w:id="413" w:name="_Toc461803111"/>
      <w:bookmarkStart w:id="414" w:name="_Toc461787347"/>
      <w:bookmarkStart w:id="415" w:name="_Toc461795859"/>
      <w:bookmarkStart w:id="416" w:name="_Toc505449658"/>
      <w:bookmarkStart w:id="417" w:name="_Toc505449808"/>
      <w:bookmarkStart w:id="418" w:name="_Toc459133162"/>
      <w:r w:rsidRPr="00785FB4">
        <w:t>Level of disaggregation (#4.7)</w:t>
      </w:r>
      <w:bookmarkEnd w:id="412"/>
      <w:bookmarkEnd w:id="413"/>
      <w:bookmarkEnd w:id="414"/>
      <w:bookmarkEnd w:id="415"/>
      <w:bookmarkEnd w:id="416"/>
      <w:bookmarkEnd w:id="417"/>
      <w:r w:rsidRPr="00785FB4">
        <w:t xml:space="preserve"> </w:t>
      </w:r>
    </w:p>
    <w:p w14:paraId="667A62A2" w14:textId="20BC18A6" w:rsidR="003E58F5" w:rsidRPr="00785FB4" w:rsidRDefault="005021B3" w:rsidP="00A94167">
      <w:pPr>
        <w:pStyle w:val="Heading3"/>
      </w:pPr>
      <w:bookmarkStart w:id="419" w:name="_Toc505449659"/>
      <w:bookmarkEnd w:id="418"/>
      <w:r w:rsidRPr="00785FB4">
        <w:t>Documentation of progress</w:t>
      </w:r>
      <w:bookmarkEnd w:id="419"/>
      <w:r w:rsidRPr="00785FB4">
        <w:t xml:space="preserve"> </w:t>
      </w:r>
    </w:p>
    <w:p w14:paraId="3C31F6B7" w14:textId="65E4C380" w:rsidR="005021B3" w:rsidRPr="00785FB4" w:rsidRDefault="00CE338E" w:rsidP="00946D61">
      <w:pPr>
        <w:spacing w:before="120"/>
      </w:pPr>
      <w:r w:rsidRPr="00785FB4">
        <w:rPr>
          <w:bCs/>
        </w:rPr>
        <w:t>The 2014-15 EITI Report confirms that reconciled financial data is presented disaggregated by company, revenue flow and collecting government entity (p.45) and provides the detailed reconciliation results in annex (a/pp.</w:t>
      </w:r>
      <w:r w:rsidR="008D49D2" w:rsidRPr="00785FB4">
        <w:rPr>
          <w:bCs/>
        </w:rPr>
        <w:t>18-74</w:t>
      </w:r>
      <w:r w:rsidRPr="00785FB4">
        <w:rPr>
          <w:bCs/>
        </w:rPr>
        <w:t xml:space="preserve">). </w:t>
      </w:r>
      <w:r w:rsidR="008D49D2" w:rsidRPr="00785FB4">
        <w:t xml:space="preserve">The reconciled financial data is not presented disaggregated by project. </w:t>
      </w:r>
    </w:p>
    <w:p w14:paraId="75538F20" w14:textId="77777777" w:rsidR="00946D61" w:rsidRPr="00785FB4" w:rsidRDefault="005021B3" w:rsidP="00A94167">
      <w:pPr>
        <w:pStyle w:val="Heading3"/>
      </w:pPr>
      <w:bookmarkStart w:id="420" w:name="_Toc505449660"/>
      <w:r w:rsidRPr="00785FB4">
        <w:t>Stakeholder views</w:t>
      </w:r>
      <w:bookmarkEnd w:id="420"/>
      <w:r w:rsidRPr="00785FB4">
        <w:t xml:space="preserve"> </w:t>
      </w:r>
    </w:p>
    <w:p w14:paraId="2CB3FFF2" w14:textId="6F176952" w:rsidR="00B40A68" w:rsidRPr="00785FB4" w:rsidRDefault="00A87973" w:rsidP="005021B3">
      <w:pPr>
        <w:spacing w:before="120"/>
      </w:pPr>
      <w:r w:rsidRPr="00785FB4">
        <w:rPr>
          <w:bCs/>
        </w:rPr>
        <w:t xml:space="preserve">Since 2015, </w:t>
      </w:r>
      <w:r w:rsidR="004272DD" w:rsidRPr="00785FB4">
        <w:rPr>
          <w:bCs/>
        </w:rPr>
        <w:t>CSOs such as Global Witness</w:t>
      </w:r>
      <w:r w:rsidR="00130D15" w:rsidRPr="00785FB4">
        <w:rPr>
          <w:bCs/>
        </w:rPr>
        <w:t xml:space="preserve"> and Integrity Watch Afghanistan</w:t>
      </w:r>
      <w:r w:rsidR="004272DD" w:rsidRPr="00785FB4">
        <w:rPr>
          <w:bCs/>
        </w:rPr>
        <w:t xml:space="preserve"> have called for the disaggregation of EITI payments and production data by project as a means of curbing tax avoidance</w:t>
      </w:r>
      <w:r w:rsidR="00130D15" w:rsidRPr="00785FB4">
        <w:rPr>
          <w:bCs/>
        </w:rPr>
        <w:t xml:space="preserve"> and illegal mining</w:t>
      </w:r>
      <w:r w:rsidR="00B40A68" w:rsidRPr="00785FB4">
        <w:t>.</w:t>
      </w:r>
      <w:r w:rsidR="00B40A68" w:rsidRPr="00785FB4">
        <w:rPr>
          <w:rStyle w:val="FootnoteReference"/>
        </w:rPr>
        <w:footnoteReference w:id="234"/>
      </w:r>
      <w:r w:rsidRPr="00785FB4">
        <w:t xml:space="preserve"> Stakeholders from all constituencies confirmed that the 2014 Minerals Law required </w:t>
      </w:r>
      <w:r w:rsidR="009C3311" w:rsidRPr="00785FB4">
        <w:t xml:space="preserve">the ring-fencing of all liabilities on a per-license basis, meaning that each license-holder was required to pay taxes and non-tax fees separately from their group companies. However, this had yet to be implemented according to government officials. One official noted ongoing work by the </w:t>
      </w:r>
      <w:r w:rsidR="00DB56BA" w:rsidRPr="00785FB4">
        <w:t>MOF</w:t>
      </w:r>
      <w:r w:rsidR="009C3311" w:rsidRPr="00785FB4">
        <w:t xml:space="preserve"> and </w:t>
      </w:r>
      <w:r w:rsidR="00DB56BA" w:rsidRPr="00785FB4">
        <w:t>MOMP</w:t>
      </w:r>
      <w:r w:rsidR="009C3311" w:rsidRPr="00785FB4">
        <w:t xml:space="preserve"> to implement separate tax ID numbers (TIN) for every license. Several officials highlighted the importance of TIN per licenses to allow the </w:t>
      </w:r>
      <w:r w:rsidR="00DB56BA" w:rsidRPr="00785FB4">
        <w:t>MOF</w:t>
      </w:r>
      <w:r w:rsidR="009C3311" w:rsidRPr="00785FB4">
        <w:t xml:space="preserve">’s SIGTAS system to provide a comprehensive list of extractives taxpayers and for a comprehensive picture of extractives revenues to be built. None of the stakeholders consulted expressed any concern over the ring-fencing of tax liabilities per license. </w:t>
      </w:r>
    </w:p>
    <w:p w14:paraId="0D45A00E" w14:textId="10B49593" w:rsidR="005021B3" w:rsidRPr="00785FB4" w:rsidRDefault="005021B3" w:rsidP="00A94167">
      <w:pPr>
        <w:pStyle w:val="Heading3"/>
      </w:pPr>
      <w:bookmarkStart w:id="421" w:name="_Toc459133164"/>
      <w:bookmarkStart w:id="422" w:name="_Toc461803114"/>
      <w:bookmarkStart w:id="423" w:name="_Toc505449661"/>
      <w:r w:rsidRPr="00785FB4">
        <w:t>Initial assessment</w:t>
      </w:r>
      <w:bookmarkEnd w:id="421"/>
      <w:bookmarkEnd w:id="422"/>
      <w:bookmarkEnd w:id="423"/>
    </w:p>
    <w:p w14:paraId="685D49AC" w14:textId="5F1628B5" w:rsidR="00053472" w:rsidRPr="00785FB4" w:rsidRDefault="005021B3" w:rsidP="00946D61">
      <w:pPr>
        <w:rPr>
          <w:bCs/>
        </w:rPr>
      </w:pPr>
      <w:r w:rsidRPr="00785FB4">
        <w:rPr>
          <w:color w:val="000000" w:themeColor="text1"/>
          <w:lang w:eastAsia="x-none"/>
        </w:rPr>
        <w:t xml:space="preserve">The International Secretariat’s initial assessment is that </w:t>
      </w:r>
      <w:r w:rsidR="00FC66E3" w:rsidRPr="00785FB4">
        <w:rPr>
          <w:bCs/>
        </w:rPr>
        <w:t>Afghanistan</w:t>
      </w:r>
      <w:r w:rsidR="00FC66E3" w:rsidRPr="00785FB4">
        <w:t xml:space="preserve"> </w:t>
      </w:r>
      <w:r w:rsidRPr="00785FB4">
        <w:rPr>
          <w:color w:val="000000" w:themeColor="text1"/>
          <w:lang w:eastAsia="x-none"/>
        </w:rPr>
        <w:t xml:space="preserve">has made </w:t>
      </w:r>
      <w:r w:rsidR="008D49D2" w:rsidRPr="00785FB4">
        <w:rPr>
          <w:bCs/>
        </w:rPr>
        <w:t>satisfactory</w:t>
      </w:r>
      <w:r w:rsidR="00C8623E" w:rsidRPr="00785FB4">
        <w:rPr>
          <w:color w:val="000000" w:themeColor="text1"/>
          <w:lang w:eastAsia="x-none"/>
        </w:rPr>
        <w:t xml:space="preserve"> </w:t>
      </w:r>
      <w:r w:rsidRPr="00785FB4">
        <w:rPr>
          <w:color w:val="000000" w:themeColor="text1"/>
          <w:lang w:eastAsia="x-none"/>
        </w:rPr>
        <w:t xml:space="preserve">progress in meeting this requirement. </w:t>
      </w:r>
      <w:r w:rsidR="008D49D2" w:rsidRPr="00785FB4">
        <w:rPr>
          <w:color w:val="000000" w:themeColor="text1"/>
          <w:lang w:eastAsia="x-none"/>
        </w:rPr>
        <w:t xml:space="preserve">Reconciled financial data in the 2014-15 EITI Report is presented disaggregated </w:t>
      </w:r>
      <w:r w:rsidR="008D49D2" w:rsidRPr="00785FB4">
        <w:rPr>
          <w:bCs/>
        </w:rPr>
        <w:t xml:space="preserve">by company, revenue flow and collecting government entity. </w:t>
      </w:r>
    </w:p>
    <w:p w14:paraId="1132A5FA" w14:textId="2E9D7B5E" w:rsidR="008D49D2" w:rsidRPr="00785FB4" w:rsidRDefault="008D49D2" w:rsidP="00946D61">
      <w:pPr>
        <w:rPr>
          <w:color w:val="000000" w:themeColor="text1"/>
          <w:lang w:eastAsia="x-none"/>
        </w:rPr>
      </w:pPr>
      <w:r w:rsidRPr="00785FB4">
        <w:rPr>
          <w:bCs/>
        </w:rPr>
        <w:t>To</w:t>
      </w:r>
      <w:r w:rsidR="005C300A" w:rsidRPr="00785FB4">
        <w:rPr>
          <w:bCs/>
        </w:rPr>
        <w:t xml:space="preserve"> strengthen implementation, Afghanistan may wish to consider the extent to which it can make progress in implementing project-level EITI reporting </w:t>
      </w:r>
      <w:r w:rsidR="009C3311" w:rsidRPr="00785FB4">
        <w:rPr>
          <w:bCs/>
        </w:rPr>
        <w:t xml:space="preserve">of all </w:t>
      </w:r>
      <w:r w:rsidR="005C300A" w:rsidRPr="00785FB4">
        <w:rPr>
          <w:bCs/>
        </w:rPr>
        <w:t xml:space="preserve">taxes </w:t>
      </w:r>
      <w:r w:rsidR="009C3311" w:rsidRPr="00785FB4">
        <w:rPr>
          <w:bCs/>
        </w:rPr>
        <w:t xml:space="preserve">and fees through implementation of ring-fencing provisions of the 2014 Minerals Law </w:t>
      </w:r>
      <w:r w:rsidR="005C300A" w:rsidRPr="00785FB4">
        <w:rPr>
          <w:bCs/>
        </w:rPr>
        <w:t>ahead of the deadline for all EITI Reports covering fiscal periods ending on or after 31 December 2018, agreed by the EITI Board at its 36th meeting in Bogotá.</w:t>
      </w:r>
    </w:p>
    <w:p w14:paraId="42E76A2F" w14:textId="51C011A9" w:rsidR="00053472" w:rsidRPr="00785FB4" w:rsidRDefault="00053472" w:rsidP="00A94167">
      <w:pPr>
        <w:pStyle w:val="Heading2notindexed"/>
      </w:pPr>
      <w:bookmarkStart w:id="424" w:name="_Toc459133165"/>
      <w:bookmarkStart w:id="425" w:name="_Toc461803115"/>
      <w:bookmarkStart w:id="426" w:name="_Toc461787348"/>
      <w:bookmarkStart w:id="427" w:name="_Toc461795860"/>
      <w:bookmarkStart w:id="428" w:name="_Toc505449662"/>
      <w:bookmarkStart w:id="429" w:name="_Toc505449809"/>
      <w:r w:rsidRPr="00785FB4">
        <w:lastRenderedPageBreak/>
        <w:t>Data timeliness (#4.8)</w:t>
      </w:r>
      <w:bookmarkEnd w:id="424"/>
      <w:bookmarkEnd w:id="425"/>
      <w:bookmarkEnd w:id="426"/>
      <w:bookmarkEnd w:id="427"/>
      <w:bookmarkEnd w:id="428"/>
      <w:bookmarkEnd w:id="429"/>
    </w:p>
    <w:p w14:paraId="2DE9FE2D" w14:textId="7DB34E91" w:rsidR="003E58F5" w:rsidRPr="00785FB4" w:rsidRDefault="00C21BD4" w:rsidP="00A94167">
      <w:pPr>
        <w:pStyle w:val="Heading3"/>
      </w:pPr>
      <w:bookmarkStart w:id="430" w:name="_Toc505449663"/>
      <w:r w:rsidRPr="00785FB4">
        <w:t xml:space="preserve">Documentation of progress </w:t>
      </w:r>
      <w:bookmarkEnd w:id="430"/>
    </w:p>
    <w:p w14:paraId="0B599921" w14:textId="704BEE35" w:rsidR="00D33B14" w:rsidRPr="00785FB4" w:rsidRDefault="00EA39EA" w:rsidP="00C21BD4">
      <w:pPr>
        <w:spacing w:before="120"/>
        <w:rPr>
          <w:bCs/>
        </w:rPr>
      </w:pPr>
      <w:r w:rsidRPr="00785FB4">
        <w:rPr>
          <w:bCs/>
        </w:rPr>
        <w:t>Afghanistan</w:t>
      </w:r>
      <w:r w:rsidR="0075041E" w:rsidRPr="00785FB4">
        <w:rPr>
          <w:bCs/>
        </w:rPr>
        <w:t xml:space="preserve"> EITI has tended to publish</w:t>
      </w:r>
      <w:r w:rsidRPr="00785FB4">
        <w:rPr>
          <w:bCs/>
        </w:rPr>
        <w:t xml:space="preserve"> EITI Reports after the </w:t>
      </w:r>
      <w:r w:rsidR="0075041E" w:rsidRPr="00785FB4">
        <w:rPr>
          <w:bCs/>
        </w:rPr>
        <w:t xml:space="preserve">end of the </w:t>
      </w:r>
      <w:r w:rsidRPr="00785FB4">
        <w:rPr>
          <w:bCs/>
        </w:rPr>
        <w:t>second to last complete accounting period</w:t>
      </w:r>
      <w:r w:rsidR="0075041E" w:rsidRPr="00785FB4">
        <w:rPr>
          <w:bCs/>
        </w:rPr>
        <w:t>, with the exception of two of the five EITI Reports published</w:t>
      </w:r>
      <w:r w:rsidRPr="00785FB4">
        <w:rPr>
          <w:bCs/>
        </w:rPr>
        <w:t xml:space="preserve">. </w:t>
      </w:r>
      <w:r w:rsidR="00130D15" w:rsidRPr="00785FB4">
        <w:rPr>
          <w:bCs/>
        </w:rPr>
        <w:t xml:space="preserve">The 2014-15 EITI Report was published </w:t>
      </w:r>
      <w:r w:rsidRPr="00785FB4">
        <w:rPr>
          <w:bCs/>
        </w:rPr>
        <w:t>on 29 April 2017</w:t>
      </w:r>
      <w:r w:rsidR="009212F5" w:rsidRPr="00785FB4">
        <w:rPr>
          <w:bCs/>
        </w:rPr>
        <w:t xml:space="preserve">, following </w:t>
      </w:r>
      <w:r w:rsidR="009C3311" w:rsidRPr="00785FB4">
        <w:rPr>
          <w:bCs/>
        </w:rPr>
        <w:t xml:space="preserve">the </w:t>
      </w:r>
      <w:r w:rsidR="009212F5" w:rsidRPr="00785FB4">
        <w:rPr>
          <w:bCs/>
        </w:rPr>
        <w:t xml:space="preserve">extension </w:t>
      </w:r>
      <w:r w:rsidR="009C3311" w:rsidRPr="00785FB4">
        <w:rPr>
          <w:bCs/>
        </w:rPr>
        <w:t xml:space="preserve">to </w:t>
      </w:r>
      <w:r w:rsidR="009212F5" w:rsidRPr="00785FB4">
        <w:rPr>
          <w:bCs/>
        </w:rPr>
        <w:t xml:space="preserve">its reporting deadline </w:t>
      </w:r>
      <w:r w:rsidR="009C3311" w:rsidRPr="00785FB4">
        <w:rPr>
          <w:bCs/>
        </w:rPr>
        <w:t>(</w:t>
      </w:r>
      <w:r w:rsidR="009212F5" w:rsidRPr="00785FB4">
        <w:rPr>
          <w:bCs/>
        </w:rPr>
        <w:t>to 1 May 2017</w:t>
      </w:r>
      <w:r w:rsidR="009C3311" w:rsidRPr="00785FB4">
        <w:rPr>
          <w:bCs/>
        </w:rPr>
        <w:t>)</w:t>
      </w:r>
      <w:r w:rsidR="009212F5" w:rsidRPr="00785FB4">
        <w:rPr>
          <w:bCs/>
        </w:rPr>
        <w:t xml:space="preserve"> granted by the EITI Board at its 36</w:t>
      </w:r>
      <w:r w:rsidR="009212F5" w:rsidRPr="00785FB4">
        <w:rPr>
          <w:bCs/>
          <w:vertAlign w:val="superscript"/>
        </w:rPr>
        <w:t>th</w:t>
      </w:r>
      <w:r w:rsidR="009212F5" w:rsidRPr="00785FB4">
        <w:rPr>
          <w:bCs/>
        </w:rPr>
        <w:t xml:space="preserve"> meeting in Bogotá.</w:t>
      </w:r>
      <w:r w:rsidR="009212F5" w:rsidRPr="00785FB4">
        <w:rPr>
          <w:rStyle w:val="FootnoteReference"/>
          <w:bCs/>
        </w:rPr>
        <w:footnoteReference w:id="235"/>
      </w:r>
      <w:r w:rsidR="009212F5" w:rsidRPr="00785FB4">
        <w:rPr>
          <w:bCs/>
        </w:rPr>
        <w:t xml:space="preserve"> The report </w:t>
      </w:r>
      <w:r w:rsidR="00130D15" w:rsidRPr="00785FB4">
        <w:t xml:space="preserve">confirms that the </w:t>
      </w:r>
      <w:r w:rsidR="00412D86" w:rsidRPr="00785FB4">
        <w:t xml:space="preserve">two-year </w:t>
      </w:r>
      <w:r w:rsidR="00130D15" w:rsidRPr="00785FB4">
        <w:t xml:space="preserve">reporting period was set at 21 December 2013 – 20 December 2015 (p.6). </w:t>
      </w:r>
      <w:r w:rsidR="003F6941" w:rsidRPr="00785FB4">
        <w:t>The MSG published EITI Reports covering</w:t>
      </w:r>
      <w:r w:rsidR="0075041E" w:rsidRPr="00785FB4">
        <w:t xml:space="preserve"> 2008-10 in July 2012, 2011 in October 2012, 2012 in September 2014 </w:t>
      </w:r>
      <w:r w:rsidR="00CD3B65" w:rsidRPr="00785FB4">
        <w:t>(having received an extension from the EITI Board)</w:t>
      </w:r>
      <w:r w:rsidR="00C15E35" w:rsidRPr="00785FB4">
        <w:rPr>
          <w:rStyle w:val="FootnoteReference"/>
        </w:rPr>
        <w:footnoteReference w:id="236"/>
      </w:r>
      <w:r w:rsidR="00CD3B65" w:rsidRPr="00785FB4">
        <w:t xml:space="preserve"> </w:t>
      </w:r>
      <w:r w:rsidR="0075041E" w:rsidRPr="00785FB4">
        <w:t>and 2013 in February 2016.</w:t>
      </w:r>
      <w:r w:rsidR="0075041E" w:rsidRPr="00785FB4">
        <w:rPr>
          <w:rStyle w:val="FootnoteReference"/>
        </w:rPr>
        <w:footnoteReference w:id="237"/>
      </w:r>
      <w:r w:rsidR="00C40F73" w:rsidRPr="00785FB4">
        <w:t xml:space="preserve"> </w:t>
      </w:r>
    </w:p>
    <w:p w14:paraId="296DB38E" w14:textId="5BD6B152" w:rsidR="00C21BD4" w:rsidRPr="00785FB4" w:rsidRDefault="00C21BD4" w:rsidP="00A94167">
      <w:pPr>
        <w:pStyle w:val="Heading3"/>
      </w:pPr>
      <w:bookmarkStart w:id="431" w:name="_Toc505449664"/>
      <w:r w:rsidRPr="00785FB4">
        <w:t>Stakeholder views</w:t>
      </w:r>
      <w:bookmarkEnd w:id="431"/>
    </w:p>
    <w:p w14:paraId="6A1276F2" w14:textId="663F1CB7" w:rsidR="001722CA" w:rsidRPr="00785FB4" w:rsidRDefault="009C3311" w:rsidP="00CD3B65">
      <w:pPr>
        <w:spacing w:before="120"/>
        <w:rPr>
          <w:bCs/>
        </w:rPr>
      </w:pPr>
      <w:r w:rsidRPr="00785FB4">
        <w:rPr>
          <w:bCs/>
        </w:rPr>
        <w:t xml:space="preserve">Stakeholders from all constituencies expressed frustration at delays in Afghanistan’s EITI reporting. </w:t>
      </w:r>
      <w:r w:rsidR="00CD3B65" w:rsidRPr="00785FB4">
        <w:rPr>
          <w:bCs/>
        </w:rPr>
        <w:t>The 2017 AEITI organisational assessment considered that AEITI had been “consistently late” in publishing EITI Reports.</w:t>
      </w:r>
      <w:r w:rsidR="00CD3B65" w:rsidRPr="00785FB4">
        <w:rPr>
          <w:rStyle w:val="FootnoteReference"/>
          <w:bCs/>
        </w:rPr>
        <w:footnoteReference w:id="238"/>
      </w:r>
      <w:r w:rsidRPr="00785FB4">
        <w:rPr>
          <w:bCs/>
        </w:rPr>
        <w:t xml:space="preserve"> Several CSOs considered that delays in EITI reporting were avoidable and were a reflection of inadequate government EITI engagement at the operational level. </w:t>
      </w:r>
      <w:r w:rsidR="00F959B1" w:rsidRPr="00785FB4">
        <w:rPr>
          <w:bCs/>
        </w:rPr>
        <w:t xml:space="preserve">Secretariat staff expressed frustration at delays from both </w:t>
      </w:r>
      <w:r w:rsidR="00DB56BA" w:rsidRPr="00785FB4">
        <w:rPr>
          <w:bCs/>
        </w:rPr>
        <w:t>MOMP</w:t>
      </w:r>
      <w:r w:rsidR="00F959B1" w:rsidRPr="00785FB4">
        <w:rPr>
          <w:bCs/>
        </w:rPr>
        <w:t xml:space="preserve"> and the World Bank in procurement of the IA (</w:t>
      </w:r>
      <w:r w:rsidR="00F959B1" w:rsidRPr="00785FB4">
        <w:rPr>
          <w:bCs/>
          <w:i/>
        </w:rPr>
        <w:t>see Requirement 4.9</w:t>
      </w:r>
      <w:r w:rsidR="00F959B1" w:rsidRPr="00785FB4">
        <w:rPr>
          <w:bCs/>
        </w:rPr>
        <w:t xml:space="preserve">). </w:t>
      </w:r>
      <w:r w:rsidRPr="00785FB4">
        <w:rPr>
          <w:bCs/>
        </w:rPr>
        <w:t xml:space="preserve">Several government officials considered that EITI data was too old to be useful in informing policy-making. A senior official also deplored that the public often mistook EITI data for the most recent year’s data, which caused confusion in comparing with other </w:t>
      </w:r>
      <w:r w:rsidR="00DB56BA" w:rsidRPr="00785FB4">
        <w:rPr>
          <w:bCs/>
        </w:rPr>
        <w:t>MOMP</w:t>
      </w:r>
      <w:r w:rsidRPr="00785FB4">
        <w:rPr>
          <w:bCs/>
        </w:rPr>
        <w:t xml:space="preserve"> statistics. </w:t>
      </w:r>
    </w:p>
    <w:p w14:paraId="16D484BE" w14:textId="5656F64E" w:rsidR="00C21BD4" w:rsidRPr="00785FB4" w:rsidRDefault="00C21BD4" w:rsidP="00A94167">
      <w:pPr>
        <w:pStyle w:val="Heading3"/>
      </w:pPr>
      <w:bookmarkStart w:id="432" w:name="_Toc459133166"/>
      <w:bookmarkStart w:id="433" w:name="_Toc461803116"/>
      <w:bookmarkStart w:id="434" w:name="_Toc505449665"/>
      <w:r w:rsidRPr="00785FB4">
        <w:t>Initial assessment</w:t>
      </w:r>
      <w:bookmarkEnd w:id="432"/>
      <w:bookmarkEnd w:id="433"/>
      <w:bookmarkEnd w:id="434"/>
    </w:p>
    <w:p w14:paraId="405CD4D0" w14:textId="0AA3A71E" w:rsidR="001030D3" w:rsidRPr="00785FB4" w:rsidRDefault="00C21BD4" w:rsidP="00946D61">
      <w:pPr>
        <w:rPr>
          <w:bCs/>
        </w:rPr>
      </w:pPr>
      <w:r w:rsidRPr="00785FB4">
        <w:t xml:space="preserve">The International Secretariat’s initial assessment is that </w:t>
      </w:r>
      <w:r w:rsidR="00FC66E3" w:rsidRPr="00785FB4">
        <w:rPr>
          <w:bCs/>
        </w:rPr>
        <w:t>Afghanistan</w:t>
      </w:r>
      <w:r w:rsidR="00FC66E3" w:rsidRPr="00785FB4">
        <w:t xml:space="preserve"> </w:t>
      </w:r>
      <w:r w:rsidRPr="00785FB4">
        <w:t xml:space="preserve">has made </w:t>
      </w:r>
      <w:r w:rsidR="001722CA" w:rsidRPr="00785FB4">
        <w:rPr>
          <w:bCs/>
        </w:rPr>
        <w:t>satisfactory</w:t>
      </w:r>
      <w:r w:rsidR="00C8623E" w:rsidRPr="00785FB4">
        <w:t xml:space="preserve"> </w:t>
      </w:r>
      <w:r w:rsidRPr="00785FB4">
        <w:t xml:space="preserve">progress towards meeting this requirement. </w:t>
      </w:r>
      <w:r w:rsidR="001722CA" w:rsidRPr="00785FB4">
        <w:t>While the 2014</w:t>
      </w:r>
      <w:r w:rsidR="009C3311" w:rsidRPr="00785FB4">
        <w:t xml:space="preserve">-15 EITI Report was published </w:t>
      </w:r>
      <w:r w:rsidR="001722CA" w:rsidRPr="00785FB4">
        <w:rPr>
          <w:bCs/>
        </w:rPr>
        <w:t xml:space="preserve">after the end of the second to last complete accounting period (in April 2017 for a reporting period starting on 21 December 2013), </w:t>
      </w:r>
      <w:r w:rsidR="00905B86" w:rsidRPr="00785FB4">
        <w:rPr>
          <w:bCs/>
        </w:rPr>
        <w:t xml:space="preserve">the EITI Board granted Afghanistan an extension on its reporting deadline to 1 May 2017. Consistent delays in publishing EITI Reports is a concern however. </w:t>
      </w:r>
    </w:p>
    <w:p w14:paraId="773395EF" w14:textId="1458F792" w:rsidR="00905B86" w:rsidRPr="00785FB4" w:rsidRDefault="00905B86" w:rsidP="00946D61">
      <w:r w:rsidRPr="00785FB4">
        <w:rPr>
          <w:bCs/>
        </w:rPr>
        <w:t xml:space="preserve">To strengthen implementation, </w:t>
      </w:r>
      <w:r w:rsidR="00F959B1" w:rsidRPr="00785FB4">
        <w:rPr>
          <w:bCs/>
        </w:rPr>
        <w:t xml:space="preserve">Afghanistan </w:t>
      </w:r>
      <w:r w:rsidR="003C5690" w:rsidRPr="00785FB4">
        <w:rPr>
          <w:rFonts w:ascii="Calibri" w:hAnsi="Calibri"/>
        </w:rPr>
        <w:t>may wish to work with key revenue collecting agencies and sector regulators to explore means of publishing EITI-required information on their normal websites to embed EITI reporting in government and company systems.</w:t>
      </w:r>
      <w:r w:rsidR="00F778E0" w:rsidRPr="00785FB4">
        <w:rPr>
          <w:rFonts w:ascii="Calibri" w:hAnsi="Calibri"/>
        </w:rPr>
        <w:t xml:space="preserve"> </w:t>
      </w:r>
      <w:r w:rsidR="00F959B1" w:rsidRPr="00785FB4">
        <w:rPr>
          <w:rFonts w:ascii="Calibri" w:hAnsi="Calibri"/>
        </w:rPr>
        <w:t xml:space="preserve">Afghanistan </w:t>
      </w:r>
      <w:r w:rsidR="00F778E0" w:rsidRPr="00785FB4">
        <w:rPr>
          <w:rFonts w:ascii="Calibri" w:hAnsi="Calibri"/>
        </w:rPr>
        <w:t xml:space="preserve">may also wish to </w:t>
      </w:r>
      <w:r w:rsidR="00F959B1" w:rsidRPr="00785FB4">
        <w:rPr>
          <w:rFonts w:ascii="Calibri" w:hAnsi="Calibri"/>
        </w:rPr>
        <w:t>ensure that the timeframe for procurement of the IA is in line with reporting deadlines.</w:t>
      </w:r>
    </w:p>
    <w:p w14:paraId="4EB476CA" w14:textId="29477EF3" w:rsidR="00946D61" w:rsidRPr="00785FB4" w:rsidRDefault="001030D3" w:rsidP="00A94167">
      <w:pPr>
        <w:pStyle w:val="Heading2notindexed"/>
      </w:pPr>
      <w:bookmarkStart w:id="435" w:name="_Toc459133167"/>
      <w:bookmarkStart w:id="436" w:name="_Toc461803117"/>
      <w:bookmarkStart w:id="437" w:name="_Toc461787349"/>
      <w:bookmarkStart w:id="438" w:name="_Toc461795861"/>
      <w:bookmarkStart w:id="439" w:name="_Toc505449666"/>
      <w:bookmarkStart w:id="440" w:name="_Toc505449810"/>
      <w:r w:rsidRPr="00785FB4">
        <w:lastRenderedPageBreak/>
        <w:t>Data quality (#4.9)</w:t>
      </w:r>
      <w:bookmarkEnd w:id="435"/>
      <w:bookmarkEnd w:id="436"/>
      <w:bookmarkEnd w:id="437"/>
      <w:bookmarkEnd w:id="438"/>
      <w:bookmarkEnd w:id="439"/>
      <w:bookmarkEnd w:id="440"/>
    </w:p>
    <w:p w14:paraId="1D716D8A" w14:textId="01A1E641" w:rsidR="003E58F5" w:rsidRPr="00785FB4" w:rsidRDefault="001030D3" w:rsidP="00A94167">
      <w:pPr>
        <w:pStyle w:val="Heading3"/>
      </w:pPr>
      <w:bookmarkStart w:id="441" w:name="_Toc505449667"/>
      <w:r w:rsidRPr="00785FB4">
        <w:t>Documentation of progress</w:t>
      </w:r>
      <w:bookmarkEnd w:id="441"/>
      <w:r w:rsidRPr="00785FB4">
        <w:t xml:space="preserve"> </w:t>
      </w:r>
    </w:p>
    <w:p w14:paraId="1E47286F" w14:textId="15ED84B5" w:rsidR="002D2252" w:rsidRPr="00785FB4" w:rsidRDefault="002D2252" w:rsidP="002D2252">
      <w:pPr>
        <w:spacing w:before="120"/>
        <w:rPr>
          <w:bCs/>
        </w:rPr>
      </w:pPr>
      <w:r w:rsidRPr="00785FB4">
        <w:rPr>
          <w:i/>
          <w:u w:val="single"/>
        </w:rPr>
        <w:t>Terms of Reference for the Independent Administrator:</w:t>
      </w:r>
      <w:r w:rsidRPr="00785FB4">
        <w:rPr>
          <w:i/>
        </w:rPr>
        <w:t xml:space="preserve"> </w:t>
      </w:r>
      <w:r w:rsidR="00660871" w:rsidRPr="00785FB4">
        <w:rPr>
          <w:rFonts w:ascii="Calibri" w:hAnsi="Calibri"/>
        </w:rPr>
        <w:t xml:space="preserve">The MSG approved the ToR </w:t>
      </w:r>
      <w:r w:rsidR="00540177" w:rsidRPr="00785FB4">
        <w:rPr>
          <w:rFonts w:ascii="Calibri" w:hAnsi="Calibri"/>
        </w:rPr>
        <w:t xml:space="preserve">for the 2014-15 EITI Reports’ IA </w:t>
      </w:r>
      <w:r w:rsidR="00660871" w:rsidRPr="00785FB4">
        <w:rPr>
          <w:rFonts w:ascii="Calibri" w:hAnsi="Calibri"/>
        </w:rPr>
        <w:t xml:space="preserve">in </w:t>
      </w:r>
      <w:r w:rsidR="001E19D3" w:rsidRPr="00785FB4">
        <w:rPr>
          <w:rFonts w:ascii="Calibri" w:hAnsi="Calibri"/>
        </w:rPr>
        <w:t>at its 24 May 2016 meeting</w:t>
      </w:r>
      <w:r w:rsidR="00660871" w:rsidRPr="00785FB4">
        <w:rPr>
          <w:rFonts w:ascii="Calibri" w:hAnsi="Calibri"/>
        </w:rPr>
        <w:t>.</w:t>
      </w:r>
      <w:r w:rsidR="001E19D3" w:rsidRPr="00785FB4">
        <w:rPr>
          <w:rStyle w:val="FootnoteReference"/>
          <w:rFonts w:ascii="Calibri" w:hAnsi="Calibri"/>
        </w:rPr>
        <w:footnoteReference w:id="239"/>
      </w:r>
      <w:r w:rsidR="00660871" w:rsidRPr="00785FB4">
        <w:rPr>
          <w:rFonts w:ascii="Calibri" w:hAnsi="Calibri"/>
        </w:rPr>
        <w:t xml:space="preserve"> </w:t>
      </w:r>
      <w:r w:rsidR="0081423B" w:rsidRPr="00785FB4">
        <w:rPr>
          <w:bCs/>
        </w:rPr>
        <w:t xml:space="preserve">The IA’s ToR for the 2014-15 EITI Report are provided </w:t>
      </w:r>
      <w:r w:rsidR="00273C9F" w:rsidRPr="00785FB4">
        <w:rPr>
          <w:bCs/>
        </w:rPr>
        <w:t xml:space="preserve">in </w:t>
      </w:r>
      <w:r w:rsidR="00931299" w:rsidRPr="00785FB4">
        <w:rPr>
          <w:bCs/>
        </w:rPr>
        <w:t xml:space="preserve">its </w:t>
      </w:r>
      <w:r w:rsidR="00273C9F" w:rsidRPr="00785FB4">
        <w:rPr>
          <w:bCs/>
        </w:rPr>
        <w:t xml:space="preserve">annex </w:t>
      </w:r>
      <w:r w:rsidR="0081423B" w:rsidRPr="00785FB4">
        <w:rPr>
          <w:bCs/>
        </w:rPr>
        <w:t xml:space="preserve">(a/pp.2-17). </w:t>
      </w:r>
      <w:r w:rsidR="00660871" w:rsidRPr="00785FB4">
        <w:rPr>
          <w:rFonts w:ascii="Calibri" w:hAnsi="Calibri"/>
          <w:bCs/>
        </w:rPr>
        <w:t>The ToR for the IA were in line with the EITI Board-approved ToR based on the 2013 EITI Standard in force at the time (</w:t>
      </w:r>
      <w:r w:rsidR="00F30167" w:rsidRPr="00785FB4">
        <w:rPr>
          <w:rFonts w:ascii="Calibri" w:hAnsi="Calibri"/>
          <w:bCs/>
        </w:rPr>
        <w:t>February</w:t>
      </w:r>
      <w:r w:rsidR="001E19D3" w:rsidRPr="00785FB4">
        <w:rPr>
          <w:rFonts w:ascii="Calibri" w:hAnsi="Calibri"/>
          <w:bCs/>
        </w:rPr>
        <w:t>-March 2016</w:t>
      </w:r>
      <w:r w:rsidR="00660871" w:rsidRPr="00785FB4">
        <w:rPr>
          <w:rFonts w:ascii="Calibri" w:hAnsi="Calibri"/>
          <w:bCs/>
        </w:rPr>
        <w:t>).</w:t>
      </w:r>
      <w:r w:rsidR="006E2542" w:rsidRPr="00785FB4">
        <w:rPr>
          <w:bCs/>
        </w:rPr>
        <w:t xml:space="preserve"> </w:t>
      </w:r>
      <w:r w:rsidR="0081423B" w:rsidRPr="00785FB4">
        <w:rPr>
          <w:bCs/>
        </w:rPr>
        <w:t xml:space="preserve">However, </w:t>
      </w:r>
      <w:r w:rsidR="00B017C7" w:rsidRPr="00785FB4">
        <w:rPr>
          <w:bCs/>
        </w:rPr>
        <w:t xml:space="preserve">the MSG removed </w:t>
      </w:r>
      <w:r w:rsidR="004A2AB0" w:rsidRPr="00785FB4">
        <w:rPr>
          <w:bCs/>
        </w:rPr>
        <w:t>Annex 1 on the “statement of materiality” from the final agreed version of the ToR</w:t>
      </w:r>
      <w:r w:rsidR="002F2522" w:rsidRPr="00785FB4">
        <w:rPr>
          <w:bCs/>
        </w:rPr>
        <w:t xml:space="preserve"> (despite leaving references to Annex 1 in the full text of the ToR) and</w:t>
      </w:r>
      <w:r w:rsidR="004A2AB0" w:rsidRPr="00785FB4">
        <w:rPr>
          <w:bCs/>
        </w:rPr>
        <w:t xml:space="preserve"> </w:t>
      </w:r>
      <w:r w:rsidR="002F2522" w:rsidRPr="00785FB4">
        <w:rPr>
          <w:bCs/>
        </w:rPr>
        <w:t xml:space="preserve">included </w:t>
      </w:r>
      <w:r w:rsidR="004A2AB0" w:rsidRPr="00785FB4">
        <w:rPr>
          <w:bCs/>
        </w:rPr>
        <w:t>only Annex 2 describing supporting documentation</w:t>
      </w:r>
      <w:r w:rsidR="002F2522" w:rsidRPr="00785FB4">
        <w:rPr>
          <w:bCs/>
        </w:rPr>
        <w:t xml:space="preserve"> (listed as Annex 1 in the final agreed ToR)</w:t>
      </w:r>
      <w:r w:rsidR="004A2AB0" w:rsidRPr="00785FB4">
        <w:rPr>
          <w:bCs/>
        </w:rPr>
        <w:t xml:space="preserve">. </w:t>
      </w:r>
      <w:r w:rsidR="00931299" w:rsidRPr="00785FB4">
        <w:rPr>
          <w:bCs/>
        </w:rPr>
        <w:t xml:space="preserve">The IA’s understanding of the scope was confirmed in an MSG meeting </w:t>
      </w:r>
      <w:r w:rsidR="00CD098F" w:rsidRPr="00785FB4">
        <w:rPr>
          <w:bCs/>
        </w:rPr>
        <w:t>in October 2016, with additional confirmation of the scope of non-revenue information requested by email in February 2017.</w:t>
      </w:r>
    </w:p>
    <w:p w14:paraId="0858A8E5" w14:textId="55C44D80" w:rsidR="0081423B" w:rsidRPr="00785FB4" w:rsidRDefault="001030D3" w:rsidP="00C8623E">
      <w:pPr>
        <w:spacing w:before="120"/>
        <w:rPr>
          <w:rFonts w:ascii="Calibri" w:hAnsi="Calibri"/>
        </w:rPr>
      </w:pPr>
      <w:r w:rsidRPr="00785FB4">
        <w:rPr>
          <w:i/>
          <w:u w:val="single"/>
        </w:rPr>
        <w:t>Appointment of the Independent Administrator (IA):</w:t>
      </w:r>
      <w:r w:rsidRPr="00785FB4">
        <w:rPr>
          <w:i/>
        </w:rPr>
        <w:t xml:space="preserve"> </w:t>
      </w:r>
      <w:r w:rsidR="00BB3877" w:rsidRPr="00785FB4">
        <w:rPr>
          <w:rFonts w:ascii="Calibri" w:hAnsi="Calibri"/>
        </w:rPr>
        <w:t>The procurement of the IA for Afghanistan’s EITI Reports is undertaken</w:t>
      </w:r>
      <w:r w:rsidR="00F22BD2" w:rsidRPr="00785FB4">
        <w:rPr>
          <w:rFonts w:ascii="Calibri" w:hAnsi="Calibri"/>
        </w:rPr>
        <w:t xml:space="preserve"> by the </w:t>
      </w:r>
      <w:r w:rsidR="00DB56BA" w:rsidRPr="00785FB4">
        <w:rPr>
          <w:rFonts w:ascii="Calibri" w:hAnsi="Calibri"/>
        </w:rPr>
        <w:t>MOMP</w:t>
      </w:r>
      <w:r w:rsidR="00F22BD2" w:rsidRPr="00785FB4">
        <w:rPr>
          <w:rFonts w:ascii="Calibri" w:hAnsi="Calibri"/>
        </w:rPr>
        <w:t>’s procurement department based on Consultants Qualification Selection (CQS)</w:t>
      </w:r>
      <w:r w:rsidR="00BB3877" w:rsidRPr="00785FB4">
        <w:rPr>
          <w:rFonts w:ascii="Calibri" w:hAnsi="Calibri"/>
        </w:rPr>
        <w:t xml:space="preserve"> in line with </w:t>
      </w:r>
      <w:r w:rsidR="005677C6" w:rsidRPr="00785FB4">
        <w:rPr>
          <w:rFonts w:ascii="Calibri" w:hAnsi="Calibri"/>
        </w:rPr>
        <w:t>World Bank procurement procedures</w:t>
      </w:r>
      <w:r w:rsidR="00BB3877" w:rsidRPr="00785FB4">
        <w:rPr>
          <w:rFonts w:ascii="Calibri" w:hAnsi="Calibri"/>
        </w:rPr>
        <w:t>.</w:t>
      </w:r>
      <w:r w:rsidR="007B5160" w:rsidRPr="00785FB4">
        <w:rPr>
          <w:rFonts w:ascii="Calibri" w:hAnsi="Calibri"/>
        </w:rPr>
        <w:t xml:space="preserve"> </w:t>
      </w:r>
      <w:r w:rsidR="0045252C" w:rsidRPr="00785FB4">
        <w:rPr>
          <w:rFonts w:ascii="Calibri" w:hAnsi="Calibri"/>
        </w:rPr>
        <w:t>Moore Stephens was originally contracted to produce the 2008-10 EITI Report</w:t>
      </w:r>
      <w:r w:rsidR="00B83E70" w:rsidRPr="00785FB4">
        <w:rPr>
          <w:rFonts w:ascii="Calibri" w:hAnsi="Calibri"/>
        </w:rPr>
        <w:t xml:space="preserve"> and its contract was renewed for the </w:t>
      </w:r>
      <w:r w:rsidR="0045252C" w:rsidRPr="00785FB4">
        <w:rPr>
          <w:rFonts w:ascii="Calibri" w:hAnsi="Calibri"/>
        </w:rPr>
        <w:t>2011 and 2012</w:t>
      </w:r>
      <w:r w:rsidR="00B83E70" w:rsidRPr="00785FB4">
        <w:rPr>
          <w:rFonts w:ascii="Calibri" w:hAnsi="Calibri"/>
        </w:rPr>
        <w:t xml:space="preserve"> </w:t>
      </w:r>
      <w:r w:rsidR="0045252C" w:rsidRPr="00785FB4">
        <w:rPr>
          <w:rFonts w:ascii="Calibri" w:hAnsi="Calibri"/>
        </w:rPr>
        <w:t>EITI Report</w:t>
      </w:r>
      <w:r w:rsidR="00B83E70" w:rsidRPr="00785FB4">
        <w:rPr>
          <w:rFonts w:ascii="Calibri" w:hAnsi="Calibri"/>
        </w:rPr>
        <w:t>s</w:t>
      </w:r>
      <w:r w:rsidR="0045252C" w:rsidRPr="00785FB4">
        <w:rPr>
          <w:rFonts w:ascii="Calibri" w:hAnsi="Calibri"/>
        </w:rPr>
        <w:t xml:space="preserve">. </w:t>
      </w:r>
      <w:r w:rsidR="00401AA0" w:rsidRPr="00785FB4">
        <w:rPr>
          <w:rFonts w:ascii="Calibri" w:hAnsi="Calibri"/>
        </w:rPr>
        <w:t xml:space="preserve">A consortium of the Hart Group and Talal Abu-Ghazaleh &amp; Co. Consulting (Jordan) was appointed </w:t>
      </w:r>
      <w:r w:rsidR="00A47123" w:rsidRPr="00785FB4">
        <w:rPr>
          <w:rFonts w:ascii="Calibri" w:hAnsi="Calibri"/>
        </w:rPr>
        <w:t>for the 201</w:t>
      </w:r>
      <w:r w:rsidR="00B83E70" w:rsidRPr="00785FB4">
        <w:rPr>
          <w:rFonts w:ascii="Calibri" w:hAnsi="Calibri"/>
        </w:rPr>
        <w:t>2-1</w:t>
      </w:r>
      <w:r w:rsidR="00A47123" w:rsidRPr="00785FB4">
        <w:rPr>
          <w:rFonts w:ascii="Calibri" w:hAnsi="Calibri"/>
        </w:rPr>
        <w:t>3 EITI Report o</w:t>
      </w:r>
      <w:r w:rsidR="00401AA0" w:rsidRPr="00785FB4">
        <w:rPr>
          <w:rFonts w:ascii="Calibri" w:hAnsi="Calibri"/>
        </w:rPr>
        <w:t xml:space="preserve">n </w:t>
      </w:r>
      <w:r w:rsidR="00A47123" w:rsidRPr="00785FB4">
        <w:rPr>
          <w:rFonts w:ascii="Calibri" w:hAnsi="Calibri"/>
        </w:rPr>
        <w:t>1 August 2014</w:t>
      </w:r>
      <w:r w:rsidR="00401AA0" w:rsidRPr="00785FB4">
        <w:rPr>
          <w:rFonts w:ascii="Calibri" w:hAnsi="Calibri"/>
        </w:rPr>
        <w:t>.</w:t>
      </w:r>
      <w:r w:rsidR="00A47123" w:rsidRPr="00785FB4">
        <w:rPr>
          <w:rStyle w:val="FootnoteReference"/>
          <w:rFonts w:ascii="Calibri" w:hAnsi="Calibri"/>
        </w:rPr>
        <w:footnoteReference w:id="240"/>
      </w:r>
      <w:r w:rsidR="00401AA0" w:rsidRPr="00785FB4">
        <w:rPr>
          <w:rFonts w:ascii="Calibri" w:hAnsi="Calibri"/>
        </w:rPr>
        <w:t xml:space="preserve"> </w:t>
      </w:r>
      <w:r w:rsidR="00204DB8" w:rsidRPr="00785FB4">
        <w:rPr>
          <w:rFonts w:ascii="Calibri" w:hAnsi="Calibri"/>
        </w:rPr>
        <w:t>A call for expressions of interest for the 2014-15 EITI Report IA was published on 18 January 2016</w:t>
      </w:r>
      <w:r w:rsidR="00BE6DBA" w:rsidRPr="00785FB4">
        <w:rPr>
          <w:rStyle w:val="FootnoteReference"/>
          <w:rFonts w:ascii="Calibri" w:hAnsi="Calibri"/>
        </w:rPr>
        <w:footnoteReference w:id="241"/>
      </w:r>
      <w:r w:rsidR="003D5CF5" w:rsidRPr="00785FB4">
        <w:rPr>
          <w:rFonts w:ascii="Calibri" w:hAnsi="Calibri"/>
        </w:rPr>
        <w:t xml:space="preserve">, although the MSG </w:t>
      </w:r>
      <w:r w:rsidR="00931299" w:rsidRPr="00785FB4">
        <w:rPr>
          <w:rFonts w:ascii="Calibri" w:hAnsi="Calibri"/>
        </w:rPr>
        <w:t xml:space="preserve">subsequently </w:t>
      </w:r>
      <w:r w:rsidR="003D5CF5" w:rsidRPr="00785FB4">
        <w:rPr>
          <w:rFonts w:ascii="Calibri" w:hAnsi="Calibri"/>
        </w:rPr>
        <w:t>agreed with the World Bank to proceed on a single-source repeat procurement of</w:t>
      </w:r>
      <w:r w:rsidR="00BE6DBA" w:rsidRPr="00785FB4">
        <w:rPr>
          <w:rFonts w:ascii="Calibri" w:hAnsi="Calibri"/>
        </w:rPr>
        <w:t xml:space="preserve"> </w:t>
      </w:r>
      <w:r w:rsidR="00BE6DBA" w:rsidRPr="00785FB4">
        <w:rPr>
          <w:bCs/>
        </w:rPr>
        <w:t>t</w:t>
      </w:r>
      <w:r w:rsidR="0081423B" w:rsidRPr="00785FB4">
        <w:rPr>
          <w:bCs/>
        </w:rPr>
        <w:t xml:space="preserve">he </w:t>
      </w:r>
      <w:r w:rsidR="00BE6DBA" w:rsidRPr="00785FB4">
        <w:rPr>
          <w:bCs/>
        </w:rPr>
        <w:t xml:space="preserve">Hart Group consortium </w:t>
      </w:r>
      <w:r w:rsidR="003D5CF5" w:rsidRPr="00785FB4">
        <w:rPr>
          <w:bCs/>
        </w:rPr>
        <w:t xml:space="preserve">and </w:t>
      </w:r>
      <w:r w:rsidR="00BE6DBA" w:rsidRPr="00785FB4">
        <w:rPr>
          <w:bCs/>
        </w:rPr>
        <w:t xml:space="preserve">signed the </w:t>
      </w:r>
      <w:r w:rsidR="0081423B" w:rsidRPr="00785FB4">
        <w:rPr>
          <w:bCs/>
        </w:rPr>
        <w:t>contract for the 2014-15 EITI Report on 1 July 2016.</w:t>
      </w:r>
      <w:r w:rsidR="0081423B" w:rsidRPr="00785FB4">
        <w:rPr>
          <w:rStyle w:val="FootnoteReference"/>
          <w:bCs/>
        </w:rPr>
        <w:footnoteReference w:id="242"/>
      </w:r>
      <w:r w:rsidR="00B83E70" w:rsidRPr="00785FB4">
        <w:rPr>
          <w:bCs/>
        </w:rPr>
        <w:t xml:space="preserve"> </w:t>
      </w:r>
    </w:p>
    <w:p w14:paraId="074ABE95" w14:textId="6DF4030B" w:rsidR="001030D3" w:rsidRPr="00785FB4" w:rsidRDefault="001030D3" w:rsidP="001030D3">
      <w:r w:rsidRPr="00785FB4">
        <w:rPr>
          <w:i/>
          <w:u w:val="single"/>
        </w:rPr>
        <w:t>Agreement on the reporting templates:</w:t>
      </w:r>
      <w:r w:rsidRPr="00785FB4">
        <w:rPr>
          <w:i/>
        </w:rPr>
        <w:t xml:space="preserve"> </w:t>
      </w:r>
      <w:r w:rsidR="00B83E70" w:rsidRPr="00785FB4">
        <w:rPr>
          <w:rFonts w:ascii="Calibri" w:hAnsi="Calibri"/>
          <w:bCs/>
        </w:rPr>
        <w:t xml:space="preserve">The MSG discussed the scoping study including materiality thresholds and reporting templates on </w:t>
      </w:r>
      <w:r w:rsidR="00B4132B" w:rsidRPr="00785FB4">
        <w:rPr>
          <w:rFonts w:ascii="Calibri" w:hAnsi="Calibri"/>
          <w:bCs/>
        </w:rPr>
        <w:t>23 January 2017.</w:t>
      </w:r>
      <w:r w:rsidR="00B4132B" w:rsidRPr="00785FB4">
        <w:rPr>
          <w:rStyle w:val="FootnoteReference"/>
          <w:rFonts w:ascii="Calibri" w:hAnsi="Calibri"/>
          <w:bCs/>
        </w:rPr>
        <w:footnoteReference w:id="243"/>
      </w:r>
      <w:r w:rsidR="00B83E70" w:rsidRPr="00785FB4">
        <w:rPr>
          <w:rFonts w:ascii="Calibri" w:hAnsi="Calibri"/>
          <w:bCs/>
        </w:rPr>
        <w:t xml:space="preserve"> </w:t>
      </w:r>
      <w:r w:rsidR="00CF5825" w:rsidRPr="00785FB4">
        <w:rPr>
          <w:rFonts w:ascii="Calibri" w:hAnsi="Calibri"/>
          <w:bCs/>
        </w:rPr>
        <w:t>The reporting templates for the 2014-15 EITI Report were broadly consistent with those used for the 2012-13 EITI Report.</w:t>
      </w:r>
      <w:r w:rsidR="00300D44" w:rsidRPr="00785FB4">
        <w:rPr>
          <w:rFonts w:ascii="Calibri" w:hAnsi="Calibri"/>
          <w:bCs/>
        </w:rPr>
        <w:t xml:space="preserve"> The reporting templates were provided in English and Dari and are included in annex to the 2014-15 EITI Report (a/pp.</w:t>
      </w:r>
      <w:r w:rsidR="00EE20C3" w:rsidRPr="00785FB4">
        <w:rPr>
          <w:rFonts w:ascii="Calibri" w:hAnsi="Calibri"/>
          <w:bCs/>
        </w:rPr>
        <w:t>135-</w:t>
      </w:r>
      <w:r w:rsidR="008D3723" w:rsidRPr="00785FB4">
        <w:rPr>
          <w:rFonts w:ascii="Calibri" w:hAnsi="Calibri"/>
          <w:bCs/>
        </w:rPr>
        <w:t xml:space="preserve">207). </w:t>
      </w:r>
    </w:p>
    <w:p w14:paraId="4A757794" w14:textId="42EF3E9E" w:rsidR="00AD4689" w:rsidRPr="00785FB4" w:rsidRDefault="001030D3" w:rsidP="00AD4689">
      <w:pPr>
        <w:spacing w:before="120"/>
      </w:pPr>
      <w:r w:rsidRPr="00785FB4">
        <w:rPr>
          <w:u w:val="single"/>
        </w:rPr>
        <w:t>Review of audit practices</w:t>
      </w:r>
      <w:r w:rsidRPr="00785FB4">
        <w:t xml:space="preserve">: </w:t>
      </w:r>
      <w:r w:rsidR="000512E5" w:rsidRPr="00785FB4">
        <w:t>The 2014-15 EITI Report describes the assurance environment in Afghanistan as “weak”, with further improvements needed despite (unspecified) steps taken to improve government audit capacity (p.54). It notes the absence of a standard-setting body for audit or accountancy and the lack of qualified staff to implement any standards (p.54).</w:t>
      </w:r>
      <w:r w:rsidR="00D05ECC" w:rsidRPr="00785FB4">
        <w:t xml:space="preserve"> </w:t>
      </w:r>
      <w:r w:rsidR="000512E5" w:rsidRPr="00785FB4">
        <w:t xml:space="preserve">With regards to </w:t>
      </w:r>
      <w:r w:rsidR="000512E5" w:rsidRPr="00785FB4">
        <w:rPr>
          <w:i/>
        </w:rPr>
        <w:t xml:space="preserve">government audit </w:t>
      </w:r>
      <w:r w:rsidR="00137FB0" w:rsidRPr="00785FB4">
        <w:rPr>
          <w:i/>
        </w:rPr>
        <w:t>practices</w:t>
      </w:r>
      <w:r w:rsidR="000512E5" w:rsidRPr="00785FB4">
        <w:t>, the report provides a brief description of a World Bank-supported project “to rebuild the capacity of SAO staff” in accordance with international standards (p.54), implying that current Afghan audit standards are not in line with international standards.</w:t>
      </w:r>
      <w:r w:rsidR="003114CD" w:rsidRPr="00785FB4">
        <w:t xml:space="preserve"> </w:t>
      </w:r>
      <w:r w:rsidR="00967646" w:rsidRPr="00785FB4">
        <w:t xml:space="preserve">The report describes significant weaknesses in government </w:t>
      </w:r>
      <w:r w:rsidR="00137FB0" w:rsidRPr="00785FB4">
        <w:t xml:space="preserve">manual </w:t>
      </w:r>
      <w:r w:rsidR="00967646" w:rsidRPr="00785FB4">
        <w:t>record-keeping and accounting systems</w:t>
      </w:r>
      <w:r w:rsidR="00137FB0" w:rsidRPr="00785FB4">
        <w:t xml:space="preserve">, which cause inconsistencies in data reported from different government sources (pp.16-17,20, 46-47,53). Similar challenges are highlighted in the record-keeping, accounting and financial oversight of state-owned enterprises (pp.68-69). </w:t>
      </w:r>
      <w:r w:rsidR="00CE32F6" w:rsidRPr="00785FB4">
        <w:t xml:space="preserve">The GiZ study on </w:t>
      </w:r>
      <w:r w:rsidR="00CE32F6" w:rsidRPr="00785FB4">
        <w:lastRenderedPageBreak/>
        <w:t xml:space="preserve">accounting, auditing and reporting web-based software in Afghanistan’s mineral sector provided in annex to the report notes that SOEs operate on the basis </w:t>
      </w:r>
      <w:r w:rsidR="00EC59D8" w:rsidRPr="00785FB4">
        <w:t>o</w:t>
      </w:r>
      <w:r w:rsidR="00CE32F6" w:rsidRPr="00785FB4">
        <w:t xml:space="preserve">f the government accounting system, submitting basic financial information similar to a trial balance rather than standard financial statements (a/p.229). </w:t>
      </w:r>
      <w:r w:rsidR="00F959B1" w:rsidRPr="00785FB4">
        <w:t xml:space="preserve">However, the GiZ study also highlighted substantial weaknesses in SOE accounting and data assurance practices. </w:t>
      </w:r>
    </w:p>
    <w:p w14:paraId="10F5769C" w14:textId="33228A44" w:rsidR="004A7526" w:rsidRPr="00785FB4" w:rsidRDefault="00137FB0" w:rsidP="00D33B14">
      <w:pPr>
        <w:spacing w:before="120"/>
      </w:pPr>
      <w:r w:rsidRPr="00785FB4">
        <w:t xml:space="preserve">With regards to </w:t>
      </w:r>
      <w:r w:rsidRPr="00785FB4">
        <w:rPr>
          <w:i/>
        </w:rPr>
        <w:t>company audit practices</w:t>
      </w:r>
      <w:r w:rsidRPr="00785FB4">
        <w:t xml:space="preserve">, </w:t>
      </w:r>
      <w:r w:rsidR="003112DF" w:rsidRPr="00785FB4">
        <w:t xml:space="preserve">the report </w:t>
      </w:r>
      <w:r w:rsidR="00582448" w:rsidRPr="00785FB4">
        <w:t xml:space="preserve">states that </w:t>
      </w:r>
      <w:r w:rsidR="00FE355E" w:rsidRPr="00785FB4">
        <w:t>mineral license-holders</w:t>
      </w:r>
      <w:r w:rsidR="00582448" w:rsidRPr="00785FB4">
        <w:t xml:space="preserve"> are required to prepare balance sheets in accordance with International Accounting Standards (IAS) (p.23), but </w:t>
      </w:r>
      <w:r w:rsidR="004A7526" w:rsidRPr="00785FB4">
        <w:t xml:space="preserve">that there are no requirements under Afghan law for extractives companies to produce audited accounts (p.54). </w:t>
      </w:r>
      <w:r w:rsidR="00692ED0" w:rsidRPr="00785FB4">
        <w:t xml:space="preserve">However, the report </w:t>
      </w:r>
      <w:r w:rsidR="00582448" w:rsidRPr="00785FB4">
        <w:t xml:space="preserve">presents contradictory information </w:t>
      </w:r>
      <w:r w:rsidR="00692ED0" w:rsidRPr="00785FB4">
        <w:t xml:space="preserve">for oil and gas companies parties to PSCs, stating </w:t>
      </w:r>
      <w:r w:rsidR="00582448" w:rsidRPr="00785FB4">
        <w:t xml:space="preserve">both that they are required </w:t>
      </w:r>
      <w:r w:rsidR="00692ED0" w:rsidRPr="00785FB4">
        <w:t xml:space="preserve">to prepare financial statements in line with </w:t>
      </w:r>
      <w:r w:rsidR="00582448" w:rsidRPr="00785FB4">
        <w:t xml:space="preserve">IAS </w:t>
      </w:r>
      <w:r w:rsidR="00692ED0" w:rsidRPr="00785FB4">
        <w:t>(p.29) and</w:t>
      </w:r>
      <w:r w:rsidR="00582448" w:rsidRPr="00785FB4">
        <w:t xml:space="preserve"> that they are</w:t>
      </w:r>
      <w:r w:rsidR="00692ED0" w:rsidRPr="00785FB4">
        <w:t xml:space="preserve"> </w:t>
      </w:r>
      <w:r w:rsidR="00582448" w:rsidRPr="00785FB4">
        <w:t>not</w:t>
      </w:r>
      <w:r w:rsidR="00692ED0" w:rsidRPr="00785FB4">
        <w:t xml:space="preserve"> (p.54). </w:t>
      </w:r>
      <w:r w:rsidR="00B50738" w:rsidRPr="00785FB4">
        <w:t xml:space="preserve">The report </w:t>
      </w:r>
      <w:r w:rsidR="00582448" w:rsidRPr="00785FB4">
        <w:t>describes the</w:t>
      </w:r>
      <w:r w:rsidR="00B50738" w:rsidRPr="00785FB4">
        <w:t xml:space="preserve"> audit and assurance “capability and practice in the private sector </w:t>
      </w:r>
      <w:r w:rsidR="00582448" w:rsidRPr="00785FB4">
        <w:t xml:space="preserve">[as] </w:t>
      </w:r>
      <w:r w:rsidR="00B50738" w:rsidRPr="00785FB4">
        <w:t>weak and there are serious challenges to the achievement of transparency”</w:t>
      </w:r>
      <w:r w:rsidR="00582448" w:rsidRPr="00785FB4">
        <w:t xml:space="preserve"> (p.54).</w:t>
      </w:r>
      <w:r w:rsidR="00B50738" w:rsidRPr="00785FB4">
        <w:t xml:space="preserve"> </w:t>
      </w:r>
      <w:r w:rsidR="00582448" w:rsidRPr="00785FB4">
        <w:t>It notes the lack</w:t>
      </w:r>
      <w:r w:rsidR="00B50738" w:rsidRPr="00785FB4">
        <w:t xml:space="preserve"> </w:t>
      </w:r>
      <w:r w:rsidR="00582448" w:rsidRPr="00785FB4">
        <w:t xml:space="preserve">of </w:t>
      </w:r>
      <w:r w:rsidR="00B50738" w:rsidRPr="00785FB4">
        <w:t xml:space="preserve">accounting capabilities </w:t>
      </w:r>
      <w:r w:rsidR="00582448" w:rsidRPr="00785FB4">
        <w:t xml:space="preserve">in </w:t>
      </w:r>
      <w:r w:rsidR="00B50738" w:rsidRPr="00785FB4">
        <w:t>private companies aside from the two large</w:t>
      </w:r>
      <w:r w:rsidR="00582448" w:rsidRPr="00785FB4">
        <w:t>st</w:t>
      </w:r>
      <w:r w:rsidR="00B50738" w:rsidRPr="00785FB4">
        <w:t xml:space="preserve"> (MCC and CNPCI) due to cost, financial management capacities and linguistic constraints (p.54). </w:t>
      </w:r>
      <w:r w:rsidR="00AE6B34" w:rsidRPr="00785FB4">
        <w:t xml:space="preserve">The report concedes that it is not realistic to expect any but the largest companies to undertake external audits or to use international standards in preparing their financial data (p.17). </w:t>
      </w:r>
      <w:r w:rsidR="00D05ECC" w:rsidRPr="00785FB4">
        <w:t xml:space="preserve">The GiZ study in annex to the report notes that while some private companies used bespoke or off-the-shelf accounting systems, all but the largest companies had only small finance departments and no internal audit functions (p.17, a/pp.230-232). The GiZ study also found that financial reports produced by companies were “very basic” and did not comply with GAAP or IFRS (a/p.231). The 2014-15 EITI Report states that none of the reporting companies provided copies of their audited accounts (p.55). </w:t>
      </w:r>
    </w:p>
    <w:p w14:paraId="299ECB2A" w14:textId="7E0DE622" w:rsidR="00D33B14" w:rsidRPr="00785FB4" w:rsidRDefault="001030D3" w:rsidP="001030D3">
      <w:pPr>
        <w:spacing w:before="120"/>
      </w:pPr>
      <w:r w:rsidRPr="00785FB4">
        <w:rPr>
          <w:i/>
          <w:u w:val="single"/>
        </w:rPr>
        <w:t>Assurance methodology</w:t>
      </w:r>
      <w:r w:rsidRPr="00785FB4">
        <w:t xml:space="preserve">: </w:t>
      </w:r>
      <w:r w:rsidR="007825F0" w:rsidRPr="00785FB4">
        <w:t xml:space="preserve">The report presents the quality assurances requested from reporting companies and government entities (p.55). </w:t>
      </w:r>
      <w:r w:rsidR="00252403" w:rsidRPr="00785FB4">
        <w:t xml:space="preserve">Reporting entities were required to provide a letter from a senior government or company representative attesting that the reporting templates were complete, accurate and diligently prepared, that all amounts were supported by genuine receipts or documentary evidence, and confirmation of whether the company’s 2014-15 financial statements were audited (p.55). “Major reporting companies”, defined as oil and gas companies as well as MCC-Aynak, were also required to provide copies of their audited 2014-15 financial statements (p.55). </w:t>
      </w:r>
      <w:r w:rsidR="00B660D5" w:rsidRPr="00785FB4">
        <w:t xml:space="preserve">The report confirms that EITI reporting was undertaken on a cash-accounting basis (p.47). </w:t>
      </w:r>
      <w:r w:rsidR="00273C9F" w:rsidRPr="00785FB4">
        <w:t xml:space="preserve">The report describes the main lines of the IA’s work, including scoping, data collection, assurance methodology and reconciliation (pp.10,53-56) as well as a copy of the IA’s ToR </w:t>
      </w:r>
      <w:r w:rsidR="00273C9F" w:rsidRPr="00785FB4">
        <w:rPr>
          <w:bCs/>
        </w:rPr>
        <w:t>(a/pp.2-17).</w:t>
      </w:r>
    </w:p>
    <w:p w14:paraId="176B67DF" w14:textId="2BEC5E47" w:rsidR="001030D3" w:rsidRPr="00785FB4" w:rsidRDefault="001030D3" w:rsidP="001030D3">
      <w:pPr>
        <w:spacing w:before="120"/>
      </w:pPr>
      <w:r w:rsidRPr="00785FB4">
        <w:rPr>
          <w:i/>
          <w:u w:val="single"/>
        </w:rPr>
        <w:t>Confidentiality</w:t>
      </w:r>
      <w:r w:rsidRPr="00785FB4">
        <w:t xml:space="preserve">: </w:t>
      </w:r>
      <w:r w:rsidR="00476568" w:rsidRPr="00785FB4">
        <w:t xml:space="preserve">The report does not describe any </w:t>
      </w:r>
      <w:r w:rsidR="00176D25" w:rsidRPr="00785FB4">
        <w:t xml:space="preserve">provisions for safeguarding confidential information. </w:t>
      </w:r>
    </w:p>
    <w:p w14:paraId="71033D63" w14:textId="242F0242" w:rsidR="00D33B14" w:rsidRPr="00785FB4" w:rsidRDefault="001030D3" w:rsidP="001030D3">
      <w:pPr>
        <w:spacing w:before="120"/>
        <w:rPr>
          <w:bCs/>
        </w:rPr>
      </w:pPr>
      <w:r w:rsidRPr="00785FB4">
        <w:rPr>
          <w:i/>
          <w:u w:val="single"/>
        </w:rPr>
        <w:t>Reconciliation coverage</w:t>
      </w:r>
      <w:r w:rsidRPr="00785FB4">
        <w:rPr>
          <w:i/>
        </w:rPr>
        <w:t xml:space="preserve">: </w:t>
      </w:r>
      <w:r w:rsidR="00176D25" w:rsidRPr="00785FB4">
        <w:t xml:space="preserve">The report provides the targeted reconciliation coverage (94.8% and 96.7% of total government extractives revenues in 2014 and 2015 respectively) in line with materiality decisions (p.48). It is possible to calculate the final reconciliation coverage given reporting omissions by eight companies drawing on the list of non-reporting companies and information on the materiality of each material company’s payments (pp. 16,49,62-63). </w:t>
      </w:r>
    </w:p>
    <w:p w14:paraId="56B686E5" w14:textId="6796C6A3" w:rsidR="001030D3" w:rsidRPr="00785FB4" w:rsidRDefault="001030D3" w:rsidP="00922ED3">
      <w:pPr>
        <w:spacing w:before="120"/>
      </w:pPr>
      <w:r w:rsidRPr="00785FB4">
        <w:rPr>
          <w:i/>
          <w:u w:val="single"/>
        </w:rPr>
        <w:t>Assurance omissions:</w:t>
      </w:r>
      <w:r w:rsidRPr="00785FB4">
        <w:t xml:space="preserve"> </w:t>
      </w:r>
      <w:r w:rsidR="00E92C8F" w:rsidRPr="00785FB4">
        <w:t xml:space="preserve">The report does not clearly state whether all companies and government entities provided the required management certification letter for their reporting templates, but it states that </w:t>
      </w:r>
      <w:r w:rsidR="00E92C8F" w:rsidRPr="00785FB4">
        <w:lastRenderedPageBreak/>
        <w:t>none of the reporting companies</w:t>
      </w:r>
      <w:r w:rsidR="00E92C8F" w:rsidRPr="00785FB4">
        <w:rPr>
          <w:rStyle w:val="FootnoteReference"/>
        </w:rPr>
        <w:footnoteReference w:id="244"/>
      </w:r>
      <w:r w:rsidR="00E92C8F" w:rsidRPr="00785FB4">
        <w:t xml:space="preserve"> provided copies of their audited financial statements as requested (p.55).</w:t>
      </w:r>
    </w:p>
    <w:p w14:paraId="3361D4C3" w14:textId="03C55A9B" w:rsidR="001030D3" w:rsidRPr="00785FB4" w:rsidRDefault="001030D3" w:rsidP="001030D3">
      <w:pPr>
        <w:spacing w:before="120"/>
      </w:pPr>
      <w:r w:rsidRPr="00785FB4">
        <w:rPr>
          <w:i/>
          <w:u w:val="single"/>
        </w:rPr>
        <w:t>Data reliability assessment</w:t>
      </w:r>
      <w:r w:rsidR="00E01790" w:rsidRPr="00785FB4">
        <w:t xml:space="preserve">: </w:t>
      </w:r>
      <w:r w:rsidR="00F959B1" w:rsidRPr="00785FB4">
        <w:t>T</w:t>
      </w:r>
      <w:r w:rsidR="005C7C1F" w:rsidRPr="00785FB4">
        <w:t xml:space="preserve">he report includes numerous references to concerns over the reliability of government reporting given the lack of robust government record-keeping and accounting systems (pp.15-16,46-47). </w:t>
      </w:r>
      <w:r w:rsidR="00F959B1" w:rsidRPr="00785FB4">
        <w:t xml:space="preserve">It </w:t>
      </w:r>
      <w:r w:rsidR="008A2081" w:rsidRPr="00785FB4">
        <w:t xml:space="preserve">states that “the quality of the record keeping on which the data reported for the EITI reconciliation is based should be borne in mind when examining the results” (p.17). </w:t>
      </w:r>
      <w:r w:rsidR="003B5676" w:rsidRPr="00785FB4">
        <w:t>T</w:t>
      </w:r>
      <w:r w:rsidR="005C7C1F" w:rsidRPr="00785FB4">
        <w:t xml:space="preserve">he report </w:t>
      </w:r>
      <w:r w:rsidR="00F959B1" w:rsidRPr="00785FB4">
        <w:t xml:space="preserve">also </w:t>
      </w:r>
      <w:r w:rsidR="003B5676" w:rsidRPr="00785FB4">
        <w:t xml:space="preserve">notes limitations in the IA’s work, which was not meant to uncover </w:t>
      </w:r>
      <w:r w:rsidR="008A2081" w:rsidRPr="00785FB4">
        <w:t xml:space="preserve">payments and receipts omitted by both parties and did not extend to audits of reported data (p.10). </w:t>
      </w:r>
    </w:p>
    <w:p w14:paraId="207939ED" w14:textId="3C10AEA5" w:rsidR="00D33B14" w:rsidRPr="00785FB4" w:rsidRDefault="001030D3" w:rsidP="001030D3">
      <w:pPr>
        <w:spacing w:before="120"/>
      </w:pPr>
      <w:r w:rsidRPr="00785FB4">
        <w:rPr>
          <w:i/>
          <w:u w:val="single"/>
        </w:rPr>
        <w:t>Sourcing of information</w:t>
      </w:r>
      <w:r w:rsidRPr="00785FB4">
        <w:t xml:space="preserve">: </w:t>
      </w:r>
      <w:r w:rsidR="00D33B14" w:rsidRPr="00785FB4">
        <w:t xml:space="preserve">The </w:t>
      </w:r>
      <w:r w:rsidR="008A2081" w:rsidRPr="00785FB4">
        <w:t>non-financial (</w:t>
      </w:r>
      <w:r w:rsidR="00D33B14" w:rsidRPr="00785FB4">
        <w:t>contextual</w:t>
      </w:r>
      <w:r w:rsidR="008A2081" w:rsidRPr="00785FB4">
        <w:t>)</w:t>
      </w:r>
      <w:r w:rsidR="00D33B14" w:rsidRPr="00785FB4">
        <w:t xml:space="preserve"> information appears consistently sourced throughout the </w:t>
      </w:r>
      <w:r w:rsidR="008A2081" w:rsidRPr="00785FB4">
        <w:t xml:space="preserve">2014-15 EITI Report, which does not appear to include comments or views from stakeholders other than the IA. </w:t>
      </w:r>
    </w:p>
    <w:p w14:paraId="7DE92343" w14:textId="1F5D507E" w:rsidR="00DD05B1" w:rsidRPr="00785FB4" w:rsidRDefault="00DD05B1" w:rsidP="001030D3">
      <w:pPr>
        <w:spacing w:before="120"/>
        <w:rPr>
          <w:bCs/>
        </w:rPr>
      </w:pPr>
      <w:r w:rsidRPr="00785FB4">
        <w:rPr>
          <w:bCs/>
          <w:i/>
          <w:u w:val="single"/>
        </w:rPr>
        <w:t>Summary data</w:t>
      </w:r>
      <w:r w:rsidRPr="00785FB4">
        <w:rPr>
          <w:bCs/>
        </w:rPr>
        <w:t>: There is evidence that the IA prepared summary tables of EITI data</w:t>
      </w:r>
      <w:r w:rsidR="00B116B4" w:rsidRPr="00785FB4">
        <w:rPr>
          <w:bCs/>
        </w:rPr>
        <w:t xml:space="preserve"> for the 2014-15 EITI Report</w:t>
      </w:r>
      <w:r w:rsidRPr="00785FB4">
        <w:rPr>
          <w:bCs/>
        </w:rPr>
        <w:t xml:space="preserve">, which were sent to the International Secretariat </w:t>
      </w:r>
      <w:r w:rsidR="009C3311" w:rsidRPr="00785FB4">
        <w:rPr>
          <w:bCs/>
        </w:rPr>
        <w:t xml:space="preserve">in </w:t>
      </w:r>
      <w:r w:rsidR="00823F2B" w:rsidRPr="00785FB4">
        <w:rPr>
          <w:bCs/>
        </w:rPr>
        <w:t xml:space="preserve">December </w:t>
      </w:r>
      <w:r w:rsidR="009C3311" w:rsidRPr="00785FB4">
        <w:rPr>
          <w:bCs/>
        </w:rPr>
        <w:t>2017</w:t>
      </w:r>
      <w:r w:rsidRPr="00785FB4">
        <w:rPr>
          <w:bCs/>
        </w:rPr>
        <w:t>.</w:t>
      </w:r>
      <w:r w:rsidR="00823F2B" w:rsidRPr="00785FB4">
        <w:rPr>
          <w:bCs/>
        </w:rPr>
        <w:t xml:space="preserve"> The tables used outdated templates and a request was made by the International Secretariat to update the information and resubmit it, but at the time of writing summary data tables remain pending.</w:t>
      </w:r>
      <w:r w:rsidRPr="00785FB4">
        <w:rPr>
          <w:bCs/>
        </w:rPr>
        <w:t xml:space="preserve"> Summary data tables (or their proxies) are publicly accessible for </w:t>
      </w:r>
      <w:r w:rsidR="00914D29" w:rsidRPr="00785FB4">
        <w:rPr>
          <w:bCs/>
        </w:rPr>
        <w:t xml:space="preserve">Afghanistan’s </w:t>
      </w:r>
      <w:r w:rsidRPr="00785FB4">
        <w:rPr>
          <w:bCs/>
        </w:rPr>
        <w:t>EITI Re</w:t>
      </w:r>
      <w:r w:rsidR="00914D29" w:rsidRPr="00785FB4">
        <w:rPr>
          <w:bCs/>
        </w:rPr>
        <w:t>ports covering fiscal years 2009</w:t>
      </w:r>
      <w:r w:rsidRPr="00785FB4">
        <w:rPr>
          <w:bCs/>
        </w:rPr>
        <w:t xml:space="preserve">-2013, although these are only available on the </w:t>
      </w:r>
      <w:r w:rsidR="00914D29" w:rsidRPr="00785FB4">
        <w:rPr>
          <w:bCs/>
        </w:rPr>
        <w:t>Afghanistan page of the global EITI website</w:t>
      </w:r>
      <w:r w:rsidR="00914D29" w:rsidRPr="00785FB4">
        <w:rPr>
          <w:rStyle w:val="FootnoteReference"/>
          <w:bCs/>
        </w:rPr>
        <w:footnoteReference w:id="245"/>
      </w:r>
      <w:r w:rsidRPr="00785FB4">
        <w:rPr>
          <w:bCs/>
        </w:rPr>
        <w:t xml:space="preserve">, not on the </w:t>
      </w:r>
      <w:r w:rsidR="00914D29" w:rsidRPr="00785FB4">
        <w:rPr>
          <w:bCs/>
        </w:rPr>
        <w:t xml:space="preserve">Afghanistan </w:t>
      </w:r>
      <w:r w:rsidRPr="00785FB4">
        <w:rPr>
          <w:bCs/>
        </w:rPr>
        <w:t>EITI national website.</w:t>
      </w:r>
      <w:r w:rsidR="00914D29" w:rsidRPr="00785FB4">
        <w:rPr>
          <w:rStyle w:val="FootnoteReference"/>
          <w:bCs/>
        </w:rPr>
        <w:footnoteReference w:id="246"/>
      </w:r>
    </w:p>
    <w:p w14:paraId="0A087C9F" w14:textId="53115972" w:rsidR="00D33B14" w:rsidRPr="00785FB4" w:rsidRDefault="008A2081" w:rsidP="00D33B14">
      <w:pPr>
        <w:spacing w:before="120"/>
      </w:pPr>
      <w:r w:rsidRPr="00785FB4">
        <w:rPr>
          <w:i/>
          <w:u w:val="single"/>
        </w:rPr>
        <w:t>R</w:t>
      </w:r>
      <w:r w:rsidR="001030D3" w:rsidRPr="00785FB4">
        <w:rPr>
          <w:i/>
          <w:u w:val="single"/>
        </w:rPr>
        <w:t>ecommendations</w:t>
      </w:r>
      <w:r w:rsidR="001030D3" w:rsidRPr="00785FB4">
        <w:t xml:space="preserve">: </w:t>
      </w:r>
      <w:r w:rsidR="0098386E" w:rsidRPr="00785FB4">
        <w:t>The report provides an overview of follow-up on past EITI recommendations</w:t>
      </w:r>
      <w:r w:rsidR="00D33B14" w:rsidRPr="00785FB4">
        <w:t xml:space="preserve"> (p.74) </w:t>
      </w:r>
      <w:r w:rsidR="00AE6B34" w:rsidRPr="00785FB4">
        <w:t>and a set of ten past recommendations from the 2012-2013 EITI Report that continue to require attention, including recommendations linked to broader reforms</w:t>
      </w:r>
      <w:r w:rsidR="00AE6B34" w:rsidRPr="00785FB4">
        <w:rPr>
          <w:rStyle w:val="FootnoteReference"/>
        </w:rPr>
        <w:footnoteReference w:id="247"/>
      </w:r>
      <w:r w:rsidR="00AE6B34" w:rsidRPr="00785FB4">
        <w:t xml:space="preserve"> (e.g. transparency of SOEs; improvements in </w:t>
      </w:r>
      <w:r w:rsidR="00DB56BA" w:rsidRPr="00785FB4">
        <w:t>MOMP</w:t>
      </w:r>
      <w:r w:rsidR="00AE6B34" w:rsidRPr="00785FB4">
        <w:t>’s reporting of production figures)</w:t>
      </w:r>
      <w:r w:rsidR="00C33F94" w:rsidRPr="00785FB4">
        <w:t xml:space="preserve"> </w:t>
      </w:r>
      <w:r w:rsidR="00AE6B34" w:rsidRPr="00785FB4">
        <w:t>(pp.76-79). A set of five recommendations from the 2014-2015 EITI Report are presented, including several linked to broader reforms (pp.74-76).</w:t>
      </w:r>
    </w:p>
    <w:p w14:paraId="4E6F348E" w14:textId="1ECBF04D" w:rsidR="003E58F5" w:rsidRPr="00785FB4" w:rsidRDefault="001030D3" w:rsidP="00A94167">
      <w:pPr>
        <w:pStyle w:val="Heading3"/>
      </w:pPr>
      <w:bookmarkStart w:id="442" w:name="_Toc505449668"/>
      <w:r w:rsidRPr="00785FB4">
        <w:t>Stakeholder views</w:t>
      </w:r>
      <w:bookmarkEnd w:id="442"/>
      <w:r w:rsidRPr="00785FB4">
        <w:t xml:space="preserve"> </w:t>
      </w:r>
    </w:p>
    <w:p w14:paraId="26B91D70" w14:textId="5BA14E11" w:rsidR="009C3EF0" w:rsidRPr="00785FB4" w:rsidRDefault="00AE6B34" w:rsidP="009C3EF0">
      <w:pPr>
        <w:spacing w:before="120"/>
        <w:rPr>
          <w:bCs/>
        </w:rPr>
      </w:pPr>
      <w:r w:rsidRPr="00785FB4">
        <w:rPr>
          <w:bCs/>
          <w:i/>
          <w:u w:val="single"/>
        </w:rPr>
        <w:t>IA procurement</w:t>
      </w:r>
      <w:r w:rsidRPr="00785FB4">
        <w:rPr>
          <w:bCs/>
        </w:rPr>
        <w:t xml:space="preserve">: </w:t>
      </w:r>
      <w:r w:rsidR="003D5CF5" w:rsidRPr="00785FB4">
        <w:rPr>
          <w:bCs/>
        </w:rPr>
        <w:t>Secretariat staff explained that the AEITI Secretariat always prepared a draft of the IA’s ToR, which was then circulated to the MSG’s Technical Committee for comment. While all stakeholders consulted expressed satisfaction at the IA’s ToR, none could explain why the MSG had decided to omit Annex 1 (on the scope of work) prior to tendering. The MSG’s Technical Committee confirmed that the Hart Group consortium had been contracted on the basis a single-source procurement for the 2014-15 EITI Report, given the MSG’s satisfaction with the 2012-13 EITI Report</w:t>
      </w:r>
      <w:r w:rsidR="00823F2B" w:rsidRPr="00785FB4">
        <w:rPr>
          <w:bCs/>
        </w:rPr>
        <w:t xml:space="preserve"> and the short time available for the production of the next report</w:t>
      </w:r>
      <w:r w:rsidR="003D5CF5" w:rsidRPr="00785FB4">
        <w:rPr>
          <w:bCs/>
        </w:rPr>
        <w:t xml:space="preserve">. Secretariat staff expressed frustration at the fact that AEITI only ever </w:t>
      </w:r>
      <w:r w:rsidR="003D5CF5" w:rsidRPr="00785FB4">
        <w:rPr>
          <w:bCs/>
        </w:rPr>
        <w:lastRenderedPageBreak/>
        <w:t xml:space="preserve">received offers from two bidders (Hart Group and Moore Stephens) and over the lengthy timeframe (of over six months) to complete procurement, due to delays from both </w:t>
      </w:r>
      <w:r w:rsidR="00DB56BA" w:rsidRPr="00785FB4">
        <w:rPr>
          <w:bCs/>
        </w:rPr>
        <w:t>MOMP</w:t>
      </w:r>
      <w:r w:rsidR="003D5CF5" w:rsidRPr="00785FB4">
        <w:rPr>
          <w:bCs/>
        </w:rPr>
        <w:t xml:space="preserve"> and the World Bank. While several MSG members expressed satisfaction that the 2012-13 and 2014-15 EITI Reports were the first time an international firm had teamed up with a local company to undertake the IA work, secretariat staff and several CSOs expressed frustration that the IA was seen to spend insufficient time undertaking data collection</w:t>
      </w:r>
      <w:r w:rsidR="00A26B2F" w:rsidRPr="00785FB4">
        <w:rPr>
          <w:bCs/>
        </w:rPr>
        <w:t xml:space="preserve"> on the ground</w:t>
      </w:r>
      <w:r w:rsidR="003D5CF5" w:rsidRPr="00785FB4">
        <w:rPr>
          <w:bCs/>
        </w:rPr>
        <w:t xml:space="preserve">. </w:t>
      </w:r>
      <w:r w:rsidR="009C3EF0" w:rsidRPr="00785FB4">
        <w:rPr>
          <w:bCs/>
        </w:rPr>
        <w:t xml:space="preserve">The 2017 AEITI organisational assessment </w:t>
      </w:r>
      <w:r w:rsidR="003D5CF5" w:rsidRPr="00785FB4">
        <w:rPr>
          <w:bCs/>
        </w:rPr>
        <w:t xml:space="preserve">also related stakeholder </w:t>
      </w:r>
      <w:r w:rsidR="009C3EF0" w:rsidRPr="00785FB4">
        <w:rPr>
          <w:bCs/>
        </w:rPr>
        <w:t xml:space="preserve">concerns over the amount of time spent by the IA </w:t>
      </w:r>
      <w:r w:rsidR="003D5CF5" w:rsidRPr="00785FB4">
        <w:rPr>
          <w:bCs/>
        </w:rPr>
        <w:t xml:space="preserve">in country </w:t>
      </w:r>
      <w:r w:rsidR="009C3EF0" w:rsidRPr="00785FB4">
        <w:rPr>
          <w:bCs/>
        </w:rPr>
        <w:t>following up with reporting entities.</w:t>
      </w:r>
      <w:r w:rsidR="009C3EF0" w:rsidRPr="00785FB4">
        <w:rPr>
          <w:rStyle w:val="FootnoteReference"/>
          <w:bCs/>
        </w:rPr>
        <w:footnoteReference w:id="248"/>
      </w:r>
    </w:p>
    <w:p w14:paraId="6D2865FD" w14:textId="356CEBEB" w:rsidR="00435A78" w:rsidRPr="00785FB4" w:rsidRDefault="000A569B" w:rsidP="00620171">
      <w:pPr>
        <w:spacing w:before="120"/>
        <w:rPr>
          <w:bCs/>
        </w:rPr>
      </w:pPr>
      <w:r w:rsidRPr="00785FB4">
        <w:rPr>
          <w:bCs/>
          <w:i/>
          <w:u w:val="single"/>
        </w:rPr>
        <w:t>Reporting templates</w:t>
      </w:r>
      <w:r w:rsidRPr="00785FB4">
        <w:rPr>
          <w:bCs/>
        </w:rPr>
        <w:t xml:space="preserve">: </w:t>
      </w:r>
      <w:r w:rsidR="003D5CF5" w:rsidRPr="00785FB4">
        <w:rPr>
          <w:bCs/>
        </w:rPr>
        <w:t>While most stakeholders consulted expressed satisfaction over the reporting templates for the 2014-15 EITI Report, some CSOs considered the most recent templates to be less disaggregated than in previous reports, albeit without specific</w:t>
      </w:r>
      <w:r w:rsidR="00620171" w:rsidRPr="00785FB4">
        <w:rPr>
          <w:bCs/>
        </w:rPr>
        <w:t xml:space="preserve"> examples of data considered lacking</w:t>
      </w:r>
      <w:r w:rsidR="003D5CF5" w:rsidRPr="00785FB4">
        <w:rPr>
          <w:bCs/>
        </w:rPr>
        <w:t xml:space="preserve">. </w:t>
      </w:r>
      <w:r w:rsidR="00620171" w:rsidRPr="00785FB4">
        <w:rPr>
          <w:bCs/>
        </w:rPr>
        <w:t xml:space="preserve">While the </w:t>
      </w:r>
      <w:r w:rsidR="00F413EA" w:rsidRPr="00785FB4">
        <w:rPr>
          <w:bCs/>
        </w:rPr>
        <w:t>2015 Secretariat Review</w:t>
      </w:r>
      <w:r w:rsidR="009C3EF0" w:rsidRPr="00785FB4">
        <w:rPr>
          <w:bCs/>
        </w:rPr>
        <w:t xml:space="preserve"> raised concerns over differences between reporting templates agreed by the MSG and those sent out to reporting entities for the 2011-12 EITI Report</w:t>
      </w:r>
      <w:r w:rsidR="00F413EA" w:rsidRPr="00785FB4">
        <w:rPr>
          <w:rStyle w:val="FootnoteReference"/>
        </w:rPr>
        <w:footnoteReference w:id="249"/>
      </w:r>
      <w:r w:rsidR="00620171" w:rsidRPr="00785FB4">
        <w:rPr>
          <w:bCs/>
        </w:rPr>
        <w:t xml:space="preserve">, the MSG’s Technical Committee confirmed that the final reporting templates for the 2014-15 EITI Report had been agreed by the MSG. </w:t>
      </w:r>
      <w:r w:rsidR="000A60BB" w:rsidRPr="00785FB4">
        <w:rPr>
          <w:bCs/>
        </w:rPr>
        <w:t xml:space="preserve">While </w:t>
      </w:r>
      <w:r w:rsidR="00620171" w:rsidRPr="00785FB4">
        <w:rPr>
          <w:bCs/>
        </w:rPr>
        <w:t>t</w:t>
      </w:r>
      <w:r w:rsidR="009C3EF0" w:rsidRPr="00785FB4">
        <w:rPr>
          <w:bCs/>
        </w:rPr>
        <w:t>he 2017 AEITI assessment</w:t>
      </w:r>
      <w:r w:rsidR="00981DC7" w:rsidRPr="00785FB4">
        <w:rPr>
          <w:bCs/>
        </w:rPr>
        <w:t xml:space="preserve"> </w:t>
      </w:r>
      <w:r w:rsidR="00620171" w:rsidRPr="00785FB4">
        <w:rPr>
          <w:bCs/>
        </w:rPr>
        <w:t xml:space="preserve">referred to </w:t>
      </w:r>
      <w:r w:rsidR="00981DC7" w:rsidRPr="00785FB4">
        <w:rPr>
          <w:bCs/>
        </w:rPr>
        <w:t>reporting companies</w:t>
      </w:r>
      <w:r w:rsidR="00620171" w:rsidRPr="00785FB4">
        <w:rPr>
          <w:bCs/>
        </w:rPr>
        <w:t>’ comments</w:t>
      </w:r>
      <w:r w:rsidR="00981DC7" w:rsidRPr="00785FB4">
        <w:rPr>
          <w:bCs/>
        </w:rPr>
        <w:t xml:space="preserve"> that the reporting templates were “deficient” and not available in Dari</w:t>
      </w:r>
      <w:r w:rsidR="00981DC7" w:rsidRPr="00785FB4">
        <w:rPr>
          <w:rStyle w:val="FootnoteReference"/>
          <w:bCs/>
        </w:rPr>
        <w:footnoteReference w:id="250"/>
      </w:r>
      <w:r w:rsidR="000A60BB" w:rsidRPr="00785FB4">
        <w:rPr>
          <w:bCs/>
        </w:rPr>
        <w:t xml:space="preserve">, the MSG’s Technical Committee confirmed that templates had been translated into local languages prior to data collection. </w:t>
      </w:r>
    </w:p>
    <w:p w14:paraId="538DB8FA" w14:textId="37463BE6" w:rsidR="000A60BB" w:rsidRPr="00785FB4" w:rsidRDefault="00AE6B34" w:rsidP="000A569B">
      <w:pPr>
        <w:spacing w:before="120"/>
        <w:rPr>
          <w:bCs/>
        </w:rPr>
      </w:pPr>
      <w:r w:rsidRPr="00785FB4">
        <w:rPr>
          <w:bCs/>
          <w:i/>
          <w:u w:val="single"/>
        </w:rPr>
        <w:t>Audit practices:</w:t>
      </w:r>
      <w:r w:rsidR="002E4A61" w:rsidRPr="00785FB4">
        <w:rPr>
          <w:bCs/>
        </w:rPr>
        <w:t xml:space="preserve"> </w:t>
      </w:r>
      <w:r w:rsidR="000A60BB" w:rsidRPr="00785FB4">
        <w:rPr>
          <w:bCs/>
        </w:rPr>
        <w:t xml:space="preserve">In terms of </w:t>
      </w:r>
      <w:r w:rsidR="000A60BB" w:rsidRPr="00785FB4">
        <w:rPr>
          <w:bCs/>
          <w:i/>
        </w:rPr>
        <w:t xml:space="preserve">companies’ </w:t>
      </w:r>
      <w:r w:rsidR="000A60BB" w:rsidRPr="00785FB4">
        <w:rPr>
          <w:bCs/>
        </w:rPr>
        <w:t xml:space="preserve">audit and assurance practices, </w:t>
      </w:r>
      <w:r w:rsidR="00CE38E8" w:rsidRPr="00785FB4">
        <w:rPr>
          <w:bCs/>
        </w:rPr>
        <w:t>there was consensus among stakeholders consulted that there were only mandatory audit requirements for the largest mining companies and oil and gas compan</w:t>
      </w:r>
      <w:r w:rsidR="00785FB4">
        <w:rPr>
          <w:bCs/>
        </w:rPr>
        <w:t>y</w:t>
      </w:r>
      <w:r w:rsidR="00CE38E8" w:rsidRPr="00785FB4">
        <w:rPr>
          <w:bCs/>
        </w:rPr>
        <w:t xml:space="preserve"> parties to PSCs, which were required to hold accounts audited by third-parties in line with IAS. </w:t>
      </w:r>
      <w:r w:rsidR="00A26B2F" w:rsidRPr="00785FB4">
        <w:rPr>
          <w:bCs/>
        </w:rPr>
        <w:t>R</w:t>
      </w:r>
      <w:r w:rsidR="00CE38E8" w:rsidRPr="00785FB4">
        <w:rPr>
          <w:bCs/>
        </w:rPr>
        <w:t xml:space="preserve">epresentatives from industry and civil society – as well as the </w:t>
      </w:r>
      <w:r w:rsidR="000A60BB" w:rsidRPr="00785FB4">
        <w:rPr>
          <w:bCs/>
        </w:rPr>
        <w:t xml:space="preserve">2017 </w:t>
      </w:r>
      <w:r w:rsidR="00CE38E8" w:rsidRPr="00785FB4">
        <w:rPr>
          <w:bCs/>
        </w:rPr>
        <w:t>AEITI organisational assessment</w:t>
      </w:r>
      <w:r w:rsidR="00CE38E8" w:rsidRPr="00785FB4">
        <w:rPr>
          <w:rStyle w:val="FootnoteReference"/>
        </w:rPr>
        <w:footnoteReference w:id="251"/>
      </w:r>
      <w:r w:rsidR="00CE38E8" w:rsidRPr="00785FB4">
        <w:rPr>
          <w:bCs/>
        </w:rPr>
        <w:t xml:space="preserve"> - noted significant constraints for all but the largest companies (e.g. MCC and CNPC) in preparing financial statements and keeping accounts, with only a handful of smaller mining companies considered to have internal audit functions. Many stakeholders highlighted the GiZ assessment of 14 companies’ audit and assurance systems, published in annex to the 2014-15 EITI Report, which revealed widespread weaknesses in companies’ internal accounting. Several CSOs and development partners noted </w:t>
      </w:r>
      <w:r w:rsidR="00A26B2F" w:rsidRPr="00785FB4">
        <w:rPr>
          <w:bCs/>
        </w:rPr>
        <w:t xml:space="preserve">past </w:t>
      </w:r>
      <w:r w:rsidR="00CE38E8" w:rsidRPr="00785FB4">
        <w:rPr>
          <w:bCs/>
        </w:rPr>
        <w:t xml:space="preserve">recommendations of AEITI Reports to require all “major” extractives companies to produce annual accounts audited by an independent chartered accountant. While a government official noted ongoing work on revising the Commercial Laws of Afghanistan, the latest draft of the bill did not include audit requirements for companies. </w:t>
      </w:r>
    </w:p>
    <w:p w14:paraId="5F55D4F9" w14:textId="2119D81C" w:rsidR="00F2481F" w:rsidRPr="00785FB4" w:rsidRDefault="00D80DF9" w:rsidP="000A569B">
      <w:pPr>
        <w:spacing w:before="120"/>
        <w:rPr>
          <w:bCs/>
        </w:rPr>
      </w:pPr>
      <w:r w:rsidRPr="00785FB4">
        <w:rPr>
          <w:bCs/>
        </w:rPr>
        <w:t xml:space="preserve">In terms of </w:t>
      </w:r>
      <w:r w:rsidRPr="00785FB4">
        <w:rPr>
          <w:bCs/>
          <w:i/>
        </w:rPr>
        <w:t>government</w:t>
      </w:r>
      <w:r w:rsidRPr="00785FB4">
        <w:rPr>
          <w:bCs/>
        </w:rPr>
        <w:t xml:space="preserve"> audit and assurance practices, </w:t>
      </w:r>
      <w:r w:rsidR="00772F35" w:rsidRPr="00785FB4">
        <w:rPr>
          <w:bCs/>
        </w:rPr>
        <w:t xml:space="preserve">there was consensus among stakeholders consulted that the </w:t>
      </w:r>
      <w:r w:rsidR="00F2481F" w:rsidRPr="00785FB4">
        <w:rPr>
          <w:bCs/>
        </w:rPr>
        <w:t>SAO did not undertake audits of extractives revenues. The US Fiscal Transparency Reports have highlighted the need for SAO audits of the budget, including all line ministries.</w:t>
      </w:r>
      <w:r w:rsidR="00F2481F" w:rsidRPr="00785FB4">
        <w:rPr>
          <w:rStyle w:val="FootnoteReference"/>
        </w:rPr>
        <w:footnoteReference w:id="252"/>
      </w:r>
      <w:r w:rsidR="00F2481F" w:rsidRPr="00785FB4">
        <w:rPr>
          <w:bCs/>
        </w:rPr>
        <w:t xml:space="preserve"> T</w:t>
      </w:r>
      <w:r w:rsidR="00981DC7" w:rsidRPr="00785FB4">
        <w:rPr>
          <w:bCs/>
        </w:rPr>
        <w:t>he 2017 AEITI organisational assessment</w:t>
      </w:r>
      <w:r w:rsidR="006127A6" w:rsidRPr="00785FB4">
        <w:rPr>
          <w:bCs/>
        </w:rPr>
        <w:t xml:space="preserve"> noted that despite World Bank support for SAO capacity development, its capacity to undertake audits to international standards was several years</w:t>
      </w:r>
      <w:r w:rsidR="00F2481F" w:rsidRPr="00785FB4">
        <w:rPr>
          <w:bCs/>
        </w:rPr>
        <w:t xml:space="preserve"> away</w:t>
      </w:r>
      <w:r w:rsidRPr="00785FB4">
        <w:rPr>
          <w:bCs/>
        </w:rPr>
        <w:t>.</w:t>
      </w:r>
      <w:r w:rsidR="00981DC7" w:rsidRPr="00785FB4">
        <w:rPr>
          <w:rStyle w:val="FootnoteReference"/>
          <w:bCs/>
        </w:rPr>
        <w:footnoteReference w:id="253"/>
      </w:r>
      <w:r w:rsidR="00F2481F" w:rsidRPr="00785FB4">
        <w:rPr>
          <w:bCs/>
        </w:rPr>
        <w:t xml:space="preserve"> </w:t>
      </w:r>
      <w:r w:rsidR="00CA4B46" w:rsidRPr="00785FB4">
        <w:rPr>
          <w:bCs/>
        </w:rPr>
        <w:t xml:space="preserve">While the SAO is </w:t>
      </w:r>
      <w:r w:rsidR="00CA4B46" w:rsidRPr="00785FB4">
        <w:rPr>
          <w:bCs/>
        </w:rPr>
        <w:lastRenderedPageBreak/>
        <w:t xml:space="preserve">responsible for overseeing government ministries and agencies’ internal audit departments, </w:t>
      </w:r>
      <w:r w:rsidR="00F2481F" w:rsidRPr="00785FB4">
        <w:rPr>
          <w:bCs/>
        </w:rPr>
        <w:t xml:space="preserve">the 2017 assessment </w:t>
      </w:r>
      <w:r w:rsidR="00CA4B46" w:rsidRPr="00785FB4">
        <w:rPr>
          <w:bCs/>
        </w:rPr>
        <w:t xml:space="preserve">described ministries’ internal controls as “very weak” and raised concerns over SAO’s </w:t>
      </w:r>
      <w:r w:rsidR="00F2481F" w:rsidRPr="00785FB4">
        <w:rPr>
          <w:bCs/>
        </w:rPr>
        <w:t>oversight</w:t>
      </w:r>
      <w:r w:rsidR="00CA4B46" w:rsidRPr="00785FB4">
        <w:rPr>
          <w:bCs/>
        </w:rPr>
        <w:t>.</w:t>
      </w:r>
      <w:r w:rsidR="00CA4B46" w:rsidRPr="00785FB4">
        <w:rPr>
          <w:rStyle w:val="FootnoteReference"/>
          <w:bCs/>
        </w:rPr>
        <w:footnoteReference w:id="254"/>
      </w:r>
      <w:r w:rsidRPr="00785FB4">
        <w:rPr>
          <w:bCs/>
        </w:rPr>
        <w:t xml:space="preserve"> </w:t>
      </w:r>
      <w:r w:rsidR="006D07F5" w:rsidRPr="00785FB4">
        <w:rPr>
          <w:bCs/>
        </w:rPr>
        <w:t xml:space="preserve">It also </w:t>
      </w:r>
      <w:r w:rsidR="006D07F5" w:rsidRPr="00785FB4">
        <w:t xml:space="preserve">highlighted significant revenues losses identified by the SAO’s 2016 performance audit of </w:t>
      </w:r>
      <w:r w:rsidR="00DB56BA" w:rsidRPr="00785FB4">
        <w:t>MOMP</w:t>
      </w:r>
      <w:r w:rsidR="006D07F5" w:rsidRPr="00785FB4">
        <w:t>.</w:t>
      </w:r>
      <w:r w:rsidR="006D07F5" w:rsidRPr="00785FB4">
        <w:rPr>
          <w:rStyle w:val="FootnoteReference"/>
        </w:rPr>
        <w:footnoteReference w:id="255"/>
      </w:r>
      <w:r w:rsidR="006D07F5" w:rsidRPr="00785FB4">
        <w:t xml:space="preserve"> </w:t>
      </w:r>
      <w:r w:rsidR="00F2481F" w:rsidRPr="00785FB4">
        <w:rPr>
          <w:bCs/>
        </w:rPr>
        <w:t xml:space="preserve">While several government officials described the SAO’s annual performance audits, they conceded these were not financial audits and were not in line with international standards. Several development partners noted that the reliability of government data was a particular concern and highlighted donor assistance to strengthen audit and assurance procedures. </w:t>
      </w:r>
    </w:p>
    <w:p w14:paraId="4DEA984F" w14:textId="107651F3" w:rsidR="000F312A" w:rsidRPr="00785FB4" w:rsidRDefault="000F312A" w:rsidP="000A569B">
      <w:pPr>
        <w:spacing w:before="120"/>
        <w:rPr>
          <w:bCs/>
        </w:rPr>
      </w:pPr>
      <w:r w:rsidRPr="00785FB4">
        <w:rPr>
          <w:bCs/>
        </w:rPr>
        <w:t xml:space="preserve">Secretariat staff and several government officials highlighted the </w:t>
      </w:r>
      <w:r w:rsidR="00DB56BA" w:rsidRPr="00785FB4">
        <w:rPr>
          <w:bCs/>
        </w:rPr>
        <w:t>MOF</w:t>
      </w:r>
      <w:r w:rsidRPr="00785FB4">
        <w:rPr>
          <w:bCs/>
        </w:rPr>
        <w:t xml:space="preserve">’s internal revenue controls and the </w:t>
      </w:r>
      <w:r w:rsidR="00DB56BA" w:rsidRPr="00785FB4">
        <w:rPr>
          <w:bCs/>
        </w:rPr>
        <w:t>MOMP</w:t>
      </w:r>
      <w:r w:rsidRPr="00785FB4">
        <w:rPr>
          <w:bCs/>
        </w:rPr>
        <w:t xml:space="preserve">’s internal performance audits as a form of assurance over revenues collected by the two ministries. Government officials explained that the </w:t>
      </w:r>
      <w:r w:rsidR="00DB56BA" w:rsidRPr="00785FB4">
        <w:rPr>
          <w:bCs/>
        </w:rPr>
        <w:t>MOF</w:t>
      </w:r>
      <w:r w:rsidRPr="00785FB4">
        <w:rPr>
          <w:bCs/>
        </w:rPr>
        <w:t>’s SIGTAS software</w:t>
      </w:r>
      <w:r w:rsidR="006D07F5" w:rsidRPr="00785FB4">
        <w:rPr>
          <w:bCs/>
        </w:rPr>
        <w:t xml:space="preserve"> had been fully implemented within the Large Taxpayer Office (LTO), which operated a weekly manual reconciliation of invoices and revenues received by the </w:t>
      </w:r>
      <w:r w:rsidR="00DB56BA" w:rsidRPr="00785FB4">
        <w:rPr>
          <w:bCs/>
        </w:rPr>
        <w:t>MOF</w:t>
      </w:r>
      <w:r w:rsidR="006D07F5" w:rsidRPr="00785FB4">
        <w:rPr>
          <w:bCs/>
        </w:rPr>
        <w:t xml:space="preserve"> account at the central bank. While development partners highlighted weaknesses in controls in decentralised ministry offices at the provincial level, government officials and development partners confirmed that all mining companies were required to pay tax to the LTO since June 2017, as a condition of the IMF’s 2016 Extended Credit Facility.</w:t>
      </w:r>
      <w:r w:rsidR="006D07F5" w:rsidRPr="00785FB4">
        <w:rPr>
          <w:rStyle w:val="FootnoteReference"/>
        </w:rPr>
        <w:footnoteReference w:id="256"/>
      </w:r>
      <w:r w:rsidR="006D07F5" w:rsidRPr="00785FB4">
        <w:rPr>
          <w:bCs/>
        </w:rPr>
        <w:t xml:space="preserve"> A development partner highlighted the importance of centralising tax payment for all mining companies through the LTO as a means of tracking tax compliance, </w:t>
      </w:r>
      <w:r w:rsidR="00A26B2F" w:rsidRPr="00785FB4">
        <w:rPr>
          <w:bCs/>
        </w:rPr>
        <w:t xml:space="preserve">however </w:t>
      </w:r>
      <w:r w:rsidR="006D07F5" w:rsidRPr="00785FB4">
        <w:rPr>
          <w:bCs/>
        </w:rPr>
        <w:t>government officials and development partners noted that only around 120 mining companies had registered with the LTO to date, implying that many mining companies had yet to transition to the LTO (</w:t>
      </w:r>
      <w:r w:rsidR="006D07F5" w:rsidRPr="00785FB4">
        <w:rPr>
          <w:bCs/>
          <w:i/>
        </w:rPr>
        <w:t>see Requirement</w:t>
      </w:r>
      <w:r w:rsidR="00A25D98" w:rsidRPr="00785FB4">
        <w:rPr>
          <w:bCs/>
          <w:i/>
        </w:rPr>
        <w:t>s 4.1 and</w:t>
      </w:r>
      <w:r w:rsidR="006D07F5" w:rsidRPr="00785FB4">
        <w:rPr>
          <w:bCs/>
          <w:i/>
        </w:rPr>
        <w:t xml:space="preserve"> 5.1</w:t>
      </w:r>
      <w:r w:rsidR="006D07F5" w:rsidRPr="00785FB4">
        <w:rPr>
          <w:bCs/>
        </w:rPr>
        <w:t xml:space="preserve">). </w:t>
      </w:r>
    </w:p>
    <w:p w14:paraId="372EEB1B" w14:textId="00DDEFDC" w:rsidR="006D07F5" w:rsidRPr="00785FB4" w:rsidRDefault="00A25D98" w:rsidP="000A569B">
      <w:pPr>
        <w:spacing w:before="120"/>
        <w:rPr>
          <w:bCs/>
        </w:rPr>
      </w:pPr>
      <w:r w:rsidRPr="00785FB4">
        <w:rPr>
          <w:bCs/>
        </w:rPr>
        <w:t xml:space="preserve">With regards to </w:t>
      </w:r>
      <w:r w:rsidRPr="00785FB4">
        <w:rPr>
          <w:bCs/>
          <w:i/>
        </w:rPr>
        <w:t>SOEs</w:t>
      </w:r>
      <w:r w:rsidRPr="00785FB4">
        <w:rPr>
          <w:bCs/>
        </w:rPr>
        <w:t xml:space="preserve">’ audit and assurance practices, stakeholders from all constituencies, including government, confirmed that the SAO did not audit their accounts despite statutory provisions for SAO to do so. </w:t>
      </w:r>
      <w:r w:rsidR="007864A2" w:rsidRPr="00785FB4">
        <w:rPr>
          <w:bCs/>
        </w:rPr>
        <w:t>The 2017 AEITI organisational assessment highlighted weaknesses in SAO that hindered its ability to carry out anything but ad hoc performance audits of the two SOEs.</w:t>
      </w:r>
      <w:r w:rsidR="007864A2" w:rsidRPr="00785FB4">
        <w:rPr>
          <w:rStyle w:val="FootnoteReference"/>
          <w:bCs/>
        </w:rPr>
        <w:footnoteReference w:id="257"/>
      </w:r>
      <w:r w:rsidR="007864A2" w:rsidRPr="00785FB4">
        <w:rPr>
          <w:bCs/>
        </w:rPr>
        <w:t xml:space="preserve"> Independent studies of AGE and NCE have highlighted the inconsistent submission of financial statements by the two SOEs to </w:t>
      </w:r>
      <w:r w:rsidR="00DB56BA" w:rsidRPr="00785FB4">
        <w:rPr>
          <w:bCs/>
        </w:rPr>
        <w:t>MOF</w:t>
      </w:r>
      <w:r w:rsidR="007864A2" w:rsidRPr="00785FB4">
        <w:rPr>
          <w:bCs/>
        </w:rPr>
        <w:t>.</w:t>
      </w:r>
      <w:r w:rsidR="007864A2" w:rsidRPr="00785FB4">
        <w:rPr>
          <w:rStyle w:val="FootnoteReference"/>
        </w:rPr>
        <w:footnoteReference w:id="258"/>
      </w:r>
    </w:p>
    <w:p w14:paraId="5AC0088A" w14:textId="797A5B4B" w:rsidR="00907B57" w:rsidRPr="00785FB4" w:rsidRDefault="00AE6B34" w:rsidP="001030D3">
      <w:pPr>
        <w:spacing w:before="120"/>
        <w:rPr>
          <w:bCs/>
        </w:rPr>
      </w:pPr>
      <w:r w:rsidRPr="00785FB4">
        <w:rPr>
          <w:bCs/>
          <w:i/>
          <w:u w:val="single"/>
        </w:rPr>
        <w:t>Quality assurances</w:t>
      </w:r>
      <w:r w:rsidRPr="00785FB4">
        <w:rPr>
          <w:bCs/>
        </w:rPr>
        <w:t xml:space="preserve">: </w:t>
      </w:r>
      <w:r w:rsidR="005641E3" w:rsidRPr="00785FB4">
        <w:rPr>
          <w:bCs/>
        </w:rPr>
        <w:t xml:space="preserve">The IA explained that quality assurance procedures for EITI reporting had been designed on the basis that the general accounting capabilities of reporting entities was limited and that there were generally no audited financial statements on which to base EITI reporting. The MSG’s Technical Committee confirmed that quality assurances for EITI reporting consisted of management sign-off and disaggregation of payments and receipts by transaction, supported by copies of receipts. An industry representative confirmed that copies of audited financial statements were only requested from MCC and oil and gas companies. While government and industry stakeholders considered that the requested quality assurances were sufficient to provide some assurance of the reliability of EITI reporting given the Afghan context, several CSOs considered that the assurances requested were too weak to </w:t>
      </w:r>
      <w:r w:rsidR="00291BEA" w:rsidRPr="00785FB4">
        <w:rPr>
          <w:bCs/>
        </w:rPr>
        <w:t xml:space="preserve">ensure the reliability of reconciled data. Secretariat staff noted the MSG’s plans to engage the SAO to </w:t>
      </w:r>
      <w:r w:rsidR="00291BEA" w:rsidRPr="00785FB4">
        <w:rPr>
          <w:bCs/>
        </w:rPr>
        <w:lastRenderedPageBreak/>
        <w:t xml:space="preserve">provide certification of government disclosures in future EITI Reports, although the methodology for SAO’s certification remained unclear. </w:t>
      </w:r>
      <w:r w:rsidR="0089508B" w:rsidRPr="00785FB4">
        <w:t>The 2017 AEITI assessment highlighted the potential role of Treasury’s AFMIS platform in providing assurances for the reliability of EITI data if extractives revenues could be disaggregated.</w:t>
      </w:r>
      <w:r w:rsidR="0089508B" w:rsidRPr="00785FB4">
        <w:rPr>
          <w:vertAlign w:val="superscript"/>
        </w:rPr>
        <w:footnoteReference w:id="259"/>
      </w:r>
      <w:r w:rsidR="0089508B" w:rsidRPr="00785FB4">
        <w:t xml:space="preserve"> (</w:t>
      </w:r>
      <w:r w:rsidR="0089508B" w:rsidRPr="00785FB4">
        <w:rPr>
          <w:i/>
        </w:rPr>
        <w:t>see Requirement 5.1</w:t>
      </w:r>
      <w:r w:rsidR="0089508B" w:rsidRPr="00785FB4">
        <w:t>)</w:t>
      </w:r>
    </w:p>
    <w:p w14:paraId="02FFADB4" w14:textId="1DA6C46A" w:rsidR="00AE6B34" w:rsidRPr="00785FB4" w:rsidRDefault="00AE6B34" w:rsidP="001030D3">
      <w:pPr>
        <w:spacing w:before="120"/>
        <w:rPr>
          <w:bCs/>
        </w:rPr>
      </w:pPr>
      <w:r w:rsidRPr="00785FB4">
        <w:rPr>
          <w:bCs/>
          <w:i/>
          <w:u w:val="single"/>
        </w:rPr>
        <w:t>Assurance omissions</w:t>
      </w:r>
      <w:r w:rsidRPr="00785FB4">
        <w:rPr>
          <w:bCs/>
        </w:rPr>
        <w:t xml:space="preserve">: </w:t>
      </w:r>
      <w:r w:rsidR="0069754E" w:rsidRPr="00785FB4">
        <w:rPr>
          <w:bCs/>
        </w:rPr>
        <w:t xml:space="preserve">The MSG’s Technical Committee explained that all reporting companies and government entities had provided management sign-off and disaggregation of their payments and receipts by transaction. Industry representatives also stated that larger companies such as CNPC had provided copies of their audited financial statements for 2014 but not for 2015 (as they were not finalised at the time), although there was uncertainty over whether all oil and gas companies and MCC had provided copies of their financial statements. The MSG’s Technical Committee explained that some companies had simply reported zero for smaller payments to expedite their reporting, casting doubt on the reliability of EITI reporting despite management sign-off on the templates. Stakeholders from all constituencies, including government, highlighted inconsistencies between </w:t>
      </w:r>
      <w:r w:rsidR="00DB56BA" w:rsidRPr="00785FB4">
        <w:rPr>
          <w:bCs/>
        </w:rPr>
        <w:t>MOF</w:t>
      </w:r>
      <w:r w:rsidR="0069754E" w:rsidRPr="00785FB4">
        <w:rPr>
          <w:bCs/>
        </w:rPr>
        <w:t xml:space="preserve"> and </w:t>
      </w:r>
      <w:r w:rsidR="00DB56BA" w:rsidRPr="00785FB4">
        <w:rPr>
          <w:bCs/>
        </w:rPr>
        <w:t>MOMP</w:t>
      </w:r>
      <w:r w:rsidR="0069754E" w:rsidRPr="00785FB4">
        <w:rPr>
          <w:bCs/>
        </w:rPr>
        <w:t xml:space="preserve"> data </w:t>
      </w:r>
      <w:r w:rsidR="00A26B2F" w:rsidRPr="00785FB4">
        <w:rPr>
          <w:bCs/>
        </w:rPr>
        <w:t xml:space="preserve">and </w:t>
      </w:r>
      <w:r w:rsidR="0069754E" w:rsidRPr="00785FB4">
        <w:rPr>
          <w:bCs/>
        </w:rPr>
        <w:t xml:space="preserve">explained that the IA had provided assistance to government entities in filling out their reporting templates. </w:t>
      </w:r>
    </w:p>
    <w:p w14:paraId="0E383493" w14:textId="05CA74FA" w:rsidR="00AE6B34" w:rsidRPr="00785FB4" w:rsidRDefault="00AE6B34" w:rsidP="001030D3">
      <w:pPr>
        <w:spacing w:before="120"/>
        <w:rPr>
          <w:bCs/>
        </w:rPr>
      </w:pPr>
      <w:r w:rsidRPr="00785FB4">
        <w:rPr>
          <w:bCs/>
          <w:i/>
          <w:u w:val="single"/>
        </w:rPr>
        <w:t>Assessment of reliability</w:t>
      </w:r>
      <w:r w:rsidRPr="00785FB4">
        <w:rPr>
          <w:bCs/>
        </w:rPr>
        <w:t xml:space="preserve">: </w:t>
      </w:r>
      <w:r w:rsidR="0069754E" w:rsidRPr="00785FB4">
        <w:rPr>
          <w:bCs/>
        </w:rPr>
        <w:t xml:space="preserve">The IA considered that it was </w:t>
      </w:r>
      <w:r w:rsidR="00C129E4" w:rsidRPr="00785FB4">
        <w:rPr>
          <w:bCs/>
        </w:rPr>
        <w:t xml:space="preserve">difficult </w:t>
      </w:r>
      <w:r w:rsidR="0069754E" w:rsidRPr="00785FB4">
        <w:rPr>
          <w:bCs/>
        </w:rPr>
        <w:t xml:space="preserve">to </w:t>
      </w:r>
      <w:r w:rsidR="00A26B2F" w:rsidRPr="00785FB4">
        <w:rPr>
          <w:bCs/>
        </w:rPr>
        <w:t xml:space="preserve">say that </w:t>
      </w:r>
      <w:r w:rsidR="0069754E" w:rsidRPr="00785FB4">
        <w:rPr>
          <w:bCs/>
        </w:rPr>
        <w:t xml:space="preserve">the reconciliation in the 2014-15 EITI Report was comprehensive and reliable given weaknesses in government record-keeping. There were differing views on the MSG’s Technical Committee over the reliability of reconciled data in the 2014-15 EITI Report. </w:t>
      </w:r>
      <w:r w:rsidR="00EC5A5B" w:rsidRPr="00785FB4">
        <w:rPr>
          <w:bCs/>
        </w:rPr>
        <w:t xml:space="preserve">Whereas government and industry representatives consulted considered the financial data to be reliable, many CSOs raised significant concerns over the financial data reported. One CSO emphasised that, while the payments data from larger private companies like CNPC and MCC was likely reliable, there were no assurances about the reliability of financial data from small and mid-sized companies, SOEs or government entities. </w:t>
      </w:r>
    </w:p>
    <w:p w14:paraId="4C2056E9" w14:textId="654285A2" w:rsidR="00DE363D" w:rsidRPr="00785FB4" w:rsidRDefault="00AE6B34" w:rsidP="00462A9C">
      <w:pPr>
        <w:spacing w:before="120"/>
        <w:rPr>
          <w:bCs/>
        </w:rPr>
      </w:pPr>
      <w:r w:rsidRPr="00785FB4">
        <w:rPr>
          <w:bCs/>
          <w:i/>
          <w:u w:val="single"/>
        </w:rPr>
        <w:t>Recommendations</w:t>
      </w:r>
      <w:r w:rsidRPr="00785FB4">
        <w:rPr>
          <w:bCs/>
        </w:rPr>
        <w:t xml:space="preserve">: </w:t>
      </w:r>
      <w:r w:rsidR="00EC5A5B" w:rsidRPr="00785FB4">
        <w:rPr>
          <w:bCs/>
        </w:rPr>
        <w:t xml:space="preserve">Several </w:t>
      </w:r>
      <w:r w:rsidR="00020AC7" w:rsidRPr="00785FB4">
        <w:rPr>
          <w:bCs/>
        </w:rPr>
        <w:t>CSOs, government officials and donors highlighted the relevance of recommendations in EITI Reports, although a number of CSOs and donors criticised the lack of implementation of past EITI recommendations (</w:t>
      </w:r>
      <w:r w:rsidR="00020AC7" w:rsidRPr="00785FB4">
        <w:rPr>
          <w:bCs/>
          <w:i/>
        </w:rPr>
        <w:t>see Requirement 7.3</w:t>
      </w:r>
      <w:r w:rsidR="00020AC7" w:rsidRPr="00785FB4">
        <w:rPr>
          <w:bCs/>
        </w:rPr>
        <w:t>). The MSG’s Technical Committee explained that the MSG had a chance to review draft recommendations as part of its finalisation of the EITI Report, but tended to consider these to be the IA’s recommendations rather than those of the MSG.</w:t>
      </w:r>
    </w:p>
    <w:p w14:paraId="76897B64" w14:textId="4FE52793" w:rsidR="001030D3" w:rsidRPr="00785FB4" w:rsidRDefault="001030D3" w:rsidP="00A94167">
      <w:pPr>
        <w:pStyle w:val="Heading3"/>
      </w:pPr>
      <w:bookmarkStart w:id="443" w:name="_Toc459133170"/>
      <w:bookmarkStart w:id="444" w:name="_Toc461803120"/>
      <w:bookmarkStart w:id="445" w:name="_Toc505449669"/>
      <w:r w:rsidRPr="00785FB4">
        <w:t>Initial assessment</w:t>
      </w:r>
      <w:bookmarkEnd w:id="443"/>
      <w:bookmarkEnd w:id="444"/>
      <w:bookmarkEnd w:id="445"/>
    </w:p>
    <w:p w14:paraId="75C89033" w14:textId="58F4E61B" w:rsidR="001C2575" w:rsidRPr="00785FB4" w:rsidRDefault="001C2575" w:rsidP="001C2575">
      <w:pPr>
        <w:spacing w:before="120"/>
      </w:pPr>
      <w:r w:rsidRPr="00785FB4">
        <w:t xml:space="preserve">As with Requirement 4.1, </w:t>
      </w:r>
      <w:r w:rsidR="008807BA" w:rsidRPr="00785FB4">
        <w:t>th</w:t>
      </w:r>
      <w:r w:rsidR="008807BA">
        <w:t>e assessment of this</w:t>
      </w:r>
      <w:r w:rsidR="008807BA" w:rsidRPr="00785FB4">
        <w:t xml:space="preserve"> </w:t>
      </w:r>
      <w:r w:rsidR="00F959B1" w:rsidRPr="00785FB4">
        <w:t>requirement raises questions of interpretation of the EITI Standard</w:t>
      </w:r>
      <w:r w:rsidRPr="00785FB4">
        <w:t xml:space="preserve">. The International Secretariat is conscious of the efforts made by the MSG and the </w:t>
      </w:r>
      <w:r w:rsidR="00F959B1" w:rsidRPr="00785FB4">
        <w:t>IA</w:t>
      </w:r>
      <w:r w:rsidRPr="00785FB4">
        <w:t xml:space="preserve"> to make decisions on data quality assurance </w:t>
      </w:r>
      <w:r w:rsidR="00F959B1" w:rsidRPr="00785FB4">
        <w:t xml:space="preserve">on the basis of </w:t>
      </w:r>
      <w:r w:rsidRPr="00785FB4">
        <w:t xml:space="preserve">the </w:t>
      </w:r>
      <w:r w:rsidR="00F959B1" w:rsidRPr="00785FB4">
        <w:t xml:space="preserve">prevailing </w:t>
      </w:r>
      <w:r w:rsidRPr="00785FB4">
        <w:t>low institutional capacity and virtually</w:t>
      </w:r>
      <w:r w:rsidR="00F959B1" w:rsidRPr="00785FB4">
        <w:t>-</w:t>
      </w:r>
      <w:r w:rsidR="008807BA">
        <w:t>non-</w:t>
      </w:r>
      <w:r w:rsidR="008807BA" w:rsidRPr="00785FB4">
        <w:t xml:space="preserve">existent </w:t>
      </w:r>
      <w:r w:rsidR="00F959B1" w:rsidRPr="00785FB4">
        <w:t xml:space="preserve">statutory </w:t>
      </w:r>
      <w:r w:rsidRPr="00785FB4">
        <w:t xml:space="preserve">audit </w:t>
      </w:r>
      <w:r w:rsidR="00F959B1" w:rsidRPr="00785FB4">
        <w:t>requirements</w:t>
      </w:r>
      <w:r w:rsidRPr="00785FB4">
        <w:t xml:space="preserve">. </w:t>
      </w:r>
      <w:r w:rsidR="00DD05B1" w:rsidRPr="00785FB4">
        <w:t xml:space="preserve">The ToR for the IA was </w:t>
      </w:r>
      <w:r w:rsidR="00020AC7" w:rsidRPr="00785FB4">
        <w:t xml:space="preserve">generally </w:t>
      </w:r>
      <w:r w:rsidR="00DD05B1" w:rsidRPr="00785FB4">
        <w:t>in line with the Board-approved template</w:t>
      </w:r>
      <w:r w:rsidR="00461324" w:rsidRPr="00785FB4">
        <w:t>, albeit omi</w:t>
      </w:r>
      <w:r w:rsidR="00F959B1" w:rsidRPr="00785FB4">
        <w:t>tting</w:t>
      </w:r>
      <w:r w:rsidR="00461324" w:rsidRPr="00785FB4">
        <w:t xml:space="preserve"> the MSG’s materiality decisions,</w:t>
      </w:r>
      <w:r w:rsidR="00DD05B1" w:rsidRPr="00785FB4">
        <w:t xml:space="preserve"> and the recruitment of the IA was approved by the MSG. </w:t>
      </w:r>
      <w:r w:rsidR="00461324" w:rsidRPr="00785FB4">
        <w:t>T</w:t>
      </w:r>
      <w:r w:rsidR="00DD05B1" w:rsidRPr="00785FB4">
        <w:t>he MSG approved reporting templates for the 2014</w:t>
      </w:r>
      <w:r w:rsidR="00461324" w:rsidRPr="00785FB4">
        <w:t>-15</w:t>
      </w:r>
      <w:r w:rsidR="00DD05B1" w:rsidRPr="00785FB4">
        <w:t xml:space="preserve"> EITI Report as part of its approval of the scoping study</w:t>
      </w:r>
      <w:r w:rsidRPr="00785FB4">
        <w:t>, and the MSG approved the quality assurances required from reporting entities</w:t>
      </w:r>
      <w:r w:rsidR="00DD05B1" w:rsidRPr="00785FB4">
        <w:t xml:space="preserve">. </w:t>
      </w:r>
      <w:r w:rsidR="00423097" w:rsidRPr="00785FB4">
        <w:t xml:space="preserve">While the summary data tables for the 2014-15 EITI Report had not been published as of the </w:t>
      </w:r>
      <w:r w:rsidR="00423097" w:rsidRPr="00785FB4">
        <w:lastRenderedPageBreak/>
        <w:t xml:space="preserve">start of Validation (1 November 2017), there is evidence that the IA prepared summary data tables for the report and that these will be published once finalised. </w:t>
      </w:r>
      <w:r w:rsidR="00DD05B1" w:rsidRPr="00785FB4">
        <w:t xml:space="preserve">The report </w:t>
      </w:r>
      <w:r w:rsidRPr="00785FB4">
        <w:t xml:space="preserve">also </w:t>
      </w:r>
      <w:r w:rsidR="00DD05B1" w:rsidRPr="00785FB4">
        <w:t xml:space="preserve">includes a summary of the IA’s </w:t>
      </w:r>
      <w:r w:rsidR="00020AC7" w:rsidRPr="00785FB4">
        <w:t xml:space="preserve">general </w:t>
      </w:r>
      <w:r w:rsidR="00DD05B1" w:rsidRPr="00785FB4">
        <w:t xml:space="preserve">review of audit and assurance </w:t>
      </w:r>
      <w:r w:rsidR="00020AC7" w:rsidRPr="00785FB4">
        <w:t xml:space="preserve">procedures </w:t>
      </w:r>
      <w:r w:rsidR="00DD05B1" w:rsidRPr="00785FB4">
        <w:t>in 2014</w:t>
      </w:r>
      <w:r w:rsidR="00461324" w:rsidRPr="00785FB4">
        <w:t>-15</w:t>
      </w:r>
      <w:r w:rsidRPr="00785FB4">
        <w:t xml:space="preserve">, </w:t>
      </w:r>
      <w:r w:rsidR="00F959B1" w:rsidRPr="00785FB4">
        <w:t xml:space="preserve">with </w:t>
      </w:r>
      <w:r w:rsidRPr="00785FB4">
        <w:t xml:space="preserve">stakeholder consultations </w:t>
      </w:r>
      <w:r w:rsidR="00F959B1" w:rsidRPr="00785FB4">
        <w:t>confirming the report’s assessment of widespread weaknesses in such assurance procedures in practice</w:t>
      </w:r>
      <w:r w:rsidRPr="00785FB4">
        <w:t>.</w:t>
      </w:r>
      <w:r w:rsidR="003035C8" w:rsidRPr="00785FB4">
        <w:t xml:space="preserve"> </w:t>
      </w:r>
      <w:r w:rsidRPr="00785FB4">
        <w:t>The International Secretariat has consequently focused its assessment on the extent to which the procedures set out by the MSG and the IA have been followed</w:t>
      </w:r>
      <w:r w:rsidR="00020AC7" w:rsidRPr="00785FB4">
        <w:t xml:space="preserve">. </w:t>
      </w:r>
      <w:r w:rsidRPr="00785FB4">
        <w:t>T</w:t>
      </w:r>
      <w:r w:rsidR="00A776CB" w:rsidRPr="00785FB4">
        <w:t xml:space="preserve">he </w:t>
      </w:r>
      <w:r w:rsidR="00423097" w:rsidRPr="00785FB4">
        <w:t xml:space="preserve">International Secretariat notes that the </w:t>
      </w:r>
      <w:r w:rsidR="00A776CB" w:rsidRPr="00785FB4">
        <w:t>report is unclear on the level of compliance with agreed quality assurance</w:t>
      </w:r>
      <w:r w:rsidR="00DD05B1" w:rsidRPr="00785FB4">
        <w:t xml:space="preserve"> </w:t>
      </w:r>
      <w:r w:rsidR="00A776CB" w:rsidRPr="00785FB4">
        <w:t>procedures</w:t>
      </w:r>
      <w:r w:rsidR="00423097" w:rsidRPr="00785FB4">
        <w:t>, and t</w:t>
      </w:r>
      <w:r w:rsidR="00DD05B1" w:rsidRPr="00785FB4">
        <w:t xml:space="preserve">he IA </w:t>
      </w:r>
      <w:r w:rsidR="00A776CB" w:rsidRPr="00785FB4">
        <w:t xml:space="preserve">does not provide any assurances on the </w:t>
      </w:r>
      <w:r w:rsidR="00DD05B1" w:rsidRPr="00785FB4">
        <w:t>comprehensive</w:t>
      </w:r>
      <w:r w:rsidR="00A776CB" w:rsidRPr="00785FB4">
        <w:t xml:space="preserve">ness and reliability of the </w:t>
      </w:r>
      <w:r w:rsidR="00020AC7" w:rsidRPr="00785FB4">
        <w:t xml:space="preserve">reconciled </w:t>
      </w:r>
      <w:r w:rsidR="00A776CB" w:rsidRPr="00785FB4">
        <w:t>data presented in the report</w:t>
      </w:r>
      <w:r w:rsidR="00DD05B1" w:rsidRPr="00785FB4">
        <w:t>.</w:t>
      </w:r>
      <w:r w:rsidR="00423097" w:rsidRPr="00785FB4">
        <w:t xml:space="preserve"> As a result, t</w:t>
      </w:r>
      <w:r w:rsidRPr="00785FB4">
        <w:t xml:space="preserve">he International Secretariat’s initial assessment is that </w:t>
      </w:r>
      <w:r w:rsidRPr="00785FB4">
        <w:rPr>
          <w:bCs/>
        </w:rPr>
        <w:t>Afghanistan</w:t>
      </w:r>
      <w:r w:rsidRPr="00785FB4">
        <w:t xml:space="preserve"> has made</w:t>
      </w:r>
      <w:r w:rsidR="00423097" w:rsidRPr="00785FB4">
        <w:t xml:space="preserve"> m</w:t>
      </w:r>
      <w:r w:rsidRPr="00785FB4">
        <w:rPr>
          <w:bCs/>
        </w:rPr>
        <w:t>e</w:t>
      </w:r>
      <w:r w:rsidR="00423097" w:rsidRPr="00785FB4">
        <w:rPr>
          <w:bCs/>
        </w:rPr>
        <w:t>aningful</w:t>
      </w:r>
      <w:r w:rsidRPr="00785FB4">
        <w:t xml:space="preserve"> progress towards meeting this requirement.</w:t>
      </w:r>
    </w:p>
    <w:p w14:paraId="6E38F70F" w14:textId="77777777" w:rsidR="00FA51E8" w:rsidRPr="00785FB4" w:rsidRDefault="00A776CB" w:rsidP="007369FB">
      <w:pPr>
        <w:spacing w:before="120"/>
        <w:rPr>
          <w:i/>
          <w:color w:val="000000"/>
        </w:rPr>
      </w:pPr>
      <w:r w:rsidRPr="00785FB4">
        <w:t>In accordance with Re</w:t>
      </w:r>
      <w:r w:rsidR="00020AC7" w:rsidRPr="00785FB4">
        <w:t xml:space="preserve">quirement 4.9, </w:t>
      </w:r>
      <w:r w:rsidR="00F959B1" w:rsidRPr="00785FB4">
        <w:t xml:space="preserve">Afghanistan </w:t>
      </w:r>
      <w:r w:rsidR="00020AC7" w:rsidRPr="00785FB4">
        <w:t xml:space="preserve">should </w:t>
      </w:r>
      <w:r w:rsidR="007A31AA" w:rsidRPr="00785FB4">
        <w:t>ensure that the ToR for the IA is in line with the standard ToR approved by the EITI Board and that agreement on any deviations from the standard ToR be properly documented.</w:t>
      </w:r>
      <w:r w:rsidR="00B20A4A" w:rsidRPr="00785FB4">
        <w:t xml:space="preserve"> </w:t>
      </w:r>
      <w:r w:rsidR="00F959B1" w:rsidRPr="00785FB4">
        <w:t xml:space="preserve">Afghanistan </w:t>
      </w:r>
      <w:r w:rsidR="007A31AA" w:rsidRPr="00785FB4">
        <w:t xml:space="preserve">should ensure that a review of actual auditing practices by reporting companies and government entities be conducted before agreeing procedures to ensure the reliability of EITI information. </w:t>
      </w:r>
      <w:r w:rsidR="003035C8" w:rsidRPr="00785FB4">
        <w:t xml:space="preserve">Afghanistan </w:t>
      </w:r>
      <w:r w:rsidR="007A31AA" w:rsidRPr="00785FB4">
        <w:t xml:space="preserve">should </w:t>
      </w:r>
      <w:r w:rsidR="00B20A4A" w:rsidRPr="00785FB4">
        <w:t xml:space="preserve">ensure that the quality assurances agreed for EITI reporting be clearly documented, that compliance with agreed procedures by reporting entities be clearly assessed and that </w:t>
      </w:r>
      <w:r w:rsidR="007A31AA" w:rsidRPr="00785FB4">
        <w:t xml:space="preserve">the IA </w:t>
      </w:r>
      <w:r w:rsidR="00B20A4A" w:rsidRPr="00785FB4">
        <w:t xml:space="preserve">provide a clear </w:t>
      </w:r>
      <w:r w:rsidR="007A31AA" w:rsidRPr="00785FB4">
        <w:t xml:space="preserve">assessment of </w:t>
      </w:r>
      <w:r w:rsidR="00B20A4A" w:rsidRPr="00785FB4">
        <w:t xml:space="preserve">the comprehensiveness and reliability of EITI reporting. The MSG should also ensure that summary data tables for all EITI Reports are prepared in a timely manner in line with requirements of the Board-approved IA’s ToR. </w:t>
      </w:r>
    </w:p>
    <w:p w14:paraId="287CA062" w14:textId="48DED9DB" w:rsidR="000722F1" w:rsidRPr="00785FB4" w:rsidRDefault="000B5861" w:rsidP="009464B0">
      <w:pPr>
        <w:pStyle w:val="Caption"/>
      </w:pPr>
      <w:bookmarkStart w:id="446" w:name="_Toc463537777"/>
      <w:bookmarkStart w:id="447" w:name="_Toc463537964"/>
      <w:r w:rsidRPr="00785FB4">
        <w:t xml:space="preserve">Table </w:t>
      </w:r>
      <w:fldSimple w:instr=" SEQ Table \* ARABIC ">
        <w:r w:rsidR="00D8510F" w:rsidRPr="00785FB4">
          <w:t>4</w:t>
        </w:r>
      </w:fldSimple>
      <w:r w:rsidR="000722F1" w:rsidRPr="00785FB4">
        <w:t xml:space="preserve">- </w:t>
      </w:r>
      <w:r w:rsidR="000722F1" w:rsidRPr="00785FB4">
        <w:rPr>
          <w:rFonts w:eastAsia="Calibri"/>
        </w:rPr>
        <w:t xml:space="preserve">Summary </w:t>
      </w:r>
      <w:r w:rsidR="00F46F04" w:rsidRPr="00785FB4">
        <w:rPr>
          <w:rFonts w:eastAsia="Calibri"/>
        </w:rPr>
        <w:t xml:space="preserve">initial </w:t>
      </w:r>
      <w:r w:rsidR="000722F1" w:rsidRPr="00785FB4">
        <w:rPr>
          <w:rFonts w:eastAsia="Calibri"/>
        </w:rPr>
        <w:t>assessment table: Revenue collection</w:t>
      </w:r>
      <w:bookmarkEnd w:id="446"/>
      <w:bookmarkEnd w:id="44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4740"/>
        <w:gridCol w:w="1975"/>
      </w:tblGrid>
      <w:tr w:rsidR="00FC3899" w:rsidRPr="00785FB4" w14:paraId="19125AD9" w14:textId="77777777" w:rsidTr="00942DF3">
        <w:trPr>
          <w:trHeight w:val="675"/>
        </w:trPr>
        <w:tc>
          <w:tcPr>
            <w:tcW w:w="2662" w:type="dxa"/>
            <w:shd w:val="clear" w:color="auto" w:fill="D9D9D9"/>
            <w:vAlign w:val="center"/>
          </w:tcPr>
          <w:p w14:paraId="502194C2" w14:textId="77777777" w:rsidR="00FC3899" w:rsidRPr="00785FB4" w:rsidRDefault="00FC3899" w:rsidP="00D8510F">
            <w:pPr>
              <w:pStyle w:val="Tabletext"/>
              <w:rPr>
                <w:lang w:val="en-GB"/>
              </w:rPr>
            </w:pPr>
            <w:r w:rsidRPr="00785FB4">
              <w:rPr>
                <w:lang w:val="en-GB"/>
              </w:rPr>
              <w:t>EITI provisions</w:t>
            </w:r>
          </w:p>
        </w:tc>
        <w:tc>
          <w:tcPr>
            <w:tcW w:w="4740" w:type="dxa"/>
            <w:shd w:val="clear" w:color="auto" w:fill="D9D9D9"/>
            <w:vAlign w:val="center"/>
          </w:tcPr>
          <w:p w14:paraId="261EF719" w14:textId="77777777" w:rsidR="00FC3899" w:rsidRPr="00785FB4" w:rsidRDefault="00FC3899" w:rsidP="00D8510F">
            <w:pPr>
              <w:pStyle w:val="Tabletext"/>
              <w:rPr>
                <w:lang w:val="en-GB"/>
              </w:rPr>
            </w:pPr>
            <w:r w:rsidRPr="00785FB4">
              <w:rPr>
                <w:lang w:val="en-GB"/>
              </w:rPr>
              <w:t>Summary of main findings</w:t>
            </w:r>
          </w:p>
        </w:tc>
        <w:tc>
          <w:tcPr>
            <w:tcW w:w="1975" w:type="dxa"/>
            <w:shd w:val="clear" w:color="auto" w:fill="D9D9D9"/>
            <w:vAlign w:val="center"/>
          </w:tcPr>
          <w:p w14:paraId="3354C96B" w14:textId="77777777" w:rsidR="00FC3899" w:rsidRPr="00785FB4" w:rsidRDefault="00FC3899" w:rsidP="00D8510F">
            <w:pPr>
              <w:pStyle w:val="Tabletext"/>
              <w:rPr>
                <w:lang w:val="en-GB"/>
              </w:rPr>
            </w:pPr>
            <w:r w:rsidRPr="00785FB4">
              <w:rPr>
                <w:lang w:val="en-GB"/>
              </w:rPr>
              <w:t xml:space="preserve">International Secretariat’s initial assessment of progress with the EITI provisions </w:t>
            </w:r>
          </w:p>
        </w:tc>
      </w:tr>
      <w:tr w:rsidR="009A7BD4" w:rsidRPr="00785FB4" w14:paraId="69DBC012" w14:textId="77777777" w:rsidTr="00942DF3">
        <w:tc>
          <w:tcPr>
            <w:tcW w:w="2662" w:type="dxa"/>
            <w:shd w:val="clear" w:color="auto" w:fill="auto"/>
            <w:vAlign w:val="center"/>
          </w:tcPr>
          <w:p w14:paraId="7033E91B" w14:textId="77777777" w:rsidR="001030D3" w:rsidRPr="00785FB4" w:rsidRDefault="001030D3" w:rsidP="00D8510F">
            <w:pPr>
              <w:pStyle w:val="Tabletext"/>
              <w:rPr>
                <w:lang w:val="en-GB"/>
              </w:rPr>
            </w:pPr>
            <w:r w:rsidRPr="00785FB4">
              <w:rPr>
                <w:lang w:val="en-GB"/>
              </w:rPr>
              <w:t>Comprehensiveness (#4.1)</w:t>
            </w:r>
          </w:p>
        </w:tc>
        <w:tc>
          <w:tcPr>
            <w:tcW w:w="4740" w:type="dxa"/>
            <w:shd w:val="clear" w:color="auto" w:fill="auto"/>
            <w:vAlign w:val="center"/>
          </w:tcPr>
          <w:p w14:paraId="3A1E39CD" w14:textId="3C6263A9" w:rsidR="001030D3" w:rsidRPr="00785FB4" w:rsidRDefault="003035C8" w:rsidP="00D8510F">
            <w:pPr>
              <w:pStyle w:val="Tabletext"/>
              <w:rPr>
                <w:lang w:val="en-GB"/>
              </w:rPr>
            </w:pPr>
            <w:r w:rsidRPr="00785FB4">
              <w:rPr>
                <w:lang w:val="en-GB"/>
              </w:rPr>
              <w:t xml:space="preserve">This requirement raises fundamental issues of interpretation of the EITI Standard in the Afghan context. On the one hand, the MSG and IA have made a commendable attempt at ensuring that reports are comprehensive given the absence of reliably comprehensive government license and revenue data.  The 2014-15 EITI Report includes the MSG’s definition of the materiality thresholds for payments and companies to be included in reconciliation based on payments to government, including a justification for the specific thresholds based on a targeted reconciliation coverage. The review of the revenue streams covered in the EITI Report against the applicable laws and regulations gives assurance that no statutory revenue streams have been omitted from the scope of the report. The companies that did not report are named and the value of their payments to government is </w:t>
            </w:r>
            <w:r w:rsidRPr="00785FB4">
              <w:rPr>
                <w:lang w:val="en-GB"/>
              </w:rPr>
              <w:lastRenderedPageBreak/>
              <w:t xml:space="preserve">provided relative to government-reported revenues. The share of non-reporting companies appears to be significant in 2014, but not in 2015. All material government entities appear to have reported all revenues despite challenges in data collection (particularly from </w:t>
            </w:r>
            <w:r w:rsidR="00DB56BA" w:rsidRPr="00785FB4">
              <w:rPr>
                <w:lang w:val="en-GB"/>
              </w:rPr>
              <w:t>MOF</w:t>
            </w:r>
            <w:r w:rsidRPr="00785FB4">
              <w:rPr>
                <w:lang w:val="en-GB"/>
              </w:rPr>
              <w:t xml:space="preserve"> Customs) and the government appears to have disclosed all extractives revenues, including from non-material companies, albeit disaggregated by company rather than by revenue stream. On the other hand, inconsistencies in government record-keeping raise questions over the comprehensiveness of government revenues disclosed, and thus the reconciliation coverage. The lack of assessment of the materiality of payments prior to data collection also leaves scope for excluding significant ad hoc payments not described in sector regulations. </w:t>
            </w:r>
          </w:p>
        </w:tc>
        <w:tc>
          <w:tcPr>
            <w:tcW w:w="1975" w:type="dxa"/>
            <w:vAlign w:val="center"/>
          </w:tcPr>
          <w:p w14:paraId="349C43A4" w14:textId="1E3DD97C" w:rsidR="001030D3" w:rsidRPr="00785FB4" w:rsidRDefault="00942DF3" w:rsidP="00D8510F">
            <w:pPr>
              <w:pStyle w:val="Tabletext"/>
              <w:rPr>
                <w:lang w:val="en-GB"/>
              </w:rPr>
            </w:pPr>
            <w:r w:rsidRPr="00785FB4">
              <w:rPr>
                <w:lang w:val="en-GB"/>
              </w:rPr>
              <w:lastRenderedPageBreak/>
              <w:t>Meaningful progress</w:t>
            </w:r>
          </w:p>
        </w:tc>
      </w:tr>
      <w:tr w:rsidR="009A7BD4" w:rsidRPr="00785FB4" w14:paraId="4335EBA7" w14:textId="77777777" w:rsidTr="00942DF3">
        <w:tc>
          <w:tcPr>
            <w:tcW w:w="2662" w:type="dxa"/>
            <w:shd w:val="clear" w:color="auto" w:fill="auto"/>
            <w:vAlign w:val="center"/>
          </w:tcPr>
          <w:p w14:paraId="2E64560C" w14:textId="77777777" w:rsidR="001030D3" w:rsidRPr="00785FB4" w:rsidRDefault="001030D3" w:rsidP="00D8510F">
            <w:pPr>
              <w:pStyle w:val="Tabletext"/>
              <w:rPr>
                <w:lang w:val="en-GB"/>
              </w:rPr>
            </w:pPr>
            <w:r w:rsidRPr="00785FB4">
              <w:rPr>
                <w:lang w:val="en-GB"/>
              </w:rPr>
              <w:t>In-kind revenues (#4.2)</w:t>
            </w:r>
          </w:p>
        </w:tc>
        <w:tc>
          <w:tcPr>
            <w:tcW w:w="4740" w:type="dxa"/>
            <w:shd w:val="clear" w:color="auto" w:fill="auto"/>
            <w:vAlign w:val="center"/>
          </w:tcPr>
          <w:p w14:paraId="5A45C63A" w14:textId="24B586D5" w:rsidR="001030D3" w:rsidRPr="00785FB4" w:rsidRDefault="00B20A4A" w:rsidP="00D8510F">
            <w:pPr>
              <w:pStyle w:val="Tabletext"/>
              <w:rPr>
                <w:lang w:val="en-GB"/>
              </w:rPr>
            </w:pPr>
            <w:r w:rsidRPr="00785FB4">
              <w:rPr>
                <w:lang w:val="en-GB"/>
              </w:rPr>
              <w:t xml:space="preserve">The 2014-15 EITI Report states that the government did not receive any in-kind revenues in the period under review, based on assurances from the </w:t>
            </w:r>
            <w:r w:rsidR="00DB56BA" w:rsidRPr="00785FB4">
              <w:rPr>
                <w:lang w:val="en-GB"/>
              </w:rPr>
              <w:t>MOMP</w:t>
            </w:r>
            <w:r w:rsidRPr="00785FB4">
              <w:rPr>
                <w:lang w:val="en-GB"/>
              </w:rPr>
              <w:t>.</w:t>
            </w:r>
          </w:p>
        </w:tc>
        <w:tc>
          <w:tcPr>
            <w:tcW w:w="1975" w:type="dxa"/>
            <w:vAlign w:val="center"/>
          </w:tcPr>
          <w:p w14:paraId="41D27DEE" w14:textId="49346CEE" w:rsidR="001030D3" w:rsidRPr="00785FB4" w:rsidRDefault="00942DF3" w:rsidP="00D8510F">
            <w:pPr>
              <w:pStyle w:val="Tabletext"/>
              <w:rPr>
                <w:lang w:val="en-GB"/>
              </w:rPr>
            </w:pPr>
            <w:r w:rsidRPr="00785FB4">
              <w:rPr>
                <w:lang w:val="en-GB"/>
              </w:rPr>
              <w:t>Not applicable</w:t>
            </w:r>
          </w:p>
        </w:tc>
      </w:tr>
      <w:tr w:rsidR="009A7BD4" w:rsidRPr="00785FB4" w14:paraId="28228398" w14:textId="77777777" w:rsidTr="00942DF3">
        <w:tc>
          <w:tcPr>
            <w:tcW w:w="2662" w:type="dxa"/>
            <w:shd w:val="clear" w:color="auto" w:fill="auto"/>
            <w:vAlign w:val="center"/>
          </w:tcPr>
          <w:p w14:paraId="069E377E" w14:textId="77777777" w:rsidR="001030D3" w:rsidRPr="00785FB4" w:rsidRDefault="001030D3" w:rsidP="00D8510F">
            <w:pPr>
              <w:pStyle w:val="Tabletext"/>
              <w:rPr>
                <w:lang w:val="en-GB"/>
              </w:rPr>
            </w:pPr>
            <w:r w:rsidRPr="00785FB4">
              <w:rPr>
                <w:lang w:val="en-GB"/>
              </w:rPr>
              <w:t>Barter and infrastructure transactions (#4.3)</w:t>
            </w:r>
          </w:p>
        </w:tc>
        <w:tc>
          <w:tcPr>
            <w:tcW w:w="4740" w:type="dxa"/>
            <w:shd w:val="clear" w:color="auto" w:fill="auto"/>
            <w:vAlign w:val="center"/>
          </w:tcPr>
          <w:p w14:paraId="7EC39DBC" w14:textId="56144FD3" w:rsidR="001030D3" w:rsidRPr="00785FB4" w:rsidRDefault="00B20A4A" w:rsidP="00D8510F">
            <w:pPr>
              <w:pStyle w:val="Tabletext"/>
              <w:rPr>
                <w:rFonts w:asciiTheme="majorHAnsi" w:hAnsiTheme="majorHAnsi"/>
                <w:lang w:val="en-GB"/>
              </w:rPr>
            </w:pPr>
            <w:r w:rsidRPr="00785FB4">
              <w:rPr>
                <w:lang w:val="en-GB"/>
              </w:rPr>
              <w:t xml:space="preserve">The 2014-15 EITI Report states that there were no barter arrangements or infrastructure provisions in force in the period under review, based on assurances from the </w:t>
            </w:r>
            <w:r w:rsidR="00DB56BA" w:rsidRPr="00785FB4">
              <w:rPr>
                <w:lang w:val="en-GB"/>
              </w:rPr>
              <w:t>MOMP</w:t>
            </w:r>
            <w:r w:rsidRPr="00785FB4">
              <w:rPr>
                <w:lang w:val="en-GB"/>
              </w:rPr>
              <w:t>. While the International Secretariat understands that, while certain large-scale mining contracts included infrastructure provisions as biddable items, these were not actively developed during the period under review.</w:t>
            </w:r>
          </w:p>
        </w:tc>
        <w:tc>
          <w:tcPr>
            <w:tcW w:w="1975" w:type="dxa"/>
            <w:tcBorders>
              <w:bottom w:val="single" w:sz="4" w:space="0" w:color="auto"/>
            </w:tcBorders>
            <w:vAlign w:val="center"/>
          </w:tcPr>
          <w:p w14:paraId="318721A5" w14:textId="7B43CB89" w:rsidR="001030D3" w:rsidRPr="00785FB4" w:rsidRDefault="00942DF3" w:rsidP="00D8510F">
            <w:pPr>
              <w:pStyle w:val="Tabletext"/>
              <w:rPr>
                <w:lang w:val="en-GB"/>
              </w:rPr>
            </w:pPr>
            <w:r w:rsidRPr="00785FB4">
              <w:rPr>
                <w:lang w:val="en-GB"/>
              </w:rPr>
              <w:t>Not applicable</w:t>
            </w:r>
          </w:p>
        </w:tc>
      </w:tr>
      <w:tr w:rsidR="009A7BD4" w:rsidRPr="00785FB4" w14:paraId="7B38E908" w14:textId="77777777" w:rsidTr="00942DF3">
        <w:tc>
          <w:tcPr>
            <w:tcW w:w="2662" w:type="dxa"/>
            <w:shd w:val="clear" w:color="auto" w:fill="auto"/>
            <w:vAlign w:val="center"/>
          </w:tcPr>
          <w:p w14:paraId="4F1F3117" w14:textId="77777777" w:rsidR="001030D3" w:rsidRPr="00785FB4" w:rsidRDefault="001030D3" w:rsidP="00D8510F">
            <w:pPr>
              <w:pStyle w:val="Tabletext"/>
              <w:rPr>
                <w:lang w:val="en-GB"/>
              </w:rPr>
            </w:pPr>
            <w:r w:rsidRPr="00785FB4">
              <w:rPr>
                <w:lang w:val="en-GB"/>
              </w:rPr>
              <w:t>Transport revenues (#4.4)</w:t>
            </w:r>
          </w:p>
        </w:tc>
        <w:tc>
          <w:tcPr>
            <w:tcW w:w="4740" w:type="dxa"/>
            <w:shd w:val="clear" w:color="auto" w:fill="auto"/>
            <w:vAlign w:val="center"/>
          </w:tcPr>
          <w:p w14:paraId="7AAB1525" w14:textId="5F9ABF68" w:rsidR="001030D3" w:rsidRPr="00785FB4" w:rsidRDefault="003035C8" w:rsidP="00D8510F">
            <w:pPr>
              <w:pStyle w:val="Tabletext"/>
              <w:rPr>
                <w:rFonts w:asciiTheme="majorHAnsi" w:hAnsiTheme="majorHAnsi"/>
                <w:lang w:val="en-GB"/>
              </w:rPr>
            </w:pPr>
            <w:r w:rsidRPr="00785FB4">
              <w:rPr>
                <w:lang w:val="en-GB"/>
              </w:rPr>
              <w:t xml:space="preserve">The Validation Guide states that “Disclosure of material transportation revenues is expected, but not required for compliance with the EITI provisions. Where transportation revenues are material but not disclosed, the validator is expected to evaluate whether the MSG has documented and explained the barriers to provision of this information and any government plans to overcome these barriers”. The MSG appears to have considered the existence of transportation arrangements in the extractive industries in general, although the 2014-15 EITI Report refers to four arrangements that do not give rise to transportation revenues. Yet the International Secretariat finds no evidence of any such discussion by the MSG of road-use fees </w:t>
            </w:r>
            <w:r w:rsidRPr="00785FB4">
              <w:rPr>
                <w:lang w:val="en-GB"/>
              </w:rPr>
              <w:lastRenderedPageBreak/>
              <w:t>collected by the Ministry of Transport on all vehicles (not extractives-specific). While these are likely immaterial, the lack of clear assessment of the materiality of such road-use fee revenues is a concern.</w:t>
            </w:r>
          </w:p>
        </w:tc>
        <w:tc>
          <w:tcPr>
            <w:tcW w:w="1975" w:type="dxa"/>
            <w:shd w:val="clear" w:color="auto" w:fill="auto"/>
            <w:vAlign w:val="center"/>
          </w:tcPr>
          <w:p w14:paraId="10572BD3" w14:textId="53BAAB5C" w:rsidR="001030D3" w:rsidRPr="00785FB4" w:rsidRDefault="00C15E35" w:rsidP="00D8510F">
            <w:pPr>
              <w:pStyle w:val="Tabletext"/>
              <w:rPr>
                <w:lang w:val="en-GB"/>
              </w:rPr>
            </w:pPr>
            <w:r w:rsidRPr="00785FB4">
              <w:rPr>
                <w:lang w:val="en-GB"/>
              </w:rPr>
              <w:lastRenderedPageBreak/>
              <w:t xml:space="preserve">Inadequate </w:t>
            </w:r>
            <w:r w:rsidR="00942DF3" w:rsidRPr="00785FB4">
              <w:rPr>
                <w:lang w:val="en-GB"/>
              </w:rPr>
              <w:t>progress</w:t>
            </w:r>
          </w:p>
        </w:tc>
      </w:tr>
      <w:tr w:rsidR="009A7BD4" w:rsidRPr="00785FB4" w14:paraId="00276993" w14:textId="77777777" w:rsidTr="00942DF3">
        <w:trPr>
          <w:trHeight w:val="1283"/>
        </w:trPr>
        <w:tc>
          <w:tcPr>
            <w:tcW w:w="2662" w:type="dxa"/>
            <w:shd w:val="clear" w:color="auto" w:fill="auto"/>
            <w:vAlign w:val="center"/>
          </w:tcPr>
          <w:p w14:paraId="5150DEA0" w14:textId="77777777" w:rsidR="001030D3" w:rsidRPr="00785FB4" w:rsidRDefault="001030D3" w:rsidP="00D8510F">
            <w:pPr>
              <w:pStyle w:val="Tabletext"/>
              <w:rPr>
                <w:lang w:val="en-GB"/>
              </w:rPr>
            </w:pPr>
            <w:r w:rsidRPr="00785FB4">
              <w:rPr>
                <w:lang w:val="en-GB"/>
              </w:rPr>
              <w:t>Transactions between SOEs and government (#4.5)</w:t>
            </w:r>
          </w:p>
        </w:tc>
        <w:tc>
          <w:tcPr>
            <w:tcW w:w="4740" w:type="dxa"/>
            <w:shd w:val="clear" w:color="auto" w:fill="auto"/>
            <w:vAlign w:val="center"/>
          </w:tcPr>
          <w:p w14:paraId="267990BE" w14:textId="6A86CC9E" w:rsidR="001030D3" w:rsidRPr="00785FB4" w:rsidRDefault="003035C8" w:rsidP="00D8510F">
            <w:pPr>
              <w:pStyle w:val="Tabletext"/>
              <w:rPr>
                <w:lang w:val="en-GB"/>
              </w:rPr>
            </w:pPr>
            <w:r w:rsidRPr="00785FB4">
              <w:rPr>
                <w:lang w:val="en-GB"/>
              </w:rPr>
              <w:t xml:space="preserve">Stakeholders confirmed that neither of the two extractives SOEs collected any tax or non-tax revenues from mining, oil and gas companies, even if this was not clearly stated in the 2014-15 EITI Report. While the MSG’s assessment of the materiality of SOE payments to government is unclear, it is clear that SOE payments to government were considered material and both SOEs were included in the scope of reporting. However, the report does not clearly distinguish payments from SOEs to </w:t>
            </w:r>
            <w:r w:rsidR="00DB56BA" w:rsidRPr="00785FB4">
              <w:rPr>
                <w:lang w:val="en-GB"/>
              </w:rPr>
              <w:t>MOF</w:t>
            </w:r>
            <w:r w:rsidRPr="00785FB4">
              <w:rPr>
                <w:lang w:val="en-GB"/>
              </w:rPr>
              <w:t xml:space="preserve"> that are specific to SOEs from those common to all extractives companies and the comprehensiveness of SOE reporting is unclear. Uncertainty over the comprehensiveness of SOEs’ reporting of transactions with government are linked to weaknesses in their record-keeping.</w:t>
            </w:r>
          </w:p>
        </w:tc>
        <w:tc>
          <w:tcPr>
            <w:tcW w:w="1975" w:type="dxa"/>
            <w:vAlign w:val="center"/>
          </w:tcPr>
          <w:p w14:paraId="20B2A317" w14:textId="6A0A9AEF" w:rsidR="001030D3" w:rsidRPr="00785FB4" w:rsidRDefault="00942DF3" w:rsidP="00D8510F">
            <w:pPr>
              <w:pStyle w:val="Tabletext"/>
              <w:rPr>
                <w:lang w:val="en-GB"/>
              </w:rPr>
            </w:pPr>
            <w:r w:rsidRPr="00785FB4">
              <w:rPr>
                <w:lang w:val="en-GB"/>
              </w:rPr>
              <w:t>Meaningful progress</w:t>
            </w:r>
          </w:p>
        </w:tc>
      </w:tr>
      <w:tr w:rsidR="009A7BD4" w:rsidRPr="00785FB4" w14:paraId="7CE74483" w14:textId="77777777" w:rsidTr="00942DF3">
        <w:tc>
          <w:tcPr>
            <w:tcW w:w="2662" w:type="dxa"/>
            <w:shd w:val="clear" w:color="auto" w:fill="auto"/>
            <w:vAlign w:val="center"/>
          </w:tcPr>
          <w:p w14:paraId="0309D312" w14:textId="77777777" w:rsidR="001030D3" w:rsidRPr="00785FB4" w:rsidRDefault="001030D3" w:rsidP="00D8510F">
            <w:pPr>
              <w:pStyle w:val="Tabletext"/>
              <w:rPr>
                <w:lang w:val="en-GB"/>
              </w:rPr>
            </w:pPr>
            <w:r w:rsidRPr="00785FB4">
              <w:rPr>
                <w:lang w:val="en-GB"/>
              </w:rPr>
              <w:t>Subnational direct payments (#4.6)</w:t>
            </w:r>
          </w:p>
        </w:tc>
        <w:tc>
          <w:tcPr>
            <w:tcW w:w="4740" w:type="dxa"/>
            <w:shd w:val="clear" w:color="auto" w:fill="auto"/>
            <w:vAlign w:val="center"/>
          </w:tcPr>
          <w:p w14:paraId="2AF30287" w14:textId="6AF215FF" w:rsidR="001030D3" w:rsidRPr="00785FB4" w:rsidRDefault="00B20A4A" w:rsidP="00D8510F">
            <w:pPr>
              <w:pStyle w:val="Tabletext"/>
              <w:rPr>
                <w:rFonts w:asciiTheme="majorHAnsi" w:hAnsiTheme="majorHAnsi"/>
                <w:lang w:val="en-GB"/>
              </w:rPr>
            </w:pPr>
            <w:r w:rsidRPr="00785FB4">
              <w:rPr>
                <w:lang w:val="en-GB"/>
              </w:rPr>
              <w:t>The 2014-15 EITI Report confirms the absence of direct subnational payments, which was confirmed by stakeholder consultations despite evidence of informal ad hoc payments that have no statutory basis.</w:t>
            </w:r>
          </w:p>
        </w:tc>
        <w:tc>
          <w:tcPr>
            <w:tcW w:w="1975" w:type="dxa"/>
            <w:vAlign w:val="center"/>
          </w:tcPr>
          <w:p w14:paraId="47B4C49B" w14:textId="382B8C64" w:rsidR="001030D3" w:rsidRPr="00785FB4" w:rsidRDefault="00B20A4A" w:rsidP="00D8510F">
            <w:pPr>
              <w:pStyle w:val="Tabletext"/>
              <w:rPr>
                <w:lang w:val="en-GB"/>
              </w:rPr>
            </w:pPr>
            <w:r w:rsidRPr="00785FB4">
              <w:rPr>
                <w:lang w:val="en-GB"/>
              </w:rPr>
              <w:t>Not applicable</w:t>
            </w:r>
          </w:p>
        </w:tc>
      </w:tr>
      <w:tr w:rsidR="009A7BD4" w:rsidRPr="00785FB4" w14:paraId="4F1ADA6D" w14:textId="77777777" w:rsidTr="00942DF3">
        <w:tc>
          <w:tcPr>
            <w:tcW w:w="2662" w:type="dxa"/>
            <w:shd w:val="clear" w:color="auto" w:fill="auto"/>
            <w:vAlign w:val="center"/>
          </w:tcPr>
          <w:p w14:paraId="4F3C41C9" w14:textId="77777777" w:rsidR="001030D3" w:rsidRPr="00785FB4" w:rsidRDefault="001030D3" w:rsidP="00D8510F">
            <w:pPr>
              <w:pStyle w:val="Tabletext"/>
              <w:rPr>
                <w:lang w:val="en-GB"/>
              </w:rPr>
            </w:pPr>
            <w:r w:rsidRPr="00785FB4">
              <w:rPr>
                <w:lang w:val="en-GB"/>
              </w:rPr>
              <w:t>Level of disaggregation (#4.7)</w:t>
            </w:r>
          </w:p>
        </w:tc>
        <w:tc>
          <w:tcPr>
            <w:tcW w:w="4740" w:type="dxa"/>
            <w:shd w:val="clear" w:color="auto" w:fill="auto"/>
            <w:vAlign w:val="center"/>
          </w:tcPr>
          <w:p w14:paraId="55B4A0F2" w14:textId="4B6152C1" w:rsidR="001030D3" w:rsidRPr="00785FB4" w:rsidRDefault="00B20A4A" w:rsidP="00D8510F">
            <w:pPr>
              <w:pStyle w:val="Tabletext"/>
              <w:rPr>
                <w:rFonts w:asciiTheme="majorHAnsi" w:hAnsiTheme="majorHAnsi"/>
                <w:lang w:val="en-GB"/>
              </w:rPr>
            </w:pPr>
            <w:r w:rsidRPr="00785FB4">
              <w:rPr>
                <w:lang w:val="en-GB"/>
              </w:rPr>
              <w:t>Reconciled financial data in the 2014-15 EITI Report is presented disaggregated by company, revenue flow and collecting government entity.</w:t>
            </w:r>
          </w:p>
        </w:tc>
        <w:tc>
          <w:tcPr>
            <w:tcW w:w="1975" w:type="dxa"/>
            <w:vAlign w:val="center"/>
          </w:tcPr>
          <w:p w14:paraId="0D8F5775" w14:textId="66E7D4A9" w:rsidR="001030D3" w:rsidRPr="00785FB4" w:rsidRDefault="00D72D8B" w:rsidP="00D8510F">
            <w:pPr>
              <w:pStyle w:val="Tabletext"/>
              <w:rPr>
                <w:lang w:val="en-GB"/>
              </w:rPr>
            </w:pPr>
            <w:r w:rsidRPr="00785FB4">
              <w:rPr>
                <w:lang w:val="en-GB"/>
              </w:rPr>
              <w:t>Satisfactory progress</w:t>
            </w:r>
          </w:p>
        </w:tc>
      </w:tr>
      <w:tr w:rsidR="009A7BD4" w:rsidRPr="00785FB4" w14:paraId="17838198" w14:textId="77777777" w:rsidTr="00942DF3">
        <w:tc>
          <w:tcPr>
            <w:tcW w:w="2662" w:type="dxa"/>
            <w:shd w:val="clear" w:color="auto" w:fill="auto"/>
            <w:vAlign w:val="center"/>
          </w:tcPr>
          <w:p w14:paraId="543A66E8" w14:textId="77777777" w:rsidR="001030D3" w:rsidRPr="00785FB4" w:rsidRDefault="001030D3" w:rsidP="00D8510F">
            <w:pPr>
              <w:pStyle w:val="Tabletext"/>
              <w:rPr>
                <w:lang w:val="en-GB"/>
              </w:rPr>
            </w:pPr>
            <w:r w:rsidRPr="00785FB4">
              <w:rPr>
                <w:lang w:val="en-GB"/>
              </w:rPr>
              <w:t>Data timeliness (#4.8)</w:t>
            </w:r>
          </w:p>
        </w:tc>
        <w:tc>
          <w:tcPr>
            <w:tcW w:w="4740" w:type="dxa"/>
            <w:shd w:val="clear" w:color="auto" w:fill="auto"/>
            <w:vAlign w:val="center"/>
          </w:tcPr>
          <w:p w14:paraId="5F8AADEB" w14:textId="03249F05" w:rsidR="001030D3" w:rsidRPr="00785FB4" w:rsidRDefault="003035C8" w:rsidP="00D8510F">
            <w:pPr>
              <w:pStyle w:val="Tabletext"/>
              <w:rPr>
                <w:rFonts w:asciiTheme="majorHAnsi" w:hAnsiTheme="majorHAnsi"/>
                <w:lang w:val="en-GB" w:eastAsia="x-none"/>
              </w:rPr>
            </w:pPr>
            <w:r w:rsidRPr="00785FB4">
              <w:rPr>
                <w:lang w:val="en-GB"/>
              </w:rPr>
              <w:t>While the 2014-15 EITI Report was published after the end of the second to last complete accounting period (in April 2017 for a reporting period starting on 21 December 2013), the EITI Board granted Afghanistan an extension on its reporting deadline to 1 May 2017. Consistent delays in publishing EITI Reports is a concern however.</w:t>
            </w:r>
          </w:p>
        </w:tc>
        <w:tc>
          <w:tcPr>
            <w:tcW w:w="1975" w:type="dxa"/>
            <w:vAlign w:val="center"/>
          </w:tcPr>
          <w:p w14:paraId="663EEFD4" w14:textId="66D6453D" w:rsidR="001030D3" w:rsidRPr="00785FB4" w:rsidRDefault="00D72D8B" w:rsidP="00D8510F">
            <w:pPr>
              <w:pStyle w:val="Tabletext"/>
              <w:rPr>
                <w:lang w:val="en-GB"/>
              </w:rPr>
            </w:pPr>
            <w:r w:rsidRPr="00785FB4">
              <w:rPr>
                <w:lang w:val="en-GB"/>
              </w:rPr>
              <w:t>Satisfactory progress</w:t>
            </w:r>
          </w:p>
        </w:tc>
      </w:tr>
      <w:tr w:rsidR="009A7BD4" w:rsidRPr="00785FB4" w14:paraId="65F7B711" w14:textId="77777777" w:rsidTr="00942DF3">
        <w:tc>
          <w:tcPr>
            <w:tcW w:w="2662" w:type="dxa"/>
            <w:shd w:val="clear" w:color="auto" w:fill="auto"/>
            <w:vAlign w:val="center"/>
          </w:tcPr>
          <w:p w14:paraId="2B0F5513" w14:textId="77777777" w:rsidR="001030D3" w:rsidRPr="00785FB4" w:rsidRDefault="001030D3" w:rsidP="00D8510F">
            <w:pPr>
              <w:pStyle w:val="Tabletext"/>
              <w:rPr>
                <w:lang w:val="en-GB"/>
              </w:rPr>
            </w:pPr>
            <w:r w:rsidRPr="00785FB4">
              <w:rPr>
                <w:lang w:val="en-GB"/>
              </w:rPr>
              <w:t>Data quality (#4.9)</w:t>
            </w:r>
          </w:p>
        </w:tc>
        <w:tc>
          <w:tcPr>
            <w:tcW w:w="4740" w:type="dxa"/>
            <w:shd w:val="clear" w:color="auto" w:fill="auto"/>
            <w:vAlign w:val="center"/>
          </w:tcPr>
          <w:p w14:paraId="56440AFB" w14:textId="2FC9461D" w:rsidR="001030D3" w:rsidRPr="00785FB4" w:rsidRDefault="003035C8" w:rsidP="00D8510F">
            <w:pPr>
              <w:pStyle w:val="Tabletext"/>
              <w:rPr>
                <w:rFonts w:asciiTheme="majorHAnsi" w:hAnsiTheme="majorHAnsi"/>
                <w:lang w:val="en-GB" w:eastAsia="x-none"/>
              </w:rPr>
            </w:pPr>
            <w:r w:rsidRPr="00785FB4">
              <w:rPr>
                <w:lang w:val="en-GB"/>
              </w:rPr>
              <w:t xml:space="preserve">As with Requirement 4.1, this requirement raises fundamental questions of interpretation of the EITI Standard in the Afghan context. The International Secretariat is conscious of the efforts made by the MSG and the IA to make decisions on data quality assurance on the basis of the prevailing low institutional capacity and virtually-inexistent statutory audit requirements. The ToR </w:t>
            </w:r>
            <w:r w:rsidRPr="00785FB4">
              <w:rPr>
                <w:lang w:val="en-GB"/>
              </w:rPr>
              <w:lastRenderedPageBreak/>
              <w:t>for the IA was generally in line with the Board-approved template, albeit omitting the MSG’s materiality decisions, and the recruitment of the IA was approved by the MSG. The MSG approved reporting templates for the 2014-15 EITI Report as part of its approval of the scoping study, and the MSG approved the quality assurances required from reporting entities. While the summary data tables for the 2014-15 EITI Report had not been published as of the start of Validation (1 November 2017), there is evidence that the IA prepared summary data tables for the report and that these will be published once finalised. The report also includes a summary of the IA’s general review of audit and assurance procedures in 2014-15, with stakeholder consultations confirming the report’s assessment of widespread weaknesses in such assurance procedures in practice. The International Secretariat has consequently focused its assessment on the extent to which the procedures set out by the MSG and the IA have been followed. The International Secretariat notes that the report is unclear on the level of compliance with agreed quality assurance procedures, and the IA does not provide any assurances on the comprehensiveness and reliability of the reconciled data presented in the report.</w:t>
            </w:r>
          </w:p>
        </w:tc>
        <w:tc>
          <w:tcPr>
            <w:tcW w:w="1975" w:type="dxa"/>
            <w:vAlign w:val="center"/>
          </w:tcPr>
          <w:p w14:paraId="0B66131B" w14:textId="670E092D" w:rsidR="001030D3" w:rsidRPr="00785FB4" w:rsidRDefault="003035C8" w:rsidP="00D8510F">
            <w:pPr>
              <w:pStyle w:val="Tabletext"/>
              <w:rPr>
                <w:lang w:val="en-GB"/>
              </w:rPr>
            </w:pPr>
            <w:r w:rsidRPr="00785FB4">
              <w:rPr>
                <w:lang w:val="en-GB"/>
              </w:rPr>
              <w:lastRenderedPageBreak/>
              <w:t xml:space="preserve">Meaningful </w:t>
            </w:r>
            <w:r w:rsidR="0096449A" w:rsidRPr="00785FB4">
              <w:rPr>
                <w:lang w:val="en-GB"/>
              </w:rPr>
              <w:t>progress</w:t>
            </w:r>
          </w:p>
        </w:tc>
      </w:tr>
      <w:tr w:rsidR="001030D3" w:rsidRPr="00785FB4" w14:paraId="0E9889D9" w14:textId="77777777" w:rsidTr="009464B0">
        <w:tc>
          <w:tcPr>
            <w:tcW w:w="9377" w:type="dxa"/>
            <w:gridSpan w:val="3"/>
            <w:shd w:val="clear" w:color="auto" w:fill="FFFFFF"/>
            <w:vAlign w:val="center"/>
          </w:tcPr>
          <w:p w14:paraId="6B36F338" w14:textId="3378164C" w:rsidR="001030D3" w:rsidRPr="00785FB4" w:rsidRDefault="00C86D75" w:rsidP="00D8510F">
            <w:pPr>
              <w:pStyle w:val="Tabletext"/>
              <w:rPr>
                <w:lang w:val="en-GB"/>
              </w:rPr>
            </w:pPr>
            <w:r w:rsidRPr="00785FB4">
              <w:rPr>
                <w:lang w:val="en-GB"/>
              </w:rPr>
              <w:t xml:space="preserve">Secretariat’s </w:t>
            </w:r>
            <w:r w:rsidR="001030D3" w:rsidRPr="00785FB4">
              <w:rPr>
                <w:lang w:val="en-GB"/>
              </w:rPr>
              <w:t>recommendations:</w:t>
            </w:r>
          </w:p>
          <w:p w14:paraId="361DA8B3" w14:textId="5A210CF1" w:rsidR="001030D3" w:rsidRPr="00785FB4" w:rsidRDefault="003035C8" w:rsidP="00F72955">
            <w:pPr>
              <w:pStyle w:val="ListParagraph"/>
              <w:numPr>
                <w:ilvl w:val="0"/>
                <w:numId w:val="42"/>
              </w:numPr>
              <w:rPr>
                <w:rFonts w:eastAsia="Calibri"/>
              </w:rPr>
            </w:pPr>
            <w:r w:rsidRPr="00785FB4">
              <w:t>In accordance with Requirement 4.1, Afghanistan should ensure that all companies selected in the scope of reporting comprehensively report all material payment flows and that decisions on the materiality of revenue flows are based on government unilateral disclosure of total extractives revenues, including those not statutorily-mandated but nevertheless collected. Afghanistan should also ensure that full unilateral government disclosure of material revenues from non-material companies is presented disaggregated by revenue flow rather than by company.</w:t>
            </w:r>
          </w:p>
          <w:p w14:paraId="1A439001" w14:textId="58AFECCF" w:rsidR="00B20A4A" w:rsidRPr="00785FB4" w:rsidRDefault="003035C8" w:rsidP="00F72955">
            <w:pPr>
              <w:pStyle w:val="ListParagraph"/>
              <w:numPr>
                <w:ilvl w:val="0"/>
                <w:numId w:val="42"/>
              </w:numPr>
              <w:rPr>
                <w:rFonts w:eastAsia="Calibri"/>
              </w:rPr>
            </w:pPr>
            <w:r w:rsidRPr="00785FB4">
              <w:rPr>
                <w:rFonts w:eastAsia="Calibri"/>
              </w:rPr>
              <w:t>To strengthen implementation, Afghanistan is encouraged to assess the existence of any barter type arrangements or infrastructure provisions during the scoping for future EITI reporting to ensure that reporting of the implementation of such agreements provides a level of detail and transparency commensurate with the disclosure and reconciliation of other payments and revenues streams. Afghanistan, with support from the IA, may wish to gain a full understanding of the terms of the relevant agreements and contracts, the parties involved, the resources which have been pledged by the state, the value of the balancing benefit stream (e.g. infrastructure works), and the materiality of these agreements relative to conventional contracts.</w:t>
            </w:r>
          </w:p>
          <w:p w14:paraId="5B2E3A7D" w14:textId="185453B1" w:rsidR="00B20A4A" w:rsidRPr="00785FB4" w:rsidRDefault="003035C8" w:rsidP="00F72955">
            <w:pPr>
              <w:pStyle w:val="ListParagraph"/>
              <w:numPr>
                <w:ilvl w:val="0"/>
                <w:numId w:val="42"/>
              </w:numPr>
              <w:rPr>
                <w:rFonts w:eastAsia="Calibri"/>
              </w:rPr>
            </w:pPr>
            <w:r w:rsidRPr="00785FB4">
              <w:t xml:space="preserve">In accordance with Requirement 4.4, Afghanistan should ensure that its assessment of the </w:t>
            </w:r>
            <w:r w:rsidRPr="00785FB4">
              <w:lastRenderedPageBreak/>
              <w:t>materiality of any revenues from the transportation of oil, gas and minerals be publicly documented and that any such material revenues be disclosed disaggregated to levels commensurate with the reporting of other payments and revenue streams.</w:t>
            </w:r>
          </w:p>
          <w:p w14:paraId="607EC8F6" w14:textId="12F508A0" w:rsidR="00B20A4A" w:rsidRPr="00785FB4" w:rsidRDefault="003035C8" w:rsidP="00F72955">
            <w:pPr>
              <w:pStyle w:val="ListParagraph"/>
              <w:numPr>
                <w:ilvl w:val="0"/>
                <w:numId w:val="42"/>
              </w:numPr>
              <w:rPr>
                <w:rFonts w:eastAsia="Calibri"/>
              </w:rPr>
            </w:pPr>
            <w:r w:rsidRPr="00785FB4">
              <w:t>In accordance with Requirement 4.5, Afghanistan should undertake a comprehensive assessment of transactions between extractives SOEs and government entities to ensure that the reporting process comprehensively addresses the role of SOEs, including transfers between SOEs and other government agencies.</w:t>
            </w:r>
          </w:p>
          <w:p w14:paraId="544AD848" w14:textId="77777777" w:rsidR="00B20A4A" w:rsidRPr="00785FB4" w:rsidRDefault="00B20A4A" w:rsidP="00F72955">
            <w:pPr>
              <w:pStyle w:val="ListParagraph"/>
              <w:numPr>
                <w:ilvl w:val="0"/>
                <w:numId w:val="42"/>
              </w:numPr>
              <w:rPr>
                <w:rFonts w:eastAsia="Calibri"/>
              </w:rPr>
            </w:pPr>
            <w:r w:rsidRPr="00785FB4">
              <w:t>To strengthen implementation, Afghanistan may wish to consider the extent to which it can make progress in implementing project-level EITI reporting of all taxes and fees through implementation of ring-fencing provisions of the 2014 Minerals Law ahead of the deadline for all EITI Reports covering fiscal periods ending on or after 31 December 2018, agreed by the EITI Board at its 36th meeting in Bogotá.</w:t>
            </w:r>
          </w:p>
          <w:p w14:paraId="362A89F4" w14:textId="22ECECAA" w:rsidR="00B20A4A" w:rsidRPr="00785FB4" w:rsidRDefault="003035C8" w:rsidP="00F72955">
            <w:pPr>
              <w:pStyle w:val="ListParagraph"/>
              <w:numPr>
                <w:ilvl w:val="0"/>
                <w:numId w:val="42"/>
              </w:numPr>
              <w:rPr>
                <w:rFonts w:eastAsia="Calibri"/>
              </w:rPr>
            </w:pPr>
            <w:r w:rsidRPr="00785FB4">
              <w:t>To strengthen implementation, Afghanistan may wish to work with key revenue collecting agencies and sector regulators to explore means of publishing EITI-required information on their normal websites to embed EITI reporting in government and company systems. Afghanistan may also wish to ensure that the timeframe for procurement of the IA is in line with reporting deadlines.</w:t>
            </w:r>
          </w:p>
          <w:p w14:paraId="0ACDA751" w14:textId="32B07909" w:rsidR="001030D3" w:rsidRPr="00785FB4" w:rsidRDefault="003035C8" w:rsidP="00F72955">
            <w:pPr>
              <w:pStyle w:val="ListParagraph"/>
              <w:numPr>
                <w:ilvl w:val="0"/>
                <w:numId w:val="42"/>
              </w:numPr>
              <w:rPr>
                <w:rFonts w:eastAsia="Calibri"/>
              </w:rPr>
            </w:pPr>
            <w:r w:rsidRPr="00785FB4">
              <w:t>In accordance with Requirement 4.9, Afghanistan should ensure that the ToR for the IA is in line with the standard ToR approved by the EITI Board and that agreement on any deviations from the standard ToR be properly documented. Afghanistan should ensure that a review of actual auditing practices by reporting companies and government entities be conducted before agreeing procedures to ensure the reliability of EITI information. Afghanistan should ensure that the quality assurances agreed for EITI reporting be clearly documented, that compliance with agreed procedures by reporting entities be clearly assessed and that the IA provide a clear assessment of the comprehensiveness and reliability of EITI reporting. The MSG should also ensure that summary data tables for all EITI Reports are prepared in a timely manner in line with requirements of the Board-approved IA’s ToR.</w:t>
            </w:r>
          </w:p>
        </w:tc>
      </w:tr>
    </w:tbl>
    <w:p w14:paraId="455FE5A0" w14:textId="77777777" w:rsidR="00574BFC" w:rsidRPr="00785FB4" w:rsidRDefault="00574BFC" w:rsidP="00574BFC"/>
    <w:p w14:paraId="5DE9657A" w14:textId="363AF5C0" w:rsidR="000722F1" w:rsidRPr="00785FB4" w:rsidRDefault="000722F1" w:rsidP="00A94167">
      <w:pPr>
        <w:pStyle w:val="Heading2"/>
        <w:numPr>
          <w:ilvl w:val="0"/>
          <w:numId w:val="19"/>
        </w:numPr>
      </w:pPr>
      <w:bookmarkStart w:id="448" w:name="_Toc459133171"/>
      <w:bookmarkStart w:id="449" w:name="_Toc461803121"/>
      <w:bookmarkStart w:id="450" w:name="_Toc461787350"/>
      <w:bookmarkStart w:id="451" w:name="_Toc461795862"/>
      <w:bookmarkStart w:id="452" w:name="_Toc505449670"/>
      <w:bookmarkStart w:id="453" w:name="_Toc505449811"/>
      <w:r w:rsidRPr="00785FB4">
        <w:t>Revenue management and distribution</w:t>
      </w:r>
      <w:bookmarkEnd w:id="448"/>
      <w:bookmarkEnd w:id="449"/>
      <w:bookmarkEnd w:id="450"/>
      <w:bookmarkEnd w:id="451"/>
      <w:bookmarkEnd w:id="452"/>
      <w:bookmarkEnd w:id="453"/>
      <w:r w:rsidRPr="00785FB4">
        <w:t xml:space="preserve"> </w:t>
      </w:r>
    </w:p>
    <w:p w14:paraId="3C443CCF" w14:textId="2E8E0A75" w:rsidR="00372B0D" w:rsidRPr="00785FB4" w:rsidRDefault="000C6CDF" w:rsidP="00A94167">
      <w:pPr>
        <w:pStyle w:val="Heading2notindexed"/>
      </w:pPr>
      <w:bookmarkStart w:id="454" w:name="_Toc459133172"/>
      <w:bookmarkStart w:id="455" w:name="_Toc461803122"/>
      <w:bookmarkStart w:id="456" w:name="_Toc461787351"/>
      <w:bookmarkStart w:id="457" w:name="_Toc461795863"/>
      <w:bookmarkStart w:id="458" w:name="_Toc505449671"/>
      <w:bookmarkStart w:id="459" w:name="_Toc505449812"/>
      <w:r w:rsidRPr="00785FB4">
        <w:t xml:space="preserve">5.1 </w:t>
      </w:r>
      <w:r w:rsidR="000722F1" w:rsidRPr="00785FB4">
        <w:t>Overview</w:t>
      </w:r>
      <w:bookmarkEnd w:id="454"/>
      <w:bookmarkEnd w:id="455"/>
      <w:bookmarkEnd w:id="456"/>
      <w:bookmarkEnd w:id="457"/>
      <w:bookmarkEnd w:id="458"/>
      <w:bookmarkEnd w:id="459"/>
    </w:p>
    <w:p w14:paraId="7EB215DC" w14:textId="2837E45E" w:rsidR="000722F1" w:rsidRPr="00785FB4" w:rsidRDefault="00372B0D" w:rsidP="000722F1">
      <w:pPr>
        <w:spacing w:before="120"/>
      </w:pPr>
      <w:r w:rsidRPr="00785FB4">
        <w:t>This section provides details on the implementation of the EITI requirements related to revenue management and distribution.</w:t>
      </w:r>
    </w:p>
    <w:p w14:paraId="10FD9981" w14:textId="35472D67" w:rsidR="000722F1" w:rsidRPr="00785FB4" w:rsidRDefault="000C6CDF" w:rsidP="00A94167">
      <w:pPr>
        <w:pStyle w:val="Heading2notindexed"/>
      </w:pPr>
      <w:bookmarkStart w:id="460" w:name="_Toc459133173"/>
      <w:bookmarkStart w:id="461" w:name="_Toc461803123"/>
      <w:bookmarkStart w:id="462" w:name="_Toc461787352"/>
      <w:bookmarkStart w:id="463" w:name="_Toc461795864"/>
      <w:bookmarkStart w:id="464" w:name="_Toc505449672"/>
      <w:bookmarkStart w:id="465" w:name="_Toc505449813"/>
      <w:r w:rsidRPr="00785FB4">
        <w:t xml:space="preserve">5.2 </w:t>
      </w:r>
      <w:r w:rsidR="000722F1" w:rsidRPr="00785FB4">
        <w:t>Assessment</w:t>
      </w:r>
      <w:bookmarkEnd w:id="460"/>
      <w:bookmarkEnd w:id="461"/>
      <w:bookmarkEnd w:id="462"/>
      <w:bookmarkEnd w:id="463"/>
      <w:bookmarkEnd w:id="464"/>
      <w:bookmarkEnd w:id="465"/>
    </w:p>
    <w:p w14:paraId="5C8F8E03" w14:textId="06B31F42" w:rsidR="00436407" w:rsidRPr="00785FB4" w:rsidRDefault="00436407" w:rsidP="00A94167">
      <w:pPr>
        <w:pStyle w:val="Heading2notindexed"/>
      </w:pPr>
      <w:bookmarkStart w:id="466" w:name="_Toc459133174"/>
      <w:bookmarkStart w:id="467" w:name="_Toc461803124"/>
      <w:bookmarkStart w:id="468" w:name="_Toc461787353"/>
      <w:bookmarkStart w:id="469" w:name="_Toc461795865"/>
      <w:bookmarkStart w:id="470" w:name="_Toc505449673"/>
      <w:bookmarkStart w:id="471" w:name="_Toc505449814"/>
      <w:r w:rsidRPr="00785FB4">
        <w:t>Distribution of revenues (#5.1)</w:t>
      </w:r>
      <w:bookmarkEnd w:id="466"/>
      <w:bookmarkEnd w:id="467"/>
      <w:bookmarkEnd w:id="468"/>
      <w:bookmarkEnd w:id="469"/>
      <w:bookmarkEnd w:id="470"/>
      <w:bookmarkEnd w:id="471"/>
    </w:p>
    <w:p w14:paraId="11E077A1" w14:textId="30BD84D4" w:rsidR="00434FDA" w:rsidRPr="00785FB4" w:rsidRDefault="00DF51CD" w:rsidP="00A94167">
      <w:pPr>
        <w:pStyle w:val="Heading3"/>
      </w:pPr>
      <w:bookmarkStart w:id="472" w:name="_Toc505449674"/>
      <w:r w:rsidRPr="00785FB4">
        <w:t>Documentation of progress</w:t>
      </w:r>
      <w:bookmarkEnd w:id="472"/>
      <w:r w:rsidRPr="00785FB4">
        <w:t xml:space="preserve"> </w:t>
      </w:r>
    </w:p>
    <w:p w14:paraId="0560590A" w14:textId="62CF9460" w:rsidR="00DF51CD" w:rsidRPr="00785FB4" w:rsidRDefault="000E3A91" w:rsidP="00DF51CD">
      <w:pPr>
        <w:spacing w:before="120"/>
      </w:pPr>
      <w:r w:rsidRPr="00785FB4">
        <w:rPr>
          <w:bCs/>
        </w:rPr>
        <w:t xml:space="preserve">The 2014-15 EITI Report </w:t>
      </w:r>
      <w:r w:rsidR="00607E16" w:rsidRPr="00785FB4">
        <w:t xml:space="preserve">does not clearly define whether </w:t>
      </w:r>
      <w:r w:rsidR="006E1E43" w:rsidRPr="00785FB4">
        <w:t xml:space="preserve">all </w:t>
      </w:r>
      <w:r w:rsidR="00607E16" w:rsidRPr="00785FB4">
        <w:t xml:space="preserve">extractives revenues are recorded in the national </w:t>
      </w:r>
      <w:r w:rsidR="006E1E43" w:rsidRPr="00785FB4">
        <w:t>budget</w:t>
      </w:r>
      <w:r w:rsidR="00607E16" w:rsidRPr="00785FB4">
        <w:t xml:space="preserve">, but </w:t>
      </w:r>
      <w:r w:rsidR="004939A1" w:rsidRPr="00785FB4">
        <w:t xml:space="preserve">highlights </w:t>
      </w:r>
      <w:r w:rsidR="00607E16" w:rsidRPr="00785FB4">
        <w:t xml:space="preserve">serious concerns about government record-keeping and accounting throughout (pp.16-17,20,68-69). Links to national budget planning documents for 2014 and 2015 on the </w:t>
      </w:r>
      <w:r w:rsidR="00DB56BA" w:rsidRPr="00785FB4">
        <w:lastRenderedPageBreak/>
        <w:t>MOF</w:t>
      </w:r>
      <w:r w:rsidR="00607E16" w:rsidRPr="00785FB4">
        <w:t>’s Directorate of Budget website are provided</w:t>
      </w:r>
      <w:r w:rsidR="00607E16" w:rsidRPr="00785FB4">
        <w:rPr>
          <w:rStyle w:val="FootnoteReference"/>
        </w:rPr>
        <w:footnoteReference w:id="260"/>
      </w:r>
      <w:r w:rsidR="00607E16" w:rsidRPr="00785FB4">
        <w:t xml:space="preserve"> (p.35). </w:t>
      </w:r>
    </w:p>
    <w:p w14:paraId="71113466" w14:textId="48F6A203" w:rsidR="00A577C6" w:rsidRPr="00785FB4" w:rsidRDefault="00607E16" w:rsidP="00DF51CD">
      <w:pPr>
        <w:spacing w:before="120"/>
        <w:rPr>
          <w:bCs/>
        </w:rPr>
      </w:pPr>
      <w:r w:rsidRPr="00785FB4">
        <w:t xml:space="preserve">The report does not refer to international accounting standards aside from </w:t>
      </w:r>
      <w:r w:rsidR="000F7407" w:rsidRPr="00785FB4">
        <w:t xml:space="preserve">in reference to </w:t>
      </w:r>
      <w:r w:rsidRPr="00785FB4">
        <w:t xml:space="preserve">oil and gas PSC contractors </w:t>
      </w:r>
      <w:r w:rsidR="000F7407" w:rsidRPr="00785FB4">
        <w:t>(pp.17,23,29,54).</w:t>
      </w:r>
    </w:p>
    <w:p w14:paraId="7E300B70" w14:textId="4725DC06" w:rsidR="00434FDA" w:rsidRPr="00785FB4" w:rsidRDefault="00DF51CD" w:rsidP="00A94167">
      <w:pPr>
        <w:pStyle w:val="Heading3"/>
      </w:pPr>
      <w:bookmarkStart w:id="473" w:name="_Toc505449675"/>
      <w:r w:rsidRPr="00785FB4">
        <w:t>Stakeholder views</w:t>
      </w:r>
      <w:bookmarkEnd w:id="473"/>
      <w:r w:rsidRPr="00785FB4">
        <w:t xml:space="preserve"> </w:t>
      </w:r>
    </w:p>
    <w:p w14:paraId="0092CA40" w14:textId="2CAEC288" w:rsidR="005046F5" w:rsidRPr="00785FB4" w:rsidRDefault="00B34F2C" w:rsidP="003E2CA0">
      <w:pPr>
        <w:spacing w:before="120"/>
        <w:rPr>
          <w:bCs/>
        </w:rPr>
      </w:pPr>
      <w:r w:rsidRPr="00785FB4">
        <w:rPr>
          <w:bCs/>
        </w:rPr>
        <w:t>While the MSG’s Technical Committee noted that the MSG had discussed the issue of revenue traceability in preparing the 2014-15 EITI Report, there was no consensus among stakeholders consulted over whether all extractives revenues were</w:t>
      </w:r>
      <w:r w:rsidR="001F2B6B" w:rsidRPr="00785FB4">
        <w:rPr>
          <w:bCs/>
        </w:rPr>
        <w:t xml:space="preserve"> de facto</w:t>
      </w:r>
      <w:r w:rsidRPr="00785FB4">
        <w:rPr>
          <w:bCs/>
        </w:rPr>
        <w:t xml:space="preserve"> recorded in the national budget. Several development partners highlighted that Afghanistan operated a single Treasury account, </w:t>
      </w:r>
      <w:r w:rsidR="003E2CA0" w:rsidRPr="00785FB4">
        <w:rPr>
          <w:bCs/>
        </w:rPr>
        <w:t xml:space="preserve">which centralised balances of other accounts each day. </w:t>
      </w:r>
      <w:r w:rsidRPr="00785FB4">
        <w:rPr>
          <w:bCs/>
        </w:rPr>
        <w:t xml:space="preserve">While there was consensus among stakeholders consulted that revenues collected by </w:t>
      </w:r>
      <w:r w:rsidR="00DB56BA" w:rsidRPr="00785FB4">
        <w:rPr>
          <w:bCs/>
        </w:rPr>
        <w:t>MOF</w:t>
      </w:r>
      <w:r w:rsidRPr="00785FB4">
        <w:rPr>
          <w:bCs/>
        </w:rPr>
        <w:t xml:space="preserve"> entities </w:t>
      </w:r>
      <w:r w:rsidR="001F2B6B" w:rsidRPr="00785FB4">
        <w:rPr>
          <w:bCs/>
        </w:rPr>
        <w:t xml:space="preserve">were </w:t>
      </w:r>
      <w:r w:rsidRPr="00785FB4">
        <w:rPr>
          <w:bCs/>
        </w:rPr>
        <w:t xml:space="preserve">systematically transferred to the single Treasury account, there were different views over the management of non-tax revenues collected by </w:t>
      </w:r>
      <w:r w:rsidR="00DB56BA" w:rsidRPr="00785FB4">
        <w:rPr>
          <w:bCs/>
        </w:rPr>
        <w:t>MOMP</w:t>
      </w:r>
      <w:r w:rsidRPr="00785FB4">
        <w:rPr>
          <w:bCs/>
        </w:rPr>
        <w:t xml:space="preserve">. </w:t>
      </w:r>
      <w:r w:rsidR="005046F5" w:rsidRPr="00785FB4">
        <w:rPr>
          <w:bCs/>
        </w:rPr>
        <w:t xml:space="preserve">Several government officials explained that </w:t>
      </w:r>
      <w:r w:rsidR="00DB56BA" w:rsidRPr="00785FB4">
        <w:rPr>
          <w:bCs/>
        </w:rPr>
        <w:t>MOMP</w:t>
      </w:r>
      <w:r w:rsidR="005046F5" w:rsidRPr="00785FB4">
        <w:rPr>
          <w:bCs/>
        </w:rPr>
        <w:t xml:space="preserve"> collected non-tax revenues both centrally and through its provincial offices in a series of bank accounts at </w:t>
      </w:r>
      <w:r w:rsidR="002B56D4" w:rsidRPr="00785FB4">
        <w:rPr>
          <w:bCs/>
        </w:rPr>
        <w:t xml:space="preserve">the </w:t>
      </w:r>
      <w:r w:rsidR="003E2CA0" w:rsidRPr="00785FB4">
        <w:rPr>
          <w:bCs/>
        </w:rPr>
        <w:t xml:space="preserve">state </w:t>
      </w:r>
      <w:r w:rsidR="005046F5" w:rsidRPr="00785FB4">
        <w:rPr>
          <w:bCs/>
        </w:rPr>
        <w:t>bank</w:t>
      </w:r>
      <w:r w:rsidR="003E2CA0" w:rsidRPr="00785FB4">
        <w:rPr>
          <w:bCs/>
        </w:rPr>
        <w:t>,</w:t>
      </w:r>
      <w:r w:rsidR="005046F5" w:rsidRPr="00785FB4">
        <w:rPr>
          <w:bCs/>
        </w:rPr>
        <w:t xml:space="preserve"> </w:t>
      </w:r>
      <w:r w:rsidR="003E2CA0" w:rsidRPr="00785FB4">
        <w:rPr>
          <w:bCs/>
        </w:rPr>
        <w:t xml:space="preserve">which were </w:t>
      </w:r>
      <w:r w:rsidR="005046F5" w:rsidRPr="00785FB4">
        <w:rPr>
          <w:bCs/>
        </w:rPr>
        <w:t>subsequently transferred to the single Treasury account</w:t>
      </w:r>
      <w:r w:rsidR="002B56D4" w:rsidRPr="00785FB4">
        <w:rPr>
          <w:bCs/>
        </w:rPr>
        <w:t xml:space="preserve"> every day</w:t>
      </w:r>
      <w:r w:rsidR="005046F5" w:rsidRPr="00785FB4">
        <w:rPr>
          <w:bCs/>
        </w:rPr>
        <w:t xml:space="preserve">. However, several industry and civil society representatives </w:t>
      </w:r>
      <w:r w:rsidR="00CE4CB3" w:rsidRPr="00785FB4">
        <w:rPr>
          <w:bCs/>
        </w:rPr>
        <w:t xml:space="preserve">questioned whether </w:t>
      </w:r>
      <w:r w:rsidR="005046F5" w:rsidRPr="00785FB4">
        <w:rPr>
          <w:bCs/>
        </w:rPr>
        <w:t xml:space="preserve">non-tax revenues collected by </w:t>
      </w:r>
      <w:r w:rsidR="00DB56BA" w:rsidRPr="00785FB4">
        <w:rPr>
          <w:bCs/>
        </w:rPr>
        <w:t>MOMP</w:t>
      </w:r>
      <w:r w:rsidR="005046F5" w:rsidRPr="00785FB4">
        <w:rPr>
          <w:bCs/>
        </w:rPr>
        <w:t xml:space="preserve"> were systematically transferred to the Treasury and recorded in the budget. </w:t>
      </w:r>
    </w:p>
    <w:p w14:paraId="4F3015B0" w14:textId="0D545A62" w:rsidR="0089508B" w:rsidRPr="00785FB4" w:rsidRDefault="00EF4D0E" w:rsidP="005046F5">
      <w:pPr>
        <w:spacing w:before="120"/>
        <w:rPr>
          <w:bCs/>
        </w:rPr>
      </w:pPr>
      <w:r w:rsidRPr="00785FB4">
        <w:rPr>
          <w:bCs/>
        </w:rPr>
        <w:t>For several years, c</w:t>
      </w:r>
      <w:r w:rsidR="005046F5" w:rsidRPr="00785FB4">
        <w:rPr>
          <w:bCs/>
        </w:rPr>
        <w:t xml:space="preserve">ivil society organisations </w:t>
      </w:r>
      <w:r w:rsidRPr="00785FB4">
        <w:rPr>
          <w:bCs/>
        </w:rPr>
        <w:t xml:space="preserve">and independent reports for </w:t>
      </w:r>
      <w:r w:rsidR="00DB56BA" w:rsidRPr="00785FB4">
        <w:rPr>
          <w:bCs/>
        </w:rPr>
        <w:t>MOMP</w:t>
      </w:r>
      <w:r w:rsidRPr="00785FB4">
        <w:rPr>
          <w:bCs/>
        </w:rPr>
        <w:t xml:space="preserve"> </w:t>
      </w:r>
      <w:r w:rsidR="005046F5" w:rsidRPr="00785FB4">
        <w:rPr>
          <w:bCs/>
        </w:rPr>
        <w:t xml:space="preserve">have </w:t>
      </w:r>
      <w:r w:rsidRPr="00785FB4">
        <w:rPr>
          <w:bCs/>
        </w:rPr>
        <w:t>publicly</w:t>
      </w:r>
      <w:r w:rsidR="005046F5" w:rsidRPr="00785FB4">
        <w:rPr>
          <w:bCs/>
        </w:rPr>
        <w:t xml:space="preserve"> called for </w:t>
      </w:r>
      <w:r w:rsidRPr="00785FB4">
        <w:rPr>
          <w:bCs/>
        </w:rPr>
        <w:t>the creation of a single account for all natural resource payments.</w:t>
      </w:r>
      <w:r w:rsidRPr="00785FB4">
        <w:rPr>
          <w:rStyle w:val="FootnoteReference"/>
        </w:rPr>
        <w:footnoteReference w:id="261"/>
      </w:r>
      <w:r w:rsidRPr="00785FB4">
        <w:rPr>
          <w:bCs/>
        </w:rPr>
        <w:t xml:space="preserve"> </w:t>
      </w:r>
      <w:r w:rsidR="002E39F5" w:rsidRPr="00785FB4">
        <w:t>The 2017 AEITI assessment highlighted the efficiency of the Treasury’s SIGTAS system for tracking tax, non-tax and customs revenues at the national, provincial and district levels even if it did not disaggregate extractives revenues.</w:t>
      </w:r>
      <w:r w:rsidR="002E39F5" w:rsidRPr="00785FB4">
        <w:rPr>
          <w:vertAlign w:val="superscript"/>
        </w:rPr>
        <w:footnoteReference w:id="262"/>
      </w:r>
      <w:r w:rsidR="002E39F5" w:rsidRPr="00785FB4">
        <w:t xml:space="preserve"> </w:t>
      </w:r>
      <w:r w:rsidR="002E39F5" w:rsidRPr="00785FB4">
        <w:rPr>
          <w:bCs/>
        </w:rPr>
        <w:t xml:space="preserve">Several government officials noted that the </w:t>
      </w:r>
      <w:r w:rsidR="00DB56BA" w:rsidRPr="00785FB4">
        <w:rPr>
          <w:bCs/>
        </w:rPr>
        <w:t>MOF</w:t>
      </w:r>
      <w:r w:rsidR="002E39F5" w:rsidRPr="00785FB4">
        <w:rPr>
          <w:bCs/>
        </w:rPr>
        <w:t xml:space="preserve"> had recently been directed to establish a single extractives account in the Treasury.</w:t>
      </w:r>
      <w:r w:rsidR="004A404B" w:rsidRPr="00785FB4">
        <w:rPr>
          <w:bCs/>
        </w:rPr>
        <w:t xml:space="preserve"> However, a development partner questioned the idea of creating a standalone account for extractives revenues, separate to the single Treasury account, given the need to centralise all revenues through a single account. Rather, the implementation of TINs for every mining, oil and gas license would allow for the disaggregation of extractives revenues in real time.</w:t>
      </w:r>
      <w:r w:rsidR="002E39F5" w:rsidRPr="00785FB4">
        <w:rPr>
          <w:bCs/>
        </w:rPr>
        <w:t xml:space="preserve"> Officials highlighted that mining companies’ tax payments had all been centralised to LTO since June 2017, although </w:t>
      </w:r>
      <w:r w:rsidRPr="00785FB4">
        <w:rPr>
          <w:bCs/>
        </w:rPr>
        <w:t xml:space="preserve">only around 120 mining companies had registered as of January 2018. </w:t>
      </w:r>
      <w:r w:rsidR="002E39F5" w:rsidRPr="00785FB4">
        <w:rPr>
          <w:bCs/>
        </w:rPr>
        <w:t>W</w:t>
      </w:r>
      <w:r w:rsidRPr="00785FB4">
        <w:rPr>
          <w:bCs/>
        </w:rPr>
        <w:t xml:space="preserve">hile the </w:t>
      </w:r>
      <w:r w:rsidR="00DB56BA" w:rsidRPr="00785FB4">
        <w:rPr>
          <w:bCs/>
        </w:rPr>
        <w:t>MOF</w:t>
      </w:r>
      <w:r w:rsidRPr="00785FB4">
        <w:rPr>
          <w:bCs/>
        </w:rPr>
        <w:t>’s SIGTAS (Treasury), ASYCUDA (Customs) and AFMIS (</w:t>
      </w:r>
      <w:r w:rsidR="0089508B" w:rsidRPr="00785FB4">
        <w:rPr>
          <w:bCs/>
        </w:rPr>
        <w:t>public finance management</w:t>
      </w:r>
      <w:r w:rsidRPr="00785FB4">
        <w:rPr>
          <w:bCs/>
        </w:rPr>
        <w:t xml:space="preserve">) systems were considered to be well-functioning in Kabul, </w:t>
      </w:r>
      <w:r w:rsidR="00F12912" w:rsidRPr="00785FB4">
        <w:rPr>
          <w:bCs/>
        </w:rPr>
        <w:t>there were differing opinions on their implementation in provincial offices</w:t>
      </w:r>
      <w:r w:rsidRPr="00785FB4">
        <w:rPr>
          <w:bCs/>
        </w:rPr>
        <w:t xml:space="preserve">. </w:t>
      </w:r>
      <w:r w:rsidR="0089508B" w:rsidRPr="00785FB4">
        <w:rPr>
          <w:bCs/>
        </w:rPr>
        <w:t xml:space="preserve">In 2016 the World Bank praised </w:t>
      </w:r>
      <w:r w:rsidR="00F12912" w:rsidRPr="00785FB4">
        <w:t xml:space="preserve">the Treasury’s AFMIS system </w:t>
      </w:r>
      <w:r w:rsidR="0089508B" w:rsidRPr="00785FB4">
        <w:t>as a “stable and effective” application available in all 34 provinces.</w:t>
      </w:r>
      <w:r w:rsidR="0089508B" w:rsidRPr="00785FB4">
        <w:rPr>
          <w:vertAlign w:val="superscript"/>
        </w:rPr>
        <w:footnoteReference w:id="263"/>
      </w:r>
      <w:r w:rsidR="0089508B" w:rsidRPr="00785FB4">
        <w:rPr>
          <w:bCs/>
        </w:rPr>
        <w:t xml:space="preserve"> </w:t>
      </w:r>
    </w:p>
    <w:p w14:paraId="67814ACA" w14:textId="19903780" w:rsidR="007316D0" w:rsidRPr="00785FB4" w:rsidRDefault="00EF4D0E" w:rsidP="00DF51CD">
      <w:pPr>
        <w:spacing w:before="120"/>
        <w:rPr>
          <w:bCs/>
        </w:rPr>
      </w:pPr>
      <w:r w:rsidRPr="00785FB4">
        <w:rPr>
          <w:bCs/>
        </w:rPr>
        <w:t xml:space="preserve">Several government officials highlighted </w:t>
      </w:r>
      <w:r w:rsidR="00DB56BA" w:rsidRPr="00785FB4">
        <w:rPr>
          <w:bCs/>
        </w:rPr>
        <w:t>MOMP</w:t>
      </w:r>
      <w:r w:rsidRPr="00785FB4">
        <w:rPr>
          <w:bCs/>
        </w:rPr>
        <w:t xml:space="preserve">’s ongoing work to </w:t>
      </w:r>
      <w:r w:rsidR="00F12912" w:rsidRPr="00785FB4">
        <w:rPr>
          <w:bCs/>
        </w:rPr>
        <w:t xml:space="preserve">digitise </w:t>
      </w:r>
      <w:r w:rsidRPr="00785FB4">
        <w:rPr>
          <w:bCs/>
        </w:rPr>
        <w:t xml:space="preserve">non-tax </w:t>
      </w:r>
      <w:r w:rsidR="00F12912" w:rsidRPr="00785FB4">
        <w:rPr>
          <w:bCs/>
        </w:rPr>
        <w:t xml:space="preserve">revenue collection through an online </w:t>
      </w:r>
      <w:r w:rsidRPr="00785FB4">
        <w:rPr>
          <w:bCs/>
        </w:rPr>
        <w:t xml:space="preserve">payment system, </w:t>
      </w:r>
      <w:r w:rsidR="00F12912" w:rsidRPr="00785FB4">
        <w:rPr>
          <w:bCs/>
        </w:rPr>
        <w:t xml:space="preserve">linked to the MCAS cadastre system </w:t>
      </w:r>
      <w:r w:rsidRPr="00785FB4">
        <w:rPr>
          <w:bCs/>
        </w:rPr>
        <w:t>with a public portal</w:t>
      </w:r>
      <w:r w:rsidR="00F12912" w:rsidRPr="00785FB4">
        <w:rPr>
          <w:bCs/>
        </w:rPr>
        <w:t xml:space="preserve"> (</w:t>
      </w:r>
      <w:r w:rsidR="00F12912" w:rsidRPr="00785FB4">
        <w:rPr>
          <w:bCs/>
          <w:i/>
        </w:rPr>
        <w:t>see Requirement 2.3</w:t>
      </w:r>
      <w:r w:rsidR="00F12912" w:rsidRPr="00785FB4">
        <w:rPr>
          <w:bCs/>
        </w:rPr>
        <w:t>)</w:t>
      </w:r>
      <w:r w:rsidRPr="00785FB4">
        <w:rPr>
          <w:bCs/>
        </w:rPr>
        <w:t xml:space="preserve">. </w:t>
      </w:r>
      <w:r w:rsidR="00F12912" w:rsidRPr="00785FB4">
        <w:rPr>
          <w:bCs/>
        </w:rPr>
        <w:t>The aim was to implement provisions of the 2009 Income Tax Law requiring the ring-</w:t>
      </w:r>
      <w:r w:rsidR="00F12912" w:rsidRPr="00785FB4">
        <w:rPr>
          <w:bCs/>
        </w:rPr>
        <w:lastRenderedPageBreak/>
        <w:t xml:space="preserve">fencing of taxes (and separate TIN) per license. Government officials explained that </w:t>
      </w:r>
      <w:r w:rsidR="00DB56BA" w:rsidRPr="00785FB4">
        <w:rPr>
          <w:bCs/>
        </w:rPr>
        <w:t>MOMP</w:t>
      </w:r>
      <w:r w:rsidR="00F12912" w:rsidRPr="00785FB4">
        <w:rPr>
          <w:bCs/>
        </w:rPr>
        <w:t xml:space="preserve"> had started monthly meetings with </w:t>
      </w:r>
      <w:r w:rsidR="00DB56BA" w:rsidRPr="00785FB4">
        <w:rPr>
          <w:bCs/>
        </w:rPr>
        <w:t>MOF</w:t>
      </w:r>
      <w:r w:rsidR="00F12912" w:rsidRPr="00785FB4">
        <w:rPr>
          <w:bCs/>
        </w:rPr>
        <w:t xml:space="preserve"> in 2017 to seek to align lists of active extractives companies between the two Ministries, which led to a rise in collections in 2017. </w:t>
      </w:r>
      <w:r w:rsidR="0089508B" w:rsidRPr="00785FB4">
        <w:rPr>
          <w:bCs/>
        </w:rPr>
        <w:t xml:space="preserve">Other officials noted the </w:t>
      </w:r>
      <w:r w:rsidR="00DB56BA" w:rsidRPr="00785FB4">
        <w:rPr>
          <w:bCs/>
        </w:rPr>
        <w:t>MOMP</w:t>
      </w:r>
      <w:r w:rsidR="0089508B" w:rsidRPr="00785FB4">
        <w:rPr>
          <w:bCs/>
        </w:rPr>
        <w:t xml:space="preserve">’s ambition to integrate its non-tax revenue collection system into the SIGTAS and AFMIS systems. </w:t>
      </w:r>
    </w:p>
    <w:p w14:paraId="50FBD7DD" w14:textId="05442159" w:rsidR="0089508B" w:rsidRPr="00785FB4" w:rsidRDefault="0089508B" w:rsidP="00DF51CD">
      <w:pPr>
        <w:spacing w:before="120"/>
        <w:rPr>
          <w:bCs/>
        </w:rPr>
      </w:pPr>
      <w:r w:rsidRPr="00785FB4">
        <w:rPr>
          <w:bCs/>
        </w:rPr>
        <w:t>Government officials and Afghanistan’s latest Public Financial Management and Accountability Assessment (PEFA) report confirmed that the government operates a national revenue classification system of eight major codes, 21 minor groups and 192 object codes, requiring a conversion table to generate GFS-consistent data.</w:t>
      </w:r>
      <w:r w:rsidRPr="00785FB4">
        <w:rPr>
          <w:rStyle w:val="FootnoteReference"/>
        </w:rPr>
        <w:footnoteReference w:id="264"/>
      </w:r>
      <w:r w:rsidR="003E2CA0" w:rsidRPr="00785FB4">
        <w:rPr>
          <w:bCs/>
        </w:rPr>
        <w:t xml:space="preserve"> However, IMF reports on Afghanistan provide updates on the roll-out of monthly reports consistent with the GFS2001 nomenclature.</w:t>
      </w:r>
      <w:r w:rsidR="003E2CA0" w:rsidRPr="00785FB4">
        <w:rPr>
          <w:rStyle w:val="FootnoteReference"/>
        </w:rPr>
        <w:footnoteReference w:id="265"/>
      </w:r>
      <w:r w:rsidR="003E2CA0" w:rsidRPr="00785FB4">
        <w:rPr>
          <w:bCs/>
        </w:rPr>
        <w:t xml:space="preserve"> The 2017 AEITI assessment calls for the implementation of the Treasury’s existing “object codes” in other line ministries and subnational governments.</w:t>
      </w:r>
      <w:r w:rsidR="003E2CA0" w:rsidRPr="00785FB4">
        <w:rPr>
          <w:rStyle w:val="FootnoteReference"/>
          <w:bCs/>
        </w:rPr>
        <w:footnoteReference w:id="266"/>
      </w:r>
      <w:r w:rsidR="004A404B" w:rsidRPr="00785FB4">
        <w:rPr>
          <w:bCs/>
        </w:rPr>
        <w:t xml:space="preserve"> A government official noted that the </w:t>
      </w:r>
      <w:r w:rsidR="00DB56BA" w:rsidRPr="00785FB4">
        <w:rPr>
          <w:bCs/>
        </w:rPr>
        <w:t>MOF</w:t>
      </w:r>
      <w:r w:rsidR="004A404B" w:rsidRPr="00785FB4">
        <w:rPr>
          <w:bCs/>
        </w:rPr>
        <w:t xml:space="preserve"> had recently created 110 new extractives-specific revenue classification codes, although there was no explanation for the high number of revenue codes given the lower number of extractives revenues covered in EITI Reports.</w:t>
      </w:r>
    </w:p>
    <w:p w14:paraId="501C743D" w14:textId="3929AD14" w:rsidR="00436407" w:rsidRPr="00785FB4" w:rsidRDefault="00800EEA" w:rsidP="00A94167">
      <w:pPr>
        <w:pStyle w:val="Heading3"/>
      </w:pPr>
      <w:bookmarkStart w:id="474" w:name="_Toc459133177"/>
      <w:bookmarkStart w:id="475" w:name="_Toc461803127"/>
      <w:bookmarkStart w:id="476" w:name="_Toc505449676"/>
      <w:r w:rsidRPr="00785FB4">
        <w:t>Initial a</w:t>
      </w:r>
      <w:r w:rsidR="00436407" w:rsidRPr="00785FB4">
        <w:t>ssessment</w:t>
      </w:r>
      <w:bookmarkEnd w:id="474"/>
      <w:bookmarkEnd w:id="475"/>
      <w:bookmarkEnd w:id="476"/>
    </w:p>
    <w:p w14:paraId="2D23045C" w14:textId="1463A1AD" w:rsidR="000722F1" w:rsidRPr="00785FB4" w:rsidRDefault="00DF51CD" w:rsidP="0051763B">
      <w:r w:rsidRPr="00785FB4">
        <w:t xml:space="preserve">The International Secretariat’s initial assessment is that </w:t>
      </w:r>
      <w:r w:rsidR="004474EA" w:rsidRPr="00785FB4">
        <w:rPr>
          <w:bCs/>
        </w:rPr>
        <w:t>Afghanistan</w:t>
      </w:r>
      <w:r w:rsidR="004474EA" w:rsidRPr="00785FB4">
        <w:t xml:space="preserve"> </w:t>
      </w:r>
      <w:r w:rsidRPr="00785FB4">
        <w:t xml:space="preserve">has made </w:t>
      </w:r>
      <w:r w:rsidR="00930DA0" w:rsidRPr="00785FB4">
        <w:rPr>
          <w:bCs/>
        </w:rPr>
        <w:t>inadequate</w:t>
      </w:r>
      <w:r w:rsidR="00922ED3" w:rsidRPr="00785FB4">
        <w:t xml:space="preserve"> </w:t>
      </w:r>
      <w:r w:rsidRPr="00785FB4">
        <w:t xml:space="preserve">progress in meeting this requirement. </w:t>
      </w:r>
      <w:r w:rsidR="00A10D3B" w:rsidRPr="00785FB4">
        <w:rPr>
          <w:bCs/>
        </w:rPr>
        <w:t xml:space="preserve">The 2014-15 EITI Report </w:t>
      </w:r>
      <w:r w:rsidR="00A10D3B" w:rsidRPr="00785FB4">
        <w:t>does not clearly define what extractives revenues are recorded in the national budget, but raises serious concerns about government record-keeping and accounting.</w:t>
      </w:r>
      <w:r w:rsidR="003E2CA0" w:rsidRPr="00785FB4">
        <w:t xml:space="preserve"> </w:t>
      </w:r>
      <w:r w:rsidR="00F137D7" w:rsidRPr="00785FB4">
        <w:t>While the 2014-15 EITI Report includes some information on weaknesses in government</w:t>
      </w:r>
      <w:r w:rsidR="0032350A" w:rsidRPr="00785FB4">
        <w:t xml:space="preserve"> record-</w:t>
      </w:r>
      <w:r w:rsidR="00F137D7" w:rsidRPr="00785FB4">
        <w:t>keeping, t</w:t>
      </w:r>
      <w:r w:rsidR="003E2CA0" w:rsidRPr="00785FB4">
        <w:t xml:space="preserve">here is a general lack of clarity among stakeholders consulted over whether all tax and non-tax extractives revenues are recorded in the national budget. </w:t>
      </w:r>
    </w:p>
    <w:p w14:paraId="265A43C0" w14:textId="45911DFD" w:rsidR="00A65239" w:rsidRPr="00785FB4" w:rsidRDefault="00930DA0" w:rsidP="0051763B">
      <w:r w:rsidRPr="00785FB4">
        <w:t xml:space="preserve">In accordance with Requirement 5.1, </w:t>
      </w:r>
      <w:r w:rsidR="004A404B" w:rsidRPr="00785FB4">
        <w:t xml:space="preserve">Afghanistan </w:t>
      </w:r>
      <w:r w:rsidRPr="00785FB4">
        <w:t xml:space="preserve">should </w:t>
      </w:r>
      <w:r w:rsidR="00746256" w:rsidRPr="00785FB4">
        <w:t xml:space="preserve">ensure that </w:t>
      </w:r>
      <w:r w:rsidR="00F137D7" w:rsidRPr="00785FB4">
        <w:t xml:space="preserve">future EITI reporting clearly identify any off-budget extractives revenues and that </w:t>
      </w:r>
      <w:r w:rsidR="00746256" w:rsidRPr="00785FB4">
        <w:t xml:space="preserve">the allocation of extractives revenues not recorded in the national budget are explained, with links provided to relevant financial reports as applicable. </w:t>
      </w:r>
      <w:r w:rsidR="004A404B" w:rsidRPr="00785FB4">
        <w:t xml:space="preserve">Afghanistan </w:t>
      </w:r>
      <w:r w:rsidR="00746256" w:rsidRPr="00785FB4">
        <w:t>may wish to explore the extent to which it could use extractives-specific GFS classifications from its EITI summary data tables</w:t>
      </w:r>
      <w:r w:rsidR="0054465F" w:rsidRPr="00785FB4">
        <w:t xml:space="preserve"> (together with its per-license tax ID numbers)</w:t>
      </w:r>
      <w:r w:rsidR="00746256" w:rsidRPr="00785FB4">
        <w:t xml:space="preserve"> as a means of disaggregating extractives </w:t>
      </w:r>
      <w:r w:rsidR="0054465F" w:rsidRPr="00785FB4">
        <w:t xml:space="preserve">revenues </w:t>
      </w:r>
      <w:r w:rsidR="00746256" w:rsidRPr="00785FB4">
        <w:t xml:space="preserve">in </w:t>
      </w:r>
      <w:r w:rsidR="00DB56BA" w:rsidRPr="00785FB4">
        <w:t>MOF</w:t>
      </w:r>
      <w:r w:rsidR="00746256" w:rsidRPr="00785FB4">
        <w:t xml:space="preserve"> systems.</w:t>
      </w:r>
    </w:p>
    <w:p w14:paraId="705EFC80" w14:textId="77777777" w:rsidR="000722F1" w:rsidRPr="00785FB4" w:rsidRDefault="000722F1" w:rsidP="00A94167">
      <w:pPr>
        <w:pStyle w:val="Heading2notindexed"/>
      </w:pPr>
      <w:bookmarkStart w:id="477" w:name="_Toc459133178"/>
      <w:bookmarkStart w:id="478" w:name="_Toc461803128"/>
      <w:bookmarkStart w:id="479" w:name="_Toc461787354"/>
      <w:bookmarkStart w:id="480" w:name="_Toc461795866"/>
      <w:bookmarkStart w:id="481" w:name="_Toc505449677"/>
      <w:bookmarkStart w:id="482" w:name="_Toc505449815"/>
      <w:bookmarkStart w:id="483" w:name="_Toc459133179"/>
      <w:r w:rsidRPr="00785FB4">
        <w:t>Sub-national transfers (#</w:t>
      </w:r>
      <w:r w:rsidR="00436407" w:rsidRPr="00785FB4">
        <w:t>5.2</w:t>
      </w:r>
      <w:r w:rsidRPr="00785FB4">
        <w:t>)</w:t>
      </w:r>
      <w:bookmarkEnd w:id="477"/>
      <w:bookmarkEnd w:id="478"/>
      <w:bookmarkEnd w:id="479"/>
      <w:bookmarkEnd w:id="480"/>
      <w:bookmarkEnd w:id="481"/>
      <w:bookmarkEnd w:id="482"/>
    </w:p>
    <w:p w14:paraId="46924DE5" w14:textId="1F029638" w:rsidR="00434FDA" w:rsidRPr="00785FB4" w:rsidRDefault="00DF51CD" w:rsidP="00A94167">
      <w:pPr>
        <w:pStyle w:val="Heading3"/>
      </w:pPr>
      <w:bookmarkStart w:id="484" w:name="_Toc505449678"/>
      <w:bookmarkEnd w:id="483"/>
      <w:r w:rsidRPr="00785FB4">
        <w:t>Documentation of progress</w:t>
      </w:r>
      <w:bookmarkEnd w:id="484"/>
      <w:r w:rsidRPr="00785FB4">
        <w:t xml:space="preserve"> </w:t>
      </w:r>
    </w:p>
    <w:p w14:paraId="59CC1B29" w14:textId="41023877" w:rsidR="00886992" w:rsidRPr="00785FB4" w:rsidRDefault="009A3FA4" w:rsidP="00431760">
      <w:pPr>
        <w:spacing w:before="120"/>
        <w:rPr>
          <w:bCs/>
        </w:rPr>
      </w:pPr>
      <w:r w:rsidRPr="00785FB4">
        <w:rPr>
          <w:bCs/>
        </w:rPr>
        <w:t xml:space="preserve">The 2014-15 EITI Report describes statutory provisions under </w:t>
      </w:r>
      <w:r w:rsidRPr="00785FB4">
        <w:t xml:space="preserve">Article 84 of the 2014 Minerals Law </w:t>
      </w:r>
      <w:r w:rsidRPr="00785FB4">
        <w:rPr>
          <w:bCs/>
        </w:rPr>
        <w:t>for the transfer of 5% “</w:t>
      </w:r>
      <w:r w:rsidRPr="00785FB4">
        <w:t xml:space="preserve">of the overall revenue from a mine or mines, in a special code [budget code] or wealth fund, to the economic, social and environmental development purpose of the province or provinces where the mines are located.” The report refers to </w:t>
      </w:r>
      <w:r w:rsidR="00DB56BA" w:rsidRPr="00785FB4">
        <w:t>MOMP</w:t>
      </w:r>
      <w:r w:rsidRPr="00785FB4">
        <w:t xml:space="preserve"> Cadastre Directorate’s explanation that this </w:t>
      </w:r>
      <w:r w:rsidRPr="00785FB4">
        <w:lastRenderedPageBreak/>
        <w:t xml:space="preserve">provision had not yet been implemented and the MSG’s decision that subnational transfers were not applicable in the period under </w:t>
      </w:r>
      <w:bookmarkStart w:id="485" w:name="_GoBack"/>
      <w:bookmarkEnd w:id="485"/>
      <w:r w:rsidRPr="00785FB4">
        <w:t xml:space="preserve">review (pp.44-45). </w:t>
      </w:r>
    </w:p>
    <w:p w14:paraId="476CE174" w14:textId="5D2A4C95" w:rsidR="00434FDA" w:rsidRPr="00785FB4" w:rsidRDefault="00DF51CD" w:rsidP="00A94167">
      <w:pPr>
        <w:pStyle w:val="Heading3"/>
      </w:pPr>
      <w:bookmarkStart w:id="486" w:name="_Toc505449679"/>
      <w:r w:rsidRPr="00785FB4">
        <w:t>Stakeholder views</w:t>
      </w:r>
      <w:bookmarkEnd w:id="486"/>
      <w:r w:rsidRPr="00785FB4">
        <w:t xml:space="preserve"> </w:t>
      </w:r>
    </w:p>
    <w:p w14:paraId="717AF648" w14:textId="2947EB08" w:rsidR="00934C7D" w:rsidRPr="00785FB4" w:rsidRDefault="002E39F5" w:rsidP="00DF51CD">
      <w:pPr>
        <w:spacing w:before="120"/>
        <w:rPr>
          <w:bCs/>
        </w:rPr>
      </w:pPr>
      <w:r w:rsidRPr="00785FB4">
        <w:t>All stakeholders consulted – and t</w:t>
      </w:r>
      <w:r w:rsidR="009A3FA4" w:rsidRPr="00785FB4">
        <w:t>he 2017 AEITI assessment</w:t>
      </w:r>
      <w:r w:rsidRPr="00785FB4">
        <w:rPr>
          <w:rStyle w:val="FootnoteReference"/>
          <w:bCs/>
        </w:rPr>
        <w:footnoteReference w:id="267"/>
      </w:r>
      <w:r w:rsidR="009A3FA4" w:rsidRPr="00785FB4">
        <w:t xml:space="preserve"> </w:t>
      </w:r>
      <w:r w:rsidRPr="00785FB4">
        <w:t xml:space="preserve">– </w:t>
      </w:r>
      <w:r w:rsidRPr="00785FB4">
        <w:rPr>
          <w:bCs/>
        </w:rPr>
        <w:t>confirmed</w:t>
      </w:r>
      <w:r w:rsidR="009A3FA4" w:rsidRPr="00785FB4">
        <w:rPr>
          <w:bCs/>
        </w:rPr>
        <w:t xml:space="preserve"> that the statutory 5% subnational transfers had not yet been implemented.</w:t>
      </w:r>
      <w:r w:rsidRPr="00785FB4">
        <w:rPr>
          <w:bCs/>
        </w:rPr>
        <w:t xml:space="preserve"> Several CSOs criticised the lack of implementation of the statutory requirement</w:t>
      </w:r>
      <w:r w:rsidR="008B5416" w:rsidRPr="00785FB4">
        <w:rPr>
          <w:bCs/>
        </w:rPr>
        <w:t xml:space="preserve">, as well as the vague language in the law that did not clearly define rates or affected communities. These concerns were also echoed in the ASI report to the </w:t>
      </w:r>
      <w:r w:rsidR="00DB56BA" w:rsidRPr="00785FB4">
        <w:rPr>
          <w:bCs/>
        </w:rPr>
        <w:t>MOMP</w:t>
      </w:r>
      <w:r w:rsidR="008B5416" w:rsidRPr="00785FB4">
        <w:rPr>
          <w:bCs/>
        </w:rPr>
        <w:t xml:space="preserve"> in November 2015.</w:t>
      </w:r>
      <w:r w:rsidR="00934C7D" w:rsidRPr="00785FB4">
        <w:rPr>
          <w:rStyle w:val="FootnoteReference"/>
          <w:bCs/>
        </w:rPr>
        <w:footnoteReference w:id="268"/>
      </w:r>
      <w:r w:rsidR="00A10601" w:rsidRPr="00785FB4">
        <w:rPr>
          <w:bCs/>
        </w:rPr>
        <w:t xml:space="preserve"> Stakeholders were not aware of any other statutory sub-national transfers.</w:t>
      </w:r>
    </w:p>
    <w:p w14:paraId="37DB82F0" w14:textId="46203B0F" w:rsidR="00DF51CD" w:rsidRPr="00785FB4" w:rsidRDefault="00DF51CD" w:rsidP="00A94167">
      <w:pPr>
        <w:pStyle w:val="Heading3"/>
      </w:pPr>
      <w:bookmarkStart w:id="487" w:name="_Toc459133181"/>
      <w:bookmarkStart w:id="488" w:name="_Toc461803131"/>
      <w:bookmarkStart w:id="489" w:name="_Toc505449680"/>
      <w:r w:rsidRPr="00785FB4">
        <w:t>Initial assessment</w:t>
      </w:r>
      <w:bookmarkEnd w:id="487"/>
      <w:bookmarkEnd w:id="488"/>
      <w:bookmarkEnd w:id="489"/>
    </w:p>
    <w:p w14:paraId="230EBE1F" w14:textId="6C0B324D" w:rsidR="000722F1" w:rsidRPr="00785FB4" w:rsidRDefault="00DF51CD" w:rsidP="00F17D2C">
      <w:pPr>
        <w:spacing w:before="120"/>
        <w:rPr>
          <w:color w:val="000000" w:themeColor="text1"/>
          <w:lang w:eastAsia="x-none"/>
        </w:rPr>
      </w:pPr>
      <w:r w:rsidRPr="00785FB4">
        <w:rPr>
          <w:color w:val="000000" w:themeColor="text1"/>
          <w:lang w:eastAsia="x-none"/>
        </w:rPr>
        <w:t xml:space="preserve">The International Secretariat’s initial assessment is that </w:t>
      </w:r>
      <w:r w:rsidR="009A3FA4" w:rsidRPr="00785FB4">
        <w:rPr>
          <w:color w:val="000000" w:themeColor="text1"/>
          <w:lang w:eastAsia="x-none"/>
        </w:rPr>
        <w:t xml:space="preserve">this requirement was not applicable in </w:t>
      </w:r>
      <w:r w:rsidR="004474EA" w:rsidRPr="00785FB4">
        <w:rPr>
          <w:bCs/>
        </w:rPr>
        <w:t>Afghanistan</w:t>
      </w:r>
      <w:r w:rsidR="004474EA" w:rsidRPr="00785FB4">
        <w:t xml:space="preserve"> </w:t>
      </w:r>
      <w:r w:rsidR="009A3FA4" w:rsidRPr="00785FB4">
        <w:rPr>
          <w:color w:val="000000" w:themeColor="text1"/>
          <w:lang w:eastAsia="x-none"/>
        </w:rPr>
        <w:t>in the period under review</w:t>
      </w:r>
      <w:r w:rsidRPr="00785FB4">
        <w:rPr>
          <w:color w:val="000000" w:themeColor="text1"/>
          <w:lang w:eastAsia="x-none"/>
        </w:rPr>
        <w:t xml:space="preserve">. </w:t>
      </w:r>
      <w:r w:rsidR="009A3FA4" w:rsidRPr="00785FB4">
        <w:rPr>
          <w:color w:val="000000" w:themeColor="text1"/>
          <w:lang w:eastAsia="x-none"/>
        </w:rPr>
        <w:t xml:space="preserve">The 2014-15 EITI Report describes statutory provisions for subnational transfers of mining revenues and explains the MSG’s assessment that the requirement was not applicable given the lack of implementation of the legal provisions to date. </w:t>
      </w:r>
    </w:p>
    <w:p w14:paraId="5538A649" w14:textId="1AC91E2A" w:rsidR="002E39F5" w:rsidRPr="00785FB4" w:rsidRDefault="009A3FA4" w:rsidP="008B5416">
      <w:pPr>
        <w:spacing w:before="120"/>
      </w:pPr>
      <w:r w:rsidRPr="00785FB4">
        <w:rPr>
          <w:color w:val="000000" w:themeColor="text1"/>
          <w:lang w:eastAsia="x-none"/>
        </w:rPr>
        <w:t xml:space="preserve">To strengthen implementation, </w:t>
      </w:r>
      <w:r w:rsidR="004A404B" w:rsidRPr="00785FB4">
        <w:t>Afghanistan</w:t>
      </w:r>
      <w:r w:rsidRPr="00785FB4">
        <w:rPr>
          <w:color w:val="000000" w:themeColor="text1"/>
          <w:lang w:eastAsia="x-none"/>
        </w:rPr>
        <w:t xml:space="preserve"> </w:t>
      </w:r>
      <w:r w:rsidR="008B5416" w:rsidRPr="00785FB4">
        <w:rPr>
          <w:color w:val="000000" w:themeColor="text1"/>
          <w:lang w:eastAsia="x-none"/>
        </w:rPr>
        <w:t xml:space="preserve">is encouraged to assess the implementation of statutory subnational transfers annually to ensure that information on subnational transfers, once effective, be published, including </w:t>
      </w:r>
      <w:r w:rsidR="002E39F5" w:rsidRPr="00785FB4">
        <w:t xml:space="preserve">the specific formula for calculating transfers to individual local governments, </w:t>
      </w:r>
      <w:r w:rsidR="008B5416" w:rsidRPr="00785FB4">
        <w:t>the value of budgeted and executed subnational transfers disaggregated by local government</w:t>
      </w:r>
      <w:r w:rsidR="002E39F5" w:rsidRPr="00785FB4">
        <w:t>.</w:t>
      </w:r>
    </w:p>
    <w:p w14:paraId="39EC7FBC" w14:textId="77777777" w:rsidR="000722F1" w:rsidRPr="00785FB4" w:rsidRDefault="00436407" w:rsidP="00A94167">
      <w:pPr>
        <w:pStyle w:val="Heading2notindexed"/>
      </w:pPr>
      <w:bookmarkStart w:id="490" w:name="_Toc459133182"/>
      <w:bookmarkStart w:id="491" w:name="_Toc461803132"/>
      <w:bookmarkStart w:id="492" w:name="_Toc461787355"/>
      <w:bookmarkStart w:id="493" w:name="_Toc461795867"/>
      <w:bookmarkStart w:id="494" w:name="_Toc505449681"/>
      <w:bookmarkStart w:id="495" w:name="_Toc505449816"/>
      <w:bookmarkStart w:id="496" w:name="_Toc459133183"/>
      <w:r w:rsidRPr="00785FB4">
        <w:t>Additional i</w:t>
      </w:r>
      <w:r w:rsidR="000722F1" w:rsidRPr="00785FB4">
        <w:t>nformation on revenue management and expenditures (#</w:t>
      </w:r>
      <w:r w:rsidRPr="00785FB4">
        <w:t>5.3</w:t>
      </w:r>
      <w:r w:rsidR="000722F1" w:rsidRPr="00785FB4">
        <w:t>)</w:t>
      </w:r>
      <w:bookmarkEnd w:id="490"/>
      <w:bookmarkEnd w:id="491"/>
      <w:bookmarkEnd w:id="492"/>
      <w:bookmarkEnd w:id="493"/>
      <w:bookmarkEnd w:id="494"/>
      <w:bookmarkEnd w:id="495"/>
    </w:p>
    <w:p w14:paraId="3BA3807A" w14:textId="38705623" w:rsidR="00434FDA" w:rsidRPr="00785FB4" w:rsidRDefault="00DF51CD" w:rsidP="00A94167">
      <w:pPr>
        <w:pStyle w:val="Heading3"/>
      </w:pPr>
      <w:bookmarkStart w:id="497" w:name="_Toc505449682"/>
      <w:bookmarkEnd w:id="496"/>
      <w:r w:rsidRPr="00785FB4">
        <w:t>Documentation of progress</w:t>
      </w:r>
      <w:bookmarkEnd w:id="497"/>
      <w:r w:rsidRPr="00785FB4">
        <w:t xml:space="preserve"> </w:t>
      </w:r>
    </w:p>
    <w:p w14:paraId="545FF1C2" w14:textId="09C5838E" w:rsidR="00114A0A" w:rsidRPr="00785FB4" w:rsidRDefault="007F55EB" w:rsidP="00DF51CD">
      <w:pPr>
        <w:spacing w:before="120"/>
      </w:pPr>
      <w:r w:rsidRPr="00785FB4">
        <w:rPr>
          <w:bCs/>
        </w:rPr>
        <w:t xml:space="preserve">The 2014-15 EITI Report </w:t>
      </w:r>
      <w:r w:rsidR="00114A0A" w:rsidRPr="00785FB4">
        <w:t>does not refer to any extractives revenues earmarked for specific programmes or regions</w:t>
      </w:r>
      <w:r w:rsidR="00634246" w:rsidRPr="00785FB4">
        <w:t>, aside from statutory earmarks of 5% of mining revenues to economic, social and environmental development projects for the benefit of host provinces describes above (</w:t>
      </w:r>
      <w:r w:rsidR="00634246" w:rsidRPr="00785FB4">
        <w:rPr>
          <w:i/>
        </w:rPr>
        <w:t>see Requirement 5.2</w:t>
      </w:r>
      <w:r w:rsidR="00634246" w:rsidRPr="00785FB4">
        <w:t xml:space="preserve">). The report describes extensive weaknesses in government record-keeping, accounting and oversight (pp.16-17,54,68-69). No </w:t>
      </w:r>
      <w:r w:rsidR="00114A0A" w:rsidRPr="00785FB4">
        <w:t>additional information on projected production, commodity prices or revenue forecasts</w:t>
      </w:r>
      <w:r w:rsidR="00634246" w:rsidRPr="00785FB4">
        <w:t xml:space="preserve"> is provided</w:t>
      </w:r>
      <w:r w:rsidR="00114A0A" w:rsidRPr="00785FB4">
        <w:t>.</w:t>
      </w:r>
    </w:p>
    <w:p w14:paraId="4684271A" w14:textId="0A90873D" w:rsidR="00434FDA" w:rsidRPr="00785FB4" w:rsidRDefault="00DF51CD" w:rsidP="00A94167">
      <w:pPr>
        <w:pStyle w:val="Heading3"/>
      </w:pPr>
      <w:bookmarkStart w:id="498" w:name="_Toc505449683"/>
      <w:r w:rsidRPr="00785FB4">
        <w:t>Stakeholder views</w:t>
      </w:r>
      <w:bookmarkEnd w:id="498"/>
      <w:r w:rsidRPr="00785FB4">
        <w:t xml:space="preserve"> </w:t>
      </w:r>
    </w:p>
    <w:p w14:paraId="79549DAC" w14:textId="4014D01A" w:rsidR="008B5416" w:rsidRPr="00785FB4" w:rsidRDefault="008B5416" w:rsidP="00DF51CD">
      <w:pPr>
        <w:spacing w:before="120"/>
        <w:rPr>
          <w:bCs/>
        </w:rPr>
      </w:pPr>
      <w:r w:rsidRPr="00785FB4">
        <w:rPr>
          <w:bCs/>
        </w:rPr>
        <w:t xml:space="preserve">Stakeholders did not express any particular comment on the 2014-15 EITI Report’s coverage of the budget-making and auditing practices. There was consensus that there were no other revenue earmarks aside from the statutory 5% subnational transfers that were not yet enforced. Several civil society and industry representatives considered that additional information on the use of extractives revenues – expenditures – would be of interest. </w:t>
      </w:r>
    </w:p>
    <w:p w14:paraId="3E741366" w14:textId="4DA371CB" w:rsidR="00B66679" w:rsidRPr="00785FB4" w:rsidRDefault="00BA52AA" w:rsidP="00A94167">
      <w:pPr>
        <w:pStyle w:val="Heading3"/>
      </w:pPr>
      <w:bookmarkStart w:id="499" w:name="_Toc459133185"/>
      <w:bookmarkStart w:id="500" w:name="_Toc461803135"/>
      <w:bookmarkStart w:id="501" w:name="_Toc505449684"/>
      <w:r w:rsidRPr="00785FB4">
        <w:lastRenderedPageBreak/>
        <w:t>Initial a</w:t>
      </w:r>
      <w:r w:rsidR="00B66679" w:rsidRPr="00785FB4">
        <w:t>ssessment</w:t>
      </w:r>
      <w:bookmarkEnd w:id="499"/>
      <w:bookmarkEnd w:id="500"/>
      <w:bookmarkEnd w:id="501"/>
    </w:p>
    <w:p w14:paraId="066FEC77" w14:textId="3D06366C" w:rsidR="00E74B34" w:rsidRPr="00785FB4" w:rsidRDefault="006F6309" w:rsidP="00DF51CD">
      <w:r w:rsidRPr="00785FB4">
        <w:t xml:space="preserve">It is encouraging that the MSG has made some attempt to including information on the government accounting process in the 2014-15 EITI Report, although the International Secretariat’s view is that </w:t>
      </w:r>
      <w:r w:rsidRPr="00785FB4">
        <w:rPr>
          <w:bCs/>
        </w:rPr>
        <w:t xml:space="preserve">AEITI </w:t>
      </w:r>
      <w:r w:rsidRPr="00785FB4">
        <w:t>has made only modest efforts to include additional information on the budget-making process</w:t>
      </w:r>
      <w:r w:rsidR="00A434FC" w:rsidRPr="00785FB4">
        <w:t>, projections or expenditure information despite apparent stakeholder interest</w:t>
      </w:r>
      <w:r w:rsidRPr="00785FB4">
        <w:t xml:space="preserve">. </w:t>
      </w:r>
    </w:p>
    <w:p w14:paraId="0ECF539F" w14:textId="4F7BDE2D" w:rsidR="000722F1" w:rsidRPr="00785FB4" w:rsidRDefault="00411AA1" w:rsidP="009464B0">
      <w:pPr>
        <w:pStyle w:val="Caption"/>
        <w:rPr>
          <w:i/>
          <w:color w:val="000000"/>
        </w:rPr>
      </w:pPr>
      <w:bookmarkStart w:id="502" w:name="_Toc463537778"/>
      <w:bookmarkStart w:id="503" w:name="_Toc463537965"/>
      <w:r w:rsidRPr="00785FB4">
        <w:t xml:space="preserve">Table </w:t>
      </w:r>
      <w:fldSimple w:instr=" SEQ Table \* ARABIC ">
        <w:r w:rsidR="00D8510F" w:rsidRPr="00785FB4">
          <w:t>5</w:t>
        </w:r>
      </w:fldSimple>
      <w:r w:rsidRPr="00785FB4">
        <w:t xml:space="preserve"> </w:t>
      </w:r>
      <w:r w:rsidR="000722F1" w:rsidRPr="00785FB4">
        <w:rPr>
          <w:i/>
          <w:color w:val="000000"/>
        </w:rPr>
        <w:t xml:space="preserve"> - </w:t>
      </w:r>
      <w:r w:rsidR="000722F1" w:rsidRPr="00785FB4">
        <w:rPr>
          <w:rFonts w:eastAsia="Calibri"/>
          <w:i/>
        </w:rPr>
        <w:t xml:space="preserve">Summary </w:t>
      </w:r>
      <w:r w:rsidR="009C5073" w:rsidRPr="00785FB4">
        <w:rPr>
          <w:rFonts w:eastAsia="Calibri"/>
          <w:i/>
        </w:rPr>
        <w:t xml:space="preserve">initial </w:t>
      </w:r>
      <w:r w:rsidR="000722F1" w:rsidRPr="00785FB4">
        <w:rPr>
          <w:rFonts w:eastAsia="Calibri"/>
          <w:i/>
        </w:rPr>
        <w:t>assessment table: Revenue management and distribution</w:t>
      </w:r>
      <w:bookmarkEnd w:id="502"/>
      <w:bookmarkEnd w:id="503"/>
    </w:p>
    <w:tbl>
      <w:tblPr>
        <w:tblW w:w="96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5387"/>
        <w:gridCol w:w="2061"/>
      </w:tblGrid>
      <w:tr w:rsidR="00FC3899" w:rsidRPr="00785FB4" w14:paraId="22C5F8E0" w14:textId="77777777" w:rsidTr="007369FB">
        <w:trPr>
          <w:trHeight w:val="675"/>
        </w:trPr>
        <w:tc>
          <w:tcPr>
            <w:tcW w:w="2155" w:type="dxa"/>
            <w:shd w:val="clear" w:color="auto" w:fill="D9D9D9"/>
            <w:vAlign w:val="center"/>
          </w:tcPr>
          <w:p w14:paraId="0A83DFF0" w14:textId="77777777" w:rsidR="00FC3899" w:rsidRPr="00785FB4" w:rsidRDefault="00FC3899" w:rsidP="00D8510F">
            <w:pPr>
              <w:pStyle w:val="Tabletext"/>
              <w:rPr>
                <w:lang w:val="en-GB"/>
              </w:rPr>
            </w:pPr>
            <w:r w:rsidRPr="00785FB4">
              <w:rPr>
                <w:lang w:val="en-GB"/>
              </w:rPr>
              <w:t>EITI provisions</w:t>
            </w:r>
          </w:p>
        </w:tc>
        <w:tc>
          <w:tcPr>
            <w:tcW w:w="5387" w:type="dxa"/>
            <w:shd w:val="clear" w:color="auto" w:fill="D9D9D9"/>
            <w:vAlign w:val="center"/>
          </w:tcPr>
          <w:p w14:paraId="2C57A3E6" w14:textId="77777777" w:rsidR="00FC3899" w:rsidRPr="00785FB4" w:rsidRDefault="00FC3899" w:rsidP="00D8510F">
            <w:pPr>
              <w:pStyle w:val="Tabletext"/>
              <w:rPr>
                <w:lang w:val="en-GB"/>
              </w:rPr>
            </w:pPr>
            <w:r w:rsidRPr="00785FB4">
              <w:rPr>
                <w:lang w:val="en-GB"/>
              </w:rPr>
              <w:t>Summary of main findings</w:t>
            </w:r>
          </w:p>
        </w:tc>
        <w:tc>
          <w:tcPr>
            <w:tcW w:w="2061" w:type="dxa"/>
            <w:shd w:val="clear" w:color="auto" w:fill="D9D9D9"/>
            <w:vAlign w:val="center"/>
          </w:tcPr>
          <w:p w14:paraId="39378A6B" w14:textId="4590B708" w:rsidR="00FC3899" w:rsidRPr="00785FB4" w:rsidRDefault="00FC3899" w:rsidP="00D8510F">
            <w:pPr>
              <w:pStyle w:val="Tabletext"/>
              <w:rPr>
                <w:lang w:val="en-GB"/>
              </w:rPr>
            </w:pPr>
            <w:r w:rsidRPr="00785FB4">
              <w:rPr>
                <w:lang w:val="en-GB"/>
              </w:rPr>
              <w:t xml:space="preserve">International Secretariat’s initial assessment of progress with the EITI provisions </w:t>
            </w:r>
          </w:p>
        </w:tc>
      </w:tr>
      <w:tr w:rsidR="00DF51CD" w:rsidRPr="00785FB4" w14:paraId="1A5E74FC" w14:textId="77777777" w:rsidTr="007369FB">
        <w:tc>
          <w:tcPr>
            <w:tcW w:w="2155" w:type="dxa"/>
            <w:shd w:val="clear" w:color="auto" w:fill="auto"/>
          </w:tcPr>
          <w:p w14:paraId="1FE9603A" w14:textId="77777777" w:rsidR="00DF51CD" w:rsidRPr="00785FB4" w:rsidRDefault="00DF51CD" w:rsidP="00D8510F">
            <w:pPr>
              <w:pStyle w:val="Tabletext"/>
              <w:rPr>
                <w:lang w:val="en-GB"/>
              </w:rPr>
            </w:pPr>
            <w:r w:rsidRPr="00785FB4">
              <w:rPr>
                <w:lang w:val="en-GB"/>
              </w:rPr>
              <w:t>Distribution of revenues (#5.1)</w:t>
            </w:r>
          </w:p>
        </w:tc>
        <w:tc>
          <w:tcPr>
            <w:tcW w:w="5387" w:type="dxa"/>
            <w:shd w:val="clear" w:color="auto" w:fill="auto"/>
          </w:tcPr>
          <w:p w14:paraId="571D430C" w14:textId="6447159A" w:rsidR="00DF51CD" w:rsidRPr="00785FB4" w:rsidRDefault="000B06D8" w:rsidP="00D8510F">
            <w:pPr>
              <w:pStyle w:val="Tabletext"/>
              <w:rPr>
                <w:lang w:val="en-GB"/>
              </w:rPr>
            </w:pPr>
            <w:r w:rsidRPr="00785FB4">
              <w:rPr>
                <w:lang w:val="en-GB"/>
              </w:rPr>
              <w:t>The 2014-15 EITI Report does not clearly define what extractives revenues are recorded in the national budget, but raises serious concerns about government record-keeping and accounting. There is a general lack of clarity among stakeholders consulted over whether all tax and non-tax extractives revenues are recorded in the national budget.</w:t>
            </w:r>
          </w:p>
        </w:tc>
        <w:tc>
          <w:tcPr>
            <w:tcW w:w="2061" w:type="dxa"/>
          </w:tcPr>
          <w:p w14:paraId="18A2031F" w14:textId="10CA7C6E" w:rsidR="00DF51CD" w:rsidRPr="00785FB4" w:rsidRDefault="006F6309" w:rsidP="00D8510F">
            <w:pPr>
              <w:pStyle w:val="Tabletext"/>
              <w:rPr>
                <w:lang w:val="en-GB"/>
              </w:rPr>
            </w:pPr>
            <w:r w:rsidRPr="00785FB4">
              <w:rPr>
                <w:lang w:val="en-GB"/>
              </w:rPr>
              <w:t>Inadequate progress</w:t>
            </w:r>
          </w:p>
        </w:tc>
      </w:tr>
      <w:tr w:rsidR="00DF51CD" w:rsidRPr="00785FB4" w14:paraId="047D76FB" w14:textId="77777777" w:rsidTr="007369FB">
        <w:tc>
          <w:tcPr>
            <w:tcW w:w="2155" w:type="dxa"/>
            <w:shd w:val="clear" w:color="auto" w:fill="auto"/>
          </w:tcPr>
          <w:p w14:paraId="34BAAE48" w14:textId="77777777" w:rsidR="00DF51CD" w:rsidRPr="00785FB4" w:rsidRDefault="00DF51CD" w:rsidP="00D8510F">
            <w:pPr>
              <w:pStyle w:val="Tabletext"/>
              <w:rPr>
                <w:lang w:val="en-GB"/>
              </w:rPr>
            </w:pPr>
            <w:r w:rsidRPr="00785FB4">
              <w:rPr>
                <w:lang w:val="en-GB"/>
              </w:rPr>
              <w:t>Sub-national transfers (#5.2)</w:t>
            </w:r>
          </w:p>
        </w:tc>
        <w:tc>
          <w:tcPr>
            <w:tcW w:w="5387" w:type="dxa"/>
            <w:shd w:val="clear" w:color="auto" w:fill="auto"/>
          </w:tcPr>
          <w:p w14:paraId="78BCC59D" w14:textId="13CF5B0D" w:rsidR="00DF51CD" w:rsidRPr="00785FB4" w:rsidRDefault="000B06D8" w:rsidP="00D8510F">
            <w:pPr>
              <w:pStyle w:val="Tabletext"/>
              <w:rPr>
                <w:lang w:val="en-GB"/>
              </w:rPr>
            </w:pPr>
            <w:r w:rsidRPr="00785FB4">
              <w:rPr>
                <w:lang w:val="en-GB"/>
              </w:rPr>
              <w:t>The 2014-15 EITI Report describes statutory provisions for subnational transfers of mining revenues and explains the MSG’s assessment that the requirement was not applicable given the lack of implementation of the legal provisions to date.</w:t>
            </w:r>
          </w:p>
        </w:tc>
        <w:tc>
          <w:tcPr>
            <w:tcW w:w="2061" w:type="dxa"/>
          </w:tcPr>
          <w:p w14:paraId="7CF6007B" w14:textId="14A691F8" w:rsidR="00DF51CD" w:rsidRPr="00785FB4" w:rsidRDefault="006F6309" w:rsidP="00D8510F">
            <w:pPr>
              <w:pStyle w:val="Tabletext"/>
              <w:rPr>
                <w:lang w:val="en-GB"/>
              </w:rPr>
            </w:pPr>
            <w:r w:rsidRPr="00785FB4">
              <w:rPr>
                <w:lang w:val="en-GB"/>
              </w:rPr>
              <w:t>Not applicable</w:t>
            </w:r>
          </w:p>
        </w:tc>
      </w:tr>
      <w:tr w:rsidR="00DF51CD" w:rsidRPr="00785FB4" w14:paraId="27605714" w14:textId="77777777" w:rsidTr="007369FB">
        <w:tc>
          <w:tcPr>
            <w:tcW w:w="2155" w:type="dxa"/>
            <w:shd w:val="clear" w:color="auto" w:fill="auto"/>
          </w:tcPr>
          <w:p w14:paraId="5C4A3E3E" w14:textId="77777777" w:rsidR="00DF51CD" w:rsidRPr="00785FB4" w:rsidRDefault="00DF51CD" w:rsidP="00D8510F">
            <w:pPr>
              <w:pStyle w:val="Tabletext"/>
              <w:rPr>
                <w:lang w:val="en-GB"/>
              </w:rPr>
            </w:pPr>
            <w:r w:rsidRPr="00785FB4">
              <w:rPr>
                <w:lang w:val="en-GB"/>
              </w:rPr>
              <w:t>Information on revenue management and expenditures (#5.3)</w:t>
            </w:r>
          </w:p>
        </w:tc>
        <w:tc>
          <w:tcPr>
            <w:tcW w:w="5387" w:type="dxa"/>
            <w:shd w:val="clear" w:color="auto" w:fill="auto"/>
          </w:tcPr>
          <w:p w14:paraId="2742C02B" w14:textId="68E72E66" w:rsidR="00DF51CD" w:rsidRPr="00785FB4" w:rsidRDefault="000B06D8" w:rsidP="00D8510F">
            <w:pPr>
              <w:pStyle w:val="Tabletext"/>
              <w:rPr>
                <w:lang w:val="en-GB"/>
              </w:rPr>
            </w:pPr>
            <w:r w:rsidRPr="00785FB4">
              <w:rPr>
                <w:lang w:val="en-GB"/>
              </w:rPr>
              <w:t>It is encouraging that the MSG has made some attempt to including information on the government accounting process in the 2014-15 EITI Report, although the International Secretariat’s view is that AEITI has made only modest efforts to include additional information on the budget-making process, projections or expenditure information despite apparent stakeholder interest.</w:t>
            </w:r>
          </w:p>
        </w:tc>
        <w:tc>
          <w:tcPr>
            <w:tcW w:w="2061" w:type="dxa"/>
            <w:shd w:val="clear" w:color="auto" w:fill="D9D9D9"/>
          </w:tcPr>
          <w:p w14:paraId="46D2FDD3" w14:textId="77777777" w:rsidR="00DF51CD" w:rsidRPr="00785FB4" w:rsidRDefault="00DF51CD" w:rsidP="00D8510F">
            <w:pPr>
              <w:pStyle w:val="Tabletext"/>
              <w:rPr>
                <w:lang w:val="en-GB"/>
              </w:rPr>
            </w:pPr>
          </w:p>
        </w:tc>
      </w:tr>
      <w:tr w:rsidR="00DF51CD" w:rsidRPr="00785FB4" w14:paraId="0DA49816" w14:textId="77777777" w:rsidTr="00461B85">
        <w:tc>
          <w:tcPr>
            <w:tcW w:w="9603" w:type="dxa"/>
            <w:gridSpan w:val="3"/>
            <w:shd w:val="clear" w:color="auto" w:fill="FFFFFF"/>
          </w:tcPr>
          <w:p w14:paraId="6ED6D0E4" w14:textId="77777777" w:rsidR="001E24FC" w:rsidRPr="00785FB4" w:rsidRDefault="001E24FC" w:rsidP="00D8510F">
            <w:pPr>
              <w:pStyle w:val="Tabletext"/>
              <w:rPr>
                <w:lang w:val="en-GB"/>
              </w:rPr>
            </w:pPr>
            <w:r w:rsidRPr="00785FB4">
              <w:rPr>
                <w:lang w:val="en-GB"/>
              </w:rPr>
              <w:t>Secretariat’s recommendations:</w:t>
            </w:r>
          </w:p>
          <w:p w14:paraId="7C7B7097" w14:textId="33D59DA3" w:rsidR="000B06D8" w:rsidRPr="00785FB4" w:rsidRDefault="000B06D8" w:rsidP="00F72955">
            <w:pPr>
              <w:pStyle w:val="ListParagraph"/>
              <w:numPr>
                <w:ilvl w:val="0"/>
                <w:numId w:val="43"/>
              </w:numPr>
              <w:rPr>
                <w:rFonts w:eastAsia="Calibri"/>
              </w:rPr>
            </w:pPr>
            <w:r w:rsidRPr="00785FB4">
              <w:t xml:space="preserve">In accordance with Requirement 5.1, </w:t>
            </w:r>
            <w:r w:rsidR="004A404B" w:rsidRPr="00785FB4">
              <w:t xml:space="preserve">Afghanistan </w:t>
            </w:r>
            <w:r w:rsidRPr="00785FB4">
              <w:t xml:space="preserve">should ensure that the allocation of extractives revenues not recorded in the national budget are explained, with links provided to relevant financial reports as applicable. </w:t>
            </w:r>
            <w:r w:rsidR="004A404B" w:rsidRPr="00785FB4">
              <w:t xml:space="preserve">Afghanistan </w:t>
            </w:r>
            <w:r w:rsidRPr="00785FB4">
              <w:t xml:space="preserve">may wish to explore the extent to which it could use extractives-specific GFS classifications from its EITI summary data tables (together with its per-license tax ID numbers) as a means of disaggregating extractives revenues in </w:t>
            </w:r>
            <w:r w:rsidR="00DB56BA" w:rsidRPr="00785FB4">
              <w:t>MOF</w:t>
            </w:r>
            <w:r w:rsidRPr="00785FB4">
              <w:t xml:space="preserve"> systems.</w:t>
            </w:r>
          </w:p>
          <w:p w14:paraId="0B4C6AA9" w14:textId="25D97873" w:rsidR="00DF51CD" w:rsidRPr="00785FB4" w:rsidRDefault="000B06D8" w:rsidP="00F72955">
            <w:pPr>
              <w:pStyle w:val="ListParagraph"/>
              <w:numPr>
                <w:ilvl w:val="0"/>
                <w:numId w:val="43"/>
              </w:numPr>
              <w:rPr>
                <w:rFonts w:eastAsia="Calibri"/>
              </w:rPr>
            </w:pPr>
            <w:r w:rsidRPr="00785FB4">
              <w:t xml:space="preserve">To strengthen implementation, </w:t>
            </w:r>
            <w:r w:rsidR="004A404B" w:rsidRPr="00785FB4">
              <w:t xml:space="preserve">Afghanistan </w:t>
            </w:r>
            <w:r w:rsidRPr="00785FB4">
              <w:t xml:space="preserve">is encouraged to assess the implementation of statutory subnational transfers annually to ensure that information on subnational transfers, once effective, be published, including the specific formula for calculating transfers to individual local governments, the value of budgeted and executed subnational transfers disaggregated by </w:t>
            </w:r>
            <w:r w:rsidRPr="00785FB4">
              <w:lastRenderedPageBreak/>
              <w:t>local government.</w:t>
            </w:r>
          </w:p>
        </w:tc>
      </w:tr>
    </w:tbl>
    <w:p w14:paraId="1AECC651" w14:textId="77777777" w:rsidR="00FA51E8" w:rsidRPr="00785FB4" w:rsidRDefault="00FA51E8" w:rsidP="007369FB">
      <w:pPr>
        <w:pStyle w:val="Heading2"/>
      </w:pPr>
      <w:bookmarkStart w:id="504" w:name="_Toc459133186"/>
      <w:bookmarkStart w:id="505" w:name="_Toc461803136"/>
      <w:bookmarkStart w:id="506" w:name="_Toc461787356"/>
      <w:bookmarkStart w:id="507" w:name="_Toc461795868"/>
    </w:p>
    <w:p w14:paraId="24EAB9F1" w14:textId="06D9255A" w:rsidR="000722F1" w:rsidRPr="00785FB4" w:rsidRDefault="00FA51E8" w:rsidP="007369FB">
      <w:pPr>
        <w:pStyle w:val="Heading2"/>
      </w:pPr>
      <w:r w:rsidRPr="00785FB4">
        <w:tab/>
      </w:r>
      <w:bookmarkStart w:id="508" w:name="_Toc505449685"/>
      <w:bookmarkStart w:id="509" w:name="_Toc505449817"/>
      <w:r w:rsidR="000722F1" w:rsidRPr="00785FB4">
        <w:t>Social and economic spending</w:t>
      </w:r>
      <w:bookmarkEnd w:id="504"/>
      <w:bookmarkEnd w:id="505"/>
      <w:bookmarkEnd w:id="506"/>
      <w:bookmarkEnd w:id="507"/>
      <w:bookmarkEnd w:id="508"/>
      <w:bookmarkEnd w:id="509"/>
      <w:r w:rsidR="000722F1" w:rsidRPr="00785FB4">
        <w:t xml:space="preserve"> </w:t>
      </w:r>
    </w:p>
    <w:p w14:paraId="5BEC1DB4" w14:textId="635F503E" w:rsidR="000722F1" w:rsidRPr="00785FB4" w:rsidRDefault="00F17D2C" w:rsidP="00A94167">
      <w:pPr>
        <w:pStyle w:val="Heading2notindexed"/>
      </w:pPr>
      <w:bookmarkStart w:id="510" w:name="_Toc459133187"/>
      <w:bookmarkStart w:id="511" w:name="_Toc461803137"/>
      <w:bookmarkStart w:id="512" w:name="_Toc461787357"/>
      <w:bookmarkStart w:id="513" w:name="_Toc461795869"/>
      <w:bookmarkStart w:id="514" w:name="_Toc505449686"/>
      <w:bookmarkStart w:id="515" w:name="_Toc505449818"/>
      <w:r w:rsidRPr="00785FB4">
        <w:t xml:space="preserve">6.1 </w:t>
      </w:r>
      <w:r w:rsidR="000722F1" w:rsidRPr="00785FB4">
        <w:t>Overview</w:t>
      </w:r>
      <w:bookmarkEnd w:id="510"/>
      <w:bookmarkEnd w:id="511"/>
      <w:bookmarkEnd w:id="512"/>
      <w:bookmarkEnd w:id="513"/>
      <w:bookmarkEnd w:id="514"/>
      <w:bookmarkEnd w:id="515"/>
    </w:p>
    <w:p w14:paraId="0C3C635A" w14:textId="60AAC559" w:rsidR="000722F1" w:rsidRPr="00785FB4" w:rsidRDefault="00601654" w:rsidP="000722F1">
      <w:pPr>
        <w:spacing w:before="120"/>
        <w:rPr>
          <w:color w:val="FF0000"/>
        </w:rPr>
      </w:pPr>
      <w:r w:rsidRPr="00785FB4">
        <w:t xml:space="preserve">This section provides details on the implementation of the EITI requirements relate </w:t>
      </w:r>
      <w:r w:rsidR="00734C25" w:rsidRPr="00785FB4">
        <w:t xml:space="preserve">to social and economic spending </w:t>
      </w:r>
      <w:r w:rsidR="00627853" w:rsidRPr="00785FB4">
        <w:t>(SOE quasi-</w:t>
      </w:r>
      <w:r w:rsidR="00734C25" w:rsidRPr="00785FB4">
        <w:t>fiscal expenditures, social expenditures and contribution of the extractive sector to the economy).</w:t>
      </w:r>
    </w:p>
    <w:p w14:paraId="03BC28D3" w14:textId="016F177E" w:rsidR="000722F1" w:rsidRPr="00785FB4" w:rsidRDefault="00F17D2C" w:rsidP="00A94167">
      <w:pPr>
        <w:pStyle w:val="Heading2notindexed"/>
      </w:pPr>
      <w:bookmarkStart w:id="516" w:name="_Toc459133188"/>
      <w:bookmarkStart w:id="517" w:name="_Toc461803138"/>
      <w:bookmarkStart w:id="518" w:name="_Toc461787358"/>
      <w:bookmarkStart w:id="519" w:name="_Toc461795870"/>
      <w:bookmarkStart w:id="520" w:name="_Toc505449687"/>
      <w:bookmarkStart w:id="521" w:name="_Toc505449819"/>
      <w:r w:rsidRPr="00785FB4">
        <w:t xml:space="preserve">6.2 </w:t>
      </w:r>
      <w:r w:rsidR="000722F1" w:rsidRPr="00785FB4">
        <w:t>Assessment</w:t>
      </w:r>
      <w:bookmarkEnd w:id="516"/>
      <w:bookmarkEnd w:id="517"/>
      <w:bookmarkEnd w:id="518"/>
      <w:bookmarkEnd w:id="519"/>
      <w:bookmarkEnd w:id="520"/>
      <w:bookmarkEnd w:id="521"/>
    </w:p>
    <w:p w14:paraId="3BFEE166" w14:textId="528F77AC" w:rsidR="00436407" w:rsidRPr="00785FB4" w:rsidRDefault="00436407" w:rsidP="00A94167">
      <w:pPr>
        <w:pStyle w:val="Heading2notindexed"/>
      </w:pPr>
      <w:bookmarkStart w:id="522" w:name="_Toc459133189"/>
      <w:bookmarkStart w:id="523" w:name="_Toc461803139"/>
      <w:bookmarkStart w:id="524" w:name="_Toc461787359"/>
      <w:bookmarkStart w:id="525" w:name="_Toc461795871"/>
      <w:bookmarkStart w:id="526" w:name="_Toc505449688"/>
      <w:bookmarkStart w:id="527" w:name="_Toc505449820"/>
      <w:r w:rsidRPr="00785FB4">
        <w:t>Social expenditures (#6.1)</w:t>
      </w:r>
      <w:bookmarkEnd w:id="522"/>
      <w:bookmarkEnd w:id="523"/>
      <w:bookmarkEnd w:id="524"/>
      <w:bookmarkEnd w:id="525"/>
      <w:bookmarkEnd w:id="526"/>
      <w:bookmarkEnd w:id="527"/>
    </w:p>
    <w:p w14:paraId="120787F8" w14:textId="62244D78" w:rsidR="006112C8" w:rsidRPr="00785FB4" w:rsidRDefault="002051F4" w:rsidP="00A94167">
      <w:pPr>
        <w:pStyle w:val="Heading3"/>
      </w:pPr>
      <w:bookmarkStart w:id="528" w:name="_Toc505449689"/>
      <w:r w:rsidRPr="00785FB4">
        <w:t>Documentation of progress</w:t>
      </w:r>
      <w:bookmarkEnd w:id="528"/>
      <w:r w:rsidRPr="00785FB4">
        <w:t xml:space="preserve"> </w:t>
      </w:r>
    </w:p>
    <w:p w14:paraId="003CD542" w14:textId="281E39BC" w:rsidR="004B08DB" w:rsidRPr="00785FB4" w:rsidRDefault="00A10D3B" w:rsidP="002051F4">
      <w:pPr>
        <w:spacing w:before="120"/>
      </w:pPr>
      <w:r w:rsidRPr="00785FB4">
        <w:rPr>
          <w:bCs/>
        </w:rPr>
        <w:t xml:space="preserve">The 2014-15 EITI Report </w:t>
      </w:r>
      <w:r w:rsidR="00C25DB3" w:rsidRPr="00785FB4">
        <w:rPr>
          <w:bCs/>
        </w:rPr>
        <w:t xml:space="preserve">describes the MSG’s agreement that there were no </w:t>
      </w:r>
      <w:r w:rsidR="00C25DB3" w:rsidRPr="00785FB4">
        <w:rPr>
          <w:bCs/>
          <w:i/>
        </w:rPr>
        <w:t>mandatory</w:t>
      </w:r>
      <w:r w:rsidR="00C25DB3" w:rsidRPr="00785FB4">
        <w:rPr>
          <w:bCs/>
        </w:rPr>
        <w:t xml:space="preserve"> social expenditures in 2014-15, </w:t>
      </w:r>
      <w:r w:rsidR="00114A0A" w:rsidRPr="00785FB4">
        <w:t xml:space="preserve">based on the Petroleum Directorate and Cadastre Directorate’s assessment (p.44). </w:t>
      </w:r>
      <w:r w:rsidR="00C25DB3" w:rsidRPr="00785FB4">
        <w:t xml:space="preserve">While the report notes that </w:t>
      </w:r>
      <w:r w:rsidR="00114A0A" w:rsidRPr="00785FB4">
        <w:t xml:space="preserve">Article 87 of </w:t>
      </w:r>
      <w:r w:rsidR="0031790E" w:rsidRPr="00785FB4">
        <w:t>(unspecified) “</w:t>
      </w:r>
      <w:r w:rsidR="00114A0A" w:rsidRPr="00785FB4">
        <w:t>Mining Regulations</w:t>
      </w:r>
      <w:r w:rsidR="0031790E" w:rsidRPr="00785FB4">
        <w:t>”</w:t>
      </w:r>
      <w:r w:rsidR="00114A0A" w:rsidRPr="00785FB4">
        <w:t xml:space="preserve"> </w:t>
      </w:r>
      <w:r w:rsidR="00C54106" w:rsidRPr="00785FB4">
        <w:t>(understood to be the 201</w:t>
      </w:r>
      <w:r w:rsidR="004A404B" w:rsidRPr="00785FB4">
        <w:t>0</w:t>
      </w:r>
      <w:r w:rsidR="00C54106" w:rsidRPr="00785FB4">
        <w:t xml:space="preserve"> </w:t>
      </w:r>
      <w:r w:rsidR="004A404B" w:rsidRPr="00785FB4">
        <w:t>mining regulation</w:t>
      </w:r>
      <w:r w:rsidR="00C54106" w:rsidRPr="00785FB4">
        <w:t xml:space="preserve">) </w:t>
      </w:r>
      <w:r w:rsidR="00114A0A" w:rsidRPr="00785FB4">
        <w:t>requires license-holders to “</w:t>
      </w:r>
      <w:r w:rsidR="00114A0A" w:rsidRPr="00785FB4">
        <w:rPr>
          <w:i/>
        </w:rPr>
        <w:t>produce a Development Plan establishing appropriate sustainable development and social protection programs and structures, taking into account international best practice</w:t>
      </w:r>
      <w:r w:rsidR="00114A0A" w:rsidRPr="00785FB4">
        <w:t>”</w:t>
      </w:r>
      <w:r w:rsidR="0031790E" w:rsidRPr="00785FB4">
        <w:t xml:space="preserve">, it does not explain why such expenditures apparently did not take place in 2014-15 (p.44). </w:t>
      </w:r>
    </w:p>
    <w:p w14:paraId="39E5556E" w14:textId="349EC485" w:rsidR="00114A0A" w:rsidRPr="00785FB4" w:rsidRDefault="0031790E" w:rsidP="002051F4">
      <w:pPr>
        <w:spacing w:before="120"/>
      </w:pPr>
      <w:r w:rsidRPr="00785FB4">
        <w:t xml:space="preserve">The </w:t>
      </w:r>
      <w:r w:rsidR="00114A0A" w:rsidRPr="00785FB4">
        <w:t xml:space="preserve">MSG </w:t>
      </w:r>
      <w:r w:rsidRPr="00785FB4">
        <w:t xml:space="preserve">agreed to include </w:t>
      </w:r>
      <w:r w:rsidRPr="00785FB4">
        <w:rPr>
          <w:i/>
        </w:rPr>
        <w:t>voluntary</w:t>
      </w:r>
      <w:r w:rsidRPr="00785FB4">
        <w:t xml:space="preserve"> social expenditures in the scope of reporting “</w:t>
      </w:r>
      <w:r w:rsidR="00114A0A" w:rsidRPr="00785FB4">
        <w:t>voluntarily</w:t>
      </w:r>
      <w:r w:rsidRPr="00785FB4">
        <w:t xml:space="preserve">” (p.44), although </w:t>
      </w:r>
      <w:r w:rsidR="00114A0A" w:rsidRPr="00785FB4">
        <w:t xml:space="preserve">no </w:t>
      </w:r>
      <w:r w:rsidRPr="00785FB4">
        <w:t xml:space="preserve">social expenditures of any type </w:t>
      </w:r>
      <w:r w:rsidR="00114A0A" w:rsidRPr="00785FB4">
        <w:t xml:space="preserve">were reported by </w:t>
      </w:r>
      <w:r w:rsidRPr="00785FB4">
        <w:t>any company (p.69)</w:t>
      </w:r>
      <w:r w:rsidR="00114A0A" w:rsidRPr="00785FB4">
        <w:t>.</w:t>
      </w:r>
      <w:r w:rsidR="00572EBC" w:rsidRPr="00785FB4">
        <w:rPr>
          <w:bCs/>
        </w:rPr>
        <w:t xml:space="preserve"> While voluntary social expenditures have consistently been included in reporting templates since the first EITI Reports, the 2015 Secretariat review highlighted that no payments had ever been reported.</w:t>
      </w:r>
      <w:r w:rsidR="00572EBC" w:rsidRPr="00785FB4">
        <w:rPr>
          <w:rStyle w:val="FootnoteReference"/>
        </w:rPr>
        <w:footnoteReference w:id="269"/>
      </w:r>
    </w:p>
    <w:p w14:paraId="69162D37" w14:textId="3696BB12" w:rsidR="006112C8" w:rsidRPr="00785FB4" w:rsidRDefault="002051F4" w:rsidP="00A94167">
      <w:pPr>
        <w:pStyle w:val="Heading3"/>
      </w:pPr>
      <w:bookmarkStart w:id="529" w:name="_Toc505449690"/>
      <w:r w:rsidRPr="00785FB4">
        <w:t>Stakeholder views</w:t>
      </w:r>
      <w:bookmarkEnd w:id="529"/>
      <w:r w:rsidRPr="00785FB4">
        <w:t xml:space="preserve"> </w:t>
      </w:r>
    </w:p>
    <w:p w14:paraId="6FE480AA" w14:textId="0B0F7F57" w:rsidR="00AF1AA3" w:rsidRPr="00785FB4" w:rsidRDefault="00C54106" w:rsidP="002051F4">
      <w:pPr>
        <w:spacing w:before="120"/>
        <w:rPr>
          <w:bCs/>
        </w:rPr>
      </w:pPr>
      <w:r w:rsidRPr="00785FB4">
        <w:rPr>
          <w:bCs/>
        </w:rPr>
        <w:t>There was consensus among stakeholders consulted that there were no mandatory social expenditure</w:t>
      </w:r>
      <w:r w:rsidR="005017FC" w:rsidRPr="00785FB4">
        <w:rPr>
          <w:bCs/>
        </w:rPr>
        <w:t>s or</w:t>
      </w:r>
      <w:r w:rsidRPr="00785FB4">
        <w:rPr>
          <w:bCs/>
        </w:rPr>
        <w:t xml:space="preserve"> requirements </w:t>
      </w:r>
      <w:r w:rsidR="005017FC" w:rsidRPr="00785FB4">
        <w:rPr>
          <w:bCs/>
        </w:rPr>
        <w:t xml:space="preserve">to conclude Community Development Agreements (CDAs) </w:t>
      </w:r>
      <w:r w:rsidRPr="00785FB4">
        <w:rPr>
          <w:bCs/>
        </w:rPr>
        <w:t xml:space="preserve">for oil and gas companies. </w:t>
      </w:r>
      <w:r w:rsidR="00C1622A" w:rsidRPr="00785FB4">
        <w:rPr>
          <w:bCs/>
        </w:rPr>
        <w:t xml:space="preserve">Several stakeholders from all constituencies confirmed that many mining companies were required to undertake mandatory social expenditures, given provisions under Article 92 of the </w:t>
      </w:r>
      <w:r w:rsidR="00572EBC" w:rsidRPr="00785FB4">
        <w:rPr>
          <w:bCs/>
        </w:rPr>
        <w:t xml:space="preserve">2014 </w:t>
      </w:r>
      <w:r w:rsidR="00C1622A" w:rsidRPr="00785FB4">
        <w:rPr>
          <w:bCs/>
        </w:rPr>
        <w:t xml:space="preserve">Minerals Law for all companies to conclude CDAs. While several industry and civil society stakeholders considered that mining companies did not tend to undertake extensive voluntary social expenditures, several industry representatives confirmed that their companies undertook around USD 12k a year of mandatory social expenditures, including in 2014-15. They confirmed that the monetary value of social expenditures was </w:t>
      </w:r>
      <w:r w:rsidR="00C1622A" w:rsidRPr="00785FB4">
        <w:rPr>
          <w:bCs/>
        </w:rPr>
        <w:lastRenderedPageBreak/>
        <w:t>set in the mining companies’ contracts or associated CDA</w:t>
      </w:r>
      <w:r w:rsidR="00572EBC" w:rsidRPr="00785FB4">
        <w:rPr>
          <w:bCs/>
        </w:rPr>
        <w:t xml:space="preserve"> but that these were not monitored</w:t>
      </w:r>
      <w:r w:rsidR="00C1622A" w:rsidRPr="00785FB4">
        <w:rPr>
          <w:bCs/>
        </w:rPr>
        <w:t xml:space="preserve">. While several CSOs and development partners raised doubts over the effectiveness of mining companies’ social expenditures, considering that the practice of mis-invoicing was widespread, they considered that material mining companies should have reported some mandatory social expenditures in the 2014-15 EITI Report. </w:t>
      </w:r>
      <w:bookmarkStart w:id="530" w:name="_Hlk507671153"/>
      <w:r w:rsidR="00572EBC" w:rsidRPr="00785FB4">
        <w:rPr>
          <w:bCs/>
        </w:rPr>
        <w:t xml:space="preserve">Some industry representatives in the MSG expressed surprise that the AEITI Report did not include reference to their social payments, even </w:t>
      </w:r>
      <w:r w:rsidR="007B1D59" w:rsidRPr="00785FB4">
        <w:rPr>
          <w:bCs/>
        </w:rPr>
        <w:t xml:space="preserve">though </w:t>
      </w:r>
      <w:r w:rsidR="00572EBC" w:rsidRPr="00785FB4">
        <w:rPr>
          <w:bCs/>
        </w:rPr>
        <w:t xml:space="preserve">their </w:t>
      </w:r>
      <w:r w:rsidR="007B1D59" w:rsidRPr="00785FB4">
        <w:rPr>
          <w:bCs/>
        </w:rPr>
        <w:t xml:space="preserve">submitted reporting </w:t>
      </w:r>
      <w:r w:rsidR="00572EBC" w:rsidRPr="00785FB4">
        <w:rPr>
          <w:bCs/>
        </w:rPr>
        <w:t xml:space="preserve">templates did not </w:t>
      </w:r>
      <w:r w:rsidR="007B1D59" w:rsidRPr="00785FB4">
        <w:rPr>
          <w:bCs/>
        </w:rPr>
        <w:t xml:space="preserve">include any </w:t>
      </w:r>
      <w:r w:rsidR="00572EBC" w:rsidRPr="00785FB4">
        <w:rPr>
          <w:bCs/>
        </w:rPr>
        <w:t>such payments.</w:t>
      </w:r>
      <w:bookmarkEnd w:id="530"/>
      <w:r w:rsidR="00572EBC" w:rsidRPr="00785FB4">
        <w:rPr>
          <w:bCs/>
        </w:rPr>
        <w:t xml:space="preserve"> </w:t>
      </w:r>
      <w:r w:rsidR="00C1622A" w:rsidRPr="00785FB4">
        <w:rPr>
          <w:bCs/>
        </w:rPr>
        <w:t>In a January 2015 report, the USIP also highlighted the case of several mining companies (such as Hewad Brothers and AKNR) that did not comply with their mandatory social expenditure requirements.</w:t>
      </w:r>
      <w:r w:rsidR="00AF1AA3" w:rsidRPr="00785FB4">
        <w:rPr>
          <w:rStyle w:val="FootnoteReference"/>
          <w:bCs/>
        </w:rPr>
        <w:footnoteReference w:id="270"/>
      </w:r>
      <w:r w:rsidR="00C1622A" w:rsidRPr="00785FB4">
        <w:rPr>
          <w:bCs/>
        </w:rPr>
        <w:t xml:space="preserve"> The IA and MSG’s Technical Committee confirmed that none of the material companies reported any social expenditures in AEITI Reports. </w:t>
      </w:r>
      <w:r w:rsidR="007B1D59" w:rsidRPr="00785FB4">
        <w:rPr>
          <w:bCs/>
        </w:rPr>
        <w:t>The MSG had self-assessed its progress in meeting Requirement 6.1 as “no progress” during its pre-Validation exercise in May 2017.</w:t>
      </w:r>
    </w:p>
    <w:p w14:paraId="1E4AB79F" w14:textId="11222BD9" w:rsidR="00436407" w:rsidRPr="00785FB4" w:rsidRDefault="00BA52AA" w:rsidP="00A94167">
      <w:pPr>
        <w:pStyle w:val="Heading3"/>
      </w:pPr>
      <w:bookmarkStart w:id="531" w:name="_Toc459133192"/>
      <w:bookmarkStart w:id="532" w:name="_Toc461803142"/>
      <w:bookmarkStart w:id="533" w:name="_Toc505449691"/>
      <w:r w:rsidRPr="00785FB4">
        <w:t>Initial a</w:t>
      </w:r>
      <w:r w:rsidR="00436407" w:rsidRPr="00785FB4">
        <w:t>ssessment</w:t>
      </w:r>
      <w:bookmarkEnd w:id="531"/>
      <w:bookmarkEnd w:id="532"/>
      <w:bookmarkEnd w:id="533"/>
    </w:p>
    <w:p w14:paraId="5D8E8251" w14:textId="2F21D23B" w:rsidR="000722F1" w:rsidRPr="00785FB4" w:rsidRDefault="002051F4" w:rsidP="00711D1A">
      <w:pPr>
        <w:rPr>
          <w:bCs/>
        </w:rPr>
      </w:pPr>
      <w:r w:rsidRPr="00785FB4">
        <w:t xml:space="preserve">The International Secretariat’s initial assessment is that </w:t>
      </w:r>
      <w:r w:rsidR="001B2DDD" w:rsidRPr="00785FB4">
        <w:t xml:space="preserve">this </w:t>
      </w:r>
      <w:r w:rsidR="00CD1563" w:rsidRPr="00785FB4">
        <w:rPr>
          <w:bCs/>
        </w:rPr>
        <w:t>Afghanistan</w:t>
      </w:r>
      <w:r w:rsidR="00CD1563" w:rsidRPr="00785FB4">
        <w:t xml:space="preserve"> </w:t>
      </w:r>
      <w:r w:rsidR="00C1622A" w:rsidRPr="00785FB4">
        <w:t>has made inadequate progress towards meeting this requirement. While t</w:t>
      </w:r>
      <w:r w:rsidR="001B2DDD" w:rsidRPr="00785FB4">
        <w:t xml:space="preserve">he 2014-15 EITI Report </w:t>
      </w:r>
      <w:r w:rsidR="00C1622A" w:rsidRPr="00785FB4">
        <w:t xml:space="preserve">states that </w:t>
      </w:r>
      <w:r w:rsidR="001B2DDD" w:rsidRPr="00785FB4">
        <w:t>the</w:t>
      </w:r>
      <w:r w:rsidR="00C1622A" w:rsidRPr="00785FB4">
        <w:t>re were no</w:t>
      </w:r>
      <w:r w:rsidR="001B2DDD" w:rsidRPr="00785FB4">
        <w:t xml:space="preserve"> mandatory social expenditures</w:t>
      </w:r>
      <w:r w:rsidR="00C1622A" w:rsidRPr="00785FB4">
        <w:t xml:space="preserve"> in the period under review, several industry stakeholders confirmed that specific mining companies had undertaken mandatory social expenditures in 2014-15</w:t>
      </w:r>
      <w:r w:rsidR="001B2DDD" w:rsidRPr="00785FB4">
        <w:t xml:space="preserve">. While voluntary social expenditures were included in </w:t>
      </w:r>
      <w:r w:rsidR="001B2DDD" w:rsidRPr="00785FB4">
        <w:rPr>
          <w:bCs/>
        </w:rPr>
        <w:t>templates, no payments were reporte</w:t>
      </w:r>
      <w:r w:rsidR="00572EBC" w:rsidRPr="00785FB4">
        <w:rPr>
          <w:bCs/>
        </w:rPr>
        <w:t>d and no explanations were provided.</w:t>
      </w:r>
      <w:r w:rsidR="001B2DDD" w:rsidRPr="00785FB4">
        <w:rPr>
          <w:bCs/>
        </w:rPr>
        <w:t xml:space="preserve"> </w:t>
      </w:r>
    </w:p>
    <w:p w14:paraId="02F14852" w14:textId="766EDEED" w:rsidR="00C1622A" w:rsidRPr="00785FB4" w:rsidRDefault="00C1622A" w:rsidP="008D2B6D">
      <w:pPr>
        <w:rPr>
          <w:bCs/>
        </w:rPr>
      </w:pPr>
      <w:r w:rsidRPr="00785FB4">
        <w:rPr>
          <w:bCs/>
        </w:rPr>
        <w:t>In accordance with Requirement 6.1</w:t>
      </w:r>
      <w:r w:rsidR="001B2DDD" w:rsidRPr="00785FB4">
        <w:rPr>
          <w:bCs/>
        </w:rPr>
        <w:t xml:space="preserve">, </w:t>
      </w:r>
      <w:r w:rsidR="008D2B6D" w:rsidRPr="00785FB4">
        <w:rPr>
          <w:bCs/>
        </w:rPr>
        <w:t xml:space="preserve">Afghanistan </w:t>
      </w:r>
      <w:r w:rsidRPr="00785FB4">
        <w:rPr>
          <w:bCs/>
        </w:rPr>
        <w:t>should ensure that a clear definition of any mandatory social expenditures is publicly provided</w:t>
      </w:r>
      <w:r w:rsidR="008D2B6D" w:rsidRPr="00785FB4">
        <w:rPr>
          <w:bCs/>
        </w:rPr>
        <w:t xml:space="preserve"> and assess the materiality of such expenditures in the period under review. </w:t>
      </w:r>
      <w:r w:rsidR="007B1D59" w:rsidRPr="00785FB4">
        <w:rPr>
          <w:bCs/>
        </w:rPr>
        <w:t xml:space="preserve">Afghanistan </w:t>
      </w:r>
      <w:r w:rsidRPr="00785FB4">
        <w:rPr>
          <w:bCs/>
        </w:rPr>
        <w:t xml:space="preserve">may wish to consider the extent to which disclosure of </w:t>
      </w:r>
      <w:r w:rsidR="008D2B6D" w:rsidRPr="00785FB4">
        <w:rPr>
          <w:bCs/>
        </w:rPr>
        <w:t xml:space="preserve">Community Development Agreements </w:t>
      </w:r>
      <w:r w:rsidRPr="00785FB4">
        <w:rPr>
          <w:bCs/>
        </w:rPr>
        <w:t xml:space="preserve">(or review of key terms) would be necessary to provide a comprehensive assessment of the existence of mandatory social expenditures. </w:t>
      </w:r>
      <w:r w:rsidR="008D2B6D" w:rsidRPr="00785FB4">
        <w:rPr>
          <w:bCs/>
        </w:rPr>
        <w:t xml:space="preserve">Afghanistan </w:t>
      </w:r>
      <w:r w:rsidRPr="00785FB4">
        <w:rPr>
          <w:bCs/>
        </w:rPr>
        <w:t xml:space="preserve">should ensure that </w:t>
      </w:r>
      <w:r w:rsidR="008D2B6D" w:rsidRPr="00785FB4">
        <w:rPr>
          <w:bCs/>
        </w:rPr>
        <w:t xml:space="preserve">public disclosure </w:t>
      </w:r>
      <w:r w:rsidRPr="00785FB4">
        <w:rPr>
          <w:bCs/>
        </w:rPr>
        <w:t>of mandatory social expenditures be disaggregated by type of payment (distinguishing cash and in-kind) and beneficiary, clarifying the name and function of any non-government (third-party) beneficiaries of mandatory social expenditures.</w:t>
      </w:r>
    </w:p>
    <w:p w14:paraId="53B41843" w14:textId="77777777" w:rsidR="000722F1" w:rsidRPr="00785FB4" w:rsidRDefault="000722F1" w:rsidP="00A94167">
      <w:pPr>
        <w:pStyle w:val="Heading2notindexed"/>
      </w:pPr>
      <w:bookmarkStart w:id="534" w:name="_Toc459133193"/>
      <w:bookmarkStart w:id="535" w:name="_Toc461803143"/>
      <w:bookmarkStart w:id="536" w:name="_Toc461787360"/>
      <w:bookmarkStart w:id="537" w:name="_Toc461795872"/>
      <w:bookmarkStart w:id="538" w:name="_Toc505449692"/>
      <w:bookmarkStart w:id="539" w:name="_Toc505449821"/>
      <w:bookmarkStart w:id="540" w:name="_Toc459133194"/>
      <w:r w:rsidRPr="00785FB4">
        <w:t>SOE quasi fiscal expenditures (#</w:t>
      </w:r>
      <w:r w:rsidR="00436407" w:rsidRPr="00785FB4">
        <w:t>6.2</w:t>
      </w:r>
      <w:r w:rsidRPr="00785FB4">
        <w:t>)</w:t>
      </w:r>
      <w:bookmarkEnd w:id="534"/>
      <w:bookmarkEnd w:id="535"/>
      <w:bookmarkEnd w:id="536"/>
      <w:bookmarkEnd w:id="537"/>
      <w:bookmarkEnd w:id="538"/>
      <w:bookmarkEnd w:id="539"/>
    </w:p>
    <w:p w14:paraId="49F3ADA2" w14:textId="776E7386" w:rsidR="008D3D27" w:rsidRPr="00785FB4" w:rsidRDefault="002051F4" w:rsidP="00A94167">
      <w:pPr>
        <w:pStyle w:val="Heading3"/>
      </w:pPr>
      <w:bookmarkStart w:id="541" w:name="_Toc505449693"/>
      <w:bookmarkEnd w:id="540"/>
      <w:r w:rsidRPr="00785FB4">
        <w:t>Documentation of progress</w:t>
      </w:r>
      <w:bookmarkEnd w:id="541"/>
    </w:p>
    <w:p w14:paraId="58F0EFF7" w14:textId="4A976D71" w:rsidR="00CE22B3" w:rsidRPr="00785FB4" w:rsidRDefault="00114A0A" w:rsidP="002051F4">
      <w:pPr>
        <w:spacing w:before="120"/>
      </w:pPr>
      <w:r w:rsidRPr="00785FB4">
        <w:t xml:space="preserve">The </w:t>
      </w:r>
      <w:r w:rsidR="00E64863" w:rsidRPr="00785FB4">
        <w:t>2014-15 R</w:t>
      </w:r>
      <w:r w:rsidRPr="00785FB4">
        <w:t>eport does not refer to quasi-fiscal expenditures.</w:t>
      </w:r>
      <w:r w:rsidR="008D2B6D" w:rsidRPr="00785FB4">
        <w:t xml:space="preserve"> There is no evidence in meeting minutes of the MSG’s discussion of quasi-fiscal expenditures</w:t>
      </w:r>
      <w:r w:rsidR="0032350A" w:rsidRPr="00785FB4">
        <w:t>.</w:t>
      </w:r>
      <w:r w:rsidR="00F1570E" w:rsidRPr="00785FB4">
        <w:t xml:space="preserve"> </w:t>
      </w:r>
      <w:r w:rsidR="008D2B6D" w:rsidRPr="00785FB4">
        <w:t xml:space="preserve">The 2014-15 Report </w:t>
      </w:r>
      <w:r w:rsidR="00252DCD" w:rsidRPr="00785FB4">
        <w:t xml:space="preserve">provides basic financial information </w:t>
      </w:r>
      <w:r w:rsidR="00A741DC" w:rsidRPr="00785FB4">
        <w:t>on revenues and profits</w:t>
      </w:r>
      <w:r w:rsidR="005E50DA" w:rsidRPr="00785FB4">
        <w:rPr>
          <w:rStyle w:val="FootnoteReference"/>
        </w:rPr>
        <w:footnoteReference w:id="271"/>
      </w:r>
      <w:r w:rsidR="00A741DC" w:rsidRPr="00785FB4">
        <w:t xml:space="preserve"> </w:t>
      </w:r>
      <w:r w:rsidR="00252DCD" w:rsidRPr="00785FB4">
        <w:t>for the two extractives SOEs</w:t>
      </w:r>
      <w:r w:rsidR="00A741DC" w:rsidRPr="00785FB4">
        <w:t xml:space="preserve"> sourced from the ACSO</w:t>
      </w:r>
      <w:r w:rsidR="005E50DA" w:rsidRPr="00785FB4">
        <w:t xml:space="preserve"> (p.52</w:t>
      </w:r>
      <w:r w:rsidR="00A741DC" w:rsidRPr="00785FB4">
        <w:t>)</w:t>
      </w:r>
      <w:r w:rsidR="005E50DA" w:rsidRPr="00785FB4">
        <w:t>, as well as the results of reconciliation of the two SOEs’ payments to government</w:t>
      </w:r>
      <w:r w:rsidR="005E50DA" w:rsidRPr="00785FB4">
        <w:rPr>
          <w:rStyle w:val="FootnoteReference"/>
        </w:rPr>
        <w:footnoteReference w:id="272"/>
      </w:r>
      <w:r w:rsidR="005E50DA" w:rsidRPr="00785FB4">
        <w:t xml:space="preserve"> (a/pp.19,47)</w:t>
      </w:r>
      <w:r w:rsidR="008D2B6D" w:rsidRPr="00785FB4">
        <w:t xml:space="preserve">, although this </w:t>
      </w:r>
      <w:r w:rsidR="008D2B6D" w:rsidRPr="00785FB4">
        <w:lastRenderedPageBreak/>
        <w:t>information does not include quasi-fiscal expenditures</w:t>
      </w:r>
      <w:r w:rsidR="005E50DA" w:rsidRPr="00785FB4">
        <w:t>.</w:t>
      </w:r>
    </w:p>
    <w:p w14:paraId="7452B52E" w14:textId="2505FC3C" w:rsidR="00FC3899" w:rsidRPr="00785FB4" w:rsidRDefault="002051F4" w:rsidP="00A94167">
      <w:pPr>
        <w:pStyle w:val="Heading3"/>
      </w:pPr>
      <w:bookmarkStart w:id="542" w:name="_Toc505449694"/>
      <w:r w:rsidRPr="00785FB4">
        <w:t>Stakeholder views</w:t>
      </w:r>
      <w:bookmarkEnd w:id="542"/>
    </w:p>
    <w:p w14:paraId="1F9B757F" w14:textId="00A27148" w:rsidR="008D2B6D" w:rsidRPr="00785FB4" w:rsidRDefault="008D2B6D" w:rsidP="002051F4">
      <w:pPr>
        <w:spacing w:before="120"/>
        <w:rPr>
          <w:bCs/>
        </w:rPr>
      </w:pPr>
      <w:r w:rsidRPr="00785FB4">
        <w:rPr>
          <w:bCs/>
        </w:rPr>
        <w:t xml:space="preserve">There were sharply divergent views across different constituencies over whether AGE or NCE undertook any quasi-fiscal expenditures. The MSG’s Technical Committee confirmed that the MSG had not assessed the existence of quasi-fiscal expenditures </w:t>
      </w:r>
      <w:r w:rsidR="00487899" w:rsidRPr="00785FB4">
        <w:rPr>
          <w:bCs/>
        </w:rPr>
        <w:t xml:space="preserve">in detail </w:t>
      </w:r>
      <w:r w:rsidRPr="00785FB4">
        <w:rPr>
          <w:bCs/>
        </w:rPr>
        <w:t>ahead of EITI reporting. While there was consensus across the three constituencies (and independent studies</w:t>
      </w:r>
      <w:r w:rsidRPr="00785FB4">
        <w:rPr>
          <w:rStyle w:val="FootnoteReference"/>
          <w:bCs/>
        </w:rPr>
        <w:footnoteReference w:id="273"/>
      </w:r>
      <w:r w:rsidRPr="00785FB4">
        <w:rPr>
          <w:bCs/>
        </w:rPr>
        <w:t xml:space="preserve">) that the two SOEs’ budgets were agreed by the </w:t>
      </w:r>
      <w:r w:rsidR="00DB56BA" w:rsidRPr="00785FB4">
        <w:rPr>
          <w:bCs/>
        </w:rPr>
        <w:t>MOF</w:t>
      </w:r>
      <w:r w:rsidRPr="00785FB4">
        <w:rPr>
          <w:bCs/>
        </w:rPr>
        <w:t xml:space="preserve"> at the start of every year, and that SOEs could only retain minimal earnings (</w:t>
      </w:r>
      <w:r w:rsidRPr="00785FB4">
        <w:rPr>
          <w:bCs/>
          <w:i/>
        </w:rPr>
        <w:t>see Requirement 2.6</w:t>
      </w:r>
      <w:r w:rsidRPr="00785FB4">
        <w:rPr>
          <w:bCs/>
        </w:rPr>
        <w:t xml:space="preserve">), there was no consensus over whether the SOEs undertook quasi-fiscal expenditures such as subsidised sales. </w:t>
      </w:r>
      <w:r w:rsidR="00ED2E87" w:rsidRPr="00785FB4">
        <w:rPr>
          <w:bCs/>
        </w:rPr>
        <w:t>Development partners did not have visibility on any quasi-fiscal expenditures undertaken by the two SOEs. While Article 22 of the SOE Law requires the government to compensate SOEs for sales of goods and services sold at below their net cost</w:t>
      </w:r>
      <w:r w:rsidR="00ED2E87" w:rsidRPr="00785FB4">
        <w:rPr>
          <w:rStyle w:val="FootnoteReference"/>
          <w:bCs/>
        </w:rPr>
        <w:footnoteReference w:id="274"/>
      </w:r>
      <w:r w:rsidR="00ED2E87" w:rsidRPr="00785FB4">
        <w:rPr>
          <w:bCs/>
        </w:rPr>
        <w:t>, none of the stakeholders consulted had certainty over the structure of subsidies provided by the two SOEs.</w:t>
      </w:r>
    </w:p>
    <w:p w14:paraId="1FC8EA16" w14:textId="44C02926" w:rsidR="008D2B6D" w:rsidRPr="00785FB4" w:rsidRDefault="008D2B6D" w:rsidP="002051F4">
      <w:pPr>
        <w:spacing w:before="120"/>
        <w:rPr>
          <w:bCs/>
        </w:rPr>
      </w:pPr>
      <w:r w:rsidRPr="00785FB4">
        <w:rPr>
          <w:bCs/>
        </w:rPr>
        <w:t xml:space="preserve">There was consensus among stakeholders consulted that AGE sold most of its natural gas to the Northern Fertilizer Power Plant (NFPP) at subsidised prices, with a November 2016 USAID report on AGE reporting sales prices of USD 34 per mcm to NFPP compared to USD 100 per mcm for gas </w:t>
      </w:r>
      <w:r w:rsidR="00ED2E87" w:rsidRPr="00785FB4">
        <w:rPr>
          <w:bCs/>
        </w:rPr>
        <w:t xml:space="preserve">pledged </w:t>
      </w:r>
      <w:r w:rsidRPr="00785FB4">
        <w:rPr>
          <w:bCs/>
        </w:rPr>
        <w:t xml:space="preserve">to </w:t>
      </w:r>
      <w:r w:rsidR="00ED2E87" w:rsidRPr="00785FB4">
        <w:rPr>
          <w:bCs/>
        </w:rPr>
        <w:t xml:space="preserve">the </w:t>
      </w:r>
      <w:r w:rsidRPr="00785FB4">
        <w:rPr>
          <w:bCs/>
        </w:rPr>
        <w:t xml:space="preserve">Ghazanfar IPP </w:t>
      </w:r>
      <w:r w:rsidR="00ED2E87" w:rsidRPr="00785FB4">
        <w:rPr>
          <w:bCs/>
        </w:rPr>
        <w:t xml:space="preserve">project </w:t>
      </w:r>
      <w:r w:rsidRPr="00785FB4">
        <w:rPr>
          <w:bCs/>
        </w:rPr>
        <w:t xml:space="preserve">in Mazar-i-Sharif and USD 150 per mcm for gas </w:t>
      </w:r>
      <w:r w:rsidR="00ED2E87" w:rsidRPr="00785FB4">
        <w:rPr>
          <w:bCs/>
        </w:rPr>
        <w:t xml:space="preserve">pledged </w:t>
      </w:r>
      <w:r w:rsidRPr="00785FB4">
        <w:rPr>
          <w:bCs/>
        </w:rPr>
        <w:t>to CNG Station Sheberghan.</w:t>
      </w:r>
      <w:r w:rsidRPr="00785FB4">
        <w:rPr>
          <w:rStyle w:val="FootnoteReference"/>
          <w:bCs/>
        </w:rPr>
        <w:footnoteReference w:id="275"/>
      </w:r>
      <w:r w:rsidR="00ED2E87" w:rsidRPr="00785FB4">
        <w:rPr>
          <w:bCs/>
        </w:rPr>
        <w:t xml:space="preserve"> There was no clarity from any of the stakeholders consulted over whether such subsidies were covered by the national budget, or absorbed in AGE’s operating costs. </w:t>
      </w:r>
    </w:p>
    <w:p w14:paraId="1AF773CB" w14:textId="4935BC0F" w:rsidR="00ED2E87" w:rsidRPr="00785FB4" w:rsidRDefault="00ED2E87" w:rsidP="002051F4">
      <w:pPr>
        <w:spacing w:before="120"/>
        <w:rPr>
          <w:bCs/>
        </w:rPr>
      </w:pPr>
      <w:r w:rsidRPr="00785FB4">
        <w:rPr>
          <w:bCs/>
        </w:rPr>
        <w:t>There was also consensus that NCE sold coal at a rate set by the Cabinet, at AFS 2100 per ton</w:t>
      </w:r>
      <w:r w:rsidRPr="00785FB4">
        <w:rPr>
          <w:rStyle w:val="FootnoteReference"/>
          <w:bCs/>
        </w:rPr>
        <w:footnoteReference w:id="276"/>
      </w:r>
      <w:r w:rsidRPr="00785FB4">
        <w:rPr>
          <w:bCs/>
        </w:rPr>
        <w:t xml:space="preserve">, although there were different opinions over whether this represented a fair valuation in line with market prices. While several government officials considered that the fixed rate was in line with market prices and production costs, a 2011 assessment of NCE for </w:t>
      </w:r>
      <w:r w:rsidR="00DB56BA" w:rsidRPr="00785FB4">
        <w:rPr>
          <w:bCs/>
        </w:rPr>
        <w:t>MOMP</w:t>
      </w:r>
      <w:r w:rsidRPr="00785FB4">
        <w:rPr>
          <w:bCs/>
        </w:rPr>
        <w:t xml:space="preserve"> considered that the AFS 600 per ton production costs represented the salary costs for a worker to produce a ton of coal and thus under-estimated the total cost of production.</w:t>
      </w:r>
      <w:r w:rsidRPr="00785FB4">
        <w:rPr>
          <w:rStyle w:val="FootnoteReference"/>
          <w:bCs/>
        </w:rPr>
        <w:footnoteReference w:id="277"/>
      </w:r>
      <w:r w:rsidRPr="00785FB4">
        <w:rPr>
          <w:bCs/>
        </w:rPr>
        <w:t xml:space="preserve"> The 2011 study also found instances of coal sold at below the Cabinet-mandated rate (to public users and mosques for instance).</w:t>
      </w:r>
      <w:r w:rsidRPr="00785FB4">
        <w:rPr>
          <w:rStyle w:val="FootnoteReference"/>
          <w:bCs/>
        </w:rPr>
        <w:footnoteReference w:id="278"/>
      </w:r>
    </w:p>
    <w:p w14:paraId="5C34796C" w14:textId="5C2BB958" w:rsidR="002051F4" w:rsidRPr="00785FB4" w:rsidRDefault="002051F4" w:rsidP="00A94167">
      <w:pPr>
        <w:pStyle w:val="Heading3"/>
      </w:pPr>
      <w:bookmarkStart w:id="543" w:name="_Toc459133196"/>
      <w:bookmarkStart w:id="544" w:name="_Toc461803146"/>
      <w:bookmarkStart w:id="545" w:name="_Toc505449695"/>
      <w:r w:rsidRPr="00785FB4">
        <w:t>Initial assessment</w:t>
      </w:r>
      <w:bookmarkEnd w:id="543"/>
      <w:bookmarkEnd w:id="544"/>
      <w:bookmarkEnd w:id="545"/>
    </w:p>
    <w:p w14:paraId="64230BC9" w14:textId="43BBBB21" w:rsidR="005D5BAE" w:rsidRPr="00785FB4" w:rsidRDefault="002051F4" w:rsidP="00D24BEC">
      <w:pPr>
        <w:spacing w:before="120"/>
        <w:rPr>
          <w:color w:val="000000" w:themeColor="text1"/>
          <w:lang w:eastAsia="x-none"/>
        </w:rPr>
      </w:pPr>
      <w:r w:rsidRPr="00785FB4">
        <w:rPr>
          <w:color w:val="000000" w:themeColor="text1"/>
          <w:lang w:eastAsia="x-none"/>
        </w:rPr>
        <w:t xml:space="preserve">The International Secretariat’s initial assessment is that </w:t>
      </w:r>
      <w:r w:rsidR="00CD1563" w:rsidRPr="00785FB4">
        <w:rPr>
          <w:bCs/>
        </w:rPr>
        <w:t>Afghanistan</w:t>
      </w:r>
      <w:r w:rsidR="00CD1563" w:rsidRPr="00785FB4">
        <w:t xml:space="preserve"> </w:t>
      </w:r>
      <w:r w:rsidRPr="00785FB4">
        <w:rPr>
          <w:color w:val="000000" w:themeColor="text1"/>
          <w:lang w:eastAsia="x-none"/>
        </w:rPr>
        <w:t xml:space="preserve">has made </w:t>
      </w:r>
      <w:r w:rsidR="005E50DA" w:rsidRPr="00785FB4">
        <w:rPr>
          <w:bCs/>
        </w:rPr>
        <w:t xml:space="preserve">no </w:t>
      </w:r>
      <w:r w:rsidRPr="00785FB4">
        <w:rPr>
          <w:color w:val="000000" w:themeColor="text1"/>
          <w:lang w:eastAsia="x-none"/>
        </w:rPr>
        <w:t xml:space="preserve">progress towards meeting this requirement. </w:t>
      </w:r>
      <w:r w:rsidR="005E50DA" w:rsidRPr="00785FB4">
        <w:rPr>
          <w:color w:val="000000" w:themeColor="text1"/>
          <w:lang w:eastAsia="x-none"/>
        </w:rPr>
        <w:t xml:space="preserve">The 2014-15 EITI Report does not refer to quasi-fiscal expenditures and there is insufficient information on SOEs </w:t>
      </w:r>
      <w:r w:rsidR="00ED2E87" w:rsidRPr="00785FB4">
        <w:rPr>
          <w:color w:val="000000" w:themeColor="text1"/>
          <w:lang w:eastAsia="x-none"/>
        </w:rPr>
        <w:t>in the report to determine the existence of any such expenditures</w:t>
      </w:r>
      <w:r w:rsidR="005E50DA" w:rsidRPr="00785FB4">
        <w:rPr>
          <w:color w:val="000000" w:themeColor="text1"/>
          <w:lang w:eastAsia="x-none"/>
        </w:rPr>
        <w:t xml:space="preserve">. </w:t>
      </w:r>
      <w:r w:rsidR="00ED2E87" w:rsidRPr="00785FB4">
        <w:rPr>
          <w:color w:val="000000" w:themeColor="text1"/>
          <w:lang w:eastAsia="x-none"/>
        </w:rPr>
        <w:t>The lack of clarity from stakeholders on the existence of quasi-fiscal expenditures and publicly available evidence of subsidies on natural gas sold by AGE warrant</w:t>
      </w:r>
      <w:r w:rsidR="00FF73C8" w:rsidRPr="00785FB4">
        <w:rPr>
          <w:color w:val="000000" w:themeColor="text1"/>
          <w:lang w:eastAsia="x-none"/>
        </w:rPr>
        <w:t xml:space="preserve"> additional work from the MSG. </w:t>
      </w:r>
    </w:p>
    <w:p w14:paraId="791A4F82" w14:textId="6F04BFFC" w:rsidR="008D2B6D" w:rsidRPr="00785FB4" w:rsidRDefault="005E50DA" w:rsidP="00D24BEC">
      <w:pPr>
        <w:spacing w:before="120"/>
        <w:rPr>
          <w:color w:val="000000" w:themeColor="text1"/>
          <w:lang w:eastAsia="x-none"/>
        </w:rPr>
      </w:pPr>
      <w:r w:rsidRPr="00785FB4">
        <w:rPr>
          <w:color w:val="000000" w:themeColor="text1"/>
          <w:lang w:eastAsia="x-none"/>
        </w:rPr>
        <w:t xml:space="preserve">In accordance with Requirement 6.2, </w:t>
      </w:r>
      <w:r w:rsidR="007B1D59" w:rsidRPr="00785FB4">
        <w:rPr>
          <w:bCs/>
        </w:rPr>
        <w:t>Afghanistan</w:t>
      </w:r>
      <w:r w:rsidRPr="00785FB4">
        <w:rPr>
          <w:color w:val="000000" w:themeColor="text1"/>
          <w:lang w:eastAsia="x-none"/>
        </w:rPr>
        <w:t xml:space="preserve"> should </w:t>
      </w:r>
      <w:r w:rsidR="008D2B6D" w:rsidRPr="00785FB4">
        <w:rPr>
          <w:color w:val="000000" w:themeColor="text1"/>
          <w:lang w:eastAsia="x-none"/>
        </w:rPr>
        <w:t xml:space="preserve">undertake a comprehensive review of all expenditures undertaken by extractives SOEs that could be considered quasi-fiscal. </w:t>
      </w:r>
      <w:r w:rsidR="007B1D59" w:rsidRPr="00785FB4">
        <w:rPr>
          <w:bCs/>
        </w:rPr>
        <w:t xml:space="preserve">Afghanistan </w:t>
      </w:r>
      <w:r w:rsidR="008D2B6D" w:rsidRPr="00785FB4">
        <w:rPr>
          <w:color w:val="000000" w:themeColor="text1"/>
          <w:lang w:eastAsia="x-none"/>
        </w:rPr>
        <w:t xml:space="preserve">should </w:t>
      </w:r>
      <w:r w:rsidR="008D2B6D" w:rsidRPr="00785FB4">
        <w:rPr>
          <w:color w:val="000000" w:themeColor="text1"/>
          <w:lang w:eastAsia="x-none"/>
        </w:rPr>
        <w:lastRenderedPageBreak/>
        <w:t>develop a reporting process for quasi-fiscal expenditures with a view to achieving a level of transparency commensurate with other payments and revenue streams.</w:t>
      </w:r>
    </w:p>
    <w:p w14:paraId="036A8720" w14:textId="77777777" w:rsidR="000722F1" w:rsidRPr="00785FB4" w:rsidRDefault="000722F1" w:rsidP="00A94167">
      <w:pPr>
        <w:pStyle w:val="Heading2notindexed"/>
      </w:pPr>
      <w:bookmarkStart w:id="546" w:name="_Toc459133197"/>
      <w:bookmarkStart w:id="547" w:name="_Toc461803147"/>
      <w:bookmarkStart w:id="548" w:name="_Toc461787361"/>
      <w:bookmarkStart w:id="549" w:name="_Toc461795873"/>
      <w:bookmarkStart w:id="550" w:name="_Toc505449696"/>
      <w:bookmarkStart w:id="551" w:name="_Toc505449822"/>
      <w:bookmarkStart w:id="552" w:name="_Toc459133198"/>
      <w:r w:rsidRPr="00785FB4">
        <w:t>Contribution of the extractive sector to the economy (#</w:t>
      </w:r>
      <w:r w:rsidR="00436407" w:rsidRPr="00785FB4">
        <w:t>6.3</w:t>
      </w:r>
      <w:r w:rsidRPr="00785FB4">
        <w:t>)</w:t>
      </w:r>
      <w:bookmarkEnd w:id="546"/>
      <w:bookmarkEnd w:id="547"/>
      <w:bookmarkEnd w:id="548"/>
      <w:bookmarkEnd w:id="549"/>
      <w:bookmarkEnd w:id="550"/>
      <w:bookmarkEnd w:id="551"/>
    </w:p>
    <w:p w14:paraId="1A2C27DE" w14:textId="0BAF2DC9" w:rsidR="008D3D27" w:rsidRPr="00785FB4" w:rsidRDefault="002051F4" w:rsidP="00A94167">
      <w:pPr>
        <w:pStyle w:val="Heading3"/>
      </w:pPr>
      <w:bookmarkStart w:id="553" w:name="_Toc505449697"/>
      <w:bookmarkEnd w:id="552"/>
      <w:r w:rsidRPr="00785FB4">
        <w:t>Documentation of progress</w:t>
      </w:r>
      <w:bookmarkEnd w:id="553"/>
    </w:p>
    <w:p w14:paraId="4A915F14" w14:textId="6B11F3A8" w:rsidR="002051F4" w:rsidRPr="00785FB4" w:rsidRDefault="009862C2" w:rsidP="00AE6A07">
      <w:pPr>
        <w:spacing w:before="120"/>
        <w:rPr>
          <w:bCs/>
        </w:rPr>
      </w:pPr>
      <w:r w:rsidRPr="00785FB4">
        <w:rPr>
          <w:i/>
          <w:u w:val="single"/>
        </w:rPr>
        <w:t>S</w:t>
      </w:r>
      <w:r w:rsidR="002051F4" w:rsidRPr="00785FB4">
        <w:rPr>
          <w:i/>
          <w:u w:val="single"/>
        </w:rPr>
        <w:t>hare of GDP</w:t>
      </w:r>
      <w:r w:rsidR="00FE3EA8" w:rsidRPr="00785FB4">
        <w:t>:</w:t>
      </w:r>
      <w:r w:rsidR="0093453D" w:rsidRPr="00785FB4">
        <w:t xml:space="preserve"> The 2014-15 EITI R</w:t>
      </w:r>
      <w:r w:rsidR="00B970A8" w:rsidRPr="00785FB4">
        <w:t xml:space="preserve">eport provides </w:t>
      </w:r>
      <w:r w:rsidR="00803E8B" w:rsidRPr="00785FB4">
        <w:t xml:space="preserve">the value of the mining sector’s contribution to GDP in 2014 and 2015 in absolute terms and as a share of GDP, sourced from </w:t>
      </w:r>
      <w:r w:rsidR="00DB56BA" w:rsidRPr="00785FB4">
        <w:t>MOF</w:t>
      </w:r>
      <w:r w:rsidR="00803E8B" w:rsidRPr="00785FB4">
        <w:t xml:space="preserve"> Fiscal Policy Unit (p.36). </w:t>
      </w:r>
    </w:p>
    <w:p w14:paraId="45F955BC" w14:textId="0EC336AF" w:rsidR="002051F4" w:rsidRPr="00785FB4" w:rsidRDefault="009862C2" w:rsidP="0093453D">
      <w:pPr>
        <w:spacing w:before="120"/>
        <w:rPr>
          <w:bCs/>
        </w:rPr>
      </w:pPr>
      <w:r w:rsidRPr="00785FB4">
        <w:rPr>
          <w:i/>
          <w:u w:val="single"/>
        </w:rPr>
        <w:t>G</w:t>
      </w:r>
      <w:r w:rsidR="002051F4" w:rsidRPr="00785FB4">
        <w:rPr>
          <w:i/>
          <w:u w:val="single"/>
        </w:rPr>
        <w:t>overnment revenues</w:t>
      </w:r>
      <w:r w:rsidR="00803E8B" w:rsidRPr="00785FB4">
        <w:rPr>
          <w:i/>
        </w:rPr>
        <w:t>:</w:t>
      </w:r>
      <w:r w:rsidR="002051F4" w:rsidRPr="00785FB4">
        <w:t xml:space="preserve"> </w:t>
      </w:r>
      <w:r w:rsidR="00C9689A" w:rsidRPr="00785FB4">
        <w:t>While noting that the value of total government revenues from the mining, oil and gas sectors is “not published”, t</w:t>
      </w:r>
      <w:r w:rsidR="00803E8B" w:rsidRPr="00785FB4">
        <w:t xml:space="preserve">he report provides </w:t>
      </w:r>
      <w:r w:rsidR="0093453D" w:rsidRPr="00785FB4">
        <w:t>the value of “</w:t>
      </w:r>
      <w:r w:rsidR="00DB56BA" w:rsidRPr="00785FB4">
        <w:t>MOMP</w:t>
      </w:r>
      <w:r w:rsidR="0093453D" w:rsidRPr="00785FB4">
        <w:t xml:space="preserve"> Profit from SOEs” </w:t>
      </w:r>
      <w:r w:rsidR="00803E8B" w:rsidRPr="00785FB4">
        <w:t>in 2014 and 2015</w:t>
      </w:r>
      <w:r w:rsidR="0093453D" w:rsidRPr="00785FB4">
        <w:t xml:space="preserve"> (p.36) and extractives revenues based on EITI reporting (p.9), as well as the value of total budget revenue in both years (p.36). </w:t>
      </w:r>
    </w:p>
    <w:p w14:paraId="1506CBE1" w14:textId="3E22B34D" w:rsidR="00114A0A" w:rsidRPr="00785FB4" w:rsidRDefault="009862C2" w:rsidP="002051F4">
      <w:pPr>
        <w:spacing w:before="120"/>
        <w:rPr>
          <w:bCs/>
        </w:rPr>
      </w:pPr>
      <w:r w:rsidRPr="00785FB4">
        <w:rPr>
          <w:i/>
          <w:u w:val="single"/>
        </w:rPr>
        <w:t>Exports</w:t>
      </w:r>
      <w:r w:rsidR="0093453D" w:rsidRPr="00785FB4">
        <w:t>:</w:t>
      </w:r>
      <w:r w:rsidR="0093453D" w:rsidRPr="00785FB4">
        <w:rPr>
          <w:bCs/>
        </w:rPr>
        <w:t xml:space="preserve"> </w:t>
      </w:r>
      <w:r w:rsidR="00114A0A" w:rsidRPr="00785FB4">
        <w:t xml:space="preserve">The </w:t>
      </w:r>
      <w:r w:rsidR="0093453D" w:rsidRPr="00785FB4">
        <w:t xml:space="preserve">report quotes the </w:t>
      </w:r>
      <w:r w:rsidR="00DB56BA" w:rsidRPr="00785FB4">
        <w:t>MOF</w:t>
      </w:r>
      <w:r w:rsidR="00114A0A" w:rsidRPr="00785FB4">
        <w:t xml:space="preserve"> Macro Fiscal Performance Directorate </w:t>
      </w:r>
      <w:r w:rsidR="0093453D" w:rsidRPr="00785FB4">
        <w:t xml:space="preserve">in stating that </w:t>
      </w:r>
      <w:r w:rsidR="00114A0A" w:rsidRPr="00785FB4">
        <w:t>extractive</w:t>
      </w:r>
      <w:r w:rsidR="0093453D" w:rsidRPr="00785FB4">
        <w:t>s export data is not available</w:t>
      </w:r>
      <w:r w:rsidR="00114A0A" w:rsidRPr="00785FB4">
        <w:t xml:space="preserve">. The </w:t>
      </w:r>
      <w:r w:rsidR="0093453D" w:rsidRPr="00785FB4">
        <w:t>report provide</w:t>
      </w:r>
      <w:r w:rsidR="00F37C23" w:rsidRPr="00785FB4">
        <w:t>s</w:t>
      </w:r>
      <w:r w:rsidR="0093453D" w:rsidRPr="00785FB4">
        <w:t xml:space="preserve"> the value of Afghanistan’s total exports in 2015</w:t>
      </w:r>
      <w:r w:rsidR="00114A0A" w:rsidRPr="00785FB4">
        <w:t>, sourced from the World Bank</w:t>
      </w:r>
      <w:r w:rsidR="0093453D" w:rsidRPr="00785FB4">
        <w:t xml:space="preserve"> (p.41)</w:t>
      </w:r>
      <w:r w:rsidR="00114A0A" w:rsidRPr="00785FB4">
        <w:t>.</w:t>
      </w:r>
      <w:r w:rsidR="00364569" w:rsidRPr="00785FB4">
        <w:t xml:space="preserve"> </w:t>
      </w:r>
      <w:r w:rsidR="00B71458" w:rsidRPr="00785FB4">
        <w:t>Acknowledging that the 2014-15 EITI Report did not cover ASM, estimates of lapis lazuli export volumes and values from a June 2016 Global Witness report</w:t>
      </w:r>
      <w:r w:rsidR="00B71458" w:rsidRPr="00785FB4">
        <w:rPr>
          <w:rStyle w:val="FootnoteReference"/>
        </w:rPr>
        <w:footnoteReference w:id="279"/>
      </w:r>
      <w:r w:rsidR="00B71458" w:rsidRPr="00785FB4">
        <w:t xml:space="preserve">  were nonetheless provided (p.16).</w:t>
      </w:r>
    </w:p>
    <w:p w14:paraId="053B3352" w14:textId="23FBE265" w:rsidR="00114A0A" w:rsidRPr="00785FB4" w:rsidRDefault="009862C2" w:rsidP="002051F4">
      <w:pPr>
        <w:spacing w:before="120"/>
        <w:rPr>
          <w:bCs/>
        </w:rPr>
      </w:pPr>
      <w:r w:rsidRPr="00785FB4">
        <w:rPr>
          <w:i/>
          <w:u w:val="single"/>
        </w:rPr>
        <w:t>Employment</w:t>
      </w:r>
      <w:r w:rsidR="0093453D" w:rsidRPr="00785FB4">
        <w:rPr>
          <w:i/>
        </w:rPr>
        <w:t>:</w:t>
      </w:r>
      <w:r w:rsidRPr="00785FB4">
        <w:t xml:space="preserve"> </w:t>
      </w:r>
      <w:r w:rsidR="00114A0A" w:rsidRPr="00785FB4">
        <w:t>The report provides no information on employment in the mining, oil or gas sectors.</w:t>
      </w:r>
      <w:r w:rsidR="007B1D59" w:rsidRPr="00785FB4">
        <w:t xml:space="preserve"> However, the GiZ study on artisanal and small-scale mining (ASM) in annex to the 2012-13 EITI Report provides estimates of employment in the artisanal mining sector, which included around 50k miners directly employed in ASM and between 200k and 450k employees directly and indirectly involved in upstream and downstream ASM, or between 3% and 6% of the country’s labour force.</w:t>
      </w:r>
      <w:r w:rsidR="007B1D59" w:rsidRPr="00785FB4">
        <w:rPr>
          <w:rStyle w:val="FootnoteReference"/>
        </w:rPr>
        <w:footnoteReference w:id="280"/>
      </w:r>
    </w:p>
    <w:p w14:paraId="7A6FDB60" w14:textId="5445729A" w:rsidR="002051F4" w:rsidRPr="00785FB4" w:rsidRDefault="009862C2" w:rsidP="00922ED3">
      <w:pPr>
        <w:spacing w:before="120"/>
        <w:rPr>
          <w:bCs/>
        </w:rPr>
      </w:pPr>
      <w:r w:rsidRPr="00785FB4">
        <w:rPr>
          <w:i/>
          <w:u w:val="single"/>
        </w:rPr>
        <w:t>Location</w:t>
      </w:r>
      <w:r w:rsidR="0093453D" w:rsidRPr="00785FB4">
        <w:rPr>
          <w:i/>
        </w:rPr>
        <w:t>:</w:t>
      </w:r>
      <w:r w:rsidRPr="00785FB4">
        <w:t xml:space="preserve"> </w:t>
      </w:r>
      <w:r w:rsidR="0093453D" w:rsidRPr="00785FB4">
        <w:t xml:space="preserve">The report provides an overview of the general production location for oil (p.8) and gas (pp.9,52). While the report does not explicitly describe the location of mining production, the English </w:t>
      </w:r>
      <w:r w:rsidR="00DB56BA" w:rsidRPr="00785FB4">
        <w:t>MOMP</w:t>
      </w:r>
      <w:r w:rsidR="0093453D" w:rsidRPr="00785FB4">
        <w:t xml:space="preserve"> mining license register provided in Appendices 9.3-9.4 provides the general location of each license (a/pp.78-86).</w:t>
      </w:r>
      <w:r w:rsidR="00021FCA" w:rsidRPr="00785FB4">
        <w:t xml:space="preserve"> The infographics prepared for the AEITI Report corresponding to </w:t>
      </w:r>
      <w:r w:rsidR="00E77C51" w:rsidRPr="00785FB4">
        <w:t>the fiscal years 2012 and 2013 include a graphical representation of the major extractive resources and the provinces where they are located.</w:t>
      </w:r>
      <w:r w:rsidR="00E77C51" w:rsidRPr="00785FB4">
        <w:rPr>
          <w:rStyle w:val="FootnoteReference"/>
        </w:rPr>
        <w:footnoteReference w:id="281"/>
      </w:r>
    </w:p>
    <w:p w14:paraId="1DA968AE" w14:textId="6FEE0FFB" w:rsidR="006112C8" w:rsidRPr="00785FB4" w:rsidRDefault="008D3D27" w:rsidP="00A94167">
      <w:pPr>
        <w:pStyle w:val="Heading3"/>
      </w:pPr>
      <w:bookmarkStart w:id="554" w:name="_Toc505449698"/>
      <w:r w:rsidRPr="00785FB4">
        <w:t>Stakeholder views</w:t>
      </w:r>
      <w:bookmarkEnd w:id="554"/>
    </w:p>
    <w:p w14:paraId="303FE275" w14:textId="6CAFB206" w:rsidR="002051F4" w:rsidRPr="00785FB4" w:rsidRDefault="00FC2E43" w:rsidP="002051F4">
      <w:pPr>
        <w:spacing w:before="120"/>
        <w:rPr>
          <w:bCs/>
        </w:rPr>
      </w:pPr>
      <w:r w:rsidRPr="00785FB4">
        <w:rPr>
          <w:bCs/>
        </w:rPr>
        <w:t xml:space="preserve">Stakeholders from all constituencies highlighted the lack of official data on total government revenues from the extractives. While government highlighted the government’s unilateral reporting of all extractives revenues, several CSOs considered that challenges in government record-keeping meant that the extractives revenue data reported in the 2014-15 EITI Report was not comprehensive. Several CSOs reiterated calls for the establishment of a single account for extractives revenues to ensure transparency </w:t>
      </w:r>
      <w:r w:rsidRPr="00785FB4">
        <w:rPr>
          <w:bCs/>
        </w:rPr>
        <w:lastRenderedPageBreak/>
        <w:t>in total government extractives revenues (</w:t>
      </w:r>
      <w:r w:rsidRPr="00785FB4">
        <w:rPr>
          <w:bCs/>
          <w:i/>
        </w:rPr>
        <w:t>see Requirement 5.1</w:t>
      </w:r>
      <w:r w:rsidRPr="00785FB4">
        <w:rPr>
          <w:bCs/>
        </w:rPr>
        <w:t>). Several stakeholders from all three constituencies considered that the government had some data on mineral exports, despite consensus that official figures vastly under-estimated the value of total exports, including smuggled minerals (</w:t>
      </w:r>
      <w:r w:rsidRPr="00785FB4">
        <w:rPr>
          <w:bCs/>
          <w:i/>
        </w:rPr>
        <w:t>see Requirement 3.3</w:t>
      </w:r>
      <w:r w:rsidRPr="00785FB4">
        <w:rPr>
          <w:bCs/>
        </w:rPr>
        <w:t xml:space="preserve">). None of the stakeholders consulted expressed any views on the availability of extractives employment data, although one government official considered that the Central Statistics Organisation should have some employment data for EITI reporting purposes. Several industry representatives noted that companies were required to regularly report staffing figures to </w:t>
      </w:r>
      <w:r w:rsidR="00DB56BA" w:rsidRPr="00785FB4">
        <w:rPr>
          <w:bCs/>
        </w:rPr>
        <w:t>MOMP</w:t>
      </w:r>
      <w:r w:rsidRPr="00785FB4">
        <w:rPr>
          <w:bCs/>
        </w:rPr>
        <w:t xml:space="preserve">. </w:t>
      </w:r>
    </w:p>
    <w:p w14:paraId="4EF6B804" w14:textId="47DAD7DB" w:rsidR="00416ABB" w:rsidRPr="00785FB4" w:rsidRDefault="00F75BAA" w:rsidP="00A94167">
      <w:pPr>
        <w:pStyle w:val="Heading3"/>
      </w:pPr>
      <w:bookmarkStart w:id="555" w:name="_Toc459133200"/>
      <w:bookmarkStart w:id="556" w:name="_Toc461803150"/>
      <w:bookmarkStart w:id="557" w:name="_Toc505449699"/>
      <w:r w:rsidRPr="00785FB4">
        <w:t>Initial a</w:t>
      </w:r>
      <w:r w:rsidR="00416ABB" w:rsidRPr="00785FB4">
        <w:t>ssessment</w:t>
      </w:r>
      <w:bookmarkEnd w:id="555"/>
      <w:bookmarkEnd w:id="556"/>
      <w:bookmarkEnd w:id="557"/>
    </w:p>
    <w:p w14:paraId="5ACF3719" w14:textId="75C52294" w:rsidR="000722F1" w:rsidRPr="00785FB4" w:rsidRDefault="002051F4" w:rsidP="00AE6A07">
      <w:pPr>
        <w:spacing w:before="120"/>
        <w:rPr>
          <w:color w:val="000000" w:themeColor="text1"/>
          <w:lang w:eastAsia="x-none"/>
        </w:rPr>
      </w:pPr>
      <w:r w:rsidRPr="00785FB4">
        <w:rPr>
          <w:color w:val="000000" w:themeColor="text1"/>
          <w:lang w:eastAsia="x-none"/>
        </w:rPr>
        <w:t xml:space="preserve">The International Secretariat’s initial assessment is that </w:t>
      </w:r>
      <w:r w:rsidR="00CD1563" w:rsidRPr="00785FB4">
        <w:rPr>
          <w:bCs/>
        </w:rPr>
        <w:t>Afghanistan</w:t>
      </w:r>
      <w:r w:rsidR="00CD1563" w:rsidRPr="00785FB4">
        <w:t xml:space="preserve"> </w:t>
      </w:r>
      <w:r w:rsidRPr="00785FB4">
        <w:rPr>
          <w:color w:val="000000" w:themeColor="text1"/>
          <w:lang w:eastAsia="x-none"/>
        </w:rPr>
        <w:t xml:space="preserve">has made </w:t>
      </w:r>
      <w:r w:rsidR="007B1D59" w:rsidRPr="00785FB4">
        <w:rPr>
          <w:bCs/>
        </w:rPr>
        <w:t>inadequate</w:t>
      </w:r>
      <w:r w:rsidR="007B1D59" w:rsidRPr="00785FB4">
        <w:rPr>
          <w:color w:val="000000" w:themeColor="text1"/>
          <w:lang w:eastAsia="x-none"/>
        </w:rPr>
        <w:t xml:space="preserve"> </w:t>
      </w:r>
      <w:r w:rsidRPr="00785FB4">
        <w:rPr>
          <w:color w:val="000000" w:themeColor="text1"/>
          <w:lang w:eastAsia="x-none"/>
        </w:rPr>
        <w:t xml:space="preserve">progress towards meeting this requirement. </w:t>
      </w:r>
      <w:r w:rsidR="0093453D" w:rsidRPr="00785FB4">
        <w:rPr>
          <w:color w:val="000000" w:themeColor="text1"/>
          <w:lang w:eastAsia="x-none"/>
        </w:rPr>
        <w:t xml:space="preserve">Acknowledging constraints in comprehensiveness, the 2014-15 EITI Report provides official estimates of the mining sector’s contribution to GDP, government revenues, and </w:t>
      </w:r>
      <w:r w:rsidR="007F590F" w:rsidRPr="00785FB4">
        <w:rPr>
          <w:color w:val="000000" w:themeColor="text1"/>
          <w:lang w:eastAsia="x-none"/>
        </w:rPr>
        <w:t xml:space="preserve">limited information on </w:t>
      </w:r>
      <w:r w:rsidR="0093453D" w:rsidRPr="00785FB4">
        <w:rPr>
          <w:color w:val="000000" w:themeColor="text1"/>
          <w:lang w:eastAsia="x-none"/>
        </w:rPr>
        <w:t>exports</w:t>
      </w:r>
      <w:r w:rsidR="00FC2E43" w:rsidRPr="00785FB4">
        <w:rPr>
          <w:color w:val="000000" w:themeColor="text1"/>
          <w:lang w:eastAsia="x-none"/>
        </w:rPr>
        <w:t xml:space="preserve"> </w:t>
      </w:r>
      <w:r w:rsidR="007F590F" w:rsidRPr="00785FB4">
        <w:rPr>
          <w:color w:val="000000" w:themeColor="text1"/>
          <w:lang w:eastAsia="x-none"/>
        </w:rPr>
        <w:t>(</w:t>
      </w:r>
      <w:r w:rsidR="00FC2E43" w:rsidRPr="00785FB4">
        <w:rPr>
          <w:color w:val="000000" w:themeColor="text1"/>
          <w:lang w:eastAsia="x-none"/>
        </w:rPr>
        <w:t>only one mineral</w:t>
      </w:r>
      <w:r w:rsidR="007F590F" w:rsidRPr="00785FB4">
        <w:rPr>
          <w:color w:val="000000" w:themeColor="text1"/>
          <w:lang w:eastAsia="x-none"/>
        </w:rPr>
        <w:t>)</w:t>
      </w:r>
      <w:r w:rsidR="0093453D" w:rsidRPr="00785FB4">
        <w:rPr>
          <w:color w:val="000000" w:themeColor="text1"/>
          <w:lang w:eastAsia="x-none"/>
        </w:rPr>
        <w:t>, although it provides no estimate of extractives employment</w:t>
      </w:r>
      <w:r w:rsidR="00FC2E43" w:rsidRPr="00785FB4">
        <w:rPr>
          <w:color w:val="000000" w:themeColor="text1"/>
          <w:lang w:eastAsia="x-none"/>
        </w:rPr>
        <w:t xml:space="preserve"> nor exports of minerals other than lapis lazuli</w:t>
      </w:r>
      <w:r w:rsidR="0093453D" w:rsidRPr="00785FB4">
        <w:rPr>
          <w:color w:val="000000" w:themeColor="text1"/>
          <w:lang w:eastAsia="x-none"/>
        </w:rPr>
        <w:t xml:space="preserve">. </w:t>
      </w:r>
    </w:p>
    <w:p w14:paraId="6145A01E" w14:textId="77777777" w:rsidR="00FA51E8" w:rsidRPr="00785FB4" w:rsidRDefault="0093453D" w:rsidP="007369FB">
      <w:pPr>
        <w:spacing w:before="120"/>
        <w:rPr>
          <w:i/>
          <w:color w:val="000000"/>
        </w:rPr>
      </w:pPr>
      <w:r w:rsidRPr="00785FB4">
        <w:rPr>
          <w:color w:val="000000" w:themeColor="text1"/>
          <w:lang w:eastAsia="x-none"/>
        </w:rPr>
        <w:t xml:space="preserve">In accordance with Requirement 6.3, </w:t>
      </w:r>
      <w:r w:rsidR="00FC2E43" w:rsidRPr="00785FB4">
        <w:rPr>
          <w:color w:val="000000" w:themeColor="text1"/>
          <w:lang w:eastAsia="x-none"/>
        </w:rPr>
        <w:t xml:space="preserve">Afghanistan should disclose comprehensive information about the extractive industries’ contribution to the economy in relative and absolute terms, including to GDP, government revenues, exports and employment. </w:t>
      </w:r>
    </w:p>
    <w:p w14:paraId="69B73CC7" w14:textId="2AE72149" w:rsidR="000722F1" w:rsidRPr="00785FB4" w:rsidRDefault="009862C2" w:rsidP="009464B0">
      <w:pPr>
        <w:pStyle w:val="Caption"/>
      </w:pPr>
      <w:bookmarkStart w:id="558" w:name="_Toc463537779"/>
      <w:bookmarkStart w:id="559" w:name="_Toc463537966"/>
      <w:r w:rsidRPr="00785FB4">
        <w:t xml:space="preserve">Table </w:t>
      </w:r>
      <w:fldSimple w:instr=" SEQ Table \* ARABIC ">
        <w:r w:rsidR="00D8510F" w:rsidRPr="00785FB4">
          <w:t>6</w:t>
        </w:r>
      </w:fldSimple>
      <w:r w:rsidR="000722F1" w:rsidRPr="00785FB4">
        <w:t xml:space="preserve">- </w:t>
      </w:r>
      <w:r w:rsidR="000722F1" w:rsidRPr="00785FB4">
        <w:rPr>
          <w:rFonts w:eastAsia="Calibri"/>
        </w:rPr>
        <w:t xml:space="preserve">Summary </w:t>
      </w:r>
      <w:r w:rsidR="00D45A31" w:rsidRPr="00785FB4">
        <w:rPr>
          <w:rFonts w:eastAsia="Calibri"/>
        </w:rPr>
        <w:t xml:space="preserve">initial </w:t>
      </w:r>
      <w:r w:rsidR="000722F1" w:rsidRPr="00785FB4">
        <w:rPr>
          <w:rFonts w:eastAsia="Calibri"/>
        </w:rPr>
        <w:t xml:space="preserve">assessment table: </w:t>
      </w:r>
      <w:r w:rsidR="00AE51FA" w:rsidRPr="00785FB4">
        <w:rPr>
          <w:rFonts w:eastAsia="Calibri"/>
        </w:rPr>
        <w:t>Social and economic spending</w:t>
      </w:r>
      <w:bookmarkEnd w:id="558"/>
      <w:bookmarkEnd w:id="55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4679"/>
        <w:gridCol w:w="2362"/>
      </w:tblGrid>
      <w:tr w:rsidR="00FC3899" w:rsidRPr="00785FB4" w14:paraId="60B02F14" w14:textId="77777777" w:rsidTr="007369FB">
        <w:trPr>
          <w:trHeight w:val="675"/>
        </w:trPr>
        <w:tc>
          <w:tcPr>
            <w:tcW w:w="2060" w:type="dxa"/>
            <w:shd w:val="clear" w:color="auto" w:fill="D9D9D9"/>
            <w:vAlign w:val="center"/>
          </w:tcPr>
          <w:p w14:paraId="5A81AB86" w14:textId="77777777" w:rsidR="00FC3899" w:rsidRPr="00785FB4" w:rsidRDefault="00FC3899" w:rsidP="00D8510F">
            <w:pPr>
              <w:pStyle w:val="Tabletext"/>
              <w:rPr>
                <w:lang w:val="en-GB"/>
              </w:rPr>
            </w:pPr>
            <w:r w:rsidRPr="00785FB4">
              <w:rPr>
                <w:lang w:val="en-GB"/>
              </w:rPr>
              <w:t>EITI provisions</w:t>
            </w:r>
          </w:p>
        </w:tc>
        <w:tc>
          <w:tcPr>
            <w:tcW w:w="5198" w:type="dxa"/>
            <w:shd w:val="clear" w:color="auto" w:fill="D9D9D9"/>
            <w:vAlign w:val="center"/>
          </w:tcPr>
          <w:p w14:paraId="3B9E0DAB" w14:textId="27463096" w:rsidR="00FC3899" w:rsidRPr="00785FB4" w:rsidRDefault="00FC3899" w:rsidP="00D8510F">
            <w:pPr>
              <w:pStyle w:val="Tabletext"/>
              <w:rPr>
                <w:lang w:val="en-GB"/>
              </w:rPr>
            </w:pPr>
            <w:r w:rsidRPr="00785FB4">
              <w:rPr>
                <w:lang w:val="en-GB"/>
              </w:rPr>
              <w:t>Summary of mai</w:t>
            </w:r>
            <w:r w:rsidR="00785FB4">
              <w:rPr>
                <w:lang w:val="en-GB"/>
              </w:rPr>
              <w:t>n</w:t>
            </w:r>
            <w:r w:rsidRPr="00785FB4">
              <w:rPr>
                <w:lang w:val="en-GB"/>
              </w:rPr>
              <w:t xml:space="preserve"> findings</w:t>
            </w:r>
          </w:p>
        </w:tc>
        <w:tc>
          <w:tcPr>
            <w:tcW w:w="2119" w:type="dxa"/>
            <w:shd w:val="clear" w:color="auto" w:fill="D9D9D9"/>
            <w:vAlign w:val="center"/>
          </w:tcPr>
          <w:p w14:paraId="397F38BB" w14:textId="431CDE80" w:rsidR="00FC3899" w:rsidRPr="00785FB4" w:rsidRDefault="00FC3899" w:rsidP="00D8510F">
            <w:pPr>
              <w:pStyle w:val="Tabletext"/>
              <w:rPr>
                <w:lang w:val="en-GB"/>
              </w:rPr>
            </w:pPr>
            <w:r w:rsidRPr="00785FB4">
              <w:rPr>
                <w:lang w:val="en-GB"/>
              </w:rPr>
              <w:t xml:space="preserve">International Secretariat’s initial assessment of progress with the EITI provisions </w:t>
            </w:r>
          </w:p>
        </w:tc>
      </w:tr>
      <w:tr w:rsidR="002051F4" w:rsidRPr="00785FB4" w14:paraId="6180EA8B" w14:textId="77777777" w:rsidTr="007369FB">
        <w:tc>
          <w:tcPr>
            <w:tcW w:w="2060" w:type="dxa"/>
            <w:shd w:val="clear" w:color="auto" w:fill="auto"/>
          </w:tcPr>
          <w:p w14:paraId="620B079A" w14:textId="77777777" w:rsidR="002051F4" w:rsidRPr="00785FB4" w:rsidRDefault="002051F4" w:rsidP="00D8510F">
            <w:pPr>
              <w:pStyle w:val="Tabletext"/>
              <w:rPr>
                <w:lang w:val="en-GB"/>
              </w:rPr>
            </w:pPr>
            <w:r w:rsidRPr="00785FB4">
              <w:rPr>
                <w:lang w:val="en-GB"/>
              </w:rPr>
              <w:t>Social expenditures (#6.1)</w:t>
            </w:r>
          </w:p>
        </w:tc>
        <w:tc>
          <w:tcPr>
            <w:tcW w:w="5198" w:type="dxa"/>
            <w:shd w:val="clear" w:color="auto" w:fill="auto"/>
          </w:tcPr>
          <w:p w14:paraId="5C2F8A04" w14:textId="36991301" w:rsidR="002051F4" w:rsidRPr="00785FB4" w:rsidRDefault="00FC2E43" w:rsidP="00D8510F">
            <w:pPr>
              <w:pStyle w:val="Tabletext"/>
              <w:rPr>
                <w:lang w:val="en-GB"/>
              </w:rPr>
            </w:pPr>
            <w:r w:rsidRPr="00785FB4">
              <w:rPr>
                <w:lang w:val="en-GB"/>
              </w:rPr>
              <w:t>While the 2014-15 EITI Report states that there were no mandatory social expenditures in the period under review, several industry stakeholders confirmed that specific mining companies had undertaken mandatory social expenditures in 2014-15. While voluntary social expenditures were included in templates, no payments were reported.</w:t>
            </w:r>
          </w:p>
        </w:tc>
        <w:tc>
          <w:tcPr>
            <w:tcW w:w="2119" w:type="dxa"/>
          </w:tcPr>
          <w:p w14:paraId="26CEAAF3" w14:textId="45477036" w:rsidR="002051F4" w:rsidRPr="00785FB4" w:rsidRDefault="00FC2E43" w:rsidP="00D8510F">
            <w:pPr>
              <w:pStyle w:val="Tabletext"/>
              <w:rPr>
                <w:lang w:val="en-GB"/>
              </w:rPr>
            </w:pPr>
            <w:r w:rsidRPr="00785FB4">
              <w:rPr>
                <w:lang w:val="en-GB"/>
              </w:rPr>
              <w:t>Inadequate progress</w:t>
            </w:r>
          </w:p>
        </w:tc>
      </w:tr>
      <w:tr w:rsidR="002051F4" w:rsidRPr="00785FB4" w14:paraId="3FAAC766" w14:textId="77777777" w:rsidTr="007369FB">
        <w:tc>
          <w:tcPr>
            <w:tcW w:w="2060" w:type="dxa"/>
            <w:shd w:val="clear" w:color="auto" w:fill="auto"/>
          </w:tcPr>
          <w:p w14:paraId="29B2AE2A" w14:textId="77777777" w:rsidR="002051F4" w:rsidRPr="00785FB4" w:rsidRDefault="002051F4" w:rsidP="00D8510F">
            <w:pPr>
              <w:pStyle w:val="Tabletext"/>
              <w:rPr>
                <w:lang w:val="en-GB"/>
              </w:rPr>
            </w:pPr>
            <w:r w:rsidRPr="00785FB4">
              <w:rPr>
                <w:lang w:val="en-GB"/>
              </w:rPr>
              <w:t>SOE quasi fiscal expenditures (#6.2)</w:t>
            </w:r>
          </w:p>
        </w:tc>
        <w:tc>
          <w:tcPr>
            <w:tcW w:w="5198" w:type="dxa"/>
            <w:shd w:val="clear" w:color="auto" w:fill="auto"/>
          </w:tcPr>
          <w:p w14:paraId="46D048AA" w14:textId="00A840BA" w:rsidR="002051F4" w:rsidRPr="00785FB4" w:rsidRDefault="00FC2E43" w:rsidP="00D8510F">
            <w:pPr>
              <w:pStyle w:val="Tabletext"/>
              <w:rPr>
                <w:lang w:val="en-GB"/>
              </w:rPr>
            </w:pPr>
            <w:r w:rsidRPr="00785FB4">
              <w:rPr>
                <w:lang w:val="en-GB"/>
              </w:rPr>
              <w:t>The 2014-15 EITI Report does not refer to quasi-fiscal expenditures and there is insufficient information on SOEs in the report to determine the existence of any such expenditures. The lack of clarity from stakeholders on the existence of quasi-fiscal expenditures and publicly available evidence of subsidies on natural gas sold by AGE warrant additional work from the MSG.</w:t>
            </w:r>
          </w:p>
        </w:tc>
        <w:tc>
          <w:tcPr>
            <w:tcW w:w="2119" w:type="dxa"/>
          </w:tcPr>
          <w:p w14:paraId="3F807F92" w14:textId="1787C1CB" w:rsidR="002051F4" w:rsidRPr="00785FB4" w:rsidRDefault="008C349A" w:rsidP="00D8510F">
            <w:pPr>
              <w:pStyle w:val="Tabletext"/>
              <w:rPr>
                <w:lang w:val="en-GB"/>
              </w:rPr>
            </w:pPr>
            <w:r w:rsidRPr="00785FB4">
              <w:rPr>
                <w:lang w:val="en-GB"/>
              </w:rPr>
              <w:t>No progress</w:t>
            </w:r>
          </w:p>
        </w:tc>
      </w:tr>
      <w:tr w:rsidR="002051F4" w:rsidRPr="00785FB4" w14:paraId="6194325F" w14:textId="77777777" w:rsidTr="007369FB">
        <w:tc>
          <w:tcPr>
            <w:tcW w:w="2060" w:type="dxa"/>
            <w:shd w:val="clear" w:color="auto" w:fill="auto"/>
          </w:tcPr>
          <w:p w14:paraId="15B07936" w14:textId="77777777" w:rsidR="002051F4" w:rsidRPr="00785FB4" w:rsidRDefault="002051F4" w:rsidP="00D8510F">
            <w:pPr>
              <w:pStyle w:val="Tabletext"/>
              <w:rPr>
                <w:lang w:val="en-GB"/>
              </w:rPr>
            </w:pPr>
            <w:r w:rsidRPr="00785FB4">
              <w:rPr>
                <w:lang w:val="en-GB"/>
              </w:rPr>
              <w:t xml:space="preserve">Contribution of the extractive sector to the </w:t>
            </w:r>
            <w:r w:rsidRPr="00785FB4">
              <w:rPr>
                <w:lang w:val="en-GB"/>
              </w:rPr>
              <w:lastRenderedPageBreak/>
              <w:t>economy (#6.3)</w:t>
            </w:r>
          </w:p>
        </w:tc>
        <w:tc>
          <w:tcPr>
            <w:tcW w:w="5198" w:type="dxa"/>
            <w:shd w:val="clear" w:color="auto" w:fill="auto"/>
          </w:tcPr>
          <w:p w14:paraId="20E05C2B" w14:textId="0469A3F4" w:rsidR="002051F4" w:rsidRPr="00785FB4" w:rsidRDefault="007B1D59" w:rsidP="00D8510F">
            <w:pPr>
              <w:pStyle w:val="Tabletext"/>
              <w:rPr>
                <w:lang w:val="en-GB"/>
              </w:rPr>
            </w:pPr>
            <w:r w:rsidRPr="00785FB4">
              <w:rPr>
                <w:lang w:val="en-GB"/>
              </w:rPr>
              <w:lastRenderedPageBreak/>
              <w:t xml:space="preserve">Acknowledging constraints in comprehensiveness, the 2014-15 EITI Report </w:t>
            </w:r>
            <w:r w:rsidRPr="00785FB4">
              <w:rPr>
                <w:lang w:val="en-GB"/>
              </w:rPr>
              <w:lastRenderedPageBreak/>
              <w:t>provides official estimates of the mining sector’s contribution to GDP, government revenues, and limited information on exports (only one mineral), although it provides no estimate of extractives employment nor exports of minerals other than lapis lazuli.</w:t>
            </w:r>
          </w:p>
        </w:tc>
        <w:tc>
          <w:tcPr>
            <w:tcW w:w="2119" w:type="dxa"/>
            <w:shd w:val="clear" w:color="auto" w:fill="FFFFFF"/>
          </w:tcPr>
          <w:p w14:paraId="5A3C97B0" w14:textId="748BBD0D" w:rsidR="002051F4" w:rsidRPr="00785FB4" w:rsidRDefault="007B1D59" w:rsidP="00D8510F">
            <w:pPr>
              <w:pStyle w:val="Tabletext"/>
              <w:rPr>
                <w:lang w:val="en-GB"/>
              </w:rPr>
            </w:pPr>
            <w:r w:rsidRPr="00785FB4">
              <w:rPr>
                <w:lang w:val="en-GB"/>
              </w:rPr>
              <w:lastRenderedPageBreak/>
              <w:t xml:space="preserve">Inadequate </w:t>
            </w:r>
            <w:r w:rsidR="008C349A" w:rsidRPr="00785FB4">
              <w:rPr>
                <w:lang w:val="en-GB"/>
              </w:rPr>
              <w:t>progress</w:t>
            </w:r>
          </w:p>
        </w:tc>
      </w:tr>
      <w:tr w:rsidR="002051F4" w:rsidRPr="00785FB4" w14:paraId="4EC0916E" w14:textId="77777777" w:rsidTr="00874197">
        <w:tc>
          <w:tcPr>
            <w:tcW w:w="0" w:type="auto"/>
            <w:gridSpan w:val="3"/>
            <w:shd w:val="clear" w:color="auto" w:fill="FFFFFF"/>
          </w:tcPr>
          <w:p w14:paraId="7F766234" w14:textId="77777777" w:rsidR="001E24FC" w:rsidRPr="00785FB4" w:rsidRDefault="001E24FC" w:rsidP="00D8510F">
            <w:pPr>
              <w:pStyle w:val="Tabletext"/>
              <w:rPr>
                <w:lang w:val="en-GB"/>
              </w:rPr>
            </w:pPr>
            <w:r w:rsidRPr="00785FB4">
              <w:rPr>
                <w:lang w:val="en-GB"/>
              </w:rPr>
              <w:t>Secretariat’s recommendations:</w:t>
            </w:r>
          </w:p>
          <w:p w14:paraId="7DE5AB12" w14:textId="77777777" w:rsidR="00FC2E43" w:rsidRPr="00785FB4" w:rsidRDefault="00FC2E43" w:rsidP="00F72955">
            <w:pPr>
              <w:pStyle w:val="ListParagraph"/>
              <w:numPr>
                <w:ilvl w:val="0"/>
                <w:numId w:val="44"/>
              </w:numPr>
              <w:rPr>
                <w:rFonts w:eastAsia="Calibri"/>
              </w:rPr>
            </w:pPr>
            <w:r w:rsidRPr="00785FB4">
              <w:t>In accordance with Requirement 6.1, Afghanistan should ensure that a clear definition of any mandatory social expenditures is publicly provided and assess the materiality of such expenditures in the period under review. The MSG may wish to consider the extent to which disclosure of Community Development Agreements (or review of key terms) would be necessary to provide a comprehensive assessment of the existence of mandatory social expenditures. Afghanistan should ensure that public disclosure of mandatory social expenditures be disaggregated by type of payment (distinguishing cash and in-kind) and beneficiary, clarifying the name and function of any non-government (third-party) beneficiaries of mandatory social expenditures.</w:t>
            </w:r>
          </w:p>
          <w:p w14:paraId="6DDB6DC9" w14:textId="2CE28577" w:rsidR="00FC2E43" w:rsidRPr="00785FB4" w:rsidRDefault="00FC2E43" w:rsidP="00F72955">
            <w:pPr>
              <w:pStyle w:val="ListParagraph"/>
              <w:numPr>
                <w:ilvl w:val="0"/>
                <w:numId w:val="44"/>
              </w:numPr>
              <w:rPr>
                <w:rFonts w:eastAsia="Calibri"/>
              </w:rPr>
            </w:pPr>
            <w:r w:rsidRPr="00785FB4">
              <w:t xml:space="preserve">In accordance with Requirement 6.2, </w:t>
            </w:r>
            <w:r w:rsidR="007B1D59" w:rsidRPr="00785FB4">
              <w:t xml:space="preserve">Afghanistan </w:t>
            </w:r>
            <w:r w:rsidRPr="00785FB4">
              <w:t>should undertake a comprehensive review of all expenditures undertaken by extractives SOEs that could be considered quasi-fiscal. The MSG should develop a reporting process for quasi-fiscal expenditures with a view to achieving a level of transparency commensurate with other payments and revenue streams.</w:t>
            </w:r>
          </w:p>
          <w:p w14:paraId="3D21A4EB" w14:textId="0251D38C" w:rsidR="002051F4" w:rsidRPr="00785FB4" w:rsidRDefault="00FC2E43" w:rsidP="00F72955">
            <w:pPr>
              <w:pStyle w:val="ListParagraph"/>
              <w:numPr>
                <w:ilvl w:val="0"/>
                <w:numId w:val="44"/>
              </w:numPr>
              <w:rPr>
                <w:rFonts w:eastAsia="Calibri"/>
              </w:rPr>
            </w:pPr>
            <w:r w:rsidRPr="00785FB4">
              <w:t>In accordance with Requirement 6.3, Afghanistan should disclose comprehensive information about the extractive industries’ contribution to the economy in relative and absolute terms, including to GDP, government revenues, exports and employment.</w:t>
            </w:r>
          </w:p>
        </w:tc>
      </w:tr>
    </w:tbl>
    <w:p w14:paraId="0E43E7ED" w14:textId="7FA4A532" w:rsidR="00D44C4F" w:rsidRPr="00785FB4" w:rsidRDefault="00D44C4F">
      <w:pPr>
        <w:widowControl/>
        <w:suppressAutoHyphens w:val="0"/>
        <w:spacing w:after="0" w:line="240" w:lineRule="auto"/>
        <w:rPr>
          <w:b/>
          <w:bCs/>
          <w:color w:val="365F91"/>
        </w:rPr>
      </w:pPr>
    </w:p>
    <w:p w14:paraId="58DCD579" w14:textId="777C548F" w:rsidR="00601017" w:rsidRPr="00785FB4" w:rsidRDefault="009862C2" w:rsidP="007F0FEB">
      <w:pPr>
        <w:pStyle w:val="Heading1"/>
      </w:pPr>
      <w:bookmarkStart w:id="560" w:name="_Toc461803151"/>
      <w:bookmarkStart w:id="561" w:name="_Toc461787362"/>
      <w:bookmarkStart w:id="562" w:name="_Toc461795874"/>
      <w:bookmarkStart w:id="563" w:name="_Toc458773260"/>
      <w:bookmarkStart w:id="564" w:name="_Toc458780357"/>
      <w:bookmarkStart w:id="565" w:name="_Toc458972777"/>
      <w:bookmarkStart w:id="566" w:name="_Toc452707650"/>
      <w:bookmarkStart w:id="567" w:name="_Toc459133201"/>
      <w:r w:rsidRPr="00785FB4">
        <w:br w:type="column"/>
      </w:r>
      <w:bookmarkStart w:id="568" w:name="_Toc505449700"/>
      <w:bookmarkStart w:id="569" w:name="_Toc505449823"/>
      <w:r w:rsidR="00601017" w:rsidRPr="00785FB4">
        <w:lastRenderedPageBreak/>
        <w:t>Part III – Outcomes and Impact</w:t>
      </w:r>
      <w:bookmarkEnd w:id="560"/>
      <w:bookmarkEnd w:id="561"/>
      <w:bookmarkEnd w:id="562"/>
      <w:bookmarkEnd w:id="568"/>
      <w:bookmarkEnd w:id="569"/>
    </w:p>
    <w:p w14:paraId="2AF67021" w14:textId="16BE4D8B" w:rsidR="00601017" w:rsidRPr="00785FB4" w:rsidRDefault="00601017" w:rsidP="00A94167">
      <w:pPr>
        <w:pStyle w:val="Heading2"/>
        <w:numPr>
          <w:ilvl w:val="0"/>
          <w:numId w:val="19"/>
        </w:numPr>
      </w:pPr>
      <w:bookmarkStart w:id="570" w:name="_Toc461803152"/>
      <w:bookmarkStart w:id="571" w:name="_Toc461787363"/>
      <w:bookmarkStart w:id="572" w:name="_Toc461795875"/>
      <w:bookmarkStart w:id="573" w:name="_Toc505449701"/>
      <w:bookmarkStart w:id="574" w:name="_Toc505449824"/>
      <w:r w:rsidRPr="00785FB4">
        <w:t>Outcomes and Impact</w:t>
      </w:r>
      <w:bookmarkEnd w:id="570"/>
      <w:bookmarkEnd w:id="571"/>
      <w:bookmarkEnd w:id="572"/>
      <w:bookmarkEnd w:id="573"/>
      <w:bookmarkEnd w:id="574"/>
    </w:p>
    <w:p w14:paraId="1DB197D4" w14:textId="45C74C11" w:rsidR="00D65D74" w:rsidRPr="00785FB4" w:rsidRDefault="00D65D74" w:rsidP="00A94167">
      <w:pPr>
        <w:pStyle w:val="Heading2notindexed"/>
      </w:pPr>
      <w:bookmarkStart w:id="575" w:name="_Toc505449702"/>
      <w:bookmarkStart w:id="576" w:name="_Toc505449825"/>
      <w:r w:rsidRPr="00785FB4">
        <w:t>7.1 Overview</w:t>
      </w:r>
      <w:bookmarkEnd w:id="575"/>
      <w:bookmarkEnd w:id="576"/>
    </w:p>
    <w:bookmarkEnd w:id="563"/>
    <w:bookmarkEnd w:id="564"/>
    <w:bookmarkEnd w:id="565"/>
    <w:p w14:paraId="4B386E6A" w14:textId="740AF0B4" w:rsidR="00601017" w:rsidRPr="00785FB4" w:rsidRDefault="00601017" w:rsidP="00601017">
      <w:pPr>
        <w:spacing w:before="120"/>
      </w:pPr>
      <w:r w:rsidRPr="00785FB4">
        <w:t>This section assesses implementation of the EITI Requirements related to the outcomes and impact of the EITI process.</w:t>
      </w:r>
    </w:p>
    <w:p w14:paraId="167760FA" w14:textId="7229A1BF" w:rsidR="008D3D27" w:rsidRPr="00785FB4" w:rsidRDefault="00D65D74" w:rsidP="00A94167">
      <w:pPr>
        <w:pStyle w:val="Heading2notindexed"/>
      </w:pPr>
      <w:bookmarkStart w:id="577" w:name="_Toc505449703"/>
      <w:bookmarkStart w:id="578" w:name="_Toc505449826"/>
      <w:r w:rsidRPr="00785FB4">
        <w:t>7.2</w:t>
      </w:r>
      <w:r w:rsidR="008D3D27" w:rsidRPr="00785FB4">
        <w:t xml:space="preserve"> </w:t>
      </w:r>
      <w:r w:rsidRPr="00785FB4">
        <w:t>Assessment</w:t>
      </w:r>
      <w:bookmarkEnd w:id="577"/>
      <w:bookmarkEnd w:id="578"/>
    </w:p>
    <w:p w14:paraId="4EF0BCD6" w14:textId="428EBA40" w:rsidR="00601017" w:rsidRPr="00785FB4" w:rsidRDefault="00601017" w:rsidP="00A94167">
      <w:pPr>
        <w:pStyle w:val="Heading2notindexed"/>
      </w:pPr>
      <w:bookmarkStart w:id="579" w:name="_Toc458773262"/>
      <w:bookmarkStart w:id="580" w:name="_Toc458780359"/>
      <w:bookmarkStart w:id="581" w:name="_Toc461803153"/>
      <w:bookmarkStart w:id="582" w:name="_Toc461787364"/>
      <w:bookmarkStart w:id="583" w:name="_Toc461795876"/>
      <w:bookmarkStart w:id="584" w:name="_Toc505449704"/>
      <w:bookmarkStart w:id="585" w:name="_Toc505449827"/>
      <w:r w:rsidRPr="00785FB4">
        <w:t>Public debate (#7.1)</w:t>
      </w:r>
      <w:bookmarkEnd w:id="579"/>
      <w:bookmarkEnd w:id="580"/>
      <w:bookmarkEnd w:id="581"/>
      <w:bookmarkEnd w:id="582"/>
      <w:bookmarkEnd w:id="583"/>
      <w:bookmarkEnd w:id="584"/>
      <w:bookmarkEnd w:id="585"/>
    </w:p>
    <w:p w14:paraId="0813CE3B" w14:textId="24F2CBAB" w:rsidR="00035894" w:rsidRPr="00785FB4" w:rsidRDefault="00D41A8E" w:rsidP="00A94167">
      <w:pPr>
        <w:pStyle w:val="Heading3"/>
      </w:pPr>
      <w:bookmarkStart w:id="586" w:name="_Toc505449705"/>
      <w:bookmarkEnd w:id="566"/>
      <w:bookmarkEnd w:id="567"/>
      <w:r w:rsidRPr="00785FB4">
        <w:t>Documentation of progress</w:t>
      </w:r>
      <w:bookmarkEnd w:id="586"/>
    </w:p>
    <w:p w14:paraId="4F9404E2" w14:textId="7593A97E" w:rsidR="00035894" w:rsidRPr="00785FB4" w:rsidRDefault="00035894" w:rsidP="00D07B2A">
      <w:pPr>
        <w:spacing w:before="120"/>
      </w:pPr>
      <w:r w:rsidRPr="00785FB4">
        <w:t>A</w:t>
      </w:r>
      <w:r w:rsidR="00CB44DB" w:rsidRPr="00785FB4">
        <w:t>ll of A</w:t>
      </w:r>
      <w:r w:rsidRPr="00785FB4">
        <w:t xml:space="preserve">fghanistan’s </w:t>
      </w:r>
      <w:r w:rsidR="00CB44DB" w:rsidRPr="00785FB4">
        <w:t>EITI work plans have given priority to communications and outreach activities. Activities in the work plan are geared towards raising awareness of the EITI process and are not linked to specific aims of the work plan.</w:t>
      </w:r>
    </w:p>
    <w:p w14:paraId="597AA8AA" w14:textId="0A1888DE" w:rsidR="00047AEB" w:rsidRPr="00785FB4" w:rsidRDefault="00047AEB" w:rsidP="00D07B2A">
      <w:pPr>
        <w:spacing w:before="120"/>
      </w:pPr>
      <w:r w:rsidRPr="00785FB4">
        <w:rPr>
          <w:i/>
          <w:u w:val="single"/>
        </w:rPr>
        <w:t>Comprehensibility:</w:t>
      </w:r>
      <w:r w:rsidR="00DC6B77" w:rsidRPr="00785FB4">
        <w:rPr>
          <w:i/>
        </w:rPr>
        <w:t xml:space="preserve"> </w:t>
      </w:r>
      <w:r w:rsidR="00DC6B77" w:rsidRPr="00785FB4">
        <w:t>AEITI has produced summary reports for four of the five AEITI reports (all except the third report, corresponding to fiscal year 2011). These are available, only in English, on the AEITI website.</w:t>
      </w:r>
      <w:r w:rsidR="00DC6B77" w:rsidRPr="00785FB4">
        <w:rPr>
          <w:rStyle w:val="FootnoteReference"/>
        </w:rPr>
        <w:footnoteReference w:id="282"/>
      </w:r>
      <w:r w:rsidR="00DC6B77" w:rsidRPr="00785FB4">
        <w:t xml:space="preserve"> The 2015 AEITI summary report was published in </w:t>
      </w:r>
      <w:r w:rsidR="006F3FA7" w:rsidRPr="00785FB4">
        <w:t>June 2017 and includes among other things general information on the EITI, a summary of the content including information on the largest contributors to government revenue, a cursory overview of the revenues to government and participating companies, summaries on production and brief commentary on the completeness of the data.</w:t>
      </w:r>
      <w:r w:rsidR="00040B42" w:rsidRPr="00785FB4">
        <w:t xml:space="preserve"> AEITI has translated the EITI Standard into Pashto and Dari, and general presentations about the EITI are available in both languages on the AEITI website.</w:t>
      </w:r>
      <w:r w:rsidR="00040B42" w:rsidRPr="00785FB4">
        <w:rPr>
          <w:rStyle w:val="FootnoteReference"/>
        </w:rPr>
        <w:footnoteReference w:id="283"/>
      </w:r>
      <w:r w:rsidR="00040B42" w:rsidRPr="00785FB4">
        <w:t xml:space="preserve"> The website also includes a specific section on “AEITI promotional materials”, including fact sheets and brochures in Pashto, Dari and English as well as infographics for the 4</w:t>
      </w:r>
      <w:r w:rsidR="00040B42" w:rsidRPr="00785FB4">
        <w:rPr>
          <w:vertAlign w:val="superscript"/>
        </w:rPr>
        <w:t>th</w:t>
      </w:r>
      <w:r w:rsidR="00040B42" w:rsidRPr="00785FB4">
        <w:t xml:space="preserve"> AEITI report (corresponding to fiscal years 2012 and 2013) elaborated with support from GIZ. Email correspondence with the EITI show that infographics were also planned for the fifth AEITI Report (corresponding to fiscal years 2014 and 2015), however there is no evidence that these have been produced.</w:t>
      </w:r>
      <w:r w:rsidR="00DC6B77" w:rsidRPr="00785FB4">
        <w:t xml:space="preserve"> </w:t>
      </w:r>
      <w:r w:rsidR="00FE4F18" w:rsidRPr="00785FB4">
        <w:t>Civil society’s comments to the 2014-15 EITI Report note that “overall the report needs significant proofreading and editing”, noting significant numbers of charts and titles missing identifying data, numbers not aligning between charts and generalised lack of clarity.</w:t>
      </w:r>
      <w:r w:rsidR="00FE4F18" w:rsidRPr="00785FB4">
        <w:rPr>
          <w:rStyle w:val="FootnoteReference"/>
        </w:rPr>
        <w:footnoteReference w:id="284"/>
      </w:r>
      <w:r w:rsidR="00FE4F18" w:rsidRPr="00785FB4">
        <w:t xml:space="preserve"> </w:t>
      </w:r>
    </w:p>
    <w:p w14:paraId="1CFE3886" w14:textId="6752B5A5" w:rsidR="00FE4F18" w:rsidRPr="00785FB4" w:rsidRDefault="00F82E28" w:rsidP="00D07B2A">
      <w:pPr>
        <w:spacing w:before="120"/>
      </w:pPr>
      <w:r w:rsidRPr="00785FB4">
        <w:rPr>
          <w:i/>
          <w:u w:val="single"/>
        </w:rPr>
        <w:t>Promotion</w:t>
      </w:r>
      <w:r w:rsidR="00743597" w:rsidRPr="00785FB4">
        <w:t xml:space="preserve">: </w:t>
      </w:r>
      <w:r w:rsidR="00FE4F18" w:rsidRPr="00785FB4">
        <w:t xml:space="preserve">The national secretariat regularly conducts outreach events to the provinces to discuss the findings of AEITI Reports. The AEITI website notes that two such events were carried out in 2017 with </w:t>
      </w:r>
      <w:r w:rsidR="00FE4F18" w:rsidRPr="00785FB4">
        <w:lastRenderedPageBreak/>
        <w:t>support from GIZ in Kandahar</w:t>
      </w:r>
      <w:r w:rsidR="00FE4F18" w:rsidRPr="00785FB4">
        <w:rPr>
          <w:rStyle w:val="FootnoteReference"/>
        </w:rPr>
        <w:footnoteReference w:id="285"/>
      </w:r>
      <w:r w:rsidR="00FE4F18" w:rsidRPr="00785FB4">
        <w:t xml:space="preserve"> and Herat</w:t>
      </w:r>
      <w:r w:rsidR="00FE4F18" w:rsidRPr="00785FB4">
        <w:rPr>
          <w:rStyle w:val="FootnoteReference"/>
        </w:rPr>
        <w:footnoteReference w:id="286"/>
      </w:r>
      <w:r w:rsidR="00FE4F18" w:rsidRPr="00785FB4">
        <w:t xml:space="preserve"> provinces respectively. According to the 2016 APR, workshops were also carried out in 2016 in Northern, Eastern and Southern provinces</w:t>
      </w:r>
      <w:r w:rsidR="00040B42" w:rsidRPr="00785FB4">
        <w:t>.</w:t>
      </w:r>
      <w:r w:rsidR="00FE4F18" w:rsidRPr="00785FB4">
        <w:rPr>
          <w:rStyle w:val="FootnoteReference"/>
        </w:rPr>
        <w:footnoteReference w:id="287"/>
      </w:r>
      <w:r w:rsidR="00FE4F18" w:rsidRPr="00785FB4">
        <w:t xml:space="preserve"> The</w:t>
      </w:r>
      <w:r w:rsidR="00040B42" w:rsidRPr="00785FB4">
        <w:t xml:space="preserve"> purported</w:t>
      </w:r>
      <w:r w:rsidR="00FE4F18" w:rsidRPr="00785FB4">
        <w:t xml:space="preserve"> aim of these outreach activities is to “bring government and civil society to the table to discuss the challenges of the extractive sector in light of the EITI process and promote transparency”. The APR also notes the participation of directors from the MOF and MOMP respectively in at least one of the workshops (Kandahar). With support from GIZ, the MSG conducted </w:t>
      </w:r>
      <w:r w:rsidR="00040B42" w:rsidRPr="00785FB4">
        <w:t xml:space="preserve">an </w:t>
      </w:r>
      <w:r w:rsidR="00FE4F18" w:rsidRPr="00785FB4">
        <w:t>outreach activit</w:t>
      </w:r>
      <w:r w:rsidR="00040B42" w:rsidRPr="00785FB4">
        <w:t>y</w:t>
      </w:r>
      <w:r w:rsidR="00FE4F18" w:rsidRPr="00785FB4">
        <w:t xml:space="preserve"> towards parliamentarians and other key stakeholders </w:t>
      </w:r>
      <w:r w:rsidR="00040B42" w:rsidRPr="00785FB4">
        <w:t xml:space="preserve">in 2017 </w:t>
      </w:r>
      <w:r w:rsidR="00FE4F18" w:rsidRPr="00785FB4">
        <w:t>focusing primarily on beneficial ownership disclosure.</w:t>
      </w:r>
      <w:r w:rsidR="00FE4F18" w:rsidRPr="00785FB4">
        <w:rPr>
          <w:rStyle w:val="FootnoteReference"/>
        </w:rPr>
        <w:footnoteReference w:id="288"/>
      </w:r>
      <w:r w:rsidR="00FE4F18" w:rsidRPr="00785FB4">
        <w:t xml:space="preserve"> </w:t>
      </w:r>
      <w:r w:rsidR="00040B42" w:rsidRPr="00785FB4">
        <w:t>The AEITI website includes an average of two summary reports per year of outreach events to industry,</w:t>
      </w:r>
      <w:r w:rsidR="00040B42" w:rsidRPr="00785FB4">
        <w:rPr>
          <w:rStyle w:val="FootnoteReference"/>
        </w:rPr>
        <w:footnoteReference w:id="289"/>
      </w:r>
      <w:r w:rsidR="00040B42" w:rsidRPr="00785FB4">
        <w:t xml:space="preserve"> government officials,</w:t>
      </w:r>
      <w:r w:rsidR="00040B42" w:rsidRPr="00785FB4">
        <w:rPr>
          <w:rStyle w:val="FootnoteReference"/>
        </w:rPr>
        <w:footnoteReference w:id="290"/>
      </w:r>
      <w:r w:rsidR="00040B42" w:rsidRPr="00785FB4">
        <w:t xml:space="preserve"> and a number of events in the provinces</w:t>
      </w:r>
      <w:r w:rsidR="00040B42" w:rsidRPr="00785FB4">
        <w:rPr>
          <w:rStyle w:val="FootnoteReference"/>
        </w:rPr>
        <w:footnoteReference w:id="291"/>
      </w:r>
      <w:r w:rsidR="00040B42" w:rsidRPr="00785FB4">
        <w:t xml:space="preserve"> in the period 2013-2016, however there are no summary reports of any such events in the year 2017. </w:t>
      </w:r>
      <w:r w:rsidR="00FE4F18" w:rsidRPr="00785FB4">
        <w:t>The 2018 AEITI work plan aims to carry out outreach missions to six provinces over the course of the year, with an explicit aim to include at least one MSG member from each constituency in each workshop.</w:t>
      </w:r>
    </w:p>
    <w:p w14:paraId="62C02F9E" w14:textId="79D8FF0B" w:rsidR="006F3FA7" w:rsidRPr="00785FB4" w:rsidRDefault="00482BE6" w:rsidP="00D07B2A">
      <w:pPr>
        <w:spacing w:before="120"/>
      </w:pPr>
      <w:r w:rsidRPr="00785FB4">
        <w:t xml:space="preserve">Although there is evidence that </w:t>
      </w:r>
      <w:r w:rsidR="00D07B2A" w:rsidRPr="00785FB4">
        <w:t>AEITI organise</w:t>
      </w:r>
      <w:r w:rsidR="00A1411B" w:rsidRPr="00785FB4">
        <w:t>d</w:t>
      </w:r>
      <w:r w:rsidR="00D07B2A" w:rsidRPr="00785FB4">
        <w:t xml:space="preserve"> report launches</w:t>
      </w:r>
      <w:r w:rsidR="00F82E28" w:rsidRPr="00785FB4">
        <w:t xml:space="preserve"> for the first three EITI reports</w:t>
      </w:r>
      <w:r w:rsidRPr="00785FB4">
        <w:t>,</w:t>
      </w:r>
      <w:r w:rsidRPr="00785FB4">
        <w:rPr>
          <w:rStyle w:val="FootnoteReference"/>
        </w:rPr>
        <w:footnoteReference w:id="292"/>
      </w:r>
      <w:r w:rsidRPr="00785FB4">
        <w:t xml:space="preserve"> there is no evidence of any report launches </w:t>
      </w:r>
      <w:r w:rsidR="00EC73CE" w:rsidRPr="00785FB4">
        <w:t xml:space="preserve">having been organised </w:t>
      </w:r>
      <w:r w:rsidR="0040401F" w:rsidRPr="00785FB4">
        <w:t>since September 2014</w:t>
      </w:r>
      <w:r w:rsidRPr="00785FB4">
        <w:t>.</w:t>
      </w:r>
      <w:r w:rsidR="000D4EB1" w:rsidRPr="00785FB4">
        <w:rPr>
          <w:i/>
        </w:rPr>
        <w:t xml:space="preserve"> </w:t>
      </w:r>
      <w:r w:rsidRPr="00785FB4">
        <w:t>The AEITI website includes regular updates on the work of the EITI in Afghanistan, including updates on the work of the MSG, engagement with parliamentarians, reposts of blogs from other organisations and updates on outreach activities to the provinces.</w:t>
      </w:r>
      <w:r w:rsidRPr="00785FB4">
        <w:rPr>
          <w:rStyle w:val="FootnoteReference"/>
        </w:rPr>
        <w:footnoteReference w:id="293"/>
      </w:r>
      <w:r w:rsidRPr="00785FB4">
        <w:t xml:space="preserve"> </w:t>
      </w:r>
      <w:r w:rsidR="00EC73CE" w:rsidRPr="00785FB4">
        <w:t xml:space="preserve">AEITI has also produced six </w:t>
      </w:r>
      <w:r w:rsidR="00DC6CB5" w:rsidRPr="00785FB4">
        <w:t xml:space="preserve">local-language </w:t>
      </w:r>
      <w:r w:rsidR="00EC73CE" w:rsidRPr="00785FB4">
        <w:t>video clips of 30 minutes each explaining the EITI</w:t>
      </w:r>
      <w:r w:rsidR="00DC6CB5" w:rsidRPr="00785FB4">
        <w:t>’s</w:t>
      </w:r>
      <w:r w:rsidR="00EC73CE" w:rsidRPr="00785FB4">
        <w:t xml:space="preserve"> </w:t>
      </w:r>
      <w:r w:rsidR="00DC6CB5" w:rsidRPr="00785FB4">
        <w:t xml:space="preserve">role and </w:t>
      </w:r>
      <w:r w:rsidR="00EC73CE" w:rsidRPr="00785FB4">
        <w:t>functions.</w:t>
      </w:r>
      <w:r w:rsidR="00EC73CE" w:rsidRPr="00785FB4">
        <w:rPr>
          <w:rStyle w:val="FootnoteReference"/>
        </w:rPr>
        <w:t xml:space="preserve"> </w:t>
      </w:r>
      <w:r w:rsidR="00EC73CE" w:rsidRPr="00785FB4">
        <w:rPr>
          <w:rStyle w:val="FootnoteReference"/>
        </w:rPr>
        <w:footnoteReference w:id="294"/>
      </w:r>
      <w:r w:rsidR="00EC73CE" w:rsidRPr="00785FB4">
        <w:t xml:space="preserve"> </w:t>
      </w:r>
      <w:r w:rsidR="0046283F" w:rsidRPr="00785FB4">
        <w:t xml:space="preserve">Although there are a number of examples of press releases and articles building on AEITI </w:t>
      </w:r>
      <w:r w:rsidR="00DC6CB5" w:rsidRPr="00785FB4">
        <w:t>R</w:t>
      </w:r>
      <w:r w:rsidR="0046283F" w:rsidRPr="00785FB4">
        <w:t>eports and activities,</w:t>
      </w:r>
      <w:r w:rsidR="0046283F" w:rsidRPr="00785FB4">
        <w:rPr>
          <w:rStyle w:val="FootnoteReference"/>
        </w:rPr>
        <w:footnoteReference w:id="295"/>
      </w:r>
      <w:r w:rsidR="000E597A" w:rsidRPr="00785FB4">
        <w:t xml:space="preserve"> including an impressive list of AEITI-related articles and press releases issued by Mining Watch Afghanistan specifically,</w:t>
      </w:r>
      <w:r w:rsidR="000E597A" w:rsidRPr="00785FB4">
        <w:rPr>
          <w:rStyle w:val="FootnoteReference"/>
        </w:rPr>
        <w:footnoteReference w:id="296"/>
      </w:r>
      <w:r w:rsidR="0046283F" w:rsidRPr="00785FB4">
        <w:t xml:space="preserve"> there is no evidence of AEITI press-releases or AEITI-originated news articles in online media</w:t>
      </w:r>
      <w:r w:rsidR="00A1411B" w:rsidRPr="00785FB4">
        <w:t xml:space="preserve"> for the last 5 years</w:t>
      </w:r>
      <w:r w:rsidR="0046283F" w:rsidRPr="00785FB4">
        <w:t xml:space="preserve">. </w:t>
      </w:r>
    </w:p>
    <w:p w14:paraId="70C113D3" w14:textId="6234DA5D" w:rsidR="00B172EF" w:rsidRPr="00785FB4" w:rsidRDefault="00D13A4F" w:rsidP="00112D9C">
      <w:pPr>
        <w:spacing w:before="120"/>
      </w:pPr>
      <w:r w:rsidRPr="00785FB4">
        <w:t xml:space="preserve">AEITI approved an open data policy </w:t>
      </w:r>
      <w:r w:rsidR="00DC26C7" w:rsidRPr="00785FB4">
        <w:t>in March 2017, modelled on the EITI’s open data policy</w:t>
      </w:r>
      <w:r w:rsidR="00DC6CB5" w:rsidRPr="00785FB4">
        <w:t xml:space="preserve"> and</w:t>
      </w:r>
      <w:r w:rsidR="00DC26C7" w:rsidRPr="00785FB4">
        <w:t xml:space="preserve"> that includes objectives, strategies and outputs. The policy includes a clear statement on the access, release and re-use of EITI data. Although communicated to the International Secretariat at the time</w:t>
      </w:r>
      <w:r w:rsidR="00EC73CE" w:rsidRPr="00785FB4">
        <w:t xml:space="preserve"> of its adoption by the MSG</w:t>
      </w:r>
      <w:r w:rsidR="00DC26C7" w:rsidRPr="00785FB4">
        <w:t>, the policy was not available</w:t>
      </w:r>
      <w:r w:rsidR="00EE2E4B" w:rsidRPr="00785FB4">
        <w:t xml:space="preserve"> on AEITI’s website</w:t>
      </w:r>
      <w:r w:rsidR="00DC26C7" w:rsidRPr="00785FB4">
        <w:t xml:space="preserve"> at the </w:t>
      </w:r>
      <w:r w:rsidR="00DC6CB5" w:rsidRPr="00785FB4">
        <w:t xml:space="preserve">start </w:t>
      </w:r>
      <w:r w:rsidR="00DC26C7" w:rsidRPr="00785FB4">
        <w:t>of Validation</w:t>
      </w:r>
      <w:r w:rsidR="00EE2E4B" w:rsidRPr="00785FB4">
        <w:t xml:space="preserve"> and is </w:t>
      </w:r>
      <w:r w:rsidR="00EE2E4B" w:rsidRPr="00785FB4">
        <w:lastRenderedPageBreak/>
        <w:t>currently only available on the EITI International’s website</w:t>
      </w:r>
      <w:r w:rsidR="00DC26C7" w:rsidRPr="00785FB4">
        <w:t>.</w:t>
      </w:r>
      <w:r w:rsidR="00EE2E4B" w:rsidRPr="00785FB4">
        <w:rPr>
          <w:rStyle w:val="FootnoteReference"/>
        </w:rPr>
        <w:footnoteReference w:id="297"/>
      </w:r>
      <w:r w:rsidR="00DC26C7" w:rsidRPr="00785FB4">
        <w:t xml:space="preserve"> The policy includes provisions to publish “all the reconciled data of the extractive sector of Afghanistan, including all tables and graphs used in EITI Reports… alongside the reports in open formats such as Excel or CSV files”. Although appendices to the 2014-2015 AEITI Report are available on the website, information is presented in pdf format</w:t>
      </w:r>
      <w:r w:rsidR="00040B42" w:rsidRPr="00785FB4">
        <w:t xml:space="preserve"> (</w:t>
      </w:r>
      <w:r w:rsidR="00040B42" w:rsidRPr="00785FB4">
        <w:rPr>
          <w:i/>
        </w:rPr>
        <w:t>see Requirement 7.2</w:t>
      </w:r>
      <w:r w:rsidR="00040B42" w:rsidRPr="00785FB4">
        <w:t>)</w:t>
      </w:r>
      <w:r w:rsidR="00DC26C7" w:rsidRPr="00785FB4">
        <w:t>.</w:t>
      </w:r>
      <w:r w:rsidR="00A1411B" w:rsidRPr="00785FB4">
        <w:t xml:space="preserve"> </w:t>
      </w:r>
    </w:p>
    <w:p w14:paraId="4BE0CC07" w14:textId="0D50643B" w:rsidR="00040B42" w:rsidRPr="00785FB4" w:rsidRDefault="00040B42" w:rsidP="00112D9C">
      <w:pPr>
        <w:spacing w:before="120"/>
      </w:pPr>
      <w:r w:rsidRPr="00785FB4">
        <w:t>A 2016 mid-year performance assessment carried out by the MOF’s performance management team concluded that AEITI’s website “is highly professional and provides up to date information on activities of AEITI including strategies, annual reports, outreach visits and minutes of meetings.”</w:t>
      </w:r>
      <w:r w:rsidRPr="00785FB4">
        <w:rPr>
          <w:rStyle w:val="FootnoteReference"/>
        </w:rPr>
        <w:footnoteReference w:id="298"/>
      </w:r>
      <w:r w:rsidRPr="00785FB4">
        <w:t xml:space="preserve"> Website content is also available in Dari and Pashto, although these pages do not seem to be updated regularly. AEITI makes frequent use of Facebook to convey its activities to the public. The AEITI Facebook page</w:t>
      </w:r>
      <w:r w:rsidRPr="00785FB4">
        <w:rPr>
          <w:rStyle w:val="FootnoteReference"/>
        </w:rPr>
        <w:footnoteReference w:id="299"/>
      </w:r>
      <w:r w:rsidRPr="00785FB4">
        <w:t xml:space="preserve"> includes some 50 postings made in 2017, a tenth of which refer to the publication of infographics. The dates on the postings suggest that postings on social media are done in waves, with most of the posts concentrating having taken place in three months of the year. </w:t>
      </w:r>
    </w:p>
    <w:p w14:paraId="0FBF95F1" w14:textId="2F645A51" w:rsidR="00FE4F18" w:rsidRPr="00785FB4" w:rsidRDefault="00FE4F18" w:rsidP="00112D9C">
      <w:pPr>
        <w:spacing w:before="120"/>
      </w:pPr>
      <w:r w:rsidRPr="00785FB4">
        <w:rPr>
          <w:i/>
          <w:u w:val="single"/>
        </w:rPr>
        <w:t>Contribution to public debate:</w:t>
      </w:r>
      <w:r w:rsidRPr="00785FB4">
        <w:t xml:space="preserve"> </w:t>
      </w:r>
      <w:r w:rsidR="004C7667" w:rsidRPr="00785FB4">
        <w:t>There is substantial evidence of civil society organisations using EITI reports as part of their advocacy efforts (</w:t>
      </w:r>
      <w:r w:rsidR="004C7667" w:rsidRPr="00785FB4">
        <w:rPr>
          <w:i/>
        </w:rPr>
        <w:t>see Requirement 1.3</w:t>
      </w:r>
      <w:r w:rsidR="004C7667" w:rsidRPr="00785FB4">
        <w:t>). There is also sporadic evidence of specific EITI recommendations being used by international development partners and consultants to argue for public financial management reforms in the sector.</w:t>
      </w:r>
      <w:r w:rsidR="004C7667" w:rsidRPr="00785FB4">
        <w:rPr>
          <w:rStyle w:val="FootnoteReference"/>
        </w:rPr>
        <w:footnoteReference w:id="300"/>
      </w:r>
      <w:r w:rsidR="004C7667" w:rsidRPr="00785FB4">
        <w:t xml:space="preserve">  </w:t>
      </w:r>
      <w:r w:rsidRPr="00785FB4">
        <w:t>AEITI launched a publicly-available communications strategy in 2015, which has been updated at least twice.</w:t>
      </w:r>
      <w:r w:rsidRPr="00785FB4">
        <w:rPr>
          <w:rStyle w:val="FootnoteReference"/>
        </w:rPr>
        <w:footnoteReference w:id="301"/>
      </w:r>
      <w:r w:rsidRPr="00785FB4">
        <w:t xml:space="preserve"> The strategy is implemented by the national secretariat’s communications department, consisting of a communications director, a communications officer, a translator and an office assistant, on behalf of the MSG. The communications strategy notes in its latest version of December 2017 that “it is anticipated that a Communications Working Group of the MSG will be established soon”, although there is no indication that this had taken place at the start of Validation.  The purported aim of the strategy is to “further enhance EITI significance in Afghanistan in order to engage targeted communities through selected channels across the country in the dialogue about AEITI’s importance and its implementation in the country”.</w:t>
      </w:r>
      <w:r w:rsidRPr="00785FB4">
        <w:rPr>
          <w:rStyle w:val="FootnoteReference"/>
        </w:rPr>
        <w:footnoteReference w:id="302"/>
      </w:r>
      <w:r w:rsidRPr="00785FB4">
        <w:t xml:space="preserve"> The strategy also notes the need to engage in dialogue about “natural resources management, educating people about the EITI process, encouraging their participation and listening to their concerns and suggestions”.</w:t>
      </w:r>
      <w:r w:rsidRPr="00785FB4">
        <w:rPr>
          <w:rStyle w:val="FootnoteReference"/>
        </w:rPr>
        <w:footnoteReference w:id="303"/>
      </w:r>
      <w:r w:rsidRPr="00785FB4">
        <w:t xml:space="preserve"> Stakeholders are divided into two categories (“internal” and “external audiences”), depending on the frequency of their interactions with AEITI, and key messages are equally divided into these two categories.</w:t>
      </w:r>
      <w:r w:rsidRPr="00785FB4">
        <w:rPr>
          <w:rStyle w:val="FootnoteReference"/>
        </w:rPr>
        <w:footnoteReference w:id="304"/>
      </w:r>
      <w:r w:rsidRPr="00785FB4">
        <w:t xml:space="preserve"> Stakeholders </w:t>
      </w:r>
      <w:r w:rsidRPr="00785FB4">
        <w:lastRenderedPageBreak/>
        <w:t>identified in the strategy include government, parliamentarians, civil society, companies and the media.  Key messages are listed in the strategy but these are general and not linked to specific goals of the work plan.</w:t>
      </w:r>
      <w:r w:rsidRPr="00785FB4">
        <w:rPr>
          <w:rStyle w:val="FootnoteReference"/>
        </w:rPr>
        <w:footnoteReference w:id="305"/>
      </w:r>
      <w:r w:rsidRPr="00785FB4">
        <w:t xml:space="preserve"> The strategy includes an assessment of communication channels and notes the establishment of a “key media database” to engage external stakeholders along different platforms, including social media.</w:t>
      </w:r>
    </w:p>
    <w:p w14:paraId="42EC68D5" w14:textId="4CBE160C" w:rsidR="00CF5F5D" w:rsidRPr="00785FB4" w:rsidRDefault="00D41A8E" w:rsidP="00A94167">
      <w:pPr>
        <w:pStyle w:val="Heading3"/>
      </w:pPr>
      <w:bookmarkStart w:id="590" w:name="_Toc505449706"/>
      <w:r w:rsidRPr="00785FB4">
        <w:t>Sta</w:t>
      </w:r>
      <w:bookmarkStart w:id="591" w:name="outcomesstakeholderviews"/>
      <w:bookmarkEnd w:id="591"/>
      <w:r w:rsidRPr="00785FB4">
        <w:t>keholder views</w:t>
      </w:r>
      <w:bookmarkEnd w:id="590"/>
    </w:p>
    <w:p w14:paraId="21A8316D" w14:textId="36F638FD" w:rsidR="00E236FD" w:rsidRPr="00785FB4" w:rsidRDefault="00E236FD" w:rsidP="007A7FB4">
      <w:pPr>
        <w:spacing w:before="120"/>
      </w:pPr>
      <w:r w:rsidRPr="00785FB4">
        <w:t xml:space="preserve">CSO representatives on the MSG </w:t>
      </w:r>
      <w:r w:rsidR="00CB44DB" w:rsidRPr="00785FB4">
        <w:t>said</w:t>
      </w:r>
      <w:r w:rsidRPr="00785FB4">
        <w:t xml:space="preserve"> that they had issued a substantial number of press releases, briefing notes and public statements using EITI data (</w:t>
      </w:r>
      <w:r w:rsidRPr="00785FB4">
        <w:rPr>
          <w:i/>
        </w:rPr>
        <w:t>see Requirement 1.3</w:t>
      </w:r>
      <w:r w:rsidRPr="00785FB4">
        <w:t>).</w:t>
      </w:r>
      <w:r w:rsidRPr="00785FB4">
        <w:rPr>
          <w:i/>
        </w:rPr>
        <w:t xml:space="preserve"> </w:t>
      </w:r>
      <w:r w:rsidRPr="00785FB4">
        <w:t>CSO representatives outside the MSG complained that there was very little information about the work of the MSG in the media and that there had been a significant drop</w:t>
      </w:r>
      <w:r w:rsidR="00FE4F18" w:rsidRPr="00785FB4">
        <w:t xml:space="preserve"> </w:t>
      </w:r>
      <w:r w:rsidRPr="00785FB4">
        <w:t>in outreach activities such as conferences, events or engagement with the media</w:t>
      </w:r>
      <w:r w:rsidR="004826BB" w:rsidRPr="00785FB4">
        <w:t xml:space="preserve"> following the change in leadership of the national secretariat in 2015</w:t>
      </w:r>
      <w:r w:rsidRPr="00785FB4">
        <w:t xml:space="preserve">. They said that they had offered support to the secretariat to carry out outreach activities in the regions but that these had been cancelled by the secretariat before they could be carried out. The drop in active promotion and contribution to public debate was also reflected in the MSG’s 2017 self-assessment, where MSG members assigned themselves a score of “insufficient progress” in this regard. Although there were limited comments about the accessibility and comprehensibility of data, stakeholders from all constituencies noted that AEITI </w:t>
      </w:r>
      <w:r w:rsidR="005933F2" w:rsidRPr="00785FB4">
        <w:t>R</w:t>
      </w:r>
      <w:r w:rsidRPr="00785FB4">
        <w:t xml:space="preserve">eports were actively circulated and translated into local languages. MSG members and secretariat staff were not aware that </w:t>
      </w:r>
      <w:r w:rsidR="005933F2" w:rsidRPr="00785FB4">
        <w:t xml:space="preserve">it was not required for </w:t>
      </w:r>
      <w:r w:rsidRPr="00785FB4">
        <w:t xml:space="preserve">AEITI </w:t>
      </w:r>
      <w:r w:rsidR="005933F2" w:rsidRPr="00785FB4">
        <w:t>R</w:t>
      </w:r>
      <w:r w:rsidRPr="00785FB4">
        <w:t xml:space="preserve">eports to be published in English. Upon </w:t>
      </w:r>
      <w:r w:rsidR="005933F2" w:rsidRPr="00785FB4">
        <w:t>discussion</w:t>
      </w:r>
      <w:r w:rsidRPr="00785FB4">
        <w:t xml:space="preserve">, they </w:t>
      </w:r>
      <w:r w:rsidR="005933F2" w:rsidRPr="00785FB4">
        <w:t xml:space="preserve">noted </w:t>
      </w:r>
      <w:r w:rsidRPr="00785FB4">
        <w:t>that publishing reports in local languages would have a positive effect on the quality of the reports and on their ability to contribute to public debate.</w:t>
      </w:r>
      <w:r w:rsidR="00CB44DB" w:rsidRPr="00785FB4">
        <w:t xml:space="preserve"> </w:t>
      </w:r>
    </w:p>
    <w:p w14:paraId="12801B08" w14:textId="7DC0A93A" w:rsidR="00E236FD" w:rsidRPr="00785FB4" w:rsidRDefault="00F03804" w:rsidP="007A7FB4">
      <w:pPr>
        <w:spacing w:before="120"/>
      </w:pPr>
      <w:r w:rsidRPr="00785FB4">
        <w:t xml:space="preserve">Secretariat staff said that in accordance with the communication policy and the MSG’s work plan communication and outreach were considered a priority for their efforts, however the deteriorating security situation in 2016 and 2017 had made it difficult to carry out all of the planned activities to the regions. A former member of the secretariat highlighted the importance of these regional activities in helping the MSG and the </w:t>
      </w:r>
      <w:r w:rsidR="005933F2" w:rsidRPr="00785FB4">
        <w:t xml:space="preserve">government </w:t>
      </w:r>
      <w:r w:rsidRPr="00785FB4">
        <w:t xml:space="preserve">understand the reality on the ground, including understanding gaps in technical and administrative capabilities within the </w:t>
      </w:r>
      <w:r w:rsidRPr="00785FB4">
        <w:rPr>
          <w:i/>
        </w:rPr>
        <w:t xml:space="preserve">mastufiats </w:t>
      </w:r>
      <w:r w:rsidRPr="00785FB4">
        <w:t>(</w:t>
      </w:r>
      <w:r w:rsidR="00FE4F18" w:rsidRPr="00785FB4">
        <w:t>line ministries’ provincial offices</w:t>
      </w:r>
      <w:r w:rsidRPr="00785FB4">
        <w:t xml:space="preserve">). This had led to significant findings and recommendations to the </w:t>
      </w:r>
      <w:r w:rsidR="00DB56BA" w:rsidRPr="00785FB4">
        <w:t>MOMP</w:t>
      </w:r>
      <w:r w:rsidRPr="00785FB4">
        <w:t xml:space="preserve"> to address missing non-tax revenues (</w:t>
      </w:r>
      <w:r w:rsidRPr="00785FB4">
        <w:rPr>
          <w:i/>
        </w:rPr>
        <w:t>see Requirement 1.3</w:t>
      </w:r>
      <w:r w:rsidRPr="00785FB4">
        <w:t>). According to the MSG’s 2017 self-assessment, a total of nine such outreach activities have been carried out since Afghanistan’s second Validation in 2014</w:t>
      </w:r>
      <w:r w:rsidR="00E236FD" w:rsidRPr="00785FB4">
        <w:t>.</w:t>
      </w:r>
      <w:r w:rsidRPr="00785FB4">
        <w:t xml:space="preserve"> </w:t>
      </w:r>
    </w:p>
    <w:p w14:paraId="4A6F2D69" w14:textId="1B27860E" w:rsidR="00601017" w:rsidRPr="00785FB4" w:rsidRDefault="00601017" w:rsidP="00A94167">
      <w:pPr>
        <w:pStyle w:val="Heading3"/>
      </w:pPr>
      <w:bookmarkStart w:id="592" w:name="_Toc505449707"/>
      <w:r w:rsidRPr="00785FB4">
        <w:t xml:space="preserve">Initial </w:t>
      </w:r>
      <w:r w:rsidR="0073607A" w:rsidRPr="00785FB4">
        <w:t>a</w:t>
      </w:r>
      <w:r w:rsidR="00D41A8E" w:rsidRPr="00785FB4">
        <w:t>ssessment</w:t>
      </w:r>
      <w:bookmarkEnd w:id="592"/>
    </w:p>
    <w:p w14:paraId="51278235" w14:textId="0BDA09C9" w:rsidR="00372BB3" w:rsidRPr="00785FB4" w:rsidRDefault="000625E3" w:rsidP="00112D9C">
      <w:pPr>
        <w:spacing w:before="120"/>
        <w:rPr>
          <w:color w:val="000000" w:themeColor="text1"/>
          <w:lang w:eastAsia="x-none"/>
        </w:rPr>
      </w:pPr>
      <w:r w:rsidRPr="00785FB4">
        <w:rPr>
          <w:color w:val="000000" w:themeColor="text1"/>
          <w:lang w:eastAsia="x-none"/>
        </w:rPr>
        <w:t xml:space="preserve">The International Secretariat’s initial assessment is that </w:t>
      </w:r>
      <w:r w:rsidR="00482BE6" w:rsidRPr="00785FB4">
        <w:rPr>
          <w:bCs/>
        </w:rPr>
        <w:t>Afghanistan</w:t>
      </w:r>
      <w:r w:rsidR="00482BE6" w:rsidRPr="00785FB4">
        <w:rPr>
          <w:color w:val="000000" w:themeColor="text1"/>
          <w:lang w:eastAsia="x-none"/>
        </w:rPr>
        <w:t xml:space="preserve"> </w:t>
      </w:r>
      <w:r w:rsidRPr="00785FB4">
        <w:rPr>
          <w:color w:val="000000" w:themeColor="text1"/>
          <w:lang w:eastAsia="x-none"/>
        </w:rPr>
        <w:t>has made</w:t>
      </w:r>
      <w:r w:rsidR="00482BE6" w:rsidRPr="00785FB4">
        <w:rPr>
          <w:color w:val="000000" w:themeColor="text1"/>
          <w:lang w:eastAsia="x-none"/>
        </w:rPr>
        <w:t xml:space="preserve"> </w:t>
      </w:r>
      <w:r w:rsidR="00FE4F18" w:rsidRPr="00785FB4">
        <w:rPr>
          <w:color w:val="000000" w:themeColor="text1"/>
          <w:lang w:eastAsia="x-none"/>
        </w:rPr>
        <w:t>meaningful</w:t>
      </w:r>
      <w:r w:rsidR="00482BE6" w:rsidRPr="00785FB4">
        <w:rPr>
          <w:color w:val="000000" w:themeColor="text1"/>
          <w:lang w:eastAsia="x-none"/>
        </w:rPr>
        <w:t xml:space="preserve"> progress in meeting this requirement. </w:t>
      </w:r>
      <w:r w:rsidR="005933F2" w:rsidRPr="00785FB4">
        <w:rPr>
          <w:color w:val="000000" w:themeColor="text1"/>
          <w:lang w:eastAsia="x-none"/>
        </w:rPr>
        <w:t xml:space="preserve">Afghanistan’s EITI </w:t>
      </w:r>
      <w:r w:rsidR="00482BE6" w:rsidRPr="00785FB4">
        <w:rPr>
          <w:color w:val="000000" w:themeColor="text1"/>
          <w:lang w:eastAsia="x-none"/>
        </w:rPr>
        <w:t>Reports are circulated and translated into local languages</w:t>
      </w:r>
      <w:r w:rsidR="004826BB" w:rsidRPr="00785FB4">
        <w:rPr>
          <w:color w:val="000000" w:themeColor="text1"/>
          <w:lang w:eastAsia="x-none"/>
        </w:rPr>
        <w:t>, although there are concerns that the pace of communications and outreach has slowed significantly over the last 3 years</w:t>
      </w:r>
      <w:r w:rsidR="00372BB3" w:rsidRPr="00785FB4">
        <w:rPr>
          <w:color w:val="000000" w:themeColor="text1"/>
          <w:lang w:eastAsia="x-none"/>
        </w:rPr>
        <w:t>. The MSG has agreed an open data policy, although it is a concern that this is not publicly available</w:t>
      </w:r>
      <w:r w:rsidR="00FE4F18" w:rsidRPr="00785FB4">
        <w:rPr>
          <w:color w:val="000000" w:themeColor="text1"/>
          <w:lang w:eastAsia="x-none"/>
        </w:rPr>
        <w:t>.</w:t>
      </w:r>
      <w:r w:rsidR="00372BB3" w:rsidRPr="00785FB4">
        <w:rPr>
          <w:color w:val="000000" w:themeColor="text1"/>
          <w:lang w:eastAsia="x-none"/>
        </w:rPr>
        <w:t xml:space="preserve"> In spite of the limitations posed by the security situation in the country, outreach events are carried out to the provinces and to key stakeholders such as parliamentarians</w:t>
      </w:r>
      <w:r w:rsidR="004826BB" w:rsidRPr="00785FB4">
        <w:rPr>
          <w:color w:val="000000" w:themeColor="text1"/>
          <w:lang w:eastAsia="x-none"/>
        </w:rPr>
        <w:t>, although</w:t>
      </w:r>
      <w:r w:rsidR="004C7667" w:rsidRPr="00785FB4">
        <w:rPr>
          <w:color w:val="000000" w:themeColor="text1"/>
          <w:lang w:eastAsia="x-none"/>
        </w:rPr>
        <w:t xml:space="preserve"> these are not carried out as regularly as </w:t>
      </w:r>
      <w:r w:rsidR="00EE2E4B" w:rsidRPr="00785FB4">
        <w:rPr>
          <w:color w:val="000000" w:themeColor="text1"/>
          <w:lang w:eastAsia="x-none"/>
        </w:rPr>
        <w:t xml:space="preserve">envisioned </w:t>
      </w:r>
      <w:r w:rsidR="004826BB" w:rsidRPr="00785FB4">
        <w:rPr>
          <w:color w:val="000000" w:themeColor="text1"/>
          <w:lang w:eastAsia="x-none"/>
        </w:rPr>
        <w:t>in AEITI work plans</w:t>
      </w:r>
      <w:r w:rsidR="00372BB3" w:rsidRPr="00785FB4">
        <w:rPr>
          <w:color w:val="000000" w:themeColor="text1"/>
          <w:lang w:eastAsia="x-none"/>
        </w:rPr>
        <w:t xml:space="preserve">. </w:t>
      </w:r>
      <w:r w:rsidR="00EE2E4B" w:rsidRPr="00785FB4">
        <w:rPr>
          <w:color w:val="000000" w:themeColor="text1"/>
          <w:lang w:eastAsia="x-none"/>
        </w:rPr>
        <w:t>AEITI has developed a communications strategy, however it is not clear how it is being followed in practice.</w:t>
      </w:r>
    </w:p>
    <w:p w14:paraId="00ED5532" w14:textId="376F422D" w:rsidR="00112D9C" w:rsidRPr="00785FB4" w:rsidRDefault="004826BB" w:rsidP="00112D9C">
      <w:pPr>
        <w:spacing w:before="120"/>
      </w:pPr>
      <w:r w:rsidRPr="00785FB4">
        <w:rPr>
          <w:color w:val="000000" w:themeColor="text1"/>
          <w:lang w:eastAsia="x-none"/>
        </w:rPr>
        <w:lastRenderedPageBreak/>
        <w:t>In accordance with requirement 7.1, Afghanistan should ensure that EITI reports are comprehensible, actively promoted, publicly accessible and contribute to public debate.</w:t>
      </w:r>
      <w:r w:rsidR="004C7667" w:rsidRPr="00785FB4">
        <w:rPr>
          <w:color w:val="000000" w:themeColor="text1"/>
          <w:lang w:eastAsia="x-none"/>
        </w:rPr>
        <w:t xml:space="preserve"> Taking into account the security situation, the MSG should</w:t>
      </w:r>
      <w:r w:rsidR="00EE2E4B" w:rsidRPr="00785FB4">
        <w:rPr>
          <w:color w:val="000000" w:themeColor="text1"/>
          <w:lang w:eastAsia="x-none"/>
        </w:rPr>
        <w:t xml:space="preserve"> continue to</w:t>
      </w:r>
      <w:r w:rsidR="004C7667" w:rsidRPr="00785FB4">
        <w:rPr>
          <w:color w:val="000000" w:themeColor="text1"/>
          <w:lang w:eastAsia="x-none"/>
        </w:rPr>
        <w:t xml:space="preserve"> seek to carry out outreach events to spread awareness of and facilitate dialogue about the EITI Report across the country</w:t>
      </w:r>
      <w:r w:rsidR="00EE2E4B" w:rsidRPr="00785FB4">
        <w:rPr>
          <w:color w:val="000000" w:themeColor="text1"/>
          <w:lang w:eastAsia="x-none"/>
        </w:rPr>
        <w:t xml:space="preserve"> whenever possible</w:t>
      </w:r>
      <w:r w:rsidR="004C7667" w:rsidRPr="00785FB4">
        <w:rPr>
          <w:color w:val="000000" w:themeColor="text1"/>
          <w:lang w:eastAsia="x-none"/>
        </w:rPr>
        <w:t>. T</w:t>
      </w:r>
      <w:r w:rsidR="00372BB3" w:rsidRPr="00785FB4">
        <w:rPr>
          <w:color w:val="000000" w:themeColor="text1"/>
          <w:lang w:eastAsia="x-none"/>
        </w:rPr>
        <w:t xml:space="preserve">he MSG </w:t>
      </w:r>
      <w:r w:rsidR="005933F2" w:rsidRPr="00785FB4">
        <w:rPr>
          <w:color w:val="000000" w:themeColor="text1"/>
          <w:lang w:eastAsia="x-none"/>
        </w:rPr>
        <w:t xml:space="preserve">may wish to </w:t>
      </w:r>
      <w:r w:rsidR="00372BB3" w:rsidRPr="00785FB4">
        <w:rPr>
          <w:color w:val="000000" w:themeColor="text1"/>
          <w:lang w:eastAsia="x-none"/>
        </w:rPr>
        <w:t>consider linking the</w:t>
      </w:r>
      <w:r w:rsidR="005933F2" w:rsidRPr="00785FB4">
        <w:rPr>
          <w:color w:val="000000" w:themeColor="text1"/>
          <w:lang w:eastAsia="x-none"/>
        </w:rPr>
        <w:t xml:space="preserve"> AEITI</w:t>
      </w:r>
      <w:r w:rsidR="00372BB3" w:rsidRPr="00785FB4">
        <w:rPr>
          <w:color w:val="000000" w:themeColor="text1"/>
          <w:lang w:eastAsia="x-none"/>
        </w:rPr>
        <w:t xml:space="preserve"> communications strategy more closely to the work plan and tailoring key messages to sector priorities rather than to EITI implementation more broadly. The MSG </w:t>
      </w:r>
      <w:r w:rsidR="005933F2" w:rsidRPr="00785FB4">
        <w:rPr>
          <w:color w:val="000000" w:themeColor="text1"/>
          <w:lang w:eastAsia="x-none"/>
        </w:rPr>
        <w:t xml:space="preserve">is </w:t>
      </w:r>
      <w:r w:rsidR="00372BB3" w:rsidRPr="00785FB4">
        <w:rPr>
          <w:color w:val="000000" w:themeColor="text1"/>
          <w:lang w:eastAsia="x-none"/>
        </w:rPr>
        <w:t xml:space="preserve">also </w:t>
      </w:r>
      <w:r w:rsidR="005933F2" w:rsidRPr="00785FB4">
        <w:rPr>
          <w:color w:val="000000" w:themeColor="text1"/>
          <w:lang w:eastAsia="x-none"/>
        </w:rPr>
        <w:t xml:space="preserve">encouraged to </w:t>
      </w:r>
      <w:r w:rsidR="00372BB3" w:rsidRPr="00785FB4">
        <w:rPr>
          <w:color w:val="000000" w:themeColor="text1"/>
          <w:lang w:eastAsia="x-none"/>
        </w:rPr>
        <w:t xml:space="preserve">ensure that the open data policy is posted online and that </w:t>
      </w:r>
      <w:r w:rsidR="009E3467" w:rsidRPr="00785FB4">
        <w:rPr>
          <w:color w:val="000000" w:themeColor="text1"/>
          <w:lang w:eastAsia="x-none"/>
        </w:rPr>
        <w:t xml:space="preserve">EITI reports are available in open data format. </w:t>
      </w:r>
    </w:p>
    <w:p w14:paraId="42A27FBD" w14:textId="77777777" w:rsidR="00601017" w:rsidRPr="00785FB4" w:rsidRDefault="00601017" w:rsidP="00A94167">
      <w:pPr>
        <w:pStyle w:val="Heading2notindexed"/>
      </w:pPr>
      <w:bookmarkStart w:id="593" w:name="_Toc458773263"/>
      <w:bookmarkStart w:id="594" w:name="_Toc458780360"/>
      <w:bookmarkStart w:id="595" w:name="_Toc461803154"/>
      <w:bookmarkStart w:id="596" w:name="_Toc461787365"/>
      <w:bookmarkStart w:id="597" w:name="_Toc461795877"/>
      <w:bookmarkStart w:id="598" w:name="_Toc505449708"/>
      <w:bookmarkStart w:id="599" w:name="_Toc505449828"/>
      <w:bookmarkStart w:id="600" w:name="_Toc459133205"/>
      <w:r w:rsidRPr="00785FB4">
        <w:t>Data Accessibility (#7.2)</w:t>
      </w:r>
      <w:bookmarkEnd w:id="593"/>
      <w:bookmarkEnd w:id="594"/>
      <w:bookmarkEnd w:id="595"/>
      <w:bookmarkEnd w:id="596"/>
      <w:bookmarkEnd w:id="597"/>
      <w:bookmarkEnd w:id="598"/>
      <w:bookmarkEnd w:id="599"/>
    </w:p>
    <w:p w14:paraId="11A1F092" w14:textId="4C02DB20" w:rsidR="00601017" w:rsidRPr="00785FB4" w:rsidRDefault="00D41A8E" w:rsidP="00A94167">
      <w:pPr>
        <w:pStyle w:val="Heading3"/>
      </w:pPr>
      <w:bookmarkStart w:id="601" w:name="_Toc505449709"/>
      <w:bookmarkEnd w:id="600"/>
      <w:r w:rsidRPr="00785FB4">
        <w:t>Documentation of progress</w:t>
      </w:r>
      <w:bookmarkEnd w:id="601"/>
    </w:p>
    <w:p w14:paraId="395494B3" w14:textId="0A0277F4" w:rsidR="003F3DE3" w:rsidRPr="00785FB4" w:rsidRDefault="00E731C9" w:rsidP="0058647A">
      <w:pPr>
        <w:spacing w:before="120"/>
        <w:rPr>
          <w:bCs/>
        </w:rPr>
      </w:pPr>
      <w:r w:rsidRPr="00785FB4">
        <w:rPr>
          <w:bCs/>
        </w:rPr>
        <w:t xml:space="preserve">Although </w:t>
      </w:r>
      <w:r w:rsidR="00F40332" w:rsidRPr="00785FB4">
        <w:rPr>
          <w:bCs/>
        </w:rPr>
        <w:t xml:space="preserve">AEITI’s </w:t>
      </w:r>
      <w:r w:rsidR="00D8403E" w:rsidRPr="00785FB4">
        <w:rPr>
          <w:bCs/>
        </w:rPr>
        <w:t>open data policy establishes a clear presumption of transparency for all MSG information</w:t>
      </w:r>
      <w:r w:rsidRPr="00785FB4">
        <w:rPr>
          <w:bCs/>
        </w:rPr>
        <w:t xml:space="preserve"> and specifically includes a provision on providing “data in granular, machine-readable formats”, AEITI reports are not currently available in machine-readable formats. </w:t>
      </w:r>
      <w:r w:rsidR="00061547" w:rsidRPr="00785FB4">
        <w:rPr>
          <w:bCs/>
        </w:rPr>
        <w:t xml:space="preserve">The open data policy also includes </w:t>
      </w:r>
      <w:r w:rsidR="003F3DE3" w:rsidRPr="00785FB4">
        <w:rPr>
          <w:bCs/>
        </w:rPr>
        <w:t>provisions on ensuring that data is interoperable with national and international standards as well as using “unique identifiers to link data across years of reporting or different sources”</w:t>
      </w:r>
      <w:r w:rsidR="007D2D5E" w:rsidRPr="00785FB4">
        <w:rPr>
          <w:bCs/>
        </w:rPr>
        <w:t xml:space="preserve"> and automating online disclosures on a regular basis</w:t>
      </w:r>
      <w:r w:rsidR="00EE2E4B" w:rsidRPr="00785FB4">
        <w:rPr>
          <w:bCs/>
        </w:rPr>
        <w:t>.</w:t>
      </w:r>
      <w:r w:rsidR="00EE2E4B" w:rsidRPr="00785FB4">
        <w:rPr>
          <w:rStyle w:val="FootnoteReference"/>
          <w:bCs/>
        </w:rPr>
        <w:footnoteReference w:id="306"/>
      </w:r>
      <w:r w:rsidR="00EE2E4B" w:rsidRPr="00785FB4">
        <w:rPr>
          <w:bCs/>
        </w:rPr>
        <w:t xml:space="preserve">. </w:t>
      </w:r>
      <w:r w:rsidR="007D2D5E" w:rsidRPr="00785FB4">
        <w:rPr>
          <w:bCs/>
        </w:rPr>
        <w:t>T</w:t>
      </w:r>
      <w:r w:rsidR="003F3DE3" w:rsidRPr="00785FB4">
        <w:rPr>
          <w:bCs/>
        </w:rPr>
        <w:t xml:space="preserve">here is no evidence that </w:t>
      </w:r>
      <w:r w:rsidR="007D2D5E" w:rsidRPr="00785FB4">
        <w:rPr>
          <w:bCs/>
        </w:rPr>
        <w:t xml:space="preserve">any of </w:t>
      </w:r>
      <w:r w:rsidR="003F3DE3" w:rsidRPr="00785FB4">
        <w:rPr>
          <w:bCs/>
        </w:rPr>
        <w:t>these provis</w:t>
      </w:r>
      <w:r w:rsidR="00783582" w:rsidRPr="00785FB4">
        <w:rPr>
          <w:bCs/>
        </w:rPr>
        <w:t>ions are currently implemented and the open data policy is not available online (</w:t>
      </w:r>
      <w:r w:rsidR="00783582" w:rsidRPr="00785FB4">
        <w:rPr>
          <w:bCs/>
          <w:i/>
        </w:rPr>
        <w:t>See Requirement 7.1</w:t>
      </w:r>
      <w:r w:rsidR="00783582" w:rsidRPr="00785FB4">
        <w:rPr>
          <w:bCs/>
        </w:rPr>
        <w:t>).</w:t>
      </w:r>
      <w:r w:rsidR="00E77C51" w:rsidRPr="00785FB4">
        <w:rPr>
          <w:bCs/>
        </w:rPr>
        <w:t xml:space="preserve"> There is no evidence that AEITI has compared the share of each revenue stream to the total amount of revenue that accrues to each respective level of government.</w:t>
      </w:r>
    </w:p>
    <w:p w14:paraId="3D3C3790" w14:textId="50F8A41F" w:rsidR="00783582" w:rsidRPr="00785FB4" w:rsidRDefault="003F3DE3" w:rsidP="0058647A">
      <w:pPr>
        <w:spacing w:before="120"/>
        <w:rPr>
          <w:bCs/>
        </w:rPr>
      </w:pPr>
      <w:r w:rsidRPr="00785FB4">
        <w:rPr>
          <w:bCs/>
        </w:rPr>
        <w:t xml:space="preserve">Afghanistan has produced summary reports in English for its first, second, fourth and fifth reports, covering </w:t>
      </w:r>
      <w:r w:rsidR="00017EE3" w:rsidRPr="00785FB4">
        <w:rPr>
          <w:bCs/>
        </w:rPr>
        <w:t>each fiscal year between</w:t>
      </w:r>
      <w:r w:rsidRPr="00785FB4">
        <w:rPr>
          <w:bCs/>
        </w:rPr>
        <w:t xml:space="preserve"> 2009</w:t>
      </w:r>
      <w:r w:rsidR="00017EE3" w:rsidRPr="00785FB4">
        <w:rPr>
          <w:bCs/>
        </w:rPr>
        <w:t xml:space="preserve"> and </w:t>
      </w:r>
      <w:r w:rsidRPr="00785FB4">
        <w:rPr>
          <w:bCs/>
        </w:rPr>
        <w:t>2015</w:t>
      </w:r>
      <w:r w:rsidR="009456DE" w:rsidRPr="00785FB4">
        <w:rPr>
          <w:bCs/>
        </w:rPr>
        <w:t>, although no summary was prepared for the third report</w:t>
      </w:r>
      <w:r w:rsidRPr="00785FB4">
        <w:rPr>
          <w:bCs/>
        </w:rPr>
        <w:t xml:space="preserve"> </w:t>
      </w:r>
      <w:r w:rsidR="009456DE" w:rsidRPr="00785FB4">
        <w:rPr>
          <w:bCs/>
        </w:rPr>
        <w:t xml:space="preserve">covering </w:t>
      </w:r>
      <w:r w:rsidR="007D2D5E" w:rsidRPr="00785FB4">
        <w:rPr>
          <w:bCs/>
        </w:rPr>
        <w:t>2011-</w:t>
      </w:r>
      <w:r w:rsidRPr="00785FB4">
        <w:rPr>
          <w:bCs/>
        </w:rPr>
        <w:t>12. Summary reports</w:t>
      </w:r>
      <w:r w:rsidR="00017EE3" w:rsidRPr="00785FB4">
        <w:rPr>
          <w:bCs/>
        </w:rPr>
        <w:t xml:space="preserve"> </w:t>
      </w:r>
      <w:r w:rsidRPr="00785FB4">
        <w:rPr>
          <w:bCs/>
        </w:rPr>
        <w:t>are not available in local languages</w:t>
      </w:r>
      <w:r w:rsidR="00017EE3" w:rsidRPr="00785FB4">
        <w:rPr>
          <w:bCs/>
        </w:rPr>
        <w:t xml:space="preserve">. </w:t>
      </w:r>
      <w:r w:rsidR="00021FCA" w:rsidRPr="00785FB4">
        <w:rPr>
          <w:bCs/>
        </w:rPr>
        <w:t>Although summary reports sometimes provide new information not included in the reports they purportedly summarise, t</w:t>
      </w:r>
      <w:r w:rsidR="00017EE3" w:rsidRPr="00785FB4">
        <w:rPr>
          <w:bCs/>
        </w:rPr>
        <w:t>he authorship of the reports is not stated</w:t>
      </w:r>
      <w:r w:rsidR="00021FCA" w:rsidRPr="00785FB4">
        <w:rPr>
          <w:bCs/>
        </w:rPr>
        <w:t xml:space="preserve">. </w:t>
      </w:r>
      <w:r w:rsidR="007D2D5E" w:rsidRPr="00785FB4">
        <w:rPr>
          <w:bCs/>
        </w:rPr>
        <w:t xml:space="preserve">The reports’ </w:t>
      </w:r>
      <w:r w:rsidR="00017EE3" w:rsidRPr="00785FB4">
        <w:rPr>
          <w:bCs/>
        </w:rPr>
        <w:t>branding indicates that they are produced by the national secretariat</w:t>
      </w:r>
      <w:r w:rsidR="007D2D5E" w:rsidRPr="00785FB4">
        <w:rPr>
          <w:bCs/>
        </w:rPr>
        <w:t xml:space="preserve"> however, and </w:t>
      </w:r>
      <w:r w:rsidR="00021FCA" w:rsidRPr="00785FB4">
        <w:rPr>
          <w:bCs/>
        </w:rPr>
        <w:t xml:space="preserve">deviations from the originals are immaterial </w:t>
      </w:r>
      <w:r w:rsidR="007D2D5E" w:rsidRPr="00785FB4">
        <w:rPr>
          <w:bCs/>
        </w:rPr>
        <w:t>with only few exceptions</w:t>
      </w:r>
      <w:r w:rsidR="00017EE3" w:rsidRPr="00785FB4">
        <w:rPr>
          <w:bCs/>
        </w:rPr>
        <w:t>.</w:t>
      </w:r>
      <w:r w:rsidR="007D2D5E" w:rsidRPr="00785FB4">
        <w:rPr>
          <w:rStyle w:val="FootnoteReference"/>
          <w:bCs/>
        </w:rPr>
        <w:footnoteReference w:id="307"/>
      </w:r>
      <w:r w:rsidR="007D2D5E" w:rsidRPr="00785FB4">
        <w:rPr>
          <w:bCs/>
        </w:rPr>
        <w:t xml:space="preserve"> </w:t>
      </w:r>
      <w:r w:rsidR="00017EE3" w:rsidRPr="00785FB4">
        <w:rPr>
          <w:bCs/>
        </w:rPr>
        <w:t xml:space="preserve">Infographics were also developed </w:t>
      </w:r>
      <w:r w:rsidR="007D2D5E" w:rsidRPr="00785FB4">
        <w:rPr>
          <w:bCs/>
        </w:rPr>
        <w:t>in</w:t>
      </w:r>
      <w:r w:rsidR="006B4F6C" w:rsidRPr="00785FB4">
        <w:rPr>
          <w:bCs/>
        </w:rPr>
        <w:t xml:space="preserve"> English and</w:t>
      </w:r>
      <w:r w:rsidR="007D2D5E" w:rsidRPr="00785FB4">
        <w:rPr>
          <w:bCs/>
        </w:rPr>
        <w:t xml:space="preserve"> local languages </w:t>
      </w:r>
      <w:r w:rsidR="00017EE3" w:rsidRPr="00785FB4">
        <w:rPr>
          <w:bCs/>
        </w:rPr>
        <w:t xml:space="preserve">by a GIZ consultant for the fourth report, albeit almost a year after </w:t>
      </w:r>
      <w:r w:rsidR="006B4F6C" w:rsidRPr="00785FB4">
        <w:rPr>
          <w:bCs/>
        </w:rPr>
        <w:t>the report’s</w:t>
      </w:r>
      <w:r w:rsidR="00017EE3" w:rsidRPr="00785FB4">
        <w:rPr>
          <w:bCs/>
        </w:rPr>
        <w:t xml:space="preserve"> publication</w:t>
      </w:r>
      <w:r w:rsidR="00021FCA" w:rsidRPr="00785FB4">
        <w:rPr>
          <w:bCs/>
        </w:rPr>
        <w:t>.</w:t>
      </w:r>
      <w:r w:rsidR="00021FCA" w:rsidRPr="00785FB4">
        <w:rPr>
          <w:rStyle w:val="FootnoteReference"/>
          <w:bCs/>
        </w:rPr>
        <w:footnoteReference w:id="308"/>
      </w:r>
      <w:r w:rsidR="00021FCA" w:rsidRPr="00785FB4">
        <w:rPr>
          <w:bCs/>
        </w:rPr>
        <w:t xml:space="preserve"> A 30-second video clip was produced in local languages in 2016 explaining the results of the 2012-13 AEITI Report, however its viewership is limited</w:t>
      </w:r>
      <w:r w:rsidR="002A49EC" w:rsidRPr="00785FB4">
        <w:rPr>
          <w:bCs/>
        </w:rPr>
        <w:t xml:space="preserve"> (under 30 views at the beginning of Validation)</w:t>
      </w:r>
      <w:r w:rsidR="00021FCA" w:rsidRPr="00785FB4">
        <w:rPr>
          <w:bCs/>
        </w:rPr>
        <w:t>.</w:t>
      </w:r>
      <w:r w:rsidR="00021FCA" w:rsidRPr="00785FB4">
        <w:rPr>
          <w:rStyle w:val="FootnoteReference"/>
          <w:bCs/>
        </w:rPr>
        <w:footnoteReference w:id="309"/>
      </w:r>
      <w:r w:rsidR="00783582" w:rsidRPr="00785FB4">
        <w:rPr>
          <w:bCs/>
        </w:rPr>
        <w:t xml:space="preserve"> There is extensive </w:t>
      </w:r>
      <w:r w:rsidR="00E77C51" w:rsidRPr="00785FB4">
        <w:rPr>
          <w:bCs/>
        </w:rPr>
        <w:t xml:space="preserve">correspondence with the International Secretariat </w:t>
      </w:r>
      <w:r w:rsidR="00783582" w:rsidRPr="00785FB4">
        <w:rPr>
          <w:bCs/>
        </w:rPr>
        <w:t>document</w:t>
      </w:r>
      <w:r w:rsidR="00E77C51" w:rsidRPr="00785FB4">
        <w:rPr>
          <w:bCs/>
        </w:rPr>
        <w:t xml:space="preserve">ing </w:t>
      </w:r>
      <w:r w:rsidR="00783582" w:rsidRPr="00785FB4">
        <w:rPr>
          <w:bCs/>
        </w:rPr>
        <w:t>capacity-building efforts</w:t>
      </w:r>
      <w:r w:rsidR="00E77C51" w:rsidRPr="00785FB4">
        <w:rPr>
          <w:bCs/>
        </w:rPr>
        <w:t>, usually</w:t>
      </w:r>
      <w:r w:rsidR="00783582" w:rsidRPr="00785FB4">
        <w:rPr>
          <w:bCs/>
        </w:rPr>
        <w:t xml:space="preserve"> with support from GIZ</w:t>
      </w:r>
      <w:r w:rsidR="00E77C51" w:rsidRPr="00785FB4">
        <w:rPr>
          <w:bCs/>
        </w:rPr>
        <w:t>,</w:t>
      </w:r>
      <w:r w:rsidR="00783582" w:rsidRPr="00785FB4">
        <w:rPr>
          <w:bCs/>
        </w:rPr>
        <w:t xml:space="preserve"> to increase awareness of the process and encourage use of information by others, i</w:t>
      </w:r>
      <w:r w:rsidR="006B4F6C" w:rsidRPr="00785FB4">
        <w:rPr>
          <w:bCs/>
        </w:rPr>
        <w:t>ncluding</w:t>
      </w:r>
      <w:r w:rsidR="00783582" w:rsidRPr="00785FB4">
        <w:rPr>
          <w:bCs/>
        </w:rPr>
        <w:t xml:space="preserve"> parliamentarians</w:t>
      </w:r>
      <w:r w:rsidR="006B4F6C" w:rsidRPr="00785FB4">
        <w:rPr>
          <w:bCs/>
        </w:rPr>
        <w:t>,</w:t>
      </w:r>
      <w:r w:rsidR="00E77C51" w:rsidRPr="00785FB4">
        <w:rPr>
          <w:rStyle w:val="FootnoteReference"/>
          <w:bCs/>
        </w:rPr>
        <w:footnoteReference w:id="310"/>
      </w:r>
      <w:r w:rsidR="006B4F6C" w:rsidRPr="00785FB4">
        <w:rPr>
          <w:bCs/>
        </w:rPr>
        <w:t xml:space="preserve"> civil society (</w:t>
      </w:r>
      <w:r w:rsidR="006B4F6C" w:rsidRPr="00785FB4">
        <w:rPr>
          <w:bCs/>
          <w:i/>
        </w:rPr>
        <w:t>see Requirement 1.3</w:t>
      </w:r>
      <w:r w:rsidR="006B4F6C" w:rsidRPr="00785FB4">
        <w:rPr>
          <w:bCs/>
        </w:rPr>
        <w:t>), and government officials</w:t>
      </w:r>
      <w:r w:rsidR="00783582" w:rsidRPr="00785FB4">
        <w:rPr>
          <w:bCs/>
        </w:rPr>
        <w:t xml:space="preserve"> </w:t>
      </w:r>
      <w:r w:rsidR="006B4F6C" w:rsidRPr="00785FB4">
        <w:rPr>
          <w:bCs/>
        </w:rPr>
        <w:t>working on beneficial ownership disclosure.</w:t>
      </w:r>
      <w:r w:rsidR="006B4F6C" w:rsidRPr="00785FB4">
        <w:rPr>
          <w:rStyle w:val="FootnoteReference"/>
          <w:bCs/>
        </w:rPr>
        <w:footnoteReference w:id="311"/>
      </w:r>
    </w:p>
    <w:p w14:paraId="37EF6906" w14:textId="77777777" w:rsidR="00601017" w:rsidRPr="00785FB4" w:rsidRDefault="00D41A8E" w:rsidP="00A94167">
      <w:pPr>
        <w:pStyle w:val="Heading3"/>
      </w:pPr>
      <w:bookmarkStart w:id="602" w:name="_Toc505449710"/>
      <w:r w:rsidRPr="00785FB4">
        <w:lastRenderedPageBreak/>
        <w:t>Stakeholder views</w:t>
      </w:r>
      <w:bookmarkEnd w:id="602"/>
    </w:p>
    <w:p w14:paraId="016A6CAF" w14:textId="6A23D11F" w:rsidR="00AE017B" w:rsidRPr="00785FB4" w:rsidRDefault="009335D9" w:rsidP="00805B01">
      <w:pPr>
        <w:spacing w:before="120"/>
      </w:pPr>
      <w:r w:rsidRPr="00785FB4">
        <w:rPr>
          <w:bCs/>
        </w:rPr>
        <w:t xml:space="preserve">Stakeholders </w:t>
      </w:r>
      <w:r w:rsidR="002A49EC" w:rsidRPr="00785FB4">
        <w:rPr>
          <w:bCs/>
        </w:rPr>
        <w:t xml:space="preserve">consulted </w:t>
      </w:r>
      <w:r w:rsidRPr="00785FB4">
        <w:rPr>
          <w:bCs/>
        </w:rPr>
        <w:t>expressed limited views on this requirement. An IMF official confirmed that ensuring that EITI Reports are coded so that they are comparable with other publicly available data</w:t>
      </w:r>
      <w:r w:rsidR="006B4F6C" w:rsidRPr="00785FB4">
        <w:rPr>
          <w:bCs/>
        </w:rPr>
        <w:t xml:space="preserve"> would be useful.</w:t>
      </w:r>
      <w:r w:rsidRPr="00785FB4">
        <w:rPr>
          <w:bCs/>
        </w:rPr>
        <w:t xml:space="preserve"> Secretariat staff did not have any comments on how the open data policy was actually being implemented or why it was not published on the AEITI website.</w:t>
      </w:r>
      <w:r w:rsidR="006B4F6C" w:rsidRPr="00785FB4">
        <w:rPr>
          <w:bCs/>
        </w:rPr>
        <w:t xml:space="preserve"> </w:t>
      </w:r>
      <w:r w:rsidRPr="00785FB4">
        <w:rPr>
          <w:bCs/>
        </w:rPr>
        <w:t xml:space="preserve">MSG members and GiZ staff confirmed that there were plans to produce </w:t>
      </w:r>
      <w:r w:rsidR="006B4F6C" w:rsidRPr="00785FB4">
        <w:rPr>
          <w:bCs/>
        </w:rPr>
        <w:t>infographics corresponding to the 2014-15 Report, but that these had not been prioritised and were substantially delayed.</w:t>
      </w:r>
      <w:r w:rsidRPr="00785FB4">
        <w:rPr>
          <w:bCs/>
        </w:rPr>
        <w:t xml:space="preserve"> Secretariat staff also </w:t>
      </w:r>
      <w:r w:rsidR="00017EE3" w:rsidRPr="00785FB4">
        <w:rPr>
          <w:bCs/>
        </w:rPr>
        <w:t>expressed concerns that the infographics were not accurate reflections of the findings in the report, arguing that they had not had time to review its content before publication.</w:t>
      </w:r>
      <w:r w:rsidR="006B4F6C" w:rsidRPr="00785FB4">
        <w:rPr>
          <w:bCs/>
        </w:rPr>
        <w:t xml:space="preserve"> MSG members did not have comments on the summary reports.</w:t>
      </w:r>
      <w:r w:rsidR="00640A74" w:rsidRPr="00785FB4">
        <w:rPr>
          <w:bCs/>
        </w:rPr>
        <w:t xml:space="preserve"> </w:t>
      </w:r>
      <w:r w:rsidR="00640A74" w:rsidRPr="00785FB4">
        <w:t xml:space="preserve">MSG members from all constituencies and former MSG members from CSO lamented that </w:t>
      </w:r>
      <w:r w:rsidR="00BC6D6A" w:rsidRPr="00785FB4">
        <w:t>EITI R</w:t>
      </w:r>
      <w:r w:rsidR="00640A74" w:rsidRPr="00785FB4">
        <w:t xml:space="preserve">eports were not </w:t>
      </w:r>
      <w:r w:rsidR="00BC6D6A" w:rsidRPr="00785FB4">
        <w:t>published</w:t>
      </w:r>
      <w:r w:rsidR="00640A74" w:rsidRPr="00785FB4">
        <w:t xml:space="preserve"> in local languages</w:t>
      </w:r>
      <w:r w:rsidR="00BC6D6A" w:rsidRPr="00785FB4">
        <w:t xml:space="preserve"> before being translated to English</w:t>
      </w:r>
      <w:r w:rsidR="00640A74" w:rsidRPr="00785FB4">
        <w:t>.</w:t>
      </w:r>
      <w:r w:rsidR="006B4F6C" w:rsidRPr="00785FB4">
        <w:rPr>
          <w:bCs/>
        </w:rPr>
        <w:t xml:space="preserve"> Secretariat staff said that the plan had been to translate summary reports to local languages but had instead prioritised translating the full reports. Stakeholders from all constituencies expressed gratitude to GIZ for their support to capacity-building and confirmed that additional efforts were needed for all constituencies but especially civil society and government officials. </w:t>
      </w:r>
    </w:p>
    <w:p w14:paraId="1EAA5C96" w14:textId="6E0B3E9A" w:rsidR="00601017" w:rsidRPr="00785FB4" w:rsidRDefault="0073607A" w:rsidP="00A94167">
      <w:pPr>
        <w:pStyle w:val="Heading3"/>
      </w:pPr>
      <w:bookmarkStart w:id="603" w:name="_Toc505449711"/>
      <w:r w:rsidRPr="00785FB4">
        <w:t>Initial a</w:t>
      </w:r>
      <w:r w:rsidR="00D41A8E" w:rsidRPr="00785FB4">
        <w:t>ssessment</w:t>
      </w:r>
      <w:bookmarkEnd w:id="603"/>
      <w:r w:rsidR="008855A4" w:rsidRPr="00785FB4">
        <w:t xml:space="preserve"> </w:t>
      </w:r>
    </w:p>
    <w:p w14:paraId="7A4D9116" w14:textId="2F849467" w:rsidR="00D41A8E" w:rsidRPr="00785FB4" w:rsidRDefault="006B4F6C" w:rsidP="00805B01">
      <w:r w:rsidRPr="00785FB4">
        <w:rPr>
          <w:rFonts w:cs="Arial"/>
        </w:rPr>
        <w:t>Requirement 7.2 encourages the MSGs to make EITI reports accessible to public in open data formats</w:t>
      </w:r>
      <w:r w:rsidR="00365D6C" w:rsidRPr="00785FB4">
        <w:rPr>
          <w:rFonts w:cs="Arial"/>
        </w:rPr>
        <w:t>, produce brief summary reports, summarise and compare the share of revenue streams to total amount of revenue that accrues to each respective level of government, consider automated online disclosure of extractive revenues and undertake capacity-building efforts</w:t>
      </w:r>
      <w:r w:rsidRPr="00785FB4">
        <w:rPr>
          <w:rFonts w:cs="Arial"/>
        </w:rPr>
        <w:t>. Such efforts are encouraged but not required and are not assessed in determining compliance with the EITI Standard.</w:t>
      </w:r>
      <w:r w:rsidR="00365D6C" w:rsidRPr="00785FB4">
        <w:rPr>
          <w:rFonts w:cs="Arial"/>
        </w:rPr>
        <w:t xml:space="preserve"> AEITI’s open data policy and practice in regularly publishing summary reports provide a good point of departure</w:t>
      </w:r>
      <w:r w:rsidRPr="00785FB4">
        <w:rPr>
          <w:rFonts w:cs="Arial"/>
        </w:rPr>
        <w:t xml:space="preserve"> </w:t>
      </w:r>
      <w:r w:rsidR="00365D6C" w:rsidRPr="00785FB4">
        <w:t>to demonstrate additional progress to make information more easily accessible to the public.</w:t>
      </w:r>
      <w:r w:rsidR="002A49EC" w:rsidRPr="00785FB4">
        <w:t xml:space="preserve"> However, the lack of publication of EITI Reports in machine-readable formats is a concern. </w:t>
      </w:r>
    </w:p>
    <w:p w14:paraId="4F222EAF" w14:textId="5C5B9541" w:rsidR="002A49EC" w:rsidRPr="00785FB4" w:rsidRDefault="002A49EC" w:rsidP="00805B01">
      <w:pPr>
        <w:rPr>
          <w:b/>
        </w:rPr>
      </w:pPr>
      <w:r w:rsidRPr="00785FB4">
        <w:t>To strengthen implementation, Afghanistan is encouraged to</w:t>
      </w:r>
      <w:r w:rsidR="00BF4082" w:rsidRPr="00785FB4">
        <w:t xml:space="preserve"> make EITI reports available in machine-readable formats. </w:t>
      </w:r>
    </w:p>
    <w:p w14:paraId="7D4D6E4A" w14:textId="77777777" w:rsidR="00601017" w:rsidRPr="00785FB4" w:rsidRDefault="00601017" w:rsidP="00A94167">
      <w:pPr>
        <w:pStyle w:val="Heading2notindexed"/>
      </w:pPr>
      <w:bookmarkStart w:id="604" w:name="_Toc461796701"/>
      <w:bookmarkStart w:id="605" w:name="_Toc458773264"/>
      <w:bookmarkStart w:id="606" w:name="_Toc458780361"/>
      <w:bookmarkStart w:id="607" w:name="_Toc461803155"/>
      <w:bookmarkStart w:id="608" w:name="_Toc461787366"/>
      <w:bookmarkStart w:id="609" w:name="_Toc461795878"/>
      <w:bookmarkStart w:id="610" w:name="_Toc505449712"/>
      <w:bookmarkStart w:id="611" w:name="_Toc505449829"/>
      <w:bookmarkStart w:id="612" w:name="_Toc459133206"/>
      <w:bookmarkEnd w:id="604"/>
      <w:r w:rsidRPr="00785FB4">
        <w:t>Lessons Learned and follow-up on recommendations (#7.3)</w:t>
      </w:r>
      <w:bookmarkEnd w:id="605"/>
      <w:bookmarkEnd w:id="606"/>
      <w:bookmarkEnd w:id="607"/>
      <w:bookmarkEnd w:id="608"/>
      <w:bookmarkEnd w:id="609"/>
      <w:bookmarkEnd w:id="610"/>
      <w:bookmarkEnd w:id="611"/>
    </w:p>
    <w:p w14:paraId="02104D10" w14:textId="07A1000D" w:rsidR="00D40D00" w:rsidRPr="00785FB4" w:rsidRDefault="00D41A8E" w:rsidP="00A94167">
      <w:pPr>
        <w:pStyle w:val="Heading3"/>
      </w:pPr>
      <w:bookmarkStart w:id="613" w:name="_Toc505449713"/>
      <w:bookmarkEnd w:id="612"/>
      <w:r w:rsidRPr="00785FB4">
        <w:t>Documentation of progress</w:t>
      </w:r>
      <w:bookmarkEnd w:id="613"/>
      <w:r w:rsidR="00556655" w:rsidRPr="00785FB4">
        <w:t xml:space="preserve"> </w:t>
      </w:r>
    </w:p>
    <w:p w14:paraId="758A62BE" w14:textId="4BCC71DE" w:rsidR="00CF3651" w:rsidRPr="00785FB4" w:rsidRDefault="00D66F9C" w:rsidP="00172180">
      <w:pPr>
        <w:spacing w:before="120"/>
        <w:rPr>
          <w:bCs/>
        </w:rPr>
      </w:pPr>
      <w:r w:rsidRPr="00785FB4">
        <w:rPr>
          <w:bCs/>
        </w:rPr>
        <w:t>Implementation of t</w:t>
      </w:r>
      <w:r w:rsidR="00782FA3" w:rsidRPr="00785FB4">
        <w:rPr>
          <w:bCs/>
        </w:rPr>
        <w:t xml:space="preserve">he EITI in Afghanistan has produced numerous recommendations through EITI </w:t>
      </w:r>
      <w:r w:rsidRPr="00785FB4">
        <w:rPr>
          <w:bCs/>
        </w:rPr>
        <w:t>R</w:t>
      </w:r>
      <w:r w:rsidR="00782FA3" w:rsidRPr="00785FB4">
        <w:rPr>
          <w:bCs/>
        </w:rPr>
        <w:t>eports, civil society analysis and findings from the national secretariat’s o</w:t>
      </w:r>
      <w:r w:rsidR="00BC4AE1" w:rsidRPr="00785FB4">
        <w:rPr>
          <w:bCs/>
        </w:rPr>
        <w:t xml:space="preserve">wn </w:t>
      </w:r>
      <w:r w:rsidRPr="00785FB4">
        <w:rPr>
          <w:bCs/>
        </w:rPr>
        <w:t>assessments</w:t>
      </w:r>
      <w:r w:rsidR="00BC4AE1" w:rsidRPr="00785FB4">
        <w:rPr>
          <w:bCs/>
        </w:rPr>
        <w:t xml:space="preserve">. </w:t>
      </w:r>
      <w:r w:rsidR="00991866" w:rsidRPr="00785FB4">
        <w:rPr>
          <w:bCs/>
        </w:rPr>
        <w:t xml:space="preserve">Despite the absence of a </w:t>
      </w:r>
      <w:r w:rsidR="00AB4A76" w:rsidRPr="00785FB4">
        <w:rPr>
          <w:bCs/>
        </w:rPr>
        <w:t>system</w:t>
      </w:r>
      <w:r w:rsidR="00991866" w:rsidRPr="00785FB4">
        <w:rPr>
          <w:bCs/>
        </w:rPr>
        <w:t>atic process</w:t>
      </w:r>
      <w:r w:rsidR="00AB4A76" w:rsidRPr="00785FB4">
        <w:rPr>
          <w:bCs/>
        </w:rPr>
        <w:t xml:space="preserve"> for the MSG to prioritise, discard or otherwise process specific recommendations, t</w:t>
      </w:r>
      <w:r w:rsidR="00BC4AE1" w:rsidRPr="00785FB4">
        <w:rPr>
          <w:bCs/>
        </w:rPr>
        <w:t xml:space="preserve">here is </w:t>
      </w:r>
      <w:r w:rsidR="00AB4A76" w:rsidRPr="00785FB4">
        <w:rPr>
          <w:bCs/>
        </w:rPr>
        <w:t xml:space="preserve">nevertheless some </w:t>
      </w:r>
      <w:r w:rsidR="00BC4AE1" w:rsidRPr="00785FB4">
        <w:rPr>
          <w:bCs/>
        </w:rPr>
        <w:t>evidence of instances where recommendations have been followed up.</w:t>
      </w:r>
      <w:r w:rsidR="00991866" w:rsidRPr="00785FB4">
        <w:rPr>
          <w:bCs/>
        </w:rPr>
        <w:t xml:space="preserve"> </w:t>
      </w:r>
      <w:r w:rsidR="0086416A" w:rsidRPr="00785FB4">
        <w:rPr>
          <w:bCs/>
        </w:rPr>
        <w:t>The MSG has developed a running list of recommendations from EITI Reports and the MSG’s action plan to address these (</w:t>
      </w:r>
      <w:r w:rsidR="00492B6E" w:rsidRPr="00785FB4">
        <w:rPr>
          <w:bCs/>
        </w:rPr>
        <w:t xml:space="preserve">see </w:t>
      </w:r>
      <w:r w:rsidR="0086416A" w:rsidRPr="00785FB4">
        <w:rPr>
          <w:bCs/>
        </w:rPr>
        <w:t>annex G). The Action Plan includes 19 specific activities concerning 7 broad recommendations</w:t>
      </w:r>
      <w:r w:rsidR="0086416A" w:rsidRPr="00785FB4">
        <w:rPr>
          <w:rStyle w:val="FootnoteReference"/>
          <w:bCs/>
        </w:rPr>
        <w:footnoteReference w:id="312"/>
      </w:r>
      <w:r w:rsidR="0086416A" w:rsidRPr="00785FB4">
        <w:rPr>
          <w:bCs/>
        </w:rPr>
        <w:t xml:space="preserve"> and identifies responsible parties, indicators, anticipated results, a timeline for completion and challenges to completion. Although the timing of the MSG’s discussion and approval of </w:t>
      </w:r>
      <w:r w:rsidR="0086416A" w:rsidRPr="00785FB4">
        <w:rPr>
          <w:bCs/>
        </w:rPr>
        <w:lastRenderedPageBreak/>
        <w:t xml:space="preserve">the action plan is not clear from MSG meeting minutes, minutes from the MSG’s meeting of 12 March 2017 show that a working group had been established to follow up on the recommendations from past reports. It is not clear from the work plan or the action plan whether there is any relation between the two, and the action plan is not mentioned in AEITI’s APRs. </w:t>
      </w:r>
    </w:p>
    <w:p w14:paraId="61EDF26C" w14:textId="2A5639FE" w:rsidR="00885B0C" w:rsidRPr="00785FB4" w:rsidRDefault="000A6142" w:rsidP="00172180">
      <w:pPr>
        <w:spacing w:before="120"/>
        <w:rPr>
          <w:bCs/>
        </w:rPr>
      </w:pPr>
      <w:r w:rsidRPr="00785FB4">
        <w:rPr>
          <w:bCs/>
        </w:rPr>
        <w:t xml:space="preserve">It does not appear that the action plan prioritises recommendations, nor is there evidence </w:t>
      </w:r>
      <w:r w:rsidR="00BF4082" w:rsidRPr="00785FB4">
        <w:rPr>
          <w:bCs/>
        </w:rPr>
        <w:t xml:space="preserve">in meeting minutes or annual progress reports </w:t>
      </w:r>
      <w:r w:rsidRPr="00785FB4">
        <w:rPr>
          <w:bCs/>
        </w:rPr>
        <w:t xml:space="preserve">of recommendations from EITI reports having been considered and discarded by the MSG. </w:t>
      </w:r>
      <w:r w:rsidR="00E20128" w:rsidRPr="00785FB4">
        <w:rPr>
          <w:bCs/>
        </w:rPr>
        <w:t>T</w:t>
      </w:r>
      <w:r w:rsidR="00CB44DB" w:rsidRPr="00785FB4">
        <w:rPr>
          <w:bCs/>
        </w:rPr>
        <w:t xml:space="preserve">he MSG’s 2018 work plan includes “implementation of AEITI Reconciliation Reports’ Recommendations” as a specific objective, </w:t>
      </w:r>
      <w:r w:rsidR="00DD5353" w:rsidRPr="00785FB4">
        <w:rPr>
          <w:bCs/>
        </w:rPr>
        <w:t xml:space="preserve">although </w:t>
      </w:r>
      <w:r w:rsidR="00CB44DB" w:rsidRPr="00785FB4">
        <w:rPr>
          <w:bCs/>
        </w:rPr>
        <w:t xml:space="preserve">there is no guidance in the work plan </w:t>
      </w:r>
      <w:r w:rsidR="00DD5353" w:rsidRPr="00785FB4">
        <w:rPr>
          <w:bCs/>
        </w:rPr>
        <w:t xml:space="preserve">on prioritising </w:t>
      </w:r>
      <w:r w:rsidR="00CB44DB" w:rsidRPr="00785FB4">
        <w:rPr>
          <w:bCs/>
        </w:rPr>
        <w:t xml:space="preserve">recommendations or </w:t>
      </w:r>
      <w:r w:rsidR="00DD5353" w:rsidRPr="00785FB4">
        <w:rPr>
          <w:bCs/>
        </w:rPr>
        <w:t>specific follow-up activities</w:t>
      </w:r>
      <w:r w:rsidR="00CB44DB" w:rsidRPr="00785FB4">
        <w:rPr>
          <w:bCs/>
        </w:rPr>
        <w:t>.</w:t>
      </w:r>
      <w:r w:rsidR="00CB44DB" w:rsidRPr="00785FB4">
        <w:rPr>
          <w:rStyle w:val="FootnoteReference"/>
          <w:bCs/>
        </w:rPr>
        <w:footnoteReference w:id="313"/>
      </w:r>
      <w:r w:rsidR="00E20128" w:rsidRPr="00785FB4">
        <w:rPr>
          <w:bCs/>
        </w:rPr>
        <w:t xml:space="preserve"> Meeting minutes show that the MSG has discussed recommendations from EITI Reports in a general way</w:t>
      </w:r>
      <w:r w:rsidR="00DD5353" w:rsidRPr="00785FB4">
        <w:rPr>
          <w:bCs/>
        </w:rPr>
        <w:t xml:space="preserve"> on a number of occasions</w:t>
      </w:r>
      <w:r w:rsidR="00E20128" w:rsidRPr="00785FB4">
        <w:rPr>
          <w:bCs/>
        </w:rPr>
        <w:t xml:space="preserve">, </w:t>
      </w:r>
      <w:r w:rsidR="00DD5353" w:rsidRPr="00785FB4">
        <w:rPr>
          <w:bCs/>
        </w:rPr>
        <w:t xml:space="preserve">although </w:t>
      </w:r>
      <w:r w:rsidR="00E20128" w:rsidRPr="00785FB4">
        <w:rPr>
          <w:bCs/>
        </w:rPr>
        <w:t xml:space="preserve">there is limited evidence that recommendations have been discussed in detail or disaggregated form. The only exception </w:t>
      </w:r>
      <w:r w:rsidRPr="00785FB4">
        <w:rPr>
          <w:bCs/>
        </w:rPr>
        <w:t xml:space="preserve">would appear to be </w:t>
      </w:r>
      <w:r w:rsidR="00E20128" w:rsidRPr="00785FB4">
        <w:rPr>
          <w:bCs/>
        </w:rPr>
        <w:t xml:space="preserve">the MSG’s meeting of 24 May 2016, when stakeholders were asked to review the MSG’s action plan on recommendations and provide input on how the recommendations should be addressed. Reference is also made in the minutes of 12 March 2017 to a committee, possibly in the </w:t>
      </w:r>
      <w:r w:rsidR="00DB56BA" w:rsidRPr="00785FB4">
        <w:rPr>
          <w:bCs/>
        </w:rPr>
        <w:t>MOMP</w:t>
      </w:r>
      <w:r w:rsidR="00E20128" w:rsidRPr="00785FB4">
        <w:rPr>
          <w:bCs/>
        </w:rPr>
        <w:t xml:space="preserve"> although this is </w:t>
      </w:r>
      <w:r w:rsidR="00DD5353" w:rsidRPr="00785FB4">
        <w:rPr>
          <w:bCs/>
        </w:rPr>
        <w:t>unspecified</w:t>
      </w:r>
      <w:r w:rsidR="00E20128" w:rsidRPr="00785FB4">
        <w:rPr>
          <w:bCs/>
        </w:rPr>
        <w:t>, to follow up on the recommendations from EITI Reports.</w:t>
      </w:r>
      <w:r w:rsidR="00782FA3" w:rsidRPr="00785FB4">
        <w:rPr>
          <w:bCs/>
        </w:rPr>
        <w:t xml:space="preserve"> </w:t>
      </w:r>
      <w:r w:rsidR="00DD5353" w:rsidRPr="00785FB4">
        <w:rPr>
          <w:bCs/>
        </w:rPr>
        <w:t>Unpublished c</w:t>
      </w:r>
      <w:r w:rsidR="00782FA3" w:rsidRPr="00785FB4">
        <w:rPr>
          <w:bCs/>
        </w:rPr>
        <w:t>ivil society comments provided to the IA ahead of the publication of the 2014-2015 Report show that civil society has sought to provide input to</w:t>
      </w:r>
      <w:r w:rsidR="000E597A" w:rsidRPr="00785FB4">
        <w:rPr>
          <w:bCs/>
        </w:rPr>
        <w:t xml:space="preserve"> the formulation of </w:t>
      </w:r>
      <w:r w:rsidR="00DD5353" w:rsidRPr="00785FB4">
        <w:rPr>
          <w:bCs/>
        </w:rPr>
        <w:t xml:space="preserve">EITI </w:t>
      </w:r>
      <w:r w:rsidR="000E597A" w:rsidRPr="00785FB4">
        <w:rPr>
          <w:bCs/>
        </w:rPr>
        <w:t xml:space="preserve">recommendations, although it is not clear how these </w:t>
      </w:r>
      <w:r w:rsidR="00DD5353" w:rsidRPr="00785FB4">
        <w:rPr>
          <w:bCs/>
        </w:rPr>
        <w:t xml:space="preserve">are </w:t>
      </w:r>
      <w:r w:rsidR="000E597A" w:rsidRPr="00785FB4">
        <w:rPr>
          <w:bCs/>
        </w:rPr>
        <w:t xml:space="preserve">reflected in the final </w:t>
      </w:r>
      <w:r w:rsidR="00DD5353" w:rsidRPr="00785FB4">
        <w:rPr>
          <w:bCs/>
        </w:rPr>
        <w:t>report</w:t>
      </w:r>
      <w:r w:rsidR="000E597A" w:rsidRPr="00785FB4">
        <w:rPr>
          <w:bCs/>
        </w:rPr>
        <w:t xml:space="preserve">. Recommendations from EITI </w:t>
      </w:r>
      <w:r w:rsidR="00DD5353" w:rsidRPr="00785FB4">
        <w:rPr>
          <w:bCs/>
        </w:rPr>
        <w:t>R</w:t>
      </w:r>
      <w:r w:rsidR="000E597A" w:rsidRPr="00785FB4">
        <w:rPr>
          <w:bCs/>
        </w:rPr>
        <w:t>eports are regularly cited in sector studies, including consultanc</w:t>
      </w:r>
      <w:r w:rsidR="00DD5353" w:rsidRPr="00785FB4">
        <w:rPr>
          <w:bCs/>
        </w:rPr>
        <w:t>y projects</w:t>
      </w:r>
      <w:r w:rsidR="000E597A" w:rsidRPr="00785FB4">
        <w:rPr>
          <w:bCs/>
        </w:rPr>
        <w:t xml:space="preserve"> carried out for line ministries</w:t>
      </w:r>
      <w:r w:rsidR="00885B0C" w:rsidRPr="00785FB4">
        <w:rPr>
          <w:bCs/>
        </w:rPr>
        <w:t>.</w:t>
      </w:r>
      <w:r w:rsidR="000E597A" w:rsidRPr="00785FB4">
        <w:rPr>
          <w:rStyle w:val="FootnoteReference"/>
          <w:bCs/>
        </w:rPr>
        <w:footnoteReference w:id="314"/>
      </w:r>
      <w:r w:rsidR="000E597A" w:rsidRPr="00785FB4">
        <w:rPr>
          <w:bCs/>
        </w:rPr>
        <w:t xml:space="preserve"> </w:t>
      </w:r>
    </w:p>
    <w:p w14:paraId="73DD0318" w14:textId="460AA331" w:rsidR="00AB4A76" w:rsidRPr="00785FB4" w:rsidRDefault="006249A4" w:rsidP="00AB4A76">
      <w:pPr>
        <w:spacing w:before="120"/>
        <w:rPr>
          <w:bCs/>
        </w:rPr>
      </w:pPr>
      <w:r w:rsidRPr="00785FB4">
        <w:rPr>
          <w:bCs/>
        </w:rPr>
        <w:t xml:space="preserve">The role of the international community in encouraging progress against recommendations from EITI Reports is particularly noteworthy </w:t>
      </w:r>
      <w:r w:rsidR="00885B0C" w:rsidRPr="00785FB4">
        <w:rPr>
          <w:bCs/>
        </w:rPr>
        <w:t xml:space="preserve">in the Afghan context. </w:t>
      </w:r>
      <w:r w:rsidR="00CC7556" w:rsidRPr="00785FB4">
        <w:rPr>
          <w:bCs/>
        </w:rPr>
        <w:t xml:space="preserve">Afghanistan’s relationship with international development partners is largely guided by the </w:t>
      </w:r>
      <w:r w:rsidRPr="00785FB4">
        <w:rPr>
          <w:bCs/>
        </w:rPr>
        <w:t>“</w:t>
      </w:r>
      <w:r w:rsidR="00885B0C" w:rsidRPr="00785FB4">
        <w:rPr>
          <w:bCs/>
        </w:rPr>
        <w:t>self-reliance through mutual accountability framework</w:t>
      </w:r>
      <w:r w:rsidRPr="00785FB4">
        <w:rPr>
          <w:bCs/>
        </w:rPr>
        <w:t>”</w:t>
      </w:r>
      <w:r w:rsidR="00885B0C" w:rsidRPr="00785FB4">
        <w:rPr>
          <w:bCs/>
        </w:rPr>
        <w:t xml:space="preserve"> (MAF) agreed at the</w:t>
      </w:r>
      <w:r w:rsidR="00CC7556" w:rsidRPr="00785FB4">
        <w:rPr>
          <w:bCs/>
        </w:rPr>
        <w:t xml:space="preserve"> Tokyo Conference in 2012 and reviewed regularly through new commitments and renewed partnerships. As part of the MAF, the </w:t>
      </w:r>
      <w:r w:rsidRPr="00785FB4">
        <w:rPr>
          <w:bCs/>
        </w:rPr>
        <w:t xml:space="preserve">government </w:t>
      </w:r>
      <w:r w:rsidR="00CC7556" w:rsidRPr="00785FB4">
        <w:rPr>
          <w:bCs/>
        </w:rPr>
        <w:t>provides regular updates against so-called “smart deliverables” that Afghanistan commits to deliver on in coordination with the international community</w:t>
      </w:r>
      <w:r w:rsidR="000A6142" w:rsidRPr="00785FB4">
        <w:rPr>
          <w:bCs/>
        </w:rPr>
        <w:t xml:space="preserve"> and under a specific timeframe</w:t>
      </w:r>
      <w:r w:rsidR="00CC7556" w:rsidRPr="00785FB4">
        <w:rPr>
          <w:bCs/>
        </w:rPr>
        <w:t>.</w:t>
      </w:r>
      <w:r w:rsidR="00AB4A76" w:rsidRPr="00785FB4">
        <w:rPr>
          <w:bCs/>
        </w:rPr>
        <w:t xml:space="preserve"> T</w:t>
      </w:r>
      <w:r w:rsidR="00CC7556" w:rsidRPr="00785FB4">
        <w:rPr>
          <w:bCs/>
        </w:rPr>
        <w:t xml:space="preserve">he </w:t>
      </w:r>
      <w:r w:rsidRPr="00785FB4">
        <w:rPr>
          <w:bCs/>
        </w:rPr>
        <w:t xml:space="preserve">government </w:t>
      </w:r>
      <w:r w:rsidR="00CC7556" w:rsidRPr="00785FB4">
        <w:rPr>
          <w:bCs/>
        </w:rPr>
        <w:t>has also agreed structural benchmarks with the IMF which are reviewed and renewed regularly as part of the IMF’s Extended Credit Facility (ECF) for Afghanistan. EITI recommendations figure regularly in both of these frameworks</w:t>
      </w:r>
      <w:r w:rsidR="00CC62A6" w:rsidRPr="00785FB4">
        <w:rPr>
          <w:bCs/>
        </w:rPr>
        <w:t xml:space="preserve"> and the </w:t>
      </w:r>
      <w:r w:rsidRPr="00785FB4">
        <w:rPr>
          <w:bCs/>
        </w:rPr>
        <w:t xml:space="preserve">government </w:t>
      </w:r>
      <w:r w:rsidR="00CC62A6" w:rsidRPr="00785FB4">
        <w:rPr>
          <w:bCs/>
        </w:rPr>
        <w:t>regularly publishes updates on progress against them.</w:t>
      </w:r>
      <w:r w:rsidR="00AB4A76" w:rsidRPr="00785FB4">
        <w:rPr>
          <w:bCs/>
        </w:rPr>
        <w:t xml:space="preserve"> Among other things, the </w:t>
      </w:r>
      <w:r w:rsidRPr="00785FB4">
        <w:rPr>
          <w:bCs/>
        </w:rPr>
        <w:t xml:space="preserve">government </w:t>
      </w:r>
      <w:r w:rsidR="00AB4A76" w:rsidRPr="00785FB4">
        <w:rPr>
          <w:bCs/>
        </w:rPr>
        <w:t xml:space="preserve">has highlighted the publication of mining contracts, the identification of beneficial owners of mining licenses and the development of a mineral fiscal regime by 2018 as some of its commitments and achievements under the MAF </w:t>
      </w:r>
      <w:r w:rsidRPr="00785FB4">
        <w:rPr>
          <w:bCs/>
        </w:rPr>
        <w:t xml:space="preserve">and related to </w:t>
      </w:r>
      <w:r w:rsidR="00AB4A76" w:rsidRPr="00785FB4">
        <w:rPr>
          <w:bCs/>
        </w:rPr>
        <w:t>the EITI Standard.</w:t>
      </w:r>
      <w:r w:rsidR="00CC62A6" w:rsidRPr="00785FB4">
        <w:rPr>
          <w:rStyle w:val="FootnoteReference"/>
          <w:bCs/>
        </w:rPr>
        <w:footnoteReference w:id="315"/>
      </w:r>
      <w:r w:rsidR="00AB4A76" w:rsidRPr="00785FB4">
        <w:rPr>
          <w:bCs/>
        </w:rPr>
        <w:t xml:space="preserve"> Likewise, t</w:t>
      </w:r>
      <w:r w:rsidR="00CC62A6" w:rsidRPr="00785FB4">
        <w:rPr>
          <w:bCs/>
        </w:rPr>
        <w:t>he IMF’s 2017 Article IV consultation shows that under the second review of the ECF for Afghanistan, all four of the structural benchmarks</w:t>
      </w:r>
      <w:r w:rsidRPr="00785FB4">
        <w:rPr>
          <w:rStyle w:val="FootnoteReference"/>
          <w:bCs/>
        </w:rPr>
        <w:footnoteReference w:id="316"/>
      </w:r>
      <w:r w:rsidR="00CC62A6" w:rsidRPr="00785FB4">
        <w:rPr>
          <w:bCs/>
        </w:rPr>
        <w:t xml:space="preserve"> </w:t>
      </w:r>
      <w:r w:rsidR="00CC62A6" w:rsidRPr="00785FB4">
        <w:rPr>
          <w:bCs/>
        </w:rPr>
        <w:lastRenderedPageBreak/>
        <w:t>concerning EITI recommendations had been met.</w:t>
      </w:r>
      <w:r w:rsidR="00CC62A6" w:rsidRPr="00785FB4">
        <w:rPr>
          <w:rStyle w:val="FootnoteReference"/>
          <w:bCs/>
        </w:rPr>
        <w:t xml:space="preserve"> </w:t>
      </w:r>
      <w:r w:rsidR="00CC62A6" w:rsidRPr="00785FB4">
        <w:rPr>
          <w:rStyle w:val="FootnoteReference"/>
          <w:bCs/>
        </w:rPr>
        <w:footnoteReference w:id="317"/>
      </w:r>
      <w:r w:rsidR="00CC62A6" w:rsidRPr="00785FB4">
        <w:rPr>
          <w:bCs/>
        </w:rPr>
        <w:t xml:space="preserve"> Despite the importance of the MAF and the IMF’s ECF review framework</w:t>
      </w:r>
      <w:r w:rsidR="00AB4A76" w:rsidRPr="00785FB4">
        <w:rPr>
          <w:bCs/>
        </w:rPr>
        <w:t>s</w:t>
      </w:r>
      <w:r w:rsidR="00CC62A6" w:rsidRPr="00785FB4">
        <w:rPr>
          <w:bCs/>
        </w:rPr>
        <w:t xml:space="preserve"> as an effective tool to encourage progress against recommendations from EITI Reports, there does not appear to be a process for the MSG to prioritise recommendations </w:t>
      </w:r>
      <w:r w:rsidR="00AB4A76" w:rsidRPr="00785FB4">
        <w:rPr>
          <w:bCs/>
        </w:rPr>
        <w:t>or otherwise</w:t>
      </w:r>
      <w:r w:rsidR="00CC62A6" w:rsidRPr="00785FB4">
        <w:rPr>
          <w:bCs/>
        </w:rPr>
        <w:t xml:space="preserve"> provide input to either of these </w:t>
      </w:r>
      <w:r w:rsidR="00AB4A76" w:rsidRPr="00785FB4">
        <w:rPr>
          <w:bCs/>
        </w:rPr>
        <w:t>frameworks.</w:t>
      </w:r>
    </w:p>
    <w:p w14:paraId="1AD354E7" w14:textId="0C409134" w:rsidR="00EC1FBA" w:rsidRPr="00785FB4" w:rsidRDefault="00D41A8E" w:rsidP="00A94167">
      <w:pPr>
        <w:pStyle w:val="Heading3"/>
        <w:rPr>
          <w:highlight w:val="yellow"/>
        </w:rPr>
      </w:pPr>
      <w:bookmarkStart w:id="616" w:name="_Toc505449714"/>
      <w:r w:rsidRPr="00785FB4">
        <w:t>Stakeholder views</w:t>
      </w:r>
      <w:bookmarkEnd w:id="616"/>
      <w:r w:rsidR="00EB28CA" w:rsidRPr="00785FB4">
        <w:t xml:space="preserve"> </w:t>
      </w:r>
    </w:p>
    <w:p w14:paraId="384D2599" w14:textId="2DA0DCB3" w:rsidR="004B78E2" w:rsidRPr="00785FB4" w:rsidRDefault="0038486E" w:rsidP="004B78E2">
      <w:r w:rsidRPr="00785FB4">
        <w:t>Whereas all stakeholders agreed that substantial work continued to be required in order to address the causes of discrepancies in EITI re</w:t>
      </w:r>
      <w:r w:rsidR="00363262" w:rsidRPr="00785FB4">
        <w:t>porting, and although there was general agreement on the reasons behind the discrepancies, s</w:t>
      </w:r>
      <w:r w:rsidRPr="00785FB4">
        <w:t>takeholders expressed significantly different opinions concerning th</w:t>
      </w:r>
      <w:r w:rsidR="00363262" w:rsidRPr="00785FB4">
        <w:t xml:space="preserve">e steps taken by the MSG and </w:t>
      </w:r>
      <w:r w:rsidR="006249A4" w:rsidRPr="00785FB4">
        <w:t xml:space="preserve">government </w:t>
      </w:r>
      <w:r w:rsidR="00363262" w:rsidRPr="00785FB4">
        <w:t xml:space="preserve">to address these gaps. </w:t>
      </w:r>
      <w:r w:rsidR="006249A4" w:rsidRPr="00785FB4">
        <w:t xml:space="preserve">With some exceptions, most government representatives consulted noted that important steps had been taken to act upon lessons learned, investigate and address the causes of discrepancies. </w:t>
      </w:r>
      <w:r w:rsidR="00363262" w:rsidRPr="00785FB4">
        <w:t>Government representatives noted the establishment of the Afghanistan Financial Management information System (AFMIS) for revenue collection tracking and reporting, the implementation of SIGTAS, the</w:t>
      </w:r>
      <w:r w:rsidR="004B78E2" w:rsidRPr="00785FB4">
        <w:t xml:space="preserve"> recent</w:t>
      </w:r>
      <w:r w:rsidR="00363262" w:rsidRPr="00785FB4">
        <w:t xml:space="preserve"> publication of the most up-to-date list of government con</w:t>
      </w:r>
      <w:r w:rsidR="004B78E2" w:rsidRPr="00785FB4">
        <w:t xml:space="preserve">tracts on the </w:t>
      </w:r>
      <w:r w:rsidR="00DB56BA" w:rsidRPr="00785FB4">
        <w:t>MOMP</w:t>
      </w:r>
      <w:r w:rsidR="004B78E2" w:rsidRPr="00785FB4">
        <w:t xml:space="preserve"> website, the regular publication of contracts on the </w:t>
      </w:r>
      <w:r w:rsidR="00DB56BA" w:rsidRPr="00785FB4">
        <w:t>MOMP</w:t>
      </w:r>
      <w:r w:rsidR="004B78E2" w:rsidRPr="00785FB4">
        <w:t xml:space="preserve"> website and the hiring of a consultant to create a data centre for the collection and sharing of information between government agencies involved in mining sector management as concrete steps to address gaps identified through EITI reports. CSO and industry representatives on the MSG expressed frustration that</w:t>
      </w:r>
      <w:r w:rsidR="006249A4" w:rsidRPr="00785FB4">
        <w:t>,</w:t>
      </w:r>
      <w:r w:rsidR="004B78E2" w:rsidRPr="00785FB4">
        <w:t xml:space="preserve"> notwithstanding the government’s efforts, a comparison of the findings and recommendations of the 2014-2015 Report against the 2012-2013 Report showed that there had been little progress over the last four years. CSO representatives also expressed concern that the IA had not asked the </w:t>
      </w:r>
      <w:r w:rsidR="006249A4" w:rsidRPr="00785FB4">
        <w:t xml:space="preserve">government </w:t>
      </w:r>
      <w:r w:rsidR="004B78E2" w:rsidRPr="00785FB4">
        <w:t xml:space="preserve">to provide additional information to address challenges </w:t>
      </w:r>
      <w:r w:rsidR="006249A4" w:rsidRPr="00785FB4">
        <w:t xml:space="preserve">identified through EITI reporting. </w:t>
      </w:r>
      <w:r w:rsidR="00591173" w:rsidRPr="00785FB4">
        <w:t xml:space="preserve">A former </w:t>
      </w:r>
      <w:r w:rsidR="006249A4" w:rsidRPr="00785FB4">
        <w:t xml:space="preserve">CSO </w:t>
      </w:r>
      <w:r w:rsidR="00591173" w:rsidRPr="00785FB4">
        <w:t xml:space="preserve">MSG representative </w:t>
      </w:r>
      <w:r w:rsidR="006249A4" w:rsidRPr="00785FB4">
        <w:t xml:space="preserve">considered </w:t>
      </w:r>
      <w:r w:rsidR="00591173" w:rsidRPr="00785FB4">
        <w:t>that</w:t>
      </w:r>
      <w:r w:rsidR="006249A4" w:rsidRPr="00785FB4">
        <w:t>,</w:t>
      </w:r>
      <w:r w:rsidR="00591173" w:rsidRPr="00785FB4">
        <w:t xml:space="preserve"> </w:t>
      </w:r>
      <w:r w:rsidR="006249A4" w:rsidRPr="00785FB4">
        <w:t xml:space="preserve">while </w:t>
      </w:r>
      <w:r w:rsidR="00591173" w:rsidRPr="00785FB4">
        <w:t xml:space="preserve">data provided </w:t>
      </w:r>
      <w:r w:rsidR="006249A4" w:rsidRPr="00785FB4">
        <w:t xml:space="preserve">in </w:t>
      </w:r>
      <w:r w:rsidR="00591173" w:rsidRPr="00785FB4">
        <w:t xml:space="preserve">EITI Reports was not always useful, the recommendations were </w:t>
      </w:r>
      <w:r w:rsidR="006249A4" w:rsidRPr="00785FB4">
        <w:t xml:space="preserve">consistently </w:t>
      </w:r>
      <w:r w:rsidR="00591173" w:rsidRPr="00785FB4">
        <w:t xml:space="preserve">useful for </w:t>
      </w:r>
      <w:r w:rsidR="006249A4" w:rsidRPr="00785FB4">
        <w:t xml:space="preserve">CSOs’ </w:t>
      </w:r>
      <w:r w:rsidR="00591173" w:rsidRPr="00785FB4">
        <w:t>advocacy efforts.</w:t>
      </w:r>
    </w:p>
    <w:p w14:paraId="4026BA96" w14:textId="77777777" w:rsidR="00EC1FBA" w:rsidRPr="00785FB4" w:rsidRDefault="0073607A" w:rsidP="00A94167">
      <w:pPr>
        <w:pStyle w:val="Heading3"/>
      </w:pPr>
      <w:bookmarkStart w:id="617" w:name="_Toc505449715"/>
      <w:r w:rsidRPr="00785FB4">
        <w:t>Initial a</w:t>
      </w:r>
      <w:r w:rsidR="00D41A8E" w:rsidRPr="00785FB4">
        <w:t>ssessment</w:t>
      </w:r>
      <w:bookmarkEnd w:id="617"/>
      <w:r w:rsidR="004E70A8" w:rsidRPr="00785FB4">
        <w:t xml:space="preserve"> </w:t>
      </w:r>
    </w:p>
    <w:p w14:paraId="18ECB142" w14:textId="5D7848CF" w:rsidR="00324548" w:rsidRPr="00785FB4" w:rsidRDefault="004E70A8" w:rsidP="00DD152D">
      <w:pPr>
        <w:spacing w:before="120"/>
        <w:rPr>
          <w:color w:val="000000" w:themeColor="text1"/>
          <w:lang w:eastAsia="x-none"/>
        </w:rPr>
      </w:pPr>
      <w:r w:rsidRPr="00785FB4">
        <w:rPr>
          <w:color w:val="000000" w:themeColor="text1"/>
          <w:lang w:eastAsia="x-none"/>
        </w:rPr>
        <w:t>The International Secretariat’s initial assessment is that</w:t>
      </w:r>
      <w:r w:rsidR="00365D6C" w:rsidRPr="00785FB4">
        <w:rPr>
          <w:color w:val="000000" w:themeColor="text1"/>
          <w:lang w:eastAsia="x-none"/>
        </w:rPr>
        <w:t xml:space="preserve"> Afghanistan</w:t>
      </w:r>
      <w:r w:rsidR="00112D9C" w:rsidRPr="00785FB4">
        <w:rPr>
          <w:color w:val="000000" w:themeColor="text1"/>
          <w:lang w:eastAsia="x-none"/>
        </w:rPr>
        <w:t xml:space="preserve"> </w:t>
      </w:r>
      <w:r w:rsidRPr="00785FB4">
        <w:rPr>
          <w:color w:val="000000" w:themeColor="text1"/>
          <w:lang w:eastAsia="x-none"/>
        </w:rPr>
        <w:t>has made</w:t>
      </w:r>
      <w:r w:rsidR="00365D6C" w:rsidRPr="00785FB4">
        <w:rPr>
          <w:color w:val="000000" w:themeColor="text1"/>
          <w:lang w:eastAsia="x-none"/>
        </w:rPr>
        <w:t xml:space="preserve"> meaningful progress</w:t>
      </w:r>
      <w:r w:rsidRPr="00785FB4">
        <w:rPr>
          <w:color w:val="000000" w:themeColor="text1"/>
          <w:lang w:eastAsia="x-none"/>
        </w:rPr>
        <w:t xml:space="preserve"> in meeting this requirement. </w:t>
      </w:r>
      <w:r w:rsidR="00591173" w:rsidRPr="00785FB4">
        <w:rPr>
          <w:color w:val="000000" w:themeColor="text1"/>
          <w:lang w:eastAsia="x-none"/>
        </w:rPr>
        <w:t xml:space="preserve">There is evidence that the government and the MSG have taken some steps to act upon lessons learned and investigate and address the causes of discrepancies in EITI reporting, </w:t>
      </w:r>
      <w:r w:rsidR="006249A4" w:rsidRPr="00785FB4">
        <w:rPr>
          <w:color w:val="000000" w:themeColor="text1"/>
          <w:lang w:eastAsia="x-none"/>
        </w:rPr>
        <w:t xml:space="preserve">although </w:t>
      </w:r>
      <w:r w:rsidR="00591173" w:rsidRPr="00785FB4">
        <w:rPr>
          <w:color w:val="000000" w:themeColor="text1"/>
          <w:lang w:eastAsia="x-none"/>
        </w:rPr>
        <w:t xml:space="preserve">these efforts </w:t>
      </w:r>
      <w:r w:rsidR="006249A4" w:rsidRPr="00785FB4">
        <w:rPr>
          <w:color w:val="000000" w:themeColor="text1"/>
          <w:lang w:eastAsia="x-none"/>
        </w:rPr>
        <w:t xml:space="preserve">have been </w:t>
      </w:r>
      <w:r w:rsidR="00591173" w:rsidRPr="00785FB4">
        <w:rPr>
          <w:color w:val="000000" w:themeColor="text1"/>
          <w:lang w:eastAsia="x-none"/>
        </w:rPr>
        <w:t xml:space="preserve">hampered by lack of coordination between the MSG and </w:t>
      </w:r>
      <w:r w:rsidR="006249A4" w:rsidRPr="00785FB4">
        <w:rPr>
          <w:color w:val="000000" w:themeColor="text1"/>
          <w:lang w:eastAsia="x-none"/>
        </w:rPr>
        <w:t xml:space="preserve">relevant </w:t>
      </w:r>
      <w:r w:rsidR="00591173" w:rsidRPr="00785FB4">
        <w:rPr>
          <w:color w:val="000000" w:themeColor="text1"/>
          <w:lang w:eastAsia="x-none"/>
        </w:rPr>
        <w:t>government</w:t>
      </w:r>
      <w:r w:rsidR="006249A4" w:rsidRPr="00785FB4">
        <w:rPr>
          <w:color w:val="000000" w:themeColor="text1"/>
          <w:lang w:eastAsia="x-none"/>
        </w:rPr>
        <w:t xml:space="preserve"> agencies</w:t>
      </w:r>
      <w:r w:rsidR="00591173" w:rsidRPr="00785FB4">
        <w:rPr>
          <w:color w:val="000000" w:themeColor="text1"/>
          <w:lang w:eastAsia="x-none"/>
        </w:rPr>
        <w:t>.</w:t>
      </w:r>
      <w:r w:rsidR="00324548" w:rsidRPr="00785FB4">
        <w:rPr>
          <w:color w:val="000000" w:themeColor="text1"/>
          <w:lang w:eastAsia="x-none"/>
        </w:rPr>
        <w:t xml:space="preserve"> </w:t>
      </w:r>
      <w:r w:rsidR="00591173" w:rsidRPr="00785FB4">
        <w:rPr>
          <w:color w:val="000000" w:themeColor="text1"/>
          <w:lang w:eastAsia="x-none"/>
        </w:rPr>
        <w:t>There does not appear to be a system in place to discuss, prioritise and adequately process recommendations from EITI reports</w:t>
      </w:r>
      <w:r w:rsidR="00324548" w:rsidRPr="00785FB4">
        <w:rPr>
          <w:color w:val="000000" w:themeColor="text1"/>
          <w:lang w:eastAsia="x-none"/>
        </w:rPr>
        <w:t xml:space="preserve">, nor any </w:t>
      </w:r>
      <w:r w:rsidR="00591173" w:rsidRPr="00785FB4">
        <w:rPr>
          <w:color w:val="000000" w:themeColor="text1"/>
          <w:lang w:eastAsia="x-none"/>
        </w:rPr>
        <w:t xml:space="preserve">indication that </w:t>
      </w:r>
      <w:r w:rsidR="006249A4" w:rsidRPr="00785FB4">
        <w:rPr>
          <w:color w:val="000000" w:themeColor="text1"/>
          <w:lang w:eastAsia="x-none"/>
        </w:rPr>
        <w:t xml:space="preserve">the findings of </w:t>
      </w:r>
      <w:r w:rsidR="00591173" w:rsidRPr="00785FB4">
        <w:rPr>
          <w:color w:val="000000" w:themeColor="text1"/>
          <w:lang w:eastAsia="x-none"/>
        </w:rPr>
        <w:t>working groups</w:t>
      </w:r>
      <w:r w:rsidR="00324548" w:rsidRPr="00785FB4">
        <w:rPr>
          <w:color w:val="000000" w:themeColor="text1"/>
          <w:lang w:eastAsia="x-none"/>
        </w:rPr>
        <w:t xml:space="preserve"> set up</w:t>
      </w:r>
      <w:r w:rsidR="00591173" w:rsidRPr="00785FB4">
        <w:rPr>
          <w:color w:val="000000" w:themeColor="text1"/>
          <w:lang w:eastAsia="x-none"/>
        </w:rPr>
        <w:t xml:space="preserve"> to address specific recommendations are followed up.</w:t>
      </w:r>
      <w:r w:rsidR="00324548" w:rsidRPr="00785FB4">
        <w:rPr>
          <w:color w:val="000000" w:themeColor="text1"/>
          <w:lang w:eastAsia="x-none"/>
        </w:rPr>
        <w:t xml:space="preserve"> As a result, the only recommendations that appear to be consistently followed up are the ones that </w:t>
      </w:r>
      <w:r w:rsidR="006249A4" w:rsidRPr="00785FB4">
        <w:rPr>
          <w:color w:val="000000" w:themeColor="text1"/>
          <w:lang w:eastAsia="x-none"/>
        </w:rPr>
        <w:t xml:space="preserve">are selected for inclusion in </w:t>
      </w:r>
      <w:r w:rsidR="00324548" w:rsidRPr="00785FB4">
        <w:rPr>
          <w:color w:val="000000" w:themeColor="text1"/>
          <w:lang w:eastAsia="x-none"/>
        </w:rPr>
        <w:t xml:space="preserve">the different accountability frameworks that the </w:t>
      </w:r>
      <w:r w:rsidR="006249A4" w:rsidRPr="00785FB4">
        <w:rPr>
          <w:color w:val="000000" w:themeColor="text1"/>
          <w:lang w:eastAsia="x-none"/>
        </w:rPr>
        <w:t xml:space="preserve">government </w:t>
      </w:r>
      <w:r w:rsidR="00324548" w:rsidRPr="00785FB4">
        <w:rPr>
          <w:color w:val="000000" w:themeColor="text1"/>
          <w:lang w:eastAsia="x-none"/>
        </w:rPr>
        <w:t xml:space="preserve">has </w:t>
      </w:r>
      <w:r w:rsidR="006249A4" w:rsidRPr="00785FB4">
        <w:rPr>
          <w:color w:val="000000" w:themeColor="text1"/>
          <w:lang w:eastAsia="x-none"/>
        </w:rPr>
        <w:t>committed to, although there is no mechanism for the MSG to provide input to the selection of these recommendations</w:t>
      </w:r>
      <w:r w:rsidR="00324548" w:rsidRPr="00785FB4">
        <w:rPr>
          <w:color w:val="000000" w:themeColor="text1"/>
          <w:lang w:eastAsia="x-none"/>
        </w:rPr>
        <w:t xml:space="preserve">. </w:t>
      </w:r>
    </w:p>
    <w:p w14:paraId="641B337A" w14:textId="6267207C" w:rsidR="00591173" w:rsidRPr="00785FB4" w:rsidRDefault="00591173" w:rsidP="00DD152D">
      <w:pPr>
        <w:spacing w:before="120"/>
        <w:rPr>
          <w:b/>
        </w:rPr>
      </w:pPr>
      <w:r w:rsidRPr="00785FB4">
        <w:rPr>
          <w:color w:val="000000" w:themeColor="text1"/>
          <w:lang w:eastAsia="x-none"/>
        </w:rPr>
        <w:t xml:space="preserve">In accordance with Requirement </w:t>
      </w:r>
      <w:r w:rsidR="00324548" w:rsidRPr="00785FB4">
        <w:rPr>
          <w:color w:val="000000" w:themeColor="text1"/>
          <w:lang w:eastAsia="x-none"/>
        </w:rPr>
        <w:t>7.3, Afghanistan should take steps to act upon lessons learnt with a view to strengthen the impact of EITI implementation on natural resource governance. In particular the MSG should consider improv</w:t>
      </w:r>
      <w:r w:rsidR="00FD5D45" w:rsidRPr="00785FB4">
        <w:rPr>
          <w:color w:val="000000" w:themeColor="text1"/>
          <w:lang w:eastAsia="x-none"/>
        </w:rPr>
        <w:t xml:space="preserve">ing its procedures to process recommendations. Taking into consideration the importance of the MAS and the IMF’s ECF review frameworks in an Afghan context, the MSG is </w:t>
      </w:r>
      <w:r w:rsidR="00FD5D45" w:rsidRPr="00785FB4">
        <w:rPr>
          <w:color w:val="000000" w:themeColor="text1"/>
          <w:lang w:eastAsia="x-none"/>
        </w:rPr>
        <w:lastRenderedPageBreak/>
        <w:t xml:space="preserve">encouraged to encourage the development of “smart deliverables” that issue from EITI recommendations and serve to prioritise these. </w:t>
      </w:r>
    </w:p>
    <w:p w14:paraId="0DACFA7F" w14:textId="77777777" w:rsidR="00D17336" w:rsidRPr="00785FB4" w:rsidRDefault="00D17336" w:rsidP="00A94167">
      <w:pPr>
        <w:pStyle w:val="Heading2notindexed"/>
      </w:pPr>
      <w:bookmarkStart w:id="618" w:name="_Toc461796703"/>
      <w:bookmarkStart w:id="619" w:name="_Toc458773265"/>
      <w:bookmarkStart w:id="620" w:name="_Toc458780362"/>
      <w:bookmarkStart w:id="621" w:name="_Toc461803156"/>
      <w:bookmarkStart w:id="622" w:name="_Toc461787367"/>
      <w:bookmarkStart w:id="623" w:name="_Toc461795879"/>
      <w:bookmarkStart w:id="624" w:name="_Toc505449716"/>
      <w:bookmarkStart w:id="625" w:name="_Toc505449830"/>
      <w:bookmarkStart w:id="626" w:name="_Toc459133207"/>
      <w:bookmarkEnd w:id="618"/>
      <w:r w:rsidRPr="00785FB4">
        <w:t>Outcomes and impact of implementation (#7.4)</w:t>
      </w:r>
      <w:bookmarkEnd w:id="619"/>
      <w:bookmarkEnd w:id="620"/>
      <w:bookmarkEnd w:id="621"/>
      <w:bookmarkEnd w:id="622"/>
      <w:bookmarkEnd w:id="623"/>
      <w:bookmarkEnd w:id="624"/>
      <w:bookmarkEnd w:id="625"/>
    </w:p>
    <w:p w14:paraId="7C32DE43" w14:textId="30962611" w:rsidR="00EC1FBA" w:rsidRPr="00785FB4" w:rsidRDefault="00423839" w:rsidP="00A94167">
      <w:pPr>
        <w:pStyle w:val="Heading3"/>
      </w:pPr>
      <w:bookmarkStart w:id="627" w:name="_Toc505449717"/>
      <w:bookmarkEnd w:id="626"/>
      <w:r w:rsidRPr="00785FB4">
        <w:t>Documentation of progress</w:t>
      </w:r>
      <w:bookmarkEnd w:id="627"/>
      <w:r w:rsidR="00A140F1" w:rsidRPr="00785FB4">
        <w:t xml:space="preserve"> </w:t>
      </w:r>
    </w:p>
    <w:p w14:paraId="2CA5BCC2" w14:textId="7534D83B" w:rsidR="00F93BB0" w:rsidRPr="00785FB4" w:rsidRDefault="00FF473F" w:rsidP="001F63A4">
      <w:pPr>
        <w:spacing w:before="120"/>
        <w:rPr>
          <w:bCs/>
        </w:rPr>
      </w:pPr>
      <w:r w:rsidRPr="00785FB4">
        <w:rPr>
          <w:bCs/>
        </w:rPr>
        <w:t xml:space="preserve">Afghanistan regularly reviews the outcomes and impact of EITI implementation on natural resource governance, </w:t>
      </w:r>
      <w:r w:rsidR="002A49EC" w:rsidRPr="00785FB4">
        <w:rPr>
          <w:bCs/>
        </w:rPr>
        <w:t xml:space="preserve">although </w:t>
      </w:r>
      <w:r w:rsidRPr="00785FB4">
        <w:rPr>
          <w:bCs/>
        </w:rPr>
        <w:t xml:space="preserve">not always through its annual progress reports. </w:t>
      </w:r>
      <w:r w:rsidR="003E5EEF" w:rsidRPr="00785FB4">
        <w:rPr>
          <w:bCs/>
        </w:rPr>
        <w:t xml:space="preserve">Afghanistan has published </w:t>
      </w:r>
      <w:r w:rsidR="009742BD" w:rsidRPr="00785FB4">
        <w:rPr>
          <w:bCs/>
        </w:rPr>
        <w:t>four annual progress reports</w:t>
      </w:r>
      <w:r w:rsidR="002B5285" w:rsidRPr="00785FB4">
        <w:rPr>
          <w:bCs/>
        </w:rPr>
        <w:t xml:space="preserve"> (APR)</w:t>
      </w:r>
      <w:r w:rsidR="009742BD" w:rsidRPr="00785FB4">
        <w:rPr>
          <w:bCs/>
        </w:rPr>
        <w:t xml:space="preserve">, </w:t>
      </w:r>
      <w:r w:rsidR="006249A4" w:rsidRPr="00785FB4">
        <w:rPr>
          <w:bCs/>
        </w:rPr>
        <w:t xml:space="preserve">covering </w:t>
      </w:r>
      <w:r w:rsidR="009742BD" w:rsidRPr="00785FB4">
        <w:rPr>
          <w:bCs/>
        </w:rPr>
        <w:t>the 2013-2016</w:t>
      </w:r>
      <w:r w:rsidR="006249A4" w:rsidRPr="00785FB4">
        <w:rPr>
          <w:bCs/>
        </w:rPr>
        <w:t xml:space="preserve"> period</w:t>
      </w:r>
      <w:r w:rsidR="009742BD" w:rsidRPr="00785FB4">
        <w:rPr>
          <w:bCs/>
        </w:rPr>
        <w:t xml:space="preserve">. </w:t>
      </w:r>
      <w:r w:rsidR="006249A4" w:rsidRPr="00785FB4">
        <w:rPr>
          <w:bCs/>
        </w:rPr>
        <w:t>Annual progress r</w:t>
      </w:r>
      <w:r w:rsidR="009742BD" w:rsidRPr="00785FB4">
        <w:rPr>
          <w:bCs/>
        </w:rPr>
        <w:t>eports are publicly available on the AEITI website in English</w:t>
      </w:r>
      <w:r w:rsidR="006249A4" w:rsidRPr="00785FB4">
        <w:rPr>
          <w:bCs/>
        </w:rPr>
        <w:t>,</w:t>
      </w:r>
      <w:r w:rsidR="009742BD" w:rsidRPr="00785FB4">
        <w:rPr>
          <w:bCs/>
        </w:rPr>
        <w:t xml:space="preserve"> </w:t>
      </w:r>
      <w:r w:rsidR="006249A4" w:rsidRPr="00785FB4">
        <w:rPr>
          <w:bCs/>
        </w:rPr>
        <w:t xml:space="preserve">but </w:t>
      </w:r>
      <w:r w:rsidR="009742BD" w:rsidRPr="00785FB4">
        <w:rPr>
          <w:bCs/>
        </w:rPr>
        <w:t>are not available in local languages.</w:t>
      </w:r>
      <w:r w:rsidR="009742BD" w:rsidRPr="00785FB4">
        <w:rPr>
          <w:rStyle w:val="FootnoteReference"/>
          <w:bCs/>
        </w:rPr>
        <w:footnoteReference w:id="318"/>
      </w:r>
      <w:r w:rsidR="009742BD" w:rsidRPr="00785FB4">
        <w:rPr>
          <w:bCs/>
        </w:rPr>
        <w:t xml:space="preserve"> The report </w:t>
      </w:r>
      <w:r w:rsidR="000E5581" w:rsidRPr="00785FB4">
        <w:rPr>
          <w:bCs/>
        </w:rPr>
        <w:t>covering</w:t>
      </w:r>
      <w:r w:rsidR="009742BD" w:rsidRPr="00785FB4">
        <w:rPr>
          <w:bCs/>
        </w:rPr>
        <w:t xml:space="preserve"> 2016 was published in December 2016, well within the timeframe required by Requirement 8.4 (1 July of the following year).</w:t>
      </w:r>
      <w:r w:rsidR="00A07732" w:rsidRPr="00785FB4">
        <w:rPr>
          <w:rStyle w:val="FootnoteReference"/>
          <w:bCs/>
        </w:rPr>
        <w:footnoteReference w:id="319"/>
      </w:r>
      <w:r w:rsidR="009742BD" w:rsidRPr="00785FB4">
        <w:rPr>
          <w:bCs/>
        </w:rPr>
        <w:t xml:space="preserve"> </w:t>
      </w:r>
      <w:r w:rsidR="00A07732" w:rsidRPr="00785FB4">
        <w:rPr>
          <w:bCs/>
        </w:rPr>
        <w:t>There is little evidence of the MSG using the annual progress report as a means of benchmarking its strategic decisions to its record of achievements, identifying shortcomings and barriers to implementation or providing an assessment of implementation as a basis for formulating future work plans.</w:t>
      </w:r>
      <w:r w:rsidR="001F5747" w:rsidRPr="00785FB4">
        <w:rPr>
          <w:bCs/>
        </w:rPr>
        <w:t xml:space="preserve"> There is no indication in MSG meeting minutes that APRs are approved by the MSG</w:t>
      </w:r>
      <w:r w:rsidR="00BF58F5" w:rsidRPr="00785FB4">
        <w:rPr>
          <w:bCs/>
        </w:rPr>
        <w:t xml:space="preserve">, </w:t>
      </w:r>
      <w:r w:rsidR="002A4FB5" w:rsidRPr="00785FB4">
        <w:rPr>
          <w:bCs/>
        </w:rPr>
        <w:t xml:space="preserve">although </w:t>
      </w:r>
      <w:r w:rsidR="00BF58F5" w:rsidRPr="00785FB4">
        <w:rPr>
          <w:bCs/>
        </w:rPr>
        <w:t xml:space="preserve">email correspondence with the International Secretariat suggests that the 2016 APR was </w:t>
      </w:r>
      <w:r w:rsidRPr="00785FB4">
        <w:rPr>
          <w:bCs/>
        </w:rPr>
        <w:t>adopted</w:t>
      </w:r>
      <w:r w:rsidR="00BF58F5" w:rsidRPr="00785FB4">
        <w:rPr>
          <w:bCs/>
        </w:rPr>
        <w:t xml:space="preserve"> by the MSG in December 2016 </w:t>
      </w:r>
      <w:r w:rsidR="00757BA7" w:rsidRPr="00785FB4">
        <w:rPr>
          <w:bCs/>
        </w:rPr>
        <w:t xml:space="preserve">despite the absence of publicly-accessible </w:t>
      </w:r>
      <w:r w:rsidR="002A4FB5" w:rsidRPr="00785FB4">
        <w:rPr>
          <w:bCs/>
        </w:rPr>
        <w:t xml:space="preserve">relevant </w:t>
      </w:r>
      <w:r w:rsidR="00BF58F5" w:rsidRPr="00785FB4">
        <w:rPr>
          <w:bCs/>
        </w:rPr>
        <w:t xml:space="preserve">MSG meeting minutes. </w:t>
      </w:r>
    </w:p>
    <w:p w14:paraId="6613907C" w14:textId="3C8B8139" w:rsidR="0086416A" w:rsidRPr="00785FB4" w:rsidRDefault="00A07732" w:rsidP="001F63A4">
      <w:pPr>
        <w:spacing w:before="120"/>
        <w:rPr>
          <w:bCs/>
        </w:rPr>
      </w:pPr>
      <w:r w:rsidRPr="00785FB4">
        <w:rPr>
          <w:bCs/>
        </w:rPr>
        <w:t>The</w:t>
      </w:r>
      <w:r w:rsidR="002B5285" w:rsidRPr="00785FB4">
        <w:rPr>
          <w:bCs/>
        </w:rPr>
        <w:t xml:space="preserve"> 2016 APR</w:t>
      </w:r>
      <w:r w:rsidR="003C1F46" w:rsidRPr="00785FB4">
        <w:rPr>
          <w:bCs/>
        </w:rPr>
        <w:t xml:space="preserve"> includes a general assessment of the year’s performance, </w:t>
      </w:r>
      <w:r w:rsidR="00757BA7" w:rsidRPr="00785FB4">
        <w:rPr>
          <w:bCs/>
        </w:rPr>
        <w:t>including an overview of activities.</w:t>
      </w:r>
      <w:r w:rsidR="00757BA7" w:rsidRPr="00785FB4">
        <w:rPr>
          <w:rStyle w:val="FootnoteReference"/>
          <w:bCs/>
        </w:rPr>
        <w:footnoteReference w:id="320"/>
      </w:r>
      <w:r w:rsidR="00757BA7" w:rsidRPr="00785FB4">
        <w:rPr>
          <w:bCs/>
        </w:rPr>
        <w:t xml:space="preserve"> </w:t>
      </w:r>
      <w:r w:rsidR="003C1F46" w:rsidRPr="00785FB4">
        <w:rPr>
          <w:bCs/>
        </w:rPr>
        <w:t xml:space="preserve">Whereas these are </w:t>
      </w:r>
      <w:r w:rsidR="003D6A33" w:rsidRPr="00785FB4">
        <w:rPr>
          <w:bCs/>
        </w:rPr>
        <w:t xml:space="preserve">only </w:t>
      </w:r>
      <w:r w:rsidR="003C1F46" w:rsidRPr="00785FB4">
        <w:rPr>
          <w:bCs/>
        </w:rPr>
        <w:t xml:space="preserve">summarily presented, the report </w:t>
      </w:r>
      <w:r w:rsidR="003D6A33" w:rsidRPr="00785FB4">
        <w:rPr>
          <w:bCs/>
        </w:rPr>
        <w:t xml:space="preserve">also </w:t>
      </w:r>
      <w:r w:rsidR="003C1F46" w:rsidRPr="00785FB4">
        <w:rPr>
          <w:bCs/>
        </w:rPr>
        <w:t>goes into further detail in explaining AEITI’s efforts on communication and public outreach.</w:t>
      </w:r>
      <w:r w:rsidRPr="00785FB4">
        <w:rPr>
          <w:bCs/>
        </w:rPr>
        <w:t xml:space="preserve"> </w:t>
      </w:r>
      <w:r w:rsidR="0050559D" w:rsidRPr="00785FB4">
        <w:rPr>
          <w:bCs/>
        </w:rPr>
        <w:t xml:space="preserve">The 2016 APR </w:t>
      </w:r>
      <w:r w:rsidR="002B5285" w:rsidRPr="00785FB4">
        <w:rPr>
          <w:bCs/>
        </w:rPr>
        <w:t xml:space="preserve">purportedly </w:t>
      </w:r>
      <w:r w:rsidRPr="00785FB4">
        <w:rPr>
          <w:bCs/>
        </w:rPr>
        <w:t>includes an assessment of performance against targets and activities set out in the work</w:t>
      </w:r>
      <w:r w:rsidR="003D6A33" w:rsidRPr="00785FB4">
        <w:rPr>
          <w:bCs/>
        </w:rPr>
        <w:t xml:space="preserve"> </w:t>
      </w:r>
      <w:r w:rsidRPr="00785FB4">
        <w:rPr>
          <w:bCs/>
        </w:rPr>
        <w:t>plan</w:t>
      </w:r>
      <w:r w:rsidR="00083AF2" w:rsidRPr="00785FB4">
        <w:rPr>
          <w:bCs/>
        </w:rPr>
        <w:t>,</w:t>
      </w:r>
      <w:r w:rsidR="00083AF2" w:rsidRPr="00785FB4">
        <w:rPr>
          <w:rStyle w:val="FootnoteReference"/>
          <w:bCs/>
        </w:rPr>
        <w:footnoteReference w:id="321"/>
      </w:r>
      <w:r w:rsidRPr="00785FB4">
        <w:rPr>
          <w:bCs/>
        </w:rPr>
        <w:t xml:space="preserve"> but </w:t>
      </w:r>
      <w:r w:rsidR="002B5285" w:rsidRPr="00785FB4">
        <w:rPr>
          <w:bCs/>
        </w:rPr>
        <w:t>the activities listed are only generally</w:t>
      </w:r>
      <w:r w:rsidRPr="00785FB4">
        <w:rPr>
          <w:bCs/>
        </w:rPr>
        <w:t xml:space="preserve"> linked to the objectives or tasks in the work plan. The report </w:t>
      </w:r>
      <w:r w:rsidR="00757BA7" w:rsidRPr="00785FB4">
        <w:rPr>
          <w:bCs/>
        </w:rPr>
        <w:t xml:space="preserve">describes </w:t>
      </w:r>
      <w:r w:rsidR="00CC2EE3" w:rsidRPr="00785FB4">
        <w:rPr>
          <w:bCs/>
        </w:rPr>
        <w:t xml:space="preserve">the MSG’s </w:t>
      </w:r>
      <w:r w:rsidRPr="00785FB4">
        <w:rPr>
          <w:bCs/>
        </w:rPr>
        <w:t>activities</w:t>
      </w:r>
      <w:r w:rsidR="002B5285" w:rsidRPr="00785FB4">
        <w:rPr>
          <w:bCs/>
        </w:rPr>
        <w:t xml:space="preserve"> in 2016</w:t>
      </w:r>
      <w:r w:rsidRPr="00785FB4">
        <w:rPr>
          <w:bCs/>
        </w:rPr>
        <w:t xml:space="preserve"> under four areas, </w:t>
      </w:r>
      <w:r w:rsidR="00757BA7" w:rsidRPr="00785FB4">
        <w:rPr>
          <w:bCs/>
        </w:rPr>
        <w:t xml:space="preserve">including </w:t>
      </w:r>
      <w:r w:rsidRPr="00785FB4">
        <w:rPr>
          <w:bCs/>
        </w:rPr>
        <w:t xml:space="preserve">publication of </w:t>
      </w:r>
      <w:r w:rsidR="00757BA7" w:rsidRPr="00785FB4">
        <w:rPr>
          <w:bCs/>
        </w:rPr>
        <w:t xml:space="preserve">the </w:t>
      </w:r>
      <w:r w:rsidRPr="00785FB4">
        <w:rPr>
          <w:bCs/>
        </w:rPr>
        <w:t xml:space="preserve">EITI Report, communications and outreach, data quality and licensing </w:t>
      </w:r>
      <w:r w:rsidR="00757BA7" w:rsidRPr="00785FB4">
        <w:rPr>
          <w:bCs/>
        </w:rPr>
        <w:t xml:space="preserve">as well as </w:t>
      </w:r>
      <w:r w:rsidRPr="00785FB4">
        <w:rPr>
          <w:bCs/>
        </w:rPr>
        <w:t xml:space="preserve">MSG governance. </w:t>
      </w:r>
      <w:r w:rsidR="00EC3DCC" w:rsidRPr="00785FB4">
        <w:rPr>
          <w:bCs/>
        </w:rPr>
        <w:t>The 2017 work plan annexed to the APR shows that</w:t>
      </w:r>
      <w:r w:rsidR="003D6A33" w:rsidRPr="00785FB4">
        <w:rPr>
          <w:bCs/>
        </w:rPr>
        <w:t>,</w:t>
      </w:r>
      <w:r w:rsidR="00EC3DCC" w:rsidRPr="00785FB4">
        <w:rPr>
          <w:bCs/>
        </w:rPr>
        <w:t xml:space="preserve"> with the exception of activities relating to the publication of the 2014-15 EITI Report, all the remaining activities were either ongoing or </w:t>
      </w:r>
      <w:r w:rsidR="00CC2EE3" w:rsidRPr="00785FB4">
        <w:rPr>
          <w:bCs/>
        </w:rPr>
        <w:t>expected to be rolled over onto</w:t>
      </w:r>
      <w:r w:rsidR="00EC3DCC" w:rsidRPr="00785FB4">
        <w:rPr>
          <w:bCs/>
        </w:rPr>
        <w:t xml:space="preserve"> the next year. </w:t>
      </w:r>
      <w:r w:rsidR="0050559D" w:rsidRPr="00785FB4">
        <w:rPr>
          <w:bCs/>
        </w:rPr>
        <w:t xml:space="preserve">The APR also provides a cursory overview of strengths and weaknesses in the EITI process, highlighting in particular challenges linked to the absence of a centralized record-keeping system, </w:t>
      </w:r>
      <w:r w:rsidR="00757BA7" w:rsidRPr="00785FB4">
        <w:rPr>
          <w:bCs/>
        </w:rPr>
        <w:t xml:space="preserve">weak </w:t>
      </w:r>
      <w:r w:rsidR="0050559D" w:rsidRPr="00785FB4">
        <w:rPr>
          <w:bCs/>
        </w:rPr>
        <w:t xml:space="preserve">auditing </w:t>
      </w:r>
      <w:r w:rsidR="00757BA7" w:rsidRPr="00785FB4">
        <w:rPr>
          <w:bCs/>
        </w:rPr>
        <w:t xml:space="preserve">practices </w:t>
      </w:r>
      <w:r w:rsidR="0050559D" w:rsidRPr="00785FB4">
        <w:rPr>
          <w:bCs/>
        </w:rPr>
        <w:t>in the extractive industry and limitations on information-sharing and data integration between government agencies (pp.14-15)</w:t>
      </w:r>
      <w:r w:rsidR="00BC6D6A" w:rsidRPr="00785FB4">
        <w:rPr>
          <w:bCs/>
        </w:rPr>
        <w:t>.</w:t>
      </w:r>
    </w:p>
    <w:p w14:paraId="79BEEE02" w14:textId="69050117" w:rsidR="0050559D" w:rsidRPr="00785FB4" w:rsidRDefault="0050559D" w:rsidP="001F63A4">
      <w:pPr>
        <w:spacing w:before="120"/>
        <w:rPr>
          <w:bCs/>
        </w:rPr>
      </w:pPr>
      <w:r w:rsidRPr="00785FB4">
        <w:rPr>
          <w:bCs/>
        </w:rPr>
        <w:t>Separately from the APR, the MSG has developed a running list of recommendations from EITI Reports and the MSG’s action plan to address these (</w:t>
      </w:r>
      <w:r w:rsidR="002D00E0" w:rsidRPr="00785FB4">
        <w:rPr>
          <w:bCs/>
          <w:i/>
        </w:rPr>
        <w:t>see Requirement 7.3</w:t>
      </w:r>
      <w:r w:rsidRPr="00785FB4">
        <w:rPr>
          <w:bCs/>
        </w:rPr>
        <w:t xml:space="preserve">). </w:t>
      </w:r>
      <w:r w:rsidR="000A00A2" w:rsidRPr="00785FB4">
        <w:rPr>
          <w:bCs/>
        </w:rPr>
        <w:t>It is not clear from the work plan or the action plan whether there is any relation between the two, and the action plan is not mentioned in AEITI’s APRs.</w:t>
      </w:r>
      <w:r w:rsidR="00FF473F" w:rsidRPr="00785FB4">
        <w:rPr>
          <w:bCs/>
        </w:rPr>
        <w:t xml:space="preserve"> There are examples of other tools being used by Afghanistan to review the outcomes of implementation and assess how its impact can be improved. These include the </w:t>
      </w:r>
      <w:r w:rsidR="003D6A33" w:rsidRPr="00785FB4">
        <w:rPr>
          <w:bCs/>
        </w:rPr>
        <w:t xml:space="preserve">USAID-funded </w:t>
      </w:r>
      <w:r w:rsidR="00FF473F" w:rsidRPr="00785FB4">
        <w:rPr>
          <w:bCs/>
        </w:rPr>
        <w:t xml:space="preserve">Democracy </w:t>
      </w:r>
      <w:r w:rsidR="00FF473F" w:rsidRPr="00785FB4">
        <w:rPr>
          <w:bCs/>
        </w:rPr>
        <w:lastRenderedPageBreak/>
        <w:t xml:space="preserve">International July 2017 AEITI Institutional Assessment on behalf of the </w:t>
      </w:r>
      <w:r w:rsidR="00DB56BA" w:rsidRPr="00785FB4">
        <w:rPr>
          <w:bCs/>
        </w:rPr>
        <w:t>MOF</w:t>
      </w:r>
      <w:r w:rsidR="00FF473F" w:rsidRPr="00785FB4">
        <w:rPr>
          <w:bCs/>
        </w:rPr>
        <w:t xml:space="preserve">, and the </w:t>
      </w:r>
      <w:r w:rsidR="00DB56BA" w:rsidRPr="00785FB4">
        <w:rPr>
          <w:bCs/>
        </w:rPr>
        <w:t>MOF</w:t>
      </w:r>
      <w:r w:rsidR="00FF473F" w:rsidRPr="00785FB4">
        <w:rPr>
          <w:bCs/>
        </w:rPr>
        <w:t xml:space="preserve">’s regular assessments through its Performance Management Team (PMT), which </w:t>
      </w:r>
      <w:r w:rsidR="003D6A33" w:rsidRPr="00785FB4">
        <w:rPr>
          <w:bCs/>
        </w:rPr>
        <w:t xml:space="preserve">inter alia </w:t>
      </w:r>
      <w:r w:rsidR="00FC5B23" w:rsidRPr="00785FB4">
        <w:rPr>
          <w:bCs/>
        </w:rPr>
        <w:t>review the extent to which AEI</w:t>
      </w:r>
      <w:r w:rsidR="00FF473F" w:rsidRPr="00785FB4">
        <w:rPr>
          <w:bCs/>
        </w:rPr>
        <w:t>T</w:t>
      </w:r>
      <w:r w:rsidR="00FC5B23" w:rsidRPr="00785FB4">
        <w:rPr>
          <w:bCs/>
        </w:rPr>
        <w:t>I</w:t>
      </w:r>
      <w:r w:rsidR="00FF473F" w:rsidRPr="00785FB4">
        <w:rPr>
          <w:bCs/>
        </w:rPr>
        <w:t>’s work plan is being followed.</w:t>
      </w:r>
      <w:r w:rsidR="00FC5B23" w:rsidRPr="00785FB4">
        <w:rPr>
          <w:bCs/>
        </w:rPr>
        <w:t xml:space="preserve"> MSG meeting minutes show that the findings of these reviews are regularly shared with the MSG.</w:t>
      </w:r>
    </w:p>
    <w:p w14:paraId="37D72A38" w14:textId="77777777" w:rsidR="00857149" w:rsidRPr="00785FB4" w:rsidRDefault="00423839" w:rsidP="00A94167">
      <w:pPr>
        <w:pStyle w:val="Heading3"/>
      </w:pPr>
      <w:bookmarkStart w:id="628" w:name="_Toc505449718"/>
      <w:r w:rsidRPr="00785FB4">
        <w:t>Stakeholder views</w:t>
      </w:r>
      <w:bookmarkEnd w:id="628"/>
      <w:r w:rsidR="00251A6C" w:rsidRPr="00785FB4">
        <w:t xml:space="preserve"> </w:t>
      </w:r>
    </w:p>
    <w:p w14:paraId="61D07B97" w14:textId="23E8F297" w:rsidR="005F5E1F" w:rsidRPr="00785FB4" w:rsidRDefault="00BF58F5" w:rsidP="005F5E1F">
      <w:pPr>
        <w:spacing w:before="120"/>
      </w:pPr>
      <w:r w:rsidRPr="00785FB4">
        <w:rPr>
          <w:bCs/>
        </w:rPr>
        <w:t xml:space="preserve">Stakeholders did not express views on the annual progress reports, which do not seem to be regularly discussed by the MSG. The 2017 MSG self-assessment confirms that the MSG was aware of the publication of the 2016 APR and MSG members identified shortcomings </w:t>
      </w:r>
      <w:r w:rsidR="003D6A33" w:rsidRPr="00785FB4">
        <w:rPr>
          <w:bCs/>
        </w:rPr>
        <w:t xml:space="preserve">with </w:t>
      </w:r>
      <w:r w:rsidRPr="00785FB4">
        <w:rPr>
          <w:bCs/>
        </w:rPr>
        <w:t>regard</w:t>
      </w:r>
      <w:r w:rsidR="003D6A33" w:rsidRPr="00785FB4">
        <w:rPr>
          <w:bCs/>
        </w:rPr>
        <w:t>s</w:t>
      </w:r>
      <w:r w:rsidRPr="00785FB4">
        <w:rPr>
          <w:bCs/>
        </w:rPr>
        <w:t xml:space="preserve"> to </w:t>
      </w:r>
      <w:r w:rsidR="00DE4989" w:rsidRPr="00785FB4">
        <w:rPr>
          <w:bCs/>
        </w:rPr>
        <w:t xml:space="preserve">the APR’s assessment of progress </w:t>
      </w:r>
      <w:r w:rsidR="003D6A33" w:rsidRPr="00785FB4">
        <w:rPr>
          <w:bCs/>
        </w:rPr>
        <w:t xml:space="preserve">in </w:t>
      </w:r>
      <w:r w:rsidR="00DE4989" w:rsidRPr="00785FB4">
        <w:rPr>
          <w:bCs/>
        </w:rPr>
        <w:t xml:space="preserve">achieving </w:t>
      </w:r>
      <w:r w:rsidR="003D6A33" w:rsidRPr="00785FB4">
        <w:rPr>
          <w:bCs/>
        </w:rPr>
        <w:t xml:space="preserve">work plan </w:t>
      </w:r>
      <w:r w:rsidR="00DE4989" w:rsidRPr="00785FB4">
        <w:rPr>
          <w:bCs/>
        </w:rPr>
        <w:t>objectives and of the MSG’s efforts to strengthen EITI implementation. It is clear from the MSG’s self-assessment and conversations with stakeholders that the MSG</w:t>
      </w:r>
      <w:r w:rsidR="003F6F2C" w:rsidRPr="00785FB4">
        <w:rPr>
          <w:bCs/>
        </w:rPr>
        <w:t>’s</w:t>
      </w:r>
      <w:r w:rsidR="00DE4989" w:rsidRPr="00785FB4">
        <w:rPr>
          <w:bCs/>
        </w:rPr>
        <w:t xml:space="preserve"> action</w:t>
      </w:r>
      <w:r w:rsidR="003F6F2C" w:rsidRPr="00785FB4">
        <w:rPr>
          <w:bCs/>
        </w:rPr>
        <w:t xml:space="preserve"> </w:t>
      </w:r>
      <w:r w:rsidR="00DE4989" w:rsidRPr="00785FB4">
        <w:rPr>
          <w:bCs/>
        </w:rPr>
        <w:t xml:space="preserve">plan is perceived as the key tool </w:t>
      </w:r>
      <w:r w:rsidR="003F6F2C" w:rsidRPr="00785FB4">
        <w:rPr>
          <w:bCs/>
        </w:rPr>
        <w:t xml:space="preserve">for </w:t>
      </w:r>
      <w:r w:rsidR="00DE4989" w:rsidRPr="00785FB4">
        <w:rPr>
          <w:bCs/>
        </w:rPr>
        <w:t>follow</w:t>
      </w:r>
      <w:r w:rsidR="003F6F2C" w:rsidRPr="00785FB4">
        <w:rPr>
          <w:bCs/>
        </w:rPr>
        <w:t>-</w:t>
      </w:r>
      <w:r w:rsidR="00DE4989" w:rsidRPr="00785FB4">
        <w:rPr>
          <w:bCs/>
        </w:rPr>
        <w:t>up on recommendations from</w:t>
      </w:r>
      <w:r w:rsidR="00BC6D6A" w:rsidRPr="00785FB4">
        <w:rPr>
          <w:bCs/>
        </w:rPr>
        <w:t xml:space="preserve"> EITI reporting</w:t>
      </w:r>
      <w:r w:rsidR="00DE4989" w:rsidRPr="00785FB4">
        <w:rPr>
          <w:bCs/>
        </w:rPr>
        <w:t>.</w:t>
      </w:r>
      <w:r w:rsidRPr="00785FB4">
        <w:rPr>
          <w:bCs/>
        </w:rPr>
        <w:t xml:space="preserve"> </w:t>
      </w:r>
      <w:r w:rsidR="00C37713" w:rsidRPr="00785FB4">
        <w:rPr>
          <w:bCs/>
        </w:rPr>
        <w:t xml:space="preserve">Current and former secretariat members highlighted the consistently positive reviews of the </w:t>
      </w:r>
      <w:r w:rsidR="00DB56BA" w:rsidRPr="00785FB4">
        <w:rPr>
          <w:bCs/>
        </w:rPr>
        <w:t>MOF</w:t>
      </w:r>
      <w:r w:rsidR="00C37713" w:rsidRPr="00785FB4">
        <w:rPr>
          <w:bCs/>
        </w:rPr>
        <w:t>’</w:t>
      </w:r>
      <w:r w:rsidR="00FF473F" w:rsidRPr="00785FB4">
        <w:rPr>
          <w:bCs/>
        </w:rPr>
        <w:t>s PMT</w:t>
      </w:r>
      <w:r w:rsidR="00FC5B23" w:rsidRPr="00785FB4">
        <w:rPr>
          <w:bCs/>
        </w:rPr>
        <w:t xml:space="preserve"> </w:t>
      </w:r>
      <w:r w:rsidR="00C37713" w:rsidRPr="00785FB4">
        <w:rPr>
          <w:bCs/>
        </w:rPr>
        <w:t>and noted that the latest such review (</w:t>
      </w:r>
      <w:r w:rsidR="00091CE0" w:rsidRPr="00785FB4">
        <w:rPr>
          <w:bCs/>
        </w:rPr>
        <w:t xml:space="preserve">in </w:t>
      </w:r>
      <w:r w:rsidR="00C37713" w:rsidRPr="00785FB4">
        <w:rPr>
          <w:bCs/>
        </w:rPr>
        <w:t xml:space="preserve">2017) had ranked AEITI </w:t>
      </w:r>
      <w:r w:rsidR="00FC5B23" w:rsidRPr="00785FB4">
        <w:rPr>
          <w:bCs/>
        </w:rPr>
        <w:t xml:space="preserve">performance as </w:t>
      </w:r>
      <w:r w:rsidR="003F6F2C" w:rsidRPr="00785FB4">
        <w:rPr>
          <w:bCs/>
        </w:rPr>
        <w:t xml:space="preserve">third </w:t>
      </w:r>
      <w:r w:rsidR="00FC5B23" w:rsidRPr="00785FB4">
        <w:rPr>
          <w:bCs/>
        </w:rPr>
        <w:t>of</w:t>
      </w:r>
      <w:r w:rsidR="00C37713" w:rsidRPr="00785FB4">
        <w:rPr>
          <w:bCs/>
        </w:rPr>
        <w:t xml:space="preserve"> 67 departments.</w:t>
      </w:r>
    </w:p>
    <w:p w14:paraId="2930DA7F" w14:textId="75633592" w:rsidR="00423839" w:rsidRPr="00785FB4" w:rsidRDefault="0073607A" w:rsidP="00A94167">
      <w:pPr>
        <w:pStyle w:val="Heading3"/>
      </w:pPr>
      <w:bookmarkStart w:id="629" w:name="_Toc505449719"/>
      <w:r w:rsidRPr="00785FB4">
        <w:t>Initial a</w:t>
      </w:r>
      <w:r w:rsidR="00423839" w:rsidRPr="00785FB4">
        <w:t>ssessment</w:t>
      </w:r>
      <w:bookmarkEnd w:id="629"/>
    </w:p>
    <w:p w14:paraId="2214B910" w14:textId="18B818B3" w:rsidR="00C37713" w:rsidRPr="00785FB4" w:rsidRDefault="008A585F" w:rsidP="000E3947">
      <w:pPr>
        <w:spacing w:before="120"/>
        <w:rPr>
          <w:color w:val="000000" w:themeColor="text1"/>
          <w:lang w:eastAsia="x-none"/>
        </w:rPr>
      </w:pPr>
      <w:r w:rsidRPr="00785FB4">
        <w:rPr>
          <w:color w:val="000000" w:themeColor="text1"/>
          <w:lang w:eastAsia="x-none"/>
        </w:rPr>
        <w:t>The International Secretariat’s initial assessment is that</w:t>
      </w:r>
      <w:r w:rsidR="00DE4989" w:rsidRPr="00785FB4">
        <w:rPr>
          <w:color w:val="000000" w:themeColor="text1"/>
          <w:lang w:eastAsia="x-none"/>
        </w:rPr>
        <w:t xml:space="preserve"> Afghanistan has made meaningful progress </w:t>
      </w:r>
      <w:r w:rsidRPr="00785FB4">
        <w:rPr>
          <w:color w:val="000000" w:themeColor="text1"/>
          <w:lang w:eastAsia="x-none"/>
        </w:rPr>
        <w:t>in meeting this requirement</w:t>
      </w:r>
      <w:r w:rsidR="00F457B8" w:rsidRPr="00785FB4">
        <w:rPr>
          <w:color w:val="000000" w:themeColor="text1"/>
          <w:lang w:eastAsia="x-none"/>
        </w:rPr>
        <w:t xml:space="preserve">, </w:t>
      </w:r>
      <w:r w:rsidR="00091CE0" w:rsidRPr="00785FB4">
        <w:rPr>
          <w:color w:val="000000" w:themeColor="text1"/>
          <w:lang w:eastAsia="x-none"/>
        </w:rPr>
        <w:t>taking into account other documents such as the MSG Action Plan alongside the annual progress report</w:t>
      </w:r>
      <w:r w:rsidRPr="00785FB4">
        <w:rPr>
          <w:color w:val="000000" w:themeColor="text1"/>
          <w:lang w:eastAsia="x-none"/>
        </w:rPr>
        <w:t xml:space="preserve">. </w:t>
      </w:r>
      <w:r w:rsidR="00DE4989" w:rsidRPr="00785FB4">
        <w:rPr>
          <w:color w:val="000000" w:themeColor="text1"/>
          <w:lang w:eastAsia="x-none"/>
        </w:rPr>
        <w:t xml:space="preserve">Afghanistan has undertaken </w:t>
      </w:r>
      <w:r w:rsidR="00F457B8" w:rsidRPr="00785FB4">
        <w:rPr>
          <w:color w:val="000000" w:themeColor="text1"/>
          <w:lang w:eastAsia="x-none"/>
        </w:rPr>
        <w:t xml:space="preserve">limited </w:t>
      </w:r>
      <w:r w:rsidR="00DE4989" w:rsidRPr="00785FB4">
        <w:rPr>
          <w:color w:val="000000" w:themeColor="text1"/>
          <w:lang w:eastAsia="x-none"/>
        </w:rPr>
        <w:t>efforts to review the outcomes and impact of EITI implementation on natural resource governance</w:t>
      </w:r>
      <w:r w:rsidR="00F457B8" w:rsidRPr="00785FB4">
        <w:rPr>
          <w:color w:val="000000" w:themeColor="text1"/>
          <w:lang w:eastAsia="x-none"/>
        </w:rPr>
        <w:t xml:space="preserve"> and it is a concern that the MSG is not able to provide input to the drafting of annual progress reports.</w:t>
      </w:r>
      <w:r w:rsidR="00DE4989" w:rsidRPr="00785FB4">
        <w:rPr>
          <w:color w:val="000000" w:themeColor="text1"/>
          <w:lang w:eastAsia="x-none"/>
        </w:rPr>
        <w:t xml:space="preserve"> The MSG regularly publishes </w:t>
      </w:r>
      <w:r w:rsidR="00091CE0" w:rsidRPr="00785FB4">
        <w:rPr>
          <w:color w:val="000000" w:themeColor="text1"/>
          <w:lang w:eastAsia="x-none"/>
        </w:rPr>
        <w:t xml:space="preserve">timely </w:t>
      </w:r>
      <w:r w:rsidR="00DE4989" w:rsidRPr="00785FB4">
        <w:rPr>
          <w:color w:val="000000" w:themeColor="text1"/>
          <w:lang w:eastAsia="x-none"/>
        </w:rPr>
        <w:t>annual progress reports</w:t>
      </w:r>
      <w:r w:rsidR="00091CE0" w:rsidRPr="00785FB4">
        <w:rPr>
          <w:color w:val="000000" w:themeColor="text1"/>
          <w:lang w:eastAsia="x-none"/>
        </w:rPr>
        <w:t>,</w:t>
      </w:r>
      <w:r w:rsidR="00DE4989" w:rsidRPr="00785FB4">
        <w:rPr>
          <w:color w:val="000000" w:themeColor="text1"/>
          <w:lang w:eastAsia="x-none"/>
        </w:rPr>
        <w:t xml:space="preserve"> which include cursory summaries of the EITI’s activities for the year, including an evaluation of implementation of the beneficial ownership roadmap. There is no evidence that annual progress reports are used to actively assess progress with achieving the objectives set out in AEITI work plans or to assess progress made in addressing recommendations from reconciliation and Validation</w:t>
      </w:r>
      <w:r w:rsidR="00091CE0" w:rsidRPr="00785FB4">
        <w:rPr>
          <w:color w:val="000000" w:themeColor="text1"/>
          <w:lang w:eastAsia="x-none"/>
        </w:rPr>
        <w:t>.</w:t>
      </w:r>
      <w:r w:rsidR="00DE4989" w:rsidRPr="00785FB4">
        <w:rPr>
          <w:color w:val="000000" w:themeColor="text1"/>
          <w:lang w:eastAsia="x-none"/>
        </w:rPr>
        <w:t xml:space="preserve"> </w:t>
      </w:r>
      <w:r w:rsidR="00091CE0" w:rsidRPr="00785FB4">
        <w:rPr>
          <w:color w:val="000000" w:themeColor="text1"/>
          <w:lang w:eastAsia="x-none"/>
        </w:rPr>
        <w:t>However,</w:t>
      </w:r>
      <w:r w:rsidR="003F6F2C" w:rsidRPr="00785FB4">
        <w:rPr>
          <w:color w:val="000000" w:themeColor="text1"/>
          <w:lang w:eastAsia="x-none"/>
        </w:rPr>
        <w:t xml:space="preserve"> </w:t>
      </w:r>
      <w:r w:rsidR="00DE4989" w:rsidRPr="00785FB4">
        <w:rPr>
          <w:color w:val="000000" w:themeColor="text1"/>
          <w:lang w:eastAsia="x-none"/>
        </w:rPr>
        <w:t xml:space="preserve">there is evidence that the MSG has developed </w:t>
      </w:r>
      <w:r w:rsidR="00C37713" w:rsidRPr="00785FB4">
        <w:rPr>
          <w:color w:val="000000" w:themeColor="text1"/>
          <w:lang w:eastAsia="x-none"/>
        </w:rPr>
        <w:t>other tools such as the MSG action plan for this purpose. There is little evidence however that the MSG’s action plan serves to inform annual work plans, and it is unclear how progress against the MSG’s action plan is monitored.</w:t>
      </w:r>
      <w:r w:rsidR="00F457B8" w:rsidRPr="00785FB4">
        <w:rPr>
          <w:color w:val="000000" w:themeColor="text1"/>
          <w:lang w:eastAsia="x-none"/>
        </w:rPr>
        <w:t xml:space="preserve"> There is also no evidence of the MSG assessing the impact of EITI implementation, either through annual progress reports or through other public documents.</w:t>
      </w:r>
    </w:p>
    <w:p w14:paraId="24D284B0" w14:textId="567B72E9" w:rsidR="00C37713" w:rsidRPr="00785FB4" w:rsidRDefault="00C31994" w:rsidP="000E3947">
      <w:pPr>
        <w:spacing w:before="120"/>
        <w:rPr>
          <w:color w:val="000000" w:themeColor="text1"/>
          <w:lang w:eastAsia="x-none"/>
        </w:rPr>
      </w:pPr>
      <w:r w:rsidRPr="00785FB4">
        <w:rPr>
          <w:color w:val="000000" w:themeColor="text1"/>
          <w:lang w:eastAsia="x-none"/>
        </w:rPr>
        <w:t>I</w:t>
      </w:r>
      <w:r w:rsidR="00C37713" w:rsidRPr="00785FB4">
        <w:rPr>
          <w:color w:val="000000" w:themeColor="text1"/>
          <w:lang w:eastAsia="x-none"/>
        </w:rPr>
        <w:t xml:space="preserve">n accordance with Requirement 7.4, Afghanistan should ensure that all stakeholders are able to participate in the production of the annual progress report and review the impact of EITI implementation. Stakeholders beyond the MSG should be able to provide feedback on the EITI process and have their views reflected in the annual progress report. </w:t>
      </w:r>
      <w:r w:rsidR="008379BE" w:rsidRPr="00785FB4">
        <w:rPr>
          <w:color w:val="000000" w:themeColor="text1"/>
          <w:lang w:eastAsia="x-none"/>
        </w:rPr>
        <w:t xml:space="preserve">The MSG should ensure that an assessment of progress with achieving the objectives set out in its work plan is carried out, including the impact and outcomes of the stated objectives. The MSG may wish to use the APR template provided by the International Secretariat to ensure that the different tools to review progress are harmonised. The MSG </w:t>
      </w:r>
      <w:r w:rsidR="00BC6D6A" w:rsidRPr="00785FB4">
        <w:rPr>
          <w:color w:val="000000" w:themeColor="text1"/>
          <w:lang w:eastAsia="x-none"/>
        </w:rPr>
        <w:t xml:space="preserve">may wish to </w:t>
      </w:r>
      <w:r w:rsidR="008379BE" w:rsidRPr="00785FB4">
        <w:rPr>
          <w:color w:val="000000" w:themeColor="text1"/>
          <w:lang w:eastAsia="x-none"/>
        </w:rPr>
        <w:t>also ensure that the APR, the MSG’s action plan and any other management tools are used to feed into the annual work plans.</w:t>
      </w:r>
    </w:p>
    <w:p w14:paraId="05F44415" w14:textId="39F8EBE3" w:rsidR="00AE51FA" w:rsidRPr="00785FB4" w:rsidRDefault="00A33A13" w:rsidP="00D31D88">
      <w:pPr>
        <w:pStyle w:val="Caption"/>
      </w:pPr>
      <w:bookmarkStart w:id="630" w:name="_Toc463537780"/>
      <w:bookmarkStart w:id="631" w:name="_Toc463537967"/>
      <w:r w:rsidRPr="00785FB4">
        <w:t xml:space="preserve">Table </w:t>
      </w:r>
      <w:fldSimple w:instr=" SEQ Table \* ARABIC ">
        <w:r w:rsidR="00D8510F" w:rsidRPr="00785FB4">
          <w:t>7</w:t>
        </w:r>
      </w:fldSimple>
      <w:r w:rsidR="00AE51FA" w:rsidRPr="00785FB4">
        <w:rPr>
          <w:color w:val="000000"/>
        </w:rPr>
        <w:t xml:space="preserve"> - </w:t>
      </w:r>
      <w:r w:rsidR="00AE51FA" w:rsidRPr="00785FB4">
        <w:rPr>
          <w:rFonts w:eastAsia="Calibri"/>
        </w:rPr>
        <w:t xml:space="preserve">Summary </w:t>
      </w:r>
      <w:r w:rsidR="00BD3160" w:rsidRPr="00785FB4">
        <w:rPr>
          <w:rFonts w:eastAsia="Calibri"/>
        </w:rPr>
        <w:t xml:space="preserve">initial </w:t>
      </w:r>
      <w:r w:rsidR="00AE51FA" w:rsidRPr="00785FB4">
        <w:rPr>
          <w:rFonts w:eastAsia="Calibri"/>
        </w:rPr>
        <w:t>assessment table: Outcomes and impact</w:t>
      </w:r>
      <w:bookmarkEnd w:id="630"/>
      <w:bookmarkEnd w:id="631"/>
    </w:p>
    <w:tbl>
      <w:tblPr>
        <w:tblW w:w="96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5812"/>
        <w:gridCol w:w="2203"/>
      </w:tblGrid>
      <w:tr w:rsidR="00A33A13" w:rsidRPr="00785FB4" w14:paraId="02DDCF6C" w14:textId="77777777" w:rsidTr="007369FB">
        <w:trPr>
          <w:trHeight w:val="675"/>
        </w:trPr>
        <w:tc>
          <w:tcPr>
            <w:tcW w:w="1588" w:type="dxa"/>
            <w:shd w:val="clear" w:color="auto" w:fill="D9D9D9"/>
            <w:vAlign w:val="center"/>
          </w:tcPr>
          <w:p w14:paraId="7331F4F7" w14:textId="77777777" w:rsidR="00D47A3F" w:rsidRPr="00785FB4" w:rsidRDefault="00D47A3F" w:rsidP="00D8510F">
            <w:pPr>
              <w:pStyle w:val="Tabletext"/>
              <w:rPr>
                <w:lang w:val="en-GB"/>
              </w:rPr>
            </w:pPr>
            <w:r w:rsidRPr="00785FB4">
              <w:rPr>
                <w:lang w:val="en-GB"/>
              </w:rPr>
              <w:lastRenderedPageBreak/>
              <w:t>EITI provisions</w:t>
            </w:r>
          </w:p>
        </w:tc>
        <w:tc>
          <w:tcPr>
            <w:tcW w:w="5812" w:type="dxa"/>
            <w:shd w:val="clear" w:color="auto" w:fill="D9D9D9"/>
            <w:vAlign w:val="center"/>
          </w:tcPr>
          <w:p w14:paraId="5E8F914E" w14:textId="77777777" w:rsidR="00D47A3F" w:rsidRPr="00785FB4" w:rsidRDefault="00D47A3F" w:rsidP="00D8510F">
            <w:pPr>
              <w:pStyle w:val="Tabletext"/>
              <w:rPr>
                <w:lang w:val="en-GB"/>
              </w:rPr>
            </w:pPr>
            <w:r w:rsidRPr="00785FB4">
              <w:rPr>
                <w:lang w:val="en-GB"/>
              </w:rPr>
              <w:t>Summary of main findings</w:t>
            </w:r>
          </w:p>
        </w:tc>
        <w:tc>
          <w:tcPr>
            <w:tcW w:w="2203" w:type="dxa"/>
            <w:shd w:val="clear" w:color="auto" w:fill="D9D9D9"/>
            <w:vAlign w:val="center"/>
          </w:tcPr>
          <w:p w14:paraId="44C634A1" w14:textId="4C2049ED" w:rsidR="00D47A3F" w:rsidRPr="00785FB4" w:rsidRDefault="00FA51E8" w:rsidP="00D8510F">
            <w:pPr>
              <w:pStyle w:val="Tabletext"/>
              <w:rPr>
                <w:lang w:val="en-GB"/>
              </w:rPr>
            </w:pPr>
            <w:r w:rsidRPr="00785FB4">
              <w:rPr>
                <w:lang w:val="en-GB"/>
              </w:rPr>
              <w:t xml:space="preserve">International Secretariat’s </w:t>
            </w:r>
            <w:r w:rsidR="00D47A3F" w:rsidRPr="00785FB4">
              <w:rPr>
                <w:lang w:val="en-GB"/>
              </w:rPr>
              <w:t xml:space="preserve">recommendation on compliance with the EITI provisions </w:t>
            </w:r>
          </w:p>
        </w:tc>
      </w:tr>
      <w:tr w:rsidR="00A33A13" w:rsidRPr="00785FB4" w14:paraId="457230E1" w14:textId="77777777" w:rsidTr="007369FB">
        <w:tc>
          <w:tcPr>
            <w:tcW w:w="1588" w:type="dxa"/>
            <w:shd w:val="clear" w:color="auto" w:fill="auto"/>
            <w:vAlign w:val="center"/>
          </w:tcPr>
          <w:p w14:paraId="7B5CBD70" w14:textId="2F2D8E9E" w:rsidR="0068339D" w:rsidRPr="00785FB4" w:rsidRDefault="0068339D" w:rsidP="00D8510F">
            <w:pPr>
              <w:pStyle w:val="Tabletext"/>
              <w:rPr>
                <w:lang w:val="en-GB"/>
              </w:rPr>
            </w:pPr>
            <w:r w:rsidRPr="00785FB4">
              <w:rPr>
                <w:lang w:val="en-GB"/>
              </w:rPr>
              <w:t>Public debate (#</w:t>
            </w:r>
            <w:r w:rsidR="00436407" w:rsidRPr="00785FB4">
              <w:rPr>
                <w:lang w:val="en-GB"/>
              </w:rPr>
              <w:t>7</w:t>
            </w:r>
            <w:r w:rsidRPr="00785FB4">
              <w:rPr>
                <w:lang w:val="en-GB"/>
              </w:rPr>
              <w:t>.1)</w:t>
            </w:r>
          </w:p>
        </w:tc>
        <w:tc>
          <w:tcPr>
            <w:tcW w:w="5812" w:type="dxa"/>
            <w:shd w:val="clear" w:color="auto" w:fill="auto"/>
            <w:vAlign w:val="center"/>
          </w:tcPr>
          <w:p w14:paraId="591DF1E4" w14:textId="4978CC6F" w:rsidR="0068339D" w:rsidRPr="00785FB4" w:rsidRDefault="00EE2E4B" w:rsidP="00AF54FF">
            <w:pPr>
              <w:spacing w:before="120"/>
              <w:rPr>
                <w:color w:val="000000" w:themeColor="text1"/>
                <w:lang w:eastAsia="x-none"/>
              </w:rPr>
            </w:pPr>
            <w:r w:rsidRPr="00785FB4">
              <w:rPr>
                <w:color w:val="000000" w:themeColor="text1"/>
                <w:lang w:eastAsia="x-none"/>
              </w:rPr>
              <w:t xml:space="preserve">Afghanistan’s EITI Reports are circulated and translated into local languages, although there are concerns that the pace of communications and outreach has slowed significantly over the last 3 years. The MSG has agreed an open data policy, although it is a concern that this is not publicly available. In spite of the limitations posed by the security situation in the country, outreach events are carried out to the provinces and to key stakeholders such as parliamentarians, although these are not carried out as regularly as envisioned in AEITI work plans. AEITI has developed a communications strategy, however it is not clear how it is being followed in practice. </w:t>
            </w:r>
          </w:p>
        </w:tc>
        <w:tc>
          <w:tcPr>
            <w:tcW w:w="2203" w:type="dxa"/>
            <w:vAlign w:val="center"/>
          </w:tcPr>
          <w:p w14:paraId="7128CDF5" w14:textId="3A47A427" w:rsidR="0068339D" w:rsidRPr="00785FB4" w:rsidRDefault="00EE2E4B" w:rsidP="00D8510F">
            <w:pPr>
              <w:pStyle w:val="Tabletext"/>
              <w:rPr>
                <w:lang w:val="en-GB"/>
              </w:rPr>
            </w:pPr>
            <w:r w:rsidRPr="00785FB4">
              <w:rPr>
                <w:lang w:val="en-GB"/>
              </w:rPr>
              <w:t xml:space="preserve">Meaningful </w:t>
            </w:r>
            <w:r w:rsidR="00AF54FF" w:rsidRPr="00785FB4">
              <w:rPr>
                <w:lang w:val="en-GB"/>
              </w:rPr>
              <w:t>progress</w:t>
            </w:r>
          </w:p>
        </w:tc>
      </w:tr>
      <w:tr w:rsidR="00A33A13" w:rsidRPr="00785FB4" w14:paraId="18BA8F4B" w14:textId="77777777" w:rsidTr="007369FB">
        <w:tc>
          <w:tcPr>
            <w:tcW w:w="1588" w:type="dxa"/>
            <w:shd w:val="clear" w:color="auto" w:fill="auto"/>
            <w:vAlign w:val="center"/>
          </w:tcPr>
          <w:p w14:paraId="48CA11C3" w14:textId="70C68C6E" w:rsidR="0068339D" w:rsidRPr="00785FB4" w:rsidRDefault="0068339D" w:rsidP="00D8510F">
            <w:pPr>
              <w:pStyle w:val="Tabletext"/>
              <w:rPr>
                <w:lang w:val="en-GB"/>
              </w:rPr>
            </w:pPr>
            <w:r w:rsidRPr="00785FB4">
              <w:rPr>
                <w:lang w:val="en-GB"/>
              </w:rPr>
              <w:t>Data accessibility (#</w:t>
            </w:r>
            <w:r w:rsidR="00436407" w:rsidRPr="00785FB4">
              <w:rPr>
                <w:lang w:val="en-GB"/>
              </w:rPr>
              <w:t>7</w:t>
            </w:r>
            <w:r w:rsidRPr="00785FB4">
              <w:rPr>
                <w:lang w:val="en-GB"/>
              </w:rPr>
              <w:t>.2)</w:t>
            </w:r>
          </w:p>
        </w:tc>
        <w:tc>
          <w:tcPr>
            <w:tcW w:w="5812" w:type="dxa"/>
            <w:shd w:val="clear" w:color="auto" w:fill="auto"/>
            <w:vAlign w:val="center"/>
          </w:tcPr>
          <w:p w14:paraId="0B184082" w14:textId="4A5BDBDB" w:rsidR="005E6D9B" w:rsidRPr="00785FB4" w:rsidRDefault="00AF54FF" w:rsidP="00AF54FF">
            <w:pPr>
              <w:rPr>
                <w:b/>
              </w:rPr>
            </w:pPr>
            <w:r w:rsidRPr="00785FB4">
              <w:rPr>
                <w:rFonts w:cs="Arial"/>
              </w:rPr>
              <w:t xml:space="preserve">AEITI’s open data policy and practice in regularly publishing summary reports provide a good point of departure </w:t>
            </w:r>
            <w:r w:rsidRPr="00785FB4">
              <w:t>to demonstrate additional progress to make information more easily accessible to the public.</w:t>
            </w:r>
          </w:p>
        </w:tc>
        <w:tc>
          <w:tcPr>
            <w:tcW w:w="2203" w:type="dxa"/>
            <w:shd w:val="clear" w:color="auto" w:fill="D9D9D9"/>
            <w:vAlign w:val="center"/>
          </w:tcPr>
          <w:p w14:paraId="3C6F6676" w14:textId="6D62EB21" w:rsidR="0068339D" w:rsidRPr="00785FB4" w:rsidRDefault="0068339D" w:rsidP="00D8510F">
            <w:pPr>
              <w:pStyle w:val="Tabletext"/>
              <w:rPr>
                <w:lang w:val="en-GB"/>
              </w:rPr>
            </w:pPr>
          </w:p>
        </w:tc>
      </w:tr>
      <w:tr w:rsidR="00A33A13" w:rsidRPr="00785FB4" w14:paraId="7C38E1EF" w14:textId="77777777" w:rsidTr="007369FB">
        <w:tc>
          <w:tcPr>
            <w:tcW w:w="1588" w:type="dxa"/>
            <w:shd w:val="clear" w:color="auto" w:fill="auto"/>
            <w:vAlign w:val="center"/>
          </w:tcPr>
          <w:p w14:paraId="4817DC3B" w14:textId="0C064BA7" w:rsidR="0068339D" w:rsidRPr="00785FB4" w:rsidRDefault="0068339D" w:rsidP="00D8510F">
            <w:pPr>
              <w:pStyle w:val="Tabletext"/>
              <w:rPr>
                <w:lang w:val="en-GB"/>
              </w:rPr>
            </w:pPr>
            <w:r w:rsidRPr="00785FB4">
              <w:rPr>
                <w:lang w:val="en-GB"/>
              </w:rPr>
              <w:t>Lessons learned and follow up on recommendations (7.</w:t>
            </w:r>
            <w:r w:rsidR="00436407" w:rsidRPr="00785FB4">
              <w:rPr>
                <w:lang w:val="en-GB"/>
              </w:rPr>
              <w:t>3</w:t>
            </w:r>
            <w:r w:rsidRPr="00785FB4">
              <w:rPr>
                <w:lang w:val="en-GB"/>
              </w:rPr>
              <w:t>)</w:t>
            </w:r>
          </w:p>
        </w:tc>
        <w:tc>
          <w:tcPr>
            <w:tcW w:w="5812" w:type="dxa"/>
            <w:shd w:val="clear" w:color="auto" w:fill="auto"/>
            <w:vAlign w:val="center"/>
          </w:tcPr>
          <w:p w14:paraId="56688ECF" w14:textId="3BD87CEB" w:rsidR="0068339D" w:rsidRPr="00785FB4" w:rsidRDefault="00FD5D45" w:rsidP="00FD5D45">
            <w:pPr>
              <w:spacing w:before="120"/>
              <w:rPr>
                <w:color w:val="000000" w:themeColor="text1"/>
                <w:lang w:eastAsia="x-none"/>
              </w:rPr>
            </w:pPr>
            <w:r w:rsidRPr="00785FB4">
              <w:rPr>
                <w:color w:val="000000" w:themeColor="text1"/>
                <w:lang w:eastAsia="x-none"/>
              </w:rPr>
              <w:t>There is evidence that the government and the MSG have taken some steps to act upon lessons learned and investigate and address the causes of discrepancies in EITI reporting, however these efforts are hampered by lack of coordination between the MSG and the government. There does not appear to be a system in place to discuss, prioritise and adequately process recommendations from EITI reports, nor is there any indication that working groups set up to address specific recommendations are followed up. As a result, the only recommendations that appear</w:t>
            </w:r>
            <w:r w:rsidR="004F76D4" w:rsidRPr="00785FB4">
              <w:rPr>
                <w:color w:val="000000" w:themeColor="text1"/>
                <w:lang w:eastAsia="x-none"/>
              </w:rPr>
              <w:t>s</w:t>
            </w:r>
            <w:r w:rsidRPr="00785FB4">
              <w:rPr>
                <w:color w:val="000000" w:themeColor="text1"/>
                <w:lang w:eastAsia="x-none"/>
              </w:rPr>
              <w:t xml:space="preserve"> to be consistently followed up are the ones that make it to the different accountability frameworks that the </w:t>
            </w:r>
            <w:r w:rsidR="004F76D4" w:rsidRPr="00785FB4">
              <w:rPr>
                <w:color w:val="000000" w:themeColor="text1"/>
                <w:lang w:eastAsia="x-none"/>
              </w:rPr>
              <w:t xml:space="preserve">government </w:t>
            </w:r>
            <w:r w:rsidRPr="00785FB4">
              <w:rPr>
                <w:color w:val="000000" w:themeColor="text1"/>
                <w:lang w:eastAsia="x-none"/>
              </w:rPr>
              <w:t>has in place with the international community</w:t>
            </w:r>
            <w:r w:rsidR="004F76D4" w:rsidRPr="00785FB4">
              <w:rPr>
                <w:color w:val="000000" w:themeColor="text1"/>
                <w:lang w:eastAsia="x-none"/>
              </w:rPr>
              <w:t>, although there is no evidence that the MSG has any input to such international agreements</w:t>
            </w:r>
            <w:r w:rsidRPr="00785FB4">
              <w:rPr>
                <w:color w:val="000000" w:themeColor="text1"/>
                <w:lang w:eastAsia="x-none"/>
              </w:rPr>
              <w:t xml:space="preserve">. </w:t>
            </w:r>
          </w:p>
        </w:tc>
        <w:tc>
          <w:tcPr>
            <w:tcW w:w="2203" w:type="dxa"/>
            <w:shd w:val="clear" w:color="auto" w:fill="FFFFFF"/>
            <w:vAlign w:val="center"/>
          </w:tcPr>
          <w:p w14:paraId="2FDC72DD" w14:textId="6D125E23" w:rsidR="003868C1" w:rsidRPr="00785FB4" w:rsidDel="00F96D88" w:rsidRDefault="00FD5D45" w:rsidP="00FD5D45">
            <w:pPr>
              <w:spacing w:before="120"/>
            </w:pPr>
            <w:r w:rsidRPr="00785FB4">
              <w:t>Meaningful progress</w:t>
            </w:r>
          </w:p>
        </w:tc>
      </w:tr>
      <w:tr w:rsidR="00A33A13" w:rsidRPr="00785FB4" w14:paraId="3CD2D02A" w14:textId="77777777" w:rsidTr="007369FB">
        <w:tc>
          <w:tcPr>
            <w:tcW w:w="1588" w:type="dxa"/>
            <w:shd w:val="clear" w:color="auto" w:fill="auto"/>
            <w:vAlign w:val="center"/>
          </w:tcPr>
          <w:p w14:paraId="2D4086D6" w14:textId="68910A86" w:rsidR="0068339D" w:rsidRPr="00785FB4" w:rsidRDefault="0068339D" w:rsidP="00D8510F">
            <w:pPr>
              <w:pStyle w:val="Tabletext"/>
              <w:rPr>
                <w:lang w:val="en-GB"/>
              </w:rPr>
            </w:pPr>
            <w:r w:rsidRPr="00785FB4">
              <w:rPr>
                <w:lang w:val="en-GB"/>
              </w:rPr>
              <w:t>Outcomes and impact of implementation (#7.</w:t>
            </w:r>
            <w:r w:rsidR="00436407" w:rsidRPr="00785FB4">
              <w:rPr>
                <w:lang w:val="en-GB"/>
              </w:rPr>
              <w:t>4</w:t>
            </w:r>
            <w:r w:rsidRPr="00785FB4">
              <w:rPr>
                <w:lang w:val="en-GB"/>
              </w:rPr>
              <w:t>)</w:t>
            </w:r>
          </w:p>
        </w:tc>
        <w:tc>
          <w:tcPr>
            <w:tcW w:w="5812" w:type="dxa"/>
            <w:shd w:val="clear" w:color="auto" w:fill="auto"/>
            <w:vAlign w:val="center"/>
          </w:tcPr>
          <w:p w14:paraId="1F8180B5" w14:textId="6BC1D615" w:rsidR="00E876C7" w:rsidRPr="00785FB4" w:rsidRDefault="00F457B8" w:rsidP="008379BE">
            <w:pPr>
              <w:spacing w:before="120"/>
              <w:rPr>
                <w:color w:val="000000" w:themeColor="text1"/>
                <w:lang w:eastAsia="x-none"/>
              </w:rPr>
            </w:pPr>
            <w:r w:rsidRPr="00785FB4">
              <w:rPr>
                <w:color w:val="000000" w:themeColor="text1"/>
                <w:lang w:eastAsia="x-none"/>
              </w:rPr>
              <w:t xml:space="preserve">The Secretariat’s assessment </w:t>
            </w:r>
            <w:r w:rsidR="004F76D4" w:rsidRPr="00785FB4">
              <w:rPr>
                <w:color w:val="000000" w:themeColor="text1"/>
                <w:lang w:eastAsia="x-none"/>
              </w:rPr>
              <w:t>takes account of other EITI documents such as the MSG A</w:t>
            </w:r>
            <w:r w:rsidRPr="00785FB4">
              <w:rPr>
                <w:color w:val="000000" w:themeColor="text1"/>
                <w:lang w:eastAsia="x-none"/>
              </w:rPr>
              <w:t xml:space="preserve">ction </w:t>
            </w:r>
            <w:r w:rsidR="004F76D4" w:rsidRPr="00785FB4">
              <w:rPr>
                <w:color w:val="000000" w:themeColor="text1"/>
                <w:lang w:eastAsia="x-none"/>
              </w:rPr>
              <w:t>P</w:t>
            </w:r>
            <w:r w:rsidRPr="00785FB4">
              <w:rPr>
                <w:color w:val="000000" w:themeColor="text1"/>
                <w:lang w:eastAsia="x-none"/>
              </w:rPr>
              <w:t xml:space="preserve">lan. Afghanistan has undertaken limited efforts to review the outcomes and impact of EITI implementation on natural resource governance, and it is a concern that the MSG is not able to provide input to the </w:t>
            </w:r>
            <w:r w:rsidRPr="00785FB4">
              <w:rPr>
                <w:color w:val="000000" w:themeColor="text1"/>
                <w:lang w:eastAsia="x-none"/>
              </w:rPr>
              <w:lastRenderedPageBreak/>
              <w:t>drafting of annual progress reports. The MSG regularly publishes annual progress reports in a timely manner which include cursory summaries of the EITI’s activities for the year, including an evaluation of implementation of the beneficial ownership roadmap. There is no evidence that annual progress reports are used to actively assess progress with achieving the objectives set out in AEITI work plans or to assess progress made in addressing recommendations from reconciliation and Validation, but there is evidence that the MSG has developed other tools, such as the MSG action plan, for this purpose. There is little evidence however that the MSG’s action plan serves to inform annual work plans, and it is unclear how progress against the MSG’s action plan is monitored. There is also no evidence of the MSG assessing the impact of EITI implementation, either through annual progress reports or through other public documents.</w:t>
            </w:r>
          </w:p>
        </w:tc>
        <w:tc>
          <w:tcPr>
            <w:tcW w:w="2203" w:type="dxa"/>
            <w:shd w:val="clear" w:color="auto" w:fill="FFFFFF"/>
            <w:vAlign w:val="center"/>
          </w:tcPr>
          <w:p w14:paraId="463365BD" w14:textId="3C24D80A" w:rsidR="0068339D" w:rsidRPr="00785FB4" w:rsidRDefault="00FF473F" w:rsidP="00D8510F">
            <w:pPr>
              <w:pStyle w:val="Tabletext"/>
              <w:rPr>
                <w:lang w:val="en-GB"/>
              </w:rPr>
            </w:pPr>
            <w:r w:rsidRPr="00785FB4">
              <w:rPr>
                <w:lang w:val="en-GB"/>
              </w:rPr>
              <w:lastRenderedPageBreak/>
              <w:t>Meaningful progress.</w:t>
            </w:r>
          </w:p>
        </w:tc>
      </w:tr>
      <w:tr w:rsidR="00EC1FBA" w:rsidRPr="00785FB4" w14:paraId="6120F6B5" w14:textId="77777777" w:rsidTr="007B124A">
        <w:tc>
          <w:tcPr>
            <w:tcW w:w="9603" w:type="dxa"/>
            <w:gridSpan w:val="3"/>
            <w:shd w:val="clear" w:color="auto" w:fill="FFFFFF"/>
            <w:vAlign w:val="center"/>
          </w:tcPr>
          <w:p w14:paraId="553DE71B" w14:textId="6F043FE8" w:rsidR="00EC1FBA" w:rsidRPr="00785FB4" w:rsidRDefault="00EC1FBA" w:rsidP="00D8510F">
            <w:pPr>
              <w:pStyle w:val="Tabletext"/>
              <w:rPr>
                <w:lang w:val="en-GB"/>
              </w:rPr>
            </w:pPr>
            <w:r w:rsidRPr="00785FB4">
              <w:rPr>
                <w:lang w:val="en-GB"/>
              </w:rPr>
              <w:t>Secretariat’s recommendations:</w:t>
            </w:r>
          </w:p>
          <w:p w14:paraId="42D7EB06" w14:textId="57C5050C" w:rsidR="00EC1FBA" w:rsidRPr="00785FB4" w:rsidRDefault="00EE2E4B" w:rsidP="00D31D88">
            <w:pPr>
              <w:pStyle w:val="ListParagraph"/>
              <w:numPr>
                <w:ilvl w:val="0"/>
                <w:numId w:val="53"/>
              </w:numPr>
              <w:rPr>
                <w:rFonts w:eastAsia="Calibri"/>
              </w:rPr>
            </w:pPr>
            <w:r w:rsidRPr="00785FB4">
              <w:t>In accordance with requirement 7.1, Afghanistan should ensure that EITI reports are comprehensible, actively promoted, publicly accessible and contribute to public debate. Taking into account the security situation, the MSG should continue to seek to carry out outreach events to spread awareness of and facilitate dialogue about the EITI Report across the country whenever possible. The MSG may wish to consider linking the AEITI communications strategy more closely to the work plan and tailoring key messages to sector priorities rather than to EITI implementation more broadly. The MSG is also encouraged to ensure that the open data policy is posted online and that EITI reports are available in open data format.</w:t>
            </w:r>
          </w:p>
          <w:p w14:paraId="6F370F7A" w14:textId="477F0663" w:rsidR="00BF4082" w:rsidRPr="00785FB4" w:rsidRDefault="00BF4082" w:rsidP="00D31D88">
            <w:pPr>
              <w:pStyle w:val="ListParagraph"/>
              <w:numPr>
                <w:ilvl w:val="0"/>
                <w:numId w:val="53"/>
              </w:numPr>
              <w:rPr>
                <w:rFonts w:eastAsia="Calibri"/>
              </w:rPr>
            </w:pPr>
            <w:r w:rsidRPr="00785FB4">
              <w:rPr>
                <w:rFonts w:eastAsia="Calibri"/>
              </w:rPr>
              <w:t>To strengthen implementation, Afghanistan is encouraged to make EITI reports available in machine-readable formats.</w:t>
            </w:r>
          </w:p>
          <w:p w14:paraId="70601474" w14:textId="71D13546" w:rsidR="00EC1FBA" w:rsidRPr="00785FB4" w:rsidRDefault="00FD5D45" w:rsidP="00D31D88">
            <w:pPr>
              <w:pStyle w:val="ListParagraph"/>
              <w:numPr>
                <w:ilvl w:val="0"/>
                <w:numId w:val="53"/>
              </w:numPr>
            </w:pPr>
            <w:r w:rsidRPr="00785FB4">
              <w:t>In accordance with Requirement 7.3, Afghanistan should take steps to act upon lessons learnt with a view to strengthen the impact of EITI implementation on natural resource governance. In particular the MSG should consider improving its procedures to process recommendations. Taking into consideration the importance of the MAS and the IMF’s ECF review frameworks in an Afghan context, the MSG is encouraged to encourage the development of “smart deliverables” that issue from EITI recommendations and serve to prioritise these.</w:t>
            </w:r>
          </w:p>
          <w:p w14:paraId="7F5453D4" w14:textId="4AF2A0FC" w:rsidR="00EC1FBA" w:rsidRPr="00785FB4" w:rsidRDefault="002E49D6" w:rsidP="00D31D88">
            <w:pPr>
              <w:pStyle w:val="ListParagraph"/>
              <w:numPr>
                <w:ilvl w:val="0"/>
                <w:numId w:val="53"/>
              </w:numPr>
              <w:rPr>
                <w:rFonts w:eastAsia="Calibri"/>
              </w:rPr>
            </w:pPr>
            <w:r w:rsidRPr="00785FB4">
              <w:t>I</w:t>
            </w:r>
            <w:r w:rsidR="008379BE" w:rsidRPr="00785FB4">
              <w:t xml:space="preserve">n accordance with Requirement 7.4, Afghanistan should ensure that all stakeholders are able to participate in the production of the annual progress report and review the impact of EITI implementation. Stakeholders beyond the MSG should be able to provide feedback on the EITI process and have their views reflected in the annual progress report. The MSG should ensure that an assessment of progress with achieving the objectives set out in its work plan is carried out, including the impact and outcomes of the stated objectives. The MSG may wish to use the APR template provided by the International Secretariat to ensure that the different tools to review progress are harmonised. The MSG </w:t>
            </w:r>
            <w:r w:rsidR="004F76D4" w:rsidRPr="00785FB4">
              <w:t>is encouraged to</w:t>
            </w:r>
            <w:r w:rsidR="008379BE" w:rsidRPr="00785FB4">
              <w:t xml:space="preserve"> ensure that the APR, the MSG’s action plan and any other management tools are used to feed into the annual work plans.</w:t>
            </w:r>
          </w:p>
        </w:tc>
      </w:tr>
    </w:tbl>
    <w:p w14:paraId="5287A968" w14:textId="77777777" w:rsidR="00FA51E8" w:rsidRPr="00785FB4" w:rsidRDefault="00FA51E8" w:rsidP="007369FB">
      <w:bookmarkStart w:id="632" w:name="_Toc458773266"/>
      <w:bookmarkStart w:id="633" w:name="_Toc458780363"/>
      <w:bookmarkStart w:id="634" w:name="_Toc461803157"/>
      <w:bookmarkStart w:id="635" w:name="_Toc461787368"/>
      <w:bookmarkStart w:id="636" w:name="_Toc461795880"/>
      <w:bookmarkStart w:id="637" w:name="_Toc459133208"/>
    </w:p>
    <w:p w14:paraId="24D7EC82" w14:textId="77777777" w:rsidR="00FA51E8" w:rsidRPr="00785FB4" w:rsidRDefault="00FA51E8" w:rsidP="00A94167">
      <w:pPr>
        <w:pStyle w:val="Heading2"/>
      </w:pPr>
      <w:r w:rsidRPr="00785FB4">
        <w:lastRenderedPageBreak/>
        <w:t xml:space="preserve">Impact analysis </w:t>
      </w:r>
    </w:p>
    <w:p w14:paraId="0A98EB15" w14:textId="77777777" w:rsidR="00FA51E8" w:rsidRPr="00785FB4" w:rsidRDefault="00FA51E8" w:rsidP="00A94167">
      <w:pPr>
        <w:pStyle w:val="Heading3"/>
      </w:pPr>
      <w:r w:rsidRPr="00785FB4">
        <w:t>(not to be considered in assessing compliance with the EITI provisions)</w:t>
      </w:r>
    </w:p>
    <w:p w14:paraId="277F2C6B" w14:textId="77777777" w:rsidR="00FA51E8" w:rsidRPr="00785FB4" w:rsidRDefault="00FA51E8" w:rsidP="00A94167">
      <w:pPr>
        <w:pStyle w:val="Heading3"/>
      </w:pPr>
      <w:r w:rsidRPr="00785FB4">
        <w:t>Impact</w:t>
      </w:r>
    </w:p>
    <w:p w14:paraId="0C1B08E8" w14:textId="77777777" w:rsidR="00B97413" w:rsidRPr="00785FB4" w:rsidRDefault="00B5598D" w:rsidP="00FA51E8">
      <w:r w:rsidRPr="00785FB4">
        <w:t xml:space="preserve">The EITI, like all government reforms, has been implemented against a backdrop of severe unrest and violence in Afghanistan. </w:t>
      </w:r>
      <w:r w:rsidR="0098361C" w:rsidRPr="00785FB4">
        <w:t xml:space="preserve">A key element of the mutual evaluation frameworks agreed with international donors, the EITI started in effect as a conditionality of international assistance for mining-sector </w:t>
      </w:r>
      <w:r w:rsidR="00B97413" w:rsidRPr="00785FB4">
        <w:t xml:space="preserve">reform. </w:t>
      </w:r>
      <w:r w:rsidR="002223FC" w:rsidRPr="00785FB4">
        <w:t xml:space="preserve">In a situation where the government collects roughly USD 40m a year in extractives revenues while the Taliban is believed to collect up to an estimated USD 200m from mineral taxation annually, any improvement in extractives governance has tangible national security implications. </w:t>
      </w:r>
    </w:p>
    <w:p w14:paraId="3BED0AC6" w14:textId="4C8AA468" w:rsidR="002555EB" w:rsidRPr="00785FB4" w:rsidRDefault="00B97413" w:rsidP="00FA51E8">
      <w:r w:rsidRPr="00785FB4">
        <w:t xml:space="preserve">Amidst the volatility of both operating environment and policies, with a switch from focusing on large-scale industrial mining to mid- and small-scale operations as well as a succession of unsuccessful cadastre projects, the EITI has had a tangible impact from the policy level to more practical ways. </w:t>
      </w:r>
      <w:r w:rsidR="002555EB" w:rsidRPr="00785FB4">
        <w:t>The UNDP has noted the need to strengthen formal and regular consultative mechanisms between government, civil society and the private sector on issues concerning the development of the extractive industry in Afghanistan, and identified the EITI as an existing tool to achieve this that should be strengthened.</w:t>
      </w:r>
      <w:r w:rsidR="002555EB" w:rsidRPr="00785FB4">
        <w:rPr>
          <w:rStyle w:val="FootnoteReference"/>
          <w:bCs/>
        </w:rPr>
        <w:footnoteReference w:id="322"/>
      </w:r>
      <w:r w:rsidR="002555EB" w:rsidRPr="00785FB4">
        <w:t xml:space="preserve"> According to an institutional review of AEITI carried out by Democracy International, AEITI in 2017, AEITI has been used as a forum for discussion of important extractive sector issues and contributed with technical expertise on a variety of topics (p.5).</w:t>
      </w:r>
    </w:p>
    <w:p w14:paraId="26A74207" w14:textId="5C1C647A" w:rsidR="00A639D9" w:rsidRPr="00785FB4" w:rsidRDefault="00B97413" w:rsidP="007369FB">
      <w:pPr>
        <w:spacing w:before="120"/>
        <w:rPr>
          <w:bCs/>
        </w:rPr>
      </w:pPr>
      <w:r w:rsidRPr="00785FB4">
        <w:t xml:space="preserve">From a low starting point, the EITI has had some impact. The multi-stakeholder group has enabled discussions on the management of mining licenses, the quality of production data and the traceability of extractives revenues. EITI Reports have served as regular “diagnostics tools” to assess progress on reforms. </w:t>
      </w:r>
      <w:r w:rsidR="00A639D9" w:rsidRPr="00785FB4">
        <w:t xml:space="preserve">The AEITI claims </w:t>
      </w:r>
      <w:r w:rsidR="00AB47A7" w:rsidRPr="00785FB4">
        <w:t>to have identified “a high probability” of lost revenues of some USD 2bn a year through EITI reporting.</w:t>
      </w:r>
      <w:r w:rsidR="00AB47A7" w:rsidRPr="00785FB4">
        <w:rPr>
          <w:rStyle w:val="FootnoteReference"/>
        </w:rPr>
        <w:footnoteReference w:id="323"/>
      </w:r>
      <w:r w:rsidR="002555EB" w:rsidRPr="00785FB4">
        <w:t xml:space="preserve"> </w:t>
      </w:r>
      <w:r w:rsidRPr="00785FB4">
        <w:t xml:space="preserve">For civil society, the EITI has provided a key channel to follow up on the government’s commitment to contract disclosure, resulting in the publication of over a thousand small-scale mining contracts in 2017. </w:t>
      </w:r>
      <w:r w:rsidR="00FD20C9" w:rsidRPr="00785FB4">
        <w:rPr>
          <w:bCs/>
        </w:rPr>
        <w:t xml:space="preserve">Several civil society representatives consulted highlighted the value of the EITI as the key channel for public demands for greater disclosures about the extractive industries, on previously-closed topics such as state-owned enterprises. </w:t>
      </w:r>
      <w:r w:rsidRPr="00785FB4">
        <w:t>All stakeholders have made frequent reference to EITI requirements to push for reforms.</w:t>
      </w:r>
    </w:p>
    <w:p w14:paraId="23BA4CC9" w14:textId="5DED7547" w:rsidR="00B97413" w:rsidRPr="00785FB4" w:rsidRDefault="00B97413" w:rsidP="00FA51E8">
      <w:r w:rsidRPr="00785FB4">
        <w:t xml:space="preserve">Stakeholders from all constituencies highlight the </w:t>
      </w:r>
      <w:r w:rsidR="00A639D9" w:rsidRPr="00785FB4">
        <w:t xml:space="preserve">importance of the </w:t>
      </w:r>
      <w:r w:rsidRPr="00785FB4">
        <w:t>baseline of data established through the EITI</w:t>
      </w:r>
      <w:r w:rsidR="00A639D9" w:rsidRPr="00785FB4">
        <w:t>,</w:t>
      </w:r>
      <w:r w:rsidRPr="00785FB4">
        <w:t xml:space="preserve"> </w:t>
      </w:r>
      <w:r w:rsidR="00A639D9" w:rsidRPr="00785FB4">
        <w:t xml:space="preserve">considered </w:t>
      </w:r>
      <w:r w:rsidRPr="00785FB4">
        <w:t xml:space="preserve">an important early </w:t>
      </w:r>
      <w:r w:rsidR="00A639D9" w:rsidRPr="00785FB4">
        <w:t xml:space="preserve">success on which all other reforms depend. Despite frustration over delays and false starts on important sector reforms from the modernisation and digitisation of the cadastre system to establishing a systematic non-tax revenue collection system, there is a broad recognition from stakeholders of the EITI’s role in recommending reforms. The government has undertaken significant reforms linked to following up on EITI recommendations, from publishing all mining contracts in 2017 to starting work on establishing a modern cadastre and non-tax revenue collection system. </w:t>
      </w:r>
    </w:p>
    <w:p w14:paraId="44D4FEFE" w14:textId="7B5EA069" w:rsidR="00A639D9" w:rsidRPr="00785FB4" w:rsidRDefault="00A639D9" w:rsidP="00FA51E8">
      <w:r w:rsidRPr="00785FB4">
        <w:rPr>
          <w:bCs/>
        </w:rPr>
        <w:lastRenderedPageBreak/>
        <w:t xml:space="preserve">Yet in many ways the EITI remains shy of its potential, even bearing the challenging Afghan context in mind. </w:t>
      </w:r>
      <w:r w:rsidR="002555EB" w:rsidRPr="00785FB4">
        <w:t xml:space="preserve">Democracy International notes specifically the MSG’s contributions to beneficial ownership disclosure and internal contract reviews, as well as conducting missions to provincial directorates, and concludes that “a well-functioning AEITI could be a catalyst for reform” in the sector. </w:t>
      </w:r>
      <w:r w:rsidRPr="00785FB4">
        <w:rPr>
          <w:bCs/>
        </w:rPr>
        <w:t xml:space="preserve">Poor coordination between government ministries has hindered effective follow-up on EITI recommendations. While stakeholders have used the EITI to encourage progress on cadastral management and revenue traceability, public financial management issues have not been part of the discussion. The glaring lack of attention to the two state-owned extractives companies, which together account for three-quarters of the government’s extractives revenues, is a concern. </w:t>
      </w:r>
      <w:r w:rsidRPr="00785FB4">
        <w:t>With enhanced technical leadership and capacity, the 2017 AEITI study notes, AEITI could “advocate for and monitor reform, coordinate meetings and technical discussions and work with ministries and directorates to implement accounting and financial guidelines”.</w:t>
      </w:r>
      <w:r w:rsidRPr="00785FB4">
        <w:rPr>
          <w:rStyle w:val="FootnoteReference"/>
          <w:bCs/>
        </w:rPr>
        <w:footnoteReference w:id="324"/>
      </w:r>
      <w:r w:rsidRPr="00785FB4">
        <w:t xml:space="preserve"> The government has sought to improve coordination between the MOF and MOMP, establishing joint coordination committees, but Afghanistan EITI could play a key role in coordinating reforms. </w:t>
      </w:r>
    </w:p>
    <w:p w14:paraId="5436F4DC" w14:textId="77777777" w:rsidR="00FA51E8" w:rsidRPr="00785FB4" w:rsidRDefault="00FA51E8" w:rsidP="00A94167">
      <w:pPr>
        <w:pStyle w:val="Heading3"/>
      </w:pPr>
      <w:r w:rsidRPr="00785FB4">
        <w:t>Sustainability</w:t>
      </w:r>
    </w:p>
    <w:p w14:paraId="5B5C72EA" w14:textId="4E25A200" w:rsidR="00FA51E8" w:rsidRPr="00785FB4" w:rsidRDefault="00FD20C9" w:rsidP="00FA51E8">
      <w:r w:rsidRPr="00785FB4">
        <w:t xml:space="preserve">There has historically been significant support from development partners for EITI implementation in Afghanistan. A key condition of successive mutual assistance frameworks agreed between Afghanistan and the international community, the sustainability of the EITI is ensured provided broader international support to Afghanistan is sustained. </w:t>
      </w:r>
      <w:r w:rsidR="00B048CD" w:rsidRPr="00785FB4">
        <w:rPr>
          <w:bCs/>
        </w:rPr>
        <w:t xml:space="preserve">Several development partners consulted considered the EITI as good “value for money” from the perspective of the development community, given its support for reformers and a channel for the international community to channel support to such reformers on priority areas such as beneficial ownership disclosure. </w:t>
      </w:r>
      <w:r w:rsidRPr="00785FB4">
        <w:t xml:space="preserve">In light of these conditions, there is significant high-level political support for the EITI, although institutional friction between different ministries and agencies poses implementation challenges to the EITI as for all other reforms. </w:t>
      </w:r>
    </w:p>
    <w:p w14:paraId="5031EFE0" w14:textId="3A587CCE" w:rsidR="00FA51E8" w:rsidRPr="00785FB4" w:rsidRDefault="00FA51E8" w:rsidP="00FA51E8">
      <w:pPr>
        <w:spacing w:before="120"/>
        <w:rPr>
          <w:bCs/>
        </w:rPr>
      </w:pPr>
    </w:p>
    <w:p w14:paraId="0A48CD8B" w14:textId="77777777" w:rsidR="00FA51E8" w:rsidRPr="00785FB4" w:rsidRDefault="00FA51E8" w:rsidP="007369FB"/>
    <w:p w14:paraId="17BF575B" w14:textId="77777777" w:rsidR="006934C7" w:rsidRPr="00785FB4" w:rsidRDefault="006934C7">
      <w:pPr>
        <w:widowControl/>
        <w:suppressAutoHyphens w:val="0"/>
        <w:spacing w:after="0" w:line="240" w:lineRule="auto"/>
        <w:sectPr w:rsidR="006934C7" w:rsidRPr="00785FB4" w:rsidSect="008F1820">
          <w:headerReference w:type="first" r:id="rId27"/>
          <w:pgSz w:w="11905" w:h="16837"/>
          <w:pgMar w:top="1175" w:right="1276" w:bottom="1418" w:left="1134" w:header="567" w:footer="0" w:gutter="0"/>
          <w:cols w:space="708"/>
          <w:titlePg/>
          <w:docGrid w:linePitch="326"/>
        </w:sectPr>
      </w:pPr>
      <w:bookmarkStart w:id="638" w:name="_Toc452707651"/>
      <w:bookmarkStart w:id="639" w:name="_Toc459133209"/>
      <w:bookmarkStart w:id="640" w:name="_Toc461803158"/>
      <w:bookmarkStart w:id="641" w:name="_Toc461787369"/>
      <w:bookmarkStart w:id="642" w:name="_Toc461795881"/>
      <w:bookmarkEnd w:id="632"/>
      <w:bookmarkEnd w:id="633"/>
      <w:bookmarkEnd w:id="634"/>
      <w:bookmarkEnd w:id="635"/>
      <w:bookmarkEnd w:id="636"/>
      <w:bookmarkEnd w:id="637"/>
    </w:p>
    <w:p w14:paraId="0331EDBF" w14:textId="2C44462C" w:rsidR="00BC3EF6" w:rsidRPr="00785FB4" w:rsidRDefault="00AE51FA" w:rsidP="006934C7">
      <w:pPr>
        <w:pStyle w:val="Heading1"/>
      </w:pPr>
      <w:bookmarkStart w:id="643" w:name="_Toc505449724"/>
      <w:bookmarkStart w:id="644" w:name="_Toc505449832"/>
      <w:r w:rsidRPr="00785FB4">
        <w:lastRenderedPageBreak/>
        <w:t>Annexes</w:t>
      </w:r>
      <w:bookmarkEnd w:id="638"/>
      <w:bookmarkEnd w:id="639"/>
      <w:bookmarkEnd w:id="640"/>
      <w:bookmarkEnd w:id="641"/>
      <w:bookmarkEnd w:id="642"/>
      <w:bookmarkEnd w:id="643"/>
      <w:bookmarkEnd w:id="644"/>
      <w:r w:rsidRPr="00785FB4">
        <w:t xml:space="preserve"> </w:t>
      </w:r>
    </w:p>
    <w:p w14:paraId="345C664C" w14:textId="183D4954" w:rsidR="00374E4C" w:rsidRPr="00785FB4" w:rsidRDefault="00A843C6" w:rsidP="00A94167">
      <w:pPr>
        <w:pStyle w:val="Heading2"/>
      </w:pPr>
      <w:bookmarkStart w:id="645" w:name="_Toc452707652"/>
      <w:bookmarkStart w:id="646" w:name="_Toc459133210"/>
      <w:bookmarkStart w:id="647" w:name="_Toc461803159"/>
      <w:bookmarkStart w:id="648" w:name="_Toc461787370"/>
      <w:bookmarkStart w:id="649" w:name="_Toc461795882"/>
      <w:bookmarkStart w:id="650" w:name="_Toc505449725"/>
      <w:bookmarkStart w:id="651" w:name="_Toc505449833"/>
      <w:r w:rsidRPr="00785FB4">
        <w:t xml:space="preserve">Annex A - </w:t>
      </w:r>
      <w:r w:rsidR="00AE51FA" w:rsidRPr="00785FB4">
        <w:t>List of MSG members and contact details</w:t>
      </w:r>
      <w:bookmarkEnd w:id="645"/>
      <w:bookmarkEnd w:id="646"/>
      <w:bookmarkEnd w:id="647"/>
      <w:bookmarkEnd w:id="648"/>
      <w:bookmarkEnd w:id="649"/>
      <w:bookmarkEnd w:id="650"/>
      <w:bookmarkEnd w:id="651"/>
      <w:r w:rsidR="00AE51FA" w:rsidRPr="00785FB4">
        <w:t xml:space="preserve"> </w:t>
      </w:r>
    </w:p>
    <w:p w14:paraId="0232D630" w14:textId="28698DDA" w:rsidR="00374E4C" w:rsidRPr="00785FB4" w:rsidRDefault="00374E4C" w:rsidP="009F019C">
      <w:r w:rsidRPr="00785FB4">
        <w:t>“Membership status at MSG” follows AEITI’s own classification as provided to the International Secretariat.</w:t>
      </w:r>
    </w:p>
    <w:tbl>
      <w:tblPr>
        <w:tblStyle w:val="TableGrid"/>
        <w:tblW w:w="0" w:type="auto"/>
        <w:tblLook w:val="04A0" w:firstRow="1" w:lastRow="0" w:firstColumn="1" w:lastColumn="0" w:noHBand="0" w:noVBand="1"/>
      </w:tblPr>
      <w:tblGrid>
        <w:gridCol w:w="1384"/>
        <w:gridCol w:w="1730"/>
        <w:gridCol w:w="1595"/>
        <w:gridCol w:w="3304"/>
        <w:gridCol w:w="1472"/>
      </w:tblGrid>
      <w:tr w:rsidR="00374E4C" w:rsidRPr="00785FB4" w14:paraId="160239C4" w14:textId="77777777" w:rsidTr="009D73CD">
        <w:tc>
          <w:tcPr>
            <w:tcW w:w="1384" w:type="dxa"/>
          </w:tcPr>
          <w:p w14:paraId="414E2209" w14:textId="7951B91B" w:rsidR="00217226" w:rsidRPr="00785FB4" w:rsidRDefault="00217226" w:rsidP="00217226">
            <w:pPr>
              <w:widowControl/>
              <w:suppressAutoHyphens w:val="0"/>
              <w:spacing w:after="0" w:line="240" w:lineRule="auto"/>
              <w:rPr>
                <w:bCs/>
                <w:lang w:val="en-GB"/>
              </w:rPr>
            </w:pPr>
          </w:p>
        </w:tc>
        <w:tc>
          <w:tcPr>
            <w:tcW w:w="1730" w:type="dxa"/>
          </w:tcPr>
          <w:p w14:paraId="6D7C9C64" w14:textId="3DEFD4BB" w:rsidR="00217226" w:rsidRPr="00785FB4" w:rsidRDefault="00217226" w:rsidP="00217226">
            <w:pPr>
              <w:widowControl/>
              <w:suppressAutoHyphens w:val="0"/>
              <w:spacing w:after="0" w:line="240" w:lineRule="auto"/>
              <w:rPr>
                <w:lang w:val="en-GB"/>
              </w:rPr>
            </w:pPr>
            <w:r w:rsidRPr="00785FB4">
              <w:rPr>
                <w:bCs/>
                <w:lang w:val="en-GB"/>
              </w:rPr>
              <w:t>Name</w:t>
            </w:r>
          </w:p>
        </w:tc>
        <w:tc>
          <w:tcPr>
            <w:tcW w:w="1595" w:type="dxa"/>
          </w:tcPr>
          <w:p w14:paraId="6088A276" w14:textId="34C0D1DE" w:rsidR="00217226" w:rsidRPr="00785FB4" w:rsidRDefault="00217226" w:rsidP="00217226">
            <w:pPr>
              <w:widowControl/>
              <w:suppressAutoHyphens w:val="0"/>
              <w:spacing w:after="0" w:line="240" w:lineRule="auto"/>
              <w:rPr>
                <w:lang w:val="en-GB"/>
              </w:rPr>
            </w:pPr>
            <w:r w:rsidRPr="00785FB4">
              <w:rPr>
                <w:bCs/>
                <w:lang w:val="en-GB"/>
              </w:rPr>
              <w:t>Position</w:t>
            </w:r>
          </w:p>
        </w:tc>
        <w:tc>
          <w:tcPr>
            <w:tcW w:w="3304" w:type="dxa"/>
          </w:tcPr>
          <w:p w14:paraId="74CD65B3" w14:textId="643FF382" w:rsidR="00217226" w:rsidRPr="00785FB4" w:rsidRDefault="00217226" w:rsidP="00217226">
            <w:pPr>
              <w:widowControl/>
              <w:suppressAutoHyphens w:val="0"/>
              <w:spacing w:after="0" w:line="240" w:lineRule="auto"/>
              <w:rPr>
                <w:lang w:val="en-GB"/>
              </w:rPr>
            </w:pPr>
            <w:r w:rsidRPr="00785FB4">
              <w:rPr>
                <w:bCs/>
                <w:lang w:val="en-GB"/>
              </w:rPr>
              <w:t>Email</w:t>
            </w:r>
          </w:p>
        </w:tc>
        <w:tc>
          <w:tcPr>
            <w:tcW w:w="1472" w:type="dxa"/>
          </w:tcPr>
          <w:p w14:paraId="06C38642" w14:textId="046DB578" w:rsidR="00217226" w:rsidRPr="00785FB4" w:rsidRDefault="00217226" w:rsidP="00217226">
            <w:pPr>
              <w:widowControl/>
              <w:suppressAutoHyphens w:val="0"/>
              <w:spacing w:after="0" w:line="240" w:lineRule="auto"/>
              <w:rPr>
                <w:lang w:val="en-GB"/>
              </w:rPr>
            </w:pPr>
            <w:r w:rsidRPr="00785FB4">
              <w:rPr>
                <w:bCs/>
                <w:lang w:val="en-GB"/>
              </w:rPr>
              <w:t>«Membership status at MSG»</w:t>
            </w:r>
          </w:p>
        </w:tc>
      </w:tr>
      <w:tr w:rsidR="00374E4C" w:rsidRPr="00785FB4" w14:paraId="326548AF" w14:textId="77777777" w:rsidTr="009D73CD">
        <w:tc>
          <w:tcPr>
            <w:tcW w:w="1384" w:type="dxa"/>
          </w:tcPr>
          <w:p w14:paraId="6E6ED8FC" w14:textId="4831B73F" w:rsidR="00217226" w:rsidRPr="00785FB4" w:rsidRDefault="00217226" w:rsidP="00217226">
            <w:pPr>
              <w:widowControl/>
              <w:suppressAutoHyphens w:val="0"/>
              <w:spacing w:after="0" w:line="240" w:lineRule="auto"/>
              <w:rPr>
                <w:lang w:val="en-GB"/>
              </w:rPr>
            </w:pPr>
            <w:bookmarkStart w:id="652" w:name="_Hlk511376005"/>
            <w:r w:rsidRPr="00785FB4">
              <w:rPr>
                <w:bCs/>
                <w:lang w:val="en-GB"/>
              </w:rPr>
              <w:t>Government</w:t>
            </w:r>
          </w:p>
        </w:tc>
        <w:tc>
          <w:tcPr>
            <w:tcW w:w="1730" w:type="dxa"/>
          </w:tcPr>
          <w:p w14:paraId="2D873203" w14:textId="0F98B743" w:rsidR="00217226" w:rsidRPr="00785FB4" w:rsidRDefault="00217226" w:rsidP="00217226">
            <w:pPr>
              <w:widowControl/>
              <w:suppressAutoHyphens w:val="0"/>
              <w:spacing w:after="0" w:line="240" w:lineRule="auto"/>
              <w:rPr>
                <w:lang w:val="en-GB"/>
              </w:rPr>
            </w:pPr>
            <w:r w:rsidRPr="00785FB4">
              <w:rPr>
                <w:bCs/>
                <w:lang w:val="en-GB"/>
              </w:rPr>
              <w:t>Ghazal habibyar</w:t>
            </w:r>
          </w:p>
        </w:tc>
        <w:tc>
          <w:tcPr>
            <w:tcW w:w="1595" w:type="dxa"/>
          </w:tcPr>
          <w:p w14:paraId="3696574F" w14:textId="6408E55E" w:rsidR="00217226" w:rsidRPr="00785FB4" w:rsidRDefault="00217226" w:rsidP="00217226">
            <w:pPr>
              <w:widowControl/>
              <w:suppressAutoHyphens w:val="0"/>
              <w:spacing w:after="0" w:line="240" w:lineRule="auto"/>
              <w:rPr>
                <w:lang w:val="en-GB"/>
              </w:rPr>
            </w:pPr>
            <w:r w:rsidRPr="00785FB4">
              <w:rPr>
                <w:bCs/>
                <w:lang w:val="en-GB"/>
              </w:rPr>
              <w:t xml:space="preserve">Director of policy, </w:t>
            </w:r>
            <w:r w:rsidR="00DB56BA" w:rsidRPr="00785FB4">
              <w:rPr>
                <w:bCs/>
                <w:lang w:val="en-GB"/>
              </w:rPr>
              <w:t>MOMP</w:t>
            </w:r>
          </w:p>
        </w:tc>
        <w:tc>
          <w:tcPr>
            <w:tcW w:w="3304" w:type="dxa"/>
          </w:tcPr>
          <w:p w14:paraId="40A050B5" w14:textId="4A0C9673" w:rsidR="00217226" w:rsidRPr="00785FB4" w:rsidRDefault="00E60909" w:rsidP="00217226">
            <w:pPr>
              <w:widowControl/>
              <w:suppressAutoHyphens w:val="0"/>
              <w:spacing w:after="0" w:line="240" w:lineRule="auto"/>
              <w:rPr>
                <w:lang w:val="en-GB"/>
              </w:rPr>
            </w:pPr>
            <w:hyperlink r:id="rId28" w:history="1">
              <w:r w:rsidR="00217226" w:rsidRPr="00785FB4">
                <w:rPr>
                  <w:rStyle w:val="Hyperlink"/>
                  <w:rFonts w:cs="Calibri"/>
                  <w:lang w:val="en-GB"/>
                </w:rPr>
                <w:t>Ghazaal.habibyar@gmail.com</w:t>
              </w:r>
            </w:hyperlink>
          </w:p>
        </w:tc>
        <w:tc>
          <w:tcPr>
            <w:tcW w:w="1472" w:type="dxa"/>
          </w:tcPr>
          <w:p w14:paraId="614515E1" w14:textId="49E4C277" w:rsidR="00217226" w:rsidRPr="00785FB4" w:rsidRDefault="00217226" w:rsidP="00217226">
            <w:pPr>
              <w:widowControl/>
              <w:suppressAutoHyphens w:val="0"/>
              <w:spacing w:after="0" w:line="240" w:lineRule="auto"/>
              <w:rPr>
                <w:lang w:val="en-GB"/>
              </w:rPr>
            </w:pPr>
            <w:r w:rsidRPr="00785FB4">
              <w:rPr>
                <w:bCs/>
                <w:lang w:val="en-GB"/>
              </w:rPr>
              <w:t>Permanent member</w:t>
            </w:r>
          </w:p>
        </w:tc>
      </w:tr>
      <w:tr w:rsidR="00374E4C" w:rsidRPr="00785FB4" w14:paraId="153B37C6" w14:textId="77777777" w:rsidTr="009D73CD">
        <w:tc>
          <w:tcPr>
            <w:tcW w:w="1384" w:type="dxa"/>
          </w:tcPr>
          <w:p w14:paraId="35E00824" w14:textId="34EA5D38" w:rsidR="00217226" w:rsidRPr="00785FB4" w:rsidRDefault="00217226" w:rsidP="00217226">
            <w:pPr>
              <w:widowControl/>
              <w:suppressAutoHyphens w:val="0"/>
              <w:spacing w:after="0" w:line="240" w:lineRule="auto"/>
              <w:rPr>
                <w:lang w:val="en-GB"/>
              </w:rPr>
            </w:pPr>
          </w:p>
        </w:tc>
        <w:tc>
          <w:tcPr>
            <w:tcW w:w="1730" w:type="dxa"/>
          </w:tcPr>
          <w:p w14:paraId="6EA51B3A" w14:textId="0C29F496" w:rsidR="00217226" w:rsidRPr="00785FB4" w:rsidRDefault="00217226" w:rsidP="00217226">
            <w:pPr>
              <w:widowControl/>
              <w:suppressAutoHyphens w:val="0"/>
              <w:spacing w:after="0" w:line="240" w:lineRule="auto"/>
              <w:rPr>
                <w:lang w:val="en-GB"/>
              </w:rPr>
            </w:pPr>
            <w:r w:rsidRPr="00785FB4">
              <w:rPr>
                <w:bCs/>
                <w:lang w:val="en-GB"/>
              </w:rPr>
              <w:t>Muhammad Noor Noori</w:t>
            </w:r>
          </w:p>
        </w:tc>
        <w:tc>
          <w:tcPr>
            <w:tcW w:w="1595" w:type="dxa"/>
          </w:tcPr>
          <w:p w14:paraId="4F126B38" w14:textId="7C1C0CA4" w:rsidR="00217226" w:rsidRPr="00785FB4" w:rsidRDefault="00217226" w:rsidP="00217226">
            <w:pPr>
              <w:widowControl/>
              <w:suppressAutoHyphens w:val="0"/>
              <w:spacing w:after="0" w:line="240" w:lineRule="auto"/>
              <w:rPr>
                <w:bCs/>
                <w:lang w:val="en-GB"/>
              </w:rPr>
            </w:pPr>
            <w:r w:rsidRPr="00785FB4">
              <w:rPr>
                <w:bCs/>
                <w:lang w:val="en-GB"/>
              </w:rPr>
              <w:t xml:space="preserve">Acting Director for Cadaster, </w:t>
            </w:r>
            <w:r w:rsidR="00DB56BA" w:rsidRPr="00785FB4">
              <w:rPr>
                <w:bCs/>
                <w:lang w:val="en-GB"/>
              </w:rPr>
              <w:t>MOMP</w:t>
            </w:r>
          </w:p>
        </w:tc>
        <w:tc>
          <w:tcPr>
            <w:tcW w:w="3304" w:type="dxa"/>
          </w:tcPr>
          <w:p w14:paraId="10A81398" w14:textId="3FC1FF87" w:rsidR="00217226" w:rsidRPr="00785FB4" w:rsidRDefault="00E60909" w:rsidP="00217226">
            <w:pPr>
              <w:widowControl/>
              <w:suppressAutoHyphens w:val="0"/>
              <w:spacing w:after="0" w:line="240" w:lineRule="auto"/>
              <w:rPr>
                <w:lang w:val="en-GB"/>
              </w:rPr>
            </w:pPr>
            <w:hyperlink r:id="rId29" w:history="1">
              <w:r w:rsidR="00217226" w:rsidRPr="00785FB4">
                <w:rPr>
                  <w:rStyle w:val="Hyperlink"/>
                  <w:rFonts w:cs="Calibri"/>
                  <w:lang w:val="en-GB"/>
                </w:rPr>
                <w:t>Mnoor.noori@yahoo.com</w:t>
              </w:r>
            </w:hyperlink>
          </w:p>
        </w:tc>
        <w:tc>
          <w:tcPr>
            <w:tcW w:w="1472" w:type="dxa"/>
          </w:tcPr>
          <w:p w14:paraId="1B04764D" w14:textId="24CF0B78" w:rsidR="00217226" w:rsidRPr="00785FB4" w:rsidRDefault="00217226" w:rsidP="00217226">
            <w:pPr>
              <w:widowControl/>
              <w:suppressAutoHyphens w:val="0"/>
              <w:spacing w:after="0" w:line="240" w:lineRule="auto"/>
              <w:rPr>
                <w:lang w:val="en-GB"/>
              </w:rPr>
            </w:pPr>
            <w:r w:rsidRPr="00785FB4">
              <w:rPr>
                <w:bCs/>
                <w:lang w:val="en-GB"/>
              </w:rPr>
              <w:t>Permanent member</w:t>
            </w:r>
          </w:p>
        </w:tc>
      </w:tr>
      <w:tr w:rsidR="00374E4C" w:rsidRPr="00785FB4" w14:paraId="303F9E35" w14:textId="77777777" w:rsidTr="009D73CD">
        <w:tc>
          <w:tcPr>
            <w:tcW w:w="1384" w:type="dxa"/>
          </w:tcPr>
          <w:p w14:paraId="51E11F40" w14:textId="77777777" w:rsidR="00217226" w:rsidRPr="00785FB4" w:rsidRDefault="00217226" w:rsidP="00217226">
            <w:pPr>
              <w:widowControl/>
              <w:suppressAutoHyphens w:val="0"/>
              <w:spacing w:after="0" w:line="240" w:lineRule="auto"/>
              <w:rPr>
                <w:lang w:val="en-GB"/>
              </w:rPr>
            </w:pPr>
          </w:p>
        </w:tc>
        <w:tc>
          <w:tcPr>
            <w:tcW w:w="1730" w:type="dxa"/>
          </w:tcPr>
          <w:p w14:paraId="4478AC85" w14:textId="7253D019" w:rsidR="00217226" w:rsidRPr="00785FB4" w:rsidRDefault="00217226" w:rsidP="00217226">
            <w:pPr>
              <w:widowControl/>
              <w:suppressAutoHyphens w:val="0"/>
              <w:spacing w:after="0" w:line="240" w:lineRule="auto"/>
              <w:rPr>
                <w:lang w:val="en-GB"/>
              </w:rPr>
            </w:pPr>
            <w:r w:rsidRPr="00785FB4">
              <w:rPr>
                <w:bCs/>
                <w:lang w:val="en-GB"/>
              </w:rPr>
              <w:t>Meer Abdul Jameel Rahim</w:t>
            </w:r>
          </w:p>
        </w:tc>
        <w:tc>
          <w:tcPr>
            <w:tcW w:w="1595" w:type="dxa"/>
          </w:tcPr>
          <w:p w14:paraId="647F5516" w14:textId="3BF96C53" w:rsidR="00217226" w:rsidRPr="00785FB4" w:rsidRDefault="00217226" w:rsidP="00217226">
            <w:pPr>
              <w:widowControl/>
              <w:suppressAutoHyphens w:val="0"/>
              <w:spacing w:after="0" w:line="240" w:lineRule="auto"/>
              <w:rPr>
                <w:bCs/>
                <w:lang w:val="en-GB"/>
              </w:rPr>
            </w:pPr>
            <w:r w:rsidRPr="00785FB4">
              <w:rPr>
                <w:bCs/>
                <w:lang w:val="en-GB"/>
              </w:rPr>
              <w:t xml:space="preserve">Acting Director for finance and Accountancy, </w:t>
            </w:r>
            <w:r w:rsidR="00DB56BA" w:rsidRPr="00785FB4">
              <w:rPr>
                <w:bCs/>
                <w:lang w:val="en-GB"/>
              </w:rPr>
              <w:t>MOMP</w:t>
            </w:r>
          </w:p>
        </w:tc>
        <w:tc>
          <w:tcPr>
            <w:tcW w:w="3304" w:type="dxa"/>
          </w:tcPr>
          <w:p w14:paraId="03F026FB" w14:textId="0E47F5C5" w:rsidR="00217226" w:rsidRPr="00785FB4" w:rsidRDefault="00E60909" w:rsidP="00217226">
            <w:pPr>
              <w:widowControl/>
              <w:suppressAutoHyphens w:val="0"/>
              <w:spacing w:after="0" w:line="240" w:lineRule="auto"/>
              <w:rPr>
                <w:bCs/>
                <w:lang w:val="en-GB"/>
              </w:rPr>
            </w:pPr>
            <w:hyperlink r:id="rId30" w:history="1">
              <w:r w:rsidR="00217226" w:rsidRPr="00785FB4">
                <w:rPr>
                  <w:rStyle w:val="Hyperlink"/>
                  <w:rFonts w:cs="Calibri"/>
                  <w:lang w:val="en-GB"/>
                </w:rPr>
                <w:t>mirabduljamilrahim@gmail.com</w:t>
              </w:r>
            </w:hyperlink>
          </w:p>
        </w:tc>
        <w:tc>
          <w:tcPr>
            <w:tcW w:w="1472" w:type="dxa"/>
          </w:tcPr>
          <w:p w14:paraId="2F141392" w14:textId="0DA1ADF0" w:rsidR="00217226" w:rsidRPr="00785FB4" w:rsidRDefault="00217226" w:rsidP="00217226">
            <w:pPr>
              <w:widowControl/>
              <w:suppressAutoHyphens w:val="0"/>
              <w:spacing w:after="0" w:line="240" w:lineRule="auto"/>
              <w:rPr>
                <w:bCs/>
                <w:lang w:val="en-GB"/>
              </w:rPr>
            </w:pPr>
            <w:r w:rsidRPr="00785FB4">
              <w:rPr>
                <w:bCs/>
                <w:lang w:val="en-GB"/>
              </w:rPr>
              <w:t>Permanent Member</w:t>
            </w:r>
          </w:p>
        </w:tc>
      </w:tr>
      <w:tr w:rsidR="000731BA" w:rsidRPr="00785FB4" w14:paraId="657A641E" w14:textId="77777777" w:rsidTr="009D73CD">
        <w:tc>
          <w:tcPr>
            <w:tcW w:w="1384" w:type="dxa"/>
          </w:tcPr>
          <w:p w14:paraId="599D174E" w14:textId="77777777" w:rsidR="000731BA" w:rsidRPr="00785FB4" w:rsidRDefault="000731BA" w:rsidP="000731BA">
            <w:pPr>
              <w:widowControl/>
              <w:suppressAutoHyphens w:val="0"/>
              <w:spacing w:after="0" w:line="240" w:lineRule="auto"/>
              <w:rPr>
                <w:lang w:val="en-GB"/>
              </w:rPr>
            </w:pPr>
          </w:p>
        </w:tc>
        <w:tc>
          <w:tcPr>
            <w:tcW w:w="1730" w:type="dxa"/>
          </w:tcPr>
          <w:p w14:paraId="7A93F488" w14:textId="52B518F8" w:rsidR="000731BA" w:rsidRPr="00785FB4" w:rsidRDefault="000731BA" w:rsidP="000731BA">
            <w:pPr>
              <w:widowControl/>
              <w:suppressAutoHyphens w:val="0"/>
              <w:spacing w:after="0" w:line="240" w:lineRule="auto"/>
              <w:rPr>
                <w:lang w:val="en-GB"/>
              </w:rPr>
            </w:pPr>
            <w:r w:rsidRPr="00785FB4">
              <w:rPr>
                <w:bCs/>
                <w:lang w:val="en-GB"/>
              </w:rPr>
              <w:t>Najibullah Ahmad Zai</w:t>
            </w:r>
          </w:p>
        </w:tc>
        <w:tc>
          <w:tcPr>
            <w:tcW w:w="1595" w:type="dxa"/>
          </w:tcPr>
          <w:p w14:paraId="19190683" w14:textId="55D6FA99" w:rsidR="000731BA" w:rsidRPr="00785FB4" w:rsidRDefault="000731BA" w:rsidP="000731BA">
            <w:pPr>
              <w:widowControl/>
              <w:suppressAutoHyphens w:val="0"/>
              <w:spacing w:after="0" w:line="240" w:lineRule="auto"/>
              <w:rPr>
                <w:bCs/>
                <w:lang w:val="en-GB"/>
              </w:rPr>
            </w:pPr>
            <w:r w:rsidRPr="00785FB4">
              <w:rPr>
                <w:bCs/>
                <w:lang w:val="en-GB"/>
              </w:rPr>
              <w:t xml:space="preserve">Large Taxpayer Office, </w:t>
            </w:r>
            <w:r w:rsidR="00DB56BA" w:rsidRPr="00785FB4">
              <w:rPr>
                <w:bCs/>
                <w:lang w:val="en-GB"/>
              </w:rPr>
              <w:t>MOF</w:t>
            </w:r>
          </w:p>
        </w:tc>
        <w:tc>
          <w:tcPr>
            <w:tcW w:w="3304" w:type="dxa"/>
          </w:tcPr>
          <w:p w14:paraId="701B81DD" w14:textId="44899DA7" w:rsidR="000731BA" w:rsidRPr="00785FB4" w:rsidRDefault="000731BA" w:rsidP="000731BA">
            <w:pPr>
              <w:widowControl/>
              <w:suppressAutoHyphens w:val="0"/>
              <w:spacing w:after="0" w:line="240" w:lineRule="auto"/>
              <w:rPr>
                <w:bCs/>
                <w:lang w:val="en-GB"/>
              </w:rPr>
            </w:pPr>
          </w:p>
        </w:tc>
        <w:tc>
          <w:tcPr>
            <w:tcW w:w="1472" w:type="dxa"/>
          </w:tcPr>
          <w:p w14:paraId="6A51F6EA" w14:textId="75BAFA37" w:rsidR="000731BA" w:rsidRPr="00785FB4" w:rsidRDefault="000731BA" w:rsidP="000731BA">
            <w:pPr>
              <w:widowControl/>
              <w:suppressAutoHyphens w:val="0"/>
              <w:spacing w:after="0" w:line="240" w:lineRule="auto"/>
              <w:rPr>
                <w:bCs/>
                <w:lang w:val="en-GB"/>
              </w:rPr>
            </w:pPr>
            <w:r w:rsidRPr="00785FB4">
              <w:rPr>
                <w:bCs/>
                <w:lang w:val="en-GB"/>
              </w:rPr>
              <w:t>Permanent Member</w:t>
            </w:r>
          </w:p>
        </w:tc>
      </w:tr>
      <w:tr w:rsidR="000731BA" w:rsidRPr="00785FB4" w14:paraId="4C3C1520" w14:textId="77777777" w:rsidTr="009D73CD">
        <w:tc>
          <w:tcPr>
            <w:tcW w:w="1384" w:type="dxa"/>
          </w:tcPr>
          <w:p w14:paraId="0E3C3067" w14:textId="77777777" w:rsidR="000731BA" w:rsidRPr="00785FB4" w:rsidRDefault="000731BA" w:rsidP="000731BA">
            <w:pPr>
              <w:widowControl/>
              <w:suppressAutoHyphens w:val="0"/>
              <w:spacing w:after="0" w:line="240" w:lineRule="auto"/>
              <w:rPr>
                <w:lang w:val="en-GB"/>
              </w:rPr>
            </w:pPr>
          </w:p>
        </w:tc>
        <w:tc>
          <w:tcPr>
            <w:tcW w:w="1730" w:type="dxa"/>
          </w:tcPr>
          <w:p w14:paraId="36198B7A" w14:textId="42534CF7" w:rsidR="000731BA" w:rsidRPr="00785FB4" w:rsidRDefault="000731BA" w:rsidP="000731BA">
            <w:pPr>
              <w:widowControl/>
              <w:suppressAutoHyphens w:val="0"/>
              <w:spacing w:after="0" w:line="240" w:lineRule="auto"/>
              <w:rPr>
                <w:lang w:val="en-GB"/>
              </w:rPr>
            </w:pPr>
            <w:r w:rsidRPr="00785FB4">
              <w:rPr>
                <w:bCs/>
                <w:lang w:val="en-GB"/>
              </w:rPr>
              <w:t>Mehdi Razaee</w:t>
            </w:r>
          </w:p>
        </w:tc>
        <w:tc>
          <w:tcPr>
            <w:tcW w:w="1595" w:type="dxa"/>
          </w:tcPr>
          <w:p w14:paraId="0D0899AC" w14:textId="64D8B9DB" w:rsidR="000731BA" w:rsidRPr="00785FB4" w:rsidRDefault="000731BA" w:rsidP="000731BA">
            <w:pPr>
              <w:widowControl/>
              <w:suppressAutoHyphens w:val="0"/>
              <w:spacing w:after="0" w:line="240" w:lineRule="auto"/>
              <w:rPr>
                <w:bCs/>
                <w:lang w:val="en-GB"/>
              </w:rPr>
            </w:pPr>
            <w:r w:rsidRPr="00785FB4">
              <w:rPr>
                <w:bCs/>
                <w:lang w:val="en-GB"/>
              </w:rPr>
              <w:t xml:space="preserve">Employee of Finance and Accountancy Directorate, </w:t>
            </w:r>
            <w:r w:rsidR="00DB56BA" w:rsidRPr="00785FB4">
              <w:rPr>
                <w:bCs/>
                <w:lang w:val="en-GB"/>
              </w:rPr>
              <w:t>MOMP</w:t>
            </w:r>
          </w:p>
        </w:tc>
        <w:tc>
          <w:tcPr>
            <w:tcW w:w="3304" w:type="dxa"/>
          </w:tcPr>
          <w:p w14:paraId="1DFC0080" w14:textId="285475F0" w:rsidR="000731BA" w:rsidRPr="00785FB4" w:rsidRDefault="00E60909" w:rsidP="000731BA">
            <w:pPr>
              <w:widowControl/>
              <w:suppressAutoHyphens w:val="0"/>
              <w:spacing w:after="0" w:line="240" w:lineRule="auto"/>
              <w:rPr>
                <w:lang w:val="en-GB"/>
              </w:rPr>
            </w:pPr>
            <w:hyperlink r:id="rId31" w:history="1">
              <w:r w:rsidR="000731BA" w:rsidRPr="00785FB4">
                <w:rPr>
                  <w:rStyle w:val="Hyperlink"/>
                  <w:rFonts w:cs="Calibri"/>
                  <w:lang w:val="en-GB"/>
                </w:rPr>
                <w:t>Mahdirezaee86@gmail.com</w:t>
              </w:r>
            </w:hyperlink>
          </w:p>
        </w:tc>
        <w:tc>
          <w:tcPr>
            <w:tcW w:w="1472" w:type="dxa"/>
          </w:tcPr>
          <w:p w14:paraId="67ABFDFF" w14:textId="4B3D4A89" w:rsidR="000731BA" w:rsidRPr="00785FB4" w:rsidRDefault="000731BA" w:rsidP="000731BA">
            <w:pPr>
              <w:widowControl/>
              <w:suppressAutoHyphens w:val="0"/>
              <w:spacing w:after="0" w:line="240" w:lineRule="auto"/>
              <w:rPr>
                <w:lang w:val="en-GB"/>
              </w:rPr>
            </w:pPr>
            <w:r w:rsidRPr="00785FB4">
              <w:rPr>
                <w:bCs/>
                <w:lang w:val="en-GB"/>
              </w:rPr>
              <w:t>Cooperating Body</w:t>
            </w:r>
          </w:p>
        </w:tc>
      </w:tr>
      <w:tr w:rsidR="000731BA" w:rsidRPr="00785FB4" w14:paraId="04F6B62B" w14:textId="77777777" w:rsidTr="009D73CD">
        <w:tc>
          <w:tcPr>
            <w:tcW w:w="1384" w:type="dxa"/>
          </w:tcPr>
          <w:p w14:paraId="72F8F56F" w14:textId="77777777" w:rsidR="000731BA" w:rsidRPr="00785FB4" w:rsidRDefault="000731BA" w:rsidP="000731BA">
            <w:pPr>
              <w:widowControl/>
              <w:suppressAutoHyphens w:val="0"/>
              <w:spacing w:after="0" w:line="240" w:lineRule="auto"/>
              <w:rPr>
                <w:lang w:val="en-GB"/>
              </w:rPr>
            </w:pPr>
          </w:p>
        </w:tc>
        <w:tc>
          <w:tcPr>
            <w:tcW w:w="1730" w:type="dxa"/>
          </w:tcPr>
          <w:p w14:paraId="53ECA2ED" w14:textId="09613527" w:rsidR="000731BA" w:rsidRPr="00785FB4" w:rsidRDefault="000731BA" w:rsidP="000731BA">
            <w:pPr>
              <w:widowControl/>
              <w:suppressAutoHyphens w:val="0"/>
              <w:spacing w:after="0" w:line="240" w:lineRule="auto"/>
              <w:rPr>
                <w:lang w:val="en-GB"/>
              </w:rPr>
            </w:pPr>
            <w:r w:rsidRPr="00785FB4">
              <w:rPr>
                <w:bCs/>
                <w:lang w:val="en-GB"/>
              </w:rPr>
              <w:t>Ghulam Seddiq Momand</w:t>
            </w:r>
          </w:p>
        </w:tc>
        <w:tc>
          <w:tcPr>
            <w:tcW w:w="1595" w:type="dxa"/>
          </w:tcPr>
          <w:p w14:paraId="383344D3" w14:textId="1C8F1D10" w:rsidR="000731BA" w:rsidRPr="00785FB4" w:rsidRDefault="000731BA" w:rsidP="000731BA">
            <w:pPr>
              <w:widowControl/>
              <w:suppressAutoHyphens w:val="0"/>
              <w:spacing w:after="0" w:line="240" w:lineRule="auto"/>
              <w:rPr>
                <w:bCs/>
                <w:lang w:val="en-GB"/>
              </w:rPr>
            </w:pPr>
            <w:r w:rsidRPr="00785FB4">
              <w:rPr>
                <w:bCs/>
                <w:lang w:val="en-GB"/>
              </w:rPr>
              <w:t xml:space="preserve">Head of Revenue Cadaster, </w:t>
            </w:r>
            <w:r w:rsidR="00DB56BA" w:rsidRPr="00785FB4">
              <w:rPr>
                <w:bCs/>
                <w:lang w:val="en-GB"/>
              </w:rPr>
              <w:t>MOMP</w:t>
            </w:r>
          </w:p>
        </w:tc>
        <w:tc>
          <w:tcPr>
            <w:tcW w:w="3304" w:type="dxa"/>
          </w:tcPr>
          <w:p w14:paraId="21E42D9E" w14:textId="5C6AF975" w:rsidR="000731BA" w:rsidRPr="00785FB4" w:rsidRDefault="00E60909" w:rsidP="000731BA">
            <w:pPr>
              <w:widowControl/>
              <w:suppressAutoHyphens w:val="0"/>
              <w:spacing w:after="0" w:line="240" w:lineRule="auto"/>
              <w:rPr>
                <w:lang w:val="en-GB"/>
              </w:rPr>
            </w:pPr>
            <w:hyperlink r:id="rId32" w:history="1">
              <w:r w:rsidR="000731BA" w:rsidRPr="00785FB4">
                <w:rPr>
                  <w:rStyle w:val="Hyperlink"/>
                  <w:rFonts w:cs="Calibri"/>
                  <w:lang w:val="en-GB"/>
                </w:rPr>
                <w:t>Eng.sediq@hotmail.com</w:t>
              </w:r>
            </w:hyperlink>
          </w:p>
        </w:tc>
        <w:tc>
          <w:tcPr>
            <w:tcW w:w="1472" w:type="dxa"/>
          </w:tcPr>
          <w:p w14:paraId="49B6CD81" w14:textId="0EF0F684" w:rsidR="000731BA" w:rsidRPr="00785FB4" w:rsidRDefault="000731BA" w:rsidP="000731BA">
            <w:pPr>
              <w:widowControl/>
              <w:suppressAutoHyphens w:val="0"/>
              <w:spacing w:after="0" w:line="240" w:lineRule="auto"/>
              <w:rPr>
                <w:lang w:val="en-GB"/>
              </w:rPr>
            </w:pPr>
            <w:r w:rsidRPr="00785FB4">
              <w:rPr>
                <w:bCs/>
                <w:lang w:val="en-GB"/>
              </w:rPr>
              <w:t>Cooperating Body</w:t>
            </w:r>
          </w:p>
        </w:tc>
      </w:tr>
      <w:tr w:rsidR="000731BA" w:rsidRPr="00785FB4" w14:paraId="7C31F89B" w14:textId="77777777" w:rsidTr="009D73CD">
        <w:tc>
          <w:tcPr>
            <w:tcW w:w="1384" w:type="dxa"/>
          </w:tcPr>
          <w:p w14:paraId="7A213012" w14:textId="77777777" w:rsidR="000731BA" w:rsidRPr="00785FB4" w:rsidRDefault="000731BA" w:rsidP="000731BA">
            <w:pPr>
              <w:widowControl/>
              <w:suppressAutoHyphens w:val="0"/>
              <w:spacing w:after="0" w:line="240" w:lineRule="auto"/>
              <w:rPr>
                <w:lang w:val="en-GB"/>
              </w:rPr>
            </w:pPr>
          </w:p>
        </w:tc>
        <w:tc>
          <w:tcPr>
            <w:tcW w:w="1730" w:type="dxa"/>
          </w:tcPr>
          <w:p w14:paraId="663E2AFB" w14:textId="4D2DE6D7" w:rsidR="000731BA" w:rsidRPr="00785FB4" w:rsidRDefault="000731BA" w:rsidP="000731BA">
            <w:pPr>
              <w:widowControl/>
              <w:suppressAutoHyphens w:val="0"/>
              <w:spacing w:after="0" w:line="240" w:lineRule="auto"/>
              <w:rPr>
                <w:lang w:val="en-GB"/>
              </w:rPr>
            </w:pPr>
            <w:r w:rsidRPr="00785FB4">
              <w:rPr>
                <w:bCs/>
                <w:lang w:val="en-GB"/>
              </w:rPr>
              <w:t>Muhammad Haris Bromand</w:t>
            </w:r>
          </w:p>
        </w:tc>
        <w:tc>
          <w:tcPr>
            <w:tcW w:w="1595" w:type="dxa"/>
          </w:tcPr>
          <w:p w14:paraId="7A03D68B" w14:textId="5D2527FC" w:rsidR="000731BA" w:rsidRPr="00785FB4" w:rsidRDefault="000731BA" w:rsidP="000731BA">
            <w:pPr>
              <w:widowControl/>
              <w:suppressAutoHyphens w:val="0"/>
              <w:spacing w:after="0" w:line="240" w:lineRule="auto"/>
              <w:rPr>
                <w:lang w:val="en-GB"/>
              </w:rPr>
            </w:pPr>
            <w:r w:rsidRPr="00785FB4">
              <w:rPr>
                <w:bCs/>
                <w:lang w:val="en-GB"/>
              </w:rPr>
              <w:t xml:space="preserve">Analyst economic, </w:t>
            </w:r>
            <w:r w:rsidR="00DB56BA" w:rsidRPr="00785FB4">
              <w:rPr>
                <w:bCs/>
                <w:lang w:val="en-GB"/>
              </w:rPr>
              <w:t>MOMP</w:t>
            </w:r>
            <w:r w:rsidRPr="00785FB4">
              <w:rPr>
                <w:bCs/>
                <w:lang w:val="en-GB"/>
              </w:rPr>
              <w:t xml:space="preserve"> </w:t>
            </w:r>
          </w:p>
        </w:tc>
        <w:tc>
          <w:tcPr>
            <w:tcW w:w="3304" w:type="dxa"/>
          </w:tcPr>
          <w:p w14:paraId="004A79E7" w14:textId="42A884AB" w:rsidR="000731BA" w:rsidRPr="00785FB4" w:rsidRDefault="00E60909" w:rsidP="000731BA">
            <w:pPr>
              <w:widowControl/>
              <w:suppressAutoHyphens w:val="0"/>
              <w:spacing w:after="0" w:line="240" w:lineRule="auto"/>
              <w:rPr>
                <w:lang w:val="en-GB"/>
              </w:rPr>
            </w:pPr>
            <w:hyperlink r:id="rId33" w:history="1">
              <w:r w:rsidR="000731BA" w:rsidRPr="00785FB4">
                <w:rPr>
                  <w:rStyle w:val="Hyperlink"/>
                  <w:rFonts w:cs="Calibri"/>
                  <w:lang w:val="en-GB"/>
                </w:rPr>
                <w:t>Mharis.bromand@gmail.com</w:t>
              </w:r>
            </w:hyperlink>
          </w:p>
        </w:tc>
        <w:tc>
          <w:tcPr>
            <w:tcW w:w="1472" w:type="dxa"/>
          </w:tcPr>
          <w:p w14:paraId="44333982" w14:textId="55F67F0B" w:rsidR="000731BA" w:rsidRPr="00785FB4" w:rsidRDefault="000731BA" w:rsidP="000731BA">
            <w:pPr>
              <w:widowControl/>
              <w:suppressAutoHyphens w:val="0"/>
              <w:spacing w:after="0" w:line="240" w:lineRule="auto"/>
              <w:rPr>
                <w:lang w:val="en-GB"/>
              </w:rPr>
            </w:pPr>
            <w:r w:rsidRPr="00785FB4">
              <w:rPr>
                <w:bCs/>
                <w:lang w:val="en-GB"/>
              </w:rPr>
              <w:t>Cooperating Body</w:t>
            </w:r>
          </w:p>
        </w:tc>
      </w:tr>
      <w:bookmarkEnd w:id="652"/>
      <w:tr w:rsidR="000731BA" w:rsidRPr="00785FB4" w14:paraId="3FDFBAAA" w14:textId="77777777" w:rsidTr="009D73CD">
        <w:tc>
          <w:tcPr>
            <w:tcW w:w="1384" w:type="dxa"/>
          </w:tcPr>
          <w:p w14:paraId="2F23A3BE" w14:textId="094A6A06" w:rsidR="000731BA" w:rsidRPr="00785FB4" w:rsidRDefault="000731BA" w:rsidP="000731BA">
            <w:pPr>
              <w:widowControl/>
              <w:suppressAutoHyphens w:val="0"/>
              <w:spacing w:after="0" w:line="240" w:lineRule="auto"/>
              <w:rPr>
                <w:lang w:val="en-GB"/>
              </w:rPr>
            </w:pPr>
            <w:r w:rsidRPr="00785FB4">
              <w:rPr>
                <w:bCs/>
                <w:lang w:val="en-GB"/>
              </w:rPr>
              <w:t>Civil society</w:t>
            </w:r>
          </w:p>
        </w:tc>
        <w:tc>
          <w:tcPr>
            <w:tcW w:w="1730" w:type="dxa"/>
          </w:tcPr>
          <w:p w14:paraId="054D84B2" w14:textId="5A6FC98A" w:rsidR="000731BA" w:rsidRPr="00785FB4" w:rsidRDefault="000731BA" w:rsidP="000731BA">
            <w:pPr>
              <w:widowControl/>
              <w:suppressAutoHyphens w:val="0"/>
              <w:spacing w:after="0" w:line="240" w:lineRule="auto"/>
              <w:rPr>
                <w:lang w:val="en-GB"/>
              </w:rPr>
            </w:pPr>
            <w:r w:rsidRPr="00785FB4">
              <w:rPr>
                <w:bCs/>
                <w:lang w:val="en-GB"/>
              </w:rPr>
              <w:t>Asadullah Zemarai</w:t>
            </w:r>
          </w:p>
        </w:tc>
        <w:tc>
          <w:tcPr>
            <w:tcW w:w="1595" w:type="dxa"/>
          </w:tcPr>
          <w:p w14:paraId="09E85DE2" w14:textId="1F8880B9" w:rsidR="000731BA" w:rsidRPr="00785FB4" w:rsidRDefault="000731BA" w:rsidP="000731BA">
            <w:pPr>
              <w:widowControl/>
              <w:suppressAutoHyphens w:val="0"/>
              <w:spacing w:after="0" w:line="240" w:lineRule="auto"/>
              <w:rPr>
                <w:lang w:val="en-GB"/>
              </w:rPr>
            </w:pPr>
            <w:r w:rsidRPr="00785FB4">
              <w:rPr>
                <w:bCs/>
                <w:lang w:val="en-GB"/>
              </w:rPr>
              <w:t>IWA</w:t>
            </w:r>
          </w:p>
        </w:tc>
        <w:tc>
          <w:tcPr>
            <w:tcW w:w="3304" w:type="dxa"/>
          </w:tcPr>
          <w:p w14:paraId="326669F0" w14:textId="19077157" w:rsidR="000731BA" w:rsidRPr="00785FB4" w:rsidRDefault="00E60909" w:rsidP="000731BA">
            <w:pPr>
              <w:widowControl/>
              <w:suppressAutoHyphens w:val="0"/>
              <w:spacing w:after="0" w:line="240" w:lineRule="auto"/>
              <w:rPr>
                <w:lang w:val="en-GB"/>
              </w:rPr>
            </w:pPr>
            <w:hyperlink r:id="rId34" w:history="1">
              <w:r w:rsidR="000731BA" w:rsidRPr="00785FB4">
                <w:rPr>
                  <w:rStyle w:val="Hyperlink"/>
                  <w:rFonts w:cs="Calibri"/>
                  <w:lang w:val="en-GB"/>
                </w:rPr>
                <w:t>a.zemarai@afghanadvocacy.org.af</w:t>
              </w:r>
            </w:hyperlink>
          </w:p>
        </w:tc>
        <w:tc>
          <w:tcPr>
            <w:tcW w:w="1472" w:type="dxa"/>
          </w:tcPr>
          <w:p w14:paraId="1DFAF6EE" w14:textId="56EBC48E" w:rsidR="000731BA" w:rsidRPr="00785FB4" w:rsidRDefault="000731BA" w:rsidP="000731BA">
            <w:pPr>
              <w:widowControl/>
              <w:suppressAutoHyphens w:val="0"/>
              <w:spacing w:after="0" w:line="240" w:lineRule="auto"/>
              <w:rPr>
                <w:lang w:val="en-GB"/>
              </w:rPr>
            </w:pPr>
            <w:r w:rsidRPr="00785FB4">
              <w:rPr>
                <w:bCs/>
                <w:lang w:val="en-GB"/>
              </w:rPr>
              <w:t>Permanent Member</w:t>
            </w:r>
          </w:p>
        </w:tc>
      </w:tr>
      <w:tr w:rsidR="000731BA" w:rsidRPr="00785FB4" w14:paraId="5BADBEC0" w14:textId="77777777" w:rsidTr="009D73CD">
        <w:tc>
          <w:tcPr>
            <w:tcW w:w="1384" w:type="dxa"/>
          </w:tcPr>
          <w:p w14:paraId="62CC4B06" w14:textId="77777777" w:rsidR="000731BA" w:rsidRPr="00785FB4" w:rsidRDefault="000731BA" w:rsidP="000731BA">
            <w:pPr>
              <w:widowControl/>
              <w:suppressAutoHyphens w:val="0"/>
              <w:spacing w:after="0" w:line="240" w:lineRule="auto"/>
              <w:rPr>
                <w:lang w:val="en-GB"/>
              </w:rPr>
            </w:pPr>
          </w:p>
        </w:tc>
        <w:tc>
          <w:tcPr>
            <w:tcW w:w="1730" w:type="dxa"/>
          </w:tcPr>
          <w:p w14:paraId="526710DA" w14:textId="6474B900" w:rsidR="000731BA" w:rsidRPr="00785FB4" w:rsidRDefault="000731BA" w:rsidP="000731BA">
            <w:pPr>
              <w:widowControl/>
              <w:suppressAutoHyphens w:val="0"/>
              <w:spacing w:after="0" w:line="240" w:lineRule="auto"/>
              <w:rPr>
                <w:lang w:val="en-GB"/>
              </w:rPr>
            </w:pPr>
            <w:r w:rsidRPr="00785FB4">
              <w:rPr>
                <w:bCs/>
                <w:lang w:val="en-GB"/>
              </w:rPr>
              <w:t>Javed Noorani</w:t>
            </w:r>
          </w:p>
        </w:tc>
        <w:tc>
          <w:tcPr>
            <w:tcW w:w="1595" w:type="dxa"/>
          </w:tcPr>
          <w:p w14:paraId="56FE55B5" w14:textId="68264DBB" w:rsidR="000731BA" w:rsidRPr="00785FB4" w:rsidRDefault="000731BA" w:rsidP="000731BA">
            <w:pPr>
              <w:widowControl/>
              <w:suppressAutoHyphens w:val="0"/>
              <w:spacing w:after="0" w:line="240" w:lineRule="auto"/>
              <w:rPr>
                <w:lang w:val="en-GB"/>
              </w:rPr>
            </w:pPr>
            <w:r w:rsidRPr="00785FB4">
              <w:rPr>
                <w:bCs/>
                <w:lang w:val="en-GB"/>
              </w:rPr>
              <w:t>ENRMN member</w:t>
            </w:r>
          </w:p>
        </w:tc>
        <w:tc>
          <w:tcPr>
            <w:tcW w:w="3304" w:type="dxa"/>
          </w:tcPr>
          <w:p w14:paraId="762AEAC6" w14:textId="7EA84544" w:rsidR="000731BA" w:rsidRPr="00785FB4" w:rsidRDefault="00E60909" w:rsidP="000731BA">
            <w:pPr>
              <w:widowControl/>
              <w:suppressAutoHyphens w:val="0"/>
              <w:spacing w:after="0" w:line="240" w:lineRule="auto"/>
              <w:rPr>
                <w:lang w:val="en-GB"/>
              </w:rPr>
            </w:pPr>
            <w:hyperlink r:id="rId35" w:history="1">
              <w:r w:rsidR="000731BA" w:rsidRPr="00785FB4">
                <w:rPr>
                  <w:rStyle w:val="Hyperlink"/>
                  <w:rFonts w:cs="Calibri"/>
                  <w:lang w:val="en-GB"/>
                </w:rPr>
                <w:t>javed.noorani@gmail.com</w:t>
              </w:r>
            </w:hyperlink>
          </w:p>
        </w:tc>
        <w:tc>
          <w:tcPr>
            <w:tcW w:w="1472" w:type="dxa"/>
          </w:tcPr>
          <w:p w14:paraId="677DAEF4" w14:textId="46053F2F" w:rsidR="000731BA" w:rsidRPr="00785FB4" w:rsidRDefault="000731BA" w:rsidP="000731BA">
            <w:pPr>
              <w:widowControl/>
              <w:suppressAutoHyphens w:val="0"/>
              <w:spacing w:after="0" w:line="240" w:lineRule="auto"/>
              <w:rPr>
                <w:lang w:val="en-GB"/>
              </w:rPr>
            </w:pPr>
            <w:r w:rsidRPr="00785FB4">
              <w:rPr>
                <w:bCs/>
                <w:lang w:val="en-GB"/>
              </w:rPr>
              <w:t>Permanent Member</w:t>
            </w:r>
          </w:p>
        </w:tc>
      </w:tr>
      <w:tr w:rsidR="000731BA" w:rsidRPr="00785FB4" w14:paraId="337538F2" w14:textId="77777777" w:rsidTr="009D73CD">
        <w:tc>
          <w:tcPr>
            <w:tcW w:w="1384" w:type="dxa"/>
          </w:tcPr>
          <w:p w14:paraId="3C24D726" w14:textId="77777777" w:rsidR="000731BA" w:rsidRPr="00785FB4" w:rsidRDefault="000731BA" w:rsidP="000731BA">
            <w:pPr>
              <w:widowControl/>
              <w:suppressAutoHyphens w:val="0"/>
              <w:spacing w:after="0" w:line="240" w:lineRule="auto"/>
              <w:rPr>
                <w:lang w:val="en-GB"/>
              </w:rPr>
            </w:pPr>
          </w:p>
        </w:tc>
        <w:tc>
          <w:tcPr>
            <w:tcW w:w="1730" w:type="dxa"/>
          </w:tcPr>
          <w:p w14:paraId="6C5EA9A3" w14:textId="30D4F7C8" w:rsidR="000731BA" w:rsidRPr="00785FB4" w:rsidRDefault="000731BA" w:rsidP="000731BA">
            <w:pPr>
              <w:widowControl/>
              <w:suppressAutoHyphens w:val="0"/>
              <w:spacing w:after="0" w:line="240" w:lineRule="auto"/>
              <w:rPr>
                <w:lang w:val="en-GB"/>
              </w:rPr>
            </w:pPr>
            <w:r w:rsidRPr="00785FB4">
              <w:rPr>
                <w:bCs/>
                <w:lang w:val="en-GB"/>
              </w:rPr>
              <w:t>Mohammad Afzal Shirzad</w:t>
            </w:r>
          </w:p>
        </w:tc>
        <w:tc>
          <w:tcPr>
            <w:tcW w:w="1595" w:type="dxa"/>
          </w:tcPr>
          <w:p w14:paraId="069ED472" w14:textId="626C58DC" w:rsidR="000731BA" w:rsidRPr="00785FB4" w:rsidRDefault="000731BA" w:rsidP="000731BA">
            <w:pPr>
              <w:widowControl/>
              <w:suppressAutoHyphens w:val="0"/>
              <w:spacing w:after="0" w:line="240" w:lineRule="auto"/>
              <w:rPr>
                <w:lang w:val="en-GB"/>
              </w:rPr>
            </w:pPr>
            <w:r w:rsidRPr="00785FB4">
              <w:rPr>
                <w:bCs/>
                <w:lang w:val="en-GB"/>
              </w:rPr>
              <w:t>WADAN</w:t>
            </w:r>
          </w:p>
        </w:tc>
        <w:tc>
          <w:tcPr>
            <w:tcW w:w="3304" w:type="dxa"/>
          </w:tcPr>
          <w:p w14:paraId="1648C134" w14:textId="51701409" w:rsidR="000731BA" w:rsidRPr="00785FB4" w:rsidRDefault="00E60909" w:rsidP="000731BA">
            <w:pPr>
              <w:widowControl/>
              <w:suppressAutoHyphens w:val="0"/>
              <w:spacing w:after="0" w:line="240" w:lineRule="auto"/>
              <w:rPr>
                <w:lang w:val="en-GB"/>
              </w:rPr>
            </w:pPr>
            <w:hyperlink r:id="rId36" w:history="1">
              <w:r w:rsidR="000731BA" w:rsidRPr="00785FB4">
                <w:rPr>
                  <w:rStyle w:val="Hyperlink"/>
                  <w:rFonts w:cs="Calibri"/>
                  <w:lang w:val="en-GB"/>
                </w:rPr>
                <w:t>Afzal_sherzad2000@yahoo.com</w:t>
              </w:r>
            </w:hyperlink>
          </w:p>
        </w:tc>
        <w:tc>
          <w:tcPr>
            <w:tcW w:w="1472" w:type="dxa"/>
          </w:tcPr>
          <w:p w14:paraId="0028ACAE" w14:textId="5EF829C9" w:rsidR="000731BA" w:rsidRPr="00785FB4" w:rsidRDefault="000731BA" w:rsidP="000731BA">
            <w:pPr>
              <w:widowControl/>
              <w:suppressAutoHyphens w:val="0"/>
              <w:spacing w:after="0" w:line="240" w:lineRule="auto"/>
              <w:rPr>
                <w:lang w:val="en-GB"/>
              </w:rPr>
            </w:pPr>
            <w:r w:rsidRPr="00785FB4">
              <w:rPr>
                <w:bCs/>
                <w:lang w:val="en-GB"/>
              </w:rPr>
              <w:t>Permanent Member</w:t>
            </w:r>
          </w:p>
        </w:tc>
      </w:tr>
      <w:tr w:rsidR="000731BA" w:rsidRPr="00785FB4" w14:paraId="21B92DC2" w14:textId="77777777" w:rsidTr="009D73CD">
        <w:tc>
          <w:tcPr>
            <w:tcW w:w="1384" w:type="dxa"/>
          </w:tcPr>
          <w:p w14:paraId="66EDAEEB" w14:textId="77777777" w:rsidR="000731BA" w:rsidRPr="00785FB4" w:rsidRDefault="000731BA" w:rsidP="000731BA">
            <w:pPr>
              <w:widowControl/>
              <w:suppressAutoHyphens w:val="0"/>
              <w:spacing w:after="0" w:line="240" w:lineRule="auto"/>
              <w:rPr>
                <w:lang w:val="en-GB"/>
              </w:rPr>
            </w:pPr>
          </w:p>
        </w:tc>
        <w:tc>
          <w:tcPr>
            <w:tcW w:w="1730" w:type="dxa"/>
          </w:tcPr>
          <w:p w14:paraId="475C6CF9" w14:textId="756C3DAA" w:rsidR="000731BA" w:rsidRPr="00785FB4" w:rsidRDefault="000731BA" w:rsidP="000731BA">
            <w:pPr>
              <w:widowControl/>
              <w:suppressAutoHyphens w:val="0"/>
              <w:spacing w:after="0" w:line="240" w:lineRule="auto"/>
              <w:rPr>
                <w:lang w:val="en-GB"/>
              </w:rPr>
            </w:pPr>
            <w:r w:rsidRPr="00785FB4">
              <w:rPr>
                <w:bCs/>
                <w:lang w:val="en-GB"/>
              </w:rPr>
              <w:t>Ebrahim Jafari</w:t>
            </w:r>
          </w:p>
        </w:tc>
        <w:tc>
          <w:tcPr>
            <w:tcW w:w="1595" w:type="dxa"/>
          </w:tcPr>
          <w:p w14:paraId="3FCD731C" w14:textId="61B6C005" w:rsidR="000731BA" w:rsidRPr="00785FB4" w:rsidRDefault="000731BA" w:rsidP="000731BA">
            <w:pPr>
              <w:widowControl/>
              <w:suppressAutoHyphens w:val="0"/>
              <w:spacing w:after="0" w:line="240" w:lineRule="auto"/>
              <w:rPr>
                <w:lang w:val="en-GB"/>
              </w:rPr>
            </w:pPr>
            <w:r w:rsidRPr="00785FB4">
              <w:rPr>
                <w:bCs/>
                <w:lang w:val="en-GB"/>
              </w:rPr>
              <w:t>ENRMN member</w:t>
            </w:r>
          </w:p>
        </w:tc>
        <w:tc>
          <w:tcPr>
            <w:tcW w:w="3304" w:type="dxa"/>
          </w:tcPr>
          <w:p w14:paraId="47C5CD2B" w14:textId="79C15964" w:rsidR="000731BA" w:rsidRPr="00785FB4" w:rsidRDefault="00E60909" w:rsidP="000731BA">
            <w:pPr>
              <w:widowControl/>
              <w:suppressAutoHyphens w:val="0"/>
              <w:spacing w:after="0" w:line="240" w:lineRule="auto"/>
              <w:rPr>
                <w:lang w:val="en-GB"/>
              </w:rPr>
            </w:pPr>
            <w:hyperlink r:id="rId37" w:history="1">
              <w:r w:rsidR="000731BA" w:rsidRPr="00785FB4">
                <w:rPr>
                  <w:rStyle w:val="Hyperlink"/>
                  <w:rFonts w:cs="Calibri"/>
                  <w:lang w:val="en-GB"/>
                </w:rPr>
                <w:t>afgeology@gmail.com</w:t>
              </w:r>
            </w:hyperlink>
          </w:p>
        </w:tc>
        <w:tc>
          <w:tcPr>
            <w:tcW w:w="1472" w:type="dxa"/>
          </w:tcPr>
          <w:p w14:paraId="0A5CB5DA" w14:textId="6B8D96E7" w:rsidR="000731BA" w:rsidRPr="00785FB4" w:rsidRDefault="000731BA" w:rsidP="000731BA">
            <w:pPr>
              <w:widowControl/>
              <w:suppressAutoHyphens w:val="0"/>
              <w:spacing w:after="0" w:line="240" w:lineRule="auto"/>
              <w:rPr>
                <w:lang w:val="en-GB"/>
              </w:rPr>
            </w:pPr>
            <w:r w:rsidRPr="00785FB4">
              <w:rPr>
                <w:bCs/>
                <w:lang w:val="en-GB"/>
              </w:rPr>
              <w:t>Permanent</w:t>
            </w:r>
          </w:p>
        </w:tc>
      </w:tr>
      <w:tr w:rsidR="000731BA" w:rsidRPr="00785FB4" w14:paraId="1D4134C8" w14:textId="77777777" w:rsidTr="009D73CD">
        <w:tc>
          <w:tcPr>
            <w:tcW w:w="1384" w:type="dxa"/>
          </w:tcPr>
          <w:p w14:paraId="0A6958E2" w14:textId="77777777" w:rsidR="000731BA" w:rsidRPr="00785FB4" w:rsidRDefault="000731BA" w:rsidP="000731BA">
            <w:pPr>
              <w:widowControl/>
              <w:suppressAutoHyphens w:val="0"/>
              <w:spacing w:after="0" w:line="240" w:lineRule="auto"/>
              <w:rPr>
                <w:lang w:val="en-GB"/>
              </w:rPr>
            </w:pPr>
          </w:p>
        </w:tc>
        <w:tc>
          <w:tcPr>
            <w:tcW w:w="1730" w:type="dxa"/>
          </w:tcPr>
          <w:p w14:paraId="0683992B" w14:textId="3F44F913" w:rsidR="000731BA" w:rsidRPr="00785FB4" w:rsidRDefault="000731BA" w:rsidP="000731BA">
            <w:pPr>
              <w:widowControl/>
              <w:suppressAutoHyphens w:val="0"/>
              <w:spacing w:after="0" w:line="240" w:lineRule="auto"/>
              <w:rPr>
                <w:lang w:val="en-GB"/>
              </w:rPr>
            </w:pPr>
            <w:r w:rsidRPr="00785FB4">
              <w:rPr>
                <w:bCs/>
                <w:lang w:val="en-GB"/>
              </w:rPr>
              <w:t>Ahmad Attaee</w:t>
            </w:r>
          </w:p>
        </w:tc>
        <w:tc>
          <w:tcPr>
            <w:tcW w:w="1595" w:type="dxa"/>
          </w:tcPr>
          <w:p w14:paraId="0197A98B" w14:textId="262FD6BA" w:rsidR="000731BA" w:rsidRPr="00785FB4" w:rsidRDefault="000731BA" w:rsidP="000731BA">
            <w:pPr>
              <w:widowControl/>
              <w:suppressAutoHyphens w:val="0"/>
              <w:spacing w:after="0" w:line="240" w:lineRule="auto"/>
              <w:rPr>
                <w:lang w:val="en-GB"/>
              </w:rPr>
            </w:pPr>
            <w:r w:rsidRPr="00785FB4">
              <w:rPr>
                <w:bCs/>
                <w:lang w:val="en-GB"/>
              </w:rPr>
              <w:t>ENRMN</w:t>
            </w:r>
          </w:p>
        </w:tc>
        <w:tc>
          <w:tcPr>
            <w:tcW w:w="3304" w:type="dxa"/>
          </w:tcPr>
          <w:p w14:paraId="324FDF56" w14:textId="7AFB4223" w:rsidR="000731BA" w:rsidRPr="00785FB4" w:rsidRDefault="00E60909" w:rsidP="000731BA">
            <w:pPr>
              <w:widowControl/>
              <w:suppressAutoHyphens w:val="0"/>
              <w:spacing w:after="0" w:line="240" w:lineRule="auto"/>
              <w:rPr>
                <w:lang w:val="en-GB"/>
              </w:rPr>
            </w:pPr>
            <w:hyperlink r:id="rId38" w:history="1">
              <w:r w:rsidR="000731BA" w:rsidRPr="00785FB4">
                <w:rPr>
                  <w:rStyle w:val="Hyperlink"/>
                  <w:rFonts w:cs="Calibri"/>
                  <w:lang w:val="en-GB"/>
                </w:rPr>
                <w:t>ataee10000@yahoo.com</w:t>
              </w:r>
            </w:hyperlink>
          </w:p>
        </w:tc>
        <w:tc>
          <w:tcPr>
            <w:tcW w:w="1472" w:type="dxa"/>
          </w:tcPr>
          <w:p w14:paraId="3D37B5AB" w14:textId="07B745C1" w:rsidR="000731BA" w:rsidRPr="00785FB4" w:rsidRDefault="000731BA" w:rsidP="000731BA">
            <w:pPr>
              <w:widowControl/>
              <w:suppressAutoHyphens w:val="0"/>
              <w:spacing w:after="0" w:line="240" w:lineRule="auto"/>
              <w:rPr>
                <w:lang w:val="en-GB"/>
              </w:rPr>
            </w:pPr>
            <w:r w:rsidRPr="00785FB4">
              <w:rPr>
                <w:lang w:val="en-GB"/>
              </w:rPr>
              <w:t>Permanent Member</w:t>
            </w:r>
          </w:p>
        </w:tc>
      </w:tr>
      <w:tr w:rsidR="000731BA" w:rsidRPr="00785FB4" w14:paraId="17750C0F" w14:textId="77777777" w:rsidTr="009D73CD">
        <w:tc>
          <w:tcPr>
            <w:tcW w:w="1384" w:type="dxa"/>
          </w:tcPr>
          <w:p w14:paraId="6971C039" w14:textId="77777777" w:rsidR="000731BA" w:rsidRPr="00785FB4" w:rsidRDefault="000731BA" w:rsidP="000731BA">
            <w:pPr>
              <w:widowControl/>
              <w:suppressAutoHyphens w:val="0"/>
              <w:spacing w:after="0" w:line="240" w:lineRule="auto"/>
              <w:rPr>
                <w:lang w:val="en-GB"/>
              </w:rPr>
            </w:pPr>
          </w:p>
        </w:tc>
        <w:tc>
          <w:tcPr>
            <w:tcW w:w="1730" w:type="dxa"/>
          </w:tcPr>
          <w:p w14:paraId="4BE83362" w14:textId="4B5FBEB0" w:rsidR="000731BA" w:rsidRPr="00785FB4" w:rsidRDefault="000731BA" w:rsidP="000731BA">
            <w:pPr>
              <w:widowControl/>
              <w:suppressAutoHyphens w:val="0"/>
              <w:spacing w:after="0" w:line="240" w:lineRule="auto"/>
              <w:rPr>
                <w:lang w:val="en-GB"/>
              </w:rPr>
            </w:pPr>
            <w:r w:rsidRPr="00785FB4">
              <w:rPr>
                <w:bCs/>
                <w:lang w:val="en-GB"/>
              </w:rPr>
              <w:t>Habburahman Nang</w:t>
            </w:r>
          </w:p>
        </w:tc>
        <w:tc>
          <w:tcPr>
            <w:tcW w:w="1595" w:type="dxa"/>
          </w:tcPr>
          <w:p w14:paraId="260806ED" w14:textId="4D7A7878" w:rsidR="000731BA" w:rsidRPr="00785FB4" w:rsidRDefault="000731BA" w:rsidP="000731BA">
            <w:pPr>
              <w:widowControl/>
              <w:suppressAutoHyphens w:val="0"/>
              <w:spacing w:after="0" w:line="240" w:lineRule="auto"/>
              <w:rPr>
                <w:lang w:val="en-GB"/>
              </w:rPr>
            </w:pPr>
            <w:r w:rsidRPr="00785FB4">
              <w:rPr>
                <w:bCs/>
                <w:lang w:val="en-GB"/>
              </w:rPr>
              <w:t>PETWO</w:t>
            </w:r>
          </w:p>
        </w:tc>
        <w:tc>
          <w:tcPr>
            <w:tcW w:w="3304" w:type="dxa"/>
          </w:tcPr>
          <w:p w14:paraId="1CFE8126" w14:textId="644BF089" w:rsidR="000731BA" w:rsidRPr="00785FB4" w:rsidRDefault="00E60909" w:rsidP="000731BA">
            <w:pPr>
              <w:widowControl/>
              <w:suppressAutoHyphens w:val="0"/>
              <w:spacing w:after="0" w:line="240" w:lineRule="auto"/>
              <w:rPr>
                <w:lang w:val="en-GB"/>
              </w:rPr>
            </w:pPr>
            <w:hyperlink r:id="rId39" w:history="1">
              <w:r w:rsidR="000731BA" w:rsidRPr="00785FB4">
                <w:rPr>
                  <w:rStyle w:val="Hyperlink"/>
                  <w:rFonts w:cs="Calibri"/>
                  <w:lang w:val="en-GB"/>
                </w:rPr>
                <w:t>habibnang@gmail.com</w:t>
              </w:r>
            </w:hyperlink>
          </w:p>
        </w:tc>
        <w:tc>
          <w:tcPr>
            <w:tcW w:w="1472" w:type="dxa"/>
          </w:tcPr>
          <w:p w14:paraId="6AAD5A7B" w14:textId="6CF16CBB" w:rsidR="000731BA" w:rsidRPr="00785FB4" w:rsidRDefault="000731BA" w:rsidP="000731BA">
            <w:pPr>
              <w:widowControl/>
              <w:suppressAutoHyphens w:val="0"/>
              <w:spacing w:after="0" w:line="240" w:lineRule="auto"/>
              <w:rPr>
                <w:lang w:val="en-GB"/>
              </w:rPr>
            </w:pPr>
            <w:r w:rsidRPr="00785FB4">
              <w:rPr>
                <w:lang w:val="en-GB"/>
              </w:rPr>
              <w:t>Permanent Member</w:t>
            </w:r>
          </w:p>
        </w:tc>
      </w:tr>
      <w:tr w:rsidR="000731BA" w:rsidRPr="00785FB4" w14:paraId="31747235" w14:textId="77777777" w:rsidTr="009D73CD">
        <w:tc>
          <w:tcPr>
            <w:tcW w:w="1384" w:type="dxa"/>
          </w:tcPr>
          <w:p w14:paraId="0E741744" w14:textId="6F6B80A4" w:rsidR="000731BA" w:rsidRPr="00785FB4" w:rsidRDefault="000731BA" w:rsidP="000731BA">
            <w:pPr>
              <w:widowControl/>
              <w:suppressAutoHyphens w:val="0"/>
              <w:spacing w:after="0" w:line="240" w:lineRule="auto"/>
              <w:rPr>
                <w:lang w:val="en-GB"/>
              </w:rPr>
            </w:pPr>
            <w:r w:rsidRPr="00785FB4">
              <w:rPr>
                <w:bCs/>
                <w:lang w:val="en-GB"/>
              </w:rPr>
              <w:lastRenderedPageBreak/>
              <w:t>Private sector</w:t>
            </w:r>
          </w:p>
        </w:tc>
        <w:tc>
          <w:tcPr>
            <w:tcW w:w="1730" w:type="dxa"/>
          </w:tcPr>
          <w:p w14:paraId="16AD4DCB" w14:textId="063591F0" w:rsidR="000731BA" w:rsidRPr="00785FB4" w:rsidRDefault="000731BA" w:rsidP="000731BA">
            <w:pPr>
              <w:widowControl/>
              <w:suppressAutoHyphens w:val="0"/>
              <w:spacing w:after="0" w:line="240" w:lineRule="auto"/>
              <w:rPr>
                <w:lang w:val="en-GB"/>
              </w:rPr>
            </w:pPr>
            <w:r w:rsidRPr="00785FB4">
              <w:rPr>
                <w:lang w:val="en-GB"/>
              </w:rPr>
              <w:t>Shafiqullah Attai</w:t>
            </w:r>
          </w:p>
        </w:tc>
        <w:tc>
          <w:tcPr>
            <w:tcW w:w="1595" w:type="dxa"/>
          </w:tcPr>
          <w:p w14:paraId="118E202B" w14:textId="0E4CB98C" w:rsidR="000731BA" w:rsidRPr="00785FB4" w:rsidRDefault="000731BA" w:rsidP="000731BA">
            <w:pPr>
              <w:widowControl/>
              <w:suppressAutoHyphens w:val="0"/>
              <w:spacing w:after="0" w:line="240" w:lineRule="auto"/>
              <w:rPr>
                <w:lang w:val="en-GB"/>
              </w:rPr>
            </w:pPr>
            <w:r w:rsidRPr="00785FB4">
              <w:rPr>
                <w:lang w:val="en-GB"/>
              </w:rPr>
              <w:t>ACCI</w:t>
            </w:r>
          </w:p>
        </w:tc>
        <w:tc>
          <w:tcPr>
            <w:tcW w:w="3304" w:type="dxa"/>
          </w:tcPr>
          <w:p w14:paraId="1474C6AC" w14:textId="374756D2" w:rsidR="000731BA" w:rsidRPr="00785FB4" w:rsidRDefault="000731BA" w:rsidP="000731BA">
            <w:pPr>
              <w:widowControl/>
              <w:suppressAutoHyphens w:val="0"/>
              <w:spacing w:after="0" w:line="240" w:lineRule="auto"/>
              <w:rPr>
                <w:lang w:val="en-GB"/>
              </w:rPr>
            </w:pPr>
            <w:r w:rsidRPr="00785FB4">
              <w:rPr>
                <w:lang w:val="en-GB"/>
              </w:rPr>
              <w:t>cod@acci.org.af</w:t>
            </w:r>
          </w:p>
        </w:tc>
        <w:tc>
          <w:tcPr>
            <w:tcW w:w="1472" w:type="dxa"/>
          </w:tcPr>
          <w:p w14:paraId="5EF67F09" w14:textId="549869AE" w:rsidR="000731BA" w:rsidRPr="00785FB4" w:rsidRDefault="000731BA" w:rsidP="000731BA">
            <w:pPr>
              <w:widowControl/>
              <w:suppressAutoHyphens w:val="0"/>
              <w:spacing w:after="0" w:line="240" w:lineRule="auto"/>
              <w:rPr>
                <w:lang w:val="en-GB"/>
              </w:rPr>
            </w:pPr>
            <w:r w:rsidRPr="00785FB4">
              <w:rPr>
                <w:lang w:val="en-GB"/>
              </w:rPr>
              <w:t>Permanent</w:t>
            </w:r>
          </w:p>
        </w:tc>
      </w:tr>
      <w:tr w:rsidR="000731BA" w:rsidRPr="00785FB4" w14:paraId="03347E03" w14:textId="77777777" w:rsidTr="009D73CD">
        <w:tc>
          <w:tcPr>
            <w:tcW w:w="1384" w:type="dxa"/>
          </w:tcPr>
          <w:p w14:paraId="1A8A5293" w14:textId="77777777" w:rsidR="000731BA" w:rsidRPr="00785FB4" w:rsidRDefault="000731BA" w:rsidP="000731BA">
            <w:pPr>
              <w:widowControl/>
              <w:suppressAutoHyphens w:val="0"/>
              <w:spacing w:after="0" w:line="240" w:lineRule="auto"/>
              <w:rPr>
                <w:lang w:val="en-GB"/>
              </w:rPr>
            </w:pPr>
          </w:p>
        </w:tc>
        <w:tc>
          <w:tcPr>
            <w:tcW w:w="1730" w:type="dxa"/>
          </w:tcPr>
          <w:p w14:paraId="478E8361" w14:textId="0CB9647E" w:rsidR="000731BA" w:rsidRPr="00785FB4" w:rsidRDefault="000731BA" w:rsidP="000731BA">
            <w:pPr>
              <w:widowControl/>
              <w:suppressAutoHyphens w:val="0"/>
              <w:spacing w:after="0" w:line="240" w:lineRule="auto"/>
              <w:rPr>
                <w:lang w:val="en-GB"/>
              </w:rPr>
            </w:pPr>
            <w:r w:rsidRPr="00785FB4">
              <w:rPr>
                <w:lang w:val="en-GB"/>
              </w:rPr>
              <w:t>Ashaq Hussain</w:t>
            </w:r>
          </w:p>
        </w:tc>
        <w:tc>
          <w:tcPr>
            <w:tcW w:w="1595" w:type="dxa"/>
          </w:tcPr>
          <w:p w14:paraId="4152FFFF" w14:textId="0A7257D7" w:rsidR="000731BA" w:rsidRPr="00785FB4" w:rsidRDefault="000731BA" w:rsidP="000731BA">
            <w:pPr>
              <w:widowControl/>
              <w:suppressAutoHyphens w:val="0"/>
              <w:spacing w:after="0" w:line="240" w:lineRule="auto"/>
              <w:rPr>
                <w:lang w:val="en-GB"/>
              </w:rPr>
            </w:pPr>
            <w:r w:rsidRPr="00785FB4">
              <w:rPr>
                <w:lang w:val="en-GB"/>
              </w:rPr>
              <w:t>Core Drillers</w:t>
            </w:r>
          </w:p>
        </w:tc>
        <w:tc>
          <w:tcPr>
            <w:tcW w:w="3304" w:type="dxa"/>
          </w:tcPr>
          <w:p w14:paraId="2833B8B9" w14:textId="77C585E1" w:rsidR="000731BA" w:rsidRPr="00785FB4" w:rsidRDefault="000731BA" w:rsidP="000731BA">
            <w:pPr>
              <w:widowControl/>
              <w:suppressAutoHyphens w:val="0"/>
              <w:spacing w:after="0" w:line="240" w:lineRule="auto"/>
              <w:rPr>
                <w:lang w:val="en-GB"/>
              </w:rPr>
            </w:pPr>
            <w:r w:rsidRPr="00785FB4">
              <w:rPr>
                <w:lang w:val="en-GB"/>
              </w:rPr>
              <w:t>Dir.exploration@coredrillers.net</w:t>
            </w:r>
          </w:p>
        </w:tc>
        <w:tc>
          <w:tcPr>
            <w:tcW w:w="1472" w:type="dxa"/>
          </w:tcPr>
          <w:p w14:paraId="634257F0" w14:textId="2A835F31" w:rsidR="000731BA" w:rsidRPr="00785FB4" w:rsidRDefault="000731BA" w:rsidP="000731BA">
            <w:pPr>
              <w:widowControl/>
              <w:suppressAutoHyphens w:val="0"/>
              <w:spacing w:after="0" w:line="240" w:lineRule="auto"/>
              <w:rPr>
                <w:lang w:val="en-GB"/>
              </w:rPr>
            </w:pPr>
            <w:r w:rsidRPr="00785FB4">
              <w:rPr>
                <w:lang w:val="en-GB"/>
              </w:rPr>
              <w:t>Permanent</w:t>
            </w:r>
          </w:p>
        </w:tc>
      </w:tr>
      <w:tr w:rsidR="000731BA" w:rsidRPr="00785FB4" w14:paraId="723E85D9" w14:textId="77777777" w:rsidTr="009D73CD">
        <w:tc>
          <w:tcPr>
            <w:tcW w:w="1384" w:type="dxa"/>
          </w:tcPr>
          <w:p w14:paraId="7EFF0739" w14:textId="77777777" w:rsidR="000731BA" w:rsidRPr="00785FB4" w:rsidRDefault="000731BA" w:rsidP="000731BA">
            <w:pPr>
              <w:widowControl/>
              <w:suppressAutoHyphens w:val="0"/>
              <w:spacing w:after="0" w:line="240" w:lineRule="auto"/>
              <w:rPr>
                <w:bCs/>
                <w:lang w:val="en-GB"/>
              </w:rPr>
            </w:pPr>
          </w:p>
        </w:tc>
        <w:tc>
          <w:tcPr>
            <w:tcW w:w="1730" w:type="dxa"/>
          </w:tcPr>
          <w:p w14:paraId="18C523A0" w14:textId="5015EB3C" w:rsidR="000731BA" w:rsidRPr="00785FB4" w:rsidRDefault="000731BA" w:rsidP="000731BA">
            <w:pPr>
              <w:widowControl/>
              <w:suppressAutoHyphens w:val="0"/>
              <w:spacing w:after="0" w:line="240" w:lineRule="auto"/>
              <w:rPr>
                <w:lang w:val="en-GB"/>
              </w:rPr>
            </w:pPr>
            <w:r w:rsidRPr="00785FB4">
              <w:rPr>
                <w:lang w:val="en-GB"/>
              </w:rPr>
              <w:t>Bashir Andesha</w:t>
            </w:r>
          </w:p>
        </w:tc>
        <w:tc>
          <w:tcPr>
            <w:tcW w:w="1595" w:type="dxa"/>
          </w:tcPr>
          <w:p w14:paraId="5DF465CC" w14:textId="3FD75B21" w:rsidR="000731BA" w:rsidRPr="00785FB4" w:rsidRDefault="000731BA" w:rsidP="000731BA">
            <w:pPr>
              <w:widowControl/>
              <w:suppressAutoHyphens w:val="0"/>
              <w:spacing w:after="0" w:line="240" w:lineRule="auto"/>
              <w:rPr>
                <w:lang w:val="en-GB"/>
              </w:rPr>
            </w:pPr>
            <w:r w:rsidRPr="00785FB4">
              <w:rPr>
                <w:lang w:val="en-GB"/>
              </w:rPr>
              <w:t>Khoshak Brothers</w:t>
            </w:r>
          </w:p>
        </w:tc>
        <w:tc>
          <w:tcPr>
            <w:tcW w:w="3304" w:type="dxa"/>
          </w:tcPr>
          <w:p w14:paraId="03F2378D" w14:textId="2486D587" w:rsidR="000731BA" w:rsidRPr="00785FB4" w:rsidRDefault="00E60909" w:rsidP="000731BA">
            <w:pPr>
              <w:widowControl/>
              <w:suppressAutoHyphens w:val="0"/>
              <w:spacing w:after="0" w:line="240" w:lineRule="auto"/>
              <w:rPr>
                <w:lang w:val="en-GB"/>
              </w:rPr>
            </w:pPr>
            <w:hyperlink r:id="rId40" w:history="1">
              <w:r w:rsidR="000731BA" w:rsidRPr="00785FB4">
                <w:rPr>
                  <w:rStyle w:val="Hyperlink"/>
                  <w:rFonts w:cs="Calibri"/>
                  <w:lang w:val="en-GB"/>
                </w:rPr>
                <w:t>Khoshak.company@gmail.com</w:t>
              </w:r>
            </w:hyperlink>
          </w:p>
        </w:tc>
        <w:tc>
          <w:tcPr>
            <w:tcW w:w="1472" w:type="dxa"/>
          </w:tcPr>
          <w:p w14:paraId="7E49DA09" w14:textId="4A3918A9" w:rsidR="000731BA" w:rsidRPr="00785FB4" w:rsidRDefault="000731BA" w:rsidP="000731BA">
            <w:pPr>
              <w:widowControl/>
              <w:suppressAutoHyphens w:val="0"/>
              <w:spacing w:after="0" w:line="240" w:lineRule="auto"/>
              <w:rPr>
                <w:lang w:val="en-GB"/>
              </w:rPr>
            </w:pPr>
            <w:r w:rsidRPr="00785FB4">
              <w:rPr>
                <w:lang w:val="en-GB"/>
              </w:rPr>
              <w:t>Permanent</w:t>
            </w:r>
          </w:p>
        </w:tc>
      </w:tr>
      <w:tr w:rsidR="000731BA" w:rsidRPr="00785FB4" w14:paraId="443639AB" w14:textId="77777777" w:rsidTr="009D73CD">
        <w:tc>
          <w:tcPr>
            <w:tcW w:w="1384" w:type="dxa"/>
          </w:tcPr>
          <w:p w14:paraId="04B1E7B7" w14:textId="77777777" w:rsidR="000731BA" w:rsidRPr="00785FB4" w:rsidRDefault="000731BA" w:rsidP="000731BA">
            <w:pPr>
              <w:widowControl/>
              <w:suppressAutoHyphens w:val="0"/>
              <w:spacing w:after="0" w:line="240" w:lineRule="auto"/>
              <w:rPr>
                <w:bCs/>
                <w:lang w:val="en-GB"/>
              </w:rPr>
            </w:pPr>
          </w:p>
        </w:tc>
        <w:tc>
          <w:tcPr>
            <w:tcW w:w="1730" w:type="dxa"/>
          </w:tcPr>
          <w:p w14:paraId="381311DA" w14:textId="4300F6F0" w:rsidR="000731BA" w:rsidRPr="00785FB4" w:rsidRDefault="000731BA" w:rsidP="000731BA">
            <w:pPr>
              <w:widowControl/>
              <w:suppressAutoHyphens w:val="0"/>
              <w:spacing w:after="0" w:line="240" w:lineRule="auto"/>
              <w:rPr>
                <w:lang w:val="en-GB"/>
              </w:rPr>
            </w:pPr>
            <w:r w:rsidRPr="00785FB4">
              <w:rPr>
                <w:lang w:val="en-GB"/>
              </w:rPr>
              <w:t xml:space="preserve">Mohammed Hussain </w:t>
            </w:r>
          </w:p>
        </w:tc>
        <w:tc>
          <w:tcPr>
            <w:tcW w:w="1595" w:type="dxa"/>
          </w:tcPr>
          <w:p w14:paraId="4EA09EC7" w14:textId="45CFAB5A" w:rsidR="000731BA" w:rsidRPr="00785FB4" w:rsidRDefault="000731BA" w:rsidP="000731BA">
            <w:pPr>
              <w:widowControl/>
              <w:suppressAutoHyphens w:val="0"/>
              <w:spacing w:after="0" w:line="240" w:lineRule="auto"/>
              <w:rPr>
                <w:lang w:val="en-GB"/>
              </w:rPr>
            </w:pPr>
            <w:r w:rsidRPr="00785FB4">
              <w:rPr>
                <w:lang w:val="en-GB"/>
              </w:rPr>
              <w:t>MCC/MJAM</w:t>
            </w:r>
          </w:p>
        </w:tc>
        <w:tc>
          <w:tcPr>
            <w:tcW w:w="3304" w:type="dxa"/>
          </w:tcPr>
          <w:p w14:paraId="02F8162F" w14:textId="70BEBE82" w:rsidR="000731BA" w:rsidRPr="00785FB4" w:rsidRDefault="000731BA" w:rsidP="000731BA">
            <w:pPr>
              <w:widowControl/>
              <w:suppressAutoHyphens w:val="0"/>
              <w:spacing w:after="0" w:line="240" w:lineRule="auto"/>
              <w:rPr>
                <w:lang w:val="en-GB"/>
              </w:rPr>
            </w:pPr>
          </w:p>
        </w:tc>
        <w:tc>
          <w:tcPr>
            <w:tcW w:w="1472" w:type="dxa"/>
          </w:tcPr>
          <w:p w14:paraId="0277AD0B" w14:textId="31F89558" w:rsidR="000731BA" w:rsidRPr="00785FB4" w:rsidRDefault="000731BA" w:rsidP="000731BA">
            <w:pPr>
              <w:widowControl/>
              <w:suppressAutoHyphens w:val="0"/>
              <w:spacing w:after="0" w:line="240" w:lineRule="auto"/>
              <w:rPr>
                <w:lang w:val="en-GB"/>
              </w:rPr>
            </w:pPr>
            <w:r w:rsidRPr="00785FB4">
              <w:rPr>
                <w:lang w:val="en-GB"/>
              </w:rPr>
              <w:t>Permanent</w:t>
            </w:r>
          </w:p>
        </w:tc>
      </w:tr>
      <w:tr w:rsidR="000731BA" w:rsidRPr="00785FB4" w14:paraId="78B5382F" w14:textId="77777777" w:rsidTr="009D73CD">
        <w:tc>
          <w:tcPr>
            <w:tcW w:w="1384" w:type="dxa"/>
          </w:tcPr>
          <w:p w14:paraId="3E82453F" w14:textId="77777777" w:rsidR="000731BA" w:rsidRPr="00785FB4" w:rsidRDefault="000731BA" w:rsidP="000731BA">
            <w:pPr>
              <w:widowControl/>
              <w:suppressAutoHyphens w:val="0"/>
              <w:spacing w:after="0" w:line="240" w:lineRule="auto"/>
              <w:rPr>
                <w:bCs/>
                <w:lang w:val="en-GB"/>
              </w:rPr>
            </w:pPr>
          </w:p>
        </w:tc>
        <w:tc>
          <w:tcPr>
            <w:tcW w:w="1730" w:type="dxa"/>
          </w:tcPr>
          <w:p w14:paraId="26A75223" w14:textId="342CB97F" w:rsidR="000731BA" w:rsidRPr="00785FB4" w:rsidRDefault="000731BA" w:rsidP="000731BA">
            <w:pPr>
              <w:widowControl/>
              <w:suppressAutoHyphens w:val="0"/>
              <w:spacing w:after="0" w:line="240" w:lineRule="auto"/>
              <w:rPr>
                <w:lang w:val="en-GB"/>
              </w:rPr>
            </w:pPr>
            <w:r w:rsidRPr="00785FB4">
              <w:rPr>
                <w:lang w:val="en-GB"/>
              </w:rPr>
              <w:t>Ahmad Ramin Rahi</w:t>
            </w:r>
          </w:p>
        </w:tc>
        <w:tc>
          <w:tcPr>
            <w:tcW w:w="1595" w:type="dxa"/>
          </w:tcPr>
          <w:p w14:paraId="7C06D0CB" w14:textId="4876C0F7" w:rsidR="000731BA" w:rsidRPr="00785FB4" w:rsidRDefault="000731BA" w:rsidP="000731BA">
            <w:pPr>
              <w:widowControl/>
              <w:suppressAutoHyphens w:val="0"/>
              <w:spacing w:after="0" w:line="240" w:lineRule="auto"/>
              <w:rPr>
                <w:lang w:val="en-GB"/>
              </w:rPr>
            </w:pPr>
            <w:r w:rsidRPr="00785FB4">
              <w:rPr>
                <w:lang w:val="en-GB"/>
              </w:rPr>
              <w:t>CNPCI Watan</w:t>
            </w:r>
          </w:p>
        </w:tc>
        <w:tc>
          <w:tcPr>
            <w:tcW w:w="3304" w:type="dxa"/>
          </w:tcPr>
          <w:p w14:paraId="2C84F1E9" w14:textId="7BACD170" w:rsidR="000731BA" w:rsidRPr="00785FB4" w:rsidRDefault="00E60909" w:rsidP="000731BA">
            <w:pPr>
              <w:widowControl/>
              <w:suppressAutoHyphens w:val="0"/>
              <w:spacing w:after="0" w:line="240" w:lineRule="auto"/>
              <w:rPr>
                <w:lang w:val="en-GB"/>
              </w:rPr>
            </w:pPr>
            <w:hyperlink r:id="rId41" w:history="1">
              <w:r w:rsidR="000731BA" w:rsidRPr="00785FB4">
                <w:rPr>
                  <w:rStyle w:val="Hyperlink"/>
                  <w:rFonts w:cs="Calibri"/>
                  <w:lang w:val="en-GB"/>
                </w:rPr>
                <w:t>Ramin.r@cnpcag.com</w:t>
              </w:r>
            </w:hyperlink>
          </w:p>
        </w:tc>
        <w:tc>
          <w:tcPr>
            <w:tcW w:w="1472" w:type="dxa"/>
          </w:tcPr>
          <w:p w14:paraId="03413C5C" w14:textId="18E34220" w:rsidR="000731BA" w:rsidRPr="00785FB4" w:rsidRDefault="000731BA" w:rsidP="000731BA">
            <w:pPr>
              <w:widowControl/>
              <w:suppressAutoHyphens w:val="0"/>
              <w:spacing w:after="0" w:line="240" w:lineRule="auto"/>
              <w:rPr>
                <w:lang w:val="en-GB"/>
              </w:rPr>
            </w:pPr>
            <w:r w:rsidRPr="00785FB4">
              <w:rPr>
                <w:lang w:val="en-GB"/>
              </w:rPr>
              <w:t>Permanent</w:t>
            </w:r>
          </w:p>
        </w:tc>
      </w:tr>
      <w:tr w:rsidR="000731BA" w:rsidRPr="00785FB4" w14:paraId="2AB12426" w14:textId="77777777" w:rsidTr="009D73CD">
        <w:tc>
          <w:tcPr>
            <w:tcW w:w="1384" w:type="dxa"/>
          </w:tcPr>
          <w:p w14:paraId="13A5C75C" w14:textId="77777777" w:rsidR="000731BA" w:rsidRPr="00785FB4" w:rsidRDefault="000731BA" w:rsidP="000731BA">
            <w:pPr>
              <w:widowControl/>
              <w:suppressAutoHyphens w:val="0"/>
              <w:spacing w:after="0" w:line="240" w:lineRule="auto"/>
              <w:rPr>
                <w:bCs/>
                <w:lang w:val="en-GB"/>
              </w:rPr>
            </w:pPr>
          </w:p>
        </w:tc>
        <w:tc>
          <w:tcPr>
            <w:tcW w:w="1730" w:type="dxa"/>
          </w:tcPr>
          <w:p w14:paraId="59DDCD84" w14:textId="359A7FC1" w:rsidR="000731BA" w:rsidRPr="00785FB4" w:rsidRDefault="000731BA" w:rsidP="000731BA">
            <w:pPr>
              <w:widowControl/>
              <w:suppressAutoHyphens w:val="0"/>
              <w:spacing w:after="0" w:line="240" w:lineRule="auto"/>
              <w:rPr>
                <w:lang w:val="en-GB"/>
              </w:rPr>
            </w:pPr>
            <w:r w:rsidRPr="00785FB4">
              <w:rPr>
                <w:lang w:val="en-GB"/>
              </w:rPr>
              <w:t>Eng. Sardar Hossain</w:t>
            </w:r>
          </w:p>
        </w:tc>
        <w:tc>
          <w:tcPr>
            <w:tcW w:w="1595" w:type="dxa"/>
          </w:tcPr>
          <w:p w14:paraId="2D222A87" w14:textId="69EF8604" w:rsidR="000731BA" w:rsidRPr="00785FB4" w:rsidRDefault="000731BA" w:rsidP="000731BA">
            <w:pPr>
              <w:widowControl/>
              <w:suppressAutoHyphens w:val="0"/>
              <w:spacing w:after="0" w:line="240" w:lineRule="auto"/>
              <w:rPr>
                <w:lang w:val="en-GB"/>
              </w:rPr>
            </w:pPr>
            <w:r w:rsidRPr="00785FB4">
              <w:rPr>
                <w:lang w:val="en-GB"/>
              </w:rPr>
              <w:t>Mesaq e Sharq</w:t>
            </w:r>
          </w:p>
        </w:tc>
        <w:tc>
          <w:tcPr>
            <w:tcW w:w="3304" w:type="dxa"/>
          </w:tcPr>
          <w:p w14:paraId="12C65443" w14:textId="095F27A1" w:rsidR="000731BA" w:rsidRPr="00785FB4" w:rsidRDefault="00E60909" w:rsidP="000731BA">
            <w:pPr>
              <w:widowControl/>
              <w:suppressAutoHyphens w:val="0"/>
              <w:spacing w:after="0" w:line="240" w:lineRule="auto"/>
              <w:rPr>
                <w:lang w:val="en-GB"/>
              </w:rPr>
            </w:pPr>
            <w:hyperlink r:id="rId42" w:history="1">
              <w:r w:rsidR="000731BA" w:rsidRPr="00785FB4">
                <w:rPr>
                  <w:rStyle w:val="Hyperlink"/>
                  <w:rFonts w:cs="Calibri"/>
                  <w:lang w:val="en-GB"/>
                </w:rPr>
                <w:t>Mehrpoor.af@gmail.com</w:t>
              </w:r>
            </w:hyperlink>
          </w:p>
        </w:tc>
        <w:tc>
          <w:tcPr>
            <w:tcW w:w="1472" w:type="dxa"/>
          </w:tcPr>
          <w:p w14:paraId="5D9B524C" w14:textId="1D853374" w:rsidR="000731BA" w:rsidRPr="00785FB4" w:rsidRDefault="000731BA" w:rsidP="000731BA">
            <w:pPr>
              <w:widowControl/>
              <w:suppressAutoHyphens w:val="0"/>
              <w:spacing w:after="0" w:line="240" w:lineRule="auto"/>
              <w:rPr>
                <w:lang w:val="en-GB"/>
              </w:rPr>
            </w:pPr>
            <w:r w:rsidRPr="00785FB4">
              <w:rPr>
                <w:lang w:val="en-GB"/>
              </w:rPr>
              <w:t>Permanent</w:t>
            </w:r>
          </w:p>
        </w:tc>
      </w:tr>
    </w:tbl>
    <w:p w14:paraId="5FEFD9CD" w14:textId="210E6028" w:rsidR="008B459A" w:rsidRPr="00785FB4" w:rsidRDefault="008B459A">
      <w:pPr>
        <w:widowControl/>
        <w:suppressAutoHyphens w:val="0"/>
        <w:spacing w:after="0" w:line="240" w:lineRule="auto"/>
        <w:rPr>
          <w:color w:val="000000" w:themeColor="text1"/>
        </w:rPr>
      </w:pPr>
      <w:r w:rsidRPr="00785FB4">
        <w:rPr>
          <w:bCs/>
          <w:color w:val="000000" w:themeColor="text1"/>
        </w:rPr>
        <w:br w:type="page"/>
      </w:r>
    </w:p>
    <w:p w14:paraId="017628D7" w14:textId="77777777" w:rsidR="00E60DD6" w:rsidRPr="00785FB4" w:rsidRDefault="00E60DD6" w:rsidP="00A94167">
      <w:pPr>
        <w:pStyle w:val="Heading2"/>
        <w:sectPr w:rsidR="00E60DD6" w:rsidRPr="00785FB4" w:rsidSect="008F1820">
          <w:headerReference w:type="default" r:id="rId43"/>
          <w:headerReference w:type="first" r:id="rId44"/>
          <w:pgSz w:w="11905" w:h="16837"/>
          <w:pgMar w:top="1175" w:right="1276" w:bottom="1418" w:left="1134" w:header="567" w:footer="0" w:gutter="0"/>
          <w:cols w:space="708"/>
          <w:titlePg/>
          <w:docGrid w:linePitch="326"/>
        </w:sectPr>
      </w:pPr>
      <w:bookmarkStart w:id="653" w:name="_Toc459133211"/>
      <w:bookmarkStart w:id="654" w:name="_Toc461803160"/>
      <w:bookmarkStart w:id="655" w:name="_Toc461787371"/>
      <w:bookmarkStart w:id="656" w:name="_Toc461795883"/>
      <w:bookmarkStart w:id="657" w:name="_Toc505449726"/>
      <w:bookmarkStart w:id="658" w:name="_Toc505449834"/>
      <w:bookmarkStart w:id="659" w:name="_Toc452707653"/>
    </w:p>
    <w:p w14:paraId="3442903C" w14:textId="124F261F" w:rsidR="00D877A2" w:rsidRPr="00785FB4" w:rsidRDefault="00112D9C" w:rsidP="00A94167">
      <w:pPr>
        <w:pStyle w:val="Heading2"/>
      </w:pPr>
      <w:r w:rsidRPr="00785FB4">
        <w:lastRenderedPageBreak/>
        <w:t>Annex B – MS</w:t>
      </w:r>
      <w:r w:rsidR="00D877A2" w:rsidRPr="00785FB4">
        <w:t>G meeting attendance</w:t>
      </w:r>
      <w:bookmarkEnd w:id="653"/>
      <w:bookmarkEnd w:id="654"/>
      <w:bookmarkEnd w:id="655"/>
      <w:bookmarkEnd w:id="656"/>
      <w:bookmarkEnd w:id="657"/>
      <w:bookmarkEnd w:id="658"/>
    </w:p>
    <w:p w14:paraId="0DC4E0AF" w14:textId="078B0218" w:rsidR="00510C63" w:rsidRPr="00785FB4" w:rsidRDefault="00B42DE9" w:rsidP="009464B0">
      <w:r w:rsidRPr="00785FB4">
        <w:rPr>
          <w:bCs/>
        </w:rPr>
        <w:t>Due to fluctuations in MSG membership over time, it is not possible to calculate meeting attendance on the basis of MSG membership (</w:t>
      </w:r>
      <w:r w:rsidRPr="00785FB4">
        <w:rPr>
          <w:bCs/>
          <w:i/>
        </w:rPr>
        <w:t>See Requirement 1.</w:t>
      </w:r>
      <w:r w:rsidRPr="00785FB4">
        <w:rPr>
          <w:bCs/>
        </w:rPr>
        <w:t xml:space="preserve">4). MSG meeting attendance is consequently calculated on the basis of available MSG minutes on AEITI’s website and does not reflect cases when MSG members did not attend any meeting at all. </w:t>
      </w:r>
    </w:p>
    <w:tbl>
      <w:tblPr>
        <w:tblW w:w="13031" w:type="dxa"/>
        <w:tblCellMar>
          <w:left w:w="70" w:type="dxa"/>
          <w:right w:w="70" w:type="dxa"/>
        </w:tblCellMar>
        <w:tblLook w:val="04A0" w:firstRow="1" w:lastRow="0" w:firstColumn="1" w:lastColumn="0" w:noHBand="0" w:noVBand="1"/>
      </w:tblPr>
      <w:tblGrid>
        <w:gridCol w:w="500"/>
        <w:gridCol w:w="1617"/>
        <w:gridCol w:w="1701"/>
        <w:gridCol w:w="1559"/>
        <w:gridCol w:w="1134"/>
        <w:gridCol w:w="1134"/>
        <w:gridCol w:w="992"/>
        <w:gridCol w:w="1134"/>
        <w:gridCol w:w="1418"/>
        <w:gridCol w:w="1134"/>
        <w:gridCol w:w="708"/>
      </w:tblGrid>
      <w:tr w:rsidR="00B42DE9" w:rsidRPr="00785FB4" w14:paraId="7E79A0E6" w14:textId="77777777" w:rsidTr="005847BB">
        <w:trPr>
          <w:trHeight w:val="435"/>
        </w:trPr>
        <w:tc>
          <w:tcPr>
            <w:tcW w:w="2117" w:type="dxa"/>
            <w:gridSpan w:val="2"/>
            <w:tcBorders>
              <w:top w:val="single" w:sz="8" w:space="0" w:color="auto"/>
              <w:left w:val="single" w:sz="8" w:space="0" w:color="auto"/>
              <w:bottom w:val="nil"/>
              <w:right w:val="nil"/>
            </w:tcBorders>
            <w:shd w:val="clear" w:color="000000" w:fill="FFCC99"/>
            <w:noWrap/>
            <w:vAlign w:val="center"/>
            <w:hideMark/>
          </w:tcPr>
          <w:p w14:paraId="6DAF7C2F" w14:textId="77777777" w:rsidR="00B42DE9" w:rsidRPr="00785FB4" w:rsidRDefault="00B42DE9" w:rsidP="005847BB">
            <w:pPr>
              <w:widowControl/>
              <w:suppressAutoHyphens w:val="0"/>
              <w:spacing w:after="0" w:line="240" w:lineRule="auto"/>
              <w:jc w:val="center"/>
              <w:rPr>
                <w:rFonts w:ascii="Calibri" w:hAnsi="Calibri"/>
                <w:color w:val="3F3F76"/>
                <w:sz w:val="32"/>
                <w:szCs w:val="32"/>
                <w:lang w:eastAsia="nb-NO"/>
              </w:rPr>
            </w:pPr>
            <w:r w:rsidRPr="00785FB4">
              <w:rPr>
                <w:rFonts w:ascii="Calibri" w:hAnsi="Calibri"/>
                <w:color w:val="3F3F76"/>
                <w:sz w:val="32"/>
                <w:szCs w:val="32"/>
                <w:lang w:eastAsia="nb-NO"/>
              </w:rPr>
              <w:t>Members</w:t>
            </w:r>
          </w:p>
        </w:tc>
        <w:tc>
          <w:tcPr>
            <w:tcW w:w="1701" w:type="dxa"/>
            <w:tcBorders>
              <w:top w:val="single" w:sz="8" w:space="0" w:color="auto"/>
              <w:left w:val="nil"/>
              <w:bottom w:val="nil"/>
              <w:right w:val="nil"/>
            </w:tcBorders>
            <w:shd w:val="clear" w:color="000000" w:fill="FFCC99"/>
            <w:noWrap/>
            <w:vAlign w:val="center"/>
            <w:hideMark/>
          </w:tcPr>
          <w:p w14:paraId="003C0945" w14:textId="33780BB1" w:rsidR="00B42DE9" w:rsidRPr="00785FB4" w:rsidRDefault="00B42DE9" w:rsidP="005847BB">
            <w:pPr>
              <w:widowControl/>
              <w:suppressAutoHyphens w:val="0"/>
              <w:spacing w:after="0" w:line="240" w:lineRule="auto"/>
              <w:jc w:val="center"/>
              <w:rPr>
                <w:rFonts w:ascii="Calibri" w:hAnsi="Calibri"/>
                <w:color w:val="3F3F76"/>
                <w:sz w:val="32"/>
                <w:szCs w:val="32"/>
                <w:lang w:eastAsia="nb-NO"/>
              </w:rPr>
            </w:pPr>
          </w:p>
        </w:tc>
        <w:tc>
          <w:tcPr>
            <w:tcW w:w="1559" w:type="dxa"/>
            <w:tcBorders>
              <w:top w:val="single" w:sz="8" w:space="0" w:color="auto"/>
              <w:left w:val="nil"/>
              <w:bottom w:val="nil"/>
              <w:right w:val="single" w:sz="4" w:space="0" w:color="auto"/>
            </w:tcBorders>
            <w:shd w:val="clear" w:color="000000" w:fill="FFCC99"/>
            <w:noWrap/>
            <w:vAlign w:val="center"/>
            <w:hideMark/>
          </w:tcPr>
          <w:p w14:paraId="1A3C48A7" w14:textId="1F6563A3" w:rsidR="00B42DE9" w:rsidRPr="00785FB4" w:rsidRDefault="00B42DE9" w:rsidP="005847BB">
            <w:pPr>
              <w:widowControl/>
              <w:suppressAutoHyphens w:val="0"/>
              <w:spacing w:after="0" w:line="240" w:lineRule="auto"/>
              <w:jc w:val="center"/>
              <w:rPr>
                <w:rFonts w:ascii="Calibri" w:hAnsi="Calibri"/>
                <w:color w:val="3F3F76"/>
                <w:sz w:val="32"/>
                <w:szCs w:val="32"/>
                <w:lang w:eastAsia="nb-NO"/>
              </w:rPr>
            </w:pPr>
          </w:p>
        </w:tc>
        <w:tc>
          <w:tcPr>
            <w:tcW w:w="1134" w:type="dxa"/>
            <w:tcBorders>
              <w:top w:val="single" w:sz="8" w:space="0" w:color="auto"/>
              <w:left w:val="nil"/>
              <w:bottom w:val="nil"/>
              <w:right w:val="nil"/>
            </w:tcBorders>
            <w:shd w:val="clear" w:color="000000" w:fill="FFCC99"/>
            <w:noWrap/>
            <w:vAlign w:val="center"/>
            <w:hideMark/>
          </w:tcPr>
          <w:p w14:paraId="15BBE512" w14:textId="0FAC31FE" w:rsidR="00B42DE9" w:rsidRPr="00785FB4" w:rsidRDefault="00B42DE9" w:rsidP="005847BB">
            <w:pPr>
              <w:widowControl/>
              <w:suppressAutoHyphens w:val="0"/>
              <w:spacing w:after="0" w:line="240" w:lineRule="auto"/>
              <w:jc w:val="center"/>
              <w:rPr>
                <w:rFonts w:ascii="Calibri" w:hAnsi="Calibri"/>
                <w:color w:val="3F3F76"/>
                <w:sz w:val="32"/>
                <w:szCs w:val="32"/>
                <w:lang w:eastAsia="nb-NO"/>
              </w:rPr>
            </w:pPr>
          </w:p>
        </w:tc>
        <w:tc>
          <w:tcPr>
            <w:tcW w:w="1134" w:type="dxa"/>
            <w:tcBorders>
              <w:top w:val="single" w:sz="8" w:space="0" w:color="auto"/>
              <w:left w:val="nil"/>
              <w:bottom w:val="nil"/>
              <w:right w:val="nil"/>
            </w:tcBorders>
            <w:shd w:val="clear" w:color="000000" w:fill="FFCC99"/>
            <w:noWrap/>
            <w:vAlign w:val="center"/>
            <w:hideMark/>
          </w:tcPr>
          <w:p w14:paraId="644FA06F" w14:textId="5C06A594" w:rsidR="00B42DE9" w:rsidRPr="00785FB4" w:rsidRDefault="00B42DE9" w:rsidP="005847BB">
            <w:pPr>
              <w:widowControl/>
              <w:suppressAutoHyphens w:val="0"/>
              <w:spacing w:after="0" w:line="240" w:lineRule="auto"/>
              <w:jc w:val="center"/>
              <w:rPr>
                <w:rFonts w:ascii="Calibri" w:hAnsi="Calibri"/>
                <w:color w:val="3F3F76"/>
                <w:sz w:val="32"/>
                <w:szCs w:val="32"/>
                <w:lang w:eastAsia="nb-NO"/>
              </w:rPr>
            </w:pPr>
          </w:p>
        </w:tc>
        <w:tc>
          <w:tcPr>
            <w:tcW w:w="992" w:type="dxa"/>
            <w:tcBorders>
              <w:top w:val="single" w:sz="8" w:space="0" w:color="auto"/>
              <w:left w:val="nil"/>
              <w:bottom w:val="nil"/>
              <w:right w:val="nil"/>
            </w:tcBorders>
            <w:shd w:val="clear" w:color="000000" w:fill="FFCC99"/>
            <w:noWrap/>
            <w:vAlign w:val="center"/>
            <w:hideMark/>
          </w:tcPr>
          <w:p w14:paraId="5DCABDDC" w14:textId="060B0379" w:rsidR="00B42DE9" w:rsidRPr="00785FB4" w:rsidRDefault="00B42DE9" w:rsidP="005847BB">
            <w:pPr>
              <w:widowControl/>
              <w:suppressAutoHyphens w:val="0"/>
              <w:spacing w:after="0" w:line="240" w:lineRule="auto"/>
              <w:jc w:val="center"/>
              <w:rPr>
                <w:rFonts w:ascii="Calibri" w:hAnsi="Calibri"/>
                <w:color w:val="3F3F76"/>
                <w:sz w:val="32"/>
                <w:szCs w:val="32"/>
                <w:lang w:eastAsia="nb-NO"/>
              </w:rPr>
            </w:pPr>
          </w:p>
        </w:tc>
        <w:tc>
          <w:tcPr>
            <w:tcW w:w="1134" w:type="dxa"/>
            <w:tcBorders>
              <w:top w:val="single" w:sz="8" w:space="0" w:color="auto"/>
              <w:left w:val="nil"/>
              <w:bottom w:val="nil"/>
              <w:right w:val="nil"/>
            </w:tcBorders>
            <w:shd w:val="clear" w:color="000000" w:fill="FFCC99"/>
            <w:noWrap/>
            <w:vAlign w:val="center"/>
            <w:hideMark/>
          </w:tcPr>
          <w:p w14:paraId="45E296C9" w14:textId="6F90F13A" w:rsidR="00B42DE9" w:rsidRPr="00785FB4" w:rsidRDefault="00B42DE9" w:rsidP="005847BB">
            <w:pPr>
              <w:widowControl/>
              <w:suppressAutoHyphens w:val="0"/>
              <w:spacing w:after="0" w:line="240" w:lineRule="auto"/>
              <w:jc w:val="center"/>
              <w:rPr>
                <w:rFonts w:ascii="Calibri" w:hAnsi="Calibri"/>
                <w:color w:val="3F3F76"/>
                <w:sz w:val="32"/>
                <w:szCs w:val="32"/>
                <w:lang w:eastAsia="nb-NO"/>
              </w:rPr>
            </w:pPr>
          </w:p>
        </w:tc>
        <w:tc>
          <w:tcPr>
            <w:tcW w:w="1418" w:type="dxa"/>
            <w:tcBorders>
              <w:top w:val="single" w:sz="8" w:space="0" w:color="auto"/>
              <w:left w:val="nil"/>
              <w:bottom w:val="nil"/>
              <w:right w:val="nil"/>
            </w:tcBorders>
            <w:shd w:val="clear" w:color="000000" w:fill="FFCC99"/>
            <w:noWrap/>
            <w:vAlign w:val="center"/>
            <w:hideMark/>
          </w:tcPr>
          <w:p w14:paraId="20BF6C25" w14:textId="268327B9" w:rsidR="00B42DE9" w:rsidRPr="00785FB4" w:rsidRDefault="00B42DE9" w:rsidP="005847BB">
            <w:pPr>
              <w:widowControl/>
              <w:suppressAutoHyphens w:val="0"/>
              <w:spacing w:after="0" w:line="240" w:lineRule="auto"/>
              <w:jc w:val="center"/>
              <w:rPr>
                <w:rFonts w:ascii="Calibri" w:hAnsi="Calibri"/>
                <w:color w:val="3F3F76"/>
                <w:sz w:val="32"/>
                <w:szCs w:val="32"/>
                <w:lang w:eastAsia="nb-NO"/>
              </w:rPr>
            </w:pPr>
          </w:p>
        </w:tc>
        <w:tc>
          <w:tcPr>
            <w:tcW w:w="1134" w:type="dxa"/>
            <w:tcBorders>
              <w:top w:val="single" w:sz="8" w:space="0" w:color="auto"/>
              <w:left w:val="nil"/>
              <w:bottom w:val="nil"/>
              <w:right w:val="nil"/>
            </w:tcBorders>
            <w:shd w:val="clear" w:color="000000" w:fill="FFCC99"/>
            <w:noWrap/>
            <w:vAlign w:val="center"/>
            <w:hideMark/>
          </w:tcPr>
          <w:p w14:paraId="6AA49A16" w14:textId="10979C2F" w:rsidR="00B42DE9" w:rsidRPr="00785FB4" w:rsidRDefault="00B42DE9" w:rsidP="005847BB">
            <w:pPr>
              <w:widowControl/>
              <w:suppressAutoHyphens w:val="0"/>
              <w:spacing w:after="0" w:line="240" w:lineRule="auto"/>
              <w:jc w:val="center"/>
              <w:rPr>
                <w:rFonts w:ascii="Calibri" w:hAnsi="Calibri"/>
                <w:color w:val="3F3F76"/>
                <w:sz w:val="32"/>
                <w:szCs w:val="32"/>
                <w:lang w:eastAsia="nb-NO"/>
              </w:rPr>
            </w:pPr>
          </w:p>
        </w:tc>
        <w:tc>
          <w:tcPr>
            <w:tcW w:w="708" w:type="dxa"/>
            <w:tcBorders>
              <w:top w:val="single" w:sz="8" w:space="0" w:color="auto"/>
              <w:left w:val="nil"/>
              <w:bottom w:val="nil"/>
              <w:right w:val="single" w:sz="8" w:space="0" w:color="auto"/>
            </w:tcBorders>
            <w:shd w:val="clear" w:color="000000" w:fill="FFCC99"/>
            <w:noWrap/>
            <w:vAlign w:val="center"/>
            <w:hideMark/>
          </w:tcPr>
          <w:p w14:paraId="47B8253E" w14:textId="234F5E7D" w:rsidR="00B42DE9" w:rsidRPr="00785FB4" w:rsidRDefault="00B42DE9" w:rsidP="005847BB">
            <w:pPr>
              <w:widowControl/>
              <w:suppressAutoHyphens w:val="0"/>
              <w:spacing w:after="0" w:line="240" w:lineRule="auto"/>
              <w:jc w:val="center"/>
              <w:rPr>
                <w:rFonts w:ascii="Calibri" w:hAnsi="Calibri"/>
                <w:b/>
                <w:color w:val="3F3F76"/>
                <w:sz w:val="32"/>
                <w:szCs w:val="32"/>
                <w:lang w:eastAsia="nb-NO"/>
              </w:rPr>
            </w:pPr>
          </w:p>
        </w:tc>
      </w:tr>
      <w:tr w:rsidR="00B42DE9" w:rsidRPr="00785FB4" w14:paraId="4F39CF66" w14:textId="77777777" w:rsidTr="007E7DC6">
        <w:trPr>
          <w:trHeight w:val="300"/>
        </w:trPr>
        <w:tc>
          <w:tcPr>
            <w:tcW w:w="500" w:type="dxa"/>
            <w:tcBorders>
              <w:top w:val="single" w:sz="8" w:space="0" w:color="auto"/>
              <w:left w:val="single" w:sz="8" w:space="0" w:color="auto"/>
              <w:bottom w:val="single" w:sz="12" w:space="0" w:color="auto"/>
              <w:right w:val="single" w:sz="4" w:space="0" w:color="auto"/>
            </w:tcBorders>
            <w:shd w:val="clear" w:color="auto" w:fill="auto"/>
            <w:noWrap/>
            <w:vAlign w:val="center"/>
            <w:hideMark/>
          </w:tcPr>
          <w:p w14:paraId="1B1E8E8B" w14:textId="36E8A9B8" w:rsidR="00B42DE9" w:rsidRPr="00785FB4" w:rsidRDefault="00B42DE9" w:rsidP="005847BB">
            <w:pPr>
              <w:widowControl/>
              <w:suppressAutoHyphens w:val="0"/>
              <w:spacing w:after="0" w:line="240" w:lineRule="auto"/>
              <w:jc w:val="center"/>
              <w:rPr>
                <w:rFonts w:ascii="Calibri" w:hAnsi="Calibri"/>
                <w:b/>
                <w:color w:val="000000"/>
                <w:lang w:eastAsia="nb-NO"/>
              </w:rPr>
            </w:pPr>
          </w:p>
        </w:tc>
        <w:tc>
          <w:tcPr>
            <w:tcW w:w="1617" w:type="dxa"/>
            <w:tcBorders>
              <w:top w:val="single" w:sz="8" w:space="0" w:color="auto"/>
              <w:left w:val="nil"/>
              <w:bottom w:val="single" w:sz="12" w:space="0" w:color="auto"/>
              <w:right w:val="single" w:sz="4" w:space="0" w:color="auto"/>
            </w:tcBorders>
            <w:shd w:val="clear" w:color="auto" w:fill="auto"/>
            <w:noWrap/>
            <w:vAlign w:val="center"/>
            <w:hideMark/>
          </w:tcPr>
          <w:p w14:paraId="7E4F2F0D" w14:textId="77777777" w:rsidR="00B42DE9" w:rsidRPr="00785FB4" w:rsidRDefault="00B42DE9" w:rsidP="005847BB">
            <w:pPr>
              <w:widowControl/>
              <w:suppressAutoHyphens w:val="0"/>
              <w:spacing w:after="0" w:line="240" w:lineRule="auto"/>
              <w:jc w:val="center"/>
              <w:rPr>
                <w:rFonts w:ascii="Calibri" w:hAnsi="Calibri"/>
                <w:b/>
                <w:color w:val="000000"/>
                <w:lang w:eastAsia="nb-NO"/>
              </w:rPr>
            </w:pPr>
            <w:r w:rsidRPr="00785FB4">
              <w:rPr>
                <w:rFonts w:ascii="Calibri" w:hAnsi="Calibri"/>
                <w:b/>
                <w:color w:val="000000"/>
                <w:lang w:eastAsia="nb-NO"/>
              </w:rPr>
              <w:t>First name</w:t>
            </w:r>
          </w:p>
        </w:tc>
        <w:tc>
          <w:tcPr>
            <w:tcW w:w="1701" w:type="dxa"/>
            <w:tcBorders>
              <w:top w:val="single" w:sz="8" w:space="0" w:color="auto"/>
              <w:left w:val="nil"/>
              <w:bottom w:val="single" w:sz="12" w:space="0" w:color="auto"/>
              <w:right w:val="single" w:sz="4" w:space="0" w:color="auto"/>
            </w:tcBorders>
            <w:shd w:val="clear" w:color="auto" w:fill="auto"/>
            <w:noWrap/>
            <w:vAlign w:val="center"/>
            <w:hideMark/>
          </w:tcPr>
          <w:p w14:paraId="3ECD0DA5" w14:textId="77777777" w:rsidR="00B42DE9" w:rsidRPr="00785FB4" w:rsidRDefault="00B42DE9" w:rsidP="005847BB">
            <w:pPr>
              <w:widowControl/>
              <w:suppressAutoHyphens w:val="0"/>
              <w:spacing w:after="0" w:line="240" w:lineRule="auto"/>
              <w:jc w:val="center"/>
              <w:rPr>
                <w:rFonts w:ascii="Calibri" w:hAnsi="Calibri"/>
                <w:b/>
                <w:color w:val="000000"/>
                <w:lang w:eastAsia="nb-NO"/>
              </w:rPr>
            </w:pPr>
            <w:r w:rsidRPr="00785FB4">
              <w:rPr>
                <w:rFonts w:ascii="Calibri" w:hAnsi="Calibri"/>
                <w:b/>
                <w:color w:val="000000"/>
                <w:lang w:eastAsia="nb-NO"/>
              </w:rPr>
              <w:t>Last name</w:t>
            </w:r>
          </w:p>
        </w:tc>
        <w:tc>
          <w:tcPr>
            <w:tcW w:w="1559" w:type="dxa"/>
            <w:tcBorders>
              <w:top w:val="single" w:sz="8" w:space="0" w:color="auto"/>
              <w:left w:val="nil"/>
              <w:bottom w:val="single" w:sz="12" w:space="0" w:color="auto"/>
              <w:right w:val="single" w:sz="4" w:space="0" w:color="auto"/>
            </w:tcBorders>
            <w:shd w:val="clear" w:color="auto" w:fill="auto"/>
            <w:noWrap/>
            <w:vAlign w:val="center"/>
            <w:hideMark/>
          </w:tcPr>
          <w:p w14:paraId="5B913999" w14:textId="77777777" w:rsidR="00B42DE9" w:rsidRPr="00785FB4" w:rsidRDefault="00B42DE9" w:rsidP="005847BB">
            <w:pPr>
              <w:widowControl/>
              <w:suppressAutoHyphens w:val="0"/>
              <w:spacing w:after="0" w:line="240" w:lineRule="auto"/>
              <w:jc w:val="center"/>
              <w:rPr>
                <w:rFonts w:ascii="Calibri" w:hAnsi="Calibri"/>
                <w:b/>
                <w:color w:val="000000"/>
                <w:lang w:eastAsia="nb-NO"/>
              </w:rPr>
            </w:pPr>
            <w:r w:rsidRPr="00785FB4">
              <w:rPr>
                <w:rFonts w:ascii="Calibri" w:hAnsi="Calibri"/>
                <w:b/>
                <w:color w:val="000000"/>
                <w:lang w:eastAsia="nb-NO"/>
              </w:rPr>
              <w:t>Affiliation</w:t>
            </w:r>
          </w:p>
        </w:tc>
        <w:tc>
          <w:tcPr>
            <w:tcW w:w="1134" w:type="dxa"/>
            <w:tcBorders>
              <w:top w:val="single" w:sz="8" w:space="0" w:color="auto"/>
              <w:left w:val="nil"/>
              <w:bottom w:val="single" w:sz="12" w:space="0" w:color="auto"/>
              <w:right w:val="single" w:sz="4" w:space="0" w:color="auto"/>
            </w:tcBorders>
            <w:shd w:val="clear" w:color="auto" w:fill="auto"/>
            <w:noWrap/>
            <w:vAlign w:val="center"/>
            <w:hideMark/>
          </w:tcPr>
          <w:p w14:paraId="6D5B876F" w14:textId="77777777" w:rsidR="00B42DE9" w:rsidRPr="00785FB4" w:rsidRDefault="00B42DE9" w:rsidP="005847BB">
            <w:pPr>
              <w:widowControl/>
              <w:suppressAutoHyphens w:val="0"/>
              <w:spacing w:after="0" w:line="240" w:lineRule="auto"/>
              <w:jc w:val="center"/>
              <w:rPr>
                <w:rFonts w:ascii="Calibri" w:hAnsi="Calibri"/>
                <w:b/>
                <w:color w:val="000000"/>
                <w:lang w:eastAsia="nb-NO"/>
              </w:rPr>
            </w:pPr>
            <w:r w:rsidRPr="00785FB4">
              <w:rPr>
                <w:rFonts w:ascii="Calibri" w:hAnsi="Calibri"/>
                <w:b/>
                <w:color w:val="000000"/>
                <w:lang w:eastAsia="nb-NO"/>
              </w:rPr>
              <w:t>23.01.17</w:t>
            </w:r>
          </w:p>
        </w:tc>
        <w:tc>
          <w:tcPr>
            <w:tcW w:w="1134" w:type="dxa"/>
            <w:tcBorders>
              <w:top w:val="single" w:sz="8" w:space="0" w:color="auto"/>
              <w:left w:val="nil"/>
              <w:bottom w:val="single" w:sz="12" w:space="0" w:color="auto"/>
              <w:right w:val="single" w:sz="4" w:space="0" w:color="auto"/>
            </w:tcBorders>
            <w:shd w:val="clear" w:color="auto" w:fill="auto"/>
            <w:noWrap/>
            <w:vAlign w:val="center"/>
            <w:hideMark/>
          </w:tcPr>
          <w:p w14:paraId="6B6799E5" w14:textId="77777777" w:rsidR="00B42DE9" w:rsidRPr="00785FB4" w:rsidRDefault="00B42DE9" w:rsidP="005847BB">
            <w:pPr>
              <w:widowControl/>
              <w:suppressAutoHyphens w:val="0"/>
              <w:spacing w:after="0" w:line="240" w:lineRule="auto"/>
              <w:jc w:val="center"/>
              <w:rPr>
                <w:rFonts w:ascii="Calibri" w:hAnsi="Calibri"/>
                <w:b/>
                <w:color w:val="000000"/>
                <w:lang w:eastAsia="nb-NO"/>
              </w:rPr>
            </w:pPr>
            <w:r w:rsidRPr="00785FB4">
              <w:rPr>
                <w:rFonts w:ascii="Calibri" w:hAnsi="Calibri"/>
                <w:b/>
                <w:color w:val="000000"/>
                <w:lang w:eastAsia="nb-NO"/>
              </w:rPr>
              <w:t>12.03.17</w:t>
            </w:r>
          </w:p>
        </w:tc>
        <w:tc>
          <w:tcPr>
            <w:tcW w:w="992" w:type="dxa"/>
            <w:tcBorders>
              <w:top w:val="single" w:sz="8" w:space="0" w:color="auto"/>
              <w:left w:val="nil"/>
              <w:bottom w:val="single" w:sz="12" w:space="0" w:color="auto"/>
              <w:right w:val="single" w:sz="4" w:space="0" w:color="auto"/>
            </w:tcBorders>
            <w:shd w:val="clear" w:color="auto" w:fill="auto"/>
            <w:noWrap/>
            <w:vAlign w:val="center"/>
            <w:hideMark/>
          </w:tcPr>
          <w:p w14:paraId="0087C7AD" w14:textId="77777777" w:rsidR="00B42DE9" w:rsidRPr="00785FB4" w:rsidRDefault="00B42DE9" w:rsidP="005847BB">
            <w:pPr>
              <w:widowControl/>
              <w:suppressAutoHyphens w:val="0"/>
              <w:spacing w:after="0" w:line="240" w:lineRule="auto"/>
              <w:jc w:val="center"/>
              <w:rPr>
                <w:rFonts w:ascii="Calibri" w:hAnsi="Calibri"/>
                <w:b/>
                <w:color w:val="000000"/>
                <w:lang w:eastAsia="nb-NO"/>
              </w:rPr>
            </w:pPr>
            <w:r w:rsidRPr="00785FB4">
              <w:rPr>
                <w:rFonts w:ascii="Calibri" w:hAnsi="Calibri"/>
                <w:b/>
                <w:color w:val="000000"/>
                <w:lang w:eastAsia="nb-NO"/>
              </w:rPr>
              <w:t>16.07.17</w:t>
            </w:r>
          </w:p>
        </w:tc>
        <w:tc>
          <w:tcPr>
            <w:tcW w:w="1134" w:type="dxa"/>
            <w:tcBorders>
              <w:top w:val="single" w:sz="8" w:space="0" w:color="auto"/>
              <w:left w:val="nil"/>
              <w:bottom w:val="single" w:sz="12" w:space="0" w:color="auto"/>
              <w:right w:val="single" w:sz="4" w:space="0" w:color="auto"/>
            </w:tcBorders>
            <w:shd w:val="clear" w:color="auto" w:fill="auto"/>
            <w:noWrap/>
            <w:vAlign w:val="center"/>
            <w:hideMark/>
          </w:tcPr>
          <w:p w14:paraId="7403F775" w14:textId="77777777" w:rsidR="00B42DE9" w:rsidRPr="00785FB4" w:rsidRDefault="00B42DE9" w:rsidP="005847BB">
            <w:pPr>
              <w:widowControl/>
              <w:suppressAutoHyphens w:val="0"/>
              <w:spacing w:after="0" w:line="240" w:lineRule="auto"/>
              <w:jc w:val="center"/>
              <w:rPr>
                <w:rFonts w:ascii="Calibri" w:hAnsi="Calibri"/>
                <w:b/>
                <w:color w:val="000000"/>
                <w:lang w:eastAsia="nb-NO"/>
              </w:rPr>
            </w:pPr>
            <w:r w:rsidRPr="00785FB4">
              <w:rPr>
                <w:rFonts w:ascii="Calibri" w:hAnsi="Calibri"/>
                <w:b/>
                <w:color w:val="000000"/>
                <w:lang w:eastAsia="nb-NO"/>
              </w:rPr>
              <w:t>25.09.17</w:t>
            </w:r>
          </w:p>
        </w:tc>
        <w:tc>
          <w:tcPr>
            <w:tcW w:w="1418" w:type="dxa"/>
            <w:tcBorders>
              <w:top w:val="single" w:sz="8" w:space="0" w:color="auto"/>
              <w:left w:val="nil"/>
              <w:bottom w:val="single" w:sz="12" w:space="0" w:color="auto"/>
              <w:right w:val="single" w:sz="4" w:space="0" w:color="auto"/>
            </w:tcBorders>
            <w:shd w:val="clear" w:color="auto" w:fill="auto"/>
            <w:noWrap/>
            <w:vAlign w:val="center"/>
            <w:hideMark/>
          </w:tcPr>
          <w:p w14:paraId="57394BE0" w14:textId="022D3F0D" w:rsidR="00B42DE9" w:rsidRPr="00785FB4" w:rsidRDefault="00B42DE9" w:rsidP="005847BB">
            <w:pPr>
              <w:widowControl/>
              <w:suppressAutoHyphens w:val="0"/>
              <w:spacing w:after="0" w:line="240" w:lineRule="auto"/>
              <w:jc w:val="center"/>
              <w:rPr>
                <w:rFonts w:ascii="Calibri" w:hAnsi="Calibri"/>
                <w:b/>
                <w:color w:val="000000"/>
                <w:lang w:eastAsia="nb-NO"/>
              </w:rPr>
            </w:pPr>
            <w:r w:rsidRPr="00785FB4">
              <w:rPr>
                <w:rFonts w:ascii="Calibri" w:hAnsi="Calibri"/>
                <w:b/>
                <w:color w:val="000000"/>
                <w:lang w:eastAsia="nb-NO"/>
              </w:rPr>
              <w:t>08.10.17</w:t>
            </w:r>
            <w:r w:rsidR="005847BB" w:rsidRPr="00785FB4">
              <w:rPr>
                <w:rFonts w:ascii="Calibri" w:hAnsi="Calibri"/>
                <w:b/>
                <w:color w:val="000000"/>
                <w:lang w:eastAsia="nb-NO"/>
              </w:rPr>
              <w:t xml:space="preserve"> (</w:t>
            </w:r>
            <w:r w:rsidR="005847BB" w:rsidRPr="00785FB4">
              <w:rPr>
                <w:rFonts w:ascii="Calibri" w:hAnsi="Calibri"/>
                <w:color w:val="000000"/>
                <w:lang w:eastAsia="nb-NO"/>
              </w:rPr>
              <w:t>no partic. List)</w:t>
            </w:r>
          </w:p>
        </w:tc>
        <w:tc>
          <w:tcPr>
            <w:tcW w:w="1134" w:type="dxa"/>
            <w:tcBorders>
              <w:top w:val="single" w:sz="8" w:space="0" w:color="auto"/>
              <w:left w:val="nil"/>
              <w:bottom w:val="single" w:sz="12" w:space="0" w:color="auto"/>
              <w:right w:val="single" w:sz="4" w:space="0" w:color="auto"/>
            </w:tcBorders>
            <w:shd w:val="clear" w:color="auto" w:fill="auto"/>
            <w:noWrap/>
            <w:vAlign w:val="center"/>
            <w:hideMark/>
          </w:tcPr>
          <w:p w14:paraId="4C20A5DE" w14:textId="16C3B630" w:rsidR="00B42DE9" w:rsidRPr="00785FB4" w:rsidRDefault="00B42DE9" w:rsidP="005847BB">
            <w:pPr>
              <w:widowControl/>
              <w:suppressAutoHyphens w:val="0"/>
              <w:spacing w:after="0" w:line="240" w:lineRule="auto"/>
              <w:jc w:val="center"/>
              <w:rPr>
                <w:rFonts w:ascii="Calibri" w:hAnsi="Calibri"/>
                <w:b/>
                <w:color w:val="000000"/>
                <w:lang w:eastAsia="nb-NO"/>
              </w:rPr>
            </w:pPr>
            <w:r w:rsidRPr="00785FB4">
              <w:rPr>
                <w:rFonts w:ascii="Calibri" w:hAnsi="Calibri"/>
                <w:b/>
                <w:color w:val="000000"/>
                <w:lang w:eastAsia="nb-NO"/>
              </w:rPr>
              <w:t>Total</w:t>
            </w:r>
          </w:p>
        </w:tc>
        <w:tc>
          <w:tcPr>
            <w:tcW w:w="708" w:type="dxa"/>
            <w:tcBorders>
              <w:top w:val="single" w:sz="8" w:space="0" w:color="auto"/>
              <w:left w:val="nil"/>
              <w:bottom w:val="single" w:sz="12" w:space="0" w:color="auto"/>
              <w:right w:val="single" w:sz="8" w:space="0" w:color="auto"/>
            </w:tcBorders>
            <w:shd w:val="clear" w:color="auto" w:fill="auto"/>
            <w:noWrap/>
            <w:vAlign w:val="center"/>
            <w:hideMark/>
          </w:tcPr>
          <w:p w14:paraId="1B881928" w14:textId="77777777" w:rsidR="00B42DE9" w:rsidRPr="00785FB4" w:rsidRDefault="00B42DE9" w:rsidP="005847BB">
            <w:pPr>
              <w:widowControl/>
              <w:suppressAutoHyphens w:val="0"/>
              <w:spacing w:after="0" w:line="240" w:lineRule="auto"/>
              <w:jc w:val="center"/>
              <w:rPr>
                <w:rFonts w:ascii="Calibri" w:hAnsi="Calibri"/>
                <w:b/>
                <w:color w:val="000000"/>
                <w:lang w:eastAsia="nb-NO"/>
              </w:rPr>
            </w:pPr>
            <w:r w:rsidRPr="00785FB4">
              <w:rPr>
                <w:rFonts w:ascii="Calibri" w:hAnsi="Calibri"/>
                <w:b/>
                <w:color w:val="000000"/>
                <w:lang w:eastAsia="nb-NO"/>
              </w:rPr>
              <w:t>%</w:t>
            </w:r>
          </w:p>
        </w:tc>
      </w:tr>
      <w:tr w:rsidR="00236CAE" w:rsidRPr="00785FB4" w14:paraId="5B9D31FC" w14:textId="77777777" w:rsidTr="00373B54">
        <w:trPr>
          <w:trHeight w:val="300"/>
        </w:trPr>
        <w:tc>
          <w:tcPr>
            <w:tcW w:w="500" w:type="dxa"/>
            <w:vMerge w:val="restart"/>
            <w:tcBorders>
              <w:top w:val="single" w:sz="12" w:space="0" w:color="auto"/>
              <w:left w:val="single" w:sz="12" w:space="0" w:color="auto"/>
              <w:right w:val="single" w:sz="2" w:space="0" w:color="auto"/>
            </w:tcBorders>
            <w:shd w:val="clear" w:color="auto" w:fill="auto"/>
            <w:noWrap/>
            <w:textDirection w:val="btLr"/>
            <w:vAlign w:val="center"/>
          </w:tcPr>
          <w:p w14:paraId="0CA0B238" w14:textId="69C0CECE" w:rsidR="00236CAE" w:rsidRPr="00785FB4" w:rsidRDefault="00236CAE" w:rsidP="007E7DC6">
            <w:pPr>
              <w:spacing w:after="0" w:line="240" w:lineRule="auto"/>
              <w:jc w:val="center"/>
              <w:rPr>
                <w:rFonts w:ascii="Calibri" w:hAnsi="Calibri"/>
                <w:b/>
                <w:color w:val="000000"/>
                <w:lang w:eastAsia="nb-NO"/>
              </w:rPr>
            </w:pPr>
            <w:r w:rsidRPr="00785FB4">
              <w:rPr>
                <w:rFonts w:ascii="Calibri" w:hAnsi="Calibri"/>
                <w:b/>
                <w:color w:val="000000"/>
                <w:lang w:eastAsia="nb-NO"/>
              </w:rPr>
              <w:t>Civil Society</w:t>
            </w:r>
          </w:p>
        </w:tc>
        <w:tc>
          <w:tcPr>
            <w:tcW w:w="1617"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0BE1C951" w14:textId="77777777" w:rsidR="00236CAE" w:rsidRPr="00785FB4" w:rsidRDefault="00236CAE"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Ekram</w:t>
            </w:r>
          </w:p>
        </w:tc>
        <w:tc>
          <w:tcPr>
            <w:tcW w:w="170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6FF4DA07" w14:textId="77777777" w:rsidR="00236CAE" w:rsidRPr="00785FB4" w:rsidRDefault="00236CAE"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Afzali</w:t>
            </w:r>
          </w:p>
        </w:tc>
        <w:tc>
          <w:tcPr>
            <w:tcW w:w="1559"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1F5D21D3" w14:textId="77777777" w:rsidR="00236CAE" w:rsidRPr="00785FB4" w:rsidRDefault="00236CAE"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IWA</w:t>
            </w:r>
          </w:p>
        </w:tc>
        <w:tc>
          <w:tcPr>
            <w:tcW w:w="1134"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52E7690D" w14:textId="60AE5399"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134"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12B609EB" w14:textId="1AC9FAC9"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992"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6CA728F3" w14:textId="51A6C191"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134" w:type="dxa"/>
            <w:tcBorders>
              <w:top w:val="single" w:sz="12" w:space="0" w:color="auto"/>
              <w:left w:val="single" w:sz="2" w:space="0" w:color="auto"/>
              <w:bottom w:val="single" w:sz="2" w:space="0" w:color="auto"/>
              <w:right w:val="single" w:sz="2" w:space="0" w:color="auto"/>
            </w:tcBorders>
            <w:shd w:val="clear" w:color="000000" w:fill="C6EFCE"/>
            <w:noWrap/>
            <w:vAlign w:val="center"/>
            <w:hideMark/>
          </w:tcPr>
          <w:p w14:paraId="63DAF566" w14:textId="77777777" w:rsidR="00236CAE" w:rsidRPr="00785FB4" w:rsidRDefault="00236CAE"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418"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62054576" w14:textId="055CBBA2"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134"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7F469FEC" w14:textId="77777777" w:rsidR="00236CAE" w:rsidRPr="00785FB4" w:rsidRDefault="00236CAE"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1</w:t>
            </w:r>
          </w:p>
        </w:tc>
        <w:tc>
          <w:tcPr>
            <w:tcW w:w="708" w:type="dxa"/>
            <w:tcBorders>
              <w:top w:val="single" w:sz="12" w:space="0" w:color="auto"/>
              <w:left w:val="single" w:sz="2" w:space="0" w:color="auto"/>
              <w:bottom w:val="single" w:sz="2" w:space="0" w:color="auto"/>
              <w:right w:val="single" w:sz="12" w:space="0" w:color="auto"/>
            </w:tcBorders>
            <w:shd w:val="clear" w:color="auto" w:fill="auto"/>
            <w:noWrap/>
            <w:vAlign w:val="center"/>
            <w:hideMark/>
          </w:tcPr>
          <w:p w14:paraId="53721BB1" w14:textId="5D8B8E17" w:rsidR="00236CAE" w:rsidRPr="00785FB4" w:rsidRDefault="00236CAE"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20%</w:t>
            </w:r>
          </w:p>
        </w:tc>
      </w:tr>
      <w:tr w:rsidR="00236CAE" w:rsidRPr="00785FB4" w14:paraId="0217DE77" w14:textId="77777777" w:rsidTr="00373B54">
        <w:trPr>
          <w:trHeight w:val="315"/>
        </w:trPr>
        <w:tc>
          <w:tcPr>
            <w:tcW w:w="500" w:type="dxa"/>
            <w:vMerge/>
            <w:tcBorders>
              <w:left w:val="single" w:sz="12" w:space="0" w:color="auto"/>
              <w:right w:val="single" w:sz="2" w:space="0" w:color="auto"/>
            </w:tcBorders>
            <w:shd w:val="clear" w:color="auto" w:fill="auto"/>
            <w:noWrap/>
            <w:textDirection w:val="btLr"/>
            <w:vAlign w:val="center"/>
          </w:tcPr>
          <w:p w14:paraId="389384D6" w14:textId="0B702ED1" w:rsidR="00236CAE" w:rsidRPr="00785FB4" w:rsidRDefault="00236CAE" w:rsidP="007E7DC6">
            <w:pPr>
              <w:spacing w:after="0" w:line="240" w:lineRule="auto"/>
              <w:jc w:val="center"/>
              <w:rPr>
                <w:rFonts w:ascii="Calibri" w:hAnsi="Calibri"/>
                <w:b/>
                <w:color w:val="000000"/>
                <w:lang w:eastAsia="nb-NO"/>
              </w:rPr>
            </w:pPr>
          </w:p>
        </w:tc>
        <w:tc>
          <w:tcPr>
            <w:tcW w:w="1617" w:type="dxa"/>
            <w:tcBorders>
              <w:top w:val="single" w:sz="2" w:space="0" w:color="auto"/>
              <w:left w:val="single" w:sz="2" w:space="0" w:color="auto"/>
              <w:bottom w:val="single" w:sz="8" w:space="0" w:color="auto"/>
              <w:right w:val="single" w:sz="2" w:space="0" w:color="auto"/>
            </w:tcBorders>
            <w:shd w:val="clear" w:color="auto" w:fill="auto"/>
            <w:noWrap/>
            <w:vAlign w:val="center"/>
            <w:hideMark/>
          </w:tcPr>
          <w:p w14:paraId="0E5BDBFD" w14:textId="77777777" w:rsidR="00236CAE" w:rsidRPr="00785FB4" w:rsidRDefault="00236CAE"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Ahmad</w:t>
            </w:r>
          </w:p>
        </w:tc>
        <w:tc>
          <w:tcPr>
            <w:tcW w:w="170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5132F01" w14:textId="77777777" w:rsidR="00236CAE" w:rsidRPr="00785FB4" w:rsidRDefault="00236CAE"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Attaee</w:t>
            </w:r>
          </w:p>
        </w:tc>
        <w:tc>
          <w:tcPr>
            <w:tcW w:w="1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BFF3F1B" w14:textId="77777777" w:rsidR="00236CAE" w:rsidRPr="00785FB4" w:rsidRDefault="00236CAE"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ENRMN</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A24F7DB" w14:textId="274838C1"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134" w:type="dxa"/>
            <w:tcBorders>
              <w:top w:val="single" w:sz="2" w:space="0" w:color="auto"/>
              <w:left w:val="single" w:sz="2" w:space="0" w:color="auto"/>
              <w:bottom w:val="single" w:sz="2" w:space="0" w:color="auto"/>
              <w:right w:val="single" w:sz="2" w:space="0" w:color="auto"/>
            </w:tcBorders>
            <w:shd w:val="clear" w:color="000000" w:fill="C6EFCE"/>
            <w:noWrap/>
            <w:vAlign w:val="center"/>
            <w:hideMark/>
          </w:tcPr>
          <w:p w14:paraId="47454893" w14:textId="77777777" w:rsidR="00236CAE" w:rsidRPr="00785FB4" w:rsidRDefault="00236CAE"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992" w:type="dxa"/>
            <w:tcBorders>
              <w:top w:val="single" w:sz="2" w:space="0" w:color="auto"/>
              <w:left w:val="single" w:sz="2" w:space="0" w:color="auto"/>
              <w:bottom w:val="single" w:sz="2" w:space="0" w:color="auto"/>
              <w:right w:val="single" w:sz="2" w:space="0" w:color="auto"/>
            </w:tcBorders>
            <w:shd w:val="clear" w:color="000000" w:fill="C6EFCE"/>
            <w:noWrap/>
            <w:vAlign w:val="center"/>
            <w:hideMark/>
          </w:tcPr>
          <w:p w14:paraId="47FE1C33" w14:textId="77777777" w:rsidR="00236CAE" w:rsidRPr="00785FB4" w:rsidRDefault="00236CAE"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2" w:space="0" w:color="auto"/>
              <w:left w:val="single" w:sz="2" w:space="0" w:color="auto"/>
              <w:bottom w:val="single" w:sz="2" w:space="0" w:color="auto"/>
              <w:right w:val="single" w:sz="2" w:space="0" w:color="auto"/>
            </w:tcBorders>
            <w:shd w:val="clear" w:color="000000" w:fill="C6EFCE"/>
            <w:noWrap/>
            <w:vAlign w:val="center"/>
            <w:hideMark/>
          </w:tcPr>
          <w:p w14:paraId="7A8CA079" w14:textId="77777777" w:rsidR="00236CAE" w:rsidRPr="00785FB4" w:rsidRDefault="00236CAE"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41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FF53AE3" w14:textId="18B61E8E"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DE11D42" w14:textId="77777777" w:rsidR="00236CAE" w:rsidRPr="00785FB4" w:rsidRDefault="00236CAE"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3</w:t>
            </w:r>
          </w:p>
        </w:tc>
        <w:tc>
          <w:tcPr>
            <w:tcW w:w="708" w:type="dxa"/>
            <w:tcBorders>
              <w:top w:val="single" w:sz="2" w:space="0" w:color="auto"/>
              <w:left w:val="single" w:sz="2" w:space="0" w:color="auto"/>
              <w:bottom w:val="single" w:sz="2" w:space="0" w:color="auto"/>
              <w:right w:val="single" w:sz="12" w:space="0" w:color="auto"/>
            </w:tcBorders>
            <w:shd w:val="clear" w:color="auto" w:fill="auto"/>
            <w:noWrap/>
            <w:vAlign w:val="center"/>
            <w:hideMark/>
          </w:tcPr>
          <w:p w14:paraId="402C647D" w14:textId="1F6880FA" w:rsidR="00236CAE" w:rsidRPr="00785FB4" w:rsidRDefault="00236CAE"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60%</w:t>
            </w:r>
          </w:p>
        </w:tc>
      </w:tr>
      <w:tr w:rsidR="00236CAE" w:rsidRPr="00785FB4" w14:paraId="59CC8E15" w14:textId="77777777" w:rsidTr="00373B54">
        <w:trPr>
          <w:trHeight w:val="315"/>
        </w:trPr>
        <w:tc>
          <w:tcPr>
            <w:tcW w:w="500" w:type="dxa"/>
            <w:vMerge/>
            <w:tcBorders>
              <w:left w:val="single" w:sz="12" w:space="0" w:color="auto"/>
              <w:right w:val="single" w:sz="2" w:space="0" w:color="auto"/>
            </w:tcBorders>
            <w:shd w:val="clear" w:color="auto" w:fill="auto"/>
            <w:noWrap/>
            <w:textDirection w:val="btLr"/>
            <w:vAlign w:val="center"/>
          </w:tcPr>
          <w:p w14:paraId="2E308481" w14:textId="7C46CF52" w:rsidR="00236CAE" w:rsidRPr="00785FB4" w:rsidRDefault="00236CAE" w:rsidP="007E7DC6">
            <w:pPr>
              <w:spacing w:after="0" w:line="240" w:lineRule="auto"/>
              <w:jc w:val="center"/>
              <w:rPr>
                <w:rFonts w:ascii="Calibri" w:hAnsi="Calibri"/>
                <w:b/>
                <w:color w:val="000000"/>
                <w:lang w:eastAsia="nb-NO"/>
              </w:rPr>
            </w:pPr>
          </w:p>
        </w:tc>
        <w:tc>
          <w:tcPr>
            <w:tcW w:w="1617" w:type="dxa"/>
            <w:tcBorders>
              <w:top w:val="single" w:sz="8" w:space="0" w:color="auto"/>
              <w:left w:val="single" w:sz="2" w:space="0" w:color="auto"/>
              <w:bottom w:val="single" w:sz="2" w:space="0" w:color="auto"/>
              <w:right w:val="single" w:sz="2" w:space="0" w:color="auto"/>
            </w:tcBorders>
            <w:shd w:val="clear" w:color="auto" w:fill="auto"/>
            <w:noWrap/>
            <w:vAlign w:val="center"/>
            <w:hideMark/>
          </w:tcPr>
          <w:p w14:paraId="1658131F" w14:textId="77777777" w:rsidR="00236CAE" w:rsidRPr="00785FB4" w:rsidRDefault="00236CAE"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Ebrahim</w:t>
            </w:r>
          </w:p>
        </w:tc>
        <w:tc>
          <w:tcPr>
            <w:tcW w:w="170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BE23FF6" w14:textId="77777777" w:rsidR="00236CAE" w:rsidRPr="00785FB4" w:rsidRDefault="00236CAE"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Jafari</w:t>
            </w:r>
          </w:p>
        </w:tc>
        <w:tc>
          <w:tcPr>
            <w:tcW w:w="1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1BCA6F2" w14:textId="77777777" w:rsidR="00236CAE" w:rsidRPr="00785FB4" w:rsidRDefault="00236CAE"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ENRMN</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D5D5EF0" w14:textId="7A9C55CE"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134" w:type="dxa"/>
            <w:tcBorders>
              <w:top w:val="single" w:sz="2" w:space="0" w:color="auto"/>
              <w:left w:val="single" w:sz="2" w:space="0" w:color="auto"/>
              <w:bottom w:val="single" w:sz="2" w:space="0" w:color="auto"/>
              <w:right w:val="single" w:sz="2" w:space="0" w:color="auto"/>
            </w:tcBorders>
            <w:shd w:val="clear" w:color="000000" w:fill="C6EFCE"/>
            <w:noWrap/>
            <w:vAlign w:val="center"/>
            <w:hideMark/>
          </w:tcPr>
          <w:p w14:paraId="021012E7" w14:textId="77777777" w:rsidR="00236CAE" w:rsidRPr="00785FB4" w:rsidRDefault="00236CAE"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DB1E92E" w14:textId="5A94A942"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134" w:type="dxa"/>
            <w:tcBorders>
              <w:top w:val="single" w:sz="2" w:space="0" w:color="auto"/>
              <w:left w:val="single" w:sz="2" w:space="0" w:color="auto"/>
              <w:bottom w:val="single" w:sz="2" w:space="0" w:color="auto"/>
              <w:right w:val="single" w:sz="2" w:space="0" w:color="auto"/>
            </w:tcBorders>
            <w:shd w:val="clear" w:color="000000" w:fill="C6EFCE"/>
            <w:noWrap/>
            <w:vAlign w:val="center"/>
            <w:hideMark/>
          </w:tcPr>
          <w:p w14:paraId="6D4B6B91" w14:textId="77777777" w:rsidR="00236CAE" w:rsidRPr="00785FB4" w:rsidRDefault="00236CAE"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41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16A9310" w14:textId="142E38B3"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0988A2D" w14:textId="77777777" w:rsidR="00236CAE" w:rsidRPr="00785FB4" w:rsidRDefault="00236CAE"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2</w:t>
            </w:r>
          </w:p>
        </w:tc>
        <w:tc>
          <w:tcPr>
            <w:tcW w:w="708" w:type="dxa"/>
            <w:tcBorders>
              <w:top w:val="single" w:sz="2" w:space="0" w:color="auto"/>
              <w:left w:val="single" w:sz="2" w:space="0" w:color="auto"/>
              <w:bottom w:val="single" w:sz="2" w:space="0" w:color="auto"/>
              <w:right w:val="single" w:sz="12" w:space="0" w:color="auto"/>
            </w:tcBorders>
            <w:shd w:val="clear" w:color="auto" w:fill="auto"/>
            <w:noWrap/>
            <w:vAlign w:val="center"/>
            <w:hideMark/>
          </w:tcPr>
          <w:p w14:paraId="26F9D77D" w14:textId="1CB156ED" w:rsidR="00236CAE" w:rsidRPr="00785FB4" w:rsidRDefault="00236CAE"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40%</w:t>
            </w:r>
          </w:p>
        </w:tc>
      </w:tr>
      <w:tr w:rsidR="00236CAE" w:rsidRPr="00785FB4" w14:paraId="5D32EA08" w14:textId="77777777" w:rsidTr="00373B54">
        <w:trPr>
          <w:trHeight w:val="315"/>
        </w:trPr>
        <w:tc>
          <w:tcPr>
            <w:tcW w:w="500" w:type="dxa"/>
            <w:vMerge/>
            <w:tcBorders>
              <w:left w:val="single" w:sz="12" w:space="0" w:color="auto"/>
              <w:right w:val="single" w:sz="2" w:space="0" w:color="auto"/>
            </w:tcBorders>
            <w:shd w:val="clear" w:color="auto" w:fill="auto"/>
            <w:noWrap/>
            <w:textDirection w:val="btLr"/>
            <w:vAlign w:val="center"/>
          </w:tcPr>
          <w:p w14:paraId="177393E6" w14:textId="4C41D7D6" w:rsidR="00236CAE" w:rsidRPr="00785FB4" w:rsidRDefault="00236CAE" w:rsidP="007E7DC6">
            <w:pPr>
              <w:widowControl/>
              <w:suppressAutoHyphens w:val="0"/>
              <w:spacing w:after="0" w:line="240" w:lineRule="auto"/>
              <w:jc w:val="center"/>
              <w:rPr>
                <w:rFonts w:ascii="Calibri" w:hAnsi="Calibri"/>
                <w:b/>
                <w:color w:val="000000"/>
                <w:lang w:eastAsia="nb-NO"/>
              </w:rPr>
            </w:pPr>
          </w:p>
        </w:tc>
        <w:tc>
          <w:tcPr>
            <w:tcW w:w="16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7FD90FB" w14:textId="77777777" w:rsidR="00236CAE" w:rsidRPr="00785FB4" w:rsidRDefault="00236CAE"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Abdul</w:t>
            </w:r>
          </w:p>
        </w:tc>
        <w:tc>
          <w:tcPr>
            <w:tcW w:w="170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5AFD063" w14:textId="77777777" w:rsidR="00236CAE" w:rsidRPr="00785FB4" w:rsidRDefault="00236CAE"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Mateen</w:t>
            </w:r>
          </w:p>
        </w:tc>
        <w:tc>
          <w:tcPr>
            <w:tcW w:w="1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4DA52B0" w14:textId="77777777" w:rsidR="00236CAE" w:rsidRPr="00785FB4" w:rsidRDefault="00236CAE"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IWA</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6A2F2EA" w14:textId="1501F80C"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44DF811" w14:textId="0795ACE5"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992" w:type="dxa"/>
            <w:tcBorders>
              <w:top w:val="single" w:sz="2" w:space="0" w:color="auto"/>
              <w:left w:val="single" w:sz="2" w:space="0" w:color="auto"/>
              <w:bottom w:val="single" w:sz="2" w:space="0" w:color="auto"/>
              <w:right w:val="single" w:sz="2" w:space="0" w:color="auto"/>
            </w:tcBorders>
            <w:shd w:val="clear" w:color="000000" w:fill="C6EFCE"/>
            <w:noWrap/>
            <w:vAlign w:val="center"/>
            <w:hideMark/>
          </w:tcPr>
          <w:p w14:paraId="0E325DB9" w14:textId="77777777" w:rsidR="00236CAE" w:rsidRPr="00785FB4" w:rsidRDefault="00236CAE"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D4248DD" w14:textId="14167A14"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41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2F22B24" w14:textId="3D55FD2D"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F6DCA4A" w14:textId="77777777" w:rsidR="00236CAE" w:rsidRPr="00785FB4" w:rsidRDefault="00236CAE"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1</w:t>
            </w:r>
          </w:p>
        </w:tc>
        <w:tc>
          <w:tcPr>
            <w:tcW w:w="708" w:type="dxa"/>
            <w:tcBorders>
              <w:top w:val="single" w:sz="2" w:space="0" w:color="auto"/>
              <w:left w:val="single" w:sz="2" w:space="0" w:color="auto"/>
              <w:bottom w:val="single" w:sz="2" w:space="0" w:color="auto"/>
              <w:right w:val="single" w:sz="12" w:space="0" w:color="auto"/>
            </w:tcBorders>
            <w:shd w:val="clear" w:color="auto" w:fill="auto"/>
            <w:noWrap/>
            <w:vAlign w:val="center"/>
            <w:hideMark/>
          </w:tcPr>
          <w:p w14:paraId="01F633EE" w14:textId="60B7ABAC" w:rsidR="00236CAE" w:rsidRPr="00785FB4" w:rsidRDefault="00236CAE"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20%</w:t>
            </w:r>
          </w:p>
        </w:tc>
      </w:tr>
      <w:tr w:rsidR="00236CAE" w:rsidRPr="00785FB4" w14:paraId="43AEF3AF" w14:textId="77777777" w:rsidTr="00373B54">
        <w:trPr>
          <w:trHeight w:val="315"/>
        </w:trPr>
        <w:tc>
          <w:tcPr>
            <w:tcW w:w="500" w:type="dxa"/>
            <w:vMerge/>
            <w:tcBorders>
              <w:left w:val="single" w:sz="12" w:space="0" w:color="auto"/>
              <w:right w:val="single" w:sz="2" w:space="0" w:color="auto"/>
            </w:tcBorders>
            <w:shd w:val="clear" w:color="auto" w:fill="auto"/>
            <w:noWrap/>
            <w:textDirection w:val="btLr"/>
            <w:vAlign w:val="center"/>
          </w:tcPr>
          <w:p w14:paraId="05491412" w14:textId="26DE6BC2" w:rsidR="00236CAE" w:rsidRPr="00785FB4" w:rsidRDefault="00236CAE" w:rsidP="007E7DC6">
            <w:pPr>
              <w:widowControl/>
              <w:suppressAutoHyphens w:val="0"/>
              <w:spacing w:after="0" w:line="240" w:lineRule="auto"/>
              <w:jc w:val="center"/>
              <w:rPr>
                <w:rFonts w:ascii="Calibri" w:hAnsi="Calibri"/>
                <w:b/>
                <w:color w:val="000000"/>
                <w:lang w:eastAsia="nb-NO"/>
              </w:rPr>
            </w:pPr>
          </w:p>
        </w:tc>
        <w:tc>
          <w:tcPr>
            <w:tcW w:w="16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F93B4E1" w14:textId="3DD8C519" w:rsidR="00236CAE" w:rsidRPr="00785FB4" w:rsidRDefault="00236CAE"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Javed</w:t>
            </w:r>
          </w:p>
        </w:tc>
        <w:tc>
          <w:tcPr>
            <w:tcW w:w="170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08EFA5F" w14:textId="77777777" w:rsidR="00236CAE" w:rsidRPr="00785FB4" w:rsidRDefault="00236CAE"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Noorani</w:t>
            </w:r>
          </w:p>
        </w:tc>
        <w:tc>
          <w:tcPr>
            <w:tcW w:w="1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827F829" w14:textId="77777777" w:rsidR="00236CAE" w:rsidRPr="00785FB4" w:rsidRDefault="00236CAE"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ENRMN</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0681B14" w14:textId="400E1ED5"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134" w:type="dxa"/>
            <w:tcBorders>
              <w:top w:val="single" w:sz="2" w:space="0" w:color="auto"/>
              <w:left w:val="single" w:sz="2" w:space="0" w:color="auto"/>
              <w:bottom w:val="single" w:sz="2" w:space="0" w:color="auto"/>
              <w:right w:val="single" w:sz="2" w:space="0" w:color="auto"/>
            </w:tcBorders>
            <w:shd w:val="clear" w:color="000000" w:fill="C6EFCE"/>
            <w:noWrap/>
            <w:vAlign w:val="center"/>
            <w:hideMark/>
          </w:tcPr>
          <w:p w14:paraId="74E3B477" w14:textId="77777777" w:rsidR="00236CAE" w:rsidRPr="00785FB4" w:rsidRDefault="00236CAE"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992" w:type="dxa"/>
            <w:tcBorders>
              <w:top w:val="single" w:sz="2" w:space="0" w:color="auto"/>
              <w:left w:val="single" w:sz="2" w:space="0" w:color="auto"/>
              <w:bottom w:val="single" w:sz="2" w:space="0" w:color="auto"/>
              <w:right w:val="single" w:sz="2" w:space="0" w:color="auto"/>
            </w:tcBorders>
            <w:shd w:val="clear" w:color="000000" w:fill="C6EFCE"/>
            <w:noWrap/>
            <w:vAlign w:val="center"/>
            <w:hideMark/>
          </w:tcPr>
          <w:p w14:paraId="5E8F3024" w14:textId="77777777" w:rsidR="00236CAE" w:rsidRPr="00785FB4" w:rsidRDefault="00236CAE"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636B91C" w14:textId="78C1A78B"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41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C682D74" w14:textId="38457B5A"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3A4A383" w14:textId="77777777" w:rsidR="00236CAE" w:rsidRPr="00785FB4" w:rsidRDefault="00236CAE"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2</w:t>
            </w:r>
          </w:p>
        </w:tc>
        <w:tc>
          <w:tcPr>
            <w:tcW w:w="708" w:type="dxa"/>
            <w:tcBorders>
              <w:top w:val="single" w:sz="2" w:space="0" w:color="auto"/>
              <w:left w:val="single" w:sz="2" w:space="0" w:color="auto"/>
              <w:bottom w:val="single" w:sz="2" w:space="0" w:color="auto"/>
              <w:right w:val="single" w:sz="12" w:space="0" w:color="auto"/>
            </w:tcBorders>
            <w:shd w:val="clear" w:color="auto" w:fill="auto"/>
            <w:noWrap/>
            <w:vAlign w:val="center"/>
            <w:hideMark/>
          </w:tcPr>
          <w:p w14:paraId="0E21D9D8" w14:textId="396E29CB" w:rsidR="00236CAE" w:rsidRPr="00785FB4" w:rsidRDefault="00236CAE"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40%</w:t>
            </w:r>
          </w:p>
        </w:tc>
      </w:tr>
      <w:tr w:rsidR="00236CAE" w:rsidRPr="00785FB4" w14:paraId="43617BE5" w14:textId="77777777" w:rsidTr="00373B54">
        <w:trPr>
          <w:trHeight w:val="315"/>
        </w:trPr>
        <w:tc>
          <w:tcPr>
            <w:tcW w:w="500" w:type="dxa"/>
            <w:vMerge/>
            <w:tcBorders>
              <w:left w:val="single" w:sz="12" w:space="0" w:color="auto"/>
              <w:right w:val="single" w:sz="2" w:space="0" w:color="auto"/>
            </w:tcBorders>
            <w:shd w:val="clear" w:color="auto" w:fill="auto"/>
            <w:noWrap/>
            <w:textDirection w:val="btLr"/>
            <w:vAlign w:val="center"/>
          </w:tcPr>
          <w:p w14:paraId="29C74D9A" w14:textId="5C9A0F46" w:rsidR="00236CAE" w:rsidRPr="00785FB4" w:rsidRDefault="00236CAE" w:rsidP="007E7DC6">
            <w:pPr>
              <w:widowControl/>
              <w:suppressAutoHyphens w:val="0"/>
              <w:spacing w:after="0" w:line="240" w:lineRule="auto"/>
              <w:jc w:val="center"/>
              <w:rPr>
                <w:rFonts w:ascii="Calibri" w:hAnsi="Calibri"/>
                <w:b/>
                <w:color w:val="000000"/>
                <w:lang w:eastAsia="nb-NO"/>
              </w:rPr>
            </w:pPr>
          </w:p>
        </w:tc>
        <w:tc>
          <w:tcPr>
            <w:tcW w:w="16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DF8DC4B" w14:textId="77777777" w:rsidR="00236CAE" w:rsidRPr="00785FB4" w:rsidRDefault="00236CAE"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Ali</w:t>
            </w:r>
          </w:p>
        </w:tc>
        <w:tc>
          <w:tcPr>
            <w:tcW w:w="170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F2810CC" w14:textId="77777777" w:rsidR="00236CAE" w:rsidRPr="00785FB4" w:rsidRDefault="00236CAE"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Parsa</w:t>
            </w:r>
          </w:p>
        </w:tc>
        <w:tc>
          <w:tcPr>
            <w:tcW w:w="1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F193D00" w14:textId="77777777" w:rsidR="00236CAE" w:rsidRPr="00785FB4" w:rsidRDefault="00236CAE"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ENRMN</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645E923" w14:textId="1D48D9A2"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30DD022" w14:textId="0ED1D03B"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992" w:type="dxa"/>
            <w:tcBorders>
              <w:top w:val="single" w:sz="2" w:space="0" w:color="auto"/>
              <w:left w:val="single" w:sz="2" w:space="0" w:color="auto"/>
              <w:bottom w:val="single" w:sz="2" w:space="0" w:color="auto"/>
              <w:right w:val="single" w:sz="2" w:space="0" w:color="auto"/>
            </w:tcBorders>
            <w:shd w:val="clear" w:color="000000" w:fill="C6EFCE"/>
            <w:noWrap/>
            <w:vAlign w:val="center"/>
            <w:hideMark/>
          </w:tcPr>
          <w:p w14:paraId="73F6A242" w14:textId="77777777" w:rsidR="00236CAE" w:rsidRPr="00785FB4" w:rsidRDefault="00236CAE"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7BBAC32" w14:textId="222E19A3"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41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5C9DB7F" w14:textId="5D9A5083"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BF66F1A" w14:textId="77777777" w:rsidR="00236CAE" w:rsidRPr="00785FB4" w:rsidRDefault="00236CAE"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1</w:t>
            </w:r>
          </w:p>
        </w:tc>
        <w:tc>
          <w:tcPr>
            <w:tcW w:w="708" w:type="dxa"/>
            <w:tcBorders>
              <w:top w:val="single" w:sz="2" w:space="0" w:color="auto"/>
              <w:left w:val="single" w:sz="2" w:space="0" w:color="auto"/>
              <w:bottom w:val="single" w:sz="2" w:space="0" w:color="auto"/>
              <w:right w:val="single" w:sz="12" w:space="0" w:color="auto"/>
            </w:tcBorders>
            <w:shd w:val="clear" w:color="auto" w:fill="auto"/>
            <w:noWrap/>
            <w:vAlign w:val="center"/>
            <w:hideMark/>
          </w:tcPr>
          <w:p w14:paraId="78111BB9" w14:textId="22FAC074" w:rsidR="00236CAE" w:rsidRPr="00785FB4" w:rsidRDefault="00236CAE"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20%</w:t>
            </w:r>
          </w:p>
        </w:tc>
      </w:tr>
      <w:tr w:rsidR="00236CAE" w:rsidRPr="00785FB4" w14:paraId="0306201E" w14:textId="77777777" w:rsidTr="00373B54">
        <w:trPr>
          <w:trHeight w:val="315"/>
        </w:trPr>
        <w:tc>
          <w:tcPr>
            <w:tcW w:w="500" w:type="dxa"/>
            <w:vMerge/>
            <w:tcBorders>
              <w:left w:val="single" w:sz="12" w:space="0" w:color="auto"/>
              <w:right w:val="single" w:sz="2" w:space="0" w:color="auto"/>
            </w:tcBorders>
            <w:shd w:val="clear" w:color="auto" w:fill="auto"/>
            <w:noWrap/>
            <w:textDirection w:val="btLr"/>
            <w:vAlign w:val="center"/>
          </w:tcPr>
          <w:p w14:paraId="0DDAEB6B" w14:textId="040FAAAE" w:rsidR="00236CAE" w:rsidRPr="00785FB4" w:rsidRDefault="00236CAE" w:rsidP="007E7DC6">
            <w:pPr>
              <w:widowControl/>
              <w:suppressAutoHyphens w:val="0"/>
              <w:spacing w:after="0" w:line="240" w:lineRule="auto"/>
              <w:jc w:val="center"/>
              <w:rPr>
                <w:rFonts w:ascii="Calibri" w:hAnsi="Calibri"/>
                <w:b/>
                <w:color w:val="000000"/>
                <w:lang w:eastAsia="nb-NO"/>
              </w:rPr>
            </w:pPr>
          </w:p>
        </w:tc>
        <w:tc>
          <w:tcPr>
            <w:tcW w:w="16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2861894" w14:textId="77777777" w:rsidR="00236CAE" w:rsidRPr="00785FB4" w:rsidRDefault="00236CAE"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Janan Abdul</w:t>
            </w:r>
          </w:p>
        </w:tc>
        <w:tc>
          <w:tcPr>
            <w:tcW w:w="170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D699BCB" w14:textId="77777777" w:rsidR="00236CAE" w:rsidRPr="00785FB4" w:rsidRDefault="00236CAE"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Rahimzai</w:t>
            </w:r>
          </w:p>
        </w:tc>
        <w:tc>
          <w:tcPr>
            <w:tcW w:w="1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78A6CCD" w14:textId="77777777" w:rsidR="00236CAE" w:rsidRPr="00785FB4" w:rsidRDefault="00236CAE"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PETWO</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47CB4D7" w14:textId="681376B4"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F3250B5" w14:textId="4DBDB8A6"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992" w:type="dxa"/>
            <w:tcBorders>
              <w:top w:val="single" w:sz="2" w:space="0" w:color="auto"/>
              <w:left w:val="single" w:sz="2" w:space="0" w:color="auto"/>
              <w:bottom w:val="single" w:sz="2" w:space="0" w:color="auto"/>
              <w:right w:val="single" w:sz="2" w:space="0" w:color="auto"/>
            </w:tcBorders>
            <w:shd w:val="clear" w:color="000000" w:fill="C6EFCE"/>
            <w:noWrap/>
            <w:vAlign w:val="center"/>
            <w:hideMark/>
          </w:tcPr>
          <w:p w14:paraId="084EF6DD" w14:textId="77777777" w:rsidR="00236CAE" w:rsidRPr="00785FB4" w:rsidRDefault="00236CAE"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8613E39" w14:textId="0261894E"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41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59CE48E" w14:textId="72DD365F"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EF8D8E1" w14:textId="77777777" w:rsidR="00236CAE" w:rsidRPr="00785FB4" w:rsidRDefault="00236CAE"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1</w:t>
            </w:r>
          </w:p>
        </w:tc>
        <w:tc>
          <w:tcPr>
            <w:tcW w:w="708" w:type="dxa"/>
            <w:tcBorders>
              <w:top w:val="single" w:sz="2" w:space="0" w:color="auto"/>
              <w:left w:val="single" w:sz="2" w:space="0" w:color="auto"/>
              <w:bottom w:val="single" w:sz="2" w:space="0" w:color="auto"/>
              <w:right w:val="single" w:sz="12" w:space="0" w:color="auto"/>
            </w:tcBorders>
            <w:shd w:val="clear" w:color="auto" w:fill="auto"/>
            <w:noWrap/>
            <w:vAlign w:val="center"/>
            <w:hideMark/>
          </w:tcPr>
          <w:p w14:paraId="7BA4F98A" w14:textId="7092F049" w:rsidR="00236CAE" w:rsidRPr="00785FB4" w:rsidRDefault="00236CAE"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20%</w:t>
            </w:r>
          </w:p>
        </w:tc>
      </w:tr>
      <w:tr w:rsidR="00236CAE" w:rsidRPr="00785FB4" w14:paraId="5C029526" w14:textId="77777777" w:rsidTr="00373B54">
        <w:trPr>
          <w:trHeight w:val="315"/>
        </w:trPr>
        <w:tc>
          <w:tcPr>
            <w:tcW w:w="500" w:type="dxa"/>
            <w:vMerge/>
            <w:tcBorders>
              <w:left w:val="single" w:sz="12" w:space="0" w:color="auto"/>
              <w:right w:val="single" w:sz="2" w:space="0" w:color="auto"/>
            </w:tcBorders>
            <w:shd w:val="clear" w:color="auto" w:fill="auto"/>
            <w:noWrap/>
            <w:textDirection w:val="btLr"/>
            <w:vAlign w:val="center"/>
          </w:tcPr>
          <w:p w14:paraId="1D0AD17A" w14:textId="2B7BCDD5" w:rsidR="00236CAE" w:rsidRPr="00785FB4" w:rsidRDefault="00236CAE" w:rsidP="007E7DC6">
            <w:pPr>
              <w:widowControl/>
              <w:suppressAutoHyphens w:val="0"/>
              <w:spacing w:after="0" w:line="240" w:lineRule="auto"/>
              <w:jc w:val="center"/>
              <w:rPr>
                <w:rFonts w:ascii="Calibri" w:hAnsi="Calibri"/>
                <w:b/>
                <w:color w:val="000000"/>
                <w:lang w:eastAsia="nb-NO"/>
              </w:rPr>
            </w:pPr>
          </w:p>
        </w:tc>
        <w:tc>
          <w:tcPr>
            <w:tcW w:w="16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313001A" w14:textId="77777777" w:rsidR="00236CAE" w:rsidRPr="00785FB4" w:rsidRDefault="00236CAE"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Naser</w:t>
            </w:r>
          </w:p>
        </w:tc>
        <w:tc>
          <w:tcPr>
            <w:tcW w:w="170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AF7BA90" w14:textId="77777777" w:rsidR="00236CAE" w:rsidRPr="00785FB4" w:rsidRDefault="00236CAE"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Timory</w:t>
            </w:r>
          </w:p>
        </w:tc>
        <w:tc>
          <w:tcPr>
            <w:tcW w:w="1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CBD0D57" w14:textId="77777777" w:rsidR="00236CAE" w:rsidRPr="00785FB4" w:rsidRDefault="00236CAE"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IWA</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BB59315" w14:textId="47941D66"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FD84341" w14:textId="1838B4AA"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992" w:type="dxa"/>
            <w:tcBorders>
              <w:top w:val="single" w:sz="2" w:space="0" w:color="auto"/>
              <w:left w:val="single" w:sz="2" w:space="0" w:color="auto"/>
              <w:bottom w:val="single" w:sz="2" w:space="0" w:color="auto"/>
              <w:right w:val="single" w:sz="2" w:space="0" w:color="auto"/>
            </w:tcBorders>
            <w:shd w:val="clear" w:color="000000" w:fill="C6EFCE"/>
            <w:noWrap/>
            <w:vAlign w:val="center"/>
            <w:hideMark/>
          </w:tcPr>
          <w:p w14:paraId="4698D80C" w14:textId="77777777" w:rsidR="00236CAE" w:rsidRPr="00785FB4" w:rsidRDefault="00236CAE"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2" w:space="0" w:color="auto"/>
              <w:left w:val="single" w:sz="2" w:space="0" w:color="auto"/>
              <w:bottom w:val="single" w:sz="2" w:space="0" w:color="auto"/>
              <w:right w:val="single" w:sz="2" w:space="0" w:color="auto"/>
            </w:tcBorders>
            <w:shd w:val="clear" w:color="000000" w:fill="C6EFCE"/>
            <w:noWrap/>
            <w:vAlign w:val="center"/>
            <w:hideMark/>
          </w:tcPr>
          <w:p w14:paraId="70A5307A" w14:textId="77777777" w:rsidR="00236CAE" w:rsidRPr="00785FB4" w:rsidRDefault="00236CAE"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41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C41BCA6" w14:textId="527792BB"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0EED763" w14:textId="77777777" w:rsidR="00236CAE" w:rsidRPr="00785FB4" w:rsidRDefault="00236CAE"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2</w:t>
            </w:r>
          </w:p>
        </w:tc>
        <w:tc>
          <w:tcPr>
            <w:tcW w:w="708" w:type="dxa"/>
            <w:tcBorders>
              <w:top w:val="single" w:sz="2" w:space="0" w:color="auto"/>
              <w:left w:val="single" w:sz="2" w:space="0" w:color="auto"/>
              <w:bottom w:val="single" w:sz="2" w:space="0" w:color="auto"/>
              <w:right w:val="single" w:sz="12" w:space="0" w:color="auto"/>
            </w:tcBorders>
            <w:shd w:val="clear" w:color="auto" w:fill="auto"/>
            <w:noWrap/>
            <w:vAlign w:val="center"/>
            <w:hideMark/>
          </w:tcPr>
          <w:p w14:paraId="75C9DBCF" w14:textId="795E1BDD" w:rsidR="00236CAE" w:rsidRPr="00785FB4" w:rsidRDefault="00236CAE"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40%</w:t>
            </w:r>
          </w:p>
        </w:tc>
      </w:tr>
      <w:tr w:rsidR="00236CAE" w:rsidRPr="00785FB4" w14:paraId="70566EB4" w14:textId="77777777" w:rsidTr="00373B54">
        <w:trPr>
          <w:trHeight w:val="315"/>
        </w:trPr>
        <w:tc>
          <w:tcPr>
            <w:tcW w:w="500" w:type="dxa"/>
            <w:vMerge/>
            <w:tcBorders>
              <w:left w:val="single" w:sz="12" w:space="0" w:color="auto"/>
              <w:right w:val="single" w:sz="2" w:space="0" w:color="auto"/>
            </w:tcBorders>
            <w:shd w:val="clear" w:color="auto" w:fill="auto"/>
            <w:noWrap/>
            <w:textDirection w:val="btLr"/>
            <w:vAlign w:val="center"/>
          </w:tcPr>
          <w:p w14:paraId="6A20C3DF" w14:textId="5044F9E2" w:rsidR="00236CAE" w:rsidRPr="00785FB4" w:rsidRDefault="00236CAE" w:rsidP="007E7DC6">
            <w:pPr>
              <w:widowControl/>
              <w:suppressAutoHyphens w:val="0"/>
              <w:spacing w:after="0" w:line="240" w:lineRule="auto"/>
              <w:jc w:val="center"/>
              <w:rPr>
                <w:rFonts w:ascii="Calibri" w:hAnsi="Calibri"/>
                <w:b/>
                <w:color w:val="000000"/>
                <w:lang w:eastAsia="nb-NO"/>
              </w:rPr>
            </w:pPr>
          </w:p>
        </w:tc>
        <w:tc>
          <w:tcPr>
            <w:tcW w:w="16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6071F87" w14:textId="77777777" w:rsidR="00236CAE" w:rsidRPr="00785FB4" w:rsidRDefault="00236CAE"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Assadullah</w:t>
            </w:r>
          </w:p>
        </w:tc>
        <w:tc>
          <w:tcPr>
            <w:tcW w:w="170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A512587" w14:textId="77777777" w:rsidR="00236CAE" w:rsidRPr="00785FB4" w:rsidRDefault="00236CAE"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Zemerai</w:t>
            </w:r>
          </w:p>
        </w:tc>
        <w:tc>
          <w:tcPr>
            <w:tcW w:w="1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619A1AD" w14:textId="77777777" w:rsidR="00236CAE" w:rsidRPr="00785FB4" w:rsidRDefault="00236CAE"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IWA</w:t>
            </w:r>
          </w:p>
        </w:tc>
        <w:tc>
          <w:tcPr>
            <w:tcW w:w="1134" w:type="dxa"/>
            <w:tcBorders>
              <w:top w:val="single" w:sz="2" w:space="0" w:color="auto"/>
              <w:left w:val="single" w:sz="2" w:space="0" w:color="auto"/>
              <w:bottom w:val="single" w:sz="2" w:space="0" w:color="auto"/>
              <w:right w:val="single" w:sz="2" w:space="0" w:color="auto"/>
            </w:tcBorders>
            <w:shd w:val="clear" w:color="000000" w:fill="C6EFCE"/>
            <w:noWrap/>
            <w:vAlign w:val="center"/>
            <w:hideMark/>
          </w:tcPr>
          <w:p w14:paraId="505C70CB" w14:textId="77777777" w:rsidR="00236CAE" w:rsidRPr="00785FB4" w:rsidRDefault="00236CAE"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55FFAD6" w14:textId="013326CD"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E26841C" w14:textId="226435D4"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6A711FF" w14:textId="7971D80F"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41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26A25B9" w14:textId="1F7ABF2F"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D360BFC" w14:textId="77777777" w:rsidR="00236CAE" w:rsidRPr="00785FB4" w:rsidRDefault="00236CAE"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1</w:t>
            </w:r>
          </w:p>
        </w:tc>
        <w:tc>
          <w:tcPr>
            <w:tcW w:w="708" w:type="dxa"/>
            <w:tcBorders>
              <w:top w:val="single" w:sz="2" w:space="0" w:color="auto"/>
              <w:left w:val="single" w:sz="2" w:space="0" w:color="auto"/>
              <w:bottom w:val="single" w:sz="2" w:space="0" w:color="auto"/>
              <w:right w:val="single" w:sz="12" w:space="0" w:color="auto"/>
            </w:tcBorders>
            <w:shd w:val="clear" w:color="auto" w:fill="auto"/>
            <w:noWrap/>
            <w:vAlign w:val="center"/>
            <w:hideMark/>
          </w:tcPr>
          <w:p w14:paraId="1D76C453" w14:textId="494DF208" w:rsidR="00236CAE" w:rsidRPr="00785FB4" w:rsidRDefault="00236CAE"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20%</w:t>
            </w:r>
          </w:p>
        </w:tc>
      </w:tr>
      <w:tr w:rsidR="00236CAE" w:rsidRPr="00785FB4" w14:paraId="3031D555" w14:textId="77777777" w:rsidTr="00373B54">
        <w:trPr>
          <w:trHeight w:val="315"/>
        </w:trPr>
        <w:tc>
          <w:tcPr>
            <w:tcW w:w="500" w:type="dxa"/>
            <w:vMerge/>
            <w:tcBorders>
              <w:left w:val="single" w:sz="12" w:space="0" w:color="auto"/>
              <w:right w:val="single" w:sz="2" w:space="0" w:color="auto"/>
            </w:tcBorders>
            <w:shd w:val="clear" w:color="auto" w:fill="auto"/>
            <w:noWrap/>
            <w:textDirection w:val="btLr"/>
            <w:vAlign w:val="center"/>
          </w:tcPr>
          <w:p w14:paraId="3EE1E554" w14:textId="43053661" w:rsidR="00236CAE" w:rsidRPr="00785FB4" w:rsidRDefault="00236CAE" w:rsidP="007E7DC6">
            <w:pPr>
              <w:widowControl/>
              <w:suppressAutoHyphens w:val="0"/>
              <w:spacing w:after="0" w:line="240" w:lineRule="auto"/>
              <w:jc w:val="center"/>
              <w:rPr>
                <w:rFonts w:ascii="Calibri" w:hAnsi="Calibri"/>
                <w:b/>
                <w:color w:val="000000"/>
                <w:lang w:eastAsia="nb-NO"/>
              </w:rPr>
            </w:pPr>
          </w:p>
        </w:tc>
        <w:tc>
          <w:tcPr>
            <w:tcW w:w="16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B279DC1" w14:textId="721537D6" w:rsidR="00236CAE" w:rsidRPr="00785FB4" w:rsidRDefault="00236CAE"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Habiburahman</w:t>
            </w:r>
          </w:p>
        </w:tc>
        <w:tc>
          <w:tcPr>
            <w:tcW w:w="170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9DBF7F0" w14:textId="77777777" w:rsidR="00236CAE" w:rsidRPr="00785FB4" w:rsidRDefault="00236CAE"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Nang</w:t>
            </w:r>
          </w:p>
        </w:tc>
        <w:tc>
          <w:tcPr>
            <w:tcW w:w="1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6C391B9" w14:textId="77777777" w:rsidR="00236CAE" w:rsidRPr="00785FB4" w:rsidRDefault="00236CAE"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PETWO</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7BA3063" w14:textId="484AFB2F"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CDF1910" w14:textId="7F9323B8"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992" w:type="dxa"/>
            <w:tcBorders>
              <w:top w:val="single" w:sz="2" w:space="0" w:color="auto"/>
              <w:left w:val="single" w:sz="2" w:space="0" w:color="auto"/>
              <w:bottom w:val="single" w:sz="2" w:space="0" w:color="auto"/>
              <w:right w:val="single" w:sz="2" w:space="0" w:color="auto"/>
            </w:tcBorders>
            <w:shd w:val="clear" w:color="000000" w:fill="C6EFCE"/>
            <w:noWrap/>
            <w:vAlign w:val="center"/>
            <w:hideMark/>
          </w:tcPr>
          <w:p w14:paraId="35D13F26" w14:textId="77777777" w:rsidR="00236CAE" w:rsidRPr="00785FB4" w:rsidRDefault="00236CAE"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2" w:space="0" w:color="auto"/>
              <w:left w:val="single" w:sz="2" w:space="0" w:color="auto"/>
              <w:bottom w:val="single" w:sz="2" w:space="0" w:color="auto"/>
              <w:right w:val="single" w:sz="2" w:space="0" w:color="auto"/>
            </w:tcBorders>
            <w:shd w:val="clear" w:color="000000" w:fill="C6EFCE"/>
            <w:noWrap/>
            <w:vAlign w:val="center"/>
            <w:hideMark/>
          </w:tcPr>
          <w:p w14:paraId="37706175" w14:textId="77777777" w:rsidR="00236CAE" w:rsidRPr="00785FB4" w:rsidRDefault="00236CAE"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418" w:type="dxa"/>
            <w:tcBorders>
              <w:top w:val="single" w:sz="2" w:space="0" w:color="auto"/>
              <w:left w:val="single" w:sz="2" w:space="0" w:color="auto"/>
              <w:bottom w:val="single" w:sz="2" w:space="0" w:color="auto"/>
              <w:right w:val="single" w:sz="2" w:space="0" w:color="auto"/>
            </w:tcBorders>
            <w:shd w:val="clear" w:color="000000" w:fill="C6EFCE"/>
            <w:noWrap/>
            <w:vAlign w:val="center"/>
            <w:hideMark/>
          </w:tcPr>
          <w:p w14:paraId="6D57985F" w14:textId="77777777" w:rsidR="00236CAE" w:rsidRPr="00785FB4" w:rsidRDefault="00236CAE"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47D70AB" w14:textId="77777777" w:rsidR="00236CAE" w:rsidRPr="00785FB4" w:rsidRDefault="00236CAE"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3</w:t>
            </w:r>
          </w:p>
        </w:tc>
        <w:tc>
          <w:tcPr>
            <w:tcW w:w="708" w:type="dxa"/>
            <w:tcBorders>
              <w:top w:val="single" w:sz="2" w:space="0" w:color="auto"/>
              <w:left w:val="single" w:sz="2" w:space="0" w:color="auto"/>
              <w:bottom w:val="single" w:sz="2" w:space="0" w:color="auto"/>
              <w:right w:val="single" w:sz="12" w:space="0" w:color="auto"/>
            </w:tcBorders>
            <w:shd w:val="clear" w:color="auto" w:fill="auto"/>
            <w:noWrap/>
            <w:vAlign w:val="center"/>
            <w:hideMark/>
          </w:tcPr>
          <w:p w14:paraId="6B582935" w14:textId="7804F828" w:rsidR="00236CAE" w:rsidRPr="00785FB4" w:rsidRDefault="00236CAE"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60%</w:t>
            </w:r>
          </w:p>
        </w:tc>
      </w:tr>
      <w:tr w:rsidR="00236CAE" w:rsidRPr="00785FB4" w14:paraId="3EC48708" w14:textId="77777777" w:rsidTr="00373B54">
        <w:trPr>
          <w:trHeight w:val="300"/>
        </w:trPr>
        <w:tc>
          <w:tcPr>
            <w:tcW w:w="500" w:type="dxa"/>
            <w:vMerge/>
            <w:tcBorders>
              <w:left w:val="single" w:sz="12" w:space="0" w:color="auto"/>
              <w:right w:val="single" w:sz="2" w:space="0" w:color="auto"/>
            </w:tcBorders>
            <w:shd w:val="clear" w:color="auto" w:fill="auto"/>
            <w:noWrap/>
            <w:textDirection w:val="btLr"/>
            <w:vAlign w:val="center"/>
          </w:tcPr>
          <w:p w14:paraId="02D1FA1F" w14:textId="4ACE4E64" w:rsidR="00236CAE" w:rsidRPr="00785FB4" w:rsidRDefault="00236CAE" w:rsidP="007E7DC6">
            <w:pPr>
              <w:widowControl/>
              <w:suppressAutoHyphens w:val="0"/>
              <w:spacing w:after="0" w:line="240" w:lineRule="auto"/>
              <w:jc w:val="center"/>
              <w:rPr>
                <w:rFonts w:ascii="Calibri" w:hAnsi="Calibri"/>
                <w:b/>
                <w:color w:val="000000"/>
                <w:lang w:eastAsia="nb-NO"/>
              </w:rPr>
            </w:pPr>
          </w:p>
        </w:tc>
        <w:tc>
          <w:tcPr>
            <w:tcW w:w="161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C751B60" w14:textId="77777777" w:rsidR="00236CAE" w:rsidRPr="00785FB4" w:rsidRDefault="00236CAE"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Attaullah</w:t>
            </w:r>
          </w:p>
        </w:tc>
        <w:tc>
          <w:tcPr>
            <w:tcW w:w="170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3A820D9" w14:textId="77777777" w:rsidR="00236CAE" w:rsidRPr="00785FB4" w:rsidRDefault="00236CAE"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Shinwari</w:t>
            </w:r>
          </w:p>
        </w:tc>
        <w:tc>
          <w:tcPr>
            <w:tcW w:w="1559"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400EFB0" w14:textId="77777777" w:rsidR="00236CAE" w:rsidRPr="00785FB4" w:rsidRDefault="00236CAE"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HRRAC</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2F7F805" w14:textId="67A2389A"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DF2C3CB" w14:textId="556269D3"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54DEC68" w14:textId="3B82A37C"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134" w:type="dxa"/>
            <w:tcBorders>
              <w:top w:val="single" w:sz="2" w:space="0" w:color="auto"/>
              <w:left w:val="single" w:sz="2" w:space="0" w:color="auto"/>
              <w:bottom w:val="single" w:sz="2" w:space="0" w:color="auto"/>
              <w:right w:val="single" w:sz="2" w:space="0" w:color="auto"/>
            </w:tcBorders>
            <w:shd w:val="clear" w:color="000000" w:fill="C6EFCE"/>
            <w:noWrap/>
            <w:vAlign w:val="center"/>
            <w:hideMark/>
          </w:tcPr>
          <w:p w14:paraId="09732B53" w14:textId="77777777" w:rsidR="00236CAE" w:rsidRPr="00785FB4" w:rsidRDefault="00236CAE"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41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251C4F4" w14:textId="1DC6B21A" w:rsidR="00236CAE" w:rsidRPr="00785FB4" w:rsidRDefault="00236CAE" w:rsidP="007E7DC6">
            <w:pPr>
              <w:widowControl/>
              <w:suppressAutoHyphens w:val="0"/>
              <w:spacing w:after="0" w:line="240" w:lineRule="auto"/>
              <w:jc w:val="center"/>
              <w:rPr>
                <w:rFonts w:ascii="Calibri" w:hAnsi="Calibri"/>
                <w:color w:val="000000"/>
                <w:lang w:eastAsia="nb-NO"/>
              </w:rPr>
            </w:pP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5FD8827" w14:textId="77777777" w:rsidR="00236CAE" w:rsidRPr="00785FB4" w:rsidRDefault="00236CAE"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1</w:t>
            </w:r>
          </w:p>
        </w:tc>
        <w:tc>
          <w:tcPr>
            <w:tcW w:w="708" w:type="dxa"/>
            <w:tcBorders>
              <w:top w:val="single" w:sz="2" w:space="0" w:color="auto"/>
              <w:left w:val="single" w:sz="2" w:space="0" w:color="auto"/>
              <w:bottom w:val="single" w:sz="2" w:space="0" w:color="auto"/>
              <w:right w:val="single" w:sz="12" w:space="0" w:color="auto"/>
            </w:tcBorders>
            <w:shd w:val="clear" w:color="auto" w:fill="auto"/>
            <w:noWrap/>
            <w:vAlign w:val="center"/>
            <w:hideMark/>
          </w:tcPr>
          <w:p w14:paraId="5A5D0CE5" w14:textId="4791893F" w:rsidR="00236CAE" w:rsidRPr="00785FB4" w:rsidRDefault="00236CAE"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20%</w:t>
            </w:r>
          </w:p>
        </w:tc>
      </w:tr>
      <w:tr w:rsidR="00236CAE" w:rsidRPr="00785FB4" w14:paraId="73D1CD9F" w14:textId="77777777" w:rsidTr="00373B54">
        <w:trPr>
          <w:trHeight w:val="315"/>
        </w:trPr>
        <w:tc>
          <w:tcPr>
            <w:tcW w:w="500" w:type="dxa"/>
            <w:vMerge/>
            <w:tcBorders>
              <w:left w:val="single" w:sz="12" w:space="0" w:color="auto"/>
              <w:bottom w:val="single" w:sz="18" w:space="0" w:color="auto"/>
              <w:right w:val="single" w:sz="2" w:space="0" w:color="auto"/>
            </w:tcBorders>
            <w:shd w:val="clear" w:color="auto" w:fill="auto"/>
            <w:noWrap/>
            <w:textDirection w:val="btLr"/>
            <w:vAlign w:val="center"/>
          </w:tcPr>
          <w:p w14:paraId="147D0F95" w14:textId="6AAB520E" w:rsidR="00236CAE" w:rsidRPr="00785FB4" w:rsidRDefault="00236CAE" w:rsidP="007E7DC6">
            <w:pPr>
              <w:widowControl/>
              <w:suppressAutoHyphens w:val="0"/>
              <w:spacing w:after="0" w:line="240" w:lineRule="auto"/>
              <w:jc w:val="center"/>
              <w:rPr>
                <w:rFonts w:ascii="Calibri" w:hAnsi="Calibri"/>
                <w:b/>
                <w:color w:val="000000"/>
                <w:lang w:eastAsia="nb-NO"/>
              </w:rPr>
            </w:pPr>
          </w:p>
        </w:tc>
        <w:tc>
          <w:tcPr>
            <w:tcW w:w="1617"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1CCB7A28" w14:textId="77777777" w:rsidR="00236CAE" w:rsidRPr="00785FB4" w:rsidRDefault="00236CAE" w:rsidP="007E7DC6">
            <w:pPr>
              <w:widowControl/>
              <w:suppressAutoHyphens w:val="0"/>
              <w:spacing w:after="0" w:line="240" w:lineRule="auto"/>
              <w:jc w:val="center"/>
              <w:rPr>
                <w:rFonts w:ascii="Calibri" w:hAnsi="Calibri"/>
                <w:b/>
                <w:color w:val="000000"/>
                <w:lang w:eastAsia="nb-NO"/>
              </w:rPr>
            </w:pPr>
          </w:p>
        </w:tc>
        <w:tc>
          <w:tcPr>
            <w:tcW w:w="170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451A1EC2" w14:textId="77777777" w:rsidR="00236CAE" w:rsidRPr="00785FB4" w:rsidRDefault="00236CAE" w:rsidP="007E7DC6">
            <w:pPr>
              <w:widowControl/>
              <w:suppressAutoHyphens w:val="0"/>
              <w:spacing w:after="0" w:line="240" w:lineRule="auto"/>
              <w:jc w:val="center"/>
              <w:rPr>
                <w:rFonts w:ascii="Times New Roman" w:hAnsi="Times New Roman" w:cs="Times New Roman"/>
                <w:sz w:val="20"/>
                <w:szCs w:val="20"/>
                <w:lang w:eastAsia="nb-NO"/>
              </w:rPr>
            </w:pPr>
          </w:p>
        </w:tc>
        <w:tc>
          <w:tcPr>
            <w:tcW w:w="1559"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161AC43B" w14:textId="77777777" w:rsidR="00236CAE" w:rsidRPr="00785FB4" w:rsidRDefault="00236CAE" w:rsidP="007E7DC6">
            <w:pPr>
              <w:widowControl/>
              <w:suppressAutoHyphens w:val="0"/>
              <w:spacing w:after="0" w:line="240" w:lineRule="auto"/>
              <w:jc w:val="center"/>
              <w:rPr>
                <w:rFonts w:ascii="Times New Roman" w:hAnsi="Times New Roman" w:cs="Times New Roman"/>
                <w:sz w:val="20"/>
                <w:szCs w:val="20"/>
                <w:lang w:eastAsia="nb-NO"/>
              </w:rPr>
            </w:pPr>
          </w:p>
        </w:tc>
        <w:tc>
          <w:tcPr>
            <w:tcW w:w="1134"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1BE6D76A" w14:textId="77777777" w:rsidR="00236CAE" w:rsidRPr="00785FB4" w:rsidRDefault="00236CAE" w:rsidP="007E7DC6">
            <w:pPr>
              <w:widowControl/>
              <w:suppressAutoHyphens w:val="0"/>
              <w:spacing w:after="0" w:line="240" w:lineRule="auto"/>
              <w:jc w:val="center"/>
              <w:rPr>
                <w:rFonts w:ascii="Times New Roman" w:hAnsi="Times New Roman" w:cs="Times New Roman"/>
                <w:sz w:val="20"/>
                <w:szCs w:val="20"/>
                <w:lang w:eastAsia="nb-NO"/>
              </w:rPr>
            </w:pPr>
          </w:p>
        </w:tc>
        <w:tc>
          <w:tcPr>
            <w:tcW w:w="1134"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01E2B808" w14:textId="77777777" w:rsidR="00236CAE" w:rsidRPr="00785FB4" w:rsidRDefault="00236CAE" w:rsidP="007E7DC6">
            <w:pPr>
              <w:widowControl/>
              <w:suppressAutoHyphens w:val="0"/>
              <w:spacing w:after="0" w:line="240" w:lineRule="auto"/>
              <w:jc w:val="center"/>
              <w:rPr>
                <w:rFonts w:ascii="Times New Roman" w:hAnsi="Times New Roman" w:cs="Times New Roman"/>
                <w:sz w:val="20"/>
                <w:szCs w:val="20"/>
                <w:lang w:eastAsia="nb-NO"/>
              </w:rPr>
            </w:pPr>
          </w:p>
        </w:tc>
        <w:tc>
          <w:tcPr>
            <w:tcW w:w="992"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71BAB90F" w14:textId="77777777" w:rsidR="00236CAE" w:rsidRPr="00785FB4" w:rsidRDefault="00236CAE" w:rsidP="007E7DC6">
            <w:pPr>
              <w:widowControl/>
              <w:suppressAutoHyphens w:val="0"/>
              <w:spacing w:after="0" w:line="240" w:lineRule="auto"/>
              <w:jc w:val="center"/>
              <w:rPr>
                <w:rFonts w:ascii="Times New Roman" w:hAnsi="Times New Roman" w:cs="Times New Roman"/>
                <w:sz w:val="20"/>
                <w:szCs w:val="20"/>
                <w:lang w:eastAsia="nb-NO"/>
              </w:rPr>
            </w:pPr>
          </w:p>
        </w:tc>
        <w:tc>
          <w:tcPr>
            <w:tcW w:w="1134"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235A7076" w14:textId="77777777" w:rsidR="00236CAE" w:rsidRPr="00785FB4" w:rsidRDefault="00236CAE" w:rsidP="007E7DC6">
            <w:pPr>
              <w:widowControl/>
              <w:suppressAutoHyphens w:val="0"/>
              <w:spacing w:after="0" w:line="240" w:lineRule="auto"/>
              <w:jc w:val="center"/>
              <w:rPr>
                <w:rFonts w:ascii="Times New Roman" w:hAnsi="Times New Roman" w:cs="Times New Roman"/>
                <w:sz w:val="20"/>
                <w:szCs w:val="20"/>
                <w:lang w:eastAsia="nb-NO"/>
              </w:rPr>
            </w:pPr>
          </w:p>
        </w:tc>
        <w:tc>
          <w:tcPr>
            <w:tcW w:w="1418"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5F991A95" w14:textId="4F86C209" w:rsidR="00236CAE" w:rsidRPr="00785FB4" w:rsidRDefault="00236CAE" w:rsidP="007E7DC6">
            <w:pPr>
              <w:widowControl/>
              <w:suppressAutoHyphens w:val="0"/>
              <w:spacing w:after="0" w:line="240" w:lineRule="auto"/>
              <w:jc w:val="center"/>
              <w:rPr>
                <w:rFonts w:ascii="Times New Roman" w:hAnsi="Times New Roman" w:cs="Times New Roman"/>
                <w:sz w:val="20"/>
                <w:szCs w:val="20"/>
                <w:lang w:eastAsia="nb-NO"/>
              </w:rPr>
            </w:pPr>
            <w:r w:rsidRPr="00785FB4">
              <w:rPr>
                <w:rFonts w:ascii="Calibri" w:hAnsi="Calibri"/>
                <w:b/>
                <w:color w:val="000000"/>
                <w:u w:val="single"/>
                <w:lang w:eastAsia="nb-NO"/>
              </w:rPr>
              <w:t>Average</w:t>
            </w:r>
          </w:p>
        </w:tc>
        <w:tc>
          <w:tcPr>
            <w:tcW w:w="1134"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0F9DBD6B" w14:textId="0A52BBBC" w:rsidR="00236CAE" w:rsidRPr="00785FB4" w:rsidRDefault="00236CAE" w:rsidP="007E7DC6">
            <w:pPr>
              <w:widowControl/>
              <w:suppressAutoHyphens w:val="0"/>
              <w:spacing w:after="0" w:line="240" w:lineRule="auto"/>
              <w:jc w:val="center"/>
              <w:rPr>
                <w:rFonts w:ascii="Calibri" w:hAnsi="Calibri"/>
                <w:b/>
                <w:color w:val="000000"/>
                <w:u w:val="single"/>
                <w:lang w:eastAsia="nb-NO"/>
              </w:rPr>
            </w:pPr>
            <w:r w:rsidRPr="00785FB4">
              <w:rPr>
                <w:rFonts w:ascii="Calibri" w:hAnsi="Calibri"/>
                <w:b/>
                <w:color w:val="000000"/>
                <w:u w:val="single"/>
                <w:lang w:eastAsia="nb-NO"/>
              </w:rPr>
              <w:t>1.6</w:t>
            </w:r>
          </w:p>
        </w:tc>
        <w:tc>
          <w:tcPr>
            <w:tcW w:w="708" w:type="dxa"/>
            <w:tcBorders>
              <w:top w:val="single" w:sz="2" w:space="0" w:color="auto"/>
              <w:left w:val="single" w:sz="2" w:space="0" w:color="auto"/>
              <w:bottom w:val="single" w:sz="18" w:space="0" w:color="auto"/>
              <w:right w:val="single" w:sz="12" w:space="0" w:color="auto"/>
            </w:tcBorders>
            <w:shd w:val="clear" w:color="auto" w:fill="auto"/>
            <w:noWrap/>
            <w:vAlign w:val="center"/>
            <w:hideMark/>
          </w:tcPr>
          <w:p w14:paraId="31786BF1" w14:textId="6697FCB7" w:rsidR="00236CAE" w:rsidRPr="00785FB4" w:rsidRDefault="00236CAE" w:rsidP="007E7DC6">
            <w:pPr>
              <w:widowControl/>
              <w:suppressAutoHyphens w:val="0"/>
              <w:spacing w:after="0" w:line="240" w:lineRule="auto"/>
              <w:jc w:val="center"/>
              <w:rPr>
                <w:rFonts w:ascii="Calibri" w:hAnsi="Calibri"/>
                <w:b/>
                <w:color w:val="000000"/>
                <w:u w:val="single"/>
                <w:lang w:eastAsia="nb-NO"/>
              </w:rPr>
            </w:pPr>
            <w:r w:rsidRPr="00785FB4">
              <w:rPr>
                <w:rFonts w:ascii="Calibri" w:hAnsi="Calibri"/>
                <w:b/>
                <w:bCs/>
                <w:color w:val="000000"/>
              </w:rPr>
              <w:t>33%</w:t>
            </w:r>
          </w:p>
        </w:tc>
      </w:tr>
      <w:tr w:rsidR="007E7DC6" w:rsidRPr="00785FB4" w14:paraId="5FA2C478" w14:textId="77777777" w:rsidTr="007E7DC6">
        <w:trPr>
          <w:trHeight w:val="300"/>
        </w:trPr>
        <w:tc>
          <w:tcPr>
            <w:tcW w:w="500" w:type="dxa"/>
            <w:vMerge w:val="restart"/>
            <w:tcBorders>
              <w:top w:val="single" w:sz="18" w:space="0" w:color="auto"/>
              <w:left w:val="single" w:sz="18" w:space="0" w:color="auto"/>
              <w:bottom w:val="single" w:sz="8" w:space="0" w:color="auto"/>
              <w:right w:val="single" w:sz="8" w:space="0" w:color="auto"/>
            </w:tcBorders>
            <w:shd w:val="clear" w:color="auto" w:fill="auto"/>
            <w:noWrap/>
            <w:textDirection w:val="btLr"/>
            <w:vAlign w:val="center"/>
          </w:tcPr>
          <w:p w14:paraId="52CA3B21" w14:textId="44673FF5" w:rsidR="007E7DC6" w:rsidRPr="00785FB4" w:rsidRDefault="007E7DC6" w:rsidP="007E7DC6">
            <w:pPr>
              <w:spacing w:after="0" w:line="240" w:lineRule="auto"/>
              <w:jc w:val="both"/>
              <w:rPr>
                <w:rFonts w:ascii="Calibri" w:hAnsi="Calibri"/>
                <w:b/>
                <w:color w:val="000000"/>
                <w:lang w:eastAsia="nb-NO"/>
              </w:rPr>
            </w:pPr>
            <w:r w:rsidRPr="00785FB4">
              <w:rPr>
                <w:rFonts w:ascii="Calibri" w:hAnsi="Calibri"/>
                <w:b/>
                <w:color w:val="000000"/>
                <w:lang w:eastAsia="nb-NO"/>
              </w:rPr>
              <w:t>Government</w:t>
            </w:r>
          </w:p>
        </w:tc>
        <w:tc>
          <w:tcPr>
            <w:tcW w:w="1617" w:type="dxa"/>
            <w:tcBorders>
              <w:top w:val="single" w:sz="18" w:space="0" w:color="auto"/>
              <w:left w:val="single" w:sz="8" w:space="0" w:color="auto"/>
              <w:bottom w:val="single" w:sz="8" w:space="0" w:color="auto"/>
              <w:right w:val="single" w:sz="8" w:space="0" w:color="auto"/>
            </w:tcBorders>
            <w:shd w:val="clear" w:color="auto" w:fill="auto"/>
            <w:noWrap/>
            <w:vAlign w:val="center"/>
            <w:hideMark/>
          </w:tcPr>
          <w:p w14:paraId="334B5042"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Qadir</w:t>
            </w:r>
          </w:p>
        </w:tc>
        <w:tc>
          <w:tcPr>
            <w:tcW w:w="1701" w:type="dxa"/>
            <w:tcBorders>
              <w:top w:val="single" w:sz="18" w:space="0" w:color="auto"/>
              <w:left w:val="single" w:sz="8" w:space="0" w:color="auto"/>
              <w:bottom w:val="single" w:sz="8" w:space="0" w:color="auto"/>
              <w:right w:val="single" w:sz="8" w:space="0" w:color="auto"/>
            </w:tcBorders>
            <w:shd w:val="clear" w:color="auto" w:fill="auto"/>
            <w:noWrap/>
            <w:vAlign w:val="center"/>
            <w:hideMark/>
          </w:tcPr>
          <w:p w14:paraId="6B52C3B3"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Amiri</w:t>
            </w:r>
          </w:p>
        </w:tc>
        <w:tc>
          <w:tcPr>
            <w:tcW w:w="1559" w:type="dxa"/>
            <w:tcBorders>
              <w:top w:val="single" w:sz="18" w:space="0" w:color="auto"/>
              <w:left w:val="single" w:sz="8" w:space="0" w:color="auto"/>
              <w:bottom w:val="single" w:sz="8" w:space="0" w:color="auto"/>
              <w:right w:val="single" w:sz="8" w:space="0" w:color="auto"/>
            </w:tcBorders>
            <w:shd w:val="clear" w:color="auto" w:fill="auto"/>
            <w:noWrap/>
            <w:vAlign w:val="center"/>
            <w:hideMark/>
          </w:tcPr>
          <w:p w14:paraId="612A8E0E" w14:textId="3F35C4B4" w:rsidR="007E7DC6" w:rsidRPr="00785FB4" w:rsidRDefault="00DB56BA"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MOF</w:t>
            </w:r>
          </w:p>
        </w:tc>
        <w:tc>
          <w:tcPr>
            <w:tcW w:w="1134" w:type="dxa"/>
            <w:tcBorders>
              <w:top w:val="single" w:sz="18" w:space="0" w:color="auto"/>
              <w:left w:val="single" w:sz="8" w:space="0" w:color="auto"/>
              <w:bottom w:val="single" w:sz="8" w:space="0" w:color="auto"/>
              <w:right w:val="single" w:sz="8" w:space="0" w:color="auto"/>
            </w:tcBorders>
            <w:shd w:val="clear" w:color="auto" w:fill="auto"/>
            <w:noWrap/>
            <w:vAlign w:val="center"/>
            <w:hideMark/>
          </w:tcPr>
          <w:p w14:paraId="38989BCF" w14:textId="4977CF48"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18" w:space="0" w:color="auto"/>
              <w:left w:val="single" w:sz="8" w:space="0" w:color="auto"/>
              <w:bottom w:val="single" w:sz="8" w:space="0" w:color="auto"/>
              <w:right w:val="single" w:sz="8" w:space="0" w:color="auto"/>
            </w:tcBorders>
            <w:shd w:val="clear" w:color="000000" w:fill="C6EFCE"/>
            <w:noWrap/>
            <w:vAlign w:val="center"/>
            <w:hideMark/>
          </w:tcPr>
          <w:p w14:paraId="519E1D2E"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992" w:type="dxa"/>
            <w:tcBorders>
              <w:top w:val="single" w:sz="18" w:space="0" w:color="auto"/>
              <w:left w:val="single" w:sz="8" w:space="0" w:color="auto"/>
              <w:bottom w:val="single" w:sz="8" w:space="0" w:color="auto"/>
              <w:right w:val="single" w:sz="8" w:space="0" w:color="auto"/>
            </w:tcBorders>
            <w:shd w:val="clear" w:color="auto" w:fill="auto"/>
            <w:noWrap/>
            <w:vAlign w:val="center"/>
            <w:hideMark/>
          </w:tcPr>
          <w:p w14:paraId="39D24467" w14:textId="1457E216"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18" w:space="0" w:color="auto"/>
              <w:left w:val="single" w:sz="8" w:space="0" w:color="auto"/>
              <w:bottom w:val="single" w:sz="8" w:space="0" w:color="auto"/>
              <w:right w:val="single" w:sz="8" w:space="0" w:color="auto"/>
            </w:tcBorders>
            <w:shd w:val="clear" w:color="auto" w:fill="auto"/>
            <w:noWrap/>
            <w:vAlign w:val="center"/>
            <w:hideMark/>
          </w:tcPr>
          <w:p w14:paraId="52970353" w14:textId="0A89332C"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418" w:type="dxa"/>
            <w:tcBorders>
              <w:top w:val="single" w:sz="18" w:space="0" w:color="auto"/>
              <w:left w:val="single" w:sz="8" w:space="0" w:color="auto"/>
              <w:bottom w:val="single" w:sz="8" w:space="0" w:color="auto"/>
              <w:right w:val="single" w:sz="8" w:space="0" w:color="auto"/>
            </w:tcBorders>
            <w:shd w:val="clear" w:color="auto" w:fill="auto"/>
            <w:noWrap/>
            <w:vAlign w:val="center"/>
            <w:hideMark/>
          </w:tcPr>
          <w:p w14:paraId="0667742D" w14:textId="4C7CD5E8"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18" w:space="0" w:color="auto"/>
              <w:left w:val="single" w:sz="8" w:space="0" w:color="auto"/>
              <w:bottom w:val="single" w:sz="8" w:space="0" w:color="auto"/>
              <w:right w:val="single" w:sz="8" w:space="0" w:color="auto"/>
            </w:tcBorders>
            <w:shd w:val="clear" w:color="auto" w:fill="auto"/>
            <w:noWrap/>
            <w:vAlign w:val="center"/>
            <w:hideMark/>
          </w:tcPr>
          <w:p w14:paraId="49E0A0D6"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1</w:t>
            </w:r>
          </w:p>
        </w:tc>
        <w:tc>
          <w:tcPr>
            <w:tcW w:w="708" w:type="dxa"/>
            <w:tcBorders>
              <w:top w:val="single" w:sz="18" w:space="0" w:color="auto"/>
              <w:left w:val="single" w:sz="8" w:space="0" w:color="auto"/>
              <w:bottom w:val="single" w:sz="8" w:space="0" w:color="auto"/>
              <w:right w:val="single" w:sz="18" w:space="0" w:color="auto"/>
            </w:tcBorders>
            <w:shd w:val="clear" w:color="auto" w:fill="auto"/>
            <w:noWrap/>
            <w:vAlign w:val="center"/>
            <w:hideMark/>
          </w:tcPr>
          <w:p w14:paraId="49871E50" w14:textId="41406AEF"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20%</w:t>
            </w:r>
          </w:p>
        </w:tc>
      </w:tr>
      <w:tr w:rsidR="007E7DC6" w:rsidRPr="00785FB4" w14:paraId="601873BA" w14:textId="77777777" w:rsidTr="007E7DC6">
        <w:trPr>
          <w:trHeight w:val="300"/>
        </w:trPr>
        <w:tc>
          <w:tcPr>
            <w:tcW w:w="500" w:type="dxa"/>
            <w:vMerge/>
            <w:tcBorders>
              <w:top w:val="single" w:sz="8" w:space="0" w:color="auto"/>
              <w:left w:val="single" w:sz="18" w:space="0" w:color="auto"/>
              <w:bottom w:val="single" w:sz="8" w:space="0" w:color="auto"/>
              <w:right w:val="single" w:sz="8" w:space="0" w:color="auto"/>
            </w:tcBorders>
            <w:shd w:val="clear" w:color="auto" w:fill="auto"/>
            <w:noWrap/>
            <w:textDirection w:val="btLr"/>
            <w:vAlign w:val="center"/>
            <w:hideMark/>
          </w:tcPr>
          <w:p w14:paraId="02580E88" w14:textId="4BCCFE79" w:rsidR="007E7DC6" w:rsidRPr="00785FB4" w:rsidRDefault="007E7DC6" w:rsidP="007E7DC6">
            <w:pPr>
              <w:spacing w:after="0" w:line="240" w:lineRule="auto"/>
              <w:jc w:val="center"/>
              <w:rPr>
                <w:rFonts w:ascii="Calibri" w:hAnsi="Calibri"/>
                <w:b/>
                <w:color w:val="000000"/>
                <w:lang w:eastAsia="nb-NO"/>
              </w:rPr>
            </w:pPr>
          </w:p>
        </w:tc>
        <w:tc>
          <w:tcPr>
            <w:tcW w:w="16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323035"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Mohammad</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700898"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Attai</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06878E" w14:textId="3C120039" w:rsidR="007E7DC6" w:rsidRPr="00785FB4" w:rsidRDefault="00DB56BA"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MOMP</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8AFCBD" w14:textId="2FE7F07E"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340E8596"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27A00D" w14:textId="7001F14E"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33D8AC" w14:textId="15932DE2"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B0BF451" w14:textId="4A53E3FC"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A8C7F7"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1</w:t>
            </w:r>
          </w:p>
        </w:tc>
        <w:tc>
          <w:tcPr>
            <w:tcW w:w="708" w:type="dxa"/>
            <w:tcBorders>
              <w:top w:val="single" w:sz="8" w:space="0" w:color="auto"/>
              <w:left w:val="single" w:sz="8" w:space="0" w:color="auto"/>
              <w:bottom w:val="single" w:sz="8" w:space="0" w:color="auto"/>
              <w:right w:val="single" w:sz="18" w:space="0" w:color="auto"/>
            </w:tcBorders>
            <w:shd w:val="clear" w:color="auto" w:fill="auto"/>
            <w:noWrap/>
            <w:vAlign w:val="center"/>
            <w:hideMark/>
          </w:tcPr>
          <w:p w14:paraId="1A0C2C9E" w14:textId="32550F11"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20%</w:t>
            </w:r>
          </w:p>
        </w:tc>
      </w:tr>
      <w:tr w:rsidR="007E7DC6" w:rsidRPr="00785FB4" w14:paraId="3B984234" w14:textId="77777777" w:rsidTr="007E7DC6">
        <w:trPr>
          <w:trHeight w:val="300"/>
        </w:trPr>
        <w:tc>
          <w:tcPr>
            <w:tcW w:w="500" w:type="dxa"/>
            <w:vMerge/>
            <w:tcBorders>
              <w:top w:val="single" w:sz="8" w:space="0" w:color="auto"/>
              <w:left w:val="single" w:sz="18" w:space="0" w:color="auto"/>
              <w:bottom w:val="single" w:sz="8" w:space="0" w:color="auto"/>
              <w:right w:val="single" w:sz="8" w:space="0" w:color="auto"/>
            </w:tcBorders>
            <w:shd w:val="clear" w:color="auto" w:fill="auto"/>
            <w:noWrap/>
            <w:textDirection w:val="btLr"/>
            <w:vAlign w:val="center"/>
            <w:hideMark/>
          </w:tcPr>
          <w:p w14:paraId="251C879B" w14:textId="3681D5A4" w:rsidR="007E7DC6" w:rsidRPr="00785FB4" w:rsidRDefault="007E7DC6" w:rsidP="007E7DC6">
            <w:pPr>
              <w:spacing w:after="0" w:line="240" w:lineRule="auto"/>
              <w:jc w:val="center"/>
              <w:rPr>
                <w:rFonts w:ascii="Calibri" w:hAnsi="Calibri"/>
                <w:b/>
                <w:color w:val="000000"/>
                <w:lang w:eastAsia="nb-NO"/>
              </w:rPr>
            </w:pPr>
          </w:p>
        </w:tc>
        <w:tc>
          <w:tcPr>
            <w:tcW w:w="16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8B0166"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Ghazaal</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C199D2"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Habibyar-Safi</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336D91E" w14:textId="3FC30F85" w:rsidR="007E7DC6" w:rsidRPr="00785FB4" w:rsidRDefault="00DB56BA"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MOMP</w:t>
            </w:r>
          </w:p>
        </w:tc>
        <w:tc>
          <w:tcPr>
            <w:tcW w:w="1134"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7A3426D7"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C3093B" w14:textId="261E98B3"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992"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7E45F179"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5C4DB561"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341EFC" w14:textId="7ED4DEA5"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956DBB"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3</w:t>
            </w:r>
          </w:p>
        </w:tc>
        <w:tc>
          <w:tcPr>
            <w:tcW w:w="708" w:type="dxa"/>
            <w:tcBorders>
              <w:top w:val="single" w:sz="8" w:space="0" w:color="auto"/>
              <w:left w:val="single" w:sz="8" w:space="0" w:color="auto"/>
              <w:bottom w:val="single" w:sz="8" w:space="0" w:color="auto"/>
              <w:right w:val="single" w:sz="18" w:space="0" w:color="auto"/>
            </w:tcBorders>
            <w:shd w:val="clear" w:color="auto" w:fill="auto"/>
            <w:noWrap/>
            <w:vAlign w:val="center"/>
            <w:hideMark/>
          </w:tcPr>
          <w:p w14:paraId="0D9F8404" w14:textId="08CB65E8"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60%</w:t>
            </w:r>
          </w:p>
        </w:tc>
      </w:tr>
      <w:tr w:rsidR="007E7DC6" w:rsidRPr="00785FB4" w14:paraId="005C86E0" w14:textId="77777777" w:rsidTr="007E7DC6">
        <w:trPr>
          <w:trHeight w:val="300"/>
        </w:trPr>
        <w:tc>
          <w:tcPr>
            <w:tcW w:w="500" w:type="dxa"/>
            <w:vMerge/>
            <w:tcBorders>
              <w:top w:val="single" w:sz="8" w:space="0" w:color="auto"/>
              <w:left w:val="single" w:sz="18" w:space="0" w:color="auto"/>
              <w:bottom w:val="single" w:sz="8" w:space="0" w:color="auto"/>
              <w:right w:val="single" w:sz="8" w:space="0" w:color="auto"/>
            </w:tcBorders>
            <w:shd w:val="clear" w:color="auto" w:fill="auto"/>
            <w:noWrap/>
            <w:textDirection w:val="btLr"/>
            <w:vAlign w:val="center"/>
            <w:hideMark/>
          </w:tcPr>
          <w:p w14:paraId="5B3099EF" w14:textId="6DFEE52B" w:rsidR="007E7DC6" w:rsidRPr="00785FB4" w:rsidRDefault="007E7DC6" w:rsidP="007E7DC6">
            <w:pPr>
              <w:widowControl/>
              <w:suppressAutoHyphens w:val="0"/>
              <w:spacing w:after="0" w:line="240" w:lineRule="auto"/>
              <w:jc w:val="center"/>
              <w:rPr>
                <w:rFonts w:ascii="Calibri" w:hAnsi="Calibri"/>
                <w:b/>
                <w:color w:val="000000"/>
                <w:lang w:eastAsia="nb-NO"/>
              </w:rPr>
            </w:pPr>
          </w:p>
        </w:tc>
        <w:tc>
          <w:tcPr>
            <w:tcW w:w="16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8E45E1"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A.B. Wahed</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1BC3B2"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Jaihan</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F2F6059" w14:textId="4DE6F90E" w:rsidR="007E7DC6" w:rsidRPr="00785FB4" w:rsidRDefault="00DB56BA"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MOMP</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902A9F" w14:textId="6EC1D053"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BFEC01" w14:textId="1C6202FB"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992"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4DCDBED3"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1E8409" w14:textId="7719105A"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BC2FE0" w14:textId="17953D3E"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8857FB7"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1</w:t>
            </w:r>
          </w:p>
        </w:tc>
        <w:tc>
          <w:tcPr>
            <w:tcW w:w="708" w:type="dxa"/>
            <w:tcBorders>
              <w:top w:val="single" w:sz="8" w:space="0" w:color="auto"/>
              <w:left w:val="single" w:sz="8" w:space="0" w:color="auto"/>
              <w:bottom w:val="single" w:sz="8" w:space="0" w:color="auto"/>
              <w:right w:val="single" w:sz="18" w:space="0" w:color="auto"/>
            </w:tcBorders>
            <w:shd w:val="clear" w:color="auto" w:fill="auto"/>
            <w:noWrap/>
            <w:vAlign w:val="center"/>
            <w:hideMark/>
          </w:tcPr>
          <w:p w14:paraId="54815311" w14:textId="3CE1466B"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20%</w:t>
            </w:r>
          </w:p>
        </w:tc>
      </w:tr>
      <w:tr w:rsidR="007E7DC6" w:rsidRPr="00785FB4" w14:paraId="2C941C90" w14:textId="77777777" w:rsidTr="007E7DC6">
        <w:trPr>
          <w:trHeight w:val="300"/>
        </w:trPr>
        <w:tc>
          <w:tcPr>
            <w:tcW w:w="500" w:type="dxa"/>
            <w:vMerge/>
            <w:tcBorders>
              <w:top w:val="single" w:sz="8" w:space="0" w:color="auto"/>
              <w:left w:val="single" w:sz="18" w:space="0" w:color="auto"/>
              <w:bottom w:val="single" w:sz="8" w:space="0" w:color="auto"/>
              <w:right w:val="single" w:sz="8" w:space="0" w:color="auto"/>
            </w:tcBorders>
            <w:shd w:val="clear" w:color="auto" w:fill="auto"/>
            <w:noWrap/>
            <w:textDirection w:val="btLr"/>
            <w:vAlign w:val="center"/>
            <w:hideMark/>
          </w:tcPr>
          <w:p w14:paraId="78AEEEBA" w14:textId="535B2068" w:rsidR="007E7DC6" w:rsidRPr="00785FB4" w:rsidRDefault="007E7DC6" w:rsidP="007E7DC6">
            <w:pPr>
              <w:widowControl/>
              <w:suppressAutoHyphens w:val="0"/>
              <w:spacing w:after="0" w:line="240" w:lineRule="auto"/>
              <w:jc w:val="center"/>
              <w:rPr>
                <w:rFonts w:ascii="Calibri" w:hAnsi="Calibri"/>
                <w:b/>
                <w:color w:val="000000"/>
                <w:lang w:eastAsia="nb-NO"/>
              </w:rPr>
            </w:pPr>
          </w:p>
        </w:tc>
        <w:tc>
          <w:tcPr>
            <w:tcW w:w="16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094DFB"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Nargis</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2017A84"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Nehan</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C5D5C0" w14:textId="735E81D3" w:rsidR="007E7DC6" w:rsidRPr="00785FB4" w:rsidRDefault="00DB56BA"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MOMP</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A5D847" w14:textId="69F7080D"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670F1B" w14:textId="44FCC57F"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992"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0EBB6DA2"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6985C4" w14:textId="30316CC2"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3D8699" w14:textId="73261D39"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615F9D"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1</w:t>
            </w:r>
          </w:p>
        </w:tc>
        <w:tc>
          <w:tcPr>
            <w:tcW w:w="708" w:type="dxa"/>
            <w:tcBorders>
              <w:top w:val="single" w:sz="8" w:space="0" w:color="auto"/>
              <w:left w:val="single" w:sz="8" w:space="0" w:color="auto"/>
              <w:bottom w:val="single" w:sz="8" w:space="0" w:color="auto"/>
              <w:right w:val="single" w:sz="18" w:space="0" w:color="auto"/>
            </w:tcBorders>
            <w:shd w:val="clear" w:color="auto" w:fill="auto"/>
            <w:noWrap/>
            <w:vAlign w:val="center"/>
            <w:hideMark/>
          </w:tcPr>
          <w:p w14:paraId="3F9E078A" w14:textId="5FD53B1B"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20%</w:t>
            </w:r>
          </w:p>
        </w:tc>
      </w:tr>
      <w:tr w:rsidR="007E7DC6" w:rsidRPr="00785FB4" w14:paraId="77675903" w14:textId="77777777" w:rsidTr="007E7DC6">
        <w:trPr>
          <w:trHeight w:val="300"/>
        </w:trPr>
        <w:tc>
          <w:tcPr>
            <w:tcW w:w="500" w:type="dxa"/>
            <w:vMerge/>
            <w:tcBorders>
              <w:top w:val="single" w:sz="8" w:space="0" w:color="auto"/>
              <w:left w:val="single" w:sz="18" w:space="0" w:color="auto"/>
              <w:bottom w:val="single" w:sz="8" w:space="0" w:color="auto"/>
              <w:right w:val="single" w:sz="8" w:space="0" w:color="auto"/>
            </w:tcBorders>
            <w:shd w:val="clear" w:color="auto" w:fill="auto"/>
            <w:noWrap/>
            <w:textDirection w:val="btLr"/>
            <w:vAlign w:val="center"/>
            <w:hideMark/>
          </w:tcPr>
          <w:p w14:paraId="49189B93" w14:textId="183C103E" w:rsidR="007E7DC6" w:rsidRPr="00785FB4" w:rsidRDefault="007E7DC6" w:rsidP="007E7DC6">
            <w:pPr>
              <w:widowControl/>
              <w:suppressAutoHyphens w:val="0"/>
              <w:spacing w:after="0" w:line="240" w:lineRule="auto"/>
              <w:jc w:val="center"/>
              <w:rPr>
                <w:rFonts w:ascii="Calibri" w:hAnsi="Calibri"/>
                <w:b/>
                <w:color w:val="000000"/>
                <w:lang w:eastAsia="nb-NO"/>
              </w:rPr>
            </w:pPr>
          </w:p>
        </w:tc>
        <w:tc>
          <w:tcPr>
            <w:tcW w:w="16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0153962"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Anis</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473C6B"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Panah</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E5AA38" w14:textId="5595FFAF" w:rsidR="007E7DC6" w:rsidRPr="00785FB4" w:rsidRDefault="007E7DC6"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ARD/</w:t>
            </w:r>
            <w:r w:rsidR="00DB56BA" w:rsidRPr="00785FB4">
              <w:rPr>
                <w:rFonts w:ascii="Calibri" w:hAnsi="Calibri"/>
                <w:i/>
                <w:color w:val="000000"/>
                <w:lang w:eastAsia="nb-NO"/>
              </w:rPr>
              <w:t>MOF</w:t>
            </w:r>
          </w:p>
        </w:tc>
        <w:tc>
          <w:tcPr>
            <w:tcW w:w="1134"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31BFD58D"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704656" w14:textId="5347C9CD"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992"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194708FE"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30B125" w14:textId="0415AEEB"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808AD1C" w14:textId="4EE420FF"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E5EEC1"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2</w:t>
            </w:r>
          </w:p>
        </w:tc>
        <w:tc>
          <w:tcPr>
            <w:tcW w:w="708" w:type="dxa"/>
            <w:tcBorders>
              <w:top w:val="single" w:sz="8" w:space="0" w:color="auto"/>
              <w:left w:val="single" w:sz="8" w:space="0" w:color="auto"/>
              <w:bottom w:val="single" w:sz="8" w:space="0" w:color="auto"/>
              <w:right w:val="single" w:sz="18" w:space="0" w:color="auto"/>
            </w:tcBorders>
            <w:shd w:val="clear" w:color="auto" w:fill="auto"/>
            <w:noWrap/>
            <w:vAlign w:val="center"/>
            <w:hideMark/>
          </w:tcPr>
          <w:p w14:paraId="030524F4" w14:textId="087ED729"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40%</w:t>
            </w:r>
          </w:p>
        </w:tc>
      </w:tr>
      <w:tr w:rsidR="007E7DC6" w:rsidRPr="00785FB4" w14:paraId="08ED16B1" w14:textId="77777777" w:rsidTr="007E7DC6">
        <w:trPr>
          <w:trHeight w:val="300"/>
        </w:trPr>
        <w:tc>
          <w:tcPr>
            <w:tcW w:w="500" w:type="dxa"/>
            <w:vMerge/>
            <w:tcBorders>
              <w:top w:val="single" w:sz="8" w:space="0" w:color="auto"/>
              <w:left w:val="single" w:sz="18" w:space="0" w:color="auto"/>
              <w:bottom w:val="single" w:sz="8" w:space="0" w:color="auto"/>
              <w:right w:val="single" w:sz="8" w:space="0" w:color="auto"/>
            </w:tcBorders>
            <w:shd w:val="clear" w:color="auto" w:fill="auto"/>
            <w:noWrap/>
            <w:textDirection w:val="btLr"/>
            <w:vAlign w:val="center"/>
            <w:hideMark/>
          </w:tcPr>
          <w:p w14:paraId="52CEC705" w14:textId="20D2B63F" w:rsidR="007E7DC6" w:rsidRPr="00785FB4" w:rsidRDefault="007E7DC6" w:rsidP="007E7DC6">
            <w:pPr>
              <w:widowControl/>
              <w:suppressAutoHyphens w:val="0"/>
              <w:spacing w:after="0" w:line="240" w:lineRule="auto"/>
              <w:jc w:val="center"/>
              <w:rPr>
                <w:rFonts w:ascii="Calibri" w:hAnsi="Calibri"/>
                <w:b/>
                <w:color w:val="000000"/>
                <w:lang w:eastAsia="nb-NO"/>
              </w:rPr>
            </w:pPr>
          </w:p>
        </w:tc>
        <w:tc>
          <w:tcPr>
            <w:tcW w:w="16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1B5F031" w14:textId="4EA66009"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CC7ECA"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Qadir</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28CFF2" w14:textId="14E9548E" w:rsidR="007E7DC6" w:rsidRPr="00785FB4" w:rsidRDefault="00DB56BA"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MOMP</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BE321C" w14:textId="5FBF083E"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9522AE" w14:textId="3EAC1D99"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604422" w14:textId="6BF83FB6"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36227470"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D9CD58" w14:textId="2DB10DBF"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A78EF2"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1</w:t>
            </w:r>
          </w:p>
        </w:tc>
        <w:tc>
          <w:tcPr>
            <w:tcW w:w="708" w:type="dxa"/>
            <w:tcBorders>
              <w:top w:val="single" w:sz="8" w:space="0" w:color="auto"/>
              <w:left w:val="single" w:sz="8" w:space="0" w:color="auto"/>
              <w:bottom w:val="single" w:sz="8" w:space="0" w:color="auto"/>
              <w:right w:val="single" w:sz="18" w:space="0" w:color="auto"/>
            </w:tcBorders>
            <w:shd w:val="clear" w:color="auto" w:fill="auto"/>
            <w:noWrap/>
            <w:vAlign w:val="center"/>
            <w:hideMark/>
          </w:tcPr>
          <w:p w14:paraId="2F23BBEC" w14:textId="1072D4BB"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20%</w:t>
            </w:r>
          </w:p>
        </w:tc>
      </w:tr>
      <w:tr w:rsidR="007E7DC6" w:rsidRPr="00785FB4" w14:paraId="1FDA746E" w14:textId="77777777" w:rsidTr="007E7DC6">
        <w:trPr>
          <w:trHeight w:val="300"/>
        </w:trPr>
        <w:tc>
          <w:tcPr>
            <w:tcW w:w="500" w:type="dxa"/>
            <w:vMerge/>
            <w:tcBorders>
              <w:top w:val="single" w:sz="8" w:space="0" w:color="auto"/>
              <w:left w:val="single" w:sz="18" w:space="0" w:color="auto"/>
              <w:bottom w:val="single" w:sz="8" w:space="0" w:color="auto"/>
              <w:right w:val="single" w:sz="8" w:space="0" w:color="auto"/>
            </w:tcBorders>
            <w:shd w:val="clear" w:color="auto" w:fill="auto"/>
            <w:noWrap/>
            <w:textDirection w:val="btLr"/>
            <w:vAlign w:val="center"/>
            <w:hideMark/>
          </w:tcPr>
          <w:p w14:paraId="0A8C427F" w14:textId="7C693020" w:rsidR="007E7DC6" w:rsidRPr="00785FB4" w:rsidRDefault="007E7DC6" w:rsidP="007E7DC6">
            <w:pPr>
              <w:widowControl/>
              <w:suppressAutoHyphens w:val="0"/>
              <w:spacing w:after="0" w:line="240" w:lineRule="auto"/>
              <w:jc w:val="center"/>
              <w:rPr>
                <w:rFonts w:ascii="Calibri" w:hAnsi="Calibri"/>
                <w:b/>
                <w:color w:val="000000"/>
                <w:lang w:eastAsia="nb-NO"/>
              </w:rPr>
            </w:pPr>
          </w:p>
        </w:tc>
        <w:tc>
          <w:tcPr>
            <w:tcW w:w="16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DFAC79"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Abdul</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CE8697C"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Salam</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B23977C" w14:textId="323D058B" w:rsidR="007E7DC6" w:rsidRPr="00785FB4" w:rsidRDefault="00DB56BA"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MOMP</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F7736ED" w14:textId="6A68305C"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831BDA" w14:textId="3A1439A0"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992"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6FD080C4"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E8C1BC" w14:textId="34F380CC"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5D1DBD" w14:textId="7CA0EB7F"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4AD0B3"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1</w:t>
            </w:r>
          </w:p>
        </w:tc>
        <w:tc>
          <w:tcPr>
            <w:tcW w:w="708" w:type="dxa"/>
            <w:tcBorders>
              <w:top w:val="single" w:sz="8" w:space="0" w:color="auto"/>
              <w:left w:val="single" w:sz="8" w:space="0" w:color="auto"/>
              <w:bottom w:val="single" w:sz="8" w:space="0" w:color="auto"/>
              <w:right w:val="single" w:sz="18" w:space="0" w:color="auto"/>
            </w:tcBorders>
            <w:shd w:val="clear" w:color="auto" w:fill="auto"/>
            <w:noWrap/>
            <w:vAlign w:val="center"/>
            <w:hideMark/>
          </w:tcPr>
          <w:p w14:paraId="7C353260" w14:textId="0C8C862E"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20%</w:t>
            </w:r>
          </w:p>
        </w:tc>
      </w:tr>
      <w:tr w:rsidR="007E7DC6" w:rsidRPr="00785FB4" w14:paraId="6772FEDA" w14:textId="77777777" w:rsidTr="007E7DC6">
        <w:trPr>
          <w:trHeight w:val="300"/>
        </w:trPr>
        <w:tc>
          <w:tcPr>
            <w:tcW w:w="500" w:type="dxa"/>
            <w:vMerge/>
            <w:tcBorders>
              <w:top w:val="single" w:sz="8" w:space="0" w:color="auto"/>
              <w:left w:val="single" w:sz="18" w:space="0" w:color="auto"/>
              <w:bottom w:val="single" w:sz="8" w:space="0" w:color="auto"/>
              <w:right w:val="single" w:sz="8" w:space="0" w:color="auto"/>
            </w:tcBorders>
            <w:shd w:val="clear" w:color="auto" w:fill="auto"/>
            <w:noWrap/>
            <w:textDirection w:val="btLr"/>
            <w:vAlign w:val="center"/>
            <w:hideMark/>
          </w:tcPr>
          <w:p w14:paraId="1AB154A3" w14:textId="44775BBA" w:rsidR="007E7DC6" w:rsidRPr="00785FB4" w:rsidRDefault="007E7DC6" w:rsidP="007E7DC6">
            <w:pPr>
              <w:widowControl/>
              <w:suppressAutoHyphens w:val="0"/>
              <w:spacing w:after="0" w:line="240" w:lineRule="auto"/>
              <w:jc w:val="center"/>
              <w:rPr>
                <w:rFonts w:ascii="Calibri" w:hAnsi="Calibri"/>
                <w:b/>
                <w:color w:val="000000"/>
                <w:lang w:eastAsia="nb-NO"/>
              </w:rPr>
            </w:pPr>
          </w:p>
        </w:tc>
        <w:tc>
          <w:tcPr>
            <w:tcW w:w="16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08BF4B"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Tariq</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9F5E11"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Sarfaraz</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E86009" w14:textId="77777777" w:rsidR="007E7DC6" w:rsidRPr="00785FB4" w:rsidRDefault="007E7DC6"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MoTCI</w:t>
            </w:r>
          </w:p>
        </w:tc>
        <w:tc>
          <w:tcPr>
            <w:tcW w:w="1134"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53B8F30A"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7950A231"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6B30A8" w14:textId="3206BA53"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1C366471"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DB7FA7F" w14:textId="4726CE21"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611C3DC"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3</w:t>
            </w:r>
          </w:p>
        </w:tc>
        <w:tc>
          <w:tcPr>
            <w:tcW w:w="708" w:type="dxa"/>
            <w:tcBorders>
              <w:top w:val="single" w:sz="8" w:space="0" w:color="auto"/>
              <w:left w:val="single" w:sz="8" w:space="0" w:color="auto"/>
              <w:bottom w:val="single" w:sz="8" w:space="0" w:color="auto"/>
              <w:right w:val="single" w:sz="18" w:space="0" w:color="auto"/>
            </w:tcBorders>
            <w:shd w:val="clear" w:color="auto" w:fill="auto"/>
            <w:noWrap/>
            <w:vAlign w:val="center"/>
            <w:hideMark/>
          </w:tcPr>
          <w:p w14:paraId="3293B427" w14:textId="5EFBB91D"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60%</w:t>
            </w:r>
          </w:p>
        </w:tc>
      </w:tr>
      <w:tr w:rsidR="007E7DC6" w:rsidRPr="00785FB4" w14:paraId="52E823E3" w14:textId="77777777" w:rsidTr="007E7DC6">
        <w:trPr>
          <w:trHeight w:val="300"/>
        </w:trPr>
        <w:tc>
          <w:tcPr>
            <w:tcW w:w="500" w:type="dxa"/>
            <w:vMerge/>
            <w:tcBorders>
              <w:top w:val="single" w:sz="8" w:space="0" w:color="auto"/>
              <w:left w:val="single" w:sz="18" w:space="0" w:color="auto"/>
              <w:bottom w:val="single" w:sz="8" w:space="0" w:color="auto"/>
              <w:right w:val="single" w:sz="8" w:space="0" w:color="auto"/>
            </w:tcBorders>
            <w:shd w:val="clear" w:color="auto" w:fill="auto"/>
            <w:noWrap/>
            <w:textDirection w:val="btLr"/>
            <w:vAlign w:val="center"/>
            <w:hideMark/>
          </w:tcPr>
          <w:p w14:paraId="41A7E45C" w14:textId="36BEA8DF" w:rsidR="007E7DC6" w:rsidRPr="00785FB4" w:rsidRDefault="007E7DC6" w:rsidP="007E7DC6">
            <w:pPr>
              <w:widowControl/>
              <w:suppressAutoHyphens w:val="0"/>
              <w:spacing w:after="0" w:line="240" w:lineRule="auto"/>
              <w:jc w:val="center"/>
              <w:rPr>
                <w:rFonts w:ascii="Calibri" w:hAnsi="Calibri"/>
                <w:b/>
                <w:color w:val="000000"/>
                <w:lang w:eastAsia="nb-NO"/>
              </w:rPr>
            </w:pPr>
          </w:p>
        </w:tc>
        <w:tc>
          <w:tcPr>
            <w:tcW w:w="16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F07E3A"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Ghulam</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276AFD"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Sediq</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401F4F" w14:textId="77F82A64" w:rsidR="007E7DC6" w:rsidRPr="00785FB4" w:rsidRDefault="00DB56BA"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MOMP</w:t>
            </w:r>
          </w:p>
        </w:tc>
        <w:tc>
          <w:tcPr>
            <w:tcW w:w="1134"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3AFE0AC4"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3EEFDEB7"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3FE056" w14:textId="4B614788"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48DEC28" w14:textId="6E02020C"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A974C1" w14:textId="5E1577CD"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F0C8C3"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2</w:t>
            </w:r>
          </w:p>
        </w:tc>
        <w:tc>
          <w:tcPr>
            <w:tcW w:w="708" w:type="dxa"/>
            <w:tcBorders>
              <w:top w:val="single" w:sz="8" w:space="0" w:color="auto"/>
              <w:left w:val="single" w:sz="8" w:space="0" w:color="auto"/>
              <w:bottom w:val="single" w:sz="8" w:space="0" w:color="auto"/>
              <w:right w:val="single" w:sz="18" w:space="0" w:color="auto"/>
            </w:tcBorders>
            <w:shd w:val="clear" w:color="auto" w:fill="auto"/>
            <w:noWrap/>
            <w:vAlign w:val="center"/>
            <w:hideMark/>
          </w:tcPr>
          <w:p w14:paraId="4E52A09A" w14:textId="282E1A50"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40%</w:t>
            </w:r>
          </w:p>
        </w:tc>
      </w:tr>
      <w:tr w:rsidR="007E7DC6" w:rsidRPr="00785FB4" w14:paraId="37CAE325" w14:textId="77777777" w:rsidTr="007E7DC6">
        <w:trPr>
          <w:trHeight w:val="300"/>
        </w:trPr>
        <w:tc>
          <w:tcPr>
            <w:tcW w:w="500" w:type="dxa"/>
            <w:vMerge/>
            <w:tcBorders>
              <w:top w:val="single" w:sz="8" w:space="0" w:color="auto"/>
              <w:left w:val="single" w:sz="18" w:space="0" w:color="auto"/>
              <w:bottom w:val="single" w:sz="8" w:space="0" w:color="auto"/>
              <w:right w:val="single" w:sz="8" w:space="0" w:color="auto"/>
            </w:tcBorders>
            <w:shd w:val="clear" w:color="auto" w:fill="auto"/>
            <w:noWrap/>
            <w:textDirection w:val="btLr"/>
            <w:vAlign w:val="center"/>
            <w:hideMark/>
          </w:tcPr>
          <w:p w14:paraId="2EB5A38B" w14:textId="78A1CD9C" w:rsidR="007E7DC6" w:rsidRPr="00785FB4" w:rsidRDefault="007E7DC6" w:rsidP="007E7DC6">
            <w:pPr>
              <w:widowControl/>
              <w:suppressAutoHyphens w:val="0"/>
              <w:spacing w:after="0" w:line="240" w:lineRule="auto"/>
              <w:jc w:val="center"/>
              <w:rPr>
                <w:rFonts w:ascii="Calibri" w:hAnsi="Calibri"/>
                <w:b/>
                <w:color w:val="000000"/>
                <w:lang w:eastAsia="nb-NO"/>
              </w:rPr>
            </w:pPr>
          </w:p>
        </w:tc>
        <w:tc>
          <w:tcPr>
            <w:tcW w:w="16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4FCA71"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Naheed</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15F457"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Sohrabi</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64B9CA6" w14:textId="7FB57D54" w:rsidR="007E7DC6" w:rsidRPr="00785FB4" w:rsidRDefault="00DB56BA"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MOF</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C56D7C" w14:textId="7259C737"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7A061E70"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CA9A35" w14:textId="793C7865"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8AD646" w14:textId="1FE3BECB"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4AE7EF" w14:textId="7F1B2E36"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B0B7FC"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1</w:t>
            </w:r>
          </w:p>
        </w:tc>
        <w:tc>
          <w:tcPr>
            <w:tcW w:w="708" w:type="dxa"/>
            <w:tcBorders>
              <w:top w:val="single" w:sz="8" w:space="0" w:color="auto"/>
              <w:left w:val="single" w:sz="8" w:space="0" w:color="auto"/>
              <w:bottom w:val="single" w:sz="8" w:space="0" w:color="auto"/>
              <w:right w:val="single" w:sz="18" w:space="0" w:color="auto"/>
            </w:tcBorders>
            <w:shd w:val="clear" w:color="auto" w:fill="auto"/>
            <w:noWrap/>
            <w:vAlign w:val="center"/>
            <w:hideMark/>
          </w:tcPr>
          <w:p w14:paraId="658EF145" w14:textId="0FB8C616"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20%</w:t>
            </w:r>
          </w:p>
        </w:tc>
      </w:tr>
      <w:tr w:rsidR="007E7DC6" w:rsidRPr="00785FB4" w14:paraId="4A0144EF" w14:textId="77777777" w:rsidTr="007E7DC6">
        <w:trPr>
          <w:trHeight w:val="300"/>
        </w:trPr>
        <w:tc>
          <w:tcPr>
            <w:tcW w:w="500" w:type="dxa"/>
            <w:vMerge/>
            <w:tcBorders>
              <w:top w:val="single" w:sz="8" w:space="0" w:color="auto"/>
              <w:left w:val="single" w:sz="18" w:space="0" w:color="auto"/>
              <w:bottom w:val="single" w:sz="8" w:space="0" w:color="auto"/>
              <w:right w:val="single" w:sz="8" w:space="0" w:color="auto"/>
            </w:tcBorders>
            <w:shd w:val="clear" w:color="auto" w:fill="auto"/>
            <w:noWrap/>
            <w:textDirection w:val="btLr"/>
            <w:vAlign w:val="center"/>
            <w:hideMark/>
          </w:tcPr>
          <w:p w14:paraId="7D78DEAD" w14:textId="50C8BDDC" w:rsidR="007E7DC6" w:rsidRPr="00785FB4" w:rsidRDefault="007E7DC6" w:rsidP="007E7DC6">
            <w:pPr>
              <w:widowControl/>
              <w:suppressAutoHyphens w:val="0"/>
              <w:spacing w:after="0" w:line="240" w:lineRule="auto"/>
              <w:jc w:val="center"/>
              <w:rPr>
                <w:rFonts w:ascii="Calibri" w:hAnsi="Calibri"/>
                <w:b/>
                <w:color w:val="000000"/>
                <w:lang w:eastAsia="nb-NO"/>
              </w:rPr>
            </w:pPr>
          </w:p>
        </w:tc>
        <w:tc>
          <w:tcPr>
            <w:tcW w:w="16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0383B1"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Wahidullah</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DFE60F"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Wahdat</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898F3D" w14:textId="0C6DE13D" w:rsidR="007E7DC6" w:rsidRPr="00785FB4" w:rsidRDefault="00DB56BA"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MOF</w:t>
            </w:r>
          </w:p>
        </w:tc>
        <w:tc>
          <w:tcPr>
            <w:tcW w:w="1134"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4E48DD11"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55C112" w14:textId="40287EA8"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DCBEF5" w14:textId="6C8FD5C9"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969AAB" w14:textId="6509694B"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B8478C" w14:textId="35194407"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9D8CE3"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1</w:t>
            </w:r>
          </w:p>
        </w:tc>
        <w:tc>
          <w:tcPr>
            <w:tcW w:w="708" w:type="dxa"/>
            <w:tcBorders>
              <w:top w:val="single" w:sz="8" w:space="0" w:color="auto"/>
              <w:left w:val="single" w:sz="8" w:space="0" w:color="auto"/>
              <w:bottom w:val="single" w:sz="8" w:space="0" w:color="auto"/>
              <w:right w:val="single" w:sz="18" w:space="0" w:color="auto"/>
            </w:tcBorders>
            <w:shd w:val="clear" w:color="auto" w:fill="auto"/>
            <w:noWrap/>
            <w:vAlign w:val="center"/>
            <w:hideMark/>
          </w:tcPr>
          <w:p w14:paraId="6632E828" w14:textId="718DF369"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20%</w:t>
            </w:r>
          </w:p>
        </w:tc>
      </w:tr>
      <w:tr w:rsidR="007E7DC6" w:rsidRPr="00785FB4" w14:paraId="56D9D067" w14:textId="77777777" w:rsidTr="007E7DC6">
        <w:trPr>
          <w:trHeight w:val="300"/>
        </w:trPr>
        <w:tc>
          <w:tcPr>
            <w:tcW w:w="500" w:type="dxa"/>
            <w:vMerge/>
            <w:tcBorders>
              <w:top w:val="single" w:sz="8" w:space="0" w:color="auto"/>
              <w:left w:val="single" w:sz="18" w:space="0" w:color="auto"/>
              <w:bottom w:val="single" w:sz="8" w:space="0" w:color="auto"/>
              <w:right w:val="single" w:sz="8" w:space="0" w:color="auto"/>
            </w:tcBorders>
            <w:shd w:val="clear" w:color="auto" w:fill="auto"/>
            <w:noWrap/>
            <w:textDirection w:val="btLr"/>
            <w:vAlign w:val="center"/>
            <w:hideMark/>
          </w:tcPr>
          <w:p w14:paraId="2DBE6F13" w14:textId="25539BF5" w:rsidR="007E7DC6" w:rsidRPr="00785FB4" w:rsidRDefault="007E7DC6" w:rsidP="007E7DC6">
            <w:pPr>
              <w:widowControl/>
              <w:suppressAutoHyphens w:val="0"/>
              <w:spacing w:after="0" w:line="240" w:lineRule="auto"/>
              <w:jc w:val="center"/>
              <w:rPr>
                <w:rFonts w:ascii="Calibri" w:hAnsi="Calibri"/>
                <w:b/>
                <w:color w:val="000000"/>
                <w:lang w:eastAsia="nb-NO"/>
              </w:rPr>
            </w:pPr>
          </w:p>
        </w:tc>
        <w:tc>
          <w:tcPr>
            <w:tcW w:w="16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DB7F51B"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Zia</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42F869"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Warsej</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408154" w14:textId="0907A624" w:rsidR="007E7DC6" w:rsidRPr="00785FB4" w:rsidRDefault="00DB56BA"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MOMP</w:t>
            </w:r>
          </w:p>
        </w:tc>
        <w:tc>
          <w:tcPr>
            <w:tcW w:w="1134"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56AE3B4C"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25ACE5" w14:textId="1392D090"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66C8AC" w14:textId="0257CD87"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2D5583" w14:textId="7D7463C5"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9365311" w14:textId="75247174"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41D69CD"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1</w:t>
            </w:r>
          </w:p>
        </w:tc>
        <w:tc>
          <w:tcPr>
            <w:tcW w:w="708" w:type="dxa"/>
            <w:tcBorders>
              <w:top w:val="single" w:sz="8" w:space="0" w:color="auto"/>
              <w:left w:val="single" w:sz="8" w:space="0" w:color="auto"/>
              <w:bottom w:val="single" w:sz="8" w:space="0" w:color="auto"/>
              <w:right w:val="single" w:sz="18" w:space="0" w:color="auto"/>
            </w:tcBorders>
            <w:shd w:val="clear" w:color="auto" w:fill="auto"/>
            <w:noWrap/>
            <w:vAlign w:val="center"/>
            <w:hideMark/>
          </w:tcPr>
          <w:p w14:paraId="1770A0E9" w14:textId="5E9BCD20"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20%</w:t>
            </w:r>
          </w:p>
        </w:tc>
      </w:tr>
      <w:tr w:rsidR="007E7DC6" w:rsidRPr="00785FB4" w14:paraId="5E8C04D0" w14:textId="77777777" w:rsidTr="007E7DC6">
        <w:trPr>
          <w:trHeight w:val="300"/>
        </w:trPr>
        <w:tc>
          <w:tcPr>
            <w:tcW w:w="500" w:type="dxa"/>
            <w:vMerge/>
            <w:tcBorders>
              <w:top w:val="single" w:sz="8" w:space="0" w:color="auto"/>
              <w:left w:val="single" w:sz="18" w:space="0" w:color="auto"/>
              <w:bottom w:val="single" w:sz="8" w:space="0" w:color="auto"/>
              <w:right w:val="single" w:sz="8" w:space="0" w:color="auto"/>
            </w:tcBorders>
            <w:shd w:val="clear" w:color="auto" w:fill="auto"/>
            <w:noWrap/>
            <w:textDirection w:val="btLr"/>
            <w:vAlign w:val="center"/>
            <w:hideMark/>
          </w:tcPr>
          <w:p w14:paraId="7D1CDD60" w14:textId="12216DD9" w:rsidR="007E7DC6" w:rsidRPr="00785FB4" w:rsidRDefault="007E7DC6" w:rsidP="007E7DC6">
            <w:pPr>
              <w:widowControl/>
              <w:suppressAutoHyphens w:val="0"/>
              <w:spacing w:after="0" w:line="240" w:lineRule="auto"/>
              <w:jc w:val="center"/>
              <w:rPr>
                <w:rFonts w:ascii="Calibri" w:hAnsi="Calibri"/>
                <w:b/>
                <w:color w:val="000000"/>
                <w:lang w:eastAsia="nb-NO"/>
              </w:rPr>
            </w:pPr>
          </w:p>
        </w:tc>
        <w:tc>
          <w:tcPr>
            <w:tcW w:w="16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65A389"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Mohammad</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3F9BC1"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Zamir</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4724EA" w14:textId="20FC4BD7" w:rsidR="007E7DC6" w:rsidRPr="00785FB4" w:rsidRDefault="00DB56BA"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MOMP</w:t>
            </w:r>
          </w:p>
        </w:tc>
        <w:tc>
          <w:tcPr>
            <w:tcW w:w="1134"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345FEAC4"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EBE3F29" w14:textId="277FD74E"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89FF8E" w14:textId="6E738B06"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1DC780" w14:textId="61A94E27"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7B35F8" w14:textId="37281A71"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ED234F9"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1</w:t>
            </w:r>
          </w:p>
        </w:tc>
        <w:tc>
          <w:tcPr>
            <w:tcW w:w="708" w:type="dxa"/>
            <w:tcBorders>
              <w:top w:val="single" w:sz="8" w:space="0" w:color="auto"/>
              <w:left w:val="single" w:sz="8" w:space="0" w:color="auto"/>
              <w:bottom w:val="single" w:sz="8" w:space="0" w:color="auto"/>
              <w:right w:val="single" w:sz="18" w:space="0" w:color="auto"/>
            </w:tcBorders>
            <w:shd w:val="clear" w:color="auto" w:fill="auto"/>
            <w:noWrap/>
            <w:vAlign w:val="center"/>
            <w:hideMark/>
          </w:tcPr>
          <w:p w14:paraId="4147120B" w14:textId="4E87E7C7"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20%</w:t>
            </w:r>
          </w:p>
        </w:tc>
      </w:tr>
      <w:tr w:rsidR="007E7DC6" w:rsidRPr="00785FB4" w14:paraId="3E1430A5" w14:textId="77777777" w:rsidTr="007E7DC6">
        <w:trPr>
          <w:trHeight w:val="315"/>
        </w:trPr>
        <w:tc>
          <w:tcPr>
            <w:tcW w:w="500" w:type="dxa"/>
            <w:vMerge/>
            <w:tcBorders>
              <w:top w:val="single" w:sz="8" w:space="0" w:color="auto"/>
              <w:left w:val="single" w:sz="18" w:space="0" w:color="auto"/>
              <w:bottom w:val="single" w:sz="8" w:space="0" w:color="auto"/>
              <w:right w:val="single" w:sz="8" w:space="0" w:color="auto"/>
            </w:tcBorders>
            <w:shd w:val="clear" w:color="auto" w:fill="auto"/>
            <w:noWrap/>
            <w:textDirection w:val="btLr"/>
            <w:vAlign w:val="center"/>
            <w:hideMark/>
          </w:tcPr>
          <w:p w14:paraId="3CA19114" w14:textId="188B2696" w:rsidR="007E7DC6" w:rsidRPr="00785FB4" w:rsidRDefault="007E7DC6" w:rsidP="007E7DC6">
            <w:pPr>
              <w:widowControl/>
              <w:suppressAutoHyphens w:val="0"/>
              <w:spacing w:after="0" w:line="240" w:lineRule="auto"/>
              <w:jc w:val="center"/>
              <w:rPr>
                <w:rFonts w:ascii="Calibri" w:hAnsi="Calibri"/>
                <w:b/>
                <w:color w:val="000000"/>
                <w:lang w:eastAsia="nb-NO"/>
              </w:rPr>
            </w:pPr>
          </w:p>
        </w:tc>
        <w:tc>
          <w:tcPr>
            <w:tcW w:w="16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478D3A"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Saboor</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019F31"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Kamran</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24512B0" w14:textId="77777777" w:rsidR="007E7DC6" w:rsidRPr="00785FB4" w:rsidRDefault="007E7DC6"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ARD</w:t>
            </w:r>
          </w:p>
        </w:tc>
        <w:tc>
          <w:tcPr>
            <w:tcW w:w="1134"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4EEAB564"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3D93CC" w14:textId="2D54118C"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E5BC41C" w14:textId="0D320586"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7F5F8F" w14:textId="530A9B1A"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81AE52" w14:textId="58ED21D7"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092A34"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1</w:t>
            </w:r>
          </w:p>
        </w:tc>
        <w:tc>
          <w:tcPr>
            <w:tcW w:w="708" w:type="dxa"/>
            <w:tcBorders>
              <w:top w:val="single" w:sz="8" w:space="0" w:color="auto"/>
              <w:left w:val="single" w:sz="8" w:space="0" w:color="auto"/>
              <w:bottom w:val="single" w:sz="8" w:space="0" w:color="auto"/>
              <w:right w:val="single" w:sz="18" w:space="0" w:color="auto"/>
            </w:tcBorders>
            <w:shd w:val="clear" w:color="auto" w:fill="auto"/>
            <w:noWrap/>
            <w:vAlign w:val="center"/>
            <w:hideMark/>
          </w:tcPr>
          <w:p w14:paraId="1AA4C487" w14:textId="461270F0"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20%</w:t>
            </w:r>
          </w:p>
        </w:tc>
      </w:tr>
      <w:tr w:rsidR="007E7DC6" w:rsidRPr="00785FB4" w14:paraId="17786508" w14:textId="77777777" w:rsidTr="007E7DC6">
        <w:trPr>
          <w:trHeight w:val="315"/>
        </w:trPr>
        <w:tc>
          <w:tcPr>
            <w:tcW w:w="500" w:type="dxa"/>
            <w:vMerge/>
            <w:tcBorders>
              <w:top w:val="single" w:sz="8" w:space="0" w:color="auto"/>
              <w:left w:val="single" w:sz="18" w:space="0" w:color="auto"/>
              <w:bottom w:val="single" w:sz="18" w:space="0" w:color="auto"/>
              <w:right w:val="single" w:sz="8" w:space="0" w:color="auto"/>
            </w:tcBorders>
            <w:shd w:val="clear" w:color="auto" w:fill="auto"/>
            <w:noWrap/>
            <w:textDirection w:val="btLr"/>
            <w:vAlign w:val="center"/>
            <w:hideMark/>
          </w:tcPr>
          <w:p w14:paraId="279AF19D" w14:textId="1C381671" w:rsidR="007E7DC6" w:rsidRPr="00785FB4" w:rsidRDefault="007E7DC6" w:rsidP="007E7DC6">
            <w:pPr>
              <w:widowControl/>
              <w:suppressAutoHyphens w:val="0"/>
              <w:spacing w:after="0" w:line="240" w:lineRule="auto"/>
              <w:jc w:val="center"/>
              <w:rPr>
                <w:rFonts w:ascii="Calibri" w:hAnsi="Calibri"/>
                <w:b/>
                <w:color w:val="000000"/>
                <w:lang w:eastAsia="nb-NO"/>
              </w:rPr>
            </w:pPr>
          </w:p>
        </w:tc>
        <w:tc>
          <w:tcPr>
            <w:tcW w:w="1617" w:type="dxa"/>
            <w:tcBorders>
              <w:top w:val="single" w:sz="8" w:space="0" w:color="auto"/>
              <w:left w:val="single" w:sz="8" w:space="0" w:color="auto"/>
              <w:bottom w:val="single" w:sz="18" w:space="0" w:color="auto"/>
              <w:right w:val="single" w:sz="8" w:space="0" w:color="auto"/>
            </w:tcBorders>
            <w:shd w:val="clear" w:color="auto" w:fill="auto"/>
            <w:noWrap/>
            <w:vAlign w:val="center"/>
            <w:hideMark/>
          </w:tcPr>
          <w:p w14:paraId="7E33D0B9" w14:textId="77777777" w:rsidR="007E7DC6" w:rsidRPr="00785FB4" w:rsidRDefault="007E7DC6" w:rsidP="007E7DC6">
            <w:pPr>
              <w:widowControl/>
              <w:suppressAutoHyphens w:val="0"/>
              <w:spacing w:after="0" w:line="240" w:lineRule="auto"/>
              <w:jc w:val="center"/>
              <w:rPr>
                <w:rFonts w:ascii="Calibri" w:hAnsi="Calibri"/>
                <w:b/>
                <w:color w:val="000000"/>
                <w:lang w:eastAsia="nb-NO"/>
              </w:rPr>
            </w:pPr>
          </w:p>
        </w:tc>
        <w:tc>
          <w:tcPr>
            <w:tcW w:w="1701" w:type="dxa"/>
            <w:tcBorders>
              <w:top w:val="single" w:sz="8" w:space="0" w:color="auto"/>
              <w:left w:val="single" w:sz="8" w:space="0" w:color="auto"/>
              <w:bottom w:val="single" w:sz="18" w:space="0" w:color="auto"/>
              <w:right w:val="single" w:sz="8" w:space="0" w:color="auto"/>
            </w:tcBorders>
            <w:shd w:val="clear" w:color="auto" w:fill="auto"/>
            <w:noWrap/>
            <w:vAlign w:val="center"/>
            <w:hideMark/>
          </w:tcPr>
          <w:p w14:paraId="24DB4E5B" w14:textId="77777777" w:rsidR="007E7DC6" w:rsidRPr="00785FB4" w:rsidRDefault="007E7DC6" w:rsidP="007E7DC6">
            <w:pPr>
              <w:widowControl/>
              <w:suppressAutoHyphens w:val="0"/>
              <w:spacing w:after="0" w:line="240" w:lineRule="auto"/>
              <w:jc w:val="center"/>
              <w:rPr>
                <w:rFonts w:ascii="Times New Roman" w:hAnsi="Times New Roman" w:cs="Times New Roman"/>
                <w:sz w:val="20"/>
                <w:szCs w:val="20"/>
                <w:lang w:eastAsia="nb-NO"/>
              </w:rPr>
            </w:pPr>
          </w:p>
        </w:tc>
        <w:tc>
          <w:tcPr>
            <w:tcW w:w="1559" w:type="dxa"/>
            <w:tcBorders>
              <w:top w:val="single" w:sz="8" w:space="0" w:color="auto"/>
              <w:left w:val="single" w:sz="8" w:space="0" w:color="auto"/>
              <w:bottom w:val="single" w:sz="18" w:space="0" w:color="auto"/>
              <w:right w:val="single" w:sz="8" w:space="0" w:color="auto"/>
            </w:tcBorders>
            <w:shd w:val="clear" w:color="auto" w:fill="auto"/>
            <w:noWrap/>
            <w:vAlign w:val="center"/>
            <w:hideMark/>
          </w:tcPr>
          <w:p w14:paraId="0C59CA5C" w14:textId="77777777" w:rsidR="007E7DC6" w:rsidRPr="00785FB4" w:rsidRDefault="007E7DC6" w:rsidP="007E7DC6">
            <w:pPr>
              <w:widowControl/>
              <w:suppressAutoHyphens w:val="0"/>
              <w:spacing w:after="0" w:line="240" w:lineRule="auto"/>
              <w:jc w:val="center"/>
              <w:rPr>
                <w:rFonts w:ascii="Times New Roman" w:hAnsi="Times New Roman" w:cs="Times New Roman"/>
                <w:sz w:val="20"/>
                <w:szCs w:val="20"/>
                <w:lang w:eastAsia="nb-NO"/>
              </w:rPr>
            </w:pPr>
          </w:p>
        </w:tc>
        <w:tc>
          <w:tcPr>
            <w:tcW w:w="1134" w:type="dxa"/>
            <w:tcBorders>
              <w:top w:val="single" w:sz="8" w:space="0" w:color="auto"/>
              <w:left w:val="single" w:sz="8" w:space="0" w:color="auto"/>
              <w:bottom w:val="single" w:sz="18" w:space="0" w:color="auto"/>
              <w:right w:val="single" w:sz="8" w:space="0" w:color="auto"/>
            </w:tcBorders>
            <w:shd w:val="clear" w:color="auto" w:fill="auto"/>
            <w:noWrap/>
            <w:vAlign w:val="center"/>
            <w:hideMark/>
          </w:tcPr>
          <w:p w14:paraId="6BB4E1F8" w14:textId="77777777" w:rsidR="007E7DC6" w:rsidRPr="00785FB4" w:rsidRDefault="007E7DC6" w:rsidP="007E7DC6">
            <w:pPr>
              <w:widowControl/>
              <w:suppressAutoHyphens w:val="0"/>
              <w:spacing w:after="0" w:line="240" w:lineRule="auto"/>
              <w:jc w:val="center"/>
              <w:rPr>
                <w:rFonts w:ascii="Times New Roman" w:hAnsi="Times New Roman" w:cs="Times New Roman"/>
                <w:sz w:val="20"/>
                <w:szCs w:val="20"/>
                <w:lang w:eastAsia="nb-NO"/>
              </w:rPr>
            </w:pPr>
          </w:p>
        </w:tc>
        <w:tc>
          <w:tcPr>
            <w:tcW w:w="1134" w:type="dxa"/>
            <w:tcBorders>
              <w:top w:val="single" w:sz="8" w:space="0" w:color="auto"/>
              <w:left w:val="single" w:sz="8" w:space="0" w:color="auto"/>
              <w:bottom w:val="single" w:sz="18" w:space="0" w:color="auto"/>
              <w:right w:val="single" w:sz="8" w:space="0" w:color="auto"/>
            </w:tcBorders>
            <w:shd w:val="clear" w:color="auto" w:fill="auto"/>
            <w:noWrap/>
            <w:vAlign w:val="center"/>
            <w:hideMark/>
          </w:tcPr>
          <w:p w14:paraId="154DC9ED" w14:textId="77777777" w:rsidR="007E7DC6" w:rsidRPr="00785FB4" w:rsidRDefault="007E7DC6" w:rsidP="007E7DC6">
            <w:pPr>
              <w:widowControl/>
              <w:suppressAutoHyphens w:val="0"/>
              <w:spacing w:after="0" w:line="240" w:lineRule="auto"/>
              <w:jc w:val="center"/>
              <w:rPr>
                <w:rFonts w:ascii="Times New Roman" w:hAnsi="Times New Roman" w:cs="Times New Roman"/>
                <w:sz w:val="20"/>
                <w:szCs w:val="20"/>
                <w:lang w:eastAsia="nb-NO"/>
              </w:rPr>
            </w:pPr>
          </w:p>
        </w:tc>
        <w:tc>
          <w:tcPr>
            <w:tcW w:w="992" w:type="dxa"/>
            <w:tcBorders>
              <w:top w:val="single" w:sz="8" w:space="0" w:color="auto"/>
              <w:left w:val="single" w:sz="8" w:space="0" w:color="auto"/>
              <w:bottom w:val="single" w:sz="18" w:space="0" w:color="auto"/>
              <w:right w:val="single" w:sz="8" w:space="0" w:color="auto"/>
            </w:tcBorders>
            <w:shd w:val="clear" w:color="auto" w:fill="auto"/>
            <w:noWrap/>
            <w:vAlign w:val="center"/>
            <w:hideMark/>
          </w:tcPr>
          <w:p w14:paraId="6448530D" w14:textId="77777777" w:rsidR="007E7DC6" w:rsidRPr="00785FB4" w:rsidRDefault="007E7DC6" w:rsidP="007E7DC6">
            <w:pPr>
              <w:widowControl/>
              <w:suppressAutoHyphens w:val="0"/>
              <w:spacing w:after="0" w:line="240" w:lineRule="auto"/>
              <w:jc w:val="center"/>
              <w:rPr>
                <w:rFonts w:ascii="Times New Roman" w:hAnsi="Times New Roman" w:cs="Times New Roman"/>
                <w:sz w:val="20"/>
                <w:szCs w:val="20"/>
                <w:lang w:eastAsia="nb-NO"/>
              </w:rPr>
            </w:pPr>
          </w:p>
        </w:tc>
        <w:tc>
          <w:tcPr>
            <w:tcW w:w="1134" w:type="dxa"/>
            <w:tcBorders>
              <w:top w:val="single" w:sz="8" w:space="0" w:color="auto"/>
              <w:left w:val="single" w:sz="8" w:space="0" w:color="auto"/>
              <w:bottom w:val="single" w:sz="18" w:space="0" w:color="auto"/>
              <w:right w:val="single" w:sz="8" w:space="0" w:color="auto"/>
            </w:tcBorders>
            <w:shd w:val="clear" w:color="auto" w:fill="auto"/>
            <w:noWrap/>
            <w:vAlign w:val="center"/>
            <w:hideMark/>
          </w:tcPr>
          <w:p w14:paraId="45A6FE47" w14:textId="77777777" w:rsidR="007E7DC6" w:rsidRPr="00785FB4" w:rsidRDefault="007E7DC6" w:rsidP="007E7DC6">
            <w:pPr>
              <w:widowControl/>
              <w:suppressAutoHyphens w:val="0"/>
              <w:spacing w:after="0" w:line="240" w:lineRule="auto"/>
              <w:jc w:val="center"/>
              <w:rPr>
                <w:rFonts w:ascii="Times New Roman" w:hAnsi="Times New Roman" w:cs="Times New Roman"/>
                <w:sz w:val="20"/>
                <w:szCs w:val="20"/>
                <w:lang w:eastAsia="nb-NO"/>
              </w:rPr>
            </w:pPr>
          </w:p>
        </w:tc>
        <w:tc>
          <w:tcPr>
            <w:tcW w:w="1418" w:type="dxa"/>
            <w:tcBorders>
              <w:top w:val="single" w:sz="8" w:space="0" w:color="auto"/>
              <w:left w:val="single" w:sz="8" w:space="0" w:color="auto"/>
              <w:bottom w:val="single" w:sz="18" w:space="0" w:color="auto"/>
              <w:right w:val="single" w:sz="8" w:space="0" w:color="auto"/>
            </w:tcBorders>
            <w:shd w:val="clear" w:color="auto" w:fill="auto"/>
            <w:noWrap/>
            <w:vAlign w:val="center"/>
            <w:hideMark/>
          </w:tcPr>
          <w:p w14:paraId="3275BA7E" w14:textId="4EB12852" w:rsidR="007E7DC6" w:rsidRPr="00785FB4" w:rsidRDefault="007E7DC6" w:rsidP="007E7DC6">
            <w:pPr>
              <w:widowControl/>
              <w:suppressAutoHyphens w:val="0"/>
              <w:spacing w:after="0" w:line="240" w:lineRule="auto"/>
              <w:jc w:val="center"/>
              <w:rPr>
                <w:rFonts w:ascii="Times New Roman" w:hAnsi="Times New Roman" w:cs="Times New Roman"/>
                <w:sz w:val="20"/>
                <w:szCs w:val="20"/>
                <w:lang w:eastAsia="nb-NO"/>
              </w:rPr>
            </w:pPr>
            <w:r w:rsidRPr="00785FB4">
              <w:rPr>
                <w:rFonts w:ascii="Calibri" w:hAnsi="Calibri"/>
                <w:b/>
                <w:color w:val="000000"/>
                <w:lang w:eastAsia="nb-NO"/>
              </w:rPr>
              <w:t>Average</w:t>
            </w:r>
          </w:p>
        </w:tc>
        <w:tc>
          <w:tcPr>
            <w:tcW w:w="1134" w:type="dxa"/>
            <w:tcBorders>
              <w:top w:val="single" w:sz="8" w:space="0" w:color="auto"/>
              <w:left w:val="single" w:sz="8" w:space="0" w:color="auto"/>
              <w:bottom w:val="single" w:sz="18" w:space="0" w:color="auto"/>
              <w:right w:val="single" w:sz="8" w:space="0" w:color="auto"/>
            </w:tcBorders>
            <w:shd w:val="clear" w:color="auto" w:fill="auto"/>
            <w:noWrap/>
            <w:vAlign w:val="center"/>
            <w:hideMark/>
          </w:tcPr>
          <w:p w14:paraId="69803F4D" w14:textId="7788E6BD"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color w:val="000000"/>
                <w:lang w:eastAsia="nb-NO"/>
              </w:rPr>
              <w:t>1.4</w:t>
            </w:r>
          </w:p>
        </w:tc>
        <w:tc>
          <w:tcPr>
            <w:tcW w:w="708" w:type="dxa"/>
            <w:tcBorders>
              <w:top w:val="single" w:sz="8" w:space="0" w:color="auto"/>
              <w:left w:val="single" w:sz="8" w:space="0" w:color="auto"/>
              <w:bottom w:val="single" w:sz="18" w:space="0" w:color="auto"/>
              <w:right w:val="single" w:sz="18" w:space="0" w:color="auto"/>
            </w:tcBorders>
            <w:shd w:val="clear" w:color="auto" w:fill="auto"/>
            <w:noWrap/>
            <w:vAlign w:val="center"/>
            <w:hideMark/>
          </w:tcPr>
          <w:p w14:paraId="78094A68" w14:textId="66C19849"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28%</w:t>
            </w:r>
          </w:p>
        </w:tc>
      </w:tr>
      <w:tr w:rsidR="007E7DC6" w:rsidRPr="00785FB4" w14:paraId="01DB1F60" w14:textId="77777777" w:rsidTr="00373B54">
        <w:trPr>
          <w:trHeight w:val="300"/>
        </w:trPr>
        <w:tc>
          <w:tcPr>
            <w:tcW w:w="500" w:type="dxa"/>
            <w:vMerge w:val="restart"/>
            <w:tcBorders>
              <w:top w:val="single" w:sz="18" w:space="0" w:color="auto"/>
              <w:left w:val="single" w:sz="18" w:space="0" w:color="auto"/>
              <w:right w:val="single" w:sz="8" w:space="0" w:color="auto"/>
            </w:tcBorders>
            <w:shd w:val="clear" w:color="auto" w:fill="auto"/>
            <w:noWrap/>
            <w:textDirection w:val="btLr"/>
            <w:vAlign w:val="center"/>
            <w:hideMark/>
          </w:tcPr>
          <w:p w14:paraId="00C89118" w14:textId="28ACDF2C"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color w:val="000000"/>
                <w:lang w:eastAsia="nb-NO"/>
              </w:rPr>
              <w:t>Industry</w:t>
            </w:r>
          </w:p>
        </w:tc>
        <w:tc>
          <w:tcPr>
            <w:tcW w:w="1617" w:type="dxa"/>
            <w:tcBorders>
              <w:top w:val="single" w:sz="18" w:space="0" w:color="auto"/>
              <w:left w:val="single" w:sz="8" w:space="0" w:color="auto"/>
              <w:bottom w:val="single" w:sz="8" w:space="0" w:color="auto"/>
              <w:right w:val="single" w:sz="8" w:space="0" w:color="auto"/>
            </w:tcBorders>
            <w:shd w:val="clear" w:color="auto" w:fill="auto"/>
            <w:noWrap/>
            <w:vAlign w:val="center"/>
            <w:hideMark/>
          </w:tcPr>
          <w:p w14:paraId="2972E723"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Bashir</w:t>
            </w:r>
          </w:p>
        </w:tc>
        <w:tc>
          <w:tcPr>
            <w:tcW w:w="1701" w:type="dxa"/>
            <w:tcBorders>
              <w:top w:val="single" w:sz="18" w:space="0" w:color="auto"/>
              <w:left w:val="single" w:sz="8" w:space="0" w:color="auto"/>
              <w:bottom w:val="single" w:sz="8" w:space="0" w:color="auto"/>
              <w:right w:val="single" w:sz="8" w:space="0" w:color="auto"/>
            </w:tcBorders>
            <w:shd w:val="clear" w:color="auto" w:fill="auto"/>
            <w:noWrap/>
            <w:vAlign w:val="center"/>
            <w:hideMark/>
          </w:tcPr>
          <w:p w14:paraId="381A0401"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Andesha</w:t>
            </w:r>
          </w:p>
        </w:tc>
        <w:tc>
          <w:tcPr>
            <w:tcW w:w="1559" w:type="dxa"/>
            <w:tcBorders>
              <w:top w:val="single" w:sz="18" w:space="0" w:color="auto"/>
              <w:left w:val="single" w:sz="8" w:space="0" w:color="auto"/>
              <w:bottom w:val="single" w:sz="8" w:space="0" w:color="auto"/>
              <w:right w:val="single" w:sz="8" w:space="0" w:color="auto"/>
            </w:tcBorders>
            <w:shd w:val="clear" w:color="auto" w:fill="auto"/>
            <w:noWrap/>
            <w:vAlign w:val="center"/>
            <w:hideMark/>
          </w:tcPr>
          <w:p w14:paraId="59187AFB" w14:textId="77777777" w:rsidR="007E7DC6" w:rsidRPr="00785FB4" w:rsidRDefault="007E7DC6"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Khoshak Brothers</w:t>
            </w:r>
          </w:p>
        </w:tc>
        <w:tc>
          <w:tcPr>
            <w:tcW w:w="1134" w:type="dxa"/>
            <w:tcBorders>
              <w:top w:val="single" w:sz="18" w:space="0" w:color="auto"/>
              <w:left w:val="single" w:sz="8" w:space="0" w:color="auto"/>
              <w:bottom w:val="single" w:sz="8" w:space="0" w:color="auto"/>
              <w:right w:val="single" w:sz="8" w:space="0" w:color="auto"/>
            </w:tcBorders>
            <w:shd w:val="clear" w:color="auto" w:fill="auto"/>
            <w:noWrap/>
            <w:vAlign w:val="center"/>
            <w:hideMark/>
          </w:tcPr>
          <w:p w14:paraId="1B32E4D3" w14:textId="2EC19EA8"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18" w:space="0" w:color="auto"/>
              <w:left w:val="single" w:sz="8" w:space="0" w:color="auto"/>
              <w:bottom w:val="single" w:sz="8" w:space="0" w:color="auto"/>
              <w:right w:val="single" w:sz="8" w:space="0" w:color="auto"/>
            </w:tcBorders>
            <w:shd w:val="clear" w:color="auto" w:fill="auto"/>
            <w:noWrap/>
            <w:vAlign w:val="center"/>
            <w:hideMark/>
          </w:tcPr>
          <w:p w14:paraId="0A812CE0" w14:textId="54F04FF2"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992" w:type="dxa"/>
            <w:tcBorders>
              <w:top w:val="single" w:sz="18" w:space="0" w:color="auto"/>
              <w:left w:val="single" w:sz="8" w:space="0" w:color="auto"/>
              <w:bottom w:val="single" w:sz="8" w:space="0" w:color="auto"/>
              <w:right w:val="single" w:sz="8" w:space="0" w:color="auto"/>
            </w:tcBorders>
            <w:shd w:val="clear" w:color="000000" w:fill="C6EFCE"/>
            <w:noWrap/>
            <w:vAlign w:val="center"/>
            <w:hideMark/>
          </w:tcPr>
          <w:p w14:paraId="18A34606"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18" w:space="0" w:color="auto"/>
              <w:left w:val="single" w:sz="8" w:space="0" w:color="auto"/>
              <w:bottom w:val="single" w:sz="8" w:space="0" w:color="auto"/>
              <w:right w:val="single" w:sz="8" w:space="0" w:color="auto"/>
            </w:tcBorders>
            <w:shd w:val="clear" w:color="auto" w:fill="auto"/>
            <w:noWrap/>
            <w:vAlign w:val="center"/>
            <w:hideMark/>
          </w:tcPr>
          <w:p w14:paraId="4AC213F1" w14:textId="2237EA9B"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418" w:type="dxa"/>
            <w:tcBorders>
              <w:top w:val="single" w:sz="18" w:space="0" w:color="auto"/>
              <w:left w:val="single" w:sz="8" w:space="0" w:color="auto"/>
              <w:bottom w:val="single" w:sz="8" w:space="0" w:color="auto"/>
              <w:right w:val="single" w:sz="8" w:space="0" w:color="auto"/>
            </w:tcBorders>
            <w:shd w:val="clear" w:color="auto" w:fill="auto"/>
            <w:noWrap/>
            <w:vAlign w:val="center"/>
            <w:hideMark/>
          </w:tcPr>
          <w:p w14:paraId="1283F47F" w14:textId="5630012B"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18" w:space="0" w:color="auto"/>
              <w:left w:val="single" w:sz="8" w:space="0" w:color="auto"/>
              <w:bottom w:val="single" w:sz="8" w:space="0" w:color="auto"/>
              <w:right w:val="single" w:sz="8" w:space="0" w:color="auto"/>
            </w:tcBorders>
            <w:shd w:val="clear" w:color="auto" w:fill="auto"/>
            <w:noWrap/>
            <w:vAlign w:val="center"/>
            <w:hideMark/>
          </w:tcPr>
          <w:p w14:paraId="6B476DD9"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1</w:t>
            </w:r>
          </w:p>
        </w:tc>
        <w:tc>
          <w:tcPr>
            <w:tcW w:w="708" w:type="dxa"/>
            <w:tcBorders>
              <w:top w:val="single" w:sz="18" w:space="0" w:color="auto"/>
              <w:left w:val="single" w:sz="8" w:space="0" w:color="auto"/>
              <w:bottom w:val="single" w:sz="8" w:space="0" w:color="auto"/>
              <w:right w:val="single" w:sz="18" w:space="0" w:color="auto"/>
            </w:tcBorders>
            <w:shd w:val="clear" w:color="auto" w:fill="auto"/>
            <w:noWrap/>
            <w:vAlign w:val="center"/>
            <w:hideMark/>
          </w:tcPr>
          <w:p w14:paraId="2E4E0323" w14:textId="2D4ACAAF"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20%</w:t>
            </w:r>
          </w:p>
        </w:tc>
      </w:tr>
      <w:tr w:rsidR="007E7DC6" w:rsidRPr="00785FB4" w14:paraId="29F603A8" w14:textId="77777777" w:rsidTr="00373B54">
        <w:trPr>
          <w:trHeight w:val="300"/>
        </w:trPr>
        <w:tc>
          <w:tcPr>
            <w:tcW w:w="500" w:type="dxa"/>
            <w:vMerge/>
            <w:tcBorders>
              <w:left w:val="single" w:sz="18" w:space="0" w:color="auto"/>
              <w:right w:val="single" w:sz="8" w:space="0" w:color="auto"/>
            </w:tcBorders>
            <w:shd w:val="clear" w:color="auto" w:fill="auto"/>
            <w:noWrap/>
            <w:textDirection w:val="btLr"/>
            <w:vAlign w:val="center"/>
            <w:hideMark/>
          </w:tcPr>
          <w:p w14:paraId="4E4F4831" w14:textId="0AA9A5B1" w:rsidR="007E7DC6" w:rsidRPr="00785FB4" w:rsidRDefault="007E7DC6" w:rsidP="007E7DC6">
            <w:pPr>
              <w:widowControl/>
              <w:suppressAutoHyphens w:val="0"/>
              <w:spacing w:after="0" w:line="240" w:lineRule="auto"/>
              <w:jc w:val="center"/>
              <w:rPr>
                <w:rFonts w:ascii="Calibri" w:hAnsi="Calibri"/>
                <w:b/>
                <w:color w:val="000000"/>
                <w:lang w:eastAsia="nb-NO"/>
              </w:rPr>
            </w:pPr>
          </w:p>
        </w:tc>
        <w:tc>
          <w:tcPr>
            <w:tcW w:w="16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9160FC"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Shafiquallah</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E428495"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Attai</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8E50439" w14:textId="77777777" w:rsidR="007E7DC6" w:rsidRPr="00785FB4" w:rsidRDefault="007E7DC6"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ACCI</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4DFCC1C" w14:textId="29462D53"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68A619FF"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992"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474044F2"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A1D4AE" w14:textId="0445A192"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68C5BD" w14:textId="7E541E66"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76DC25"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2</w:t>
            </w:r>
          </w:p>
        </w:tc>
        <w:tc>
          <w:tcPr>
            <w:tcW w:w="708" w:type="dxa"/>
            <w:tcBorders>
              <w:top w:val="single" w:sz="8" w:space="0" w:color="auto"/>
              <w:left w:val="single" w:sz="8" w:space="0" w:color="auto"/>
              <w:bottom w:val="single" w:sz="8" w:space="0" w:color="auto"/>
              <w:right w:val="single" w:sz="18" w:space="0" w:color="auto"/>
            </w:tcBorders>
            <w:shd w:val="clear" w:color="auto" w:fill="auto"/>
            <w:noWrap/>
            <w:vAlign w:val="center"/>
            <w:hideMark/>
          </w:tcPr>
          <w:p w14:paraId="56E85447" w14:textId="14B4E944"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40%</w:t>
            </w:r>
          </w:p>
        </w:tc>
      </w:tr>
      <w:tr w:rsidR="007E7DC6" w:rsidRPr="00785FB4" w14:paraId="47DA1187" w14:textId="77777777" w:rsidTr="00373B54">
        <w:trPr>
          <w:trHeight w:val="300"/>
        </w:trPr>
        <w:tc>
          <w:tcPr>
            <w:tcW w:w="500" w:type="dxa"/>
            <w:vMerge/>
            <w:tcBorders>
              <w:left w:val="single" w:sz="18" w:space="0" w:color="auto"/>
              <w:right w:val="single" w:sz="8" w:space="0" w:color="auto"/>
            </w:tcBorders>
            <w:shd w:val="clear" w:color="auto" w:fill="auto"/>
            <w:noWrap/>
            <w:textDirection w:val="btLr"/>
            <w:vAlign w:val="center"/>
            <w:hideMark/>
          </w:tcPr>
          <w:p w14:paraId="5DF71208" w14:textId="7C1F3061" w:rsidR="007E7DC6" w:rsidRPr="00785FB4" w:rsidRDefault="007E7DC6" w:rsidP="007E7DC6">
            <w:pPr>
              <w:widowControl/>
              <w:suppressAutoHyphens w:val="0"/>
              <w:spacing w:after="0" w:line="240" w:lineRule="auto"/>
              <w:jc w:val="center"/>
              <w:rPr>
                <w:rFonts w:ascii="Calibri" w:hAnsi="Calibri"/>
                <w:b/>
                <w:color w:val="000000"/>
                <w:lang w:eastAsia="nb-NO"/>
              </w:rPr>
            </w:pPr>
          </w:p>
        </w:tc>
        <w:tc>
          <w:tcPr>
            <w:tcW w:w="16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7B9A1D" w14:textId="538FE6DC"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2D4493E"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Darwish</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0A88EB" w14:textId="77777777" w:rsidR="007E7DC6" w:rsidRPr="00785FB4" w:rsidRDefault="007E7DC6"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ACCI</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337E75" w14:textId="529855DF"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87153D" w14:textId="39231E95"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3468A9E" w14:textId="13591A6A"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2440B7DA"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1D9E19D" w14:textId="5C5717A4"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B11F72"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1</w:t>
            </w:r>
          </w:p>
        </w:tc>
        <w:tc>
          <w:tcPr>
            <w:tcW w:w="708" w:type="dxa"/>
            <w:tcBorders>
              <w:top w:val="single" w:sz="8" w:space="0" w:color="auto"/>
              <w:left w:val="single" w:sz="8" w:space="0" w:color="auto"/>
              <w:bottom w:val="single" w:sz="8" w:space="0" w:color="auto"/>
              <w:right w:val="single" w:sz="18" w:space="0" w:color="auto"/>
            </w:tcBorders>
            <w:shd w:val="clear" w:color="auto" w:fill="auto"/>
            <w:noWrap/>
            <w:vAlign w:val="center"/>
            <w:hideMark/>
          </w:tcPr>
          <w:p w14:paraId="6C104954" w14:textId="1E86A105"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20%</w:t>
            </w:r>
          </w:p>
        </w:tc>
      </w:tr>
      <w:tr w:rsidR="007E7DC6" w:rsidRPr="00785FB4" w14:paraId="57AD98DD" w14:textId="77777777" w:rsidTr="00373B54">
        <w:trPr>
          <w:trHeight w:val="300"/>
        </w:trPr>
        <w:tc>
          <w:tcPr>
            <w:tcW w:w="500" w:type="dxa"/>
            <w:vMerge/>
            <w:tcBorders>
              <w:left w:val="single" w:sz="18" w:space="0" w:color="auto"/>
              <w:right w:val="single" w:sz="8" w:space="0" w:color="auto"/>
            </w:tcBorders>
            <w:shd w:val="clear" w:color="auto" w:fill="auto"/>
            <w:noWrap/>
            <w:textDirection w:val="btLr"/>
            <w:vAlign w:val="center"/>
            <w:hideMark/>
          </w:tcPr>
          <w:p w14:paraId="13DF452F" w14:textId="1432E531" w:rsidR="007E7DC6" w:rsidRPr="00785FB4" w:rsidRDefault="007E7DC6" w:rsidP="007E7DC6">
            <w:pPr>
              <w:widowControl/>
              <w:suppressAutoHyphens w:val="0"/>
              <w:spacing w:after="0" w:line="240" w:lineRule="auto"/>
              <w:jc w:val="center"/>
              <w:rPr>
                <w:rFonts w:ascii="Calibri" w:hAnsi="Calibri"/>
                <w:b/>
                <w:color w:val="000000"/>
                <w:lang w:eastAsia="nb-NO"/>
              </w:rPr>
            </w:pPr>
          </w:p>
        </w:tc>
        <w:tc>
          <w:tcPr>
            <w:tcW w:w="16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76DC714"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Sardar</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7B5482"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Hussain</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65DE03" w14:textId="77777777" w:rsidR="007E7DC6" w:rsidRPr="00785FB4" w:rsidRDefault="007E7DC6"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Meesaq e Sharq</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E02EA50" w14:textId="7F8F50E1"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40E3D501"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F6F6E50" w14:textId="381EBDE7"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0E7E2EE" w14:textId="0E680BA1"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F9A5A6" w14:textId="4892E89E"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654750C"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1</w:t>
            </w:r>
          </w:p>
        </w:tc>
        <w:tc>
          <w:tcPr>
            <w:tcW w:w="708" w:type="dxa"/>
            <w:tcBorders>
              <w:top w:val="single" w:sz="8" w:space="0" w:color="auto"/>
              <w:left w:val="single" w:sz="8" w:space="0" w:color="auto"/>
              <w:bottom w:val="single" w:sz="8" w:space="0" w:color="auto"/>
              <w:right w:val="single" w:sz="18" w:space="0" w:color="auto"/>
            </w:tcBorders>
            <w:shd w:val="clear" w:color="auto" w:fill="auto"/>
            <w:noWrap/>
            <w:vAlign w:val="center"/>
            <w:hideMark/>
          </w:tcPr>
          <w:p w14:paraId="111B197D" w14:textId="416DEE8B"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20%</w:t>
            </w:r>
          </w:p>
        </w:tc>
      </w:tr>
      <w:tr w:rsidR="007E7DC6" w:rsidRPr="00785FB4" w14:paraId="52BB6F9D" w14:textId="77777777" w:rsidTr="00373B54">
        <w:trPr>
          <w:trHeight w:val="300"/>
        </w:trPr>
        <w:tc>
          <w:tcPr>
            <w:tcW w:w="500" w:type="dxa"/>
            <w:vMerge/>
            <w:tcBorders>
              <w:left w:val="single" w:sz="18" w:space="0" w:color="auto"/>
              <w:right w:val="single" w:sz="8" w:space="0" w:color="auto"/>
            </w:tcBorders>
            <w:shd w:val="clear" w:color="auto" w:fill="auto"/>
            <w:noWrap/>
            <w:textDirection w:val="btLr"/>
            <w:vAlign w:val="center"/>
            <w:hideMark/>
          </w:tcPr>
          <w:p w14:paraId="39CE48ED" w14:textId="46F2DA07" w:rsidR="007E7DC6" w:rsidRPr="00785FB4" w:rsidRDefault="007E7DC6" w:rsidP="007E7DC6">
            <w:pPr>
              <w:widowControl/>
              <w:suppressAutoHyphens w:val="0"/>
              <w:spacing w:after="0" w:line="240" w:lineRule="auto"/>
              <w:jc w:val="center"/>
              <w:rPr>
                <w:rFonts w:ascii="Calibri" w:hAnsi="Calibri"/>
                <w:b/>
                <w:color w:val="000000"/>
                <w:lang w:eastAsia="nb-NO"/>
              </w:rPr>
            </w:pPr>
          </w:p>
        </w:tc>
        <w:tc>
          <w:tcPr>
            <w:tcW w:w="16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D0827E"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Asahq</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2ADFD0"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Hussain</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D8DF56" w14:textId="77777777" w:rsidR="007E7DC6" w:rsidRPr="00785FB4" w:rsidRDefault="007E7DC6"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Core Drillers</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FCEFF5" w14:textId="6DA31635"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3E8E84D0"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992"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7C89EE4F"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88493B" w14:textId="2497DD07"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6E3213" w14:textId="71070D10"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83F459"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2</w:t>
            </w:r>
          </w:p>
        </w:tc>
        <w:tc>
          <w:tcPr>
            <w:tcW w:w="708" w:type="dxa"/>
            <w:tcBorders>
              <w:top w:val="single" w:sz="8" w:space="0" w:color="auto"/>
              <w:left w:val="single" w:sz="8" w:space="0" w:color="auto"/>
              <w:bottom w:val="single" w:sz="8" w:space="0" w:color="auto"/>
              <w:right w:val="single" w:sz="18" w:space="0" w:color="auto"/>
            </w:tcBorders>
            <w:shd w:val="clear" w:color="auto" w:fill="auto"/>
            <w:noWrap/>
            <w:vAlign w:val="center"/>
            <w:hideMark/>
          </w:tcPr>
          <w:p w14:paraId="6041ADF5" w14:textId="3B31A0C5"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40%</w:t>
            </w:r>
          </w:p>
        </w:tc>
      </w:tr>
      <w:tr w:rsidR="007E7DC6" w:rsidRPr="00785FB4" w14:paraId="74E2394E" w14:textId="77777777" w:rsidTr="00373B54">
        <w:trPr>
          <w:trHeight w:val="300"/>
        </w:trPr>
        <w:tc>
          <w:tcPr>
            <w:tcW w:w="500" w:type="dxa"/>
            <w:vMerge/>
            <w:tcBorders>
              <w:left w:val="single" w:sz="18" w:space="0" w:color="auto"/>
              <w:right w:val="single" w:sz="8" w:space="0" w:color="auto"/>
            </w:tcBorders>
            <w:shd w:val="clear" w:color="auto" w:fill="auto"/>
            <w:noWrap/>
            <w:textDirection w:val="btLr"/>
            <w:vAlign w:val="center"/>
            <w:hideMark/>
          </w:tcPr>
          <w:p w14:paraId="7BB5AB2E" w14:textId="368D0F81" w:rsidR="007E7DC6" w:rsidRPr="00785FB4" w:rsidRDefault="007E7DC6" w:rsidP="007E7DC6">
            <w:pPr>
              <w:widowControl/>
              <w:suppressAutoHyphens w:val="0"/>
              <w:spacing w:after="0" w:line="240" w:lineRule="auto"/>
              <w:jc w:val="center"/>
              <w:rPr>
                <w:rFonts w:ascii="Calibri" w:hAnsi="Calibri"/>
                <w:b/>
                <w:color w:val="000000"/>
                <w:lang w:eastAsia="nb-NO"/>
              </w:rPr>
            </w:pPr>
          </w:p>
        </w:tc>
        <w:tc>
          <w:tcPr>
            <w:tcW w:w="16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74F90D"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Mohammad</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832C95"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Hussain</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522731" w14:textId="77777777" w:rsidR="007E7DC6" w:rsidRPr="00785FB4" w:rsidRDefault="007E7DC6"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MCC/MJAM</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2B6858E" w14:textId="5C98A8E5"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2E4AB7" w14:textId="67943BA5"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992"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1DF515D1"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E52BA68" w14:textId="3CC11CB5"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6C60C90" w14:textId="57771795"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6DCAF8E"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1</w:t>
            </w:r>
          </w:p>
        </w:tc>
        <w:tc>
          <w:tcPr>
            <w:tcW w:w="708" w:type="dxa"/>
            <w:tcBorders>
              <w:top w:val="single" w:sz="8" w:space="0" w:color="auto"/>
              <w:left w:val="single" w:sz="8" w:space="0" w:color="auto"/>
              <w:bottom w:val="single" w:sz="8" w:space="0" w:color="auto"/>
              <w:right w:val="single" w:sz="18" w:space="0" w:color="auto"/>
            </w:tcBorders>
            <w:shd w:val="clear" w:color="auto" w:fill="auto"/>
            <w:noWrap/>
            <w:vAlign w:val="center"/>
            <w:hideMark/>
          </w:tcPr>
          <w:p w14:paraId="2B4799C1" w14:textId="4AFF13F0"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20%</w:t>
            </w:r>
          </w:p>
        </w:tc>
      </w:tr>
      <w:tr w:rsidR="007E7DC6" w:rsidRPr="00785FB4" w14:paraId="3A9FCE8F" w14:textId="77777777" w:rsidTr="00373B54">
        <w:trPr>
          <w:trHeight w:val="300"/>
        </w:trPr>
        <w:tc>
          <w:tcPr>
            <w:tcW w:w="500" w:type="dxa"/>
            <w:vMerge/>
            <w:tcBorders>
              <w:left w:val="single" w:sz="18" w:space="0" w:color="auto"/>
              <w:right w:val="single" w:sz="8" w:space="0" w:color="auto"/>
            </w:tcBorders>
            <w:shd w:val="clear" w:color="auto" w:fill="auto"/>
            <w:noWrap/>
            <w:textDirection w:val="btLr"/>
            <w:vAlign w:val="center"/>
            <w:hideMark/>
          </w:tcPr>
          <w:p w14:paraId="25BD6E62" w14:textId="0ED08214" w:rsidR="007E7DC6" w:rsidRPr="00785FB4" w:rsidRDefault="007E7DC6" w:rsidP="007E7DC6">
            <w:pPr>
              <w:widowControl/>
              <w:suppressAutoHyphens w:val="0"/>
              <w:spacing w:after="0" w:line="240" w:lineRule="auto"/>
              <w:jc w:val="center"/>
              <w:rPr>
                <w:rFonts w:ascii="Calibri" w:hAnsi="Calibri"/>
                <w:b/>
                <w:color w:val="000000"/>
                <w:lang w:eastAsia="nb-NO"/>
              </w:rPr>
            </w:pPr>
          </w:p>
        </w:tc>
        <w:tc>
          <w:tcPr>
            <w:tcW w:w="16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F40619E"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Ahmad</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EDD733"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Rahi</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665691D" w14:textId="77777777" w:rsidR="007E7DC6" w:rsidRPr="00785FB4" w:rsidRDefault="007E7DC6"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CNPCI/WATAN</w:t>
            </w:r>
          </w:p>
        </w:tc>
        <w:tc>
          <w:tcPr>
            <w:tcW w:w="1134"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1B7E501C"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57D3FC17"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992"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7A7AE7DA"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581D8CCE"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418"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00AFA95C"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E00DED3"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5</w:t>
            </w:r>
          </w:p>
        </w:tc>
        <w:tc>
          <w:tcPr>
            <w:tcW w:w="708" w:type="dxa"/>
            <w:tcBorders>
              <w:top w:val="single" w:sz="8" w:space="0" w:color="auto"/>
              <w:left w:val="single" w:sz="8" w:space="0" w:color="auto"/>
              <w:bottom w:val="single" w:sz="8" w:space="0" w:color="auto"/>
              <w:right w:val="single" w:sz="18" w:space="0" w:color="auto"/>
            </w:tcBorders>
            <w:shd w:val="clear" w:color="auto" w:fill="auto"/>
            <w:noWrap/>
            <w:vAlign w:val="center"/>
            <w:hideMark/>
          </w:tcPr>
          <w:p w14:paraId="32712B88" w14:textId="3E8E2C85"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100%</w:t>
            </w:r>
          </w:p>
        </w:tc>
      </w:tr>
      <w:tr w:rsidR="007E7DC6" w:rsidRPr="00785FB4" w14:paraId="29BE0D57" w14:textId="77777777" w:rsidTr="00373B54">
        <w:trPr>
          <w:trHeight w:val="300"/>
        </w:trPr>
        <w:tc>
          <w:tcPr>
            <w:tcW w:w="500" w:type="dxa"/>
            <w:vMerge/>
            <w:tcBorders>
              <w:left w:val="single" w:sz="18" w:space="0" w:color="auto"/>
              <w:right w:val="single" w:sz="8" w:space="0" w:color="auto"/>
            </w:tcBorders>
            <w:shd w:val="clear" w:color="auto" w:fill="auto"/>
            <w:noWrap/>
            <w:textDirection w:val="btLr"/>
            <w:vAlign w:val="center"/>
            <w:hideMark/>
          </w:tcPr>
          <w:p w14:paraId="1FC408BC" w14:textId="701AEFA9" w:rsidR="007E7DC6" w:rsidRPr="00785FB4" w:rsidRDefault="007E7DC6" w:rsidP="007E7DC6">
            <w:pPr>
              <w:widowControl/>
              <w:suppressAutoHyphens w:val="0"/>
              <w:spacing w:after="0" w:line="240" w:lineRule="auto"/>
              <w:jc w:val="center"/>
              <w:rPr>
                <w:rFonts w:ascii="Calibri" w:hAnsi="Calibri"/>
                <w:b/>
                <w:color w:val="000000"/>
                <w:lang w:eastAsia="nb-NO"/>
              </w:rPr>
            </w:pPr>
          </w:p>
        </w:tc>
        <w:tc>
          <w:tcPr>
            <w:tcW w:w="16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E8FE465"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Ashaq Hussain</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39D733"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Salarzai</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019792" w14:textId="77777777" w:rsidR="007E7DC6" w:rsidRPr="00785FB4" w:rsidRDefault="007E7DC6" w:rsidP="007E7DC6">
            <w:pPr>
              <w:widowControl/>
              <w:suppressAutoHyphens w:val="0"/>
              <w:spacing w:after="0" w:line="240" w:lineRule="auto"/>
              <w:jc w:val="center"/>
              <w:rPr>
                <w:rFonts w:ascii="Calibri" w:hAnsi="Calibri"/>
                <w:i/>
                <w:color w:val="000000"/>
                <w:lang w:eastAsia="nb-NO"/>
              </w:rPr>
            </w:pPr>
            <w:r w:rsidRPr="00785FB4">
              <w:rPr>
                <w:rFonts w:ascii="Calibri" w:hAnsi="Calibri"/>
                <w:i/>
                <w:color w:val="000000"/>
                <w:lang w:eastAsia="nb-NO"/>
              </w:rPr>
              <w:t>Core Drillers</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207FED" w14:textId="546921A7"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D8704D" w14:textId="603CD5DD"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592591" w14:textId="18E56318"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000000" w:fill="C6EFCE"/>
            <w:noWrap/>
            <w:vAlign w:val="center"/>
            <w:hideMark/>
          </w:tcPr>
          <w:p w14:paraId="55032595" w14:textId="77777777" w:rsidR="007E7DC6" w:rsidRPr="00785FB4" w:rsidRDefault="007E7DC6" w:rsidP="007E7DC6">
            <w:pPr>
              <w:widowControl/>
              <w:suppressAutoHyphens w:val="0"/>
              <w:spacing w:after="0" w:line="240" w:lineRule="auto"/>
              <w:jc w:val="center"/>
              <w:rPr>
                <w:rFonts w:ascii="Calibri" w:hAnsi="Calibri"/>
                <w:color w:val="006100"/>
                <w:lang w:eastAsia="nb-NO"/>
              </w:rPr>
            </w:pPr>
            <w:r w:rsidRPr="00785FB4">
              <w:rPr>
                <w:rFonts w:ascii="Calibri" w:hAnsi="Calibri"/>
                <w:color w:val="006100"/>
                <w:lang w:eastAsia="nb-NO"/>
              </w:rPr>
              <w:t>yes</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C5B358" w14:textId="33174119"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F7E3E96" w14:textId="77777777"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color w:val="000000"/>
                <w:lang w:eastAsia="nb-NO"/>
              </w:rPr>
              <w:t>1</w:t>
            </w:r>
          </w:p>
        </w:tc>
        <w:tc>
          <w:tcPr>
            <w:tcW w:w="708" w:type="dxa"/>
            <w:tcBorders>
              <w:top w:val="single" w:sz="8" w:space="0" w:color="auto"/>
              <w:left w:val="single" w:sz="8" w:space="0" w:color="auto"/>
              <w:bottom w:val="single" w:sz="8" w:space="0" w:color="auto"/>
              <w:right w:val="single" w:sz="18" w:space="0" w:color="auto"/>
            </w:tcBorders>
            <w:shd w:val="clear" w:color="auto" w:fill="auto"/>
            <w:noWrap/>
            <w:vAlign w:val="center"/>
            <w:hideMark/>
          </w:tcPr>
          <w:p w14:paraId="0933F802" w14:textId="3B542B15"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20%</w:t>
            </w:r>
          </w:p>
        </w:tc>
      </w:tr>
      <w:tr w:rsidR="007E7DC6" w:rsidRPr="00785FB4" w14:paraId="63477283" w14:textId="77777777" w:rsidTr="00373B54">
        <w:trPr>
          <w:trHeight w:val="315"/>
        </w:trPr>
        <w:tc>
          <w:tcPr>
            <w:tcW w:w="500" w:type="dxa"/>
            <w:vMerge/>
            <w:tcBorders>
              <w:left w:val="single" w:sz="18" w:space="0" w:color="auto"/>
              <w:bottom w:val="single" w:sz="18" w:space="0" w:color="auto"/>
              <w:right w:val="single" w:sz="8" w:space="0" w:color="auto"/>
            </w:tcBorders>
            <w:shd w:val="clear" w:color="auto" w:fill="auto"/>
            <w:noWrap/>
            <w:textDirection w:val="btLr"/>
            <w:vAlign w:val="center"/>
            <w:hideMark/>
          </w:tcPr>
          <w:p w14:paraId="7B128750" w14:textId="1E292A76" w:rsidR="007E7DC6" w:rsidRPr="00785FB4" w:rsidRDefault="007E7DC6" w:rsidP="007E7DC6">
            <w:pPr>
              <w:widowControl/>
              <w:suppressAutoHyphens w:val="0"/>
              <w:spacing w:after="0" w:line="240" w:lineRule="auto"/>
              <w:jc w:val="center"/>
              <w:rPr>
                <w:rFonts w:ascii="Calibri" w:hAnsi="Calibri"/>
                <w:b/>
                <w:color w:val="000000"/>
                <w:lang w:eastAsia="nb-NO"/>
              </w:rPr>
            </w:pPr>
          </w:p>
        </w:tc>
        <w:tc>
          <w:tcPr>
            <w:tcW w:w="1617" w:type="dxa"/>
            <w:tcBorders>
              <w:top w:val="single" w:sz="8" w:space="0" w:color="auto"/>
              <w:left w:val="single" w:sz="8" w:space="0" w:color="auto"/>
              <w:bottom w:val="single" w:sz="18" w:space="0" w:color="auto"/>
              <w:right w:val="single" w:sz="8" w:space="0" w:color="auto"/>
            </w:tcBorders>
            <w:shd w:val="clear" w:color="auto" w:fill="auto"/>
            <w:noWrap/>
            <w:vAlign w:val="center"/>
            <w:hideMark/>
          </w:tcPr>
          <w:p w14:paraId="10DDF78F" w14:textId="2C4EA432"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701" w:type="dxa"/>
            <w:tcBorders>
              <w:top w:val="single" w:sz="8" w:space="0" w:color="auto"/>
              <w:left w:val="single" w:sz="8" w:space="0" w:color="auto"/>
              <w:bottom w:val="single" w:sz="18" w:space="0" w:color="auto"/>
              <w:right w:val="single" w:sz="8" w:space="0" w:color="auto"/>
            </w:tcBorders>
            <w:shd w:val="clear" w:color="auto" w:fill="auto"/>
            <w:noWrap/>
            <w:vAlign w:val="center"/>
            <w:hideMark/>
          </w:tcPr>
          <w:p w14:paraId="2E6EE737" w14:textId="5FFDD5E6"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559" w:type="dxa"/>
            <w:tcBorders>
              <w:top w:val="single" w:sz="8" w:space="0" w:color="auto"/>
              <w:left w:val="single" w:sz="8" w:space="0" w:color="auto"/>
              <w:bottom w:val="single" w:sz="18" w:space="0" w:color="auto"/>
              <w:right w:val="single" w:sz="8" w:space="0" w:color="auto"/>
            </w:tcBorders>
            <w:shd w:val="clear" w:color="auto" w:fill="auto"/>
            <w:noWrap/>
            <w:vAlign w:val="center"/>
            <w:hideMark/>
          </w:tcPr>
          <w:p w14:paraId="6FA900A5" w14:textId="2803BA30" w:rsidR="007E7DC6" w:rsidRPr="00785FB4" w:rsidRDefault="007E7DC6" w:rsidP="007E7DC6">
            <w:pPr>
              <w:widowControl/>
              <w:suppressAutoHyphens w:val="0"/>
              <w:spacing w:after="0" w:line="240" w:lineRule="auto"/>
              <w:jc w:val="center"/>
              <w:rPr>
                <w:rFonts w:ascii="Calibri" w:hAnsi="Calibri"/>
                <w:i/>
                <w:color w:val="000000"/>
                <w:lang w:eastAsia="nb-NO"/>
              </w:rPr>
            </w:pPr>
          </w:p>
        </w:tc>
        <w:tc>
          <w:tcPr>
            <w:tcW w:w="1134" w:type="dxa"/>
            <w:tcBorders>
              <w:top w:val="single" w:sz="8" w:space="0" w:color="auto"/>
              <w:left w:val="single" w:sz="8" w:space="0" w:color="auto"/>
              <w:bottom w:val="single" w:sz="18" w:space="0" w:color="auto"/>
              <w:right w:val="single" w:sz="8" w:space="0" w:color="auto"/>
            </w:tcBorders>
            <w:shd w:val="clear" w:color="auto" w:fill="auto"/>
            <w:noWrap/>
            <w:vAlign w:val="center"/>
            <w:hideMark/>
          </w:tcPr>
          <w:p w14:paraId="418AA7B6" w14:textId="320A90EA"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18" w:space="0" w:color="auto"/>
              <w:right w:val="single" w:sz="8" w:space="0" w:color="auto"/>
            </w:tcBorders>
            <w:shd w:val="clear" w:color="auto" w:fill="auto"/>
            <w:noWrap/>
            <w:vAlign w:val="center"/>
            <w:hideMark/>
          </w:tcPr>
          <w:p w14:paraId="7F50CF00" w14:textId="5A6633CD"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992" w:type="dxa"/>
            <w:tcBorders>
              <w:top w:val="single" w:sz="8" w:space="0" w:color="auto"/>
              <w:left w:val="single" w:sz="8" w:space="0" w:color="auto"/>
              <w:bottom w:val="single" w:sz="18" w:space="0" w:color="auto"/>
              <w:right w:val="single" w:sz="8" w:space="0" w:color="auto"/>
            </w:tcBorders>
            <w:shd w:val="clear" w:color="auto" w:fill="auto"/>
            <w:noWrap/>
            <w:vAlign w:val="center"/>
            <w:hideMark/>
          </w:tcPr>
          <w:p w14:paraId="5A2223B1" w14:textId="1DDE34AA"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134" w:type="dxa"/>
            <w:tcBorders>
              <w:top w:val="single" w:sz="8" w:space="0" w:color="auto"/>
              <w:left w:val="single" w:sz="8" w:space="0" w:color="auto"/>
              <w:bottom w:val="single" w:sz="18" w:space="0" w:color="auto"/>
              <w:right w:val="single" w:sz="8" w:space="0" w:color="auto"/>
            </w:tcBorders>
            <w:shd w:val="clear" w:color="auto" w:fill="auto"/>
            <w:noWrap/>
            <w:vAlign w:val="center"/>
            <w:hideMark/>
          </w:tcPr>
          <w:p w14:paraId="6AC01E55" w14:textId="70971487" w:rsidR="007E7DC6" w:rsidRPr="00785FB4" w:rsidRDefault="007E7DC6" w:rsidP="007E7DC6">
            <w:pPr>
              <w:widowControl/>
              <w:suppressAutoHyphens w:val="0"/>
              <w:spacing w:after="0" w:line="240" w:lineRule="auto"/>
              <w:jc w:val="center"/>
              <w:rPr>
                <w:rFonts w:ascii="Calibri" w:hAnsi="Calibri"/>
                <w:color w:val="000000"/>
                <w:lang w:eastAsia="nb-NO"/>
              </w:rPr>
            </w:pPr>
          </w:p>
        </w:tc>
        <w:tc>
          <w:tcPr>
            <w:tcW w:w="1418" w:type="dxa"/>
            <w:tcBorders>
              <w:top w:val="single" w:sz="8" w:space="0" w:color="auto"/>
              <w:left w:val="single" w:sz="8" w:space="0" w:color="auto"/>
              <w:bottom w:val="single" w:sz="18" w:space="0" w:color="auto"/>
              <w:right w:val="single" w:sz="8" w:space="0" w:color="auto"/>
            </w:tcBorders>
            <w:shd w:val="clear" w:color="auto" w:fill="auto"/>
            <w:noWrap/>
            <w:vAlign w:val="center"/>
            <w:hideMark/>
          </w:tcPr>
          <w:p w14:paraId="67588555" w14:textId="2C941DBB" w:rsidR="007E7DC6" w:rsidRPr="00785FB4" w:rsidRDefault="007E7DC6" w:rsidP="007E7DC6">
            <w:pPr>
              <w:widowControl/>
              <w:suppressAutoHyphens w:val="0"/>
              <w:spacing w:after="0" w:line="240" w:lineRule="auto"/>
              <w:jc w:val="center"/>
              <w:rPr>
                <w:rFonts w:ascii="Calibri" w:hAnsi="Calibri"/>
                <w:color w:val="000000"/>
                <w:lang w:eastAsia="nb-NO"/>
              </w:rPr>
            </w:pPr>
            <w:r w:rsidRPr="00785FB4">
              <w:rPr>
                <w:rFonts w:ascii="Calibri" w:hAnsi="Calibri"/>
                <w:b/>
                <w:color w:val="000000"/>
                <w:lang w:eastAsia="nb-NO"/>
              </w:rPr>
              <w:t>Average</w:t>
            </w:r>
          </w:p>
        </w:tc>
        <w:tc>
          <w:tcPr>
            <w:tcW w:w="1134" w:type="dxa"/>
            <w:tcBorders>
              <w:top w:val="single" w:sz="8" w:space="0" w:color="auto"/>
              <w:left w:val="single" w:sz="8" w:space="0" w:color="auto"/>
              <w:bottom w:val="single" w:sz="18" w:space="0" w:color="auto"/>
              <w:right w:val="single" w:sz="8" w:space="0" w:color="auto"/>
            </w:tcBorders>
            <w:shd w:val="clear" w:color="auto" w:fill="auto"/>
            <w:noWrap/>
            <w:vAlign w:val="center"/>
            <w:hideMark/>
          </w:tcPr>
          <w:p w14:paraId="4A0001A5" w14:textId="7EE777D6"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color w:val="000000"/>
                <w:lang w:eastAsia="nb-NO"/>
              </w:rPr>
              <w:t>1.8</w:t>
            </w:r>
          </w:p>
        </w:tc>
        <w:tc>
          <w:tcPr>
            <w:tcW w:w="708" w:type="dxa"/>
            <w:tcBorders>
              <w:top w:val="single" w:sz="8" w:space="0" w:color="auto"/>
              <w:left w:val="single" w:sz="8" w:space="0" w:color="auto"/>
              <w:bottom w:val="single" w:sz="18" w:space="0" w:color="auto"/>
              <w:right w:val="single" w:sz="18" w:space="0" w:color="auto"/>
            </w:tcBorders>
            <w:shd w:val="clear" w:color="auto" w:fill="auto"/>
            <w:noWrap/>
            <w:vAlign w:val="center"/>
            <w:hideMark/>
          </w:tcPr>
          <w:p w14:paraId="7D4BE2C4" w14:textId="0E04348E" w:rsidR="007E7DC6" w:rsidRPr="00785FB4" w:rsidRDefault="007E7DC6" w:rsidP="007E7DC6">
            <w:pPr>
              <w:widowControl/>
              <w:suppressAutoHyphens w:val="0"/>
              <w:spacing w:after="0" w:line="240" w:lineRule="auto"/>
              <w:jc w:val="center"/>
              <w:rPr>
                <w:rFonts w:ascii="Calibri" w:hAnsi="Calibri"/>
                <w:b/>
                <w:color w:val="000000"/>
                <w:lang w:eastAsia="nb-NO"/>
              </w:rPr>
            </w:pPr>
            <w:r w:rsidRPr="00785FB4">
              <w:rPr>
                <w:rFonts w:ascii="Calibri" w:hAnsi="Calibri"/>
                <w:b/>
                <w:bCs/>
                <w:color w:val="000000"/>
              </w:rPr>
              <w:t>34%</w:t>
            </w:r>
          </w:p>
        </w:tc>
      </w:tr>
    </w:tbl>
    <w:p w14:paraId="63C6BB17" w14:textId="77777777" w:rsidR="00543EFB" w:rsidRPr="00785FB4" w:rsidRDefault="00543EFB" w:rsidP="009464B0"/>
    <w:p w14:paraId="1B1B998E" w14:textId="50BE26EF" w:rsidR="005847BB" w:rsidRPr="00785FB4" w:rsidRDefault="00D877A2" w:rsidP="005847BB">
      <w:pPr>
        <w:widowControl/>
        <w:suppressAutoHyphens w:val="0"/>
        <w:spacing w:after="0" w:line="240" w:lineRule="auto"/>
        <w:rPr>
          <w:b/>
          <w:bCs/>
          <w:color w:val="365F91"/>
        </w:rPr>
        <w:sectPr w:rsidR="005847BB" w:rsidRPr="00785FB4" w:rsidSect="005847BB">
          <w:pgSz w:w="16837" w:h="11905" w:orient="landscape"/>
          <w:pgMar w:top="1134" w:right="1174" w:bottom="1276" w:left="1418" w:header="567" w:footer="0" w:gutter="0"/>
          <w:cols w:space="708"/>
          <w:titlePg/>
          <w:docGrid w:linePitch="326"/>
        </w:sectPr>
      </w:pPr>
      <w:r w:rsidRPr="00785FB4">
        <w:br w:type="page"/>
      </w:r>
      <w:bookmarkStart w:id="660" w:name="_Toc459133212"/>
      <w:bookmarkStart w:id="661" w:name="_Toc461803161"/>
      <w:bookmarkStart w:id="662" w:name="_Toc461787372"/>
      <w:bookmarkStart w:id="663" w:name="_Toc461795884"/>
      <w:bookmarkStart w:id="664" w:name="_Toc505449727"/>
      <w:bookmarkStart w:id="665" w:name="_Toc505449835"/>
    </w:p>
    <w:p w14:paraId="0DF29802" w14:textId="73E75BB0" w:rsidR="005E45A9" w:rsidRPr="00785FB4" w:rsidRDefault="005847BB" w:rsidP="00A94167">
      <w:pPr>
        <w:pStyle w:val="Heading2"/>
      </w:pPr>
      <w:r w:rsidRPr="00785FB4">
        <w:lastRenderedPageBreak/>
        <w:t>Annex</w:t>
      </w:r>
      <w:r w:rsidR="00A843C6" w:rsidRPr="00785FB4">
        <w:t xml:space="preserve"> </w:t>
      </w:r>
      <w:r w:rsidR="00D877A2" w:rsidRPr="00785FB4">
        <w:t>C</w:t>
      </w:r>
      <w:r w:rsidR="00A843C6" w:rsidRPr="00785FB4">
        <w:t xml:space="preserve"> </w:t>
      </w:r>
      <w:r w:rsidR="005E45A9" w:rsidRPr="00785FB4">
        <w:t>–</w:t>
      </w:r>
      <w:r w:rsidR="00A843C6" w:rsidRPr="00785FB4">
        <w:t xml:space="preserve"> </w:t>
      </w:r>
      <w:r w:rsidR="00112D9C" w:rsidRPr="00785FB4">
        <w:t xml:space="preserve">Cost of </w:t>
      </w:r>
      <w:r w:rsidR="005E45A9" w:rsidRPr="00785FB4">
        <w:t>EITI Reports</w:t>
      </w:r>
      <w:bookmarkEnd w:id="660"/>
      <w:bookmarkEnd w:id="661"/>
      <w:bookmarkEnd w:id="662"/>
      <w:bookmarkEnd w:id="663"/>
      <w:bookmarkEnd w:id="664"/>
      <w:bookmarkEnd w:id="665"/>
    </w:p>
    <w:tbl>
      <w:tblPr>
        <w:tblStyle w:val="TableGrid"/>
        <w:tblW w:w="0" w:type="auto"/>
        <w:tblLook w:val="04A0" w:firstRow="1" w:lastRow="0" w:firstColumn="1" w:lastColumn="0" w:noHBand="0" w:noVBand="1"/>
      </w:tblPr>
      <w:tblGrid>
        <w:gridCol w:w="2588"/>
        <w:gridCol w:w="1802"/>
        <w:gridCol w:w="1842"/>
        <w:gridCol w:w="3253"/>
      </w:tblGrid>
      <w:tr w:rsidR="00B75674" w:rsidRPr="00785FB4" w14:paraId="0669F9EC" w14:textId="77777777" w:rsidTr="007369FB">
        <w:tc>
          <w:tcPr>
            <w:tcW w:w="2588" w:type="dxa"/>
            <w:shd w:val="clear" w:color="auto" w:fill="95B3D7" w:themeFill="accent1" w:themeFillTint="99"/>
          </w:tcPr>
          <w:p w14:paraId="7229CCC7" w14:textId="016C6F26" w:rsidR="00B75674" w:rsidRPr="00785FB4" w:rsidRDefault="00B75674" w:rsidP="00412D99">
            <w:pPr>
              <w:rPr>
                <w:b/>
                <w:lang w:val="en-GB"/>
              </w:rPr>
            </w:pPr>
            <w:r w:rsidRPr="00785FB4">
              <w:rPr>
                <w:b/>
                <w:lang w:val="en-GB"/>
              </w:rPr>
              <w:t>AEITI Report</w:t>
            </w:r>
          </w:p>
        </w:tc>
        <w:tc>
          <w:tcPr>
            <w:tcW w:w="1802" w:type="dxa"/>
            <w:shd w:val="clear" w:color="auto" w:fill="95B3D7" w:themeFill="accent1" w:themeFillTint="99"/>
          </w:tcPr>
          <w:p w14:paraId="1FB14B5E" w14:textId="60B499D7" w:rsidR="00B75674" w:rsidRPr="00785FB4" w:rsidRDefault="00B75674" w:rsidP="00412D99">
            <w:pPr>
              <w:rPr>
                <w:b/>
                <w:lang w:val="en-GB"/>
              </w:rPr>
            </w:pPr>
            <w:r w:rsidRPr="00785FB4">
              <w:rPr>
                <w:b/>
                <w:lang w:val="en-GB"/>
              </w:rPr>
              <w:t>Contract award date</w:t>
            </w:r>
          </w:p>
        </w:tc>
        <w:tc>
          <w:tcPr>
            <w:tcW w:w="1842" w:type="dxa"/>
            <w:shd w:val="clear" w:color="auto" w:fill="95B3D7" w:themeFill="accent1" w:themeFillTint="99"/>
          </w:tcPr>
          <w:p w14:paraId="6236282C" w14:textId="037E4F35" w:rsidR="00B75674" w:rsidRPr="00785FB4" w:rsidRDefault="00B75674" w:rsidP="00412D99">
            <w:pPr>
              <w:rPr>
                <w:b/>
                <w:lang w:val="en-GB"/>
              </w:rPr>
            </w:pPr>
            <w:r w:rsidRPr="00785FB4">
              <w:rPr>
                <w:b/>
                <w:lang w:val="en-GB"/>
              </w:rPr>
              <w:t>Independent Administrator</w:t>
            </w:r>
          </w:p>
        </w:tc>
        <w:tc>
          <w:tcPr>
            <w:tcW w:w="3253" w:type="dxa"/>
            <w:shd w:val="clear" w:color="auto" w:fill="95B3D7" w:themeFill="accent1" w:themeFillTint="99"/>
          </w:tcPr>
          <w:p w14:paraId="48A1E8BA" w14:textId="505F042E" w:rsidR="00B75674" w:rsidRPr="00785FB4" w:rsidRDefault="00B75674" w:rsidP="00412D99">
            <w:pPr>
              <w:rPr>
                <w:b/>
                <w:lang w:val="en-GB"/>
              </w:rPr>
            </w:pPr>
            <w:r w:rsidRPr="00785FB4">
              <w:rPr>
                <w:b/>
                <w:lang w:val="en-GB"/>
              </w:rPr>
              <w:t>Cost (in USD), including ammendments</w:t>
            </w:r>
          </w:p>
        </w:tc>
      </w:tr>
      <w:tr w:rsidR="00B75674" w:rsidRPr="00785FB4" w14:paraId="39505883" w14:textId="77777777" w:rsidTr="00B75674">
        <w:tc>
          <w:tcPr>
            <w:tcW w:w="2588" w:type="dxa"/>
          </w:tcPr>
          <w:p w14:paraId="134B391C" w14:textId="1DFB85EF" w:rsidR="00B75674" w:rsidRPr="00785FB4" w:rsidRDefault="00B75674" w:rsidP="00412D99">
            <w:pPr>
              <w:rPr>
                <w:lang w:val="en-GB"/>
              </w:rPr>
            </w:pPr>
            <w:r w:rsidRPr="00785FB4">
              <w:rPr>
                <w:lang w:val="en-GB"/>
              </w:rPr>
              <w:t>2014-2015 Afghanistan EITI Report (5</w:t>
            </w:r>
            <w:r w:rsidRPr="00785FB4">
              <w:rPr>
                <w:vertAlign w:val="superscript"/>
                <w:lang w:val="en-GB"/>
              </w:rPr>
              <w:t>th</w:t>
            </w:r>
            <w:r w:rsidRPr="00785FB4">
              <w:rPr>
                <w:lang w:val="en-GB"/>
              </w:rPr>
              <w:t xml:space="preserve"> Report)</w:t>
            </w:r>
          </w:p>
        </w:tc>
        <w:tc>
          <w:tcPr>
            <w:tcW w:w="1802" w:type="dxa"/>
          </w:tcPr>
          <w:p w14:paraId="47DA91A8" w14:textId="5EBEA261" w:rsidR="00B75674" w:rsidRPr="00785FB4" w:rsidRDefault="00B75674" w:rsidP="00412D99">
            <w:pPr>
              <w:rPr>
                <w:lang w:val="en-GB"/>
              </w:rPr>
            </w:pPr>
            <w:r w:rsidRPr="00785FB4">
              <w:rPr>
                <w:lang w:val="en-GB"/>
              </w:rPr>
              <w:t>September 2016</w:t>
            </w:r>
          </w:p>
        </w:tc>
        <w:tc>
          <w:tcPr>
            <w:tcW w:w="1842" w:type="dxa"/>
          </w:tcPr>
          <w:p w14:paraId="2712B37F" w14:textId="063EC24E" w:rsidR="00B75674" w:rsidRPr="00785FB4" w:rsidRDefault="00B75674" w:rsidP="00412D99">
            <w:pPr>
              <w:rPr>
                <w:lang w:val="en-GB"/>
              </w:rPr>
            </w:pPr>
            <w:r w:rsidRPr="00785FB4">
              <w:rPr>
                <w:lang w:val="en-GB"/>
              </w:rPr>
              <w:t>Hart Nurse UK</w:t>
            </w:r>
          </w:p>
        </w:tc>
        <w:tc>
          <w:tcPr>
            <w:tcW w:w="3253" w:type="dxa"/>
          </w:tcPr>
          <w:p w14:paraId="137CE455" w14:textId="6FCA8386" w:rsidR="00B75674" w:rsidRPr="00785FB4" w:rsidRDefault="00B75674" w:rsidP="00412D99">
            <w:pPr>
              <w:rPr>
                <w:lang w:val="en-GB"/>
              </w:rPr>
            </w:pPr>
            <w:r w:rsidRPr="00785FB4">
              <w:rPr>
                <w:lang w:val="en-GB"/>
              </w:rPr>
              <w:t>239,494</w:t>
            </w:r>
          </w:p>
        </w:tc>
      </w:tr>
      <w:tr w:rsidR="00B75674" w:rsidRPr="00785FB4" w14:paraId="287E3C90" w14:textId="77777777" w:rsidTr="00B75674">
        <w:tc>
          <w:tcPr>
            <w:tcW w:w="2588" w:type="dxa"/>
          </w:tcPr>
          <w:p w14:paraId="5BE9358F" w14:textId="78878F34" w:rsidR="00B75674" w:rsidRPr="00785FB4" w:rsidRDefault="00B75674" w:rsidP="00412D99">
            <w:pPr>
              <w:rPr>
                <w:lang w:val="en-GB"/>
              </w:rPr>
            </w:pPr>
            <w:r w:rsidRPr="00785FB4">
              <w:rPr>
                <w:lang w:val="en-GB"/>
              </w:rPr>
              <w:t>2012-2013 Afghanistan EITI Report (4</w:t>
            </w:r>
            <w:r w:rsidRPr="00785FB4">
              <w:rPr>
                <w:vertAlign w:val="superscript"/>
                <w:lang w:val="en-GB"/>
              </w:rPr>
              <w:t>th</w:t>
            </w:r>
            <w:r w:rsidRPr="00785FB4">
              <w:rPr>
                <w:lang w:val="en-GB"/>
              </w:rPr>
              <w:t xml:space="preserve"> Report)</w:t>
            </w:r>
          </w:p>
        </w:tc>
        <w:tc>
          <w:tcPr>
            <w:tcW w:w="1802" w:type="dxa"/>
          </w:tcPr>
          <w:p w14:paraId="1CB8A244" w14:textId="3A4E82EE" w:rsidR="00B75674" w:rsidRPr="00785FB4" w:rsidRDefault="00B75674" w:rsidP="00412D99">
            <w:pPr>
              <w:rPr>
                <w:lang w:val="en-GB"/>
              </w:rPr>
            </w:pPr>
            <w:r w:rsidRPr="00785FB4">
              <w:rPr>
                <w:lang w:val="en-GB"/>
              </w:rPr>
              <w:t>December 2014, modified in May 2015 and again in September 2015</w:t>
            </w:r>
          </w:p>
        </w:tc>
        <w:tc>
          <w:tcPr>
            <w:tcW w:w="1842" w:type="dxa"/>
          </w:tcPr>
          <w:p w14:paraId="7235D315" w14:textId="7F035D17" w:rsidR="00B75674" w:rsidRPr="00785FB4" w:rsidRDefault="00B75674" w:rsidP="00412D99">
            <w:pPr>
              <w:rPr>
                <w:lang w:val="en-GB"/>
              </w:rPr>
            </w:pPr>
            <w:r w:rsidRPr="00785FB4">
              <w:rPr>
                <w:lang w:val="en-GB"/>
              </w:rPr>
              <w:t>Hart Nurse UK</w:t>
            </w:r>
          </w:p>
        </w:tc>
        <w:tc>
          <w:tcPr>
            <w:tcW w:w="3253" w:type="dxa"/>
          </w:tcPr>
          <w:p w14:paraId="15EFB84E" w14:textId="5048C52F" w:rsidR="00B75674" w:rsidRPr="00785FB4" w:rsidRDefault="00647295" w:rsidP="00412D99">
            <w:pPr>
              <w:rPr>
                <w:lang w:val="en-GB"/>
              </w:rPr>
            </w:pPr>
            <w:r w:rsidRPr="00785FB4">
              <w:rPr>
                <w:lang w:val="en-GB"/>
              </w:rPr>
              <w:t>257,285. This included:</w:t>
            </w:r>
            <w:r w:rsidRPr="00785FB4">
              <w:rPr>
                <w:lang w:val="en-GB"/>
              </w:rPr>
              <w:br/>
            </w:r>
            <w:r w:rsidR="00B75674" w:rsidRPr="00785FB4">
              <w:rPr>
                <w:lang w:val="en-GB"/>
              </w:rPr>
              <w:t>135,000 (original contract</w:t>
            </w:r>
            <w:r w:rsidRPr="00785FB4">
              <w:rPr>
                <w:lang w:val="en-GB"/>
              </w:rPr>
              <w:t xml:space="preserve"> for 2012</w:t>
            </w:r>
            <w:r w:rsidR="00B75674" w:rsidRPr="00785FB4">
              <w:rPr>
                <w:lang w:val="en-GB"/>
              </w:rPr>
              <w:t>)</w:t>
            </w:r>
            <w:r w:rsidRPr="00785FB4">
              <w:rPr>
                <w:lang w:val="en-GB"/>
              </w:rPr>
              <w:t>,</w:t>
            </w:r>
            <w:r w:rsidR="00B75674" w:rsidRPr="00785FB4">
              <w:rPr>
                <w:lang w:val="en-GB"/>
              </w:rPr>
              <w:t xml:space="preserve"> an additional 15,786</w:t>
            </w:r>
            <w:r w:rsidRPr="00785FB4">
              <w:rPr>
                <w:lang w:val="en-GB"/>
              </w:rPr>
              <w:t xml:space="preserve"> added in May 2015 and</w:t>
            </w:r>
            <w:r w:rsidR="00B75674" w:rsidRPr="00785FB4">
              <w:rPr>
                <w:lang w:val="en-GB"/>
              </w:rPr>
              <w:t xml:space="preserve"> an additional 106,499</w:t>
            </w:r>
            <w:r w:rsidRPr="00785FB4">
              <w:rPr>
                <w:lang w:val="en-GB"/>
              </w:rPr>
              <w:t xml:space="preserve"> for 2013 added in September 2015.</w:t>
            </w:r>
          </w:p>
        </w:tc>
      </w:tr>
      <w:tr w:rsidR="00B75674" w:rsidRPr="00785FB4" w14:paraId="46117E2C" w14:textId="77777777" w:rsidTr="00B75674">
        <w:tc>
          <w:tcPr>
            <w:tcW w:w="2588" w:type="dxa"/>
          </w:tcPr>
          <w:p w14:paraId="12DA2BF5" w14:textId="554DD36D" w:rsidR="00B75674" w:rsidRPr="00785FB4" w:rsidRDefault="00B75674" w:rsidP="00412D99">
            <w:pPr>
              <w:rPr>
                <w:lang w:val="en-GB"/>
              </w:rPr>
            </w:pPr>
            <w:r w:rsidRPr="00785FB4">
              <w:rPr>
                <w:lang w:val="en-GB"/>
              </w:rPr>
              <w:t>2011-2012 Afghanistan EITI Report (3</w:t>
            </w:r>
            <w:r w:rsidRPr="00785FB4">
              <w:rPr>
                <w:vertAlign w:val="superscript"/>
                <w:lang w:val="en-GB"/>
              </w:rPr>
              <w:t>rd</w:t>
            </w:r>
            <w:r w:rsidRPr="00785FB4">
              <w:rPr>
                <w:lang w:val="en-GB"/>
              </w:rPr>
              <w:t xml:space="preserve"> Report)</w:t>
            </w:r>
          </w:p>
        </w:tc>
        <w:tc>
          <w:tcPr>
            <w:tcW w:w="1802" w:type="dxa"/>
          </w:tcPr>
          <w:p w14:paraId="56D51385" w14:textId="77777777" w:rsidR="00B75674" w:rsidRPr="00785FB4" w:rsidRDefault="00B75674" w:rsidP="00412D99">
            <w:pPr>
              <w:rPr>
                <w:lang w:val="en-GB"/>
              </w:rPr>
            </w:pPr>
          </w:p>
        </w:tc>
        <w:tc>
          <w:tcPr>
            <w:tcW w:w="1842" w:type="dxa"/>
          </w:tcPr>
          <w:p w14:paraId="475AB407" w14:textId="56050F8D" w:rsidR="00B75674" w:rsidRPr="00785FB4" w:rsidRDefault="00B75674" w:rsidP="00412D99">
            <w:pPr>
              <w:rPr>
                <w:lang w:val="en-GB"/>
              </w:rPr>
            </w:pPr>
            <w:r w:rsidRPr="00785FB4">
              <w:rPr>
                <w:lang w:val="en-GB"/>
              </w:rPr>
              <w:t>Moore-Stephens Azerbaijan</w:t>
            </w:r>
          </w:p>
        </w:tc>
        <w:tc>
          <w:tcPr>
            <w:tcW w:w="3253" w:type="dxa"/>
          </w:tcPr>
          <w:p w14:paraId="7DB93ACB" w14:textId="01D3C701" w:rsidR="00B75674" w:rsidRPr="00785FB4" w:rsidRDefault="00B75674" w:rsidP="00412D99">
            <w:pPr>
              <w:rPr>
                <w:lang w:val="en-GB"/>
              </w:rPr>
            </w:pPr>
            <w:r w:rsidRPr="00785FB4">
              <w:rPr>
                <w:lang w:val="en-GB"/>
              </w:rPr>
              <w:t>63,984</w:t>
            </w:r>
          </w:p>
        </w:tc>
      </w:tr>
    </w:tbl>
    <w:p w14:paraId="0DB551D9" w14:textId="77777777" w:rsidR="00412D99" w:rsidRPr="00785FB4" w:rsidRDefault="00412D99" w:rsidP="00412D99"/>
    <w:p w14:paraId="504BF82D" w14:textId="77777777" w:rsidR="006F601A" w:rsidRPr="00785FB4" w:rsidRDefault="006F601A" w:rsidP="00D83E0C">
      <w:bookmarkStart w:id="666" w:name="_Toc459133213"/>
      <w:bookmarkStart w:id="667" w:name="_Toc461803162"/>
      <w:bookmarkStart w:id="668" w:name="_Toc461787373"/>
      <w:bookmarkStart w:id="669" w:name="_Toc461795885"/>
      <w:bookmarkStart w:id="670" w:name="_Toc505449728"/>
      <w:bookmarkStart w:id="671" w:name="_Toc505449836"/>
    </w:p>
    <w:p w14:paraId="37B402A9" w14:textId="77777777" w:rsidR="006F601A" w:rsidRPr="00785FB4" w:rsidRDefault="006F601A" w:rsidP="00D83E0C"/>
    <w:p w14:paraId="34D7C94E" w14:textId="77777777" w:rsidR="00AB744A" w:rsidRPr="00785FB4" w:rsidRDefault="00AB744A">
      <w:pPr>
        <w:widowControl/>
        <w:suppressAutoHyphens w:val="0"/>
        <w:spacing w:after="0" w:line="240" w:lineRule="auto"/>
        <w:rPr>
          <w:b/>
          <w:bCs/>
          <w:color w:val="4F81BD"/>
          <w:sz w:val="28"/>
          <w:szCs w:val="26"/>
        </w:rPr>
      </w:pPr>
      <w:r w:rsidRPr="00785FB4">
        <w:br w:type="page"/>
      </w:r>
    </w:p>
    <w:p w14:paraId="7F6C22DF" w14:textId="264B6112" w:rsidR="00DF124A" w:rsidRPr="00785FB4" w:rsidRDefault="005E45A9" w:rsidP="00A94167">
      <w:pPr>
        <w:pStyle w:val="Heading2"/>
      </w:pPr>
      <w:r w:rsidRPr="00785FB4">
        <w:lastRenderedPageBreak/>
        <w:t>Annex D -</w:t>
      </w:r>
      <w:r w:rsidR="00A843C6" w:rsidRPr="00785FB4">
        <w:t xml:space="preserve"> </w:t>
      </w:r>
      <w:r w:rsidR="00DF124A" w:rsidRPr="00785FB4">
        <w:t>List of stakeholders consulted</w:t>
      </w:r>
      <w:bookmarkEnd w:id="659"/>
      <w:bookmarkEnd w:id="666"/>
      <w:bookmarkEnd w:id="667"/>
      <w:bookmarkEnd w:id="668"/>
      <w:bookmarkEnd w:id="669"/>
      <w:bookmarkEnd w:id="670"/>
      <w:bookmarkEnd w:id="671"/>
    </w:p>
    <w:p w14:paraId="7282B600" w14:textId="0721C3BD" w:rsidR="00DF124A" w:rsidRPr="00785FB4" w:rsidRDefault="00DF124A" w:rsidP="00A94167">
      <w:pPr>
        <w:pStyle w:val="Heading3"/>
      </w:pPr>
      <w:bookmarkStart w:id="672" w:name="_Toc505449729"/>
      <w:r w:rsidRPr="00785FB4">
        <w:t>Government</w:t>
      </w:r>
      <w:bookmarkEnd w:id="672"/>
    </w:p>
    <w:p w14:paraId="11F17D6A" w14:textId="618B126E" w:rsidR="00BF5F55" w:rsidRPr="00785FB4" w:rsidRDefault="00BF5F55" w:rsidP="00A73FD3">
      <w:pPr>
        <w:spacing w:before="120"/>
        <w:rPr>
          <w:bCs/>
        </w:rPr>
      </w:pPr>
      <w:r w:rsidRPr="00785FB4">
        <w:rPr>
          <w:bCs/>
        </w:rPr>
        <w:t>Nargis Nehan, Acting Minister of Mines and Petroleum and AEITI Chair</w:t>
      </w:r>
    </w:p>
    <w:p w14:paraId="1257118B" w14:textId="2619F96F" w:rsidR="00BF5F55" w:rsidRPr="00785FB4" w:rsidRDefault="00BF5F55" w:rsidP="00A73FD3">
      <w:pPr>
        <w:spacing w:before="120"/>
        <w:rPr>
          <w:bCs/>
        </w:rPr>
      </w:pPr>
      <w:r w:rsidRPr="00785FB4">
        <w:rPr>
          <w:bCs/>
        </w:rPr>
        <w:t>Ghazaal Habibyar-Safi, Deputy Minister, Ministry of Mines and Petroleum</w:t>
      </w:r>
    </w:p>
    <w:p w14:paraId="4D82E985" w14:textId="4A49DA85" w:rsidR="00BF5F55" w:rsidRPr="00785FB4" w:rsidRDefault="00BF5F55" w:rsidP="00A73FD3">
      <w:pPr>
        <w:spacing w:before="120"/>
        <w:rPr>
          <w:bCs/>
        </w:rPr>
      </w:pPr>
      <w:r w:rsidRPr="00785FB4">
        <w:t>Ali Reza Jafari, Advisor, Ministry of Mines and Petroleum</w:t>
      </w:r>
    </w:p>
    <w:p w14:paraId="6A8A8EC9" w14:textId="26DD46CA" w:rsidR="00EC38EB" w:rsidRPr="00785FB4" w:rsidRDefault="000B0C27" w:rsidP="00A73FD3">
      <w:pPr>
        <w:spacing w:before="120"/>
        <w:rPr>
          <w:bCs/>
        </w:rPr>
      </w:pPr>
      <w:r w:rsidRPr="00785FB4">
        <w:rPr>
          <w:bCs/>
        </w:rPr>
        <w:t xml:space="preserve">Abdul Wahed </w:t>
      </w:r>
      <w:r w:rsidR="00236CAE" w:rsidRPr="00785FB4">
        <w:rPr>
          <w:bCs/>
        </w:rPr>
        <w:t>Jaihon, F</w:t>
      </w:r>
      <w:r w:rsidRPr="00785FB4">
        <w:rPr>
          <w:bCs/>
        </w:rPr>
        <w:t>inance and Accounting Director, Ministry of Mines and Petroleum</w:t>
      </w:r>
    </w:p>
    <w:p w14:paraId="45A8E516" w14:textId="34D29135" w:rsidR="00EA65A1" w:rsidRPr="00785FB4" w:rsidRDefault="00EA65A1" w:rsidP="00A73FD3">
      <w:pPr>
        <w:spacing w:before="120"/>
        <w:rPr>
          <w:bCs/>
        </w:rPr>
      </w:pPr>
      <w:r w:rsidRPr="00785FB4">
        <w:rPr>
          <w:bCs/>
        </w:rPr>
        <w:t>Sha</w:t>
      </w:r>
      <w:r w:rsidR="00236CAE" w:rsidRPr="00785FB4">
        <w:rPr>
          <w:bCs/>
        </w:rPr>
        <w:t>heedullah Sangin, Project Analyst, Office of the Senior Advisor in Banking and Finance, Administrative Office of the President</w:t>
      </w:r>
    </w:p>
    <w:p w14:paraId="0D195E9F" w14:textId="75D5A487" w:rsidR="00236CAE" w:rsidRPr="00785FB4" w:rsidRDefault="00236CAE" w:rsidP="00A73FD3">
      <w:pPr>
        <w:spacing w:before="120"/>
        <w:rPr>
          <w:bCs/>
        </w:rPr>
      </w:pPr>
      <w:r w:rsidRPr="00785FB4">
        <w:rPr>
          <w:bCs/>
        </w:rPr>
        <w:t>Imtiaz Sharifi, Deputy Director, Large Taxpayer Office, Ministry of Finance</w:t>
      </w:r>
    </w:p>
    <w:p w14:paraId="2015D039" w14:textId="69F72DA0" w:rsidR="00236CAE" w:rsidRPr="00785FB4" w:rsidRDefault="00236CAE" w:rsidP="00A73FD3">
      <w:pPr>
        <w:spacing w:before="120"/>
        <w:rPr>
          <w:bCs/>
        </w:rPr>
      </w:pPr>
      <w:r w:rsidRPr="00785FB4">
        <w:rPr>
          <w:bCs/>
        </w:rPr>
        <w:t>Saboor Kamran, Provincial Revenue Liaison advisor, Ministry of Finance</w:t>
      </w:r>
    </w:p>
    <w:p w14:paraId="4A9E39A0" w14:textId="729F7948" w:rsidR="00236CAE" w:rsidRPr="00785FB4" w:rsidRDefault="00236CAE" w:rsidP="00A73FD3">
      <w:pPr>
        <w:spacing w:before="120"/>
        <w:rPr>
          <w:bCs/>
        </w:rPr>
      </w:pPr>
      <w:r w:rsidRPr="00785FB4">
        <w:rPr>
          <w:bCs/>
        </w:rPr>
        <w:t>Aziz Rahman Habibi, Audit Manager, Large Taxpayer Office, Ministry of Finance</w:t>
      </w:r>
    </w:p>
    <w:p w14:paraId="6AFCA4AF" w14:textId="0999F42B" w:rsidR="00BF5F55" w:rsidRPr="00785FB4" w:rsidRDefault="00BF5F55" w:rsidP="00A73FD3">
      <w:pPr>
        <w:spacing w:before="120"/>
        <w:rPr>
          <w:bCs/>
        </w:rPr>
      </w:pPr>
      <w:r w:rsidRPr="00785FB4">
        <w:rPr>
          <w:bCs/>
        </w:rPr>
        <w:t>Mir Ahmad Javid, Deputy Minister, Policy and Programs, Ministry of Mines and Petroleum</w:t>
      </w:r>
    </w:p>
    <w:p w14:paraId="3EDADADC" w14:textId="251ABB03" w:rsidR="000B0C27" w:rsidRPr="00785FB4" w:rsidRDefault="00BF5F55" w:rsidP="00A73FD3">
      <w:pPr>
        <w:spacing w:before="120"/>
      </w:pPr>
      <w:r w:rsidRPr="00785FB4">
        <w:t>Bahavana Mahajan, Advisor, Ministry of Mines and Petroleum</w:t>
      </w:r>
    </w:p>
    <w:p w14:paraId="0D853377" w14:textId="067E648D" w:rsidR="00BF5F55" w:rsidRPr="00785FB4" w:rsidRDefault="00BF5F55" w:rsidP="00A73FD3">
      <w:pPr>
        <w:spacing w:before="120"/>
      </w:pPr>
      <w:r w:rsidRPr="00785FB4">
        <w:t>Tariq Sarfaraz, Director of Central Business Registry</w:t>
      </w:r>
    </w:p>
    <w:p w14:paraId="39E42BB2" w14:textId="12130157" w:rsidR="003D7E78" w:rsidRPr="00785FB4" w:rsidRDefault="003D7E78" w:rsidP="00A73FD3">
      <w:pPr>
        <w:spacing w:before="120"/>
      </w:pPr>
      <w:r w:rsidRPr="00785FB4">
        <w:t>Farhan Abdul Rahman, AEITI National Coordinator</w:t>
      </w:r>
    </w:p>
    <w:p w14:paraId="178A1B11" w14:textId="0BA0A2EF" w:rsidR="000A7A93" w:rsidRPr="00785FB4" w:rsidRDefault="00DF124A" w:rsidP="00A94167">
      <w:pPr>
        <w:pStyle w:val="Heading3"/>
      </w:pPr>
      <w:bookmarkStart w:id="673" w:name="_Toc505449731"/>
      <w:r w:rsidRPr="00785FB4">
        <w:t>Industry</w:t>
      </w:r>
      <w:bookmarkEnd w:id="673"/>
    </w:p>
    <w:p w14:paraId="62E60BAF" w14:textId="42635A11" w:rsidR="009120D1" w:rsidRPr="00785FB4" w:rsidRDefault="00236CAE" w:rsidP="001825D4">
      <w:pPr>
        <w:spacing w:before="120"/>
        <w:rPr>
          <w:bCs/>
        </w:rPr>
      </w:pPr>
      <w:r w:rsidRPr="00785FB4">
        <w:rPr>
          <w:bCs/>
        </w:rPr>
        <w:t>Ashaq Hassain, Core Drillers,</w:t>
      </w:r>
    </w:p>
    <w:p w14:paraId="78830FC5" w14:textId="7F76C15C" w:rsidR="00236CAE" w:rsidRPr="00785FB4" w:rsidRDefault="00236CAE" w:rsidP="001825D4">
      <w:pPr>
        <w:spacing w:before="120"/>
        <w:rPr>
          <w:bCs/>
        </w:rPr>
      </w:pPr>
      <w:r w:rsidRPr="00785FB4">
        <w:rPr>
          <w:bCs/>
        </w:rPr>
        <w:t>Ahmad Ramin Rahi, CNPCI</w:t>
      </w:r>
    </w:p>
    <w:p w14:paraId="09E4D8C4" w14:textId="7FE17D8E" w:rsidR="00236CAE" w:rsidRPr="00785FB4" w:rsidRDefault="00236CAE" w:rsidP="001825D4">
      <w:pPr>
        <w:spacing w:before="120"/>
        <w:rPr>
          <w:bCs/>
        </w:rPr>
      </w:pPr>
      <w:r w:rsidRPr="00785FB4">
        <w:rPr>
          <w:bCs/>
        </w:rPr>
        <w:t>Shafiq Atayee, ACCI</w:t>
      </w:r>
    </w:p>
    <w:p w14:paraId="089AAA93" w14:textId="61D1B120" w:rsidR="00236CAE" w:rsidRPr="00785FB4" w:rsidRDefault="00236CAE" w:rsidP="001825D4">
      <w:pPr>
        <w:spacing w:before="120"/>
        <w:rPr>
          <w:bCs/>
        </w:rPr>
      </w:pPr>
      <w:r w:rsidRPr="00785FB4">
        <w:rPr>
          <w:bCs/>
        </w:rPr>
        <w:t>Sardan Hussain, Messaj-e-Sharq</w:t>
      </w:r>
    </w:p>
    <w:p w14:paraId="4484F6A9" w14:textId="6E3227FA" w:rsidR="00236CAE" w:rsidRPr="00785FB4" w:rsidRDefault="00236CAE" w:rsidP="001825D4">
      <w:pPr>
        <w:spacing w:before="120"/>
        <w:rPr>
          <w:bCs/>
        </w:rPr>
      </w:pPr>
      <w:r w:rsidRPr="00785FB4">
        <w:rPr>
          <w:bCs/>
        </w:rPr>
        <w:t>Bashir Andisha, Khoeshek Brothers</w:t>
      </w:r>
    </w:p>
    <w:p w14:paraId="3781FA9B" w14:textId="77777777" w:rsidR="00DF124A" w:rsidRPr="00785FB4" w:rsidRDefault="00DF124A" w:rsidP="00A94167">
      <w:pPr>
        <w:pStyle w:val="Heading3"/>
      </w:pPr>
      <w:bookmarkStart w:id="674" w:name="_Toc505449732"/>
      <w:r w:rsidRPr="00785FB4">
        <w:t>Civil Society</w:t>
      </w:r>
      <w:bookmarkEnd w:id="674"/>
    </w:p>
    <w:p w14:paraId="3E269D99" w14:textId="67D4F544" w:rsidR="001825D4" w:rsidRPr="00785FB4" w:rsidRDefault="000B0C27" w:rsidP="001825D4">
      <w:pPr>
        <w:spacing w:before="120"/>
        <w:rPr>
          <w:bCs/>
        </w:rPr>
      </w:pPr>
      <w:r w:rsidRPr="00785FB4">
        <w:rPr>
          <w:bCs/>
        </w:rPr>
        <w:t>Attaullah Khan, Executive Diretor, HRRAC</w:t>
      </w:r>
    </w:p>
    <w:p w14:paraId="6FD21D4C" w14:textId="7A168C54" w:rsidR="00864814" w:rsidRPr="00785FB4" w:rsidRDefault="00864814" w:rsidP="001825D4">
      <w:pPr>
        <w:spacing w:before="120"/>
        <w:rPr>
          <w:bCs/>
        </w:rPr>
      </w:pPr>
      <w:r w:rsidRPr="00785FB4">
        <w:rPr>
          <w:bCs/>
        </w:rPr>
        <w:lastRenderedPageBreak/>
        <w:t>Zinat Jan, HRRAC</w:t>
      </w:r>
    </w:p>
    <w:p w14:paraId="5D3F96DC" w14:textId="1068F0E1" w:rsidR="000B0C27" w:rsidRPr="00785FB4" w:rsidRDefault="00236CAE" w:rsidP="001825D4">
      <w:pPr>
        <w:spacing w:before="120"/>
        <w:rPr>
          <w:bCs/>
        </w:rPr>
      </w:pPr>
      <w:r w:rsidRPr="00785FB4">
        <w:rPr>
          <w:bCs/>
        </w:rPr>
        <w:t>Habiburahman Nang, PETWO</w:t>
      </w:r>
    </w:p>
    <w:p w14:paraId="24ED9572" w14:textId="20D18219" w:rsidR="00236CAE" w:rsidRPr="00785FB4" w:rsidRDefault="00236CAE" w:rsidP="001825D4">
      <w:pPr>
        <w:spacing w:before="120"/>
        <w:rPr>
          <w:bCs/>
        </w:rPr>
      </w:pPr>
      <w:r w:rsidRPr="00785FB4">
        <w:rPr>
          <w:bCs/>
        </w:rPr>
        <w:t>Afzal Sherzade, Wadan</w:t>
      </w:r>
    </w:p>
    <w:p w14:paraId="2078CB21" w14:textId="7A4A9FE7" w:rsidR="00236CAE" w:rsidRPr="00785FB4" w:rsidRDefault="00236CAE" w:rsidP="001825D4">
      <w:pPr>
        <w:spacing w:before="120"/>
        <w:rPr>
          <w:bCs/>
        </w:rPr>
      </w:pPr>
      <w:r w:rsidRPr="00785FB4">
        <w:rPr>
          <w:bCs/>
        </w:rPr>
        <w:t>Naser Timory, IWA</w:t>
      </w:r>
    </w:p>
    <w:p w14:paraId="1BE54C38" w14:textId="6F8E216E" w:rsidR="00236CAE" w:rsidRPr="00785FB4" w:rsidRDefault="00236CAE" w:rsidP="001825D4">
      <w:pPr>
        <w:spacing w:before="120"/>
        <w:rPr>
          <w:bCs/>
        </w:rPr>
      </w:pPr>
      <w:r w:rsidRPr="00785FB4">
        <w:rPr>
          <w:bCs/>
        </w:rPr>
        <w:t>Javed Noorani, ENRMN</w:t>
      </w:r>
    </w:p>
    <w:p w14:paraId="3AA55F8A" w14:textId="1AAA10BF" w:rsidR="00236CAE" w:rsidRPr="00785FB4" w:rsidRDefault="00236CAE" w:rsidP="001825D4">
      <w:pPr>
        <w:spacing w:before="120"/>
        <w:rPr>
          <w:bCs/>
        </w:rPr>
      </w:pPr>
      <w:r w:rsidRPr="00785FB4">
        <w:rPr>
          <w:bCs/>
        </w:rPr>
        <w:t>Ibrahim Jafari, ENRMN</w:t>
      </w:r>
    </w:p>
    <w:p w14:paraId="59F0A54D" w14:textId="187CFC4B" w:rsidR="00236CAE" w:rsidRPr="00785FB4" w:rsidRDefault="00236CAE" w:rsidP="001825D4">
      <w:pPr>
        <w:spacing w:before="120"/>
        <w:rPr>
          <w:bCs/>
        </w:rPr>
      </w:pPr>
      <w:r w:rsidRPr="00785FB4">
        <w:rPr>
          <w:bCs/>
        </w:rPr>
        <w:t>Abdul Mateen, IWA</w:t>
      </w:r>
    </w:p>
    <w:p w14:paraId="2EE51064" w14:textId="79EBE885" w:rsidR="00236CAE" w:rsidRPr="00785FB4" w:rsidRDefault="00236CAE" w:rsidP="001825D4">
      <w:pPr>
        <w:spacing w:before="120"/>
        <w:rPr>
          <w:bCs/>
        </w:rPr>
      </w:pPr>
      <w:r w:rsidRPr="00785FB4">
        <w:rPr>
          <w:bCs/>
        </w:rPr>
        <w:t>Ahmad Ataee, EMRN</w:t>
      </w:r>
    </w:p>
    <w:p w14:paraId="6A442B47" w14:textId="2B231660" w:rsidR="00864814" w:rsidRPr="00785FB4" w:rsidRDefault="00864814" w:rsidP="001825D4">
      <w:pPr>
        <w:spacing w:before="120"/>
        <w:rPr>
          <w:bCs/>
        </w:rPr>
      </w:pPr>
      <w:r w:rsidRPr="00785FB4">
        <w:rPr>
          <w:bCs/>
        </w:rPr>
        <w:t>Stephen Carter, Global Witness</w:t>
      </w:r>
    </w:p>
    <w:p w14:paraId="5820BB55" w14:textId="5A230D4D" w:rsidR="00436F01" w:rsidRPr="00785FB4" w:rsidRDefault="00436F01" w:rsidP="00A94167">
      <w:pPr>
        <w:pStyle w:val="Heading3"/>
      </w:pPr>
      <w:bookmarkStart w:id="675" w:name="_Toc505449733"/>
      <w:r w:rsidRPr="00785FB4">
        <w:t>Independent administrators</w:t>
      </w:r>
      <w:bookmarkEnd w:id="675"/>
    </w:p>
    <w:p w14:paraId="6DACD73C" w14:textId="0CC399D9" w:rsidR="00CC1221" w:rsidRPr="00785FB4" w:rsidRDefault="00864814" w:rsidP="00CC1221">
      <w:pPr>
        <w:spacing w:before="120"/>
        <w:rPr>
          <w:bCs/>
        </w:rPr>
      </w:pPr>
      <w:r w:rsidRPr="00785FB4">
        <w:rPr>
          <w:bCs/>
        </w:rPr>
        <w:t>David Quinn, Hart Group</w:t>
      </w:r>
    </w:p>
    <w:p w14:paraId="46F1C6B7" w14:textId="2D681A9D" w:rsidR="003D7E78" w:rsidRPr="00785FB4" w:rsidRDefault="003D7E78" w:rsidP="00CC1221">
      <w:pPr>
        <w:spacing w:before="120"/>
        <w:rPr>
          <w:bCs/>
        </w:rPr>
      </w:pPr>
      <w:r w:rsidRPr="00785FB4">
        <w:rPr>
          <w:bCs/>
        </w:rPr>
        <w:t>Feroz Rafiq, AHG</w:t>
      </w:r>
    </w:p>
    <w:p w14:paraId="0B6FB09E" w14:textId="1E5786C3" w:rsidR="008307CF" w:rsidRPr="00785FB4" w:rsidRDefault="008307CF" w:rsidP="00A94167">
      <w:pPr>
        <w:pStyle w:val="Heading3"/>
      </w:pPr>
      <w:bookmarkStart w:id="676" w:name="_Toc505449734"/>
      <w:r w:rsidRPr="00785FB4">
        <w:t>Development partners</w:t>
      </w:r>
      <w:bookmarkEnd w:id="676"/>
    </w:p>
    <w:p w14:paraId="63F48BFB" w14:textId="7152CCD3" w:rsidR="00D31792" w:rsidRPr="00785FB4" w:rsidRDefault="000B0C27" w:rsidP="00CC1221">
      <w:pPr>
        <w:spacing w:before="120"/>
        <w:rPr>
          <w:bCs/>
        </w:rPr>
      </w:pPr>
      <w:r w:rsidRPr="00785FB4">
        <w:rPr>
          <w:bCs/>
        </w:rPr>
        <w:t>Ali Aqa Yaqubi, Technical Project Officer, Academic Mining Education in Afghanistan, GIZ</w:t>
      </w:r>
    </w:p>
    <w:p w14:paraId="1088B28A" w14:textId="7770572D" w:rsidR="000B0C27" w:rsidRPr="00785FB4" w:rsidRDefault="00A81595" w:rsidP="00CC1221">
      <w:pPr>
        <w:spacing w:before="120"/>
        <w:rPr>
          <w:bCs/>
        </w:rPr>
      </w:pPr>
      <w:r w:rsidRPr="00785FB4">
        <w:rPr>
          <w:bCs/>
        </w:rPr>
        <w:t>Habibullah Mirkhail, Tec</w:t>
      </w:r>
      <w:r w:rsidR="00BF5F55" w:rsidRPr="00785FB4">
        <w:rPr>
          <w:bCs/>
        </w:rPr>
        <w:t>hnical Project Officer, Mining G</w:t>
      </w:r>
      <w:r w:rsidRPr="00785FB4">
        <w:rPr>
          <w:bCs/>
        </w:rPr>
        <w:t>overnance Project, GIZ</w:t>
      </w:r>
    </w:p>
    <w:p w14:paraId="2BDF1F63" w14:textId="7D3B1E59" w:rsidR="00BF5F55" w:rsidRPr="00785FB4" w:rsidRDefault="00BF5F55" w:rsidP="00CC1221">
      <w:pPr>
        <w:spacing w:before="120"/>
        <w:rPr>
          <w:bCs/>
        </w:rPr>
      </w:pPr>
      <w:r w:rsidRPr="00785FB4">
        <w:rPr>
          <w:bCs/>
        </w:rPr>
        <w:t>Amani Sultani, Mining Governance Project, GIZ</w:t>
      </w:r>
    </w:p>
    <w:p w14:paraId="60083B42" w14:textId="2875046E" w:rsidR="008C65E0" w:rsidRPr="00785FB4" w:rsidRDefault="008C65E0" w:rsidP="00CC1221">
      <w:pPr>
        <w:spacing w:before="120"/>
        <w:rPr>
          <w:bCs/>
        </w:rPr>
      </w:pPr>
      <w:r w:rsidRPr="00785FB4">
        <w:rPr>
          <w:bCs/>
        </w:rPr>
        <w:t>Mariusz Sumlinski, Senior Economist, IMF</w:t>
      </w:r>
    </w:p>
    <w:p w14:paraId="2C37B785" w14:textId="51C85713" w:rsidR="008C65E0" w:rsidRPr="00785FB4" w:rsidRDefault="008C65E0" w:rsidP="00CC1221">
      <w:pPr>
        <w:spacing w:before="120"/>
        <w:rPr>
          <w:bCs/>
        </w:rPr>
      </w:pPr>
      <w:r w:rsidRPr="00785FB4">
        <w:rPr>
          <w:bCs/>
        </w:rPr>
        <w:t>Murtaza Muzaffari, IMF</w:t>
      </w:r>
    </w:p>
    <w:p w14:paraId="389E5D05" w14:textId="3174D274" w:rsidR="008C65E0" w:rsidRPr="00785FB4" w:rsidRDefault="008C65E0" w:rsidP="00CC1221">
      <w:pPr>
        <w:spacing w:before="120"/>
        <w:rPr>
          <w:bCs/>
        </w:rPr>
      </w:pPr>
      <w:r w:rsidRPr="00785FB4">
        <w:rPr>
          <w:bCs/>
        </w:rPr>
        <w:t>Barbara Egger, Attaché, European Union Delegation</w:t>
      </w:r>
    </w:p>
    <w:p w14:paraId="23D916DE" w14:textId="52651C67" w:rsidR="008C65E0" w:rsidRPr="00785FB4" w:rsidRDefault="003D7E78" w:rsidP="00CC1221">
      <w:pPr>
        <w:spacing w:before="120"/>
        <w:rPr>
          <w:bCs/>
        </w:rPr>
      </w:pPr>
      <w:r w:rsidRPr="00785FB4">
        <w:rPr>
          <w:bCs/>
        </w:rPr>
        <w:t xml:space="preserve">Khalid </w:t>
      </w:r>
      <w:r w:rsidR="008C65E0" w:rsidRPr="00785FB4">
        <w:rPr>
          <w:bCs/>
        </w:rPr>
        <w:t>Hamdard, European Union Delegation</w:t>
      </w:r>
    </w:p>
    <w:p w14:paraId="2586F343" w14:textId="4387074B" w:rsidR="003D7E78" w:rsidRPr="00785FB4" w:rsidRDefault="003D7E78" w:rsidP="00CC1221">
      <w:pPr>
        <w:spacing w:before="120"/>
        <w:rPr>
          <w:bCs/>
        </w:rPr>
      </w:pPr>
      <w:r w:rsidRPr="00785FB4">
        <w:rPr>
          <w:bCs/>
        </w:rPr>
        <w:t>Ajmal Waziri, DFID</w:t>
      </w:r>
    </w:p>
    <w:p w14:paraId="2E2FA65C" w14:textId="0F10FEC1" w:rsidR="003D7E78" w:rsidRPr="00785FB4" w:rsidRDefault="003D7E78" w:rsidP="00CC1221">
      <w:pPr>
        <w:spacing w:before="120"/>
        <w:rPr>
          <w:bCs/>
        </w:rPr>
      </w:pPr>
      <w:r w:rsidRPr="00785FB4">
        <w:rPr>
          <w:bCs/>
        </w:rPr>
        <w:t>Ehsanullah Shamsi, World Bank</w:t>
      </w:r>
    </w:p>
    <w:p w14:paraId="1A09F793" w14:textId="38D747D9" w:rsidR="003D7E78" w:rsidRPr="00785FB4" w:rsidRDefault="003D7E78" w:rsidP="00CC1221">
      <w:pPr>
        <w:spacing w:before="120"/>
        <w:rPr>
          <w:bCs/>
        </w:rPr>
      </w:pPr>
      <w:r w:rsidRPr="00785FB4">
        <w:rPr>
          <w:bCs/>
        </w:rPr>
        <w:lastRenderedPageBreak/>
        <w:t>Azani Tschabo, Deputy Head of German Development Cooperation, Embassy of the Federal Republic of Afghanistan</w:t>
      </w:r>
    </w:p>
    <w:p w14:paraId="216BBA07" w14:textId="2EF53E59" w:rsidR="005F3259" w:rsidRPr="00785FB4" w:rsidRDefault="005F3259" w:rsidP="00A94167">
      <w:pPr>
        <w:pStyle w:val="Heading3"/>
      </w:pPr>
      <w:bookmarkStart w:id="677" w:name="_Toc505449736"/>
      <w:r w:rsidRPr="00785FB4">
        <w:t>Others</w:t>
      </w:r>
      <w:bookmarkEnd w:id="677"/>
    </w:p>
    <w:p w14:paraId="66EEEAD8" w14:textId="1E5B9E39" w:rsidR="00236CAE" w:rsidRPr="00785FB4" w:rsidRDefault="00236CAE" w:rsidP="00236CAE">
      <w:pPr>
        <w:spacing w:before="120"/>
        <w:rPr>
          <w:bCs/>
        </w:rPr>
      </w:pPr>
      <w:r w:rsidRPr="00785FB4">
        <w:rPr>
          <w:bCs/>
        </w:rPr>
        <w:t xml:space="preserve">Andrea Shaw, </w:t>
      </w:r>
      <w:r w:rsidR="00BF5F55" w:rsidRPr="00785FB4">
        <w:rPr>
          <w:bCs/>
        </w:rPr>
        <w:t>Consultant for the</w:t>
      </w:r>
      <w:r w:rsidRPr="00785FB4">
        <w:rPr>
          <w:bCs/>
        </w:rPr>
        <w:t xml:space="preserve"> Independent Joint Anti-corruption Monitoring and Evaluation Committee</w:t>
      </w:r>
    </w:p>
    <w:p w14:paraId="45C0E615" w14:textId="18CBC5D8" w:rsidR="00BF5F55" w:rsidRPr="00785FB4" w:rsidRDefault="00BF5F55" w:rsidP="00236CAE">
      <w:pPr>
        <w:spacing w:before="120"/>
        <w:rPr>
          <w:bCs/>
        </w:rPr>
      </w:pPr>
      <w:r w:rsidRPr="00785FB4">
        <w:rPr>
          <w:bCs/>
        </w:rPr>
        <w:t>Edris Hashimi, Consultant for the Independent Joint Anti-corruption Monitoring and Evaluation Committee</w:t>
      </w:r>
    </w:p>
    <w:p w14:paraId="3BD1A9A7" w14:textId="41A699BD" w:rsidR="00BF5F55" w:rsidRPr="00785FB4" w:rsidRDefault="00BF5F55" w:rsidP="00236CAE">
      <w:pPr>
        <w:spacing w:before="120"/>
        <w:rPr>
          <w:bCs/>
        </w:rPr>
      </w:pPr>
      <w:r w:rsidRPr="00785FB4">
        <w:rPr>
          <w:bCs/>
        </w:rPr>
        <w:t>Aasmund Andersen, Revenue Development Foundation</w:t>
      </w:r>
    </w:p>
    <w:p w14:paraId="2F64AC72" w14:textId="7C71849C" w:rsidR="00864814" w:rsidRPr="00785FB4" w:rsidRDefault="00864814" w:rsidP="00236CAE">
      <w:pPr>
        <w:spacing w:before="120"/>
        <w:rPr>
          <w:bCs/>
        </w:rPr>
      </w:pPr>
      <w:r w:rsidRPr="00785FB4">
        <w:rPr>
          <w:bCs/>
        </w:rPr>
        <w:t>Mahmood Anwari, former AEITI National Coordinator</w:t>
      </w:r>
    </w:p>
    <w:p w14:paraId="29F946B7" w14:textId="1E5C628B" w:rsidR="00864814" w:rsidRPr="00785FB4" w:rsidRDefault="00864814" w:rsidP="00236CAE">
      <w:pPr>
        <w:spacing w:before="120"/>
        <w:rPr>
          <w:bCs/>
        </w:rPr>
      </w:pPr>
      <w:r w:rsidRPr="00785FB4">
        <w:rPr>
          <w:bCs/>
        </w:rPr>
        <w:t>Kamal Andewal, former Advisor at the Ministry of Mines and Petroleum</w:t>
      </w:r>
    </w:p>
    <w:p w14:paraId="593D3A79" w14:textId="23DE7D41" w:rsidR="008C65E0" w:rsidRPr="00785FB4" w:rsidRDefault="008C65E0" w:rsidP="00236CAE">
      <w:pPr>
        <w:spacing w:before="120"/>
        <w:rPr>
          <w:bCs/>
        </w:rPr>
      </w:pPr>
      <w:r w:rsidRPr="00785FB4">
        <w:rPr>
          <w:bCs/>
        </w:rPr>
        <w:t>Mauricio Medinaceli, Advisor at Adam Smith International</w:t>
      </w:r>
    </w:p>
    <w:p w14:paraId="6ACB11CE" w14:textId="61312597" w:rsidR="003D7E78" w:rsidRPr="00785FB4" w:rsidRDefault="008C65E0" w:rsidP="00236CAE">
      <w:pPr>
        <w:spacing w:before="120"/>
        <w:rPr>
          <w:bCs/>
        </w:rPr>
      </w:pPr>
      <w:r w:rsidRPr="00785FB4">
        <w:rPr>
          <w:bCs/>
        </w:rPr>
        <w:t>Hervé Nicolle, Samuel Hall</w:t>
      </w:r>
    </w:p>
    <w:p w14:paraId="722042A0" w14:textId="77777777" w:rsidR="00BF5F55" w:rsidRPr="00785FB4" w:rsidRDefault="00BF5F55" w:rsidP="00236CAE">
      <w:pPr>
        <w:spacing w:before="120"/>
        <w:rPr>
          <w:bCs/>
        </w:rPr>
      </w:pPr>
    </w:p>
    <w:p w14:paraId="25E85220" w14:textId="461C140B" w:rsidR="00BF5F55" w:rsidRPr="00785FB4" w:rsidRDefault="00BF5F55" w:rsidP="00236CAE">
      <w:pPr>
        <w:spacing w:before="120"/>
        <w:rPr>
          <w:bCs/>
        </w:rPr>
      </w:pPr>
    </w:p>
    <w:p w14:paraId="5766878A" w14:textId="77777777" w:rsidR="00BF5F55" w:rsidRPr="00785FB4" w:rsidRDefault="00BF5F55" w:rsidP="00236CAE">
      <w:pPr>
        <w:spacing w:before="120"/>
        <w:rPr>
          <w:bCs/>
        </w:rPr>
        <w:sectPr w:rsidR="00BF5F55" w:rsidRPr="00785FB4" w:rsidSect="005847BB">
          <w:headerReference w:type="first" r:id="rId45"/>
          <w:pgSz w:w="11905" w:h="16837"/>
          <w:pgMar w:top="1174" w:right="1276" w:bottom="1418" w:left="1134" w:header="567" w:footer="0" w:gutter="0"/>
          <w:cols w:space="708"/>
          <w:titlePg/>
          <w:docGrid w:linePitch="326"/>
        </w:sectPr>
      </w:pPr>
    </w:p>
    <w:p w14:paraId="5ECD4E01" w14:textId="0A4C346F" w:rsidR="004B4A0F" w:rsidRPr="00785FB4" w:rsidRDefault="004B4A0F" w:rsidP="00A94167">
      <w:pPr>
        <w:pStyle w:val="Heading2"/>
      </w:pPr>
      <w:bookmarkStart w:id="678" w:name="_Toc505449737"/>
      <w:bookmarkStart w:id="679" w:name="_Toc505449837"/>
      <w:bookmarkStart w:id="680" w:name="_Toc452707654"/>
      <w:bookmarkStart w:id="681" w:name="_Toc459133214"/>
      <w:bookmarkStart w:id="682" w:name="_Toc461803163"/>
      <w:bookmarkStart w:id="683" w:name="_Toc461787374"/>
      <w:bookmarkStart w:id="684" w:name="_Toc461795886"/>
      <w:r w:rsidRPr="00785FB4">
        <w:lastRenderedPageBreak/>
        <w:t>Annex E – Security situation in Afghanistan</w:t>
      </w:r>
      <w:bookmarkEnd w:id="678"/>
      <w:bookmarkEnd w:id="679"/>
    </w:p>
    <w:p w14:paraId="7F36AC78" w14:textId="6BC092B3" w:rsidR="004B4A0F" w:rsidRPr="00785FB4" w:rsidRDefault="00BC6AD2" w:rsidP="004B4A0F">
      <w:r w:rsidRPr="00785FB4">
        <w:rPr>
          <w:noProof/>
          <w:lang w:eastAsia="ja-JP"/>
        </w:rPr>
        <w:drawing>
          <wp:inline distT="0" distB="0" distL="0" distR="0" wp14:anchorId="5E699FE8" wp14:editId="1EDED9AF">
            <wp:extent cx="6712208" cy="5795332"/>
            <wp:effectExtent l="0" t="0" r="0" b="0"/>
            <wp:docPr id="1" name="Picture 1" descr="/Users/alexgordy/Desktop/Screen Shot 2018-01-21 at 9.41.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lexgordy/Desktop/Screen Shot 2018-01-21 at 9.41.28 AM.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17668" cy="5800046"/>
                    </a:xfrm>
                    <a:prstGeom prst="rect">
                      <a:avLst/>
                    </a:prstGeom>
                    <a:noFill/>
                    <a:ln>
                      <a:noFill/>
                    </a:ln>
                  </pic:spPr>
                </pic:pic>
              </a:graphicData>
            </a:graphic>
          </wp:inline>
        </w:drawing>
      </w:r>
    </w:p>
    <w:p w14:paraId="1BA872C6" w14:textId="7FCA788B" w:rsidR="004B4A0F" w:rsidRPr="00785FB4" w:rsidRDefault="00BC6AD2" w:rsidP="00BC6AD2">
      <w:pPr>
        <w:pStyle w:val="Caption"/>
      </w:pPr>
      <w:r w:rsidRPr="00785FB4">
        <w:t>Figure: Afghanistan partial risk assessment, November 2016</w:t>
      </w:r>
    </w:p>
    <w:p w14:paraId="5FDCA03C" w14:textId="7D49C7EE" w:rsidR="004B4A0F" w:rsidRPr="00785FB4" w:rsidRDefault="00BC6AD2" w:rsidP="004B4A0F">
      <w:pPr>
        <w:rPr>
          <w:i/>
        </w:rPr>
      </w:pPr>
      <w:r w:rsidRPr="00785FB4">
        <w:rPr>
          <w:i/>
          <w:u w:val="single"/>
        </w:rPr>
        <w:t>Source</w:t>
      </w:r>
      <w:r w:rsidRPr="00785FB4">
        <w:rPr>
          <w:i/>
        </w:rPr>
        <w:t xml:space="preserve">: Institute for the Study of War, accessed </w:t>
      </w:r>
      <w:hyperlink r:id="rId47" w:history="1">
        <w:r w:rsidRPr="00785FB4">
          <w:rPr>
            <w:rStyle w:val="Hyperlink"/>
            <w:rFonts w:cs="Calibri"/>
            <w:i/>
          </w:rPr>
          <w:t>here</w:t>
        </w:r>
      </w:hyperlink>
      <w:r w:rsidRPr="00785FB4">
        <w:rPr>
          <w:i/>
        </w:rPr>
        <w:t xml:space="preserve"> in January 2018. </w:t>
      </w:r>
    </w:p>
    <w:p w14:paraId="7932CB2A" w14:textId="77777777" w:rsidR="004B4A0F" w:rsidRPr="00785FB4" w:rsidRDefault="004B4A0F" w:rsidP="004B4A0F"/>
    <w:p w14:paraId="6BD8047A" w14:textId="77777777" w:rsidR="004B4A0F" w:rsidRPr="00785FB4" w:rsidRDefault="004B4A0F" w:rsidP="004B4A0F">
      <w:pPr>
        <w:rPr>
          <w:color w:val="4F81BD"/>
          <w:sz w:val="28"/>
          <w:szCs w:val="26"/>
        </w:rPr>
      </w:pPr>
      <w:r w:rsidRPr="00785FB4">
        <w:br w:type="page"/>
      </w:r>
    </w:p>
    <w:p w14:paraId="457CD66A" w14:textId="34E96139" w:rsidR="003D1AB8" w:rsidRPr="00785FB4" w:rsidRDefault="003D1AB8" w:rsidP="00A94167">
      <w:pPr>
        <w:pStyle w:val="Heading2"/>
      </w:pPr>
      <w:bookmarkStart w:id="685" w:name="_Toc505449738"/>
      <w:bookmarkStart w:id="686" w:name="_Toc505449838"/>
      <w:r w:rsidRPr="00785FB4">
        <w:lastRenderedPageBreak/>
        <w:t>Annex F – Outstanding loans from North Coal Enterprise (1389/2010)</w:t>
      </w:r>
      <w:bookmarkEnd w:id="685"/>
      <w:bookmarkEnd w:id="686"/>
    </w:p>
    <w:p w14:paraId="64C98F7A" w14:textId="38529750" w:rsidR="003D1AB8" w:rsidRPr="00785FB4" w:rsidRDefault="003D1AB8" w:rsidP="003D1AB8">
      <w:pPr>
        <w:rPr>
          <w:b/>
          <w:bCs/>
        </w:rPr>
      </w:pPr>
      <w:r w:rsidRPr="00785FB4">
        <w:rPr>
          <w:b/>
          <w:bCs/>
        </w:rPr>
        <w:t>Northern Coal Enterprise Credit and Debit Review- 1370-1389</w:t>
      </w:r>
    </w:p>
    <w:p w14:paraId="0CEB4213" w14:textId="4E762EDE" w:rsidR="003D1AB8" w:rsidRPr="00785FB4" w:rsidRDefault="003D1AB8" w:rsidP="003D1AB8">
      <w:pPr>
        <w:rPr>
          <w:i/>
        </w:rPr>
      </w:pPr>
      <w:r w:rsidRPr="00785FB4">
        <w:rPr>
          <w:bCs/>
          <w:i/>
          <w:u w:val="single"/>
        </w:rPr>
        <w:t>Source</w:t>
      </w:r>
      <w:r w:rsidRPr="00785FB4">
        <w:rPr>
          <w:bCs/>
          <w:i/>
        </w:rPr>
        <w:t xml:space="preserve">: </w:t>
      </w:r>
      <w:r w:rsidR="00DB56BA" w:rsidRPr="00785FB4">
        <w:rPr>
          <w:bCs/>
          <w:i/>
        </w:rPr>
        <w:t>MOMP</w:t>
      </w:r>
      <w:r w:rsidRPr="00785FB4">
        <w:rPr>
          <w:bCs/>
          <w:i/>
        </w:rPr>
        <w:t xml:space="preserve"> and North Coal Enterprise data, cited in </w:t>
      </w:r>
      <w:r w:rsidR="008B594D" w:rsidRPr="00785FB4">
        <w:rPr>
          <w:bCs/>
          <w:i/>
        </w:rPr>
        <w:t xml:space="preserve">Ministry of Mines and Petroleum (April 2011), ‘Financial Assessment of the Northern Coal Enterprise’, unpublished, Annex 3 (pp.35-36). </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2410"/>
        <w:gridCol w:w="1426"/>
        <w:gridCol w:w="2118"/>
        <w:gridCol w:w="850"/>
        <w:gridCol w:w="1559"/>
      </w:tblGrid>
      <w:tr w:rsidR="003D1AB8" w:rsidRPr="00785FB4" w14:paraId="7E0F24BB" w14:textId="77777777" w:rsidTr="00B14059">
        <w:trPr>
          <w:cantSplit/>
          <w:tblHeader/>
        </w:trPr>
        <w:tc>
          <w:tcPr>
            <w:tcW w:w="709" w:type="dxa"/>
            <w:tcBorders>
              <w:bottom w:val="single" w:sz="4" w:space="0" w:color="000000"/>
            </w:tcBorders>
            <w:shd w:val="clear" w:color="auto" w:fill="4F6228"/>
          </w:tcPr>
          <w:p w14:paraId="68EA59B8" w14:textId="77777777" w:rsidR="003D1AB8" w:rsidRPr="00785FB4" w:rsidRDefault="003D1AB8" w:rsidP="00B14059">
            <w:pPr>
              <w:spacing w:after="0"/>
              <w:jc w:val="center"/>
              <w:rPr>
                <w:rFonts w:ascii="Times New Roman" w:hAnsi="Times New Roman"/>
                <w:b/>
                <w:color w:val="FFFFFF"/>
              </w:rPr>
            </w:pPr>
            <w:r w:rsidRPr="00785FB4">
              <w:rPr>
                <w:rFonts w:ascii="Times New Roman" w:hAnsi="Times New Roman"/>
                <w:b/>
                <w:color w:val="FFFFFF"/>
              </w:rPr>
              <w:t>No.</w:t>
            </w:r>
          </w:p>
        </w:tc>
        <w:tc>
          <w:tcPr>
            <w:tcW w:w="2410" w:type="dxa"/>
            <w:tcBorders>
              <w:bottom w:val="single" w:sz="4" w:space="0" w:color="000000"/>
            </w:tcBorders>
            <w:shd w:val="clear" w:color="auto" w:fill="4F6228"/>
          </w:tcPr>
          <w:p w14:paraId="0180DA1D" w14:textId="77777777" w:rsidR="003D1AB8" w:rsidRPr="00785FB4" w:rsidRDefault="003D1AB8" w:rsidP="00B14059">
            <w:pPr>
              <w:spacing w:after="0"/>
              <w:jc w:val="center"/>
              <w:rPr>
                <w:rFonts w:ascii="Times New Roman" w:hAnsi="Times New Roman"/>
                <w:b/>
                <w:color w:val="FFFFFF"/>
              </w:rPr>
            </w:pPr>
            <w:r w:rsidRPr="00785FB4">
              <w:rPr>
                <w:rFonts w:ascii="Times New Roman" w:hAnsi="Times New Roman"/>
                <w:b/>
                <w:color w:val="FFFFFF"/>
              </w:rPr>
              <w:t>Entity</w:t>
            </w:r>
          </w:p>
        </w:tc>
        <w:tc>
          <w:tcPr>
            <w:tcW w:w="1426" w:type="dxa"/>
            <w:tcBorders>
              <w:bottom w:val="single" w:sz="4" w:space="0" w:color="000000"/>
            </w:tcBorders>
            <w:shd w:val="clear" w:color="auto" w:fill="4F6228"/>
          </w:tcPr>
          <w:p w14:paraId="473C3E16" w14:textId="77777777" w:rsidR="003D1AB8" w:rsidRPr="00785FB4" w:rsidRDefault="003D1AB8" w:rsidP="00B14059">
            <w:pPr>
              <w:spacing w:after="0"/>
              <w:jc w:val="center"/>
              <w:rPr>
                <w:rFonts w:ascii="Times New Roman" w:hAnsi="Times New Roman"/>
                <w:b/>
                <w:color w:val="FFFFFF"/>
              </w:rPr>
            </w:pPr>
            <w:r w:rsidRPr="00785FB4">
              <w:rPr>
                <w:rFonts w:ascii="Times New Roman" w:hAnsi="Times New Roman"/>
                <w:b/>
                <w:color w:val="FFFFFF"/>
              </w:rPr>
              <w:t>Location</w:t>
            </w:r>
          </w:p>
        </w:tc>
        <w:tc>
          <w:tcPr>
            <w:tcW w:w="2118" w:type="dxa"/>
            <w:tcBorders>
              <w:bottom w:val="single" w:sz="4" w:space="0" w:color="000000"/>
            </w:tcBorders>
            <w:shd w:val="clear" w:color="auto" w:fill="4F6228"/>
          </w:tcPr>
          <w:p w14:paraId="6D26AAA2" w14:textId="77777777" w:rsidR="003D1AB8" w:rsidRPr="00785FB4" w:rsidRDefault="003D1AB8" w:rsidP="00B14059">
            <w:pPr>
              <w:spacing w:after="0"/>
              <w:jc w:val="center"/>
              <w:rPr>
                <w:rFonts w:ascii="Times New Roman" w:hAnsi="Times New Roman"/>
                <w:b/>
                <w:color w:val="FFFFFF"/>
              </w:rPr>
            </w:pPr>
            <w:r w:rsidRPr="00785FB4">
              <w:rPr>
                <w:rFonts w:ascii="Times New Roman" w:hAnsi="Times New Roman"/>
                <w:b/>
                <w:color w:val="FFFFFF"/>
              </w:rPr>
              <w:t>Coal value given as credit unless otherwise noted</w:t>
            </w:r>
            <w:r w:rsidRPr="00785FB4">
              <w:rPr>
                <w:rStyle w:val="FootnoteReference"/>
                <w:rFonts w:ascii="Times New Roman" w:hAnsi="Times New Roman"/>
                <w:b/>
                <w:color w:val="FFFFFF"/>
              </w:rPr>
              <w:footnoteReference w:id="325"/>
            </w:r>
          </w:p>
        </w:tc>
        <w:tc>
          <w:tcPr>
            <w:tcW w:w="850" w:type="dxa"/>
            <w:tcBorders>
              <w:bottom w:val="single" w:sz="4" w:space="0" w:color="000000"/>
            </w:tcBorders>
            <w:shd w:val="clear" w:color="auto" w:fill="4F6228"/>
          </w:tcPr>
          <w:p w14:paraId="7F6CE995" w14:textId="77777777" w:rsidR="003D1AB8" w:rsidRPr="00785FB4" w:rsidRDefault="003D1AB8" w:rsidP="00B14059">
            <w:pPr>
              <w:spacing w:after="0"/>
              <w:jc w:val="center"/>
              <w:rPr>
                <w:rFonts w:ascii="Times New Roman" w:hAnsi="Times New Roman"/>
                <w:b/>
                <w:color w:val="FFFFFF"/>
              </w:rPr>
            </w:pPr>
            <w:r w:rsidRPr="00785FB4">
              <w:rPr>
                <w:rFonts w:ascii="Times New Roman" w:hAnsi="Times New Roman"/>
                <w:b/>
                <w:color w:val="FFFFFF"/>
              </w:rPr>
              <w:t>Year</w:t>
            </w:r>
          </w:p>
        </w:tc>
        <w:tc>
          <w:tcPr>
            <w:tcW w:w="1559" w:type="dxa"/>
            <w:tcBorders>
              <w:bottom w:val="single" w:sz="4" w:space="0" w:color="000000"/>
            </w:tcBorders>
            <w:shd w:val="clear" w:color="auto" w:fill="4F6228"/>
          </w:tcPr>
          <w:p w14:paraId="1049E627" w14:textId="77777777" w:rsidR="003D1AB8" w:rsidRPr="00785FB4" w:rsidRDefault="003D1AB8" w:rsidP="00B14059">
            <w:pPr>
              <w:spacing w:after="0"/>
              <w:jc w:val="center"/>
              <w:rPr>
                <w:rFonts w:ascii="Times New Roman" w:hAnsi="Times New Roman"/>
                <w:b/>
                <w:color w:val="FFFFFF"/>
              </w:rPr>
            </w:pPr>
            <w:r w:rsidRPr="00785FB4">
              <w:rPr>
                <w:rFonts w:ascii="Times New Roman" w:hAnsi="Times New Roman"/>
                <w:b/>
                <w:color w:val="FFFFFF"/>
              </w:rPr>
              <w:t>If different -Information submitted by NCE</w:t>
            </w:r>
          </w:p>
        </w:tc>
      </w:tr>
      <w:tr w:rsidR="003D1AB8" w:rsidRPr="00785FB4" w14:paraId="64687794" w14:textId="77777777" w:rsidTr="00B14059">
        <w:trPr>
          <w:cantSplit/>
        </w:trPr>
        <w:tc>
          <w:tcPr>
            <w:tcW w:w="709" w:type="dxa"/>
            <w:shd w:val="clear" w:color="auto" w:fill="C2D69B"/>
          </w:tcPr>
          <w:p w14:paraId="26010D7A"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w:t>
            </w:r>
          </w:p>
        </w:tc>
        <w:tc>
          <w:tcPr>
            <w:tcW w:w="2410" w:type="dxa"/>
            <w:shd w:val="clear" w:color="auto" w:fill="C2D69B"/>
          </w:tcPr>
          <w:p w14:paraId="116EB865"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 xml:space="preserve"> Traffic Department</w:t>
            </w:r>
          </w:p>
        </w:tc>
        <w:tc>
          <w:tcPr>
            <w:tcW w:w="1426" w:type="dxa"/>
            <w:shd w:val="clear" w:color="auto" w:fill="C2D69B"/>
          </w:tcPr>
          <w:p w14:paraId="5FA4C192"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Baghlan</w:t>
            </w:r>
          </w:p>
        </w:tc>
        <w:tc>
          <w:tcPr>
            <w:tcW w:w="2118" w:type="dxa"/>
            <w:shd w:val="clear" w:color="auto" w:fill="C2D69B"/>
          </w:tcPr>
          <w:p w14:paraId="4EA2F7CC"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43,185</w:t>
            </w:r>
          </w:p>
          <w:p w14:paraId="5D092D51"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$959.67</w:t>
            </w:r>
          </w:p>
        </w:tc>
        <w:tc>
          <w:tcPr>
            <w:tcW w:w="850" w:type="dxa"/>
            <w:shd w:val="clear" w:color="auto" w:fill="C2D69B"/>
          </w:tcPr>
          <w:p w14:paraId="441C5EF5"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1377</w:t>
            </w:r>
          </w:p>
        </w:tc>
        <w:tc>
          <w:tcPr>
            <w:tcW w:w="1559" w:type="dxa"/>
            <w:shd w:val="clear" w:color="auto" w:fill="C2D69B"/>
          </w:tcPr>
          <w:p w14:paraId="0F73B160" w14:textId="77777777" w:rsidR="003D1AB8" w:rsidRPr="00785FB4" w:rsidRDefault="003D1AB8" w:rsidP="00B14059">
            <w:pPr>
              <w:spacing w:after="0"/>
              <w:jc w:val="center"/>
              <w:rPr>
                <w:rFonts w:ascii="Times New Roman" w:hAnsi="Times New Roman"/>
                <w:sz w:val="20"/>
                <w:szCs w:val="20"/>
              </w:rPr>
            </w:pPr>
          </w:p>
        </w:tc>
      </w:tr>
      <w:tr w:rsidR="003D1AB8" w:rsidRPr="00785FB4" w14:paraId="5A578C61" w14:textId="77777777" w:rsidTr="00B14059">
        <w:trPr>
          <w:cantSplit/>
        </w:trPr>
        <w:tc>
          <w:tcPr>
            <w:tcW w:w="709" w:type="dxa"/>
            <w:shd w:val="clear" w:color="auto" w:fill="C2D69B"/>
          </w:tcPr>
          <w:p w14:paraId="16C06274"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2</w:t>
            </w:r>
          </w:p>
        </w:tc>
        <w:tc>
          <w:tcPr>
            <w:tcW w:w="2410" w:type="dxa"/>
            <w:shd w:val="clear" w:color="auto" w:fill="C2D69B"/>
          </w:tcPr>
          <w:p w14:paraId="6D8DAF04"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Administrative Affairs Directorate</w:t>
            </w:r>
          </w:p>
        </w:tc>
        <w:tc>
          <w:tcPr>
            <w:tcW w:w="1426" w:type="dxa"/>
            <w:shd w:val="clear" w:color="auto" w:fill="C2D69B"/>
          </w:tcPr>
          <w:p w14:paraId="6F80131A"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Baghlan</w:t>
            </w:r>
          </w:p>
        </w:tc>
        <w:tc>
          <w:tcPr>
            <w:tcW w:w="2118" w:type="dxa"/>
            <w:shd w:val="clear" w:color="auto" w:fill="C2D69B"/>
          </w:tcPr>
          <w:p w14:paraId="1F69C6F5"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147,689</w:t>
            </w:r>
          </w:p>
          <w:p w14:paraId="380257E2"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$3281.98</w:t>
            </w:r>
          </w:p>
        </w:tc>
        <w:tc>
          <w:tcPr>
            <w:tcW w:w="850" w:type="dxa"/>
            <w:shd w:val="clear" w:color="auto" w:fill="C2D69B"/>
          </w:tcPr>
          <w:p w14:paraId="4CF23964"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1376</w:t>
            </w:r>
          </w:p>
        </w:tc>
        <w:tc>
          <w:tcPr>
            <w:tcW w:w="1559" w:type="dxa"/>
            <w:shd w:val="clear" w:color="auto" w:fill="C2D69B"/>
          </w:tcPr>
          <w:p w14:paraId="03908554" w14:textId="77777777" w:rsidR="003D1AB8" w:rsidRPr="00785FB4" w:rsidRDefault="003D1AB8" w:rsidP="00B14059">
            <w:pPr>
              <w:spacing w:after="0"/>
              <w:jc w:val="center"/>
              <w:rPr>
                <w:rFonts w:ascii="Times New Roman" w:hAnsi="Times New Roman"/>
                <w:sz w:val="20"/>
                <w:szCs w:val="20"/>
              </w:rPr>
            </w:pPr>
          </w:p>
        </w:tc>
      </w:tr>
      <w:tr w:rsidR="003D1AB8" w:rsidRPr="00785FB4" w14:paraId="50410967" w14:textId="77777777" w:rsidTr="00B14059">
        <w:trPr>
          <w:cantSplit/>
        </w:trPr>
        <w:tc>
          <w:tcPr>
            <w:tcW w:w="709" w:type="dxa"/>
            <w:shd w:val="clear" w:color="auto" w:fill="C2D69B"/>
          </w:tcPr>
          <w:p w14:paraId="6BB14D29"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3</w:t>
            </w:r>
          </w:p>
        </w:tc>
        <w:tc>
          <w:tcPr>
            <w:tcW w:w="2410" w:type="dxa"/>
            <w:shd w:val="clear" w:color="auto" w:fill="C2D69B"/>
          </w:tcPr>
          <w:p w14:paraId="0BEA1BA1"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Legal Rights Directorate</w:t>
            </w:r>
          </w:p>
        </w:tc>
        <w:tc>
          <w:tcPr>
            <w:tcW w:w="1426" w:type="dxa"/>
            <w:shd w:val="clear" w:color="auto" w:fill="C2D69B"/>
          </w:tcPr>
          <w:p w14:paraId="2F329B2C"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Baghlan</w:t>
            </w:r>
          </w:p>
        </w:tc>
        <w:tc>
          <w:tcPr>
            <w:tcW w:w="2118" w:type="dxa"/>
            <w:shd w:val="clear" w:color="auto" w:fill="C2D69B"/>
          </w:tcPr>
          <w:p w14:paraId="4377BCDA"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2,070</w:t>
            </w:r>
          </w:p>
          <w:p w14:paraId="6394D72D"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$46.00</w:t>
            </w:r>
          </w:p>
        </w:tc>
        <w:tc>
          <w:tcPr>
            <w:tcW w:w="850" w:type="dxa"/>
            <w:shd w:val="clear" w:color="auto" w:fill="C2D69B"/>
          </w:tcPr>
          <w:p w14:paraId="600FCD56"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1376</w:t>
            </w:r>
          </w:p>
        </w:tc>
        <w:tc>
          <w:tcPr>
            <w:tcW w:w="1559" w:type="dxa"/>
            <w:shd w:val="clear" w:color="auto" w:fill="C2D69B"/>
          </w:tcPr>
          <w:p w14:paraId="59453CF9" w14:textId="77777777" w:rsidR="003D1AB8" w:rsidRPr="00785FB4" w:rsidRDefault="003D1AB8" w:rsidP="00B14059">
            <w:pPr>
              <w:spacing w:after="0"/>
              <w:jc w:val="center"/>
              <w:rPr>
                <w:rFonts w:ascii="Times New Roman" w:hAnsi="Times New Roman"/>
                <w:sz w:val="20"/>
                <w:szCs w:val="20"/>
              </w:rPr>
            </w:pPr>
          </w:p>
        </w:tc>
      </w:tr>
      <w:tr w:rsidR="003D1AB8" w:rsidRPr="00785FB4" w14:paraId="144CCDB9" w14:textId="77777777" w:rsidTr="00B14059">
        <w:trPr>
          <w:cantSplit/>
        </w:trPr>
        <w:tc>
          <w:tcPr>
            <w:tcW w:w="709" w:type="dxa"/>
            <w:shd w:val="clear" w:color="auto" w:fill="C2D69B"/>
          </w:tcPr>
          <w:p w14:paraId="6A12924D"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4</w:t>
            </w:r>
          </w:p>
        </w:tc>
        <w:tc>
          <w:tcPr>
            <w:tcW w:w="2410" w:type="dxa"/>
            <w:shd w:val="clear" w:color="auto" w:fill="C2D69B"/>
          </w:tcPr>
          <w:p w14:paraId="658384AA"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Attorney General Directorate</w:t>
            </w:r>
          </w:p>
        </w:tc>
        <w:tc>
          <w:tcPr>
            <w:tcW w:w="1426" w:type="dxa"/>
            <w:shd w:val="clear" w:color="auto" w:fill="C2D69B"/>
          </w:tcPr>
          <w:p w14:paraId="01854ECB"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Baghlan</w:t>
            </w:r>
          </w:p>
        </w:tc>
        <w:tc>
          <w:tcPr>
            <w:tcW w:w="2118" w:type="dxa"/>
            <w:shd w:val="clear" w:color="auto" w:fill="C2D69B"/>
          </w:tcPr>
          <w:p w14:paraId="722C7DD6"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1,996</w:t>
            </w:r>
          </w:p>
          <w:p w14:paraId="2FE46E82"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$44.35</w:t>
            </w:r>
          </w:p>
        </w:tc>
        <w:tc>
          <w:tcPr>
            <w:tcW w:w="850" w:type="dxa"/>
            <w:shd w:val="clear" w:color="auto" w:fill="C2D69B"/>
          </w:tcPr>
          <w:p w14:paraId="697048AA"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1377</w:t>
            </w:r>
          </w:p>
        </w:tc>
        <w:tc>
          <w:tcPr>
            <w:tcW w:w="1559" w:type="dxa"/>
            <w:shd w:val="clear" w:color="auto" w:fill="C2D69B"/>
          </w:tcPr>
          <w:p w14:paraId="13A0A0FD" w14:textId="77777777" w:rsidR="003D1AB8" w:rsidRPr="00785FB4" w:rsidRDefault="003D1AB8" w:rsidP="00B14059">
            <w:pPr>
              <w:spacing w:after="0"/>
              <w:jc w:val="center"/>
              <w:rPr>
                <w:rFonts w:ascii="Times New Roman" w:hAnsi="Times New Roman"/>
                <w:sz w:val="20"/>
                <w:szCs w:val="20"/>
              </w:rPr>
            </w:pPr>
          </w:p>
        </w:tc>
      </w:tr>
      <w:tr w:rsidR="003D1AB8" w:rsidRPr="00785FB4" w14:paraId="05A0179E" w14:textId="77777777" w:rsidTr="00B14059">
        <w:trPr>
          <w:cantSplit/>
        </w:trPr>
        <w:tc>
          <w:tcPr>
            <w:tcW w:w="709" w:type="dxa"/>
            <w:shd w:val="clear" w:color="auto" w:fill="C2D69B"/>
          </w:tcPr>
          <w:p w14:paraId="617CF471"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5</w:t>
            </w:r>
          </w:p>
        </w:tc>
        <w:tc>
          <w:tcPr>
            <w:tcW w:w="2410" w:type="dxa"/>
            <w:shd w:val="clear" w:color="auto" w:fill="C2D69B"/>
          </w:tcPr>
          <w:p w14:paraId="11BA82C6"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Municipality</w:t>
            </w:r>
          </w:p>
        </w:tc>
        <w:tc>
          <w:tcPr>
            <w:tcW w:w="1426" w:type="dxa"/>
            <w:shd w:val="clear" w:color="auto" w:fill="C2D69B"/>
          </w:tcPr>
          <w:p w14:paraId="3B3792BD"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Baghlan</w:t>
            </w:r>
          </w:p>
        </w:tc>
        <w:tc>
          <w:tcPr>
            <w:tcW w:w="2118" w:type="dxa"/>
            <w:shd w:val="clear" w:color="auto" w:fill="C2D69B"/>
          </w:tcPr>
          <w:p w14:paraId="5E0527F6"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13,862</w:t>
            </w:r>
          </w:p>
          <w:p w14:paraId="06DAF744"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$308.04</w:t>
            </w:r>
          </w:p>
        </w:tc>
        <w:tc>
          <w:tcPr>
            <w:tcW w:w="850" w:type="dxa"/>
            <w:shd w:val="clear" w:color="auto" w:fill="C2D69B"/>
          </w:tcPr>
          <w:p w14:paraId="194C9896"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1376</w:t>
            </w:r>
          </w:p>
        </w:tc>
        <w:tc>
          <w:tcPr>
            <w:tcW w:w="1559" w:type="dxa"/>
            <w:shd w:val="clear" w:color="auto" w:fill="C2D69B"/>
          </w:tcPr>
          <w:p w14:paraId="2A8684C4" w14:textId="77777777" w:rsidR="003D1AB8" w:rsidRPr="00785FB4" w:rsidRDefault="003D1AB8" w:rsidP="00B14059">
            <w:pPr>
              <w:spacing w:after="0"/>
              <w:jc w:val="center"/>
              <w:rPr>
                <w:rFonts w:ascii="Times New Roman" w:hAnsi="Times New Roman"/>
                <w:sz w:val="20"/>
                <w:szCs w:val="20"/>
              </w:rPr>
            </w:pPr>
          </w:p>
        </w:tc>
      </w:tr>
      <w:tr w:rsidR="003D1AB8" w:rsidRPr="00785FB4" w14:paraId="63D2A629" w14:textId="77777777" w:rsidTr="00B14059">
        <w:trPr>
          <w:cantSplit/>
        </w:trPr>
        <w:tc>
          <w:tcPr>
            <w:tcW w:w="709" w:type="dxa"/>
            <w:shd w:val="clear" w:color="auto" w:fill="C2D69B"/>
          </w:tcPr>
          <w:p w14:paraId="69B6B5A7"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6</w:t>
            </w:r>
          </w:p>
        </w:tc>
        <w:tc>
          <w:tcPr>
            <w:tcW w:w="2410" w:type="dxa"/>
            <w:shd w:val="clear" w:color="auto" w:fill="C2D69B"/>
          </w:tcPr>
          <w:p w14:paraId="2163BCC8"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Agriculture Directorate</w:t>
            </w:r>
          </w:p>
        </w:tc>
        <w:tc>
          <w:tcPr>
            <w:tcW w:w="1426" w:type="dxa"/>
            <w:shd w:val="clear" w:color="auto" w:fill="C2D69B"/>
          </w:tcPr>
          <w:p w14:paraId="0A4E1AD4"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Baghlan</w:t>
            </w:r>
          </w:p>
        </w:tc>
        <w:tc>
          <w:tcPr>
            <w:tcW w:w="2118" w:type="dxa"/>
            <w:shd w:val="clear" w:color="auto" w:fill="C2D69B"/>
          </w:tcPr>
          <w:p w14:paraId="7167E625"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9,316</w:t>
            </w:r>
          </w:p>
          <w:p w14:paraId="39F4FCF2"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$207.02</w:t>
            </w:r>
          </w:p>
        </w:tc>
        <w:tc>
          <w:tcPr>
            <w:tcW w:w="850" w:type="dxa"/>
            <w:shd w:val="clear" w:color="auto" w:fill="C2D69B"/>
          </w:tcPr>
          <w:p w14:paraId="0698B226"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1376</w:t>
            </w:r>
          </w:p>
        </w:tc>
        <w:tc>
          <w:tcPr>
            <w:tcW w:w="1559" w:type="dxa"/>
            <w:shd w:val="clear" w:color="auto" w:fill="C2D69B"/>
          </w:tcPr>
          <w:p w14:paraId="2AF7144D" w14:textId="77777777" w:rsidR="003D1AB8" w:rsidRPr="00785FB4" w:rsidRDefault="003D1AB8" w:rsidP="00B14059">
            <w:pPr>
              <w:spacing w:after="0"/>
              <w:jc w:val="center"/>
              <w:rPr>
                <w:rFonts w:ascii="Times New Roman" w:hAnsi="Times New Roman"/>
                <w:sz w:val="20"/>
                <w:szCs w:val="20"/>
              </w:rPr>
            </w:pPr>
          </w:p>
        </w:tc>
      </w:tr>
      <w:tr w:rsidR="003D1AB8" w:rsidRPr="00785FB4" w14:paraId="62720ED5" w14:textId="77777777" w:rsidTr="00B14059">
        <w:trPr>
          <w:cantSplit/>
        </w:trPr>
        <w:tc>
          <w:tcPr>
            <w:tcW w:w="709" w:type="dxa"/>
            <w:shd w:val="clear" w:color="auto" w:fill="C2D69B"/>
          </w:tcPr>
          <w:p w14:paraId="233D6B15"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7</w:t>
            </w:r>
          </w:p>
        </w:tc>
        <w:tc>
          <w:tcPr>
            <w:tcW w:w="2410" w:type="dxa"/>
            <w:shd w:val="clear" w:color="auto" w:fill="C2D69B"/>
          </w:tcPr>
          <w:p w14:paraId="0641C598"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Mastofiat (Provincial Revenue Department)</w:t>
            </w:r>
          </w:p>
        </w:tc>
        <w:tc>
          <w:tcPr>
            <w:tcW w:w="1426" w:type="dxa"/>
            <w:shd w:val="clear" w:color="auto" w:fill="C2D69B"/>
          </w:tcPr>
          <w:p w14:paraId="24461E34"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Baghlan</w:t>
            </w:r>
          </w:p>
        </w:tc>
        <w:tc>
          <w:tcPr>
            <w:tcW w:w="2118" w:type="dxa"/>
            <w:shd w:val="clear" w:color="auto" w:fill="C2D69B"/>
          </w:tcPr>
          <w:p w14:paraId="31017D65"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11,266</w:t>
            </w:r>
          </w:p>
          <w:p w14:paraId="213450A1"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$250.35</w:t>
            </w:r>
          </w:p>
        </w:tc>
        <w:tc>
          <w:tcPr>
            <w:tcW w:w="850" w:type="dxa"/>
            <w:shd w:val="clear" w:color="auto" w:fill="C2D69B"/>
          </w:tcPr>
          <w:p w14:paraId="6F05E828"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1375</w:t>
            </w:r>
          </w:p>
        </w:tc>
        <w:tc>
          <w:tcPr>
            <w:tcW w:w="1559" w:type="dxa"/>
            <w:shd w:val="clear" w:color="auto" w:fill="C2D69B"/>
          </w:tcPr>
          <w:p w14:paraId="50A84529" w14:textId="77777777" w:rsidR="003D1AB8" w:rsidRPr="00785FB4" w:rsidRDefault="003D1AB8" w:rsidP="00B14059">
            <w:pPr>
              <w:spacing w:after="0"/>
              <w:jc w:val="center"/>
              <w:rPr>
                <w:rFonts w:ascii="Times New Roman" w:hAnsi="Times New Roman"/>
                <w:sz w:val="20"/>
                <w:szCs w:val="20"/>
              </w:rPr>
            </w:pPr>
          </w:p>
        </w:tc>
      </w:tr>
      <w:tr w:rsidR="003D1AB8" w:rsidRPr="00785FB4" w14:paraId="305AD44A" w14:textId="77777777" w:rsidTr="00B14059">
        <w:trPr>
          <w:cantSplit/>
        </w:trPr>
        <w:tc>
          <w:tcPr>
            <w:tcW w:w="709" w:type="dxa"/>
            <w:shd w:val="clear" w:color="auto" w:fill="C2D69B"/>
          </w:tcPr>
          <w:p w14:paraId="4CAFF285"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8</w:t>
            </w:r>
          </w:p>
        </w:tc>
        <w:tc>
          <w:tcPr>
            <w:tcW w:w="2410" w:type="dxa"/>
            <w:shd w:val="clear" w:color="auto" w:fill="C2D69B"/>
          </w:tcPr>
          <w:p w14:paraId="14F7BCCC"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Intelligence Directorate</w:t>
            </w:r>
          </w:p>
        </w:tc>
        <w:tc>
          <w:tcPr>
            <w:tcW w:w="1426" w:type="dxa"/>
            <w:shd w:val="clear" w:color="auto" w:fill="C2D69B"/>
          </w:tcPr>
          <w:p w14:paraId="7F12A7D6"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Baghlan</w:t>
            </w:r>
          </w:p>
        </w:tc>
        <w:tc>
          <w:tcPr>
            <w:tcW w:w="2118" w:type="dxa"/>
            <w:shd w:val="clear" w:color="auto" w:fill="C2D69B"/>
          </w:tcPr>
          <w:p w14:paraId="09BDB2C2"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257,703</w:t>
            </w:r>
          </w:p>
          <w:p w14:paraId="4D7F7340"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$5726.73</w:t>
            </w:r>
          </w:p>
        </w:tc>
        <w:tc>
          <w:tcPr>
            <w:tcW w:w="850" w:type="dxa"/>
            <w:shd w:val="clear" w:color="auto" w:fill="C2D69B"/>
          </w:tcPr>
          <w:p w14:paraId="2D752FA0"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1375</w:t>
            </w:r>
          </w:p>
        </w:tc>
        <w:tc>
          <w:tcPr>
            <w:tcW w:w="1559" w:type="dxa"/>
            <w:shd w:val="clear" w:color="auto" w:fill="C2D69B"/>
          </w:tcPr>
          <w:p w14:paraId="03B0CAA5" w14:textId="77777777" w:rsidR="003D1AB8" w:rsidRPr="00785FB4" w:rsidRDefault="003D1AB8" w:rsidP="00B14059">
            <w:pPr>
              <w:spacing w:after="0"/>
              <w:jc w:val="center"/>
              <w:rPr>
                <w:rFonts w:ascii="Times New Roman" w:hAnsi="Times New Roman"/>
                <w:sz w:val="20"/>
                <w:szCs w:val="20"/>
              </w:rPr>
            </w:pPr>
          </w:p>
        </w:tc>
      </w:tr>
      <w:tr w:rsidR="003D1AB8" w:rsidRPr="00785FB4" w14:paraId="2539419E" w14:textId="77777777" w:rsidTr="00B14059">
        <w:trPr>
          <w:cantSplit/>
        </w:trPr>
        <w:tc>
          <w:tcPr>
            <w:tcW w:w="709" w:type="dxa"/>
            <w:shd w:val="clear" w:color="auto" w:fill="C2D69B"/>
          </w:tcPr>
          <w:p w14:paraId="278EE523"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9</w:t>
            </w:r>
          </w:p>
        </w:tc>
        <w:tc>
          <w:tcPr>
            <w:tcW w:w="2410" w:type="dxa"/>
            <w:shd w:val="clear" w:color="auto" w:fill="C2D69B"/>
          </w:tcPr>
          <w:p w14:paraId="2FF949C8"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Public Health Directorate</w:t>
            </w:r>
          </w:p>
        </w:tc>
        <w:tc>
          <w:tcPr>
            <w:tcW w:w="1426" w:type="dxa"/>
            <w:shd w:val="clear" w:color="auto" w:fill="C2D69B"/>
          </w:tcPr>
          <w:p w14:paraId="09903DE0"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Baghlan</w:t>
            </w:r>
          </w:p>
        </w:tc>
        <w:tc>
          <w:tcPr>
            <w:tcW w:w="2118" w:type="dxa"/>
            <w:shd w:val="clear" w:color="auto" w:fill="C2D69B"/>
          </w:tcPr>
          <w:p w14:paraId="7DA26109"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38,078</w:t>
            </w:r>
          </w:p>
          <w:p w14:paraId="59718BFB"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$846.17</w:t>
            </w:r>
          </w:p>
        </w:tc>
        <w:tc>
          <w:tcPr>
            <w:tcW w:w="850" w:type="dxa"/>
            <w:shd w:val="clear" w:color="auto" w:fill="C2D69B"/>
          </w:tcPr>
          <w:p w14:paraId="741403CE"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1378</w:t>
            </w:r>
          </w:p>
        </w:tc>
        <w:tc>
          <w:tcPr>
            <w:tcW w:w="1559" w:type="dxa"/>
            <w:shd w:val="clear" w:color="auto" w:fill="C2D69B"/>
          </w:tcPr>
          <w:p w14:paraId="3EE2FE0E" w14:textId="77777777" w:rsidR="003D1AB8" w:rsidRPr="00785FB4" w:rsidRDefault="003D1AB8" w:rsidP="00B14059">
            <w:pPr>
              <w:spacing w:after="0"/>
              <w:jc w:val="center"/>
              <w:rPr>
                <w:rFonts w:ascii="Times New Roman" w:hAnsi="Times New Roman"/>
                <w:sz w:val="20"/>
                <w:szCs w:val="20"/>
              </w:rPr>
            </w:pPr>
          </w:p>
        </w:tc>
      </w:tr>
      <w:tr w:rsidR="003D1AB8" w:rsidRPr="00785FB4" w14:paraId="268CAA07" w14:textId="77777777" w:rsidTr="00B14059">
        <w:trPr>
          <w:cantSplit/>
        </w:trPr>
        <w:tc>
          <w:tcPr>
            <w:tcW w:w="709" w:type="dxa"/>
            <w:tcBorders>
              <w:bottom w:val="single" w:sz="4" w:space="0" w:color="000000"/>
            </w:tcBorders>
            <w:shd w:val="clear" w:color="auto" w:fill="C2D69B"/>
          </w:tcPr>
          <w:p w14:paraId="20971EC5"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10</w:t>
            </w:r>
          </w:p>
        </w:tc>
        <w:tc>
          <w:tcPr>
            <w:tcW w:w="2410" w:type="dxa"/>
            <w:tcBorders>
              <w:bottom w:val="single" w:sz="4" w:space="0" w:color="000000"/>
            </w:tcBorders>
            <w:shd w:val="clear" w:color="auto" w:fill="C2D69B"/>
          </w:tcPr>
          <w:p w14:paraId="60843345"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Returnees &amp; Refugees Directorate</w:t>
            </w:r>
          </w:p>
        </w:tc>
        <w:tc>
          <w:tcPr>
            <w:tcW w:w="1426" w:type="dxa"/>
            <w:tcBorders>
              <w:bottom w:val="single" w:sz="4" w:space="0" w:color="000000"/>
            </w:tcBorders>
            <w:shd w:val="clear" w:color="auto" w:fill="C2D69B"/>
          </w:tcPr>
          <w:p w14:paraId="4AAFD7C0"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Baghlan</w:t>
            </w:r>
          </w:p>
        </w:tc>
        <w:tc>
          <w:tcPr>
            <w:tcW w:w="2118" w:type="dxa"/>
            <w:tcBorders>
              <w:bottom w:val="single" w:sz="4" w:space="0" w:color="000000"/>
            </w:tcBorders>
            <w:shd w:val="clear" w:color="auto" w:fill="C2D69B"/>
          </w:tcPr>
          <w:p w14:paraId="56F4B9FD"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13,565</w:t>
            </w:r>
          </w:p>
          <w:p w14:paraId="05900591"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$301.44</w:t>
            </w:r>
          </w:p>
        </w:tc>
        <w:tc>
          <w:tcPr>
            <w:tcW w:w="850" w:type="dxa"/>
            <w:tcBorders>
              <w:bottom w:val="single" w:sz="4" w:space="0" w:color="000000"/>
            </w:tcBorders>
            <w:shd w:val="clear" w:color="auto" w:fill="C2D69B"/>
          </w:tcPr>
          <w:p w14:paraId="01323950"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1378</w:t>
            </w:r>
          </w:p>
        </w:tc>
        <w:tc>
          <w:tcPr>
            <w:tcW w:w="1559" w:type="dxa"/>
            <w:tcBorders>
              <w:bottom w:val="single" w:sz="4" w:space="0" w:color="000000"/>
            </w:tcBorders>
            <w:shd w:val="clear" w:color="auto" w:fill="C2D69B"/>
          </w:tcPr>
          <w:p w14:paraId="7ECD56EC" w14:textId="77777777" w:rsidR="003D1AB8" w:rsidRPr="00785FB4" w:rsidRDefault="003D1AB8" w:rsidP="00B14059">
            <w:pPr>
              <w:spacing w:after="0"/>
              <w:jc w:val="center"/>
              <w:rPr>
                <w:rFonts w:ascii="Times New Roman" w:hAnsi="Times New Roman"/>
                <w:sz w:val="20"/>
                <w:szCs w:val="20"/>
              </w:rPr>
            </w:pPr>
          </w:p>
        </w:tc>
      </w:tr>
      <w:tr w:rsidR="003D1AB8" w:rsidRPr="00785FB4" w14:paraId="50625674" w14:textId="77777777" w:rsidTr="00B14059">
        <w:trPr>
          <w:cantSplit/>
        </w:trPr>
        <w:tc>
          <w:tcPr>
            <w:tcW w:w="709" w:type="dxa"/>
            <w:shd w:val="clear" w:color="auto" w:fill="C2D69B"/>
          </w:tcPr>
          <w:p w14:paraId="7D638B28"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11</w:t>
            </w:r>
          </w:p>
        </w:tc>
        <w:tc>
          <w:tcPr>
            <w:tcW w:w="2410" w:type="dxa"/>
            <w:shd w:val="clear" w:color="auto" w:fill="C2D69B"/>
          </w:tcPr>
          <w:p w14:paraId="6EDE7BB5"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Administration Directorate</w:t>
            </w:r>
          </w:p>
        </w:tc>
        <w:tc>
          <w:tcPr>
            <w:tcW w:w="1426" w:type="dxa"/>
            <w:shd w:val="clear" w:color="auto" w:fill="C2D69B"/>
          </w:tcPr>
          <w:p w14:paraId="683CCA75"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Baghlan</w:t>
            </w:r>
          </w:p>
        </w:tc>
        <w:tc>
          <w:tcPr>
            <w:tcW w:w="2118" w:type="dxa"/>
            <w:shd w:val="clear" w:color="auto" w:fill="C2D69B"/>
          </w:tcPr>
          <w:p w14:paraId="7F2FE682"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15,000 cash</w:t>
            </w:r>
          </w:p>
          <w:p w14:paraId="6BAAFAAA"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$333.33</w:t>
            </w:r>
          </w:p>
        </w:tc>
        <w:tc>
          <w:tcPr>
            <w:tcW w:w="850" w:type="dxa"/>
            <w:shd w:val="clear" w:color="auto" w:fill="C2D69B"/>
          </w:tcPr>
          <w:p w14:paraId="195F4C43"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1376</w:t>
            </w:r>
          </w:p>
        </w:tc>
        <w:tc>
          <w:tcPr>
            <w:tcW w:w="1559" w:type="dxa"/>
            <w:shd w:val="clear" w:color="auto" w:fill="C2D69B"/>
          </w:tcPr>
          <w:p w14:paraId="77FD6D98"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147,689</w:t>
            </w:r>
          </w:p>
        </w:tc>
      </w:tr>
      <w:tr w:rsidR="003D1AB8" w:rsidRPr="00785FB4" w14:paraId="04B23ED4" w14:textId="77777777" w:rsidTr="00B14059">
        <w:trPr>
          <w:cantSplit/>
        </w:trPr>
        <w:tc>
          <w:tcPr>
            <w:tcW w:w="709" w:type="dxa"/>
            <w:shd w:val="clear" w:color="auto" w:fill="C2D69B"/>
          </w:tcPr>
          <w:p w14:paraId="679B9241"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12</w:t>
            </w:r>
          </w:p>
        </w:tc>
        <w:tc>
          <w:tcPr>
            <w:tcW w:w="2410" w:type="dxa"/>
            <w:shd w:val="clear" w:color="auto" w:fill="C2D69B"/>
          </w:tcPr>
          <w:p w14:paraId="5646B9F4"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Directorate of Rural Rehabilitation &amp; Development</w:t>
            </w:r>
          </w:p>
        </w:tc>
        <w:tc>
          <w:tcPr>
            <w:tcW w:w="1426" w:type="dxa"/>
            <w:shd w:val="clear" w:color="auto" w:fill="C2D69B"/>
          </w:tcPr>
          <w:p w14:paraId="7258A685"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Baghlan</w:t>
            </w:r>
          </w:p>
        </w:tc>
        <w:tc>
          <w:tcPr>
            <w:tcW w:w="2118" w:type="dxa"/>
            <w:shd w:val="clear" w:color="auto" w:fill="C2D69B"/>
          </w:tcPr>
          <w:p w14:paraId="4DF93733"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4,495</w:t>
            </w:r>
          </w:p>
          <w:p w14:paraId="6CC7752B"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$99.88</w:t>
            </w:r>
          </w:p>
        </w:tc>
        <w:tc>
          <w:tcPr>
            <w:tcW w:w="850" w:type="dxa"/>
            <w:shd w:val="clear" w:color="auto" w:fill="C2D69B"/>
          </w:tcPr>
          <w:p w14:paraId="3AE6E410"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1375</w:t>
            </w:r>
          </w:p>
        </w:tc>
        <w:tc>
          <w:tcPr>
            <w:tcW w:w="1559" w:type="dxa"/>
            <w:shd w:val="clear" w:color="auto" w:fill="C2D69B"/>
          </w:tcPr>
          <w:p w14:paraId="46C813F3" w14:textId="77777777" w:rsidR="003D1AB8" w:rsidRPr="00785FB4" w:rsidRDefault="003D1AB8" w:rsidP="00B14059">
            <w:pPr>
              <w:spacing w:after="0"/>
              <w:jc w:val="center"/>
              <w:rPr>
                <w:rFonts w:ascii="Times New Roman" w:hAnsi="Times New Roman"/>
                <w:sz w:val="20"/>
                <w:szCs w:val="20"/>
              </w:rPr>
            </w:pPr>
          </w:p>
        </w:tc>
      </w:tr>
      <w:tr w:rsidR="003D1AB8" w:rsidRPr="00785FB4" w14:paraId="63EFE786" w14:textId="77777777" w:rsidTr="00B14059">
        <w:trPr>
          <w:cantSplit/>
        </w:trPr>
        <w:tc>
          <w:tcPr>
            <w:tcW w:w="709" w:type="dxa"/>
            <w:shd w:val="clear" w:color="auto" w:fill="C2D69B"/>
          </w:tcPr>
          <w:p w14:paraId="4520ED8F"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w:t>
            </w:r>
          </w:p>
        </w:tc>
        <w:tc>
          <w:tcPr>
            <w:tcW w:w="2410" w:type="dxa"/>
            <w:shd w:val="clear" w:color="auto" w:fill="C2D69B"/>
          </w:tcPr>
          <w:p w14:paraId="1B4656AD"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Education Directorate</w:t>
            </w:r>
          </w:p>
        </w:tc>
        <w:tc>
          <w:tcPr>
            <w:tcW w:w="1426" w:type="dxa"/>
            <w:shd w:val="clear" w:color="auto" w:fill="C2D69B"/>
          </w:tcPr>
          <w:p w14:paraId="7477E883"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Baghlan</w:t>
            </w:r>
          </w:p>
        </w:tc>
        <w:tc>
          <w:tcPr>
            <w:tcW w:w="2118" w:type="dxa"/>
            <w:shd w:val="clear" w:color="auto" w:fill="C2D69B"/>
          </w:tcPr>
          <w:p w14:paraId="371FD63D"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56,373</w:t>
            </w:r>
          </w:p>
          <w:p w14:paraId="5B6AA452"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$1252.71</w:t>
            </w:r>
          </w:p>
        </w:tc>
        <w:tc>
          <w:tcPr>
            <w:tcW w:w="850" w:type="dxa"/>
            <w:shd w:val="clear" w:color="auto" w:fill="C2D69B"/>
          </w:tcPr>
          <w:p w14:paraId="252EC68A"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1374</w:t>
            </w:r>
          </w:p>
        </w:tc>
        <w:tc>
          <w:tcPr>
            <w:tcW w:w="1559" w:type="dxa"/>
            <w:shd w:val="clear" w:color="auto" w:fill="C2D69B"/>
          </w:tcPr>
          <w:p w14:paraId="0E83736D" w14:textId="77777777" w:rsidR="003D1AB8" w:rsidRPr="00785FB4" w:rsidRDefault="003D1AB8" w:rsidP="00B14059">
            <w:pPr>
              <w:spacing w:after="0"/>
              <w:jc w:val="center"/>
              <w:rPr>
                <w:rFonts w:ascii="Times New Roman" w:hAnsi="Times New Roman"/>
                <w:sz w:val="20"/>
                <w:szCs w:val="20"/>
              </w:rPr>
            </w:pPr>
          </w:p>
        </w:tc>
      </w:tr>
      <w:tr w:rsidR="003D1AB8" w:rsidRPr="00785FB4" w14:paraId="0C9C9F19" w14:textId="77777777" w:rsidTr="00B14059">
        <w:trPr>
          <w:cantSplit/>
        </w:trPr>
        <w:tc>
          <w:tcPr>
            <w:tcW w:w="709" w:type="dxa"/>
            <w:shd w:val="clear" w:color="auto" w:fill="C2D69B"/>
          </w:tcPr>
          <w:p w14:paraId="0591F219"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14</w:t>
            </w:r>
          </w:p>
        </w:tc>
        <w:tc>
          <w:tcPr>
            <w:tcW w:w="2410" w:type="dxa"/>
            <w:shd w:val="clear" w:color="auto" w:fill="C2D69B"/>
          </w:tcPr>
          <w:p w14:paraId="4B016A92"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Agriculture Directorate</w:t>
            </w:r>
          </w:p>
        </w:tc>
        <w:tc>
          <w:tcPr>
            <w:tcW w:w="1426" w:type="dxa"/>
            <w:shd w:val="clear" w:color="auto" w:fill="C2D69B"/>
          </w:tcPr>
          <w:p w14:paraId="10623371"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Baghlan</w:t>
            </w:r>
          </w:p>
        </w:tc>
        <w:tc>
          <w:tcPr>
            <w:tcW w:w="2118" w:type="dxa"/>
            <w:shd w:val="clear" w:color="auto" w:fill="C2D69B"/>
          </w:tcPr>
          <w:p w14:paraId="225C25B5"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10,820</w:t>
            </w:r>
          </w:p>
          <w:p w14:paraId="441F584F"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$240.44</w:t>
            </w:r>
          </w:p>
        </w:tc>
        <w:tc>
          <w:tcPr>
            <w:tcW w:w="850" w:type="dxa"/>
            <w:shd w:val="clear" w:color="auto" w:fill="C2D69B"/>
          </w:tcPr>
          <w:p w14:paraId="018BBA73"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687C88E5"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Not included</w:t>
            </w:r>
          </w:p>
        </w:tc>
      </w:tr>
      <w:tr w:rsidR="003D1AB8" w:rsidRPr="00785FB4" w14:paraId="0C23BE75" w14:textId="77777777" w:rsidTr="00B14059">
        <w:trPr>
          <w:cantSplit/>
        </w:trPr>
        <w:tc>
          <w:tcPr>
            <w:tcW w:w="709" w:type="dxa"/>
            <w:shd w:val="clear" w:color="auto" w:fill="C2D69B"/>
          </w:tcPr>
          <w:p w14:paraId="6F904238"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15</w:t>
            </w:r>
          </w:p>
        </w:tc>
        <w:tc>
          <w:tcPr>
            <w:tcW w:w="2410" w:type="dxa"/>
            <w:shd w:val="clear" w:color="auto" w:fill="C2D69B"/>
          </w:tcPr>
          <w:p w14:paraId="0C494AC5"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Mechanical School</w:t>
            </w:r>
          </w:p>
        </w:tc>
        <w:tc>
          <w:tcPr>
            <w:tcW w:w="1426" w:type="dxa"/>
            <w:shd w:val="clear" w:color="auto" w:fill="C2D69B"/>
          </w:tcPr>
          <w:p w14:paraId="72C614BF"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Baghlan</w:t>
            </w:r>
          </w:p>
        </w:tc>
        <w:tc>
          <w:tcPr>
            <w:tcW w:w="2118" w:type="dxa"/>
            <w:shd w:val="clear" w:color="auto" w:fill="C2D69B"/>
          </w:tcPr>
          <w:p w14:paraId="3416D188"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5,752</w:t>
            </w:r>
          </w:p>
          <w:p w14:paraId="6A7128D8"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$127.82</w:t>
            </w:r>
          </w:p>
        </w:tc>
        <w:tc>
          <w:tcPr>
            <w:tcW w:w="850" w:type="dxa"/>
            <w:shd w:val="clear" w:color="auto" w:fill="C2D69B"/>
          </w:tcPr>
          <w:p w14:paraId="1238C987"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2797F877"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Not included</w:t>
            </w:r>
          </w:p>
        </w:tc>
      </w:tr>
      <w:tr w:rsidR="003D1AB8" w:rsidRPr="00785FB4" w14:paraId="3208EBFF" w14:textId="77777777" w:rsidTr="00B14059">
        <w:trPr>
          <w:cantSplit/>
        </w:trPr>
        <w:tc>
          <w:tcPr>
            <w:tcW w:w="709" w:type="dxa"/>
            <w:shd w:val="clear" w:color="auto" w:fill="C2D69B"/>
          </w:tcPr>
          <w:p w14:paraId="524E3E15"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16</w:t>
            </w:r>
          </w:p>
        </w:tc>
        <w:tc>
          <w:tcPr>
            <w:tcW w:w="2410" w:type="dxa"/>
            <w:shd w:val="clear" w:color="auto" w:fill="C2D69B"/>
          </w:tcPr>
          <w:p w14:paraId="1EB09295"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Police Headquarters</w:t>
            </w:r>
          </w:p>
        </w:tc>
        <w:tc>
          <w:tcPr>
            <w:tcW w:w="1426" w:type="dxa"/>
            <w:shd w:val="clear" w:color="auto" w:fill="C2D69B"/>
          </w:tcPr>
          <w:p w14:paraId="76F427A1"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Baghlan</w:t>
            </w:r>
          </w:p>
        </w:tc>
        <w:tc>
          <w:tcPr>
            <w:tcW w:w="2118" w:type="dxa"/>
            <w:shd w:val="clear" w:color="auto" w:fill="C2D69B"/>
          </w:tcPr>
          <w:p w14:paraId="0FA152F6"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253,503</w:t>
            </w:r>
          </w:p>
          <w:p w14:paraId="3AF86A6E"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$5633.40</w:t>
            </w:r>
          </w:p>
        </w:tc>
        <w:tc>
          <w:tcPr>
            <w:tcW w:w="850" w:type="dxa"/>
            <w:shd w:val="clear" w:color="auto" w:fill="C2D69B"/>
          </w:tcPr>
          <w:p w14:paraId="6717C73D"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1372</w:t>
            </w:r>
          </w:p>
        </w:tc>
        <w:tc>
          <w:tcPr>
            <w:tcW w:w="1559" w:type="dxa"/>
            <w:shd w:val="clear" w:color="auto" w:fill="C2D69B"/>
          </w:tcPr>
          <w:p w14:paraId="164361BA" w14:textId="77777777" w:rsidR="003D1AB8" w:rsidRPr="00785FB4" w:rsidRDefault="003D1AB8" w:rsidP="00B14059">
            <w:pPr>
              <w:spacing w:after="0"/>
              <w:jc w:val="center"/>
              <w:rPr>
                <w:rFonts w:ascii="Times New Roman" w:hAnsi="Times New Roman"/>
                <w:sz w:val="20"/>
                <w:szCs w:val="20"/>
              </w:rPr>
            </w:pPr>
          </w:p>
        </w:tc>
      </w:tr>
      <w:tr w:rsidR="003D1AB8" w:rsidRPr="00785FB4" w14:paraId="1CA68E90" w14:textId="77777777" w:rsidTr="00B14059">
        <w:trPr>
          <w:cantSplit/>
        </w:trPr>
        <w:tc>
          <w:tcPr>
            <w:tcW w:w="709" w:type="dxa"/>
            <w:shd w:val="clear" w:color="auto" w:fill="C2D69B"/>
          </w:tcPr>
          <w:p w14:paraId="1B525DCC"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17</w:t>
            </w:r>
          </w:p>
        </w:tc>
        <w:tc>
          <w:tcPr>
            <w:tcW w:w="2410" w:type="dxa"/>
            <w:shd w:val="clear" w:color="auto" w:fill="C2D69B"/>
          </w:tcPr>
          <w:p w14:paraId="41E50B83"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Silo (wheat storage)</w:t>
            </w:r>
          </w:p>
        </w:tc>
        <w:tc>
          <w:tcPr>
            <w:tcW w:w="1426" w:type="dxa"/>
            <w:shd w:val="clear" w:color="auto" w:fill="C2D69B"/>
          </w:tcPr>
          <w:p w14:paraId="0AF78778"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Baghlan</w:t>
            </w:r>
          </w:p>
        </w:tc>
        <w:tc>
          <w:tcPr>
            <w:tcW w:w="2118" w:type="dxa"/>
            <w:shd w:val="clear" w:color="auto" w:fill="C2D69B"/>
          </w:tcPr>
          <w:p w14:paraId="5514C921"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248,665</w:t>
            </w:r>
          </w:p>
          <w:p w14:paraId="1974DC38"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$5525.88</w:t>
            </w:r>
          </w:p>
        </w:tc>
        <w:tc>
          <w:tcPr>
            <w:tcW w:w="850" w:type="dxa"/>
            <w:shd w:val="clear" w:color="auto" w:fill="C2D69B"/>
          </w:tcPr>
          <w:p w14:paraId="33311308"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1370</w:t>
            </w:r>
          </w:p>
        </w:tc>
        <w:tc>
          <w:tcPr>
            <w:tcW w:w="1559" w:type="dxa"/>
            <w:shd w:val="clear" w:color="auto" w:fill="C2D69B"/>
          </w:tcPr>
          <w:p w14:paraId="7CB3E6B4"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19,882</w:t>
            </w:r>
          </w:p>
        </w:tc>
      </w:tr>
      <w:tr w:rsidR="003D1AB8" w:rsidRPr="00785FB4" w14:paraId="38BE14C2" w14:textId="77777777" w:rsidTr="00B14059">
        <w:trPr>
          <w:cantSplit/>
        </w:trPr>
        <w:tc>
          <w:tcPr>
            <w:tcW w:w="709" w:type="dxa"/>
            <w:shd w:val="clear" w:color="auto" w:fill="C2D69B"/>
          </w:tcPr>
          <w:p w14:paraId="3CB7F7DD"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lastRenderedPageBreak/>
              <w:t>18</w:t>
            </w:r>
          </w:p>
        </w:tc>
        <w:tc>
          <w:tcPr>
            <w:tcW w:w="2410" w:type="dxa"/>
            <w:shd w:val="clear" w:color="auto" w:fill="C2D69B"/>
          </w:tcPr>
          <w:p w14:paraId="78ACB30C"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Police Information Department</w:t>
            </w:r>
          </w:p>
        </w:tc>
        <w:tc>
          <w:tcPr>
            <w:tcW w:w="1426" w:type="dxa"/>
            <w:shd w:val="clear" w:color="auto" w:fill="C2D69B"/>
          </w:tcPr>
          <w:p w14:paraId="145DC46E"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Baghlan</w:t>
            </w:r>
          </w:p>
        </w:tc>
        <w:tc>
          <w:tcPr>
            <w:tcW w:w="2118" w:type="dxa"/>
            <w:shd w:val="clear" w:color="auto" w:fill="C2D69B"/>
          </w:tcPr>
          <w:p w14:paraId="6C45672E"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30,400</w:t>
            </w:r>
          </w:p>
          <w:p w14:paraId="3D944AE5"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$675.55</w:t>
            </w:r>
          </w:p>
          <w:p w14:paraId="7D09FE57" w14:textId="77777777" w:rsidR="003D1AB8" w:rsidRPr="00785FB4" w:rsidRDefault="003D1AB8" w:rsidP="00B14059">
            <w:pPr>
              <w:spacing w:after="0"/>
              <w:jc w:val="center"/>
              <w:rPr>
                <w:rFonts w:ascii="Times New Roman" w:hAnsi="Times New Roman"/>
                <w:sz w:val="20"/>
                <w:szCs w:val="20"/>
              </w:rPr>
            </w:pPr>
          </w:p>
        </w:tc>
        <w:tc>
          <w:tcPr>
            <w:tcW w:w="850" w:type="dxa"/>
            <w:shd w:val="clear" w:color="auto" w:fill="C2D69B"/>
          </w:tcPr>
          <w:p w14:paraId="036F56EE"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1372</w:t>
            </w:r>
          </w:p>
        </w:tc>
        <w:tc>
          <w:tcPr>
            <w:tcW w:w="1559" w:type="dxa"/>
            <w:shd w:val="clear" w:color="auto" w:fill="C2D69B"/>
          </w:tcPr>
          <w:p w14:paraId="61669DBC" w14:textId="77777777" w:rsidR="003D1AB8" w:rsidRPr="00785FB4" w:rsidRDefault="003D1AB8" w:rsidP="00B14059">
            <w:pPr>
              <w:spacing w:after="0"/>
              <w:jc w:val="center"/>
              <w:rPr>
                <w:rFonts w:ascii="Times New Roman" w:hAnsi="Times New Roman"/>
                <w:sz w:val="20"/>
                <w:szCs w:val="20"/>
              </w:rPr>
            </w:pPr>
          </w:p>
        </w:tc>
      </w:tr>
      <w:tr w:rsidR="003D1AB8" w:rsidRPr="00785FB4" w14:paraId="62CBF813" w14:textId="77777777" w:rsidTr="00B14059">
        <w:trPr>
          <w:cantSplit/>
        </w:trPr>
        <w:tc>
          <w:tcPr>
            <w:tcW w:w="709" w:type="dxa"/>
            <w:shd w:val="clear" w:color="auto" w:fill="C2D69B"/>
          </w:tcPr>
          <w:p w14:paraId="6F2F19AF"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19</w:t>
            </w:r>
          </w:p>
        </w:tc>
        <w:tc>
          <w:tcPr>
            <w:tcW w:w="2410" w:type="dxa"/>
            <w:shd w:val="clear" w:color="auto" w:fill="C2D69B"/>
          </w:tcPr>
          <w:p w14:paraId="7CF94C27"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Road Construction Department</w:t>
            </w:r>
          </w:p>
        </w:tc>
        <w:tc>
          <w:tcPr>
            <w:tcW w:w="1426" w:type="dxa"/>
            <w:shd w:val="clear" w:color="auto" w:fill="C2D69B"/>
          </w:tcPr>
          <w:p w14:paraId="02EB5E7F"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Baghlan</w:t>
            </w:r>
          </w:p>
        </w:tc>
        <w:tc>
          <w:tcPr>
            <w:tcW w:w="2118" w:type="dxa"/>
            <w:shd w:val="clear" w:color="auto" w:fill="C2D69B"/>
          </w:tcPr>
          <w:p w14:paraId="1A94D806"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1,445</w:t>
            </w:r>
          </w:p>
          <w:p w14:paraId="5B302643"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$32.11</w:t>
            </w:r>
          </w:p>
        </w:tc>
        <w:tc>
          <w:tcPr>
            <w:tcW w:w="850" w:type="dxa"/>
            <w:shd w:val="clear" w:color="auto" w:fill="C2D69B"/>
          </w:tcPr>
          <w:p w14:paraId="6138BF24"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1371</w:t>
            </w:r>
          </w:p>
        </w:tc>
        <w:tc>
          <w:tcPr>
            <w:tcW w:w="1559" w:type="dxa"/>
            <w:shd w:val="clear" w:color="auto" w:fill="C2D69B"/>
          </w:tcPr>
          <w:p w14:paraId="5909AA02" w14:textId="77777777" w:rsidR="003D1AB8" w:rsidRPr="00785FB4" w:rsidRDefault="003D1AB8" w:rsidP="00B14059">
            <w:pPr>
              <w:spacing w:after="0"/>
              <w:jc w:val="center"/>
              <w:rPr>
                <w:rFonts w:ascii="Times New Roman" w:hAnsi="Times New Roman"/>
                <w:sz w:val="20"/>
                <w:szCs w:val="20"/>
              </w:rPr>
            </w:pPr>
          </w:p>
        </w:tc>
      </w:tr>
      <w:tr w:rsidR="003D1AB8" w:rsidRPr="00785FB4" w14:paraId="3FAA1299" w14:textId="77777777" w:rsidTr="00B14059">
        <w:trPr>
          <w:cantSplit/>
        </w:trPr>
        <w:tc>
          <w:tcPr>
            <w:tcW w:w="709" w:type="dxa"/>
            <w:shd w:val="clear" w:color="auto" w:fill="C2D69B"/>
          </w:tcPr>
          <w:p w14:paraId="45F8D994"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20</w:t>
            </w:r>
          </w:p>
        </w:tc>
        <w:tc>
          <w:tcPr>
            <w:tcW w:w="2410" w:type="dxa"/>
            <w:shd w:val="clear" w:color="auto" w:fill="C2D69B"/>
          </w:tcPr>
          <w:p w14:paraId="76BFD316"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Military Attorney General</w:t>
            </w:r>
          </w:p>
        </w:tc>
        <w:tc>
          <w:tcPr>
            <w:tcW w:w="1426" w:type="dxa"/>
            <w:shd w:val="clear" w:color="auto" w:fill="C2D69B"/>
          </w:tcPr>
          <w:p w14:paraId="3811E868"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Baghlan</w:t>
            </w:r>
          </w:p>
        </w:tc>
        <w:tc>
          <w:tcPr>
            <w:tcW w:w="2118" w:type="dxa"/>
            <w:shd w:val="clear" w:color="auto" w:fill="C2D69B"/>
          </w:tcPr>
          <w:p w14:paraId="220DA989"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18,500</w:t>
            </w:r>
          </w:p>
          <w:p w14:paraId="012DB8C0"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$411.11</w:t>
            </w:r>
          </w:p>
        </w:tc>
        <w:tc>
          <w:tcPr>
            <w:tcW w:w="850" w:type="dxa"/>
            <w:shd w:val="clear" w:color="auto" w:fill="C2D69B"/>
          </w:tcPr>
          <w:p w14:paraId="52155845"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1374</w:t>
            </w:r>
          </w:p>
        </w:tc>
        <w:tc>
          <w:tcPr>
            <w:tcW w:w="1559" w:type="dxa"/>
            <w:shd w:val="clear" w:color="auto" w:fill="C2D69B"/>
          </w:tcPr>
          <w:p w14:paraId="17E82397" w14:textId="77777777" w:rsidR="003D1AB8" w:rsidRPr="00785FB4" w:rsidRDefault="003D1AB8" w:rsidP="00B14059">
            <w:pPr>
              <w:spacing w:after="0"/>
              <w:jc w:val="center"/>
              <w:rPr>
                <w:rFonts w:ascii="Times New Roman" w:hAnsi="Times New Roman"/>
                <w:sz w:val="20"/>
                <w:szCs w:val="20"/>
              </w:rPr>
            </w:pPr>
          </w:p>
        </w:tc>
      </w:tr>
      <w:tr w:rsidR="003D1AB8" w:rsidRPr="00785FB4" w14:paraId="1256BD97" w14:textId="77777777" w:rsidTr="00B14059">
        <w:trPr>
          <w:cantSplit/>
        </w:trPr>
        <w:tc>
          <w:tcPr>
            <w:tcW w:w="709" w:type="dxa"/>
            <w:shd w:val="clear" w:color="auto" w:fill="C2D69B"/>
          </w:tcPr>
          <w:p w14:paraId="7A986101"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21</w:t>
            </w:r>
          </w:p>
        </w:tc>
        <w:tc>
          <w:tcPr>
            <w:tcW w:w="2410" w:type="dxa"/>
            <w:shd w:val="clear" w:color="auto" w:fill="C2D69B"/>
          </w:tcPr>
          <w:p w14:paraId="42CE5302"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 xml:space="preserve">Ministry of Transport </w:t>
            </w:r>
          </w:p>
        </w:tc>
        <w:tc>
          <w:tcPr>
            <w:tcW w:w="1426" w:type="dxa"/>
            <w:shd w:val="clear" w:color="auto" w:fill="C2D69B"/>
          </w:tcPr>
          <w:p w14:paraId="00534015"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Baghlan</w:t>
            </w:r>
          </w:p>
        </w:tc>
        <w:tc>
          <w:tcPr>
            <w:tcW w:w="2118" w:type="dxa"/>
            <w:shd w:val="clear" w:color="auto" w:fill="C2D69B"/>
          </w:tcPr>
          <w:p w14:paraId="14CE1CA1"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1,372</w:t>
            </w:r>
          </w:p>
          <w:p w14:paraId="422D0C67"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$30.48</w:t>
            </w:r>
          </w:p>
        </w:tc>
        <w:tc>
          <w:tcPr>
            <w:tcW w:w="850" w:type="dxa"/>
            <w:shd w:val="clear" w:color="auto" w:fill="C2D69B"/>
          </w:tcPr>
          <w:p w14:paraId="5541B14D"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1374</w:t>
            </w:r>
          </w:p>
        </w:tc>
        <w:tc>
          <w:tcPr>
            <w:tcW w:w="1559" w:type="dxa"/>
            <w:shd w:val="clear" w:color="auto" w:fill="C2D69B"/>
          </w:tcPr>
          <w:p w14:paraId="543BB9E1" w14:textId="77777777" w:rsidR="003D1AB8" w:rsidRPr="00785FB4" w:rsidRDefault="003D1AB8" w:rsidP="00B14059">
            <w:pPr>
              <w:spacing w:after="0"/>
              <w:jc w:val="center"/>
              <w:rPr>
                <w:rFonts w:ascii="Times New Roman" w:hAnsi="Times New Roman"/>
                <w:sz w:val="20"/>
                <w:szCs w:val="20"/>
              </w:rPr>
            </w:pPr>
          </w:p>
        </w:tc>
      </w:tr>
      <w:tr w:rsidR="003D1AB8" w:rsidRPr="00785FB4" w14:paraId="3812CFC4" w14:textId="77777777" w:rsidTr="00B14059">
        <w:trPr>
          <w:cantSplit/>
        </w:trPr>
        <w:tc>
          <w:tcPr>
            <w:tcW w:w="709" w:type="dxa"/>
            <w:tcBorders>
              <w:bottom w:val="single" w:sz="4" w:space="0" w:color="595959"/>
            </w:tcBorders>
            <w:shd w:val="clear" w:color="auto" w:fill="C2D69B"/>
          </w:tcPr>
          <w:p w14:paraId="24B3FCF5"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22</w:t>
            </w:r>
          </w:p>
        </w:tc>
        <w:tc>
          <w:tcPr>
            <w:tcW w:w="2410" w:type="dxa"/>
            <w:tcBorders>
              <w:bottom w:val="single" w:sz="4" w:space="0" w:color="595959"/>
            </w:tcBorders>
            <w:shd w:val="clear" w:color="auto" w:fill="C2D69B"/>
          </w:tcPr>
          <w:p w14:paraId="27FC1833"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Provincial Council</w:t>
            </w:r>
          </w:p>
        </w:tc>
        <w:tc>
          <w:tcPr>
            <w:tcW w:w="1426" w:type="dxa"/>
            <w:tcBorders>
              <w:bottom w:val="single" w:sz="4" w:space="0" w:color="595959"/>
            </w:tcBorders>
            <w:shd w:val="clear" w:color="auto" w:fill="C2D69B"/>
          </w:tcPr>
          <w:p w14:paraId="0D39242A"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Baghlan</w:t>
            </w:r>
          </w:p>
        </w:tc>
        <w:tc>
          <w:tcPr>
            <w:tcW w:w="2118" w:type="dxa"/>
            <w:tcBorders>
              <w:bottom w:val="single" w:sz="4" w:space="0" w:color="595959"/>
            </w:tcBorders>
            <w:shd w:val="clear" w:color="auto" w:fill="C2D69B"/>
          </w:tcPr>
          <w:p w14:paraId="642D053F"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644</w:t>
            </w:r>
          </w:p>
          <w:p w14:paraId="2E2F1F40"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$14.31</w:t>
            </w:r>
          </w:p>
        </w:tc>
        <w:tc>
          <w:tcPr>
            <w:tcW w:w="850" w:type="dxa"/>
            <w:tcBorders>
              <w:bottom w:val="single" w:sz="4" w:space="0" w:color="595959"/>
            </w:tcBorders>
            <w:shd w:val="clear" w:color="auto" w:fill="C2D69B"/>
          </w:tcPr>
          <w:p w14:paraId="60CE9A2A"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1374</w:t>
            </w:r>
          </w:p>
        </w:tc>
        <w:tc>
          <w:tcPr>
            <w:tcW w:w="1559" w:type="dxa"/>
            <w:tcBorders>
              <w:bottom w:val="single" w:sz="4" w:space="0" w:color="595959"/>
            </w:tcBorders>
            <w:shd w:val="clear" w:color="auto" w:fill="C2D69B"/>
          </w:tcPr>
          <w:p w14:paraId="70FD14C5" w14:textId="77777777" w:rsidR="003D1AB8" w:rsidRPr="00785FB4" w:rsidRDefault="003D1AB8" w:rsidP="00B14059">
            <w:pPr>
              <w:spacing w:after="0"/>
              <w:jc w:val="center"/>
              <w:rPr>
                <w:rFonts w:ascii="Times New Roman" w:hAnsi="Times New Roman"/>
                <w:sz w:val="20"/>
                <w:szCs w:val="20"/>
              </w:rPr>
            </w:pPr>
          </w:p>
        </w:tc>
      </w:tr>
      <w:tr w:rsidR="003D1AB8" w:rsidRPr="00785FB4" w14:paraId="74AE5E24" w14:textId="77777777" w:rsidTr="00B14059">
        <w:trPr>
          <w:cantSplit/>
        </w:trPr>
        <w:tc>
          <w:tcPr>
            <w:tcW w:w="709" w:type="dxa"/>
            <w:tcBorders>
              <w:top w:val="single" w:sz="4" w:space="0" w:color="595959"/>
              <w:left w:val="single" w:sz="4" w:space="0" w:color="595959"/>
              <w:bottom w:val="single" w:sz="4" w:space="0" w:color="595959"/>
              <w:right w:val="single" w:sz="4" w:space="0" w:color="595959"/>
            </w:tcBorders>
            <w:shd w:val="pct20" w:color="auto" w:fill="auto"/>
          </w:tcPr>
          <w:p w14:paraId="44B951F8" w14:textId="77777777" w:rsidR="003D1AB8" w:rsidRPr="00785FB4" w:rsidRDefault="003D1AB8" w:rsidP="00B14059">
            <w:pPr>
              <w:spacing w:after="0"/>
              <w:jc w:val="center"/>
              <w:rPr>
                <w:rFonts w:ascii="Times New Roman" w:hAnsi="Times New Roman"/>
                <w:b/>
                <w:sz w:val="20"/>
                <w:szCs w:val="20"/>
              </w:rPr>
            </w:pPr>
          </w:p>
        </w:tc>
        <w:tc>
          <w:tcPr>
            <w:tcW w:w="2410" w:type="dxa"/>
            <w:tcBorders>
              <w:top w:val="single" w:sz="4" w:space="0" w:color="595959"/>
              <w:left w:val="single" w:sz="4" w:space="0" w:color="595959"/>
              <w:bottom w:val="single" w:sz="4" w:space="0" w:color="595959"/>
              <w:right w:val="single" w:sz="4" w:space="0" w:color="595959"/>
            </w:tcBorders>
            <w:shd w:val="pct20" w:color="auto" w:fill="auto"/>
          </w:tcPr>
          <w:p w14:paraId="148A60AD" w14:textId="77777777" w:rsidR="003D1AB8" w:rsidRPr="00785FB4" w:rsidRDefault="003D1AB8" w:rsidP="00B14059">
            <w:pPr>
              <w:spacing w:after="0"/>
              <w:rPr>
                <w:rFonts w:ascii="Times New Roman" w:hAnsi="Times New Roman"/>
                <w:b/>
                <w:sz w:val="20"/>
                <w:szCs w:val="20"/>
              </w:rPr>
            </w:pPr>
            <w:r w:rsidRPr="00785FB4">
              <w:rPr>
                <w:rFonts w:ascii="Times New Roman" w:hAnsi="Times New Roman"/>
                <w:b/>
                <w:sz w:val="20"/>
                <w:szCs w:val="20"/>
              </w:rPr>
              <w:t>TOTAL</w:t>
            </w:r>
          </w:p>
        </w:tc>
        <w:tc>
          <w:tcPr>
            <w:tcW w:w="1426" w:type="dxa"/>
            <w:tcBorders>
              <w:top w:val="single" w:sz="4" w:space="0" w:color="595959"/>
              <w:left w:val="single" w:sz="4" w:space="0" w:color="595959"/>
              <w:bottom w:val="single" w:sz="4" w:space="0" w:color="595959"/>
              <w:right w:val="single" w:sz="4" w:space="0" w:color="595959"/>
            </w:tcBorders>
            <w:shd w:val="pct20" w:color="auto" w:fill="auto"/>
          </w:tcPr>
          <w:p w14:paraId="1BAB8E90" w14:textId="77777777" w:rsidR="003D1AB8" w:rsidRPr="00785FB4" w:rsidRDefault="003D1AB8" w:rsidP="00B14059">
            <w:pPr>
              <w:spacing w:after="0"/>
              <w:jc w:val="center"/>
              <w:rPr>
                <w:rFonts w:ascii="Times New Roman" w:hAnsi="Times New Roman"/>
                <w:b/>
                <w:sz w:val="20"/>
                <w:szCs w:val="20"/>
              </w:rPr>
            </w:pPr>
          </w:p>
        </w:tc>
        <w:tc>
          <w:tcPr>
            <w:tcW w:w="2118" w:type="dxa"/>
            <w:tcBorders>
              <w:top w:val="single" w:sz="4" w:space="0" w:color="595959"/>
              <w:left w:val="single" w:sz="4" w:space="0" w:color="595959"/>
              <w:bottom w:val="single" w:sz="4" w:space="0" w:color="595959"/>
              <w:right w:val="single" w:sz="4" w:space="0" w:color="595959"/>
            </w:tcBorders>
            <w:shd w:val="pct20" w:color="auto" w:fill="auto"/>
          </w:tcPr>
          <w:p w14:paraId="1F88E941" w14:textId="77777777" w:rsidR="003D1AB8" w:rsidRPr="00785FB4" w:rsidRDefault="003D1AB8" w:rsidP="00B14059">
            <w:pPr>
              <w:spacing w:after="0"/>
              <w:jc w:val="center"/>
              <w:rPr>
                <w:rFonts w:ascii="Times New Roman" w:hAnsi="Times New Roman"/>
                <w:b/>
                <w:sz w:val="20"/>
                <w:szCs w:val="20"/>
              </w:rPr>
            </w:pPr>
            <w:r w:rsidRPr="00785FB4">
              <w:rPr>
                <w:rFonts w:ascii="Times New Roman" w:hAnsi="Times New Roman"/>
                <w:b/>
                <w:sz w:val="20"/>
                <w:szCs w:val="20"/>
              </w:rPr>
              <w:t>11,656,780</w:t>
            </w:r>
          </w:p>
          <w:p w14:paraId="62692C44" w14:textId="77777777" w:rsidR="003D1AB8" w:rsidRPr="00785FB4" w:rsidRDefault="003D1AB8" w:rsidP="00B14059">
            <w:pPr>
              <w:spacing w:after="0"/>
              <w:jc w:val="center"/>
              <w:rPr>
                <w:rFonts w:ascii="Times New Roman" w:hAnsi="Times New Roman"/>
                <w:b/>
                <w:sz w:val="20"/>
                <w:szCs w:val="20"/>
              </w:rPr>
            </w:pPr>
            <w:r w:rsidRPr="00785FB4">
              <w:rPr>
                <w:rFonts w:ascii="Times New Roman" w:hAnsi="Times New Roman"/>
                <w:b/>
                <w:sz w:val="20"/>
                <w:szCs w:val="20"/>
              </w:rPr>
              <w:t>$259,039.55</w:t>
            </w:r>
          </w:p>
        </w:tc>
        <w:tc>
          <w:tcPr>
            <w:tcW w:w="850" w:type="dxa"/>
            <w:tcBorders>
              <w:top w:val="single" w:sz="4" w:space="0" w:color="595959"/>
              <w:left w:val="single" w:sz="4" w:space="0" w:color="595959"/>
              <w:bottom w:val="single" w:sz="4" w:space="0" w:color="595959"/>
              <w:right w:val="single" w:sz="4" w:space="0" w:color="595959"/>
            </w:tcBorders>
            <w:shd w:val="pct20" w:color="auto" w:fill="auto"/>
          </w:tcPr>
          <w:p w14:paraId="77D41BBE" w14:textId="77777777" w:rsidR="003D1AB8" w:rsidRPr="00785FB4" w:rsidRDefault="003D1AB8" w:rsidP="00B14059">
            <w:pPr>
              <w:spacing w:after="0"/>
              <w:jc w:val="center"/>
              <w:rPr>
                <w:rFonts w:ascii="Times New Roman" w:hAnsi="Times New Roman"/>
                <w:b/>
                <w:sz w:val="20"/>
                <w:szCs w:val="20"/>
              </w:rPr>
            </w:pPr>
          </w:p>
        </w:tc>
        <w:tc>
          <w:tcPr>
            <w:tcW w:w="1559" w:type="dxa"/>
            <w:tcBorders>
              <w:top w:val="single" w:sz="4" w:space="0" w:color="595959"/>
              <w:left w:val="single" w:sz="4" w:space="0" w:color="595959"/>
              <w:bottom w:val="single" w:sz="4" w:space="0" w:color="595959"/>
              <w:right w:val="single" w:sz="4" w:space="0" w:color="595959"/>
            </w:tcBorders>
            <w:shd w:val="pct20" w:color="auto" w:fill="auto"/>
          </w:tcPr>
          <w:p w14:paraId="1F394F92" w14:textId="77777777" w:rsidR="003D1AB8" w:rsidRPr="00785FB4" w:rsidRDefault="003D1AB8" w:rsidP="00B14059">
            <w:pPr>
              <w:spacing w:after="0"/>
              <w:jc w:val="center"/>
              <w:rPr>
                <w:rFonts w:ascii="Times New Roman" w:hAnsi="Times New Roman"/>
                <w:b/>
                <w:sz w:val="20"/>
                <w:szCs w:val="20"/>
              </w:rPr>
            </w:pPr>
          </w:p>
        </w:tc>
      </w:tr>
      <w:tr w:rsidR="003D1AB8" w:rsidRPr="00785FB4" w14:paraId="26CBC603" w14:textId="77777777" w:rsidTr="00B14059">
        <w:trPr>
          <w:cantSplit/>
        </w:trPr>
        <w:tc>
          <w:tcPr>
            <w:tcW w:w="709" w:type="dxa"/>
            <w:tcBorders>
              <w:top w:val="single" w:sz="4" w:space="0" w:color="595959"/>
            </w:tcBorders>
            <w:shd w:val="clear" w:color="auto" w:fill="C2D69B"/>
          </w:tcPr>
          <w:p w14:paraId="605E7D91"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23</w:t>
            </w:r>
          </w:p>
        </w:tc>
        <w:tc>
          <w:tcPr>
            <w:tcW w:w="2410" w:type="dxa"/>
            <w:tcBorders>
              <w:top w:val="single" w:sz="4" w:space="0" w:color="595959"/>
            </w:tcBorders>
            <w:shd w:val="clear" w:color="auto" w:fill="C2D69B"/>
          </w:tcPr>
          <w:p w14:paraId="2404127F"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Afghan Coal Directorate</w:t>
            </w:r>
          </w:p>
        </w:tc>
        <w:tc>
          <w:tcPr>
            <w:tcW w:w="1426" w:type="dxa"/>
            <w:tcBorders>
              <w:top w:val="single" w:sz="4" w:space="0" w:color="595959"/>
            </w:tcBorders>
            <w:shd w:val="clear" w:color="auto" w:fill="C2D69B"/>
          </w:tcPr>
          <w:p w14:paraId="4B465E6A" w14:textId="77777777" w:rsidR="003D1AB8" w:rsidRPr="00785FB4" w:rsidRDefault="003D1AB8" w:rsidP="00B14059">
            <w:pPr>
              <w:spacing w:after="0"/>
              <w:jc w:val="center"/>
              <w:rPr>
                <w:rFonts w:ascii="Times New Roman" w:hAnsi="Times New Roman"/>
                <w:sz w:val="20"/>
                <w:szCs w:val="20"/>
              </w:rPr>
            </w:pPr>
          </w:p>
        </w:tc>
        <w:tc>
          <w:tcPr>
            <w:tcW w:w="2118" w:type="dxa"/>
            <w:tcBorders>
              <w:top w:val="single" w:sz="4" w:space="0" w:color="595959"/>
            </w:tcBorders>
            <w:shd w:val="clear" w:color="auto" w:fill="C2D69B"/>
          </w:tcPr>
          <w:p w14:paraId="65A0DEE6"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23707691</w:t>
            </w:r>
          </w:p>
        </w:tc>
        <w:tc>
          <w:tcPr>
            <w:tcW w:w="850" w:type="dxa"/>
            <w:tcBorders>
              <w:top w:val="single" w:sz="4" w:space="0" w:color="595959"/>
            </w:tcBorders>
            <w:shd w:val="clear" w:color="auto" w:fill="C2D69B"/>
          </w:tcPr>
          <w:p w14:paraId="679407F3"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1386</w:t>
            </w:r>
          </w:p>
        </w:tc>
        <w:tc>
          <w:tcPr>
            <w:tcW w:w="1559" w:type="dxa"/>
            <w:tcBorders>
              <w:top w:val="single" w:sz="4" w:space="0" w:color="595959"/>
            </w:tcBorders>
            <w:shd w:val="clear" w:color="auto" w:fill="C2D69B"/>
          </w:tcPr>
          <w:p w14:paraId="3501F2C9" w14:textId="77777777" w:rsidR="003D1AB8" w:rsidRPr="00785FB4" w:rsidRDefault="003D1AB8" w:rsidP="00B14059">
            <w:pPr>
              <w:spacing w:after="0"/>
              <w:jc w:val="center"/>
              <w:rPr>
                <w:rFonts w:ascii="Times New Roman" w:hAnsi="Times New Roman"/>
                <w:sz w:val="20"/>
                <w:szCs w:val="20"/>
              </w:rPr>
            </w:pPr>
          </w:p>
        </w:tc>
      </w:tr>
      <w:tr w:rsidR="003D1AB8" w:rsidRPr="00785FB4" w14:paraId="3B189E0F" w14:textId="77777777" w:rsidTr="00B14059">
        <w:trPr>
          <w:cantSplit/>
        </w:trPr>
        <w:tc>
          <w:tcPr>
            <w:tcW w:w="709" w:type="dxa"/>
            <w:shd w:val="clear" w:color="auto" w:fill="C2D69B"/>
          </w:tcPr>
          <w:p w14:paraId="72783562"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24</w:t>
            </w:r>
          </w:p>
        </w:tc>
        <w:tc>
          <w:tcPr>
            <w:tcW w:w="2410" w:type="dxa"/>
            <w:shd w:val="clear" w:color="auto" w:fill="C2D69B"/>
          </w:tcPr>
          <w:p w14:paraId="08A4D7B5"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MOM Coal Directorate</w:t>
            </w:r>
          </w:p>
        </w:tc>
        <w:tc>
          <w:tcPr>
            <w:tcW w:w="1426" w:type="dxa"/>
            <w:shd w:val="clear" w:color="auto" w:fill="C2D69B"/>
          </w:tcPr>
          <w:p w14:paraId="36F3EBD5"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Kabul</w:t>
            </w:r>
          </w:p>
        </w:tc>
        <w:tc>
          <w:tcPr>
            <w:tcW w:w="2118" w:type="dxa"/>
            <w:shd w:val="clear" w:color="auto" w:fill="C2D69B"/>
          </w:tcPr>
          <w:p w14:paraId="46AB233E"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800000</w:t>
            </w:r>
          </w:p>
        </w:tc>
        <w:tc>
          <w:tcPr>
            <w:tcW w:w="850" w:type="dxa"/>
            <w:shd w:val="clear" w:color="auto" w:fill="C2D69B"/>
          </w:tcPr>
          <w:p w14:paraId="2E73EBB3"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3025F444"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Not included</w:t>
            </w:r>
          </w:p>
        </w:tc>
      </w:tr>
      <w:tr w:rsidR="003D1AB8" w:rsidRPr="00785FB4" w14:paraId="57DAC8B9" w14:textId="77777777" w:rsidTr="00B14059">
        <w:trPr>
          <w:cantSplit/>
        </w:trPr>
        <w:tc>
          <w:tcPr>
            <w:tcW w:w="709" w:type="dxa"/>
            <w:shd w:val="clear" w:color="auto" w:fill="C2D69B"/>
          </w:tcPr>
          <w:p w14:paraId="3A74789F"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25</w:t>
            </w:r>
          </w:p>
        </w:tc>
        <w:tc>
          <w:tcPr>
            <w:tcW w:w="2410" w:type="dxa"/>
            <w:shd w:val="clear" w:color="auto" w:fill="C2D69B"/>
          </w:tcPr>
          <w:p w14:paraId="21443711"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 xml:space="preserve">Silo </w:t>
            </w:r>
          </w:p>
        </w:tc>
        <w:tc>
          <w:tcPr>
            <w:tcW w:w="1426" w:type="dxa"/>
            <w:shd w:val="clear" w:color="auto" w:fill="C2D69B"/>
          </w:tcPr>
          <w:p w14:paraId="51014FB5"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Puli Khumri</w:t>
            </w:r>
          </w:p>
        </w:tc>
        <w:tc>
          <w:tcPr>
            <w:tcW w:w="2118" w:type="dxa"/>
            <w:shd w:val="clear" w:color="auto" w:fill="C2D69B"/>
          </w:tcPr>
          <w:p w14:paraId="3A5BA600"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19882</w:t>
            </w:r>
          </w:p>
        </w:tc>
        <w:tc>
          <w:tcPr>
            <w:tcW w:w="850" w:type="dxa"/>
            <w:shd w:val="clear" w:color="auto" w:fill="C2D69B"/>
          </w:tcPr>
          <w:p w14:paraId="68FC2045"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1370</w:t>
            </w:r>
          </w:p>
        </w:tc>
        <w:tc>
          <w:tcPr>
            <w:tcW w:w="1559" w:type="dxa"/>
            <w:shd w:val="clear" w:color="auto" w:fill="C2D69B"/>
          </w:tcPr>
          <w:p w14:paraId="2B6EE1D7" w14:textId="77777777" w:rsidR="003D1AB8" w:rsidRPr="00785FB4" w:rsidRDefault="003D1AB8" w:rsidP="00B14059">
            <w:pPr>
              <w:spacing w:after="0"/>
              <w:jc w:val="center"/>
              <w:rPr>
                <w:rFonts w:ascii="Times New Roman" w:hAnsi="Times New Roman"/>
                <w:sz w:val="20"/>
                <w:szCs w:val="20"/>
              </w:rPr>
            </w:pPr>
          </w:p>
        </w:tc>
      </w:tr>
      <w:tr w:rsidR="003D1AB8" w:rsidRPr="00785FB4" w14:paraId="596D7CB7" w14:textId="77777777" w:rsidTr="00B14059">
        <w:trPr>
          <w:cantSplit/>
        </w:trPr>
        <w:tc>
          <w:tcPr>
            <w:tcW w:w="709" w:type="dxa"/>
            <w:shd w:val="clear" w:color="auto" w:fill="C2D69B"/>
          </w:tcPr>
          <w:p w14:paraId="7F535651"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26</w:t>
            </w:r>
          </w:p>
        </w:tc>
        <w:tc>
          <w:tcPr>
            <w:tcW w:w="2410" w:type="dxa"/>
            <w:shd w:val="clear" w:color="auto" w:fill="C2D69B"/>
          </w:tcPr>
          <w:p w14:paraId="3B235DF5"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Fertilizer Company</w:t>
            </w:r>
          </w:p>
        </w:tc>
        <w:tc>
          <w:tcPr>
            <w:tcW w:w="1426" w:type="dxa"/>
            <w:shd w:val="clear" w:color="auto" w:fill="C2D69B"/>
          </w:tcPr>
          <w:p w14:paraId="56D855A5" w14:textId="77777777" w:rsidR="003D1AB8" w:rsidRPr="00785FB4" w:rsidRDefault="003D1AB8" w:rsidP="00B14059">
            <w:pPr>
              <w:spacing w:after="0"/>
              <w:jc w:val="center"/>
              <w:rPr>
                <w:rFonts w:ascii="Times New Roman" w:hAnsi="Times New Roman"/>
                <w:sz w:val="20"/>
                <w:szCs w:val="20"/>
              </w:rPr>
            </w:pPr>
          </w:p>
        </w:tc>
        <w:tc>
          <w:tcPr>
            <w:tcW w:w="2118" w:type="dxa"/>
            <w:shd w:val="clear" w:color="auto" w:fill="C2D69B"/>
          </w:tcPr>
          <w:p w14:paraId="445A8C62"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98503289</w:t>
            </w:r>
          </w:p>
          <w:p w14:paraId="60C86597"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25000000</w:t>
            </w:r>
          </w:p>
        </w:tc>
        <w:tc>
          <w:tcPr>
            <w:tcW w:w="850" w:type="dxa"/>
            <w:shd w:val="clear" w:color="auto" w:fill="C2D69B"/>
          </w:tcPr>
          <w:p w14:paraId="02EE3178"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1387</w:t>
            </w:r>
          </w:p>
          <w:p w14:paraId="06EC7362"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1388</w:t>
            </w:r>
          </w:p>
          <w:p w14:paraId="38131F37"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1389</w:t>
            </w:r>
          </w:p>
        </w:tc>
        <w:tc>
          <w:tcPr>
            <w:tcW w:w="1559" w:type="dxa"/>
            <w:shd w:val="clear" w:color="auto" w:fill="C2D69B"/>
          </w:tcPr>
          <w:p w14:paraId="50A15CAF"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7,3503,289</w:t>
            </w:r>
          </w:p>
        </w:tc>
      </w:tr>
      <w:tr w:rsidR="003D1AB8" w:rsidRPr="00785FB4" w14:paraId="1B0905DF" w14:textId="77777777" w:rsidTr="00B14059">
        <w:trPr>
          <w:cantSplit/>
        </w:trPr>
        <w:tc>
          <w:tcPr>
            <w:tcW w:w="709" w:type="dxa"/>
            <w:shd w:val="clear" w:color="auto" w:fill="C2D69B"/>
          </w:tcPr>
          <w:p w14:paraId="58565BD6"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28</w:t>
            </w:r>
          </w:p>
        </w:tc>
        <w:tc>
          <w:tcPr>
            <w:tcW w:w="2410" w:type="dxa"/>
            <w:shd w:val="clear" w:color="auto" w:fill="C2D69B"/>
          </w:tcPr>
          <w:p w14:paraId="040DF50A"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 xml:space="preserve">Baghlan HQ, No. 738 </w:t>
            </w:r>
          </w:p>
        </w:tc>
        <w:tc>
          <w:tcPr>
            <w:tcW w:w="1426" w:type="dxa"/>
            <w:shd w:val="clear" w:color="auto" w:fill="C2D69B"/>
          </w:tcPr>
          <w:p w14:paraId="267E415F"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Baghlan</w:t>
            </w:r>
          </w:p>
        </w:tc>
        <w:tc>
          <w:tcPr>
            <w:tcW w:w="2118" w:type="dxa"/>
            <w:shd w:val="clear" w:color="auto" w:fill="C2D69B"/>
          </w:tcPr>
          <w:p w14:paraId="549EB0F4"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298,489</w:t>
            </w:r>
          </w:p>
        </w:tc>
        <w:tc>
          <w:tcPr>
            <w:tcW w:w="850" w:type="dxa"/>
            <w:shd w:val="clear" w:color="auto" w:fill="C2D69B"/>
          </w:tcPr>
          <w:p w14:paraId="66F75981"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3A31940A" w14:textId="77777777" w:rsidR="003D1AB8" w:rsidRPr="00785FB4" w:rsidRDefault="003D1AB8" w:rsidP="00B14059">
            <w:pPr>
              <w:spacing w:after="0"/>
              <w:jc w:val="center"/>
              <w:rPr>
                <w:rFonts w:ascii="Times New Roman" w:hAnsi="Times New Roman"/>
                <w:sz w:val="20"/>
                <w:szCs w:val="20"/>
              </w:rPr>
            </w:pPr>
          </w:p>
        </w:tc>
      </w:tr>
      <w:tr w:rsidR="003D1AB8" w:rsidRPr="00785FB4" w14:paraId="264A78C2" w14:textId="77777777" w:rsidTr="00B14059">
        <w:trPr>
          <w:cantSplit/>
        </w:trPr>
        <w:tc>
          <w:tcPr>
            <w:tcW w:w="709" w:type="dxa"/>
            <w:shd w:val="clear" w:color="auto" w:fill="C2D69B"/>
          </w:tcPr>
          <w:p w14:paraId="4433055E"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29</w:t>
            </w:r>
          </w:p>
        </w:tc>
        <w:tc>
          <w:tcPr>
            <w:tcW w:w="2410" w:type="dxa"/>
            <w:shd w:val="clear" w:color="auto" w:fill="C2D69B"/>
          </w:tcPr>
          <w:p w14:paraId="7461BA51"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Baghlan Operations, HQ</w:t>
            </w:r>
          </w:p>
        </w:tc>
        <w:tc>
          <w:tcPr>
            <w:tcW w:w="1426" w:type="dxa"/>
            <w:shd w:val="clear" w:color="auto" w:fill="C2D69B"/>
          </w:tcPr>
          <w:p w14:paraId="6435A717"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Baghlan</w:t>
            </w:r>
          </w:p>
        </w:tc>
        <w:tc>
          <w:tcPr>
            <w:tcW w:w="2118" w:type="dxa"/>
            <w:shd w:val="clear" w:color="auto" w:fill="C2D69B"/>
          </w:tcPr>
          <w:p w14:paraId="79580C52"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26,271</w:t>
            </w:r>
          </w:p>
        </w:tc>
        <w:tc>
          <w:tcPr>
            <w:tcW w:w="850" w:type="dxa"/>
            <w:shd w:val="clear" w:color="auto" w:fill="C2D69B"/>
          </w:tcPr>
          <w:p w14:paraId="41DDA65E"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6F44324C" w14:textId="77777777" w:rsidR="003D1AB8" w:rsidRPr="00785FB4" w:rsidRDefault="003D1AB8" w:rsidP="00B14059">
            <w:pPr>
              <w:spacing w:after="0"/>
              <w:jc w:val="center"/>
              <w:rPr>
                <w:rFonts w:ascii="Times New Roman" w:hAnsi="Times New Roman"/>
                <w:sz w:val="20"/>
                <w:szCs w:val="20"/>
              </w:rPr>
            </w:pPr>
          </w:p>
        </w:tc>
      </w:tr>
      <w:tr w:rsidR="003D1AB8" w:rsidRPr="00785FB4" w14:paraId="49C5B063" w14:textId="77777777" w:rsidTr="00B14059">
        <w:trPr>
          <w:cantSplit/>
        </w:trPr>
        <w:tc>
          <w:tcPr>
            <w:tcW w:w="709" w:type="dxa"/>
            <w:shd w:val="clear" w:color="auto" w:fill="C2D69B"/>
          </w:tcPr>
          <w:p w14:paraId="12077ABA"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30</w:t>
            </w:r>
          </w:p>
        </w:tc>
        <w:tc>
          <w:tcPr>
            <w:tcW w:w="2410" w:type="dxa"/>
            <w:shd w:val="clear" w:color="auto" w:fill="C2D69B"/>
          </w:tcPr>
          <w:p w14:paraId="43FBF9A7"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Baghlan HQ, No. 6</w:t>
            </w:r>
          </w:p>
        </w:tc>
        <w:tc>
          <w:tcPr>
            <w:tcW w:w="1426" w:type="dxa"/>
            <w:shd w:val="clear" w:color="auto" w:fill="C2D69B"/>
          </w:tcPr>
          <w:p w14:paraId="34A54B78"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Baghlan</w:t>
            </w:r>
          </w:p>
        </w:tc>
        <w:tc>
          <w:tcPr>
            <w:tcW w:w="2118" w:type="dxa"/>
            <w:shd w:val="clear" w:color="auto" w:fill="C2D69B"/>
          </w:tcPr>
          <w:p w14:paraId="444CFF3A"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915,013</w:t>
            </w:r>
          </w:p>
        </w:tc>
        <w:tc>
          <w:tcPr>
            <w:tcW w:w="850" w:type="dxa"/>
            <w:shd w:val="clear" w:color="auto" w:fill="C2D69B"/>
          </w:tcPr>
          <w:p w14:paraId="58E83C98"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60697BF8" w14:textId="77777777" w:rsidR="003D1AB8" w:rsidRPr="00785FB4" w:rsidRDefault="003D1AB8" w:rsidP="00B14059">
            <w:pPr>
              <w:spacing w:after="0"/>
              <w:jc w:val="center"/>
              <w:rPr>
                <w:rFonts w:ascii="Times New Roman" w:hAnsi="Times New Roman"/>
                <w:sz w:val="20"/>
                <w:szCs w:val="20"/>
              </w:rPr>
            </w:pPr>
          </w:p>
        </w:tc>
      </w:tr>
      <w:tr w:rsidR="003D1AB8" w:rsidRPr="00785FB4" w14:paraId="1E110E85" w14:textId="77777777" w:rsidTr="00B14059">
        <w:trPr>
          <w:cantSplit/>
        </w:trPr>
        <w:tc>
          <w:tcPr>
            <w:tcW w:w="709" w:type="dxa"/>
            <w:shd w:val="clear" w:color="auto" w:fill="C2D69B"/>
          </w:tcPr>
          <w:p w14:paraId="400C90E5"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31</w:t>
            </w:r>
          </w:p>
        </w:tc>
        <w:tc>
          <w:tcPr>
            <w:tcW w:w="2410" w:type="dxa"/>
            <w:shd w:val="clear" w:color="auto" w:fill="C2D69B"/>
          </w:tcPr>
          <w:p w14:paraId="3D1F6D3E"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Baghlan HQ No. 733</w:t>
            </w:r>
          </w:p>
        </w:tc>
        <w:tc>
          <w:tcPr>
            <w:tcW w:w="1426" w:type="dxa"/>
            <w:shd w:val="clear" w:color="auto" w:fill="C2D69B"/>
          </w:tcPr>
          <w:p w14:paraId="79AECB5F"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Baghlan</w:t>
            </w:r>
          </w:p>
        </w:tc>
        <w:tc>
          <w:tcPr>
            <w:tcW w:w="2118" w:type="dxa"/>
            <w:shd w:val="clear" w:color="auto" w:fill="C2D69B"/>
          </w:tcPr>
          <w:p w14:paraId="41BCF246"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116,886</w:t>
            </w:r>
          </w:p>
        </w:tc>
        <w:tc>
          <w:tcPr>
            <w:tcW w:w="850" w:type="dxa"/>
            <w:shd w:val="clear" w:color="auto" w:fill="C2D69B"/>
          </w:tcPr>
          <w:p w14:paraId="08A73D87"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12F00C35" w14:textId="77777777" w:rsidR="003D1AB8" w:rsidRPr="00785FB4" w:rsidRDefault="003D1AB8" w:rsidP="00B14059">
            <w:pPr>
              <w:spacing w:after="0"/>
              <w:jc w:val="center"/>
              <w:rPr>
                <w:rFonts w:ascii="Times New Roman" w:hAnsi="Times New Roman"/>
                <w:sz w:val="20"/>
                <w:szCs w:val="20"/>
              </w:rPr>
            </w:pPr>
          </w:p>
        </w:tc>
      </w:tr>
      <w:tr w:rsidR="003D1AB8" w:rsidRPr="00785FB4" w14:paraId="4299A57D" w14:textId="77777777" w:rsidTr="00B14059">
        <w:trPr>
          <w:cantSplit/>
        </w:trPr>
        <w:tc>
          <w:tcPr>
            <w:tcW w:w="709" w:type="dxa"/>
            <w:shd w:val="clear" w:color="auto" w:fill="C2D69B"/>
          </w:tcPr>
          <w:p w14:paraId="0F66BFD0"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32</w:t>
            </w:r>
          </w:p>
        </w:tc>
        <w:tc>
          <w:tcPr>
            <w:tcW w:w="2410" w:type="dxa"/>
            <w:shd w:val="clear" w:color="auto" w:fill="C2D69B"/>
          </w:tcPr>
          <w:p w14:paraId="73D94A94"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Provincial Committee</w:t>
            </w:r>
          </w:p>
        </w:tc>
        <w:tc>
          <w:tcPr>
            <w:tcW w:w="1426" w:type="dxa"/>
            <w:shd w:val="clear" w:color="auto" w:fill="C2D69B"/>
          </w:tcPr>
          <w:p w14:paraId="720EFC8F"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Baghlan</w:t>
            </w:r>
          </w:p>
        </w:tc>
        <w:tc>
          <w:tcPr>
            <w:tcW w:w="2118" w:type="dxa"/>
            <w:shd w:val="clear" w:color="auto" w:fill="C2D69B"/>
          </w:tcPr>
          <w:p w14:paraId="43FBF043"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1961</w:t>
            </w:r>
          </w:p>
        </w:tc>
        <w:tc>
          <w:tcPr>
            <w:tcW w:w="850" w:type="dxa"/>
            <w:shd w:val="clear" w:color="auto" w:fill="C2D69B"/>
          </w:tcPr>
          <w:p w14:paraId="333D0CFD"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482806CC" w14:textId="77777777" w:rsidR="003D1AB8" w:rsidRPr="00785FB4" w:rsidRDefault="003D1AB8" w:rsidP="00B14059">
            <w:pPr>
              <w:spacing w:after="0"/>
              <w:jc w:val="center"/>
              <w:rPr>
                <w:rFonts w:ascii="Times New Roman" w:hAnsi="Times New Roman"/>
                <w:sz w:val="20"/>
                <w:szCs w:val="20"/>
              </w:rPr>
            </w:pPr>
          </w:p>
        </w:tc>
      </w:tr>
      <w:tr w:rsidR="003D1AB8" w:rsidRPr="00785FB4" w14:paraId="499271E7" w14:textId="77777777" w:rsidTr="00B14059">
        <w:trPr>
          <w:cantSplit/>
        </w:trPr>
        <w:tc>
          <w:tcPr>
            <w:tcW w:w="709" w:type="dxa"/>
            <w:shd w:val="clear" w:color="auto" w:fill="C2D69B"/>
          </w:tcPr>
          <w:p w14:paraId="1B6E7D09"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33</w:t>
            </w:r>
          </w:p>
        </w:tc>
        <w:tc>
          <w:tcPr>
            <w:tcW w:w="2410" w:type="dxa"/>
            <w:shd w:val="clear" w:color="auto" w:fill="C2D69B"/>
          </w:tcPr>
          <w:p w14:paraId="78BF86D3"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Ariana Construction, Head Office</w:t>
            </w:r>
          </w:p>
        </w:tc>
        <w:tc>
          <w:tcPr>
            <w:tcW w:w="1426" w:type="dxa"/>
            <w:shd w:val="clear" w:color="auto" w:fill="C2D69B"/>
          </w:tcPr>
          <w:p w14:paraId="66A45492" w14:textId="77777777" w:rsidR="003D1AB8" w:rsidRPr="00785FB4" w:rsidRDefault="003D1AB8" w:rsidP="00B14059">
            <w:pPr>
              <w:spacing w:after="0"/>
              <w:jc w:val="center"/>
              <w:rPr>
                <w:rFonts w:ascii="Times New Roman" w:hAnsi="Times New Roman"/>
                <w:sz w:val="20"/>
                <w:szCs w:val="20"/>
              </w:rPr>
            </w:pPr>
          </w:p>
        </w:tc>
        <w:tc>
          <w:tcPr>
            <w:tcW w:w="2118" w:type="dxa"/>
            <w:shd w:val="clear" w:color="auto" w:fill="C2D69B"/>
          </w:tcPr>
          <w:p w14:paraId="494D520F"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2419</w:t>
            </w:r>
          </w:p>
        </w:tc>
        <w:tc>
          <w:tcPr>
            <w:tcW w:w="850" w:type="dxa"/>
            <w:shd w:val="clear" w:color="auto" w:fill="C2D69B"/>
          </w:tcPr>
          <w:p w14:paraId="3651EE4E"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002FEC8C" w14:textId="77777777" w:rsidR="003D1AB8" w:rsidRPr="00785FB4" w:rsidRDefault="003D1AB8" w:rsidP="00B14059">
            <w:pPr>
              <w:spacing w:after="0"/>
              <w:jc w:val="center"/>
              <w:rPr>
                <w:rFonts w:ascii="Times New Roman" w:hAnsi="Times New Roman"/>
                <w:sz w:val="20"/>
                <w:szCs w:val="20"/>
              </w:rPr>
            </w:pPr>
          </w:p>
        </w:tc>
      </w:tr>
      <w:tr w:rsidR="003D1AB8" w:rsidRPr="00785FB4" w14:paraId="6CA7B799" w14:textId="77777777" w:rsidTr="00B14059">
        <w:trPr>
          <w:cantSplit/>
        </w:trPr>
        <w:tc>
          <w:tcPr>
            <w:tcW w:w="709" w:type="dxa"/>
            <w:shd w:val="clear" w:color="auto" w:fill="C2D69B"/>
          </w:tcPr>
          <w:p w14:paraId="122889DB"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34</w:t>
            </w:r>
          </w:p>
        </w:tc>
        <w:tc>
          <w:tcPr>
            <w:tcW w:w="2410" w:type="dxa"/>
            <w:shd w:val="clear" w:color="auto" w:fill="C2D69B"/>
          </w:tcPr>
          <w:p w14:paraId="383D5DBE"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Machinery &amp; Mgement Co</w:t>
            </w:r>
          </w:p>
        </w:tc>
        <w:tc>
          <w:tcPr>
            <w:tcW w:w="1426" w:type="dxa"/>
            <w:shd w:val="clear" w:color="auto" w:fill="C2D69B"/>
          </w:tcPr>
          <w:p w14:paraId="25420AEE"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Baghlan</w:t>
            </w:r>
          </w:p>
        </w:tc>
        <w:tc>
          <w:tcPr>
            <w:tcW w:w="2118" w:type="dxa"/>
            <w:shd w:val="clear" w:color="auto" w:fill="C2D69B"/>
          </w:tcPr>
          <w:p w14:paraId="71AA1C2F"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13,761</w:t>
            </w:r>
          </w:p>
        </w:tc>
        <w:tc>
          <w:tcPr>
            <w:tcW w:w="850" w:type="dxa"/>
            <w:shd w:val="clear" w:color="auto" w:fill="C2D69B"/>
          </w:tcPr>
          <w:p w14:paraId="26081B1B"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2004A12B" w14:textId="77777777" w:rsidR="003D1AB8" w:rsidRPr="00785FB4" w:rsidRDefault="003D1AB8" w:rsidP="00B14059">
            <w:pPr>
              <w:spacing w:after="0"/>
              <w:jc w:val="center"/>
              <w:rPr>
                <w:rFonts w:ascii="Times New Roman" w:hAnsi="Times New Roman"/>
                <w:sz w:val="20"/>
                <w:szCs w:val="20"/>
              </w:rPr>
            </w:pPr>
          </w:p>
        </w:tc>
      </w:tr>
      <w:tr w:rsidR="003D1AB8" w:rsidRPr="00785FB4" w14:paraId="051C77DF" w14:textId="77777777" w:rsidTr="00B14059">
        <w:trPr>
          <w:cantSplit/>
        </w:trPr>
        <w:tc>
          <w:tcPr>
            <w:tcW w:w="709" w:type="dxa"/>
            <w:shd w:val="clear" w:color="auto" w:fill="C2D69B"/>
          </w:tcPr>
          <w:p w14:paraId="793B65A2"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35</w:t>
            </w:r>
          </w:p>
        </w:tc>
        <w:tc>
          <w:tcPr>
            <w:tcW w:w="2410" w:type="dxa"/>
            <w:shd w:val="clear" w:color="auto" w:fill="C2D69B"/>
          </w:tcPr>
          <w:p w14:paraId="76B6FE32"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Given to Private Sector</w:t>
            </w:r>
          </w:p>
        </w:tc>
        <w:tc>
          <w:tcPr>
            <w:tcW w:w="1426" w:type="dxa"/>
            <w:shd w:val="clear" w:color="auto" w:fill="C2D69B"/>
          </w:tcPr>
          <w:p w14:paraId="6542B83A" w14:textId="77777777" w:rsidR="003D1AB8" w:rsidRPr="00785FB4" w:rsidRDefault="003D1AB8" w:rsidP="00B14059">
            <w:pPr>
              <w:spacing w:after="0"/>
              <w:jc w:val="center"/>
              <w:rPr>
                <w:rFonts w:ascii="Times New Roman" w:hAnsi="Times New Roman"/>
                <w:sz w:val="20"/>
                <w:szCs w:val="20"/>
              </w:rPr>
            </w:pPr>
          </w:p>
        </w:tc>
        <w:tc>
          <w:tcPr>
            <w:tcW w:w="2118" w:type="dxa"/>
            <w:shd w:val="clear" w:color="auto" w:fill="C2D69B"/>
          </w:tcPr>
          <w:p w14:paraId="4BA270D8"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143,455</w:t>
            </w:r>
          </w:p>
        </w:tc>
        <w:tc>
          <w:tcPr>
            <w:tcW w:w="850" w:type="dxa"/>
            <w:shd w:val="clear" w:color="auto" w:fill="C2D69B"/>
          </w:tcPr>
          <w:p w14:paraId="31CFFE43"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135A2A7B" w14:textId="77777777" w:rsidR="003D1AB8" w:rsidRPr="00785FB4" w:rsidRDefault="003D1AB8" w:rsidP="00B14059">
            <w:pPr>
              <w:spacing w:after="0"/>
              <w:jc w:val="center"/>
              <w:rPr>
                <w:rFonts w:ascii="Times New Roman" w:hAnsi="Times New Roman"/>
                <w:sz w:val="20"/>
                <w:szCs w:val="20"/>
              </w:rPr>
            </w:pPr>
          </w:p>
        </w:tc>
      </w:tr>
      <w:tr w:rsidR="003D1AB8" w:rsidRPr="00785FB4" w14:paraId="27576633" w14:textId="77777777" w:rsidTr="00B14059">
        <w:trPr>
          <w:cantSplit/>
        </w:trPr>
        <w:tc>
          <w:tcPr>
            <w:tcW w:w="709" w:type="dxa"/>
            <w:shd w:val="clear" w:color="auto" w:fill="C2D69B"/>
          </w:tcPr>
          <w:p w14:paraId="302F488E"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36</w:t>
            </w:r>
          </w:p>
        </w:tc>
        <w:tc>
          <w:tcPr>
            <w:tcW w:w="2410" w:type="dxa"/>
            <w:shd w:val="clear" w:color="auto" w:fill="C2D69B"/>
          </w:tcPr>
          <w:p w14:paraId="20FF3F50"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Ghori Cement Directorate</w:t>
            </w:r>
          </w:p>
        </w:tc>
        <w:tc>
          <w:tcPr>
            <w:tcW w:w="1426" w:type="dxa"/>
            <w:shd w:val="clear" w:color="auto" w:fill="C2D69B"/>
          </w:tcPr>
          <w:p w14:paraId="7B2C9DBA"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Puli Khumri</w:t>
            </w:r>
          </w:p>
        </w:tc>
        <w:tc>
          <w:tcPr>
            <w:tcW w:w="2118" w:type="dxa"/>
            <w:shd w:val="clear" w:color="auto" w:fill="C2D69B"/>
          </w:tcPr>
          <w:p w14:paraId="79ABD537"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62018025</w:t>
            </w:r>
          </w:p>
        </w:tc>
        <w:tc>
          <w:tcPr>
            <w:tcW w:w="850" w:type="dxa"/>
            <w:shd w:val="clear" w:color="auto" w:fill="C2D69B"/>
          </w:tcPr>
          <w:p w14:paraId="501F8781"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649E48B0" w14:textId="77777777" w:rsidR="003D1AB8" w:rsidRPr="00785FB4" w:rsidRDefault="003D1AB8" w:rsidP="00B14059">
            <w:pPr>
              <w:spacing w:after="0"/>
              <w:jc w:val="center"/>
              <w:rPr>
                <w:rFonts w:ascii="Times New Roman" w:hAnsi="Times New Roman"/>
                <w:sz w:val="20"/>
                <w:szCs w:val="20"/>
              </w:rPr>
            </w:pPr>
          </w:p>
        </w:tc>
      </w:tr>
      <w:tr w:rsidR="003D1AB8" w:rsidRPr="00785FB4" w14:paraId="1DB0C666" w14:textId="77777777" w:rsidTr="00B14059">
        <w:trPr>
          <w:cantSplit/>
        </w:trPr>
        <w:tc>
          <w:tcPr>
            <w:tcW w:w="709" w:type="dxa"/>
            <w:shd w:val="clear" w:color="auto" w:fill="C2D69B"/>
          </w:tcPr>
          <w:p w14:paraId="5EF87955"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37</w:t>
            </w:r>
          </w:p>
        </w:tc>
        <w:tc>
          <w:tcPr>
            <w:tcW w:w="2410" w:type="dxa"/>
            <w:shd w:val="clear" w:color="auto" w:fill="C2D69B"/>
          </w:tcPr>
          <w:p w14:paraId="7D53A4AA"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Entity not operating</w:t>
            </w:r>
          </w:p>
        </w:tc>
        <w:tc>
          <w:tcPr>
            <w:tcW w:w="1426" w:type="dxa"/>
            <w:shd w:val="clear" w:color="auto" w:fill="C2D69B"/>
          </w:tcPr>
          <w:p w14:paraId="0CE11874" w14:textId="77777777" w:rsidR="003D1AB8" w:rsidRPr="00785FB4" w:rsidRDefault="003D1AB8" w:rsidP="00B14059">
            <w:pPr>
              <w:spacing w:after="0"/>
              <w:jc w:val="center"/>
              <w:rPr>
                <w:rFonts w:ascii="Times New Roman" w:hAnsi="Times New Roman"/>
                <w:sz w:val="20"/>
                <w:szCs w:val="20"/>
              </w:rPr>
            </w:pPr>
          </w:p>
        </w:tc>
        <w:tc>
          <w:tcPr>
            <w:tcW w:w="2118" w:type="dxa"/>
            <w:shd w:val="clear" w:color="auto" w:fill="C2D69B"/>
          </w:tcPr>
          <w:p w14:paraId="3273D602"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31,891</w:t>
            </w:r>
          </w:p>
        </w:tc>
        <w:tc>
          <w:tcPr>
            <w:tcW w:w="850" w:type="dxa"/>
            <w:shd w:val="clear" w:color="auto" w:fill="C2D69B"/>
          </w:tcPr>
          <w:p w14:paraId="20E5E997"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2F3EF7AF" w14:textId="77777777" w:rsidR="003D1AB8" w:rsidRPr="00785FB4" w:rsidRDefault="003D1AB8" w:rsidP="00B14059">
            <w:pPr>
              <w:spacing w:after="0"/>
              <w:jc w:val="center"/>
              <w:rPr>
                <w:rFonts w:ascii="Times New Roman" w:hAnsi="Times New Roman"/>
                <w:sz w:val="20"/>
                <w:szCs w:val="20"/>
              </w:rPr>
            </w:pPr>
          </w:p>
        </w:tc>
      </w:tr>
      <w:tr w:rsidR="003D1AB8" w:rsidRPr="00785FB4" w14:paraId="28968B55" w14:textId="77777777" w:rsidTr="00B14059">
        <w:trPr>
          <w:cantSplit/>
        </w:trPr>
        <w:tc>
          <w:tcPr>
            <w:tcW w:w="709" w:type="dxa"/>
            <w:shd w:val="clear" w:color="auto" w:fill="C2D69B"/>
          </w:tcPr>
          <w:p w14:paraId="21B7F805"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38</w:t>
            </w:r>
          </w:p>
        </w:tc>
        <w:tc>
          <w:tcPr>
            <w:tcW w:w="2410" w:type="dxa"/>
            <w:shd w:val="clear" w:color="auto" w:fill="C2D69B"/>
          </w:tcPr>
          <w:p w14:paraId="29B29DCD"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Balkh Cotton Press</w:t>
            </w:r>
          </w:p>
        </w:tc>
        <w:tc>
          <w:tcPr>
            <w:tcW w:w="1426" w:type="dxa"/>
            <w:shd w:val="clear" w:color="auto" w:fill="C2D69B"/>
          </w:tcPr>
          <w:p w14:paraId="445C8DF9"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Balkh</w:t>
            </w:r>
          </w:p>
        </w:tc>
        <w:tc>
          <w:tcPr>
            <w:tcW w:w="2118" w:type="dxa"/>
            <w:shd w:val="clear" w:color="auto" w:fill="C2D69B"/>
          </w:tcPr>
          <w:p w14:paraId="2DBF74C1"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10,597</w:t>
            </w:r>
          </w:p>
        </w:tc>
        <w:tc>
          <w:tcPr>
            <w:tcW w:w="850" w:type="dxa"/>
            <w:shd w:val="clear" w:color="auto" w:fill="C2D69B"/>
          </w:tcPr>
          <w:p w14:paraId="24EEEE26"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7D330011" w14:textId="77777777" w:rsidR="003D1AB8" w:rsidRPr="00785FB4" w:rsidRDefault="003D1AB8" w:rsidP="00B14059">
            <w:pPr>
              <w:spacing w:after="0"/>
              <w:jc w:val="center"/>
              <w:rPr>
                <w:rFonts w:ascii="Times New Roman" w:hAnsi="Times New Roman"/>
                <w:sz w:val="20"/>
                <w:szCs w:val="20"/>
              </w:rPr>
            </w:pPr>
          </w:p>
        </w:tc>
      </w:tr>
      <w:tr w:rsidR="003D1AB8" w:rsidRPr="00785FB4" w14:paraId="40A13BCC" w14:textId="77777777" w:rsidTr="00B14059">
        <w:trPr>
          <w:cantSplit/>
        </w:trPr>
        <w:tc>
          <w:tcPr>
            <w:tcW w:w="709" w:type="dxa"/>
            <w:shd w:val="clear" w:color="auto" w:fill="C2D69B"/>
          </w:tcPr>
          <w:p w14:paraId="326BF8CC"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39</w:t>
            </w:r>
          </w:p>
        </w:tc>
        <w:tc>
          <w:tcPr>
            <w:tcW w:w="2410" w:type="dxa"/>
            <w:shd w:val="clear" w:color="auto" w:fill="C2D69B"/>
          </w:tcPr>
          <w:p w14:paraId="7334776F"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Cement Factory</w:t>
            </w:r>
          </w:p>
        </w:tc>
        <w:tc>
          <w:tcPr>
            <w:tcW w:w="1426" w:type="dxa"/>
            <w:shd w:val="clear" w:color="auto" w:fill="C2D69B"/>
          </w:tcPr>
          <w:p w14:paraId="3ED6C88C"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Jebel Seraj</w:t>
            </w:r>
          </w:p>
        </w:tc>
        <w:tc>
          <w:tcPr>
            <w:tcW w:w="2118" w:type="dxa"/>
            <w:shd w:val="clear" w:color="auto" w:fill="C2D69B"/>
          </w:tcPr>
          <w:p w14:paraId="50D87A00"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6,862,389</w:t>
            </w:r>
          </w:p>
        </w:tc>
        <w:tc>
          <w:tcPr>
            <w:tcW w:w="850" w:type="dxa"/>
            <w:shd w:val="clear" w:color="auto" w:fill="C2D69B"/>
          </w:tcPr>
          <w:p w14:paraId="1BCD355C"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2A84B85B" w14:textId="77777777" w:rsidR="003D1AB8" w:rsidRPr="00785FB4" w:rsidRDefault="003D1AB8" w:rsidP="00B14059">
            <w:pPr>
              <w:spacing w:after="0"/>
              <w:jc w:val="center"/>
              <w:rPr>
                <w:rFonts w:ascii="Times New Roman" w:hAnsi="Times New Roman"/>
                <w:sz w:val="20"/>
                <w:szCs w:val="20"/>
              </w:rPr>
            </w:pPr>
          </w:p>
        </w:tc>
      </w:tr>
      <w:tr w:rsidR="003D1AB8" w:rsidRPr="00785FB4" w14:paraId="7FDBD508" w14:textId="77777777" w:rsidTr="00B14059">
        <w:trPr>
          <w:cantSplit/>
        </w:trPr>
        <w:tc>
          <w:tcPr>
            <w:tcW w:w="709" w:type="dxa"/>
            <w:shd w:val="clear" w:color="auto" w:fill="C2D69B"/>
          </w:tcPr>
          <w:p w14:paraId="047FD88E"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40</w:t>
            </w:r>
          </w:p>
        </w:tc>
        <w:tc>
          <w:tcPr>
            <w:tcW w:w="2410" w:type="dxa"/>
            <w:shd w:val="clear" w:color="auto" w:fill="C2D69B"/>
          </w:tcPr>
          <w:p w14:paraId="37A37217"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Jengalak Directorate</w:t>
            </w:r>
          </w:p>
        </w:tc>
        <w:tc>
          <w:tcPr>
            <w:tcW w:w="1426" w:type="dxa"/>
            <w:shd w:val="clear" w:color="auto" w:fill="C2D69B"/>
          </w:tcPr>
          <w:p w14:paraId="145CA02B"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Kabul</w:t>
            </w:r>
          </w:p>
        </w:tc>
        <w:tc>
          <w:tcPr>
            <w:tcW w:w="2118" w:type="dxa"/>
            <w:shd w:val="clear" w:color="auto" w:fill="C2D69B"/>
          </w:tcPr>
          <w:p w14:paraId="407953DC"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12,505</w:t>
            </w:r>
          </w:p>
        </w:tc>
        <w:tc>
          <w:tcPr>
            <w:tcW w:w="850" w:type="dxa"/>
            <w:shd w:val="clear" w:color="auto" w:fill="C2D69B"/>
          </w:tcPr>
          <w:p w14:paraId="0992E848"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63E5BEF6" w14:textId="77777777" w:rsidR="003D1AB8" w:rsidRPr="00785FB4" w:rsidRDefault="003D1AB8" w:rsidP="00B14059">
            <w:pPr>
              <w:spacing w:after="0"/>
              <w:jc w:val="center"/>
              <w:rPr>
                <w:rFonts w:ascii="Times New Roman" w:hAnsi="Times New Roman"/>
                <w:sz w:val="20"/>
                <w:szCs w:val="20"/>
              </w:rPr>
            </w:pPr>
          </w:p>
        </w:tc>
      </w:tr>
      <w:tr w:rsidR="003D1AB8" w:rsidRPr="00785FB4" w14:paraId="7B52DB4C" w14:textId="77777777" w:rsidTr="00B14059">
        <w:trPr>
          <w:cantSplit/>
        </w:trPr>
        <w:tc>
          <w:tcPr>
            <w:tcW w:w="709" w:type="dxa"/>
            <w:shd w:val="clear" w:color="auto" w:fill="C2D69B"/>
          </w:tcPr>
          <w:p w14:paraId="2F8882CD"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41</w:t>
            </w:r>
          </w:p>
        </w:tc>
        <w:tc>
          <w:tcPr>
            <w:tcW w:w="2410" w:type="dxa"/>
            <w:shd w:val="clear" w:color="auto" w:fill="C2D69B"/>
          </w:tcPr>
          <w:p w14:paraId="230EC5B8"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Haj Directorate</w:t>
            </w:r>
          </w:p>
        </w:tc>
        <w:tc>
          <w:tcPr>
            <w:tcW w:w="1426" w:type="dxa"/>
            <w:shd w:val="clear" w:color="auto" w:fill="C2D69B"/>
          </w:tcPr>
          <w:p w14:paraId="08C3F61E"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Baghlan</w:t>
            </w:r>
          </w:p>
        </w:tc>
        <w:tc>
          <w:tcPr>
            <w:tcW w:w="2118" w:type="dxa"/>
            <w:shd w:val="clear" w:color="auto" w:fill="C2D69B"/>
          </w:tcPr>
          <w:p w14:paraId="60C5A14E"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2500</w:t>
            </w:r>
          </w:p>
        </w:tc>
        <w:tc>
          <w:tcPr>
            <w:tcW w:w="850" w:type="dxa"/>
            <w:shd w:val="clear" w:color="auto" w:fill="C2D69B"/>
          </w:tcPr>
          <w:p w14:paraId="18CA2752"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1E53438B" w14:textId="77777777" w:rsidR="003D1AB8" w:rsidRPr="00785FB4" w:rsidRDefault="003D1AB8" w:rsidP="00B14059">
            <w:pPr>
              <w:spacing w:after="0"/>
              <w:jc w:val="center"/>
              <w:rPr>
                <w:rFonts w:ascii="Times New Roman" w:hAnsi="Times New Roman"/>
                <w:sz w:val="20"/>
                <w:szCs w:val="20"/>
              </w:rPr>
            </w:pPr>
          </w:p>
        </w:tc>
      </w:tr>
      <w:tr w:rsidR="003D1AB8" w:rsidRPr="00785FB4" w14:paraId="52717881" w14:textId="77777777" w:rsidTr="00B14059">
        <w:trPr>
          <w:cantSplit/>
        </w:trPr>
        <w:tc>
          <w:tcPr>
            <w:tcW w:w="709" w:type="dxa"/>
            <w:shd w:val="clear" w:color="auto" w:fill="C2D69B"/>
          </w:tcPr>
          <w:p w14:paraId="34B3EE78"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42</w:t>
            </w:r>
          </w:p>
        </w:tc>
        <w:tc>
          <w:tcPr>
            <w:tcW w:w="2410" w:type="dxa"/>
            <w:shd w:val="clear" w:color="auto" w:fill="C2D69B"/>
          </w:tcPr>
          <w:p w14:paraId="75D02ECF"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Irrigation Directorate</w:t>
            </w:r>
          </w:p>
        </w:tc>
        <w:tc>
          <w:tcPr>
            <w:tcW w:w="1426" w:type="dxa"/>
            <w:shd w:val="clear" w:color="auto" w:fill="C2D69B"/>
          </w:tcPr>
          <w:p w14:paraId="4EA0A466"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Baghlan</w:t>
            </w:r>
          </w:p>
        </w:tc>
        <w:tc>
          <w:tcPr>
            <w:tcW w:w="2118" w:type="dxa"/>
            <w:shd w:val="clear" w:color="auto" w:fill="C2D69B"/>
          </w:tcPr>
          <w:p w14:paraId="03CFB7CC"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55,762</w:t>
            </w:r>
          </w:p>
        </w:tc>
        <w:tc>
          <w:tcPr>
            <w:tcW w:w="850" w:type="dxa"/>
            <w:shd w:val="clear" w:color="auto" w:fill="C2D69B"/>
          </w:tcPr>
          <w:p w14:paraId="52CABF4F"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471A2E5D" w14:textId="77777777" w:rsidR="003D1AB8" w:rsidRPr="00785FB4" w:rsidRDefault="003D1AB8" w:rsidP="00B14059">
            <w:pPr>
              <w:spacing w:after="0"/>
              <w:jc w:val="center"/>
              <w:rPr>
                <w:rFonts w:ascii="Times New Roman" w:hAnsi="Times New Roman"/>
                <w:sz w:val="20"/>
                <w:szCs w:val="20"/>
              </w:rPr>
            </w:pPr>
          </w:p>
        </w:tc>
      </w:tr>
      <w:tr w:rsidR="003D1AB8" w:rsidRPr="00785FB4" w14:paraId="38D0D9D6" w14:textId="77777777" w:rsidTr="00B14059">
        <w:trPr>
          <w:cantSplit/>
        </w:trPr>
        <w:tc>
          <w:tcPr>
            <w:tcW w:w="709" w:type="dxa"/>
            <w:shd w:val="clear" w:color="auto" w:fill="C2D69B"/>
          </w:tcPr>
          <w:p w14:paraId="6628DB15"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43</w:t>
            </w:r>
          </w:p>
        </w:tc>
        <w:tc>
          <w:tcPr>
            <w:tcW w:w="2410" w:type="dxa"/>
            <w:shd w:val="clear" w:color="auto" w:fill="C2D69B"/>
          </w:tcPr>
          <w:p w14:paraId="486995E3"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Kabul Province</w:t>
            </w:r>
          </w:p>
        </w:tc>
        <w:tc>
          <w:tcPr>
            <w:tcW w:w="1426" w:type="dxa"/>
            <w:shd w:val="clear" w:color="auto" w:fill="C2D69B"/>
          </w:tcPr>
          <w:p w14:paraId="15A7F677"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Kabul</w:t>
            </w:r>
          </w:p>
        </w:tc>
        <w:tc>
          <w:tcPr>
            <w:tcW w:w="2118" w:type="dxa"/>
            <w:shd w:val="clear" w:color="auto" w:fill="C2D69B"/>
          </w:tcPr>
          <w:p w14:paraId="67A6F444"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960</w:t>
            </w:r>
          </w:p>
        </w:tc>
        <w:tc>
          <w:tcPr>
            <w:tcW w:w="850" w:type="dxa"/>
            <w:shd w:val="clear" w:color="auto" w:fill="C2D69B"/>
          </w:tcPr>
          <w:p w14:paraId="0AF5C805"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12073033" w14:textId="77777777" w:rsidR="003D1AB8" w:rsidRPr="00785FB4" w:rsidRDefault="003D1AB8" w:rsidP="00B14059">
            <w:pPr>
              <w:spacing w:after="0"/>
              <w:jc w:val="center"/>
              <w:rPr>
                <w:rFonts w:ascii="Times New Roman" w:hAnsi="Times New Roman"/>
                <w:sz w:val="20"/>
                <w:szCs w:val="20"/>
              </w:rPr>
            </w:pPr>
          </w:p>
        </w:tc>
      </w:tr>
      <w:tr w:rsidR="003D1AB8" w:rsidRPr="00785FB4" w14:paraId="62DBA82F" w14:textId="77777777" w:rsidTr="00B14059">
        <w:trPr>
          <w:cantSplit/>
        </w:trPr>
        <w:tc>
          <w:tcPr>
            <w:tcW w:w="709" w:type="dxa"/>
            <w:tcBorders>
              <w:bottom w:val="single" w:sz="4" w:space="0" w:color="000000"/>
            </w:tcBorders>
            <w:shd w:val="clear" w:color="auto" w:fill="C2D69B"/>
          </w:tcPr>
          <w:p w14:paraId="3F41C142"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44</w:t>
            </w:r>
          </w:p>
        </w:tc>
        <w:tc>
          <w:tcPr>
            <w:tcW w:w="2410" w:type="dxa"/>
            <w:tcBorders>
              <w:bottom w:val="single" w:sz="4" w:space="0" w:color="000000"/>
            </w:tcBorders>
            <w:shd w:val="clear" w:color="auto" w:fill="C2D69B"/>
          </w:tcPr>
          <w:p w14:paraId="589FC4A3"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Afghan Geological Survey</w:t>
            </w:r>
          </w:p>
        </w:tc>
        <w:tc>
          <w:tcPr>
            <w:tcW w:w="1426" w:type="dxa"/>
            <w:tcBorders>
              <w:bottom w:val="single" w:sz="4" w:space="0" w:color="000000"/>
            </w:tcBorders>
            <w:shd w:val="clear" w:color="auto" w:fill="C2D69B"/>
          </w:tcPr>
          <w:p w14:paraId="04477BE2"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Kabul</w:t>
            </w:r>
          </w:p>
        </w:tc>
        <w:tc>
          <w:tcPr>
            <w:tcW w:w="2118" w:type="dxa"/>
            <w:tcBorders>
              <w:bottom w:val="single" w:sz="4" w:space="0" w:color="000000"/>
            </w:tcBorders>
            <w:shd w:val="clear" w:color="auto" w:fill="C2D69B"/>
          </w:tcPr>
          <w:p w14:paraId="45683856"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7241</w:t>
            </w:r>
          </w:p>
        </w:tc>
        <w:tc>
          <w:tcPr>
            <w:tcW w:w="850" w:type="dxa"/>
            <w:tcBorders>
              <w:bottom w:val="single" w:sz="4" w:space="0" w:color="000000"/>
            </w:tcBorders>
            <w:shd w:val="clear" w:color="auto" w:fill="C2D69B"/>
          </w:tcPr>
          <w:p w14:paraId="4A460DAA" w14:textId="77777777" w:rsidR="003D1AB8" w:rsidRPr="00785FB4" w:rsidRDefault="003D1AB8" w:rsidP="00B14059">
            <w:pPr>
              <w:spacing w:after="0"/>
              <w:jc w:val="center"/>
              <w:rPr>
                <w:rFonts w:ascii="Times New Roman" w:hAnsi="Times New Roman"/>
                <w:sz w:val="20"/>
                <w:szCs w:val="20"/>
              </w:rPr>
            </w:pPr>
          </w:p>
        </w:tc>
        <w:tc>
          <w:tcPr>
            <w:tcW w:w="1559" w:type="dxa"/>
            <w:tcBorders>
              <w:bottom w:val="single" w:sz="4" w:space="0" w:color="000000"/>
            </w:tcBorders>
            <w:shd w:val="clear" w:color="auto" w:fill="C2D69B"/>
          </w:tcPr>
          <w:p w14:paraId="7C87051A"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Not included</w:t>
            </w:r>
          </w:p>
        </w:tc>
      </w:tr>
      <w:tr w:rsidR="003D1AB8" w:rsidRPr="00785FB4" w14:paraId="0BAE651F" w14:textId="77777777" w:rsidTr="00B14059">
        <w:trPr>
          <w:cantSplit/>
        </w:trPr>
        <w:tc>
          <w:tcPr>
            <w:tcW w:w="709" w:type="dxa"/>
            <w:shd w:val="clear" w:color="auto" w:fill="C2D69B"/>
          </w:tcPr>
          <w:p w14:paraId="1FD00917"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45</w:t>
            </w:r>
          </w:p>
        </w:tc>
        <w:tc>
          <w:tcPr>
            <w:tcW w:w="2410" w:type="dxa"/>
            <w:shd w:val="clear" w:color="auto" w:fill="C2D69B"/>
          </w:tcPr>
          <w:p w14:paraId="0AF96E0F"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Helmund Construction Company</w:t>
            </w:r>
          </w:p>
        </w:tc>
        <w:tc>
          <w:tcPr>
            <w:tcW w:w="1426" w:type="dxa"/>
            <w:shd w:val="clear" w:color="auto" w:fill="C2D69B"/>
          </w:tcPr>
          <w:p w14:paraId="1DFFD97E"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Helmund</w:t>
            </w:r>
          </w:p>
        </w:tc>
        <w:tc>
          <w:tcPr>
            <w:tcW w:w="2118" w:type="dxa"/>
            <w:shd w:val="clear" w:color="auto" w:fill="C2D69B"/>
          </w:tcPr>
          <w:p w14:paraId="7B477868"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800</w:t>
            </w:r>
          </w:p>
        </w:tc>
        <w:tc>
          <w:tcPr>
            <w:tcW w:w="850" w:type="dxa"/>
            <w:shd w:val="clear" w:color="auto" w:fill="C2D69B"/>
          </w:tcPr>
          <w:p w14:paraId="7FE3327A"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4A146689"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Not included</w:t>
            </w:r>
          </w:p>
        </w:tc>
      </w:tr>
      <w:tr w:rsidR="003D1AB8" w:rsidRPr="00785FB4" w14:paraId="5358E9D6" w14:textId="77777777" w:rsidTr="00B14059">
        <w:trPr>
          <w:cantSplit/>
        </w:trPr>
        <w:tc>
          <w:tcPr>
            <w:tcW w:w="709" w:type="dxa"/>
            <w:shd w:val="clear" w:color="auto" w:fill="C2D69B"/>
          </w:tcPr>
          <w:p w14:paraId="3C6A1773"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46</w:t>
            </w:r>
          </w:p>
        </w:tc>
        <w:tc>
          <w:tcPr>
            <w:tcW w:w="2410" w:type="dxa"/>
            <w:shd w:val="clear" w:color="auto" w:fill="C2D69B"/>
          </w:tcPr>
          <w:p w14:paraId="4D1271AA"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Kunduz Spinzar Directorate</w:t>
            </w:r>
          </w:p>
          <w:p w14:paraId="579F6D42"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(now closed)</w:t>
            </w:r>
          </w:p>
        </w:tc>
        <w:tc>
          <w:tcPr>
            <w:tcW w:w="1426" w:type="dxa"/>
            <w:shd w:val="clear" w:color="auto" w:fill="C2D69B"/>
          </w:tcPr>
          <w:p w14:paraId="1A2F6967"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Kunduz</w:t>
            </w:r>
          </w:p>
        </w:tc>
        <w:tc>
          <w:tcPr>
            <w:tcW w:w="2118" w:type="dxa"/>
            <w:shd w:val="clear" w:color="auto" w:fill="C2D69B"/>
          </w:tcPr>
          <w:p w14:paraId="27EB4187"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6000</w:t>
            </w:r>
          </w:p>
        </w:tc>
        <w:tc>
          <w:tcPr>
            <w:tcW w:w="850" w:type="dxa"/>
            <w:shd w:val="clear" w:color="auto" w:fill="C2D69B"/>
          </w:tcPr>
          <w:p w14:paraId="073D98DC"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1370</w:t>
            </w:r>
          </w:p>
        </w:tc>
        <w:tc>
          <w:tcPr>
            <w:tcW w:w="1559" w:type="dxa"/>
            <w:shd w:val="clear" w:color="auto" w:fill="C2D69B"/>
          </w:tcPr>
          <w:p w14:paraId="611DE7F7"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NCE Figure - 512</w:t>
            </w:r>
          </w:p>
        </w:tc>
      </w:tr>
      <w:tr w:rsidR="003D1AB8" w:rsidRPr="00785FB4" w14:paraId="48897A69" w14:textId="77777777" w:rsidTr="00B14059">
        <w:trPr>
          <w:cantSplit/>
        </w:trPr>
        <w:tc>
          <w:tcPr>
            <w:tcW w:w="709" w:type="dxa"/>
            <w:shd w:val="clear" w:color="auto" w:fill="C2D69B"/>
          </w:tcPr>
          <w:p w14:paraId="150FA14B"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47</w:t>
            </w:r>
          </w:p>
        </w:tc>
        <w:tc>
          <w:tcPr>
            <w:tcW w:w="2410" w:type="dxa"/>
            <w:shd w:val="clear" w:color="auto" w:fill="C2D69B"/>
          </w:tcPr>
          <w:p w14:paraId="13AB78F7"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Kabul Spinzar Directorate</w:t>
            </w:r>
          </w:p>
          <w:p w14:paraId="344C507B" w14:textId="77777777" w:rsidR="003D1AB8" w:rsidRPr="00785FB4" w:rsidRDefault="003D1AB8" w:rsidP="00B14059">
            <w:pPr>
              <w:spacing w:after="0"/>
              <w:rPr>
                <w:rFonts w:ascii="Times New Roman" w:hAnsi="Times New Roman"/>
                <w:i/>
                <w:sz w:val="20"/>
                <w:szCs w:val="20"/>
              </w:rPr>
            </w:pPr>
            <w:r w:rsidRPr="00785FB4">
              <w:rPr>
                <w:rFonts w:ascii="Times New Roman" w:hAnsi="Times New Roman"/>
                <w:sz w:val="20"/>
                <w:szCs w:val="20"/>
              </w:rPr>
              <w:t>(now closed)</w:t>
            </w:r>
          </w:p>
        </w:tc>
        <w:tc>
          <w:tcPr>
            <w:tcW w:w="1426" w:type="dxa"/>
            <w:shd w:val="clear" w:color="auto" w:fill="C2D69B"/>
          </w:tcPr>
          <w:p w14:paraId="6EB853BA"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Kabul</w:t>
            </w:r>
          </w:p>
        </w:tc>
        <w:tc>
          <w:tcPr>
            <w:tcW w:w="2118" w:type="dxa"/>
            <w:shd w:val="clear" w:color="auto" w:fill="C2D69B"/>
          </w:tcPr>
          <w:p w14:paraId="3070E6A1"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520</w:t>
            </w:r>
          </w:p>
        </w:tc>
        <w:tc>
          <w:tcPr>
            <w:tcW w:w="850" w:type="dxa"/>
            <w:shd w:val="clear" w:color="auto" w:fill="C2D69B"/>
          </w:tcPr>
          <w:p w14:paraId="764C833B"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705358FB"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Not included</w:t>
            </w:r>
          </w:p>
        </w:tc>
      </w:tr>
      <w:tr w:rsidR="003D1AB8" w:rsidRPr="00785FB4" w14:paraId="3BDC8F84" w14:textId="77777777" w:rsidTr="00B14059">
        <w:trPr>
          <w:cantSplit/>
        </w:trPr>
        <w:tc>
          <w:tcPr>
            <w:tcW w:w="709" w:type="dxa"/>
            <w:shd w:val="clear" w:color="auto" w:fill="C2D69B"/>
          </w:tcPr>
          <w:p w14:paraId="5D29F744"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48</w:t>
            </w:r>
          </w:p>
        </w:tc>
        <w:tc>
          <w:tcPr>
            <w:tcW w:w="2410" w:type="dxa"/>
            <w:shd w:val="clear" w:color="auto" w:fill="C2D69B"/>
          </w:tcPr>
          <w:p w14:paraId="2DFFE5D6"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Mine Extraction Directorate</w:t>
            </w:r>
          </w:p>
        </w:tc>
        <w:tc>
          <w:tcPr>
            <w:tcW w:w="1426" w:type="dxa"/>
            <w:shd w:val="clear" w:color="auto" w:fill="C2D69B"/>
          </w:tcPr>
          <w:p w14:paraId="4D211F6E"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Kabul</w:t>
            </w:r>
          </w:p>
        </w:tc>
        <w:tc>
          <w:tcPr>
            <w:tcW w:w="2118" w:type="dxa"/>
            <w:shd w:val="clear" w:color="auto" w:fill="C2D69B"/>
          </w:tcPr>
          <w:p w14:paraId="0ABF8CE4"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3721</w:t>
            </w:r>
          </w:p>
        </w:tc>
        <w:tc>
          <w:tcPr>
            <w:tcW w:w="850" w:type="dxa"/>
            <w:shd w:val="clear" w:color="auto" w:fill="C2D69B"/>
          </w:tcPr>
          <w:p w14:paraId="718CB6B4"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3E4A1A37"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Not included</w:t>
            </w:r>
          </w:p>
        </w:tc>
      </w:tr>
      <w:tr w:rsidR="003D1AB8" w:rsidRPr="00785FB4" w14:paraId="25369FCA" w14:textId="77777777" w:rsidTr="00B14059">
        <w:trPr>
          <w:cantSplit/>
        </w:trPr>
        <w:tc>
          <w:tcPr>
            <w:tcW w:w="709" w:type="dxa"/>
            <w:shd w:val="clear" w:color="auto" w:fill="C2D69B"/>
          </w:tcPr>
          <w:p w14:paraId="177A8523"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49</w:t>
            </w:r>
          </w:p>
        </w:tc>
        <w:tc>
          <w:tcPr>
            <w:tcW w:w="2410" w:type="dxa"/>
            <w:shd w:val="clear" w:color="auto" w:fill="C2D69B"/>
          </w:tcPr>
          <w:p w14:paraId="52523C72"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Afghan Construction Directorate</w:t>
            </w:r>
          </w:p>
        </w:tc>
        <w:tc>
          <w:tcPr>
            <w:tcW w:w="1426" w:type="dxa"/>
            <w:shd w:val="clear" w:color="auto" w:fill="C2D69B"/>
          </w:tcPr>
          <w:p w14:paraId="37E5CC1D"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Kabul</w:t>
            </w:r>
          </w:p>
        </w:tc>
        <w:tc>
          <w:tcPr>
            <w:tcW w:w="2118" w:type="dxa"/>
            <w:shd w:val="clear" w:color="auto" w:fill="C2D69B"/>
          </w:tcPr>
          <w:p w14:paraId="05D44131"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552</w:t>
            </w:r>
          </w:p>
        </w:tc>
        <w:tc>
          <w:tcPr>
            <w:tcW w:w="850" w:type="dxa"/>
            <w:shd w:val="clear" w:color="auto" w:fill="C2D69B"/>
          </w:tcPr>
          <w:p w14:paraId="3AD5A14F"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309A297E"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Not included</w:t>
            </w:r>
          </w:p>
        </w:tc>
      </w:tr>
      <w:tr w:rsidR="003D1AB8" w:rsidRPr="00785FB4" w14:paraId="7CCF5F21" w14:textId="77777777" w:rsidTr="00B14059">
        <w:trPr>
          <w:cantSplit/>
        </w:trPr>
        <w:tc>
          <w:tcPr>
            <w:tcW w:w="709" w:type="dxa"/>
            <w:shd w:val="clear" w:color="auto" w:fill="C2D69B"/>
          </w:tcPr>
          <w:p w14:paraId="3B9CDA21"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lastRenderedPageBreak/>
              <w:t>50</w:t>
            </w:r>
          </w:p>
        </w:tc>
        <w:tc>
          <w:tcPr>
            <w:tcW w:w="2410" w:type="dxa"/>
            <w:shd w:val="clear" w:color="auto" w:fill="C2D69B"/>
          </w:tcPr>
          <w:p w14:paraId="0B690459"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Ministry of Public Health</w:t>
            </w:r>
          </w:p>
        </w:tc>
        <w:tc>
          <w:tcPr>
            <w:tcW w:w="1426" w:type="dxa"/>
            <w:shd w:val="clear" w:color="auto" w:fill="C2D69B"/>
          </w:tcPr>
          <w:p w14:paraId="56D8946F"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Kabul</w:t>
            </w:r>
          </w:p>
        </w:tc>
        <w:tc>
          <w:tcPr>
            <w:tcW w:w="2118" w:type="dxa"/>
            <w:shd w:val="clear" w:color="auto" w:fill="C2D69B"/>
          </w:tcPr>
          <w:p w14:paraId="4DC358D0"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566</w:t>
            </w:r>
          </w:p>
        </w:tc>
        <w:tc>
          <w:tcPr>
            <w:tcW w:w="850" w:type="dxa"/>
            <w:shd w:val="clear" w:color="auto" w:fill="C2D69B"/>
          </w:tcPr>
          <w:p w14:paraId="5A331261"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745505E0"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Not included</w:t>
            </w:r>
          </w:p>
        </w:tc>
      </w:tr>
      <w:tr w:rsidR="003D1AB8" w:rsidRPr="00785FB4" w14:paraId="5B08E025" w14:textId="77777777" w:rsidTr="00B14059">
        <w:trPr>
          <w:cantSplit/>
        </w:trPr>
        <w:tc>
          <w:tcPr>
            <w:tcW w:w="709" w:type="dxa"/>
            <w:shd w:val="clear" w:color="auto" w:fill="C2D69B"/>
          </w:tcPr>
          <w:p w14:paraId="3A815F76"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51</w:t>
            </w:r>
          </w:p>
        </w:tc>
        <w:tc>
          <w:tcPr>
            <w:tcW w:w="2410" w:type="dxa"/>
            <w:shd w:val="clear" w:color="auto" w:fill="C2D69B"/>
          </w:tcPr>
          <w:p w14:paraId="1038100E"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Ministry of Education</w:t>
            </w:r>
          </w:p>
        </w:tc>
        <w:tc>
          <w:tcPr>
            <w:tcW w:w="1426" w:type="dxa"/>
            <w:shd w:val="clear" w:color="auto" w:fill="C2D69B"/>
          </w:tcPr>
          <w:p w14:paraId="51CCA8ED"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Kabul</w:t>
            </w:r>
          </w:p>
        </w:tc>
        <w:tc>
          <w:tcPr>
            <w:tcW w:w="2118" w:type="dxa"/>
            <w:shd w:val="clear" w:color="auto" w:fill="C2D69B"/>
          </w:tcPr>
          <w:p w14:paraId="33795CA6"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960</w:t>
            </w:r>
          </w:p>
        </w:tc>
        <w:tc>
          <w:tcPr>
            <w:tcW w:w="850" w:type="dxa"/>
            <w:shd w:val="clear" w:color="auto" w:fill="C2D69B"/>
          </w:tcPr>
          <w:p w14:paraId="51E409E5"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345C7BDF"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Not included</w:t>
            </w:r>
          </w:p>
        </w:tc>
      </w:tr>
      <w:tr w:rsidR="003D1AB8" w:rsidRPr="00785FB4" w14:paraId="38A05008" w14:textId="77777777" w:rsidTr="00B14059">
        <w:trPr>
          <w:cantSplit/>
        </w:trPr>
        <w:tc>
          <w:tcPr>
            <w:tcW w:w="709" w:type="dxa"/>
            <w:shd w:val="clear" w:color="auto" w:fill="C2D69B"/>
          </w:tcPr>
          <w:p w14:paraId="7E8BC5E0"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52</w:t>
            </w:r>
          </w:p>
        </w:tc>
        <w:tc>
          <w:tcPr>
            <w:tcW w:w="2410" w:type="dxa"/>
            <w:shd w:val="clear" w:color="auto" w:fill="C2D69B"/>
          </w:tcPr>
          <w:p w14:paraId="53332BCB"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Airplane Company</w:t>
            </w:r>
          </w:p>
        </w:tc>
        <w:tc>
          <w:tcPr>
            <w:tcW w:w="1426" w:type="dxa"/>
            <w:shd w:val="clear" w:color="auto" w:fill="C2D69B"/>
          </w:tcPr>
          <w:p w14:paraId="6D23E9AE"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Kabul</w:t>
            </w:r>
          </w:p>
        </w:tc>
        <w:tc>
          <w:tcPr>
            <w:tcW w:w="2118" w:type="dxa"/>
            <w:shd w:val="clear" w:color="auto" w:fill="C2D69B"/>
          </w:tcPr>
          <w:p w14:paraId="15C8975F"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246</w:t>
            </w:r>
          </w:p>
        </w:tc>
        <w:tc>
          <w:tcPr>
            <w:tcW w:w="850" w:type="dxa"/>
            <w:shd w:val="clear" w:color="auto" w:fill="C2D69B"/>
          </w:tcPr>
          <w:p w14:paraId="4B63E55D"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5262F00F"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Not included</w:t>
            </w:r>
          </w:p>
        </w:tc>
      </w:tr>
      <w:tr w:rsidR="003D1AB8" w:rsidRPr="00785FB4" w14:paraId="5EDA88DE" w14:textId="77777777" w:rsidTr="00B14059">
        <w:trPr>
          <w:cantSplit/>
        </w:trPr>
        <w:tc>
          <w:tcPr>
            <w:tcW w:w="709" w:type="dxa"/>
            <w:shd w:val="clear" w:color="auto" w:fill="C2D69B"/>
          </w:tcPr>
          <w:p w14:paraId="792B21EA"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53</w:t>
            </w:r>
          </w:p>
        </w:tc>
        <w:tc>
          <w:tcPr>
            <w:tcW w:w="2410" w:type="dxa"/>
            <w:shd w:val="clear" w:color="auto" w:fill="C2D69B"/>
          </w:tcPr>
          <w:p w14:paraId="06C0F424" w14:textId="77777777" w:rsidR="003D1AB8" w:rsidRPr="00785FB4" w:rsidRDefault="003D1AB8" w:rsidP="00B14059">
            <w:pPr>
              <w:spacing w:after="0"/>
              <w:rPr>
                <w:rFonts w:ascii="Times New Roman" w:hAnsi="Times New Roman"/>
                <w:sz w:val="20"/>
                <w:szCs w:val="20"/>
              </w:rPr>
            </w:pPr>
            <w:r w:rsidRPr="00785FB4">
              <w:rPr>
                <w:rFonts w:ascii="Times New Roman" w:hAnsi="Times New Roman"/>
                <w:sz w:val="20"/>
                <w:szCs w:val="20"/>
              </w:rPr>
              <w:t>Nothing listed</w:t>
            </w:r>
          </w:p>
        </w:tc>
        <w:tc>
          <w:tcPr>
            <w:tcW w:w="1426" w:type="dxa"/>
            <w:shd w:val="clear" w:color="auto" w:fill="C2D69B"/>
          </w:tcPr>
          <w:p w14:paraId="3362AC5F" w14:textId="77777777" w:rsidR="003D1AB8" w:rsidRPr="00785FB4" w:rsidRDefault="003D1AB8" w:rsidP="00B14059">
            <w:pPr>
              <w:spacing w:after="0"/>
              <w:jc w:val="center"/>
              <w:rPr>
                <w:rFonts w:ascii="Times New Roman" w:hAnsi="Times New Roman"/>
                <w:sz w:val="20"/>
                <w:szCs w:val="20"/>
              </w:rPr>
            </w:pPr>
          </w:p>
        </w:tc>
        <w:tc>
          <w:tcPr>
            <w:tcW w:w="2118" w:type="dxa"/>
            <w:shd w:val="clear" w:color="auto" w:fill="C2D69B"/>
          </w:tcPr>
          <w:p w14:paraId="6B7B8131" w14:textId="77777777" w:rsidR="003D1AB8" w:rsidRPr="00785FB4" w:rsidRDefault="003D1AB8" w:rsidP="00B14059">
            <w:pPr>
              <w:spacing w:after="0"/>
              <w:jc w:val="center"/>
              <w:rPr>
                <w:rFonts w:ascii="Times New Roman" w:hAnsi="Times New Roman"/>
                <w:sz w:val="20"/>
                <w:szCs w:val="20"/>
              </w:rPr>
            </w:pPr>
            <w:r w:rsidRPr="00785FB4">
              <w:rPr>
                <w:rFonts w:ascii="Times New Roman" w:hAnsi="Times New Roman"/>
                <w:sz w:val="20"/>
                <w:szCs w:val="20"/>
              </w:rPr>
              <w:t>4914</w:t>
            </w:r>
          </w:p>
        </w:tc>
        <w:tc>
          <w:tcPr>
            <w:tcW w:w="850" w:type="dxa"/>
            <w:shd w:val="clear" w:color="auto" w:fill="C2D69B"/>
          </w:tcPr>
          <w:p w14:paraId="7C1815FB" w14:textId="77777777" w:rsidR="003D1AB8" w:rsidRPr="00785FB4" w:rsidRDefault="003D1AB8" w:rsidP="00B14059">
            <w:pPr>
              <w:spacing w:after="0"/>
              <w:jc w:val="center"/>
              <w:rPr>
                <w:rFonts w:ascii="Times New Roman" w:hAnsi="Times New Roman"/>
                <w:sz w:val="20"/>
                <w:szCs w:val="20"/>
              </w:rPr>
            </w:pPr>
          </w:p>
        </w:tc>
        <w:tc>
          <w:tcPr>
            <w:tcW w:w="1559" w:type="dxa"/>
            <w:shd w:val="clear" w:color="auto" w:fill="C2D69B"/>
          </w:tcPr>
          <w:p w14:paraId="43102EA7" w14:textId="77777777" w:rsidR="003D1AB8" w:rsidRPr="00785FB4" w:rsidRDefault="003D1AB8" w:rsidP="00B14059">
            <w:pPr>
              <w:spacing w:after="0"/>
              <w:jc w:val="center"/>
              <w:rPr>
                <w:rFonts w:ascii="Times New Roman" w:hAnsi="Times New Roman"/>
                <w:sz w:val="20"/>
                <w:szCs w:val="20"/>
              </w:rPr>
            </w:pPr>
          </w:p>
        </w:tc>
      </w:tr>
      <w:tr w:rsidR="003D1AB8" w:rsidRPr="00785FB4" w14:paraId="3D910023" w14:textId="77777777" w:rsidTr="00B14059">
        <w:trPr>
          <w:cantSplit/>
        </w:trPr>
        <w:tc>
          <w:tcPr>
            <w:tcW w:w="709" w:type="dxa"/>
            <w:tcBorders>
              <w:top w:val="single" w:sz="4" w:space="0" w:color="000000"/>
              <w:left w:val="single" w:sz="4" w:space="0" w:color="000000"/>
              <w:bottom w:val="single" w:sz="4" w:space="0" w:color="000000"/>
              <w:right w:val="single" w:sz="4" w:space="0" w:color="000000"/>
            </w:tcBorders>
            <w:shd w:val="clear" w:color="auto" w:fill="C2D69B"/>
          </w:tcPr>
          <w:p w14:paraId="00C1A271" w14:textId="77777777" w:rsidR="003D1AB8" w:rsidRPr="00785FB4" w:rsidRDefault="003D1AB8" w:rsidP="00B14059">
            <w:pPr>
              <w:spacing w:after="0"/>
              <w:jc w:val="center"/>
              <w:rPr>
                <w:rFonts w:ascii="Times New Roman" w:hAnsi="Times New Roman"/>
                <w:b/>
                <w:i/>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C2D69B"/>
          </w:tcPr>
          <w:p w14:paraId="1F816AD9" w14:textId="77777777" w:rsidR="003D1AB8" w:rsidRPr="00785FB4" w:rsidRDefault="003D1AB8" w:rsidP="00B14059">
            <w:pPr>
              <w:spacing w:after="0"/>
              <w:rPr>
                <w:rFonts w:ascii="Times New Roman" w:hAnsi="Times New Roman"/>
                <w:b/>
                <w:i/>
                <w:sz w:val="20"/>
                <w:szCs w:val="20"/>
              </w:rPr>
            </w:pPr>
            <w:r w:rsidRPr="00785FB4">
              <w:rPr>
                <w:rFonts w:ascii="Times New Roman" w:hAnsi="Times New Roman"/>
                <w:b/>
                <w:i/>
                <w:sz w:val="20"/>
                <w:szCs w:val="20"/>
              </w:rPr>
              <w:t>Total First Page/Section</w:t>
            </w:r>
          </w:p>
        </w:tc>
        <w:tc>
          <w:tcPr>
            <w:tcW w:w="1426" w:type="dxa"/>
            <w:tcBorders>
              <w:top w:val="single" w:sz="4" w:space="0" w:color="000000"/>
              <w:left w:val="single" w:sz="4" w:space="0" w:color="000000"/>
              <w:bottom w:val="single" w:sz="4" w:space="0" w:color="000000"/>
              <w:right w:val="single" w:sz="4" w:space="0" w:color="000000"/>
            </w:tcBorders>
            <w:shd w:val="clear" w:color="auto" w:fill="C2D69B"/>
          </w:tcPr>
          <w:p w14:paraId="42ECB73D" w14:textId="77777777" w:rsidR="003D1AB8" w:rsidRPr="00785FB4" w:rsidRDefault="003D1AB8" w:rsidP="00B14059">
            <w:pPr>
              <w:spacing w:after="0"/>
              <w:jc w:val="center"/>
              <w:rPr>
                <w:rFonts w:ascii="Times New Roman" w:hAnsi="Times New Roman"/>
                <w:b/>
                <w:i/>
                <w:sz w:val="20"/>
                <w:szCs w:val="20"/>
              </w:rPr>
            </w:pPr>
          </w:p>
        </w:tc>
        <w:tc>
          <w:tcPr>
            <w:tcW w:w="2118" w:type="dxa"/>
            <w:tcBorders>
              <w:top w:val="single" w:sz="4" w:space="0" w:color="000000"/>
              <w:left w:val="single" w:sz="4" w:space="0" w:color="000000"/>
              <w:bottom w:val="single" w:sz="4" w:space="0" w:color="000000"/>
              <w:right w:val="single" w:sz="4" w:space="0" w:color="000000"/>
            </w:tcBorders>
            <w:shd w:val="clear" w:color="auto" w:fill="C2D69B"/>
          </w:tcPr>
          <w:p w14:paraId="0E3E6B2E" w14:textId="77777777" w:rsidR="003D1AB8" w:rsidRPr="00785FB4" w:rsidRDefault="003D1AB8" w:rsidP="00B14059">
            <w:pPr>
              <w:spacing w:after="0"/>
              <w:jc w:val="center"/>
              <w:rPr>
                <w:rFonts w:ascii="Times New Roman" w:hAnsi="Times New Roman"/>
                <w:b/>
                <w:i/>
                <w:sz w:val="20"/>
                <w:szCs w:val="20"/>
              </w:rPr>
            </w:pPr>
            <w:r w:rsidRPr="00785FB4">
              <w:rPr>
                <w:rFonts w:ascii="Times New Roman" w:hAnsi="Times New Roman"/>
                <w:b/>
                <w:i/>
                <w:sz w:val="20"/>
                <w:szCs w:val="20"/>
              </w:rPr>
              <w:t>1165678</w:t>
            </w:r>
          </w:p>
        </w:tc>
        <w:tc>
          <w:tcPr>
            <w:tcW w:w="850" w:type="dxa"/>
            <w:tcBorders>
              <w:top w:val="single" w:sz="4" w:space="0" w:color="000000"/>
              <w:left w:val="single" w:sz="4" w:space="0" w:color="000000"/>
              <w:bottom w:val="single" w:sz="4" w:space="0" w:color="000000"/>
              <w:right w:val="single" w:sz="4" w:space="0" w:color="000000"/>
            </w:tcBorders>
            <w:shd w:val="clear" w:color="auto" w:fill="C2D69B"/>
          </w:tcPr>
          <w:p w14:paraId="0BA26E93" w14:textId="77777777" w:rsidR="003D1AB8" w:rsidRPr="00785FB4" w:rsidRDefault="003D1AB8" w:rsidP="00B14059">
            <w:pPr>
              <w:spacing w:after="0"/>
              <w:jc w:val="center"/>
              <w:rPr>
                <w:rFonts w:ascii="Times New Roman" w:hAnsi="Times New Roman"/>
                <w:b/>
                <w:i/>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C2D69B"/>
          </w:tcPr>
          <w:p w14:paraId="7178ACFB" w14:textId="77777777" w:rsidR="003D1AB8" w:rsidRPr="00785FB4" w:rsidRDefault="003D1AB8" w:rsidP="00B14059">
            <w:pPr>
              <w:spacing w:after="0"/>
              <w:jc w:val="center"/>
              <w:rPr>
                <w:rFonts w:ascii="Times New Roman" w:hAnsi="Times New Roman"/>
                <w:b/>
                <w:i/>
                <w:sz w:val="20"/>
                <w:szCs w:val="20"/>
              </w:rPr>
            </w:pPr>
          </w:p>
        </w:tc>
      </w:tr>
      <w:tr w:rsidR="003D1AB8" w:rsidRPr="00785FB4" w14:paraId="1AACC1D1" w14:textId="77777777" w:rsidTr="00B14059">
        <w:trPr>
          <w:cantSplit/>
        </w:trPr>
        <w:tc>
          <w:tcPr>
            <w:tcW w:w="709" w:type="dxa"/>
            <w:tcBorders>
              <w:top w:val="single" w:sz="4" w:space="0" w:color="000000"/>
              <w:left w:val="single" w:sz="4" w:space="0" w:color="000000"/>
              <w:bottom w:val="single" w:sz="4" w:space="0" w:color="000000"/>
              <w:right w:val="single" w:sz="4" w:space="0" w:color="000000"/>
            </w:tcBorders>
            <w:shd w:val="clear" w:color="auto" w:fill="C2D69B"/>
          </w:tcPr>
          <w:p w14:paraId="7EBF085E" w14:textId="77777777" w:rsidR="003D1AB8" w:rsidRPr="00785FB4" w:rsidRDefault="003D1AB8" w:rsidP="00B14059">
            <w:pPr>
              <w:spacing w:after="0"/>
              <w:jc w:val="center"/>
              <w:rPr>
                <w:rFonts w:ascii="Times New Roman" w:hAnsi="Times New Roman"/>
                <w:b/>
                <w:i/>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C2D69B"/>
          </w:tcPr>
          <w:p w14:paraId="01B0ED32" w14:textId="77777777" w:rsidR="003D1AB8" w:rsidRPr="00785FB4" w:rsidRDefault="003D1AB8" w:rsidP="00B14059">
            <w:pPr>
              <w:spacing w:after="0"/>
              <w:rPr>
                <w:rFonts w:ascii="Times New Roman" w:hAnsi="Times New Roman"/>
                <w:b/>
                <w:i/>
                <w:sz w:val="20"/>
                <w:szCs w:val="20"/>
              </w:rPr>
            </w:pPr>
            <w:r w:rsidRPr="00785FB4">
              <w:rPr>
                <w:rFonts w:ascii="Times New Roman" w:hAnsi="Times New Roman"/>
                <w:b/>
                <w:i/>
                <w:sz w:val="20"/>
                <w:szCs w:val="20"/>
              </w:rPr>
              <w:t>Total Second Page/Section</w:t>
            </w:r>
          </w:p>
        </w:tc>
        <w:tc>
          <w:tcPr>
            <w:tcW w:w="1426" w:type="dxa"/>
            <w:tcBorders>
              <w:top w:val="single" w:sz="4" w:space="0" w:color="000000"/>
              <w:left w:val="single" w:sz="4" w:space="0" w:color="000000"/>
              <w:bottom w:val="single" w:sz="4" w:space="0" w:color="000000"/>
              <w:right w:val="single" w:sz="4" w:space="0" w:color="000000"/>
            </w:tcBorders>
            <w:shd w:val="clear" w:color="auto" w:fill="C2D69B"/>
          </w:tcPr>
          <w:p w14:paraId="7B885221" w14:textId="77777777" w:rsidR="003D1AB8" w:rsidRPr="00785FB4" w:rsidRDefault="003D1AB8" w:rsidP="00B14059">
            <w:pPr>
              <w:spacing w:after="0"/>
              <w:jc w:val="center"/>
              <w:rPr>
                <w:rFonts w:ascii="Times New Roman" w:hAnsi="Times New Roman"/>
                <w:b/>
                <w:i/>
                <w:sz w:val="20"/>
                <w:szCs w:val="20"/>
              </w:rPr>
            </w:pPr>
          </w:p>
        </w:tc>
        <w:tc>
          <w:tcPr>
            <w:tcW w:w="2118" w:type="dxa"/>
            <w:tcBorders>
              <w:top w:val="single" w:sz="4" w:space="0" w:color="000000"/>
              <w:left w:val="single" w:sz="4" w:space="0" w:color="000000"/>
              <w:bottom w:val="single" w:sz="4" w:space="0" w:color="000000"/>
              <w:right w:val="single" w:sz="4" w:space="0" w:color="000000"/>
            </w:tcBorders>
            <w:shd w:val="clear" w:color="auto" w:fill="C2D69B"/>
          </w:tcPr>
          <w:p w14:paraId="37C3BA52" w14:textId="77777777" w:rsidR="003D1AB8" w:rsidRPr="00785FB4" w:rsidRDefault="003D1AB8" w:rsidP="00B14059">
            <w:pPr>
              <w:spacing w:after="0"/>
              <w:jc w:val="center"/>
              <w:rPr>
                <w:rFonts w:ascii="Times New Roman" w:hAnsi="Times New Roman"/>
                <w:b/>
                <w:i/>
                <w:sz w:val="20"/>
                <w:szCs w:val="20"/>
              </w:rPr>
            </w:pPr>
            <w:r w:rsidRPr="00785FB4">
              <w:rPr>
                <w:rFonts w:ascii="Times New Roman" w:hAnsi="Times New Roman"/>
                <w:b/>
                <w:i/>
                <w:sz w:val="20"/>
                <w:szCs w:val="20"/>
              </w:rPr>
              <w:t>193731383</w:t>
            </w:r>
          </w:p>
        </w:tc>
        <w:tc>
          <w:tcPr>
            <w:tcW w:w="850" w:type="dxa"/>
            <w:tcBorders>
              <w:top w:val="single" w:sz="4" w:space="0" w:color="000000"/>
              <w:left w:val="single" w:sz="4" w:space="0" w:color="000000"/>
              <w:bottom w:val="single" w:sz="4" w:space="0" w:color="000000"/>
              <w:right w:val="single" w:sz="4" w:space="0" w:color="000000"/>
            </w:tcBorders>
            <w:shd w:val="clear" w:color="auto" w:fill="C2D69B"/>
          </w:tcPr>
          <w:p w14:paraId="6ACFAFC8" w14:textId="77777777" w:rsidR="003D1AB8" w:rsidRPr="00785FB4" w:rsidRDefault="003D1AB8" w:rsidP="00B14059">
            <w:pPr>
              <w:spacing w:after="0"/>
              <w:jc w:val="center"/>
              <w:rPr>
                <w:rFonts w:ascii="Times New Roman" w:hAnsi="Times New Roman"/>
                <w:b/>
                <w:i/>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C2D69B"/>
          </w:tcPr>
          <w:p w14:paraId="3C977D40" w14:textId="77777777" w:rsidR="003D1AB8" w:rsidRPr="00785FB4" w:rsidRDefault="003D1AB8" w:rsidP="00B14059">
            <w:pPr>
              <w:spacing w:after="0"/>
              <w:jc w:val="center"/>
              <w:rPr>
                <w:rFonts w:ascii="Times New Roman" w:hAnsi="Times New Roman"/>
                <w:b/>
                <w:i/>
                <w:sz w:val="20"/>
                <w:szCs w:val="20"/>
              </w:rPr>
            </w:pPr>
          </w:p>
        </w:tc>
      </w:tr>
      <w:tr w:rsidR="003D1AB8" w:rsidRPr="00785FB4" w14:paraId="468BB2EF" w14:textId="77777777" w:rsidTr="00B14059">
        <w:trPr>
          <w:cantSplit/>
        </w:trPr>
        <w:tc>
          <w:tcPr>
            <w:tcW w:w="709" w:type="dxa"/>
            <w:tcBorders>
              <w:top w:val="single" w:sz="4" w:space="0" w:color="000000"/>
              <w:left w:val="single" w:sz="4" w:space="0" w:color="000000"/>
              <w:bottom w:val="single" w:sz="4" w:space="0" w:color="000000"/>
              <w:right w:val="single" w:sz="4" w:space="0" w:color="000000"/>
            </w:tcBorders>
            <w:shd w:val="clear" w:color="auto" w:fill="4F6228"/>
          </w:tcPr>
          <w:p w14:paraId="70941FED" w14:textId="77777777" w:rsidR="003D1AB8" w:rsidRPr="00785FB4" w:rsidRDefault="003D1AB8" w:rsidP="00B14059">
            <w:pPr>
              <w:spacing w:after="0"/>
              <w:jc w:val="center"/>
              <w:rPr>
                <w:rFonts w:ascii="Times New Roman" w:hAnsi="Times New Roman"/>
                <w:b/>
                <w:color w:val="FFFFFF"/>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4F6228"/>
          </w:tcPr>
          <w:p w14:paraId="7D99BF5B" w14:textId="77777777" w:rsidR="003D1AB8" w:rsidRPr="00785FB4" w:rsidRDefault="003D1AB8" w:rsidP="00B14059">
            <w:pPr>
              <w:spacing w:after="0"/>
              <w:rPr>
                <w:rFonts w:ascii="Times New Roman" w:hAnsi="Times New Roman"/>
                <w:b/>
                <w:color w:val="FFFFFF"/>
                <w:sz w:val="20"/>
                <w:szCs w:val="20"/>
              </w:rPr>
            </w:pPr>
            <w:r w:rsidRPr="00785FB4">
              <w:rPr>
                <w:rFonts w:ascii="Times New Roman" w:hAnsi="Times New Roman"/>
                <w:b/>
                <w:color w:val="FFFFFF"/>
                <w:sz w:val="20"/>
                <w:szCs w:val="20"/>
              </w:rPr>
              <w:t>GRAND TOTAL</w:t>
            </w:r>
          </w:p>
        </w:tc>
        <w:tc>
          <w:tcPr>
            <w:tcW w:w="1426" w:type="dxa"/>
            <w:tcBorders>
              <w:top w:val="single" w:sz="4" w:space="0" w:color="000000"/>
              <w:left w:val="single" w:sz="4" w:space="0" w:color="000000"/>
              <w:bottom w:val="single" w:sz="4" w:space="0" w:color="000000"/>
              <w:right w:val="single" w:sz="4" w:space="0" w:color="000000"/>
            </w:tcBorders>
            <w:shd w:val="clear" w:color="auto" w:fill="4F6228"/>
          </w:tcPr>
          <w:p w14:paraId="0E4EF46E" w14:textId="77777777" w:rsidR="003D1AB8" w:rsidRPr="00785FB4" w:rsidRDefault="003D1AB8" w:rsidP="00B14059">
            <w:pPr>
              <w:spacing w:after="0"/>
              <w:jc w:val="center"/>
              <w:rPr>
                <w:rFonts w:ascii="Times New Roman" w:hAnsi="Times New Roman"/>
                <w:b/>
                <w:color w:val="FFFFFF"/>
                <w:sz w:val="20"/>
                <w:szCs w:val="20"/>
              </w:rPr>
            </w:pPr>
          </w:p>
        </w:tc>
        <w:tc>
          <w:tcPr>
            <w:tcW w:w="2118" w:type="dxa"/>
            <w:tcBorders>
              <w:top w:val="single" w:sz="4" w:space="0" w:color="000000"/>
              <w:left w:val="single" w:sz="4" w:space="0" w:color="000000"/>
              <w:bottom w:val="single" w:sz="4" w:space="0" w:color="000000"/>
              <w:right w:val="single" w:sz="4" w:space="0" w:color="000000"/>
            </w:tcBorders>
            <w:shd w:val="clear" w:color="auto" w:fill="4F6228"/>
          </w:tcPr>
          <w:p w14:paraId="0603E8DF" w14:textId="77777777" w:rsidR="003D1AB8" w:rsidRPr="00785FB4" w:rsidRDefault="003D1AB8" w:rsidP="00B14059">
            <w:pPr>
              <w:spacing w:after="0"/>
              <w:jc w:val="center"/>
              <w:rPr>
                <w:rFonts w:ascii="Times New Roman" w:hAnsi="Times New Roman"/>
                <w:b/>
                <w:color w:val="FFFFFF"/>
                <w:sz w:val="20"/>
                <w:szCs w:val="20"/>
              </w:rPr>
            </w:pPr>
            <w:r w:rsidRPr="00785FB4">
              <w:rPr>
                <w:rFonts w:ascii="Times New Roman" w:hAnsi="Times New Roman"/>
                <w:b/>
                <w:color w:val="FFFFFF"/>
                <w:sz w:val="20"/>
                <w:szCs w:val="20"/>
              </w:rPr>
              <w:t>194,897,061</w:t>
            </w:r>
          </w:p>
          <w:p w14:paraId="5F095C5F" w14:textId="77777777" w:rsidR="003D1AB8" w:rsidRPr="00785FB4" w:rsidRDefault="003D1AB8" w:rsidP="00B14059">
            <w:pPr>
              <w:spacing w:after="0"/>
              <w:jc w:val="center"/>
              <w:rPr>
                <w:rFonts w:ascii="Times New Roman" w:hAnsi="Times New Roman"/>
                <w:b/>
                <w:color w:val="FFFFFF"/>
                <w:sz w:val="20"/>
                <w:szCs w:val="20"/>
              </w:rPr>
            </w:pPr>
            <w:r w:rsidRPr="00785FB4">
              <w:rPr>
                <w:rFonts w:ascii="Times New Roman" w:hAnsi="Times New Roman"/>
                <w:b/>
                <w:color w:val="FFFFFF"/>
                <w:sz w:val="20"/>
                <w:szCs w:val="20"/>
              </w:rPr>
              <w:t>($4,331,045.80)</w:t>
            </w:r>
          </w:p>
          <w:p w14:paraId="05298C8B" w14:textId="77777777" w:rsidR="003D1AB8" w:rsidRPr="00785FB4" w:rsidRDefault="003D1AB8" w:rsidP="00B14059">
            <w:pPr>
              <w:spacing w:after="0"/>
              <w:jc w:val="center"/>
              <w:rPr>
                <w:rFonts w:ascii="Times New Roman" w:hAnsi="Times New Roman"/>
                <w:b/>
                <w:color w:val="FFFFFF"/>
                <w:sz w:val="20"/>
                <w:szCs w:val="20"/>
              </w:rPr>
            </w:pPr>
            <w:r w:rsidRPr="00785FB4">
              <w:rPr>
                <w:rFonts w:ascii="Times New Roman" w:hAnsi="Times New Roman"/>
                <w:b/>
                <w:color w:val="FFFFFF"/>
                <w:sz w:val="20"/>
                <w:szCs w:val="20"/>
              </w:rPr>
              <w:t>45 afs = $1.00</w:t>
            </w:r>
          </w:p>
        </w:tc>
        <w:tc>
          <w:tcPr>
            <w:tcW w:w="850" w:type="dxa"/>
            <w:tcBorders>
              <w:top w:val="single" w:sz="4" w:space="0" w:color="000000"/>
              <w:left w:val="single" w:sz="4" w:space="0" w:color="000000"/>
              <w:bottom w:val="single" w:sz="4" w:space="0" w:color="000000"/>
              <w:right w:val="single" w:sz="4" w:space="0" w:color="000000"/>
            </w:tcBorders>
            <w:shd w:val="clear" w:color="auto" w:fill="4F6228"/>
          </w:tcPr>
          <w:p w14:paraId="260176C8" w14:textId="77777777" w:rsidR="003D1AB8" w:rsidRPr="00785FB4" w:rsidRDefault="003D1AB8" w:rsidP="00B14059">
            <w:pPr>
              <w:spacing w:after="0"/>
              <w:jc w:val="center"/>
              <w:rPr>
                <w:rFonts w:ascii="Times New Roman" w:hAnsi="Times New Roman"/>
                <w:b/>
                <w:color w:val="FFFFFF"/>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4F6228"/>
          </w:tcPr>
          <w:p w14:paraId="213698AC" w14:textId="77777777" w:rsidR="003D1AB8" w:rsidRPr="00785FB4" w:rsidRDefault="003D1AB8" w:rsidP="00B14059">
            <w:pPr>
              <w:spacing w:after="0"/>
              <w:jc w:val="center"/>
              <w:rPr>
                <w:rFonts w:ascii="Times New Roman" w:hAnsi="Times New Roman"/>
                <w:b/>
                <w:color w:val="FFFFFF"/>
                <w:sz w:val="20"/>
                <w:szCs w:val="20"/>
              </w:rPr>
            </w:pPr>
          </w:p>
        </w:tc>
      </w:tr>
    </w:tbl>
    <w:p w14:paraId="23922B57" w14:textId="77777777" w:rsidR="003D1AB8" w:rsidRPr="00785FB4" w:rsidRDefault="003D1AB8" w:rsidP="003D1AB8"/>
    <w:p w14:paraId="00DB6A10" w14:textId="730F97F7" w:rsidR="009F019C" w:rsidRPr="00785FB4" w:rsidRDefault="009F019C" w:rsidP="00E1738D">
      <w:pPr>
        <w:widowControl/>
        <w:suppressAutoHyphens w:val="0"/>
        <w:spacing w:after="0" w:line="240" w:lineRule="auto"/>
        <w:rPr>
          <w:b/>
          <w:bCs/>
          <w:color w:val="4F81BD"/>
          <w:sz w:val="28"/>
          <w:szCs w:val="26"/>
        </w:rPr>
        <w:sectPr w:rsidR="009F019C" w:rsidRPr="00785FB4" w:rsidSect="005847BB">
          <w:pgSz w:w="11905" w:h="16837"/>
          <w:pgMar w:top="1174" w:right="1276" w:bottom="1418" w:left="1134" w:header="567" w:footer="0" w:gutter="0"/>
          <w:cols w:space="708"/>
          <w:titlePg/>
          <w:docGrid w:linePitch="326"/>
        </w:sectPr>
      </w:pPr>
      <w:bookmarkStart w:id="687" w:name="_Toc505449739"/>
      <w:bookmarkStart w:id="688" w:name="_Toc505449839"/>
    </w:p>
    <w:p w14:paraId="75FA1E56" w14:textId="3FAD6378" w:rsidR="009F019C" w:rsidRPr="00785FB4" w:rsidRDefault="00E1738D" w:rsidP="00A94167">
      <w:pPr>
        <w:pStyle w:val="Heading2"/>
      </w:pPr>
      <w:r w:rsidRPr="00785FB4">
        <w:lastRenderedPageBreak/>
        <w:t>Ann</w:t>
      </w:r>
      <w:r w:rsidR="00A843C6" w:rsidRPr="00785FB4">
        <w:t xml:space="preserve">ex </w:t>
      </w:r>
      <w:r w:rsidR="009F019C" w:rsidRPr="00785FB4">
        <w:t xml:space="preserve">G – </w:t>
      </w:r>
      <w:r w:rsidRPr="00785FB4">
        <w:t>AEITI MSG Action plan for recommendations of the reconciliation reports</w:t>
      </w:r>
    </w:p>
    <w:tbl>
      <w:tblPr>
        <w:tblStyle w:val="TableGrid"/>
        <w:tblW w:w="16019" w:type="dxa"/>
        <w:tblInd w:w="-998" w:type="dxa"/>
        <w:tblLayout w:type="fixed"/>
        <w:tblLook w:val="04A0" w:firstRow="1" w:lastRow="0" w:firstColumn="1" w:lastColumn="0" w:noHBand="0" w:noVBand="1"/>
      </w:tblPr>
      <w:tblGrid>
        <w:gridCol w:w="1702"/>
        <w:gridCol w:w="3830"/>
        <w:gridCol w:w="2549"/>
        <w:gridCol w:w="1417"/>
        <w:gridCol w:w="1418"/>
        <w:gridCol w:w="853"/>
        <w:gridCol w:w="1557"/>
        <w:gridCol w:w="1559"/>
        <w:gridCol w:w="1134"/>
      </w:tblGrid>
      <w:tr w:rsidR="00E1738D" w:rsidRPr="00785FB4" w14:paraId="334A51A0" w14:textId="77777777" w:rsidTr="00B92418">
        <w:trPr>
          <w:trHeight w:val="900"/>
        </w:trPr>
        <w:tc>
          <w:tcPr>
            <w:tcW w:w="1702" w:type="dxa"/>
            <w:hideMark/>
          </w:tcPr>
          <w:p w14:paraId="05708A2D" w14:textId="77777777" w:rsidR="00E1738D" w:rsidRPr="00785FB4" w:rsidRDefault="00E1738D" w:rsidP="009F019C">
            <w:pPr>
              <w:rPr>
                <w:b/>
                <w:lang w:val="en-GB"/>
              </w:rPr>
            </w:pPr>
            <w:r w:rsidRPr="00785FB4">
              <w:rPr>
                <w:b/>
                <w:bCs/>
                <w:lang w:val="en-GB"/>
              </w:rPr>
              <w:t>Recommendation</w:t>
            </w:r>
          </w:p>
        </w:tc>
        <w:tc>
          <w:tcPr>
            <w:tcW w:w="3830" w:type="dxa"/>
            <w:hideMark/>
          </w:tcPr>
          <w:p w14:paraId="49718CA1" w14:textId="77777777" w:rsidR="00E1738D" w:rsidRPr="00785FB4" w:rsidRDefault="00E1738D" w:rsidP="009F019C">
            <w:pPr>
              <w:rPr>
                <w:b/>
                <w:lang w:val="en-GB"/>
              </w:rPr>
            </w:pPr>
            <w:r w:rsidRPr="00785FB4">
              <w:rPr>
                <w:b/>
                <w:bCs/>
                <w:lang w:val="en-GB"/>
              </w:rPr>
              <w:t>Action Required</w:t>
            </w:r>
          </w:p>
        </w:tc>
        <w:tc>
          <w:tcPr>
            <w:tcW w:w="2549" w:type="dxa"/>
            <w:hideMark/>
          </w:tcPr>
          <w:p w14:paraId="242CE3BE" w14:textId="77777777" w:rsidR="00E1738D" w:rsidRPr="00785FB4" w:rsidRDefault="00E1738D" w:rsidP="009F019C">
            <w:pPr>
              <w:rPr>
                <w:b/>
                <w:lang w:val="en-GB"/>
              </w:rPr>
            </w:pPr>
            <w:r w:rsidRPr="00785FB4">
              <w:rPr>
                <w:b/>
                <w:bCs/>
                <w:lang w:val="en-GB"/>
              </w:rPr>
              <w:t xml:space="preserve">Activities </w:t>
            </w:r>
          </w:p>
        </w:tc>
        <w:tc>
          <w:tcPr>
            <w:tcW w:w="1417" w:type="dxa"/>
            <w:hideMark/>
          </w:tcPr>
          <w:p w14:paraId="6929AF09" w14:textId="77777777" w:rsidR="00E1738D" w:rsidRPr="00785FB4" w:rsidRDefault="00E1738D" w:rsidP="009F019C">
            <w:pPr>
              <w:rPr>
                <w:b/>
                <w:lang w:val="en-GB"/>
              </w:rPr>
            </w:pPr>
            <w:r w:rsidRPr="00785FB4">
              <w:rPr>
                <w:b/>
                <w:bCs/>
                <w:lang w:val="en-GB"/>
              </w:rPr>
              <w:t xml:space="preserve"> Responsible Party</w:t>
            </w:r>
          </w:p>
        </w:tc>
        <w:tc>
          <w:tcPr>
            <w:tcW w:w="1418" w:type="dxa"/>
            <w:hideMark/>
          </w:tcPr>
          <w:p w14:paraId="7F2CE341" w14:textId="77777777" w:rsidR="00E1738D" w:rsidRPr="00785FB4" w:rsidRDefault="00E1738D" w:rsidP="009F019C">
            <w:pPr>
              <w:rPr>
                <w:b/>
                <w:lang w:val="en-GB"/>
              </w:rPr>
            </w:pPr>
            <w:r w:rsidRPr="00785FB4">
              <w:rPr>
                <w:b/>
                <w:bCs/>
                <w:lang w:val="en-GB"/>
              </w:rPr>
              <w:t>Indicators</w:t>
            </w:r>
          </w:p>
        </w:tc>
        <w:tc>
          <w:tcPr>
            <w:tcW w:w="853" w:type="dxa"/>
            <w:hideMark/>
          </w:tcPr>
          <w:p w14:paraId="78171F88" w14:textId="77777777" w:rsidR="00E1738D" w:rsidRPr="00785FB4" w:rsidRDefault="00E1738D" w:rsidP="009F019C">
            <w:pPr>
              <w:rPr>
                <w:b/>
                <w:lang w:val="en-GB"/>
              </w:rPr>
            </w:pPr>
            <w:r w:rsidRPr="00785FB4">
              <w:rPr>
                <w:b/>
                <w:bCs/>
                <w:lang w:val="en-GB"/>
              </w:rPr>
              <w:t xml:space="preserve">Date </w:t>
            </w:r>
          </w:p>
        </w:tc>
        <w:tc>
          <w:tcPr>
            <w:tcW w:w="1557" w:type="dxa"/>
            <w:hideMark/>
          </w:tcPr>
          <w:p w14:paraId="2A21AC67" w14:textId="77777777" w:rsidR="00E1738D" w:rsidRPr="00785FB4" w:rsidRDefault="00E1738D" w:rsidP="009F019C">
            <w:pPr>
              <w:rPr>
                <w:b/>
                <w:lang w:val="en-GB"/>
              </w:rPr>
            </w:pPr>
            <w:r w:rsidRPr="00785FB4">
              <w:rPr>
                <w:b/>
                <w:bCs/>
                <w:lang w:val="en-GB"/>
              </w:rPr>
              <w:t>Anticipated Result</w:t>
            </w:r>
          </w:p>
        </w:tc>
        <w:tc>
          <w:tcPr>
            <w:tcW w:w="1559" w:type="dxa"/>
            <w:hideMark/>
          </w:tcPr>
          <w:p w14:paraId="68DFB8F7" w14:textId="77777777" w:rsidR="00E1738D" w:rsidRPr="00785FB4" w:rsidRDefault="00E1738D" w:rsidP="009F019C">
            <w:pPr>
              <w:rPr>
                <w:b/>
                <w:lang w:val="en-GB"/>
              </w:rPr>
            </w:pPr>
            <w:r w:rsidRPr="00785FB4">
              <w:rPr>
                <w:b/>
                <w:bCs/>
                <w:lang w:val="en-GB"/>
              </w:rPr>
              <w:t>Challenges &amp; Risks Management</w:t>
            </w:r>
          </w:p>
        </w:tc>
        <w:tc>
          <w:tcPr>
            <w:tcW w:w="1134" w:type="dxa"/>
            <w:hideMark/>
          </w:tcPr>
          <w:p w14:paraId="69C7DBDB" w14:textId="77777777" w:rsidR="00E1738D" w:rsidRPr="00785FB4" w:rsidRDefault="00E1738D" w:rsidP="009F019C">
            <w:pPr>
              <w:rPr>
                <w:b/>
                <w:lang w:val="en-GB"/>
              </w:rPr>
            </w:pPr>
            <w:r w:rsidRPr="00785FB4">
              <w:rPr>
                <w:b/>
                <w:bCs/>
                <w:lang w:val="en-GB"/>
              </w:rPr>
              <w:t>Budget</w:t>
            </w:r>
          </w:p>
        </w:tc>
      </w:tr>
      <w:tr w:rsidR="00E1738D" w:rsidRPr="00785FB4" w14:paraId="52EB88FC" w14:textId="77777777" w:rsidTr="00B92418">
        <w:trPr>
          <w:trHeight w:val="1320"/>
        </w:trPr>
        <w:tc>
          <w:tcPr>
            <w:tcW w:w="1702" w:type="dxa"/>
            <w:vMerge w:val="restart"/>
            <w:hideMark/>
          </w:tcPr>
          <w:p w14:paraId="0197EF12" w14:textId="562FF5D0" w:rsidR="00E1738D" w:rsidRPr="00785FB4" w:rsidRDefault="00E1738D" w:rsidP="009F019C">
            <w:pPr>
              <w:rPr>
                <w:b/>
                <w:bCs/>
                <w:lang w:val="en-GB"/>
              </w:rPr>
            </w:pPr>
            <w:r w:rsidRPr="00785FB4">
              <w:rPr>
                <w:b/>
                <w:bCs/>
                <w:lang w:val="en-GB"/>
              </w:rPr>
              <w:t xml:space="preserve">RECORD KEEPING IN </w:t>
            </w:r>
            <w:r w:rsidR="00DB56BA" w:rsidRPr="00785FB4">
              <w:rPr>
                <w:b/>
                <w:bCs/>
                <w:lang w:val="en-GB"/>
              </w:rPr>
              <w:t>MOMP</w:t>
            </w:r>
            <w:r w:rsidRPr="00785FB4">
              <w:rPr>
                <w:b/>
                <w:bCs/>
                <w:lang w:val="en-GB"/>
              </w:rPr>
              <w:t xml:space="preserve"> AND </w:t>
            </w:r>
            <w:r w:rsidR="00DB56BA" w:rsidRPr="00785FB4">
              <w:rPr>
                <w:b/>
                <w:bCs/>
                <w:lang w:val="en-GB"/>
              </w:rPr>
              <w:t>MOF</w:t>
            </w:r>
          </w:p>
        </w:tc>
        <w:tc>
          <w:tcPr>
            <w:tcW w:w="3830" w:type="dxa"/>
            <w:vMerge w:val="restart"/>
            <w:hideMark/>
          </w:tcPr>
          <w:p w14:paraId="3CBB2E73" w14:textId="77777777" w:rsidR="00E1738D" w:rsidRPr="00785FB4" w:rsidRDefault="00E1738D">
            <w:pPr>
              <w:rPr>
                <w:lang w:val="en-GB"/>
              </w:rPr>
            </w:pPr>
            <w:r w:rsidRPr="00785FB4">
              <w:rPr>
                <w:lang w:val="en-GB"/>
              </w:rPr>
              <w:t>Government departments and SOEs should devise a suitable process and filing system to manage the manual records, and should provide training to staff on the importance of maintaining the systems. Assistance from professionals in process review should be considered, so that experience and good practice from other countries can be brought to bear.</w:t>
            </w:r>
          </w:p>
        </w:tc>
        <w:tc>
          <w:tcPr>
            <w:tcW w:w="2549" w:type="dxa"/>
            <w:hideMark/>
          </w:tcPr>
          <w:p w14:paraId="73F1D25C" w14:textId="6249449D" w:rsidR="00E1738D" w:rsidRPr="00785FB4" w:rsidRDefault="00E1738D">
            <w:pPr>
              <w:rPr>
                <w:lang w:val="en-GB"/>
              </w:rPr>
            </w:pPr>
            <w:r w:rsidRPr="00785FB4">
              <w:rPr>
                <w:lang w:val="en-GB"/>
              </w:rPr>
              <w:t>Improvement in filing system of Government (</w:t>
            </w:r>
            <w:r w:rsidR="00DB56BA" w:rsidRPr="00785FB4">
              <w:rPr>
                <w:lang w:val="en-GB"/>
              </w:rPr>
              <w:t>MOF</w:t>
            </w:r>
            <w:r w:rsidRPr="00785FB4">
              <w:rPr>
                <w:lang w:val="en-GB"/>
              </w:rPr>
              <w:t xml:space="preserve"> and </w:t>
            </w:r>
            <w:r w:rsidR="00DB56BA" w:rsidRPr="00785FB4">
              <w:rPr>
                <w:lang w:val="en-GB"/>
              </w:rPr>
              <w:t>MOMP</w:t>
            </w:r>
            <w:r w:rsidRPr="00785FB4">
              <w:rPr>
                <w:lang w:val="en-GB"/>
              </w:rPr>
              <w:t xml:space="preserve">) Departments and SOEs for Annual Record Keeping </w:t>
            </w:r>
          </w:p>
        </w:tc>
        <w:tc>
          <w:tcPr>
            <w:tcW w:w="1417" w:type="dxa"/>
            <w:hideMark/>
          </w:tcPr>
          <w:p w14:paraId="1F1FFDE6" w14:textId="5E063409" w:rsidR="00E1738D" w:rsidRPr="00785FB4" w:rsidRDefault="00E1738D">
            <w:pPr>
              <w:rPr>
                <w:lang w:val="en-GB"/>
              </w:rPr>
            </w:pPr>
            <w:r w:rsidRPr="00785FB4">
              <w:rPr>
                <w:lang w:val="en-GB"/>
              </w:rPr>
              <w:t xml:space="preserve"> </w:t>
            </w:r>
            <w:r w:rsidR="00DB56BA" w:rsidRPr="00785FB4">
              <w:rPr>
                <w:lang w:val="en-GB"/>
              </w:rPr>
              <w:t>MOMP</w:t>
            </w:r>
            <w:r w:rsidRPr="00785FB4">
              <w:rPr>
                <w:lang w:val="en-GB"/>
              </w:rPr>
              <w:t xml:space="preserve">, </w:t>
            </w:r>
            <w:r w:rsidR="00DB56BA" w:rsidRPr="00785FB4">
              <w:rPr>
                <w:lang w:val="en-GB"/>
              </w:rPr>
              <w:t>MOF</w:t>
            </w:r>
          </w:p>
        </w:tc>
        <w:tc>
          <w:tcPr>
            <w:tcW w:w="1418" w:type="dxa"/>
            <w:hideMark/>
          </w:tcPr>
          <w:p w14:paraId="295C1861" w14:textId="77777777" w:rsidR="00E1738D" w:rsidRPr="00785FB4" w:rsidRDefault="00E1738D">
            <w:pPr>
              <w:rPr>
                <w:lang w:val="en-GB"/>
              </w:rPr>
            </w:pPr>
            <w:r w:rsidRPr="00785FB4">
              <w:rPr>
                <w:lang w:val="en-GB"/>
              </w:rPr>
              <w:t xml:space="preserve">number of files collected from provinces and improve centralized filing system </w:t>
            </w:r>
          </w:p>
        </w:tc>
        <w:tc>
          <w:tcPr>
            <w:tcW w:w="853" w:type="dxa"/>
            <w:hideMark/>
          </w:tcPr>
          <w:p w14:paraId="4D200114" w14:textId="77777777" w:rsidR="00E1738D" w:rsidRPr="00785FB4" w:rsidRDefault="00E1738D" w:rsidP="009F019C">
            <w:pPr>
              <w:rPr>
                <w:lang w:val="en-GB"/>
              </w:rPr>
            </w:pPr>
            <w:r w:rsidRPr="00785FB4">
              <w:rPr>
                <w:lang w:val="en-GB"/>
              </w:rPr>
              <w:t>des.19</w:t>
            </w:r>
          </w:p>
        </w:tc>
        <w:tc>
          <w:tcPr>
            <w:tcW w:w="1557" w:type="dxa"/>
            <w:hideMark/>
          </w:tcPr>
          <w:p w14:paraId="5FD62CD0" w14:textId="77777777" w:rsidR="00E1738D" w:rsidRPr="00785FB4" w:rsidRDefault="00E1738D">
            <w:pPr>
              <w:rPr>
                <w:lang w:val="en-GB"/>
              </w:rPr>
            </w:pPr>
            <w:r w:rsidRPr="00785FB4">
              <w:rPr>
                <w:lang w:val="en-GB"/>
              </w:rPr>
              <w:t xml:space="preserve">Percentage of files from four regions (Nangarhar, Herat, Kandahar, Balkh) are  centralized    </w:t>
            </w:r>
          </w:p>
        </w:tc>
        <w:tc>
          <w:tcPr>
            <w:tcW w:w="1559" w:type="dxa"/>
            <w:hideMark/>
          </w:tcPr>
          <w:p w14:paraId="36820B85" w14:textId="2016F8FB" w:rsidR="00E1738D" w:rsidRPr="00785FB4" w:rsidRDefault="00E1738D">
            <w:pPr>
              <w:rPr>
                <w:lang w:val="en-GB"/>
              </w:rPr>
            </w:pPr>
            <w:r w:rsidRPr="00785FB4">
              <w:rPr>
                <w:lang w:val="en-GB"/>
              </w:rPr>
              <w:t xml:space="preserve">lack of professionals, resources, structure (TASHKEEL) and funding </w:t>
            </w:r>
          </w:p>
        </w:tc>
        <w:tc>
          <w:tcPr>
            <w:tcW w:w="1134" w:type="dxa"/>
            <w:hideMark/>
          </w:tcPr>
          <w:p w14:paraId="3600ACA2" w14:textId="2F071EAD" w:rsidR="00E1738D" w:rsidRPr="00785FB4" w:rsidRDefault="00DB56BA">
            <w:pPr>
              <w:rPr>
                <w:lang w:val="en-GB"/>
              </w:rPr>
            </w:pPr>
            <w:r w:rsidRPr="00785FB4">
              <w:rPr>
                <w:lang w:val="en-GB"/>
              </w:rPr>
              <w:t>MOMP</w:t>
            </w:r>
          </w:p>
        </w:tc>
      </w:tr>
      <w:tr w:rsidR="00E1738D" w:rsidRPr="00785FB4" w14:paraId="0926584F" w14:textId="77777777" w:rsidTr="00B92418">
        <w:trPr>
          <w:trHeight w:val="1035"/>
        </w:trPr>
        <w:tc>
          <w:tcPr>
            <w:tcW w:w="1702" w:type="dxa"/>
            <w:vMerge/>
            <w:hideMark/>
          </w:tcPr>
          <w:p w14:paraId="76397799" w14:textId="77777777" w:rsidR="00E1738D" w:rsidRPr="00785FB4" w:rsidRDefault="00E1738D">
            <w:pPr>
              <w:rPr>
                <w:b/>
                <w:lang w:val="en-GB"/>
              </w:rPr>
            </w:pPr>
          </w:p>
        </w:tc>
        <w:tc>
          <w:tcPr>
            <w:tcW w:w="3830" w:type="dxa"/>
            <w:vMerge/>
            <w:hideMark/>
          </w:tcPr>
          <w:p w14:paraId="15AE2DBC" w14:textId="77777777" w:rsidR="00E1738D" w:rsidRPr="00785FB4" w:rsidRDefault="00E1738D">
            <w:pPr>
              <w:rPr>
                <w:lang w:val="en-GB"/>
              </w:rPr>
            </w:pPr>
          </w:p>
        </w:tc>
        <w:tc>
          <w:tcPr>
            <w:tcW w:w="2549" w:type="dxa"/>
            <w:hideMark/>
          </w:tcPr>
          <w:p w14:paraId="561D303B" w14:textId="77777777" w:rsidR="00E1738D" w:rsidRPr="00785FB4" w:rsidRDefault="00E1738D">
            <w:pPr>
              <w:rPr>
                <w:lang w:val="en-GB"/>
              </w:rPr>
            </w:pPr>
            <w:r w:rsidRPr="00785FB4">
              <w:rPr>
                <w:lang w:val="en-GB"/>
              </w:rPr>
              <w:t xml:space="preserve">Training of Staff on importance filling and contract management </w:t>
            </w:r>
          </w:p>
        </w:tc>
        <w:tc>
          <w:tcPr>
            <w:tcW w:w="1417" w:type="dxa"/>
            <w:hideMark/>
          </w:tcPr>
          <w:p w14:paraId="38D02458" w14:textId="4A2124D1" w:rsidR="00E1738D" w:rsidRPr="00785FB4" w:rsidRDefault="00E1738D">
            <w:pPr>
              <w:rPr>
                <w:lang w:val="en-GB"/>
              </w:rPr>
            </w:pPr>
            <w:r w:rsidRPr="00785FB4">
              <w:rPr>
                <w:lang w:val="en-GB"/>
              </w:rPr>
              <w:t xml:space="preserve"> </w:t>
            </w:r>
            <w:r w:rsidR="00DB56BA" w:rsidRPr="00785FB4">
              <w:rPr>
                <w:lang w:val="en-GB"/>
              </w:rPr>
              <w:t>MOMP</w:t>
            </w:r>
            <w:r w:rsidRPr="00785FB4">
              <w:rPr>
                <w:lang w:val="en-GB"/>
              </w:rPr>
              <w:t xml:space="preserve">, </w:t>
            </w:r>
            <w:r w:rsidR="00DB56BA" w:rsidRPr="00785FB4">
              <w:rPr>
                <w:lang w:val="en-GB"/>
              </w:rPr>
              <w:t>MOF</w:t>
            </w:r>
          </w:p>
        </w:tc>
        <w:tc>
          <w:tcPr>
            <w:tcW w:w="1418" w:type="dxa"/>
            <w:hideMark/>
          </w:tcPr>
          <w:p w14:paraId="240F26CD" w14:textId="0E5F68D4" w:rsidR="00E1738D" w:rsidRPr="00785FB4" w:rsidRDefault="00E1738D">
            <w:pPr>
              <w:rPr>
                <w:lang w:val="en-GB"/>
              </w:rPr>
            </w:pPr>
            <w:r w:rsidRPr="00785FB4">
              <w:rPr>
                <w:lang w:val="en-GB"/>
              </w:rPr>
              <w:t xml:space="preserve">number of staff trained by </w:t>
            </w:r>
            <w:r w:rsidR="00DB56BA" w:rsidRPr="00785FB4">
              <w:rPr>
                <w:lang w:val="en-GB"/>
              </w:rPr>
              <w:t>MOF</w:t>
            </w:r>
            <w:r w:rsidRPr="00785FB4">
              <w:rPr>
                <w:lang w:val="en-GB"/>
              </w:rPr>
              <w:t xml:space="preserve"> and </w:t>
            </w:r>
            <w:r w:rsidR="00DB56BA" w:rsidRPr="00785FB4">
              <w:rPr>
                <w:lang w:val="en-GB"/>
              </w:rPr>
              <w:t>MOMP</w:t>
            </w:r>
          </w:p>
        </w:tc>
        <w:tc>
          <w:tcPr>
            <w:tcW w:w="853" w:type="dxa"/>
            <w:hideMark/>
          </w:tcPr>
          <w:p w14:paraId="74505059" w14:textId="77777777" w:rsidR="00E1738D" w:rsidRPr="00785FB4" w:rsidRDefault="00E1738D" w:rsidP="009F019C">
            <w:pPr>
              <w:rPr>
                <w:lang w:val="en-GB"/>
              </w:rPr>
            </w:pPr>
            <w:r w:rsidRPr="00785FB4">
              <w:rPr>
                <w:lang w:val="en-GB"/>
              </w:rPr>
              <w:t>des.17</w:t>
            </w:r>
          </w:p>
        </w:tc>
        <w:tc>
          <w:tcPr>
            <w:tcW w:w="1557" w:type="dxa"/>
            <w:hideMark/>
          </w:tcPr>
          <w:p w14:paraId="48276A48" w14:textId="77777777" w:rsidR="00E1738D" w:rsidRPr="00785FB4" w:rsidRDefault="00E1738D">
            <w:pPr>
              <w:rPr>
                <w:lang w:val="en-GB"/>
              </w:rPr>
            </w:pPr>
            <w:r w:rsidRPr="00785FB4">
              <w:rPr>
                <w:lang w:val="en-GB"/>
              </w:rPr>
              <w:t xml:space="preserve">Trained staff of  mine inspection directorate, revenue department, contract management department, provincial directorate </w:t>
            </w:r>
          </w:p>
        </w:tc>
        <w:tc>
          <w:tcPr>
            <w:tcW w:w="1559" w:type="dxa"/>
            <w:hideMark/>
          </w:tcPr>
          <w:p w14:paraId="2B25210D" w14:textId="6706D994" w:rsidR="00E1738D" w:rsidRPr="00785FB4" w:rsidRDefault="00E1738D">
            <w:pPr>
              <w:rPr>
                <w:lang w:val="en-GB"/>
              </w:rPr>
            </w:pPr>
            <w:r w:rsidRPr="00785FB4">
              <w:rPr>
                <w:lang w:val="en-GB"/>
              </w:rPr>
              <w:t xml:space="preserve">completed by </w:t>
            </w:r>
            <w:r w:rsidR="00DB56BA" w:rsidRPr="00785FB4">
              <w:rPr>
                <w:lang w:val="en-GB"/>
              </w:rPr>
              <w:t>MOMP</w:t>
            </w:r>
            <w:r w:rsidRPr="00785FB4">
              <w:rPr>
                <w:lang w:val="en-GB"/>
              </w:rPr>
              <w:t xml:space="preserve"> - check with </w:t>
            </w:r>
            <w:r w:rsidR="00DB56BA" w:rsidRPr="00785FB4">
              <w:rPr>
                <w:lang w:val="en-GB"/>
              </w:rPr>
              <w:t>MOF</w:t>
            </w:r>
            <w:r w:rsidRPr="00785FB4">
              <w:rPr>
                <w:lang w:val="en-GB"/>
              </w:rPr>
              <w:t xml:space="preserve"> </w:t>
            </w:r>
          </w:p>
        </w:tc>
        <w:tc>
          <w:tcPr>
            <w:tcW w:w="1134" w:type="dxa"/>
            <w:hideMark/>
          </w:tcPr>
          <w:p w14:paraId="4A71C1D8" w14:textId="77777777" w:rsidR="00E1738D" w:rsidRPr="00785FB4" w:rsidRDefault="00E1738D">
            <w:pPr>
              <w:rPr>
                <w:lang w:val="en-GB"/>
              </w:rPr>
            </w:pPr>
            <w:r w:rsidRPr="00785FB4">
              <w:rPr>
                <w:lang w:val="en-GB"/>
              </w:rPr>
              <w:t>Done by GIZ and ASI</w:t>
            </w:r>
          </w:p>
        </w:tc>
      </w:tr>
      <w:tr w:rsidR="00E1738D" w:rsidRPr="00785FB4" w14:paraId="0DA6899E" w14:textId="77777777" w:rsidTr="00B92418">
        <w:trPr>
          <w:trHeight w:val="1200"/>
        </w:trPr>
        <w:tc>
          <w:tcPr>
            <w:tcW w:w="1702" w:type="dxa"/>
            <w:vMerge/>
            <w:hideMark/>
          </w:tcPr>
          <w:p w14:paraId="3DDA6687" w14:textId="77777777" w:rsidR="00E1738D" w:rsidRPr="00785FB4" w:rsidRDefault="00E1738D">
            <w:pPr>
              <w:rPr>
                <w:b/>
                <w:bCs/>
                <w:lang w:val="en-GB"/>
              </w:rPr>
            </w:pPr>
          </w:p>
        </w:tc>
        <w:tc>
          <w:tcPr>
            <w:tcW w:w="3830" w:type="dxa"/>
            <w:hideMark/>
          </w:tcPr>
          <w:p w14:paraId="7E9C2640" w14:textId="0CD5F017" w:rsidR="00E1738D" w:rsidRPr="00785FB4" w:rsidRDefault="00DB56BA">
            <w:pPr>
              <w:rPr>
                <w:lang w:val="en-GB"/>
              </w:rPr>
            </w:pPr>
            <w:r w:rsidRPr="00785FB4">
              <w:rPr>
                <w:lang w:val="en-GB"/>
              </w:rPr>
              <w:t>MOF</w:t>
            </w:r>
            <w:r w:rsidR="00E1738D" w:rsidRPr="00785FB4">
              <w:rPr>
                <w:lang w:val="en-GB"/>
              </w:rPr>
              <w:t>-LTO be given responsibility for all major corporate mining and oil and gas taxpayers, and that the Kabul-based Ministry ensures that it holds details of all relevant records and transactions relating to those companies.</w:t>
            </w:r>
          </w:p>
        </w:tc>
        <w:tc>
          <w:tcPr>
            <w:tcW w:w="2549" w:type="dxa"/>
            <w:hideMark/>
          </w:tcPr>
          <w:p w14:paraId="477463F4" w14:textId="77777777" w:rsidR="00E1738D" w:rsidRPr="00785FB4" w:rsidRDefault="00E1738D">
            <w:pPr>
              <w:rPr>
                <w:lang w:val="en-GB"/>
              </w:rPr>
            </w:pPr>
            <w:r w:rsidRPr="00785FB4">
              <w:rPr>
                <w:lang w:val="en-GB"/>
              </w:rPr>
              <w:t>LTO to be held responsible for all major corporate mining, oil and gas tax payers and LTO and Revenue Monitoring Department held all details of relevant records of transaction</w:t>
            </w:r>
          </w:p>
        </w:tc>
        <w:tc>
          <w:tcPr>
            <w:tcW w:w="1417" w:type="dxa"/>
            <w:hideMark/>
          </w:tcPr>
          <w:p w14:paraId="572B6779" w14:textId="6BC5BD25" w:rsidR="00E1738D" w:rsidRPr="00785FB4" w:rsidRDefault="00DB56BA">
            <w:pPr>
              <w:rPr>
                <w:lang w:val="en-GB"/>
              </w:rPr>
            </w:pPr>
            <w:r w:rsidRPr="00785FB4">
              <w:rPr>
                <w:lang w:val="en-GB"/>
              </w:rPr>
              <w:t>MOF</w:t>
            </w:r>
            <w:r w:rsidR="00E1738D" w:rsidRPr="00785FB4">
              <w:rPr>
                <w:lang w:val="en-GB"/>
              </w:rPr>
              <w:t xml:space="preserve">, </w:t>
            </w:r>
            <w:r w:rsidRPr="00785FB4">
              <w:rPr>
                <w:lang w:val="en-GB"/>
              </w:rPr>
              <w:t>MOMP</w:t>
            </w:r>
          </w:p>
        </w:tc>
        <w:tc>
          <w:tcPr>
            <w:tcW w:w="1418" w:type="dxa"/>
            <w:hideMark/>
          </w:tcPr>
          <w:p w14:paraId="372D7303" w14:textId="1BF61759" w:rsidR="00E1738D" w:rsidRPr="00785FB4" w:rsidRDefault="00E1738D">
            <w:pPr>
              <w:rPr>
                <w:lang w:val="en-GB"/>
              </w:rPr>
            </w:pPr>
            <w:r w:rsidRPr="00785FB4">
              <w:rPr>
                <w:lang w:val="en-GB"/>
              </w:rPr>
              <w:t xml:space="preserve">Dataset made available for  recording the transactions and other details in  LTO and </w:t>
            </w:r>
            <w:r w:rsidR="00DB56BA" w:rsidRPr="00785FB4">
              <w:rPr>
                <w:lang w:val="en-GB"/>
              </w:rPr>
              <w:t>MOMP</w:t>
            </w:r>
          </w:p>
        </w:tc>
        <w:tc>
          <w:tcPr>
            <w:tcW w:w="853" w:type="dxa"/>
            <w:hideMark/>
          </w:tcPr>
          <w:p w14:paraId="65A1FCB3" w14:textId="77777777" w:rsidR="00E1738D" w:rsidRPr="00785FB4" w:rsidRDefault="00E1738D" w:rsidP="009F019C">
            <w:pPr>
              <w:rPr>
                <w:lang w:val="en-GB"/>
              </w:rPr>
            </w:pPr>
            <w:r w:rsidRPr="00785FB4">
              <w:rPr>
                <w:lang w:val="en-GB"/>
              </w:rPr>
              <w:t>2016</w:t>
            </w:r>
          </w:p>
        </w:tc>
        <w:tc>
          <w:tcPr>
            <w:tcW w:w="1557" w:type="dxa"/>
            <w:hideMark/>
          </w:tcPr>
          <w:p w14:paraId="12684B3A" w14:textId="2190F82D" w:rsidR="00E1738D" w:rsidRPr="00785FB4" w:rsidRDefault="00E1738D">
            <w:pPr>
              <w:rPr>
                <w:lang w:val="en-GB"/>
              </w:rPr>
            </w:pPr>
            <w:r w:rsidRPr="00785FB4">
              <w:rPr>
                <w:lang w:val="en-GB"/>
              </w:rPr>
              <w:t xml:space="preserve">Revenue management system </w:t>
            </w:r>
            <w:r w:rsidR="00DB56BA" w:rsidRPr="00785FB4">
              <w:rPr>
                <w:lang w:val="en-GB"/>
              </w:rPr>
              <w:t>MOMP</w:t>
            </w:r>
            <w:r w:rsidRPr="00785FB4">
              <w:rPr>
                <w:lang w:val="en-GB"/>
              </w:rPr>
              <w:t>, SIGTAS -</w:t>
            </w:r>
            <w:r w:rsidR="00DB56BA" w:rsidRPr="00785FB4">
              <w:rPr>
                <w:lang w:val="en-GB"/>
              </w:rPr>
              <w:t>MOF</w:t>
            </w:r>
          </w:p>
        </w:tc>
        <w:tc>
          <w:tcPr>
            <w:tcW w:w="1559" w:type="dxa"/>
            <w:hideMark/>
          </w:tcPr>
          <w:p w14:paraId="461AAEA3" w14:textId="77777777" w:rsidR="00E1738D" w:rsidRPr="00785FB4" w:rsidRDefault="00E1738D">
            <w:pPr>
              <w:rPr>
                <w:lang w:val="en-GB"/>
              </w:rPr>
            </w:pPr>
            <w:r w:rsidRPr="00785FB4">
              <w:rPr>
                <w:lang w:val="en-GB"/>
              </w:rPr>
              <w:t xml:space="preserve">Completed </w:t>
            </w:r>
          </w:p>
        </w:tc>
        <w:tc>
          <w:tcPr>
            <w:tcW w:w="1134" w:type="dxa"/>
            <w:hideMark/>
          </w:tcPr>
          <w:p w14:paraId="08AA7065" w14:textId="42FABB21" w:rsidR="00E1738D" w:rsidRPr="00785FB4" w:rsidRDefault="00DB56BA">
            <w:pPr>
              <w:rPr>
                <w:lang w:val="en-GB"/>
              </w:rPr>
            </w:pPr>
            <w:r w:rsidRPr="00785FB4">
              <w:rPr>
                <w:lang w:val="en-GB"/>
              </w:rPr>
              <w:t>MOMP</w:t>
            </w:r>
            <w:r w:rsidR="00E1738D" w:rsidRPr="00785FB4">
              <w:rPr>
                <w:lang w:val="en-GB"/>
              </w:rPr>
              <w:t xml:space="preserve">, </w:t>
            </w:r>
            <w:r w:rsidRPr="00785FB4">
              <w:rPr>
                <w:lang w:val="en-GB"/>
              </w:rPr>
              <w:t>MOF</w:t>
            </w:r>
          </w:p>
        </w:tc>
      </w:tr>
      <w:tr w:rsidR="00E1738D" w:rsidRPr="00785FB4" w14:paraId="07D4D52A" w14:textId="77777777" w:rsidTr="00B92418">
        <w:trPr>
          <w:trHeight w:val="1170"/>
        </w:trPr>
        <w:tc>
          <w:tcPr>
            <w:tcW w:w="1702" w:type="dxa"/>
            <w:vMerge/>
            <w:hideMark/>
          </w:tcPr>
          <w:p w14:paraId="405DAA9B" w14:textId="77777777" w:rsidR="00E1738D" w:rsidRPr="00785FB4" w:rsidRDefault="00E1738D">
            <w:pPr>
              <w:rPr>
                <w:b/>
                <w:lang w:val="en-GB"/>
              </w:rPr>
            </w:pPr>
          </w:p>
        </w:tc>
        <w:tc>
          <w:tcPr>
            <w:tcW w:w="3830" w:type="dxa"/>
            <w:hideMark/>
          </w:tcPr>
          <w:p w14:paraId="6466DBC4" w14:textId="4AABBFF7" w:rsidR="00E1738D" w:rsidRPr="00785FB4" w:rsidRDefault="00DB56BA">
            <w:pPr>
              <w:rPr>
                <w:lang w:val="en-GB"/>
              </w:rPr>
            </w:pPr>
            <w:r w:rsidRPr="00785FB4">
              <w:rPr>
                <w:lang w:val="en-GB"/>
              </w:rPr>
              <w:t>MOF</w:t>
            </w:r>
            <w:r w:rsidR="00E1738D" w:rsidRPr="00785FB4">
              <w:rPr>
                <w:lang w:val="en-GB"/>
              </w:rPr>
              <w:t xml:space="preserve">-LTO and </w:t>
            </w:r>
            <w:r w:rsidRPr="00785FB4">
              <w:rPr>
                <w:lang w:val="en-GB"/>
              </w:rPr>
              <w:t>MOMP</w:t>
            </w:r>
            <w:r w:rsidR="00E1738D" w:rsidRPr="00785FB4">
              <w:rPr>
                <w:lang w:val="en-GB"/>
              </w:rPr>
              <w:t xml:space="preserve"> / MoCI prepare and maintain a list of all major corporate mining and oil and gas companies, with each Ministry holding a combined list of companies, licenses held and Taxpayer Identification Numbers.</w:t>
            </w:r>
          </w:p>
        </w:tc>
        <w:tc>
          <w:tcPr>
            <w:tcW w:w="2549" w:type="dxa"/>
            <w:hideMark/>
          </w:tcPr>
          <w:p w14:paraId="5909D7C7" w14:textId="39F04D02" w:rsidR="00E1738D" w:rsidRPr="00785FB4" w:rsidRDefault="00E1738D">
            <w:pPr>
              <w:rPr>
                <w:lang w:val="en-GB"/>
              </w:rPr>
            </w:pPr>
            <w:r w:rsidRPr="00785FB4">
              <w:rPr>
                <w:lang w:val="en-GB"/>
              </w:rPr>
              <w:t xml:space="preserve">LTO;  Revenue Monitoring Department and </w:t>
            </w:r>
            <w:r w:rsidR="00DB56BA" w:rsidRPr="00785FB4">
              <w:rPr>
                <w:lang w:val="en-GB"/>
              </w:rPr>
              <w:t>MOMP</w:t>
            </w:r>
            <w:r w:rsidRPr="00785FB4">
              <w:rPr>
                <w:lang w:val="en-GB"/>
              </w:rPr>
              <w:t>/MoCI to maintain a list of corporate mining, oil and gas companies' licenses and TINs</w:t>
            </w:r>
          </w:p>
        </w:tc>
        <w:tc>
          <w:tcPr>
            <w:tcW w:w="1417" w:type="dxa"/>
            <w:hideMark/>
          </w:tcPr>
          <w:p w14:paraId="69A7C482" w14:textId="3BB9B35B" w:rsidR="00E1738D" w:rsidRPr="00785FB4" w:rsidRDefault="00DB56BA">
            <w:pPr>
              <w:rPr>
                <w:lang w:val="en-GB"/>
              </w:rPr>
            </w:pPr>
            <w:r w:rsidRPr="00785FB4">
              <w:rPr>
                <w:lang w:val="en-GB"/>
              </w:rPr>
              <w:t>MOF</w:t>
            </w:r>
            <w:r w:rsidR="00E1738D" w:rsidRPr="00785FB4">
              <w:rPr>
                <w:lang w:val="en-GB"/>
              </w:rPr>
              <w:t xml:space="preserve">, </w:t>
            </w:r>
            <w:r w:rsidRPr="00785FB4">
              <w:rPr>
                <w:lang w:val="en-GB"/>
              </w:rPr>
              <w:t>MOMP</w:t>
            </w:r>
            <w:r w:rsidR="00E1738D" w:rsidRPr="00785FB4">
              <w:rPr>
                <w:lang w:val="en-GB"/>
              </w:rPr>
              <w:t xml:space="preserve"> - CBR MoCI</w:t>
            </w:r>
          </w:p>
        </w:tc>
        <w:tc>
          <w:tcPr>
            <w:tcW w:w="1418" w:type="dxa"/>
            <w:hideMark/>
          </w:tcPr>
          <w:p w14:paraId="642A998C" w14:textId="6EFF6B25" w:rsidR="00E1738D" w:rsidRPr="00785FB4" w:rsidRDefault="00E1738D">
            <w:pPr>
              <w:rPr>
                <w:lang w:val="en-GB"/>
              </w:rPr>
            </w:pPr>
            <w:r w:rsidRPr="00785FB4">
              <w:rPr>
                <w:lang w:val="en-GB"/>
              </w:rPr>
              <w:t xml:space="preserve">List made available in two ministries </w:t>
            </w:r>
            <w:r w:rsidR="00DB56BA" w:rsidRPr="00785FB4">
              <w:rPr>
                <w:lang w:val="en-GB"/>
              </w:rPr>
              <w:t>MOF</w:t>
            </w:r>
            <w:r w:rsidRPr="00785FB4">
              <w:rPr>
                <w:lang w:val="en-GB"/>
              </w:rPr>
              <w:t xml:space="preserve">, </w:t>
            </w:r>
            <w:r w:rsidR="00DB56BA" w:rsidRPr="00785FB4">
              <w:rPr>
                <w:lang w:val="en-GB"/>
              </w:rPr>
              <w:t>MOMP</w:t>
            </w:r>
          </w:p>
        </w:tc>
        <w:tc>
          <w:tcPr>
            <w:tcW w:w="853" w:type="dxa"/>
            <w:hideMark/>
          </w:tcPr>
          <w:p w14:paraId="51518665" w14:textId="77777777" w:rsidR="00E1738D" w:rsidRPr="00785FB4" w:rsidRDefault="00E1738D" w:rsidP="009F019C">
            <w:pPr>
              <w:rPr>
                <w:lang w:val="en-GB"/>
              </w:rPr>
            </w:pPr>
            <w:r w:rsidRPr="00785FB4">
              <w:rPr>
                <w:lang w:val="en-GB"/>
              </w:rPr>
              <w:t>des.18</w:t>
            </w:r>
          </w:p>
        </w:tc>
        <w:tc>
          <w:tcPr>
            <w:tcW w:w="1557" w:type="dxa"/>
            <w:hideMark/>
          </w:tcPr>
          <w:p w14:paraId="3F9DB82B" w14:textId="77777777" w:rsidR="00E1738D" w:rsidRPr="00785FB4" w:rsidRDefault="00E1738D">
            <w:pPr>
              <w:rPr>
                <w:lang w:val="en-GB"/>
              </w:rPr>
            </w:pPr>
            <w:r w:rsidRPr="00785FB4">
              <w:rPr>
                <w:lang w:val="en-GB"/>
              </w:rPr>
              <w:t xml:space="preserve">Ongoing </w:t>
            </w:r>
          </w:p>
        </w:tc>
        <w:tc>
          <w:tcPr>
            <w:tcW w:w="1559" w:type="dxa"/>
            <w:hideMark/>
          </w:tcPr>
          <w:p w14:paraId="20AF1D8B" w14:textId="3C0E9025" w:rsidR="00E1738D" w:rsidRPr="00785FB4" w:rsidRDefault="00E1738D">
            <w:pPr>
              <w:rPr>
                <w:lang w:val="en-GB"/>
              </w:rPr>
            </w:pPr>
            <w:r w:rsidRPr="00785FB4">
              <w:rPr>
                <w:lang w:val="en-GB"/>
              </w:rPr>
              <w:t xml:space="preserve">Lack of close coordination between </w:t>
            </w:r>
            <w:r w:rsidR="00DB56BA" w:rsidRPr="00785FB4">
              <w:rPr>
                <w:lang w:val="en-GB"/>
              </w:rPr>
              <w:t>MOF</w:t>
            </w:r>
            <w:r w:rsidRPr="00785FB4">
              <w:rPr>
                <w:lang w:val="en-GB"/>
              </w:rPr>
              <w:t xml:space="preserve"> and </w:t>
            </w:r>
            <w:r w:rsidR="00DB56BA" w:rsidRPr="00785FB4">
              <w:rPr>
                <w:lang w:val="en-GB"/>
              </w:rPr>
              <w:t>MOMP</w:t>
            </w:r>
            <w:r w:rsidRPr="00785FB4">
              <w:rPr>
                <w:lang w:val="en-GB"/>
              </w:rPr>
              <w:t>/CBR-MoCI</w:t>
            </w:r>
          </w:p>
        </w:tc>
        <w:tc>
          <w:tcPr>
            <w:tcW w:w="1134" w:type="dxa"/>
            <w:hideMark/>
          </w:tcPr>
          <w:p w14:paraId="790D21C1" w14:textId="019D92B0" w:rsidR="00E1738D" w:rsidRPr="00785FB4" w:rsidRDefault="00DB56BA">
            <w:pPr>
              <w:rPr>
                <w:lang w:val="en-GB"/>
              </w:rPr>
            </w:pPr>
            <w:r w:rsidRPr="00785FB4">
              <w:rPr>
                <w:lang w:val="en-GB"/>
              </w:rPr>
              <w:t>MOMP</w:t>
            </w:r>
            <w:r w:rsidR="00E1738D" w:rsidRPr="00785FB4">
              <w:rPr>
                <w:lang w:val="en-GB"/>
              </w:rPr>
              <w:t xml:space="preserve">, </w:t>
            </w:r>
            <w:r w:rsidRPr="00785FB4">
              <w:rPr>
                <w:lang w:val="en-GB"/>
              </w:rPr>
              <w:t>MOF</w:t>
            </w:r>
            <w:r w:rsidR="00E1738D" w:rsidRPr="00785FB4">
              <w:rPr>
                <w:lang w:val="en-GB"/>
              </w:rPr>
              <w:t>,MoCI</w:t>
            </w:r>
          </w:p>
        </w:tc>
      </w:tr>
      <w:tr w:rsidR="00E1738D" w:rsidRPr="00785FB4" w14:paraId="133C756A" w14:textId="77777777" w:rsidTr="00B92418">
        <w:trPr>
          <w:trHeight w:val="1632"/>
        </w:trPr>
        <w:tc>
          <w:tcPr>
            <w:tcW w:w="1702" w:type="dxa"/>
            <w:vMerge/>
            <w:hideMark/>
          </w:tcPr>
          <w:p w14:paraId="74B8059F" w14:textId="77777777" w:rsidR="00E1738D" w:rsidRPr="00785FB4" w:rsidRDefault="00E1738D">
            <w:pPr>
              <w:rPr>
                <w:b/>
                <w:lang w:val="en-GB"/>
              </w:rPr>
            </w:pPr>
          </w:p>
        </w:tc>
        <w:tc>
          <w:tcPr>
            <w:tcW w:w="3830" w:type="dxa"/>
            <w:hideMark/>
          </w:tcPr>
          <w:p w14:paraId="52BC9F6B" w14:textId="77777777" w:rsidR="00E1738D" w:rsidRPr="00785FB4" w:rsidRDefault="00E1738D">
            <w:pPr>
              <w:rPr>
                <w:lang w:val="en-GB"/>
              </w:rPr>
            </w:pPr>
            <w:r w:rsidRPr="00785FB4">
              <w:rPr>
                <w:lang w:val="en-GB"/>
              </w:rPr>
              <w:t xml:space="preserve">There is a need to produce a reliable cadaster, covering licenses issued centrally and regionally, and we note that a project is in process. It is recommended that this project is concluded on a timely basis, and that reliable cadaster records are made publicly available and meeting </w:t>
            </w:r>
            <w:r w:rsidRPr="00785FB4">
              <w:rPr>
                <w:lang w:val="en-GB"/>
              </w:rPr>
              <w:lastRenderedPageBreak/>
              <w:t>Requirement 3.9 of the EITI Standard.</w:t>
            </w:r>
          </w:p>
        </w:tc>
        <w:tc>
          <w:tcPr>
            <w:tcW w:w="2549" w:type="dxa"/>
            <w:hideMark/>
          </w:tcPr>
          <w:p w14:paraId="293CB30D" w14:textId="77777777" w:rsidR="00E1738D" w:rsidRPr="00785FB4" w:rsidRDefault="00E1738D">
            <w:pPr>
              <w:rPr>
                <w:lang w:val="en-GB"/>
              </w:rPr>
            </w:pPr>
            <w:r w:rsidRPr="00785FB4">
              <w:rPr>
                <w:lang w:val="en-GB"/>
              </w:rPr>
              <w:lastRenderedPageBreak/>
              <w:t>Timely completion of Cadaster projects and making reliable cadaster data publically available</w:t>
            </w:r>
          </w:p>
        </w:tc>
        <w:tc>
          <w:tcPr>
            <w:tcW w:w="1417" w:type="dxa"/>
            <w:hideMark/>
          </w:tcPr>
          <w:p w14:paraId="18ADB1C6" w14:textId="151122E3" w:rsidR="00E1738D" w:rsidRPr="00785FB4" w:rsidRDefault="00DB56BA">
            <w:pPr>
              <w:rPr>
                <w:lang w:val="en-GB"/>
              </w:rPr>
            </w:pPr>
            <w:r w:rsidRPr="00785FB4">
              <w:rPr>
                <w:lang w:val="en-GB"/>
              </w:rPr>
              <w:t>MOMP</w:t>
            </w:r>
          </w:p>
        </w:tc>
        <w:tc>
          <w:tcPr>
            <w:tcW w:w="1418" w:type="dxa"/>
            <w:hideMark/>
          </w:tcPr>
          <w:p w14:paraId="5A89A74F" w14:textId="77777777" w:rsidR="00E1738D" w:rsidRPr="00785FB4" w:rsidRDefault="00E1738D">
            <w:pPr>
              <w:rPr>
                <w:lang w:val="en-GB"/>
              </w:rPr>
            </w:pPr>
            <w:r w:rsidRPr="00785FB4">
              <w:rPr>
                <w:lang w:val="en-GB"/>
              </w:rPr>
              <w:t>1. AMCAS/FMIS projects completed / 2016</w:t>
            </w:r>
            <w:r w:rsidRPr="00785FB4">
              <w:rPr>
                <w:lang w:val="en-GB"/>
              </w:rPr>
              <w:br/>
              <w:t xml:space="preserve">2. Cadaster data made available by </w:t>
            </w:r>
            <w:r w:rsidRPr="00785FB4">
              <w:rPr>
                <w:lang w:val="en-GB"/>
              </w:rPr>
              <w:lastRenderedPageBreak/>
              <w:t>2018</w:t>
            </w:r>
          </w:p>
        </w:tc>
        <w:tc>
          <w:tcPr>
            <w:tcW w:w="853" w:type="dxa"/>
            <w:hideMark/>
          </w:tcPr>
          <w:p w14:paraId="6DE46C3F" w14:textId="77777777" w:rsidR="00E1738D" w:rsidRPr="00785FB4" w:rsidRDefault="00E1738D" w:rsidP="009F019C">
            <w:pPr>
              <w:rPr>
                <w:lang w:val="en-GB"/>
              </w:rPr>
            </w:pPr>
            <w:r w:rsidRPr="00785FB4">
              <w:rPr>
                <w:lang w:val="en-GB"/>
              </w:rPr>
              <w:lastRenderedPageBreak/>
              <w:t>des.18</w:t>
            </w:r>
          </w:p>
        </w:tc>
        <w:tc>
          <w:tcPr>
            <w:tcW w:w="1557" w:type="dxa"/>
            <w:hideMark/>
          </w:tcPr>
          <w:p w14:paraId="6F1991F6" w14:textId="77777777" w:rsidR="00E1738D" w:rsidRPr="00785FB4" w:rsidRDefault="00E1738D">
            <w:pPr>
              <w:rPr>
                <w:lang w:val="en-GB"/>
              </w:rPr>
            </w:pPr>
            <w:r w:rsidRPr="00785FB4">
              <w:rPr>
                <w:lang w:val="en-GB"/>
              </w:rPr>
              <w:t xml:space="preserve">Ongoing </w:t>
            </w:r>
          </w:p>
        </w:tc>
        <w:tc>
          <w:tcPr>
            <w:tcW w:w="1559" w:type="dxa"/>
            <w:hideMark/>
          </w:tcPr>
          <w:p w14:paraId="43018BEB" w14:textId="77777777" w:rsidR="00E1738D" w:rsidRPr="00785FB4" w:rsidRDefault="00E1738D">
            <w:pPr>
              <w:rPr>
                <w:lang w:val="en-GB"/>
              </w:rPr>
            </w:pPr>
            <w:r w:rsidRPr="00785FB4">
              <w:rPr>
                <w:lang w:val="en-GB"/>
              </w:rPr>
              <w:t xml:space="preserve">Duplication of systems </w:t>
            </w:r>
          </w:p>
        </w:tc>
        <w:tc>
          <w:tcPr>
            <w:tcW w:w="1134" w:type="dxa"/>
            <w:hideMark/>
          </w:tcPr>
          <w:p w14:paraId="2D619276" w14:textId="4D7413BD" w:rsidR="00E1738D" w:rsidRPr="00785FB4" w:rsidRDefault="00DB56BA">
            <w:pPr>
              <w:rPr>
                <w:lang w:val="en-GB"/>
              </w:rPr>
            </w:pPr>
            <w:r w:rsidRPr="00785FB4">
              <w:rPr>
                <w:lang w:val="en-GB"/>
              </w:rPr>
              <w:t>MOMP</w:t>
            </w:r>
            <w:r w:rsidR="00E1738D" w:rsidRPr="00785FB4">
              <w:rPr>
                <w:lang w:val="en-GB"/>
              </w:rPr>
              <w:t>, WB, RDF</w:t>
            </w:r>
          </w:p>
        </w:tc>
      </w:tr>
      <w:tr w:rsidR="00E1738D" w:rsidRPr="00785FB4" w14:paraId="46653375" w14:textId="77777777" w:rsidTr="00B92418">
        <w:trPr>
          <w:trHeight w:val="1440"/>
        </w:trPr>
        <w:tc>
          <w:tcPr>
            <w:tcW w:w="1702" w:type="dxa"/>
            <w:vMerge w:val="restart"/>
            <w:hideMark/>
          </w:tcPr>
          <w:p w14:paraId="3932A2BD" w14:textId="1B9ABCBE" w:rsidR="00E1738D" w:rsidRPr="00785FB4" w:rsidRDefault="00E1738D" w:rsidP="009F019C">
            <w:pPr>
              <w:rPr>
                <w:b/>
                <w:bCs/>
                <w:lang w:val="en-GB"/>
              </w:rPr>
            </w:pPr>
            <w:r w:rsidRPr="00785FB4">
              <w:rPr>
                <w:b/>
                <w:bCs/>
                <w:lang w:val="en-GB"/>
              </w:rPr>
              <w:t>DATA ASSURANCE: GOV. AND COMPANIES</w:t>
            </w:r>
          </w:p>
        </w:tc>
        <w:tc>
          <w:tcPr>
            <w:tcW w:w="3830" w:type="dxa"/>
            <w:hideMark/>
          </w:tcPr>
          <w:p w14:paraId="669A01DA" w14:textId="7926249E" w:rsidR="00E1738D" w:rsidRPr="00785FB4" w:rsidRDefault="00E1738D">
            <w:pPr>
              <w:rPr>
                <w:lang w:val="en-GB"/>
              </w:rPr>
            </w:pPr>
            <w:r w:rsidRPr="00785FB4">
              <w:rPr>
                <w:lang w:val="en-GB"/>
              </w:rPr>
              <w:t xml:space="preserve">The strengthening of the SAO and Revenue Monitoring and Evaluation Department of </w:t>
            </w:r>
            <w:r w:rsidR="00DB56BA" w:rsidRPr="00785FB4">
              <w:rPr>
                <w:lang w:val="en-GB"/>
              </w:rPr>
              <w:t>MOF</w:t>
            </w:r>
            <w:r w:rsidRPr="00785FB4">
              <w:rPr>
                <w:lang w:val="en-GB"/>
              </w:rPr>
              <w:t xml:space="preserve"> and training of its staff is continued, and that the importance of its role within Afghanistan is maintained.</w:t>
            </w:r>
          </w:p>
        </w:tc>
        <w:tc>
          <w:tcPr>
            <w:tcW w:w="2549" w:type="dxa"/>
            <w:hideMark/>
          </w:tcPr>
          <w:p w14:paraId="3D45F631" w14:textId="4757B995" w:rsidR="00E1738D" w:rsidRPr="00785FB4" w:rsidRDefault="00E1738D">
            <w:pPr>
              <w:rPr>
                <w:lang w:val="en-GB"/>
              </w:rPr>
            </w:pPr>
            <w:r w:rsidRPr="00785FB4">
              <w:rPr>
                <w:lang w:val="en-GB"/>
              </w:rPr>
              <w:t xml:space="preserve">Strengthening of SAO and Revenue Monitoring and Evalaution Department of </w:t>
            </w:r>
            <w:r w:rsidR="00DB56BA" w:rsidRPr="00785FB4">
              <w:rPr>
                <w:lang w:val="en-GB"/>
              </w:rPr>
              <w:t>MOF</w:t>
            </w:r>
            <w:r w:rsidRPr="00785FB4">
              <w:rPr>
                <w:lang w:val="en-GB"/>
              </w:rPr>
              <w:t>, continuity of the trainings and maintenance of its role in Afghanistan</w:t>
            </w:r>
          </w:p>
        </w:tc>
        <w:tc>
          <w:tcPr>
            <w:tcW w:w="1417" w:type="dxa"/>
            <w:hideMark/>
          </w:tcPr>
          <w:p w14:paraId="40028227" w14:textId="0B777075" w:rsidR="00E1738D" w:rsidRPr="00785FB4" w:rsidRDefault="00E1738D">
            <w:pPr>
              <w:rPr>
                <w:lang w:val="en-GB"/>
              </w:rPr>
            </w:pPr>
            <w:r w:rsidRPr="00785FB4">
              <w:rPr>
                <w:lang w:val="en-GB"/>
              </w:rPr>
              <w:t xml:space="preserve">SAO, AEITI, </w:t>
            </w:r>
            <w:r w:rsidR="00DB56BA" w:rsidRPr="00785FB4">
              <w:rPr>
                <w:lang w:val="en-GB"/>
              </w:rPr>
              <w:t>MOMP</w:t>
            </w:r>
          </w:p>
        </w:tc>
        <w:tc>
          <w:tcPr>
            <w:tcW w:w="1418" w:type="dxa"/>
            <w:hideMark/>
          </w:tcPr>
          <w:p w14:paraId="3B47EF87" w14:textId="77777777" w:rsidR="00E1738D" w:rsidRPr="00785FB4" w:rsidRDefault="00E1738D">
            <w:pPr>
              <w:rPr>
                <w:lang w:val="en-GB"/>
              </w:rPr>
            </w:pPr>
            <w:r w:rsidRPr="00785FB4">
              <w:rPr>
                <w:lang w:val="en-GB"/>
              </w:rPr>
              <w:t>1. technical asistance will be provided to SOA and RM&amp;E by 2019</w:t>
            </w:r>
            <w:r w:rsidRPr="00785FB4">
              <w:rPr>
                <w:lang w:val="en-GB"/>
              </w:rPr>
              <w:br/>
              <w:t>2. trainings to be conducted</w:t>
            </w:r>
          </w:p>
        </w:tc>
        <w:tc>
          <w:tcPr>
            <w:tcW w:w="853" w:type="dxa"/>
            <w:hideMark/>
          </w:tcPr>
          <w:p w14:paraId="51BCF452" w14:textId="77777777" w:rsidR="00E1738D" w:rsidRPr="00785FB4" w:rsidRDefault="00E1738D" w:rsidP="009F019C">
            <w:pPr>
              <w:rPr>
                <w:lang w:val="en-GB"/>
              </w:rPr>
            </w:pPr>
            <w:r w:rsidRPr="00785FB4">
              <w:rPr>
                <w:lang w:val="en-GB"/>
              </w:rPr>
              <w:t>des.19</w:t>
            </w:r>
          </w:p>
        </w:tc>
        <w:tc>
          <w:tcPr>
            <w:tcW w:w="1557" w:type="dxa"/>
            <w:hideMark/>
          </w:tcPr>
          <w:p w14:paraId="58F5C54E" w14:textId="77777777" w:rsidR="00E1738D" w:rsidRPr="00785FB4" w:rsidRDefault="00E1738D">
            <w:pPr>
              <w:rPr>
                <w:lang w:val="en-GB"/>
              </w:rPr>
            </w:pPr>
            <w:r w:rsidRPr="00785FB4">
              <w:rPr>
                <w:lang w:val="en-GB"/>
              </w:rPr>
              <w:t xml:space="preserve">Ongoing </w:t>
            </w:r>
          </w:p>
        </w:tc>
        <w:tc>
          <w:tcPr>
            <w:tcW w:w="1559" w:type="dxa"/>
            <w:hideMark/>
          </w:tcPr>
          <w:p w14:paraId="679F212B" w14:textId="77777777" w:rsidR="00E1738D" w:rsidRPr="00785FB4" w:rsidRDefault="00E1738D">
            <w:pPr>
              <w:rPr>
                <w:lang w:val="en-GB"/>
              </w:rPr>
            </w:pPr>
            <w:r w:rsidRPr="00785FB4">
              <w:rPr>
                <w:lang w:val="en-GB"/>
              </w:rPr>
              <w:t xml:space="preserve">Lack of capacity and procedures </w:t>
            </w:r>
          </w:p>
        </w:tc>
        <w:tc>
          <w:tcPr>
            <w:tcW w:w="1134" w:type="dxa"/>
            <w:hideMark/>
          </w:tcPr>
          <w:p w14:paraId="5EC854AC" w14:textId="0021FE7E" w:rsidR="00E1738D" w:rsidRPr="00785FB4" w:rsidRDefault="00DB56BA">
            <w:pPr>
              <w:rPr>
                <w:lang w:val="en-GB"/>
              </w:rPr>
            </w:pPr>
            <w:r w:rsidRPr="00785FB4">
              <w:rPr>
                <w:lang w:val="en-GB"/>
              </w:rPr>
              <w:t>MOMP</w:t>
            </w:r>
            <w:r w:rsidR="00E1738D" w:rsidRPr="00785FB4">
              <w:rPr>
                <w:lang w:val="en-GB"/>
              </w:rPr>
              <w:t xml:space="preserve">, WB </w:t>
            </w:r>
          </w:p>
        </w:tc>
      </w:tr>
      <w:tr w:rsidR="00E1738D" w:rsidRPr="00785FB4" w14:paraId="2DDE9159" w14:textId="77777777" w:rsidTr="00B92418">
        <w:trPr>
          <w:trHeight w:val="1602"/>
        </w:trPr>
        <w:tc>
          <w:tcPr>
            <w:tcW w:w="1702" w:type="dxa"/>
            <w:vMerge/>
            <w:hideMark/>
          </w:tcPr>
          <w:p w14:paraId="038BE6F6" w14:textId="77777777" w:rsidR="00E1738D" w:rsidRPr="00785FB4" w:rsidRDefault="00E1738D">
            <w:pPr>
              <w:rPr>
                <w:b/>
                <w:lang w:val="en-GB"/>
              </w:rPr>
            </w:pPr>
          </w:p>
        </w:tc>
        <w:tc>
          <w:tcPr>
            <w:tcW w:w="3830" w:type="dxa"/>
            <w:hideMark/>
          </w:tcPr>
          <w:p w14:paraId="2928122F" w14:textId="77777777" w:rsidR="00E1738D" w:rsidRPr="00785FB4" w:rsidRDefault="00E1738D">
            <w:pPr>
              <w:rPr>
                <w:lang w:val="en-GB"/>
              </w:rPr>
            </w:pPr>
            <w:r w:rsidRPr="00785FB4">
              <w:rPr>
                <w:lang w:val="en-GB"/>
              </w:rPr>
              <w:t>It is recommended that government should include a provision in all PSCs and EPSCs that an annual audit should be conducted within 12 months of the Contractor’s year end by an independent chartered accountant or certified public accountant, using international standards on auditing.</w:t>
            </w:r>
          </w:p>
        </w:tc>
        <w:tc>
          <w:tcPr>
            <w:tcW w:w="2549" w:type="dxa"/>
            <w:hideMark/>
          </w:tcPr>
          <w:p w14:paraId="014E4C00" w14:textId="77777777" w:rsidR="00E1738D" w:rsidRPr="00785FB4" w:rsidRDefault="00E1738D">
            <w:pPr>
              <w:rPr>
                <w:lang w:val="en-GB"/>
              </w:rPr>
            </w:pPr>
            <w:r w:rsidRPr="00785FB4">
              <w:rPr>
                <w:lang w:val="en-GB"/>
              </w:rPr>
              <w:t>Inclusion of a Provision of Annual Audit for all PSCs(Production Sharing Contracts) and EPSCs (Exploration and Production Sharing Contracts)using International Standards</w:t>
            </w:r>
          </w:p>
        </w:tc>
        <w:tc>
          <w:tcPr>
            <w:tcW w:w="1417" w:type="dxa"/>
            <w:hideMark/>
          </w:tcPr>
          <w:p w14:paraId="33C654F2" w14:textId="332CCDEA" w:rsidR="00E1738D" w:rsidRPr="00785FB4" w:rsidRDefault="00DB56BA">
            <w:pPr>
              <w:rPr>
                <w:lang w:val="en-GB"/>
              </w:rPr>
            </w:pPr>
            <w:r w:rsidRPr="00785FB4">
              <w:rPr>
                <w:lang w:val="en-GB"/>
              </w:rPr>
              <w:t>MOMP</w:t>
            </w:r>
          </w:p>
        </w:tc>
        <w:tc>
          <w:tcPr>
            <w:tcW w:w="1418" w:type="dxa"/>
            <w:hideMark/>
          </w:tcPr>
          <w:p w14:paraId="5AB5A38D" w14:textId="77777777" w:rsidR="00E1738D" w:rsidRPr="00785FB4" w:rsidRDefault="00E1738D">
            <w:pPr>
              <w:rPr>
                <w:lang w:val="en-GB"/>
              </w:rPr>
            </w:pPr>
            <w:r w:rsidRPr="00785FB4">
              <w:rPr>
                <w:lang w:val="en-GB"/>
              </w:rPr>
              <w:t>1. Provision of Annual Audit for all PSCs and EPSCs using international Standards drafted by 2011</w:t>
            </w:r>
          </w:p>
        </w:tc>
        <w:tc>
          <w:tcPr>
            <w:tcW w:w="853" w:type="dxa"/>
            <w:hideMark/>
          </w:tcPr>
          <w:p w14:paraId="05504330" w14:textId="77777777" w:rsidR="00E1738D" w:rsidRPr="00785FB4" w:rsidRDefault="00E1738D" w:rsidP="009F019C">
            <w:pPr>
              <w:rPr>
                <w:lang w:val="en-GB"/>
              </w:rPr>
            </w:pPr>
            <w:r w:rsidRPr="00785FB4">
              <w:rPr>
                <w:lang w:val="en-GB"/>
              </w:rPr>
              <w:t>2011</w:t>
            </w:r>
          </w:p>
        </w:tc>
        <w:tc>
          <w:tcPr>
            <w:tcW w:w="1557" w:type="dxa"/>
            <w:hideMark/>
          </w:tcPr>
          <w:p w14:paraId="732E33E5" w14:textId="77777777" w:rsidR="00E1738D" w:rsidRPr="00785FB4" w:rsidRDefault="00E1738D">
            <w:pPr>
              <w:rPr>
                <w:lang w:val="en-GB"/>
              </w:rPr>
            </w:pPr>
            <w:r w:rsidRPr="00785FB4">
              <w:rPr>
                <w:lang w:val="en-GB"/>
              </w:rPr>
              <w:t>Completed</w:t>
            </w:r>
          </w:p>
        </w:tc>
        <w:tc>
          <w:tcPr>
            <w:tcW w:w="1559" w:type="dxa"/>
            <w:hideMark/>
          </w:tcPr>
          <w:p w14:paraId="4E89BF84" w14:textId="77777777" w:rsidR="00E1738D" w:rsidRPr="00785FB4" w:rsidRDefault="00E1738D">
            <w:pPr>
              <w:rPr>
                <w:lang w:val="en-GB"/>
              </w:rPr>
            </w:pPr>
            <w:r w:rsidRPr="00785FB4">
              <w:rPr>
                <w:lang w:val="en-GB"/>
              </w:rPr>
              <w:t> </w:t>
            </w:r>
          </w:p>
        </w:tc>
        <w:tc>
          <w:tcPr>
            <w:tcW w:w="1134" w:type="dxa"/>
            <w:hideMark/>
          </w:tcPr>
          <w:p w14:paraId="15851761" w14:textId="58E44EF1" w:rsidR="00E1738D" w:rsidRPr="00785FB4" w:rsidRDefault="00DB56BA">
            <w:pPr>
              <w:rPr>
                <w:lang w:val="en-GB"/>
              </w:rPr>
            </w:pPr>
            <w:r w:rsidRPr="00785FB4">
              <w:rPr>
                <w:lang w:val="en-GB"/>
              </w:rPr>
              <w:t>MOMP</w:t>
            </w:r>
          </w:p>
        </w:tc>
      </w:tr>
      <w:tr w:rsidR="00E1738D" w:rsidRPr="00785FB4" w14:paraId="4E1AA5D5" w14:textId="77777777" w:rsidTr="00B92418">
        <w:trPr>
          <w:trHeight w:val="2359"/>
        </w:trPr>
        <w:tc>
          <w:tcPr>
            <w:tcW w:w="1702" w:type="dxa"/>
            <w:vMerge/>
            <w:hideMark/>
          </w:tcPr>
          <w:p w14:paraId="56C39DDA" w14:textId="77777777" w:rsidR="00E1738D" w:rsidRPr="00785FB4" w:rsidRDefault="00E1738D">
            <w:pPr>
              <w:rPr>
                <w:b/>
                <w:lang w:val="en-GB"/>
              </w:rPr>
            </w:pPr>
          </w:p>
        </w:tc>
        <w:tc>
          <w:tcPr>
            <w:tcW w:w="3830" w:type="dxa"/>
            <w:hideMark/>
          </w:tcPr>
          <w:p w14:paraId="298B88F1" w14:textId="77777777" w:rsidR="00E1738D" w:rsidRPr="00785FB4" w:rsidRDefault="00E1738D">
            <w:pPr>
              <w:rPr>
                <w:lang w:val="en-GB"/>
              </w:rPr>
            </w:pPr>
            <w:r w:rsidRPr="00785FB4">
              <w:rPr>
                <w:lang w:val="en-GB"/>
              </w:rPr>
              <w:t>It is further recommended that the government should introduce legislation requiring all major extractive companies (major to be defined by reference to a suitable metric – e.g. annual turnover) to produce annually accounts audited by an independent chartered accountant or certified public accountant, using international standards on auditing; and to assign responsibility to a government body – e.g. the SAO – to receive these accounts and follow up late reporting companies.</w:t>
            </w:r>
          </w:p>
        </w:tc>
        <w:tc>
          <w:tcPr>
            <w:tcW w:w="2549" w:type="dxa"/>
            <w:hideMark/>
          </w:tcPr>
          <w:p w14:paraId="691149BC" w14:textId="77777777" w:rsidR="00E1738D" w:rsidRPr="00785FB4" w:rsidRDefault="00E1738D">
            <w:pPr>
              <w:rPr>
                <w:lang w:val="en-GB"/>
              </w:rPr>
            </w:pPr>
            <w:r w:rsidRPr="00785FB4">
              <w:rPr>
                <w:lang w:val="en-GB"/>
              </w:rPr>
              <w:t>Government to introduce legislation requiring all major companies to produce annual account audits using international standards</w:t>
            </w:r>
          </w:p>
        </w:tc>
        <w:tc>
          <w:tcPr>
            <w:tcW w:w="1417" w:type="dxa"/>
            <w:hideMark/>
          </w:tcPr>
          <w:p w14:paraId="57469660" w14:textId="49B55FF9" w:rsidR="00E1738D" w:rsidRPr="00785FB4" w:rsidRDefault="00DB56BA">
            <w:pPr>
              <w:rPr>
                <w:lang w:val="en-GB"/>
              </w:rPr>
            </w:pPr>
            <w:r w:rsidRPr="00785FB4">
              <w:rPr>
                <w:lang w:val="en-GB"/>
              </w:rPr>
              <w:t>MOMP</w:t>
            </w:r>
          </w:p>
        </w:tc>
        <w:tc>
          <w:tcPr>
            <w:tcW w:w="1418" w:type="dxa"/>
            <w:hideMark/>
          </w:tcPr>
          <w:p w14:paraId="4A03BBFD" w14:textId="1523B947" w:rsidR="00E1738D" w:rsidRPr="00785FB4" w:rsidRDefault="00E1738D">
            <w:pPr>
              <w:rPr>
                <w:lang w:val="en-GB"/>
              </w:rPr>
            </w:pPr>
            <w:r w:rsidRPr="00785FB4">
              <w:rPr>
                <w:lang w:val="en-GB"/>
              </w:rPr>
              <w:br/>
              <w:t xml:space="preserve">1. Draft ammendments to the mineral law suggest by </w:t>
            </w:r>
            <w:r w:rsidR="00DB56BA" w:rsidRPr="00785FB4">
              <w:rPr>
                <w:lang w:val="en-GB"/>
              </w:rPr>
              <w:t>MOMP</w:t>
            </w:r>
            <w:r w:rsidRPr="00785FB4">
              <w:rPr>
                <w:lang w:val="en-GB"/>
              </w:rPr>
              <w:t xml:space="preserve">                                      2 To be included in the ammendments of the mineral law by </w:t>
            </w:r>
            <w:r w:rsidR="00DB56BA" w:rsidRPr="00785FB4">
              <w:rPr>
                <w:lang w:val="en-GB"/>
              </w:rPr>
              <w:t>MOMP</w:t>
            </w:r>
          </w:p>
        </w:tc>
        <w:tc>
          <w:tcPr>
            <w:tcW w:w="853" w:type="dxa"/>
            <w:hideMark/>
          </w:tcPr>
          <w:p w14:paraId="0C4FADF5" w14:textId="77777777" w:rsidR="00E1738D" w:rsidRPr="00785FB4" w:rsidRDefault="00E1738D" w:rsidP="009F019C">
            <w:pPr>
              <w:rPr>
                <w:lang w:val="en-GB"/>
              </w:rPr>
            </w:pPr>
            <w:r w:rsidRPr="00785FB4">
              <w:rPr>
                <w:lang w:val="en-GB"/>
              </w:rPr>
              <w:t>des.19</w:t>
            </w:r>
          </w:p>
        </w:tc>
        <w:tc>
          <w:tcPr>
            <w:tcW w:w="1557" w:type="dxa"/>
            <w:hideMark/>
          </w:tcPr>
          <w:p w14:paraId="67D149B2" w14:textId="77777777" w:rsidR="00E1738D" w:rsidRPr="00785FB4" w:rsidRDefault="00E1738D">
            <w:pPr>
              <w:rPr>
                <w:lang w:val="en-GB"/>
              </w:rPr>
            </w:pPr>
            <w:r w:rsidRPr="00785FB4">
              <w:rPr>
                <w:lang w:val="en-GB"/>
              </w:rPr>
              <w:t xml:space="preserve">Establishing legal bases for requiring companies to conduct annual audit by independent chartered accountant using international standards </w:t>
            </w:r>
          </w:p>
        </w:tc>
        <w:tc>
          <w:tcPr>
            <w:tcW w:w="1559" w:type="dxa"/>
            <w:hideMark/>
          </w:tcPr>
          <w:p w14:paraId="63052C9F" w14:textId="77777777" w:rsidR="00E1738D" w:rsidRPr="00785FB4" w:rsidRDefault="00E1738D">
            <w:pPr>
              <w:rPr>
                <w:lang w:val="en-GB"/>
              </w:rPr>
            </w:pPr>
            <w:r w:rsidRPr="00785FB4">
              <w:rPr>
                <w:lang w:val="en-GB"/>
              </w:rPr>
              <w:t>Ammendment procedure</w:t>
            </w:r>
          </w:p>
        </w:tc>
        <w:tc>
          <w:tcPr>
            <w:tcW w:w="1134" w:type="dxa"/>
            <w:hideMark/>
          </w:tcPr>
          <w:p w14:paraId="588DAC5F" w14:textId="168790D8" w:rsidR="00E1738D" w:rsidRPr="00785FB4" w:rsidRDefault="00DB56BA">
            <w:pPr>
              <w:rPr>
                <w:lang w:val="en-GB"/>
              </w:rPr>
            </w:pPr>
            <w:r w:rsidRPr="00785FB4">
              <w:rPr>
                <w:lang w:val="en-GB"/>
              </w:rPr>
              <w:t>MOMP</w:t>
            </w:r>
          </w:p>
        </w:tc>
      </w:tr>
      <w:tr w:rsidR="00E1738D" w:rsidRPr="00785FB4" w14:paraId="2E433363" w14:textId="77777777" w:rsidTr="00B92418">
        <w:trPr>
          <w:trHeight w:val="1159"/>
        </w:trPr>
        <w:tc>
          <w:tcPr>
            <w:tcW w:w="1702" w:type="dxa"/>
            <w:vMerge w:val="restart"/>
            <w:hideMark/>
          </w:tcPr>
          <w:p w14:paraId="3967731C" w14:textId="77777777" w:rsidR="00E1738D" w:rsidRPr="00785FB4" w:rsidRDefault="00E1738D" w:rsidP="009F019C">
            <w:pPr>
              <w:rPr>
                <w:b/>
                <w:lang w:val="en-GB"/>
              </w:rPr>
            </w:pPr>
            <w:r w:rsidRPr="00785FB4">
              <w:rPr>
                <w:b/>
                <w:bCs/>
                <w:lang w:val="en-GB"/>
              </w:rPr>
              <w:t xml:space="preserve">COMPLETENESS OF DATA </w:t>
            </w:r>
          </w:p>
        </w:tc>
        <w:tc>
          <w:tcPr>
            <w:tcW w:w="3830" w:type="dxa"/>
            <w:vMerge w:val="restart"/>
            <w:hideMark/>
          </w:tcPr>
          <w:p w14:paraId="50B7DC27" w14:textId="6012DB61" w:rsidR="00E1738D" w:rsidRPr="00785FB4" w:rsidRDefault="00E1738D">
            <w:pPr>
              <w:rPr>
                <w:lang w:val="en-GB"/>
              </w:rPr>
            </w:pPr>
            <w:r w:rsidRPr="00785FB4">
              <w:rPr>
                <w:lang w:val="en-GB"/>
              </w:rPr>
              <w:t xml:space="preserve">It is recommended that in the short term (e.g. for the Fifth AEITI Report), </w:t>
            </w:r>
            <w:r w:rsidR="00DB56BA" w:rsidRPr="00785FB4">
              <w:rPr>
                <w:lang w:val="en-GB"/>
              </w:rPr>
              <w:t>MOF</w:t>
            </w:r>
            <w:r w:rsidRPr="00785FB4">
              <w:rPr>
                <w:lang w:val="en-GB"/>
              </w:rPr>
              <w:t xml:space="preserve"> and </w:t>
            </w:r>
            <w:r w:rsidR="00DB56BA" w:rsidRPr="00785FB4">
              <w:rPr>
                <w:lang w:val="en-GB"/>
              </w:rPr>
              <w:t>MOMP</w:t>
            </w:r>
            <w:r w:rsidRPr="00785FB4">
              <w:rPr>
                <w:lang w:val="en-GB"/>
              </w:rPr>
              <w:t xml:space="preserve"> should consider bringing in additional professional resource to assist in the preparation of scoping and reporting data for future reports; and that a capacity evaluation and training needs assessment be undertaken, and capacity building measures be implemented so that there is an improvement in staff competence </w:t>
            </w:r>
            <w:r w:rsidRPr="00785FB4">
              <w:rPr>
                <w:lang w:val="en-GB"/>
              </w:rPr>
              <w:lastRenderedPageBreak/>
              <w:t>in the medium term.</w:t>
            </w:r>
          </w:p>
        </w:tc>
        <w:tc>
          <w:tcPr>
            <w:tcW w:w="2549" w:type="dxa"/>
            <w:hideMark/>
          </w:tcPr>
          <w:p w14:paraId="38859BFC" w14:textId="45E0E78A" w:rsidR="00E1738D" w:rsidRPr="00785FB4" w:rsidRDefault="00DB56BA">
            <w:pPr>
              <w:rPr>
                <w:lang w:val="en-GB"/>
              </w:rPr>
            </w:pPr>
            <w:r w:rsidRPr="00785FB4">
              <w:rPr>
                <w:lang w:val="en-GB"/>
              </w:rPr>
              <w:lastRenderedPageBreak/>
              <w:t>MOF</w:t>
            </w:r>
            <w:r w:rsidR="00E1738D" w:rsidRPr="00785FB4">
              <w:rPr>
                <w:lang w:val="en-GB"/>
              </w:rPr>
              <w:t xml:space="preserve"> and </w:t>
            </w:r>
            <w:r w:rsidRPr="00785FB4">
              <w:rPr>
                <w:lang w:val="en-GB"/>
              </w:rPr>
              <w:t>MOMP</w:t>
            </w:r>
            <w:r w:rsidR="00E1738D" w:rsidRPr="00785FB4">
              <w:rPr>
                <w:lang w:val="en-GB"/>
              </w:rPr>
              <w:t xml:space="preserve"> to consider bringing in additional professional resources to support Revenue monitoring and management in order to  assist in the preparation of scoping and reporting data for future reports;</w:t>
            </w:r>
          </w:p>
        </w:tc>
        <w:tc>
          <w:tcPr>
            <w:tcW w:w="1417" w:type="dxa"/>
            <w:hideMark/>
          </w:tcPr>
          <w:p w14:paraId="78BDE7E3" w14:textId="30D29468" w:rsidR="00E1738D" w:rsidRPr="00785FB4" w:rsidRDefault="00DB56BA">
            <w:pPr>
              <w:rPr>
                <w:lang w:val="en-GB"/>
              </w:rPr>
            </w:pPr>
            <w:r w:rsidRPr="00785FB4">
              <w:rPr>
                <w:lang w:val="en-GB"/>
              </w:rPr>
              <w:t>MOMP</w:t>
            </w:r>
            <w:r w:rsidR="00E1738D" w:rsidRPr="00785FB4">
              <w:rPr>
                <w:lang w:val="en-GB"/>
              </w:rPr>
              <w:t xml:space="preserve">, </w:t>
            </w:r>
            <w:r w:rsidRPr="00785FB4">
              <w:rPr>
                <w:lang w:val="en-GB"/>
              </w:rPr>
              <w:t>MOF</w:t>
            </w:r>
            <w:r w:rsidR="00E1738D" w:rsidRPr="00785FB4">
              <w:rPr>
                <w:lang w:val="en-GB"/>
              </w:rPr>
              <w:t xml:space="preserve"> check with Mr. Panah for confirming  improvement in implementation of SIGTAS and confriming with Mr. Sherani for </w:t>
            </w:r>
            <w:r w:rsidR="00E1738D" w:rsidRPr="00785FB4">
              <w:rPr>
                <w:lang w:val="en-GB"/>
              </w:rPr>
              <w:lastRenderedPageBreak/>
              <w:t>ToR</w:t>
            </w:r>
          </w:p>
        </w:tc>
        <w:tc>
          <w:tcPr>
            <w:tcW w:w="1418" w:type="dxa"/>
            <w:hideMark/>
          </w:tcPr>
          <w:p w14:paraId="2875EB66" w14:textId="64C3F57C" w:rsidR="00E1738D" w:rsidRPr="00785FB4" w:rsidRDefault="00E1738D">
            <w:pPr>
              <w:rPr>
                <w:lang w:val="en-GB"/>
              </w:rPr>
            </w:pPr>
            <w:r w:rsidRPr="00785FB4">
              <w:rPr>
                <w:lang w:val="en-GB"/>
              </w:rPr>
              <w:lastRenderedPageBreak/>
              <w:t xml:space="preserve">1. # of additional resources supplied by </w:t>
            </w:r>
            <w:r w:rsidR="00DB56BA" w:rsidRPr="00785FB4">
              <w:rPr>
                <w:lang w:val="en-GB"/>
              </w:rPr>
              <w:t>MOF</w:t>
            </w:r>
            <w:r w:rsidRPr="00785FB4">
              <w:rPr>
                <w:lang w:val="en-GB"/>
              </w:rPr>
              <w:t xml:space="preserve">- Revenue Department and </w:t>
            </w:r>
            <w:r w:rsidR="00DB56BA" w:rsidRPr="00785FB4">
              <w:rPr>
                <w:lang w:val="en-GB"/>
              </w:rPr>
              <w:t>MOMP</w:t>
            </w:r>
          </w:p>
        </w:tc>
        <w:tc>
          <w:tcPr>
            <w:tcW w:w="853" w:type="dxa"/>
            <w:hideMark/>
          </w:tcPr>
          <w:p w14:paraId="4ED46C50" w14:textId="77777777" w:rsidR="00E1738D" w:rsidRPr="00785FB4" w:rsidRDefault="00E1738D" w:rsidP="009F019C">
            <w:pPr>
              <w:rPr>
                <w:lang w:val="en-GB"/>
              </w:rPr>
            </w:pPr>
            <w:r w:rsidRPr="00785FB4">
              <w:rPr>
                <w:lang w:val="en-GB"/>
              </w:rPr>
              <w:t>des.18</w:t>
            </w:r>
          </w:p>
        </w:tc>
        <w:tc>
          <w:tcPr>
            <w:tcW w:w="1557" w:type="dxa"/>
            <w:hideMark/>
          </w:tcPr>
          <w:p w14:paraId="464C251C" w14:textId="37958783" w:rsidR="00E1738D" w:rsidRPr="00785FB4" w:rsidRDefault="00DB56BA">
            <w:pPr>
              <w:rPr>
                <w:lang w:val="en-GB"/>
              </w:rPr>
            </w:pPr>
            <w:r w:rsidRPr="00785FB4">
              <w:rPr>
                <w:lang w:val="en-GB"/>
              </w:rPr>
              <w:t>MOMP</w:t>
            </w:r>
            <w:r w:rsidR="00E1738D" w:rsidRPr="00785FB4">
              <w:rPr>
                <w:lang w:val="en-GB"/>
              </w:rPr>
              <w:t xml:space="preserve"> has hired professional staff. Updating financial system </w:t>
            </w:r>
            <w:r w:rsidRPr="00785FB4">
              <w:rPr>
                <w:lang w:val="en-GB"/>
              </w:rPr>
              <w:t>MOF</w:t>
            </w:r>
            <w:r w:rsidR="00E1738D" w:rsidRPr="00785FB4">
              <w:rPr>
                <w:lang w:val="en-GB"/>
              </w:rPr>
              <w:t xml:space="preserve"> - - Check with Panah </w:t>
            </w:r>
          </w:p>
        </w:tc>
        <w:tc>
          <w:tcPr>
            <w:tcW w:w="1559" w:type="dxa"/>
            <w:hideMark/>
          </w:tcPr>
          <w:p w14:paraId="72387A29" w14:textId="77777777" w:rsidR="00E1738D" w:rsidRPr="00785FB4" w:rsidRDefault="00E1738D">
            <w:pPr>
              <w:rPr>
                <w:lang w:val="en-GB"/>
              </w:rPr>
            </w:pPr>
            <w:r w:rsidRPr="00785FB4">
              <w:rPr>
                <w:lang w:val="en-GB"/>
              </w:rPr>
              <w:t xml:space="preserve">Lack of financial and human resources </w:t>
            </w:r>
          </w:p>
        </w:tc>
        <w:tc>
          <w:tcPr>
            <w:tcW w:w="1134" w:type="dxa"/>
            <w:hideMark/>
          </w:tcPr>
          <w:p w14:paraId="7BB372AC" w14:textId="0A9437C2" w:rsidR="00E1738D" w:rsidRPr="00785FB4" w:rsidRDefault="00DB56BA">
            <w:pPr>
              <w:rPr>
                <w:lang w:val="en-GB"/>
              </w:rPr>
            </w:pPr>
            <w:r w:rsidRPr="00785FB4">
              <w:rPr>
                <w:lang w:val="en-GB"/>
              </w:rPr>
              <w:t>MOMP</w:t>
            </w:r>
            <w:r w:rsidR="00E1738D" w:rsidRPr="00785FB4">
              <w:rPr>
                <w:lang w:val="en-GB"/>
              </w:rPr>
              <w:t xml:space="preserve">, </w:t>
            </w:r>
            <w:r w:rsidRPr="00785FB4">
              <w:rPr>
                <w:lang w:val="en-GB"/>
              </w:rPr>
              <w:t>MOF</w:t>
            </w:r>
            <w:r w:rsidR="00E1738D" w:rsidRPr="00785FB4">
              <w:rPr>
                <w:lang w:val="en-GB"/>
              </w:rPr>
              <w:t>/WB</w:t>
            </w:r>
          </w:p>
        </w:tc>
      </w:tr>
      <w:tr w:rsidR="00E1738D" w:rsidRPr="00785FB4" w14:paraId="5CE31BCA" w14:textId="77777777" w:rsidTr="00B92418">
        <w:trPr>
          <w:trHeight w:val="1530"/>
        </w:trPr>
        <w:tc>
          <w:tcPr>
            <w:tcW w:w="1702" w:type="dxa"/>
            <w:vMerge/>
            <w:hideMark/>
          </w:tcPr>
          <w:p w14:paraId="08C17B00" w14:textId="77777777" w:rsidR="00E1738D" w:rsidRPr="00785FB4" w:rsidRDefault="00E1738D">
            <w:pPr>
              <w:rPr>
                <w:b/>
                <w:lang w:val="en-GB"/>
              </w:rPr>
            </w:pPr>
          </w:p>
        </w:tc>
        <w:tc>
          <w:tcPr>
            <w:tcW w:w="3830" w:type="dxa"/>
            <w:vMerge/>
            <w:hideMark/>
          </w:tcPr>
          <w:p w14:paraId="0198603B" w14:textId="77777777" w:rsidR="00E1738D" w:rsidRPr="00785FB4" w:rsidRDefault="00E1738D">
            <w:pPr>
              <w:rPr>
                <w:lang w:val="en-GB"/>
              </w:rPr>
            </w:pPr>
          </w:p>
        </w:tc>
        <w:tc>
          <w:tcPr>
            <w:tcW w:w="2549" w:type="dxa"/>
            <w:hideMark/>
          </w:tcPr>
          <w:p w14:paraId="4DB077DF" w14:textId="3222C7DA" w:rsidR="00E1738D" w:rsidRPr="00785FB4" w:rsidRDefault="00E1738D">
            <w:pPr>
              <w:rPr>
                <w:lang w:val="en-GB"/>
              </w:rPr>
            </w:pPr>
            <w:r w:rsidRPr="00785FB4">
              <w:rPr>
                <w:lang w:val="en-GB"/>
              </w:rPr>
              <w:t xml:space="preserve">Undertaking of capacity evaluation and training need assessment within </w:t>
            </w:r>
            <w:r w:rsidR="00DB56BA" w:rsidRPr="00785FB4">
              <w:rPr>
                <w:lang w:val="en-GB"/>
              </w:rPr>
              <w:t>MOMP</w:t>
            </w:r>
            <w:r w:rsidRPr="00785FB4">
              <w:rPr>
                <w:lang w:val="en-GB"/>
              </w:rPr>
              <w:t xml:space="preserve"> and Revenue monitoring of the </w:t>
            </w:r>
            <w:r w:rsidR="00DB56BA" w:rsidRPr="00785FB4">
              <w:rPr>
                <w:lang w:val="en-GB"/>
              </w:rPr>
              <w:t>MOF</w:t>
            </w:r>
            <w:r w:rsidRPr="00785FB4">
              <w:rPr>
                <w:lang w:val="en-GB"/>
              </w:rPr>
              <w:br w:type="page"/>
              <w:t xml:space="preserve">Capacity Building measures to be implemented in order to bring improvement in staff competence in medium term within </w:t>
            </w:r>
            <w:r w:rsidR="00DB56BA" w:rsidRPr="00785FB4">
              <w:rPr>
                <w:lang w:val="en-GB"/>
              </w:rPr>
              <w:t>MOMP</w:t>
            </w:r>
            <w:r w:rsidRPr="00785FB4">
              <w:rPr>
                <w:lang w:val="en-GB"/>
              </w:rPr>
              <w:t xml:space="preserve"> and Revenue monitoring of the </w:t>
            </w:r>
            <w:r w:rsidR="00DB56BA" w:rsidRPr="00785FB4">
              <w:rPr>
                <w:lang w:val="en-GB"/>
              </w:rPr>
              <w:t>MOF</w:t>
            </w:r>
          </w:p>
        </w:tc>
        <w:tc>
          <w:tcPr>
            <w:tcW w:w="1417" w:type="dxa"/>
            <w:hideMark/>
          </w:tcPr>
          <w:p w14:paraId="05F387F3" w14:textId="3D58746B" w:rsidR="00E1738D" w:rsidRPr="00785FB4" w:rsidRDefault="00DB56BA">
            <w:pPr>
              <w:rPr>
                <w:lang w:val="en-GB"/>
              </w:rPr>
            </w:pPr>
            <w:r w:rsidRPr="00785FB4">
              <w:rPr>
                <w:lang w:val="en-GB"/>
              </w:rPr>
              <w:t>MOF</w:t>
            </w:r>
            <w:r w:rsidR="00E1738D" w:rsidRPr="00785FB4">
              <w:rPr>
                <w:lang w:val="en-GB"/>
              </w:rPr>
              <w:t xml:space="preserve">, </w:t>
            </w:r>
            <w:r w:rsidRPr="00785FB4">
              <w:rPr>
                <w:lang w:val="en-GB"/>
              </w:rPr>
              <w:t>MOMP</w:t>
            </w:r>
          </w:p>
        </w:tc>
        <w:tc>
          <w:tcPr>
            <w:tcW w:w="1418" w:type="dxa"/>
            <w:hideMark/>
          </w:tcPr>
          <w:p w14:paraId="6AB31D5D" w14:textId="77777777" w:rsidR="00E1738D" w:rsidRPr="00785FB4" w:rsidRDefault="00E1738D">
            <w:pPr>
              <w:rPr>
                <w:lang w:val="en-GB"/>
              </w:rPr>
            </w:pPr>
            <w:r w:rsidRPr="00785FB4">
              <w:rPr>
                <w:lang w:val="en-GB"/>
              </w:rPr>
              <w:t>1. Capacity needs assessment conducted by Donors</w:t>
            </w:r>
            <w:r w:rsidRPr="00785FB4">
              <w:rPr>
                <w:lang w:val="en-GB"/>
              </w:rPr>
              <w:br w:type="page"/>
              <w:t>2.  of capacity building measures implemented by Donors</w:t>
            </w:r>
          </w:p>
        </w:tc>
        <w:tc>
          <w:tcPr>
            <w:tcW w:w="853" w:type="dxa"/>
            <w:hideMark/>
          </w:tcPr>
          <w:p w14:paraId="747A5971" w14:textId="77777777" w:rsidR="00E1738D" w:rsidRPr="00785FB4" w:rsidRDefault="00E1738D" w:rsidP="009F019C">
            <w:pPr>
              <w:rPr>
                <w:lang w:val="en-GB"/>
              </w:rPr>
            </w:pPr>
            <w:r w:rsidRPr="00785FB4">
              <w:rPr>
                <w:lang w:val="en-GB"/>
              </w:rPr>
              <w:t>des.18</w:t>
            </w:r>
          </w:p>
        </w:tc>
        <w:tc>
          <w:tcPr>
            <w:tcW w:w="1557" w:type="dxa"/>
            <w:hideMark/>
          </w:tcPr>
          <w:p w14:paraId="14C62A08" w14:textId="77777777" w:rsidR="00E1738D" w:rsidRPr="00785FB4" w:rsidRDefault="00E1738D">
            <w:pPr>
              <w:rPr>
                <w:lang w:val="en-GB"/>
              </w:rPr>
            </w:pPr>
            <w:r w:rsidRPr="00785FB4">
              <w:rPr>
                <w:lang w:val="en-GB"/>
              </w:rPr>
              <w:t xml:space="preserve">Follow up with donors on capacity building activities and assessment </w:t>
            </w:r>
          </w:p>
        </w:tc>
        <w:tc>
          <w:tcPr>
            <w:tcW w:w="1559" w:type="dxa"/>
            <w:hideMark/>
          </w:tcPr>
          <w:p w14:paraId="114730A1" w14:textId="77777777" w:rsidR="00E1738D" w:rsidRPr="00785FB4" w:rsidRDefault="00E1738D">
            <w:pPr>
              <w:rPr>
                <w:lang w:val="en-GB"/>
              </w:rPr>
            </w:pPr>
            <w:r w:rsidRPr="00785FB4">
              <w:rPr>
                <w:lang w:val="en-GB"/>
              </w:rPr>
              <w:t> </w:t>
            </w:r>
          </w:p>
        </w:tc>
        <w:tc>
          <w:tcPr>
            <w:tcW w:w="1134" w:type="dxa"/>
            <w:hideMark/>
          </w:tcPr>
          <w:p w14:paraId="73213B0B" w14:textId="77777777" w:rsidR="00E1738D" w:rsidRPr="00785FB4" w:rsidRDefault="00E1738D">
            <w:pPr>
              <w:rPr>
                <w:lang w:val="en-GB"/>
              </w:rPr>
            </w:pPr>
            <w:r w:rsidRPr="00785FB4">
              <w:rPr>
                <w:lang w:val="en-GB"/>
              </w:rPr>
              <w:t>WB, ASI</w:t>
            </w:r>
          </w:p>
        </w:tc>
      </w:tr>
      <w:tr w:rsidR="00E1738D" w:rsidRPr="00785FB4" w14:paraId="3BAC19ED" w14:textId="77777777" w:rsidTr="00B92418">
        <w:trPr>
          <w:trHeight w:val="1530"/>
        </w:trPr>
        <w:tc>
          <w:tcPr>
            <w:tcW w:w="1702" w:type="dxa"/>
            <w:vMerge/>
            <w:hideMark/>
          </w:tcPr>
          <w:p w14:paraId="230B1F2B" w14:textId="77777777" w:rsidR="00E1738D" w:rsidRPr="00785FB4" w:rsidRDefault="00E1738D">
            <w:pPr>
              <w:rPr>
                <w:b/>
                <w:lang w:val="en-GB"/>
              </w:rPr>
            </w:pPr>
          </w:p>
        </w:tc>
        <w:tc>
          <w:tcPr>
            <w:tcW w:w="3830" w:type="dxa"/>
            <w:hideMark/>
          </w:tcPr>
          <w:p w14:paraId="7CB77954" w14:textId="43297BB4" w:rsidR="00E1738D" w:rsidRPr="00785FB4" w:rsidRDefault="00E1738D">
            <w:pPr>
              <w:rPr>
                <w:lang w:val="en-GB"/>
              </w:rPr>
            </w:pPr>
            <w:r w:rsidRPr="00785FB4">
              <w:rPr>
                <w:lang w:val="en-GB"/>
              </w:rPr>
              <w:t xml:space="preserve">Integration and compatibility of </w:t>
            </w:r>
            <w:r w:rsidR="00DB56BA" w:rsidRPr="00785FB4">
              <w:rPr>
                <w:lang w:val="en-GB"/>
              </w:rPr>
              <w:t>MOF</w:t>
            </w:r>
            <w:r w:rsidRPr="00785FB4">
              <w:rPr>
                <w:lang w:val="en-GB"/>
              </w:rPr>
              <w:t xml:space="preserve"> </w:t>
            </w:r>
            <w:r w:rsidR="00DB56BA" w:rsidRPr="00785FB4">
              <w:rPr>
                <w:lang w:val="en-GB"/>
              </w:rPr>
              <w:t>MOMP</w:t>
            </w:r>
            <w:r w:rsidRPr="00785FB4">
              <w:rPr>
                <w:lang w:val="en-GB"/>
              </w:rPr>
              <w:t xml:space="preserve"> information systems operating in different departments</w:t>
            </w:r>
          </w:p>
        </w:tc>
        <w:tc>
          <w:tcPr>
            <w:tcW w:w="2549" w:type="dxa"/>
            <w:hideMark/>
          </w:tcPr>
          <w:p w14:paraId="25B67B03" w14:textId="0000FCFA" w:rsidR="00E1738D" w:rsidRPr="00785FB4" w:rsidRDefault="00E1738D">
            <w:pPr>
              <w:rPr>
                <w:lang w:val="en-GB"/>
              </w:rPr>
            </w:pPr>
            <w:r w:rsidRPr="00785FB4">
              <w:rPr>
                <w:lang w:val="en-GB"/>
              </w:rPr>
              <w:t xml:space="preserve">Feasibility study of the integration of </w:t>
            </w:r>
            <w:r w:rsidR="00DB56BA" w:rsidRPr="00785FB4">
              <w:rPr>
                <w:lang w:val="en-GB"/>
              </w:rPr>
              <w:t>MOF</w:t>
            </w:r>
            <w:r w:rsidRPr="00785FB4">
              <w:rPr>
                <w:lang w:val="en-GB"/>
              </w:rPr>
              <w:t xml:space="preserve"> information systems operating in different departments and their compability with systems within </w:t>
            </w:r>
            <w:r w:rsidR="00DB56BA" w:rsidRPr="00785FB4">
              <w:rPr>
                <w:lang w:val="en-GB"/>
              </w:rPr>
              <w:t>MOMP</w:t>
            </w:r>
          </w:p>
        </w:tc>
        <w:tc>
          <w:tcPr>
            <w:tcW w:w="1417" w:type="dxa"/>
            <w:hideMark/>
          </w:tcPr>
          <w:p w14:paraId="6499E05A" w14:textId="77777777" w:rsidR="00E1738D" w:rsidRPr="00785FB4" w:rsidRDefault="00E1738D">
            <w:pPr>
              <w:rPr>
                <w:lang w:val="en-GB"/>
              </w:rPr>
            </w:pPr>
            <w:r w:rsidRPr="00785FB4">
              <w:rPr>
                <w:lang w:val="en-GB"/>
              </w:rPr>
              <w:t>WB</w:t>
            </w:r>
          </w:p>
        </w:tc>
        <w:tc>
          <w:tcPr>
            <w:tcW w:w="1418" w:type="dxa"/>
            <w:hideMark/>
          </w:tcPr>
          <w:p w14:paraId="7E40DAB9" w14:textId="77777777" w:rsidR="00E1738D" w:rsidRPr="00785FB4" w:rsidRDefault="00E1738D">
            <w:pPr>
              <w:rPr>
                <w:lang w:val="en-GB"/>
              </w:rPr>
            </w:pPr>
            <w:r w:rsidRPr="00785FB4">
              <w:rPr>
                <w:lang w:val="en-GB"/>
              </w:rPr>
              <w:t>1. Feasibility study/ summery of document will be conducted by WB</w:t>
            </w:r>
          </w:p>
        </w:tc>
        <w:tc>
          <w:tcPr>
            <w:tcW w:w="853" w:type="dxa"/>
            <w:hideMark/>
          </w:tcPr>
          <w:p w14:paraId="1913D8FB" w14:textId="77777777" w:rsidR="00E1738D" w:rsidRPr="00785FB4" w:rsidRDefault="00E1738D" w:rsidP="009F019C">
            <w:pPr>
              <w:rPr>
                <w:lang w:val="en-GB"/>
              </w:rPr>
            </w:pPr>
            <w:r w:rsidRPr="00785FB4">
              <w:rPr>
                <w:lang w:val="en-GB"/>
              </w:rPr>
              <w:t>jun.18</w:t>
            </w:r>
          </w:p>
        </w:tc>
        <w:tc>
          <w:tcPr>
            <w:tcW w:w="1557" w:type="dxa"/>
            <w:hideMark/>
          </w:tcPr>
          <w:p w14:paraId="2977CCB5" w14:textId="77777777" w:rsidR="00E1738D" w:rsidRPr="00785FB4" w:rsidRDefault="00E1738D">
            <w:pPr>
              <w:rPr>
                <w:lang w:val="en-GB"/>
              </w:rPr>
            </w:pPr>
            <w:r w:rsidRPr="00785FB4">
              <w:rPr>
                <w:lang w:val="en-GB"/>
              </w:rPr>
              <w:t xml:space="preserve">Summery report will be prepared </w:t>
            </w:r>
          </w:p>
        </w:tc>
        <w:tc>
          <w:tcPr>
            <w:tcW w:w="1559" w:type="dxa"/>
            <w:hideMark/>
          </w:tcPr>
          <w:p w14:paraId="73F50614" w14:textId="2A573634" w:rsidR="00E1738D" w:rsidRPr="00785FB4" w:rsidRDefault="00E1738D">
            <w:pPr>
              <w:rPr>
                <w:lang w:val="en-GB"/>
              </w:rPr>
            </w:pPr>
            <w:r w:rsidRPr="00785FB4">
              <w:rPr>
                <w:lang w:val="en-GB"/>
              </w:rPr>
              <w:t xml:space="preserve">close coordination and cooperation of </w:t>
            </w:r>
            <w:r w:rsidR="00DB56BA" w:rsidRPr="00785FB4">
              <w:rPr>
                <w:lang w:val="en-GB"/>
              </w:rPr>
              <w:t>MOF</w:t>
            </w:r>
            <w:r w:rsidRPr="00785FB4">
              <w:rPr>
                <w:lang w:val="en-GB"/>
              </w:rPr>
              <w:t xml:space="preserve"> and </w:t>
            </w:r>
            <w:r w:rsidR="00DB56BA" w:rsidRPr="00785FB4">
              <w:rPr>
                <w:lang w:val="en-GB"/>
              </w:rPr>
              <w:t>MOMP</w:t>
            </w:r>
          </w:p>
        </w:tc>
        <w:tc>
          <w:tcPr>
            <w:tcW w:w="1134" w:type="dxa"/>
            <w:hideMark/>
          </w:tcPr>
          <w:p w14:paraId="19F734AA" w14:textId="77777777" w:rsidR="00E1738D" w:rsidRPr="00785FB4" w:rsidRDefault="00E1738D">
            <w:pPr>
              <w:rPr>
                <w:lang w:val="en-GB"/>
              </w:rPr>
            </w:pPr>
            <w:r w:rsidRPr="00785FB4">
              <w:rPr>
                <w:lang w:val="en-GB"/>
              </w:rPr>
              <w:t>WB</w:t>
            </w:r>
          </w:p>
        </w:tc>
      </w:tr>
      <w:tr w:rsidR="00E1738D" w:rsidRPr="00785FB4" w14:paraId="5F25E0E3" w14:textId="77777777" w:rsidTr="00B92418">
        <w:trPr>
          <w:trHeight w:val="3439"/>
        </w:trPr>
        <w:tc>
          <w:tcPr>
            <w:tcW w:w="1702" w:type="dxa"/>
            <w:vMerge/>
            <w:hideMark/>
          </w:tcPr>
          <w:p w14:paraId="38535C4D" w14:textId="77777777" w:rsidR="00E1738D" w:rsidRPr="00785FB4" w:rsidRDefault="00E1738D">
            <w:pPr>
              <w:rPr>
                <w:b/>
                <w:lang w:val="en-GB"/>
              </w:rPr>
            </w:pPr>
          </w:p>
        </w:tc>
        <w:tc>
          <w:tcPr>
            <w:tcW w:w="3830" w:type="dxa"/>
            <w:hideMark/>
          </w:tcPr>
          <w:p w14:paraId="7108C94A" w14:textId="2CABCE02" w:rsidR="00E1738D" w:rsidRPr="00785FB4" w:rsidRDefault="00E1738D">
            <w:pPr>
              <w:rPr>
                <w:lang w:val="en-GB"/>
              </w:rPr>
            </w:pPr>
            <w:r w:rsidRPr="00785FB4">
              <w:rPr>
                <w:lang w:val="en-GB"/>
              </w:rPr>
              <w:t xml:space="preserve">Though the location and informal nature of much artisanal and small scale mining mean that a comprehensive approach to the activity will be difficult and will take time; and social objectives will also be important in any wider approach. Nevertheless, the GIZ IS report states that revenue is being passed to government and that product is being exported and so liable to collection of duties, and </w:t>
            </w:r>
            <w:r w:rsidR="00DB56BA" w:rsidRPr="00785FB4">
              <w:rPr>
                <w:lang w:val="en-GB"/>
              </w:rPr>
              <w:t>MOMP</w:t>
            </w:r>
            <w:r w:rsidRPr="00785FB4">
              <w:rPr>
                <w:lang w:val="en-GB"/>
              </w:rPr>
              <w:t xml:space="preserve"> and </w:t>
            </w:r>
            <w:r w:rsidR="00DB56BA" w:rsidRPr="00785FB4">
              <w:rPr>
                <w:lang w:val="en-GB"/>
              </w:rPr>
              <w:t>MOF</w:t>
            </w:r>
            <w:r w:rsidRPr="00785FB4">
              <w:rPr>
                <w:lang w:val="en-GB"/>
              </w:rPr>
              <w:t xml:space="preserve"> should have a legitimate interest in obtaining further information. It is recommended that prior to the next EITI report; </w:t>
            </w:r>
            <w:r w:rsidR="00DB56BA" w:rsidRPr="00785FB4">
              <w:rPr>
                <w:lang w:val="en-GB"/>
              </w:rPr>
              <w:t>MOMP</w:t>
            </w:r>
            <w:r w:rsidRPr="00785FB4">
              <w:rPr>
                <w:lang w:val="en-GB"/>
              </w:rPr>
              <w:t xml:space="preserve"> and </w:t>
            </w:r>
            <w:r w:rsidR="00DB56BA" w:rsidRPr="00785FB4">
              <w:rPr>
                <w:lang w:val="en-GB"/>
              </w:rPr>
              <w:t>MOF</w:t>
            </w:r>
            <w:r w:rsidRPr="00785FB4">
              <w:rPr>
                <w:lang w:val="en-GB"/>
              </w:rPr>
              <w:t xml:space="preserve"> with AEITI should examine the areas where the GIZ IS report identifies revenue to the government with a view to seeking to incorporate them into EITI reporting.</w:t>
            </w:r>
          </w:p>
        </w:tc>
        <w:tc>
          <w:tcPr>
            <w:tcW w:w="2549" w:type="dxa"/>
            <w:hideMark/>
          </w:tcPr>
          <w:p w14:paraId="791F1B7C" w14:textId="560AF91E" w:rsidR="00E1738D" w:rsidRPr="00785FB4" w:rsidRDefault="00DB56BA">
            <w:pPr>
              <w:rPr>
                <w:lang w:val="en-GB"/>
              </w:rPr>
            </w:pPr>
            <w:r w:rsidRPr="00785FB4">
              <w:rPr>
                <w:lang w:val="en-GB"/>
              </w:rPr>
              <w:t>MOMP</w:t>
            </w:r>
            <w:r w:rsidR="00E1738D" w:rsidRPr="00785FB4">
              <w:rPr>
                <w:lang w:val="en-GB"/>
              </w:rPr>
              <w:t xml:space="preserve"> and Revenue Monitoring and Evaluation with AEITI to examine the areas where the GIZ IS report identifies revenue to the government with a view to seeking to incorporate them into EITI reporting prior to EITI next report</w:t>
            </w:r>
          </w:p>
        </w:tc>
        <w:tc>
          <w:tcPr>
            <w:tcW w:w="1417" w:type="dxa"/>
            <w:hideMark/>
          </w:tcPr>
          <w:p w14:paraId="396E4AC6" w14:textId="7573E0C0" w:rsidR="00E1738D" w:rsidRPr="00785FB4" w:rsidRDefault="00DB56BA">
            <w:pPr>
              <w:rPr>
                <w:lang w:val="en-GB"/>
              </w:rPr>
            </w:pPr>
            <w:r w:rsidRPr="00785FB4">
              <w:rPr>
                <w:lang w:val="en-GB"/>
              </w:rPr>
              <w:t>MOMP</w:t>
            </w:r>
            <w:r w:rsidR="00E1738D" w:rsidRPr="00785FB4">
              <w:rPr>
                <w:lang w:val="en-GB"/>
              </w:rPr>
              <w:t xml:space="preserve">, </w:t>
            </w:r>
            <w:r w:rsidRPr="00785FB4">
              <w:rPr>
                <w:lang w:val="en-GB"/>
              </w:rPr>
              <w:t>MOF</w:t>
            </w:r>
            <w:r w:rsidR="00E1738D" w:rsidRPr="00785FB4">
              <w:rPr>
                <w:lang w:val="en-GB"/>
              </w:rPr>
              <w:t>, AEITI</w:t>
            </w:r>
          </w:p>
        </w:tc>
        <w:tc>
          <w:tcPr>
            <w:tcW w:w="1418" w:type="dxa"/>
            <w:hideMark/>
          </w:tcPr>
          <w:p w14:paraId="573768F7" w14:textId="77777777" w:rsidR="00E1738D" w:rsidRPr="00785FB4" w:rsidRDefault="00E1738D">
            <w:pPr>
              <w:rPr>
                <w:lang w:val="en-GB"/>
              </w:rPr>
            </w:pPr>
            <w:r w:rsidRPr="00785FB4">
              <w:rPr>
                <w:lang w:val="en-GB"/>
              </w:rPr>
              <w:t>1. # of areas Examined by MSG</w:t>
            </w:r>
          </w:p>
        </w:tc>
        <w:tc>
          <w:tcPr>
            <w:tcW w:w="853" w:type="dxa"/>
            <w:hideMark/>
          </w:tcPr>
          <w:p w14:paraId="03C2C02C" w14:textId="77777777" w:rsidR="00E1738D" w:rsidRPr="00785FB4" w:rsidRDefault="00E1738D" w:rsidP="009F019C">
            <w:pPr>
              <w:rPr>
                <w:lang w:val="en-GB"/>
              </w:rPr>
            </w:pPr>
            <w:r w:rsidRPr="00785FB4">
              <w:rPr>
                <w:lang w:val="en-GB"/>
              </w:rPr>
              <w:t>jun.18</w:t>
            </w:r>
          </w:p>
        </w:tc>
        <w:tc>
          <w:tcPr>
            <w:tcW w:w="1557" w:type="dxa"/>
            <w:hideMark/>
          </w:tcPr>
          <w:p w14:paraId="615315CC" w14:textId="77777777" w:rsidR="00E1738D" w:rsidRPr="00785FB4" w:rsidRDefault="00E1738D">
            <w:pPr>
              <w:rPr>
                <w:lang w:val="en-GB"/>
              </w:rPr>
            </w:pPr>
            <w:r w:rsidRPr="00785FB4">
              <w:rPr>
                <w:lang w:val="en-GB"/>
              </w:rPr>
              <w:t xml:space="preserve">ASM revenue management </w:t>
            </w:r>
          </w:p>
        </w:tc>
        <w:tc>
          <w:tcPr>
            <w:tcW w:w="1559" w:type="dxa"/>
            <w:hideMark/>
          </w:tcPr>
          <w:p w14:paraId="4B782DB1" w14:textId="77777777" w:rsidR="00E1738D" w:rsidRPr="00785FB4" w:rsidRDefault="00E1738D">
            <w:pPr>
              <w:rPr>
                <w:lang w:val="en-GB"/>
              </w:rPr>
            </w:pPr>
            <w:r w:rsidRPr="00785FB4">
              <w:rPr>
                <w:lang w:val="en-GB"/>
              </w:rPr>
              <w:t>illegal and informal mining</w:t>
            </w:r>
          </w:p>
        </w:tc>
        <w:tc>
          <w:tcPr>
            <w:tcW w:w="1134" w:type="dxa"/>
            <w:hideMark/>
          </w:tcPr>
          <w:p w14:paraId="5C7DBF6F" w14:textId="7982092D" w:rsidR="00E1738D" w:rsidRPr="00785FB4" w:rsidRDefault="00DB56BA">
            <w:pPr>
              <w:rPr>
                <w:lang w:val="en-GB"/>
              </w:rPr>
            </w:pPr>
            <w:r w:rsidRPr="00785FB4">
              <w:rPr>
                <w:lang w:val="en-GB"/>
              </w:rPr>
              <w:t>MOMP</w:t>
            </w:r>
          </w:p>
        </w:tc>
      </w:tr>
      <w:tr w:rsidR="00E1738D" w:rsidRPr="00785FB4" w14:paraId="66D72106" w14:textId="77777777" w:rsidTr="00B92418">
        <w:trPr>
          <w:trHeight w:val="1572"/>
        </w:trPr>
        <w:tc>
          <w:tcPr>
            <w:tcW w:w="1702" w:type="dxa"/>
            <w:vMerge w:val="restart"/>
            <w:hideMark/>
          </w:tcPr>
          <w:p w14:paraId="3AFC4A56" w14:textId="77777777" w:rsidR="00E1738D" w:rsidRPr="00785FB4" w:rsidRDefault="00E1738D" w:rsidP="009F019C">
            <w:pPr>
              <w:rPr>
                <w:b/>
                <w:bCs/>
                <w:lang w:val="en-GB"/>
              </w:rPr>
            </w:pPr>
            <w:r w:rsidRPr="00785FB4">
              <w:rPr>
                <w:b/>
                <w:bCs/>
                <w:lang w:val="en-GB"/>
              </w:rPr>
              <w:t>FLOWS TO SUB NATIONAL GOVERNMENT</w:t>
            </w:r>
          </w:p>
        </w:tc>
        <w:tc>
          <w:tcPr>
            <w:tcW w:w="3830" w:type="dxa"/>
            <w:hideMark/>
          </w:tcPr>
          <w:p w14:paraId="7BBC9C15" w14:textId="77777777" w:rsidR="00E1738D" w:rsidRPr="00785FB4" w:rsidRDefault="00E1738D">
            <w:pPr>
              <w:rPr>
                <w:lang w:val="en-GB"/>
              </w:rPr>
            </w:pPr>
            <w:r w:rsidRPr="00785FB4">
              <w:rPr>
                <w:lang w:val="en-GB"/>
              </w:rPr>
              <w:t xml:space="preserve">The report on municipalities gives basic information on revenues collected by sub national government bodies. It is recommended that the MSG should commission further work to examine flows from the extractive sector to sub national government, to seek to quantify them and to determine the </w:t>
            </w:r>
            <w:r w:rsidRPr="00785FB4">
              <w:rPr>
                <w:lang w:val="en-GB"/>
              </w:rPr>
              <w:lastRenderedPageBreak/>
              <w:t>extent to which these are material.</w:t>
            </w:r>
          </w:p>
        </w:tc>
        <w:tc>
          <w:tcPr>
            <w:tcW w:w="2549" w:type="dxa"/>
            <w:hideMark/>
          </w:tcPr>
          <w:p w14:paraId="0DBCBF7A" w14:textId="77777777" w:rsidR="00E1738D" w:rsidRPr="00785FB4" w:rsidRDefault="00E1738D">
            <w:pPr>
              <w:rPr>
                <w:lang w:val="en-GB"/>
              </w:rPr>
            </w:pPr>
            <w:r w:rsidRPr="00785FB4">
              <w:rPr>
                <w:lang w:val="en-GB"/>
              </w:rPr>
              <w:lastRenderedPageBreak/>
              <w:t xml:space="preserve">MSG to commission further work to examine flows from the extractive sector to sub national government, to seek to quantify them and to determine the extent to </w:t>
            </w:r>
            <w:r w:rsidRPr="00785FB4">
              <w:rPr>
                <w:lang w:val="en-GB"/>
              </w:rPr>
              <w:lastRenderedPageBreak/>
              <w:t>which these are material.</w:t>
            </w:r>
          </w:p>
        </w:tc>
        <w:tc>
          <w:tcPr>
            <w:tcW w:w="1417" w:type="dxa"/>
            <w:hideMark/>
          </w:tcPr>
          <w:p w14:paraId="1D0A69E3" w14:textId="77777777" w:rsidR="00E1738D" w:rsidRPr="00785FB4" w:rsidRDefault="00E1738D">
            <w:pPr>
              <w:rPr>
                <w:lang w:val="en-GB"/>
              </w:rPr>
            </w:pPr>
            <w:r w:rsidRPr="00785FB4">
              <w:rPr>
                <w:lang w:val="en-GB"/>
              </w:rPr>
              <w:lastRenderedPageBreak/>
              <w:t>MSG</w:t>
            </w:r>
          </w:p>
        </w:tc>
        <w:tc>
          <w:tcPr>
            <w:tcW w:w="1418" w:type="dxa"/>
            <w:hideMark/>
          </w:tcPr>
          <w:p w14:paraId="338CF6A4" w14:textId="77777777" w:rsidR="00E1738D" w:rsidRPr="00785FB4" w:rsidRDefault="00E1738D">
            <w:pPr>
              <w:rPr>
                <w:lang w:val="en-GB"/>
              </w:rPr>
            </w:pPr>
            <w:r w:rsidRPr="00785FB4">
              <w:rPr>
                <w:lang w:val="en-GB"/>
              </w:rPr>
              <w:t>1. Work Commissioned by MSG and AEITI</w:t>
            </w:r>
          </w:p>
        </w:tc>
        <w:tc>
          <w:tcPr>
            <w:tcW w:w="853" w:type="dxa"/>
            <w:hideMark/>
          </w:tcPr>
          <w:p w14:paraId="41DECEDD" w14:textId="77777777" w:rsidR="00E1738D" w:rsidRPr="00785FB4" w:rsidRDefault="00E1738D" w:rsidP="009F019C">
            <w:pPr>
              <w:rPr>
                <w:lang w:val="en-GB"/>
              </w:rPr>
            </w:pPr>
            <w:r w:rsidRPr="00785FB4">
              <w:rPr>
                <w:lang w:val="en-GB"/>
              </w:rPr>
              <w:t>jun.18</w:t>
            </w:r>
          </w:p>
        </w:tc>
        <w:tc>
          <w:tcPr>
            <w:tcW w:w="1557" w:type="dxa"/>
            <w:hideMark/>
          </w:tcPr>
          <w:p w14:paraId="1BB2D399" w14:textId="77777777" w:rsidR="00E1738D" w:rsidRPr="00785FB4" w:rsidRDefault="00E1738D">
            <w:pPr>
              <w:rPr>
                <w:lang w:val="en-GB"/>
              </w:rPr>
            </w:pPr>
            <w:r w:rsidRPr="00785FB4">
              <w:rPr>
                <w:lang w:val="en-GB"/>
              </w:rPr>
              <w:t xml:space="preserve">Identify payments to sub national governement </w:t>
            </w:r>
          </w:p>
        </w:tc>
        <w:tc>
          <w:tcPr>
            <w:tcW w:w="1559" w:type="dxa"/>
            <w:hideMark/>
          </w:tcPr>
          <w:p w14:paraId="366C49DB" w14:textId="77777777" w:rsidR="00E1738D" w:rsidRPr="00785FB4" w:rsidRDefault="00E1738D">
            <w:pPr>
              <w:rPr>
                <w:lang w:val="en-GB"/>
              </w:rPr>
            </w:pPr>
            <w:r w:rsidRPr="00785FB4">
              <w:rPr>
                <w:lang w:val="en-GB"/>
              </w:rPr>
              <w:t> </w:t>
            </w:r>
          </w:p>
        </w:tc>
        <w:tc>
          <w:tcPr>
            <w:tcW w:w="1134" w:type="dxa"/>
            <w:hideMark/>
          </w:tcPr>
          <w:p w14:paraId="735A3604" w14:textId="77777777" w:rsidR="00E1738D" w:rsidRPr="00785FB4" w:rsidRDefault="00E1738D">
            <w:pPr>
              <w:rPr>
                <w:lang w:val="en-GB"/>
              </w:rPr>
            </w:pPr>
            <w:r w:rsidRPr="00785FB4">
              <w:rPr>
                <w:lang w:val="en-GB"/>
              </w:rPr>
              <w:t>GIZ, WB</w:t>
            </w:r>
          </w:p>
        </w:tc>
      </w:tr>
      <w:tr w:rsidR="00E1738D" w:rsidRPr="00785FB4" w14:paraId="2230D1C5" w14:textId="77777777" w:rsidTr="00B92418">
        <w:trPr>
          <w:trHeight w:val="649"/>
        </w:trPr>
        <w:tc>
          <w:tcPr>
            <w:tcW w:w="1702" w:type="dxa"/>
            <w:vMerge/>
            <w:hideMark/>
          </w:tcPr>
          <w:p w14:paraId="30303CAC" w14:textId="77777777" w:rsidR="00E1738D" w:rsidRPr="00785FB4" w:rsidRDefault="00E1738D">
            <w:pPr>
              <w:rPr>
                <w:b/>
                <w:lang w:val="en-GB"/>
              </w:rPr>
            </w:pPr>
          </w:p>
        </w:tc>
        <w:tc>
          <w:tcPr>
            <w:tcW w:w="3830" w:type="dxa"/>
            <w:vMerge w:val="restart"/>
            <w:hideMark/>
          </w:tcPr>
          <w:p w14:paraId="45945E89" w14:textId="0CA7050D" w:rsidR="00E1738D" w:rsidRPr="00785FB4" w:rsidRDefault="00E1738D">
            <w:pPr>
              <w:rPr>
                <w:lang w:val="en-GB"/>
              </w:rPr>
            </w:pPr>
            <w:r w:rsidRPr="00785FB4">
              <w:rPr>
                <w:lang w:val="en-GB"/>
              </w:rPr>
              <w:t xml:space="preserve">The figures reported by </w:t>
            </w:r>
            <w:r w:rsidR="00DB56BA" w:rsidRPr="00785FB4">
              <w:rPr>
                <w:lang w:val="en-GB"/>
              </w:rPr>
              <w:t>MOMP</w:t>
            </w:r>
            <w:r w:rsidRPr="00785FB4">
              <w:rPr>
                <w:lang w:val="en-GB"/>
              </w:rPr>
              <w:t xml:space="preserve"> and companies in respect of 1391 (Mar-Dec 2012) and 1392 (2013) contained a number of differences. Information on production is important both as an indicator of economic activity and also because it forms the basis for the calculation of royalty; inaccurate or unreliable information could lead to government revenue loss. It is recommended that the MSG should investigate these differences and identify any systematic weaknesses.</w:t>
            </w:r>
          </w:p>
        </w:tc>
        <w:tc>
          <w:tcPr>
            <w:tcW w:w="2549" w:type="dxa"/>
            <w:vMerge w:val="restart"/>
            <w:hideMark/>
          </w:tcPr>
          <w:p w14:paraId="67FB959E" w14:textId="7E798761" w:rsidR="00E1738D" w:rsidRPr="00785FB4" w:rsidRDefault="00E1738D">
            <w:pPr>
              <w:rPr>
                <w:lang w:val="en-GB"/>
              </w:rPr>
            </w:pPr>
            <w:r w:rsidRPr="00785FB4">
              <w:rPr>
                <w:lang w:val="en-GB"/>
              </w:rPr>
              <w:t xml:space="preserve">MSG to investigate differences in figures reported by </w:t>
            </w:r>
            <w:r w:rsidR="00DB56BA" w:rsidRPr="00785FB4">
              <w:rPr>
                <w:lang w:val="en-GB"/>
              </w:rPr>
              <w:t>MOMP</w:t>
            </w:r>
            <w:r w:rsidRPr="00785FB4">
              <w:rPr>
                <w:lang w:val="en-GB"/>
              </w:rPr>
              <w:t xml:space="preserve"> and companies in respect of 1391 (Mar-Dec 2012) and 1392 (2013)</w:t>
            </w:r>
          </w:p>
        </w:tc>
        <w:tc>
          <w:tcPr>
            <w:tcW w:w="1417" w:type="dxa"/>
            <w:vMerge w:val="restart"/>
            <w:hideMark/>
          </w:tcPr>
          <w:p w14:paraId="39A7C529" w14:textId="77777777" w:rsidR="00E1738D" w:rsidRPr="00785FB4" w:rsidRDefault="00E1738D" w:rsidP="009F019C">
            <w:pPr>
              <w:rPr>
                <w:lang w:val="en-GB"/>
              </w:rPr>
            </w:pPr>
            <w:r w:rsidRPr="00785FB4">
              <w:rPr>
                <w:lang w:val="en-GB"/>
              </w:rPr>
              <w:t>MSG and AEITI</w:t>
            </w:r>
          </w:p>
        </w:tc>
        <w:tc>
          <w:tcPr>
            <w:tcW w:w="1418" w:type="dxa"/>
            <w:hideMark/>
          </w:tcPr>
          <w:p w14:paraId="74438BE9" w14:textId="77777777" w:rsidR="00E1738D" w:rsidRPr="00785FB4" w:rsidRDefault="00E1738D" w:rsidP="009F019C">
            <w:pPr>
              <w:rPr>
                <w:lang w:val="en-GB"/>
              </w:rPr>
            </w:pPr>
            <w:r w:rsidRPr="00785FB4">
              <w:rPr>
                <w:lang w:val="en-GB"/>
              </w:rPr>
              <w:t> </w:t>
            </w:r>
          </w:p>
        </w:tc>
        <w:tc>
          <w:tcPr>
            <w:tcW w:w="853" w:type="dxa"/>
            <w:vMerge w:val="restart"/>
            <w:hideMark/>
          </w:tcPr>
          <w:p w14:paraId="5E5B5790" w14:textId="77777777" w:rsidR="00E1738D" w:rsidRPr="00785FB4" w:rsidRDefault="00E1738D" w:rsidP="009F019C">
            <w:pPr>
              <w:rPr>
                <w:lang w:val="en-GB"/>
              </w:rPr>
            </w:pPr>
            <w:r w:rsidRPr="00785FB4">
              <w:rPr>
                <w:lang w:val="en-GB"/>
              </w:rPr>
              <w:t>End of 2018</w:t>
            </w:r>
          </w:p>
        </w:tc>
        <w:tc>
          <w:tcPr>
            <w:tcW w:w="1557" w:type="dxa"/>
            <w:vMerge w:val="restart"/>
            <w:hideMark/>
          </w:tcPr>
          <w:p w14:paraId="713B1B22" w14:textId="77777777" w:rsidR="00E1738D" w:rsidRPr="00785FB4" w:rsidRDefault="00E1738D" w:rsidP="009F019C">
            <w:pPr>
              <w:rPr>
                <w:lang w:val="en-GB"/>
              </w:rPr>
            </w:pPr>
            <w:r w:rsidRPr="00785FB4">
              <w:rPr>
                <w:lang w:val="en-GB"/>
              </w:rPr>
              <w:t xml:space="preserve">The resolved descripencies report will be published </w:t>
            </w:r>
          </w:p>
        </w:tc>
        <w:tc>
          <w:tcPr>
            <w:tcW w:w="1559" w:type="dxa"/>
            <w:vMerge w:val="restart"/>
            <w:hideMark/>
          </w:tcPr>
          <w:p w14:paraId="038CCFCE" w14:textId="77777777" w:rsidR="00E1738D" w:rsidRPr="00785FB4" w:rsidRDefault="00E1738D" w:rsidP="009F019C">
            <w:pPr>
              <w:rPr>
                <w:lang w:val="en-GB"/>
              </w:rPr>
            </w:pPr>
            <w:r w:rsidRPr="00785FB4">
              <w:rPr>
                <w:lang w:val="en-GB"/>
              </w:rPr>
              <w:t xml:space="preserve">complexity of process </w:t>
            </w:r>
          </w:p>
        </w:tc>
        <w:tc>
          <w:tcPr>
            <w:tcW w:w="1134" w:type="dxa"/>
            <w:vMerge w:val="restart"/>
            <w:hideMark/>
          </w:tcPr>
          <w:p w14:paraId="4C0CCD67" w14:textId="77777777" w:rsidR="00E1738D" w:rsidRPr="00785FB4" w:rsidRDefault="00E1738D" w:rsidP="009F019C">
            <w:pPr>
              <w:rPr>
                <w:lang w:val="en-GB"/>
              </w:rPr>
            </w:pPr>
            <w:r w:rsidRPr="00785FB4">
              <w:rPr>
                <w:lang w:val="en-GB"/>
              </w:rPr>
              <w:t>WB</w:t>
            </w:r>
          </w:p>
        </w:tc>
      </w:tr>
      <w:tr w:rsidR="00E1738D" w:rsidRPr="00785FB4" w14:paraId="6E03ADDF" w14:textId="77777777" w:rsidTr="00B92418">
        <w:trPr>
          <w:trHeight w:val="1632"/>
        </w:trPr>
        <w:tc>
          <w:tcPr>
            <w:tcW w:w="1702" w:type="dxa"/>
            <w:vMerge/>
            <w:hideMark/>
          </w:tcPr>
          <w:p w14:paraId="11B56C11" w14:textId="77777777" w:rsidR="00E1738D" w:rsidRPr="00785FB4" w:rsidRDefault="00E1738D">
            <w:pPr>
              <w:rPr>
                <w:b/>
                <w:lang w:val="en-GB"/>
              </w:rPr>
            </w:pPr>
          </w:p>
        </w:tc>
        <w:tc>
          <w:tcPr>
            <w:tcW w:w="3830" w:type="dxa"/>
            <w:vMerge/>
            <w:hideMark/>
          </w:tcPr>
          <w:p w14:paraId="77FF70DC" w14:textId="77777777" w:rsidR="00E1738D" w:rsidRPr="00785FB4" w:rsidRDefault="00E1738D">
            <w:pPr>
              <w:rPr>
                <w:lang w:val="en-GB"/>
              </w:rPr>
            </w:pPr>
          </w:p>
        </w:tc>
        <w:tc>
          <w:tcPr>
            <w:tcW w:w="2549" w:type="dxa"/>
            <w:vMerge/>
            <w:hideMark/>
          </w:tcPr>
          <w:p w14:paraId="1D9999F7" w14:textId="77777777" w:rsidR="00E1738D" w:rsidRPr="00785FB4" w:rsidRDefault="00E1738D">
            <w:pPr>
              <w:rPr>
                <w:lang w:val="en-GB"/>
              </w:rPr>
            </w:pPr>
          </w:p>
        </w:tc>
        <w:tc>
          <w:tcPr>
            <w:tcW w:w="1417" w:type="dxa"/>
            <w:vMerge/>
            <w:hideMark/>
          </w:tcPr>
          <w:p w14:paraId="28B45DE4" w14:textId="77777777" w:rsidR="00E1738D" w:rsidRPr="00785FB4" w:rsidRDefault="00E1738D">
            <w:pPr>
              <w:rPr>
                <w:lang w:val="en-GB"/>
              </w:rPr>
            </w:pPr>
          </w:p>
        </w:tc>
        <w:tc>
          <w:tcPr>
            <w:tcW w:w="1418" w:type="dxa"/>
            <w:hideMark/>
          </w:tcPr>
          <w:p w14:paraId="2A82C068" w14:textId="77777777" w:rsidR="00E1738D" w:rsidRPr="00785FB4" w:rsidRDefault="00E1738D" w:rsidP="009F019C">
            <w:pPr>
              <w:rPr>
                <w:lang w:val="en-GB"/>
              </w:rPr>
            </w:pPr>
            <w:r w:rsidRPr="00785FB4">
              <w:rPr>
                <w:lang w:val="en-GB"/>
              </w:rPr>
              <w:t xml:space="preserve">1. resolving descripency report </w:t>
            </w:r>
          </w:p>
        </w:tc>
        <w:tc>
          <w:tcPr>
            <w:tcW w:w="853" w:type="dxa"/>
            <w:vMerge/>
            <w:hideMark/>
          </w:tcPr>
          <w:p w14:paraId="751C21AE" w14:textId="77777777" w:rsidR="00E1738D" w:rsidRPr="00785FB4" w:rsidRDefault="00E1738D">
            <w:pPr>
              <w:rPr>
                <w:lang w:val="en-GB"/>
              </w:rPr>
            </w:pPr>
          </w:p>
        </w:tc>
        <w:tc>
          <w:tcPr>
            <w:tcW w:w="1557" w:type="dxa"/>
            <w:vMerge/>
            <w:hideMark/>
          </w:tcPr>
          <w:p w14:paraId="5345107D" w14:textId="77777777" w:rsidR="00E1738D" w:rsidRPr="00785FB4" w:rsidRDefault="00E1738D">
            <w:pPr>
              <w:rPr>
                <w:lang w:val="en-GB"/>
              </w:rPr>
            </w:pPr>
          </w:p>
        </w:tc>
        <w:tc>
          <w:tcPr>
            <w:tcW w:w="1559" w:type="dxa"/>
            <w:vMerge/>
            <w:hideMark/>
          </w:tcPr>
          <w:p w14:paraId="1B96640E" w14:textId="77777777" w:rsidR="00E1738D" w:rsidRPr="00785FB4" w:rsidRDefault="00E1738D">
            <w:pPr>
              <w:rPr>
                <w:lang w:val="en-GB"/>
              </w:rPr>
            </w:pPr>
          </w:p>
        </w:tc>
        <w:tc>
          <w:tcPr>
            <w:tcW w:w="1134" w:type="dxa"/>
            <w:vMerge/>
            <w:hideMark/>
          </w:tcPr>
          <w:p w14:paraId="73891BFD" w14:textId="77777777" w:rsidR="00E1738D" w:rsidRPr="00785FB4" w:rsidRDefault="00E1738D">
            <w:pPr>
              <w:rPr>
                <w:lang w:val="en-GB"/>
              </w:rPr>
            </w:pPr>
          </w:p>
        </w:tc>
      </w:tr>
      <w:tr w:rsidR="00E1738D" w:rsidRPr="00785FB4" w14:paraId="1A0863BC" w14:textId="77777777" w:rsidTr="00B92418">
        <w:trPr>
          <w:trHeight w:val="2330"/>
        </w:trPr>
        <w:tc>
          <w:tcPr>
            <w:tcW w:w="1702" w:type="dxa"/>
            <w:hideMark/>
          </w:tcPr>
          <w:p w14:paraId="06CF21FE" w14:textId="174B9545" w:rsidR="00E1738D" w:rsidRPr="00785FB4" w:rsidRDefault="00E1738D">
            <w:pPr>
              <w:rPr>
                <w:b/>
                <w:bCs/>
                <w:lang w:val="en-GB"/>
              </w:rPr>
            </w:pPr>
            <w:r w:rsidRPr="00785FB4">
              <w:rPr>
                <w:b/>
                <w:bCs/>
                <w:lang w:val="en-GB"/>
              </w:rPr>
              <w:t xml:space="preserve">COMPANIES OMITTED FROM THE </w:t>
            </w:r>
            <w:r w:rsidR="00DB56BA" w:rsidRPr="00785FB4">
              <w:rPr>
                <w:b/>
                <w:bCs/>
                <w:lang w:val="en-GB"/>
              </w:rPr>
              <w:t>MOMP</w:t>
            </w:r>
            <w:r w:rsidRPr="00785FB4">
              <w:rPr>
                <w:b/>
                <w:bCs/>
                <w:lang w:val="en-GB"/>
              </w:rPr>
              <w:t xml:space="preserve"> LIST OF REPORTING COMPANIES</w:t>
            </w:r>
          </w:p>
        </w:tc>
        <w:tc>
          <w:tcPr>
            <w:tcW w:w="3830" w:type="dxa"/>
            <w:hideMark/>
          </w:tcPr>
          <w:p w14:paraId="5357CC83" w14:textId="49AA2373" w:rsidR="00E1738D" w:rsidRPr="00785FB4" w:rsidRDefault="00E1738D">
            <w:pPr>
              <w:rPr>
                <w:lang w:val="en-GB"/>
              </w:rPr>
            </w:pPr>
            <w:r w:rsidRPr="00785FB4">
              <w:rPr>
                <w:lang w:val="en-GB"/>
              </w:rPr>
              <w:t xml:space="preserve">The AEITI MSG should follow up why Ghazanfar Investments Limited was incorrectly omitted from the </w:t>
            </w:r>
            <w:r w:rsidR="00DB56BA" w:rsidRPr="00785FB4">
              <w:rPr>
                <w:lang w:val="en-GB"/>
              </w:rPr>
              <w:t>MOMP</w:t>
            </w:r>
            <w:r w:rsidRPr="00785FB4">
              <w:rPr>
                <w:lang w:val="en-GB"/>
              </w:rPr>
              <w:t xml:space="preserve"> list (section 2.4.2.1.2 refers).</w:t>
            </w:r>
          </w:p>
        </w:tc>
        <w:tc>
          <w:tcPr>
            <w:tcW w:w="2549" w:type="dxa"/>
            <w:hideMark/>
          </w:tcPr>
          <w:p w14:paraId="6A4DA31E" w14:textId="1F1ED323" w:rsidR="00E1738D" w:rsidRPr="00785FB4" w:rsidRDefault="00E1738D">
            <w:pPr>
              <w:rPr>
                <w:lang w:val="en-GB"/>
              </w:rPr>
            </w:pPr>
            <w:r w:rsidRPr="00785FB4">
              <w:rPr>
                <w:lang w:val="en-GB"/>
              </w:rPr>
              <w:t xml:space="preserve">MSG to follow up why Ghazanfar Investments Limited was incorrectly omitted from the </w:t>
            </w:r>
            <w:r w:rsidR="00DB56BA" w:rsidRPr="00785FB4">
              <w:rPr>
                <w:lang w:val="en-GB"/>
              </w:rPr>
              <w:t>MOMP</w:t>
            </w:r>
            <w:r w:rsidRPr="00785FB4">
              <w:rPr>
                <w:lang w:val="en-GB"/>
              </w:rPr>
              <w:t xml:space="preserve"> list</w:t>
            </w:r>
          </w:p>
        </w:tc>
        <w:tc>
          <w:tcPr>
            <w:tcW w:w="1417" w:type="dxa"/>
            <w:hideMark/>
          </w:tcPr>
          <w:p w14:paraId="3F779475" w14:textId="77777777" w:rsidR="00E1738D" w:rsidRPr="00785FB4" w:rsidRDefault="00E1738D">
            <w:pPr>
              <w:rPr>
                <w:lang w:val="en-GB"/>
              </w:rPr>
            </w:pPr>
            <w:r w:rsidRPr="00785FB4">
              <w:rPr>
                <w:lang w:val="en-GB"/>
              </w:rPr>
              <w:t>MSG</w:t>
            </w:r>
          </w:p>
        </w:tc>
        <w:tc>
          <w:tcPr>
            <w:tcW w:w="1418" w:type="dxa"/>
            <w:hideMark/>
          </w:tcPr>
          <w:p w14:paraId="69872F2F" w14:textId="77777777" w:rsidR="00E1738D" w:rsidRPr="00785FB4" w:rsidRDefault="00E1738D">
            <w:pPr>
              <w:rPr>
                <w:lang w:val="en-GB"/>
              </w:rPr>
            </w:pPr>
            <w:r w:rsidRPr="00785FB4">
              <w:rPr>
                <w:lang w:val="en-GB"/>
              </w:rPr>
              <w:t>1.  # of companies added to the list by XXXX</w:t>
            </w:r>
          </w:p>
        </w:tc>
        <w:tc>
          <w:tcPr>
            <w:tcW w:w="853" w:type="dxa"/>
            <w:hideMark/>
          </w:tcPr>
          <w:p w14:paraId="022A0062" w14:textId="77777777" w:rsidR="00E1738D" w:rsidRPr="00785FB4" w:rsidRDefault="00E1738D" w:rsidP="009F019C">
            <w:pPr>
              <w:rPr>
                <w:lang w:val="en-GB"/>
              </w:rPr>
            </w:pPr>
            <w:r w:rsidRPr="00785FB4">
              <w:rPr>
                <w:lang w:val="en-GB"/>
              </w:rPr>
              <w:t>End of 2018</w:t>
            </w:r>
          </w:p>
        </w:tc>
        <w:tc>
          <w:tcPr>
            <w:tcW w:w="1557" w:type="dxa"/>
            <w:hideMark/>
          </w:tcPr>
          <w:p w14:paraId="205D6F11" w14:textId="77777777" w:rsidR="00E1738D" w:rsidRPr="00785FB4" w:rsidRDefault="00E1738D">
            <w:pPr>
              <w:rPr>
                <w:lang w:val="en-GB"/>
              </w:rPr>
            </w:pPr>
            <w:r w:rsidRPr="00785FB4">
              <w:rPr>
                <w:lang w:val="en-GB"/>
              </w:rPr>
              <w:t>The MSG will identify the reason</w:t>
            </w:r>
          </w:p>
        </w:tc>
        <w:tc>
          <w:tcPr>
            <w:tcW w:w="1559" w:type="dxa"/>
            <w:hideMark/>
          </w:tcPr>
          <w:p w14:paraId="3B7AB340" w14:textId="77777777" w:rsidR="00E1738D" w:rsidRPr="00785FB4" w:rsidRDefault="00E1738D">
            <w:pPr>
              <w:rPr>
                <w:lang w:val="en-GB"/>
              </w:rPr>
            </w:pPr>
            <w:r w:rsidRPr="00785FB4">
              <w:rPr>
                <w:lang w:val="en-GB"/>
              </w:rPr>
              <w:t> </w:t>
            </w:r>
          </w:p>
        </w:tc>
        <w:tc>
          <w:tcPr>
            <w:tcW w:w="1134" w:type="dxa"/>
            <w:hideMark/>
          </w:tcPr>
          <w:p w14:paraId="6D3B6115" w14:textId="77777777" w:rsidR="00E1738D" w:rsidRPr="00785FB4" w:rsidRDefault="00E1738D">
            <w:pPr>
              <w:rPr>
                <w:lang w:val="en-GB"/>
              </w:rPr>
            </w:pPr>
            <w:r w:rsidRPr="00785FB4">
              <w:rPr>
                <w:lang w:val="en-GB"/>
              </w:rPr>
              <w:t>AEITI / MSG</w:t>
            </w:r>
          </w:p>
        </w:tc>
      </w:tr>
      <w:tr w:rsidR="00E1738D" w:rsidRPr="00785FB4" w14:paraId="738CA3E4" w14:textId="77777777" w:rsidTr="00B92418">
        <w:trPr>
          <w:trHeight w:val="3134"/>
        </w:trPr>
        <w:tc>
          <w:tcPr>
            <w:tcW w:w="1702" w:type="dxa"/>
            <w:hideMark/>
          </w:tcPr>
          <w:p w14:paraId="089C3DAD" w14:textId="77777777" w:rsidR="00E1738D" w:rsidRPr="00785FB4" w:rsidRDefault="00E1738D">
            <w:pPr>
              <w:rPr>
                <w:b/>
                <w:lang w:val="en-GB"/>
              </w:rPr>
            </w:pPr>
            <w:r w:rsidRPr="00785FB4">
              <w:rPr>
                <w:b/>
                <w:bCs/>
                <w:lang w:val="en-GB"/>
              </w:rPr>
              <w:lastRenderedPageBreak/>
              <w:t>NON-REPORTING COMPANIES</w:t>
            </w:r>
          </w:p>
        </w:tc>
        <w:tc>
          <w:tcPr>
            <w:tcW w:w="3830" w:type="dxa"/>
            <w:hideMark/>
          </w:tcPr>
          <w:p w14:paraId="6CF6BE15" w14:textId="77777777" w:rsidR="00E1738D" w:rsidRPr="00785FB4" w:rsidRDefault="00E1738D">
            <w:pPr>
              <w:rPr>
                <w:lang w:val="en-GB"/>
              </w:rPr>
            </w:pPr>
            <w:r w:rsidRPr="00785FB4">
              <w:rPr>
                <w:lang w:val="en-GB"/>
              </w:rPr>
              <w:t>Companies which didn't report in the current reconciliation report are listed in section 2.6.2. We recommend that MSG with support from Government should take action to obtain information from these companies and should emhasize the need for future compliance.</w:t>
            </w:r>
          </w:p>
        </w:tc>
        <w:tc>
          <w:tcPr>
            <w:tcW w:w="2549" w:type="dxa"/>
            <w:hideMark/>
          </w:tcPr>
          <w:p w14:paraId="50E71A39" w14:textId="7C96AFD1" w:rsidR="00E1738D" w:rsidRPr="00785FB4" w:rsidRDefault="00E1738D">
            <w:pPr>
              <w:rPr>
                <w:lang w:val="en-GB"/>
              </w:rPr>
            </w:pPr>
            <w:r w:rsidRPr="00785FB4">
              <w:rPr>
                <w:lang w:val="en-GB"/>
              </w:rPr>
              <w:t xml:space="preserve">AEITI to prepare the list of companies which hasn't reported and will share it with </w:t>
            </w:r>
            <w:r w:rsidR="00DB56BA" w:rsidRPr="00785FB4">
              <w:rPr>
                <w:lang w:val="en-GB"/>
              </w:rPr>
              <w:t>MOMP</w:t>
            </w:r>
            <w:r w:rsidRPr="00785FB4">
              <w:rPr>
                <w:lang w:val="en-GB"/>
              </w:rPr>
              <w:t xml:space="preserve"> for further action. </w:t>
            </w:r>
          </w:p>
        </w:tc>
        <w:tc>
          <w:tcPr>
            <w:tcW w:w="1417" w:type="dxa"/>
            <w:hideMark/>
          </w:tcPr>
          <w:p w14:paraId="4CE5DA71" w14:textId="3BE3D76B" w:rsidR="00E1738D" w:rsidRPr="00785FB4" w:rsidRDefault="00E1738D">
            <w:pPr>
              <w:rPr>
                <w:lang w:val="en-GB"/>
              </w:rPr>
            </w:pPr>
            <w:r w:rsidRPr="00785FB4">
              <w:rPr>
                <w:lang w:val="en-GB"/>
              </w:rPr>
              <w:t xml:space="preserve">AEITI and </w:t>
            </w:r>
            <w:r w:rsidR="00DB56BA" w:rsidRPr="00785FB4">
              <w:rPr>
                <w:lang w:val="en-GB"/>
              </w:rPr>
              <w:t>MOMP</w:t>
            </w:r>
          </w:p>
        </w:tc>
        <w:tc>
          <w:tcPr>
            <w:tcW w:w="1418" w:type="dxa"/>
            <w:hideMark/>
          </w:tcPr>
          <w:p w14:paraId="28FA03CF" w14:textId="77777777" w:rsidR="00E1738D" w:rsidRPr="00785FB4" w:rsidRDefault="00E1738D">
            <w:pPr>
              <w:rPr>
                <w:lang w:val="en-GB"/>
              </w:rPr>
            </w:pPr>
            <w:r w:rsidRPr="00785FB4">
              <w:rPr>
                <w:lang w:val="en-GB"/>
              </w:rPr>
              <w:t xml:space="preserve">Reasons of non-reporting is clarified </w:t>
            </w:r>
          </w:p>
        </w:tc>
        <w:tc>
          <w:tcPr>
            <w:tcW w:w="853" w:type="dxa"/>
            <w:hideMark/>
          </w:tcPr>
          <w:p w14:paraId="1A70DF1D" w14:textId="77777777" w:rsidR="00E1738D" w:rsidRPr="00785FB4" w:rsidRDefault="00E1738D" w:rsidP="009F019C">
            <w:pPr>
              <w:rPr>
                <w:lang w:val="en-GB"/>
              </w:rPr>
            </w:pPr>
            <w:r w:rsidRPr="00785FB4">
              <w:rPr>
                <w:lang w:val="en-GB"/>
              </w:rPr>
              <w:t>30.jun.18</w:t>
            </w:r>
          </w:p>
        </w:tc>
        <w:tc>
          <w:tcPr>
            <w:tcW w:w="1557" w:type="dxa"/>
            <w:hideMark/>
          </w:tcPr>
          <w:p w14:paraId="772C16E0" w14:textId="77777777" w:rsidR="00E1738D" w:rsidRPr="00785FB4" w:rsidRDefault="00E1738D">
            <w:pPr>
              <w:rPr>
                <w:lang w:val="en-GB"/>
              </w:rPr>
            </w:pPr>
            <w:r w:rsidRPr="00785FB4">
              <w:rPr>
                <w:lang w:val="en-GB"/>
              </w:rPr>
              <w:t>Companies' complaince with EITI reporting requirement</w:t>
            </w:r>
          </w:p>
        </w:tc>
        <w:tc>
          <w:tcPr>
            <w:tcW w:w="1559" w:type="dxa"/>
            <w:hideMark/>
          </w:tcPr>
          <w:p w14:paraId="71768A2E" w14:textId="77777777" w:rsidR="00E1738D" w:rsidRPr="00785FB4" w:rsidRDefault="00E1738D">
            <w:pPr>
              <w:rPr>
                <w:lang w:val="en-GB"/>
              </w:rPr>
            </w:pPr>
            <w:r w:rsidRPr="00785FB4">
              <w:rPr>
                <w:lang w:val="en-GB"/>
              </w:rPr>
              <w:t>complexity of process, existence of non-reporting companies</w:t>
            </w:r>
          </w:p>
        </w:tc>
        <w:tc>
          <w:tcPr>
            <w:tcW w:w="1134" w:type="dxa"/>
            <w:hideMark/>
          </w:tcPr>
          <w:p w14:paraId="6B9FFBD2" w14:textId="77777777" w:rsidR="00E1738D" w:rsidRPr="00785FB4" w:rsidRDefault="00E1738D">
            <w:pPr>
              <w:rPr>
                <w:lang w:val="en-GB"/>
              </w:rPr>
            </w:pPr>
            <w:r w:rsidRPr="00785FB4">
              <w:rPr>
                <w:lang w:val="en-GB"/>
              </w:rPr>
              <w:t> </w:t>
            </w:r>
          </w:p>
        </w:tc>
      </w:tr>
      <w:tr w:rsidR="00E1738D" w:rsidRPr="00785FB4" w14:paraId="7C424E9C" w14:textId="77777777" w:rsidTr="00B92418">
        <w:trPr>
          <w:trHeight w:val="346"/>
        </w:trPr>
        <w:tc>
          <w:tcPr>
            <w:tcW w:w="1702" w:type="dxa"/>
            <w:hideMark/>
          </w:tcPr>
          <w:p w14:paraId="26BD1A00" w14:textId="77777777" w:rsidR="00E1738D" w:rsidRPr="00785FB4" w:rsidRDefault="00E1738D">
            <w:pPr>
              <w:rPr>
                <w:b/>
                <w:lang w:val="en-GB"/>
              </w:rPr>
            </w:pPr>
            <w:r w:rsidRPr="00785FB4">
              <w:rPr>
                <w:b/>
                <w:bCs/>
                <w:lang w:val="en-GB"/>
              </w:rPr>
              <w:t>PRODUCTION REPORTING</w:t>
            </w:r>
          </w:p>
        </w:tc>
        <w:tc>
          <w:tcPr>
            <w:tcW w:w="3830" w:type="dxa"/>
            <w:hideMark/>
          </w:tcPr>
          <w:p w14:paraId="3F9B312A" w14:textId="2ECBEC54" w:rsidR="00E1738D" w:rsidRPr="00785FB4" w:rsidRDefault="00E1738D">
            <w:pPr>
              <w:rPr>
                <w:lang w:val="en-GB"/>
              </w:rPr>
            </w:pPr>
            <w:r w:rsidRPr="00785FB4">
              <w:rPr>
                <w:lang w:val="en-GB"/>
              </w:rPr>
              <w:t xml:space="preserve">We recommend that </w:t>
            </w:r>
            <w:r w:rsidR="00DB56BA" w:rsidRPr="00785FB4">
              <w:rPr>
                <w:lang w:val="en-GB"/>
              </w:rPr>
              <w:t>MOMP</w:t>
            </w:r>
            <w:r w:rsidRPr="00785FB4">
              <w:rPr>
                <w:lang w:val="en-GB"/>
              </w:rPr>
              <w:t xml:space="preserve"> should improve transparency in this area by publishing production data regularly on timely basis</w:t>
            </w:r>
          </w:p>
        </w:tc>
        <w:tc>
          <w:tcPr>
            <w:tcW w:w="2549" w:type="dxa"/>
            <w:hideMark/>
          </w:tcPr>
          <w:p w14:paraId="3FB9F6D1" w14:textId="60361ECA" w:rsidR="00E1738D" w:rsidRPr="00785FB4" w:rsidRDefault="00DB56BA">
            <w:pPr>
              <w:rPr>
                <w:lang w:val="en-GB"/>
              </w:rPr>
            </w:pPr>
            <w:r w:rsidRPr="00785FB4">
              <w:rPr>
                <w:lang w:val="en-GB"/>
              </w:rPr>
              <w:t>MOMP</w:t>
            </w:r>
            <w:r w:rsidR="00E1738D" w:rsidRPr="00785FB4">
              <w:rPr>
                <w:lang w:val="en-GB"/>
              </w:rPr>
              <w:t xml:space="preserve"> to provide production data on transparency portal</w:t>
            </w:r>
          </w:p>
        </w:tc>
        <w:tc>
          <w:tcPr>
            <w:tcW w:w="1417" w:type="dxa"/>
            <w:hideMark/>
          </w:tcPr>
          <w:p w14:paraId="5C3E929B" w14:textId="17482824" w:rsidR="00E1738D" w:rsidRPr="00785FB4" w:rsidRDefault="00DB56BA">
            <w:pPr>
              <w:rPr>
                <w:lang w:val="en-GB"/>
              </w:rPr>
            </w:pPr>
            <w:r w:rsidRPr="00785FB4">
              <w:rPr>
                <w:lang w:val="en-GB"/>
              </w:rPr>
              <w:t>MOMP</w:t>
            </w:r>
          </w:p>
        </w:tc>
        <w:tc>
          <w:tcPr>
            <w:tcW w:w="1418" w:type="dxa"/>
            <w:hideMark/>
          </w:tcPr>
          <w:p w14:paraId="678B269D" w14:textId="77777777" w:rsidR="00E1738D" w:rsidRPr="00785FB4" w:rsidRDefault="00E1738D">
            <w:pPr>
              <w:rPr>
                <w:lang w:val="en-GB"/>
              </w:rPr>
            </w:pPr>
            <w:r w:rsidRPr="00785FB4">
              <w:rPr>
                <w:lang w:val="en-GB"/>
              </w:rPr>
              <w:t>Production data is publicly available</w:t>
            </w:r>
          </w:p>
        </w:tc>
        <w:tc>
          <w:tcPr>
            <w:tcW w:w="853" w:type="dxa"/>
            <w:hideMark/>
          </w:tcPr>
          <w:p w14:paraId="60553ADC" w14:textId="77777777" w:rsidR="00E1738D" w:rsidRPr="00785FB4" w:rsidRDefault="00E1738D" w:rsidP="009F019C">
            <w:pPr>
              <w:rPr>
                <w:lang w:val="en-GB"/>
              </w:rPr>
            </w:pPr>
            <w:r w:rsidRPr="00785FB4">
              <w:rPr>
                <w:lang w:val="en-GB"/>
              </w:rPr>
              <w:t>30.jun.18</w:t>
            </w:r>
          </w:p>
        </w:tc>
        <w:tc>
          <w:tcPr>
            <w:tcW w:w="1557" w:type="dxa"/>
            <w:hideMark/>
          </w:tcPr>
          <w:p w14:paraId="40C0045B" w14:textId="77777777" w:rsidR="00E1738D" w:rsidRPr="00785FB4" w:rsidRDefault="00E1738D">
            <w:pPr>
              <w:rPr>
                <w:lang w:val="en-GB"/>
              </w:rPr>
            </w:pPr>
            <w:r w:rsidRPr="00785FB4">
              <w:rPr>
                <w:lang w:val="en-GB"/>
              </w:rPr>
              <w:t>Transparency Improvement</w:t>
            </w:r>
          </w:p>
        </w:tc>
        <w:tc>
          <w:tcPr>
            <w:tcW w:w="1559" w:type="dxa"/>
            <w:hideMark/>
          </w:tcPr>
          <w:p w14:paraId="2173E942" w14:textId="77777777" w:rsidR="00E1738D" w:rsidRPr="00785FB4" w:rsidRDefault="00E1738D">
            <w:pPr>
              <w:rPr>
                <w:lang w:val="en-GB"/>
              </w:rPr>
            </w:pPr>
            <w:r w:rsidRPr="00785FB4">
              <w:rPr>
                <w:lang w:val="en-GB"/>
              </w:rPr>
              <w:t>complexity in development of relevant information system</w:t>
            </w:r>
          </w:p>
        </w:tc>
        <w:tc>
          <w:tcPr>
            <w:tcW w:w="1134" w:type="dxa"/>
            <w:hideMark/>
          </w:tcPr>
          <w:p w14:paraId="76C8466A" w14:textId="4638B11D" w:rsidR="00E1738D" w:rsidRPr="00785FB4" w:rsidRDefault="00DB56BA">
            <w:pPr>
              <w:rPr>
                <w:lang w:val="en-GB"/>
              </w:rPr>
            </w:pPr>
            <w:r w:rsidRPr="00785FB4">
              <w:rPr>
                <w:lang w:val="en-GB"/>
              </w:rPr>
              <w:t>MOMP</w:t>
            </w:r>
          </w:p>
        </w:tc>
      </w:tr>
    </w:tbl>
    <w:p w14:paraId="4B3B5CCA" w14:textId="77777777" w:rsidR="009F019C" w:rsidRPr="00785FB4" w:rsidRDefault="009F019C" w:rsidP="009F019C"/>
    <w:p w14:paraId="1D638A20" w14:textId="77777777" w:rsidR="00E1738D" w:rsidRPr="00785FB4" w:rsidRDefault="00E1738D" w:rsidP="00A94167">
      <w:pPr>
        <w:pStyle w:val="Heading2"/>
        <w:sectPr w:rsidR="00E1738D" w:rsidRPr="00785FB4" w:rsidSect="005847BB">
          <w:pgSz w:w="16837" w:h="11905" w:orient="landscape"/>
          <w:pgMar w:top="1134" w:right="1174" w:bottom="1276" w:left="1418" w:header="567" w:footer="0" w:gutter="0"/>
          <w:cols w:space="708"/>
          <w:titlePg/>
          <w:docGrid w:linePitch="326"/>
        </w:sectPr>
      </w:pPr>
    </w:p>
    <w:p w14:paraId="168D0F30" w14:textId="0B066B5B" w:rsidR="00AE51FA" w:rsidRPr="00785FB4" w:rsidRDefault="009F019C" w:rsidP="00A94167">
      <w:pPr>
        <w:pStyle w:val="Heading2"/>
      </w:pPr>
      <w:r w:rsidRPr="00785FB4">
        <w:lastRenderedPageBreak/>
        <w:t>Annex H</w:t>
      </w:r>
      <w:r w:rsidR="00A843C6" w:rsidRPr="00785FB4">
        <w:t xml:space="preserve"> - </w:t>
      </w:r>
      <w:r w:rsidR="00AE51FA" w:rsidRPr="00785FB4">
        <w:t>List of reference documents</w:t>
      </w:r>
      <w:bookmarkEnd w:id="680"/>
      <w:bookmarkEnd w:id="681"/>
      <w:bookmarkEnd w:id="682"/>
      <w:bookmarkEnd w:id="683"/>
      <w:bookmarkEnd w:id="684"/>
      <w:bookmarkEnd w:id="687"/>
      <w:bookmarkEnd w:id="688"/>
      <w:r w:rsidR="00AE51FA" w:rsidRPr="00785FB4">
        <w:t xml:space="preserve"> </w:t>
      </w:r>
    </w:p>
    <w:p w14:paraId="5A4153E6" w14:textId="63BAC558" w:rsidR="00D9665B" w:rsidRPr="00785FB4" w:rsidRDefault="0060718C" w:rsidP="00A94167">
      <w:pPr>
        <w:pStyle w:val="Heading3"/>
      </w:pPr>
      <w:bookmarkStart w:id="689" w:name="_Toc505449740"/>
      <w:r w:rsidRPr="00785FB4">
        <w:t>Workplan</w:t>
      </w:r>
      <w:r w:rsidR="006D6F48" w:rsidRPr="00785FB4">
        <w:t xml:space="preserve">s and </w:t>
      </w:r>
      <w:r w:rsidR="00307272" w:rsidRPr="00785FB4">
        <w:t>Annual activity report</w:t>
      </w:r>
      <w:r w:rsidR="006D6F48" w:rsidRPr="00785FB4">
        <w:t>s:</w:t>
      </w:r>
      <w:bookmarkEnd w:id="689"/>
    </w:p>
    <w:p w14:paraId="72D32EE5" w14:textId="73CF4C8D" w:rsidR="00056A60" w:rsidRPr="00785FB4" w:rsidRDefault="00150AA3" w:rsidP="00857149">
      <w:pPr>
        <w:numPr>
          <w:ilvl w:val="0"/>
          <w:numId w:val="5"/>
        </w:numPr>
        <w:spacing w:before="120"/>
      </w:pPr>
      <w:r w:rsidRPr="00785FB4">
        <w:t xml:space="preserve">Afghanistan EITI (2017), ‘Beneficial ownership roadmap’, accessed on </w:t>
      </w:r>
      <w:hyperlink r:id="rId48" w:history="1">
        <w:r w:rsidRPr="00785FB4">
          <w:rPr>
            <w:rStyle w:val="Hyperlink"/>
            <w:rFonts w:cs="Calibri"/>
          </w:rPr>
          <w:t>http://aeiti.af/en/documents/category/aeiti-docs</w:t>
        </w:r>
      </w:hyperlink>
      <w:r w:rsidRPr="00785FB4">
        <w:t xml:space="preserve">  in January 2018.</w:t>
      </w:r>
    </w:p>
    <w:p w14:paraId="169D0A55" w14:textId="480F5731" w:rsidR="00431601" w:rsidRPr="00785FB4" w:rsidRDefault="00150AA3" w:rsidP="00857149">
      <w:pPr>
        <w:numPr>
          <w:ilvl w:val="0"/>
          <w:numId w:val="5"/>
        </w:numPr>
        <w:spacing w:before="120"/>
      </w:pPr>
      <w:r w:rsidRPr="00785FB4">
        <w:t xml:space="preserve">Afghanistan EITI (December 2016), ‘AEITI 2016 annual activity report’, accessed on </w:t>
      </w:r>
      <w:hyperlink r:id="rId49" w:history="1">
        <w:r w:rsidRPr="00785FB4">
          <w:rPr>
            <w:rStyle w:val="Hyperlink"/>
            <w:rFonts w:cs="Calibri"/>
          </w:rPr>
          <w:t>http://aeiti.af/Content/Media/Documents/AEITIAnnualProgressReport201619220171551887553325325.pdf</w:t>
        </w:r>
      </w:hyperlink>
      <w:r w:rsidRPr="00785FB4">
        <w:t xml:space="preserve"> in January 2018.</w:t>
      </w:r>
    </w:p>
    <w:p w14:paraId="25862AF7" w14:textId="77777777" w:rsidR="006D6F48" w:rsidRPr="00785FB4" w:rsidRDefault="006D6F48" w:rsidP="00A94167">
      <w:pPr>
        <w:pStyle w:val="Heading3"/>
      </w:pPr>
      <w:bookmarkStart w:id="690" w:name="_Toc505449741"/>
      <w:r w:rsidRPr="00785FB4">
        <w:t>EITI Reports, Summaries, Validation Report and Secretariat Review:</w:t>
      </w:r>
      <w:bookmarkEnd w:id="690"/>
    </w:p>
    <w:p w14:paraId="0825C6E9" w14:textId="77777777" w:rsidR="00150AA3" w:rsidRPr="00785FB4" w:rsidRDefault="00150AA3" w:rsidP="00112D9C">
      <w:pPr>
        <w:numPr>
          <w:ilvl w:val="0"/>
          <w:numId w:val="5"/>
        </w:numPr>
        <w:spacing w:before="120"/>
      </w:pPr>
      <w:r w:rsidRPr="00785FB4">
        <w:t xml:space="preserve">Afghanistan EITI Reports on the EITI website on </w:t>
      </w:r>
      <w:hyperlink r:id="rId50" w:history="1">
        <w:r w:rsidRPr="00785FB4">
          <w:rPr>
            <w:rStyle w:val="Hyperlink"/>
          </w:rPr>
          <w:t>https://eiti.org/publishers/afghanistan-eiti</w:t>
        </w:r>
      </w:hyperlink>
      <w:r w:rsidRPr="00785FB4">
        <w:t xml:space="preserve"> and on the AEITI website on </w:t>
      </w:r>
      <w:hyperlink r:id="rId51" w:history="1">
        <w:r w:rsidRPr="00785FB4">
          <w:rPr>
            <w:rStyle w:val="Hyperlink"/>
          </w:rPr>
          <w:t>http://aeiti.af/en/documents/category/reconciliation-reports</w:t>
        </w:r>
      </w:hyperlink>
      <w:r w:rsidRPr="00785FB4">
        <w:t xml:space="preserve"> , accessed in December 2017. </w:t>
      </w:r>
    </w:p>
    <w:p w14:paraId="4290E48C" w14:textId="77777777" w:rsidR="00D97292" w:rsidRPr="00785FB4" w:rsidRDefault="00D97292" w:rsidP="00150AA3">
      <w:pPr>
        <w:numPr>
          <w:ilvl w:val="0"/>
          <w:numId w:val="5"/>
        </w:numPr>
        <w:spacing w:before="120"/>
      </w:pPr>
      <w:r w:rsidRPr="00785FB4">
        <w:t xml:space="preserve">EITI International Secretariat (March 2015), ‘Secretariat review: Afghanistan’, accessed on </w:t>
      </w:r>
      <w:hyperlink r:id="rId52" w:history="1">
        <w:r w:rsidRPr="00785FB4">
          <w:rPr>
            <w:rStyle w:val="Hyperlink"/>
            <w:rFonts w:cs="Calibri"/>
          </w:rPr>
          <w:t>http://aeiti.af/en/documents/93</w:t>
        </w:r>
      </w:hyperlink>
      <w:r w:rsidRPr="00785FB4">
        <w:t xml:space="preserve"> in December 2017.</w:t>
      </w:r>
    </w:p>
    <w:p w14:paraId="4B9C98D0" w14:textId="77777777" w:rsidR="00D97292" w:rsidRPr="00785FB4" w:rsidRDefault="00D97292" w:rsidP="00112D9C">
      <w:pPr>
        <w:numPr>
          <w:ilvl w:val="0"/>
          <w:numId w:val="5"/>
        </w:numPr>
        <w:spacing w:before="120"/>
      </w:pPr>
      <w:r w:rsidRPr="00785FB4">
        <w:t xml:space="preserve">Afghanistan EITI (January 2016), ‘Request for expressions of interest for Inception Report &amp; Fifth (5th ) EITI Reconciliation Report of Afghanistan Extractive Industries Transparency Initiative (AEITI)’, accessed on </w:t>
      </w:r>
      <w:hyperlink r:id="rId53" w:history="1">
        <w:r w:rsidRPr="00785FB4">
          <w:rPr>
            <w:rStyle w:val="Hyperlink"/>
          </w:rPr>
          <w:t>http://aeiti.af/en/tender/request-for-expressions-of-interest</w:t>
        </w:r>
      </w:hyperlink>
      <w:r w:rsidRPr="00785FB4">
        <w:t xml:space="preserve"> in January 2018.</w:t>
      </w:r>
    </w:p>
    <w:p w14:paraId="519F481E" w14:textId="77777777" w:rsidR="00D97292" w:rsidRPr="00785FB4" w:rsidRDefault="00D97292" w:rsidP="00112D9C">
      <w:pPr>
        <w:numPr>
          <w:ilvl w:val="0"/>
          <w:numId w:val="5"/>
        </w:numPr>
        <w:spacing w:before="120"/>
      </w:pPr>
      <w:r w:rsidRPr="00785FB4">
        <w:t xml:space="preserve">Afghanistan EITI (February 2016), ‘Afghanistan Fourth EITI Report 1391 and 1392 (2012 and 2013) - Appendices’, accessed on </w:t>
      </w:r>
      <w:hyperlink r:id="rId54" w:history="1">
        <w:r w:rsidRPr="00785FB4">
          <w:rPr>
            <w:rStyle w:val="Hyperlink"/>
            <w:rFonts w:cs="Calibri"/>
          </w:rPr>
          <w:t>https://eiti.org/sites/default/files/documents/2012-2013_afghanistan_eiti_report_appendices.pdf</w:t>
        </w:r>
      </w:hyperlink>
      <w:r w:rsidRPr="00785FB4">
        <w:t xml:space="preserve"> in December 2017.</w:t>
      </w:r>
    </w:p>
    <w:p w14:paraId="669E7798" w14:textId="77777777" w:rsidR="00D97292" w:rsidRPr="00785FB4" w:rsidRDefault="00D97292" w:rsidP="00112D9C">
      <w:pPr>
        <w:numPr>
          <w:ilvl w:val="0"/>
          <w:numId w:val="5"/>
        </w:numPr>
        <w:spacing w:before="120"/>
      </w:pPr>
      <w:r w:rsidRPr="00785FB4">
        <w:t xml:space="preserve">Afghanistan EITI (February 2016), ‘Afghanistan Fourth EITI Report 1391 and 1392 (2012 and 2013) - Appendices’, accessed on </w:t>
      </w:r>
      <w:hyperlink r:id="rId55" w:history="1">
        <w:r w:rsidRPr="00785FB4">
          <w:rPr>
            <w:rStyle w:val="Hyperlink"/>
          </w:rPr>
          <w:t>https://eiti.org/sites/default/files/documents/2012-2013_afghanistan_eiti_report_appendices.pdf</w:t>
        </w:r>
      </w:hyperlink>
      <w:r w:rsidRPr="00785FB4">
        <w:t xml:space="preserve"> in December 2017.</w:t>
      </w:r>
    </w:p>
    <w:p w14:paraId="685EF41C" w14:textId="77777777" w:rsidR="00D97292" w:rsidRPr="00785FB4" w:rsidRDefault="00D97292" w:rsidP="00112D9C">
      <w:pPr>
        <w:numPr>
          <w:ilvl w:val="0"/>
          <w:numId w:val="5"/>
        </w:numPr>
        <w:spacing w:before="120"/>
      </w:pPr>
      <w:r w:rsidRPr="00785FB4">
        <w:t xml:space="preserve">Afghanistan EITI (December 2016), ‘1391 and 1392 (2012-2013) EITI Inception report and Fourth reconciliation report - appendices’, accessed on </w:t>
      </w:r>
      <w:hyperlink r:id="rId56" w:history="1">
        <w:r w:rsidRPr="00785FB4">
          <w:rPr>
            <w:rStyle w:val="Hyperlink"/>
            <w:rFonts w:cs="Calibri"/>
          </w:rPr>
          <w:t>https://eiti.org/sites/default/files/documents/2012-2013_afghanistan_eiti_report_appendices.pdf</w:t>
        </w:r>
      </w:hyperlink>
      <w:r w:rsidRPr="00785FB4">
        <w:t xml:space="preserve"> in January 2018.</w:t>
      </w:r>
    </w:p>
    <w:p w14:paraId="1DC7B39C" w14:textId="77777777" w:rsidR="00D97292" w:rsidRPr="00785FB4" w:rsidRDefault="00D97292" w:rsidP="00112D9C">
      <w:pPr>
        <w:numPr>
          <w:ilvl w:val="0"/>
          <w:numId w:val="5"/>
        </w:numPr>
        <w:spacing w:before="120"/>
      </w:pPr>
      <w:r w:rsidRPr="00785FB4">
        <w:t>Afghanistan EITI (January 2017), ‘Afghanistan EITI report for 1393 (2014) and 1394 (2015) Scoping Report’, unpublished, provided by the AEITI Secretariat.</w:t>
      </w:r>
    </w:p>
    <w:p w14:paraId="11422E8F" w14:textId="77777777" w:rsidR="00D97292" w:rsidRPr="00785FB4" w:rsidRDefault="00D97292" w:rsidP="00112D9C">
      <w:pPr>
        <w:numPr>
          <w:ilvl w:val="0"/>
          <w:numId w:val="5"/>
        </w:numPr>
        <w:spacing w:before="120"/>
      </w:pPr>
      <w:r w:rsidRPr="00785FB4">
        <w:t xml:space="preserve">Afghanistan EITI (29 April 2017), ‘Afghanistan Fifth EITI Report 1393 and 1394 (2014 and 2015)’, accessed on </w:t>
      </w:r>
      <w:hyperlink r:id="rId57" w:history="1">
        <w:r w:rsidRPr="00785FB4">
          <w:rPr>
            <w:rStyle w:val="Hyperlink"/>
            <w:rFonts w:cs="Calibri"/>
          </w:rPr>
          <w:t>https://eiti.org/sites/default/files/documents/5threconciliationfinalreport_1393-1394_2105201744057225553325325.pdf</w:t>
        </w:r>
      </w:hyperlink>
      <w:r w:rsidRPr="00785FB4">
        <w:t xml:space="preserve"> in December 2017.</w:t>
      </w:r>
    </w:p>
    <w:p w14:paraId="3300D0FB" w14:textId="77777777" w:rsidR="00D97292" w:rsidRPr="00785FB4" w:rsidRDefault="00D97292" w:rsidP="00112D9C">
      <w:pPr>
        <w:numPr>
          <w:ilvl w:val="0"/>
          <w:numId w:val="5"/>
        </w:numPr>
        <w:spacing w:before="120"/>
      </w:pPr>
      <w:r w:rsidRPr="00785FB4">
        <w:lastRenderedPageBreak/>
        <w:t xml:space="preserve">Afghanistan EITI (29 April 2017), ‘Afghanistan Fifth EITI Report 1393 and 1394 (2014 and 2015)’, accessed on </w:t>
      </w:r>
      <w:hyperlink r:id="rId58" w:history="1">
        <w:r w:rsidRPr="00785FB4">
          <w:rPr>
            <w:rStyle w:val="Hyperlink"/>
            <w:rFonts w:cs="Calibri"/>
          </w:rPr>
          <w:t>https://eiti.org/sites/default/files/documents/5threconciliationfinalreport_1393-1394_2105201744057225553325325.pdf</w:t>
        </w:r>
      </w:hyperlink>
      <w:r w:rsidRPr="00785FB4">
        <w:t xml:space="preserve"> in December 2017.</w:t>
      </w:r>
    </w:p>
    <w:p w14:paraId="415E0D64" w14:textId="77777777" w:rsidR="00D97292" w:rsidRPr="00785FB4" w:rsidRDefault="00D97292" w:rsidP="00112D9C">
      <w:pPr>
        <w:numPr>
          <w:ilvl w:val="0"/>
          <w:numId w:val="5"/>
        </w:numPr>
        <w:spacing w:before="120"/>
      </w:pPr>
      <w:r w:rsidRPr="00785FB4">
        <w:t xml:space="preserve">Afghanistan EITI (29 April 2017), ‘Afghanistan Fifth EITI Report 1393 and 1394 (2014 and 2015) - Appendices’, accessed on </w:t>
      </w:r>
      <w:hyperlink r:id="rId59" w:history="1">
        <w:r w:rsidRPr="00785FB4">
          <w:rPr>
            <w:rStyle w:val="Hyperlink"/>
            <w:rFonts w:cs="Calibri"/>
          </w:rPr>
          <w:t>https://eiti.org/sites/default/files/documents/2014-2015_afghanistan_eiti_report_appendices.pdf</w:t>
        </w:r>
      </w:hyperlink>
      <w:r w:rsidRPr="00785FB4">
        <w:t xml:space="preserve"> in December 2017.</w:t>
      </w:r>
    </w:p>
    <w:p w14:paraId="503497DC" w14:textId="60204C6E" w:rsidR="00D97292" w:rsidRPr="00785FB4" w:rsidRDefault="00D97292" w:rsidP="00112D9C">
      <w:pPr>
        <w:numPr>
          <w:ilvl w:val="0"/>
          <w:numId w:val="5"/>
        </w:numPr>
        <w:spacing w:before="120"/>
      </w:pPr>
      <w:r w:rsidRPr="00785FB4">
        <w:t xml:space="preserve">Afghanistan EITI (29 April 2017), ‘Afghanistan Fifth EITI Report 1393 and 1394 (2014 and 2015)’, accessed on </w:t>
      </w:r>
      <w:hyperlink r:id="rId60" w:history="1">
        <w:r w:rsidR="005F3BBF" w:rsidRPr="00785FB4">
          <w:rPr>
            <w:rStyle w:val="Hyperlink"/>
            <w:rFonts w:cs="Calibri"/>
          </w:rPr>
          <w:t>https://eiti.org/sites/default/files/documents/5threconciliationfinalreport_1393-1394_2105201744057225553325325.pdf in December 2017</w:t>
        </w:r>
      </w:hyperlink>
      <w:r w:rsidRPr="00785FB4">
        <w:t>.</w:t>
      </w:r>
    </w:p>
    <w:p w14:paraId="0CB2A74B" w14:textId="77777777" w:rsidR="00D97292" w:rsidRPr="00785FB4" w:rsidRDefault="00D97292" w:rsidP="00150AA3">
      <w:pPr>
        <w:numPr>
          <w:ilvl w:val="0"/>
          <w:numId w:val="5"/>
        </w:numPr>
        <w:spacing w:before="120"/>
      </w:pPr>
      <w:r w:rsidRPr="00785FB4">
        <w:t>Democracy International (May 2017), ‘Afghanistan Extractive Industry Transparency Initiative Organizational Assessment’, unpublished, provided by the AEITI Secretariat.</w:t>
      </w:r>
    </w:p>
    <w:p w14:paraId="23612A14" w14:textId="77777777" w:rsidR="006D6F48" w:rsidRPr="00785FB4" w:rsidRDefault="006D6F48" w:rsidP="00A94167">
      <w:pPr>
        <w:pStyle w:val="Heading3"/>
      </w:pPr>
      <w:bookmarkStart w:id="691" w:name="_Toc505449743"/>
      <w:r w:rsidRPr="00785FB4">
        <w:t>Other documents online:</w:t>
      </w:r>
      <w:bookmarkEnd w:id="691"/>
      <w:r w:rsidRPr="00785FB4">
        <w:t xml:space="preserve"> </w:t>
      </w:r>
    </w:p>
    <w:p w14:paraId="6545D93D" w14:textId="54A00493" w:rsidR="002356DE" w:rsidRPr="00785FB4" w:rsidRDefault="002356DE" w:rsidP="002356DE">
      <w:pPr>
        <w:numPr>
          <w:ilvl w:val="0"/>
          <w:numId w:val="5"/>
        </w:numPr>
        <w:spacing w:before="120"/>
      </w:pPr>
      <w:r w:rsidRPr="00785FB4">
        <w:t xml:space="preserve">AEITI (2015), ‘Terms of Reference for the Multi-Stakeholder Group’, accessed on </w:t>
      </w:r>
      <w:hyperlink r:id="rId61" w:history="1">
        <w:r w:rsidRPr="00785FB4">
          <w:rPr>
            <w:rStyle w:val="Hyperlink"/>
            <w:rFonts w:cs="Calibri"/>
          </w:rPr>
          <w:t>http://aeiti.af/Content/Media/Documents/1394948558120420157478410553325325.pdf</w:t>
        </w:r>
      </w:hyperlink>
      <w:r w:rsidRPr="00785FB4">
        <w:t xml:space="preserve"> in April 2018.</w:t>
      </w:r>
    </w:p>
    <w:p w14:paraId="3DBC7D30" w14:textId="321185C6" w:rsidR="005F3BBF" w:rsidRPr="00785FB4" w:rsidRDefault="005F3BBF" w:rsidP="002356DE">
      <w:pPr>
        <w:numPr>
          <w:ilvl w:val="0"/>
          <w:numId w:val="5"/>
        </w:numPr>
        <w:spacing w:before="120"/>
      </w:pPr>
      <w:r w:rsidRPr="00785FB4">
        <w:t>Afghanistan EITI (</w:t>
      </w:r>
      <w:r w:rsidR="00DB23D8" w:rsidRPr="00785FB4">
        <w:t xml:space="preserve">August </w:t>
      </w:r>
      <w:r w:rsidRPr="00785FB4">
        <w:t xml:space="preserve">2014), ‘AEITI Communications Department’s Workshop for MoMP and MoF Officials’, accessed on </w:t>
      </w:r>
      <w:hyperlink r:id="rId62" w:history="1">
        <w:r w:rsidRPr="00785FB4">
          <w:rPr>
            <w:rStyle w:val="Hyperlink"/>
            <w:rFonts w:cs="Calibri"/>
          </w:rPr>
          <w:t>http://aeiti.af/Content/Media/Documents/ReportonMoMPandMoFTraining,August2014192201724528368553325325.pdf</w:t>
        </w:r>
      </w:hyperlink>
      <w:r w:rsidRPr="00785FB4">
        <w:t xml:space="preserve">  in April 2018.</w:t>
      </w:r>
    </w:p>
    <w:p w14:paraId="1F4B2A26" w14:textId="77BA52B5" w:rsidR="008D4B9B" w:rsidRPr="00785FB4" w:rsidRDefault="008D4B9B" w:rsidP="008D4B9B">
      <w:pPr>
        <w:numPr>
          <w:ilvl w:val="0"/>
          <w:numId w:val="5"/>
        </w:numPr>
        <w:spacing w:before="120"/>
      </w:pPr>
      <w:r w:rsidRPr="00785FB4">
        <w:t xml:space="preserve">AEITI (2017), ‘Open data policy’, accessed on </w:t>
      </w:r>
      <w:hyperlink r:id="rId63" w:history="1">
        <w:r w:rsidRPr="00785FB4">
          <w:rPr>
            <w:rStyle w:val="Hyperlink"/>
            <w:rFonts w:cs="Calibri"/>
          </w:rPr>
          <w:t>https://eiti.org/document/afghanistan-open-data-policy</w:t>
        </w:r>
      </w:hyperlink>
      <w:r w:rsidRPr="00785FB4">
        <w:t xml:space="preserve"> in April 2018.</w:t>
      </w:r>
    </w:p>
    <w:p w14:paraId="0DE9312B" w14:textId="34E70F85" w:rsidR="005F3BBF" w:rsidRPr="00785FB4" w:rsidRDefault="005F3BBF" w:rsidP="008D4B9B">
      <w:pPr>
        <w:numPr>
          <w:ilvl w:val="0"/>
          <w:numId w:val="5"/>
        </w:numPr>
        <w:spacing w:before="120"/>
      </w:pPr>
      <w:r w:rsidRPr="00785FB4">
        <w:t>Aziz, Roya and Noorani, Javed (</w:t>
      </w:r>
      <w:r w:rsidR="00DB23D8" w:rsidRPr="00785FB4">
        <w:t xml:space="preserve">March </w:t>
      </w:r>
      <w:r w:rsidRPr="00785FB4">
        <w:t>201</w:t>
      </w:r>
      <w:r w:rsidR="00DB23D8" w:rsidRPr="00785FB4">
        <w:t>3</w:t>
      </w:r>
      <w:r w:rsidRPr="00785FB4">
        <w:t xml:space="preserve">), ‘Shadow Validation: Analysis of Afghanistan EITI Reconciliation Reports and civil society participation’, accessed on </w:t>
      </w:r>
      <w:hyperlink r:id="rId64" w:history="1">
        <w:r w:rsidRPr="00785FB4">
          <w:rPr>
            <w:rStyle w:val="Hyperlink"/>
            <w:rFonts w:cs="Calibri"/>
          </w:rPr>
          <w:t>http://www.eisourcebook.org/cms/March_2013/Afghanistan%20EITI%20Shadow%20Validation%20Report.pdf</w:t>
        </w:r>
      </w:hyperlink>
      <w:r w:rsidRPr="00785FB4">
        <w:t xml:space="preserve"> in April 2018.</w:t>
      </w:r>
    </w:p>
    <w:p w14:paraId="5F1B24C6" w14:textId="77777777" w:rsidR="00D97292" w:rsidRPr="00785FB4" w:rsidRDefault="00D97292" w:rsidP="00150AA3">
      <w:pPr>
        <w:numPr>
          <w:ilvl w:val="0"/>
          <w:numId w:val="5"/>
        </w:numPr>
        <w:spacing w:before="120"/>
      </w:pPr>
      <w:r w:rsidRPr="00785FB4">
        <w:t>CSO coalition (April 2017), ‘CSO Comments on the 5</w:t>
      </w:r>
      <w:r w:rsidRPr="00785FB4">
        <w:rPr>
          <w:vertAlign w:val="superscript"/>
        </w:rPr>
        <w:t>th</w:t>
      </w:r>
      <w:r w:rsidRPr="00785FB4">
        <w:t xml:space="preserve"> AEITI Report’, accessed on </w:t>
      </w:r>
      <w:hyperlink r:id="rId65" w:history="1">
        <w:r w:rsidRPr="00785FB4">
          <w:rPr>
            <w:rStyle w:val="Hyperlink"/>
            <w:rFonts w:cs="Calibri"/>
          </w:rPr>
          <w:t>http://aeiti.af/Content/Media/Documents/Letter-MWA-GW-re-5th-AEITI(1)75201715155205553325325.pdf</w:t>
        </w:r>
      </w:hyperlink>
      <w:r w:rsidRPr="00785FB4">
        <w:t xml:space="preserve"> in December 2017. </w:t>
      </w:r>
    </w:p>
    <w:p w14:paraId="2F5EACCD" w14:textId="77777777" w:rsidR="00D97292" w:rsidRPr="00785FB4" w:rsidRDefault="00D97292" w:rsidP="00150AA3">
      <w:pPr>
        <w:numPr>
          <w:ilvl w:val="0"/>
          <w:numId w:val="5"/>
        </w:numPr>
        <w:spacing w:before="120"/>
      </w:pPr>
      <w:r w:rsidRPr="00785FB4">
        <w:t xml:space="preserve">EITI (December 2014), ‘Afghan President sets out his mining agenda’, accessed on </w:t>
      </w:r>
      <w:hyperlink r:id="rId66" w:history="1">
        <w:r w:rsidRPr="00785FB4">
          <w:rPr>
            <w:rStyle w:val="Hyperlink"/>
            <w:rFonts w:cs="Calibri"/>
          </w:rPr>
          <w:t>https://eiti.org/news/afghan-president-sets-out-his-mining-agenda</w:t>
        </w:r>
      </w:hyperlink>
      <w:r w:rsidRPr="00785FB4">
        <w:t xml:space="preserve"> in January 2018.</w:t>
      </w:r>
    </w:p>
    <w:p w14:paraId="5E180B63" w14:textId="77777777" w:rsidR="00D97292" w:rsidRPr="00785FB4" w:rsidRDefault="00D97292" w:rsidP="00150AA3">
      <w:pPr>
        <w:numPr>
          <w:ilvl w:val="0"/>
          <w:numId w:val="5"/>
        </w:numPr>
        <w:spacing w:before="120"/>
      </w:pPr>
      <w:r w:rsidRPr="00785FB4">
        <w:t xml:space="preserve">EITI (October 2016), ‘EITI Board decision: The Board agreed on the schedule for outstanding Validations’, accessed on </w:t>
      </w:r>
      <w:hyperlink r:id="rId67" w:history="1">
        <w:r w:rsidRPr="00785FB4">
          <w:rPr>
            <w:rStyle w:val="Hyperlink"/>
            <w:rFonts w:cs="Calibri"/>
          </w:rPr>
          <w:t>https://eiti.org/BD/2016-18 in January 2018</w:t>
        </w:r>
      </w:hyperlink>
      <w:r w:rsidRPr="00785FB4">
        <w:t>.</w:t>
      </w:r>
    </w:p>
    <w:p w14:paraId="5B79C9C7" w14:textId="77777777" w:rsidR="00D97292" w:rsidRPr="00785FB4" w:rsidRDefault="00D97292" w:rsidP="00150AA3">
      <w:pPr>
        <w:numPr>
          <w:ilvl w:val="0"/>
          <w:numId w:val="5"/>
        </w:numPr>
        <w:spacing w:before="120"/>
      </w:pPr>
      <w:r w:rsidRPr="00785FB4">
        <w:lastRenderedPageBreak/>
        <w:t xml:space="preserve">EITI (September 2017), ‘EITI Board decision: The Board agreed to postpone Afghanistan’s Validation for four months until 1 November 2017’, accessed on </w:t>
      </w:r>
      <w:hyperlink r:id="rId68" w:history="1">
        <w:r w:rsidRPr="00785FB4">
          <w:rPr>
            <w:rStyle w:val="Hyperlink"/>
            <w:rFonts w:cs="Calibri"/>
          </w:rPr>
          <w:t>https://eiti.org/board-decisions</w:t>
        </w:r>
      </w:hyperlink>
      <w:r w:rsidRPr="00785FB4">
        <w:t xml:space="preserve"> in January 2018.</w:t>
      </w:r>
    </w:p>
    <w:p w14:paraId="6A3EB7F3" w14:textId="77777777" w:rsidR="00D97292" w:rsidRPr="00785FB4" w:rsidRDefault="00D97292" w:rsidP="00150AA3">
      <w:pPr>
        <w:numPr>
          <w:ilvl w:val="0"/>
          <w:numId w:val="5"/>
        </w:numPr>
        <w:spacing w:before="120"/>
      </w:pPr>
      <w:r w:rsidRPr="00785FB4">
        <w:t xml:space="preserve">EITI Board (March 2017), ‘The Board decided that Afghanistan is eligible for an extension and the reporting deadline is extended to 1 May 2017’, accessed on </w:t>
      </w:r>
      <w:hyperlink r:id="rId69" w:history="1">
        <w:r w:rsidRPr="00785FB4">
          <w:rPr>
            <w:rStyle w:val="Hyperlink"/>
          </w:rPr>
          <w:t>https://eiti.org/BD/2017-17</w:t>
        </w:r>
      </w:hyperlink>
      <w:r w:rsidRPr="00785FB4">
        <w:t xml:space="preserve"> in December 2017.</w:t>
      </w:r>
    </w:p>
    <w:p w14:paraId="0323CB42" w14:textId="77777777" w:rsidR="00D97292" w:rsidRPr="00785FB4" w:rsidRDefault="00D97292" w:rsidP="00150AA3">
      <w:pPr>
        <w:numPr>
          <w:ilvl w:val="0"/>
          <w:numId w:val="5"/>
        </w:numPr>
        <w:spacing w:before="120"/>
      </w:pPr>
      <w:r w:rsidRPr="00785FB4">
        <w:t xml:space="preserve">Global Witness (August 2014), ‘Gaps in new Afghan Mining Law pose a threat to stability’, accessed on </w:t>
      </w:r>
      <w:hyperlink r:id="rId70" w:history="1">
        <w:r w:rsidRPr="00785FB4">
          <w:rPr>
            <w:rStyle w:val="Hyperlink"/>
            <w:rFonts w:cs="Calibri"/>
          </w:rPr>
          <w:t>https://www.globalwitness.org/en-gb/archive/gaps-new-afghan-mining-law-pose-threat-stability/</w:t>
        </w:r>
      </w:hyperlink>
      <w:r w:rsidRPr="00785FB4">
        <w:t xml:space="preserve"> in January 2018. </w:t>
      </w:r>
    </w:p>
    <w:p w14:paraId="0F395E9F" w14:textId="77777777" w:rsidR="00D97292" w:rsidRPr="00785FB4" w:rsidRDefault="00D97292" w:rsidP="00150AA3">
      <w:pPr>
        <w:numPr>
          <w:ilvl w:val="0"/>
          <w:numId w:val="5"/>
        </w:numPr>
        <w:spacing w:before="120"/>
      </w:pPr>
      <w:r w:rsidRPr="00785FB4">
        <w:t xml:space="preserve">Global Witness (June 2016), ‘Afghanistan’s famous lapis mines funding the Taliban and armed groups, new investigation shows’, accessed on </w:t>
      </w:r>
      <w:hyperlink r:id="rId71" w:history="1">
        <w:r w:rsidRPr="00785FB4">
          <w:rPr>
            <w:rStyle w:val="Hyperlink"/>
            <w:rFonts w:cs="Calibri"/>
          </w:rPr>
          <w:t>https://www.globalwitness.org/en/press-releases/afghanistans-famous-lapis-mines-funding-taliban-and-armed-groups-new-investigation-shows/</w:t>
        </w:r>
      </w:hyperlink>
      <w:r w:rsidRPr="00785FB4">
        <w:t xml:space="preserve">  in January 2018. </w:t>
      </w:r>
    </w:p>
    <w:p w14:paraId="26EFC3B8" w14:textId="23892833" w:rsidR="00D97292" w:rsidRPr="00785FB4" w:rsidRDefault="00D97292" w:rsidP="00150AA3">
      <w:pPr>
        <w:numPr>
          <w:ilvl w:val="0"/>
          <w:numId w:val="5"/>
        </w:numPr>
        <w:spacing w:before="120"/>
      </w:pPr>
      <w:r w:rsidRPr="00785FB4">
        <w:t xml:space="preserve">Global Witness (May 2016), ‘War in the Treasury of the People’, accessed on </w:t>
      </w:r>
      <w:hyperlink r:id="rId72" w:history="1">
        <w:r w:rsidRPr="00785FB4">
          <w:rPr>
            <w:rStyle w:val="Hyperlink"/>
            <w:rFonts w:cs="Calibri"/>
          </w:rPr>
          <w:t>https://www.globalwitness.org/en-gb/campaigns/conflict-minerals/war-treasury-people-afghanistan-lapis-lazuli-and-battle-mineral-wealth/</w:t>
        </w:r>
      </w:hyperlink>
      <w:r w:rsidRPr="00785FB4">
        <w:t xml:space="preserve"> in January 2018.</w:t>
      </w:r>
    </w:p>
    <w:p w14:paraId="5FD7E41F" w14:textId="4BBB4CD2" w:rsidR="005F3BBF" w:rsidRPr="00785FB4" w:rsidRDefault="005F3BBF" w:rsidP="005F3BBF">
      <w:pPr>
        <w:numPr>
          <w:ilvl w:val="0"/>
          <w:numId w:val="5"/>
        </w:numPr>
        <w:spacing w:before="120"/>
      </w:pPr>
      <w:r w:rsidRPr="00785FB4">
        <w:t>Global Witness (</w:t>
      </w:r>
      <w:r w:rsidR="00DB23D8" w:rsidRPr="00785FB4">
        <w:t xml:space="preserve">December </w:t>
      </w:r>
      <w:r w:rsidRPr="00785FB4">
        <w:t xml:space="preserve">2017), ‘Afghan civil society note to the EITI International Secretariat ahead of AEITI Validation’, accessed on </w:t>
      </w:r>
      <w:hyperlink r:id="rId73" w:history="1">
        <w:r w:rsidRPr="00785FB4">
          <w:rPr>
            <w:rStyle w:val="Hyperlink"/>
            <w:rFonts w:cs="Calibri"/>
          </w:rPr>
          <w:t>https://www.globalwitness.org/en-gb/campaigns/afghanistan/civil-society-note-eiti-international-secretariat-ahead-aeiti-validation/</w:t>
        </w:r>
      </w:hyperlink>
      <w:r w:rsidRPr="00785FB4">
        <w:t xml:space="preserve"> in April 2018.</w:t>
      </w:r>
    </w:p>
    <w:p w14:paraId="57343F09" w14:textId="77777777" w:rsidR="00D97292" w:rsidRPr="00785FB4" w:rsidRDefault="00D97292" w:rsidP="00150AA3">
      <w:pPr>
        <w:numPr>
          <w:ilvl w:val="0"/>
          <w:numId w:val="5"/>
        </w:numPr>
        <w:spacing w:before="120"/>
      </w:pPr>
      <w:r w:rsidRPr="00785FB4">
        <w:t xml:space="preserve">Integrity Watch Afghanistan (May 2017), ‘Afghan government “unable to provide basic management of mining revenues,” says civil society’, accessed on </w:t>
      </w:r>
      <w:hyperlink r:id="rId74" w:history="1">
        <w:r w:rsidRPr="00785FB4">
          <w:rPr>
            <w:rStyle w:val="Hyperlink"/>
            <w:rFonts w:cs="Calibri"/>
          </w:rPr>
          <w:t>https://iwaweb.org/afghan-government-unable-to-provide-basic-management-of-mining-revenues-says-civil-society/</w:t>
        </w:r>
      </w:hyperlink>
      <w:r w:rsidRPr="00785FB4">
        <w:t xml:space="preserve"> in January 2018.  </w:t>
      </w:r>
    </w:p>
    <w:p w14:paraId="0A632A45" w14:textId="77777777" w:rsidR="00D97292" w:rsidRPr="00785FB4" w:rsidRDefault="00D97292" w:rsidP="00150AA3">
      <w:pPr>
        <w:numPr>
          <w:ilvl w:val="0"/>
          <w:numId w:val="5"/>
        </w:numPr>
        <w:spacing w:before="120"/>
      </w:pPr>
      <w:r w:rsidRPr="00785FB4">
        <w:t xml:space="preserve">Integrity Watch Afghanistan (November 2016), ‘Fighting corruption in Afghanistan: solving the institutional puzzle’, accessed on </w:t>
      </w:r>
      <w:hyperlink r:id="rId75" w:history="1">
        <w:r w:rsidRPr="00785FB4">
          <w:rPr>
            <w:rStyle w:val="Hyperlink"/>
            <w:rFonts w:cs="Calibri"/>
          </w:rPr>
          <w:t>https://iwaweb.org/wp-content/uploads/2016/11/Solving-the-Institutional-Puzzle.pdf</w:t>
        </w:r>
      </w:hyperlink>
      <w:r w:rsidRPr="00785FB4">
        <w:t xml:space="preserve"> in January 2018. </w:t>
      </w:r>
    </w:p>
    <w:p w14:paraId="19593F0F" w14:textId="77777777" w:rsidR="00D97292" w:rsidRPr="00785FB4" w:rsidRDefault="00D97292" w:rsidP="00150AA3">
      <w:pPr>
        <w:numPr>
          <w:ilvl w:val="0"/>
          <w:numId w:val="5"/>
        </w:numPr>
        <w:spacing w:before="120"/>
      </w:pPr>
      <w:r w:rsidRPr="00785FB4">
        <w:t xml:space="preserve">Integrity Watch Afghanistan and Global Witness (September 2015), ‘Extractives for sustainable development in Afghanistan Policy Brief’, accessed on </w:t>
      </w:r>
      <w:hyperlink r:id="rId76" w:history="1">
        <w:r w:rsidRPr="00785FB4">
          <w:rPr>
            <w:rStyle w:val="Hyperlink"/>
            <w:rFonts w:cs="Calibri"/>
          </w:rPr>
          <w:t>https://iwaweb.org/wp-content/uploads/2015/09/Policy-Brief-Extractives-for-sustainable-development-in-Afghanistan.pdf</w:t>
        </w:r>
      </w:hyperlink>
      <w:r w:rsidRPr="00785FB4">
        <w:t xml:space="preserve"> in December 2017.</w:t>
      </w:r>
    </w:p>
    <w:p w14:paraId="0FD4D973" w14:textId="0E23AC92" w:rsidR="00D97292" w:rsidRPr="00785FB4" w:rsidRDefault="00D97292" w:rsidP="00150AA3">
      <w:pPr>
        <w:numPr>
          <w:ilvl w:val="0"/>
          <w:numId w:val="5"/>
        </w:numPr>
        <w:spacing w:before="120"/>
      </w:pPr>
      <w:r w:rsidRPr="00785FB4">
        <w:t xml:space="preserve">PWYP (October 2012), ‘Opening up Afghanistan’s extractives sector – Afghan Government unveils first tranche of mining and oil contracts’, accessed on </w:t>
      </w:r>
      <w:hyperlink r:id="rId77" w:history="1">
        <w:r w:rsidRPr="00785FB4">
          <w:rPr>
            <w:rStyle w:val="Hyperlink"/>
            <w:rFonts w:cs="Calibri"/>
          </w:rPr>
          <w:t>https://www.globalwitness.org/en-gb/archive/opening-afghanistans-extractives-sector-afghan-government-unveils-first-tranche-mining-and/</w:t>
        </w:r>
      </w:hyperlink>
      <w:r w:rsidRPr="00785FB4">
        <w:t xml:space="preserve"> in December 2017. </w:t>
      </w:r>
    </w:p>
    <w:p w14:paraId="22FB67ED" w14:textId="67391FC2" w:rsidR="006D6F48" w:rsidRPr="00785FB4" w:rsidRDefault="006D6F48" w:rsidP="00A94167">
      <w:pPr>
        <w:pStyle w:val="Heading3"/>
      </w:pPr>
      <w:bookmarkStart w:id="692" w:name="_Toc505449744"/>
      <w:r w:rsidRPr="00785FB4">
        <w:lastRenderedPageBreak/>
        <w:t>Meeting minutes:</w:t>
      </w:r>
      <w:bookmarkEnd w:id="692"/>
      <w:r w:rsidRPr="00785FB4">
        <w:t xml:space="preserve"> </w:t>
      </w:r>
    </w:p>
    <w:p w14:paraId="6904F72E" w14:textId="77777777" w:rsidR="00150AA3" w:rsidRPr="00785FB4" w:rsidRDefault="00150AA3" w:rsidP="00150AA3">
      <w:pPr>
        <w:numPr>
          <w:ilvl w:val="0"/>
          <w:numId w:val="5"/>
        </w:numPr>
        <w:spacing w:before="120"/>
      </w:pPr>
      <w:r w:rsidRPr="00785FB4">
        <w:t xml:space="preserve">Afghanistan EITI (January 2017), ‘Minutes of the MSG meeting, 23 January 2017’, accessed on </w:t>
      </w:r>
      <w:hyperlink r:id="rId78" w:history="1">
        <w:r w:rsidRPr="00785FB4">
          <w:rPr>
            <w:rStyle w:val="Hyperlink"/>
          </w:rPr>
          <w:t>http://aeiti.af/en/documents/category/minutes-2015-2017</w:t>
        </w:r>
      </w:hyperlink>
      <w:r w:rsidRPr="00785FB4">
        <w:t xml:space="preserve"> in December 2017.</w:t>
      </w:r>
    </w:p>
    <w:p w14:paraId="7E8B97F8" w14:textId="77777777" w:rsidR="00150AA3" w:rsidRPr="00785FB4" w:rsidRDefault="00150AA3" w:rsidP="00150AA3">
      <w:pPr>
        <w:numPr>
          <w:ilvl w:val="0"/>
          <w:numId w:val="5"/>
        </w:numPr>
        <w:spacing w:before="120"/>
      </w:pPr>
      <w:r w:rsidRPr="00785FB4">
        <w:t xml:space="preserve">Afghanistan EITI (May 2016), ‘Minutes of the MSG meeting, 24 May 2016’, accessed on </w:t>
      </w:r>
      <w:hyperlink r:id="rId79" w:history="1">
        <w:r w:rsidRPr="00785FB4">
          <w:rPr>
            <w:rStyle w:val="Hyperlink"/>
            <w:rFonts w:cs="Calibri"/>
          </w:rPr>
          <w:t>http://aeiti.af/en/documents/category/minutes-2015-2017</w:t>
        </w:r>
      </w:hyperlink>
      <w:r w:rsidRPr="00785FB4">
        <w:t xml:space="preserve"> in December 2017.</w:t>
      </w:r>
    </w:p>
    <w:p w14:paraId="68EA0895" w14:textId="76BDA231" w:rsidR="00112D9C" w:rsidRPr="00785FB4" w:rsidRDefault="00150AA3" w:rsidP="00150AA3">
      <w:pPr>
        <w:numPr>
          <w:ilvl w:val="0"/>
          <w:numId w:val="5"/>
        </w:numPr>
        <w:spacing w:before="120"/>
      </w:pPr>
      <w:r w:rsidRPr="00785FB4">
        <w:t xml:space="preserve">Afghanistan EITI (May 2016), ‘Minutes of the MSG meeting, 24 May 2016’, accessed on </w:t>
      </w:r>
      <w:hyperlink r:id="rId80" w:history="1">
        <w:r w:rsidRPr="00785FB4">
          <w:rPr>
            <w:rStyle w:val="Hyperlink"/>
          </w:rPr>
          <w:t>http://aeiti.af/en/documents/category/minutes-2015-2017</w:t>
        </w:r>
      </w:hyperlink>
      <w:r w:rsidRPr="00785FB4">
        <w:t xml:space="preserve"> in December 2017.</w:t>
      </w:r>
    </w:p>
    <w:p w14:paraId="755839EE" w14:textId="5B285F1E" w:rsidR="00112D9C" w:rsidRPr="00785FB4" w:rsidRDefault="007C5EB4" w:rsidP="00A94167">
      <w:pPr>
        <w:pStyle w:val="Heading3"/>
      </w:pPr>
      <w:bookmarkStart w:id="693" w:name="_Toc505449745"/>
      <w:r w:rsidRPr="00785FB4">
        <w:t>Other government documents/reports:</w:t>
      </w:r>
      <w:bookmarkEnd w:id="693"/>
    </w:p>
    <w:p w14:paraId="479EB07A" w14:textId="77777777" w:rsidR="00D97292" w:rsidRPr="00785FB4" w:rsidRDefault="00D97292" w:rsidP="00150AA3">
      <w:pPr>
        <w:numPr>
          <w:ilvl w:val="0"/>
          <w:numId w:val="5"/>
        </w:numPr>
        <w:spacing w:before="120"/>
      </w:pPr>
      <w:r w:rsidRPr="00785FB4">
        <w:t xml:space="preserve">2014 Minerals Law of Afghanistan, accessed on </w:t>
      </w:r>
      <w:hyperlink r:id="rId81" w:history="1">
        <w:r w:rsidRPr="00785FB4">
          <w:rPr>
            <w:rStyle w:val="Hyperlink"/>
            <w:rFonts w:cs="Calibri"/>
          </w:rPr>
          <w:t>https://s3.amazonaws.com/rgi-documents/5d6be75be025f046421581eb24535dfc512ff039.pdf</w:t>
        </w:r>
      </w:hyperlink>
      <w:r w:rsidRPr="00785FB4">
        <w:t xml:space="preserve"> in January 2018.</w:t>
      </w:r>
    </w:p>
    <w:p w14:paraId="2DE50460" w14:textId="77777777" w:rsidR="00D97292" w:rsidRPr="00785FB4" w:rsidRDefault="00D97292" w:rsidP="00150AA3">
      <w:pPr>
        <w:numPr>
          <w:ilvl w:val="0"/>
          <w:numId w:val="5"/>
        </w:numPr>
        <w:spacing w:before="120"/>
      </w:pPr>
      <w:r w:rsidRPr="00785FB4">
        <w:t xml:space="preserve">Afghanistan’s State-Owned Enterprises Law, accessed on </w:t>
      </w:r>
      <w:hyperlink r:id="rId82" w:history="1">
        <w:r w:rsidRPr="00785FB4">
          <w:rPr>
            <w:rStyle w:val="Hyperlink"/>
            <w:rFonts w:cs="Calibri"/>
          </w:rPr>
          <w:t>http://mom.gov.af/Content/files/State%20Owned%20Enterprise%20Law.pdf</w:t>
        </w:r>
      </w:hyperlink>
      <w:r w:rsidRPr="00785FB4">
        <w:t xml:space="preserve"> in January 2018. </w:t>
      </w:r>
    </w:p>
    <w:p w14:paraId="45E5985D" w14:textId="77777777" w:rsidR="00D97292" w:rsidRPr="00785FB4" w:rsidRDefault="00D97292" w:rsidP="00150AA3">
      <w:pPr>
        <w:numPr>
          <w:ilvl w:val="0"/>
          <w:numId w:val="5"/>
        </w:numPr>
        <w:spacing w:before="120"/>
      </w:pPr>
      <w:r w:rsidRPr="00785FB4">
        <w:t xml:space="preserve">Central Statistics Organisation (2017), ‘Mining and Energy statistics, 1387-1395’, accessed on </w:t>
      </w:r>
      <w:hyperlink r:id="rId83" w:history="1">
        <w:r w:rsidRPr="00785FB4">
          <w:rPr>
            <w:rStyle w:val="Hyperlink"/>
            <w:rFonts w:cs="Calibri"/>
          </w:rPr>
          <w:t>http://cso.gov.af/Content/files/%D8%B1%DB%8C%D8%A7%D8%B3%D8%AA%20%D8%A7%D9%82%D8%AA%D8%B5%D8%A7%D8%AF%DB%8C%20%D9%87%D8%A7/mining%20%26%20Energy/%D8%A8%D8%AE%D8%B4%20%D9%85%D8%B9%D8%A7%D8%AF%D9%86%20%D9%88%20%D8%A7%D9%86%D8%B1%DA%98%DB%8C%201387%20%D8%A7%D9%84%DB%8C%201394.xls</w:t>
        </w:r>
      </w:hyperlink>
      <w:r w:rsidRPr="00785FB4">
        <w:t xml:space="preserve"> in January 2018. </w:t>
      </w:r>
    </w:p>
    <w:p w14:paraId="1412F830" w14:textId="47D6CD36" w:rsidR="00D97292" w:rsidRPr="00785FB4" w:rsidRDefault="00D97292" w:rsidP="00112D9C">
      <w:pPr>
        <w:numPr>
          <w:ilvl w:val="0"/>
          <w:numId w:val="5"/>
        </w:numPr>
        <w:spacing w:before="120"/>
      </w:pPr>
      <w:r w:rsidRPr="00785FB4">
        <w:t xml:space="preserve">Directorate of Budget - Ministry of Finance website accessed on </w:t>
      </w:r>
      <w:hyperlink r:id="rId84" w:history="1">
        <w:r w:rsidRPr="00785FB4">
          <w:rPr>
            <w:rStyle w:val="Hyperlink"/>
          </w:rPr>
          <w:t>http://www.budgetmof.gov.af/index.php/en/</w:t>
        </w:r>
      </w:hyperlink>
      <w:r w:rsidRPr="00785FB4">
        <w:t xml:space="preserve"> in December 2017.</w:t>
      </w:r>
    </w:p>
    <w:p w14:paraId="36C7F918" w14:textId="4AB4BE47" w:rsidR="00D97292" w:rsidRPr="00785FB4" w:rsidRDefault="00D97292" w:rsidP="007E6DB4">
      <w:pPr>
        <w:numPr>
          <w:ilvl w:val="0"/>
          <w:numId w:val="5"/>
        </w:numPr>
        <w:spacing w:before="120"/>
      </w:pPr>
      <w:r w:rsidRPr="00785FB4">
        <w:t xml:space="preserve">Independent Joint Anti-Corruption Monitoring and Evaluation Committee (May 2017), ‘Progress Monitoring Report, Ministry of Finance Anti-Corruption Plan Review’, accessed on </w:t>
      </w:r>
      <w:hyperlink r:id="rId85" w:history="1">
        <w:r w:rsidRPr="00785FB4">
          <w:rPr>
            <w:rStyle w:val="Hyperlink"/>
          </w:rPr>
          <w:t>http://www.mec.af/files/2017_05_09_mof_ac_review_report_english.pdf</w:t>
        </w:r>
      </w:hyperlink>
      <w:r w:rsidRPr="00785FB4">
        <w:t xml:space="preserve"> in January 2018. </w:t>
      </w:r>
    </w:p>
    <w:p w14:paraId="55A4B340" w14:textId="687A4F0C" w:rsidR="007E6DB4" w:rsidRPr="00785FB4" w:rsidRDefault="007E6DB4" w:rsidP="007E6DB4">
      <w:pPr>
        <w:numPr>
          <w:ilvl w:val="0"/>
          <w:numId w:val="5"/>
        </w:numPr>
        <w:spacing w:before="120"/>
      </w:pPr>
      <w:r w:rsidRPr="00785FB4">
        <w:t>Ministry of Finance (</w:t>
      </w:r>
      <w:r w:rsidR="00DB23D8" w:rsidRPr="00785FB4">
        <w:t xml:space="preserve">July </w:t>
      </w:r>
      <w:r w:rsidRPr="00785FB4">
        <w:t xml:space="preserve">2013), ‘Senior officials Meeting Joint Report’, accessed on </w:t>
      </w:r>
      <w:hyperlink r:id="rId86" w:history="1">
        <w:r w:rsidR="00DB23D8" w:rsidRPr="00785FB4">
          <w:rPr>
            <w:rStyle w:val="Hyperlink"/>
            <w:rFonts w:cs="Calibri"/>
          </w:rPr>
          <w:t>http://mof.gov.af/Content/files/TMAF_SOM_Report_Final_English.pdf</w:t>
        </w:r>
      </w:hyperlink>
      <w:r w:rsidR="00DB23D8" w:rsidRPr="00785FB4">
        <w:t xml:space="preserve"> in April 2018.</w:t>
      </w:r>
    </w:p>
    <w:p w14:paraId="1B2D1C2A" w14:textId="1DFB8D3A" w:rsidR="009A621C" w:rsidRPr="00785FB4" w:rsidRDefault="009A621C" w:rsidP="009A621C">
      <w:pPr>
        <w:numPr>
          <w:ilvl w:val="0"/>
          <w:numId w:val="5"/>
        </w:numPr>
        <w:spacing w:before="120"/>
      </w:pPr>
      <w:r w:rsidRPr="00785FB4">
        <w:t xml:space="preserve">Ministry of Foreign Affairs (October 2016), ‘Self-reliance through mutual accountability framework’, accessed on </w:t>
      </w:r>
      <w:hyperlink r:id="rId87" w:history="1">
        <w:r w:rsidRPr="00785FB4">
          <w:rPr>
            <w:rStyle w:val="Hyperlink"/>
            <w:rFonts w:cs="Calibri"/>
          </w:rPr>
          <w:t>http://mfa.gov.af/Content/Media/Documents/agreed_smaf_smart_deliverables_final26102016113033613553325325.pdf</w:t>
        </w:r>
      </w:hyperlink>
      <w:r w:rsidRPr="00785FB4">
        <w:t xml:space="preserve"> in April 2018.</w:t>
      </w:r>
    </w:p>
    <w:p w14:paraId="35D3E637" w14:textId="378F9AA9" w:rsidR="007E6DB4" w:rsidRPr="00785FB4" w:rsidRDefault="007E6DB4" w:rsidP="009A621C">
      <w:pPr>
        <w:numPr>
          <w:ilvl w:val="0"/>
          <w:numId w:val="5"/>
        </w:numPr>
        <w:spacing w:before="120"/>
      </w:pPr>
      <w:r w:rsidRPr="00785FB4">
        <w:t>Ministry of Information and Culture (</w:t>
      </w:r>
      <w:r w:rsidR="00DB23D8" w:rsidRPr="00785FB4">
        <w:t xml:space="preserve">January </w:t>
      </w:r>
      <w:r w:rsidRPr="00785FB4">
        <w:t xml:space="preserve">2016), ‘Mass media commission established to support freedom of expression’, accessed on </w:t>
      </w:r>
      <w:hyperlink r:id="rId88" w:history="1">
        <w:r w:rsidRPr="00785FB4">
          <w:rPr>
            <w:rStyle w:val="Hyperlink"/>
            <w:rFonts w:cs="Calibri"/>
          </w:rPr>
          <w:t>http://moic.gov.af/en/news/57147</w:t>
        </w:r>
      </w:hyperlink>
      <w:r w:rsidRPr="00785FB4">
        <w:t xml:space="preserve"> in December 2017.</w:t>
      </w:r>
    </w:p>
    <w:p w14:paraId="30ABD547" w14:textId="67C397D5" w:rsidR="00D97292" w:rsidRPr="00785FB4" w:rsidRDefault="00D97292" w:rsidP="00150AA3">
      <w:pPr>
        <w:numPr>
          <w:ilvl w:val="0"/>
          <w:numId w:val="5"/>
        </w:numPr>
        <w:spacing w:before="120"/>
      </w:pPr>
      <w:r w:rsidRPr="00785FB4">
        <w:lastRenderedPageBreak/>
        <w:t xml:space="preserve">Ministry of Mines (December 2011), ‘National Coal policy’, accessed on </w:t>
      </w:r>
      <w:hyperlink r:id="rId89" w:history="1">
        <w:r w:rsidRPr="00785FB4">
          <w:rPr>
            <w:rStyle w:val="Hyperlink"/>
            <w:rFonts w:cs="Calibri"/>
          </w:rPr>
          <w:t>http://mom.gov.af/Content/files/Policies/English/English_Coal_Policy.pdf</w:t>
        </w:r>
      </w:hyperlink>
      <w:r w:rsidRPr="00785FB4">
        <w:t xml:space="preserve"> in January 2018.  </w:t>
      </w:r>
    </w:p>
    <w:p w14:paraId="4B21CA2D" w14:textId="77777777" w:rsidR="00D97292" w:rsidRPr="00785FB4" w:rsidRDefault="00D97292" w:rsidP="00150AA3">
      <w:pPr>
        <w:numPr>
          <w:ilvl w:val="0"/>
          <w:numId w:val="5"/>
        </w:numPr>
        <w:spacing w:before="120"/>
      </w:pPr>
      <w:r w:rsidRPr="00785FB4">
        <w:t xml:space="preserve">Ministry of Mines and Petroleum (2012), ‘10 Reasons To Invest In Afghanistan’s Mining Sector’, accessed on </w:t>
      </w:r>
      <w:hyperlink r:id="rId90" w:history="1">
        <w:r w:rsidRPr="00785FB4">
          <w:rPr>
            <w:rStyle w:val="Hyperlink"/>
            <w:rFonts w:cs="Calibri"/>
          </w:rPr>
          <w:t>http://mom.gov.af/Content/files/10%20reasons-10pg-4.pdf</w:t>
        </w:r>
      </w:hyperlink>
      <w:r w:rsidRPr="00785FB4">
        <w:t xml:space="preserve"> in January 2018. </w:t>
      </w:r>
    </w:p>
    <w:p w14:paraId="009107EC" w14:textId="77777777" w:rsidR="00D97292" w:rsidRPr="00785FB4" w:rsidRDefault="00D97292" w:rsidP="00150AA3">
      <w:pPr>
        <w:numPr>
          <w:ilvl w:val="0"/>
          <w:numId w:val="5"/>
        </w:numPr>
        <w:spacing w:before="120"/>
      </w:pPr>
      <w:r w:rsidRPr="00785FB4">
        <w:t xml:space="preserve">Ministry of Mines and Petroleum (2014), ‘Minerals in Afghanistan’, accessed on </w:t>
      </w:r>
      <w:hyperlink r:id="rId91" w:history="1">
        <w:r w:rsidRPr="00785FB4">
          <w:rPr>
            <w:rStyle w:val="Hyperlink"/>
            <w:rFonts w:cs="Calibri"/>
          </w:rPr>
          <w:t>http://mom.gov.af/Content/files/The%20Hajigak%20Iron%20Ore%20Deposit.pdf</w:t>
        </w:r>
      </w:hyperlink>
      <w:r w:rsidRPr="00785FB4">
        <w:t xml:space="preserve"> in January 2018. </w:t>
      </w:r>
    </w:p>
    <w:p w14:paraId="56E99D68" w14:textId="77777777" w:rsidR="00D97292" w:rsidRPr="00785FB4" w:rsidRDefault="00D97292" w:rsidP="00150AA3">
      <w:pPr>
        <w:numPr>
          <w:ilvl w:val="0"/>
          <w:numId w:val="5"/>
        </w:numPr>
        <w:spacing w:before="120"/>
      </w:pPr>
      <w:r w:rsidRPr="00785FB4">
        <w:t xml:space="preserve">Ministry of Mines and Petroleum (April 2011), ‘Financial Assessment of the Northern Coal Enterprise’, unpublished, provided by stakeholders in January 2018. </w:t>
      </w:r>
    </w:p>
    <w:p w14:paraId="5B489338" w14:textId="77777777" w:rsidR="00D97292" w:rsidRPr="00785FB4" w:rsidRDefault="00D97292" w:rsidP="00150AA3">
      <w:pPr>
        <w:numPr>
          <w:ilvl w:val="0"/>
          <w:numId w:val="5"/>
        </w:numPr>
        <w:spacing w:before="120"/>
      </w:pPr>
      <w:r w:rsidRPr="00785FB4">
        <w:t xml:space="preserve">Ministry of Mines and Petroleum (June 2016), ‘Reform and restructuring of Northern Coal Enterprise’, unpublished, provided by stakeholders in January 2018. </w:t>
      </w:r>
    </w:p>
    <w:p w14:paraId="0A44BAFE" w14:textId="52B1B26B" w:rsidR="00D97292" w:rsidRPr="00785FB4" w:rsidRDefault="00DB56BA" w:rsidP="00150AA3">
      <w:pPr>
        <w:numPr>
          <w:ilvl w:val="0"/>
          <w:numId w:val="5"/>
        </w:numPr>
        <w:spacing w:before="120"/>
      </w:pPr>
      <w:r w:rsidRPr="00785FB4">
        <w:t>MOMP</w:t>
      </w:r>
      <w:r w:rsidR="00D97292" w:rsidRPr="00785FB4">
        <w:t xml:space="preserve"> (December 2011), ‘Amu Darya oil tender process and transparency review final report’, accessed on </w:t>
      </w:r>
      <w:hyperlink r:id="rId92" w:history="1">
        <w:r w:rsidR="00D97292" w:rsidRPr="00785FB4">
          <w:rPr>
            <w:rStyle w:val="Hyperlink"/>
            <w:rFonts w:cs="Calibri"/>
          </w:rPr>
          <w:t>http://mom.gov.af/Content/files/Hydrocarbone%20Contracts/MOM_Amu_Darya_Process_and_Transparency_Review.pdf</w:t>
        </w:r>
      </w:hyperlink>
      <w:r w:rsidR="00D97292" w:rsidRPr="00785FB4">
        <w:t xml:space="preserve"> in January 2018. </w:t>
      </w:r>
    </w:p>
    <w:p w14:paraId="09C6481E" w14:textId="7DCF99C0" w:rsidR="00D97292" w:rsidRPr="00785FB4" w:rsidRDefault="00DB56BA" w:rsidP="00150AA3">
      <w:pPr>
        <w:numPr>
          <w:ilvl w:val="0"/>
          <w:numId w:val="5"/>
        </w:numPr>
        <w:spacing w:before="120"/>
      </w:pPr>
      <w:r w:rsidRPr="00785FB4">
        <w:t>MOMP</w:t>
      </w:r>
      <w:r w:rsidR="00D97292" w:rsidRPr="00785FB4">
        <w:t xml:space="preserve"> (January 2011), ‘Support of SDNRP to the Development of Cadaster, Inspectorate and Audit Functions (GAF) Jan.-11’, accessed on </w:t>
      </w:r>
      <w:hyperlink r:id="rId93" w:history="1">
        <w:r w:rsidR="00D97292" w:rsidRPr="00785FB4">
          <w:rPr>
            <w:rStyle w:val="Hyperlink"/>
            <w:rFonts w:cs="Calibri"/>
          </w:rPr>
          <w:t>http://mom.gov.af/en/page/7064</w:t>
        </w:r>
      </w:hyperlink>
      <w:r w:rsidR="00D97292" w:rsidRPr="00785FB4">
        <w:t xml:space="preserve"> in January 2018. </w:t>
      </w:r>
    </w:p>
    <w:p w14:paraId="16C94FF6" w14:textId="785770EB" w:rsidR="00D97292" w:rsidRPr="00785FB4" w:rsidRDefault="00DB56BA" w:rsidP="00150AA3">
      <w:pPr>
        <w:numPr>
          <w:ilvl w:val="0"/>
          <w:numId w:val="5"/>
        </w:numPr>
        <w:spacing w:before="120"/>
      </w:pPr>
      <w:r w:rsidRPr="00785FB4">
        <w:t>MOMP</w:t>
      </w:r>
      <w:r w:rsidR="00D97292" w:rsidRPr="00785FB4">
        <w:t xml:space="preserve"> website, Hydrocarbons contracts, accessed on </w:t>
      </w:r>
      <w:hyperlink r:id="rId94" w:history="1">
        <w:r w:rsidR="00D97292" w:rsidRPr="00785FB4">
          <w:rPr>
            <w:rStyle w:val="Hyperlink"/>
            <w:rFonts w:cs="Calibri"/>
          </w:rPr>
          <w:t>http://mom.gov.af/en/page/momp-contracts/hydrocarbons-contract</w:t>
        </w:r>
      </w:hyperlink>
      <w:r w:rsidR="00D97292" w:rsidRPr="00785FB4">
        <w:t xml:space="preserve">  in December 2017. </w:t>
      </w:r>
    </w:p>
    <w:p w14:paraId="4D93EAA5" w14:textId="71EBCA2C" w:rsidR="008D4B9B" w:rsidRPr="00785FB4" w:rsidRDefault="008D4B9B" w:rsidP="008D4B9B">
      <w:pPr>
        <w:numPr>
          <w:ilvl w:val="0"/>
          <w:numId w:val="5"/>
        </w:numPr>
        <w:spacing w:before="120"/>
      </w:pPr>
      <w:r w:rsidRPr="00785FB4">
        <w:t xml:space="preserve">Office of the President (October 2014), ‘President Ghani: State-Building Is Impossible Without Civil Society’ accessed on </w:t>
      </w:r>
      <w:hyperlink r:id="rId95" w:history="1">
        <w:r w:rsidRPr="00785FB4">
          <w:rPr>
            <w:rStyle w:val="Hyperlink"/>
            <w:rFonts w:cs="Calibri"/>
          </w:rPr>
          <w:t>https://president.gov.af/en/news/president-ghani-state-building-is-impossible-without-civil-society/</w:t>
        </w:r>
      </w:hyperlink>
      <w:r w:rsidRPr="00785FB4">
        <w:t xml:space="preserve">  in April 2018</w:t>
      </w:r>
    </w:p>
    <w:p w14:paraId="1DE8DFC5" w14:textId="77777777" w:rsidR="004C73D3" w:rsidRPr="00785FB4" w:rsidRDefault="004C73D3" w:rsidP="00A94167">
      <w:pPr>
        <w:pStyle w:val="Heading3"/>
      </w:pPr>
      <w:bookmarkStart w:id="694" w:name="_Toc505449746"/>
      <w:r w:rsidRPr="00785FB4">
        <w:t>External websites:</w:t>
      </w:r>
      <w:bookmarkEnd w:id="694"/>
      <w:r w:rsidRPr="00785FB4">
        <w:t xml:space="preserve"> </w:t>
      </w:r>
    </w:p>
    <w:p w14:paraId="60C9B284" w14:textId="3658F6A3" w:rsidR="00DB23D8" w:rsidRPr="00785FB4" w:rsidRDefault="00DB23D8" w:rsidP="00DB23D8">
      <w:pPr>
        <w:numPr>
          <w:ilvl w:val="0"/>
          <w:numId w:val="5"/>
        </w:numPr>
        <w:spacing w:before="120"/>
      </w:pPr>
      <w:r w:rsidRPr="00785FB4">
        <w:t xml:space="preserve">AEITI (January 2016), ‘AEITI Reconciliation Report’, accessed on </w:t>
      </w:r>
      <w:hyperlink r:id="rId96" w:history="1">
        <w:r w:rsidRPr="00785FB4">
          <w:rPr>
            <w:rStyle w:val="Hyperlink"/>
            <w:rFonts w:cs="Calibri"/>
          </w:rPr>
          <w:t>https://www.youtube.com/watch?v=EzRiIvAbByQ&amp;feature=youtu.be</w:t>
        </w:r>
      </w:hyperlink>
      <w:r w:rsidRPr="00785FB4">
        <w:t xml:space="preserve"> in April 2018: Youtube.</w:t>
      </w:r>
    </w:p>
    <w:p w14:paraId="1299780D" w14:textId="77777777" w:rsidR="002356DE" w:rsidRPr="00785FB4" w:rsidRDefault="002356DE" w:rsidP="002356DE">
      <w:pPr>
        <w:numPr>
          <w:ilvl w:val="0"/>
          <w:numId w:val="5"/>
        </w:numPr>
        <w:spacing w:before="120"/>
      </w:pPr>
      <w:r w:rsidRPr="00785FB4">
        <w:t xml:space="preserve">Afghanistan EITI (AEITI) Website, accessed on </w:t>
      </w:r>
      <w:hyperlink r:id="rId97" w:history="1">
        <w:r w:rsidRPr="00785FB4">
          <w:rPr>
            <w:rStyle w:val="Hyperlink"/>
          </w:rPr>
          <w:t>http://www.aeiti.af/en</w:t>
        </w:r>
      </w:hyperlink>
      <w:r w:rsidRPr="00785FB4">
        <w:t>.</w:t>
      </w:r>
    </w:p>
    <w:p w14:paraId="5C938A83" w14:textId="326ED40D" w:rsidR="00112D9C" w:rsidRPr="00785FB4" w:rsidRDefault="00150AA3" w:rsidP="00DB23D8">
      <w:pPr>
        <w:numPr>
          <w:ilvl w:val="0"/>
          <w:numId w:val="5"/>
        </w:numPr>
        <w:spacing w:before="120"/>
      </w:pPr>
      <w:r w:rsidRPr="00785FB4">
        <w:t xml:space="preserve">EITI Website Afghanistan country page, accessed on </w:t>
      </w:r>
      <w:hyperlink r:id="rId98" w:history="1">
        <w:r w:rsidRPr="00785FB4">
          <w:rPr>
            <w:rStyle w:val="Hyperlink"/>
          </w:rPr>
          <w:t>https://eiti.org/afghanistan</w:t>
        </w:r>
      </w:hyperlink>
      <w:r w:rsidRPr="00785FB4">
        <w:t>.</w:t>
      </w:r>
    </w:p>
    <w:p w14:paraId="478E9FC1" w14:textId="4799EE84" w:rsidR="008D4B9B" w:rsidRPr="00785FB4" w:rsidRDefault="008D4B9B" w:rsidP="008D4B9B">
      <w:pPr>
        <w:numPr>
          <w:ilvl w:val="0"/>
          <w:numId w:val="5"/>
        </w:numPr>
        <w:spacing w:before="120"/>
      </w:pPr>
      <w:r w:rsidRPr="00785FB4">
        <w:t xml:space="preserve">Facebook (2017), ‘AEITI’, accessed on </w:t>
      </w:r>
      <w:hyperlink r:id="rId99" w:history="1">
        <w:r w:rsidRPr="00785FB4">
          <w:rPr>
            <w:rStyle w:val="Hyperlink"/>
            <w:rFonts w:cs="Calibri"/>
          </w:rPr>
          <w:t>https://www.facebook.com/AEITI/</w:t>
        </w:r>
      </w:hyperlink>
      <w:r w:rsidRPr="00785FB4">
        <w:t>.</w:t>
      </w:r>
    </w:p>
    <w:p w14:paraId="1DB9B80D" w14:textId="046C3DE1" w:rsidR="008D4B9B" w:rsidRPr="00785FB4" w:rsidRDefault="008D4B9B" w:rsidP="008D4B9B">
      <w:pPr>
        <w:numPr>
          <w:ilvl w:val="0"/>
          <w:numId w:val="5"/>
        </w:numPr>
        <w:spacing w:before="120"/>
      </w:pPr>
      <w:r w:rsidRPr="00785FB4">
        <w:t xml:space="preserve">Freedom House (2017) ‘Afghanistan profile’, accessed on </w:t>
      </w:r>
      <w:hyperlink r:id="rId100" w:history="1">
        <w:r w:rsidRPr="00785FB4">
          <w:rPr>
            <w:rStyle w:val="Hyperlink"/>
            <w:rFonts w:cs="Calibri"/>
          </w:rPr>
          <w:t>https://freedomhouse.org/report/freedom-press/2017/afghanistan</w:t>
        </w:r>
      </w:hyperlink>
      <w:r w:rsidRPr="00785FB4">
        <w:t xml:space="preserve"> in April 2018.</w:t>
      </w:r>
    </w:p>
    <w:p w14:paraId="021F03BC" w14:textId="77D767E5" w:rsidR="00150AA3" w:rsidRPr="00785FB4" w:rsidRDefault="00150AA3" w:rsidP="008D4B9B">
      <w:pPr>
        <w:numPr>
          <w:ilvl w:val="0"/>
          <w:numId w:val="5"/>
        </w:numPr>
        <w:spacing w:before="120"/>
      </w:pPr>
      <w:r w:rsidRPr="00785FB4">
        <w:lastRenderedPageBreak/>
        <w:t xml:space="preserve">World Bank Open Data website, accessed on </w:t>
      </w:r>
      <w:hyperlink r:id="rId101" w:history="1">
        <w:r w:rsidRPr="00785FB4">
          <w:rPr>
            <w:rStyle w:val="Hyperlink"/>
            <w:rFonts w:cs="Calibri"/>
          </w:rPr>
          <w:t>https://data.worldbank.org/</w:t>
        </w:r>
      </w:hyperlink>
      <w:r w:rsidRPr="00785FB4">
        <w:t xml:space="preserve"> in January 2018.</w:t>
      </w:r>
    </w:p>
    <w:p w14:paraId="128F58EC" w14:textId="1DAEBC80" w:rsidR="00D97292" w:rsidRPr="00785FB4" w:rsidRDefault="00D97292" w:rsidP="00D97292">
      <w:pPr>
        <w:numPr>
          <w:ilvl w:val="0"/>
          <w:numId w:val="5"/>
        </w:numPr>
        <w:spacing w:before="120"/>
      </w:pPr>
      <w:r w:rsidRPr="00785FB4">
        <w:t xml:space="preserve">World Bank, World Integrated Trade Solution, accessed on </w:t>
      </w:r>
      <w:hyperlink r:id="rId102" w:history="1">
        <w:r w:rsidRPr="00785FB4">
          <w:rPr>
            <w:rStyle w:val="Hyperlink"/>
          </w:rPr>
          <w:t>https://wits.worldbank.org/CountryProfile/en/Country/AFG/Year/2015/TradeFlow/Export/Partner/WLD/Product/All-Groups</w:t>
        </w:r>
      </w:hyperlink>
      <w:r w:rsidRPr="00785FB4">
        <w:t xml:space="preserve"> in December 2017. </w:t>
      </w:r>
    </w:p>
    <w:p w14:paraId="501EFF1A" w14:textId="77777777" w:rsidR="00150AA3" w:rsidRPr="00785FB4" w:rsidRDefault="00150AA3" w:rsidP="00150AA3">
      <w:pPr>
        <w:numPr>
          <w:ilvl w:val="0"/>
          <w:numId w:val="5"/>
        </w:numPr>
        <w:spacing w:before="120"/>
      </w:pPr>
      <w:r w:rsidRPr="00785FB4">
        <w:t xml:space="preserve">Mining Cadaster Online Maps of the Ministry of Mines and Petroleum of the Islamic Republic of Afghanistan, accessed on </w:t>
      </w:r>
      <w:hyperlink r:id="rId103" w:history="1">
        <w:r w:rsidRPr="00785FB4">
          <w:rPr>
            <w:rStyle w:val="Hyperlink"/>
            <w:rFonts w:cs="Calibri"/>
          </w:rPr>
          <w:t>https://sdnrp-mining.gaf.de/all-licenses</w:t>
        </w:r>
      </w:hyperlink>
      <w:r w:rsidRPr="00785FB4">
        <w:t xml:space="preserve"> in January 2018. </w:t>
      </w:r>
    </w:p>
    <w:p w14:paraId="699477B7" w14:textId="25499CD7" w:rsidR="009A621C" w:rsidRPr="00785FB4" w:rsidRDefault="009A621C" w:rsidP="009A621C">
      <w:pPr>
        <w:numPr>
          <w:ilvl w:val="0"/>
          <w:numId w:val="5"/>
        </w:numPr>
        <w:spacing w:before="120"/>
      </w:pPr>
      <w:r w:rsidRPr="00785FB4">
        <w:t xml:space="preserve">Mining Watch Afghanistan (no date), ‘Contribution to AEITI’, accessed on </w:t>
      </w:r>
      <w:hyperlink r:id="rId104" w:history="1">
        <w:r w:rsidRPr="00785FB4">
          <w:rPr>
            <w:rStyle w:val="Hyperlink"/>
            <w:rFonts w:cs="Calibri"/>
          </w:rPr>
          <w:t>http://miningwatch.af/?page_id=347</w:t>
        </w:r>
      </w:hyperlink>
      <w:r w:rsidRPr="00785FB4">
        <w:t xml:space="preserve"> in April 2018.</w:t>
      </w:r>
    </w:p>
    <w:p w14:paraId="502D5924" w14:textId="6741FD04" w:rsidR="00150AA3" w:rsidRPr="00785FB4" w:rsidRDefault="00DB56BA" w:rsidP="009A621C">
      <w:pPr>
        <w:numPr>
          <w:ilvl w:val="0"/>
          <w:numId w:val="5"/>
        </w:numPr>
        <w:spacing w:before="120"/>
      </w:pPr>
      <w:r w:rsidRPr="00785FB4">
        <w:t>MOMP</w:t>
      </w:r>
      <w:r w:rsidR="00150AA3" w:rsidRPr="00785FB4">
        <w:t xml:space="preserve"> Transparency Portal, accessed on </w:t>
      </w:r>
      <w:hyperlink r:id="rId105" w:history="1">
        <w:r w:rsidR="00150AA3" w:rsidRPr="00785FB4">
          <w:rPr>
            <w:rStyle w:val="Hyperlink"/>
            <w:rFonts w:cs="Calibri"/>
          </w:rPr>
          <w:t>https://afghanistan.revenuedev.org/dashboard</w:t>
        </w:r>
      </w:hyperlink>
      <w:r w:rsidR="00150AA3" w:rsidRPr="00785FB4">
        <w:t xml:space="preserve"> in January 2018. </w:t>
      </w:r>
    </w:p>
    <w:p w14:paraId="02604EA3" w14:textId="5D72A5CB" w:rsidR="00150AA3" w:rsidRPr="00785FB4" w:rsidRDefault="00150AA3" w:rsidP="00150AA3">
      <w:pPr>
        <w:numPr>
          <w:ilvl w:val="0"/>
          <w:numId w:val="5"/>
        </w:numPr>
        <w:spacing w:before="120"/>
      </w:pPr>
      <w:r w:rsidRPr="00785FB4">
        <w:t xml:space="preserve">Afghanistan Central Business Registry, Company verification platform, accessed on </w:t>
      </w:r>
      <w:hyperlink r:id="rId106" w:history="1">
        <w:r w:rsidRPr="00785FB4">
          <w:rPr>
            <w:rStyle w:val="Hyperlink"/>
            <w:rFonts w:cs="Calibri"/>
          </w:rPr>
          <w:t>https://www.acbrip.gov.af/companyverification/</w:t>
        </w:r>
      </w:hyperlink>
      <w:r w:rsidRPr="00785FB4">
        <w:t xml:space="preserve"> in December 2017. </w:t>
      </w:r>
    </w:p>
    <w:p w14:paraId="5FF1AEA8" w14:textId="6059F53E" w:rsidR="00112D9C" w:rsidRPr="00785FB4" w:rsidRDefault="009324FF" w:rsidP="00A94167">
      <w:pPr>
        <w:pStyle w:val="Heading3"/>
      </w:pPr>
      <w:bookmarkStart w:id="695" w:name="_Toc505449747"/>
      <w:r w:rsidRPr="00785FB4">
        <w:t xml:space="preserve">Secondary </w:t>
      </w:r>
      <w:r w:rsidR="00DD4178" w:rsidRPr="00785FB4">
        <w:t>literature</w:t>
      </w:r>
      <w:r w:rsidR="006D6F48" w:rsidRPr="00785FB4">
        <w:t>:</w:t>
      </w:r>
      <w:bookmarkEnd w:id="695"/>
      <w:r w:rsidR="006D6F48" w:rsidRPr="00785FB4">
        <w:t xml:space="preserve"> </w:t>
      </w:r>
    </w:p>
    <w:p w14:paraId="79EC7F55" w14:textId="66F8205D" w:rsidR="008D4B9B" w:rsidRPr="00785FB4" w:rsidRDefault="008D4B9B" w:rsidP="008D4B9B">
      <w:pPr>
        <w:numPr>
          <w:ilvl w:val="0"/>
          <w:numId w:val="5"/>
        </w:numPr>
        <w:spacing w:before="120"/>
      </w:pPr>
      <w:r w:rsidRPr="00785FB4">
        <w:t xml:space="preserve">Afghanistan EITI (February 2014), ‘Brief report on AEITI workshop delivered in preparations for the 3rd Reconciliation Report with Extractive Industries Sector’ </w:t>
      </w:r>
      <w:hyperlink r:id="rId107" w:history="1">
        <w:r w:rsidRPr="00785FB4">
          <w:rPr>
            <w:rStyle w:val="Hyperlink"/>
            <w:rFonts w:cs="Calibri"/>
          </w:rPr>
          <w:t>http://aeiti.af/Content/Media/Documents/WorkshopforExtractiveIndustries2014192201724621107553325325.pdf</w:t>
        </w:r>
      </w:hyperlink>
      <w:r w:rsidRPr="00785FB4">
        <w:t xml:space="preserve"> in April 2018. </w:t>
      </w:r>
    </w:p>
    <w:p w14:paraId="17FD7E65" w14:textId="15C32198" w:rsidR="002356DE" w:rsidRPr="00785FB4" w:rsidRDefault="002356DE" w:rsidP="008D4B9B">
      <w:pPr>
        <w:numPr>
          <w:ilvl w:val="0"/>
          <w:numId w:val="5"/>
        </w:numPr>
        <w:spacing w:before="120"/>
      </w:pPr>
      <w:r w:rsidRPr="00785FB4">
        <w:t xml:space="preserve">Afghanistan EITI (August 2017), ‘Debate on AEITI’s 5th Reconciliation Report in Kandahar Province’, accessed on </w:t>
      </w:r>
      <w:hyperlink r:id="rId108" w:history="1">
        <w:r w:rsidRPr="00785FB4">
          <w:rPr>
            <w:rStyle w:val="Hyperlink"/>
            <w:rFonts w:cs="Calibri"/>
          </w:rPr>
          <w:t>http://aeiti.af/en/news/aeitis-5th-reconciliation-report-was-shared-with-government-officials-and-civil-society-members-in-kandahar-province</w:t>
        </w:r>
      </w:hyperlink>
      <w:r w:rsidRPr="00785FB4">
        <w:t xml:space="preserve"> in April 2018.</w:t>
      </w:r>
    </w:p>
    <w:p w14:paraId="39467D3C" w14:textId="1D27B954" w:rsidR="002356DE" w:rsidRPr="00785FB4" w:rsidRDefault="002356DE" w:rsidP="002356DE">
      <w:pPr>
        <w:numPr>
          <w:ilvl w:val="0"/>
          <w:numId w:val="5"/>
        </w:numPr>
        <w:spacing w:before="120"/>
      </w:pPr>
      <w:r w:rsidRPr="00785FB4">
        <w:t xml:space="preserve">Afghanistan EITI (October 2017), ‘The details of the 5th report was shared with members of CSOs, private sector and publics in Herat’, accessed on  </w:t>
      </w:r>
      <w:hyperlink r:id="rId109" w:history="1">
        <w:r w:rsidRPr="00785FB4">
          <w:rPr>
            <w:rStyle w:val="Hyperlink"/>
            <w:rFonts w:cs="Calibri"/>
          </w:rPr>
          <w:t>http://aeiti.af/en/news/the-5th-report-was-shared-with-members-of-csos-private-sectore-and-publics</w:t>
        </w:r>
      </w:hyperlink>
      <w:r w:rsidRPr="00785FB4">
        <w:t xml:space="preserve"> in April 2018.</w:t>
      </w:r>
    </w:p>
    <w:p w14:paraId="3C76DB9D" w14:textId="16BBAF73" w:rsidR="005F3BBF" w:rsidRPr="00785FB4" w:rsidRDefault="005F3BBF" w:rsidP="002356DE">
      <w:pPr>
        <w:numPr>
          <w:ilvl w:val="0"/>
          <w:numId w:val="5"/>
        </w:numPr>
        <w:spacing w:before="120"/>
      </w:pPr>
      <w:r w:rsidRPr="00785FB4">
        <w:t xml:space="preserve">Afghanistan Times (2015), ‘Media censorship increased in Afghanistan: Nai’, accessed on </w:t>
      </w:r>
      <w:hyperlink r:id="rId110" w:history="1">
        <w:r w:rsidRPr="00785FB4">
          <w:rPr>
            <w:rStyle w:val="Hyperlink"/>
            <w:rFonts w:cs="Calibri"/>
          </w:rPr>
          <w:t>http://afghanistantimes.af/media-censorship-increased-in-afghanistan-nai/</w:t>
        </w:r>
      </w:hyperlink>
      <w:r w:rsidRPr="00785FB4">
        <w:t xml:space="preserve"> in April 2018.</w:t>
      </w:r>
    </w:p>
    <w:p w14:paraId="3CE37FA1" w14:textId="0BDD6394" w:rsidR="00D97292" w:rsidRPr="00785FB4" w:rsidRDefault="00D97292" w:rsidP="005F3BBF">
      <w:pPr>
        <w:numPr>
          <w:ilvl w:val="0"/>
          <w:numId w:val="5"/>
        </w:numPr>
        <w:spacing w:before="120"/>
      </w:pPr>
      <w:r w:rsidRPr="00785FB4">
        <w:t xml:space="preserve">Erica Downs (2012), ‘China buys into Afghanistan’, in SAIS Review vol. XXXII no.2 (Summer-Fall 2012), John Hopkins University Press, accessed on </w:t>
      </w:r>
      <w:hyperlink r:id="rId111" w:history="1">
        <w:r w:rsidRPr="00785FB4">
          <w:rPr>
            <w:rStyle w:val="Hyperlink"/>
            <w:rFonts w:cs="Calibri"/>
          </w:rPr>
          <w:t>https://www.brookings.edu/wp-content/uploads/2016/06/China-Buys-into-Afghanistan-Erica-Downs.pdf</w:t>
        </w:r>
      </w:hyperlink>
      <w:r w:rsidRPr="00785FB4">
        <w:t xml:space="preserve"> in January 2018. </w:t>
      </w:r>
    </w:p>
    <w:p w14:paraId="0F31AD0A" w14:textId="77777777" w:rsidR="002356DE" w:rsidRPr="00785FB4" w:rsidRDefault="002356DE" w:rsidP="002356DE">
      <w:pPr>
        <w:numPr>
          <w:ilvl w:val="0"/>
          <w:numId w:val="5"/>
        </w:numPr>
        <w:spacing w:before="120"/>
      </w:pPr>
      <w:r w:rsidRPr="00785FB4">
        <w:t xml:space="preserve">Freedom House (2017), ‘Afghanistan - status change’, accessed on </w:t>
      </w:r>
      <w:hyperlink r:id="rId112" w:history="1">
        <w:r w:rsidRPr="00785FB4">
          <w:rPr>
            <w:rStyle w:val="Hyperlink"/>
            <w:rFonts w:cs="Calibri"/>
          </w:rPr>
          <w:t>https://www.justice.gov/eoir/page/file/1023176/download</w:t>
        </w:r>
      </w:hyperlink>
      <w:r w:rsidRPr="00785FB4">
        <w:t xml:space="preserve"> in January 2018.</w:t>
      </w:r>
    </w:p>
    <w:p w14:paraId="7EA42232" w14:textId="480D802E" w:rsidR="00D97292" w:rsidRPr="00785FB4" w:rsidRDefault="00D97292" w:rsidP="00D97292">
      <w:pPr>
        <w:numPr>
          <w:ilvl w:val="0"/>
          <w:numId w:val="5"/>
        </w:numPr>
        <w:spacing w:before="120"/>
      </w:pPr>
      <w:r w:rsidRPr="00785FB4">
        <w:t xml:space="preserve">GAF AG EMC+ (2008), ‘Establishment of cadaster, inspectorate, audit and licensing functions in </w:t>
      </w:r>
      <w:r w:rsidRPr="00785FB4">
        <w:lastRenderedPageBreak/>
        <w:t xml:space="preserve">the Ministry of Mines’, accessed on </w:t>
      </w:r>
      <w:hyperlink r:id="rId113" w:history="1">
        <w:r w:rsidRPr="00785FB4">
          <w:rPr>
            <w:rStyle w:val="Hyperlink"/>
          </w:rPr>
          <w:t>https://emcplus.gaf.de/countries/7</w:t>
        </w:r>
      </w:hyperlink>
      <w:r w:rsidRPr="00785FB4">
        <w:t xml:space="preserve"> in January 2018. </w:t>
      </w:r>
    </w:p>
    <w:p w14:paraId="48FB2FA4" w14:textId="3EC5B22F" w:rsidR="005F3BBF" w:rsidRPr="00785FB4" w:rsidRDefault="005F3BBF" w:rsidP="005F3BBF">
      <w:pPr>
        <w:numPr>
          <w:ilvl w:val="0"/>
          <w:numId w:val="5"/>
        </w:numPr>
        <w:spacing w:before="120"/>
      </w:pPr>
      <w:r w:rsidRPr="00785FB4">
        <w:t xml:space="preserve">German Cooperation with Afghanistan (2017), ‘Towards Full Membership: Afghanistan Extractive Industries Transparency Initiative (AEITI)’, accessed on </w:t>
      </w:r>
      <w:hyperlink r:id="rId114" w:history="1">
        <w:r w:rsidRPr="00785FB4">
          <w:rPr>
            <w:rStyle w:val="Hyperlink"/>
            <w:rFonts w:cs="Calibri"/>
          </w:rPr>
          <w:t>http://www.ez-afghanistan.de/en/news/towards-full-membership-afghanistan-extractive-industries-transparency-initiative-aeiti</w:t>
        </w:r>
      </w:hyperlink>
      <w:r w:rsidRPr="00785FB4">
        <w:t xml:space="preserve"> in April 2018.</w:t>
      </w:r>
    </w:p>
    <w:p w14:paraId="3B0BA5CE" w14:textId="1A7F0B68" w:rsidR="007E6DB4" w:rsidRPr="00785FB4" w:rsidRDefault="007E6DB4" w:rsidP="007E6DB4">
      <w:pPr>
        <w:numPr>
          <w:ilvl w:val="0"/>
          <w:numId w:val="5"/>
        </w:numPr>
        <w:spacing w:before="120"/>
      </w:pPr>
      <w:r w:rsidRPr="00785FB4">
        <w:t xml:space="preserve">Hart Group (2013), ‘Final report on Validation of the implementation of the EITI Afghanistan’ </w:t>
      </w:r>
      <w:hyperlink r:id="rId115" w:history="1">
        <w:r w:rsidRPr="00785FB4">
          <w:rPr>
            <w:rStyle w:val="Hyperlink"/>
            <w:rFonts w:cs="Calibri"/>
          </w:rPr>
          <w:t>https://eiti.org/sites/default/files/documents/2013_afghanistan_validation_report.pdf</w:t>
        </w:r>
      </w:hyperlink>
      <w:r w:rsidRPr="00785FB4">
        <w:t>, accessed in April 2018.</w:t>
      </w:r>
    </w:p>
    <w:p w14:paraId="79C0C8C7" w14:textId="77777777" w:rsidR="00D97292" w:rsidRPr="00785FB4" w:rsidRDefault="00D97292" w:rsidP="00D97292">
      <w:pPr>
        <w:numPr>
          <w:ilvl w:val="0"/>
          <w:numId w:val="5"/>
        </w:numPr>
        <w:spacing w:before="120"/>
      </w:pPr>
      <w:r w:rsidRPr="00785FB4">
        <w:t xml:space="preserve">Heinrich Böll Stiftung Afghanistan (2016), ‘Mining in Afghanistan’, accessed on </w:t>
      </w:r>
      <w:hyperlink r:id="rId116" w:history="1">
        <w:r w:rsidRPr="00785FB4">
          <w:rPr>
            <w:rStyle w:val="Hyperlink"/>
            <w:rFonts w:cs="Calibri"/>
          </w:rPr>
          <w:t>https://www.boell.de/sites/default/files/assets/boell.de/images/download_de/worldwide/Mining_in_Afghanistan_KorrekturenCL.pdf</w:t>
        </w:r>
      </w:hyperlink>
      <w:r w:rsidRPr="00785FB4">
        <w:t xml:space="preserve"> in January 2018. </w:t>
      </w:r>
    </w:p>
    <w:p w14:paraId="73E37ACB" w14:textId="77777777" w:rsidR="00D97292" w:rsidRPr="00785FB4" w:rsidRDefault="00D97292" w:rsidP="00D97292">
      <w:pPr>
        <w:numPr>
          <w:ilvl w:val="0"/>
          <w:numId w:val="5"/>
        </w:numPr>
        <w:spacing w:before="120"/>
      </w:pPr>
      <w:r w:rsidRPr="00785FB4">
        <w:t xml:space="preserve">IMF (December 2017), ‘Islamic Republic of Afghanistan: 2017 Article IV consultation and second review of the extended credit facility arrangement’, accessed on </w:t>
      </w:r>
      <w:hyperlink r:id="rId117" w:history="1">
        <w:r w:rsidRPr="00785FB4">
          <w:rPr>
            <w:rStyle w:val="Hyperlink"/>
          </w:rPr>
          <w:t>http://www.imf.org/~/media/Files/Publications/CR/2017/cr17377.ashx</w:t>
        </w:r>
      </w:hyperlink>
      <w:r w:rsidRPr="00785FB4">
        <w:t xml:space="preserve"> in January 2018.  </w:t>
      </w:r>
    </w:p>
    <w:p w14:paraId="78EAAB5D" w14:textId="77777777" w:rsidR="00D97292" w:rsidRPr="00785FB4" w:rsidRDefault="00D97292" w:rsidP="00150AA3">
      <w:pPr>
        <w:numPr>
          <w:ilvl w:val="0"/>
          <w:numId w:val="5"/>
        </w:numPr>
        <w:spacing w:before="120"/>
      </w:pPr>
      <w:r w:rsidRPr="00785FB4">
        <w:t xml:space="preserve">IMF (July 2016), ‘IMF Loan for Afghanistan to Support Growth, Catalyze Donor Aid’, accessed on </w:t>
      </w:r>
      <w:hyperlink r:id="rId118" w:history="1">
        <w:r w:rsidRPr="00785FB4">
          <w:rPr>
            <w:rStyle w:val="Hyperlink"/>
          </w:rPr>
          <w:t>https://www.imf.org/en/News/Articles/2016/07/21/15/07/NA072216-IMF-Loan-for-Afghanistan-to-support-Inclusive-Growth</w:t>
        </w:r>
      </w:hyperlink>
      <w:r w:rsidRPr="00785FB4">
        <w:t xml:space="preserve"> in January 2018. </w:t>
      </w:r>
    </w:p>
    <w:p w14:paraId="5DBD0518" w14:textId="00DCE8FF" w:rsidR="00D97292" w:rsidRPr="00785FB4" w:rsidRDefault="00D97292" w:rsidP="00150AA3">
      <w:pPr>
        <w:numPr>
          <w:ilvl w:val="0"/>
          <w:numId w:val="5"/>
        </w:numPr>
        <w:spacing w:before="120"/>
      </w:pPr>
      <w:r w:rsidRPr="00785FB4">
        <w:t xml:space="preserve">IMF (May 2016), ‘Islamic Republic of Afghanistan: Second review of the staff-monitored program – press release and staff report’, accessed on </w:t>
      </w:r>
      <w:hyperlink r:id="rId119" w:history="1">
        <w:r w:rsidRPr="00785FB4">
          <w:rPr>
            <w:rStyle w:val="Hyperlink"/>
          </w:rPr>
          <w:t>https://www.imf.org/external/pubs/ft/scr/2016/cr16120.pdf</w:t>
        </w:r>
      </w:hyperlink>
      <w:r w:rsidRPr="00785FB4">
        <w:t xml:space="preserve"> in January 2018. </w:t>
      </w:r>
    </w:p>
    <w:p w14:paraId="35E32B12" w14:textId="0AE6F36D" w:rsidR="005F3BBF" w:rsidRPr="00785FB4" w:rsidRDefault="005F3BBF" w:rsidP="005F3BBF">
      <w:pPr>
        <w:numPr>
          <w:ilvl w:val="0"/>
          <w:numId w:val="5"/>
        </w:numPr>
        <w:spacing w:before="120"/>
      </w:pPr>
      <w:r w:rsidRPr="00785FB4">
        <w:t xml:space="preserve">International Center for non-for-profit Law (2017), ‘Civic Freedom Monitor: Afghanistan’, accessed on </w:t>
      </w:r>
      <w:hyperlink r:id="rId120" w:history="1">
        <w:r w:rsidRPr="00785FB4">
          <w:rPr>
            <w:rStyle w:val="Hyperlink"/>
            <w:rFonts w:cs="Calibri"/>
          </w:rPr>
          <w:t>http://www.icnl.org/research/monitor/afghanistan.html</w:t>
        </w:r>
      </w:hyperlink>
      <w:r w:rsidRPr="00785FB4">
        <w:t xml:space="preserve">  in April 2018.</w:t>
      </w:r>
    </w:p>
    <w:p w14:paraId="59156234" w14:textId="5A3E4C1B" w:rsidR="005F3BBF" w:rsidRPr="00785FB4" w:rsidRDefault="005F3BBF" w:rsidP="005F3BBF">
      <w:pPr>
        <w:numPr>
          <w:ilvl w:val="0"/>
          <w:numId w:val="5"/>
        </w:numPr>
        <w:spacing w:before="120"/>
      </w:pPr>
      <w:r w:rsidRPr="00785FB4">
        <w:t xml:space="preserve">Ni, Daisy (2017), ‘Threats to freedom of expression in Afghanistan’, accessed on </w:t>
      </w:r>
      <w:hyperlink r:id="rId121" w:history="1">
        <w:r w:rsidRPr="00785FB4">
          <w:rPr>
            <w:rStyle w:val="Hyperlink"/>
            <w:rFonts w:cs="Calibri"/>
          </w:rPr>
          <w:t>https://5clpp.com/2017/11/08/threats-to-freedom-of-expression-in-afghanistan/</w:t>
        </w:r>
      </w:hyperlink>
      <w:r w:rsidRPr="00785FB4">
        <w:t xml:space="preserve"> in April 2018: The Claremont Journal of Law and Public Policy.</w:t>
      </w:r>
    </w:p>
    <w:p w14:paraId="377962BB" w14:textId="77777777" w:rsidR="00D97292" w:rsidRPr="00785FB4" w:rsidRDefault="00D97292" w:rsidP="00150AA3">
      <w:pPr>
        <w:numPr>
          <w:ilvl w:val="0"/>
          <w:numId w:val="5"/>
        </w:numPr>
        <w:spacing w:before="120"/>
      </w:pPr>
      <w:r w:rsidRPr="00785FB4">
        <w:t xml:space="preserve">Norwegian Institute of International Affairs (December 2017), ‘Afghanistan: A Political Economy Analysis’, accessed on </w:t>
      </w:r>
      <w:hyperlink r:id="rId122" w:history="1">
        <w:r w:rsidRPr="00785FB4">
          <w:rPr>
            <w:rStyle w:val="Hyperlink"/>
            <w:rFonts w:cs="Calibri"/>
          </w:rPr>
          <w:t>https://brage.bibsys.no/xmlui/bitstream/handle/11250/2470515/NUPI_rapport_Afghanistan_Strand_Borchgrevink_BergHarpviken.pdf?sequence=2&amp;isAllowed=y</w:t>
        </w:r>
      </w:hyperlink>
      <w:r w:rsidRPr="00785FB4">
        <w:t xml:space="preserve"> in January 2018. </w:t>
      </w:r>
    </w:p>
    <w:p w14:paraId="46CD60D2" w14:textId="4F870FF3" w:rsidR="00D97292" w:rsidRPr="00785FB4" w:rsidRDefault="00D97292" w:rsidP="00D97292">
      <w:pPr>
        <w:numPr>
          <w:ilvl w:val="0"/>
          <w:numId w:val="5"/>
        </w:numPr>
        <w:spacing w:before="120"/>
      </w:pPr>
      <w:r w:rsidRPr="00785FB4">
        <w:t xml:space="preserve">Pakistan Federal Board of Revenue, Trade Statistics: Imports from Afghanistan January 2014-December 2015’, accessed on </w:t>
      </w:r>
      <w:hyperlink r:id="rId123" w:history="1">
        <w:r w:rsidRPr="00785FB4">
          <w:rPr>
            <w:rStyle w:val="Hyperlink"/>
          </w:rPr>
          <w:t>http://www.fbr.gov.pk/TradeStatistics/COUNTRYWISE_DTL411.aspx?id=Afghanistan</w:t>
        </w:r>
      </w:hyperlink>
      <w:r w:rsidRPr="00785FB4">
        <w:t xml:space="preserve"> in January 2018. </w:t>
      </w:r>
    </w:p>
    <w:p w14:paraId="0B7BAEBA" w14:textId="62B19EBB" w:rsidR="00553861" w:rsidRPr="00785FB4" w:rsidRDefault="00553861" w:rsidP="00553861">
      <w:pPr>
        <w:numPr>
          <w:ilvl w:val="0"/>
          <w:numId w:val="5"/>
        </w:numPr>
        <w:spacing w:before="120"/>
      </w:pPr>
      <w:r w:rsidRPr="00785FB4">
        <w:lastRenderedPageBreak/>
        <w:t xml:space="preserve">Permanent Mission of Afghanistan to the UN in New York (January 2010), ‘Afghan Leadership, Regional Cooperation, International Partnership’, accessed on </w:t>
      </w:r>
      <w:hyperlink r:id="rId124" w:history="1">
        <w:r w:rsidRPr="00785FB4">
          <w:rPr>
            <w:rStyle w:val="Hyperlink"/>
            <w:rFonts w:cs="Calibri"/>
          </w:rPr>
          <w:t>http://afghanistan-un.org/2010/01/afghan-leadership-regional-cooperation-international-partnership/</w:t>
        </w:r>
      </w:hyperlink>
      <w:r w:rsidRPr="00785FB4">
        <w:t xml:space="preserve"> in April 2018.</w:t>
      </w:r>
    </w:p>
    <w:p w14:paraId="50083DAB" w14:textId="77777777" w:rsidR="00D97292" w:rsidRPr="00785FB4" w:rsidRDefault="00D97292" w:rsidP="00150AA3">
      <w:pPr>
        <w:numPr>
          <w:ilvl w:val="0"/>
          <w:numId w:val="5"/>
        </w:numPr>
        <w:spacing w:before="120"/>
      </w:pPr>
      <w:r w:rsidRPr="00785FB4">
        <w:t xml:space="preserve">Resource Contracts, Afghanistan contracts, accessed on </w:t>
      </w:r>
      <w:hyperlink r:id="rId125" w:history="1">
        <w:r w:rsidRPr="00785FB4">
          <w:rPr>
            <w:rStyle w:val="Hyperlink"/>
          </w:rPr>
          <w:t>http://www.resourcecontracts.org/search?q=afghanistan</w:t>
        </w:r>
      </w:hyperlink>
      <w:r w:rsidRPr="00785FB4">
        <w:t xml:space="preserve"> in December 2017. </w:t>
      </w:r>
    </w:p>
    <w:p w14:paraId="673299BE" w14:textId="77777777" w:rsidR="00D97292" w:rsidRPr="00785FB4" w:rsidRDefault="00D97292" w:rsidP="00D97292">
      <w:pPr>
        <w:numPr>
          <w:ilvl w:val="0"/>
          <w:numId w:val="5"/>
        </w:numPr>
        <w:spacing w:before="120"/>
      </w:pPr>
      <w:r w:rsidRPr="00785FB4">
        <w:t xml:space="preserve">Reuters (May 2016), ‘Hopes and fears for jobs as Afghan cement factory reopens’, accessed on </w:t>
      </w:r>
      <w:hyperlink r:id="rId126" w:history="1">
        <w:r w:rsidRPr="00785FB4">
          <w:rPr>
            <w:rStyle w:val="Hyperlink"/>
            <w:rFonts w:cs="Calibri"/>
          </w:rPr>
          <w:t>https://www.reuters.com/article/us-afghanistan-cement/hopes-and-fears-for-jobs-as-afghan-cement-factory-reopens-idUSKCN0YL0W6</w:t>
        </w:r>
      </w:hyperlink>
      <w:r w:rsidRPr="00785FB4">
        <w:t xml:space="preserve"> in January 2018. </w:t>
      </w:r>
    </w:p>
    <w:p w14:paraId="1B40F8F3" w14:textId="2C6AAB49" w:rsidR="00D97292" w:rsidRPr="00785FB4" w:rsidRDefault="00D97292" w:rsidP="00150AA3">
      <w:pPr>
        <w:numPr>
          <w:ilvl w:val="0"/>
          <w:numId w:val="5"/>
        </w:numPr>
        <w:spacing w:before="120"/>
      </w:pPr>
      <w:r w:rsidRPr="00785FB4">
        <w:t xml:space="preserve">Samuel Hall (January 2013), ‘Natural Resources: What Strategy for Afghanistan?’, accessed on </w:t>
      </w:r>
      <w:hyperlink r:id="rId127" w:history="1">
        <w:r w:rsidRPr="00785FB4">
          <w:rPr>
            <w:rStyle w:val="Hyperlink"/>
          </w:rPr>
          <w:t>http://samuelhall.org/wp-content/uploads/2013/05/Natural-Resources-Strategy-for-Afghanistan.pdf</w:t>
        </w:r>
      </w:hyperlink>
      <w:r w:rsidRPr="00785FB4">
        <w:t xml:space="preserve"> in January 2018. </w:t>
      </w:r>
    </w:p>
    <w:p w14:paraId="1339DF19" w14:textId="2CA2FDEA" w:rsidR="005F3BBF" w:rsidRPr="00785FB4" w:rsidRDefault="005F3BBF" w:rsidP="005F3BBF">
      <w:pPr>
        <w:numPr>
          <w:ilvl w:val="0"/>
          <w:numId w:val="5"/>
        </w:numPr>
        <w:spacing w:before="120"/>
      </w:pPr>
      <w:r w:rsidRPr="00785FB4">
        <w:t xml:space="preserve">Shalizi, Hamid and Smith, Josh (2017), ‘Afghan journalists face more threats as violence spreads’, accessed on </w:t>
      </w:r>
      <w:hyperlink r:id="rId128" w:history="1">
        <w:r w:rsidRPr="00785FB4">
          <w:rPr>
            <w:rStyle w:val="Hyperlink"/>
            <w:rFonts w:cs="Calibri"/>
          </w:rPr>
          <w:t>https://www.reuters.com/article/us-afghanistan-journalists/afghan-journalists-face-more-threats-as-violence-spreads-idUSKBN1531T7</w:t>
        </w:r>
      </w:hyperlink>
      <w:r w:rsidRPr="00785FB4">
        <w:t xml:space="preserve"> in April 2018.</w:t>
      </w:r>
    </w:p>
    <w:p w14:paraId="269B3D79" w14:textId="77777777" w:rsidR="00D97292" w:rsidRPr="00785FB4" w:rsidRDefault="00D97292" w:rsidP="00150AA3">
      <w:pPr>
        <w:numPr>
          <w:ilvl w:val="0"/>
          <w:numId w:val="5"/>
        </w:numPr>
        <w:spacing w:before="120"/>
      </w:pPr>
      <w:r w:rsidRPr="00785FB4">
        <w:t xml:space="preserve">Special Inspector General for Afghanistan Reconstruction (April 2015), ‘Afghanistan’s Mineral, Oil, and Gas Industries: Unless U.S. Agencies Act Soon to Sustain Investments Made, $488 Million in Funding is at Risk’, accessed on </w:t>
      </w:r>
      <w:hyperlink r:id="rId129" w:history="1">
        <w:r w:rsidRPr="00785FB4">
          <w:rPr>
            <w:rStyle w:val="Hyperlink"/>
            <w:rFonts w:cs="Calibri"/>
          </w:rPr>
          <w:t>https://www.sigar.mil/pdf/audits/SIGAR-15-55-AR.pdf</w:t>
        </w:r>
      </w:hyperlink>
      <w:r w:rsidRPr="00785FB4">
        <w:t xml:space="preserve"> in January 2018. </w:t>
      </w:r>
    </w:p>
    <w:p w14:paraId="2C921177" w14:textId="77777777" w:rsidR="00D97292" w:rsidRPr="00785FB4" w:rsidRDefault="00D97292" w:rsidP="00150AA3">
      <w:pPr>
        <w:numPr>
          <w:ilvl w:val="0"/>
          <w:numId w:val="5"/>
        </w:numPr>
        <w:spacing w:before="120"/>
      </w:pPr>
      <w:r w:rsidRPr="00785FB4">
        <w:t xml:space="preserve">Special Inspector General for Afghanistan Reconstruction (October 2015), ‘DoD’s compressed natural gas filling station in Afghanistan: an ill-conceived $43 million project’, accessed on </w:t>
      </w:r>
      <w:hyperlink r:id="rId130" w:history="1">
        <w:r w:rsidRPr="00785FB4">
          <w:rPr>
            <w:rStyle w:val="Hyperlink"/>
          </w:rPr>
          <w:t>https://www.sigar.mil/pdf/special%20projects/SIGAR-16-2-SP.pdf</w:t>
        </w:r>
      </w:hyperlink>
      <w:r w:rsidRPr="00785FB4">
        <w:t xml:space="preserve"> in December 2017.</w:t>
      </w:r>
    </w:p>
    <w:p w14:paraId="7AB4D925" w14:textId="77777777" w:rsidR="00D97292" w:rsidRPr="00785FB4" w:rsidRDefault="00D97292" w:rsidP="00150AA3">
      <w:pPr>
        <w:numPr>
          <w:ilvl w:val="0"/>
          <w:numId w:val="5"/>
        </w:numPr>
        <w:spacing w:before="120"/>
      </w:pPr>
      <w:r w:rsidRPr="00785FB4">
        <w:t xml:space="preserve">Special Inspector General for Afghanistan Reconstruction (SIGAR) (January 2016), ‘Afghanistan’s Oil, Gas, and Minerals Industries: $488 Million in U.S. Efforts Show Limited Progress Overall, and Challenges Prevent Further Investment and Growth’, accessed on </w:t>
      </w:r>
      <w:hyperlink r:id="rId131" w:history="1">
        <w:r w:rsidRPr="00785FB4">
          <w:rPr>
            <w:rStyle w:val="Hyperlink"/>
            <w:rFonts w:cs="Calibri"/>
          </w:rPr>
          <w:t>https://www.sigar.mil/pdf/audits/SIGAR-16-11-AR.pdf</w:t>
        </w:r>
      </w:hyperlink>
      <w:r w:rsidRPr="00785FB4">
        <w:t xml:space="preserve"> in December 2017. </w:t>
      </w:r>
    </w:p>
    <w:p w14:paraId="06FB5542" w14:textId="77777777" w:rsidR="00D97292" w:rsidRPr="00785FB4" w:rsidRDefault="00D97292" w:rsidP="00150AA3">
      <w:pPr>
        <w:numPr>
          <w:ilvl w:val="0"/>
          <w:numId w:val="5"/>
        </w:numPr>
        <w:spacing w:before="120"/>
      </w:pPr>
      <w:r w:rsidRPr="00785FB4">
        <w:t xml:space="preserve">Special Inspector General for Afghanistan Reconstruction (SIGAR) (January 2016), ‘Afghanistan’s Oil, Gas, and Minerals Industries: $488 Million in U.S. Efforts Show Limited Progress Overall, and Challenges Prevent Further Investment and Growth’, accessed on </w:t>
      </w:r>
      <w:hyperlink r:id="rId132" w:history="1">
        <w:r w:rsidRPr="00785FB4">
          <w:rPr>
            <w:rStyle w:val="Hyperlink"/>
          </w:rPr>
          <w:t>https://www.sigar.mil/pdf/audits/SIGAR-16-11-AR.pdf</w:t>
        </w:r>
      </w:hyperlink>
      <w:r w:rsidRPr="00785FB4">
        <w:t xml:space="preserve"> in December 2017.</w:t>
      </w:r>
    </w:p>
    <w:p w14:paraId="73027F58" w14:textId="77777777" w:rsidR="00D97292" w:rsidRPr="00785FB4" w:rsidRDefault="00D97292" w:rsidP="00150AA3">
      <w:pPr>
        <w:numPr>
          <w:ilvl w:val="0"/>
          <w:numId w:val="5"/>
        </w:numPr>
        <w:spacing w:before="120"/>
      </w:pPr>
      <w:r w:rsidRPr="00785FB4">
        <w:t xml:space="preserve">The Diplomat (January 2017), ‘The Story Behind China's Long-Stalled Mine in Afghanistan’, accessed on </w:t>
      </w:r>
      <w:hyperlink r:id="rId133" w:history="1">
        <w:r w:rsidRPr="00785FB4">
          <w:rPr>
            <w:rStyle w:val="Hyperlink"/>
            <w:rFonts w:cs="Calibri"/>
          </w:rPr>
          <w:t>https://thediplomat.com/2017/01/the-story-behind-chinas-long-stalled-mine-in-afghanistan/</w:t>
        </w:r>
      </w:hyperlink>
      <w:r w:rsidRPr="00785FB4">
        <w:t xml:space="preserve"> in January 2018. </w:t>
      </w:r>
    </w:p>
    <w:p w14:paraId="41DC3FEA" w14:textId="77777777" w:rsidR="00D97292" w:rsidRPr="00785FB4" w:rsidRDefault="00D97292" w:rsidP="00150AA3">
      <w:pPr>
        <w:numPr>
          <w:ilvl w:val="0"/>
          <w:numId w:val="5"/>
        </w:numPr>
        <w:spacing w:before="120"/>
      </w:pPr>
      <w:r w:rsidRPr="00785FB4">
        <w:t xml:space="preserve">Tolo News (January 2018), ‘Ghoryan Salt Mine Contract Signed’, accessed on </w:t>
      </w:r>
      <w:hyperlink r:id="rId134" w:history="1">
        <w:r w:rsidRPr="00785FB4">
          <w:rPr>
            <w:rStyle w:val="Hyperlink"/>
            <w:rFonts w:cs="Calibri"/>
          </w:rPr>
          <w:t>https://www.tolonews.com/afghanistan/ghoryan-salt-mine-contract-signed</w:t>
        </w:r>
      </w:hyperlink>
      <w:r w:rsidRPr="00785FB4">
        <w:t xml:space="preserve"> in January 2018. </w:t>
      </w:r>
    </w:p>
    <w:p w14:paraId="0D11F746" w14:textId="58C4D8B7" w:rsidR="00553861" w:rsidRPr="00785FB4" w:rsidRDefault="00553861" w:rsidP="00553861">
      <w:pPr>
        <w:numPr>
          <w:ilvl w:val="0"/>
          <w:numId w:val="5"/>
        </w:numPr>
        <w:spacing w:before="120"/>
      </w:pPr>
      <w:r w:rsidRPr="00785FB4">
        <w:lastRenderedPageBreak/>
        <w:t xml:space="preserve">UNESCO (no date), ‘Enhancement of literacy in Afghanistan’, accessed on </w:t>
      </w:r>
      <w:hyperlink r:id="rId135" w:history="1">
        <w:r w:rsidRPr="00785FB4">
          <w:rPr>
            <w:rStyle w:val="Hyperlink"/>
            <w:rFonts w:cs="Calibri"/>
          </w:rPr>
          <w:t>http://www.unesco.org/new/en/kabul/education/enhancement-of-literacy-in-afghanistan-ela-program/</w:t>
        </w:r>
      </w:hyperlink>
      <w:r w:rsidRPr="00785FB4">
        <w:t xml:space="preserve"> in January 2018 (page is down 21.04.18). </w:t>
      </w:r>
    </w:p>
    <w:p w14:paraId="398CD20B" w14:textId="0C755A32" w:rsidR="00D97292" w:rsidRPr="00785FB4" w:rsidRDefault="00D97292" w:rsidP="00553861">
      <w:pPr>
        <w:numPr>
          <w:ilvl w:val="0"/>
          <w:numId w:val="5"/>
        </w:numPr>
        <w:spacing w:before="120"/>
      </w:pPr>
      <w:r w:rsidRPr="00785FB4">
        <w:t xml:space="preserve">UNICOM/World Bank (September 2015), ‘NCE Restructure and reform project status update presentation’, accessed on </w:t>
      </w:r>
      <w:hyperlink r:id="rId136" w:history="1">
        <w:r w:rsidRPr="00785FB4">
          <w:rPr>
            <w:rStyle w:val="Hyperlink"/>
          </w:rPr>
          <w:t>http://mom.gov.af/Content/files/UNICON_NCE_WB_present_DRAFT_03.pdf</w:t>
        </w:r>
      </w:hyperlink>
      <w:r w:rsidRPr="00785FB4">
        <w:t xml:space="preserve"> in January 2018. </w:t>
      </w:r>
    </w:p>
    <w:p w14:paraId="5676E955" w14:textId="77777777" w:rsidR="00553861" w:rsidRPr="00785FB4" w:rsidRDefault="00553861" w:rsidP="00553861">
      <w:pPr>
        <w:numPr>
          <w:ilvl w:val="0"/>
          <w:numId w:val="5"/>
        </w:numPr>
        <w:spacing w:before="120"/>
      </w:pPr>
      <w:r w:rsidRPr="00785FB4">
        <w:t xml:space="preserve">US Department of State (2015), ‘Country reports on human rights practices for 2015 – Afghanistan’ accessed on </w:t>
      </w:r>
      <w:hyperlink r:id="rId137" w:history="1">
        <w:r w:rsidRPr="00785FB4">
          <w:rPr>
            <w:rStyle w:val="Hyperlink"/>
            <w:rFonts w:cs="Calibri"/>
          </w:rPr>
          <w:t>http://www.state.gov/j/drl/rls/hrrpt/humanrightsreport/index.htm?year=2015&amp;dlid=252957</w:t>
        </w:r>
      </w:hyperlink>
      <w:r w:rsidRPr="00785FB4">
        <w:t xml:space="preserve"> in April 2018.</w:t>
      </w:r>
    </w:p>
    <w:p w14:paraId="74D61F64" w14:textId="4071EFCC" w:rsidR="00553861" w:rsidRPr="00785FB4" w:rsidRDefault="00553861" w:rsidP="00553861">
      <w:pPr>
        <w:numPr>
          <w:ilvl w:val="0"/>
          <w:numId w:val="5"/>
        </w:numPr>
        <w:spacing w:before="120"/>
      </w:pPr>
      <w:r w:rsidRPr="00785FB4">
        <w:t xml:space="preserve">US Department of State (2017), ‘Country reports on human rights practices for 2017’, accessed on </w:t>
      </w:r>
      <w:hyperlink r:id="rId138" w:anchor="wrapper" w:history="1">
        <w:r w:rsidRPr="00785FB4">
          <w:rPr>
            <w:rStyle w:val="Hyperlink"/>
            <w:rFonts w:cs="Calibri"/>
          </w:rPr>
          <w:t>https://www.state.gov/j/drl/rls/hrrpt/humanrightsreport/index.htm#wrapper</w:t>
        </w:r>
      </w:hyperlink>
      <w:r w:rsidRPr="00785FB4">
        <w:t xml:space="preserve"> in April 2018.</w:t>
      </w:r>
    </w:p>
    <w:p w14:paraId="1F8926F6" w14:textId="0CE97FBD" w:rsidR="007E6DB4" w:rsidRPr="00785FB4" w:rsidRDefault="007E6DB4" w:rsidP="00553861">
      <w:pPr>
        <w:numPr>
          <w:ilvl w:val="0"/>
          <w:numId w:val="5"/>
        </w:numPr>
        <w:spacing w:before="120"/>
      </w:pPr>
      <w:r w:rsidRPr="00785FB4">
        <w:t xml:space="preserve">United States Institute of Peace (2011), ‘The Role of Civil Society in Monitoring Afghanistan’s Extractive Industries’ accessed on </w:t>
      </w:r>
      <w:hyperlink r:id="rId139" w:history="1">
        <w:r w:rsidRPr="00785FB4">
          <w:rPr>
            <w:rStyle w:val="Hyperlink"/>
            <w:rFonts w:cs="Calibri"/>
          </w:rPr>
          <w:t>https://www.usip.org/publications/2011/11/role-civil-society-monitoring-afghanistans-extractive-industries</w:t>
        </w:r>
      </w:hyperlink>
      <w:r w:rsidRPr="00785FB4">
        <w:t xml:space="preserve"> in April 2018.</w:t>
      </w:r>
    </w:p>
    <w:p w14:paraId="6A62C842" w14:textId="77777777" w:rsidR="00D97292" w:rsidRPr="00785FB4" w:rsidRDefault="00D97292" w:rsidP="00150AA3">
      <w:pPr>
        <w:numPr>
          <w:ilvl w:val="0"/>
          <w:numId w:val="5"/>
        </w:numPr>
        <w:spacing w:before="120"/>
      </w:pPr>
      <w:r w:rsidRPr="00785FB4">
        <w:t xml:space="preserve">United States Institute for Peace (September 2017), ‘Reviving Commercial Development of Afghanistan’s Aynak Copper Resource’, accessed on </w:t>
      </w:r>
      <w:hyperlink r:id="rId140" w:history="1">
        <w:r w:rsidRPr="00785FB4">
          <w:rPr>
            <w:rStyle w:val="Hyperlink"/>
          </w:rPr>
          <w:t>https://www.usip.org/sites/default/files/PB233-Reviving-Commercial-Development-of-Afghanistan-s-Aynak-Copper-Resource.pdf</w:t>
        </w:r>
      </w:hyperlink>
      <w:r w:rsidRPr="00785FB4">
        <w:t xml:space="preserve"> in January 2018. </w:t>
      </w:r>
    </w:p>
    <w:p w14:paraId="6AA98B21" w14:textId="77777777" w:rsidR="00D97292" w:rsidRPr="00785FB4" w:rsidRDefault="00D97292" w:rsidP="00150AA3">
      <w:pPr>
        <w:numPr>
          <w:ilvl w:val="0"/>
          <w:numId w:val="5"/>
        </w:numPr>
        <w:spacing w:before="120"/>
      </w:pPr>
      <w:r w:rsidRPr="00785FB4">
        <w:t xml:space="preserve">United States Institute of Peace (January 2015), ‘Afghanistan’s Emerging Mining Oligarchy’, accessed on </w:t>
      </w:r>
      <w:hyperlink r:id="rId141" w:history="1">
        <w:r w:rsidRPr="00785FB4">
          <w:rPr>
            <w:rStyle w:val="Hyperlink"/>
            <w:rFonts w:cs="Calibri"/>
          </w:rPr>
          <w:t>https://www.usip.org/sites/default/files/SR358-Afghanistan-s-Emerging-Mining-Oligarchy.pdf</w:t>
        </w:r>
      </w:hyperlink>
      <w:r w:rsidRPr="00785FB4">
        <w:t xml:space="preserve"> in January 2018.</w:t>
      </w:r>
    </w:p>
    <w:p w14:paraId="054B5432" w14:textId="77777777" w:rsidR="00D97292" w:rsidRPr="00785FB4" w:rsidRDefault="00D97292" w:rsidP="00150AA3">
      <w:pPr>
        <w:numPr>
          <w:ilvl w:val="0"/>
          <w:numId w:val="5"/>
        </w:numPr>
        <w:spacing w:before="120"/>
      </w:pPr>
      <w:r w:rsidRPr="00785FB4">
        <w:t xml:space="preserve">United States Institute of Peace (July 2017), ‘Illegal Mining in Afghanistan: A Driver of Conflict’, accessed on </w:t>
      </w:r>
      <w:hyperlink r:id="rId142" w:history="1">
        <w:r w:rsidRPr="00785FB4">
          <w:rPr>
            <w:rStyle w:val="Hyperlink"/>
            <w:rFonts w:cs="Calibri"/>
          </w:rPr>
          <w:t>https://www.usip.org/sites/default/files/2017-07/pb226-illegal-extraction-of-minerals-as-a-driver-of-conflict-in-afghanistan.pdf in January 2018</w:t>
        </w:r>
      </w:hyperlink>
      <w:r w:rsidRPr="00785FB4">
        <w:t xml:space="preserve">. </w:t>
      </w:r>
    </w:p>
    <w:p w14:paraId="35E9C886" w14:textId="77777777" w:rsidR="00D97292" w:rsidRPr="00785FB4" w:rsidRDefault="00D97292" w:rsidP="00150AA3">
      <w:pPr>
        <w:numPr>
          <w:ilvl w:val="0"/>
          <w:numId w:val="5"/>
        </w:numPr>
        <w:spacing w:before="120"/>
      </w:pPr>
      <w:r w:rsidRPr="00785FB4">
        <w:t xml:space="preserve">United States Institute of Peace (June 2017), ‘Industrial-Scale Looting of Afghanistan’s Mineral Resources’, accessed on </w:t>
      </w:r>
      <w:hyperlink r:id="rId143" w:history="1">
        <w:r w:rsidRPr="00785FB4">
          <w:rPr>
            <w:rStyle w:val="Hyperlink"/>
          </w:rPr>
          <w:t>https://www.usip.org/sites/default/files/2017-05/sr404-industrial-scale-looting-of-afghanistan-s-mineral-resources.pdf</w:t>
        </w:r>
      </w:hyperlink>
      <w:r w:rsidRPr="00785FB4">
        <w:t xml:space="preserve"> in January 2018.  </w:t>
      </w:r>
    </w:p>
    <w:p w14:paraId="64BE85A8" w14:textId="77777777" w:rsidR="00D97292" w:rsidRPr="00785FB4" w:rsidRDefault="00D97292" w:rsidP="00D97292">
      <w:pPr>
        <w:numPr>
          <w:ilvl w:val="0"/>
          <w:numId w:val="5"/>
        </w:numPr>
        <w:spacing w:before="120"/>
      </w:pPr>
      <w:r w:rsidRPr="00785FB4">
        <w:t xml:space="preserve">US Department of State (2014), ‘US 2014 Fiscal Transparency Report’, accessed on </w:t>
      </w:r>
      <w:hyperlink r:id="rId144" w:history="1">
        <w:r w:rsidRPr="00785FB4">
          <w:rPr>
            <w:rStyle w:val="Hyperlink"/>
          </w:rPr>
          <w:t>https://www.state.gov/e/eb/ifd/oma/235938.htm</w:t>
        </w:r>
      </w:hyperlink>
      <w:r w:rsidRPr="00785FB4">
        <w:t xml:space="preserve"> in January 2018. </w:t>
      </w:r>
    </w:p>
    <w:p w14:paraId="7C1A7B15" w14:textId="77777777" w:rsidR="00D97292" w:rsidRPr="00785FB4" w:rsidRDefault="00D97292" w:rsidP="00D97292">
      <w:pPr>
        <w:numPr>
          <w:ilvl w:val="0"/>
          <w:numId w:val="5"/>
        </w:numPr>
        <w:spacing w:before="120"/>
      </w:pPr>
      <w:r w:rsidRPr="00785FB4">
        <w:t xml:space="preserve">US Geological Survey (August 2017), ‘2014 Minerals Yearbook, Afghanistan’, accessed on </w:t>
      </w:r>
      <w:hyperlink r:id="rId145" w:history="1">
        <w:r w:rsidRPr="00785FB4">
          <w:rPr>
            <w:rStyle w:val="Hyperlink"/>
          </w:rPr>
          <w:t>https://minerals.usgs.gov/minerals/pubs/country/2014/myb3-2014-af.pdf</w:t>
        </w:r>
      </w:hyperlink>
      <w:r w:rsidRPr="00785FB4">
        <w:t xml:space="preserve"> in January 2018. </w:t>
      </w:r>
    </w:p>
    <w:p w14:paraId="1EF0DAE7" w14:textId="77777777" w:rsidR="00D97292" w:rsidRPr="00785FB4" w:rsidRDefault="00D97292" w:rsidP="00D97292">
      <w:pPr>
        <w:numPr>
          <w:ilvl w:val="0"/>
          <w:numId w:val="5"/>
        </w:numPr>
        <w:spacing w:before="120"/>
      </w:pPr>
      <w:r w:rsidRPr="00785FB4">
        <w:lastRenderedPageBreak/>
        <w:t xml:space="preserve">USAID (November 2016), ‘Afghan Gas Enterprise: assessment report’, accessed on </w:t>
      </w:r>
      <w:hyperlink r:id="rId146" w:history="1">
        <w:r w:rsidRPr="00785FB4">
          <w:rPr>
            <w:rStyle w:val="Hyperlink"/>
          </w:rPr>
          <w:t>http://pdf.usaid.gov/pdf_docs/PA00MM5C.pdf</w:t>
        </w:r>
      </w:hyperlink>
      <w:r w:rsidRPr="00785FB4">
        <w:t xml:space="preserve"> in January 2018.</w:t>
      </w:r>
    </w:p>
    <w:p w14:paraId="190A9694" w14:textId="77777777" w:rsidR="00D97292" w:rsidRPr="00785FB4" w:rsidRDefault="00D97292" w:rsidP="00D97292">
      <w:pPr>
        <w:numPr>
          <w:ilvl w:val="0"/>
          <w:numId w:val="5"/>
        </w:numPr>
        <w:spacing w:before="120"/>
      </w:pPr>
      <w:r w:rsidRPr="00785FB4">
        <w:t xml:space="preserve">USGS, Afghanistan Oil and Natural Gas Viewer, accessed on </w:t>
      </w:r>
      <w:hyperlink r:id="rId147" w:history="1">
        <w:r w:rsidRPr="00785FB4">
          <w:rPr>
            <w:rStyle w:val="Hyperlink"/>
          </w:rPr>
          <w:t>https://afghanistan.cr.usgs.gov/flexviewer/</w:t>
        </w:r>
      </w:hyperlink>
      <w:r w:rsidRPr="00785FB4">
        <w:t xml:space="preserve"> in January 2018. </w:t>
      </w:r>
    </w:p>
    <w:p w14:paraId="463F6A41" w14:textId="77777777" w:rsidR="00D97292" w:rsidRPr="00785FB4" w:rsidRDefault="00D97292" w:rsidP="00150AA3">
      <w:pPr>
        <w:numPr>
          <w:ilvl w:val="0"/>
          <w:numId w:val="5"/>
        </w:numPr>
        <w:spacing w:before="120"/>
      </w:pPr>
      <w:r w:rsidRPr="00785FB4">
        <w:t xml:space="preserve">World Bank (August 2013), ‘Afghanistan: Public Financial Management and Accountability Assessment’, accessed on </w:t>
      </w:r>
      <w:hyperlink r:id="rId148" w:history="1">
        <w:r w:rsidRPr="00785FB4">
          <w:rPr>
            <w:rStyle w:val="Hyperlink"/>
          </w:rPr>
          <w:t>https://pefa.org/sites/default/files/assements/comments/AF-Aug13-PFMPR-Public.pdf</w:t>
        </w:r>
      </w:hyperlink>
      <w:r w:rsidRPr="00785FB4">
        <w:t xml:space="preserve"> in January 2018.</w:t>
      </w:r>
    </w:p>
    <w:p w14:paraId="09DC2C30" w14:textId="77777777" w:rsidR="00D97292" w:rsidRPr="00785FB4" w:rsidRDefault="00D97292" w:rsidP="00150AA3">
      <w:pPr>
        <w:numPr>
          <w:ilvl w:val="0"/>
          <w:numId w:val="5"/>
        </w:numPr>
        <w:spacing w:before="120"/>
      </w:pPr>
      <w:r w:rsidRPr="00785FB4">
        <w:t xml:space="preserve">World Bank (December 2016), ‘Project Information Document/Integrated Safeguards Data Sheet (PID/ISDS)’, accessed on </w:t>
      </w:r>
      <w:hyperlink r:id="rId149" w:history="1">
        <w:r w:rsidRPr="00785FB4">
          <w:rPr>
            <w:rStyle w:val="Hyperlink"/>
          </w:rPr>
          <w:t>http://documents.worldbank.org/curated/en/531871480603485128/pdf/1480603483585-0000A8056-ITM00184-P159402-12-01-2016-1480603482616.pdf</w:t>
        </w:r>
      </w:hyperlink>
      <w:r w:rsidRPr="00785FB4">
        <w:t xml:space="preserve"> in January 2018.</w:t>
      </w:r>
    </w:p>
    <w:p w14:paraId="5E97E87B" w14:textId="77777777" w:rsidR="00D97292" w:rsidRPr="00785FB4" w:rsidRDefault="00D97292" w:rsidP="00150AA3">
      <w:pPr>
        <w:numPr>
          <w:ilvl w:val="0"/>
          <w:numId w:val="5"/>
        </w:numPr>
        <w:spacing w:before="120"/>
      </w:pPr>
      <w:r w:rsidRPr="00785FB4">
        <w:t xml:space="preserve">World Bank (January 2016), Project Paper on a Proposed Afghanistan Reconstruction Trust Fund Additional Financing in the Amount of US $41.125 million Equivalent to the Islamic Republic of Afghanistan for a Second Public Financial Management Reform Project, accessed on </w:t>
      </w:r>
      <w:hyperlink r:id="rId150" w:history="1">
        <w:r w:rsidRPr="00785FB4">
          <w:rPr>
            <w:rStyle w:val="Hyperlink"/>
          </w:rPr>
          <w:t>http://documents.worldbank.org/curated/en/393331467989442762/PAD1710-PJPR-PUBLIC-Project-Paper-Document-Disclosable-Version-P150632-2016-02-16-12-46.docx</w:t>
        </w:r>
      </w:hyperlink>
      <w:r w:rsidRPr="00785FB4">
        <w:t xml:space="preserve"> in January 2018.</w:t>
      </w:r>
    </w:p>
    <w:p w14:paraId="04BE959F" w14:textId="77777777" w:rsidR="00D97292" w:rsidRPr="00785FB4" w:rsidRDefault="00D97292" w:rsidP="00150AA3">
      <w:pPr>
        <w:numPr>
          <w:ilvl w:val="0"/>
          <w:numId w:val="5"/>
        </w:numPr>
        <w:spacing w:before="120"/>
      </w:pPr>
      <w:r w:rsidRPr="00785FB4">
        <w:t xml:space="preserve">World Trade Organisation (2017), ‘Chabahr port - a New transit gateway for Afghanistan’, accessed on </w:t>
      </w:r>
      <w:hyperlink r:id="rId151" w:history="1">
        <w:r w:rsidRPr="00785FB4">
          <w:rPr>
            <w:rStyle w:val="Hyperlink"/>
          </w:rPr>
          <w:t>https://www.oecd.org/aidfortrade/casestories/casestories-2017/CS-61-NTP-MIP-Chabahar-port-New-transit-gateway-for-Afghanistan.pdf</w:t>
        </w:r>
      </w:hyperlink>
      <w:r w:rsidRPr="00785FB4">
        <w:t xml:space="preserve"> in January 2018. </w:t>
      </w:r>
    </w:p>
    <w:p w14:paraId="1E7EAD8F" w14:textId="5BEBBA3A" w:rsidR="00D97292" w:rsidRPr="00785FB4" w:rsidRDefault="00D97292" w:rsidP="00D97292">
      <w:pPr>
        <w:numPr>
          <w:ilvl w:val="0"/>
          <w:numId w:val="5"/>
        </w:numPr>
        <w:spacing w:before="120"/>
      </w:pPr>
      <w:r w:rsidRPr="00785FB4">
        <w:t xml:space="preserve">World Trade Organisation (2017), ‘Chabahr port - a New transit gateway for Afghanistan’, accessed on </w:t>
      </w:r>
      <w:hyperlink r:id="rId152" w:history="1">
        <w:r w:rsidR="00553861" w:rsidRPr="00785FB4">
          <w:rPr>
            <w:rStyle w:val="Hyperlink"/>
          </w:rPr>
          <w:t>https://www.oecd.org/aidfortrade/casestories/casestories-2017/CS-61-NTP-MIP-Chabahar-port-New-transit-gateway-for-Afghanistan.pdf</w:t>
        </w:r>
        <w:r w:rsidR="00553861" w:rsidRPr="00785FB4">
          <w:rPr>
            <w:rStyle w:val="Hyperlink"/>
            <w:rFonts w:cs="Calibri"/>
          </w:rPr>
          <w:t xml:space="preserve"> in January 2018</w:t>
        </w:r>
      </w:hyperlink>
      <w:r w:rsidRPr="00785FB4">
        <w:t>.</w:t>
      </w:r>
    </w:p>
    <w:p w14:paraId="4EE36DE4" w14:textId="02970308" w:rsidR="00553861" w:rsidRPr="00785FB4" w:rsidRDefault="00553861" w:rsidP="00553861">
      <w:pPr>
        <w:numPr>
          <w:ilvl w:val="0"/>
          <w:numId w:val="5"/>
        </w:numPr>
        <w:spacing w:before="120"/>
      </w:pPr>
      <w:r w:rsidRPr="00785FB4">
        <w:t xml:space="preserve">Zafar Shayan (April 2017) ‘Challenges facing civil society in Afghanistan’, accessed on </w:t>
      </w:r>
      <w:hyperlink r:id="rId153" w:history="1">
        <w:r w:rsidRPr="00785FB4">
          <w:rPr>
            <w:rStyle w:val="Hyperlink"/>
            <w:rFonts w:cs="Calibri"/>
          </w:rPr>
          <w:t>http://politicalcritique.org/world/2017/civil-society-afghanistan/</w:t>
        </w:r>
      </w:hyperlink>
      <w:r w:rsidRPr="00785FB4">
        <w:t xml:space="preserve"> in April 2018.</w:t>
      </w:r>
    </w:p>
    <w:p w14:paraId="2DC03CE1" w14:textId="62036CD3" w:rsidR="00320E5D" w:rsidRPr="00785FB4" w:rsidRDefault="00320E5D" w:rsidP="00460ED2">
      <w:pPr>
        <w:spacing w:before="120"/>
      </w:pPr>
    </w:p>
    <w:p w14:paraId="0D810FE2" w14:textId="723DE4F6" w:rsidR="002A170A" w:rsidRPr="00785FB4" w:rsidRDefault="002A170A" w:rsidP="005F383B">
      <w:pPr>
        <w:widowControl/>
        <w:suppressAutoHyphens w:val="0"/>
        <w:spacing w:after="0" w:line="240" w:lineRule="auto"/>
        <w:rPr>
          <w:b/>
          <w:bCs/>
          <w:color w:val="365F91"/>
        </w:rPr>
      </w:pPr>
    </w:p>
    <w:sectPr w:rsidR="002A170A" w:rsidRPr="00785FB4" w:rsidSect="005847BB">
      <w:pgSz w:w="11905" w:h="16837"/>
      <w:pgMar w:top="1174" w:right="1276" w:bottom="1418" w:left="1134" w:header="567" w:footer="0" w:gutter="0"/>
      <w:cols w:space="708"/>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7" w:author="Javed Noorani" w:date="2018-08-29T20:32:00Z" w:initials="JN">
    <w:p w14:paraId="32966896" w14:textId="608CD0BA" w:rsidR="00802EE6" w:rsidRDefault="00802EE6">
      <w:pPr>
        <w:pStyle w:val="CommentText"/>
      </w:pPr>
      <w:r>
        <w:rPr>
          <w:rStyle w:val="CommentReference"/>
        </w:rPr>
        <w:annotationRef/>
      </w:r>
      <w:r>
        <w:t>The EITI must be backed by law and there must be a strong recommendation that should go into the legal framework as first commitment toward the implementation of EITI</w:t>
      </w:r>
    </w:p>
  </w:comment>
  <w:comment w:id="38" w:author="Javed Noorani" w:date="2018-08-29T20:36:00Z" w:initials="JN">
    <w:p w14:paraId="15305B78" w14:textId="3DAB514A" w:rsidR="00802EE6" w:rsidRDefault="00802EE6">
      <w:pPr>
        <w:pStyle w:val="CommentText"/>
      </w:pPr>
      <w:r>
        <w:rPr>
          <w:rStyle w:val="CommentReference"/>
        </w:rPr>
        <w:annotationRef/>
      </w:r>
      <w:r>
        <w:t xml:space="preserve">I think we return to the reporting template we made in 2011 </w:t>
      </w:r>
    </w:p>
  </w:comment>
  <w:comment w:id="133" w:author="Javed Noorani" w:date="2018-08-29T20:49:00Z" w:initials="JN">
    <w:p w14:paraId="0003DFFE" w14:textId="257286B7" w:rsidR="00802EE6" w:rsidRDefault="00802EE6">
      <w:pPr>
        <w:pStyle w:val="CommentText"/>
      </w:pPr>
      <w:r>
        <w:rPr>
          <w:rStyle w:val="CommentReference"/>
        </w:rPr>
        <w:annotationRef/>
      </w:r>
      <w:r>
        <w:t>ENRNM does not have much fund.</w:t>
      </w:r>
    </w:p>
  </w:comment>
  <w:comment w:id="155" w:author="Javed Noorani" w:date="2018-08-29T20:54:00Z" w:initials="JN">
    <w:p w14:paraId="76723DB6" w14:textId="76252340" w:rsidR="00802EE6" w:rsidRDefault="00802EE6">
      <w:pPr>
        <w:pStyle w:val="CommentText"/>
      </w:pPr>
      <w:r>
        <w:rPr>
          <w:rStyle w:val="CommentReference"/>
        </w:rPr>
        <w:annotationRef/>
      </w:r>
      <w:r>
        <w:t>The funding to AEITI is sort of influenced by minister of mines and this should not be so.</w:t>
      </w:r>
    </w:p>
  </w:comment>
  <w:comment w:id="303" w:author="Javed Noorani" w:date="2018-08-30T04:55:00Z" w:initials="JN">
    <w:p w14:paraId="0517312B" w14:textId="4DFAB7E2" w:rsidR="00A14663" w:rsidRDefault="00A14663">
      <w:pPr>
        <w:pStyle w:val="CommentText"/>
      </w:pPr>
      <w:r>
        <w:rPr>
          <w:rStyle w:val="CommentReference"/>
        </w:rPr>
        <w:annotationRef/>
      </w:r>
      <w:r>
        <w:t xml:space="preserve">I think SIGAR will give you the correct figure as they have completed the investigation </w:t>
      </w:r>
    </w:p>
  </w:comment>
  <w:comment w:id="345" w:author="Javed Noorani" w:date="2018-08-30T04:59:00Z" w:initials="JN">
    <w:p w14:paraId="77A93B36" w14:textId="2893A721" w:rsidR="00F85C84" w:rsidRDefault="00F85C84">
      <w:pPr>
        <w:pStyle w:val="CommentText"/>
      </w:pPr>
      <w:r>
        <w:rPr>
          <w:rStyle w:val="CommentReference"/>
        </w:rPr>
        <w:annotationRef/>
      </w:r>
      <w:r>
        <w:t>What about the Afghan Zamarood company collecting royalty and taxes from gemstone exporters?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2966896" w15:done="0"/>
  <w15:commentEx w15:paraId="15305B78" w15:done="0"/>
  <w15:commentEx w15:paraId="0003DFFE" w15:done="0"/>
  <w15:commentEx w15:paraId="76723DB6" w15:done="0"/>
  <w15:commentEx w15:paraId="0517312B" w15:done="0"/>
  <w15:commentEx w15:paraId="77A93B3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966896" w16cid:durableId="1F318158"/>
  <w16cid:commentId w16cid:paraId="15305B78" w16cid:durableId="1F31823E"/>
  <w16cid:commentId w16cid:paraId="0003DFFE" w16cid:durableId="1F31856F"/>
  <w16cid:commentId w16cid:paraId="76723DB6" w16cid:durableId="1F318697"/>
  <w16cid:commentId w16cid:paraId="0517312B" w16cid:durableId="1F31F740"/>
  <w16cid:commentId w16cid:paraId="77A93B36" w16cid:durableId="1F31F83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A36D44" w14:textId="77777777" w:rsidR="00AB4432" w:rsidRDefault="00AB4432">
      <w:pPr>
        <w:spacing w:after="0" w:line="240" w:lineRule="auto"/>
      </w:pPr>
      <w:r>
        <w:separator/>
      </w:r>
    </w:p>
    <w:p w14:paraId="55A3A590" w14:textId="77777777" w:rsidR="00AB4432" w:rsidRDefault="00AB4432"/>
    <w:p w14:paraId="021379AE" w14:textId="77777777" w:rsidR="00AB4432" w:rsidRDefault="00AB4432"/>
  </w:endnote>
  <w:endnote w:type="continuationSeparator" w:id="0">
    <w:p w14:paraId="02C17ACC" w14:textId="77777777" w:rsidR="00AB4432" w:rsidRDefault="00AB4432">
      <w:pPr>
        <w:spacing w:after="0" w:line="240" w:lineRule="auto"/>
      </w:pPr>
      <w:r>
        <w:continuationSeparator/>
      </w:r>
    </w:p>
    <w:p w14:paraId="53908E25" w14:textId="77777777" w:rsidR="00AB4432" w:rsidRDefault="00AB4432"/>
    <w:p w14:paraId="6BA9F776" w14:textId="77777777" w:rsidR="00AB4432" w:rsidRDefault="00AB4432"/>
  </w:endnote>
  <w:endnote w:type="continuationNotice" w:id="1">
    <w:p w14:paraId="4AF2606E" w14:textId="77777777" w:rsidR="00AB4432" w:rsidRDefault="00AB4432">
      <w:pPr>
        <w:spacing w:after="0" w:line="240" w:lineRule="auto"/>
      </w:pPr>
    </w:p>
    <w:p w14:paraId="4F6A25EA" w14:textId="77777777" w:rsidR="00AB4432" w:rsidRDefault="00AB4432"/>
    <w:p w14:paraId="363D6690" w14:textId="77777777" w:rsidR="00AB4432" w:rsidRDefault="00AB44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Myriad Pro SemiCond">
    <w:altName w:val="Arial"/>
    <w:charset w:val="00"/>
    <w:family w:val="auto"/>
    <w:pitch w:val="variable"/>
    <w:sig w:usb0="A00002AF" w:usb1="5000204B" w:usb2="00000000" w:usb3="00000000" w:csb0="0000009F" w:csb1="00000000"/>
  </w:font>
  <w:font w:name="Myriad Pro Light SemiCond">
    <w:altName w:val="Corbel"/>
    <w:panose1 w:val="00000000000000000000"/>
    <w:charset w:val="00"/>
    <w:family w:val="swiss"/>
    <w:notTrueType/>
    <w:pitch w:val="variable"/>
    <w:sig w:usb0="A00002A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Myriad Pro">
    <w:altName w:val="Corbel"/>
    <w:panose1 w:val="00000000000000000000"/>
    <w:charset w:val="00"/>
    <w:family w:val="swiss"/>
    <w:notTrueType/>
    <w:pitch w:val="variable"/>
    <w:sig w:usb0="A00002AF" w:usb1="5000204B" w:usb2="00000000" w:usb3="00000000" w:csb0="0000019F" w:csb1="00000000"/>
  </w:font>
  <w:font w:name="System">
    <w:panose1 w:val="00000000000000000000"/>
    <w:charset w:val="4D"/>
    <w:family w:val="swiss"/>
    <w:notTrueType/>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EED85" w14:textId="77777777" w:rsidR="00802EE6" w:rsidRDefault="00802EE6" w:rsidP="005E69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BEED86" w14:textId="77777777" w:rsidR="00802EE6" w:rsidRDefault="00802EE6" w:rsidP="00F149CB">
    <w:pPr>
      <w:pStyle w:val="Footer"/>
      <w:ind w:right="360"/>
    </w:pPr>
  </w:p>
  <w:p w14:paraId="07E8C7CB" w14:textId="77777777" w:rsidR="00802EE6" w:rsidRDefault="00802EE6"/>
  <w:p w14:paraId="16681215" w14:textId="77777777" w:rsidR="00802EE6" w:rsidRDefault="00802EE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EED87" w14:textId="12D587B0" w:rsidR="00802EE6" w:rsidRPr="00F149CB" w:rsidRDefault="00802EE6" w:rsidP="00F149CB">
    <w:pPr>
      <w:pStyle w:val="Footer"/>
      <w:framePr w:h="1102" w:hRule="exact" w:wrap="around" w:vAnchor="text" w:hAnchor="page" w:x="10510" w:y="-478"/>
      <w:rPr>
        <w:rStyle w:val="PageNumber"/>
        <w:rFonts w:ascii="Calibri" w:hAnsi="Calibri"/>
      </w:rPr>
    </w:pPr>
  </w:p>
  <w:p w14:paraId="0EA0808F" w14:textId="4B7EE9E5" w:rsidR="00802EE6" w:rsidRPr="0079042F" w:rsidRDefault="00802EE6" w:rsidP="00263937">
    <w:pPr>
      <w:widowControl/>
      <w:pBdr>
        <w:top w:val="single" w:sz="4" w:space="1" w:color="0076AF"/>
      </w:pBdr>
      <w:tabs>
        <w:tab w:val="right" w:pos="9639"/>
      </w:tabs>
      <w:suppressAutoHyphens w:val="0"/>
      <w:spacing w:after="0" w:line="240" w:lineRule="auto"/>
      <w:rPr>
        <w:rFonts w:ascii="Calibri" w:eastAsia="Calibri" w:hAnsi="Calibri" w:cs="Times New Roman"/>
        <w:color w:val="0076AF"/>
        <w:sz w:val="28"/>
      </w:rPr>
    </w:pPr>
    <w:r w:rsidRPr="00263937">
      <w:rPr>
        <w:rFonts w:ascii="Calibri" w:eastAsia="Calibri" w:hAnsi="Calibri" w:cs="Times New Roman"/>
        <w:sz w:val="18"/>
        <w:szCs w:val="18"/>
      </w:rPr>
      <w:t xml:space="preserve"> </w:t>
    </w:r>
    <w:r>
      <w:rPr>
        <w:rFonts w:ascii="Calibri" w:eastAsia="Calibri" w:hAnsi="Calibri" w:cs="Times New Roman"/>
        <w:sz w:val="18"/>
        <w:szCs w:val="18"/>
      </w:rPr>
      <w:br/>
    </w:r>
    <w:r w:rsidRPr="0079042F">
      <w:rPr>
        <w:rFonts w:ascii="Calibri" w:eastAsia="Calibri" w:hAnsi="Calibri" w:cs="Times New Roman"/>
        <w:sz w:val="18"/>
        <w:szCs w:val="18"/>
      </w:rPr>
      <w:t xml:space="preserve">Website </w:t>
    </w:r>
    <w:r w:rsidRPr="0079042F">
      <w:rPr>
        <w:rFonts w:ascii="Calibri" w:eastAsia="Calibri" w:hAnsi="Calibri" w:cs="Times New Roman"/>
        <w:color w:val="0076AF"/>
        <w:sz w:val="18"/>
        <w:szCs w:val="18"/>
      </w:rPr>
      <w:t>www.eiti.org</w:t>
    </w:r>
    <w:r w:rsidRPr="0079042F">
      <w:rPr>
        <w:rFonts w:ascii="Calibri" w:eastAsia="Calibri" w:hAnsi="Calibri" w:cs="Times New Roman"/>
        <w:sz w:val="18"/>
        <w:szCs w:val="18"/>
      </w:rPr>
      <w:t xml:space="preserve"> Email </w:t>
    </w:r>
    <w:r w:rsidRPr="0079042F">
      <w:rPr>
        <w:rFonts w:ascii="Calibri" w:eastAsia="Calibri" w:hAnsi="Calibri" w:cs="Times New Roman"/>
        <w:color w:val="0076AF"/>
        <w:sz w:val="18"/>
        <w:szCs w:val="18"/>
      </w:rPr>
      <w:t>secretariat@eiti.org</w:t>
    </w:r>
    <w:r w:rsidRPr="0079042F">
      <w:rPr>
        <w:rFonts w:ascii="Calibri" w:eastAsia="Calibri" w:hAnsi="Calibri" w:cs="Times New Roman"/>
        <w:sz w:val="18"/>
        <w:szCs w:val="18"/>
      </w:rPr>
      <w:t xml:space="preserve"> Telephone </w:t>
    </w:r>
    <w:r w:rsidRPr="0079042F">
      <w:rPr>
        <w:rFonts w:ascii="Calibri" w:eastAsia="Calibri" w:hAnsi="Calibri" w:cs="Times New Roman"/>
        <w:color w:val="0076AF"/>
        <w:sz w:val="18"/>
        <w:szCs w:val="18"/>
      </w:rPr>
      <w:t>+47 22 20 08 00</w:t>
    </w:r>
    <w:r w:rsidRPr="0079042F">
      <w:rPr>
        <w:rFonts w:ascii="Calibri" w:eastAsia="Calibri" w:hAnsi="Calibri" w:cs="Times New Roman"/>
        <w:sz w:val="18"/>
        <w:szCs w:val="18"/>
      </w:rPr>
      <w:t xml:space="preserve"> Fax </w:t>
    </w:r>
    <w:r w:rsidRPr="0079042F">
      <w:rPr>
        <w:rFonts w:ascii="Calibri" w:eastAsia="Calibri" w:hAnsi="Calibri" w:cs="Times New Roman"/>
        <w:color w:val="0076AF"/>
        <w:sz w:val="18"/>
        <w:szCs w:val="18"/>
      </w:rPr>
      <w:t>+47 22 83 08 02</w:t>
    </w:r>
    <w:r w:rsidRPr="0079042F">
      <w:rPr>
        <w:rFonts w:ascii="Calibri" w:eastAsia="Calibri" w:hAnsi="Calibri" w:cs="Times New Roman"/>
        <w:color w:val="0076AF"/>
        <w:sz w:val="18"/>
        <w:szCs w:val="18"/>
      </w:rPr>
      <w:tab/>
    </w:r>
  </w:p>
  <w:p w14:paraId="02130298" w14:textId="41142F33" w:rsidR="00802EE6" w:rsidRPr="00A2070A" w:rsidRDefault="00802EE6" w:rsidP="009464B0">
    <w:pPr>
      <w:widowControl/>
      <w:pBdr>
        <w:top w:val="single" w:sz="4" w:space="1" w:color="0076AF"/>
      </w:pBdr>
      <w:tabs>
        <w:tab w:val="right" w:pos="9639"/>
      </w:tabs>
      <w:suppressAutoHyphens w:val="0"/>
      <w:spacing w:after="0" w:line="240" w:lineRule="auto"/>
    </w:pPr>
    <w:r w:rsidRPr="0079042F">
      <w:rPr>
        <w:rFonts w:ascii="Calibri" w:eastAsia="Calibri" w:hAnsi="Calibri" w:cs="Times New Roman"/>
        <w:sz w:val="18"/>
        <w:szCs w:val="18"/>
      </w:rPr>
      <w:t xml:space="preserve">Address </w:t>
    </w:r>
    <w:r w:rsidRPr="0079042F">
      <w:rPr>
        <w:rFonts w:ascii="Calibri" w:eastAsia="Calibri" w:hAnsi="Calibri" w:cs="Times New Roman"/>
        <w:color w:val="0076AF"/>
        <w:sz w:val="18"/>
        <w:szCs w:val="18"/>
      </w:rPr>
      <w:t xml:space="preserve">EITI International Secretariat, </w:t>
    </w:r>
    <w:r>
      <w:rPr>
        <w:rFonts w:ascii="Calibri" w:eastAsia="Calibri" w:hAnsi="Calibri" w:cs="Times New Roman"/>
        <w:color w:val="0076AF"/>
        <w:sz w:val="18"/>
        <w:szCs w:val="18"/>
      </w:rPr>
      <w:t>Postboks 340 Sentrum, 0101</w:t>
    </w:r>
    <w:r w:rsidRPr="00E5632B">
      <w:rPr>
        <w:rFonts w:ascii="Calibri" w:eastAsia="Calibri" w:hAnsi="Calibri" w:cs="Times New Roman"/>
        <w:color w:val="0076AF"/>
        <w:sz w:val="18"/>
        <w:szCs w:val="18"/>
      </w:rPr>
      <w:t xml:space="preserve"> Oslo, Norway</w:t>
    </w:r>
  </w:p>
  <w:p w14:paraId="70BEED89" w14:textId="600B6AD5" w:rsidR="00802EE6" w:rsidRPr="006D0D10" w:rsidRDefault="00802EE6" w:rsidP="00C80AFC">
    <w:pPr>
      <w:pStyle w:val="Footer"/>
      <w:ind w:left="-993" w:right="360"/>
      <w:jc w:val="right"/>
      <w:rPr>
        <w:sz w:val="16"/>
        <w:lang w:val="en-US" w:eastAsia="ar-S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61380" w14:textId="0983CAAA" w:rsidR="00802EE6" w:rsidRPr="0079042F" w:rsidRDefault="00802EE6" w:rsidP="00263937">
    <w:pPr>
      <w:widowControl/>
      <w:pBdr>
        <w:top w:val="single" w:sz="4" w:space="1" w:color="0076AF"/>
      </w:pBdr>
      <w:tabs>
        <w:tab w:val="right" w:pos="9639"/>
      </w:tabs>
      <w:suppressAutoHyphens w:val="0"/>
      <w:spacing w:after="0" w:line="240" w:lineRule="auto"/>
      <w:rPr>
        <w:rFonts w:ascii="Calibri" w:eastAsia="Calibri" w:hAnsi="Calibri" w:cs="Times New Roman"/>
        <w:color w:val="0076AF"/>
        <w:sz w:val="28"/>
      </w:rPr>
    </w:pPr>
    <w:r w:rsidRPr="00263937">
      <w:rPr>
        <w:rFonts w:ascii="Calibri" w:eastAsia="Calibri" w:hAnsi="Calibri" w:cs="Times New Roman"/>
        <w:sz w:val="18"/>
        <w:szCs w:val="18"/>
      </w:rPr>
      <w:t xml:space="preserve"> </w:t>
    </w:r>
    <w:r>
      <w:rPr>
        <w:rFonts w:ascii="Calibri" w:eastAsia="Calibri" w:hAnsi="Calibri" w:cs="Times New Roman"/>
        <w:sz w:val="18"/>
        <w:szCs w:val="18"/>
      </w:rPr>
      <w:br/>
    </w:r>
    <w:r w:rsidRPr="0079042F">
      <w:rPr>
        <w:rFonts w:ascii="Calibri" w:eastAsia="Calibri" w:hAnsi="Calibri" w:cs="Times New Roman"/>
        <w:sz w:val="18"/>
        <w:szCs w:val="18"/>
      </w:rPr>
      <w:t xml:space="preserve">Website </w:t>
    </w:r>
    <w:r w:rsidRPr="0079042F">
      <w:rPr>
        <w:rFonts w:ascii="Calibri" w:eastAsia="Calibri" w:hAnsi="Calibri" w:cs="Times New Roman"/>
        <w:color w:val="0076AF"/>
        <w:sz w:val="18"/>
        <w:szCs w:val="18"/>
      </w:rPr>
      <w:t>www.eiti.org</w:t>
    </w:r>
    <w:r w:rsidRPr="0079042F">
      <w:rPr>
        <w:rFonts w:ascii="Calibri" w:eastAsia="Calibri" w:hAnsi="Calibri" w:cs="Times New Roman"/>
        <w:sz w:val="18"/>
        <w:szCs w:val="18"/>
      </w:rPr>
      <w:t xml:space="preserve"> Email </w:t>
    </w:r>
    <w:r w:rsidRPr="0079042F">
      <w:rPr>
        <w:rFonts w:ascii="Calibri" w:eastAsia="Calibri" w:hAnsi="Calibri" w:cs="Times New Roman"/>
        <w:color w:val="0076AF"/>
        <w:sz w:val="18"/>
        <w:szCs w:val="18"/>
      </w:rPr>
      <w:t>secretariat@eiti.org</w:t>
    </w:r>
    <w:r w:rsidRPr="0079042F">
      <w:rPr>
        <w:rFonts w:ascii="Calibri" w:eastAsia="Calibri" w:hAnsi="Calibri" w:cs="Times New Roman"/>
        <w:sz w:val="18"/>
        <w:szCs w:val="18"/>
      </w:rPr>
      <w:t xml:space="preserve"> Telephone </w:t>
    </w:r>
    <w:r w:rsidRPr="0079042F">
      <w:rPr>
        <w:rFonts w:ascii="Calibri" w:eastAsia="Calibri" w:hAnsi="Calibri" w:cs="Times New Roman"/>
        <w:color w:val="0076AF"/>
        <w:sz w:val="18"/>
        <w:szCs w:val="18"/>
      </w:rPr>
      <w:t>+47 22 20 08 00</w:t>
    </w:r>
    <w:r w:rsidRPr="0079042F">
      <w:rPr>
        <w:rFonts w:ascii="Calibri" w:eastAsia="Calibri" w:hAnsi="Calibri" w:cs="Times New Roman"/>
        <w:sz w:val="18"/>
        <w:szCs w:val="18"/>
      </w:rPr>
      <w:t xml:space="preserve"> Fax </w:t>
    </w:r>
    <w:r w:rsidRPr="0079042F">
      <w:rPr>
        <w:rFonts w:ascii="Calibri" w:eastAsia="Calibri" w:hAnsi="Calibri" w:cs="Times New Roman"/>
        <w:color w:val="0076AF"/>
        <w:sz w:val="18"/>
        <w:szCs w:val="18"/>
      </w:rPr>
      <w:t>+47 22 83 08 02</w:t>
    </w:r>
    <w:r w:rsidRPr="0079042F">
      <w:rPr>
        <w:rFonts w:ascii="Calibri" w:eastAsia="Calibri" w:hAnsi="Calibri" w:cs="Times New Roman"/>
        <w:color w:val="0076AF"/>
        <w:sz w:val="18"/>
        <w:szCs w:val="18"/>
      </w:rPr>
      <w:tab/>
    </w:r>
  </w:p>
  <w:p w14:paraId="6476F5A2" w14:textId="78F29333" w:rsidR="00802EE6" w:rsidRPr="0079042F" w:rsidRDefault="00802EE6" w:rsidP="00263937">
    <w:pPr>
      <w:widowControl/>
      <w:pBdr>
        <w:top w:val="single" w:sz="4" w:space="1" w:color="0076AF"/>
      </w:pBdr>
      <w:tabs>
        <w:tab w:val="right" w:pos="9639"/>
      </w:tabs>
      <w:suppressAutoHyphens w:val="0"/>
      <w:spacing w:after="0" w:line="240" w:lineRule="auto"/>
      <w:rPr>
        <w:rFonts w:ascii="Calibri" w:eastAsia="Calibri" w:hAnsi="Calibri" w:cs="Times New Roman"/>
        <w:color w:val="0076AF"/>
        <w:sz w:val="28"/>
      </w:rPr>
    </w:pPr>
    <w:r w:rsidRPr="0079042F">
      <w:rPr>
        <w:rFonts w:ascii="Calibri" w:eastAsia="Calibri" w:hAnsi="Calibri" w:cs="Times New Roman"/>
        <w:sz w:val="18"/>
        <w:szCs w:val="18"/>
      </w:rPr>
      <w:t xml:space="preserve">Address </w:t>
    </w:r>
    <w:r w:rsidRPr="0079042F">
      <w:rPr>
        <w:rFonts w:ascii="Calibri" w:eastAsia="Calibri" w:hAnsi="Calibri" w:cs="Times New Roman"/>
        <w:color w:val="0076AF"/>
        <w:sz w:val="18"/>
        <w:szCs w:val="18"/>
      </w:rPr>
      <w:t xml:space="preserve">EITI International Secretariat, </w:t>
    </w:r>
    <w:r>
      <w:rPr>
        <w:rFonts w:ascii="Calibri" w:eastAsia="Calibri" w:hAnsi="Calibri" w:cs="Times New Roman"/>
        <w:color w:val="0076AF"/>
        <w:sz w:val="18"/>
        <w:szCs w:val="18"/>
      </w:rPr>
      <w:t>Skippergata 22, 0154</w:t>
    </w:r>
    <w:r w:rsidRPr="0079042F">
      <w:rPr>
        <w:rFonts w:ascii="Calibri" w:eastAsia="Calibri" w:hAnsi="Calibri" w:cs="Times New Roman"/>
        <w:color w:val="0076AF"/>
        <w:sz w:val="18"/>
        <w:szCs w:val="18"/>
      </w:rPr>
      <w:t xml:space="preserve"> Oslo, Norway</w:t>
    </w:r>
  </w:p>
  <w:p w14:paraId="6483ABE4" w14:textId="001B1A56" w:rsidR="00802EE6" w:rsidRPr="00C80AFC" w:rsidRDefault="00802EE6" w:rsidP="00C80AFC">
    <w:pPr>
      <w:tabs>
        <w:tab w:val="center" w:pos="4320"/>
        <w:tab w:val="right" w:pos="8640"/>
      </w:tabs>
      <w:spacing w:after="0"/>
      <w:rPr>
        <w:rFonts w:ascii="Calibri" w:hAnsi="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0146C2" w14:textId="77777777" w:rsidR="00AB4432" w:rsidRDefault="00AB4432">
      <w:r>
        <w:separator/>
      </w:r>
    </w:p>
  </w:footnote>
  <w:footnote w:type="continuationSeparator" w:id="0">
    <w:p w14:paraId="4FEF1A5F" w14:textId="77777777" w:rsidR="00AB4432" w:rsidRDefault="00AB4432">
      <w:r>
        <w:continuationSeparator/>
      </w:r>
    </w:p>
  </w:footnote>
  <w:footnote w:type="continuationNotice" w:id="1">
    <w:p w14:paraId="2892D153" w14:textId="77777777" w:rsidR="00AB4432" w:rsidRPr="006F348B" w:rsidRDefault="00AB4432" w:rsidP="006F348B">
      <w:pPr>
        <w:pStyle w:val="Footer"/>
      </w:pPr>
    </w:p>
  </w:footnote>
  <w:footnote w:id="2">
    <w:p w14:paraId="73EB93E8" w14:textId="5E7B217F" w:rsidR="00802EE6" w:rsidRPr="00B265A7" w:rsidRDefault="00802EE6">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EITI (October 2016), ‘EITI Board decision: The Board agreed on the schedule for outstanding Validations’, accessed </w:t>
      </w:r>
      <w:hyperlink r:id="rId1"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3">
    <w:p w14:paraId="1C3C6483" w14:textId="79F0C564" w:rsidR="00802EE6" w:rsidRPr="00B265A7" w:rsidRDefault="00802EE6">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EITI (September 2017), ‘EITI Board decision: The Board agreed to postpone Afghanistan’s Validation for four months until 1 November 2017’, accessed </w:t>
      </w:r>
      <w:hyperlink r:id="rId2"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w:t>
      </w:r>
    </w:p>
  </w:footnote>
  <w:footnote w:id="4">
    <w:p w14:paraId="7D92E5D1" w14:textId="77777777" w:rsidR="00802EE6" w:rsidRPr="00B265A7" w:rsidRDefault="00802EE6" w:rsidP="00D27DFA">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lang w:val="en-GB"/>
        </w:rPr>
        <w:footnoteRef/>
      </w:r>
      <w:r w:rsidRPr="00B265A7">
        <w:rPr>
          <w:rFonts w:ascii="Calibri Light" w:hAnsi="Calibri Light" w:cs="Calibri Light"/>
          <w:sz w:val="16"/>
          <w:szCs w:val="16"/>
          <w:lang w:val="en-GB"/>
        </w:rPr>
        <w:t xml:space="preserve"> </w:t>
      </w:r>
      <w:hyperlink r:id="rId3" w:history="1">
        <w:r w:rsidRPr="00B265A7">
          <w:rPr>
            <w:rStyle w:val="Hyperlink"/>
            <w:rFonts w:ascii="Calibri Light" w:hAnsi="Calibri Light" w:cs="Calibri Light"/>
            <w:sz w:val="16"/>
            <w:szCs w:val="16"/>
            <w:lang w:val="en-GB"/>
          </w:rPr>
          <w:t>https://beta.eiti.org/document/validation-procedures</w:t>
        </w:r>
      </w:hyperlink>
      <w:r w:rsidRPr="00B265A7">
        <w:rPr>
          <w:rFonts w:ascii="Calibri Light" w:hAnsi="Calibri Light" w:cs="Calibri Light"/>
          <w:sz w:val="16"/>
          <w:szCs w:val="16"/>
          <w:lang w:val="en-GB"/>
        </w:rPr>
        <w:t xml:space="preserve"> </w:t>
      </w:r>
    </w:p>
  </w:footnote>
  <w:footnote w:id="5">
    <w:p w14:paraId="0787702D" w14:textId="77777777" w:rsidR="00802EE6" w:rsidRPr="00B265A7" w:rsidRDefault="00802EE6" w:rsidP="00D27DFA">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lang w:val="en-GB"/>
        </w:rPr>
        <w:footnoteRef/>
      </w:r>
      <w:r w:rsidRPr="00B265A7">
        <w:rPr>
          <w:rFonts w:ascii="Calibri Light" w:hAnsi="Calibri Light" w:cs="Calibri Light"/>
          <w:sz w:val="16"/>
          <w:szCs w:val="16"/>
          <w:lang w:val="en-GB"/>
        </w:rPr>
        <w:t xml:space="preserve"> </w:t>
      </w:r>
      <w:hyperlink r:id="rId4" w:history="1">
        <w:r w:rsidRPr="00B265A7">
          <w:rPr>
            <w:rStyle w:val="Hyperlink"/>
            <w:rFonts w:ascii="Calibri Light" w:hAnsi="Calibri Light" w:cs="Calibri Light"/>
            <w:sz w:val="16"/>
            <w:szCs w:val="16"/>
            <w:lang w:val="en-GB"/>
          </w:rPr>
          <w:t>https://beta.eiti.org/document/validation-guide</w:t>
        </w:r>
      </w:hyperlink>
      <w:r w:rsidRPr="00B265A7">
        <w:rPr>
          <w:rFonts w:ascii="Calibri Light" w:hAnsi="Calibri Light" w:cs="Calibri Light"/>
          <w:sz w:val="16"/>
          <w:szCs w:val="16"/>
          <w:lang w:val="en-GB"/>
        </w:rPr>
        <w:t xml:space="preserve"> </w:t>
      </w:r>
    </w:p>
  </w:footnote>
  <w:footnote w:id="6">
    <w:p w14:paraId="46471BAD" w14:textId="2A8A757C"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Matthew Dupee (March 2017), ‘The Taliban Stones Commission and the Insurgent Windfall from Illegal Mining’, accessed </w:t>
      </w:r>
      <w:hyperlink r:id="rId5"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June 2018. </w:t>
      </w:r>
    </w:p>
  </w:footnote>
  <w:footnote w:id="7">
    <w:p w14:paraId="76840658" w14:textId="77777777" w:rsidR="00802EE6" w:rsidRPr="00B265A7" w:rsidRDefault="00802EE6" w:rsidP="00D6577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World Bank Open Data website, accessed </w:t>
      </w:r>
      <w:hyperlink r:id="rId6"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w:t>
      </w:r>
    </w:p>
  </w:footnote>
  <w:footnote w:id="8">
    <w:p w14:paraId="41F45CF9" w14:textId="0D04C298" w:rsidR="00802EE6" w:rsidRPr="00B265A7" w:rsidRDefault="00802EE6" w:rsidP="00D6577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Geophysical and hyperspectral surveys have been conducted on roughly 75% of Afghanistan’s territory, following work by the Soviet Geological Mission in the 1970s and 1980s and, since 2001, by the US Geological Survey (USGS) and the British Geological Survey. Ministry of Mines and Petroleum (2012), ‘10 Reasons To Invest In Afghanistan’s Mining Sector’, accessed </w:t>
      </w:r>
      <w:hyperlink r:id="rId7"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9">
    <w:p w14:paraId="569F91CD" w14:textId="77777777" w:rsidR="00802EE6" w:rsidRPr="00B265A7" w:rsidRDefault="00802EE6" w:rsidP="00D6577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Erica Downs (2012), ‘China buys into Afghanistan’, in SAIS Review vol. XXXII no.2 (Summer-Fall 2012), John Hopkins University Press, accessed </w:t>
      </w:r>
      <w:hyperlink r:id="rId8"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And United States Institute of Peace (January 2015), ‘Afghanistan’s Emerging Mining Oligarchy’, accessed </w:t>
      </w:r>
      <w:hyperlink r:id="rId9"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w:t>
      </w:r>
    </w:p>
  </w:footnote>
  <w:footnote w:id="10">
    <w:p w14:paraId="42A93B0A" w14:textId="77777777" w:rsidR="00802EE6" w:rsidRPr="00B265A7" w:rsidRDefault="00802EE6" w:rsidP="00D6577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Ministry of Mines and Petroleum (2012), ‘10 Reasons To Invest In Afghanistan’s Mining Sector’, accessed </w:t>
      </w:r>
      <w:hyperlink r:id="rId10"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11">
    <w:p w14:paraId="714AD91A" w14:textId="77777777" w:rsidR="00802EE6" w:rsidRPr="00B265A7" w:rsidRDefault="00802EE6" w:rsidP="00D6577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Heinrich Böll Stiftung Afghanistan (2016), ‘Mining in Afghanistan’, accessed </w:t>
      </w:r>
      <w:hyperlink r:id="rId11"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12">
    <w:p w14:paraId="5F77BEEB" w14:textId="77777777" w:rsidR="00802EE6" w:rsidRPr="00B265A7" w:rsidRDefault="00802EE6" w:rsidP="00D6577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Ministry of Mines and Petroleum (2012), ‘10 Reasons To Invest In Afghanistan’s Mining Sector’, accessed </w:t>
      </w:r>
      <w:hyperlink r:id="rId12"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13">
    <w:p w14:paraId="02CF5729" w14:textId="5070086A" w:rsidR="00802EE6" w:rsidRPr="00B265A7" w:rsidRDefault="00802EE6" w:rsidP="00D6577B">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Global Witness (June 2016), ‘Afghanistan’s famous lapis mines funding the Taliban and armed groups, new investigation shows’, accessed </w:t>
      </w:r>
      <w:hyperlink r:id="rId13"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14">
    <w:p w14:paraId="5A5A95D0" w14:textId="446DDC19" w:rsidR="00802EE6" w:rsidRPr="00B265A7" w:rsidRDefault="00802EE6">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GiZ (December 2016), ‘Artisanal and Small-scale mining in Afghanistan: background and context’, in Afghanistan EITI (December 2016), ‘1391 and 1392 (2012-2013) EITI Inception report and Fourth reconciliation report - appendices’, accessed </w:t>
      </w:r>
      <w:hyperlink r:id="rId14"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p.230. </w:t>
      </w:r>
    </w:p>
  </w:footnote>
  <w:footnote w:id="15">
    <w:p w14:paraId="6DB958CE" w14:textId="39947653" w:rsidR="00802EE6" w:rsidRPr="00B265A7" w:rsidRDefault="00802EE6" w:rsidP="00225E25">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United States Institute of Peace (July 2017), ‘Illegal Mining in Afghanistan: A Driver of Conflict’, accessed </w:t>
      </w:r>
      <w:hyperlink r:id="rId15"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And Norwegian Institute of International Affairs (December 2017), ‘Afghanistan: A Political Economy Analysis’, accessed </w:t>
      </w:r>
      <w:hyperlink r:id="rId16"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16">
    <w:p w14:paraId="7A90C786" w14:textId="0E73534E" w:rsidR="00802EE6" w:rsidRPr="00B265A7" w:rsidRDefault="00802EE6" w:rsidP="00D6577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Heinrich Böll Stiftung Afghanistan (2016), op.cit.. </w:t>
      </w:r>
    </w:p>
  </w:footnote>
  <w:footnote w:id="17">
    <w:p w14:paraId="1F436714" w14:textId="77777777" w:rsidR="00802EE6" w:rsidRPr="00B265A7" w:rsidRDefault="00802EE6" w:rsidP="00D6577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Special Inspector General for Afghanistan Reconstruction (April 2015), ‘Afghanistan’s Mineral, Oil, and Gas</w:t>
      </w:r>
    </w:p>
    <w:p w14:paraId="77D6266E" w14:textId="77777777" w:rsidR="00802EE6" w:rsidRPr="00B265A7" w:rsidRDefault="00802EE6" w:rsidP="00D6577B">
      <w:pPr>
        <w:pStyle w:val="FootnoteText"/>
        <w:rPr>
          <w:rFonts w:ascii="Calibri Light" w:hAnsi="Calibri Light" w:cs="Calibri Light"/>
          <w:sz w:val="16"/>
          <w:szCs w:val="16"/>
        </w:rPr>
      </w:pPr>
      <w:r w:rsidRPr="00B265A7">
        <w:rPr>
          <w:rFonts w:ascii="Calibri Light" w:hAnsi="Calibri Light" w:cs="Calibri Light"/>
          <w:sz w:val="16"/>
          <w:szCs w:val="16"/>
        </w:rPr>
        <w:t xml:space="preserve">Industries: Unless U.S. Agencies Act Soon to Sustain Investments Made, $488 Million in Funding is at Risk’, accessed </w:t>
      </w:r>
      <w:hyperlink r:id="rId17"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And Global Witness (May 2016), ‘War in the Treasury of the People’, accessed </w:t>
      </w:r>
      <w:hyperlink r:id="rId18"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w:t>
      </w:r>
    </w:p>
  </w:footnote>
  <w:footnote w:id="18">
    <w:p w14:paraId="6D8D44B1" w14:textId="4A81293E" w:rsidR="00802EE6" w:rsidRPr="00B265A7" w:rsidRDefault="00802EE6" w:rsidP="00D6577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 EITI (29 April 2017), ‘Afghanistan Fifth EITI Report 1393 and 1394 (2014 and 2015)’, accessed </w:t>
      </w:r>
      <w:hyperlink r:id="rId19"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December 2017, p.36.</w:t>
      </w:r>
    </w:p>
  </w:footnote>
  <w:footnote w:id="19">
    <w:p w14:paraId="246ED980" w14:textId="5F257FEA"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 EITI (December 2016), ‘AEITI 2016 annual activity report’, accessed </w:t>
      </w:r>
      <w:hyperlink r:id="rId20"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p.10. </w:t>
      </w:r>
    </w:p>
  </w:footnote>
  <w:footnote w:id="20">
    <w:p w14:paraId="5F912885" w14:textId="6D91FDDB" w:rsidR="00802EE6" w:rsidRPr="00B265A7" w:rsidRDefault="00802EE6" w:rsidP="00D6577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SIGAR (January 2016), op.cit., p.1. </w:t>
      </w:r>
    </w:p>
  </w:footnote>
  <w:footnote w:id="21">
    <w:p w14:paraId="2D3AEC14" w14:textId="77777777" w:rsidR="00802EE6" w:rsidRPr="00B265A7" w:rsidRDefault="00802EE6" w:rsidP="008F1820">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The Diplomat (January 2017), ‘The Story Behind China's Long-Stalled Mine in Afghanistan’, accessed </w:t>
      </w:r>
      <w:hyperlink r:id="rId21"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22">
    <w:p w14:paraId="3B8D38A8" w14:textId="77777777" w:rsidR="00802EE6" w:rsidRPr="00B265A7" w:rsidRDefault="00802EE6" w:rsidP="008F1820">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United States Institute for Peace (September 2017), ‘Reviving Commercial Development of Afghanistan’s Aynak Copper Resource’, accessed </w:t>
      </w:r>
      <w:hyperlink r:id="rId22"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p.2. and Erica Downs (2012), op.cit. </w:t>
      </w:r>
    </w:p>
  </w:footnote>
  <w:footnote w:id="23">
    <w:p w14:paraId="18256C67" w14:textId="77777777" w:rsidR="00802EE6" w:rsidRPr="00B265A7" w:rsidRDefault="00802EE6" w:rsidP="00D6577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Ministry of Mines and Petroleum (2014), ‘Minerals in Afghanistan’, accessed </w:t>
      </w:r>
      <w:hyperlink r:id="rId23"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24">
    <w:p w14:paraId="63483A27" w14:textId="1DE25D86" w:rsidR="00802EE6" w:rsidRPr="00B265A7" w:rsidRDefault="00802EE6">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Samuel Hall (January 2013), ‘Natural Resources: What Strategy for Afghanistan?’, accessed </w:t>
      </w:r>
      <w:hyperlink r:id="rId24"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pp.4-5. </w:t>
      </w:r>
    </w:p>
  </w:footnote>
  <w:footnote w:id="25">
    <w:p w14:paraId="6EBC6E40" w14:textId="77777777" w:rsidR="00802EE6" w:rsidRPr="00B265A7" w:rsidRDefault="00802EE6" w:rsidP="00D6577B">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World Trade Organisation (2017), ‘Chabahr port - a New transit gateway for Afghanistan’, accessed </w:t>
      </w:r>
      <w:hyperlink r:id="rId25"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26">
    <w:p w14:paraId="4DDE8E5A" w14:textId="20E66C29" w:rsidR="00802EE6" w:rsidRPr="00B265A7" w:rsidRDefault="00802EE6" w:rsidP="00D6577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Heinrich Böll Stiftung Afghanistan (2016), op.cit. </w:t>
      </w:r>
    </w:p>
  </w:footnote>
  <w:footnote w:id="27">
    <w:p w14:paraId="449A62B7" w14:textId="4FAAE294"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Samuel Hall (January 2013), op.cit., p.4.</w:t>
      </w:r>
    </w:p>
  </w:footnote>
  <w:footnote w:id="28">
    <w:p w14:paraId="4C752760" w14:textId="5A612E6F" w:rsidR="00802EE6" w:rsidRPr="00B265A7" w:rsidRDefault="00802EE6" w:rsidP="00D6577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Heinrich Böll Stiftung Afghanistan (2016), op.cit. </w:t>
      </w:r>
    </w:p>
  </w:footnote>
  <w:footnote w:id="29">
    <w:p w14:paraId="6E07EB55" w14:textId="60E3B3D8" w:rsidR="00802EE6" w:rsidRPr="00B265A7" w:rsidRDefault="00802EE6" w:rsidP="00D6577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Erica Downs (2012), op.cit.. </w:t>
      </w:r>
    </w:p>
  </w:footnote>
  <w:footnote w:id="30">
    <w:p w14:paraId="40DC1783" w14:textId="09A5F364" w:rsidR="00802EE6" w:rsidRPr="00B265A7" w:rsidRDefault="00802EE6" w:rsidP="00D6577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SIGAR (January 2016), op.cit., p.1. </w:t>
      </w:r>
    </w:p>
  </w:footnote>
  <w:footnote w:id="31">
    <w:p w14:paraId="567ECB57" w14:textId="77777777" w:rsidR="00802EE6" w:rsidRPr="00B265A7" w:rsidRDefault="00802EE6" w:rsidP="00D6577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EITI (29 April 2017), ‘Afghanistan Fifth EITI Report 1393 and 1394 (2014 and 2015)’, accessed </w:t>
      </w:r>
      <w:hyperlink r:id="rId26"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December 2017, pp.38-39.</w:t>
      </w:r>
    </w:p>
  </w:footnote>
  <w:footnote w:id="32">
    <w:p w14:paraId="594B9EC6" w14:textId="77777777" w:rsidR="00802EE6" w:rsidRPr="00B265A7" w:rsidRDefault="00802EE6" w:rsidP="00D6577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US Geological Survey (August 2017), ‘2014 Minerals Yearbook, Afghanistan’, accessed </w:t>
      </w:r>
      <w:hyperlink r:id="rId27"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p.6. </w:t>
      </w:r>
    </w:p>
  </w:footnote>
  <w:footnote w:id="33">
    <w:p w14:paraId="4516E76C" w14:textId="7423974D" w:rsidR="00802EE6" w:rsidRPr="00B265A7" w:rsidRDefault="00802EE6" w:rsidP="00D6577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Ibid. </w:t>
      </w:r>
    </w:p>
  </w:footnote>
  <w:footnote w:id="34">
    <w:p w14:paraId="1AB8FDBE" w14:textId="77777777" w:rsidR="00802EE6" w:rsidRPr="00B265A7" w:rsidRDefault="00802EE6" w:rsidP="00D6577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 combined 576,000 cu m of gas a day. </w:t>
      </w:r>
    </w:p>
  </w:footnote>
  <w:footnote w:id="35">
    <w:p w14:paraId="45EB1DE4" w14:textId="58CB9716" w:rsidR="00802EE6" w:rsidRPr="00B265A7" w:rsidRDefault="00802EE6" w:rsidP="00D6577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EITI (29 April 2017), 2014-15 EITI Report, op.cit., p.52.</w:t>
      </w:r>
    </w:p>
  </w:footnote>
  <w:footnote w:id="36">
    <w:p w14:paraId="2DB2D31C" w14:textId="77777777" w:rsidR="00802EE6" w:rsidRPr="00B265A7" w:rsidRDefault="00802EE6" w:rsidP="001B0810">
      <w:pPr>
        <w:pStyle w:val="FootnoteText"/>
        <w:tabs>
          <w:tab w:val="left" w:pos="3416"/>
        </w:tabs>
        <w:contextualSpacing/>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See also </w:t>
      </w:r>
      <w:hyperlink r:id="rId28" w:history="1">
        <w:r w:rsidRPr="00B265A7">
          <w:rPr>
            <w:rStyle w:val="Hyperlink"/>
            <w:rFonts w:ascii="Calibri Light" w:hAnsi="Calibri Light" w:cs="Calibri Light"/>
            <w:sz w:val="16"/>
            <w:szCs w:val="16"/>
          </w:rPr>
          <w:t>https://eiti.org/validation</w:t>
        </w:r>
      </w:hyperlink>
      <w:r w:rsidRPr="00B265A7">
        <w:rPr>
          <w:rFonts w:ascii="Calibri Light" w:hAnsi="Calibri Light" w:cs="Calibri Light"/>
          <w:sz w:val="16"/>
          <w:szCs w:val="16"/>
        </w:rPr>
        <w:t xml:space="preserve">. </w:t>
      </w:r>
      <w:r w:rsidRPr="00B265A7">
        <w:rPr>
          <w:rFonts w:ascii="Calibri Light" w:hAnsi="Calibri Light" w:cs="Calibri Light"/>
          <w:sz w:val="16"/>
          <w:szCs w:val="16"/>
        </w:rPr>
        <w:tab/>
      </w:r>
    </w:p>
  </w:footnote>
  <w:footnote w:id="37">
    <w:p w14:paraId="5F6D139F" w14:textId="5B2C6EF3"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Hart Group (2013), Final report on Validation of the implementation of the EITI Afghanistan - </w:t>
      </w:r>
      <w:hyperlink r:id="rId29" w:history="1">
        <w:r w:rsidRPr="00B265A7">
          <w:rPr>
            <w:rStyle w:val="Hyperlink"/>
            <w:rFonts w:ascii="Calibri Light" w:hAnsi="Calibri Light" w:cs="Calibri Light"/>
            <w:sz w:val="16"/>
            <w:szCs w:val="16"/>
          </w:rPr>
          <w:t>https://eiti.org/sites/default/files/documents/2013_afghanistan_validation_report.pdf</w:t>
        </w:r>
      </w:hyperlink>
      <w:r w:rsidRPr="00B265A7">
        <w:rPr>
          <w:rFonts w:ascii="Calibri Light" w:hAnsi="Calibri Light" w:cs="Calibri Light"/>
          <w:sz w:val="16"/>
          <w:szCs w:val="16"/>
        </w:rPr>
        <w:t>, accessed on 12 April 2018, p. 21.</w:t>
      </w:r>
    </w:p>
  </w:footnote>
  <w:footnote w:id="38">
    <w:p w14:paraId="20626636" w14:textId="3815FDC9" w:rsidR="00802EE6" w:rsidRPr="00B265A7" w:rsidRDefault="00802EE6">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lang w:val="en-GB"/>
        </w:rPr>
        <w:t xml:space="preserve"> Ministry of Finance (July 2013), ‘Senior officials Meeting Joint Report’, </w:t>
      </w:r>
      <w:hyperlink r:id="rId30" w:history="1">
        <w:r w:rsidRPr="00B265A7">
          <w:rPr>
            <w:rStyle w:val="Hyperlink"/>
            <w:rFonts w:ascii="Calibri Light" w:hAnsi="Calibri Light" w:cs="Calibri Light"/>
            <w:sz w:val="16"/>
            <w:szCs w:val="16"/>
            <w:lang w:val="en-GB"/>
          </w:rPr>
          <w:t>http://mof.gov.af/Content/files/TMAF_SOM_Report_Final_English.pdf</w:t>
        </w:r>
      </w:hyperlink>
      <w:r w:rsidRPr="00B265A7">
        <w:rPr>
          <w:rFonts w:ascii="Calibri Light" w:hAnsi="Calibri Light" w:cs="Calibri Light"/>
          <w:sz w:val="16"/>
          <w:szCs w:val="16"/>
          <w:lang w:val="en-GB"/>
        </w:rPr>
        <w:t xml:space="preserve">. </w:t>
      </w:r>
    </w:p>
  </w:footnote>
  <w:footnote w:id="39">
    <w:p w14:paraId="072C957F" w14:textId="31B39BF4"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Permanent Mission of Afghanistan to the UN in New York (January 2010), accessed on ‘Afghan Leadership, Regional Cooperation, International Partnership’  </w:t>
      </w:r>
      <w:hyperlink r:id="rId31" w:history="1">
        <w:r w:rsidRPr="00B265A7">
          <w:rPr>
            <w:rStyle w:val="Hyperlink"/>
            <w:rFonts w:ascii="Calibri Light" w:hAnsi="Calibri Light" w:cs="Calibri Light"/>
            <w:sz w:val="16"/>
            <w:szCs w:val="16"/>
          </w:rPr>
          <w:t>http://afghanistan-un.org/2010/01/afghan-leadership-regional-cooperation-international-partnership/</w:t>
        </w:r>
      </w:hyperlink>
      <w:r w:rsidRPr="00B265A7">
        <w:rPr>
          <w:rFonts w:ascii="Calibri Light" w:hAnsi="Calibri Light" w:cs="Calibri Light"/>
          <w:sz w:val="16"/>
          <w:szCs w:val="16"/>
        </w:rPr>
        <w:t xml:space="preserve"> in April 2018.</w:t>
      </w:r>
    </w:p>
  </w:footnote>
  <w:footnote w:id="40">
    <w:p w14:paraId="53C8FC55" w14:textId="0ED4B325"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 EITI (October 2016), ‘Self-reliance through mutual accountability framework’, accessed on </w:t>
      </w:r>
      <w:hyperlink r:id="rId32" w:history="1">
        <w:r w:rsidRPr="00B265A7">
          <w:rPr>
            <w:rStyle w:val="Hyperlink"/>
            <w:rFonts w:ascii="Calibri Light" w:hAnsi="Calibri Light" w:cs="Calibri Light"/>
            <w:sz w:val="16"/>
            <w:szCs w:val="16"/>
          </w:rPr>
          <w:t>http://aeiti.af/Content/Media/Documents/Agreed-Smaf-Smart-Deliverables-Final-v211120165242941553325325.pdf</w:t>
        </w:r>
      </w:hyperlink>
      <w:r w:rsidRPr="00B265A7">
        <w:rPr>
          <w:rFonts w:ascii="Calibri Light" w:hAnsi="Calibri Light" w:cs="Calibri Light"/>
          <w:sz w:val="16"/>
          <w:szCs w:val="16"/>
        </w:rPr>
        <w:t xml:space="preserve"> in April 2018.</w:t>
      </w:r>
    </w:p>
  </w:footnote>
  <w:footnote w:id="41">
    <w:p w14:paraId="7C468D68" w14:textId="31B05D38" w:rsidR="00802EE6" w:rsidRPr="00B265A7" w:rsidRDefault="00802EE6">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t>
      </w:r>
      <w:r w:rsidRPr="00B265A7">
        <w:rPr>
          <w:rFonts w:ascii="Calibri Light" w:hAnsi="Calibri Light" w:cs="Calibri Light"/>
          <w:sz w:val="16"/>
          <w:szCs w:val="16"/>
          <w:lang w:val="en-GB"/>
        </w:rPr>
        <w:t xml:space="preserve">See </w:t>
      </w:r>
      <w:hyperlink r:id="rId33" w:history="1">
        <w:r w:rsidRPr="00B265A7">
          <w:rPr>
            <w:rStyle w:val="Hyperlink"/>
            <w:rFonts w:ascii="Calibri Light" w:hAnsi="Calibri Light" w:cs="Calibri Light"/>
            <w:sz w:val="16"/>
            <w:szCs w:val="16"/>
            <w:lang w:val="en-GB"/>
          </w:rPr>
          <w:t>https://eiti.org/news/afghan-president-sets-out-his-mining-agenda</w:t>
        </w:r>
      </w:hyperlink>
      <w:r w:rsidRPr="00B265A7">
        <w:rPr>
          <w:rFonts w:ascii="Calibri Light" w:hAnsi="Calibri Light" w:cs="Calibri Light"/>
          <w:sz w:val="16"/>
          <w:szCs w:val="16"/>
          <w:lang w:val="en-GB"/>
        </w:rPr>
        <w:t xml:space="preserve">, </w:t>
      </w:r>
      <w:hyperlink r:id="rId34" w:history="1">
        <w:r w:rsidRPr="00B265A7">
          <w:rPr>
            <w:rStyle w:val="Hyperlink"/>
            <w:rFonts w:ascii="Calibri Light" w:hAnsi="Calibri Light" w:cs="Calibri Light"/>
            <w:sz w:val="16"/>
            <w:szCs w:val="16"/>
            <w:lang w:val="en-GB"/>
          </w:rPr>
          <w:t>https://eiti.org/news/president-ghani-puts-mining-reform-at-heart-of-governments-anticorruption-efforts</w:t>
        </w:r>
      </w:hyperlink>
      <w:r w:rsidRPr="00B265A7">
        <w:rPr>
          <w:rFonts w:ascii="Calibri Light" w:hAnsi="Calibri Light" w:cs="Calibri Light"/>
          <w:sz w:val="16"/>
          <w:szCs w:val="16"/>
          <w:lang w:val="en-GB"/>
        </w:rPr>
        <w:t xml:space="preserve"> and </w:t>
      </w:r>
      <w:hyperlink r:id="rId35" w:history="1">
        <w:r w:rsidRPr="00B265A7">
          <w:rPr>
            <w:rStyle w:val="Hyperlink"/>
            <w:rFonts w:ascii="Calibri Light" w:hAnsi="Calibri Light" w:cs="Calibri Light"/>
            <w:sz w:val="16"/>
            <w:szCs w:val="16"/>
            <w:lang w:val="en-GB"/>
          </w:rPr>
          <w:t>https://eiti.org/news/second-wind-for-afghanistans-mining-sector</w:t>
        </w:r>
      </w:hyperlink>
      <w:r w:rsidRPr="00B265A7">
        <w:rPr>
          <w:rFonts w:ascii="Calibri Light" w:hAnsi="Calibri Light" w:cs="Calibri Light"/>
          <w:sz w:val="16"/>
          <w:szCs w:val="16"/>
          <w:lang w:val="en-GB"/>
        </w:rPr>
        <w:t xml:space="preserve">. </w:t>
      </w:r>
    </w:p>
  </w:footnote>
  <w:footnote w:id="42">
    <w:p w14:paraId="3C4CF63C" w14:textId="2B188DD3"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Transparency is one of the pillars of the roadmap that is currently being drafted by the Ministry of Mines and Petroleum, where “compliance with the EITI Standards” plays a prominent role.</w:t>
      </w:r>
    </w:p>
  </w:footnote>
  <w:footnote w:id="43">
    <w:p w14:paraId="48E9DFD6" w14:textId="6BE5EA96"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 EITI, Government Sector, website accessed on </w:t>
      </w:r>
      <w:hyperlink r:id="rId36" w:history="1">
        <w:r w:rsidRPr="00B265A7">
          <w:rPr>
            <w:rStyle w:val="Hyperlink"/>
            <w:rFonts w:ascii="Calibri Light" w:hAnsi="Calibri Light" w:cs="Calibri Light"/>
            <w:sz w:val="16"/>
            <w:szCs w:val="16"/>
          </w:rPr>
          <w:t>http://www.aeiti.af/en/page/govt-sector</w:t>
        </w:r>
      </w:hyperlink>
      <w:r w:rsidRPr="00B265A7">
        <w:rPr>
          <w:rFonts w:ascii="Calibri Light" w:hAnsi="Calibri Light" w:cs="Calibri Light"/>
          <w:sz w:val="16"/>
          <w:szCs w:val="16"/>
        </w:rPr>
        <w:t xml:space="preserve"> in December 2017.</w:t>
      </w:r>
    </w:p>
  </w:footnote>
  <w:footnote w:id="44">
    <w:p w14:paraId="1F9316DE" w14:textId="77777777" w:rsidR="00802EE6" w:rsidRPr="00B265A7" w:rsidRDefault="00802EE6" w:rsidP="00D13B2F">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According to the 2017 Annual Progress Report (APR), there are seven government representatives on the MSG as full members and five alternates, not counting the Chair or co-Chair.</w:t>
      </w:r>
    </w:p>
  </w:footnote>
  <w:footnote w:id="45">
    <w:p w14:paraId="7E91F204" w14:textId="510D4FFF"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AEITI (2017), Annual Progress Reports, website accessed on </w:t>
      </w:r>
      <w:hyperlink r:id="rId37" w:history="1">
        <w:r w:rsidRPr="00B265A7">
          <w:rPr>
            <w:rStyle w:val="Hyperlink"/>
            <w:rFonts w:ascii="Calibri Light" w:hAnsi="Calibri Light" w:cs="Calibri Light"/>
            <w:sz w:val="16"/>
            <w:szCs w:val="16"/>
          </w:rPr>
          <w:t>http://aeiti.af/en/documents/category/annual-progress-reports</w:t>
        </w:r>
      </w:hyperlink>
      <w:r w:rsidRPr="00B265A7">
        <w:rPr>
          <w:rFonts w:ascii="Calibri Light" w:hAnsi="Calibri Light" w:cs="Calibri Light"/>
          <w:sz w:val="16"/>
          <w:szCs w:val="16"/>
        </w:rPr>
        <w:t xml:space="preserve"> in December 2017</w:t>
      </w:r>
    </w:p>
  </w:footnote>
  <w:footnote w:id="46">
    <w:p w14:paraId="79DFF502" w14:textId="0341E8FB"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See for example </w:t>
      </w:r>
      <w:hyperlink r:id="rId38" w:history="1">
        <w:r w:rsidRPr="00B265A7">
          <w:rPr>
            <w:rStyle w:val="Hyperlink"/>
            <w:rFonts w:ascii="Calibri Light" w:hAnsi="Calibri Light" w:cs="Calibri Light"/>
            <w:sz w:val="16"/>
            <w:szCs w:val="16"/>
          </w:rPr>
          <w:t>Afghanistan’s Road to Self-Reliance progress reports</w:t>
        </w:r>
      </w:hyperlink>
      <w:r w:rsidRPr="00B265A7">
        <w:rPr>
          <w:rFonts w:ascii="Calibri Light" w:hAnsi="Calibri Light" w:cs="Calibri Light"/>
          <w:sz w:val="16"/>
          <w:szCs w:val="16"/>
        </w:rPr>
        <w:t xml:space="preserve"> and the MOMP’s Roadmap for Reform of the Extractive Industries in Afghanistan, scheduled for publication in March 2018 (a final draft is available with the International Secretariat).</w:t>
      </w:r>
    </w:p>
  </w:footnote>
  <w:footnote w:id="47">
    <w:p w14:paraId="2840719F" w14:textId="0C958D6D"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t>
      </w:r>
      <w:r w:rsidRPr="00B265A7">
        <w:rPr>
          <w:rFonts w:ascii="Calibri Light" w:hAnsi="Calibri Light" w:cs="Calibri Light"/>
          <w:sz w:val="16"/>
          <w:szCs w:val="16"/>
          <w:lang w:val="en-GB"/>
        </w:rPr>
        <w:t xml:space="preserve">These include but are not limited to disclosing information upon request by the IA and with the data assurance process agreed by the MSG, raising awareness of AEITI information to stakeholders in their constituency, participating actively in the MSG and its working groups, following through on recommendations from implementation and informing the MSG of progress, and implementing internationally accounting standards in their operations. </w:t>
      </w:r>
      <w:r w:rsidRPr="00B265A7">
        <w:rPr>
          <w:rFonts w:ascii="Calibri Light" w:hAnsi="Calibri Light" w:cs="Calibri Light"/>
          <w:sz w:val="16"/>
          <w:szCs w:val="16"/>
        </w:rPr>
        <w:t xml:space="preserve">AEITI ToR, </w:t>
      </w:r>
      <w:r w:rsidRPr="00B265A7">
        <w:rPr>
          <w:rFonts w:ascii="Calibri Light" w:hAnsi="Calibri Light" w:cs="Calibri Light"/>
          <w:sz w:val="16"/>
          <w:szCs w:val="16"/>
          <w:lang w:val="en-GB"/>
        </w:rPr>
        <w:t>(p.5).</w:t>
      </w:r>
    </w:p>
  </w:footnote>
  <w:footnote w:id="48">
    <w:p w14:paraId="7F0D40F7" w14:textId="77777777" w:rsidR="00802EE6" w:rsidRPr="00B265A7" w:rsidRDefault="00802EE6" w:rsidP="00226B91">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International’s 2017 AEITI Institutional Review noted that companies struggle with significant challenges in record-keeping, accounting, auditing and reporting, which significantly constraints their ability to participate in the EITI process (p.12).</w:t>
      </w:r>
    </w:p>
  </w:footnote>
  <w:footnote w:id="49">
    <w:p w14:paraId="117DB143" w14:textId="4BC8871B"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Public statements of support were published on newspapers and are on file at the AEITI national secretariat including MCC-JCL Aynak Minerals Company Ltd (on 23 October 2014), CNPCIW (on 25 October 2014), Meesaq Sharq Company (undated), Hewad Waal Constructions Company and the Korea-Afghanistan Company (undated).</w:t>
      </w:r>
    </w:p>
  </w:footnote>
  <w:footnote w:id="50">
    <w:p w14:paraId="7BB242C9" w14:textId="51C71EF3"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The aforementioned AEITI Institutional review noted that articles 31, 93 and 110 of the Mining Regulations and article 54 of the 2014 Hydrocarbons Regulations mean that “companies may be penalised if they do not comply with AEITI, but no such action has ever been taken” (p.12).</w:t>
      </w:r>
    </w:p>
  </w:footnote>
  <w:footnote w:id="51">
    <w:p w14:paraId="6CFB17A5" w14:textId="3B62C924"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The memorandum is not available, see Hart Resources (2013), p.26.</w:t>
      </w:r>
    </w:p>
  </w:footnote>
  <w:footnote w:id="52">
    <w:p w14:paraId="57B0A449" w14:textId="752BABEE"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t>
      </w:r>
      <w:bookmarkStart w:id="129" w:name="_Hlk512069773"/>
      <w:r w:rsidRPr="00B265A7">
        <w:rPr>
          <w:rFonts w:ascii="Calibri Light" w:hAnsi="Calibri Light" w:cs="Calibri Light"/>
          <w:sz w:val="16"/>
          <w:szCs w:val="16"/>
        </w:rPr>
        <w:t xml:space="preserve">Office of the President (October 2014), ‘President Ghani: State-Building Is Impossible Without Civil Society’ </w:t>
      </w:r>
      <w:bookmarkStart w:id="130" w:name="_Hlk512069819"/>
      <w:r w:rsidRPr="00B265A7">
        <w:rPr>
          <w:rFonts w:ascii="Calibri Light" w:hAnsi="Calibri Light" w:cs="Calibri Light"/>
          <w:sz w:val="16"/>
          <w:szCs w:val="16"/>
        </w:rPr>
        <w:t xml:space="preserve">accessed on </w:t>
      </w:r>
      <w:hyperlink r:id="rId39" w:history="1">
        <w:r w:rsidRPr="00B265A7">
          <w:rPr>
            <w:rStyle w:val="Hyperlink"/>
            <w:rFonts w:ascii="Calibri Light" w:hAnsi="Calibri Light" w:cs="Calibri Light"/>
            <w:sz w:val="16"/>
            <w:szCs w:val="16"/>
          </w:rPr>
          <w:t>https://president.gov.af/en/news/president-ghani-state-building-is-impossible-without-civil-society/</w:t>
        </w:r>
      </w:hyperlink>
      <w:r w:rsidRPr="00B265A7">
        <w:rPr>
          <w:rFonts w:ascii="Calibri Light" w:hAnsi="Calibri Light" w:cs="Calibri Light"/>
          <w:sz w:val="16"/>
          <w:szCs w:val="16"/>
        </w:rPr>
        <w:t xml:space="preserve"> </w:t>
      </w:r>
      <w:bookmarkEnd w:id="129"/>
      <w:r w:rsidRPr="00B265A7">
        <w:rPr>
          <w:rFonts w:ascii="Calibri Light" w:hAnsi="Calibri Light" w:cs="Calibri Light"/>
          <w:sz w:val="16"/>
          <w:szCs w:val="16"/>
        </w:rPr>
        <w:t>in April 2018.</w:t>
      </w:r>
      <w:bookmarkEnd w:id="130"/>
    </w:p>
  </w:footnote>
  <w:footnote w:id="53">
    <w:p w14:paraId="42D987A9" w14:textId="20AA8398" w:rsidR="00802EE6" w:rsidRPr="00B265A7" w:rsidRDefault="00802EE6">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t>
      </w:r>
      <w:r w:rsidRPr="00B265A7">
        <w:rPr>
          <w:rFonts w:ascii="Calibri Light" w:hAnsi="Calibri Light" w:cs="Calibri Light"/>
          <w:sz w:val="16"/>
          <w:szCs w:val="16"/>
          <w:lang w:val="en-GB"/>
        </w:rPr>
        <w:t xml:space="preserve">See for example </w:t>
      </w:r>
      <w:hyperlink r:id="rId40" w:history="1">
        <w:r w:rsidRPr="00B265A7">
          <w:rPr>
            <w:rStyle w:val="Hyperlink"/>
            <w:rFonts w:ascii="Calibri Light" w:hAnsi="Calibri Light" w:cs="Calibri Light"/>
            <w:sz w:val="16"/>
            <w:szCs w:val="16"/>
            <w:lang w:val="en-GB"/>
          </w:rPr>
          <w:t>http://foreignpolicy.com/2012/08/16/can-civil-society-save-afghanistan/</w:t>
        </w:r>
      </w:hyperlink>
      <w:r w:rsidRPr="00B265A7">
        <w:rPr>
          <w:rFonts w:ascii="Calibri Light" w:hAnsi="Calibri Light" w:cs="Calibri Light"/>
          <w:sz w:val="16"/>
          <w:szCs w:val="16"/>
          <w:lang w:val="en-GB"/>
        </w:rPr>
        <w:t xml:space="preserve"> or </w:t>
      </w:r>
      <w:hyperlink r:id="rId41" w:history="1">
        <w:r w:rsidRPr="00B265A7">
          <w:rPr>
            <w:rStyle w:val="Hyperlink"/>
            <w:rFonts w:ascii="Calibri Light" w:hAnsi="Calibri Light" w:cs="Calibri Light"/>
            <w:sz w:val="16"/>
            <w:szCs w:val="16"/>
            <w:lang w:val="en-GB"/>
          </w:rPr>
          <w:t>http://www.afghanistan.no/English/Our_Work/Civil_society/Civil_society_contributes_to_development/index.html</w:t>
        </w:r>
      </w:hyperlink>
      <w:r w:rsidRPr="00B265A7">
        <w:rPr>
          <w:rFonts w:ascii="Calibri Light" w:hAnsi="Calibri Light" w:cs="Calibri Light"/>
          <w:sz w:val="16"/>
          <w:szCs w:val="16"/>
          <w:lang w:val="en-GB"/>
        </w:rPr>
        <w:t xml:space="preserve">.  </w:t>
      </w:r>
    </w:p>
  </w:footnote>
  <w:footnote w:id="54">
    <w:p w14:paraId="26860DA1" w14:textId="5BB6BEE2"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 has one of the highest illiteracy rates in the world, currently estimated at 69% for men and women above 15 years of age. For women in two provinces the illiteracy rate is estimated at 98.4%. See </w:t>
      </w:r>
      <w:hyperlink r:id="rId42" w:history="1">
        <w:r w:rsidRPr="00B265A7">
          <w:rPr>
            <w:rStyle w:val="Hyperlink"/>
            <w:rFonts w:ascii="Calibri Light" w:hAnsi="Calibri Light" w:cs="Calibri Light"/>
            <w:sz w:val="16"/>
            <w:szCs w:val="16"/>
          </w:rPr>
          <w:t>https://eeas.europa.eu/delegations/afghanistan/24791/eu-country-road-map-engagement-civil-society-afghanistan-2015-2017_en</w:t>
        </w:r>
      </w:hyperlink>
      <w:r w:rsidRPr="00B265A7">
        <w:rPr>
          <w:rFonts w:ascii="Calibri Light" w:hAnsi="Calibri Light" w:cs="Calibri Light"/>
          <w:sz w:val="16"/>
          <w:szCs w:val="16"/>
        </w:rPr>
        <w:t xml:space="preserve">.  </w:t>
      </w:r>
    </w:p>
  </w:footnote>
  <w:footnote w:id="55">
    <w:p w14:paraId="2487EF78" w14:textId="43A1DC1C"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United States Institute of Peace (2011), ‘The Role of Civil Society in Monitoring Afghanistan’s Extractive Industries’ accessed on </w:t>
      </w:r>
      <w:hyperlink r:id="rId43" w:history="1">
        <w:r w:rsidRPr="00B265A7">
          <w:rPr>
            <w:rStyle w:val="Hyperlink"/>
            <w:rFonts w:ascii="Calibri Light" w:hAnsi="Calibri Light" w:cs="Calibri Light"/>
            <w:sz w:val="16"/>
            <w:szCs w:val="16"/>
          </w:rPr>
          <w:t>https://www.usip.org/publications/2011/11/role-civil-society-monitoring-afghanistans-extractive-industries</w:t>
        </w:r>
      </w:hyperlink>
      <w:r w:rsidRPr="00B265A7">
        <w:rPr>
          <w:rFonts w:ascii="Calibri Light" w:hAnsi="Calibri Light" w:cs="Calibri Light"/>
          <w:sz w:val="16"/>
          <w:szCs w:val="16"/>
        </w:rPr>
        <w:t xml:space="preserve"> In April 2018.</w:t>
      </w:r>
    </w:p>
  </w:footnote>
  <w:footnote w:id="56">
    <w:p w14:paraId="51BED99C" w14:textId="086E8E9F"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UNESCO (no date), ‘Enhancement of literacy in Afghanistan’, accessed on </w:t>
      </w:r>
      <w:hyperlink r:id="rId44" w:history="1">
        <w:r w:rsidRPr="00B265A7">
          <w:rPr>
            <w:rStyle w:val="Hyperlink"/>
            <w:rFonts w:ascii="Calibri Light" w:hAnsi="Calibri Light" w:cs="Calibri Light"/>
            <w:sz w:val="16"/>
            <w:szCs w:val="16"/>
          </w:rPr>
          <w:t>http://www.unesco.org/new/en/kabul/education/enhancement-of-literacy-in-afghanistan-ela-program/</w:t>
        </w:r>
      </w:hyperlink>
      <w:r w:rsidRPr="00B265A7">
        <w:rPr>
          <w:rFonts w:ascii="Calibri Light" w:hAnsi="Calibri Light" w:cs="Calibri Light"/>
          <w:sz w:val="16"/>
          <w:szCs w:val="16"/>
        </w:rPr>
        <w:t xml:space="preserve"> in January 2018 (page is down 21.04.18). </w:t>
      </w:r>
    </w:p>
  </w:footnote>
  <w:footnote w:id="57">
    <w:p w14:paraId="44BAB0A7" w14:textId="2A10C24D"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Zafar Shayan (April 2017) ‘Challenges facing civil society in Afghanistan’, accessed on </w:t>
      </w:r>
      <w:hyperlink r:id="rId45" w:history="1">
        <w:r w:rsidRPr="00B265A7">
          <w:rPr>
            <w:rStyle w:val="Hyperlink"/>
            <w:rFonts w:ascii="Calibri Light" w:hAnsi="Calibri Light" w:cs="Calibri Light"/>
            <w:sz w:val="16"/>
            <w:szCs w:val="16"/>
          </w:rPr>
          <w:t>http://politicalcritique.org/world/2017/civil-society-afghanistan/</w:t>
        </w:r>
      </w:hyperlink>
      <w:r w:rsidRPr="00B265A7">
        <w:rPr>
          <w:rFonts w:ascii="Calibri Light" w:hAnsi="Calibri Light" w:cs="Calibri Light"/>
          <w:sz w:val="16"/>
          <w:szCs w:val="16"/>
        </w:rPr>
        <w:t xml:space="preserve"> in April 2018. </w:t>
      </w:r>
    </w:p>
  </w:footnote>
  <w:footnote w:id="58">
    <w:p w14:paraId="5D30F439" w14:textId="27DB4CF0" w:rsidR="00802EE6" w:rsidRPr="00B265A7" w:rsidRDefault="00802EE6" w:rsidP="005D2505">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US Department of State (2017), ‘Country reports on human rights practices for 2017’, accessed on </w:t>
      </w:r>
      <w:hyperlink r:id="rId46" w:anchor="wrapper" w:history="1">
        <w:r w:rsidRPr="00B265A7">
          <w:rPr>
            <w:rStyle w:val="Hyperlink"/>
            <w:rFonts w:ascii="Calibri Light" w:hAnsi="Calibri Light" w:cs="Calibri Light"/>
            <w:sz w:val="16"/>
            <w:szCs w:val="16"/>
          </w:rPr>
          <w:t>https://www.state.gov/j/drl/rls/hrrpt/humanrightsreport/index.htm#wrapper</w:t>
        </w:r>
      </w:hyperlink>
      <w:r w:rsidRPr="00B265A7">
        <w:rPr>
          <w:rFonts w:ascii="Calibri Light" w:hAnsi="Calibri Light" w:cs="Calibri Light"/>
          <w:sz w:val="16"/>
          <w:szCs w:val="16"/>
        </w:rPr>
        <w:t xml:space="preserve"> in April 2018.</w:t>
      </w:r>
    </w:p>
  </w:footnote>
  <w:footnote w:id="59">
    <w:p w14:paraId="3A1623BF" w14:textId="77777777" w:rsidR="00802EE6" w:rsidRPr="00B265A7" w:rsidRDefault="00802EE6" w:rsidP="005D2505">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Defamation is defined as “the attribution of a certain incidence to someone else by one of the “public”… such that if it were true, the accused would have been punished or degraded in the eyes of the people”. See </w:t>
      </w:r>
      <w:hyperlink r:id="rId47" w:history="1">
        <w:r w:rsidRPr="00B265A7">
          <w:rPr>
            <w:rStyle w:val="Hyperlink"/>
            <w:rFonts w:ascii="Calibri Light" w:hAnsi="Calibri Light" w:cs="Calibri Light"/>
            <w:sz w:val="16"/>
            <w:szCs w:val="16"/>
          </w:rPr>
          <w:t>https://www.unodc.org/res/cld/document/penal-code-amended_html/PENAL_CODE_with_Amendments.pdf</w:t>
        </w:r>
      </w:hyperlink>
      <w:r w:rsidRPr="00B265A7">
        <w:rPr>
          <w:rFonts w:ascii="Calibri Light" w:hAnsi="Calibri Light" w:cs="Calibri Light"/>
          <w:sz w:val="16"/>
          <w:szCs w:val="16"/>
        </w:rPr>
        <w:t xml:space="preserve">. </w:t>
      </w:r>
    </w:p>
  </w:footnote>
  <w:footnote w:id="60">
    <w:p w14:paraId="7E662595" w14:textId="77777777" w:rsidR="00802EE6" w:rsidRPr="00B265A7" w:rsidRDefault="00802EE6" w:rsidP="005D2505">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For an early review and explanation of the AIL by a CSO, see </w:t>
      </w:r>
      <w:hyperlink r:id="rId48" w:history="1">
        <w:r w:rsidRPr="00B265A7">
          <w:rPr>
            <w:rStyle w:val="Hyperlink"/>
            <w:rFonts w:ascii="Calibri Light" w:hAnsi="Calibri Light" w:cs="Calibri Light"/>
            <w:sz w:val="16"/>
            <w:szCs w:val="16"/>
          </w:rPr>
          <w:t>https://iwaweb.org/wp-content/uploads/2016/05/ATI-report-English-for-screen.pdf</w:t>
        </w:r>
      </w:hyperlink>
      <w:r w:rsidRPr="00B265A7">
        <w:rPr>
          <w:rFonts w:ascii="Calibri Light" w:hAnsi="Calibri Light" w:cs="Calibri Light"/>
          <w:sz w:val="16"/>
          <w:szCs w:val="16"/>
        </w:rPr>
        <w:t xml:space="preserve">. </w:t>
      </w:r>
    </w:p>
  </w:footnote>
  <w:footnote w:id="61">
    <w:p w14:paraId="67366F3B" w14:textId="354C2402"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Freedom House (2017) ‘Afghanistan profile’, accessed on </w:t>
      </w:r>
      <w:hyperlink r:id="rId49" w:history="1">
        <w:r w:rsidRPr="00B265A7">
          <w:rPr>
            <w:rStyle w:val="Hyperlink"/>
            <w:rFonts w:ascii="Calibri Light" w:hAnsi="Calibri Light" w:cs="Calibri Light"/>
            <w:sz w:val="16"/>
            <w:szCs w:val="16"/>
          </w:rPr>
          <w:t>https://freedomhouse.org/report/freedom-press/2017/afghanistan</w:t>
        </w:r>
      </w:hyperlink>
      <w:r w:rsidRPr="00B265A7">
        <w:rPr>
          <w:rFonts w:ascii="Calibri Light" w:hAnsi="Calibri Light" w:cs="Calibri Light"/>
          <w:sz w:val="16"/>
          <w:szCs w:val="16"/>
        </w:rPr>
        <w:t xml:space="preserve"> in April 2018.</w:t>
      </w:r>
    </w:p>
  </w:footnote>
  <w:footnote w:id="62">
    <w:p w14:paraId="01F3CC59" w14:textId="756A0BB0"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US Department of State (2015), ‘Country reports on Human rights practices for 2015 – Afghanistan’ accessed on </w:t>
      </w:r>
      <w:hyperlink r:id="rId50" w:history="1">
        <w:r w:rsidRPr="00B265A7">
          <w:rPr>
            <w:rStyle w:val="Hyperlink"/>
            <w:rFonts w:ascii="Calibri Light" w:hAnsi="Calibri Light" w:cs="Calibri Light"/>
            <w:sz w:val="16"/>
            <w:szCs w:val="16"/>
          </w:rPr>
          <w:t>http://www.state.gov/j/drl/rls/hrrpt/humanrightsreport/index.htm?year=2015&amp;dlid=252957</w:t>
        </w:r>
      </w:hyperlink>
      <w:r w:rsidRPr="00B265A7">
        <w:rPr>
          <w:rFonts w:ascii="Calibri Light" w:hAnsi="Calibri Light" w:cs="Calibri Light"/>
          <w:sz w:val="16"/>
          <w:szCs w:val="16"/>
        </w:rPr>
        <w:t xml:space="preserve"> in April 2018. </w:t>
      </w:r>
    </w:p>
  </w:footnote>
  <w:footnote w:id="63">
    <w:p w14:paraId="72EE9E11" w14:textId="0DF9B63F" w:rsidR="00802EE6" w:rsidRPr="00B265A7" w:rsidRDefault="00802EE6">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lang w:val="en-GB"/>
        </w:rPr>
        <w:t xml:space="preserve"> Shalizi, Hamid and Smith, Josh (2017), ‘Afghan journalists face more threats as violence spreads’, accessed on  </w:t>
      </w:r>
      <w:hyperlink r:id="rId51" w:history="1">
        <w:r w:rsidRPr="00B265A7">
          <w:rPr>
            <w:rStyle w:val="Hyperlink"/>
            <w:rFonts w:ascii="Calibri Light" w:hAnsi="Calibri Light" w:cs="Calibri Light"/>
            <w:sz w:val="16"/>
            <w:szCs w:val="16"/>
            <w:lang w:val="en-GB"/>
          </w:rPr>
          <w:t>https://www.reuters.com/article/us-afghanistan-journalists/afghan-journalists-face-more-threats-as-violence-spreads-idUSKBN1531T7</w:t>
        </w:r>
      </w:hyperlink>
      <w:r w:rsidRPr="00B265A7">
        <w:rPr>
          <w:rFonts w:ascii="Calibri Light" w:hAnsi="Calibri Light" w:cs="Calibri Light"/>
          <w:sz w:val="16"/>
          <w:szCs w:val="16"/>
          <w:lang w:val="en-GB"/>
        </w:rPr>
        <w:t xml:space="preserve"> in April 2018.</w:t>
      </w:r>
    </w:p>
  </w:footnote>
  <w:footnote w:id="64">
    <w:p w14:paraId="669CE8E1" w14:textId="130FB361"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The AJSC registered 10 cases of killings, 12 cases of injury, 19 cases of beatings, 18 cases of humiliation and mistreatment, 5 cases of detention, 6 cases of intimidation, and 3 cases of humiliating expulsions of journalists from their stations in the period January-June 2017. </w:t>
      </w:r>
      <w:hyperlink r:id="rId52" w:history="1">
        <w:r w:rsidRPr="00B265A7">
          <w:rPr>
            <w:rStyle w:val="Hyperlink"/>
            <w:rFonts w:ascii="Calibri Light" w:hAnsi="Calibri Light" w:cs="Calibri Light"/>
            <w:sz w:val="16"/>
            <w:szCs w:val="16"/>
          </w:rPr>
          <w:t>http://ajsc.af/six-month-report-jan-june-2017-afghanistan-a-dangerous-country-for-journalists-and-media/</w:t>
        </w:r>
      </w:hyperlink>
      <w:r w:rsidRPr="00B265A7">
        <w:rPr>
          <w:rFonts w:ascii="Calibri Light" w:hAnsi="Calibri Light" w:cs="Calibri Light"/>
          <w:sz w:val="16"/>
          <w:szCs w:val="16"/>
        </w:rPr>
        <w:t xml:space="preserve">. </w:t>
      </w:r>
    </w:p>
  </w:footnote>
  <w:footnote w:id="65">
    <w:p w14:paraId="5BDFF96F" w14:textId="0327E04E"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See </w:t>
      </w:r>
      <w:hyperlink r:id="rId53" w:history="1">
        <w:r w:rsidRPr="00B265A7">
          <w:rPr>
            <w:rStyle w:val="Hyperlink"/>
            <w:rFonts w:ascii="Calibri Light" w:hAnsi="Calibri Light" w:cs="Calibri Light"/>
            <w:sz w:val="16"/>
            <w:szCs w:val="16"/>
          </w:rPr>
          <w:t>http://www.bbc.com/news/world-south-asia-12013942</w:t>
        </w:r>
      </w:hyperlink>
      <w:r w:rsidRPr="00B265A7">
        <w:rPr>
          <w:rFonts w:ascii="Calibri Light" w:hAnsi="Calibri Light" w:cs="Calibri Light"/>
          <w:sz w:val="16"/>
          <w:szCs w:val="16"/>
        </w:rPr>
        <w:t xml:space="preserve"> for hyperlinks to the most important ones.</w:t>
      </w:r>
    </w:p>
  </w:footnote>
  <w:footnote w:id="66">
    <w:p w14:paraId="1A17585C" w14:textId="2747A4F6" w:rsidR="00802EE6" w:rsidRPr="00B265A7" w:rsidRDefault="00802EE6" w:rsidP="0059266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t>
      </w:r>
      <w:bookmarkStart w:id="131" w:name="_Hlk512070564"/>
      <w:r w:rsidRPr="00B265A7">
        <w:rPr>
          <w:rFonts w:ascii="Calibri Light" w:hAnsi="Calibri Light" w:cs="Calibri Light"/>
          <w:sz w:val="16"/>
          <w:szCs w:val="16"/>
        </w:rPr>
        <w:t xml:space="preserve">Ministry of Information and Culture (2016), ‘Mass media commission established to support freedom of expression’, accessed on </w:t>
      </w:r>
      <w:hyperlink r:id="rId54" w:history="1">
        <w:r w:rsidRPr="00B265A7">
          <w:rPr>
            <w:rStyle w:val="Hyperlink"/>
            <w:rFonts w:ascii="Calibri Light" w:hAnsi="Calibri Light" w:cs="Calibri Light"/>
            <w:sz w:val="16"/>
            <w:szCs w:val="16"/>
          </w:rPr>
          <w:t>http://moic.gov.af/en/news/57147</w:t>
        </w:r>
      </w:hyperlink>
      <w:r w:rsidRPr="00B265A7">
        <w:rPr>
          <w:rFonts w:ascii="Calibri Light" w:hAnsi="Calibri Light" w:cs="Calibri Light"/>
          <w:sz w:val="16"/>
          <w:szCs w:val="16"/>
        </w:rPr>
        <w:t xml:space="preserve"> in December 2017.</w:t>
      </w:r>
      <w:bookmarkEnd w:id="131"/>
    </w:p>
  </w:footnote>
  <w:footnote w:id="67">
    <w:p w14:paraId="0CA57F8A" w14:textId="3FC4C30B" w:rsidR="00802EE6" w:rsidRPr="00B265A7" w:rsidRDefault="00802EE6" w:rsidP="0059266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Freedom House (January 2017), ‘Afghanistan - status change’, accessed on </w:t>
      </w:r>
      <w:hyperlink r:id="rId55" w:history="1">
        <w:r w:rsidRPr="00B265A7">
          <w:rPr>
            <w:rStyle w:val="Hyperlink"/>
            <w:rFonts w:ascii="Calibri Light" w:hAnsi="Calibri Light" w:cs="Calibri Light"/>
            <w:sz w:val="16"/>
            <w:szCs w:val="16"/>
          </w:rPr>
          <w:t>https://www.justice.gov/eoir/page/file/1023176/download</w:t>
        </w:r>
      </w:hyperlink>
      <w:r w:rsidRPr="00B265A7">
        <w:rPr>
          <w:rFonts w:ascii="Calibri Light" w:hAnsi="Calibri Light" w:cs="Calibri Light"/>
          <w:sz w:val="16"/>
          <w:szCs w:val="16"/>
        </w:rPr>
        <w:t xml:space="preserve"> in January 2018.</w:t>
      </w:r>
    </w:p>
  </w:footnote>
  <w:footnote w:id="68">
    <w:p w14:paraId="0B04952A" w14:textId="3C70ED6C" w:rsidR="00802EE6" w:rsidRPr="00B265A7" w:rsidRDefault="00802EE6" w:rsidP="00E876A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 Times (2015), ‘Media censorship increased in Afghanistan: Nai’, accessed on </w:t>
      </w:r>
      <w:hyperlink r:id="rId56" w:history="1">
        <w:r w:rsidRPr="00B265A7">
          <w:rPr>
            <w:rStyle w:val="Hyperlink"/>
            <w:rFonts w:ascii="Calibri Light" w:hAnsi="Calibri Light" w:cs="Calibri Light"/>
            <w:sz w:val="16"/>
            <w:szCs w:val="16"/>
          </w:rPr>
          <w:t>http://afghanistantimes.af/media-censorship-increased-in-afghanistan-nai/</w:t>
        </w:r>
      </w:hyperlink>
      <w:r w:rsidRPr="00B265A7">
        <w:rPr>
          <w:rFonts w:ascii="Calibri Light" w:hAnsi="Calibri Light" w:cs="Calibri Light"/>
          <w:sz w:val="16"/>
          <w:szCs w:val="16"/>
        </w:rPr>
        <w:t xml:space="preserve"> in April 2018.</w:t>
      </w:r>
    </w:p>
  </w:footnote>
  <w:footnote w:id="69">
    <w:p w14:paraId="756117A0" w14:textId="6BC3CAB4"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These include proposed changes to the NGO law, a draft law on foundations, amendments to the tax code affecting tax-exempt organisations, and draft regulations on volunteerism being prepared by the Ministry of Labor.</w:t>
      </w:r>
    </w:p>
  </w:footnote>
  <w:footnote w:id="70">
    <w:p w14:paraId="1CB75DD7" w14:textId="11F427F1"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Available online: </w:t>
      </w:r>
      <w:hyperlink r:id="rId57" w:history="1">
        <w:r w:rsidRPr="00B265A7">
          <w:rPr>
            <w:rStyle w:val="Hyperlink"/>
            <w:rFonts w:ascii="Calibri Light" w:hAnsi="Calibri Light" w:cs="Calibri Light"/>
            <w:sz w:val="16"/>
            <w:szCs w:val="16"/>
          </w:rPr>
          <w:t>http://ngo.gov.af/415/ngos-law</w:t>
        </w:r>
      </w:hyperlink>
      <w:r w:rsidRPr="00B265A7">
        <w:rPr>
          <w:rFonts w:ascii="Calibri Light" w:hAnsi="Calibri Light" w:cs="Calibri Light"/>
          <w:sz w:val="16"/>
          <w:szCs w:val="16"/>
        </w:rPr>
        <w:t xml:space="preserve">. </w:t>
      </w:r>
    </w:p>
  </w:footnote>
  <w:footnote w:id="71">
    <w:p w14:paraId="5838B5F5" w14:textId="5E54DFBA"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t>
      </w:r>
      <w:hyperlink r:id="rId58" w:history="1">
        <w:r w:rsidRPr="00B265A7">
          <w:rPr>
            <w:rStyle w:val="Hyperlink"/>
            <w:rFonts w:ascii="Calibri Light" w:hAnsi="Calibri Light" w:cs="Calibri Light"/>
            <w:sz w:val="16"/>
            <w:szCs w:val="16"/>
          </w:rPr>
          <w:t>http://ngo.gov.af/ngo_list/english/list_int.php</w:t>
        </w:r>
      </w:hyperlink>
      <w:r w:rsidRPr="00B265A7">
        <w:rPr>
          <w:rFonts w:ascii="Calibri Light" w:hAnsi="Calibri Light" w:cs="Calibri Light"/>
          <w:sz w:val="16"/>
          <w:szCs w:val="16"/>
        </w:rPr>
        <w:t xml:space="preserve">. Registration information, including procedures are available on the Ministry of Economy’s Directorate of NGOs’ website, </w:t>
      </w:r>
      <w:hyperlink r:id="rId59" w:history="1">
        <w:r w:rsidRPr="00B265A7">
          <w:rPr>
            <w:rStyle w:val="Hyperlink"/>
            <w:rFonts w:ascii="Calibri Light" w:hAnsi="Calibri Light" w:cs="Calibri Light"/>
            <w:sz w:val="16"/>
            <w:szCs w:val="16"/>
          </w:rPr>
          <w:t>http://ngo.gov.af/english#</w:t>
        </w:r>
      </w:hyperlink>
      <w:r w:rsidRPr="00B265A7">
        <w:rPr>
          <w:rFonts w:ascii="Calibri Light" w:hAnsi="Calibri Light" w:cs="Calibri Light"/>
          <w:sz w:val="16"/>
          <w:szCs w:val="16"/>
        </w:rPr>
        <w:t xml:space="preserve">. </w:t>
      </w:r>
    </w:p>
  </w:footnote>
  <w:footnote w:id="72">
    <w:p w14:paraId="42B30BEF" w14:textId="03AFEB75"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t>
      </w:r>
      <w:hyperlink r:id="rId60" w:history="1">
        <w:r w:rsidRPr="00B265A7">
          <w:rPr>
            <w:rStyle w:val="Hyperlink"/>
            <w:rFonts w:ascii="Calibri Light" w:hAnsi="Calibri Light" w:cs="Calibri Light"/>
            <w:sz w:val="16"/>
            <w:szCs w:val="16"/>
          </w:rPr>
          <w:t>http://moj.gov.af/Content/files/jamiats_3053.pdf</w:t>
        </w:r>
      </w:hyperlink>
      <w:r w:rsidRPr="00B265A7">
        <w:rPr>
          <w:rFonts w:ascii="Calibri Light" w:hAnsi="Calibri Light" w:cs="Calibri Light"/>
          <w:sz w:val="16"/>
          <w:szCs w:val="16"/>
        </w:rPr>
        <w:t xml:space="preserve">. The </w:t>
      </w:r>
      <w:hyperlink r:id="rId61" w:history="1">
        <w:r w:rsidRPr="00B265A7">
          <w:rPr>
            <w:rStyle w:val="Hyperlink"/>
            <w:rFonts w:ascii="Calibri Light" w:hAnsi="Calibri Light" w:cs="Calibri Light"/>
            <w:sz w:val="16"/>
            <w:szCs w:val="16"/>
          </w:rPr>
          <w:t>International Center for Not-for-Profit Law</w:t>
        </w:r>
      </w:hyperlink>
      <w:r w:rsidRPr="00B265A7">
        <w:rPr>
          <w:rFonts w:ascii="Calibri Light" w:hAnsi="Calibri Light" w:cs="Calibri Light"/>
          <w:sz w:val="16"/>
          <w:szCs w:val="16"/>
        </w:rPr>
        <w:t xml:space="preserve"> states that as of 28 December 2017 there were 2,700 associations registered in the Ministry of Justice website. </w:t>
      </w:r>
    </w:p>
  </w:footnote>
  <w:footnote w:id="73">
    <w:p w14:paraId="15214717" w14:textId="3EAA5635" w:rsidR="00802EE6" w:rsidRPr="00B265A7" w:rsidRDefault="00802EE6" w:rsidP="00265B55">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t>
      </w:r>
      <w:bookmarkStart w:id="132" w:name="_Hlk512070963"/>
      <w:r w:rsidRPr="00B265A7">
        <w:rPr>
          <w:rFonts w:ascii="Calibri Light" w:hAnsi="Calibri Light" w:cs="Calibri Light"/>
          <w:sz w:val="16"/>
          <w:szCs w:val="16"/>
        </w:rPr>
        <w:t xml:space="preserve">International Center for non-for-profit Law (2018), ‘Civic Freedom Monitor: Afghanistan’, accessed on </w:t>
      </w:r>
      <w:hyperlink r:id="rId62" w:history="1">
        <w:r w:rsidRPr="00B265A7">
          <w:rPr>
            <w:rStyle w:val="Hyperlink"/>
            <w:rFonts w:ascii="Calibri Light" w:hAnsi="Calibri Light" w:cs="Calibri Light"/>
            <w:sz w:val="16"/>
            <w:szCs w:val="16"/>
          </w:rPr>
          <w:t>http://www.icnl.org/research/monitor/afghanistan.html</w:t>
        </w:r>
      </w:hyperlink>
      <w:r w:rsidRPr="00B265A7">
        <w:rPr>
          <w:rFonts w:ascii="Calibri Light" w:hAnsi="Calibri Light" w:cs="Calibri Light"/>
          <w:sz w:val="16"/>
          <w:szCs w:val="16"/>
        </w:rPr>
        <w:t xml:space="preserve"> in April 2018.</w:t>
      </w:r>
      <w:bookmarkEnd w:id="132"/>
    </w:p>
  </w:footnote>
  <w:footnote w:id="74">
    <w:p w14:paraId="5DA0C45E" w14:textId="5249C232"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Op cit.</w:t>
      </w:r>
    </w:p>
  </w:footnote>
  <w:footnote w:id="75">
    <w:p w14:paraId="18EC91DA" w14:textId="7839A758"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For example, MSG member organization IWA has received funding in the past from NRGI (</w:t>
      </w:r>
      <w:hyperlink r:id="rId63" w:history="1">
        <w:r w:rsidRPr="00B265A7">
          <w:rPr>
            <w:rStyle w:val="Hyperlink"/>
            <w:rFonts w:ascii="Calibri Light" w:hAnsi="Calibri Light" w:cs="Calibri Light"/>
            <w:sz w:val="16"/>
            <w:szCs w:val="16"/>
          </w:rPr>
          <w:t>http://archive.resourcegovernance.org/news/integrity-watch-afghanistan-launch-citizen-driven-monitoring-database</w:t>
        </w:r>
      </w:hyperlink>
      <w:r w:rsidRPr="00B265A7">
        <w:rPr>
          <w:rFonts w:ascii="Calibri Light" w:hAnsi="Calibri Light" w:cs="Calibri Light"/>
          <w:sz w:val="16"/>
          <w:szCs w:val="16"/>
        </w:rPr>
        <w:t>), USAID (</w:t>
      </w:r>
      <w:hyperlink r:id="rId64" w:history="1">
        <w:r w:rsidRPr="00B265A7">
          <w:rPr>
            <w:rStyle w:val="Hyperlink"/>
            <w:rFonts w:ascii="Calibri Light" w:hAnsi="Calibri Light" w:cs="Calibri Light"/>
            <w:sz w:val="16"/>
            <w:szCs w:val="16"/>
          </w:rPr>
          <w:t>https://www.usaid.gov/sites/default/files/documents/1871/IWA%20306-F-12-00003.pdf</w:t>
        </w:r>
      </w:hyperlink>
      <w:r w:rsidRPr="00B265A7">
        <w:rPr>
          <w:rFonts w:ascii="Calibri Light" w:hAnsi="Calibri Light" w:cs="Calibri Light"/>
          <w:sz w:val="16"/>
          <w:szCs w:val="16"/>
        </w:rPr>
        <w:t>) and the Norwegian Embassy in Kabul (</w:t>
      </w:r>
      <w:hyperlink r:id="rId65" w:history="1">
        <w:r w:rsidRPr="00B265A7">
          <w:rPr>
            <w:rStyle w:val="Hyperlink"/>
            <w:rFonts w:ascii="Calibri Light" w:hAnsi="Calibri Light" w:cs="Calibri Light"/>
            <w:sz w:val="16"/>
            <w:szCs w:val="16"/>
          </w:rPr>
          <w:t>https://brage.bibsys.no/xmlui/bitstream/handle/11250/2475150/Review%20of%20Norwegian%20development%20assistance%20to%20Afghanistan%202011%E2%80%932014?sequence=1</w:t>
        </w:r>
      </w:hyperlink>
      <w:r w:rsidRPr="00B265A7">
        <w:rPr>
          <w:rFonts w:ascii="Calibri Light" w:hAnsi="Calibri Light" w:cs="Calibri Light"/>
          <w:sz w:val="16"/>
          <w:szCs w:val="16"/>
        </w:rPr>
        <w:t xml:space="preserve">).  </w:t>
      </w:r>
    </w:p>
  </w:footnote>
  <w:footnote w:id="76">
    <w:p w14:paraId="62B33DC8" w14:textId="26DD06F3" w:rsidR="00802EE6" w:rsidRPr="00B265A7" w:rsidRDefault="00802EE6" w:rsidP="00161182">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See for example </w:t>
      </w:r>
      <w:hyperlink r:id="rId66" w:history="1">
        <w:r w:rsidRPr="00B265A7">
          <w:rPr>
            <w:rStyle w:val="Hyperlink"/>
            <w:rFonts w:ascii="Calibri Light" w:hAnsi="Calibri Light" w:cs="Calibri Light"/>
            <w:sz w:val="16"/>
            <w:szCs w:val="16"/>
          </w:rPr>
          <w:t>https://www.globalwitness.org/en/press-releases/integrity-watch-afghanistan-and-global-witness-parliaments-rejection-acting-minister-mines-prolongs-theft-afghanistans-natural-resources/</w:t>
        </w:r>
      </w:hyperlink>
      <w:r w:rsidRPr="00B265A7">
        <w:rPr>
          <w:rFonts w:ascii="Calibri Light" w:hAnsi="Calibri Light" w:cs="Calibri Light"/>
          <w:sz w:val="16"/>
          <w:szCs w:val="16"/>
        </w:rPr>
        <w:t xml:space="preserve">, </w:t>
      </w:r>
      <w:hyperlink r:id="rId67" w:history="1">
        <w:r w:rsidRPr="00B265A7">
          <w:rPr>
            <w:rStyle w:val="Hyperlink"/>
            <w:rFonts w:ascii="Calibri Light" w:hAnsi="Calibri Light" w:cs="Calibri Light"/>
            <w:sz w:val="16"/>
            <w:szCs w:val="16"/>
          </w:rPr>
          <w:t>https://iwaweb.org/mining-watch-afghanistan-weak-management-and-leadership-of-the-extractive-industry-leadership-in-afghanistan-causes-corruption-in-the-sector/</w:t>
        </w:r>
      </w:hyperlink>
      <w:r w:rsidRPr="00B265A7">
        <w:rPr>
          <w:rFonts w:ascii="Calibri Light" w:hAnsi="Calibri Light" w:cs="Calibri Light"/>
          <w:sz w:val="16"/>
          <w:szCs w:val="16"/>
        </w:rPr>
        <w:t xml:space="preserve"> and </w:t>
      </w:r>
      <w:hyperlink r:id="rId68" w:history="1">
        <w:r w:rsidRPr="00B265A7">
          <w:rPr>
            <w:rStyle w:val="Hyperlink"/>
            <w:rFonts w:ascii="Calibri Light" w:hAnsi="Calibri Light" w:cs="Calibri Light"/>
            <w:sz w:val="16"/>
            <w:szCs w:val="16"/>
          </w:rPr>
          <w:t>https://iwaweb.org/wp-content/uploads/2015/09/Policy-Brief-Extractives-for-sustainable-development-in-Afghanistan.pdf</w:t>
        </w:r>
      </w:hyperlink>
      <w:r w:rsidRPr="00B265A7">
        <w:rPr>
          <w:rFonts w:ascii="Calibri Light" w:hAnsi="Calibri Light" w:cs="Calibri Light"/>
          <w:sz w:val="16"/>
          <w:szCs w:val="16"/>
        </w:rPr>
        <w:t>.</w:t>
      </w:r>
    </w:p>
  </w:footnote>
  <w:footnote w:id="77">
    <w:p w14:paraId="75E57319" w14:textId="7565EC4B"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The Liaison Office, (no date) ‘Home’, accessed on  </w:t>
      </w:r>
      <w:hyperlink r:id="rId69" w:history="1">
        <w:r w:rsidRPr="00B265A7">
          <w:rPr>
            <w:rStyle w:val="Hyperlink"/>
            <w:rFonts w:ascii="Calibri Light" w:hAnsi="Calibri Light" w:cs="Calibri Light"/>
            <w:sz w:val="16"/>
            <w:szCs w:val="16"/>
          </w:rPr>
          <w:t>http://www.tloafghanistan.org/</w:t>
        </w:r>
      </w:hyperlink>
      <w:r w:rsidRPr="00B265A7">
        <w:rPr>
          <w:rFonts w:ascii="Calibri Light" w:hAnsi="Calibri Light" w:cs="Calibri Light"/>
          <w:sz w:val="16"/>
          <w:szCs w:val="16"/>
        </w:rPr>
        <w:t xml:space="preserve"> in April 2018.</w:t>
      </w:r>
    </w:p>
  </w:footnote>
  <w:footnote w:id="78">
    <w:p w14:paraId="3218DB5A" w14:textId="24894D34"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Heinrich Boll Stiftung (no date), ‘Home’, accessed on </w:t>
      </w:r>
      <w:hyperlink r:id="rId70" w:history="1">
        <w:r w:rsidRPr="00B265A7">
          <w:rPr>
            <w:rStyle w:val="Hyperlink"/>
            <w:rFonts w:ascii="Calibri Light" w:hAnsi="Calibri Light" w:cs="Calibri Light"/>
            <w:sz w:val="16"/>
            <w:szCs w:val="16"/>
          </w:rPr>
          <w:t>http://www.af.boell.org/</w:t>
        </w:r>
      </w:hyperlink>
      <w:r w:rsidRPr="00B265A7">
        <w:rPr>
          <w:rFonts w:ascii="Calibri Light" w:hAnsi="Calibri Light" w:cs="Calibri Light"/>
          <w:sz w:val="16"/>
          <w:szCs w:val="16"/>
        </w:rPr>
        <w:t xml:space="preserve">. Site is down per 21.04.18. </w:t>
      </w:r>
    </w:p>
  </w:footnote>
  <w:footnote w:id="79">
    <w:p w14:paraId="1156058A" w14:textId="77777777" w:rsidR="00802EE6" w:rsidRPr="00B265A7" w:rsidRDefault="00802EE6" w:rsidP="00161182">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ACBAR is an umbrella organization for 142 national and international organisations operating in Afghanistan. Some of its members, including the Human Rights Research and Advocacy Consortium (HRRAC) have participated actively in the EITI process in the past.</w:t>
      </w:r>
    </w:p>
  </w:footnote>
  <w:footnote w:id="80">
    <w:p w14:paraId="04E96F65" w14:textId="500F4F83" w:rsidR="00802EE6" w:rsidRPr="00B265A7" w:rsidRDefault="00802EE6" w:rsidP="005D2505">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Ni, Daisy (2017), ‘Threats to freedom of expression in Afghanistan’, accessed on </w:t>
      </w:r>
      <w:hyperlink r:id="rId71" w:history="1">
        <w:r w:rsidRPr="00B265A7">
          <w:rPr>
            <w:rStyle w:val="Hyperlink"/>
            <w:rFonts w:ascii="Calibri Light" w:hAnsi="Calibri Light" w:cs="Calibri Light"/>
            <w:sz w:val="16"/>
            <w:szCs w:val="16"/>
          </w:rPr>
          <w:t>https://5clpp.com/2017/11/08/threats-to-freedom-of-expression-in-afghanistan/</w:t>
        </w:r>
      </w:hyperlink>
      <w:r w:rsidRPr="00B265A7">
        <w:rPr>
          <w:rFonts w:ascii="Calibri Light" w:hAnsi="Calibri Light" w:cs="Calibri Light"/>
          <w:sz w:val="16"/>
          <w:szCs w:val="16"/>
        </w:rPr>
        <w:t xml:space="preserve"> in April 2017: The Claremont Journal of Law and Public Policy. </w:t>
      </w:r>
    </w:p>
  </w:footnote>
  <w:footnote w:id="81">
    <w:p w14:paraId="70677E95" w14:textId="2202A75D"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Aziz, Roya and Noorani, Javed (2012), ‘Shadow Validation: Analysis of Afghanistan EITI Reconciliation Reports and civil society participation’, accessed on </w:t>
      </w:r>
      <w:hyperlink r:id="rId72" w:history="1">
        <w:r w:rsidRPr="00B265A7">
          <w:rPr>
            <w:rStyle w:val="Hyperlink"/>
            <w:rFonts w:ascii="Calibri Light" w:hAnsi="Calibri Light" w:cs="Calibri Light"/>
            <w:sz w:val="16"/>
            <w:szCs w:val="16"/>
          </w:rPr>
          <w:t>http://www.eisourcebook.org/cms/March_2013/Afghanistan%20EITI%20Shadow%20Validation%20Report.pdf</w:t>
        </w:r>
      </w:hyperlink>
      <w:r w:rsidRPr="00B265A7">
        <w:rPr>
          <w:rFonts w:ascii="Calibri Light" w:hAnsi="Calibri Light" w:cs="Calibri Light"/>
          <w:sz w:val="16"/>
          <w:szCs w:val="16"/>
        </w:rPr>
        <w:t xml:space="preserve"> in April 2018.</w:t>
      </w:r>
    </w:p>
  </w:footnote>
  <w:footnote w:id="82">
    <w:p w14:paraId="3DD15634" w14:textId="0E5653A5"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CSO coalition (April 2017), ‘CSO Comments on the 5</w:t>
      </w:r>
      <w:r w:rsidRPr="00B265A7">
        <w:rPr>
          <w:rFonts w:ascii="Calibri Light" w:hAnsi="Calibri Light" w:cs="Calibri Light"/>
          <w:sz w:val="16"/>
          <w:szCs w:val="16"/>
          <w:vertAlign w:val="superscript"/>
        </w:rPr>
        <w:t>th</w:t>
      </w:r>
      <w:r w:rsidRPr="00B265A7">
        <w:rPr>
          <w:rFonts w:ascii="Calibri Light" w:hAnsi="Calibri Light" w:cs="Calibri Light"/>
          <w:sz w:val="16"/>
          <w:szCs w:val="16"/>
        </w:rPr>
        <w:t xml:space="preserve"> AEITI Report’, accessed on </w:t>
      </w:r>
      <w:hyperlink r:id="rId73" w:history="1">
        <w:r w:rsidRPr="00B265A7">
          <w:rPr>
            <w:rStyle w:val="Hyperlink"/>
            <w:rFonts w:ascii="Calibri Light" w:hAnsi="Calibri Light" w:cs="Calibri Light"/>
            <w:sz w:val="16"/>
            <w:szCs w:val="16"/>
          </w:rPr>
          <w:t>http://aeiti.af/Content/Media/Documents/Letter-MWA-GW-re-5th-AEITI(1)75201715155205553325325.pdf</w:t>
        </w:r>
      </w:hyperlink>
      <w:r w:rsidRPr="00B265A7">
        <w:rPr>
          <w:rFonts w:ascii="Calibri Light" w:hAnsi="Calibri Light" w:cs="Calibri Light"/>
          <w:sz w:val="16"/>
          <w:szCs w:val="16"/>
        </w:rPr>
        <w:t xml:space="preserve"> in December 2017.</w:t>
      </w:r>
    </w:p>
  </w:footnote>
  <w:footnote w:id="83">
    <w:p w14:paraId="726A0063" w14:textId="5C69D59E"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Global Witness (2017), ‘Afghan civil society note to the EITI International Secretariat ahead of AEITI Validation’, accessed on </w:t>
      </w:r>
      <w:hyperlink r:id="rId74" w:history="1">
        <w:r w:rsidRPr="00B265A7">
          <w:rPr>
            <w:rStyle w:val="Hyperlink"/>
            <w:rFonts w:ascii="Calibri Light" w:hAnsi="Calibri Light" w:cs="Calibri Light"/>
            <w:sz w:val="16"/>
            <w:szCs w:val="16"/>
          </w:rPr>
          <w:t>https://www.globalwitness.org/en-gb/campaigns/afghanistan/civil-society-note-eiti-international-secretariat-ahead-aeiti-validation/</w:t>
        </w:r>
      </w:hyperlink>
      <w:r w:rsidRPr="00B265A7">
        <w:rPr>
          <w:rFonts w:ascii="Calibri Light" w:hAnsi="Calibri Light" w:cs="Calibri Light"/>
          <w:sz w:val="16"/>
          <w:szCs w:val="16"/>
        </w:rPr>
        <w:t xml:space="preserve"> in April 2018.</w:t>
      </w:r>
    </w:p>
  </w:footnote>
  <w:footnote w:id="84">
    <w:p w14:paraId="0AAFDC20" w14:textId="496EA7EE"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See for example </w:t>
      </w:r>
      <w:hyperlink r:id="rId75" w:history="1">
        <w:r w:rsidRPr="00B265A7">
          <w:rPr>
            <w:rStyle w:val="Hyperlink"/>
            <w:rFonts w:ascii="Calibri Light" w:hAnsi="Calibri Light" w:cs="Calibri Light"/>
            <w:sz w:val="16"/>
            <w:szCs w:val="16"/>
          </w:rPr>
          <w:t>https://www.pajhwok.com/en/2017/05/04/govt-unable-safeguard-mining-revenue-warns-mwa</w:t>
        </w:r>
      </w:hyperlink>
      <w:r w:rsidRPr="00B265A7">
        <w:rPr>
          <w:rFonts w:ascii="Calibri Light" w:hAnsi="Calibri Light" w:cs="Calibri Light"/>
          <w:sz w:val="16"/>
          <w:szCs w:val="16"/>
        </w:rPr>
        <w:t xml:space="preserve"> and </w:t>
      </w:r>
      <w:hyperlink r:id="rId76" w:history="1">
        <w:r w:rsidRPr="00B265A7">
          <w:rPr>
            <w:rStyle w:val="Hyperlink"/>
            <w:rFonts w:ascii="Calibri Light" w:hAnsi="Calibri Light" w:cs="Calibri Light"/>
            <w:sz w:val="16"/>
            <w:szCs w:val="16"/>
          </w:rPr>
          <w:t>https://iwaweb.org/afghan-government-unable-to-provide-basic-management-of-mining-revenues-says-civil-society/</w:t>
        </w:r>
      </w:hyperlink>
      <w:r w:rsidRPr="00B265A7">
        <w:rPr>
          <w:rFonts w:ascii="Calibri Light" w:hAnsi="Calibri Light" w:cs="Calibri Light"/>
          <w:sz w:val="16"/>
          <w:szCs w:val="16"/>
        </w:rPr>
        <w:t xml:space="preserve">, </w:t>
      </w:r>
    </w:p>
  </w:footnote>
  <w:footnote w:id="85">
    <w:p w14:paraId="14BF978F" w14:textId="61D0D1E5"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For example, IWA, ENMRN and Global Witness regularly participate in annual anti-corruption meetings arranged by the European Commission and hosted by the President of Afghanistan focusing specifically on the extractive sector.</w:t>
      </w:r>
    </w:p>
  </w:footnote>
  <w:footnote w:id="86">
    <w:p w14:paraId="7F24C9E7" w14:textId="4A1E9968"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See for example </w:t>
      </w:r>
      <w:hyperlink r:id="rId77" w:history="1">
        <w:r w:rsidRPr="00B265A7">
          <w:rPr>
            <w:rStyle w:val="Hyperlink"/>
            <w:rFonts w:ascii="Calibri Light" w:hAnsi="Calibri Light" w:cs="Calibri Light"/>
            <w:sz w:val="16"/>
            <w:szCs w:val="16"/>
          </w:rPr>
          <w:t>https://www.globalwitness.org/documents/18344/Policy_Brief_-_SMAF_and_the_extractive_industries_in_Afghanistan_February_2016.pdf</w:t>
        </w:r>
      </w:hyperlink>
      <w:r w:rsidRPr="00B265A7">
        <w:rPr>
          <w:rFonts w:ascii="Calibri Light" w:hAnsi="Calibri Light" w:cs="Calibri Light"/>
          <w:sz w:val="16"/>
          <w:szCs w:val="16"/>
        </w:rPr>
        <w:t xml:space="preserve">. </w:t>
      </w:r>
    </w:p>
  </w:footnote>
  <w:footnote w:id="87">
    <w:p w14:paraId="05C6ED5D" w14:textId="3B71C584"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See for example </w:t>
      </w:r>
      <w:hyperlink r:id="rId78" w:history="1">
        <w:r w:rsidRPr="00B265A7">
          <w:rPr>
            <w:rStyle w:val="Hyperlink"/>
            <w:rFonts w:ascii="Calibri Light" w:hAnsi="Calibri Light" w:cs="Calibri Light"/>
            <w:sz w:val="16"/>
            <w:szCs w:val="16"/>
          </w:rPr>
          <w:t>https://iwaweb.org/wp-content/uploads/2017/03/Amendment-to-mining-law.pdf</w:t>
        </w:r>
      </w:hyperlink>
      <w:r w:rsidRPr="00B265A7">
        <w:rPr>
          <w:rFonts w:ascii="Calibri Light" w:hAnsi="Calibri Light" w:cs="Calibri Light"/>
          <w:sz w:val="16"/>
          <w:szCs w:val="16"/>
        </w:rPr>
        <w:t xml:space="preserve">. </w:t>
      </w:r>
    </w:p>
  </w:footnote>
  <w:footnote w:id="88">
    <w:p w14:paraId="65E56EC2" w14:textId="2E03EA43"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See for example </w:t>
      </w:r>
      <w:hyperlink r:id="rId79" w:history="1">
        <w:r w:rsidRPr="00B265A7">
          <w:rPr>
            <w:rStyle w:val="Hyperlink"/>
            <w:rFonts w:ascii="Calibri Light" w:hAnsi="Calibri Light" w:cs="Calibri Light"/>
            <w:sz w:val="16"/>
            <w:szCs w:val="16"/>
          </w:rPr>
          <w:t>http://mom.gov.af/en/news/9438</w:t>
        </w:r>
      </w:hyperlink>
      <w:r w:rsidRPr="00B265A7">
        <w:rPr>
          <w:rFonts w:ascii="Calibri Light" w:hAnsi="Calibri Light" w:cs="Calibri Light"/>
          <w:sz w:val="16"/>
          <w:szCs w:val="16"/>
        </w:rPr>
        <w:t xml:space="preserve"> and </w:t>
      </w:r>
      <w:hyperlink r:id="rId80" w:history="1">
        <w:r w:rsidRPr="00B265A7">
          <w:rPr>
            <w:rStyle w:val="Hyperlink"/>
            <w:rFonts w:ascii="Calibri Light" w:hAnsi="Calibri Light" w:cs="Calibri Light"/>
            <w:sz w:val="16"/>
            <w:szCs w:val="16"/>
          </w:rPr>
          <w:t>https://twitter.com/MompAfg/status/960872205914640384</w:t>
        </w:r>
      </w:hyperlink>
      <w:r w:rsidRPr="00B265A7">
        <w:rPr>
          <w:rFonts w:ascii="Calibri Light" w:hAnsi="Calibri Light" w:cs="Calibri Light"/>
          <w:sz w:val="16"/>
          <w:szCs w:val="16"/>
        </w:rPr>
        <w:t xml:space="preserve">. </w:t>
      </w:r>
    </w:p>
  </w:footnote>
  <w:footnote w:id="89">
    <w:p w14:paraId="69B9BE39" w14:textId="1D954076"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Stakeholders were encouraged to respond in whatever language they felt most comfortable.</w:t>
      </w:r>
    </w:p>
  </w:footnote>
  <w:footnote w:id="90">
    <w:p w14:paraId="78F7DF43" w14:textId="64CB72F5" w:rsidR="00802EE6" w:rsidRPr="00B265A7" w:rsidRDefault="00802EE6">
      <w:pPr>
        <w:pStyle w:val="FootnoteText"/>
        <w:rPr>
          <w:rFonts w:ascii="Calibri Light" w:hAnsi="Calibri Light" w:cs="Calibri Light"/>
          <w:sz w:val="16"/>
          <w:szCs w:val="16"/>
          <w:lang w:val="en-GB"/>
        </w:rPr>
      </w:pPr>
      <w:bookmarkStart w:id="144" w:name="_Hlk512071944"/>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lang w:val="en-GB"/>
        </w:rPr>
        <w:t xml:space="preserve"> AEITI (2015), ‘Terms of Reference for the Multi-Stakeholder Group’, accessed on </w:t>
      </w:r>
      <w:hyperlink r:id="rId81" w:history="1">
        <w:r w:rsidRPr="00B265A7">
          <w:rPr>
            <w:rStyle w:val="Hyperlink"/>
            <w:rFonts w:ascii="Calibri Light" w:hAnsi="Calibri Light" w:cs="Calibri Light"/>
            <w:sz w:val="16"/>
            <w:szCs w:val="16"/>
            <w:lang w:val="en-GB"/>
          </w:rPr>
          <w:t>http://aeiti.af/Content/Media/Documents/1394948558120420157478410553325325.pdf</w:t>
        </w:r>
      </w:hyperlink>
      <w:r w:rsidRPr="00B265A7">
        <w:rPr>
          <w:rFonts w:ascii="Calibri Light" w:hAnsi="Calibri Light" w:cs="Calibri Light"/>
          <w:sz w:val="16"/>
          <w:szCs w:val="16"/>
          <w:lang w:val="en-GB"/>
        </w:rPr>
        <w:t xml:space="preserve"> in April 2018.</w:t>
      </w:r>
      <w:bookmarkEnd w:id="144"/>
    </w:p>
  </w:footnote>
  <w:footnote w:id="91">
    <w:p w14:paraId="651672AF" w14:textId="3E208B89" w:rsidR="00802EE6" w:rsidRPr="00B265A7" w:rsidRDefault="00802EE6">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lang w:val="en-GB"/>
        </w:rPr>
        <w:t xml:space="preserve"> Ibid, p. 6.</w:t>
      </w:r>
    </w:p>
  </w:footnote>
  <w:footnote w:id="92">
    <w:p w14:paraId="293AA248" w14:textId="77777777"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Ibid, pp. 2-5.</w:t>
      </w:r>
    </w:p>
  </w:footnote>
  <w:footnote w:id="93">
    <w:p w14:paraId="0CBF0174" w14:textId="6EF32FAC" w:rsidR="00802EE6" w:rsidRPr="00B265A7" w:rsidRDefault="00802EE6" w:rsidP="0061725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For </w:t>
      </w:r>
      <w:hyperlink r:id="rId82" w:history="1">
        <w:r w:rsidRPr="00B265A7">
          <w:rPr>
            <w:rStyle w:val="Hyperlink"/>
            <w:rFonts w:ascii="Calibri Light" w:hAnsi="Calibri Light" w:cs="Calibri Light"/>
            <w:sz w:val="16"/>
            <w:szCs w:val="16"/>
          </w:rPr>
          <w:t>government</w:t>
        </w:r>
      </w:hyperlink>
      <w:r w:rsidRPr="00B265A7">
        <w:rPr>
          <w:rFonts w:ascii="Calibri Light" w:hAnsi="Calibri Light" w:cs="Calibri Light"/>
          <w:sz w:val="16"/>
          <w:szCs w:val="16"/>
        </w:rPr>
        <w:t xml:space="preserve">, including contact information, </w:t>
      </w:r>
      <w:hyperlink r:id="rId83" w:history="1">
        <w:r w:rsidRPr="00B265A7">
          <w:rPr>
            <w:rStyle w:val="Hyperlink"/>
            <w:rFonts w:ascii="Calibri Light" w:hAnsi="Calibri Light" w:cs="Calibri Light"/>
            <w:sz w:val="16"/>
            <w:szCs w:val="16"/>
          </w:rPr>
          <w:t>civil society</w:t>
        </w:r>
      </w:hyperlink>
      <w:r w:rsidRPr="00B265A7">
        <w:rPr>
          <w:rFonts w:ascii="Calibri Light" w:hAnsi="Calibri Light" w:cs="Calibri Light"/>
          <w:sz w:val="16"/>
          <w:szCs w:val="16"/>
        </w:rPr>
        <w:t xml:space="preserve"> and </w:t>
      </w:r>
      <w:hyperlink r:id="rId84" w:history="1">
        <w:r w:rsidRPr="00B265A7">
          <w:rPr>
            <w:rStyle w:val="Hyperlink"/>
            <w:rFonts w:ascii="Calibri Light" w:hAnsi="Calibri Light" w:cs="Calibri Light"/>
            <w:sz w:val="16"/>
            <w:szCs w:val="16"/>
          </w:rPr>
          <w:t>industry</w:t>
        </w:r>
      </w:hyperlink>
      <w:r w:rsidRPr="00B265A7">
        <w:rPr>
          <w:rFonts w:ascii="Calibri Light" w:hAnsi="Calibri Light" w:cs="Calibri Light"/>
          <w:sz w:val="16"/>
          <w:szCs w:val="16"/>
        </w:rPr>
        <w:t>.</w:t>
      </w:r>
    </w:p>
  </w:footnote>
  <w:footnote w:id="94">
    <w:p w14:paraId="03307AAA" w14:textId="3AD54EA6" w:rsidR="00802EE6" w:rsidRPr="00B265A7" w:rsidRDefault="00802EE6" w:rsidP="0061725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See Afghanistan’s first Validation report, op cit., p.23.</w:t>
      </w:r>
    </w:p>
  </w:footnote>
  <w:footnote w:id="95">
    <w:p w14:paraId="54658C78" w14:textId="76B20D1B"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EITI International Secretariat (March 2015), op.cit.</w:t>
      </w:r>
    </w:p>
  </w:footnote>
  <w:footnote w:id="96">
    <w:p w14:paraId="569CD3E8" w14:textId="0CC4FEC8"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See </w:t>
      </w:r>
      <w:hyperlink r:id="rId85" w:history="1">
        <w:r w:rsidRPr="00B265A7">
          <w:rPr>
            <w:rStyle w:val="Hyperlink"/>
            <w:rFonts w:ascii="Calibri Light" w:hAnsi="Calibri Light" w:cs="Calibri Light"/>
            <w:sz w:val="16"/>
            <w:szCs w:val="16"/>
          </w:rPr>
          <w:t>http://aeiti.af/en/news/csos-election-to-introduce-members-to-aeiti-msg</w:t>
        </w:r>
      </w:hyperlink>
      <w:r w:rsidRPr="00B265A7">
        <w:rPr>
          <w:rFonts w:ascii="Calibri Light" w:hAnsi="Calibri Light" w:cs="Calibri Light"/>
          <w:sz w:val="16"/>
          <w:szCs w:val="16"/>
        </w:rPr>
        <w:t xml:space="preserve">. </w:t>
      </w:r>
    </w:p>
  </w:footnote>
  <w:footnote w:id="97">
    <w:p w14:paraId="76F289EE" w14:textId="7B13DA8F" w:rsidR="00802EE6" w:rsidRPr="00B265A7" w:rsidRDefault="00802EE6">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lang w:val="en-GB"/>
        </w:rPr>
        <w:t xml:space="preserve"> Ibid.</w:t>
      </w:r>
    </w:p>
  </w:footnote>
  <w:footnote w:id="98">
    <w:p w14:paraId="0596ABE0" w14:textId="3921022A"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EITI (2014).</w:t>
      </w:r>
    </w:p>
  </w:footnote>
  <w:footnote w:id="99">
    <w:p w14:paraId="5AE282EB" w14:textId="6A1A932C" w:rsidR="00802EE6" w:rsidRPr="00B265A7" w:rsidRDefault="00802EE6">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lang w:val="en-GB"/>
        </w:rPr>
        <w:t xml:space="preserve"> See </w:t>
      </w:r>
      <w:hyperlink r:id="rId86" w:history="1">
        <w:r w:rsidRPr="00B265A7">
          <w:rPr>
            <w:rStyle w:val="Hyperlink"/>
            <w:rFonts w:ascii="Calibri Light" w:hAnsi="Calibri Light" w:cs="Calibri Light"/>
            <w:sz w:val="16"/>
            <w:szCs w:val="16"/>
            <w:lang w:val="en-GB"/>
          </w:rPr>
          <w:t>http://aeiti.af/en/news/33</w:t>
        </w:r>
      </w:hyperlink>
      <w:r w:rsidRPr="00B265A7">
        <w:rPr>
          <w:rFonts w:ascii="Calibri Light" w:hAnsi="Calibri Light" w:cs="Calibri Light"/>
          <w:sz w:val="16"/>
          <w:szCs w:val="16"/>
          <w:lang w:val="en-GB"/>
        </w:rPr>
        <w:t xml:space="preserve">. </w:t>
      </w:r>
    </w:p>
  </w:footnote>
  <w:footnote w:id="100">
    <w:p w14:paraId="51D8F112" w14:textId="417EA8DF" w:rsidR="00802EE6" w:rsidRPr="00B265A7" w:rsidRDefault="00802EE6">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lang w:val="en-GB"/>
        </w:rPr>
        <w:t xml:space="preserve"> EITI (2014).</w:t>
      </w:r>
    </w:p>
  </w:footnote>
  <w:footnote w:id="101">
    <w:p w14:paraId="77D4460B" w14:textId="44652608" w:rsidR="00802EE6" w:rsidRPr="00B265A7" w:rsidRDefault="00802EE6">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lang w:val="en-GB"/>
        </w:rPr>
        <w:t xml:space="preserve"> AEITI (2017), Op.cit. </w:t>
      </w:r>
    </w:p>
  </w:footnote>
  <w:footnote w:id="102">
    <w:p w14:paraId="4A396963" w14:textId="239A7FF7" w:rsidR="00802EE6" w:rsidRPr="00B265A7" w:rsidRDefault="00802EE6">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lang w:val="en-GB"/>
        </w:rPr>
        <w:t xml:space="preserve"> AEITI(2015), Op.cit. </w:t>
      </w:r>
    </w:p>
  </w:footnote>
  <w:footnote w:id="103">
    <w:p w14:paraId="787E29A6" w14:textId="191F2C3B"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The TORs recommend that three such groups be established: Validation and Reconciliation Reports Follow-up; Communications, and a General Issues Working Group.</w:t>
      </w:r>
    </w:p>
  </w:footnote>
  <w:footnote w:id="104">
    <w:p w14:paraId="0EC26525" w14:textId="23E7AF4E"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Ibid. p. 7.</w:t>
      </w:r>
    </w:p>
  </w:footnote>
  <w:footnote w:id="105">
    <w:p w14:paraId="13E49FF2" w14:textId="39500DC3"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Consensual decision-making is explicitly established as “a core element in the multi-stakeholder process” and there is a recommendation that the MSG “make every effort to take decisions by consensus”.</w:t>
      </w:r>
    </w:p>
  </w:footnote>
  <w:footnote w:id="106">
    <w:p w14:paraId="64887323" w14:textId="49B0F800"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2009 (2 meetings), 2010 (1 meeting), 2011 (5 meetings), 2012 (6 meetings), 2013 (5 meetings), 2014 (8 meetings), 2015 (4 meetings), 2016 (2 meetings) and 2017 (6 meetings).</w:t>
      </w:r>
    </w:p>
  </w:footnote>
  <w:footnote w:id="107">
    <w:p w14:paraId="13A516D6" w14:textId="4CD11F6D"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AEITI (2015), pp.1 and 2.</w:t>
      </w:r>
    </w:p>
  </w:footnote>
  <w:footnote w:id="108">
    <w:p w14:paraId="44FB3508" w14:textId="67D7F82B"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(2017), ‘2017 AEITI Institutional Review’, unpublished, p.6.</w:t>
      </w:r>
    </w:p>
  </w:footnote>
  <w:footnote w:id="109">
    <w:p w14:paraId="6B68AFD3" w14:textId="469721EF"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CSO coalition (2017), Op.cit.</w:t>
      </w:r>
    </w:p>
  </w:footnote>
  <w:footnote w:id="110">
    <w:p w14:paraId="1F920694" w14:textId="63DCE29F"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AEITI (2017), ‘Secretariat’s work plan discussed by MSG members’, accessed on </w:t>
      </w:r>
      <w:hyperlink r:id="rId87" w:history="1">
        <w:r w:rsidRPr="00B265A7">
          <w:rPr>
            <w:rStyle w:val="Hyperlink"/>
            <w:rFonts w:ascii="Calibri Light" w:hAnsi="Calibri Light" w:cs="Calibri Light"/>
            <w:sz w:val="16"/>
            <w:szCs w:val="16"/>
          </w:rPr>
          <w:t>http://aeiti.af/en/news/secretariats-work-plan-discussed-by-msg-members</w:t>
        </w:r>
      </w:hyperlink>
      <w:r w:rsidRPr="00B265A7">
        <w:rPr>
          <w:rFonts w:ascii="Calibri Light" w:hAnsi="Calibri Light" w:cs="Calibri Light"/>
          <w:sz w:val="16"/>
          <w:szCs w:val="16"/>
        </w:rPr>
        <w:t xml:space="preserve"> in April 2018. </w:t>
      </w:r>
    </w:p>
  </w:footnote>
  <w:footnote w:id="111">
    <w:p w14:paraId="3ECA3476" w14:textId="4AFD822A" w:rsidR="00802EE6" w:rsidRPr="00B265A7" w:rsidRDefault="00802EE6">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t>
      </w:r>
      <w:r w:rsidRPr="00B265A7">
        <w:rPr>
          <w:rFonts w:ascii="Calibri Light" w:hAnsi="Calibri Light" w:cs="Calibri Light"/>
          <w:bCs/>
          <w:sz w:val="16"/>
          <w:szCs w:val="16"/>
        </w:rPr>
        <w:t>The 2016 work plan addressed four broad objectives: Increase public awareness of the sector’s current and potential contribution in order to enable a more informed, evidence-based public debate; highlight ongoing efforts and opportunities to improve revenue collection and sector management in order to build trust in the management of the sector and improve fiscal sustainability; improve the predictability and security of investments with an aim to increase wealth generation of the sector and contribute to Afghanistan’s development; and improve MSG participation and ownership of EITI process in order to achieve the other goals in the workplan.</w:t>
      </w:r>
    </w:p>
  </w:footnote>
  <w:footnote w:id="112">
    <w:p w14:paraId="2B908CE2" w14:textId="22549C98"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(2017), Op.cit. p.15.</w:t>
      </w:r>
    </w:p>
  </w:footnote>
  <w:footnote w:id="113">
    <w:p w14:paraId="3E0CD5AD" w14:textId="1D7010EF"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Objective 2 notes that the EITI can be used as a diagnostic tool to identify gaps and weaknesses in the government’s management of the sector. It also includes specific activities to assess and improve accounting standards in the extractive sector, the disclosure and dissemination of non-tax revenues from the sector and improve available information on all extractive companies operating in the country irrespective of their materiality. Objectives 3 and 4 include tasks geared at providing information on licenses, rules, regulations and policies, including supporting documents such as bidding documents and environmental impact assessments which are supposed to be made public by the government but are not currently available to the public. Objective 3 includes specific tasks concerning beneficial ownership transparency.</w:t>
      </w:r>
    </w:p>
  </w:footnote>
  <w:footnote w:id="114">
    <w:p w14:paraId="7A827FB0" w14:textId="65C48251"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Most of this amount (USD 937,998 or 63% of the total budget) is earmarked for advisors to the Ministers of Finance and of Mines and Petroleum.</w:t>
      </w:r>
    </w:p>
  </w:footnote>
  <w:footnote w:id="115">
    <w:p w14:paraId="54706A1B" w14:textId="0456A467"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This includes costs of AEITI staff, office materials and operational expenses, office staff such as security, drivers and cleaners, procurement costs for consultants and the independent administrator, capacity building for AEITI and MOMP staff, domain activation fee for the AEITI website and an MSG study tour to an EITI-compliant country in the region.</w:t>
      </w:r>
    </w:p>
  </w:footnote>
  <w:footnote w:id="116">
    <w:p w14:paraId="1C6059D2" w14:textId="2DD713EB" w:rsidR="00802EE6" w:rsidRPr="00B265A7" w:rsidRDefault="00802EE6">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All references to </w:t>
      </w:r>
      <w:r w:rsidRPr="00B265A7">
        <w:rPr>
          <w:rFonts w:ascii="Calibri Light" w:hAnsi="Calibri Light" w:cs="Calibri Light"/>
          <w:color w:val="365F91" w:themeColor="accent1" w:themeShade="BF"/>
          <w:sz w:val="16"/>
          <w:szCs w:val="16"/>
        </w:rPr>
        <w:t>(p.)</w:t>
      </w:r>
      <w:r w:rsidRPr="00B265A7">
        <w:rPr>
          <w:rFonts w:ascii="Calibri Light" w:hAnsi="Calibri Light" w:cs="Calibri Light"/>
          <w:sz w:val="16"/>
          <w:szCs w:val="16"/>
        </w:rPr>
        <w:t xml:space="preserve"> in the initial assessment are to EITI (29 April 2017), ‘Afghanistan Fifth EITI Report 1393 and 1394 (2014 and 2015)’, accessed </w:t>
      </w:r>
      <w:hyperlink r:id="rId88"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December 2017. Page number references to the 2014-15 EITI Report refer to page numbers of the printed version (not PDF). All references to (a/pp.) in the initial assessment are to EITI (29 April 2017), ‘Afghanistan Fifth EITI Report 1393 and 1394 (2014 and 2015) - Appendices’, accessed </w:t>
      </w:r>
      <w:hyperlink r:id="rId89"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December 2017. Page number references to the annexes to the 2014-15 EITI Report refer to page numbers of the PDF, given inconsistencies in page numbering in the printed document.</w:t>
      </w:r>
    </w:p>
  </w:footnote>
  <w:footnote w:id="117">
    <w:p w14:paraId="466A53D4" w14:textId="77777777" w:rsidR="00802EE6" w:rsidRPr="00B265A7" w:rsidRDefault="00802EE6" w:rsidP="000E14AD">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US Department of State (2014), ‘US 2014 Fiscal Transparency Report’, accessed </w:t>
      </w:r>
      <w:hyperlink r:id="rId90"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118">
    <w:p w14:paraId="2910ADC2" w14:textId="111034E9" w:rsidR="00802EE6" w:rsidRPr="00B265A7" w:rsidRDefault="00802EE6" w:rsidP="00560FF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This is confirmed in independent research such as: United States Institute of Peace (June 2017), ‘Industrial-Scale Looting of Afghanistan’s Mineral Resources’, accessed </w:t>
      </w:r>
      <w:hyperlink r:id="rId91"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p.2. </w:t>
      </w:r>
    </w:p>
  </w:footnote>
  <w:footnote w:id="119">
    <w:p w14:paraId="1F5BEDF5" w14:textId="22C8250A" w:rsidR="00802EE6" w:rsidRPr="00B265A7" w:rsidRDefault="00802EE6" w:rsidP="008E5B5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See for instance: Special Inspector General for Afghanistan Reconstruction (SIGAR) (January 2016), ‘Afghanistan’s Oil, Gas, and Minerals Industries: $488 Million in U.S. Efforts Show Limited Progress Overall, and Challenges Prevent Further Investment and Growth’, accessed </w:t>
      </w:r>
      <w:hyperlink r:id="rId92"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December 2017, p.ii. Global Witness (August 2014), ‘Gaps in new Afghan Mining Law pose a threat to stability’, accessed </w:t>
      </w:r>
      <w:hyperlink r:id="rId93"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120">
    <w:p w14:paraId="04667423" w14:textId="093380A6"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Ibid. </w:t>
      </w:r>
    </w:p>
  </w:footnote>
  <w:footnote w:id="121">
    <w:p w14:paraId="22364BB8" w14:textId="77777777" w:rsidR="00802EE6" w:rsidRPr="00B265A7" w:rsidRDefault="00802EE6" w:rsidP="00DF2A69">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Reconnaissance licenses and Artisanal Mining Licenses are awarded through direct application.</w:t>
      </w:r>
    </w:p>
  </w:footnote>
  <w:footnote w:id="122">
    <w:p w14:paraId="1803A7CA" w14:textId="77777777" w:rsidR="00802EE6" w:rsidRPr="00B265A7" w:rsidRDefault="00802EE6" w:rsidP="00DF2A69">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Exploration licenses, Exploitation licenses and Small-scale licenses are awarded through competitive tender.</w:t>
      </w:r>
    </w:p>
  </w:footnote>
  <w:footnote w:id="123">
    <w:p w14:paraId="5F48BE9B" w14:textId="77777777" w:rsidR="00802EE6" w:rsidRPr="00B265A7" w:rsidRDefault="00802EE6" w:rsidP="00DF2A69">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2014 Minerals Law of Afghanistan, accessed </w:t>
      </w:r>
      <w:hyperlink r:id="rId94"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pp.17-18.</w:t>
      </w:r>
    </w:p>
  </w:footnote>
  <w:footnote w:id="124">
    <w:p w14:paraId="2A5A67E4" w14:textId="2281F773"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Sheberghan Gas Fields Rehabilitation Project and Sheberghan Gas Fields Rehabilitation Project. </w:t>
      </w:r>
    </w:p>
  </w:footnote>
  <w:footnote w:id="125">
    <w:p w14:paraId="2BA49393" w14:textId="70E28767"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with tied bids resolved through preference for the bidder with an Afghan partner. </w:t>
      </w:r>
    </w:p>
  </w:footnote>
  <w:footnote w:id="126">
    <w:p w14:paraId="0259B926" w14:textId="328C95BE" w:rsidR="00802EE6" w:rsidRPr="00B265A7" w:rsidRDefault="00802EE6" w:rsidP="004A351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2014 Minerals Law of Afghanistan, op.cit., p.15. </w:t>
      </w:r>
    </w:p>
  </w:footnote>
  <w:footnote w:id="127">
    <w:p w14:paraId="31F34C60" w14:textId="05545181" w:rsidR="00802EE6" w:rsidRPr="00B265A7" w:rsidRDefault="00802EE6" w:rsidP="00BD5502">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MOMP website, Hydrocarbons contracts, op.cit. </w:t>
      </w:r>
    </w:p>
  </w:footnote>
  <w:footnote w:id="128">
    <w:p w14:paraId="0BA92E4A" w14:textId="6C638861" w:rsidR="00802EE6" w:rsidRPr="00B265A7" w:rsidRDefault="00802EE6">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Tolo News (January 2018), ‘Ghoryan Salt Mine Contract Signed’, accessed </w:t>
      </w:r>
      <w:hyperlink r:id="rId95"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129">
    <w:p w14:paraId="01269BE9" w14:textId="77777777" w:rsidR="00802EE6" w:rsidRPr="00B265A7" w:rsidRDefault="00802EE6" w:rsidP="00EB3FC4">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Global Witness (September 2015), op.cit., p.2.</w:t>
      </w:r>
    </w:p>
  </w:footnote>
  <w:footnote w:id="130">
    <w:p w14:paraId="26D83695" w14:textId="77777777" w:rsidR="00802EE6" w:rsidRPr="00B265A7" w:rsidRDefault="00802EE6" w:rsidP="001E59C5">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Special Inspector General for Afghanistan Reconstruction (SIGAR) (January 2016), op.cit, p.ii. </w:t>
      </w:r>
    </w:p>
  </w:footnote>
  <w:footnote w:id="131">
    <w:p w14:paraId="5EAAD43B" w14:textId="183CED06" w:rsidR="00802EE6" w:rsidRPr="00B265A7" w:rsidRDefault="00802EE6" w:rsidP="00934F01">
      <w:pPr>
        <w:pStyle w:val="FootnoteText"/>
        <w:rPr>
          <w:rFonts w:ascii="Calibri Light" w:hAnsi="Calibri Light" w:cs="Calibri Light"/>
          <w:sz w:val="16"/>
          <w:szCs w:val="16"/>
          <w:lang w:val="nb-NO"/>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lang w:val="nb-NO"/>
        </w:rPr>
        <w:t xml:space="preserve"> Samuel Hall (November 2015), op.cit., p.52. </w:t>
      </w:r>
    </w:p>
  </w:footnote>
  <w:footnote w:id="132">
    <w:p w14:paraId="6F273086" w14:textId="77777777" w:rsidR="00802EE6" w:rsidRPr="00B265A7" w:rsidRDefault="00802EE6" w:rsidP="00F73DD0">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Special Inspector General for Afghanistan Reconstruction (SIGAR) (January 2016), op.cit, p.ii. </w:t>
      </w:r>
    </w:p>
  </w:footnote>
  <w:footnote w:id="133">
    <w:p w14:paraId="4EA53F70" w14:textId="1CE1B908" w:rsidR="00802EE6" w:rsidRPr="00B265A7" w:rsidRDefault="00802EE6" w:rsidP="00A839F2">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Islamic Republic of Afghanistan, SAO, 1393 Compliance Audit Report for MOMP, 2016. Cited in Democracy International (May 2017), ‘Afghanistan Extractive Industry Transparency Initiative Organizational Assessment’, unpublished, provided by the AEITI Secretariat, p.16.</w:t>
      </w:r>
    </w:p>
  </w:footnote>
  <w:footnote w:id="134">
    <w:p w14:paraId="347F9D6E" w14:textId="77777777" w:rsidR="00802EE6" w:rsidRPr="00B265A7" w:rsidRDefault="00802EE6" w:rsidP="00A839F2">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Special Inspector General for Afghanistan Reconstruction (SIGAR) (January 2016), op.cit, p.ii. </w:t>
      </w:r>
    </w:p>
  </w:footnote>
  <w:footnote w:id="135">
    <w:p w14:paraId="28F97C7D" w14:textId="352CAA4E" w:rsidR="00802EE6" w:rsidRPr="00B265A7" w:rsidRDefault="00802EE6" w:rsidP="00796F5F">
      <w:pPr>
        <w:pStyle w:val="FootnoteText"/>
        <w:rPr>
          <w:rFonts w:ascii="Calibri Light" w:hAnsi="Calibri Light" w:cs="Calibri Light"/>
          <w:sz w:val="16"/>
          <w:szCs w:val="16"/>
          <w:lang w:val="nb-NO"/>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lang w:val="nb-NO"/>
        </w:rPr>
        <w:t xml:space="preserve"> Samuel Hall (November 2015), op.cit., p.52. </w:t>
      </w:r>
    </w:p>
  </w:footnote>
  <w:footnote w:id="136">
    <w:p w14:paraId="775C9BD4" w14:textId="62B2A451" w:rsidR="00802EE6" w:rsidRPr="00B265A7" w:rsidRDefault="00802EE6" w:rsidP="00561CFE">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United States Institute of Peace (January 2015), op.cit..  </w:t>
      </w:r>
    </w:p>
  </w:footnote>
  <w:footnote w:id="137">
    <w:p w14:paraId="157D85C2" w14:textId="0FB9C7AE" w:rsidR="00802EE6" w:rsidRPr="00B265A7" w:rsidRDefault="00802EE6" w:rsidP="00561CFE">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Ibid.  </w:t>
      </w:r>
    </w:p>
  </w:footnote>
  <w:footnote w:id="138">
    <w:p w14:paraId="5F4ECAAD" w14:textId="6EC9FDEB" w:rsidR="00802EE6" w:rsidRPr="00B265A7" w:rsidRDefault="00802EE6" w:rsidP="00326FFC">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United States Institute of Peace (June 2017), op.cit., p.3.</w:t>
      </w:r>
    </w:p>
  </w:footnote>
  <w:footnote w:id="139">
    <w:p w14:paraId="0B7CC757" w14:textId="1CAB21B8"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MOMP (December 2011), ‘Amu Darya oil tender process and transparency review final report’, accessed </w:t>
      </w:r>
      <w:hyperlink r:id="rId96"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140">
    <w:p w14:paraId="2EAE0215" w14:textId="77777777" w:rsidR="00802EE6" w:rsidRPr="00B265A7" w:rsidRDefault="00802EE6" w:rsidP="00133242">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USGS, Afghanistan Oil and Natural Gas Viewer, accessed </w:t>
      </w:r>
      <w:hyperlink r:id="rId97"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141">
    <w:p w14:paraId="011B0A7B" w14:textId="4A9FD1F1" w:rsidR="00802EE6" w:rsidRPr="00B265A7" w:rsidRDefault="00802EE6" w:rsidP="002E2642">
      <w:pPr>
        <w:rPr>
          <w:rFonts w:ascii="Calibri Light" w:hAnsi="Calibri Light" w:cs="Calibri Light"/>
          <w:sz w:val="16"/>
          <w:szCs w:val="16"/>
          <w:lang w:val="en-US"/>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GAF AG EMC+ (2008), ‘Establishment of cadaster, inspectorate, audit and licensing functions in the Ministry of Mines’, accessed </w:t>
      </w:r>
      <w:hyperlink r:id="rId98"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And MOMP (January 2011), ‘</w:t>
      </w:r>
      <w:r w:rsidRPr="00B265A7">
        <w:rPr>
          <w:rFonts w:ascii="Calibri Light" w:hAnsi="Calibri Light" w:cs="Calibri Light"/>
          <w:sz w:val="16"/>
          <w:szCs w:val="16"/>
          <w:lang w:val="en-US"/>
        </w:rPr>
        <w:t xml:space="preserve">Support of SDNRP to the Development of Cadaster, Inspectorate and Audit Functions (GAF) Jan.-11’, accessed </w:t>
      </w:r>
      <w:hyperlink r:id="rId99" w:history="1">
        <w:r w:rsidRPr="00B265A7">
          <w:rPr>
            <w:rStyle w:val="Hyperlink"/>
            <w:rFonts w:ascii="Calibri Light" w:hAnsi="Calibri Light" w:cs="Calibri Light"/>
            <w:sz w:val="16"/>
            <w:szCs w:val="16"/>
            <w:lang w:val="en-US"/>
          </w:rPr>
          <w:t>here</w:t>
        </w:r>
      </w:hyperlink>
      <w:r w:rsidRPr="00B265A7">
        <w:rPr>
          <w:rFonts w:ascii="Calibri Light" w:hAnsi="Calibri Light" w:cs="Calibri Light"/>
          <w:sz w:val="16"/>
          <w:szCs w:val="16"/>
          <w:lang w:val="en-US"/>
        </w:rPr>
        <w:t xml:space="preserve"> in January 2018. </w:t>
      </w:r>
    </w:p>
  </w:footnote>
  <w:footnote w:id="142">
    <w:p w14:paraId="30641A87" w14:textId="610093D2" w:rsidR="00802EE6" w:rsidRPr="00B265A7" w:rsidRDefault="00802EE6">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Mining Cadaster Online Maps of the Ministry of Mines and Petroleum of the Islamic Republic of Afghanistan, accessed </w:t>
      </w:r>
      <w:hyperlink r:id="rId100"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143">
    <w:p w14:paraId="64AE5A9B" w14:textId="7AF9D84E"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MOMP Transparency Portal, accessed </w:t>
      </w:r>
      <w:hyperlink r:id="rId101"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144">
    <w:p w14:paraId="5E77BEF1" w14:textId="77777777" w:rsidR="00802EE6" w:rsidRPr="00B265A7" w:rsidRDefault="00802EE6" w:rsidP="0011633D">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Integrity Watch Afghanistan (November 2016), ‘Fighting corruption in Afghanistan: solving the institutional puzzle’, accessed </w:t>
      </w:r>
      <w:hyperlink r:id="rId102"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p.6. </w:t>
      </w:r>
    </w:p>
  </w:footnote>
  <w:footnote w:id="145">
    <w:p w14:paraId="79BF70FD" w14:textId="77777777" w:rsidR="00802EE6" w:rsidRPr="00B265A7" w:rsidRDefault="00802EE6" w:rsidP="00007421">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Ministry of Mines (December 2011), ‘National Coal policy’, accessed </w:t>
      </w:r>
      <w:hyperlink r:id="rId103"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p.5.  </w:t>
      </w:r>
    </w:p>
  </w:footnote>
  <w:footnote w:id="146">
    <w:p w14:paraId="5E1C8797" w14:textId="77777777" w:rsidR="00802EE6" w:rsidRPr="00B265A7" w:rsidRDefault="00802EE6" w:rsidP="00E171DA">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The Majd Industrial Pishgaman Company 2011 Coal Concession and the Khoshak Brothers Company, Aria Popal Company 2012 Dar-e-Souf Coal Concession. </w:t>
      </w:r>
    </w:p>
  </w:footnote>
  <w:footnote w:id="147">
    <w:p w14:paraId="078A9356" w14:textId="77777777" w:rsidR="00802EE6" w:rsidRPr="00B265A7" w:rsidRDefault="00802EE6" w:rsidP="00E171DA">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The Afghan Krystal Natural Resources Company 2011 Gold Concession. </w:t>
      </w:r>
    </w:p>
  </w:footnote>
  <w:footnote w:id="148">
    <w:p w14:paraId="1C192A1C" w14:textId="77777777" w:rsidR="00802EE6" w:rsidRPr="00B265A7" w:rsidRDefault="00802EE6" w:rsidP="00E171DA">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Resource Contracts, Afghanistan contracts, accessed </w:t>
      </w:r>
      <w:hyperlink r:id="rId104"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December 2017. </w:t>
      </w:r>
    </w:p>
  </w:footnote>
  <w:footnote w:id="149">
    <w:p w14:paraId="2E2CB928" w14:textId="638CE0F5" w:rsidR="00802EE6" w:rsidRPr="00B265A7" w:rsidRDefault="00802EE6" w:rsidP="004E7543">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op.cit, p.5.</w:t>
      </w:r>
    </w:p>
  </w:footnote>
  <w:footnote w:id="150">
    <w:p w14:paraId="50F93B22" w14:textId="77777777" w:rsidR="00802EE6" w:rsidRPr="00B265A7" w:rsidRDefault="00802EE6" w:rsidP="00837BE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Global Witness (September 2015), op.cit., p.1.</w:t>
      </w:r>
    </w:p>
  </w:footnote>
  <w:footnote w:id="151">
    <w:p w14:paraId="537DE215" w14:textId="1C0C83A4" w:rsidR="00802EE6" w:rsidRPr="00B265A7" w:rsidRDefault="00802EE6" w:rsidP="00F9479C">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Islamic Republic of Afghanistan, SAO, 1393 Compliance Audit Report for MOMP, 2016. Cited in Democracy International (May 2017), ‘Afghanistan Extractive Industry Transparency Initiative Organizational Assessment’, unpublished, provided by the AEITI Secretariat, pp.16,17.</w:t>
      </w:r>
    </w:p>
  </w:footnote>
  <w:footnote w:id="152">
    <w:p w14:paraId="3EC145B6" w14:textId="42B248F5"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 EITI (2017), ‘Beneficial ownership roadmap’, accessed </w:t>
      </w:r>
      <w:hyperlink r:id="rId105"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153">
    <w:p w14:paraId="5C3CE366" w14:textId="71B00C71"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 Central Business Registry, Company verification platform, accessed </w:t>
      </w:r>
      <w:hyperlink r:id="rId106"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December 2017. </w:t>
      </w:r>
    </w:p>
  </w:footnote>
  <w:footnote w:id="154">
    <w:p w14:paraId="065849B5" w14:textId="4152F802"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See for instance information on China Metallurgical Corp. (MCC), accessed </w:t>
      </w:r>
      <w:hyperlink r:id="rId107"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December 2017. While MCC is listed as a limited liability company, the ACBR only provides contact details for its President and no legal shareholder information. </w:t>
      </w:r>
    </w:p>
  </w:footnote>
  <w:footnote w:id="155">
    <w:p w14:paraId="6A5542A0" w14:textId="1622053B" w:rsidR="00802EE6" w:rsidRPr="00B265A7" w:rsidRDefault="00802EE6" w:rsidP="00C4714E">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op.cit., p.5.</w:t>
      </w:r>
    </w:p>
  </w:footnote>
  <w:footnote w:id="156">
    <w:p w14:paraId="1917F797" w14:textId="0C0C4548" w:rsidR="00802EE6" w:rsidRPr="00B265A7" w:rsidRDefault="00802EE6" w:rsidP="007639EC">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United States Institute of Peace (January 2015), op.cit.. And United States Institute of Peace (June 2017), op.cit.. </w:t>
      </w:r>
    </w:p>
  </w:footnote>
  <w:footnote w:id="157">
    <w:p w14:paraId="314B6A5C" w14:textId="77777777" w:rsidR="00802EE6" w:rsidRPr="00B265A7" w:rsidRDefault="00802EE6" w:rsidP="00160B1A">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IMF (July 2016), ‘IMF Loan for Afghanistan to Support Growth, Catalyze Donor Aid’, accessed </w:t>
      </w:r>
      <w:hyperlink r:id="rId108"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158">
    <w:p w14:paraId="3E57DFDA" w14:textId="77777777" w:rsidR="00802EE6" w:rsidRPr="00B265A7" w:rsidRDefault="00802EE6" w:rsidP="00B35E63">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Global Witness (September 2015), op.cit., p.2.</w:t>
      </w:r>
    </w:p>
  </w:footnote>
  <w:footnote w:id="159">
    <w:p w14:paraId="3A6BB8D5" w14:textId="77777777" w:rsidR="00802EE6" w:rsidRPr="00B265A7" w:rsidRDefault="00802EE6" w:rsidP="00B35E63">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Integrity Watch Afghanistan and Global Witness (September 2015), ‘Extractives for sustainable development in</w:t>
      </w:r>
    </w:p>
    <w:p w14:paraId="519E9739" w14:textId="77777777" w:rsidR="00802EE6" w:rsidRPr="00B265A7" w:rsidRDefault="00802EE6" w:rsidP="00B35E63">
      <w:pPr>
        <w:pStyle w:val="FootnoteText"/>
        <w:rPr>
          <w:rFonts w:ascii="Calibri Light" w:hAnsi="Calibri Light" w:cs="Calibri Light"/>
          <w:sz w:val="16"/>
          <w:szCs w:val="16"/>
          <w:lang w:val="en-GB"/>
        </w:rPr>
      </w:pPr>
      <w:r w:rsidRPr="00B265A7">
        <w:rPr>
          <w:rFonts w:ascii="Calibri Light" w:hAnsi="Calibri Light" w:cs="Calibri Light"/>
          <w:sz w:val="16"/>
          <w:szCs w:val="16"/>
        </w:rPr>
        <w:t xml:space="preserve">Afghanistan Policy Brief’, accessed </w:t>
      </w:r>
      <w:hyperlink r:id="rId109"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December 2017, p.2. </w:t>
      </w:r>
    </w:p>
  </w:footnote>
  <w:footnote w:id="160">
    <w:p w14:paraId="1BB89E47" w14:textId="7F521009" w:rsidR="00802EE6" w:rsidRPr="00B265A7" w:rsidRDefault="00802EE6" w:rsidP="000D0A6E">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Islamic Republic of Afghanistan, Corporations and Limited Liability Companies Law of Afghanistan, article 2. Cited in Democracy International (May 2017), ‘Afghanistan Extractive Industry Transparency Initiative Organizational Assessment’, unpublished, provided by the AEITI Secretariat, p.19. </w:t>
      </w:r>
    </w:p>
  </w:footnote>
  <w:footnote w:id="161">
    <w:p w14:paraId="761253F0" w14:textId="51CED7C0" w:rsidR="00802EE6" w:rsidRPr="00B265A7" w:rsidRDefault="00802EE6" w:rsidP="00906FFF">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AEITI (June 2014), Annual Progress Report (1392/2013-14). Cited in Democracy International (May 2017), op.cit., p.19.</w:t>
      </w:r>
    </w:p>
  </w:footnote>
  <w:footnote w:id="162">
    <w:p w14:paraId="3F3CB8EB" w14:textId="77777777" w:rsidR="00802EE6" w:rsidRPr="00B265A7" w:rsidRDefault="00802EE6" w:rsidP="0010148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Global Witness (September 2015), op.cit., p.2.</w:t>
      </w:r>
    </w:p>
  </w:footnote>
  <w:footnote w:id="163">
    <w:p w14:paraId="71BF26F2" w14:textId="09EBE69B"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 EITI (February 2016), ‘Afghanistan Fourth EITI Report 1391 and 1392 (2012 and 2013) - Appendices’, accessed </w:t>
      </w:r>
      <w:hyperlink r:id="rId110"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December 2017, p.47.</w:t>
      </w:r>
    </w:p>
  </w:footnote>
  <w:footnote w:id="164">
    <w:p w14:paraId="50FDDF22" w14:textId="23340EE9"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E.g. rules on retained earnings, reinvestment and third-party funding. </w:t>
      </w:r>
    </w:p>
  </w:footnote>
  <w:footnote w:id="165">
    <w:p w14:paraId="3D948326" w14:textId="597D9597"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According to the Central Statistics Organisation of Afghanistan (CSOA). </w:t>
      </w:r>
    </w:p>
  </w:footnote>
  <w:footnote w:id="166">
    <w:p w14:paraId="0FF0ADAB" w14:textId="222D7F14"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Chaired by the Minister of Mines and Petroleum with a deputy director from the MOF. </w:t>
      </w:r>
    </w:p>
  </w:footnote>
  <w:footnote w:id="167">
    <w:p w14:paraId="0105BDC8" w14:textId="388B9E48" w:rsidR="00802EE6" w:rsidRPr="00B265A7" w:rsidRDefault="00802EE6" w:rsidP="00F27987">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According to the CSOA. </w:t>
      </w:r>
    </w:p>
  </w:footnote>
  <w:footnote w:id="168">
    <w:p w14:paraId="74CBA084" w14:textId="71BBDC96"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Alongside Turkmenistan, Pakistan and India. </w:t>
      </w:r>
    </w:p>
  </w:footnote>
  <w:footnote w:id="169">
    <w:p w14:paraId="1F728FEC" w14:textId="090825A2" w:rsidR="00802EE6" w:rsidRPr="00B265A7" w:rsidRDefault="00802EE6" w:rsidP="00496223">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Income Tax; Business Receipt Tax; Withholding on Salary; Withholding Tax on Rent; Withholding Tax on Contract; Withholding Tax-Other Items; and “Other”. </w:t>
      </w:r>
    </w:p>
  </w:footnote>
  <w:footnote w:id="170">
    <w:p w14:paraId="4749DBDD" w14:textId="3204F659"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 EITI (May 2016), ‘Minutes of the MSG meeting, 24 May 2016’, accessed </w:t>
      </w:r>
      <w:hyperlink r:id="rId111"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December 2017.</w:t>
      </w:r>
    </w:p>
  </w:footnote>
  <w:footnote w:id="171">
    <w:p w14:paraId="1DBD35FF" w14:textId="77777777" w:rsidR="00802EE6" w:rsidRPr="00B265A7" w:rsidRDefault="00802EE6" w:rsidP="005D4A66">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Reuters (May 2016), ‘Hopes and fears for jobs as Afghan cement factory reopens’, accessed </w:t>
      </w:r>
      <w:hyperlink r:id="rId112"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172">
    <w:p w14:paraId="603FA289" w14:textId="77777777" w:rsidR="00802EE6" w:rsidRPr="00B265A7" w:rsidRDefault="00802EE6" w:rsidP="007A0B7E">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Afghanistan’s State-Owned Enterprises Law, accessed </w:t>
      </w:r>
      <w:hyperlink r:id="rId113"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173">
    <w:p w14:paraId="30C263A5" w14:textId="089CFABB"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See Ministry of Mines and Petroleum (April 2011), ‘Financial Assessment of the Northern Coal Enterprise’, unpublished, provided by stakeholders in January 2018. Ministry of Mines and Petroleum (June 2016), ‘Reform and restructuring of Northern Coal Enterprise’, unpublished, provided by stakeholders in January 2018. </w:t>
      </w:r>
    </w:p>
  </w:footnote>
  <w:footnote w:id="174">
    <w:p w14:paraId="03CA3493" w14:textId="51FC0F6F" w:rsidR="00802EE6" w:rsidRPr="00B265A7" w:rsidRDefault="00802EE6" w:rsidP="00B4711E">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Ministry of Mines and Petroleum (April 2011), op.cit., p.17. </w:t>
      </w:r>
    </w:p>
  </w:footnote>
  <w:footnote w:id="175">
    <w:p w14:paraId="4823AAD8" w14:textId="77777777" w:rsidR="00802EE6" w:rsidRPr="00B265A7" w:rsidRDefault="00802EE6" w:rsidP="00753B41">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op.cit., p.17. </w:t>
      </w:r>
    </w:p>
  </w:footnote>
  <w:footnote w:id="176">
    <w:p w14:paraId="46376093" w14:textId="77777777" w:rsidR="00802EE6" w:rsidRPr="00B265A7" w:rsidRDefault="00802EE6" w:rsidP="00245AB4">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op.cit., p.20. </w:t>
      </w:r>
    </w:p>
  </w:footnote>
  <w:footnote w:id="177">
    <w:p w14:paraId="204A0A37" w14:textId="414433E9" w:rsidR="00802EE6" w:rsidRPr="00B265A7" w:rsidRDefault="00802EE6" w:rsidP="00D952C9">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Ministry of Mines and Petroleum (April 2011), op.cit., p.19. And Ministry of Mines and Petroleum (June 2016), op.cit., p.34.</w:t>
      </w:r>
    </w:p>
  </w:footnote>
  <w:footnote w:id="178">
    <w:p w14:paraId="1882FFA6" w14:textId="59660F68" w:rsidR="00802EE6" w:rsidRPr="00B265A7" w:rsidRDefault="00802EE6" w:rsidP="00D93052">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Ministry of Mines and Petroleum (June 2016), op.cit., pp.34-35. </w:t>
      </w:r>
    </w:p>
  </w:footnote>
  <w:footnote w:id="179">
    <w:p w14:paraId="3F8844FB" w14:textId="002AF19D" w:rsidR="00802EE6" w:rsidRPr="00B265A7" w:rsidRDefault="00802EE6" w:rsidP="002725F5">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Sheberghan Gas Generation Activity (March 2015), ‘Gas Feasibility Study Update’, as cited in SIGAR (January 2016), op.cit., p.11. And USAID (November 2016), ‘Afghan Gas Enterprise: assessment report’, accessed </w:t>
      </w:r>
      <w:hyperlink r:id="rId114"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p.11.</w:t>
      </w:r>
    </w:p>
  </w:footnote>
  <w:footnote w:id="180">
    <w:p w14:paraId="355D9711" w14:textId="77777777" w:rsidR="00802EE6" w:rsidRPr="00B265A7" w:rsidRDefault="00802EE6" w:rsidP="00297365">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UNICOM/World Bank (September 2015), ‘NCE Restructure and reform project status update presentation’, accessed </w:t>
      </w:r>
      <w:hyperlink r:id="rId115"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p.16. </w:t>
      </w:r>
    </w:p>
  </w:footnote>
  <w:footnote w:id="181">
    <w:p w14:paraId="54CF0E79" w14:textId="77777777" w:rsidR="00802EE6" w:rsidRPr="00B265A7" w:rsidRDefault="00802EE6" w:rsidP="00297365">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Afghanistan’s State-Owned Enterprises Law, accessed </w:t>
      </w:r>
      <w:hyperlink r:id="rId116"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182">
    <w:p w14:paraId="31A7EF82" w14:textId="6A4706FD" w:rsidR="00802EE6" w:rsidRPr="00B265A7" w:rsidRDefault="00802EE6" w:rsidP="00A32117">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Ministry of Mines and Petroleum (April 2011), op.cit., p.12. </w:t>
      </w:r>
    </w:p>
  </w:footnote>
  <w:footnote w:id="183">
    <w:p w14:paraId="0A328949" w14:textId="686725A9" w:rsidR="00802EE6" w:rsidRPr="00B265A7" w:rsidRDefault="00802EE6" w:rsidP="00630CB5">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op.cit., p.16. </w:t>
      </w:r>
    </w:p>
  </w:footnote>
  <w:footnote w:id="184">
    <w:p w14:paraId="3790F261" w14:textId="77777777" w:rsidR="00802EE6" w:rsidRPr="00B265A7" w:rsidRDefault="00802EE6" w:rsidP="00EA3B61">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Central Statistics Organisation (2017), ‘Mining and Energy statistics, 1387-1395’, accessed </w:t>
      </w:r>
      <w:hyperlink r:id="rId117"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185">
    <w:p w14:paraId="4ED270E1" w14:textId="77777777" w:rsidR="00802EE6" w:rsidRPr="00B265A7" w:rsidRDefault="00802EE6" w:rsidP="009E4789">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op.cit., pp.15-16. </w:t>
      </w:r>
    </w:p>
  </w:footnote>
  <w:footnote w:id="186">
    <w:p w14:paraId="21D3F94F" w14:textId="46781C45" w:rsidR="00802EE6" w:rsidRPr="00B265A7" w:rsidRDefault="00802EE6" w:rsidP="002F4183">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United States Institute of Peace (June 2017), op.cit., pp.7-9.</w:t>
      </w:r>
    </w:p>
  </w:footnote>
  <w:footnote w:id="187">
    <w:p w14:paraId="16B7F785" w14:textId="7DE17FF5" w:rsidR="00802EE6" w:rsidRPr="00B265A7" w:rsidRDefault="00802EE6" w:rsidP="003A5628">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Global Witness (June 2016), op.cit.. Link provided in the 2014-15 EITI Report (p.16). </w:t>
      </w:r>
    </w:p>
  </w:footnote>
  <w:footnote w:id="188">
    <w:p w14:paraId="3F4C7484" w14:textId="77777777" w:rsidR="00802EE6" w:rsidRPr="00B265A7" w:rsidRDefault="00802EE6" w:rsidP="00624E34">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op.cit., p.18. </w:t>
      </w:r>
    </w:p>
  </w:footnote>
  <w:footnote w:id="189">
    <w:p w14:paraId="2035F832" w14:textId="526220A3" w:rsidR="00802EE6" w:rsidRPr="00B265A7" w:rsidRDefault="00802EE6" w:rsidP="0041013A">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United States Institute of Peace (June 2017), op.cit., p.14.</w:t>
      </w:r>
    </w:p>
  </w:footnote>
  <w:footnote w:id="190">
    <w:p w14:paraId="06840BFA" w14:textId="4EBAB7DF" w:rsidR="00802EE6" w:rsidRPr="00B265A7" w:rsidRDefault="00802EE6" w:rsidP="002C01AD">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United States Institute of Peace (June 2017), op.cit., p.16.</w:t>
      </w:r>
    </w:p>
  </w:footnote>
  <w:footnote w:id="191">
    <w:p w14:paraId="17159355" w14:textId="77777777" w:rsidR="00802EE6" w:rsidRPr="00B265A7" w:rsidRDefault="00802EE6" w:rsidP="00E01883">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World Bank, World Integrated Trade Solution, accessed </w:t>
      </w:r>
      <w:hyperlink r:id="rId118"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December 2017. </w:t>
      </w:r>
    </w:p>
  </w:footnote>
  <w:footnote w:id="192">
    <w:p w14:paraId="31C1EDE9" w14:textId="77777777" w:rsidR="00802EE6" w:rsidRPr="00B265A7" w:rsidRDefault="00802EE6" w:rsidP="00E01883">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Pakistan Federal Board of Revenue, Trade Statistics: Imports from Afghanistan January 2014-December 2015’, accessed </w:t>
      </w:r>
      <w:hyperlink r:id="rId119"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193">
    <w:p w14:paraId="4DD3828F" w14:textId="77777777" w:rsidR="00802EE6" w:rsidRPr="00B265A7" w:rsidRDefault="00802EE6" w:rsidP="008670F5">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Independent Joint Anti-Corruption Monitoring and Evaluation Committee (May 2017), ‘Progress Monitoring Report, Ministry of Finance Anti-Corruption Plan Review’, accessed </w:t>
      </w:r>
      <w:hyperlink r:id="rId120"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p.14. </w:t>
      </w:r>
    </w:p>
  </w:footnote>
  <w:footnote w:id="194">
    <w:p w14:paraId="3C14FA4D" w14:textId="77777777" w:rsidR="00802EE6" w:rsidRPr="00B265A7" w:rsidRDefault="00802EE6" w:rsidP="002C01AD">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op.cit., p.18. </w:t>
      </w:r>
    </w:p>
  </w:footnote>
  <w:footnote w:id="195">
    <w:p w14:paraId="0CE348AA" w14:textId="1AEC6A99" w:rsidR="00802EE6" w:rsidRPr="00B265A7" w:rsidRDefault="00802EE6" w:rsidP="000E0F64">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EITI International Secretariat (March 2015), ‘Secretariat review: Afghanistan’, accessed </w:t>
      </w:r>
      <w:hyperlink r:id="rId121"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December 2017, p.7. </w:t>
      </w:r>
    </w:p>
  </w:footnote>
  <w:footnote w:id="196">
    <w:p w14:paraId="69459206" w14:textId="3E5D57AA" w:rsidR="00802EE6" w:rsidRPr="00B265A7" w:rsidRDefault="00802EE6">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 EITI (January 2017), ‘Afghanistan EITI report for 1393 (2014) and 1394 (2015) Scoping Report’, unpublished, provided by the AEITI Secretariat, p.8.</w:t>
      </w:r>
    </w:p>
  </w:footnote>
  <w:footnote w:id="197">
    <w:p w14:paraId="77BF35A8" w14:textId="44D3F19C"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The material revenue streams include those collected: by MOF Revenue Department: Income Tax; Business Receipts Tax; Withholding tax on (a) salaries, (b) rents, (c) contracts and (d) other items; penalties; and others (transferrable share; shares; other; and dividends from SOEs); by MOF Customs Department: Customs duty; Fixed Tax; BRT; Other charges; by MOMP: Royalty; Premium and bonuses; bid fee; penalties and fines; ;and fee; license fee; permitting fee; bid and other security; lease of government land; land fee building; miscellaneous revenues.</w:t>
      </w:r>
    </w:p>
  </w:footnote>
  <w:footnote w:id="198">
    <w:p w14:paraId="3DB64191" w14:textId="77777777" w:rsidR="00802EE6" w:rsidRPr="00B265A7" w:rsidRDefault="00802EE6" w:rsidP="001D4946">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Narrow Road of Safi Mountain Water and Hasan Khail Three shop street- Bagram New Road. </w:t>
      </w:r>
    </w:p>
  </w:footnote>
  <w:footnote w:id="199">
    <w:p w14:paraId="4B55F94F" w14:textId="5835282F"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Mohammad Faisal Company, Ayzeen Central Mining Services Company, Mahmand Shamal and Lajawardeen. </w:t>
      </w:r>
    </w:p>
  </w:footnote>
  <w:footnote w:id="200">
    <w:p w14:paraId="77C5DAFF" w14:textId="30776624"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t>
      </w:r>
      <w:r w:rsidRPr="00B265A7">
        <w:rPr>
          <w:rFonts w:ascii="Calibri Light" w:hAnsi="Calibri Light" w:cs="Calibri Light"/>
          <w:sz w:val="16"/>
          <w:szCs w:val="16"/>
          <w:lang w:val="en-GB"/>
        </w:rPr>
        <w:t xml:space="preserve">Dragon Oil Mazar-i-Sharif, Dragon Oil Sanduqli, Shamsheer Zameer, Turkish Petroleum. </w:t>
      </w:r>
    </w:p>
  </w:footnote>
  <w:footnote w:id="201">
    <w:p w14:paraId="748AD331" w14:textId="642329FF"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t>
      </w:r>
      <w:r w:rsidRPr="00B265A7">
        <w:rPr>
          <w:rFonts w:ascii="Calibri Light" w:hAnsi="Calibri Light" w:cs="Calibri Light"/>
          <w:sz w:val="16"/>
          <w:szCs w:val="16"/>
          <w:lang w:val="en-GB"/>
        </w:rPr>
        <w:t xml:space="preserve">Lajawardeen. </w:t>
      </w:r>
    </w:p>
  </w:footnote>
  <w:footnote w:id="202">
    <w:p w14:paraId="46C8FB2C" w14:textId="4EA40BB4" w:rsidR="00802EE6" w:rsidRPr="00B265A7" w:rsidRDefault="00802EE6">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Dragon Oil Mazar-i-Sharif and Dragon Oil Sanduqli explained that they had closed their office in Afghanistan given that their projects had been on hold since 2015, with no data to provide and no staff in-country; Shamsheer Zameer refused to respond to data requests until a legal dispute between the company’s President and Vice President was resolved; Turkish Petroleum explained that they had no data to provide given that the company had suspended operations in Afghanistan since mid-2016, despite having provided data for the 2012-13 EITI Report.</w:t>
      </w:r>
    </w:p>
  </w:footnote>
  <w:footnote w:id="203">
    <w:p w14:paraId="78AAF006" w14:textId="6034ED60"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MOF Revenue Department (Large Taxpayers Office; Medium Taxpayers Office; and Small Taxpayers Office); MOF Customs Authority; MOF SOE Department; MOMP (Revenue Department; Cadastre Department; and SOE Department).</w:t>
      </w:r>
    </w:p>
  </w:footnote>
  <w:footnote w:id="204">
    <w:p w14:paraId="46E2F0FB" w14:textId="1ACA9C90" w:rsidR="00802EE6" w:rsidRPr="00B265A7" w:rsidRDefault="00802EE6" w:rsidP="00A955B1">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EITI International Secretariat (March 2015), op.cit., p.10. </w:t>
      </w:r>
    </w:p>
  </w:footnote>
  <w:footnote w:id="205">
    <w:p w14:paraId="14CF60FA" w14:textId="69E5131B" w:rsidR="00802EE6" w:rsidRPr="00B265A7" w:rsidRDefault="00802EE6" w:rsidP="00E40D8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EITI International Secretariat (March 2015), op.cit., p.7. </w:t>
      </w:r>
    </w:p>
  </w:footnote>
  <w:footnote w:id="206">
    <w:p w14:paraId="40A670F9" w14:textId="6E131A81" w:rsidR="00802EE6" w:rsidRPr="00B265A7" w:rsidRDefault="00802EE6" w:rsidP="00157C18">
      <w:pPr>
        <w:pStyle w:val="FootnoteText"/>
        <w:rPr>
          <w:rFonts w:ascii="Calibri Light" w:hAnsi="Calibri Light" w:cs="Calibri Light"/>
          <w:sz w:val="16"/>
          <w:szCs w:val="16"/>
          <w:lang w:val="nb-NO"/>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lang w:val="nb-NO"/>
        </w:rPr>
        <w:t xml:space="preserve"> Samuel Hall (November 2015), op.cit., p.52. </w:t>
      </w:r>
    </w:p>
  </w:footnote>
  <w:footnote w:id="207">
    <w:p w14:paraId="6628B81C" w14:textId="141AE800" w:rsidR="00802EE6" w:rsidRPr="00B265A7" w:rsidRDefault="00802EE6" w:rsidP="00921A89">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EITI International Secretariat (March 2015), op.cit., pp.9-10. </w:t>
      </w:r>
    </w:p>
  </w:footnote>
  <w:footnote w:id="208">
    <w:p w14:paraId="2BD2E9E2" w14:textId="764A631C"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IMF (December 2017), ‘Islamic Republic of Afghanistan: 2017 Article IV consultation and second review of the extended credit facility arrangement’, accessed </w:t>
      </w:r>
      <w:hyperlink r:id="rId122"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pp.22,27.  </w:t>
      </w:r>
    </w:p>
  </w:footnote>
  <w:footnote w:id="209">
    <w:p w14:paraId="451AA85D" w14:textId="77777777" w:rsidR="00802EE6" w:rsidRPr="00B265A7" w:rsidRDefault="00802EE6" w:rsidP="00E44081">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op.cit., p.18. </w:t>
      </w:r>
    </w:p>
  </w:footnote>
  <w:footnote w:id="210">
    <w:p w14:paraId="2AB9E482" w14:textId="77777777" w:rsidR="00802EE6" w:rsidRPr="00B265A7" w:rsidRDefault="00802EE6" w:rsidP="00E44081">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op.cit., pp.12-13. </w:t>
      </w:r>
    </w:p>
  </w:footnote>
  <w:footnote w:id="211">
    <w:p w14:paraId="38801835" w14:textId="77777777" w:rsidR="00802EE6" w:rsidRPr="00B265A7" w:rsidRDefault="00802EE6" w:rsidP="00E44081">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op.cit., p.4. </w:t>
      </w:r>
    </w:p>
  </w:footnote>
  <w:footnote w:id="212">
    <w:p w14:paraId="5C2421C6" w14:textId="77777777" w:rsidR="00802EE6" w:rsidRPr="00B265A7" w:rsidRDefault="00802EE6" w:rsidP="00001E35">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op.cit., p.13. </w:t>
      </w:r>
    </w:p>
  </w:footnote>
  <w:footnote w:id="213">
    <w:p w14:paraId="38B9A615" w14:textId="77777777" w:rsidR="00802EE6" w:rsidRPr="00B265A7" w:rsidRDefault="00802EE6" w:rsidP="00CB46D5">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op.cit., p.21. </w:t>
      </w:r>
    </w:p>
  </w:footnote>
  <w:footnote w:id="214">
    <w:p w14:paraId="0D05F4F3" w14:textId="77777777" w:rsidR="00802EE6" w:rsidRPr="00B265A7" w:rsidRDefault="00802EE6" w:rsidP="00CD2941">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op.cit., p.16. </w:t>
      </w:r>
    </w:p>
  </w:footnote>
  <w:footnote w:id="215">
    <w:p w14:paraId="66C7B4BF" w14:textId="6742FEC5" w:rsidR="00802EE6" w:rsidRPr="00B265A7" w:rsidRDefault="00802EE6" w:rsidP="00597E7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EITI International Secretariat (March 2015), op.cit., pp.7,10. </w:t>
      </w:r>
    </w:p>
  </w:footnote>
  <w:footnote w:id="216">
    <w:p w14:paraId="1C28CAA8" w14:textId="1817CC76" w:rsidR="00802EE6" w:rsidRPr="00B265A7" w:rsidRDefault="00802EE6" w:rsidP="00C36C65">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op.cit., p.16. </w:t>
      </w:r>
    </w:p>
  </w:footnote>
  <w:footnote w:id="217">
    <w:p w14:paraId="56AA63B8" w14:textId="6E4ACB72" w:rsidR="00802EE6" w:rsidRPr="00B265A7" w:rsidRDefault="00802EE6" w:rsidP="0067308E">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United States Institute for Peace (September 2017), op.cit., p.2. </w:t>
      </w:r>
    </w:p>
  </w:footnote>
  <w:footnote w:id="218">
    <w:p w14:paraId="4824DD18" w14:textId="77777777" w:rsidR="00802EE6" w:rsidRPr="00B265A7" w:rsidRDefault="00802EE6" w:rsidP="00395DC7">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World Trade Organisation (2017), ‘Chabahr port - a New transit gateway for Afghanistan’, accessed </w:t>
      </w:r>
      <w:hyperlink r:id="rId123"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219">
    <w:p w14:paraId="3F607751" w14:textId="2BBB2D1B" w:rsidR="00802EE6" w:rsidRPr="00B265A7" w:rsidRDefault="00802EE6" w:rsidP="004941A7">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United States Institute for Peace (September 2017), op.cit., p.2. </w:t>
      </w:r>
    </w:p>
  </w:footnote>
  <w:footnote w:id="220">
    <w:p w14:paraId="61E176B8" w14:textId="79F5BE18" w:rsidR="00802EE6" w:rsidRPr="00B265A7" w:rsidRDefault="00802EE6">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Narrow Road of Safi Mountain Water and Hasan Khail Three shop street- Bagram New Road. </w:t>
      </w:r>
    </w:p>
  </w:footnote>
  <w:footnote w:id="221">
    <w:p w14:paraId="5F25C4F9" w14:textId="3C7706D7" w:rsidR="00802EE6" w:rsidRPr="00B265A7" w:rsidRDefault="00802EE6" w:rsidP="003875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Special Inspector General for Afghanistan Reconstruction (SIGAR) (January 2016), op.cit., p.ii. And Special Inspector General for Afghanistan Reconstruction (October 2015), ‘DoD’s compressed natural gas filling station in Afghanistan: an ill-conceived $43 million project’, accessed </w:t>
      </w:r>
      <w:hyperlink r:id="rId124"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December 2017, pp.6-7. And World Bank (December 2016), ‘Project Information Document/Integrated Safeguards Data Sheet (PID/ISDS)’, accessed </w:t>
      </w:r>
      <w:hyperlink r:id="rId125"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pp.7-8.</w:t>
      </w:r>
    </w:p>
  </w:footnote>
  <w:footnote w:id="222">
    <w:p w14:paraId="50FF57A9" w14:textId="3264113B"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See for instance Asian Development Bank (May 2010), ‘Afghanistan: Railway development project’, accessed </w:t>
      </w:r>
      <w:hyperlink r:id="rId126"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February 2018; and Joint Force Quarterly (2014), ‘The Afghanistan national railway: a plan of opportunity’, accessed </w:t>
      </w:r>
      <w:hyperlink r:id="rId127"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February 2018. </w:t>
      </w:r>
    </w:p>
  </w:footnote>
  <w:footnote w:id="223">
    <w:p w14:paraId="7E2DF927" w14:textId="77777777" w:rsidR="00802EE6" w:rsidRPr="00B265A7" w:rsidRDefault="00802EE6" w:rsidP="00E831DA">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op.cit., pp.20-21. </w:t>
      </w:r>
    </w:p>
  </w:footnote>
  <w:footnote w:id="224">
    <w:p w14:paraId="4BE0D525" w14:textId="7DBE82B5" w:rsidR="00802EE6" w:rsidRPr="00B265A7" w:rsidRDefault="00802EE6" w:rsidP="00613E51">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op.cit., pp.20-21. </w:t>
      </w:r>
    </w:p>
  </w:footnote>
  <w:footnote w:id="225">
    <w:p w14:paraId="1E20BBF4" w14:textId="6F149C6F"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Validation Guide, op.cit., p.11. </w:t>
      </w:r>
    </w:p>
  </w:footnote>
  <w:footnote w:id="226">
    <w:p w14:paraId="6393C012" w14:textId="08BD57D4"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E.g. Income tax, business receipt tax, withholding on salary, withholding tax on rent and withholding tax on contract. </w:t>
      </w:r>
    </w:p>
  </w:footnote>
  <w:footnote w:id="227">
    <w:p w14:paraId="60BF1B01" w14:textId="018B9416" w:rsidR="00802EE6" w:rsidRPr="00B265A7" w:rsidRDefault="00802EE6" w:rsidP="00520574">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Ministry of Mines and Petroleum (April 2011), op.cit., pp.11-12. And USAID (November 2016), op.cit., p.11.</w:t>
      </w:r>
    </w:p>
  </w:footnote>
  <w:footnote w:id="228">
    <w:p w14:paraId="0218A0FB" w14:textId="41810DF4" w:rsidR="00802EE6" w:rsidRPr="00B265A7" w:rsidRDefault="00802EE6" w:rsidP="005B228C">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Ministry of Mines and Petroleum (June 2016), op.cit., pp.21,100-101. </w:t>
      </w:r>
    </w:p>
  </w:footnote>
  <w:footnote w:id="229">
    <w:p w14:paraId="1C7B8EDC" w14:textId="0BC93504" w:rsidR="00802EE6" w:rsidRPr="00B265A7" w:rsidRDefault="00802EE6">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Integrity Watch Afghanistan (May 2017), ‘Afghan government “unable to provide basic management of mining revenues,” says civil society’, accessed </w:t>
      </w:r>
      <w:hyperlink r:id="rId128"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230">
    <w:p w14:paraId="7CE4F130" w14:textId="618A0184" w:rsidR="00802EE6" w:rsidRPr="00B265A7" w:rsidRDefault="00802EE6" w:rsidP="00997C37">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Ministry of Mines and Petroleum (April 2011), op.cit., p.11. </w:t>
      </w:r>
    </w:p>
  </w:footnote>
  <w:footnote w:id="231">
    <w:p w14:paraId="055B40A0" w14:textId="77777777" w:rsidR="00802EE6" w:rsidRPr="00B265A7" w:rsidRDefault="00802EE6" w:rsidP="00A87973">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op.cit., p.20. </w:t>
      </w:r>
    </w:p>
  </w:footnote>
  <w:footnote w:id="232">
    <w:p w14:paraId="5E92653F" w14:textId="05905D16" w:rsidR="00802EE6" w:rsidRPr="00B265A7" w:rsidRDefault="00802EE6" w:rsidP="00A87973">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EITI International Secretariat (March 2015), op.cit., pp.8,10. </w:t>
      </w:r>
    </w:p>
  </w:footnote>
  <w:footnote w:id="233">
    <w:p w14:paraId="41946316" w14:textId="7489D62A"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CSO coalition (April 2017), ‘CSO Comments on the 5</w:t>
      </w:r>
      <w:r w:rsidRPr="00B265A7">
        <w:rPr>
          <w:rFonts w:ascii="Calibri Light" w:hAnsi="Calibri Light" w:cs="Calibri Light"/>
          <w:sz w:val="16"/>
          <w:szCs w:val="16"/>
          <w:vertAlign w:val="superscript"/>
        </w:rPr>
        <w:t>th</w:t>
      </w:r>
      <w:r w:rsidRPr="00B265A7">
        <w:rPr>
          <w:rFonts w:ascii="Calibri Light" w:hAnsi="Calibri Light" w:cs="Calibri Light"/>
          <w:sz w:val="16"/>
          <w:szCs w:val="16"/>
        </w:rPr>
        <w:t xml:space="preserve"> AEITI Report’, accessed </w:t>
      </w:r>
      <w:hyperlink r:id="rId129"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December 2017, p.1. </w:t>
      </w:r>
    </w:p>
  </w:footnote>
  <w:footnote w:id="234">
    <w:p w14:paraId="046F85F8" w14:textId="44ED99E9" w:rsidR="00802EE6" w:rsidRPr="00B265A7" w:rsidRDefault="00802EE6" w:rsidP="00130D15">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Global Witness (September 2015), op.cit., pp.1-2. Integrity Watch Afghanistan and Global Witness (September 2015), op.cit., p.2.</w:t>
      </w:r>
    </w:p>
  </w:footnote>
  <w:footnote w:id="235">
    <w:p w14:paraId="47883BAA" w14:textId="627419B3" w:rsidR="00802EE6" w:rsidRPr="00B265A7" w:rsidRDefault="00802EE6">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EITI Board (March 2017), ‘The Board decided that Afghanistan is eligible for an extension and the reporting deadline is extended to 1 May 2017’, accessed </w:t>
      </w:r>
      <w:hyperlink r:id="rId130"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December 2017. </w:t>
      </w:r>
    </w:p>
  </w:footnote>
  <w:footnote w:id="236">
    <w:p w14:paraId="2BFE5B65" w14:textId="65AC6CB7"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2012 coincided with the change in the fiscal year to 22 December – 21 December to more closely align with the Gregorian calendar year.</w:t>
      </w:r>
    </w:p>
  </w:footnote>
  <w:footnote w:id="237">
    <w:p w14:paraId="088710D5" w14:textId="759AD2C3"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See Afghanistan EITI Reports on the EITI website </w:t>
      </w:r>
      <w:hyperlink r:id="rId131"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and on the AEITI website </w:t>
      </w:r>
      <w:hyperlink r:id="rId132"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accessed in December 2017. </w:t>
      </w:r>
    </w:p>
  </w:footnote>
  <w:footnote w:id="238">
    <w:p w14:paraId="6F6ACF47" w14:textId="4491DF02" w:rsidR="00802EE6" w:rsidRPr="00B265A7" w:rsidRDefault="00802EE6" w:rsidP="00CD3B65">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op.cit., p.7. </w:t>
      </w:r>
    </w:p>
  </w:footnote>
  <w:footnote w:id="239">
    <w:p w14:paraId="719AEF56" w14:textId="38C882A9"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 EITI (May 2016), ‘Minutes of the MSG meeting, 24 May 2016’, accessed </w:t>
      </w:r>
      <w:hyperlink r:id="rId133"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December 2017. </w:t>
      </w:r>
    </w:p>
  </w:footnote>
  <w:footnote w:id="240">
    <w:p w14:paraId="1FBF2D7B" w14:textId="6F5AE345"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 EITI (February 2016), ‘Afghanistan Fourth EITI Report 1391 and 1392 (2012 and 2013) - Appendices’, accessed </w:t>
      </w:r>
      <w:hyperlink r:id="rId134"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December 2017, p.14.</w:t>
      </w:r>
    </w:p>
  </w:footnote>
  <w:footnote w:id="241">
    <w:p w14:paraId="4374C999" w14:textId="3DBD1586" w:rsidR="00802EE6" w:rsidRPr="00B265A7" w:rsidRDefault="00802EE6">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 EITI (January 2016), ‘Request for expressions of interest for Inception Report &amp; Fifth (5th ) EITI Reconciliation Report of Afghanistan Extractive Industries Transparency Initiative (AEITI)’, accessed </w:t>
      </w:r>
      <w:hyperlink r:id="rId135"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242">
    <w:p w14:paraId="5FC31A04" w14:textId="5A42822C"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See Afghanistan EITI (May 2016), ‘ToR for the IA, 2014-15 EITI Report’, p.13. Provided in appendix 1 of the 2014-15 EITI Report (a/p.15). </w:t>
      </w:r>
    </w:p>
  </w:footnote>
  <w:footnote w:id="243">
    <w:p w14:paraId="4162E029" w14:textId="1AB86B4E"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 EITI (January 2017), ‘Minutes of the MSG meeting, 23 January 2017’, accessed </w:t>
      </w:r>
      <w:hyperlink r:id="rId136"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December 2017.</w:t>
      </w:r>
    </w:p>
  </w:footnote>
  <w:footnote w:id="244">
    <w:p w14:paraId="1E4F3B5A" w14:textId="46C085E8"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Only the largest companies, defined as oil and gas companies and MCC-Aynak, were requested to provide copies of their audited financial statements. </w:t>
      </w:r>
    </w:p>
  </w:footnote>
  <w:footnote w:id="245">
    <w:p w14:paraId="7BEE848E" w14:textId="60395332"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EITI Website Afghanistan country page, accessed </w:t>
      </w:r>
      <w:hyperlink r:id="rId137"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w:t>
      </w:r>
    </w:p>
  </w:footnote>
  <w:footnote w:id="246">
    <w:p w14:paraId="76367530" w14:textId="22FEAABB"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 EITI (AEITI) Website, accessed </w:t>
      </w:r>
      <w:hyperlink r:id="rId138"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w:t>
      </w:r>
    </w:p>
  </w:footnote>
  <w:footnote w:id="247">
    <w:p w14:paraId="147D2534" w14:textId="3A7107E8"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e.g. improving government record-keeping; restructuring of MOF and MOMP; capacity building of SAO; auditing practices for PSC contractors and broader auditing standards; ASM.</w:t>
      </w:r>
    </w:p>
  </w:footnote>
  <w:footnote w:id="248">
    <w:p w14:paraId="0A70683E" w14:textId="17A080FE" w:rsidR="00802EE6" w:rsidRPr="00B265A7" w:rsidRDefault="00802EE6" w:rsidP="009C3EF0">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op.cit., p.13. </w:t>
      </w:r>
    </w:p>
  </w:footnote>
  <w:footnote w:id="249">
    <w:p w14:paraId="58C61BC6" w14:textId="20299768" w:rsidR="00802EE6" w:rsidRPr="00B265A7" w:rsidRDefault="00802EE6" w:rsidP="00F413EA">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EITI International Secretariat (March 2015), ‘Secretariat review: Afghanistan’, op.cit., p.7. </w:t>
      </w:r>
    </w:p>
  </w:footnote>
  <w:footnote w:id="250">
    <w:p w14:paraId="3A3E7884" w14:textId="48A003C1" w:rsidR="00802EE6" w:rsidRPr="00B265A7" w:rsidRDefault="00802EE6" w:rsidP="00981DC7">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op.cit., p.13. </w:t>
      </w:r>
    </w:p>
  </w:footnote>
  <w:footnote w:id="251">
    <w:p w14:paraId="621F47AA" w14:textId="77777777" w:rsidR="00802EE6" w:rsidRPr="00B265A7" w:rsidRDefault="00802EE6" w:rsidP="00CE38E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op.cit., p.21.</w:t>
      </w:r>
    </w:p>
  </w:footnote>
  <w:footnote w:id="252">
    <w:p w14:paraId="7F8831FA" w14:textId="77777777" w:rsidR="00802EE6" w:rsidRPr="00B265A7" w:rsidRDefault="00802EE6" w:rsidP="00F2481F">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US Department of State (2014), ‘US 2014 Fiscal Transparency Report’, accessed </w:t>
      </w:r>
      <w:hyperlink r:id="rId139"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w:t>
      </w:r>
    </w:p>
  </w:footnote>
  <w:footnote w:id="253">
    <w:p w14:paraId="0CBE013B" w14:textId="291D2F15" w:rsidR="00802EE6" w:rsidRPr="00B265A7" w:rsidRDefault="00802EE6" w:rsidP="00981DC7">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op.cit., p.20. </w:t>
      </w:r>
    </w:p>
  </w:footnote>
  <w:footnote w:id="254">
    <w:p w14:paraId="6754E695" w14:textId="16D5D37A"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op.cit., p.20. </w:t>
      </w:r>
    </w:p>
  </w:footnote>
  <w:footnote w:id="255">
    <w:p w14:paraId="774503AC" w14:textId="77777777" w:rsidR="00802EE6" w:rsidRPr="00B265A7" w:rsidRDefault="00802EE6" w:rsidP="006D07F5">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op.cit., pp.4,17,18-19.</w:t>
      </w:r>
    </w:p>
  </w:footnote>
  <w:footnote w:id="256">
    <w:p w14:paraId="24B51533" w14:textId="77777777" w:rsidR="00802EE6" w:rsidRPr="00B265A7" w:rsidRDefault="00802EE6" w:rsidP="006D07F5">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IMF, Country Report No. 16/252 The Islamic Republic of Afghanistan Request for a Three-Year Arrangement under the Extended Credit Facility, July 2016, article 22 and article 24. Cited in Democracy International (May 2017), op.cit., p.5.</w:t>
      </w:r>
    </w:p>
  </w:footnote>
  <w:footnote w:id="257">
    <w:p w14:paraId="674AD48C" w14:textId="77777777" w:rsidR="00802EE6" w:rsidRPr="00B265A7" w:rsidRDefault="00802EE6" w:rsidP="007864A2">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op.cit., p.20. </w:t>
      </w:r>
    </w:p>
  </w:footnote>
  <w:footnote w:id="258">
    <w:p w14:paraId="6BA727BC" w14:textId="29F560A8" w:rsidR="00802EE6" w:rsidRPr="00B265A7" w:rsidRDefault="00802EE6" w:rsidP="007864A2">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Ministry of Mines and Petroleum (June 2016), op.cit., pp.19,20. And USAID (November 2016), op.cit., pp.15-16.</w:t>
      </w:r>
    </w:p>
  </w:footnote>
  <w:footnote w:id="259">
    <w:p w14:paraId="021E02AA" w14:textId="77777777" w:rsidR="00802EE6" w:rsidRPr="00B265A7" w:rsidRDefault="00802EE6" w:rsidP="0089508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Islamic Republic of Afghanistan, Public Finance and Expenditure Management Law, article 7. Cited in Democracy International (May 2017), op.cit., p.19.</w:t>
      </w:r>
    </w:p>
  </w:footnote>
  <w:footnote w:id="260">
    <w:p w14:paraId="15A9061C" w14:textId="66C4C880"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Directorate of Budget - Ministry of Finance website accessed </w:t>
      </w:r>
      <w:hyperlink r:id="rId140"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December 2017. </w:t>
      </w:r>
    </w:p>
  </w:footnote>
  <w:footnote w:id="261">
    <w:p w14:paraId="1C746939" w14:textId="0809E211" w:rsidR="00802EE6" w:rsidRPr="00B265A7" w:rsidRDefault="00802EE6" w:rsidP="00EF4D0E">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Global Witness (September 2015), op.cit., p.2; Samuel Hall (November 2015), op.cit., p.52; and Democracy International (May 2017), op.cit., p.19.</w:t>
      </w:r>
    </w:p>
  </w:footnote>
  <w:footnote w:id="262">
    <w:p w14:paraId="2A34E38A" w14:textId="77777777" w:rsidR="00802EE6" w:rsidRPr="00B265A7" w:rsidRDefault="00802EE6" w:rsidP="002E39F5">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Islamic Republic of Afghanistan, Public Finance and Expenditure Management Law, article 7. Cited in Democracy International (May 2017), op.cit., p.19.</w:t>
      </w:r>
    </w:p>
  </w:footnote>
  <w:footnote w:id="263">
    <w:p w14:paraId="7E49821D" w14:textId="240FB55F" w:rsidR="00802EE6" w:rsidRPr="00B265A7" w:rsidRDefault="00802EE6" w:rsidP="0089508B">
      <w:pPr>
        <w:pStyle w:val="FootnoteText"/>
        <w:rPr>
          <w:rFonts w:ascii="Calibri Light" w:hAnsi="Calibri Light" w:cs="Calibri Light"/>
          <w:sz w:val="16"/>
          <w:szCs w:val="16"/>
          <w:highlight w:val="yellow"/>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The World Bank (January 2016), Project Paper on a Proposed Afghanistan Reconstruction Trust Fund Additional Financing in the Amount of US $41.125 million Equivalent to the Islamic Republic of Afghanistan for a Second Public Financial Management Reform Project, accessed </w:t>
      </w:r>
      <w:hyperlink r:id="rId141"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w:t>
      </w:r>
    </w:p>
  </w:footnote>
  <w:footnote w:id="264">
    <w:p w14:paraId="45BA7986" w14:textId="77777777" w:rsidR="00802EE6" w:rsidRPr="00B265A7" w:rsidRDefault="00802EE6" w:rsidP="0089508B">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World Bank (August 2013), ‘Afghanistan: Public Financial Management and Accountability Assessment’, accessed </w:t>
      </w:r>
      <w:hyperlink r:id="rId142"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p.35.</w:t>
      </w:r>
    </w:p>
  </w:footnote>
  <w:footnote w:id="265">
    <w:p w14:paraId="1C5BF926" w14:textId="77777777" w:rsidR="00802EE6" w:rsidRPr="00B265A7" w:rsidRDefault="00802EE6" w:rsidP="003E2CA0">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IMF (May 2016), ‘Islamic Republic of Afghanistan: Second review of the staff-monitored program – press release and staff report’, accessed </w:t>
      </w:r>
      <w:hyperlink r:id="rId143"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January 2018, p.15. </w:t>
      </w:r>
    </w:p>
  </w:footnote>
  <w:footnote w:id="266">
    <w:p w14:paraId="6885A36C" w14:textId="77777777" w:rsidR="00802EE6" w:rsidRPr="00B265A7" w:rsidRDefault="00802EE6" w:rsidP="003E2CA0">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op.cit., p.19,25,27. </w:t>
      </w:r>
    </w:p>
  </w:footnote>
  <w:footnote w:id="267">
    <w:p w14:paraId="638212F8" w14:textId="77777777" w:rsidR="00802EE6" w:rsidRPr="00B265A7" w:rsidRDefault="00802EE6" w:rsidP="002E39F5">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(May 2017), op.cit., p.19. </w:t>
      </w:r>
    </w:p>
  </w:footnote>
  <w:footnote w:id="268">
    <w:p w14:paraId="6F2B62EF" w14:textId="18ADDC0D" w:rsidR="00802EE6" w:rsidRPr="00B265A7" w:rsidRDefault="00802EE6" w:rsidP="00934C7D">
      <w:pPr>
        <w:pStyle w:val="FootnoteText"/>
        <w:rPr>
          <w:rFonts w:ascii="Calibri Light" w:hAnsi="Calibri Light" w:cs="Calibri Light"/>
          <w:sz w:val="16"/>
          <w:szCs w:val="16"/>
          <w:lang w:val="nb-NO"/>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lang w:val="nb-NO"/>
        </w:rPr>
        <w:t xml:space="preserve"> Samuel Hall (November 2015), op.cit., p.52. </w:t>
      </w:r>
    </w:p>
  </w:footnote>
  <w:footnote w:id="269">
    <w:p w14:paraId="3D886530" w14:textId="77777777" w:rsidR="00802EE6" w:rsidRPr="00B265A7" w:rsidRDefault="00802EE6" w:rsidP="00572EBC">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EITI International Secretariat (March 2015), ‘Secretariat review: Afghanistan’, op.cit., p.8. </w:t>
      </w:r>
    </w:p>
  </w:footnote>
  <w:footnote w:id="270">
    <w:p w14:paraId="537111FC" w14:textId="7664E3D6" w:rsidR="00802EE6" w:rsidRPr="00B265A7" w:rsidRDefault="00802EE6" w:rsidP="00AF1AA3">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United States Institute of Peace (January 2015), op.cit..  </w:t>
      </w:r>
    </w:p>
  </w:footnote>
  <w:footnote w:id="271">
    <w:p w14:paraId="39421E5C" w14:textId="37C060CC"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AFS 2.3m and AFS 2.1m in revenues in 2014 and 2015, and AFS 2m and AFS 1.8m in profits in the same period reported for Northern Coal Company by ACSO. AFS 0.3m in revenues and AFS 0.1m in profits in both 2014 and 2015 reported for Afghan Gas Enterprise by ACSO (p.52).</w:t>
      </w:r>
    </w:p>
  </w:footnote>
  <w:footnote w:id="272">
    <w:p w14:paraId="1DB8A652" w14:textId="0B5DCA72"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The report reconciles AFS 310.8m in “Other (transferable shares, other)” in 2014 and AFS 1.84bn in “Other receipts” in 2015 from Northern Coal Company to MOF Tax for instance (a/pp.19,47).</w:t>
      </w:r>
    </w:p>
  </w:footnote>
  <w:footnote w:id="273">
    <w:p w14:paraId="72A3A8C2" w14:textId="4AD85D39" w:rsidR="00802EE6" w:rsidRPr="00B265A7" w:rsidRDefault="00802EE6" w:rsidP="008D2B6D">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USAID (November 2016), op.cit., pp.3-4. </w:t>
      </w:r>
    </w:p>
  </w:footnote>
  <w:footnote w:id="274">
    <w:p w14:paraId="642380A3" w14:textId="5CB53A2F" w:rsidR="00802EE6" w:rsidRPr="00B265A7" w:rsidRDefault="00802EE6" w:rsidP="00ED2E87">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Afghanistan’s State-Owned Enterprises Law, op.cit.. </w:t>
      </w:r>
    </w:p>
  </w:footnote>
  <w:footnote w:id="275">
    <w:p w14:paraId="2D540320" w14:textId="2C08BC22" w:rsidR="00802EE6" w:rsidRPr="00B265A7" w:rsidRDefault="00802EE6" w:rsidP="008D2B6D">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USAID (November 2016), op.cit., pp.8-9. </w:t>
      </w:r>
    </w:p>
  </w:footnote>
  <w:footnote w:id="276">
    <w:p w14:paraId="1B4DE775" w14:textId="730119EB" w:rsidR="00802EE6" w:rsidRPr="00B265A7" w:rsidRDefault="00802EE6" w:rsidP="00ED2E87">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Ministry of Mines and Petroleum (April 2011), op.cit., p.18. </w:t>
      </w:r>
    </w:p>
  </w:footnote>
  <w:footnote w:id="277">
    <w:p w14:paraId="59FBB178" w14:textId="2CC23103" w:rsidR="00802EE6" w:rsidRPr="00B265A7" w:rsidRDefault="00802EE6" w:rsidP="00ED2E87">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Ibid.</w:t>
      </w:r>
    </w:p>
  </w:footnote>
  <w:footnote w:id="278">
    <w:p w14:paraId="5C6B0C5E" w14:textId="6C3233B3" w:rsidR="00802EE6" w:rsidRPr="00B265A7" w:rsidRDefault="00802EE6" w:rsidP="00ED2E87">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Ibid.</w:t>
      </w:r>
    </w:p>
  </w:footnote>
  <w:footnote w:id="279">
    <w:p w14:paraId="580F4270" w14:textId="38425D70" w:rsidR="00802EE6" w:rsidRPr="00B265A7" w:rsidRDefault="00802EE6" w:rsidP="00B71458">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Global Witness (June 2016), op.cit.. Link provided in the 2014-15 EITI Report (p.16). </w:t>
      </w:r>
    </w:p>
  </w:footnote>
  <w:footnote w:id="280">
    <w:p w14:paraId="4A634D15" w14:textId="3A54184D"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 EITI (February 2016), ‘Afghanistan Fourth EITI Report 1391 and 1392 (2012 and 2013) - Appendices’, op.cit., pp.227-246. </w:t>
      </w:r>
    </w:p>
  </w:footnote>
  <w:footnote w:id="281">
    <w:p w14:paraId="07579F86" w14:textId="09C224BC"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t>
      </w:r>
      <w:hyperlink r:id="rId144" w:history="1">
        <w:r w:rsidRPr="00B265A7">
          <w:rPr>
            <w:rStyle w:val="Hyperlink"/>
            <w:rFonts w:ascii="Calibri Light" w:hAnsi="Calibri Light" w:cs="Calibri Light"/>
            <w:sz w:val="16"/>
            <w:szCs w:val="16"/>
          </w:rPr>
          <w:t>http://aeiti.af/Content/Media/Documents/AEITI4thReportinInfographics(English)24201722534338553325325.pdf</w:t>
        </w:r>
      </w:hyperlink>
      <w:r w:rsidRPr="00B265A7">
        <w:rPr>
          <w:rFonts w:ascii="Calibri Light" w:hAnsi="Calibri Light" w:cs="Calibri Light"/>
          <w:sz w:val="16"/>
          <w:szCs w:val="16"/>
        </w:rPr>
        <w:t xml:space="preserve">. </w:t>
      </w:r>
    </w:p>
  </w:footnote>
  <w:footnote w:id="282">
    <w:p w14:paraId="593E6A80" w14:textId="69A8B49E"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 EITI (no date), ‘Summary Reports’, accessed on </w:t>
      </w:r>
      <w:hyperlink r:id="rId145" w:history="1">
        <w:r w:rsidRPr="00B265A7">
          <w:rPr>
            <w:rStyle w:val="Hyperlink"/>
            <w:rFonts w:ascii="Calibri Light" w:hAnsi="Calibri Light" w:cs="Calibri Light"/>
            <w:sz w:val="16"/>
            <w:szCs w:val="16"/>
          </w:rPr>
          <w:t>http://aeiti.af/en/documents/category/summary-reports</w:t>
        </w:r>
      </w:hyperlink>
      <w:r w:rsidRPr="00B265A7">
        <w:rPr>
          <w:rFonts w:ascii="Calibri Light" w:hAnsi="Calibri Light" w:cs="Calibri Light"/>
          <w:sz w:val="16"/>
          <w:szCs w:val="16"/>
        </w:rPr>
        <w:t xml:space="preserve"> in April 2018.</w:t>
      </w:r>
    </w:p>
  </w:footnote>
  <w:footnote w:id="283">
    <w:p w14:paraId="00610AE6" w14:textId="758F719D" w:rsidR="00802EE6" w:rsidRPr="00B265A7" w:rsidRDefault="00802EE6" w:rsidP="00040B42">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 EITI (no date), ‘AEITI Documents’, accessed on </w:t>
      </w:r>
      <w:hyperlink r:id="rId146" w:history="1">
        <w:r w:rsidRPr="00B265A7">
          <w:rPr>
            <w:rStyle w:val="Hyperlink"/>
            <w:rFonts w:ascii="Calibri Light" w:hAnsi="Calibri Light" w:cs="Calibri Light"/>
            <w:sz w:val="16"/>
            <w:szCs w:val="16"/>
          </w:rPr>
          <w:t>http://aeiti.af/en/documents/category/aeiti-docs?page=1</w:t>
        </w:r>
      </w:hyperlink>
      <w:r w:rsidRPr="00B265A7">
        <w:rPr>
          <w:rFonts w:ascii="Calibri Light" w:hAnsi="Calibri Light" w:cs="Calibri Light"/>
          <w:sz w:val="16"/>
          <w:szCs w:val="16"/>
        </w:rPr>
        <w:t xml:space="preserve"> in April 2018.</w:t>
      </w:r>
    </w:p>
  </w:footnote>
  <w:footnote w:id="284">
    <w:p w14:paraId="1E28BFD2" w14:textId="48C96C64" w:rsidR="00802EE6" w:rsidRPr="00B265A7" w:rsidRDefault="00802EE6" w:rsidP="00FE4F1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CSO coalition (2017), Op.cit., p.3</w:t>
      </w:r>
    </w:p>
  </w:footnote>
  <w:footnote w:id="285">
    <w:p w14:paraId="21406112" w14:textId="749C2A9E" w:rsidR="00802EE6" w:rsidRPr="00B265A7" w:rsidRDefault="00802EE6" w:rsidP="00FE4F1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 EITI (August 2017), ‘Debate on AEITI’s 5</w:t>
      </w:r>
      <w:r w:rsidRPr="00B265A7">
        <w:rPr>
          <w:rFonts w:ascii="Calibri Light" w:hAnsi="Calibri Light" w:cs="Calibri Light"/>
          <w:sz w:val="16"/>
          <w:szCs w:val="16"/>
          <w:vertAlign w:val="superscript"/>
        </w:rPr>
        <w:t>th</w:t>
      </w:r>
      <w:r w:rsidRPr="00B265A7">
        <w:rPr>
          <w:rFonts w:ascii="Calibri Light" w:hAnsi="Calibri Light" w:cs="Calibri Light"/>
          <w:sz w:val="16"/>
          <w:szCs w:val="16"/>
        </w:rPr>
        <w:t xml:space="preserve"> Reconciliation Report in Kandahar Province’, accessed on </w:t>
      </w:r>
      <w:hyperlink r:id="rId147" w:history="1">
        <w:r w:rsidRPr="00B265A7">
          <w:rPr>
            <w:rStyle w:val="Hyperlink"/>
            <w:rFonts w:ascii="Calibri Light" w:hAnsi="Calibri Light" w:cs="Calibri Light"/>
            <w:sz w:val="16"/>
            <w:szCs w:val="16"/>
          </w:rPr>
          <w:t>http://aeiti.af/en/news/aeitis-5th-reconciliation-report-was-shared-with-government-officials-and-civil-society-members-in-kandahar-province</w:t>
        </w:r>
      </w:hyperlink>
      <w:r w:rsidRPr="00B265A7">
        <w:rPr>
          <w:rFonts w:ascii="Calibri Light" w:hAnsi="Calibri Light" w:cs="Calibri Light"/>
          <w:sz w:val="16"/>
          <w:szCs w:val="16"/>
        </w:rPr>
        <w:t xml:space="preserve"> in April 2018.</w:t>
      </w:r>
    </w:p>
  </w:footnote>
  <w:footnote w:id="286">
    <w:p w14:paraId="3DD8A08B" w14:textId="052EF72A" w:rsidR="00802EE6" w:rsidRPr="00B265A7" w:rsidRDefault="00802EE6" w:rsidP="00FE4F1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 EITI (October 2017), ‘The details of the 5th report was shared with members of CSOs, private sector and publics in Herat’, accessed on  </w:t>
      </w:r>
      <w:hyperlink r:id="rId148" w:history="1">
        <w:r w:rsidRPr="00B265A7">
          <w:rPr>
            <w:rStyle w:val="Hyperlink"/>
            <w:rFonts w:ascii="Calibri Light" w:hAnsi="Calibri Light" w:cs="Calibri Light"/>
            <w:sz w:val="16"/>
            <w:szCs w:val="16"/>
          </w:rPr>
          <w:t>http://aeiti.af/en/news/the-5th-report-was-shared-with-members-of-csos-private-sectore-and-publics</w:t>
        </w:r>
      </w:hyperlink>
      <w:r w:rsidRPr="00B265A7">
        <w:rPr>
          <w:rFonts w:ascii="Calibri Light" w:hAnsi="Calibri Light" w:cs="Calibri Light"/>
          <w:sz w:val="16"/>
          <w:szCs w:val="16"/>
        </w:rPr>
        <w:t xml:space="preserve"> in April 2018.</w:t>
      </w:r>
    </w:p>
  </w:footnote>
  <w:footnote w:id="287">
    <w:p w14:paraId="7520012C" w14:textId="7B16652D"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AEITI (2016) Annual progress report, p.9.</w:t>
      </w:r>
    </w:p>
  </w:footnote>
  <w:footnote w:id="288">
    <w:p w14:paraId="3A93C665" w14:textId="36E97948" w:rsidR="00802EE6" w:rsidRPr="00B265A7" w:rsidRDefault="00802EE6" w:rsidP="00FE4F1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German Cooperation with Afghanistan (2017), ‘Towards Full Membership: Afghanistan Extractive Industries Transparency Initiative (AEITI)’, accessed on </w:t>
      </w:r>
      <w:hyperlink r:id="rId149" w:history="1">
        <w:r w:rsidRPr="00B265A7">
          <w:rPr>
            <w:rStyle w:val="Hyperlink"/>
            <w:rFonts w:ascii="Calibri Light" w:hAnsi="Calibri Light" w:cs="Calibri Light"/>
            <w:sz w:val="16"/>
            <w:szCs w:val="16"/>
          </w:rPr>
          <w:t>http://www.ez-afghanistan.de/en/news/towards-full-membership-afghanistan-extractive-industries-transparency-initiative-aeiti</w:t>
        </w:r>
      </w:hyperlink>
      <w:r w:rsidRPr="00B265A7">
        <w:rPr>
          <w:rFonts w:ascii="Calibri Light" w:hAnsi="Calibri Light" w:cs="Calibri Light"/>
          <w:sz w:val="16"/>
          <w:szCs w:val="16"/>
        </w:rPr>
        <w:t xml:space="preserve"> in April 2018.</w:t>
      </w:r>
    </w:p>
  </w:footnote>
  <w:footnote w:id="289">
    <w:p w14:paraId="23FEECD4" w14:textId="009D4B3F" w:rsidR="00802EE6" w:rsidRPr="00B265A7" w:rsidRDefault="00802EE6" w:rsidP="00865CA0">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 EITI (February 2014), ‘Brief report on AEITI workshop delivered in preparations for the 3rd Reconciliation Report with Extractive Industries Sector’ </w:t>
      </w:r>
      <w:hyperlink r:id="rId150" w:history="1">
        <w:r w:rsidRPr="00B265A7">
          <w:rPr>
            <w:rStyle w:val="Hyperlink"/>
            <w:rFonts w:ascii="Calibri Light" w:hAnsi="Calibri Light" w:cs="Calibri Light"/>
            <w:sz w:val="16"/>
            <w:szCs w:val="16"/>
          </w:rPr>
          <w:t>http://aeiti.af/Content/Media/Documents/WorkshopforExtractiveIndustries2014192201724621107553325325.pdf</w:t>
        </w:r>
      </w:hyperlink>
      <w:r w:rsidRPr="00B265A7">
        <w:rPr>
          <w:rFonts w:ascii="Calibri Light" w:hAnsi="Calibri Light" w:cs="Calibri Light"/>
          <w:sz w:val="16"/>
          <w:szCs w:val="16"/>
        </w:rPr>
        <w:t xml:space="preserve"> in April 2018. </w:t>
      </w:r>
    </w:p>
  </w:footnote>
  <w:footnote w:id="290">
    <w:p w14:paraId="36C020E2" w14:textId="77777777" w:rsidR="00802EE6" w:rsidRPr="00B265A7" w:rsidRDefault="00802EE6" w:rsidP="00865CA0">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 EITI (2014), ‘AEITI Communications Department’s Workshop for MoMP and MoF</w:t>
      </w:r>
    </w:p>
    <w:p w14:paraId="562348DD" w14:textId="4FD754CE" w:rsidR="00802EE6" w:rsidRPr="00B265A7" w:rsidRDefault="00802EE6" w:rsidP="00865CA0">
      <w:pPr>
        <w:pStyle w:val="FootnoteText"/>
        <w:rPr>
          <w:rFonts w:ascii="Calibri Light" w:hAnsi="Calibri Light" w:cs="Calibri Light"/>
          <w:sz w:val="16"/>
          <w:szCs w:val="16"/>
        </w:rPr>
      </w:pPr>
      <w:r w:rsidRPr="00B265A7">
        <w:rPr>
          <w:rFonts w:ascii="Calibri Light" w:hAnsi="Calibri Light" w:cs="Calibri Light"/>
          <w:sz w:val="16"/>
          <w:szCs w:val="16"/>
        </w:rPr>
        <w:t xml:space="preserve">Officials’, accessed on </w:t>
      </w:r>
      <w:hyperlink r:id="rId151" w:history="1">
        <w:r w:rsidRPr="00B265A7">
          <w:rPr>
            <w:rStyle w:val="Hyperlink"/>
            <w:rFonts w:ascii="Calibri Light" w:hAnsi="Calibri Light" w:cs="Calibri Light"/>
            <w:sz w:val="16"/>
            <w:szCs w:val="16"/>
          </w:rPr>
          <w:t>http://aeiti.af/Content/Media/Documents/ReportonMoMPandMoFTraining,August2014192201724528368553325325.pdf</w:t>
        </w:r>
      </w:hyperlink>
      <w:r w:rsidRPr="00B265A7">
        <w:rPr>
          <w:rFonts w:ascii="Calibri Light" w:hAnsi="Calibri Light" w:cs="Calibri Light"/>
          <w:sz w:val="16"/>
          <w:szCs w:val="16"/>
        </w:rPr>
        <w:t xml:space="preserve"> in April 2018.</w:t>
      </w:r>
    </w:p>
  </w:footnote>
  <w:footnote w:id="291">
    <w:p w14:paraId="0E2216CB" w14:textId="6C745C06"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 EITI (no date), ‘ Provincial and Outreach Reports’, accessed on </w:t>
      </w:r>
      <w:hyperlink r:id="rId152" w:history="1">
        <w:r w:rsidRPr="00B265A7">
          <w:rPr>
            <w:rStyle w:val="Hyperlink"/>
            <w:rFonts w:ascii="Calibri Light" w:hAnsi="Calibri Light" w:cs="Calibri Light"/>
            <w:sz w:val="16"/>
            <w:szCs w:val="16"/>
          </w:rPr>
          <w:t>http://aeiti.af/en/documents/category/provincial-and-outreach-reports</w:t>
        </w:r>
      </w:hyperlink>
      <w:r w:rsidRPr="00B265A7">
        <w:rPr>
          <w:rFonts w:ascii="Calibri Light" w:hAnsi="Calibri Light" w:cs="Calibri Light"/>
          <w:sz w:val="16"/>
          <w:szCs w:val="16"/>
        </w:rPr>
        <w:t xml:space="preserve"> in April 2018.</w:t>
      </w:r>
    </w:p>
  </w:footnote>
  <w:footnote w:id="292">
    <w:p w14:paraId="74CCF3A2" w14:textId="419919FA"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See for example </w:t>
      </w:r>
      <w:hyperlink r:id="rId153" w:history="1">
        <w:r w:rsidRPr="00B265A7">
          <w:rPr>
            <w:rStyle w:val="Hyperlink"/>
            <w:rFonts w:ascii="Calibri Light" w:hAnsi="Calibri Light" w:cs="Calibri Light"/>
            <w:sz w:val="16"/>
            <w:szCs w:val="16"/>
          </w:rPr>
          <w:t>http://mof.gov.af/en/news/afghanistan-releases-third-eiti-reconciliation-report</w:t>
        </w:r>
      </w:hyperlink>
      <w:r w:rsidRPr="00B265A7">
        <w:rPr>
          <w:rFonts w:ascii="Calibri Light" w:hAnsi="Calibri Light" w:cs="Calibri Light"/>
          <w:sz w:val="16"/>
          <w:szCs w:val="16"/>
        </w:rPr>
        <w:t xml:space="preserve">. </w:t>
      </w:r>
    </w:p>
  </w:footnote>
  <w:footnote w:id="293">
    <w:p w14:paraId="05C689C0" w14:textId="498B023B"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See </w:t>
      </w:r>
      <w:hyperlink r:id="rId154" w:history="1">
        <w:r w:rsidRPr="00B265A7">
          <w:rPr>
            <w:rStyle w:val="Hyperlink"/>
            <w:rFonts w:ascii="Calibri Light" w:hAnsi="Calibri Light" w:cs="Calibri Light"/>
            <w:sz w:val="16"/>
            <w:szCs w:val="16"/>
          </w:rPr>
          <w:t>http://aeiti.af/en/news</w:t>
        </w:r>
      </w:hyperlink>
      <w:r w:rsidRPr="00B265A7">
        <w:rPr>
          <w:rFonts w:ascii="Calibri Light" w:hAnsi="Calibri Light" w:cs="Calibri Light"/>
          <w:sz w:val="16"/>
          <w:szCs w:val="16"/>
        </w:rPr>
        <w:t>. In total there were 18 news items published on AEITI’s website in 2017.</w:t>
      </w:r>
    </w:p>
  </w:footnote>
  <w:footnote w:id="294">
    <w:p w14:paraId="70E92EDE" w14:textId="6E6C982F" w:rsidR="00802EE6" w:rsidRPr="00B265A7" w:rsidRDefault="00802EE6" w:rsidP="00EC73CE">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Afghanistan EITI (no date), ‘Video’, accessed on </w:t>
      </w:r>
      <w:hyperlink r:id="rId155" w:history="1">
        <w:r w:rsidRPr="00B265A7">
          <w:rPr>
            <w:rStyle w:val="Hyperlink"/>
            <w:rFonts w:ascii="Calibri Light" w:hAnsi="Calibri Light" w:cs="Calibri Light"/>
            <w:sz w:val="16"/>
            <w:szCs w:val="16"/>
          </w:rPr>
          <w:t>http://aeiti.af/en/video</w:t>
        </w:r>
      </w:hyperlink>
      <w:r w:rsidRPr="00B265A7">
        <w:rPr>
          <w:rFonts w:ascii="Calibri Light" w:hAnsi="Calibri Light" w:cs="Calibri Light"/>
          <w:sz w:val="16"/>
          <w:szCs w:val="16"/>
        </w:rPr>
        <w:t xml:space="preserve"> in April 2018.</w:t>
      </w:r>
    </w:p>
  </w:footnote>
  <w:footnote w:id="295">
    <w:p w14:paraId="1F699F20" w14:textId="05B5C547"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See for example </w:t>
      </w:r>
      <w:hyperlink r:id="rId156" w:history="1">
        <w:r w:rsidRPr="00B265A7">
          <w:rPr>
            <w:rStyle w:val="Hyperlink"/>
            <w:rFonts w:ascii="Calibri Light" w:hAnsi="Calibri Light" w:cs="Calibri Light"/>
            <w:sz w:val="16"/>
            <w:szCs w:val="16"/>
          </w:rPr>
          <w:t>https://www.pajhwok.com/en/2017/05/13/afghanistan-extractive-industries-transparency-initiative-aeiti-pre-assessment-kabul</w:t>
        </w:r>
      </w:hyperlink>
      <w:r w:rsidRPr="00B265A7">
        <w:rPr>
          <w:rFonts w:ascii="Calibri Light" w:hAnsi="Calibri Light" w:cs="Calibri Light"/>
          <w:sz w:val="16"/>
          <w:szCs w:val="16"/>
        </w:rPr>
        <w:t>.</w:t>
      </w:r>
    </w:p>
  </w:footnote>
  <w:footnote w:id="296">
    <w:p w14:paraId="20F7CAC8" w14:textId="565FBD12"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t>
      </w:r>
      <w:bookmarkStart w:id="587" w:name="_Hlk512076166"/>
      <w:r w:rsidRPr="00B265A7">
        <w:rPr>
          <w:rFonts w:ascii="Calibri Light" w:hAnsi="Calibri Light" w:cs="Calibri Light"/>
          <w:sz w:val="16"/>
          <w:szCs w:val="16"/>
        </w:rPr>
        <w:t xml:space="preserve">Mining Watch Afghanistan (no date), ‘Contribution to AEITI’, accessed on </w:t>
      </w:r>
      <w:hyperlink r:id="rId157" w:history="1">
        <w:r w:rsidRPr="00B265A7">
          <w:rPr>
            <w:rStyle w:val="Hyperlink"/>
            <w:rFonts w:ascii="Calibri Light" w:hAnsi="Calibri Light" w:cs="Calibri Light"/>
            <w:sz w:val="16"/>
            <w:szCs w:val="16"/>
          </w:rPr>
          <w:t>http://miningwatch.af/?page_id=347</w:t>
        </w:r>
      </w:hyperlink>
      <w:r w:rsidRPr="00B265A7">
        <w:rPr>
          <w:rFonts w:ascii="Calibri Light" w:hAnsi="Calibri Light" w:cs="Calibri Light"/>
          <w:sz w:val="16"/>
          <w:szCs w:val="16"/>
        </w:rPr>
        <w:t xml:space="preserve"> in April 2018.</w:t>
      </w:r>
      <w:bookmarkEnd w:id="587"/>
    </w:p>
  </w:footnote>
  <w:footnote w:id="297">
    <w:p w14:paraId="748906AE" w14:textId="3DA55A7D"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t>
      </w:r>
      <w:bookmarkStart w:id="588" w:name="_Hlk512076447"/>
      <w:r w:rsidRPr="00B265A7">
        <w:rPr>
          <w:rFonts w:ascii="Calibri Light" w:hAnsi="Calibri Light" w:cs="Calibri Light"/>
          <w:sz w:val="16"/>
          <w:szCs w:val="16"/>
        </w:rPr>
        <w:t xml:space="preserve">AEITI (2017), Open data policy, accessed on </w:t>
      </w:r>
      <w:hyperlink r:id="rId158" w:history="1">
        <w:r w:rsidRPr="00B265A7">
          <w:rPr>
            <w:rStyle w:val="Hyperlink"/>
            <w:rFonts w:ascii="Calibri Light" w:hAnsi="Calibri Light" w:cs="Calibri Light"/>
            <w:sz w:val="16"/>
            <w:szCs w:val="16"/>
          </w:rPr>
          <w:t>https://eiti.org/document/afghanistan-open-data-policy</w:t>
        </w:r>
      </w:hyperlink>
      <w:r w:rsidRPr="00B265A7">
        <w:rPr>
          <w:rFonts w:ascii="Calibri Light" w:hAnsi="Calibri Light" w:cs="Calibri Light"/>
          <w:sz w:val="16"/>
          <w:szCs w:val="16"/>
        </w:rPr>
        <w:t xml:space="preserve"> in April 2018.</w:t>
      </w:r>
      <w:bookmarkEnd w:id="588"/>
    </w:p>
  </w:footnote>
  <w:footnote w:id="298">
    <w:p w14:paraId="69A94F99" w14:textId="55A41100" w:rsidR="00802EE6" w:rsidRPr="00B265A7" w:rsidRDefault="00802EE6" w:rsidP="00040B42">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Ministry of Finance (2016), ‘2016 mid-year performance tracking report’, accessed on </w:t>
      </w:r>
      <w:hyperlink r:id="rId159" w:history="1">
        <w:r w:rsidRPr="00B265A7">
          <w:rPr>
            <w:rStyle w:val="Hyperlink"/>
            <w:rFonts w:ascii="Calibri Light" w:hAnsi="Calibri Light" w:cs="Calibri Light"/>
            <w:sz w:val="16"/>
            <w:szCs w:val="16"/>
          </w:rPr>
          <w:t>http://aeiti.af/Content/Media/Documents/2016Mid-YearPerformanceTrackingReport7620171147779553325325.pdf</w:t>
        </w:r>
      </w:hyperlink>
      <w:r w:rsidRPr="00B265A7">
        <w:rPr>
          <w:rFonts w:ascii="Calibri Light" w:hAnsi="Calibri Light" w:cs="Calibri Light"/>
          <w:sz w:val="16"/>
          <w:szCs w:val="16"/>
        </w:rPr>
        <w:t xml:space="preserve"> in April 2018, p.186.</w:t>
      </w:r>
    </w:p>
  </w:footnote>
  <w:footnote w:id="299">
    <w:p w14:paraId="1F5FA00A" w14:textId="4B65A0F4" w:rsidR="00802EE6" w:rsidRPr="00B265A7" w:rsidRDefault="00802EE6" w:rsidP="00040B42">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Facebook (2017), ‘AEITI’, accessed on </w:t>
      </w:r>
      <w:hyperlink r:id="rId160" w:history="1">
        <w:r w:rsidRPr="00B265A7">
          <w:rPr>
            <w:rStyle w:val="Hyperlink"/>
            <w:rFonts w:ascii="Calibri Light" w:hAnsi="Calibri Light" w:cs="Calibri Light"/>
            <w:sz w:val="16"/>
            <w:szCs w:val="16"/>
          </w:rPr>
          <w:t>https://www.facebook.com/AEITI/</w:t>
        </w:r>
      </w:hyperlink>
      <w:r w:rsidRPr="00B265A7">
        <w:rPr>
          <w:rFonts w:ascii="Calibri Light" w:hAnsi="Calibri Light" w:cs="Calibri Light"/>
          <w:sz w:val="16"/>
          <w:szCs w:val="16"/>
        </w:rPr>
        <w:t xml:space="preserve"> in April 2018.</w:t>
      </w:r>
    </w:p>
  </w:footnote>
  <w:footnote w:id="300">
    <w:p w14:paraId="37E9903F" w14:textId="3CD677BE"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See for example Samuel Hall (2017), p.7.</w:t>
      </w:r>
    </w:p>
  </w:footnote>
  <w:footnote w:id="301">
    <w:p w14:paraId="7705BFA0" w14:textId="77777777" w:rsidR="00802EE6" w:rsidRPr="00B265A7" w:rsidRDefault="00802EE6" w:rsidP="00FE4F1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The strategy was last updated in December 2017 to cover the years 2018 and 2019, available on the </w:t>
      </w:r>
      <w:r w:rsidRPr="00B265A7">
        <w:rPr>
          <w:rFonts w:ascii="Calibri Light" w:hAnsi="Calibri Light" w:cs="Calibri Light"/>
          <w:sz w:val="16"/>
          <w:szCs w:val="16"/>
          <w:lang w:val="en-GB"/>
        </w:rPr>
        <w:t xml:space="preserve">AEITI website here: </w:t>
      </w:r>
      <w:hyperlink r:id="rId161" w:history="1">
        <w:r w:rsidRPr="00B265A7">
          <w:rPr>
            <w:rStyle w:val="Hyperlink"/>
            <w:rFonts w:ascii="Calibri Light" w:hAnsi="Calibri Light" w:cs="Calibri Light"/>
            <w:sz w:val="16"/>
            <w:szCs w:val="16"/>
            <w:lang w:val="en-GB"/>
          </w:rPr>
          <w:t>http://aeiti.af/en/documents/category/aeiti-docs</w:t>
        </w:r>
      </w:hyperlink>
      <w:r w:rsidRPr="00B265A7">
        <w:rPr>
          <w:rFonts w:ascii="Calibri Light" w:hAnsi="Calibri Light" w:cs="Calibri Light"/>
          <w:sz w:val="16"/>
          <w:szCs w:val="16"/>
          <w:lang w:val="en-GB"/>
        </w:rPr>
        <w:t>.</w:t>
      </w:r>
    </w:p>
  </w:footnote>
  <w:footnote w:id="302">
    <w:p w14:paraId="32955CF4" w14:textId="77777777" w:rsidR="00802EE6" w:rsidRPr="00B265A7" w:rsidRDefault="00802EE6" w:rsidP="00FE4F1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t>
      </w:r>
      <w:bookmarkStart w:id="589" w:name="_Hlk512076436"/>
      <w:r w:rsidRPr="00B265A7">
        <w:rPr>
          <w:rFonts w:ascii="Calibri Light" w:hAnsi="Calibri Light" w:cs="Calibri Light"/>
          <w:sz w:val="16"/>
          <w:szCs w:val="16"/>
        </w:rPr>
        <w:t>AEITI (2017), Communications strategy, p.10</w:t>
      </w:r>
      <w:bookmarkEnd w:id="589"/>
    </w:p>
  </w:footnote>
  <w:footnote w:id="303">
    <w:p w14:paraId="271BD1FC" w14:textId="77777777" w:rsidR="00802EE6" w:rsidRPr="00B265A7" w:rsidRDefault="00802EE6" w:rsidP="00FE4F1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Ibid. Specifically the strategy’s objective is to build trust among citizens and the government, increase awareness among stakeholders and the general public in Afghanistan about the importance of AEITI, enable citizens and their representatives to influence the decision-making process, motivate large and medium companies to get involved in the AEITI process; increase the interest to the AEITI implementation process in civil society and the general public, identify the major stakeholders and their roles in EITI implementation in Afghanistan extractive sector; identify and define the relevant various types of messages for the various stake holders; and identify the suitable communication tools and methods for the messages for the stake holders”.</w:t>
      </w:r>
    </w:p>
  </w:footnote>
  <w:footnote w:id="304">
    <w:p w14:paraId="7153861D" w14:textId="3BF3750B" w:rsidR="00802EE6" w:rsidRPr="00B265A7" w:rsidRDefault="00802EE6" w:rsidP="00FE4F1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AEITI (2017), Op cit. pp. 14-15.</w:t>
      </w:r>
    </w:p>
  </w:footnote>
  <w:footnote w:id="305">
    <w:p w14:paraId="2C4CF103" w14:textId="1035F59A" w:rsidR="00802EE6" w:rsidRPr="00B265A7" w:rsidRDefault="00802EE6" w:rsidP="00FE4F1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AEITI (2017), Op cit. p.16.</w:t>
      </w:r>
    </w:p>
  </w:footnote>
  <w:footnote w:id="306">
    <w:p w14:paraId="2E3CD8B1" w14:textId="631567EC"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AEITI (2017), Open data policy, op. cit., p. 5.</w:t>
      </w:r>
    </w:p>
  </w:footnote>
  <w:footnote w:id="307">
    <w:p w14:paraId="21732273" w14:textId="74066B1C"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For example, the </w:t>
      </w:r>
      <w:hyperlink r:id="rId162" w:history="1">
        <w:r w:rsidRPr="00B265A7">
          <w:rPr>
            <w:rStyle w:val="Hyperlink"/>
            <w:rFonts w:ascii="Calibri Light" w:hAnsi="Calibri Light" w:cs="Calibri Light"/>
            <w:sz w:val="16"/>
            <w:szCs w:val="16"/>
          </w:rPr>
          <w:t>summary report corresponding to fiscal years 2012-2013</w:t>
        </w:r>
      </w:hyperlink>
      <w:r w:rsidRPr="00B265A7">
        <w:rPr>
          <w:rFonts w:ascii="Calibri Light" w:hAnsi="Calibri Light" w:cs="Calibri Light"/>
          <w:sz w:val="16"/>
          <w:szCs w:val="16"/>
        </w:rPr>
        <w:t xml:space="preserve"> appears to suggest that there are in fact sub-national payments in Afghanistan but that these were simply not covered by the EITI report (p.15). </w:t>
      </w:r>
    </w:p>
  </w:footnote>
  <w:footnote w:id="308">
    <w:p w14:paraId="509B7C6D" w14:textId="0E203232" w:rsidR="00802EE6" w:rsidRPr="00B265A7" w:rsidRDefault="00802EE6">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lang w:val="en-GB"/>
        </w:rPr>
        <w:t xml:space="preserve"> AEITI (2016), ‘4th Reconciliation Report’, accessed on  </w:t>
      </w:r>
      <w:hyperlink r:id="rId163" w:history="1">
        <w:r w:rsidRPr="00B265A7">
          <w:rPr>
            <w:rStyle w:val="Hyperlink"/>
            <w:rFonts w:ascii="Calibri Light" w:hAnsi="Calibri Light" w:cs="Calibri Light"/>
            <w:sz w:val="16"/>
            <w:szCs w:val="16"/>
            <w:lang w:val="en-GB"/>
          </w:rPr>
          <w:t>http://aeiti.af/Content/Media/Documents/AEITI4thReportinInfographics(English)24201722534338553325325.pdf</w:t>
        </w:r>
      </w:hyperlink>
      <w:r w:rsidRPr="00B265A7">
        <w:rPr>
          <w:rFonts w:ascii="Calibri Light" w:hAnsi="Calibri Light" w:cs="Calibri Light"/>
          <w:sz w:val="16"/>
          <w:szCs w:val="16"/>
          <w:lang w:val="en-GB"/>
        </w:rPr>
        <w:t xml:space="preserve"> in April 2018.</w:t>
      </w:r>
    </w:p>
  </w:footnote>
  <w:footnote w:id="309">
    <w:p w14:paraId="7DC2774B" w14:textId="5E8F58D2" w:rsidR="00802EE6" w:rsidRPr="00B265A7" w:rsidRDefault="00802EE6">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lang w:val="en-GB"/>
        </w:rPr>
        <w:t xml:space="preserve"> AEITI (January 2016), ‘AEITI Reconciliation Report’, accessed on </w:t>
      </w:r>
      <w:hyperlink r:id="rId164" w:history="1">
        <w:r w:rsidRPr="00B265A7">
          <w:rPr>
            <w:rStyle w:val="Hyperlink"/>
            <w:rFonts w:ascii="Calibri Light" w:hAnsi="Calibri Light" w:cs="Calibri Light"/>
            <w:sz w:val="16"/>
            <w:szCs w:val="16"/>
            <w:lang w:val="en-GB"/>
          </w:rPr>
          <w:t>https://www.youtube.com/watch?v=EzRiIvAbByQ&amp;feature=youtu.be</w:t>
        </w:r>
      </w:hyperlink>
      <w:r w:rsidRPr="00B265A7">
        <w:rPr>
          <w:rFonts w:ascii="Calibri Light" w:hAnsi="Calibri Light" w:cs="Calibri Light"/>
          <w:sz w:val="16"/>
          <w:szCs w:val="16"/>
          <w:lang w:val="en-GB"/>
        </w:rPr>
        <w:t xml:space="preserve"> in April 2018: Youtube.</w:t>
      </w:r>
    </w:p>
  </w:footnote>
  <w:footnote w:id="310">
    <w:p w14:paraId="1D33BACE" w14:textId="018CB7DE"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See for example </w:t>
      </w:r>
      <w:hyperlink r:id="rId165" w:history="1">
        <w:r w:rsidRPr="00B265A7">
          <w:rPr>
            <w:rStyle w:val="Hyperlink"/>
            <w:rFonts w:ascii="Calibri Light" w:hAnsi="Calibri Light" w:cs="Calibri Light"/>
            <w:sz w:val="16"/>
            <w:szCs w:val="16"/>
          </w:rPr>
          <w:t>http://aeiti.af/en/news/afghan-parliament-members-discussed-transparency-within-mining-sector-with-international-experts-at-workshop</w:t>
        </w:r>
      </w:hyperlink>
      <w:r w:rsidRPr="00B265A7">
        <w:rPr>
          <w:rFonts w:ascii="Calibri Light" w:hAnsi="Calibri Light" w:cs="Calibri Light"/>
          <w:sz w:val="16"/>
          <w:szCs w:val="16"/>
        </w:rPr>
        <w:t xml:space="preserve">. </w:t>
      </w:r>
    </w:p>
  </w:footnote>
  <w:footnote w:id="311">
    <w:p w14:paraId="7230EF7A" w14:textId="6F85595B"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See for example </w:t>
      </w:r>
      <w:hyperlink r:id="rId166" w:history="1">
        <w:r w:rsidRPr="00B265A7">
          <w:rPr>
            <w:rStyle w:val="Hyperlink"/>
            <w:rFonts w:ascii="Calibri Light" w:hAnsi="Calibri Light" w:cs="Calibri Light"/>
            <w:sz w:val="16"/>
            <w:szCs w:val="16"/>
          </w:rPr>
          <w:t>http://aeiti.af/en/news/53</w:t>
        </w:r>
      </w:hyperlink>
      <w:r w:rsidRPr="00B265A7">
        <w:rPr>
          <w:rFonts w:ascii="Calibri Light" w:hAnsi="Calibri Light" w:cs="Calibri Light"/>
          <w:sz w:val="16"/>
          <w:szCs w:val="16"/>
        </w:rPr>
        <w:t xml:space="preserve">. </w:t>
      </w:r>
    </w:p>
  </w:footnote>
  <w:footnote w:id="312">
    <w:p w14:paraId="6435C2D7" w14:textId="3CA6F7FF"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t>
      </w:r>
      <w:r w:rsidRPr="00B265A7">
        <w:rPr>
          <w:rFonts w:ascii="Calibri Light" w:hAnsi="Calibri Light" w:cs="Calibri Light"/>
          <w:bCs/>
          <w:sz w:val="16"/>
          <w:szCs w:val="16"/>
        </w:rPr>
        <w:t>The actions identified concern the following areas: record keeping in MOMP and MOF, data-assurance from government and companies, completeness of data, flows to sub-national government, companies omitted from the MOMP list of reporting companies, non-reporting companies, and reporting of production.</w:t>
      </w:r>
    </w:p>
  </w:footnote>
  <w:footnote w:id="313">
    <w:p w14:paraId="16FC4698" w14:textId="0D0D8399"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The work plan merely states that the MSG should “follow up on AEITI Reconciliation Reports’ recommendations” with the MOMP, MOF, supreme audit office and SOEs.</w:t>
      </w:r>
    </w:p>
  </w:footnote>
  <w:footnote w:id="314">
    <w:p w14:paraId="3F244FC0" w14:textId="2A0051CD"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See for example </w:t>
      </w:r>
      <w:hyperlink r:id="rId167" w:history="1">
        <w:r w:rsidRPr="00B265A7">
          <w:rPr>
            <w:rStyle w:val="Hyperlink"/>
            <w:rFonts w:ascii="Calibri Light" w:hAnsi="Calibri Light" w:cs="Calibri Light"/>
            <w:sz w:val="16"/>
            <w:szCs w:val="16"/>
          </w:rPr>
          <w:t>http://samuelhall.org/wp-content/uploads/2017/10/Shaping-Afghanistans-Natural-Resources-Strategy.pdf</w:t>
        </w:r>
      </w:hyperlink>
      <w:r w:rsidRPr="00B265A7">
        <w:rPr>
          <w:rFonts w:ascii="Calibri Light" w:hAnsi="Calibri Light" w:cs="Calibri Light"/>
          <w:sz w:val="16"/>
          <w:szCs w:val="16"/>
        </w:rPr>
        <w:t xml:space="preserve">. </w:t>
      </w:r>
    </w:p>
  </w:footnote>
  <w:footnote w:id="315">
    <w:p w14:paraId="58EB6AC7" w14:textId="4264542F" w:rsidR="00802EE6" w:rsidRPr="00B265A7" w:rsidRDefault="00802EE6" w:rsidP="00CC62A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t>
      </w:r>
      <w:bookmarkStart w:id="614" w:name="_Hlk512077691"/>
      <w:r w:rsidRPr="00B265A7">
        <w:rPr>
          <w:rFonts w:ascii="Calibri Light" w:hAnsi="Calibri Light" w:cs="Calibri Light"/>
          <w:sz w:val="16"/>
          <w:szCs w:val="16"/>
        </w:rPr>
        <w:t xml:space="preserve">Ministry of Foreign Affairs (October 2016), ‘self-reliance through mutual accountability framework’, accessed on </w:t>
      </w:r>
      <w:hyperlink r:id="rId168" w:history="1">
        <w:r w:rsidRPr="00B265A7">
          <w:rPr>
            <w:rStyle w:val="Hyperlink"/>
            <w:rFonts w:ascii="Calibri Light" w:hAnsi="Calibri Light" w:cs="Calibri Light"/>
            <w:sz w:val="16"/>
            <w:szCs w:val="16"/>
          </w:rPr>
          <w:t>http://mfa.gov.af/Content/Media/Documents/agreed_smaf_smart_deliverables_final26102016113033613553325325.pdf</w:t>
        </w:r>
      </w:hyperlink>
      <w:r w:rsidRPr="00B265A7">
        <w:rPr>
          <w:rFonts w:ascii="Calibri Light" w:hAnsi="Calibri Light" w:cs="Calibri Light"/>
          <w:sz w:val="16"/>
          <w:szCs w:val="16"/>
        </w:rPr>
        <w:t xml:space="preserve"> in April 2018, p.2.</w:t>
      </w:r>
      <w:bookmarkEnd w:id="614"/>
    </w:p>
  </w:footnote>
  <w:footnote w:id="316">
    <w:p w14:paraId="02DD4ECB" w14:textId="168CAF81"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Besides the appointment of a senior individual to lead on implementation (see Requirement 1.1) this included giving the LTO responsibility for all major corporate mining and oil and gas taxpayers, preparing and maintaining a list of all major corporate mining and oil and gas companies by the LTO and MOMP, and the submission of legislative proposals to the Ministry of Justice requiring all major extractive companies to produce annual accounts that would be audited by a certified public or independent chartered accountant.</w:t>
      </w:r>
    </w:p>
  </w:footnote>
  <w:footnote w:id="317">
    <w:p w14:paraId="1FFD3130" w14:textId="38536357" w:rsidR="00802EE6" w:rsidRPr="00B265A7" w:rsidRDefault="00802EE6" w:rsidP="00191404">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t>
      </w:r>
      <w:bookmarkStart w:id="615" w:name="_Hlk512077826"/>
      <w:r w:rsidRPr="00B265A7">
        <w:rPr>
          <w:rFonts w:ascii="Calibri Light" w:hAnsi="Calibri Light" w:cs="Calibri Light"/>
          <w:sz w:val="16"/>
          <w:szCs w:val="16"/>
        </w:rPr>
        <w:t xml:space="preserve">International Monetary Fund (2017), ‘2017 Article Iv consultation and second review under the extended credit facility arrangement, and request for modification of performance criteria—press release; staff report; and statement by the executive director for The Islamic Republic of Afghanistan’, accessed on </w:t>
      </w:r>
      <w:hyperlink r:id="rId169" w:history="1">
        <w:r w:rsidRPr="00B265A7">
          <w:rPr>
            <w:rStyle w:val="Hyperlink"/>
            <w:rFonts w:ascii="Calibri Light" w:hAnsi="Calibri Light" w:cs="Calibri Light"/>
            <w:sz w:val="16"/>
            <w:szCs w:val="16"/>
          </w:rPr>
          <w:t>http://www.imf.org/~/media/Files/Publications/CR/2017/cr17377.ashx</w:t>
        </w:r>
      </w:hyperlink>
      <w:r w:rsidRPr="00B265A7">
        <w:rPr>
          <w:rFonts w:ascii="Calibri Light" w:hAnsi="Calibri Light" w:cs="Calibri Light"/>
          <w:sz w:val="16"/>
          <w:szCs w:val="16"/>
        </w:rPr>
        <w:t xml:space="preserve"> in April 2018.</w:t>
      </w:r>
      <w:bookmarkEnd w:id="615"/>
    </w:p>
  </w:footnote>
  <w:footnote w:id="318">
    <w:p w14:paraId="3593D556" w14:textId="7CAE3DAC"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AEITI (no date), ‘Annual Progress Reportss’, op.cit.</w:t>
      </w:r>
    </w:p>
  </w:footnote>
  <w:footnote w:id="319">
    <w:p w14:paraId="6CCF6F7B" w14:textId="0C59C520"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Email exchanges with the International Secretariat suggest some confusion with the coverage of the report, however: a first draft of the report was submitted by the national secretariat to the MSG on 29 August 2016 with the title “2015 Annual Progress Report”. In a further message to the International Secretariat it was confirmed that this draft report corresponded to the fiscal year 2015, but the final version published on the website notes that the report corresponds to fiscal year 2016.</w:t>
      </w:r>
    </w:p>
  </w:footnote>
  <w:footnote w:id="320">
    <w:p w14:paraId="5EE36366" w14:textId="0B4A2E38"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The 2016 APR focuses in particular on efforts linked to the publication of the 2014-15 EITI Report, progress on beneficial ownership disclosure, the development of an open data policy, AEITI’s impact on improving public financial management, supporting civil society debates, preparations to renew MSG membership and “efforts to rope in an AEITI Champion”.</w:t>
      </w:r>
    </w:p>
  </w:footnote>
  <w:footnote w:id="321">
    <w:p w14:paraId="3AC78C67" w14:textId="77777777"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AEITI 2016, Annual Progress Report, pp. 12-14.</w:t>
      </w:r>
    </w:p>
  </w:footnote>
  <w:footnote w:id="322">
    <w:p w14:paraId="7DD1FF92" w14:textId="77777777" w:rsidR="00802EE6" w:rsidRPr="00B265A7" w:rsidRDefault="00802EE6" w:rsidP="002555EB">
      <w:pPr>
        <w:pStyle w:val="FootnoteText"/>
        <w:rPr>
          <w:rFonts w:ascii="Calibri Light" w:hAnsi="Calibri Light" w:cs="Calibri Light"/>
          <w:sz w:val="16"/>
          <w:szCs w:val="16"/>
          <w:lang w:val="en-GB"/>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w:t>
      </w:r>
      <w:hyperlink r:id="rId170" w:history="1">
        <w:r w:rsidRPr="00B265A7">
          <w:rPr>
            <w:rStyle w:val="Hyperlink"/>
            <w:rFonts w:ascii="Calibri Light" w:hAnsi="Calibri Light" w:cs="Calibri Light"/>
            <w:sz w:val="16"/>
            <w:szCs w:val="16"/>
          </w:rPr>
          <w:t>https://info.undp.org/docs/pdc/Documents/AFG/NHDR-Project%20Document%202016.pdf</w:t>
        </w:r>
      </w:hyperlink>
      <w:r w:rsidRPr="00B265A7">
        <w:rPr>
          <w:rFonts w:ascii="Calibri Light" w:hAnsi="Calibri Light" w:cs="Calibri Light"/>
          <w:sz w:val="16"/>
          <w:szCs w:val="16"/>
        </w:rPr>
        <w:t xml:space="preserve">. </w:t>
      </w:r>
    </w:p>
  </w:footnote>
  <w:footnote w:id="323">
    <w:p w14:paraId="06050912" w14:textId="20A0E8E6" w:rsidR="00802EE6" w:rsidRPr="00B265A7" w:rsidRDefault="00802EE6">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Ministry of Finance (2016), “2016 Mid-Year Performance Tracking Report”, accessed </w:t>
      </w:r>
      <w:hyperlink r:id="rId171" w:history="1">
        <w:r w:rsidRPr="00B265A7">
          <w:rPr>
            <w:rStyle w:val="Hyperlink"/>
            <w:rFonts w:ascii="Calibri Light" w:hAnsi="Calibri Light" w:cs="Calibri Light"/>
            <w:sz w:val="16"/>
            <w:szCs w:val="16"/>
          </w:rPr>
          <w:t>here</w:t>
        </w:r>
      </w:hyperlink>
      <w:r w:rsidRPr="00B265A7">
        <w:rPr>
          <w:rFonts w:ascii="Calibri Light" w:hAnsi="Calibri Light" w:cs="Calibri Light"/>
          <w:sz w:val="16"/>
          <w:szCs w:val="16"/>
        </w:rPr>
        <w:t xml:space="preserve"> in April 2018. </w:t>
      </w:r>
    </w:p>
  </w:footnote>
  <w:footnote w:id="324">
    <w:p w14:paraId="07CC685A" w14:textId="77777777" w:rsidR="00802EE6" w:rsidRPr="00B265A7" w:rsidRDefault="00802EE6" w:rsidP="00A639D9">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Democracy International (2017), op.cit., pp. 5-6.</w:t>
      </w:r>
    </w:p>
  </w:footnote>
  <w:footnote w:id="325">
    <w:p w14:paraId="785C5A5B" w14:textId="77777777" w:rsidR="00802EE6" w:rsidRPr="00B265A7" w:rsidRDefault="00802EE6" w:rsidP="003D1AB8">
      <w:pPr>
        <w:pStyle w:val="FootnoteText"/>
        <w:rPr>
          <w:rFonts w:ascii="Calibri Light" w:hAnsi="Calibri Light" w:cs="Calibri Light"/>
          <w:sz w:val="16"/>
          <w:szCs w:val="16"/>
        </w:rPr>
      </w:pPr>
      <w:r w:rsidRPr="00B265A7">
        <w:rPr>
          <w:rStyle w:val="FootnoteReference"/>
          <w:rFonts w:ascii="Calibri Light" w:hAnsi="Calibri Light" w:cs="Calibri Light"/>
          <w:sz w:val="16"/>
          <w:szCs w:val="16"/>
        </w:rPr>
        <w:footnoteRef/>
      </w:r>
      <w:r w:rsidRPr="00B265A7">
        <w:rPr>
          <w:rFonts w:ascii="Calibri Light" w:hAnsi="Calibri Light" w:cs="Calibri Light"/>
          <w:sz w:val="16"/>
          <w:szCs w:val="16"/>
        </w:rPr>
        <w:t xml:space="preserve"> Using present exchange rate: 45 afghanis = $1.00; most debt was provided in coal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F9DBB" w14:textId="77777777" w:rsidR="00802EE6" w:rsidRDefault="00802EE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B48DD" w14:textId="43038123" w:rsidR="00802EE6" w:rsidRPr="009464B0" w:rsidRDefault="00802EE6" w:rsidP="009464B0">
    <w:pPr>
      <w:pStyle w:val="Header"/>
      <w:spacing w:line="240" w:lineRule="auto"/>
      <w:jc w:val="right"/>
      <w:rPr>
        <w:color w:val="000000" w:themeColor="text1"/>
        <w:sz w:val="20"/>
      </w:rPr>
    </w:pPr>
    <w:r w:rsidRPr="009464B0">
      <w:rPr>
        <w:rFonts w:ascii="Calibri" w:hAnsi="Calibri"/>
        <w:b/>
        <w:noProof/>
        <w:color w:val="000000" w:themeColor="text1"/>
        <w:sz w:val="20"/>
        <w:szCs w:val="20"/>
        <w:lang w:eastAsia="x-none" w:bidi="en-US"/>
      </w:rPr>
      <w:fldChar w:fldCharType="begin"/>
    </w:r>
    <w:r w:rsidRPr="009464B0">
      <w:rPr>
        <w:rFonts w:ascii="Calibri" w:hAnsi="Calibri"/>
        <w:b/>
        <w:noProof/>
        <w:color w:val="000000" w:themeColor="text1"/>
        <w:sz w:val="20"/>
        <w:szCs w:val="20"/>
        <w:lang w:eastAsia="x-none" w:bidi="en-US"/>
      </w:rPr>
      <w:instrText>PAGE   \* MERGEFORMAT</w:instrText>
    </w:r>
    <w:r w:rsidRPr="009464B0">
      <w:rPr>
        <w:rFonts w:ascii="Calibri" w:hAnsi="Calibri"/>
        <w:b/>
        <w:noProof/>
        <w:color w:val="000000" w:themeColor="text1"/>
        <w:sz w:val="20"/>
        <w:szCs w:val="20"/>
        <w:lang w:eastAsia="x-none" w:bidi="en-US"/>
      </w:rPr>
      <w:fldChar w:fldCharType="separate"/>
    </w:r>
    <w:r>
      <w:rPr>
        <w:rFonts w:ascii="Calibri" w:hAnsi="Calibri"/>
        <w:b/>
        <w:noProof/>
        <w:color w:val="000000" w:themeColor="text1"/>
        <w:sz w:val="20"/>
        <w:szCs w:val="20"/>
        <w:lang w:eastAsia="x-none" w:bidi="en-US"/>
      </w:rPr>
      <w:t>151</w:t>
    </w:r>
    <w:r w:rsidRPr="009464B0">
      <w:rPr>
        <w:rFonts w:ascii="Calibri" w:hAnsi="Calibri"/>
        <w:b/>
        <w:noProof/>
        <w:color w:val="000000" w:themeColor="text1"/>
        <w:sz w:val="20"/>
        <w:szCs w:val="20"/>
        <w:lang w:eastAsia="x-none" w:bidi="en-US"/>
      </w:rPr>
      <w:fldChar w:fldCharType="end"/>
    </w:r>
    <w:r>
      <w:rPr>
        <w:rFonts w:ascii="Calibri" w:hAnsi="Calibri"/>
        <w:b/>
        <w:noProof/>
        <w:color w:val="000000" w:themeColor="text1"/>
        <w:sz w:val="20"/>
        <w:szCs w:val="20"/>
        <w:lang w:eastAsia="x-none" w:bidi="en-US"/>
      </w:rPr>
      <w:br/>
    </w:r>
    <w:r>
      <w:rPr>
        <w:rFonts w:ascii="Calibri" w:hAnsi="Calibri"/>
        <w:noProof/>
        <w:color w:val="000000" w:themeColor="text1"/>
        <w:sz w:val="20"/>
        <w:szCs w:val="20"/>
        <w:lang w:eastAsia="x-none" w:bidi="en-US"/>
      </w:rPr>
      <w:br/>
    </w:r>
    <w:r w:rsidRPr="009464B0">
      <w:rPr>
        <w:rFonts w:ascii="Calibri" w:hAnsi="Calibri"/>
        <w:noProof/>
        <w:color w:val="000000" w:themeColor="text1"/>
        <w:sz w:val="20"/>
        <w:szCs w:val="20"/>
        <w:lang w:eastAsia="x-none" w:bidi="en-US"/>
      </w:rPr>
      <w:t xml:space="preserve">Validation of </w:t>
    </w:r>
    <w:r>
      <w:rPr>
        <w:rFonts w:ascii="Calibri" w:hAnsi="Calibri"/>
        <w:noProof/>
        <w:sz w:val="20"/>
        <w:szCs w:val="20"/>
        <w:lang w:eastAsia="x-none" w:bidi="en-US"/>
      </w:rPr>
      <w:t>Afghanistan</w:t>
    </w:r>
    <w:r w:rsidRPr="009464B0">
      <w:rPr>
        <w:rFonts w:ascii="Calibri" w:hAnsi="Calibri"/>
        <w:noProof/>
        <w:color w:val="000000" w:themeColor="text1"/>
        <w:sz w:val="20"/>
        <w:szCs w:val="20"/>
        <w:lang w:eastAsia="x-none" w:bidi="en-US"/>
      </w:rPr>
      <w:t>: Report on initial data collection and stakeholder consultation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1478914347"/>
      <w:docPartObj>
        <w:docPartGallery w:val="Page Numbers (Top of Page)"/>
        <w:docPartUnique/>
      </w:docPartObj>
    </w:sdtPr>
    <w:sdtEndPr>
      <w:rPr>
        <w:rFonts w:ascii="Calibri" w:hAnsi="Calibri"/>
        <w:noProof/>
        <w:szCs w:val="20"/>
        <w:lang w:eastAsia="x-none" w:bidi="en-US"/>
      </w:rPr>
    </w:sdtEndPr>
    <w:sdtContent>
      <w:p w14:paraId="5AAA6514" w14:textId="224E5DE7" w:rsidR="00802EE6" w:rsidRPr="009464B0" w:rsidRDefault="00802EE6" w:rsidP="002D2DB6">
        <w:pPr>
          <w:pStyle w:val="Header"/>
          <w:spacing w:after="0" w:line="240" w:lineRule="auto"/>
          <w:jc w:val="right"/>
          <w:rPr>
            <w:rFonts w:ascii="Calibri" w:hAnsi="Calibri"/>
            <w:b/>
            <w:noProof/>
            <w:sz w:val="20"/>
            <w:szCs w:val="20"/>
            <w:lang w:eastAsia="x-none" w:bidi="en-US"/>
          </w:rPr>
        </w:pPr>
        <w:r w:rsidRPr="001E2B08">
          <w:rPr>
            <w:rFonts w:ascii="Calibri" w:hAnsi="Calibri"/>
            <w:b/>
            <w:noProof/>
            <w:sz w:val="20"/>
            <w:szCs w:val="20"/>
            <w:lang w:eastAsia="x-none" w:bidi="en-US"/>
          </w:rPr>
          <w:fldChar w:fldCharType="begin"/>
        </w:r>
        <w:r w:rsidRPr="001E2B08">
          <w:rPr>
            <w:rFonts w:ascii="Calibri" w:hAnsi="Calibri"/>
            <w:b/>
            <w:noProof/>
            <w:sz w:val="20"/>
            <w:szCs w:val="20"/>
            <w:lang w:eastAsia="x-none" w:bidi="en-US"/>
          </w:rPr>
          <w:instrText>PAGE   \* MERGEFORMAT</w:instrText>
        </w:r>
        <w:r w:rsidRPr="001E2B08">
          <w:rPr>
            <w:rFonts w:ascii="Calibri" w:hAnsi="Calibri"/>
            <w:b/>
            <w:noProof/>
            <w:sz w:val="20"/>
            <w:szCs w:val="20"/>
            <w:lang w:eastAsia="x-none" w:bidi="en-US"/>
          </w:rPr>
          <w:fldChar w:fldCharType="separate"/>
        </w:r>
        <w:r>
          <w:rPr>
            <w:rFonts w:ascii="Calibri" w:hAnsi="Calibri"/>
            <w:b/>
            <w:noProof/>
            <w:sz w:val="20"/>
            <w:szCs w:val="20"/>
            <w:lang w:eastAsia="x-none" w:bidi="en-US"/>
          </w:rPr>
          <w:t>124</w:t>
        </w:r>
        <w:r w:rsidRPr="001E2B08">
          <w:rPr>
            <w:rFonts w:ascii="Calibri" w:hAnsi="Calibri"/>
            <w:b/>
            <w:noProof/>
            <w:sz w:val="20"/>
            <w:szCs w:val="20"/>
            <w:lang w:eastAsia="x-none" w:bidi="en-US"/>
          </w:rPr>
          <w:fldChar w:fldCharType="end"/>
        </w:r>
        <w:r>
          <w:rPr>
            <w:rFonts w:ascii="Calibri" w:hAnsi="Calibri"/>
            <w:b/>
            <w:noProof/>
            <w:sz w:val="20"/>
            <w:szCs w:val="20"/>
            <w:lang w:eastAsia="x-none" w:bidi="en-US"/>
          </w:rPr>
          <w:br/>
        </w:r>
      </w:p>
      <w:p w14:paraId="55F48A7A" w14:textId="37E48BD7" w:rsidR="00802EE6" w:rsidRPr="009464B0" w:rsidRDefault="00802EE6" w:rsidP="009464B0">
        <w:pPr>
          <w:pStyle w:val="Header"/>
          <w:spacing w:line="240" w:lineRule="auto"/>
          <w:jc w:val="right"/>
        </w:pPr>
        <w:r w:rsidRPr="00590D8E">
          <w:rPr>
            <w:rFonts w:ascii="Calibri" w:hAnsi="Calibri"/>
            <w:noProof/>
            <w:sz w:val="20"/>
            <w:szCs w:val="20"/>
            <w:lang w:eastAsia="x-none" w:bidi="en-US"/>
          </w:rPr>
          <w:t xml:space="preserve">Validation of </w:t>
        </w:r>
        <w:r>
          <w:rPr>
            <w:rFonts w:ascii="Calibri" w:hAnsi="Calibri"/>
            <w:noProof/>
            <w:sz w:val="20"/>
            <w:szCs w:val="20"/>
            <w:lang w:eastAsia="x-none" w:bidi="en-US"/>
          </w:rPr>
          <w:t xml:space="preserve">Afghanistan: </w:t>
        </w:r>
        <w:r w:rsidRPr="00590D8E">
          <w:rPr>
            <w:rFonts w:ascii="Calibri" w:hAnsi="Calibri"/>
            <w:noProof/>
            <w:sz w:val="20"/>
            <w:szCs w:val="20"/>
            <w:lang w:eastAsia="x-none" w:bidi="en-US"/>
          </w:rPr>
          <w:t>Report on initial data collection and stakeholder consultation</w:t>
        </w:r>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8200493"/>
      <w:docPartObj>
        <w:docPartGallery w:val="Page Numbers (Top of Page)"/>
        <w:docPartUnique/>
      </w:docPartObj>
    </w:sdtPr>
    <w:sdtEndPr>
      <w:rPr>
        <w:rFonts w:ascii="Calibri" w:hAnsi="Calibri"/>
        <w:noProof/>
        <w:sz w:val="20"/>
        <w:szCs w:val="20"/>
        <w:lang w:eastAsia="x-none" w:bidi="en-US"/>
      </w:rPr>
    </w:sdtEndPr>
    <w:sdtContent>
      <w:p w14:paraId="64C4A17F" w14:textId="016E19D1" w:rsidR="00802EE6" w:rsidRPr="001E2B08" w:rsidRDefault="00802EE6" w:rsidP="002D2DB6">
        <w:pPr>
          <w:pStyle w:val="Header"/>
          <w:spacing w:after="0" w:line="240" w:lineRule="auto"/>
          <w:jc w:val="right"/>
          <w:rPr>
            <w:rFonts w:ascii="Calibri" w:hAnsi="Calibri"/>
            <w:b/>
            <w:noProof/>
            <w:sz w:val="20"/>
            <w:szCs w:val="20"/>
            <w:lang w:eastAsia="x-none" w:bidi="en-US"/>
          </w:rPr>
        </w:pPr>
        <w:r w:rsidRPr="001E2B08">
          <w:rPr>
            <w:rFonts w:ascii="Calibri" w:hAnsi="Calibri"/>
            <w:b/>
            <w:noProof/>
            <w:sz w:val="20"/>
            <w:szCs w:val="20"/>
            <w:lang w:eastAsia="x-none" w:bidi="en-US"/>
          </w:rPr>
          <w:fldChar w:fldCharType="begin"/>
        </w:r>
        <w:r w:rsidRPr="001E2B08">
          <w:rPr>
            <w:rFonts w:ascii="Calibri" w:hAnsi="Calibri"/>
            <w:b/>
            <w:noProof/>
            <w:sz w:val="20"/>
            <w:szCs w:val="20"/>
            <w:lang w:eastAsia="x-none" w:bidi="en-US"/>
          </w:rPr>
          <w:instrText>PAGE   \* MERGEFORMAT</w:instrText>
        </w:r>
        <w:r w:rsidRPr="001E2B08">
          <w:rPr>
            <w:rFonts w:ascii="Calibri" w:hAnsi="Calibri"/>
            <w:b/>
            <w:noProof/>
            <w:sz w:val="20"/>
            <w:szCs w:val="20"/>
            <w:lang w:eastAsia="x-none" w:bidi="en-US"/>
          </w:rPr>
          <w:fldChar w:fldCharType="separate"/>
        </w:r>
        <w:r>
          <w:rPr>
            <w:rFonts w:ascii="Calibri" w:hAnsi="Calibri"/>
            <w:b/>
            <w:noProof/>
            <w:sz w:val="20"/>
            <w:szCs w:val="20"/>
            <w:lang w:eastAsia="x-none" w:bidi="en-US"/>
          </w:rPr>
          <w:t>142</w:t>
        </w:r>
        <w:r w:rsidRPr="001E2B08">
          <w:rPr>
            <w:rFonts w:ascii="Calibri" w:hAnsi="Calibri"/>
            <w:b/>
            <w:noProof/>
            <w:sz w:val="20"/>
            <w:szCs w:val="20"/>
            <w:lang w:eastAsia="x-none" w:bidi="en-US"/>
          </w:rPr>
          <w:fldChar w:fldCharType="end"/>
        </w:r>
        <w:r>
          <w:rPr>
            <w:rFonts w:ascii="Calibri" w:hAnsi="Calibri"/>
            <w:b/>
            <w:noProof/>
            <w:sz w:val="20"/>
            <w:szCs w:val="20"/>
            <w:lang w:eastAsia="x-none" w:bidi="en-US"/>
          </w:rPr>
          <w:br/>
        </w:r>
      </w:p>
      <w:p w14:paraId="66746C50" w14:textId="1E055F02" w:rsidR="00802EE6" w:rsidRPr="009464B0" w:rsidRDefault="00802EE6" w:rsidP="009464B0">
        <w:pPr>
          <w:pStyle w:val="Header"/>
          <w:spacing w:line="240" w:lineRule="auto"/>
          <w:jc w:val="right"/>
        </w:pPr>
        <w:r w:rsidRPr="00590D8E">
          <w:rPr>
            <w:rFonts w:ascii="Calibri" w:hAnsi="Calibri"/>
            <w:noProof/>
            <w:sz w:val="20"/>
            <w:szCs w:val="20"/>
            <w:lang w:eastAsia="x-none" w:bidi="en-US"/>
          </w:rPr>
          <w:t xml:space="preserve">Validation of </w:t>
        </w:r>
        <w:r>
          <w:rPr>
            <w:rFonts w:ascii="Calibri" w:hAnsi="Calibri"/>
            <w:noProof/>
            <w:sz w:val="20"/>
            <w:szCs w:val="20"/>
            <w:lang w:eastAsia="x-none" w:bidi="en-US"/>
          </w:rPr>
          <w:t xml:space="preserve">Afghanistan: </w:t>
        </w:r>
        <w:r w:rsidRPr="00590D8E">
          <w:rPr>
            <w:rFonts w:ascii="Calibri" w:hAnsi="Calibri"/>
            <w:noProof/>
            <w:sz w:val="20"/>
            <w:szCs w:val="20"/>
            <w:lang w:eastAsia="x-none" w:bidi="en-US"/>
          </w:rPr>
          <w:t>Report on initial data collection and stakeholder consultation</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9132107"/>
      <w:docPartObj>
        <w:docPartGallery w:val="Page Numbers (Top of Page)"/>
        <w:docPartUnique/>
      </w:docPartObj>
    </w:sdtPr>
    <w:sdtEndPr>
      <w:rPr>
        <w:rFonts w:ascii="Calibri" w:hAnsi="Calibri"/>
        <w:noProof/>
        <w:sz w:val="20"/>
        <w:szCs w:val="20"/>
        <w:lang w:eastAsia="x-none" w:bidi="en-US"/>
      </w:rPr>
    </w:sdtEndPr>
    <w:sdtContent>
      <w:p w14:paraId="69A93BAF" w14:textId="4FDC8853" w:rsidR="00802EE6" w:rsidRPr="001E2B08" w:rsidRDefault="00802EE6" w:rsidP="001E2B08">
        <w:pPr>
          <w:pStyle w:val="Header"/>
          <w:spacing w:after="0" w:line="240" w:lineRule="auto"/>
          <w:jc w:val="right"/>
          <w:rPr>
            <w:rFonts w:ascii="Calibri" w:hAnsi="Calibri"/>
            <w:b/>
            <w:noProof/>
            <w:sz w:val="20"/>
            <w:szCs w:val="20"/>
            <w:lang w:eastAsia="x-none" w:bidi="en-US"/>
          </w:rPr>
        </w:pPr>
        <w:r w:rsidRPr="001E2B08">
          <w:rPr>
            <w:rFonts w:ascii="Calibri" w:hAnsi="Calibri"/>
            <w:b/>
            <w:noProof/>
            <w:sz w:val="20"/>
            <w:szCs w:val="20"/>
            <w:lang w:eastAsia="x-none" w:bidi="en-US"/>
          </w:rPr>
          <w:fldChar w:fldCharType="begin"/>
        </w:r>
        <w:r w:rsidRPr="001E2B08">
          <w:rPr>
            <w:rFonts w:ascii="Calibri" w:hAnsi="Calibri"/>
            <w:b/>
            <w:noProof/>
            <w:sz w:val="20"/>
            <w:szCs w:val="20"/>
            <w:lang w:eastAsia="x-none" w:bidi="en-US"/>
          </w:rPr>
          <w:instrText>PAGE   \* MERGEFORMAT</w:instrText>
        </w:r>
        <w:r w:rsidRPr="001E2B08">
          <w:rPr>
            <w:rFonts w:ascii="Calibri" w:hAnsi="Calibri"/>
            <w:b/>
            <w:noProof/>
            <w:sz w:val="20"/>
            <w:szCs w:val="20"/>
            <w:lang w:eastAsia="x-none" w:bidi="en-US"/>
          </w:rPr>
          <w:fldChar w:fldCharType="separate"/>
        </w:r>
        <w:r>
          <w:rPr>
            <w:rFonts w:ascii="Calibri" w:hAnsi="Calibri"/>
            <w:b/>
            <w:noProof/>
            <w:sz w:val="20"/>
            <w:szCs w:val="20"/>
            <w:lang w:eastAsia="x-none" w:bidi="en-US"/>
          </w:rPr>
          <w:t>3</w:t>
        </w:r>
        <w:r w:rsidRPr="001E2B08">
          <w:rPr>
            <w:rFonts w:ascii="Calibri" w:hAnsi="Calibri"/>
            <w:b/>
            <w:noProof/>
            <w:sz w:val="20"/>
            <w:szCs w:val="20"/>
            <w:lang w:eastAsia="x-none" w:bidi="en-US"/>
          </w:rPr>
          <w:fldChar w:fldCharType="end"/>
        </w:r>
      </w:p>
      <w:p w14:paraId="4884BC7D" w14:textId="106345F1" w:rsidR="00802EE6" w:rsidRDefault="00802EE6" w:rsidP="009464B0">
        <w:pPr>
          <w:pStyle w:val="Header"/>
          <w:spacing w:line="240" w:lineRule="auto"/>
          <w:jc w:val="right"/>
        </w:pPr>
        <w:r w:rsidRPr="00590D8E">
          <w:rPr>
            <w:rFonts w:ascii="Calibri" w:hAnsi="Calibri"/>
            <w:noProof/>
            <w:sz w:val="20"/>
            <w:szCs w:val="20"/>
            <w:lang w:eastAsia="x-none" w:bidi="en-US"/>
          </w:rPr>
          <w:t xml:space="preserve">Validation of </w:t>
        </w:r>
        <w:r>
          <w:rPr>
            <w:rFonts w:ascii="Calibri" w:hAnsi="Calibri"/>
            <w:noProof/>
            <w:sz w:val="20"/>
            <w:szCs w:val="20"/>
            <w:lang w:eastAsia="x-none" w:bidi="en-US"/>
          </w:rPr>
          <w:t xml:space="preserve">Afghanistan: </w:t>
        </w:r>
        <w:r w:rsidRPr="00590D8E">
          <w:rPr>
            <w:rFonts w:ascii="Calibri" w:hAnsi="Calibri"/>
            <w:noProof/>
            <w:sz w:val="20"/>
            <w:szCs w:val="20"/>
            <w:lang w:eastAsia="x-none" w:bidi="en-US"/>
          </w:rPr>
          <w:t>Report on initial data collection and stakeholder consultation</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E56C4" w14:textId="77777777" w:rsidR="00802EE6" w:rsidRPr="00815E17" w:rsidRDefault="00802EE6" w:rsidP="00854AF1">
    <w:pPr>
      <w:tabs>
        <w:tab w:val="left" w:pos="3800"/>
      </w:tabs>
      <w:jc w:val="right"/>
      <w:rPr>
        <w:i/>
        <w:iCs/>
        <w:color w:val="808080"/>
        <w:sz w:val="20"/>
        <w:szCs w:val="20"/>
      </w:rPr>
    </w:pPr>
    <w:r w:rsidRPr="00815E17">
      <w:rPr>
        <w:noProof/>
        <w:lang w:eastAsia="ja-JP"/>
      </w:rPr>
      <w:drawing>
        <wp:anchor distT="0" distB="0" distL="114300" distR="114300" simplePos="0" relativeHeight="251658240" behindDoc="1" locked="0" layoutInCell="1" allowOverlap="1" wp14:anchorId="4B8388F3" wp14:editId="1029B3C3">
          <wp:simplePos x="0" y="0"/>
          <wp:positionH relativeFrom="page">
            <wp:posOffset>720090</wp:posOffset>
          </wp:positionH>
          <wp:positionV relativeFrom="page">
            <wp:posOffset>558165</wp:posOffset>
          </wp:positionV>
          <wp:extent cx="2485593" cy="508635"/>
          <wp:effectExtent l="0" t="0" r="3810" b="0"/>
          <wp:wrapNone/>
          <wp:docPr id="12" name="Picture 12" descr="EitimyriadPro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itimyriadPro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5692" cy="508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F5ACAD" w14:textId="77777777" w:rsidR="00802EE6" w:rsidRDefault="00802EE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41D67" w14:textId="34E63275" w:rsidR="00802EE6" w:rsidRPr="009464B0" w:rsidRDefault="00802EE6" w:rsidP="009464B0">
    <w:pPr>
      <w:pStyle w:val="Header"/>
      <w:spacing w:line="240" w:lineRule="auto"/>
      <w:jc w:val="right"/>
      <w:rPr>
        <w:color w:val="000000" w:themeColor="text1"/>
      </w:rPr>
    </w:pPr>
    <w:r w:rsidRPr="009464B0">
      <w:rPr>
        <w:rFonts w:ascii="Calibri" w:hAnsi="Calibri"/>
        <w:b/>
        <w:noProof/>
        <w:color w:val="000000" w:themeColor="text1"/>
        <w:sz w:val="20"/>
        <w:szCs w:val="20"/>
        <w:lang w:eastAsia="x-none" w:bidi="en-US"/>
      </w:rPr>
      <w:fldChar w:fldCharType="begin"/>
    </w:r>
    <w:r w:rsidRPr="009464B0">
      <w:rPr>
        <w:rFonts w:ascii="Calibri" w:hAnsi="Calibri"/>
        <w:b/>
        <w:noProof/>
        <w:color w:val="000000" w:themeColor="text1"/>
        <w:sz w:val="20"/>
        <w:szCs w:val="20"/>
        <w:lang w:eastAsia="x-none" w:bidi="en-US"/>
      </w:rPr>
      <w:instrText>PAGE   \* MERGEFORMAT</w:instrText>
    </w:r>
    <w:r w:rsidRPr="009464B0">
      <w:rPr>
        <w:rFonts w:ascii="Calibri" w:hAnsi="Calibri"/>
        <w:b/>
        <w:noProof/>
        <w:color w:val="000000" w:themeColor="text1"/>
        <w:sz w:val="20"/>
        <w:szCs w:val="20"/>
        <w:lang w:eastAsia="x-none" w:bidi="en-US"/>
      </w:rPr>
      <w:fldChar w:fldCharType="separate"/>
    </w:r>
    <w:r>
      <w:rPr>
        <w:rFonts w:ascii="Calibri" w:hAnsi="Calibri"/>
        <w:b/>
        <w:noProof/>
        <w:color w:val="000000" w:themeColor="text1"/>
        <w:sz w:val="20"/>
        <w:szCs w:val="20"/>
        <w:lang w:eastAsia="x-none" w:bidi="en-US"/>
      </w:rPr>
      <w:t>12</w:t>
    </w:r>
    <w:r w:rsidRPr="009464B0">
      <w:rPr>
        <w:rFonts w:ascii="Calibri" w:hAnsi="Calibri"/>
        <w:b/>
        <w:noProof/>
        <w:color w:val="000000" w:themeColor="text1"/>
        <w:sz w:val="20"/>
        <w:szCs w:val="20"/>
        <w:lang w:eastAsia="x-none" w:bidi="en-US"/>
      </w:rPr>
      <w:fldChar w:fldCharType="end"/>
    </w:r>
    <w:r>
      <w:rPr>
        <w:rFonts w:ascii="Calibri" w:hAnsi="Calibri"/>
        <w:b/>
        <w:noProof/>
        <w:color w:val="000000" w:themeColor="text1"/>
        <w:sz w:val="20"/>
        <w:szCs w:val="20"/>
        <w:lang w:eastAsia="x-none" w:bidi="en-US"/>
      </w:rPr>
      <w:br/>
    </w:r>
    <w:r>
      <w:rPr>
        <w:rFonts w:ascii="Calibri" w:hAnsi="Calibri"/>
        <w:noProof/>
        <w:color w:val="000000" w:themeColor="text1"/>
        <w:sz w:val="20"/>
        <w:szCs w:val="20"/>
        <w:lang w:eastAsia="x-none" w:bidi="en-US"/>
      </w:rPr>
      <w:br/>
    </w:r>
    <w:r w:rsidRPr="009464B0">
      <w:rPr>
        <w:rFonts w:ascii="Calibri" w:hAnsi="Calibri"/>
        <w:noProof/>
        <w:color w:val="000000" w:themeColor="text1"/>
        <w:sz w:val="20"/>
        <w:szCs w:val="20"/>
        <w:lang w:eastAsia="x-none" w:bidi="en-US"/>
      </w:rPr>
      <w:t xml:space="preserve">Validation of </w:t>
    </w:r>
    <w:r>
      <w:rPr>
        <w:rFonts w:ascii="Calibri" w:hAnsi="Calibri"/>
        <w:noProof/>
        <w:color w:val="000000" w:themeColor="text1"/>
        <w:sz w:val="20"/>
        <w:szCs w:val="20"/>
        <w:lang w:eastAsia="x-none" w:bidi="en-US"/>
      </w:rPr>
      <w:t>Afghanistan</w:t>
    </w:r>
    <w:r w:rsidRPr="009464B0">
      <w:rPr>
        <w:rFonts w:ascii="Calibri" w:hAnsi="Calibri"/>
        <w:noProof/>
        <w:color w:val="000000" w:themeColor="text1"/>
        <w:sz w:val="20"/>
        <w:szCs w:val="20"/>
        <w:lang w:eastAsia="x-none" w:bidi="en-US"/>
      </w:rPr>
      <w:t>: Report on initial data collection and stakeholder consultation</w:t>
    </w:r>
    <w:r w:rsidRPr="009464B0">
      <w:rPr>
        <w:rFonts w:ascii="Calibri" w:hAnsi="Calibri"/>
        <w:noProof/>
        <w:color w:val="000000" w:themeColor="text1"/>
        <w:sz w:val="20"/>
        <w:szCs w:val="20"/>
        <w:lang w:eastAsia="x-none" w:bidi="en-US"/>
      </w:rPr>
      <w:b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8335250"/>
      <w:docPartObj>
        <w:docPartGallery w:val="Page Numbers (Top of Page)"/>
        <w:docPartUnique/>
      </w:docPartObj>
    </w:sdtPr>
    <w:sdtEndPr>
      <w:rPr>
        <w:rFonts w:ascii="Calibri" w:hAnsi="Calibri"/>
        <w:noProof/>
        <w:sz w:val="20"/>
        <w:szCs w:val="20"/>
        <w:lang w:eastAsia="x-none" w:bidi="en-US"/>
      </w:rPr>
    </w:sdtEndPr>
    <w:sdtContent>
      <w:p w14:paraId="3AAF3349" w14:textId="28BC9AF5" w:rsidR="00802EE6" w:rsidRPr="001E2B08" w:rsidRDefault="00802EE6" w:rsidP="002D2DB6">
        <w:pPr>
          <w:pStyle w:val="Header"/>
          <w:spacing w:after="0" w:line="240" w:lineRule="auto"/>
          <w:jc w:val="right"/>
          <w:rPr>
            <w:rFonts w:ascii="Calibri" w:hAnsi="Calibri"/>
            <w:b/>
            <w:noProof/>
            <w:sz w:val="20"/>
            <w:szCs w:val="20"/>
            <w:lang w:eastAsia="x-none" w:bidi="en-US"/>
          </w:rPr>
        </w:pPr>
        <w:r w:rsidRPr="001E2B08">
          <w:rPr>
            <w:rFonts w:ascii="Calibri" w:hAnsi="Calibri"/>
            <w:b/>
            <w:noProof/>
            <w:sz w:val="20"/>
            <w:szCs w:val="20"/>
            <w:lang w:eastAsia="x-none" w:bidi="en-US"/>
          </w:rPr>
          <w:fldChar w:fldCharType="begin"/>
        </w:r>
        <w:r w:rsidRPr="001E2B08">
          <w:rPr>
            <w:rFonts w:ascii="Calibri" w:hAnsi="Calibri"/>
            <w:b/>
            <w:noProof/>
            <w:sz w:val="20"/>
            <w:szCs w:val="20"/>
            <w:lang w:eastAsia="x-none" w:bidi="en-US"/>
          </w:rPr>
          <w:instrText>PAGE   \* MERGEFORMAT</w:instrText>
        </w:r>
        <w:r w:rsidRPr="001E2B08">
          <w:rPr>
            <w:rFonts w:ascii="Calibri" w:hAnsi="Calibri"/>
            <w:b/>
            <w:noProof/>
            <w:sz w:val="20"/>
            <w:szCs w:val="20"/>
            <w:lang w:eastAsia="x-none" w:bidi="en-US"/>
          </w:rPr>
          <w:fldChar w:fldCharType="separate"/>
        </w:r>
        <w:r>
          <w:rPr>
            <w:rFonts w:ascii="Calibri" w:hAnsi="Calibri"/>
            <w:b/>
            <w:noProof/>
            <w:sz w:val="20"/>
            <w:szCs w:val="20"/>
            <w:lang w:eastAsia="x-none" w:bidi="en-US"/>
          </w:rPr>
          <w:t>4</w:t>
        </w:r>
        <w:r w:rsidRPr="001E2B08">
          <w:rPr>
            <w:rFonts w:ascii="Calibri" w:hAnsi="Calibri"/>
            <w:b/>
            <w:noProof/>
            <w:sz w:val="20"/>
            <w:szCs w:val="20"/>
            <w:lang w:eastAsia="x-none" w:bidi="en-US"/>
          </w:rPr>
          <w:fldChar w:fldCharType="end"/>
        </w:r>
      </w:p>
      <w:p w14:paraId="5CB7FEAA" w14:textId="298FE1EC" w:rsidR="00802EE6" w:rsidRPr="009464B0" w:rsidRDefault="00802EE6" w:rsidP="009464B0">
        <w:pPr>
          <w:pStyle w:val="Header"/>
          <w:spacing w:line="240" w:lineRule="auto"/>
          <w:jc w:val="right"/>
        </w:pPr>
        <w:r w:rsidRPr="00590D8E">
          <w:rPr>
            <w:rFonts w:ascii="Calibri" w:hAnsi="Calibri"/>
            <w:noProof/>
            <w:sz w:val="20"/>
            <w:szCs w:val="20"/>
            <w:lang w:eastAsia="x-none" w:bidi="en-US"/>
          </w:rPr>
          <w:t xml:space="preserve">Validation of </w:t>
        </w:r>
        <w:r>
          <w:rPr>
            <w:rFonts w:ascii="Calibri" w:hAnsi="Calibri"/>
            <w:noProof/>
            <w:sz w:val="20"/>
            <w:szCs w:val="20"/>
            <w:lang w:eastAsia="x-none" w:bidi="en-US"/>
          </w:rPr>
          <w:t xml:space="preserve">Afghanistan: </w:t>
        </w:r>
        <w:r w:rsidRPr="00590D8E">
          <w:rPr>
            <w:rFonts w:ascii="Calibri" w:hAnsi="Calibri"/>
            <w:noProof/>
            <w:sz w:val="20"/>
            <w:szCs w:val="20"/>
            <w:lang w:eastAsia="x-none" w:bidi="en-US"/>
          </w:rPr>
          <w:t>Report on initial data collection and stakeholder consultation</w:t>
        </w:r>
        <w:r>
          <w:rPr>
            <w:rFonts w:ascii="Calibri" w:hAnsi="Calibri"/>
            <w:noProof/>
            <w:sz w:val="20"/>
            <w:szCs w:val="20"/>
            <w:lang w:eastAsia="x-none" w:bidi="en-US"/>
          </w:rPr>
          <w:br/>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4812958"/>
      <w:docPartObj>
        <w:docPartGallery w:val="Page Numbers (Top of Page)"/>
        <w:docPartUnique/>
      </w:docPartObj>
    </w:sdtPr>
    <w:sdtEndPr>
      <w:rPr>
        <w:rFonts w:ascii="Calibri" w:hAnsi="Calibri"/>
        <w:noProof/>
        <w:sz w:val="20"/>
        <w:szCs w:val="20"/>
        <w:lang w:eastAsia="x-none" w:bidi="en-US"/>
      </w:rPr>
    </w:sdtEndPr>
    <w:sdtContent>
      <w:p w14:paraId="65E39FEA" w14:textId="3F190346" w:rsidR="00802EE6" w:rsidRPr="001E2B08" w:rsidRDefault="00802EE6" w:rsidP="002D2DB6">
        <w:pPr>
          <w:pStyle w:val="Header"/>
          <w:spacing w:after="0" w:line="240" w:lineRule="auto"/>
          <w:jc w:val="right"/>
          <w:rPr>
            <w:rFonts w:ascii="Calibri" w:hAnsi="Calibri"/>
            <w:b/>
            <w:noProof/>
            <w:sz w:val="20"/>
            <w:szCs w:val="20"/>
            <w:lang w:eastAsia="x-none" w:bidi="en-US"/>
          </w:rPr>
        </w:pPr>
        <w:r w:rsidRPr="001E2B08">
          <w:rPr>
            <w:rFonts w:ascii="Calibri" w:hAnsi="Calibri"/>
            <w:b/>
            <w:noProof/>
            <w:sz w:val="20"/>
            <w:szCs w:val="20"/>
            <w:lang w:eastAsia="x-none" w:bidi="en-US"/>
          </w:rPr>
          <w:fldChar w:fldCharType="begin"/>
        </w:r>
        <w:r w:rsidRPr="001E2B08">
          <w:rPr>
            <w:rFonts w:ascii="Calibri" w:hAnsi="Calibri"/>
            <w:b/>
            <w:noProof/>
            <w:sz w:val="20"/>
            <w:szCs w:val="20"/>
            <w:lang w:eastAsia="x-none" w:bidi="en-US"/>
          </w:rPr>
          <w:instrText>PAGE   \* MERGEFORMAT</w:instrText>
        </w:r>
        <w:r w:rsidRPr="001E2B08">
          <w:rPr>
            <w:rFonts w:ascii="Calibri" w:hAnsi="Calibri"/>
            <w:b/>
            <w:noProof/>
            <w:sz w:val="20"/>
            <w:szCs w:val="20"/>
            <w:lang w:eastAsia="x-none" w:bidi="en-US"/>
          </w:rPr>
          <w:fldChar w:fldCharType="separate"/>
        </w:r>
        <w:r>
          <w:rPr>
            <w:rFonts w:ascii="Calibri" w:hAnsi="Calibri"/>
            <w:b/>
            <w:noProof/>
            <w:sz w:val="20"/>
            <w:szCs w:val="20"/>
            <w:lang w:eastAsia="x-none" w:bidi="en-US"/>
          </w:rPr>
          <w:t>6</w:t>
        </w:r>
        <w:r w:rsidRPr="001E2B08">
          <w:rPr>
            <w:rFonts w:ascii="Calibri" w:hAnsi="Calibri"/>
            <w:b/>
            <w:noProof/>
            <w:sz w:val="20"/>
            <w:szCs w:val="20"/>
            <w:lang w:eastAsia="x-none" w:bidi="en-US"/>
          </w:rPr>
          <w:fldChar w:fldCharType="end"/>
        </w:r>
        <w:r>
          <w:rPr>
            <w:rFonts w:ascii="Calibri" w:hAnsi="Calibri"/>
            <w:b/>
            <w:noProof/>
            <w:sz w:val="20"/>
            <w:szCs w:val="20"/>
            <w:lang w:eastAsia="x-none" w:bidi="en-US"/>
          </w:rPr>
          <w:br/>
        </w:r>
      </w:p>
      <w:p w14:paraId="687ACCDD" w14:textId="31AE62E3" w:rsidR="00802EE6" w:rsidRPr="009464B0" w:rsidRDefault="00802EE6" w:rsidP="009464B0">
        <w:pPr>
          <w:pStyle w:val="Header"/>
          <w:spacing w:line="240" w:lineRule="auto"/>
          <w:jc w:val="right"/>
        </w:pPr>
        <w:r w:rsidRPr="00590D8E">
          <w:rPr>
            <w:rFonts w:ascii="Calibri" w:hAnsi="Calibri"/>
            <w:noProof/>
            <w:sz w:val="20"/>
            <w:szCs w:val="20"/>
            <w:lang w:eastAsia="x-none" w:bidi="en-US"/>
          </w:rPr>
          <w:t xml:space="preserve">Validation of </w:t>
        </w:r>
        <w:r>
          <w:rPr>
            <w:rFonts w:ascii="Calibri" w:hAnsi="Calibri"/>
            <w:noProof/>
            <w:sz w:val="20"/>
            <w:szCs w:val="20"/>
            <w:lang w:eastAsia="x-none" w:bidi="en-US"/>
          </w:rPr>
          <w:t xml:space="preserve">Afghanistan: </w:t>
        </w:r>
        <w:r w:rsidRPr="00590D8E">
          <w:rPr>
            <w:rFonts w:ascii="Calibri" w:hAnsi="Calibri"/>
            <w:noProof/>
            <w:sz w:val="20"/>
            <w:szCs w:val="20"/>
            <w:lang w:eastAsia="x-none" w:bidi="en-US"/>
          </w:rPr>
          <w:t>Report on initial data collection and stakeholder consultation</w:t>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A1A94" w14:textId="3CBDCC71" w:rsidR="00802EE6" w:rsidRPr="009464B0" w:rsidRDefault="00802EE6" w:rsidP="009464B0">
    <w:pPr>
      <w:pStyle w:val="Header"/>
      <w:spacing w:line="240" w:lineRule="auto"/>
      <w:jc w:val="right"/>
      <w:rPr>
        <w:color w:val="000000" w:themeColor="text1"/>
      </w:rPr>
    </w:pPr>
    <w:r w:rsidRPr="009464B0">
      <w:rPr>
        <w:rFonts w:ascii="Calibri" w:hAnsi="Calibri"/>
        <w:b/>
        <w:noProof/>
        <w:color w:val="000000" w:themeColor="text1"/>
        <w:sz w:val="20"/>
        <w:szCs w:val="20"/>
        <w:lang w:eastAsia="x-none" w:bidi="en-US"/>
      </w:rPr>
      <w:fldChar w:fldCharType="begin"/>
    </w:r>
    <w:r w:rsidRPr="009464B0">
      <w:rPr>
        <w:rFonts w:ascii="Calibri" w:hAnsi="Calibri"/>
        <w:b/>
        <w:noProof/>
        <w:color w:val="000000" w:themeColor="text1"/>
        <w:sz w:val="20"/>
        <w:szCs w:val="20"/>
        <w:lang w:eastAsia="x-none" w:bidi="en-US"/>
      </w:rPr>
      <w:instrText>PAGE   \* MERGEFORMAT</w:instrText>
    </w:r>
    <w:r w:rsidRPr="009464B0">
      <w:rPr>
        <w:rFonts w:ascii="Calibri" w:hAnsi="Calibri"/>
        <w:b/>
        <w:noProof/>
        <w:color w:val="000000" w:themeColor="text1"/>
        <w:sz w:val="20"/>
        <w:szCs w:val="20"/>
        <w:lang w:eastAsia="x-none" w:bidi="en-US"/>
      </w:rPr>
      <w:fldChar w:fldCharType="separate"/>
    </w:r>
    <w:r>
      <w:rPr>
        <w:rFonts w:ascii="Calibri" w:hAnsi="Calibri"/>
        <w:b/>
        <w:noProof/>
        <w:color w:val="000000" w:themeColor="text1"/>
        <w:sz w:val="20"/>
        <w:szCs w:val="20"/>
        <w:lang w:eastAsia="x-none" w:bidi="en-US"/>
      </w:rPr>
      <w:t>121</w:t>
    </w:r>
    <w:r w:rsidRPr="009464B0">
      <w:rPr>
        <w:rFonts w:ascii="Calibri" w:hAnsi="Calibri"/>
        <w:b/>
        <w:noProof/>
        <w:color w:val="000000" w:themeColor="text1"/>
        <w:sz w:val="20"/>
        <w:szCs w:val="20"/>
        <w:lang w:eastAsia="x-none" w:bidi="en-US"/>
      </w:rPr>
      <w:fldChar w:fldCharType="end"/>
    </w:r>
    <w:r>
      <w:rPr>
        <w:rFonts w:ascii="Calibri" w:hAnsi="Calibri"/>
        <w:b/>
        <w:noProof/>
        <w:color w:val="000000" w:themeColor="text1"/>
        <w:sz w:val="20"/>
        <w:szCs w:val="20"/>
        <w:lang w:eastAsia="x-none" w:bidi="en-US"/>
      </w:rPr>
      <w:br/>
    </w:r>
    <w:r>
      <w:rPr>
        <w:rFonts w:ascii="Calibri" w:hAnsi="Calibri"/>
        <w:noProof/>
        <w:color w:val="000000" w:themeColor="text1"/>
        <w:sz w:val="20"/>
        <w:szCs w:val="20"/>
        <w:lang w:eastAsia="x-none" w:bidi="en-US"/>
      </w:rPr>
      <w:br/>
    </w:r>
    <w:r w:rsidRPr="009464B0">
      <w:rPr>
        <w:rFonts w:ascii="Calibri" w:hAnsi="Calibri"/>
        <w:noProof/>
        <w:color w:val="000000" w:themeColor="text1"/>
        <w:sz w:val="20"/>
        <w:szCs w:val="20"/>
        <w:lang w:eastAsia="x-none" w:bidi="en-US"/>
      </w:rPr>
      <w:t xml:space="preserve">Validation of </w:t>
    </w:r>
    <w:r>
      <w:rPr>
        <w:rFonts w:ascii="Calibri" w:hAnsi="Calibri"/>
        <w:noProof/>
        <w:sz w:val="20"/>
        <w:szCs w:val="20"/>
        <w:lang w:eastAsia="x-none" w:bidi="en-US"/>
      </w:rPr>
      <w:t>Afghanistan</w:t>
    </w:r>
    <w:r w:rsidRPr="009464B0">
      <w:rPr>
        <w:rFonts w:ascii="Calibri" w:hAnsi="Calibri"/>
        <w:noProof/>
        <w:color w:val="000000" w:themeColor="text1"/>
        <w:sz w:val="20"/>
        <w:szCs w:val="20"/>
        <w:lang w:eastAsia="x-none" w:bidi="en-US"/>
      </w:rPr>
      <w:t>: Report on initial data collection and stakeholder consultation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2149358"/>
      <w:docPartObj>
        <w:docPartGallery w:val="Page Numbers (Top of Page)"/>
        <w:docPartUnique/>
      </w:docPartObj>
    </w:sdtPr>
    <w:sdtEndPr>
      <w:rPr>
        <w:rFonts w:ascii="Calibri" w:hAnsi="Calibri"/>
        <w:noProof/>
        <w:sz w:val="20"/>
        <w:szCs w:val="20"/>
        <w:lang w:eastAsia="x-none" w:bidi="en-US"/>
      </w:rPr>
    </w:sdtEndPr>
    <w:sdtContent>
      <w:p w14:paraId="4FFD2934" w14:textId="53F13553" w:rsidR="00802EE6" w:rsidRPr="001E2B08" w:rsidRDefault="00802EE6" w:rsidP="002D2DB6">
        <w:pPr>
          <w:pStyle w:val="Header"/>
          <w:spacing w:after="0" w:line="240" w:lineRule="auto"/>
          <w:jc w:val="right"/>
          <w:rPr>
            <w:rFonts w:ascii="Calibri" w:hAnsi="Calibri"/>
            <w:b/>
            <w:noProof/>
            <w:sz w:val="20"/>
            <w:szCs w:val="20"/>
            <w:lang w:eastAsia="x-none" w:bidi="en-US"/>
          </w:rPr>
        </w:pPr>
        <w:r w:rsidRPr="001E2B08">
          <w:rPr>
            <w:rFonts w:ascii="Calibri" w:hAnsi="Calibri"/>
            <w:b/>
            <w:noProof/>
            <w:sz w:val="20"/>
            <w:szCs w:val="20"/>
            <w:lang w:eastAsia="x-none" w:bidi="en-US"/>
          </w:rPr>
          <w:fldChar w:fldCharType="begin"/>
        </w:r>
        <w:r w:rsidRPr="001E2B08">
          <w:rPr>
            <w:rFonts w:ascii="Calibri" w:hAnsi="Calibri"/>
            <w:b/>
            <w:noProof/>
            <w:sz w:val="20"/>
            <w:szCs w:val="20"/>
            <w:lang w:eastAsia="x-none" w:bidi="en-US"/>
          </w:rPr>
          <w:instrText>PAGE   \* MERGEFORMAT</w:instrText>
        </w:r>
        <w:r w:rsidRPr="001E2B08">
          <w:rPr>
            <w:rFonts w:ascii="Calibri" w:hAnsi="Calibri"/>
            <w:b/>
            <w:noProof/>
            <w:sz w:val="20"/>
            <w:szCs w:val="20"/>
            <w:lang w:eastAsia="x-none" w:bidi="en-US"/>
          </w:rPr>
          <w:fldChar w:fldCharType="separate"/>
        </w:r>
        <w:r>
          <w:rPr>
            <w:rFonts w:ascii="Calibri" w:hAnsi="Calibri"/>
            <w:b/>
            <w:noProof/>
            <w:sz w:val="20"/>
            <w:szCs w:val="20"/>
            <w:lang w:eastAsia="x-none" w:bidi="en-US"/>
          </w:rPr>
          <w:t>13</w:t>
        </w:r>
        <w:r w:rsidRPr="001E2B08">
          <w:rPr>
            <w:rFonts w:ascii="Calibri" w:hAnsi="Calibri"/>
            <w:b/>
            <w:noProof/>
            <w:sz w:val="20"/>
            <w:szCs w:val="20"/>
            <w:lang w:eastAsia="x-none" w:bidi="en-US"/>
          </w:rPr>
          <w:fldChar w:fldCharType="end"/>
        </w:r>
        <w:r>
          <w:rPr>
            <w:rFonts w:ascii="Calibri" w:hAnsi="Calibri"/>
            <w:b/>
            <w:noProof/>
            <w:sz w:val="20"/>
            <w:szCs w:val="20"/>
            <w:lang w:eastAsia="x-none" w:bidi="en-US"/>
          </w:rPr>
          <w:br/>
        </w:r>
      </w:p>
      <w:p w14:paraId="3E22872F" w14:textId="62F68EC8" w:rsidR="00802EE6" w:rsidRPr="009464B0" w:rsidRDefault="00802EE6" w:rsidP="009464B0">
        <w:pPr>
          <w:pStyle w:val="Header"/>
          <w:spacing w:line="240" w:lineRule="auto"/>
          <w:jc w:val="right"/>
        </w:pPr>
        <w:r w:rsidRPr="00590D8E">
          <w:rPr>
            <w:rFonts w:ascii="Calibri" w:hAnsi="Calibri"/>
            <w:noProof/>
            <w:sz w:val="20"/>
            <w:szCs w:val="20"/>
            <w:lang w:eastAsia="x-none" w:bidi="en-US"/>
          </w:rPr>
          <w:t xml:space="preserve">Validation of </w:t>
        </w:r>
        <w:r>
          <w:rPr>
            <w:rFonts w:ascii="Calibri" w:hAnsi="Calibri"/>
            <w:noProof/>
            <w:sz w:val="20"/>
            <w:szCs w:val="20"/>
            <w:lang w:eastAsia="x-none" w:bidi="en-US"/>
          </w:rPr>
          <w:t xml:space="preserve">Afghanistan: </w:t>
        </w:r>
        <w:r w:rsidRPr="00590D8E">
          <w:rPr>
            <w:rFonts w:ascii="Calibri" w:hAnsi="Calibri"/>
            <w:noProof/>
            <w:sz w:val="20"/>
            <w:szCs w:val="20"/>
            <w:lang w:eastAsia="x-none" w:bidi="en-US"/>
          </w:rPr>
          <w:t>Report on initial data collection and stakeholder consultation</w:t>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5698867"/>
      <w:docPartObj>
        <w:docPartGallery w:val="Page Numbers (Top of Page)"/>
        <w:docPartUnique/>
      </w:docPartObj>
    </w:sdtPr>
    <w:sdtEndPr>
      <w:rPr>
        <w:rFonts w:ascii="Calibri" w:hAnsi="Calibri"/>
        <w:noProof/>
        <w:sz w:val="20"/>
        <w:szCs w:val="20"/>
        <w:lang w:eastAsia="x-none" w:bidi="en-US"/>
      </w:rPr>
    </w:sdtEndPr>
    <w:sdtContent>
      <w:p w14:paraId="743DDB50" w14:textId="2D2B39AF" w:rsidR="00802EE6" w:rsidRPr="001E2B08" w:rsidRDefault="00802EE6" w:rsidP="002D2DB6">
        <w:pPr>
          <w:pStyle w:val="Header"/>
          <w:spacing w:after="0" w:line="240" w:lineRule="auto"/>
          <w:jc w:val="right"/>
          <w:rPr>
            <w:rFonts w:ascii="Calibri" w:hAnsi="Calibri"/>
            <w:b/>
            <w:noProof/>
            <w:sz w:val="20"/>
            <w:szCs w:val="20"/>
            <w:lang w:eastAsia="x-none" w:bidi="en-US"/>
          </w:rPr>
        </w:pPr>
        <w:r w:rsidRPr="001E2B08">
          <w:rPr>
            <w:rFonts w:ascii="Calibri" w:hAnsi="Calibri"/>
            <w:b/>
            <w:noProof/>
            <w:sz w:val="20"/>
            <w:szCs w:val="20"/>
            <w:lang w:eastAsia="x-none" w:bidi="en-US"/>
          </w:rPr>
          <w:fldChar w:fldCharType="begin"/>
        </w:r>
        <w:r w:rsidRPr="001E2B08">
          <w:rPr>
            <w:rFonts w:ascii="Calibri" w:hAnsi="Calibri"/>
            <w:b/>
            <w:noProof/>
            <w:sz w:val="20"/>
            <w:szCs w:val="20"/>
            <w:lang w:eastAsia="x-none" w:bidi="en-US"/>
          </w:rPr>
          <w:instrText>PAGE   \* MERGEFORMAT</w:instrText>
        </w:r>
        <w:r w:rsidRPr="001E2B08">
          <w:rPr>
            <w:rFonts w:ascii="Calibri" w:hAnsi="Calibri"/>
            <w:b/>
            <w:noProof/>
            <w:sz w:val="20"/>
            <w:szCs w:val="20"/>
            <w:lang w:eastAsia="x-none" w:bidi="en-US"/>
          </w:rPr>
          <w:fldChar w:fldCharType="separate"/>
        </w:r>
        <w:r>
          <w:rPr>
            <w:rFonts w:ascii="Calibri" w:hAnsi="Calibri"/>
            <w:b/>
            <w:noProof/>
            <w:sz w:val="20"/>
            <w:szCs w:val="20"/>
            <w:lang w:eastAsia="x-none" w:bidi="en-US"/>
          </w:rPr>
          <w:t>19</w:t>
        </w:r>
        <w:r w:rsidRPr="001E2B08">
          <w:rPr>
            <w:rFonts w:ascii="Calibri" w:hAnsi="Calibri"/>
            <w:b/>
            <w:noProof/>
            <w:sz w:val="20"/>
            <w:szCs w:val="20"/>
            <w:lang w:eastAsia="x-none" w:bidi="en-US"/>
          </w:rPr>
          <w:fldChar w:fldCharType="end"/>
        </w:r>
        <w:r>
          <w:rPr>
            <w:rFonts w:ascii="Calibri" w:hAnsi="Calibri"/>
            <w:b/>
            <w:noProof/>
            <w:sz w:val="20"/>
            <w:szCs w:val="20"/>
            <w:lang w:eastAsia="x-none" w:bidi="en-US"/>
          </w:rPr>
          <w:br/>
        </w:r>
      </w:p>
      <w:p w14:paraId="04138094" w14:textId="4E49C2AA" w:rsidR="00802EE6" w:rsidRPr="009464B0" w:rsidRDefault="00802EE6" w:rsidP="009464B0">
        <w:pPr>
          <w:pStyle w:val="Header"/>
          <w:spacing w:line="240" w:lineRule="auto"/>
          <w:jc w:val="right"/>
        </w:pPr>
        <w:r w:rsidRPr="00590D8E">
          <w:rPr>
            <w:rFonts w:ascii="Calibri" w:hAnsi="Calibri"/>
            <w:noProof/>
            <w:sz w:val="20"/>
            <w:szCs w:val="20"/>
            <w:lang w:eastAsia="x-none" w:bidi="en-US"/>
          </w:rPr>
          <w:t xml:space="preserve">Validation of </w:t>
        </w:r>
        <w:r>
          <w:rPr>
            <w:rFonts w:ascii="Calibri" w:hAnsi="Calibri"/>
            <w:noProof/>
            <w:sz w:val="20"/>
            <w:szCs w:val="20"/>
            <w:lang w:eastAsia="x-none" w:bidi="en-US"/>
          </w:rPr>
          <w:t xml:space="preserve">Afghanistan: </w:t>
        </w:r>
        <w:r w:rsidRPr="00590D8E">
          <w:rPr>
            <w:rFonts w:ascii="Calibri" w:hAnsi="Calibri"/>
            <w:noProof/>
            <w:sz w:val="20"/>
            <w:szCs w:val="20"/>
            <w:lang w:eastAsia="x-none" w:bidi="en-US"/>
          </w:rPr>
          <w:t>Report on initial data collection and stakeholder consultation</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FA403228"/>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DCB48B2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19"/>
    <w:lvl w:ilvl="0">
      <w:start w:val="1"/>
      <w:numFmt w:val="bullet"/>
      <w:lvlText w:val=""/>
      <w:lvlJc w:val="left"/>
      <w:pPr>
        <w:tabs>
          <w:tab w:val="num" w:pos="0"/>
        </w:tabs>
      </w:pPr>
      <w:rPr>
        <w:rFonts w:ascii="Symbol" w:hAnsi="Symbol"/>
      </w:rPr>
    </w:lvl>
  </w:abstractNum>
  <w:abstractNum w:abstractNumId="3" w15:restartNumberingAfterBreak="0">
    <w:nsid w:val="00C7012A"/>
    <w:multiLevelType w:val="hybridMultilevel"/>
    <w:tmpl w:val="D3169C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2CB4975"/>
    <w:multiLevelType w:val="hybridMultilevel"/>
    <w:tmpl w:val="8EC829F0"/>
    <w:lvl w:ilvl="0" w:tplc="4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C115D6"/>
    <w:multiLevelType w:val="hybridMultilevel"/>
    <w:tmpl w:val="E0C68B1E"/>
    <w:lvl w:ilvl="0" w:tplc="4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F228E5"/>
    <w:multiLevelType w:val="multilevel"/>
    <w:tmpl w:val="08FA9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E56096"/>
    <w:multiLevelType w:val="hybridMultilevel"/>
    <w:tmpl w:val="4060F854"/>
    <w:lvl w:ilvl="0" w:tplc="4809000F">
      <w:start w:val="1"/>
      <w:numFmt w:val="decimal"/>
      <w:lvlText w:val="%1."/>
      <w:lvlJc w:val="left"/>
      <w:pPr>
        <w:ind w:left="644" w:hanging="360"/>
      </w:pPr>
      <w:rPr>
        <w:rFont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17D45DB0"/>
    <w:multiLevelType w:val="hybridMultilevel"/>
    <w:tmpl w:val="CE9028D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9" w15:restartNumberingAfterBreak="0">
    <w:nsid w:val="181342E7"/>
    <w:multiLevelType w:val="hybridMultilevel"/>
    <w:tmpl w:val="30988BDE"/>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10" w15:restartNumberingAfterBreak="0">
    <w:nsid w:val="1BF111E1"/>
    <w:multiLevelType w:val="hybridMultilevel"/>
    <w:tmpl w:val="28A002B4"/>
    <w:lvl w:ilvl="0" w:tplc="0409000F">
      <w:start w:val="1"/>
      <w:numFmt w:val="decimal"/>
      <w:lvlText w:val="%1."/>
      <w:lvlJc w:val="left"/>
      <w:pPr>
        <w:ind w:left="720" w:hanging="360"/>
      </w:pPr>
      <w:rPr>
        <w:rFonts w:hint="default"/>
      </w:rPr>
    </w:lvl>
    <w:lvl w:ilvl="1" w:tplc="0409001B">
      <w:start w:val="1"/>
      <w:numFmt w:val="lowerRoman"/>
      <w:lvlText w:val="%2."/>
      <w:lvlJc w:val="right"/>
      <w:pPr>
        <w:ind w:left="1620" w:hanging="360"/>
      </w:pPr>
    </w:lvl>
    <w:lvl w:ilvl="2" w:tplc="BEE01A7A">
      <w:start w:val="1"/>
      <w:numFmt w:val="lowerRoman"/>
      <w:lvlText w:val="%3."/>
      <w:lvlJc w:val="left"/>
      <w:pPr>
        <w:ind w:left="900" w:hanging="720"/>
      </w:pPr>
      <w:rPr>
        <w:rFonts w:hint="default"/>
      </w:rPr>
    </w:lvl>
    <w:lvl w:ilvl="3" w:tplc="204A1828">
      <w:start w:val="1"/>
      <w:numFmt w:val="decimal"/>
      <w:lvlText w:val="(%4)"/>
      <w:lvlJc w:val="left"/>
      <w:pPr>
        <w:ind w:left="360" w:hanging="360"/>
      </w:pPr>
      <w:rPr>
        <w:rFonts w:hint="default"/>
        <w:i/>
        <w:color w:val="4F6228"/>
      </w:rPr>
    </w:lvl>
    <w:lvl w:ilvl="4" w:tplc="29A86D94">
      <w:start w:val="1"/>
      <w:numFmt w:val="lowerLetter"/>
      <w:lvlText w:val="%5."/>
      <w:lvlJc w:val="left"/>
      <w:pPr>
        <w:ind w:left="1080" w:hanging="360"/>
      </w:pPr>
      <w:rPr>
        <w:rFonts w:hint="default"/>
        <w:u w:val="none"/>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A978CB"/>
    <w:multiLevelType w:val="hybridMultilevel"/>
    <w:tmpl w:val="94E6E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CD1207"/>
    <w:multiLevelType w:val="hybridMultilevel"/>
    <w:tmpl w:val="FE2A232C"/>
    <w:lvl w:ilvl="0" w:tplc="5E50AA52">
      <w:start w:val="201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572FA5"/>
    <w:multiLevelType w:val="hybridMultilevel"/>
    <w:tmpl w:val="F3C8E9A4"/>
    <w:lvl w:ilvl="0" w:tplc="CB2E3C3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D575AF"/>
    <w:multiLevelType w:val="hybridMultilevel"/>
    <w:tmpl w:val="9B3CB60C"/>
    <w:lvl w:ilvl="0" w:tplc="92AC62D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5B101E"/>
    <w:multiLevelType w:val="hybridMultilevel"/>
    <w:tmpl w:val="299A7B30"/>
    <w:lvl w:ilvl="0" w:tplc="3DA0A91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A62272"/>
    <w:multiLevelType w:val="hybridMultilevel"/>
    <w:tmpl w:val="E8DCF4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0104F8"/>
    <w:multiLevelType w:val="hybridMultilevel"/>
    <w:tmpl w:val="2B98BBB2"/>
    <w:lvl w:ilvl="0" w:tplc="7E62E894">
      <w:start w:val="8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1A4B99"/>
    <w:multiLevelType w:val="hybridMultilevel"/>
    <w:tmpl w:val="D1BC9F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74171EA"/>
    <w:multiLevelType w:val="multilevel"/>
    <w:tmpl w:val="EE82971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7C135C6"/>
    <w:multiLevelType w:val="hybridMultilevel"/>
    <w:tmpl w:val="5C9E9B02"/>
    <w:lvl w:ilvl="0" w:tplc="22905858">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EA3991"/>
    <w:multiLevelType w:val="hybridMultilevel"/>
    <w:tmpl w:val="62E08B8A"/>
    <w:lvl w:ilvl="0" w:tplc="C82AAD78">
      <w:start w:val="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3F02F8"/>
    <w:multiLevelType w:val="hybridMultilevel"/>
    <w:tmpl w:val="22E64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3E2E17"/>
    <w:multiLevelType w:val="hybridMultilevel"/>
    <w:tmpl w:val="068C71C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3EC0175B"/>
    <w:multiLevelType w:val="hybridMultilevel"/>
    <w:tmpl w:val="63786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2402C1"/>
    <w:multiLevelType w:val="hybridMultilevel"/>
    <w:tmpl w:val="90F80CC6"/>
    <w:lvl w:ilvl="0" w:tplc="A3C89FBC">
      <w:start w:val="2013"/>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514940"/>
    <w:multiLevelType w:val="hybridMultilevel"/>
    <w:tmpl w:val="46022E06"/>
    <w:lvl w:ilvl="0" w:tplc="00FE6084">
      <w:start w:val="1"/>
      <w:numFmt w:val="bullet"/>
      <w:pStyle w:val="ListBullet1"/>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DA34C9"/>
    <w:multiLevelType w:val="hybridMultilevel"/>
    <w:tmpl w:val="72E66656"/>
    <w:lvl w:ilvl="0" w:tplc="4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F90E22"/>
    <w:multiLevelType w:val="hybridMultilevel"/>
    <w:tmpl w:val="51C2F548"/>
    <w:lvl w:ilvl="0" w:tplc="0414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BD453EF"/>
    <w:multiLevelType w:val="hybridMultilevel"/>
    <w:tmpl w:val="56929E4A"/>
    <w:lvl w:ilvl="0" w:tplc="0906A8D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CB73C8"/>
    <w:multiLevelType w:val="hybridMultilevel"/>
    <w:tmpl w:val="00669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FE544C"/>
    <w:multiLevelType w:val="hybridMultilevel"/>
    <w:tmpl w:val="C7A80114"/>
    <w:lvl w:ilvl="0" w:tplc="DB4482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E514C3"/>
    <w:multiLevelType w:val="multilevel"/>
    <w:tmpl w:val="0EBEF396"/>
    <w:lvl w:ilvl="0">
      <w:start w:val="2014"/>
      <w:numFmt w:val="bullet"/>
      <w:lvlText w:val="-"/>
      <w:lvlJc w:val="left"/>
      <w:pPr>
        <w:ind w:left="720" w:hanging="360"/>
      </w:pPr>
      <w:rPr>
        <w:rFonts w:ascii="Calibri" w:eastAsia="Times New Roman"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57B0E71"/>
    <w:multiLevelType w:val="hybridMultilevel"/>
    <w:tmpl w:val="D75C9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8EE5D87"/>
    <w:multiLevelType w:val="hybridMultilevel"/>
    <w:tmpl w:val="22E06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3E59FF"/>
    <w:multiLevelType w:val="hybridMultilevel"/>
    <w:tmpl w:val="C23E40BE"/>
    <w:lvl w:ilvl="0" w:tplc="0409000F">
      <w:start w:val="1"/>
      <w:numFmt w:val="decimal"/>
      <w:lvlText w:val="%1."/>
      <w:lvlJc w:val="left"/>
      <w:pPr>
        <w:ind w:left="360" w:hanging="360"/>
      </w:pPr>
      <w:rPr>
        <w:rFonts w:hint="default"/>
      </w:rPr>
    </w:lvl>
    <w:lvl w:ilvl="1" w:tplc="D27A4A1E">
      <w:start w:val="1"/>
      <w:numFmt w:val="upperRoman"/>
      <w:lvlText w:val="%2."/>
      <w:lvlJc w:val="left"/>
      <w:pPr>
        <w:ind w:left="810" w:hanging="360"/>
      </w:pPr>
      <w:rPr>
        <w:rFonts w:ascii="Century Gothic" w:eastAsia="Calibri" w:hAnsi="Century Gothic" w:cs="Arial"/>
      </w:rPr>
    </w:lvl>
    <w:lvl w:ilvl="2" w:tplc="BEE01A7A">
      <w:start w:val="1"/>
      <w:numFmt w:val="lowerRoman"/>
      <w:lvlText w:val="%3."/>
      <w:lvlJc w:val="left"/>
      <w:pPr>
        <w:ind w:left="900" w:hanging="720"/>
      </w:pPr>
      <w:rPr>
        <w:rFonts w:hint="default"/>
      </w:rPr>
    </w:lvl>
    <w:lvl w:ilvl="3" w:tplc="204A1828">
      <w:start w:val="1"/>
      <w:numFmt w:val="decimal"/>
      <w:lvlText w:val="(%4)"/>
      <w:lvlJc w:val="left"/>
      <w:pPr>
        <w:ind w:left="0" w:hanging="360"/>
      </w:pPr>
      <w:rPr>
        <w:rFonts w:hint="default"/>
        <w:i/>
        <w:color w:val="4F6228"/>
      </w:rPr>
    </w:lvl>
    <w:lvl w:ilvl="4" w:tplc="29A86D94">
      <w:start w:val="1"/>
      <w:numFmt w:val="lowerLetter"/>
      <w:lvlText w:val="%5."/>
      <w:lvlJc w:val="left"/>
      <w:pPr>
        <w:ind w:left="720" w:hanging="360"/>
      </w:pPr>
      <w:rPr>
        <w:rFonts w:hint="default"/>
        <w:u w:val="none"/>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49B686C"/>
    <w:multiLevelType w:val="hybridMultilevel"/>
    <w:tmpl w:val="1EAC2B22"/>
    <w:lvl w:ilvl="0" w:tplc="0AACCEE8">
      <w:start w:val="5"/>
      <w:numFmt w:val="bullet"/>
      <w:lvlText w:val="-"/>
      <w:lvlJc w:val="left"/>
      <w:pPr>
        <w:ind w:left="720" w:hanging="360"/>
      </w:pPr>
      <w:rPr>
        <w:rFonts w:ascii="Calibri Light" w:eastAsia="Times New Roman" w:hAnsi="Calibri Ligh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00586C"/>
    <w:multiLevelType w:val="hybridMultilevel"/>
    <w:tmpl w:val="DDB8821C"/>
    <w:lvl w:ilvl="0" w:tplc="4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587E31"/>
    <w:multiLevelType w:val="hybridMultilevel"/>
    <w:tmpl w:val="DC16EC88"/>
    <w:lvl w:ilvl="0" w:tplc="4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1A14EB"/>
    <w:multiLevelType w:val="hybridMultilevel"/>
    <w:tmpl w:val="697E9C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95074DD"/>
    <w:multiLevelType w:val="hybridMultilevel"/>
    <w:tmpl w:val="FC420E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E481934"/>
    <w:multiLevelType w:val="hybridMultilevel"/>
    <w:tmpl w:val="392CAF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8470D1"/>
    <w:multiLevelType w:val="hybridMultilevel"/>
    <w:tmpl w:val="AD9016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180DB4"/>
    <w:multiLevelType w:val="hybridMultilevel"/>
    <w:tmpl w:val="895AD6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A3C1125"/>
    <w:multiLevelType w:val="multilevel"/>
    <w:tmpl w:val="50AEB7C0"/>
    <w:lvl w:ilvl="0">
      <w:start w:val="2"/>
      <w:numFmt w:val="decimal"/>
      <w:lvlText w:val="%1."/>
      <w:lvlJc w:val="left"/>
      <w:pPr>
        <w:ind w:left="786"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15:restartNumberingAfterBreak="0">
    <w:nsid w:val="7AB4179E"/>
    <w:multiLevelType w:val="hybridMultilevel"/>
    <w:tmpl w:val="D292DF58"/>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B9C7027"/>
    <w:multiLevelType w:val="hybridMultilevel"/>
    <w:tmpl w:val="D2165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CD1445A"/>
    <w:multiLevelType w:val="hybridMultilevel"/>
    <w:tmpl w:val="E050F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
  </w:num>
  <w:num w:numId="3">
    <w:abstractNumId w:val="0"/>
  </w:num>
  <w:num w:numId="4">
    <w:abstractNumId w:val="44"/>
  </w:num>
  <w:num w:numId="5">
    <w:abstractNumId w:val="24"/>
  </w:num>
  <w:num w:numId="6">
    <w:abstractNumId w:val="29"/>
  </w:num>
  <w:num w:numId="7">
    <w:abstractNumId w:val="25"/>
  </w:num>
  <w:num w:numId="8">
    <w:abstractNumId w:val="17"/>
  </w:num>
  <w:num w:numId="9">
    <w:abstractNumId w:val="36"/>
  </w:num>
  <w:num w:numId="10">
    <w:abstractNumId w:val="28"/>
  </w:num>
  <w:num w:numId="11">
    <w:abstractNumId w:val="6"/>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43"/>
  </w:num>
  <w:num w:numId="15">
    <w:abstractNumId w:val="18"/>
  </w:num>
  <w:num w:numId="16">
    <w:abstractNumId w:val="3"/>
  </w:num>
  <w:num w:numId="17">
    <w:abstractNumId w:val="45"/>
  </w:num>
  <w:num w:numId="18">
    <w:abstractNumId w:val="39"/>
  </w:num>
  <w:num w:numId="19">
    <w:abstractNumId w:val="33"/>
  </w:num>
  <w:num w:numId="20">
    <w:abstractNumId w:val="15"/>
  </w:num>
  <w:num w:numId="21">
    <w:abstractNumId w:val="47"/>
  </w:num>
  <w:num w:numId="22">
    <w:abstractNumId w:val="42"/>
  </w:num>
  <w:num w:numId="23">
    <w:abstractNumId w:val="29"/>
    <w:lvlOverride w:ilvl="0">
      <w:startOverride w:val="1"/>
    </w:lvlOverride>
  </w:num>
  <w:num w:numId="24">
    <w:abstractNumId w:val="29"/>
    <w:lvlOverride w:ilvl="0">
      <w:startOverride w:val="1"/>
    </w:lvlOverride>
  </w:num>
  <w:num w:numId="25">
    <w:abstractNumId w:val="29"/>
    <w:lvlOverride w:ilvl="0">
      <w:startOverride w:val="1"/>
    </w:lvlOverride>
  </w:num>
  <w:num w:numId="26">
    <w:abstractNumId w:val="29"/>
    <w:lvlOverride w:ilvl="0">
      <w:startOverride w:val="1"/>
    </w:lvlOverride>
  </w:num>
  <w:num w:numId="27">
    <w:abstractNumId w:val="29"/>
    <w:lvlOverride w:ilvl="0">
      <w:startOverride w:val="1"/>
    </w:lvlOverride>
  </w:num>
  <w:num w:numId="28">
    <w:abstractNumId w:val="34"/>
  </w:num>
  <w:num w:numId="29">
    <w:abstractNumId w:val="16"/>
  </w:num>
  <w:num w:numId="30">
    <w:abstractNumId w:val="22"/>
  </w:num>
  <w:num w:numId="31">
    <w:abstractNumId w:val="11"/>
  </w:num>
  <w:num w:numId="32">
    <w:abstractNumId w:val="14"/>
  </w:num>
  <w:num w:numId="33">
    <w:abstractNumId w:val="21"/>
  </w:num>
  <w:num w:numId="34">
    <w:abstractNumId w:val="31"/>
  </w:num>
  <w:num w:numId="35">
    <w:abstractNumId w:val="19"/>
  </w:num>
  <w:num w:numId="36">
    <w:abstractNumId w:val="40"/>
  </w:num>
  <w:num w:numId="37">
    <w:abstractNumId w:val="35"/>
  </w:num>
  <w:num w:numId="38">
    <w:abstractNumId w:val="10"/>
  </w:num>
  <w:num w:numId="39">
    <w:abstractNumId w:val="7"/>
  </w:num>
  <w:num w:numId="40">
    <w:abstractNumId w:val="4"/>
  </w:num>
  <w:num w:numId="41">
    <w:abstractNumId w:val="38"/>
  </w:num>
  <w:num w:numId="42">
    <w:abstractNumId w:val="37"/>
  </w:num>
  <w:num w:numId="43">
    <w:abstractNumId w:val="27"/>
  </w:num>
  <w:num w:numId="44">
    <w:abstractNumId w:val="5"/>
  </w:num>
  <w:num w:numId="45">
    <w:abstractNumId w:val="20"/>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0"/>
  </w:num>
  <w:num w:numId="48">
    <w:abstractNumId w:val="20"/>
    <w:lvlOverride w:ilvl="0">
      <w:startOverride w:val="1"/>
    </w:lvlOverride>
  </w:num>
  <w:num w:numId="49">
    <w:abstractNumId w:val="12"/>
  </w:num>
  <w:num w:numId="50">
    <w:abstractNumId w:val="32"/>
  </w:num>
  <w:num w:numId="51">
    <w:abstractNumId w:val="13"/>
  </w:num>
  <w:num w:numId="52">
    <w:abstractNumId w:val="41"/>
  </w:num>
  <w:num w:numId="53">
    <w:abstractNumId w:val="46"/>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ved Noorani">
    <w15:presenceInfo w15:providerId="AD" w15:userId="S-1-5-21-2052595845-4066310903-3906855599-133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GB" w:vendorID="64" w:dllVersion="6" w:nlCheck="1" w:checkStyle="0"/>
  <w:activeWritingStyle w:appName="MSWord" w:lang="en-US" w:vendorID="64" w:dllVersion="6" w:nlCheck="1" w:checkStyle="0"/>
  <w:activeWritingStyle w:appName="MSWord" w:lang="da-DK" w:vendorID="64" w:dllVersion="6" w:nlCheck="1" w:checkStyle="0"/>
  <w:activeWritingStyle w:appName="MSWord" w:lang="fr-FR" w:vendorID="64" w:dllVersion="6" w:nlCheck="1" w:checkStyle="1"/>
  <w:activeWritingStyle w:appName="MSWord" w:lang="es-ES" w:vendorID="64" w:dllVersion="6" w:nlCheck="1" w:checkStyle="0"/>
  <w:activeWritingStyle w:appName="MSWord" w:lang="nb-NO" w:vendorID="64" w:dllVersion="6" w:nlCheck="1" w:checkStyle="0"/>
  <w:activeWritingStyle w:appName="MSWord" w:lang="en-GB" w:vendorID="64" w:dllVersion="0" w:nlCheck="1" w:checkStyle="0"/>
  <w:activeWritingStyle w:appName="MSWord" w:lang="en-US" w:vendorID="64" w:dllVersion="0" w:nlCheck="1" w:checkStyle="0"/>
  <w:activeWritingStyle w:appName="MSWord" w:lang="nb-NO"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oNotHyphenateCaps/>
  <w:drawingGridHorizontalSpacing w:val="110"/>
  <w:drawingGridVerticalSpacing w:val="163"/>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61__i" w:val="H4sIAAAAAAAEAKtWckksSQxILCpxzi/NK1GyMqwFAAEhoTITAAAA"/>
    <w:docVar w:name="__grammarly61_1" w:val="H4sIAAAAAAAEAKtWcslPLs1NzSvxTFGyUjI0TjEzskxJ1TVKMzLUNUlLTNZNSjQ30LVMNjFJMTA3TTZPNVDSUQpOLS7OzM8DaTGuBQAw8hYeQwAAAA=="/>
  </w:docVars>
  <w:rsids>
    <w:rsidRoot w:val="00AF7641"/>
    <w:rsid w:val="000000C7"/>
    <w:rsid w:val="00000332"/>
    <w:rsid w:val="00000353"/>
    <w:rsid w:val="00000464"/>
    <w:rsid w:val="00000960"/>
    <w:rsid w:val="00000D49"/>
    <w:rsid w:val="00000DCD"/>
    <w:rsid w:val="00000F54"/>
    <w:rsid w:val="0000108F"/>
    <w:rsid w:val="0000120B"/>
    <w:rsid w:val="00001222"/>
    <w:rsid w:val="00001313"/>
    <w:rsid w:val="00001789"/>
    <w:rsid w:val="00001AE1"/>
    <w:rsid w:val="00001E35"/>
    <w:rsid w:val="00001EF3"/>
    <w:rsid w:val="00002168"/>
    <w:rsid w:val="00002478"/>
    <w:rsid w:val="0000276E"/>
    <w:rsid w:val="000027FC"/>
    <w:rsid w:val="00002B14"/>
    <w:rsid w:val="0000301D"/>
    <w:rsid w:val="0000309D"/>
    <w:rsid w:val="00003602"/>
    <w:rsid w:val="00003C4B"/>
    <w:rsid w:val="00003C77"/>
    <w:rsid w:val="000040BA"/>
    <w:rsid w:val="0000508C"/>
    <w:rsid w:val="0000536B"/>
    <w:rsid w:val="000054E1"/>
    <w:rsid w:val="0000561F"/>
    <w:rsid w:val="000059D9"/>
    <w:rsid w:val="00005A8D"/>
    <w:rsid w:val="0000615D"/>
    <w:rsid w:val="000062B8"/>
    <w:rsid w:val="000064E3"/>
    <w:rsid w:val="00006AAA"/>
    <w:rsid w:val="00007022"/>
    <w:rsid w:val="000070B8"/>
    <w:rsid w:val="0000715C"/>
    <w:rsid w:val="0000731C"/>
    <w:rsid w:val="00007421"/>
    <w:rsid w:val="00007623"/>
    <w:rsid w:val="00007756"/>
    <w:rsid w:val="000077D7"/>
    <w:rsid w:val="00007885"/>
    <w:rsid w:val="00007A1B"/>
    <w:rsid w:val="00007C21"/>
    <w:rsid w:val="000100EE"/>
    <w:rsid w:val="00010184"/>
    <w:rsid w:val="00010524"/>
    <w:rsid w:val="00010A6F"/>
    <w:rsid w:val="00010AC4"/>
    <w:rsid w:val="00010ACB"/>
    <w:rsid w:val="000110B9"/>
    <w:rsid w:val="00011166"/>
    <w:rsid w:val="00011251"/>
    <w:rsid w:val="0001128A"/>
    <w:rsid w:val="0001138F"/>
    <w:rsid w:val="000115F5"/>
    <w:rsid w:val="000119F5"/>
    <w:rsid w:val="00011FF0"/>
    <w:rsid w:val="00011FFE"/>
    <w:rsid w:val="0001207E"/>
    <w:rsid w:val="00012084"/>
    <w:rsid w:val="0001230C"/>
    <w:rsid w:val="00012664"/>
    <w:rsid w:val="00012715"/>
    <w:rsid w:val="00012C32"/>
    <w:rsid w:val="00012C9B"/>
    <w:rsid w:val="00012CF7"/>
    <w:rsid w:val="000134A9"/>
    <w:rsid w:val="000136D1"/>
    <w:rsid w:val="00013763"/>
    <w:rsid w:val="00013A3E"/>
    <w:rsid w:val="00013AE0"/>
    <w:rsid w:val="00013CF8"/>
    <w:rsid w:val="00013D31"/>
    <w:rsid w:val="00013D9B"/>
    <w:rsid w:val="00013E38"/>
    <w:rsid w:val="000140DE"/>
    <w:rsid w:val="0001417A"/>
    <w:rsid w:val="000143E6"/>
    <w:rsid w:val="00014BB3"/>
    <w:rsid w:val="00015341"/>
    <w:rsid w:val="000153B7"/>
    <w:rsid w:val="000157D8"/>
    <w:rsid w:val="00015B48"/>
    <w:rsid w:val="00015C19"/>
    <w:rsid w:val="00015C71"/>
    <w:rsid w:val="00015D48"/>
    <w:rsid w:val="00015F69"/>
    <w:rsid w:val="00016404"/>
    <w:rsid w:val="0001647F"/>
    <w:rsid w:val="0001649E"/>
    <w:rsid w:val="000171F9"/>
    <w:rsid w:val="00017744"/>
    <w:rsid w:val="00017AB6"/>
    <w:rsid w:val="00017EC0"/>
    <w:rsid w:val="00017EE3"/>
    <w:rsid w:val="0002018C"/>
    <w:rsid w:val="000201F1"/>
    <w:rsid w:val="00020458"/>
    <w:rsid w:val="00020AC7"/>
    <w:rsid w:val="00020F8B"/>
    <w:rsid w:val="000210D4"/>
    <w:rsid w:val="000214CC"/>
    <w:rsid w:val="000214DA"/>
    <w:rsid w:val="0002180C"/>
    <w:rsid w:val="00021976"/>
    <w:rsid w:val="00021B65"/>
    <w:rsid w:val="00021BF6"/>
    <w:rsid w:val="00021CC8"/>
    <w:rsid w:val="00021D83"/>
    <w:rsid w:val="00021FCA"/>
    <w:rsid w:val="000220B0"/>
    <w:rsid w:val="00022834"/>
    <w:rsid w:val="00022977"/>
    <w:rsid w:val="00022C84"/>
    <w:rsid w:val="00022D1D"/>
    <w:rsid w:val="0002301E"/>
    <w:rsid w:val="00023287"/>
    <w:rsid w:val="000237BE"/>
    <w:rsid w:val="00023BDA"/>
    <w:rsid w:val="00023E07"/>
    <w:rsid w:val="00024144"/>
    <w:rsid w:val="000243FC"/>
    <w:rsid w:val="00024481"/>
    <w:rsid w:val="00024779"/>
    <w:rsid w:val="000249B2"/>
    <w:rsid w:val="00024DB2"/>
    <w:rsid w:val="0002500A"/>
    <w:rsid w:val="000250C6"/>
    <w:rsid w:val="00025131"/>
    <w:rsid w:val="000251B3"/>
    <w:rsid w:val="00025202"/>
    <w:rsid w:val="0002538F"/>
    <w:rsid w:val="00025751"/>
    <w:rsid w:val="00025877"/>
    <w:rsid w:val="00025B8B"/>
    <w:rsid w:val="00025C89"/>
    <w:rsid w:val="00025CF5"/>
    <w:rsid w:val="0002669A"/>
    <w:rsid w:val="00026727"/>
    <w:rsid w:val="00026960"/>
    <w:rsid w:val="00026C5D"/>
    <w:rsid w:val="00026D3B"/>
    <w:rsid w:val="000270E1"/>
    <w:rsid w:val="00027186"/>
    <w:rsid w:val="00027403"/>
    <w:rsid w:val="0002746E"/>
    <w:rsid w:val="00027607"/>
    <w:rsid w:val="0002762B"/>
    <w:rsid w:val="000278E8"/>
    <w:rsid w:val="00027AC3"/>
    <w:rsid w:val="00027AF6"/>
    <w:rsid w:val="0003013E"/>
    <w:rsid w:val="000302E6"/>
    <w:rsid w:val="000302EF"/>
    <w:rsid w:val="000304F7"/>
    <w:rsid w:val="000305F4"/>
    <w:rsid w:val="000306B9"/>
    <w:rsid w:val="000309A6"/>
    <w:rsid w:val="00030AE1"/>
    <w:rsid w:val="000310BA"/>
    <w:rsid w:val="000312E9"/>
    <w:rsid w:val="0003174A"/>
    <w:rsid w:val="000317A1"/>
    <w:rsid w:val="00031933"/>
    <w:rsid w:val="00031A23"/>
    <w:rsid w:val="00031EA7"/>
    <w:rsid w:val="00031FAF"/>
    <w:rsid w:val="000327F7"/>
    <w:rsid w:val="00032E4E"/>
    <w:rsid w:val="00032FB5"/>
    <w:rsid w:val="00033069"/>
    <w:rsid w:val="000330B8"/>
    <w:rsid w:val="000330DE"/>
    <w:rsid w:val="000331C4"/>
    <w:rsid w:val="000331F1"/>
    <w:rsid w:val="0003360F"/>
    <w:rsid w:val="000336BF"/>
    <w:rsid w:val="0003432F"/>
    <w:rsid w:val="0003436B"/>
    <w:rsid w:val="00034474"/>
    <w:rsid w:val="00034884"/>
    <w:rsid w:val="000349DB"/>
    <w:rsid w:val="00034C97"/>
    <w:rsid w:val="00034DC5"/>
    <w:rsid w:val="00034F0E"/>
    <w:rsid w:val="00035461"/>
    <w:rsid w:val="0003581F"/>
    <w:rsid w:val="00035894"/>
    <w:rsid w:val="00035B5D"/>
    <w:rsid w:val="00035B94"/>
    <w:rsid w:val="00035D06"/>
    <w:rsid w:val="00035DC4"/>
    <w:rsid w:val="00035F3D"/>
    <w:rsid w:val="00035FCC"/>
    <w:rsid w:val="000360E8"/>
    <w:rsid w:val="000361CC"/>
    <w:rsid w:val="000363D0"/>
    <w:rsid w:val="000364B8"/>
    <w:rsid w:val="00036539"/>
    <w:rsid w:val="00036D68"/>
    <w:rsid w:val="0003702D"/>
    <w:rsid w:val="0003714B"/>
    <w:rsid w:val="0003721E"/>
    <w:rsid w:val="00037592"/>
    <w:rsid w:val="000377CF"/>
    <w:rsid w:val="00037859"/>
    <w:rsid w:val="0003796F"/>
    <w:rsid w:val="000379C4"/>
    <w:rsid w:val="00037A18"/>
    <w:rsid w:val="00037CAC"/>
    <w:rsid w:val="00040593"/>
    <w:rsid w:val="00040798"/>
    <w:rsid w:val="00040935"/>
    <w:rsid w:val="00040B42"/>
    <w:rsid w:val="00040C61"/>
    <w:rsid w:val="000411DE"/>
    <w:rsid w:val="000413CD"/>
    <w:rsid w:val="00041842"/>
    <w:rsid w:val="000418B4"/>
    <w:rsid w:val="00041B92"/>
    <w:rsid w:val="00041B96"/>
    <w:rsid w:val="00041BA0"/>
    <w:rsid w:val="00041CE7"/>
    <w:rsid w:val="00041DCB"/>
    <w:rsid w:val="00041E8F"/>
    <w:rsid w:val="00041EFD"/>
    <w:rsid w:val="000421EF"/>
    <w:rsid w:val="0004276C"/>
    <w:rsid w:val="00042C47"/>
    <w:rsid w:val="00043069"/>
    <w:rsid w:val="00043236"/>
    <w:rsid w:val="00043452"/>
    <w:rsid w:val="000435D1"/>
    <w:rsid w:val="000439D3"/>
    <w:rsid w:val="00043B23"/>
    <w:rsid w:val="00043D85"/>
    <w:rsid w:val="00043F65"/>
    <w:rsid w:val="0004422D"/>
    <w:rsid w:val="0004495E"/>
    <w:rsid w:val="00044AE0"/>
    <w:rsid w:val="00044B68"/>
    <w:rsid w:val="00044CFA"/>
    <w:rsid w:val="0004518F"/>
    <w:rsid w:val="000451A9"/>
    <w:rsid w:val="00045490"/>
    <w:rsid w:val="000454C6"/>
    <w:rsid w:val="000459D2"/>
    <w:rsid w:val="00045BCD"/>
    <w:rsid w:val="00045C99"/>
    <w:rsid w:val="00045DFD"/>
    <w:rsid w:val="000460DC"/>
    <w:rsid w:val="0004618F"/>
    <w:rsid w:val="000464A0"/>
    <w:rsid w:val="000464A3"/>
    <w:rsid w:val="0004682B"/>
    <w:rsid w:val="0004729A"/>
    <w:rsid w:val="00047446"/>
    <w:rsid w:val="0004792B"/>
    <w:rsid w:val="00047AEB"/>
    <w:rsid w:val="00047B58"/>
    <w:rsid w:val="00047BF5"/>
    <w:rsid w:val="00047D79"/>
    <w:rsid w:val="00047DA0"/>
    <w:rsid w:val="00050132"/>
    <w:rsid w:val="000502A1"/>
    <w:rsid w:val="000505B8"/>
    <w:rsid w:val="00050904"/>
    <w:rsid w:val="00050954"/>
    <w:rsid w:val="00050EEE"/>
    <w:rsid w:val="00050F0B"/>
    <w:rsid w:val="000512E5"/>
    <w:rsid w:val="00051670"/>
    <w:rsid w:val="000519AF"/>
    <w:rsid w:val="000519E5"/>
    <w:rsid w:val="00051F38"/>
    <w:rsid w:val="000521D7"/>
    <w:rsid w:val="0005223F"/>
    <w:rsid w:val="0005226D"/>
    <w:rsid w:val="00052ECE"/>
    <w:rsid w:val="00052F68"/>
    <w:rsid w:val="0005339D"/>
    <w:rsid w:val="00053447"/>
    <w:rsid w:val="00053472"/>
    <w:rsid w:val="00053976"/>
    <w:rsid w:val="000539B9"/>
    <w:rsid w:val="000539D8"/>
    <w:rsid w:val="00053BA7"/>
    <w:rsid w:val="00053E62"/>
    <w:rsid w:val="00053EFA"/>
    <w:rsid w:val="00053F45"/>
    <w:rsid w:val="00053F69"/>
    <w:rsid w:val="00053FEB"/>
    <w:rsid w:val="00054697"/>
    <w:rsid w:val="0005496B"/>
    <w:rsid w:val="00054D84"/>
    <w:rsid w:val="00054E4E"/>
    <w:rsid w:val="000550FD"/>
    <w:rsid w:val="000554A4"/>
    <w:rsid w:val="0005564B"/>
    <w:rsid w:val="000556E7"/>
    <w:rsid w:val="000558BD"/>
    <w:rsid w:val="000559B9"/>
    <w:rsid w:val="00055E96"/>
    <w:rsid w:val="00055EEB"/>
    <w:rsid w:val="00055F0C"/>
    <w:rsid w:val="0005652A"/>
    <w:rsid w:val="00056A60"/>
    <w:rsid w:val="00056A61"/>
    <w:rsid w:val="00056BF6"/>
    <w:rsid w:val="000572D7"/>
    <w:rsid w:val="00057DB0"/>
    <w:rsid w:val="00060071"/>
    <w:rsid w:val="00060074"/>
    <w:rsid w:val="0006010F"/>
    <w:rsid w:val="00060637"/>
    <w:rsid w:val="00060EB4"/>
    <w:rsid w:val="00061075"/>
    <w:rsid w:val="00061157"/>
    <w:rsid w:val="0006135F"/>
    <w:rsid w:val="00061450"/>
    <w:rsid w:val="00061547"/>
    <w:rsid w:val="00061862"/>
    <w:rsid w:val="000618E9"/>
    <w:rsid w:val="00061932"/>
    <w:rsid w:val="00061A6E"/>
    <w:rsid w:val="00061BDE"/>
    <w:rsid w:val="00062369"/>
    <w:rsid w:val="00062381"/>
    <w:rsid w:val="00062526"/>
    <w:rsid w:val="00062530"/>
    <w:rsid w:val="000625A3"/>
    <w:rsid w:val="000625E3"/>
    <w:rsid w:val="00062741"/>
    <w:rsid w:val="000628BD"/>
    <w:rsid w:val="00062B16"/>
    <w:rsid w:val="00062BCC"/>
    <w:rsid w:val="00062C71"/>
    <w:rsid w:val="0006322B"/>
    <w:rsid w:val="000634FC"/>
    <w:rsid w:val="00063876"/>
    <w:rsid w:val="00063E9B"/>
    <w:rsid w:val="00063FDB"/>
    <w:rsid w:val="0006419C"/>
    <w:rsid w:val="00064604"/>
    <w:rsid w:val="00064A22"/>
    <w:rsid w:val="00064B63"/>
    <w:rsid w:val="00064E90"/>
    <w:rsid w:val="00065257"/>
    <w:rsid w:val="000652C2"/>
    <w:rsid w:val="000652EE"/>
    <w:rsid w:val="00065385"/>
    <w:rsid w:val="0006551F"/>
    <w:rsid w:val="00065833"/>
    <w:rsid w:val="00065AF0"/>
    <w:rsid w:val="00065B5E"/>
    <w:rsid w:val="00065C19"/>
    <w:rsid w:val="00065EF2"/>
    <w:rsid w:val="00066104"/>
    <w:rsid w:val="000663A2"/>
    <w:rsid w:val="000664D0"/>
    <w:rsid w:val="000668E1"/>
    <w:rsid w:val="00066C59"/>
    <w:rsid w:val="00066C68"/>
    <w:rsid w:val="00066D43"/>
    <w:rsid w:val="000673EB"/>
    <w:rsid w:val="000678F6"/>
    <w:rsid w:val="00067982"/>
    <w:rsid w:val="00067C84"/>
    <w:rsid w:val="00067D1F"/>
    <w:rsid w:val="000701AE"/>
    <w:rsid w:val="0007062A"/>
    <w:rsid w:val="00070648"/>
    <w:rsid w:val="00070741"/>
    <w:rsid w:val="00070863"/>
    <w:rsid w:val="00070986"/>
    <w:rsid w:val="00070CCB"/>
    <w:rsid w:val="00070D85"/>
    <w:rsid w:val="00071204"/>
    <w:rsid w:val="000715F8"/>
    <w:rsid w:val="000717CE"/>
    <w:rsid w:val="000719F1"/>
    <w:rsid w:val="00071F3F"/>
    <w:rsid w:val="00072038"/>
    <w:rsid w:val="000721B1"/>
    <w:rsid w:val="000722F1"/>
    <w:rsid w:val="00072467"/>
    <w:rsid w:val="00072491"/>
    <w:rsid w:val="0007279A"/>
    <w:rsid w:val="0007288E"/>
    <w:rsid w:val="000728F4"/>
    <w:rsid w:val="00072BB6"/>
    <w:rsid w:val="00072CCB"/>
    <w:rsid w:val="00072DC3"/>
    <w:rsid w:val="00072F23"/>
    <w:rsid w:val="000730AE"/>
    <w:rsid w:val="000731BA"/>
    <w:rsid w:val="000736A1"/>
    <w:rsid w:val="00073860"/>
    <w:rsid w:val="0007391C"/>
    <w:rsid w:val="00073D61"/>
    <w:rsid w:val="00073D70"/>
    <w:rsid w:val="00073FBC"/>
    <w:rsid w:val="000740DD"/>
    <w:rsid w:val="000744D6"/>
    <w:rsid w:val="00074597"/>
    <w:rsid w:val="00074612"/>
    <w:rsid w:val="0007477A"/>
    <w:rsid w:val="000747C6"/>
    <w:rsid w:val="00074AFF"/>
    <w:rsid w:val="00074B2C"/>
    <w:rsid w:val="00074F09"/>
    <w:rsid w:val="00075071"/>
    <w:rsid w:val="000750E0"/>
    <w:rsid w:val="00075167"/>
    <w:rsid w:val="000753C3"/>
    <w:rsid w:val="00075701"/>
    <w:rsid w:val="00075DFB"/>
    <w:rsid w:val="0007633A"/>
    <w:rsid w:val="000766BB"/>
    <w:rsid w:val="000768FD"/>
    <w:rsid w:val="00076AB7"/>
    <w:rsid w:val="00076EF8"/>
    <w:rsid w:val="00077228"/>
    <w:rsid w:val="000772ED"/>
    <w:rsid w:val="00077639"/>
    <w:rsid w:val="000778B4"/>
    <w:rsid w:val="00077C0A"/>
    <w:rsid w:val="00077FBE"/>
    <w:rsid w:val="000800AD"/>
    <w:rsid w:val="000804BE"/>
    <w:rsid w:val="00080527"/>
    <w:rsid w:val="0008067C"/>
    <w:rsid w:val="0008071A"/>
    <w:rsid w:val="000808D9"/>
    <w:rsid w:val="00080A38"/>
    <w:rsid w:val="00080BA3"/>
    <w:rsid w:val="000810F1"/>
    <w:rsid w:val="0008124D"/>
    <w:rsid w:val="00081347"/>
    <w:rsid w:val="00081B37"/>
    <w:rsid w:val="000826E5"/>
    <w:rsid w:val="000829B9"/>
    <w:rsid w:val="00082E47"/>
    <w:rsid w:val="00082F2C"/>
    <w:rsid w:val="000832F1"/>
    <w:rsid w:val="00083514"/>
    <w:rsid w:val="00083537"/>
    <w:rsid w:val="000836A7"/>
    <w:rsid w:val="00083719"/>
    <w:rsid w:val="0008371E"/>
    <w:rsid w:val="00083AF2"/>
    <w:rsid w:val="00083B8C"/>
    <w:rsid w:val="00083FEC"/>
    <w:rsid w:val="00084081"/>
    <w:rsid w:val="0008426E"/>
    <w:rsid w:val="000842C0"/>
    <w:rsid w:val="0008448E"/>
    <w:rsid w:val="000844B5"/>
    <w:rsid w:val="0008496E"/>
    <w:rsid w:val="00084E86"/>
    <w:rsid w:val="00084F13"/>
    <w:rsid w:val="00085070"/>
    <w:rsid w:val="000850D5"/>
    <w:rsid w:val="0008569E"/>
    <w:rsid w:val="000857BB"/>
    <w:rsid w:val="000859BD"/>
    <w:rsid w:val="00085D87"/>
    <w:rsid w:val="00085E41"/>
    <w:rsid w:val="00085F11"/>
    <w:rsid w:val="00085F1B"/>
    <w:rsid w:val="00086211"/>
    <w:rsid w:val="0008662A"/>
    <w:rsid w:val="00086B81"/>
    <w:rsid w:val="00086FF7"/>
    <w:rsid w:val="000870B8"/>
    <w:rsid w:val="0008723B"/>
    <w:rsid w:val="000873AE"/>
    <w:rsid w:val="000873CD"/>
    <w:rsid w:val="00087486"/>
    <w:rsid w:val="0008756C"/>
    <w:rsid w:val="000877BB"/>
    <w:rsid w:val="00087A14"/>
    <w:rsid w:val="00087E0F"/>
    <w:rsid w:val="00087F8C"/>
    <w:rsid w:val="0009048F"/>
    <w:rsid w:val="000909D1"/>
    <w:rsid w:val="00090B30"/>
    <w:rsid w:val="00090F18"/>
    <w:rsid w:val="000911DC"/>
    <w:rsid w:val="000911E9"/>
    <w:rsid w:val="0009134C"/>
    <w:rsid w:val="00091729"/>
    <w:rsid w:val="00091CE0"/>
    <w:rsid w:val="00091EFE"/>
    <w:rsid w:val="0009208F"/>
    <w:rsid w:val="000920C2"/>
    <w:rsid w:val="0009216F"/>
    <w:rsid w:val="000924E3"/>
    <w:rsid w:val="00092669"/>
    <w:rsid w:val="000929B5"/>
    <w:rsid w:val="000929E1"/>
    <w:rsid w:val="00092CCD"/>
    <w:rsid w:val="0009308F"/>
    <w:rsid w:val="000934B3"/>
    <w:rsid w:val="000937CC"/>
    <w:rsid w:val="0009391A"/>
    <w:rsid w:val="00093C72"/>
    <w:rsid w:val="00093D84"/>
    <w:rsid w:val="00093E86"/>
    <w:rsid w:val="00093FF2"/>
    <w:rsid w:val="00094325"/>
    <w:rsid w:val="000946F9"/>
    <w:rsid w:val="000947FC"/>
    <w:rsid w:val="00094882"/>
    <w:rsid w:val="000948BD"/>
    <w:rsid w:val="000948EE"/>
    <w:rsid w:val="00094933"/>
    <w:rsid w:val="000949EE"/>
    <w:rsid w:val="00094A97"/>
    <w:rsid w:val="00094CFD"/>
    <w:rsid w:val="00094DDD"/>
    <w:rsid w:val="00095306"/>
    <w:rsid w:val="0009531C"/>
    <w:rsid w:val="000954EC"/>
    <w:rsid w:val="000957BD"/>
    <w:rsid w:val="00095F4D"/>
    <w:rsid w:val="000962CD"/>
    <w:rsid w:val="000968D7"/>
    <w:rsid w:val="00096AA7"/>
    <w:rsid w:val="00096C7C"/>
    <w:rsid w:val="00096D49"/>
    <w:rsid w:val="000971F5"/>
    <w:rsid w:val="000972E3"/>
    <w:rsid w:val="000973CB"/>
    <w:rsid w:val="000973E3"/>
    <w:rsid w:val="0009750C"/>
    <w:rsid w:val="0009767D"/>
    <w:rsid w:val="0009795A"/>
    <w:rsid w:val="00097A62"/>
    <w:rsid w:val="00097A74"/>
    <w:rsid w:val="00097D3F"/>
    <w:rsid w:val="00097F7C"/>
    <w:rsid w:val="00097F99"/>
    <w:rsid w:val="000A0046"/>
    <w:rsid w:val="000A00A2"/>
    <w:rsid w:val="000A00E7"/>
    <w:rsid w:val="000A03A3"/>
    <w:rsid w:val="000A08A0"/>
    <w:rsid w:val="000A0A2B"/>
    <w:rsid w:val="000A13E5"/>
    <w:rsid w:val="000A1560"/>
    <w:rsid w:val="000A1642"/>
    <w:rsid w:val="000A1869"/>
    <w:rsid w:val="000A199B"/>
    <w:rsid w:val="000A1FD9"/>
    <w:rsid w:val="000A2111"/>
    <w:rsid w:val="000A224E"/>
    <w:rsid w:val="000A238B"/>
    <w:rsid w:val="000A2748"/>
    <w:rsid w:val="000A28CC"/>
    <w:rsid w:val="000A2C2A"/>
    <w:rsid w:val="000A2EFB"/>
    <w:rsid w:val="000A2F00"/>
    <w:rsid w:val="000A3096"/>
    <w:rsid w:val="000A3702"/>
    <w:rsid w:val="000A39FE"/>
    <w:rsid w:val="000A3A8C"/>
    <w:rsid w:val="000A3C9B"/>
    <w:rsid w:val="000A3FEA"/>
    <w:rsid w:val="000A4068"/>
    <w:rsid w:val="000A43B1"/>
    <w:rsid w:val="000A45F4"/>
    <w:rsid w:val="000A477D"/>
    <w:rsid w:val="000A4BB0"/>
    <w:rsid w:val="000A4DFE"/>
    <w:rsid w:val="000A4FBC"/>
    <w:rsid w:val="000A4FFD"/>
    <w:rsid w:val="000A5063"/>
    <w:rsid w:val="000A51BA"/>
    <w:rsid w:val="000A52F9"/>
    <w:rsid w:val="000A569B"/>
    <w:rsid w:val="000A589D"/>
    <w:rsid w:val="000A5B06"/>
    <w:rsid w:val="000A5B29"/>
    <w:rsid w:val="000A5EC5"/>
    <w:rsid w:val="000A5F60"/>
    <w:rsid w:val="000A5F6F"/>
    <w:rsid w:val="000A60BB"/>
    <w:rsid w:val="000A6142"/>
    <w:rsid w:val="000A62BC"/>
    <w:rsid w:val="000A63DC"/>
    <w:rsid w:val="000A69B1"/>
    <w:rsid w:val="000A6C04"/>
    <w:rsid w:val="000A6E52"/>
    <w:rsid w:val="000A6FB9"/>
    <w:rsid w:val="000A7013"/>
    <w:rsid w:val="000A74A6"/>
    <w:rsid w:val="000A7506"/>
    <w:rsid w:val="000A75B7"/>
    <w:rsid w:val="000A7A93"/>
    <w:rsid w:val="000B02CA"/>
    <w:rsid w:val="000B0306"/>
    <w:rsid w:val="000B0550"/>
    <w:rsid w:val="000B05A1"/>
    <w:rsid w:val="000B06D8"/>
    <w:rsid w:val="000B07BD"/>
    <w:rsid w:val="000B0C27"/>
    <w:rsid w:val="000B0D5F"/>
    <w:rsid w:val="000B14B6"/>
    <w:rsid w:val="000B1E81"/>
    <w:rsid w:val="000B1FA1"/>
    <w:rsid w:val="000B2072"/>
    <w:rsid w:val="000B22AF"/>
    <w:rsid w:val="000B2524"/>
    <w:rsid w:val="000B270C"/>
    <w:rsid w:val="000B2827"/>
    <w:rsid w:val="000B2C77"/>
    <w:rsid w:val="000B2D14"/>
    <w:rsid w:val="000B2E42"/>
    <w:rsid w:val="000B340C"/>
    <w:rsid w:val="000B366C"/>
    <w:rsid w:val="000B36B4"/>
    <w:rsid w:val="000B3761"/>
    <w:rsid w:val="000B3768"/>
    <w:rsid w:val="000B3A87"/>
    <w:rsid w:val="000B3B7E"/>
    <w:rsid w:val="000B3BDB"/>
    <w:rsid w:val="000B4093"/>
    <w:rsid w:val="000B42DA"/>
    <w:rsid w:val="000B4548"/>
    <w:rsid w:val="000B4785"/>
    <w:rsid w:val="000B47A7"/>
    <w:rsid w:val="000B480E"/>
    <w:rsid w:val="000B484D"/>
    <w:rsid w:val="000B4A40"/>
    <w:rsid w:val="000B4E22"/>
    <w:rsid w:val="000B50A0"/>
    <w:rsid w:val="000B5462"/>
    <w:rsid w:val="000B54A6"/>
    <w:rsid w:val="000B57B2"/>
    <w:rsid w:val="000B57D7"/>
    <w:rsid w:val="000B57E9"/>
    <w:rsid w:val="000B5842"/>
    <w:rsid w:val="000B5861"/>
    <w:rsid w:val="000B5926"/>
    <w:rsid w:val="000B59A5"/>
    <w:rsid w:val="000B5C6A"/>
    <w:rsid w:val="000B5EAE"/>
    <w:rsid w:val="000B5FF0"/>
    <w:rsid w:val="000B6177"/>
    <w:rsid w:val="000B62FA"/>
    <w:rsid w:val="000B65C2"/>
    <w:rsid w:val="000B66C3"/>
    <w:rsid w:val="000B6BB7"/>
    <w:rsid w:val="000B6DC9"/>
    <w:rsid w:val="000B6E0C"/>
    <w:rsid w:val="000B6E33"/>
    <w:rsid w:val="000B70D0"/>
    <w:rsid w:val="000B72EB"/>
    <w:rsid w:val="000B75F3"/>
    <w:rsid w:val="000B76FA"/>
    <w:rsid w:val="000B7837"/>
    <w:rsid w:val="000B784F"/>
    <w:rsid w:val="000B78BE"/>
    <w:rsid w:val="000B7C78"/>
    <w:rsid w:val="000B7CEB"/>
    <w:rsid w:val="000B7D5D"/>
    <w:rsid w:val="000C01B3"/>
    <w:rsid w:val="000C049D"/>
    <w:rsid w:val="000C0588"/>
    <w:rsid w:val="000C0933"/>
    <w:rsid w:val="000C0A70"/>
    <w:rsid w:val="000C0D5E"/>
    <w:rsid w:val="000C0E7B"/>
    <w:rsid w:val="000C102B"/>
    <w:rsid w:val="000C13EE"/>
    <w:rsid w:val="000C13FD"/>
    <w:rsid w:val="000C1436"/>
    <w:rsid w:val="000C1670"/>
    <w:rsid w:val="000C1759"/>
    <w:rsid w:val="000C1793"/>
    <w:rsid w:val="000C19FF"/>
    <w:rsid w:val="000C1B3A"/>
    <w:rsid w:val="000C1BE6"/>
    <w:rsid w:val="000C1F59"/>
    <w:rsid w:val="000C1F6C"/>
    <w:rsid w:val="000C1FE6"/>
    <w:rsid w:val="000C2271"/>
    <w:rsid w:val="000C269D"/>
    <w:rsid w:val="000C28B7"/>
    <w:rsid w:val="000C2A24"/>
    <w:rsid w:val="000C2BC3"/>
    <w:rsid w:val="000C2E40"/>
    <w:rsid w:val="000C3208"/>
    <w:rsid w:val="000C35DD"/>
    <w:rsid w:val="000C36C5"/>
    <w:rsid w:val="000C3813"/>
    <w:rsid w:val="000C3C61"/>
    <w:rsid w:val="000C3F45"/>
    <w:rsid w:val="000C420B"/>
    <w:rsid w:val="000C45E3"/>
    <w:rsid w:val="000C4604"/>
    <w:rsid w:val="000C4A51"/>
    <w:rsid w:val="000C4BE0"/>
    <w:rsid w:val="000C4CD8"/>
    <w:rsid w:val="000C4EF8"/>
    <w:rsid w:val="000C5442"/>
    <w:rsid w:val="000C5553"/>
    <w:rsid w:val="000C55A5"/>
    <w:rsid w:val="000C566A"/>
    <w:rsid w:val="000C5685"/>
    <w:rsid w:val="000C5730"/>
    <w:rsid w:val="000C574A"/>
    <w:rsid w:val="000C5A1B"/>
    <w:rsid w:val="000C5ADD"/>
    <w:rsid w:val="000C5C2F"/>
    <w:rsid w:val="000C5C53"/>
    <w:rsid w:val="000C6476"/>
    <w:rsid w:val="000C647E"/>
    <w:rsid w:val="000C64EE"/>
    <w:rsid w:val="000C658E"/>
    <w:rsid w:val="000C687A"/>
    <w:rsid w:val="000C68F4"/>
    <w:rsid w:val="000C6B17"/>
    <w:rsid w:val="000C6BF0"/>
    <w:rsid w:val="000C6CDF"/>
    <w:rsid w:val="000C6D01"/>
    <w:rsid w:val="000C6D6A"/>
    <w:rsid w:val="000C6E3D"/>
    <w:rsid w:val="000C7136"/>
    <w:rsid w:val="000C7B03"/>
    <w:rsid w:val="000C7CC1"/>
    <w:rsid w:val="000C7FD2"/>
    <w:rsid w:val="000D03E9"/>
    <w:rsid w:val="000D045B"/>
    <w:rsid w:val="000D08BA"/>
    <w:rsid w:val="000D0A6E"/>
    <w:rsid w:val="000D0BF7"/>
    <w:rsid w:val="000D0CA3"/>
    <w:rsid w:val="000D0D15"/>
    <w:rsid w:val="000D0F45"/>
    <w:rsid w:val="000D0F87"/>
    <w:rsid w:val="000D11A0"/>
    <w:rsid w:val="000D1303"/>
    <w:rsid w:val="000D14D8"/>
    <w:rsid w:val="000D1541"/>
    <w:rsid w:val="000D1594"/>
    <w:rsid w:val="000D1608"/>
    <w:rsid w:val="000D161B"/>
    <w:rsid w:val="000D173C"/>
    <w:rsid w:val="000D1888"/>
    <w:rsid w:val="000D1AAB"/>
    <w:rsid w:val="000D1C8E"/>
    <w:rsid w:val="000D1D70"/>
    <w:rsid w:val="000D2061"/>
    <w:rsid w:val="000D274B"/>
    <w:rsid w:val="000D27EE"/>
    <w:rsid w:val="000D2AA0"/>
    <w:rsid w:val="000D2E08"/>
    <w:rsid w:val="000D3140"/>
    <w:rsid w:val="000D3315"/>
    <w:rsid w:val="000D35DE"/>
    <w:rsid w:val="000D3748"/>
    <w:rsid w:val="000D3F60"/>
    <w:rsid w:val="000D3F6F"/>
    <w:rsid w:val="000D4297"/>
    <w:rsid w:val="000D43F9"/>
    <w:rsid w:val="000D4506"/>
    <w:rsid w:val="000D4EB1"/>
    <w:rsid w:val="000D4EF1"/>
    <w:rsid w:val="000D5235"/>
    <w:rsid w:val="000D523A"/>
    <w:rsid w:val="000D543C"/>
    <w:rsid w:val="000D556D"/>
    <w:rsid w:val="000D6159"/>
    <w:rsid w:val="000D65EF"/>
    <w:rsid w:val="000D6D4F"/>
    <w:rsid w:val="000D6F42"/>
    <w:rsid w:val="000D6F8D"/>
    <w:rsid w:val="000D7437"/>
    <w:rsid w:val="000D7482"/>
    <w:rsid w:val="000D74C4"/>
    <w:rsid w:val="000D7BC3"/>
    <w:rsid w:val="000D7C5C"/>
    <w:rsid w:val="000E002B"/>
    <w:rsid w:val="000E0297"/>
    <w:rsid w:val="000E036C"/>
    <w:rsid w:val="000E0375"/>
    <w:rsid w:val="000E04C3"/>
    <w:rsid w:val="000E058D"/>
    <w:rsid w:val="000E0695"/>
    <w:rsid w:val="000E069B"/>
    <w:rsid w:val="000E06DC"/>
    <w:rsid w:val="000E06FA"/>
    <w:rsid w:val="000E0B16"/>
    <w:rsid w:val="000E0C32"/>
    <w:rsid w:val="000E0D40"/>
    <w:rsid w:val="000E0F64"/>
    <w:rsid w:val="000E10CE"/>
    <w:rsid w:val="000E1177"/>
    <w:rsid w:val="000E11C4"/>
    <w:rsid w:val="000E1203"/>
    <w:rsid w:val="000E14AD"/>
    <w:rsid w:val="000E15E0"/>
    <w:rsid w:val="000E19C4"/>
    <w:rsid w:val="000E1A23"/>
    <w:rsid w:val="000E1ACB"/>
    <w:rsid w:val="000E1C56"/>
    <w:rsid w:val="000E2198"/>
    <w:rsid w:val="000E24DF"/>
    <w:rsid w:val="000E28E8"/>
    <w:rsid w:val="000E29D0"/>
    <w:rsid w:val="000E2A48"/>
    <w:rsid w:val="000E2B4A"/>
    <w:rsid w:val="000E2BD6"/>
    <w:rsid w:val="000E2D15"/>
    <w:rsid w:val="000E2DAD"/>
    <w:rsid w:val="000E3416"/>
    <w:rsid w:val="000E3947"/>
    <w:rsid w:val="000E3A91"/>
    <w:rsid w:val="000E3BA3"/>
    <w:rsid w:val="000E3D76"/>
    <w:rsid w:val="000E3EAD"/>
    <w:rsid w:val="000E40BE"/>
    <w:rsid w:val="000E46E0"/>
    <w:rsid w:val="000E47EC"/>
    <w:rsid w:val="000E4944"/>
    <w:rsid w:val="000E4A81"/>
    <w:rsid w:val="000E4C14"/>
    <w:rsid w:val="000E4E64"/>
    <w:rsid w:val="000E4F3E"/>
    <w:rsid w:val="000E4F52"/>
    <w:rsid w:val="000E4F75"/>
    <w:rsid w:val="000E50D4"/>
    <w:rsid w:val="000E5320"/>
    <w:rsid w:val="000E54D2"/>
    <w:rsid w:val="000E5538"/>
    <w:rsid w:val="000E553D"/>
    <w:rsid w:val="000E5581"/>
    <w:rsid w:val="000E55C8"/>
    <w:rsid w:val="000E597A"/>
    <w:rsid w:val="000E6256"/>
    <w:rsid w:val="000E6C7A"/>
    <w:rsid w:val="000E6CB0"/>
    <w:rsid w:val="000E6D40"/>
    <w:rsid w:val="000E6E2E"/>
    <w:rsid w:val="000E6EFE"/>
    <w:rsid w:val="000E7224"/>
    <w:rsid w:val="000E76B3"/>
    <w:rsid w:val="000E78D6"/>
    <w:rsid w:val="000E792C"/>
    <w:rsid w:val="000E7AE0"/>
    <w:rsid w:val="000E7D42"/>
    <w:rsid w:val="000E7E94"/>
    <w:rsid w:val="000E7EE2"/>
    <w:rsid w:val="000E7FBA"/>
    <w:rsid w:val="000F00FB"/>
    <w:rsid w:val="000F05B5"/>
    <w:rsid w:val="000F064B"/>
    <w:rsid w:val="000F073B"/>
    <w:rsid w:val="000F0E7D"/>
    <w:rsid w:val="000F10AA"/>
    <w:rsid w:val="000F17E9"/>
    <w:rsid w:val="000F196F"/>
    <w:rsid w:val="000F1CD2"/>
    <w:rsid w:val="000F1E90"/>
    <w:rsid w:val="000F1FEE"/>
    <w:rsid w:val="000F20BD"/>
    <w:rsid w:val="000F20F2"/>
    <w:rsid w:val="000F2336"/>
    <w:rsid w:val="000F23B8"/>
    <w:rsid w:val="000F2408"/>
    <w:rsid w:val="000F2668"/>
    <w:rsid w:val="000F2769"/>
    <w:rsid w:val="000F2772"/>
    <w:rsid w:val="000F2C64"/>
    <w:rsid w:val="000F2D16"/>
    <w:rsid w:val="000F2DDB"/>
    <w:rsid w:val="000F312A"/>
    <w:rsid w:val="000F31AA"/>
    <w:rsid w:val="000F32B2"/>
    <w:rsid w:val="000F3469"/>
    <w:rsid w:val="000F3656"/>
    <w:rsid w:val="000F3D2F"/>
    <w:rsid w:val="000F42FA"/>
    <w:rsid w:val="000F447E"/>
    <w:rsid w:val="000F455E"/>
    <w:rsid w:val="000F45A4"/>
    <w:rsid w:val="000F49F2"/>
    <w:rsid w:val="000F4B8D"/>
    <w:rsid w:val="000F4F08"/>
    <w:rsid w:val="000F50C3"/>
    <w:rsid w:val="000F50FA"/>
    <w:rsid w:val="000F511A"/>
    <w:rsid w:val="000F543A"/>
    <w:rsid w:val="000F5863"/>
    <w:rsid w:val="000F5872"/>
    <w:rsid w:val="000F5913"/>
    <w:rsid w:val="000F5A72"/>
    <w:rsid w:val="000F5E09"/>
    <w:rsid w:val="000F5EAE"/>
    <w:rsid w:val="000F67F8"/>
    <w:rsid w:val="000F6853"/>
    <w:rsid w:val="000F6A63"/>
    <w:rsid w:val="000F6C2A"/>
    <w:rsid w:val="000F6D64"/>
    <w:rsid w:val="000F7127"/>
    <w:rsid w:val="000F7407"/>
    <w:rsid w:val="000F7694"/>
    <w:rsid w:val="000F77E0"/>
    <w:rsid w:val="000F7A25"/>
    <w:rsid w:val="000F7C9C"/>
    <w:rsid w:val="000F7E9A"/>
    <w:rsid w:val="000F7FFA"/>
    <w:rsid w:val="0010006D"/>
    <w:rsid w:val="001000F5"/>
    <w:rsid w:val="00100176"/>
    <w:rsid w:val="0010047C"/>
    <w:rsid w:val="001004CE"/>
    <w:rsid w:val="001006CF"/>
    <w:rsid w:val="00100FE9"/>
    <w:rsid w:val="00101488"/>
    <w:rsid w:val="00101DB0"/>
    <w:rsid w:val="00101F60"/>
    <w:rsid w:val="00101F89"/>
    <w:rsid w:val="001025BF"/>
    <w:rsid w:val="00102679"/>
    <w:rsid w:val="0010274E"/>
    <w:rsid w:val="0010279A"/>
    <w:rsid w:val="00102AA0"/>
    <w:rsid w:val="00102C4B"/>
    <w:rsid w:val="00102E14"/>
    <w:rsid w:val="00103033"/>
    <w:rsid w:val="001030D3"/>
    <w:rsid w:val="001030FE"/>
    <w:rsid w:val="00103255"/>
    <w:rsid w:val="0010391C"/>
    <w:rsid w:val="00103A42"/>
    <w:rsid w:val="00103E97"/>
    <w:rsid w:val="00104201"/>
    <w:rsid w:val="00104685"/>
    <w:rsid w:val="00104705"/>
    <w:rsid w:val="0010470A"/>
    <w:rsid w:val="00104B10"/>
    <w:rsid w:val="00104DB2"/>
    <w:rsid w:val="00105164"/>
    <w:rsid w:val="001052D0"/>
    <w:rsid w:val="001053D9"/>
    <w:rsid w:val="00105512"/>
    <w:rsid w:val="00105773"/>
    <w:rsid w:val="0010578A"/>
    <w:rsid w:val="001057D1"/>
    <w:rsid w:val="0010580F"/>
    <w:rsid w:val="00105BDC"/>
    <w:rsid w:val="00105D64"/>
    <w:rsid w:val="00106349"/>
    <w:rsid w:val="001063E9"/>
    <w:rsid w:val="00106ADB"/>
    <w:rsid w:val="001070FB"/>
    <w:rsid w:val="0010749B"/>
    <w:rsid w:val="0010762B"/>
    <w:rsid w:val="00107AF7"/>
    <w:rsid w:val="00107C67"/>
    <w:rsid w:val="00107DB0"/>
    <w:rsid w:val="00107F8D"/>
    <w:rsid w:val="00110D35"/>
    <w:rsid w:val="00110E42"/>
    <w:rsid w:val="00110EB7"/>
    <w:rsid w:val="00111103"/>
    <w:rsid w:val="001114DF"/>
    <w:rsid w:val="001118D1"/>
    <w:rsid w:val="00111B82"/>
    <w:rsid w:val="00111BC0"/>
    <w:rsid w:val="00111CD4"/>
    <w:rsid w:val="00111EA8"/>
    <w:rsid w:val="00112004"/>
    <w:rsid w:val="0011283D"/>
    <w:rsid w:val="0011286C"/>
    <w:rsid w:val="00112A82"/>
    <w:rsid w:val="00112C45"/>
    <w:rsid w:val="00112D48"/>
    <w:rsid w:val="00112D9C"/>
    <w:rsid w:val="00112E15"/>
    <w:rsid w:val="00112E37"/>
    <w:rsid w:val="00113847"/>
    <w:rsid w:val="001139B4"/>
    <w:rsid w:val="00113B8F"/>
    <w:rsid w:val="00113CE0"/>
    <w:rsid w:val="00113E77"/>
    <w:rsid w:val="00113F00"/>
    <w:rsid w:val="00113F1D"/>
    <w:rsid w:val="00113FFE"/>
    <w:rsid w:val="001145DE"/>
    <w:rsid w:val="001145F8"/>
    <w:rsid w:val="0011479A"/>
    <w:rsid w:val="00114912"/>
    <w:rsid w:val="00114917"/>
    <w:rsid w:val="001149A2"/>
    <w:rsid w:val="00114A0A"/>
    <w:rsid w:val="00114C8C"/>
    <w:rsid w:val="0011506B"/>
    <w:rsid w:val="001156A4"/>
    <w:rsid w:val="00115770"/>
    <w:rsid w:val="001157FF"/>
    <w:rsid w:val="001159D5"/>
    <w:rsid w:val="00116035"/>
    <w:rsid w:val="001162E0"/>
    <w:rsid w:val="0011633D"/>
    <w:rsid w:val="001163CF"/>
    <w:rsid w:val="00116746"/>
    <w:rsid w:val="00116844"/>
    <w:rsid w:val="001168A9"/>
    <w:rsid w:val="00116DD8"/>
    <w:rsid w:val="001170EC"/>
    <w:rsid w:val="0011712D"/>
    <w:rsid w:val="0011717D"/>
    <w:rsid w:val="00117243"/>
    <w:rsid w:val="00117298"/>
    <w:rsid w:val="0011743E"/>
    <w:rsid w:val="001174D9"/>
    <w:rsid w:val="001178BA"/>
    <w:rsid w:val="001178E5"/>
    <w:rsid w:val="001179C7"/>
    <w:rsid w:val="00117A08"/>
    <w:rsid w:val="00117A57"/>
    <w:rsid w:val="00117AC2"/>
    <w:rsid w:val="00117D4C"/>
    <w:rsid w:val="00117D77"/>
    <w:rsid w:val="00117F88"/>
    <w:rsid w:val="00117FB5"/>
    <w:rsid w:val="001200CC"/>
    <w:rsid w:val="00120652"/>
    <w:rsid w:val="001206B1"/>
    <w:rsid w:val="00120912"/>
    <w:rsid w:val="00120955"/>
    <w:rsid w:val="00120AD6"/>
    <w:rsid w:val="00120B49"/>
    <w:rsid w:val="00120CEB"/>
    <w:rsid w:val="0012104B"/>
    <w:rsid w:val="001212D1"/>
    <w:rsid w:val="00121422"/>
    <w:rsid w:val="001216A2"/>
    <w:rsid w:val="001219F4"/>
    <w:rsid w:val="00121A99"/>
    <w:rsid w:val="00121ADB"/>
    <w:rsid w:val="00121F2F"/>
    <w:rsid w:val="00121F3C"/>
    <w:rsid w:val="001224C5"/>
    <w:rsid w:val="001227EA"/>
    <w:rsid w:val="001228EB"/>
    <w:rsid w:val="0012297A"/>
    <w:rsid w:val="00122CB1"/>
    <w:rsid w:val="00123069"/>
    <w:rsid w:val="001230CB"/>
    <w:rsid w:val="001230D2"/>
    <w:rsid w:val="001230F8"/>
    <w:rsid w:val="001231D7"/>
    <w:rsid w:val="00123424"/>
    <w:rsid w:val="001235DD"/>
    <w:rsid w:val="001236CB"/>
    <w:rsid w:val="00123761"/>
    <w:rsid w:val="00123844"/>
    <w:rsid w:val="00123973"/>
    <w:rsid w:val="00123AF2"/>
    <w:rsid w:val="00123B40"/>
    <w:rsid w:val="00123B97"/>
    <w:rsid w:val="0012401B"/>
    <w:rsid w:val="0012414B"/>
    <w:rsid w:val="001242E6"/>
    <w:rsid w:val="001250A1"/>
    <w:rsid w:val="00125100"/>
    <w:rsid w:val="00125412"/>
    <w:rsid w:val="00125767"/>
    <w:rsid w:val="00125AA1"/>
    <w:rsid w:val="00125C84"/>
    <w:rsid w:val="00126186"/>
    <w:rsid w:val="001261E4"/>
    <w:rsid w:val="0012633B"/>
    <w:rsid w:val="0012660A"/>
    <w:rsid w:val="00126AA0"/>
    <w:rsid w:val="00126C90"/>
    <w:rsid w:val="00126D4F"/>
    <w:rsid w:val="00126FD3"/>
    <w:rsid w:val="00127069"/>
    <w:rsid w:val="00127259"/>
    <w:rsid w:val="00127277"/>
    <w:rsid w:val="0012729F"/>
    <w:rsid w:val="0012730F"/>
    <w:rsid w:val="00127A5F"/>
    <w:rsid w:val="00127F41"/>
    <w:rsid w:val="001300C0"/>
    <w:rsid w:val="00130501"/>
    <w:rsid w:val="001305A1"/>
    <w:rsid w:val="00130766"/>
    <w:rsid w:val="00130ABA"/>
    <w:rsid w:val="00130D15"/>
    <w:rsid w:val="00130D9D"/>
    <w:rsid w:val="00130FA7"/>
    <w:rsid w:val="00130FBD"/>
    <w:rsid w:val="001310DB"/>
    <w:rsid w:val="00131126"/>
    <w:rsid w:val="00131195"/>
    <w:rsid w:val="001312D5"/>
    <w:rsid w:val="001313C2"/>
    <w:rsid w:val="001314D0"/>
    <w:rsid w:val="00131585"/>
    <w:rsid w:val="00131906"/>
    <w:rsid w:val="001321A0"/>
    <w:rsid w:val="001322A4"/>
    <w:rsid w:val="0013230C"/>
    <w:rsid w:val="001326ED"/>
    <w:rsid w:val="00132810"/>
    <w:rsid w:val="00132D29"/>
    <w:rsid w:val="00132E30"/>
    <w:rsid w:val="00132F78"/>
    <w:rsid w:val="001330EA"/>
    <w:rsid w:val="00133236"/>
    <w:rsid w:val="00133242"/>
    <w:rsid w:val="001335B9"/>
    <w:rsid w:val="001336F0"/>
    <w:rsid w:val="001336FC"/>
    <w:rsid w:val="00133846"/>
    <w:rsid w:val="00133CE0"/>
    <w:rsid w:val="001340AD"/>
    <w:rsid w:val="001341E6"/>
    <w:rsid w:val="001343AA"/>
    <w:rsid w:val="00134517"/>
    <w:rsid w:val="0013483C"/>
    <w:rsid w:val="00134871"/>
    <w:rsid w:val="00134AA3"/>
    <w:rsid w:val="00134AAF"/>
    <w:rsid w:val="00134CF1"/>
    <w:rsid w:val="001353C0"/>
    <w:rsid w:val="00135755"/>
    <w:rsid w:val="00135AAF"/>
    <w:rsid w:val="00135B1C"/>
    <w:rsid w:val="00135C57"/>
    <w:rsid w:val="00135CF6"/>
    <w:rsid w:val="00135D44"/>
    <w:rsid w:val="00135D7E"/>
    <w:rsid w:val="00135E05"/>
    <w:rsid w:val="00135E53"/>
    <w:rsid w:val="001360C4"/>
    <w:rsid w:val="0013637A"/>
    <w:rsid w:val="001363D7"/>
    <w:rsid w:val="001366A6"/>
    <w:rsid w:val="00136747"/>
    <w:rsid w:val="00136840"/>
    <w:rsid w:val="00136940"/>
    <w:rsid w:val="00136CD4"/>
    <w:rsid w:val="0013701A"/>
    <w:rsid w:val="001375DE"/>
    <w:rsid w:val="001375E1"/>
    <w:rsid w:val="00137625"/>
    <w:rsid w:val="00137FB0"/>
    <w:rsid w:val="00140009"/>
    <w:rsid w:val="00140379"/>
    <w:rsid w:val="0014048D"/>
    <w:rsid w:val="00140586"/>
    <w:rsid w:val="00140DC6"/>
    <w:rsid w:val="00140DD7"/>
    <w:rsid w:val="00140DE6"/>
    <w:rsid w:val="00140E2B"/>
    <w:rsid w:val="00141175"/>
    <w:rsid w:val="00141215"/>
    <w:rsid w:val="00141243"/>
    <w:rsid w:val="001418B0"/>
    <w:rsid w:val="00141A74"/>
    <w:rsid w:val="00142581"/>
    <w:rsid w:val="00142754"/>
    <w:rsid w:val="001429C2"/>
    <w:rsid w:val="00142A98"/>
    <w:rsid w:val="00142C1B"/>
    <w:rsid w:val="00142E5D"/>
    <w:rsid w:val="00143558"/>
    <w:rsid w:val="0014361E"/>
    <w:rsid w:val="00143640"/>
    <w:rsid w:val="00143790"/>
    <w:rsid w:val="001438E3"/>
    <w:rsid w:val="0014391C"/>
    <w:rsid w:val="00143AAF"/>
    <w:rsid w:val="00143EB3"/>
    <w:rsid w:val="00143F24"/>
    <w:rsid w:val="00144735"/>
    <w:rsid w:val="00144883"/>
    <w:rsid w:val="001448EE"/>
    <w:rsid w:val="00144A51"/>
    <w:rsid w:val="00144AC8"/>
    <w:rsid w:val="00144C9C"/>
    <w:rsid w:val="00144E68"/>
    <w:rsid w:val="00144F7C"/>
    <w:rsid w:val="001453E7"/>
    <w:rsid w:val="00145584"/>
    <w:rsid w:val="00145605"/>
    <w:rsid w:val="0014580D"/>
    <w:rsid w:val="001459DE"/>
    <w:rsid w:val="00145BC6"/>
    <w:rsid w:val="00145DD2"/>
    <w:rsid w:val="00146680"/>
    <w:rsid w:val="00146E73"/>
    <w:rsid w:val="00147108"/>
    <w:rsid w:val="00147238"/>
    <w:rsid w:val="00147553"/>
    <w:rsid w:val="00147556"/>
    <w:rsid w:val="00147877"/>
    <w:rsid w:val="00147A9E"/>
    <w:rsid w:val="00147BF4"/>
    <w:rsid w:val="00150003"/>
    <w:rsid w:val="0015011E"/>
    <w:rsid w:val="00150174"/>
    <w:rsid w:val="00150187"/>
    <w:rsid w:val="0015033A"/>
    <w:rsid w:val="0015039B"/>
    <w:rsid w:val="0015093A"/>
    <w:rsid w:val="00150AA3"/>
    <w:rsid w:val="00150C7C"/>
    <w:rsid w:val="00150D2B"/>
    <w:rsid w:val="00150EF7"/>
    <w:rsid w:val="00151294"/>
    <w:rsid w:val="001512AA"/>
    <w:rsid w:val="00151988"/>
    <w:rsid w:val="001520DC"/>
    <w:rsid w:val="00152259"/>
    <w:rsid w:val="00152327"/>
    <w:rsid w:val="001525CB"/>
    <w:rsid w:val="001525E0"/>
    <w:rsid w:val="00152655"/>
    <w:rsid w:val="0015274A"/>
    <w:rsid w:val="00152762"/>
    <w:rsid w:val="00152A34"/>
    <w:rsid w:val="00153021"/>
    <w:rsid w:val="00153334"/>
    <w:rsid w:val="00153372"/>
    <w:rsid w:val="001539A2"/>
    <w:rsid w:val="00153CDD"/>
    <w:rsid w:val="00153DD4"/>
    <w:rsid w:val="00153FB0"/>
    <w:rsid w:val="001540AE"/>
    <w:rsid w:val="001541EC"/>
    <w:rsid w:val="00154362"/>
    <w:rsid w:val="001543DA"/>
    <w:rsid w:val="001545D1"/>
    <w:rsid w:val="0015481E"/>
    <w:rsid w:val="001548E8"/>
    <w:rsid w:val="00154ACA"/>
    <w:rsid w:val="00154D60"/>
    <w:rsid w:val="00154DF8"/>
    <w:rsid w:val="00155016"/>
    <w:rsid w:val="0015547F"/>
    <w:rsid w:val="001556C8"/>
    <w:rsid w:val="00155725"/>
    <w:rsid w:val="001558C3"/>
    <w:rsid w:val="0015593D"/>
    <w:rsid w:val="00155974"/>
    <w:rsid w:val="00155E26"/>
    <w:rsid w:val="00156278"/>
    <w:rsid w:val="001563CC"/>
    <w:rsid w:val="001563DE"/>
    <w:rsid w:val="00156960"/>
    <w:rsid w:val="00156A92"/>
    <w:rsid w:val="00156DD0"/>
    <w:rsid w:val="00156FA6"/>
    <w:rsid w:val="00156FDF"/>
    <w:rsid w:val="0015710C"/>
    <w:rsid w:val="00157160"/>
    <w:rsid w:val="001574BF"/>
    <w:rsid w:val="001574C8"/>
    <w:rsid w:val="00157617"/>
    <w:rsid w:val="0015778A"/>
    <w:rsid w:val="00157C18"/>
    <w:rsid w:val="00157EBB"/>
    <w:rsid w:val="0016015E"/>
    <w:rsid w:val="0016034F"/>
    <w:rsid w:val="00160466"/>
    <w:rsid w:val="0016074E"/>
    <w:rsid w:val="00160A85"/>
    <w:rsid w:val="00160A9C"/>
    <w:rsid w:val="00160ACD"/>
    <w:rsid w:val="00160B1A"/>
    <w:rsid w:val="00160B5E"/>
    <w:rsid w:val="00160BBD"/>
    <w:rsid w:val="00161137"/>
    <w:rsid w:val="00161182"/>
    <w:rsid w:val="001611C0"/>
    <w:rsid w:val="00161395"/>
    <w:rsid w:val="00161478"/>
    <w:rsid w:val="00161AA2"/>
    <w:rsid w:val="00161BE8"/>
    <w:rsid w:val="00161EE4"/>
    <w:rsid w:val="00162185"/>
    <w:rsid w:val="001621E7"/>
    <w:rsid w:val="0016246C"/>
    <w:rsid w:val="001626AA"/>
    <w:rsid w:val="00162974"/>
    <w:rsid w:val="00162CA6"/>
    <w:rsid w:val="00162E81"/>
    <w:rsid w:val="0016324D"/>
    <w:rsid w:val="0016346A"/>
    <w:rsid w:val="00163489"/>
    <w:rsid w:val="00163495"/>
    <w:rsid w:val="001634AE"/>
    <w:rsid w:val="00163638"/>
    <w:rsid w:val="0016390D"/>
    <w:rsid w:val="00163971"/>
    <w:rsid w:val="00163F54"/>
    <w:rsid w:val="0016445C"/>
    <w:rsid w:val="0016485F"/>
    <w:rsid w:val="001649E7"/>
    <w:rsid w:val="001652FC"/>
    <w:rsid w:val="001653CC"/>
    <w:rsid w:val="001653E8"/>
    <w:rsid w:val="00165647"/>
    <w:rsid w:val="00165656"/>
    <w:rsid w:val="00165CD3"/>
    <w:rsid w:val="00165FD4"/>
    <w:rsid w:val="00166157"/>
    <w:rsid w:val="0016618A"/>
    <w:rsid w:val="001662BC"/>
    <w:rsid w:val="001662EB"/>
    <w:rsid w:val="0016643F"/>
    <w:rsid w:val="001664C2"/>
    <w:rsid w:val="001665A9"/>
    <w:rsid w:val="0016667F"/>
    <w:rsid w:val="001667D1"/>
    <w:rsid w:val="00166876"/>
    <w:rsid w:val="00166C16"/>
    <w:rsid w:val="00166E14"/>
    <w:rsid w:val="001673CE"/>
    <w:rsid w:val="00167688"/>
    <w:rsid w:val="0016772E"/>
    <w:rsid w:val="00167DDE"/>
    <w:rsid w:val="00167E28"/>
    <w:rsid w:val="00167EE0"/>
    <w:rsid w:val="00170107"/>
    <w:rsid w:val="0017043A"/>
    <w:rsid w:val="0017051E"/>
    <w:rsid w:val="00170A5A"/>
    <w:rsid w:val="00170C25"/>
    <w:rsid w:val="00170EBF"/>
    <w:rsid w:val="001711EA"/>
    <w:rsid w:val="00171AB3"/>
    <w:rsid w:val="00171BB7"/>
    <w:rsid w:val="00171CFB"/>
    <w:rsid w:val="0017202E"/>
    <w:rsid w:val="00172075"/>
    <w:rsid w:val="0017215E"/>
    <w:rsid w:val="00172180"/>
    <w:rsid w:val="00172215"/>
    <w:rsid w:val="001722CA"/>
    <w:rsid w:val="00172478"/>
    <w:rsid w:val="0017260E"/>
    <w:rsid w:val="0017299C"/>
    <w:rsid w:val="00172BC0"/>
    <w:rsid w:val="00172DBE"/>
    <w:rsid w:val="00172FF8"/>
    <w:rsid w:val="001730CA"/>
    <w:rsid w:val="0017315A"/>
    <w:rsid w:val="001731CE"/>
    <w:rsid w:val="00173AD8"/>
    <w:rsid w:val="00173E9B"/>
    <w:rsid w:val="001744A6"/>
    <w:rsid w:val="00174595"/>
    <w:rsid w:val="00174657"/>
    <w:rsid w:val="001746AD"/>
    <w:rsid w:val="001748B3"/>
    <w:rsid w:val="00174989"/>
    <w:rsid w:val="00174C81"/>
    <w:rsid w:val="001750FF"/>
    <w:rsid w:val="001751C0"/>
    <w:rsid w:val="00175448"/>
    <w:rsid w:val="001756E0"/>
    <w:rsid w:val="00175AFC"/>
    <w:rsid w:val="00175C25"/>
    <w:rsid w:val="00176408"/>
    <w:rsid w:val="0017657D"/>
    <w:rsid w:val="001766CF"/>
    <w:rsid w:val="0017680B"/>
    <w:rsid w:val="00176A44"/>
    <w:rsid w:val="00176BFC"/>
    <w:rsid w:val="00176D25"/>
    <w:rsid w:val="00177020"/>
    <w:rsid w:val="00177589"/>
    <w:rsid w:val="0017768E"/>
    <w:rsid w:val="00177ACF"/>
    <w:rsid w:val="00177D5F"/>
    <w:rsid w:val="00177ED9"/>
    <w:rsid w:val="00177F2F"/>
    <w:rsid w:val="00177F88"/>
    <w:rsid w:val="00180161"/>
    <w:rsid w:val="0018024D"/>
    <w:rsid w:val="001803F5"/>
    <w:rsid w:val="00180556"/>
    <w:rsid w:val="0018081E"/>
    <w:rsid w:val="00180BF6"/>
    <w:rsid w:val="00180C07"/>
    <w:rsid w:val="00180DFE"/>
    <w:rsid w:val="00181044"/>
    <w:rsid w:val="0018120D"/>
    <w:rsid w:val="00181366"/>
    <w:rsid w:val="0018138E"/>
    <w:rsid w:val="00181486"/>
    <w:rsid w:val="0018162E"/>
    <w:rsid w:val="00181A68"/>
    <w:rsid w:val="00181ABA"/>
    <w:rsid w:val="00181BF6"/>
    <w:rsid w:val="00181C1D"/>
    <w:rsid w:val="00181C9C"/>
    <w:rsid w:val="00181DF4"/>
    <w:rsid w:val="001822B7"/>
    <w:rsid w:val="001825D4"/>
    <w:rsid w:val="001826E8"/>
    <w:rsid w:val="001827AD"/>
    <w:rsid w:val="001829F0"/>
    <w:rsid w:val="00182DB9"/>
    <w:rsid w:val="00182F93"/>
    <w:rsid w:val="00182FFD"/>
    <w:rsid w:val="001832E5"/>
    <w:rsid w:val="00183360"/>
    <w:rsid w:val="0018344A"/>
    <w:rsid w:val="00183849"/>
    <w:rsid w:val="001839D2"/>
    <w:rsid w:val="00183CFF"/>
    <w:rsid w:val="00183DB4"/>
    <w:rsid w:val="00183E52"/>
    <w:rsid w:val="0018406C"/>
    <w:rsid w:val="00184F45"/>
    <w:rsid w:val="001851BC"/>
    <w:rsid w:val="001851F9"/>
    <w:rsid w:val="00185B9C"/>
    <w:rsid w:val="00185DF4"/>
    <w:rsid w:val="00185FC5"/>
    <w:rsid w:val="0018624C"/>
    <w:rsid w:val="00186322"/>
    <w:rsid w:val="00186377"/>
    <w:rsid w:val="00186759"/>
    <w:rsid w:val="0018692D"/>
    <w:rsid w:val="001869A8"/>
    <w:rsid w:val="00186AC8"/>
    <w:rsid w:val="00186CA7"/>
    <w:rsid w:val="0018718A"/>
    <w:rsid w:val="001877F8"/>
    <w:rsid w:val="00187994"/>
    <w:rsid w:val="00187A19"/>
    <w:rsid w:val="00187B57"/>
    <w:rsid w:val="00187B93"/>
    <w:rsid w:val="00187CD7"/>
    <w:rsid w:val="00187D12"/>
    <w:rsid w:val="00187EED"/>
    <w:rsid w:val="0019006B"/>
    <w:rsid w:val="001901A6"/>
    <w:rsid w:val="0019072B"/>
    <w:rsid w:val="00190AAA"/>
    <w:rsid w:val="00191078"/>
    <w:rsid w:val="0019114B"/>
    <w:rsid w:val="001911FF"/>
    <w:rsid w:val="00191404"/>
    <w:rsid w:val="00191732"/>
    <w:rsid w:val="00191C19"/>
    <w:rsid w:val="00191EBC"/>
    <w:rsid w:val="00192050"/>
    <w:rsid w:val="001920B3"/>
    <w:rsid w:val="0019224B"/>
    <w:rsid w:val="001922C6"/>
    <w:rsid w:val="00192778"/>
    <w:rsid w:val="00192B44"/>
    <w:rsid w:val="00192CE0"/>
    <w:rsid w:val="00192DAF"/>
    <w:rsid w:val="00192E8D"/>
    <w:rsid w:val="00192F7D"/>
    <w:rsid w:val="00193427"/>
    <w:rsid w:val="001937B1"/>
    <w:rsid w:val="0019390C"/>
    <w:rsid w:val="00193A75"/>
    <w:rsid w:val="00193E53"/>
    <w:rsid w:val="001940C0"/>
    <w:rsid w:val="001944E0"/>
    <w:rsid w:val="0019456B"/>
    <w:rsid w:val="00194892"/>
    <w:rsid w:val="00194D89"/>
    <w:rsid w:val="00195048"/>
    <w:rsid w:val="001950A6"/>
    <w:rsid w:val="001953B8"/>
    <w:rsid w:val="00195461"/>
    <w:rsid w:val="0019574A"/>
    <w:rsid w:val="001957BB"/>
    <w:rsid w:val="0019598A"/>
    <w:rsid w:val="00195A06"/>
    <w:rsid w:val="001960DE"/>
    <w:rsid w:val="001967D7"/>
    <w:rsid w:val="0019681D"/>
    <w:rsid w:val="00196A5A"/>
    <w:rsid w:val="00196B3D"/>
    <w:rsid w:val="00196BFA"/>
    <w:rsid w:val="00196CAC"/>
    <w:rsid w:val="00196D36"/>
    <w:rsid w:val="00196F4D"/>
    <w:rsid w:val="001970E7"/>
    <w:rsid w:val="001975E8"/>
    <w:rsid w:val="00197759"/>
    <w:rsid w:val="001977CC"/>
    <w:rsid w:val="0019782F"/>
    <w:rsid w:val="00197880"/>
    <w:rsid w:val="00197AF3"/>
    <w:rsid w:val="00197B96"/>
    <w:rsid w:val="00197D99"/>
    <w:rsid w:val="00197E50"/>
    <w:rsid w:val="00197F3B"/>
    <w:rsid w:val="00197FFC"/>
    <w:rsid w:val="001A039C"/>
    <w:rsid w:val="001A056D"/>
    <w:rsid w:val="001A06EE"/>
    <w:rsid w:val="001A0AAE"/>
    <w:rsid w:val="001A0C63"/>
    <w:rsid w:val="001A0D81"/>
    <w:rsid w:val="001A0DBB"/>
    <w:rsid w:val="001A0E4E"/>
    <w:rsid w:val="001A0FCF"/>
    <w:rsid w:val="001A1647"/>
    <w:rsid w:val="001A1B2A"/>
    <w:rsid w:val="001A1D1D"/>
    <w:rsid w:val="001A1DA8"/>
    <w:rsid w:val="001A2020"/>
    <w:rsid w:val="001A2139"/>
    <w:rsid w:val="001A24DC"/>
    <w:rsid w:val="001A278E"/>
    <w:rsid w:val="001A2874"/>
    <w:rsid w:val="001A29B1"/>
    <w:rsid w:val="001A2AD2"/>
    <w:rsid w:val="001A2DE6"/>
    <w:rsid w:val="001A2F2D"/>
    <w:rsid w:val="001A309F"/>
    <w:rsid w:val="001A3745"/>
    <w:rsid w:val="001A39DF"/>
    <w:rsid w:val="001A3A13"/>
    <w:rsid w:val="001A3B93"/>
    <w:rsid w:val="001A4884"/>
    <w:rsid w:val="001A4C73"/>
    <w:rsid w:val="001A4E37"/>
    <w:rsid w:val="001A4F79"/>
    <w:rsid w:val="001A5048"/>
    <w:rsid w:val="001A51C1"/>
    <w:rsid w:val="001A53C7"/>
    <w:rsid w:val="001A54BF"/>
    <w:rsid w:val="001A559D"/>
    <w:rsid w:val="001A57E8"/>
    <w:rsid w:val="001A595D"/>
    <w:rsid w:val="001A5ECE"/>
    <w:rsid w:val="001A6111"/>
    <w:rsid w:val="001A65F7"/>
    <w:rsid w:val="001A6932"/>
    <w:rsid w:val="001A6ACA"/>
    <w:rsid w:val="001A6FF2"/>
    <w:rsid w:val="001A77B0"/>
    <w:rsid w:val="001A77E6"/>
    <w:rsid w:val="001A7849"/>
    <w:rsid w:val="001A7A1A"/>
    <w:rsid w:val="001A7D44"/>
    <w:rsid w:val="001A7F0D"/>
    <w:rsid w:val="001B00A7"/>
    <w:rsid w:val="001B023E"/>
    <w:rsid w:val="001B028A"/>
    <w:rsid w:val="001B0318"/>
    <w:rsid w:val="001B0397"/>
    <w:rsid w:val="001B0810"/>
    <w:rsid w:val="001B09DB"/>
    <w:rsid w:val="001B0B63"/>
    <w:rsid w:val="001B0B90"/>
    <w:rsid w:val="001B0BF7"/>
    <w:rsid w:val="001B0FAD"/>
    <w:rsid w:val="001B141A"/>
    <w:rsid w:val="001B1660"/>
    <w:rsid w:val="001B18D6"/>
    <w:rsid w:val="001B18F1"/>
    <w:rsid w:val="001B1D96"/>
    <w:rsid w:val="001B247F"/>
    <w:rsid w:val="001B268A"/>
    <w:rsid w:val="001B27D3"/>
    <w:rsid w:val="001B29FA"/>
    <w:rsid w:val="001B2DDD"/>
    <w:rsid w:val="001B3047"/>
    <w:rsid w:val="001B308D"/>
    <w:rsid w:val="001B349F"/>
    <w:rsid w:val="001B3948"/>
    <w:rsid w:val="001B3A19"/>
    <w:rsid w:val="001B3B8D"/>
    <w:rsid w:val="001B3DDD"/>
    <w:rsid w:val="001B3E3F"/>
    <w:rsid w:val="001B3EFB"/>
    <w:rsid w:val="001B42A9"/>
    <w:rsid w:val="001B449C"/>
    <w:rsid w:val="001B4597"/>
    <w:rsid w:val="001B47A8"/>
    <w:rsid w:val="001B48DF"/>
    <w:rsid w:val="001B492A"/>
    <w:rsid w:val="001B4981"/>
    <w:rsid w:val="001B4C99"/>
    <w:rsid w:val="001B4E47"/>
    <w:rsid w:val="001B5518"/>
    <w:rsid w:val="001B56EF"/>
    <w:rsid w:val="001B5BE5"/>
    <w:rsid w:val="001B5D69"/>
    <w:rsid w:val="001B5D81"/>
    <w:rsid w:val="001B617F"/>
    <w:rsid w:val="001B637B"/>
    <w:rsid w:val="001B6B09"/>
    <w:rsid w:val="001B6B55"/>
    <w:rsid w:val="001B6D26"/>
    <w:rsid w:val="001B716C"/>
    <w:rsid w:val="001B752F"/>
    <w:rsid w:val="001B75A8"/>
    <w:rsid w:val="001B78A5"/>
    <w:rsid w:val="001B7AF6"/>
    <w:rsid w:val="001B7BF2"/>
    <w:rsid w:val="001B7C3E"/>
    <w:rsid w:val="001B7EAC"/>
    <w:rsid w:val="001C0467"/>
    <w:rsid w:val="001C087D"/>
    <w:rsid w:val="001C0898"/>
    <w:rsid w:val="001C0985"/>
    <w:rsid w:val="001C0BF4"/>
    <w:rsid w:val="001C0D9B"/>
    <w:rsid w:val="001C0EBB"/>
    <w:rsid w:val="001C0FB2"/>
    <w:rsid w:val="001C11F9"/>
    <w:rsid w:val="001C1EED"/>
    <w:rsid w:val="001C1F63"/>
    <w:rsid w:val="001C1FB0"/>
    <w:rsid w:val="001C20E9"/>
    <w:rsid w:val="001C2269"/>
    <w:rsid w:val="001C2575"/>
    <w:rsid w:val="001C2587"/>
    <w:rsid w:val="001C2731"/>
    <w:rsid w:val="001C277E"/>
    <w:rsid w:val="001C28EF"/>
    <w:rsid w:val="001C2981"/>
    <w:rsid w:val="001C3087"/>
    <w:rsid w:val="001C3233"/>
    <w:rsid w:val="001C3400"/>
    <w:rsid w:val="001C371C"/>
    <w:rsid w:val="001C3843"/>
    <w:rsid w:val="001C388C"/>
    <w:rsid w:val="001C3A57"/>
    <w:rsid w:val="001C3E3E"/>
    <w:rsid w:val="001C3FB0"/>
    <w:rsid w:val="001C41E5"/>
    <w:rsid w:val="001C42E2"/>
    <w:rsid w:val="001C45B0"/>
    <w:rsid w:val="001C47A4"/>
    <w:rsid w:val="001C4966"/>
    <w:rsid w:val="001C4B7A"/>
    <w:rsid w:val="001C4EC6"/>
    <w:rsid w:val="001C4F7C"/>
    <w:rsid w:val="001C574E"/>
    <w:rsid w:val="001C653B"/>
    <w:rsid w:val="001C685F"/>
    <w:rsid w:val="001C6B22"/>
    <w:rsid w:val="001C6C29"/>
    <w:rsid w:val="001C6DD0"/>
    <w:rsid w:val="001C7281"/>
    <w:rsid w:val="001C736F"/>
    <w:rsid w:val="001C7895"/>
    <w:rsid w:val="001C79E6"/>
    <w:rsid w:val="001C7CC7"/>
    <w:rsid w:val="001C7DE7"/>
    <w:rsid w:val="001D02A1"/>
    <w:rsid w:val="001D030F"/>
    <w:rsid w:val="001D04DA"/>
    <w:rsid w:val="001D05D1"/>
    <w:rsid w:val="001D0775"/>
    <w:rsid w:val="001D0792"/>
    <w:rsid w:val="001D096C"/>
    <w:rsid w:val="001D09BC"/>
    <w:rsid w:val="001D1135"/>
    <w:rsid w:val="001D1145"/>
    <w:rsid w:val="001D1207"/>
    <w:rsid w:val="001D1476"/>
    <w:rsid w:val="001D1801"/>
    <w:rsid w:val="001D1839"/>
    <w:rsid w:val="001D1A77"/>
    <w:rsid w:val="001D1ABC"/>
    <w:rsid w:val="001D1EF2"/>
    <w:rsid w:val="001D1F80"/>
    <w:rsid w:val="001D258B"/>
    <w:rsid w:val="001D27A0"/>
    <w:rsid w:val="001D2960"/>
    <w:rsid w:val="001D2A50"/>
    <w:rsid w:val="001D2A73"/>
    <w:rsid w:val="001D2AA3"/>
    <w:rsid w:val="001D3026"/>
    <w:rsid w:val="001D353E"/>
    <w:rsid w:val="001D36CB"/>
    <w:rsid w:val="001D36F3"/>
    <w:rsid w:val="001D3DC7"/>
    <w:rsid w:val="001D3E7A"/>
    <w:rsid w:val="001D407B"/>
    <w:rsid w:val="001D44CC"/>
    <w:rsid w:val="001D4683"/>
    <w:rsid w:val="001D4946"/>
    <w:rsid w:val="001D4A68"/>
    <w:rsid w:val="001D4B09"/>
    <w:rsid w:val="001D4B3D"/>
    <w:rsid w:val="001D4C93"/>
    <w:rsid w:val="001D4F61"/>
    <w:rsid w:val="001D4F73"/>
    <w:rsid w:val="001D50B9"/>
    <w:rsid w:val="001D5284"/>
    <w:rsid w:val="001D55EB"/>
    <w:rsid w:val="001D5CCC"/>
    <w:rsid w:val="001D5DC8"/>
    <w:rsid w:val="001D6232"/>
    <w:rsid w:val="001D623B"/>
    <w:rsid w:val="001D6305"/>
    <w:rsid w:val="001D6594"/>
    <w:rsid w:val="001D691F"/>
    <w:rsid w:val="001D6A81"/>
    <w:rsid w:val="001D6FA9"/>
    <w:rsid w:val="001D72E5"/>
    <w:rsid w:val="001D7593"/>
    <w:rsid w:val="001D75D7"/>
    <w:rsid w:val="001D78E2"/>
    <w:rsid w:val="001D7D9D"/>
    <w:rsid w:val="001D7E01"/>
    <w:rsid w:val="001E042C"/>
    <w:rsid w:val="001E04A6"/>
    <w:rsid w:val="001E0622"/>
    <w:rsid w:val="001E0D02"/>
    <w:rsid w:val="001E0D9A"/>
    <w:rsid w:val="001E0E5D"/>
    <w:rsid w:val="001E1437"/>
    <w:rsid w:val="001E14C5"/>
    <w:rsid w:val="001E1611"/>
    <w:rsid w:val="001E19D3"/>
    <w:rsid w:val="001E1F19"/>
    <w:rsid w:val="001E2044"/>
    <w:rsid w:val="001E24FC"/>
    <w:rsid w:val="001E2678"/>
    <w:rsid w:val="001E2710"/>
    <w:rsid w:val="001E28B0"/>
    <w:rsid w:val="001E2B08"/>
    <w:rsid w:val="001E2B15"/>
    <w:rsid w:val="001E2C46"/>
    <w:rsid w:val="001E30AA"/>
    <w:rsid w:val="001E316C"/>
    <w:rsid w:val="001E3554"/>
    <w:rsid w:val="001E37C8"/>
    <w:rsid w:val="001E3849"/>
    <w:rsid w:val="001E3FF4"/>
    <w:rsid w:val="001E44B6"/>
    <w:rsid w:val="001E4593"/>
    <w:rsid w:val="001E4747"/>
    <w:rsid w:val="001E496C"/>
    <w:rsid w:val="001E49A2"/>
    <w:rsid w:val="001E4A67"/>
    <w:rsid w:val="001E50A1"/>
    <w:rsid w:val="001E568F"/>
    <w:rsid w:val="001E5714"/>
    <w:rsid w:val="001E59AD"/>
    <w:rsid w:val="001E59C5"/>
    <w:rsid w:val="001E5C6C"/>
    <w:rsid w:val="001E5DC0"/>
    <w:rsid w:val="001E6289"/>
    <w:rsid w:val="001E65BA"/>
    <w:rsid w:val="001E6708"/>
    <w:rsid w:val="001E68AF"/>
    <w:rsid w:val="001E6968"/>
    <w:rsid w:val="001E6978"/>
    <w:rsid w:val="001E6A54"/>
    <w:rsid w:val="001E6B5F"/>
    <w:rsid w:val="001E6C9F"/>
    <w:rsid w:val="001E73EE"/>
    <w:rsid w:val="001E7571"/>
    <w:rsid w:val="001E759A"/>
    <w:rsid w:val="001E774C"/>
    <w:rsid w:val="001E7AC9"/>
    <w:rsid w:val="001E7E69"/>
    <w:rsid w:val="001F060D"/>
    <w:rsid w:val="001F0B74"/>
    <w:rsid w:val="001F0CE7"/>
    <w:rsid w:val="001F0D11"/>
    <w:rsid w:val="001F138D"/>
    <w:rsid w:val="001F14DC"/>
    <w:rsid w:val="001F164D"/>
    <w:rsid w:val="001F1650"/>
    <w:rsid w:val="001F17EE"/>
    <w:rsid w:val="001F186C"/>
    <w:rsid w:val="001F1C8E"/>
    <w:rsid w:val="001F1EC2"/>
    <w:rsid w:val="001F1F5C"/>
    <w:rsid w:val="001F1F5F"/>
    <w:rsid w:val="001F2172"/>
    <w:rsid w:val="001F23A3"/>
    <w:rsid w:val="001F24CE"/>
    <w:rsid w:val="001F24F0"/>
    <w:rsid w:val="001F262C"/>
    <w:rsid w:val="001F2738"/>
    <w:rsid w:val="001F288E"/>
    <w:rsid w:val="001F2B6B"/>
    <w:rsid w:val="001F2F26"/>
    <w:rsid w:val="001F30A4"/>
    <w:rsid w:val="001F345C"/>
    <w:rsid w:val="001F3609"/>
    <w:rsid w:val="001F3638"/>
    <w:rsid w:val="001F36D4"/>
    <w:rsid w:val="001F36DD"/>
    <w:rsid w:val="001F3A79"/>
    <w:rsid w:val="001F3D3A"/>
    <w:rsid w:val="001F3E54"/>
    <w:rsid w:val="001F45C1"/>
    <w:rsid w:val="001F4935"/>
    <w:rsid w:val="001F498E"/>
    <w:rsid w:val="001F4A96"/>
    <w:rsid w:val="001F4AB3"/>
    <w:rsid w:val="001F4AC9"/>
    <w:rsid w:val="001F4E8B"/>
    <w:rsid w:val="001F4F63"/>
    <w:rsid w:val="001F522E"/>
    <w:rsid w:val="001F52CB"/>
    <w:rsid w:val="001F5494"/>
    <w:rsid w:val="001F5705"/>
    <w:rsid w:val="001F5747"/>
    <w:rsid w:val="001F5840"/>
    <w:rsid w:val="001F5A6A"/>
    <w:rsid w:val="001F5AA5"/>
    <w:rsid w:val="001F5AD9"/>
    <w:rsid w:val="001F5CD5"/>
    <w:rsid w:val="001F5E41"/>
    <w:rsid w:val="001F6008"/>
    <w:rsid w:val="001F60FE"/>
    <w:rsid w:val="001F614E"/>
    <w:rsid w:val="001F62C4"/>
    <w:rsid w:val="001F63A4"/>
    <w:rsid w:val="001F6521"/>
    <w:rsid w:val="001F663E"/>
    <w:rsid w:val="001F6AC6"/>
    <w:rsid w:val="001F70F8"/>
    <w:rsid w:val="001F75A5"/>
    <w:rsid w:val="001F761E"/>
    <w:rsid w:val="001F7E77"/>
    <w:rsid w:val="0020020E"/>
    <w:rsid w:val="00200264"/>
    <w:rsid w:val="002005D8"/>
    <w:rsid w:val="00200865"/>
    <w:rsid w:val="00200B29"/>
    <w:rsid w:val="00200F1E"/>
    <w:rsid w:val="00201608"/>
    <w:rsid w:val="00201EDA"/>
    <w:rsid w:val="00202492"/>
    <w:rsid w:val="002026D9"/>
    <w:rsid w:val="0020291D"/>
    <w:rsid w:val="0020295C"/>
    <w:rsid w:val="00202BA4"/>
    <w:rsid w:val="00202C15"/>
    <w:rsid w:val="00203434"/>
    <w:rsid w:val="0020348B"/>
    <w:rsid w:val="0020369C"/>
    <w:rsid w:val="00203B3D"/>
    <w:rsid w:val="00203B4F"/>
    <w:rsid w:val="00203BDD"/>
    <w:rsid w:val="00203EA3"/>
    <w:rsid w:val="00203F5F"/>
    <w:rsid w:val="00203FC3"/>
    <w:rsid w:val="0020415C"/>
    <w:rsid w:val="002042AF"/>
    <w:rsid w:val="002046EA"/>
    <w:rsid w:val="002049A9"/>
    <w:rsid w:val="00204CAF"/>
    <w:rsid w:val="00204CC9"/>
    <w:rsid w:val="00204DB8"/>
    <w:rsid w:val="00204DD4"/>
    <w:rsid w:val="00204DE7"/>
    <w:rsid w:val="002051F4"/>
    <w:rsid w:val="00205259"/>
    <w:rsid w:val="0020551A"/>
    <w:rsid w:val="00205993"/>
    <w:rsid w:val="00205ADF"/>
    <w:rsid w:val="00205CD8"/>
    <w:rsid w:val="00205CF6"/>
    <w:rsid w:val="00205DFE"/>
    <w:rsid w:val="002060D3"/>
    <w:rsid w:val="00206128"/>
    <w:rsid w:val="002061B8"/>
    <w:rsid w:val="002064A2"/>
    <w:rsid w:val="00206945"/>
    <w:rsid w:val="00206957"/>
    <w:rsid w:val="00206C03"/>
    <w:rsid w:val="00206E98"/>
    <w:rsid w:val="00207100"/>
    <w:rsid w:val="00207293"/>
    <w:rsid w:val="002074B0"/>
    <w:rsid w:val="00207C11"/>
    <w:rsid w:val="00207EB6"/>
    <w:rsid w:val="00210195"/>
    <w:rsid w:val="00210354"/>
    <w:rsid w:val="002103DA"/>
    <w:rsid w:val="00210E14"/>
    <w:rsid w:val="0021119A"/>
    <w:rsid w:val="002114F1"/>
    <w:rsid w:val="00211D01"/>
    <w:rsid w:val="002121CA"/>
    <w:rsid w:val="002122F8"/>
    <w:rsid w:val="002128A7"/>
    <w:rsid w:val="002128B8"/>
    <w:rsid w:val="002128C0"/>
    <w:rsid w:val="002128CE"/>
    <w:rsid w:val="002129B3"/>
    <w:rsid w:val="00212F36"/>
    <w:rsid w:val="00213077"/>
    <w:rsid w:val="002136BD"/>
    <w:rsid w:val="00213881"/>
    <w:rsid w:val="00213F9C"/>
    <w:rsid w:val="00214271"/>
    <w:rsid w:val="002143B4"/>
    <w:rsid w:val="0021541A"/>
    <w:rsid w:val="00215792"/>
    <w:rsid w:val="002158B8"/>
    <w:rsid w:val="002158CF"/>
    <w:rsid w:val="00215BD8"/>
    <w:rsid w:val="002160D6"/>
    <w:rsid w:val="00216265"/>
    <w:rsid w:val="0021647C"/>
    <w:rsid w:val="0021649D"/>
    <w:rsid w:val="002167EA"/>
    <w:rsid w:val="00216B36"/>
    <w:rsid w:val="00216E3B"/>
    <w:rsid w:val="00216E8D"/>
    <w:rsid w:val="00216EAA"/>
    <w:rsid w:val="00217226"/>
    <w:rsid w:val="002172F6"/>
    <w:rsid w:val="0021736E"/>
    <w:rsid w:val="002173AE"/>
    <w:rsid w:val="00217414"/>
    <w:rsid w:val="00217724"/>
    <w:rsid w:val="0021782A"/>
    <w:rsid w:val="00217A33"/>
    <w:rsid w:val="00217DEF"/>
    <w:rsid w:val="00217EED"/>
    <w:rsid w:val="00217FA0"/>
    <w:rsid w:val="0022009F"/>
    <w:rsid w:val="0022013F"/>
    <w:rsid w:val="002208B6"/>
    <w:rsid w:val="00220A51"/>
    <w:rsid w:val="00220B60"/>
    <w:rsid w:val="00220D97"/>
    <w:rsid w:val="00220EF4"/>
    <w:rsid w:val="00221049"/>
    <w:rsid w:val="0022154E"/>
    <w:rsid w:val="00221580"/>
    <w:rsid w:val="002215D2"/>
    <w:rsid w:val="00221B57"/>
    <w:rsid w:val="00221BF3"/>
    <w:rsid w:val="002220DD"/>
    <w:rsid w:val="00222199"/>
    <w:rsid w:val="002223FC"/>
    <w:rsid w:val="00222514"/>
    <w:rsid w:val="00222528"/>
    <w:rsid w:val="002227B5"/>
    <w:rsid w:val="0022281C"/>
    <w:rsid w:val="002228CF"/>
    <w:rsid w:val="00222C07"/>
    <w:rsid w:val="00222F17"/>
    <w:rsid w:val="002230E7"/>
    <w:rsid w:val="002234ED"/>
    <w:rsid w:val="002236AA"/>
    <w:rsid w:val="002239FF"/>
    <w:rsid w:val="00223A4E"/>
    <w:rsid w:val="00223C32"/>
    <w:rsid w:val="00223D7A"/>
    <w:rsid w:val="00223FA5"/>
    <w:rsid w:val="00223FFB"/>
    <w:rsid w:val="0022403E"/>
    <w:rsid w:val="0022417B"/>
    <w:rsid w:val="00224421"/>
    <w:rsid w:val="0022449D"/>
    <w:rsid w:val="002245E7"/>
    <w:rsid w:val="00224BFD"/>
    <w:rsid w:val="00224D1C"/>
    <w:rsid w:val="00224ECF"/>
    <w:rsid w:val="002254A9"/>
    <w:rsid w:val="002258F2"/>
    <w:rsid w:val="00225C6A"/>
    <w:rsid w:val="00225CD2"/>
    <w:rsid w:val="00225DE3"/>
    <w:rsid w:val="00225E0F"/>
    <w:rsid w:val="00225E25"/>
    <w:rsid w:val="002260E7"/>
    <w:rsid w:val="00226235"/>
    <w:rsid w:val="0022641D"/>
    <w:rsid w:val="002264B5"/>
    <w:rsid w:val="00226528"/>
    <w:rsid w:val="00226A33"/>
    <w:rsid w:val="00226B60"/>
    <w:rsid w:val="00226B91"/>
    <w:rsid w:val="00226BAA"/>
    <w:rsid w:val="00226C05"/>
    <w:rsid w:val="00226F1F"/>
    <w:rsid w:val="0022744D"/>
    <w:rsid w:val="002277FF"/>
    <w:rsid w:val="002278BD"/>
    <w:rsid w:val="00227DBD"/>
    <w:rsid w:val="00230130"/>
    <w:rsid w:val="00230A1D"/>
    <w:rsid w:val="00230DEC"/>
    <w:rsid w:val="002311CB"/>
    <w:rsid w:val="002315B8"/>
    <w:rsid w:val="002317CF"/>
    <w:rsid w:val="00231815"/>
    <w:rsid w:val="002319F3"/>
    <w:rsid w:val="00231A66"/>
    <w:rsid w:val="00231B25"/>
    <w:rsid w:val="00231C4E"/>
    <w:rsid w:val="00231CDD"/>
    <w:rsid w:val="00231E48"/>
    <w:rsid w:val="00232402"/>
    <w:rsid w:val="0023241F"/>
    <w:rsid w:val="00232531"/>
    <w:rsid w:val="00232533"/>
    <w:rsid w:val="00232B47"/>
    <w:rsid w:val="00232C9D"/>
    <w:rsid w:val="00232DBA"/>
    <w:rsid w:val="00232E81"/>
    <w:rsid w:val="0023360F"/>
    <w:rsid w:val="0023393B"/>
    <w:rsid w:val="00233964"/>
    <w:rsid w:val="00233AE2"/>
    <w:rsid w:val="00233B46"/>
    <w:rsid w:val="002344C4"/>
    <w:rsid w:val="002344F5"/>
    <w:rsid w:val="00234622"/>
    <w:rsid w:val="00234707"/>
    <w:rsid w:val="00234C1E"/>
    <w:rsid w:val="00234D37"/>
    <w:rsid w:val="00234DB5"/>
    <w:rsid w:val="00234DDC"/>
    <w:rsid w:val="00234EB3"/>
    <w:rsid w:val="00235247"/>
    <w:rsid w:val="0023562C"/>
    <w:rsid w:val="002356DE"/>
    <w:rsid w:val="002359D7"/>
    <w:rsid w:val="002360BC"/>
    <w:rsid w:val="00236194"/>
    <w:rsid w:val="0023621C"/>
    <w:rsid w:val="002362B2"/>
    <w:rsid w:val="00236459"/>
    <w:rsid w:val="002366C9"/>
    <w:rsid w:val="0023670D"/>
    <w:rsid w:val="00236935"/>
    <w:rsid w:val="00236A37"/>
    <w:rsid w:val="00236B7F"/>
    <w:rsid w:val="00236BC1"/>
    <w:rsid w:val="00236CAE"/>
    <w:rsid w:val="00236E95"/>
    <w:rsid w:val="00236EDC"/>
    <w:rsid w:val="00236F27"/>
    <w:rsid w:val="002372AE"/>
    <w:rsid w:val="002375C1"/>
    <w:rsid w:val="00237764"/>
    <w:rsid w:val="00237892"/>
    <w:rsid w:val="00240059"/>
    <w:rsid w:val="00240201"/>
    <w:rsid w:val="002405D0"/>
    <w:rsid w:val="002408E1"/>
    <w:rsid w:val="002409F6"/>
    <w:rsid w:val="00240B68"/>
    <w:rsid w:val="00240B7D"/>
    <w:rsid w:val="00240C0D"/>
    <w:rsid w:val="00241142"/>
    <w:rsid w:val="002412B1"/>
    <w:rsid w:val="00241316"/>
    <w:rsid w:val="002418FF"/>
    <w:rsid w:val="00241AB8"/>
    <w:rsid w:val="00241D34"/>
    <w:rsid w:val="00241F44"/>
    <w:rsid w:val="0024225B"/>
    <w:rsid w:val="00242292"/>
    <w:rsid w:val="0024295C"/>
    <w:rsid w:val="00242A7B"/>
    <w:rsid w:val="00242C6E"/>
    <w:rsid w:val="00242CE3"/>
    <w:rsid w:val="00242E3D"/>
    <w:rsid w:val="00242EDB"/>
    <w:rsid w:val="00242F49"/>
    <w:rsid w:val="00242F77"/>
    <w:rsid w:val="00243061"/>
    <w:rsid w:val="00243216"/>
    <w:rsid w:val="002433DF"/>
    <w:rsid w:val="00243412"/>
    <w:rsid w:val="002434B4"/>
    <w:rsid w:val="002434EA"/>
    <w:rsid w:val="0024396C"/>
    <w:rsid w:val="00243EC1"/>
    <w:rsid w:val="00243F4D"/>
    <w:rsid w:val="00244659"/>
    <w:rsid w:val="00245370"/>
    <w:rsid w:val="0024556F"/>
    <w:rsid w:val="00245AB4"/>
    <w:rsid w:val="00245CE6"/>
    <w:rsid w:val="00245D37"/>
    <w:rsid w:val="00246637"/>
    <w:rsid w:val="00246703"/>
    <w:rsid w:val="0024683D"/>
    <w:rsid w:val="002468F7"/>
    <w:rsid w:val="002469AA"/>
    <w:rsid w:val="00246FF0"/>
    <w:rsid w:val="0024708E"/>
    <w:rsid w:val="00247309"/>
    <w:rsid w:val="0024754B"/>
    <w:rsid w:val="002476DE"/>
    <w:rsid w:val="002477BE"/>
    <w:rsid w:val="0024796E"/>
    <w:rsid w:val="00247985"/>
    <w:rsid w:val="002479F7"/>
    <w:rsid w:val="00247BB7"/>
    <w:rsid w:val="00247E8A"/>
    <w:rsid w:val="00247ED7"/>
    <w:rsid w:val="00247EF0"/>
    <w:rsid w:val="002500BA"/>
    <w:rsid w:val="00250135"/>
    <w:rsid w:val="00250144"/>
    <w:rsid w:val="00250184"/>
    <w:rsid w:val="00250340"/>
    <w:rsid w:val="002504DD"/>
    <w:rsid w:val="002505FC"/>
    <w:rsid w:val="0025097A"/>
    <w:rsid w:val="00250F3A"/>
    <w:rsid w:val="002510FA"/>
    <w:rsid w:val="0025149A"/>
    <w:rsid w:val="0025197D"/>
    <w:rsid w:val="00251A11"/>
    <w:rsid w:val="00251A2B"/>
    <w:rsid w:val="00251A5A"/>
    <w:rsid w:val="00251A6C"/>
    <w:rsid w:val="00251A83"/>
    <w:rsid w:val="00251B3D"/>
    <w:rsid w:val="00251B4D"/>
    <w:rsid w:val="00251CDA"/>
    <w:rsid w:val="00252403"/>
    <w:rsid w:val="002524CC"/>
    <w:rsid w:val="00252872"/>
    <w:rsid w:val="00252A14"/>
    <w:rsid w:val="00252ADC"/>
    <w:rsid w:val="00252B33"/>
    <w:rsid w:val="00252DC4"/>
    <w:rsid w:val="00252DCD"/>
    <w:rsid w:val="00252F10"/>
    <w:rsid w:val="0025326F"/>
    <w:rsid w:val="00253338"/>
    <w:rsid w:val="002533AA"/>
    <w:rsid w:val="00253523"/>
    <w:rsid w:val="00253541"/>
    <w:rsid w:val="00253594"/>
    <w:rsid w:val="0025390F"/>
    <w:rsid w:val="0025409D"/>
    <w:rsid w:val="002546D8"/>
    <w:rsid w:val="00254D0D"/>
    <w:rsid w:val="00254EB3"/>
    <w:rsid w:val="00255056"/>
    <w:rsid w:val="0025526E"/>
    <w:rsid w:val="002552C3"/>
    <w:rsid w:val="0025532B"/>
    <w:rsid w:val="002555EB"/>
    <w:rsid w:val="00255881"/>
    <w:rsid w:val="00255B30"/>
    <w:rsid w:val="00255B6F"/>
    <w:rsid w:val="00255FBE"/>
    <w:rsid w:val="0025651D"/>
    <w:rsid w:val="0025658A"/>
    <w:rsid w:val="002565A0"/>
    <w:rsid w:val="0025678C"/>
    <w:rsid w:val="0025700B"/>
    <w:rsid w:val="002575D2"/>
    <w:rsid w:val="0025766C"/>
    <w:rsid w:val="002579D3"/>
    <w:rsid w:val="00257D43"/>
    <w:rsid w:val="0026001F"/>
    <w:rsid w:val="002600D6"/>
    <w:rsid w:val="00260761"/>
    <w:rsid w:val="0026090F"/>
    <w:rsid w:val="00260B15"/>
    <w:rsid w:val="00260B32"/>
    <w:rsid w:val="00260DA3"/>
    <w:rsid w:val="00260DAD"/>
    <w:rsid w:val="00260E8F"/>
    <w:rsid w:val="00261773"/>
    <w:rsid w:val="002617E5"/>
    <w:rsid w:val="002619BA"/>
    <w:rsid w:val="00261A80"/>
    <w:rsid w:val="00261B53"/>
    <w:rsid w:val="00261B74"/>
    <w:rsid w:val="00262074"/>
    <w:rsid w:val="002623FB"/>
    <w:rsid w:val="00262920"/>
    <w:rsid w:val="002629A5"/>
    <w:rsid w:val="00262A9E"/>
    <w:rsid w:val="00262AA0"/>
    <w:rsid w:val="00262AE5"/>
    <w:rsid w:val="00262E5C"/>
    <w:rsid w:val="00262F72"/>
    <w:rsid w:val="00263129"/>
    <w:rsid w:val="002632B7"/>
    <w:rsid w:val="002633E0"/>
    <w:rsid w:val="002636B8"/>
    <w:rsid w:val="00263937"/>
    <w:rsid w:val="00263A29"/>
    <w:rsid w:val="00263A90"/>
    <w:rsid w:val="00263F6F"/>
    <w:rsid w:val="002641F2"/>
    <w:rsid w:val="0026422C"/>
    <w:rsid w:val="002643EF"/>
    <w:rsid w:val="00264502"/>
    <w:rsid w:val="002648B3"/>
    <w:rsid w:val="00264AAD"/>
    <w:rsid w:val="00264B98"/>
    <w:rsid w:val="00264C3C"/>
    <w:rsid w:val="00264D14"/>
    <w:rsid w:val="00264D54"/>
    <w:rsid w:val="00264DEF"/>
    <w:rsid w:val="00264DFE"/>
    <w:rsid w:val="00265359"/>
    <w:rsid w:val="002659F4"/>
    <w:rsid w:val="00265B55"/>
    <w:rsid w:val="0026643F"/>
    <w:rsid w:val="00266DDD"/>
    <w:rsid w:val="00266F0C"/>
    <w:rsid w:val="00267582"/>
    <w:rsid w:val="002675B7"/>
    <w:rsid w:val="00267804"/>
    <w:rsid w:val="00267988"/>
    <w:rsid w:val="00267B4D"/>
    <w:rsid w:val="00267B79"/>
    <w:rsid w:val="00267BB2"/>
    <w:rsid w:val="00267C69"/>
    <w:rsid w:val="00267D42"/>
    <w:rsid w:val="0027004B"/>
    <w:rsid w:val="0027071B"/>
    <w:rsid w:val="00270C78"/>
    <w:rsid w:val="00270EFB"/>
    <w:rsid w:val="00271034"/>
    <w:rsid w:val="002710F9"/>
    <w:rsid w:val="00271560"/>
    <w:rsid w:val="0027160D"/>
    <w:rsid w:val="00271617"/>
    <w:rsid w:val="00271DF8"/>
    <w:rsid w:val="00271EDF"/>
    <w:rsid w:val="00271FCA"/>
    <w:rsid w:val="0027201A"/>
    <w:rsid w:val="00272314"/>
    <w:rsid w:val="0027237D"/>
    <w:rsid w:val="00272392"/>
    <w:rsid w:val="002725F5"/>
    <w:rsid w:val="002726D3"/>
    <w:rsid w:val="00272867"/>
    <w:rsid w:val="00272BE1"/>
    <w:rsid w:val="00272C6E"/>
    <w:rsid w:val="00272F18"/>
    <w:rsid w:val="00272FB1"/>
    <w:rsid w:val="00273084"/>
    <w:rsid w:val="002731C9"/>
    <w:rsid w:val="002731F1"/>
    <w:rsid w:val="00273C9F"/>
    <w:rsid w:val="00273D2F"/>
    <w:rsid w:val="00273F4F"/>
    <w:rsid w:val="00274271"/>
    <w:rsid w:val="002743B2"/>
    <w:rsid w:val="00274886"/>
    <w:rsid w:val="002748D3"/>
    <w:rsid w:val="00274B27"/>
    <w:rsid w:val="00274B54"/>
    <w:rsid w:val="00274B71"/>
    <w:rsid w:val="00274DF3"/>
    <w:rsid w:val="00274F30"/>
    <w:rsid w:val="00274FE2"/>
    <w:rsid w:val="002756B9"/>
    <w:rsid w:val="002757DD"/>
    <w:rsid w:val="00275BB6"/>
    <w:rsid w:val="00275C3E"/>
    <w:rsid w:val="00275CD5"/>
    <w:rsid w:val="00276539"/>
    <w:rsid w:val="00276B35"/>
    <w:rsid w:val="00276B5E"/>
    <w:rsid w:val="00276C17"/>
    <w:rsid w:val="00276CB5"/>
    <w:rsid w:val="00276EE2"/>
    <w:rsid w:val="00277234"/>
    <w:rsid w:val="00277327"/>
    <w:rsid w:val="002777A2"/>
    <w:rsid w:val="00277824"/>
    <w:rsid w:val="00277BDB"/>
    <w:rsid w:val="00277D77"/>
    <w:rsid w:val="002801D5"/>
    <w:rsid w:val="0028035F"/>
    <w:rsid w:val="002804BB"/>
    <w:rsid w:val="00280B74"/>
    <w:rsid w:val="00280D82"/>
    <w:rsid w:val="00280DD8"/>
    <w:rsid w:val="0028102D"/>
    <w:rsid w:val="00281582"/>
    <w:rsid w:val="002815A3"/>
    <w:rsid w:val="002815F6"/>
    <w:rsid w:val="00281C88"/>
    <w:rsid w:val="00281FBD"/>
    <w:rsid w:val="00282364"/>
    <w:rsid w:val="002823BC"/>
    <w:rsid w:val="002824DD"/>
    <w:rsid w:val="00282631"/>
    <w:rsid w:val="00282DCD"/>
    <w:rsid w:val="00282EFF"/>
    <w:rsid w:val="00283163"/>
    <w:rsid w:val="00283251"/>
    <w:rsid w:val="0028364D"/>
    <w:rsid w:val="00283664"/>
    <w:rsid w:val="002836F1"/>
    <w:rsid w:val="00283C5F"/>
    <w:rsid w:val="002841FA"/>
    <w:rsid w:val="00284362"/>
    <w:rsid w:val="002843A6"/>
    <w:rsid w:val="00284738"/>
    <w:rsid w:val="002847BB"/>
    <w:rsid w:val="00284B7E"/>
    <w:rsid w:val="00284CBF"/>
    <w:rsid w:val="00284CCF"/>
    <w:rsid w:val="00285074"/>
    <w:rsid w:val="00285140"/>
    <w:rsid w:val="00285498"/>
    <w:rsid w:val="0028550D"/>
    <w:rsid w:val="00285519"/>
    <w:rsid w:val="00285662"/>
    <w:rsid w:val="00285961"/>
    <w:rsid w:val="00285C10"/>
    <w:rsid w:val="00285C20"/>
    <w:rsid w:val="00285E0B"/>
    <w:rsid w:val="002860C0"/>
    <w:rsid w:val="002861AB"/>
    <w:rsid w:val="002864BA"/>
    <w:rsid w:val="002864FC"/>
    <w:rsid w:val="00286F95"/>
    <w:rsid w:val="002875F2"/>
    <w:rsid w:val="00287AF4"/>
    <w:rsid w:val="00287B77"/>
    <w:rsid w:val="00287BD1"/>
    <w:rsid w:val="00287CD2"/>
    <w:rsid w:val="00287F5B"/>
    <w:rsid w:val="00290123"/>
    <w:rsid w:val="0029057C"/>
    <w:rsid w:val="002907F1"/>
    <w:rsid w:val="002909D8"/>
    <w:rsid w:val="0029116E"/>
    <w:rsid w:val="002911E2"/>
    <w:rsid w:val="002912C1"/>
    <w:rsid w:val="00291ACA"/>
    <w:rsid w:val="00291BEA"/>
    <w:rsid w:val="00291DD2"/>
    <w:rsid w:val="00291F81"/>
    <w:rsid w:val="00291FBE"/>
    <w:rsid w:val="002921DD"/>
    <w:rsid w:val="002925AB"/>
    <w:rsid w:val="002929E0"/>
    <w:rsid w:val="00292B65"/>
    <w:rsid w:val="00292C01"/>
    <w:rsid w:val="00293166"/>
    <w:rsid w:val="002931C5"/>
    <w:rsid w:val="00293218"/>
    <w:rsid w:val="00293304"/>
    <w:rsid w:val="00293668"/>
    <w:rsid w:val="002937A1"/>
    <w:rsid w:val="00293909"/>
    <w:rsid w:val="0029391B"/>
    <w:rsid w:val="00293E7E"/>
    <w:rsid w:val="00293EB1"/>
    <w:rsid w:val="00293F7C"/>
    <w:rsid w:val="00294085"/>
    <w:rsid w:val="0029415E"/>
    <w:rsid w:val="00294290"/>
    <w:rsid w:val="002942D1"/>
    <w:rsid w:val="00294611"/>
    <w:rsid w:val="00294674"/>
    <w:rsid w:val="00294D26"/>
    <w:rsid w:val="00294D74"/>
    <w:rsid w:val="0029515E"/>
    <w:rsid w:val="002956EE"/>
    <w:rsid w:val="00295A58"/>
    <w:rsid w:val="00295CAE"/>
    <w:rsid w:val="00295EF2"/>
    <w:rsid w:val="00296922"/>
    <w:rsid w:val="00296BAA"/>
    <w:rsid w:val="00296EE9"/>
    <w:rsid w:val="00296FE7"/>
    <w:rsid w:val="00297365"/>
    <w:rsid w:val="00297C49"/>
    <w:rsid w:val="002A0813"/>
    <w:rsid w:val="002A0AC5"/>
    <w:rsid w:val="002A170A"/>
    <w:rsid w:val="002A19DC"/>
    <w:rsid w:val="002A19DD"/>
    <w:rsid w:val="002A1B9B"/>
    <w:rsid w:val="002A1D58"/>
    <w:rsid w:val="002A2138"/>
    <w:rsid w:val="002A2309"/>
    <w:rsid w:val="002A2420"/>
    <w:rsid w:val="002A24E3"/>
    <w:rsid w:val="002A28C4"/>
    <w:rsid w:val="002A2A22"/>
    <w:rsid w:val="002A2A63"/>
    <w:rsid w:val="002A2AE8"/>
    <w:rsid w:val="002A31A1"/>
    <w:rsid w:val="002A380D"/>
    <w:rsid w:val="002A38B2"/>
    <w:rsid w:val="002A3C76"/>
    <w:rsid w:val="002A3D93"/>
    <w:rsid w:val="002A3E20"/>
    <w:rsid w:val="002A412B"/>
    <w:rsid w:val="002A416B"/>
    <w:rsid w:val="002A428B"/>
    <w:rsid w:val="002A42EC"/>
    <w:rsid w:val="002A437B"/>
    <w:rsid w:val="002A4450"/>
    <w:rsid w:val="002A45F3"/>
    <w:rsid w:val="002A4784"/>
    <w:rsid w:val="002A47F8"/>
    <w:rsid w:val="002A49DE"/>
    <w:rsid w:val="002A49EC"/>
    <w:rsid w:val="002A4DEB"/>
    <w:rsid w:val="002A4E2F"/>
    <w:rsid w:val="002A4FB5"/>
    <w:rsid w:val="002A553F"/>
    <w:rsid w:val="002A5A4B"/>
    <w:rsid w:val="002A5F6C"/>
    <w:rsid w:val="002A659A"/>
    <w:rsid w:val="002A666B"/>
    <w:rsid w:val="002A6753"/>
    <w:rsid w:val="002A6B1A"/>
    <w:rsid w:val="002A6F13"/>
    <w:rsid w:val="002A7115"/>
    <w:rsid w:val="002A7484"/>
    <w:rsid w:val="002A7D60"/>
    <w:rsid w:val="002A7DCC"/>
    <w:rsid w:val="002A7EE8"/>
    <w:rsid w:val="002B03C5"/>
    <w:rsid w:val="002B08FE"/>
    <w:rsid w:val="002B0A45"/>
    <w:rsid w:val="002B0AAB"/>
    <w:rsid w:val="002B0BEF"/>
    <w:rsid w:val="002B0E47"/>
    <w:rsid w:val="002B11F4"/>
    <w:rsid w:val="002B127F"/>
    <w:rsid w:val="002B1945"/>
    <w:rsid w:val="002B1B26"/>
    <w:rsid w:val="002B20ED"/>
    <w:rsid w:val="002B2174"/>
    <w:rsid w:val="002B21B1"/>
    <w:rsid w:val="002B225E"/>
    <w:rsid w:val="002B23AF"/>
    <w:rsid w:val="002B24F9"/>
    <w:rsid w:val="002B25DC"/>
    <w:rsid w:val="002B2A3B"/>
    <w:rsid w:val="002B2AEE"/>
    <w:rsid w:val="002B2D9E"/>
    <w:rsid w:val="002B2DA9"/>
    <w:rsid w:val="002B2E9B"/>
    <w:rsid w:val="002B2ECC"/>
    <w:rsid w:val="002B30F0"/>
    <w:rsid w:val="002B30FC"/>
    <w:rsid w:val="002B3109"/>
    <w:rsid w:val="002B3127"/>
    <w:rsid w:val="002B342E"/>
    <w:rsid w:val="002B34EF"/>
    <w:rsid w:val="002B35A6"/>
    <w:rsid w:val="002B372B"/>
    <w:rsid w:val="002B3944"/>
    <w:rsid w:val="002B39FD"/>
    <w:rsid w:val="002B3B0C"/>
    <w:rsid w:val="002B3FA2"/>
    <w:rsid w:val="002B4057"/>
    <w:rsid w:val="002B42E3"/>
    <w:rsid w:val="002B4676"/>
    <w:rsid w:val="002B49EA"/>
    <w:rsid w:val="002B5285"/>
    <w:rsid w:val="002B52CE"/>
    <w:rsid w:val="002B5390"/>
    <w:rsid w:val="002B56D4"/>
    <w:rsid w:val="002B5739"/>
    <w:rsid w:val="002B5889"/>
    <w:rsid w:val="002B58C6"/>
    <w:rsid w:val="002B5C31"/>
    <w:rsid w:val="002B5C6A"/>
    <w:rsid w:val="002B5FD2"/>
    <w:rsid w:val="002B6018"/>
    <w:rsid w:val="002B645C"/>
    <w:rsid w:val="002B6765"/>
    <w:rsid w:val="002B6999"/>
    <w:rsid w:val="002B69CA"/>
    <w:rsid w:val="002B6AF3"/>
    <w:rsid w:val="002B6F76"/>
    <w:rsid w:val="002B713E"/>
    <w:rsid w:val="002B721C"/>
    <w:rsid w:val="002B74B8"/>
    <w:rsid w:val="002B7761"/>
    <w:rsid w:val="002B79D9"/>
    <w:rsid w:val="002B7D3B"/>
    <w:rsid w:val="002B7F99"/>
    <w:rsid w:val="002C01AD"/>
    <w:rsid w:val="002C0220"/>
    <w:rsid w:val="002C0239"/>
    <w:rsid w:val="002C0263"/>
    <w:rsid w:val="002C055F"/>
    <w:rsid w:val="002C05DC"/>
    <w:rsid w:val="002C0B55"/>
    <w:rsid w:val="002C0E2B"/>
    <w:rsid w:val="002C11C3"/>
    <w:rsid w:val="002C130D"/>
    <w:rsid w:val="002C1BD3"/>
    <w:rsid w:val="002C1C9E"/>
    <w:rsid w:val="002C1FF0"/>
    <w:rsid w:val="002C20F5"/>
    <w:rsid w:val="002C23CC"/>
    <w:rsid w:val="002C26C7"/>
    <w:rsid w:val="002C2964"/>
    <w:rsid w:val="002C29E5"/>
    <w:rsid w:val="002C2A37"/>
    <w:rsid w:val="002C2BE4"/>
    <w:rsid w:val="002C2C50"/>
    <w:rsid w:val="002C2F02"/>
    <w:rsid w:val="002C361A"/>
    <w:rsid w:val="002C3D8C"/>
    <w:rsid w:val="002C3E6E"/>
    <w:rsid w:val="002C467C"/>
    <w:rsid w:val="002C4AC7"/>
    <w:rsid w:val="002C4D6D"/>
    <w:rsid w:val="002C4DC2"/>
    <w:rsid w:val="002C517F"/>
    <w:rsid w:val="002C5389"/>
    <w:rsid w:val="002C59AB"/>
    <w:rsid w:val="002C60EC"/>
    <w:rsid w:val="002C6190"/>
    <w:rsid w:val="002C62CE"/>
    <w:rsid w:val="002C65C1"/>
    <w:rsid w:val="002C662D"/>
    <w:rsid w:val="002C69CD"/>
    <w:rsid w:val="002C6A79"/>
    <w:rsid w:val="002C6C45"/>
    <w:rsid w:val="002C6D12"/>
    <w:rsid w:val="002C6EE8"/>
    <w:rsid w:val="002C7109"/>
    <w:rsid w:val="002C7176"/>
    <w:rsid w:val="002C7431"/>
    <w:rsid w:val="002C7796"/>
    <w:rsid w:val="002C77BA"/>
    <w:rsid w:val="002C7882"/>
    <w:rsid w:val="002C7B12"/>
    <w:rsid w:val="002C7CC9"/>
    <w:rsid w:val="002C7D49"/>
    <w:rsid w:val="002C7E30"/>
    <w:rsid w:val="002D00E0"/>
    <w:rsid w:val="002D010C"/>
    <w:rsid w:val="002D016D"/>
    <w:rsid w:val="002D0331"/>
    <w:rsid w:val="002D076C"/>
    <w:rsid w:val="002D0B58"/>
    <w:rsid w:val="002D0B76"/>
    <w:rsid w:val="002D0BC4"/>
    <w:rsid w:val="002D0D9D"/>
    <w:rsid w:val="002D0EB3"/>
    <w:rsid w:val="002D10C9"/>
    <w:rsid w:val="002D113A"/>
    <w:rsid w:val="002D1169"/>
    <w:rsid w:val="002D1244"/>
    <w:rsid w:val="002D1540"/>
    <w:rsid w:val="002D1545"/>
    <w:rsid w:val="002D18EC"/>
    <w:rsid w:val="002D2022"/>
    <w:rsid w:val="002D2182"/>
    <w:rsid w:val="002D2252"/>
    <w:rsid w:val="002D2464"/>
    <w:rsid w:val="002D2A21"/>
    <w:rsid w:val="002D2A78"/>
    <w:rsid w:val="002D2A8D"/>
    <w:rsid w:val="002D2BC0"/>
    <w:rsid w:val="002D2D9E"/>
    <w:rsid w:val="002D2DB6"/>
    <w:rsid w:val="002D2E80"/>
    <w:rsid w:val="002D30F9"/>
    <w:rsid w:val="002D3289"/>
    <w:rsid w:val="002D32AF"/>
    <w:rsid w:val="002D36C6"/>
    <w:rsid w:val="002D38F0"/>
    <w:rsid w:val="002D3B28"/>
    <w:rsid w:val="002D3E29"/>
    <w:rsid w:val="002D4607"/>
    <w:rsid w:val="002D46F5"/>
    <w:rsid w:val="002D4701"/>
    <w:rsid w:val="002D4A11"/>
    <w:rsid w:val="002D4E41"/>
    <w:rsid w:val="002D5110"/>
    <w:rsid w:val="002D5252"/>
    <w:rsid w:val="002D53E3"/>
    <w:rsid w:val="002D550A"/>
    <w:rsid w:val="002D57AB"/>
    <w:rsid w:val="002D5923"/>
    <w:rsid w:val="002D5939"/>
    <w:rsid w:val="002D59D0"/>
    <w:rsid w:val="002D5AC9"/>
    <w:rsid w:val="002D5C5D"/>
    <w:rsid w:val="002D5CB4"/>
    <w:rsid w:val="002D5D54"/>
    <w:rsid w:val="002D5E85"/>
    <w:rsid w:val="002D5F4E"/>
    <w:rsid w:val="002D601A"/>
    <w:rsid w:val="002D6173"/>
    <w:rsid w:val="002D6A6C"/>
    <w:rsid w:val="002D6A8F"/>
    <w:rsid w:val="002D7019"/>
    <w:rsid w:val="002D7162"/>
    <w:rsid w:val="002D7371"/>
    <w:rsid w:val="002D73BF"/>
    <w:rsid w:val="002D7566"/>
    <w:rsid w:val="002D7D03"/>
    <w:rsid w:val="002E005E"/>
    <w:rsid w:val="002E0076"/>
    <w:rsid w:val="002E02FB"/>
    <w:rsid w:val="002E03C1"/>
    <w:rsid w:val="002E0B81"/>
    <w:rsid w:val="002E0C9C"/>
    <w:rsid w:val="002E0D5A"/>
    <w:rsid w:val="002E0E85"/>
    <w:rsid w:val="002E0F56"/>
    <w:rsid w:val="002E0FF8"/>
    <w:rsid w:val="002E1250"/>
    <w:rsid w:val="002E1297"/>
    <w:rsid w:val="002E15E6"/>
    <w:rsid w:val="002E17E4"/>
    <w:rsid w:val="002E19E4"/>
    <w:rsid w:val="002E1AAA"/>
    <w:rsid w:val="002E1D56"/>
    <w:rsid w:val="002E1F90"/>
    <w:rsid w:val="002E2036"/>
    <w:rsid w:val="002E2642"/>
    <w:rsid w:val="002E28AA"/>
    <w:rsid w:val="002E2A65"/>
    <w:rsid w:val="002E2A83"/>
    <w:rsid w:val="002E2B78"/>
    <w:rsid w:val="002E2DAD"/>
    <w:rsid w:val="002E2E66"/>
    <w:rsid w:val="002E311B"/>
    <w:rsid w:val="002E3359"/>
    <w:rsid w:val="002E3481"/>
    <w:rsid w:val="002E3517"/>
    <w:rsid w:val="002E3552"/>
    <w:rsid w:val="002E356B"/>
    <w:rsid w:val="002E361D"/>
    <w:rsid w:val="002E3669"/>
    <w:rsid w:val="002E376F"/>
    <w:rsid w:val="002E39D3"/>
    <w:rsid w:val="002E39F5"/>
    <w:rsid w:val="002E3B91"/>
    <w:rsid w:val="002E3C1D"/>
    <w:rsid w:val="002E4469"/>
    <w:rsid w:val="002E4601"/>
    <w:rsid w:val="002E4764"/>
    <w:rsid w:val="002E4877"/>
    <w:rsid w:val="002E498C"/>
    <w:rsid w:val="002E49D6"/>
    <w:rsid w:val="002E4A61"/>
    <w:rsid w:val="002E4AA9"/>
    <w:rsid w:val="002E4BAF"/>
    <w:rsid w:val="002E4E15"/>
    <w:rsid w:val="002E4FA3"/>
    <w:rsid w:val="002E4FAB"/>
    <w:rsid w:val="002E514F"/>
    <w:rsid w:val="002E555F"/>
    <w:rsid w:val="002E58B4"/>
    <w:rsid w:val="002E5A00"/>
    <w:rsid w:val="002E5F74"/>
    <w:rsid w:val="002E60FF"/>
    <w:rsid w:val="002E62EC"/>
    <w:rsid w:val="002E63F0"/>
    <w:rsid w:val="002E69A5"/>
    <w:rsid w:val="002E6B14"/>
    <w:rsid w:val="002E6C62"/>
    <w:rsid w:val="002E70E1"/>
    <w:rsid w:val="002E713B"/>
    <w:rsid w:val="002E727A"/>
    <w:rsid w:val="002E74BC"/>
    <w:rsid w:val="002E75CB"/>
    <w:rsid w:val="002E7704"/>
    <w:rsid w:val="002E7751"/>
    <w:rsid w:val="002E789E"/>
    <w:rsid w:val="002E7A18"/>
    <w:rsid w:val="002E7B5D"/>
    <w:rsid w:val="002E7D17"/>
    <w:rsid w:val="002E7DA9"/>
    <w:rsid w:val="002E7F0B"/>
    <w:rsid w:val="002E7F98"/>
    <w:rsid w:val="002F00E0"/>
    <w:rsid w:val="002F05F2"/>
    <w:rsid w:val="002F0602"/>
    <w:rsid w:val="002F07AE"/>
    <w:rsid w:val="002F0C11"/>
    <w:rsid w:val="002F13F5"/>
    <w:rsid w:val="002F1514"/>
    <w:rsid w:val="002F156D"/>
    <w:rsid w:val="002F15DA"/>
    <w:rsid w:val="002F21E2"/>
    <w:rsid w:val="002F2229"/>
    <w:rsid w:val="002F2387"/>
    <w:rsid w:val="002F2522"/>
    <w:rsid w:val="002F256F"/>
    <w:rsid w:val="002F25B8"/>
    <w:rsid w:val="002F25FF"/>
    <w:rsid w:val="002F29E1"/>
    <w:rsid w:val="002F2AF7"/>
    <w:rsid w:val="002F2B4E"/>
    <w:rsid w:val="002F2C01"/>
    <w:rsid w:val="002F2EDD"/>
    <w:rsid w:val="002F2F11"/>
    <w:rsid w:val="002F2F5F"/>
    <w:rsid w:val="002F2F75"/>
    <w:rsid w:val="002F3562"/>
    <w:rsid w:val="002F370D"/>
    <w:rsid w:val="002F3E88"/>
    <w:rsid w:val="002F4183"/>
    <w:rsid w:val="002F439D"/>
    <w:rsid w:val="002F46A3"/>
    <w:rsid w:val="002F46E2"/>
    <w:rsid w:val="002F4979"/>
    <w:rsid w:val="002F49F9"/>
    <w:rsid w:val="002F4B04"/>
    <w:rsid w:val="002F4CF3"/>
    <w:rsid w:val="002F4CFD"/>
    <w:rsid w:val="002F4E4B"/>
    <w:rsid w:val="002F5044"/>
    <w:rsid w:val="002F533D"/>
    <w:rsid w:val="002F54A1"/>
    <w:rsid w:val="002F5613"/>
    <w:rsid w:val="002F59A7"/>
    <w:rsid w:val="002F6313"/>
    <w:rsid w:val="002F6581"/>
    <w:rsid w:val="002F6621"/>
    <w:rsid w:val="002F66C7"/>
    <w:rsid w:val="002F6E3C"/>
    <w:rsid w:val="002F6F74"/>
    <w:rsid w:val="002F74DF"/>
    <w:rsid w:val="002F78CA"/>
    <w:rsid w:val="002F7EF4"/>
    <w:rsid w:val="002F7FF8"/>
    <w:rsid w:val="003000B0"/>
    <w:rsid w:val="003005FE"/>
    <w:rsid w:val="00300720"/>
    <w:rsid w:val="003008F6"/>
    <w:rsid w:val="003009F4"/>
    <w:rsid w:val="00300D44"/>
    <w:rsid w:val="00301155"/>
    <w:rsid w:val="003015DF"/>
    <w:rsid w:val="00301BBB"/>
    <w:rsid w:val="00301BFD"/>
    <w:rsid w:val="00301D5C"/>
    <w:rsid w:val="00301DB8"/>
    <w:rsid w:val="003020D8"/>
    <w:rsid w:val="003024E3"/>
    <w:rsid w:val="00302630"/>
    <w:rsid w:val="0030278D"/>
    <w:rsid w:val="00302AA8"/>
    <w:rsid w:val="00302C60"/>
    <w:rsid w:val="00302D0F"/>
    <w:rsid w:val="00302FFD"/>
    <w:rsid w:val="00303351"/>
    <w:rsid w:val="00303418"/>
    <w:rsid w:val="003035A5"/>
    <w:rsid w:val="003035C8"/>
    <w:rsid w:val="003037ED"/>
    <w:rsid w:val="00303AA1"/>
    <w:rsid w:val="00303C00"/>
    <w:rsid w:val="00303D6B"/>
    <w:rsid w:val="00303E4A"/>
    <w:rsid w:val="00303F9E"/>
    <w:rsid w:val="00304FD2"/>
    <w:rsid w:val="003050B4"/>
    <w:rsid w:val="0030521D"/>
    <w:rsid w:val="00305435"/>
    <w:rsid w:val="00305A24"/>
    <w:rsid w:val="00305F83"/>
    <w:rsid w:val="00306307"/>
    <w:rsid w:val="003064E9"/>
    <w:rsid w:val="00306E3D"/>
    <w:rsid w:val="00307092"/>
    <w:rsid w:val="00307272"/>
    <w:rsid w:val="003075EC"/>
    <w:rsid w:val="0030766C"/>
    <w:rsid w:val="00307878"/>
    <w:rsid w:val="003078F0"/>
    <w:rsid w:val="00307A94"/>
    <w:rsid w:val="00307EC4"/>
    <w:rsid w:val="00307F1B"/>
    <w:rsid w:val="00307F54"/>
    <w:rsid w:val="0031001A"/>
    <w:rsid w:val="00310327"/>
    <w:rsid w:val="00310345"/>
    <w:rsid w:val="003105D2"/>
    <w:rsid w:val="00310797"/>
    <w:rsid w:val="003107D5"/>
    <w:rsid w:val="003107EA"/>
    <w:rsid w:val="0031084F"/>
    <w:rsid w:val="00310B97"/>
    <w:rsid w:val="0031121E"/>
    <w:rsid w:val="003112DF"/>
    <w:rsid w:val="003114CD"/>
    <w:rsid w:val="00311B2F"/>
    <w:rsid w:val="0031249E"/>
    <w:rsid w:val="0031254C"/>
    <w:rsid w:val="00312654"/>
    <w:rsid w:val="00312AA8"/>
    <w:rsid w:val="00312C8C"/>
    <w:rsid w:val="00313017"/>
    <w:rsid w:val="00313222"/>
    <w:rsid w:val="0031366A"/>
    <w:rsid w:val="003136D6"/>
    <w:rsid w:val="0031370C"/>
    <w:rsid w:val="00313D7D"/>
    <w:rsid w:val="0031432D"/>
    <w:rsid w:val="003144A0"/>
    <w:rsid w:val="00314B92"/>
    <w:rsid w:val="003150C2"/>
    <w:rsid w:val="00315454"/>
    <w:rsid w:val="003154F0"/>
    <w:rsid w:val="0031558D"/>
    <w:rsid w:val="003155FB"/>
    <w:rsid w:val="0031571D"/>
    <w:rsid w:val="003157AD"/>
    <w:rsid w:val="00315D2D"/>
    <w:rsid w:val="00315D6D"/>
    <w:rsid w:val="00315F27"/>
    <w:rsid w:val="003160BC"/>
    <w:rsid w:val="003163D0"/>
    <w:rsid w:val="00316433"/>
    <w:rsid w:val="00316A80"/>
    <w:rsid w:val="00316B8B"/>
    <w:rsid w:val="00316C21"/>
    <w:rsid w:val="00316D53"/>
    <w:rsid w:val="00316EB1"/>
    <w:rsid w:val="003171B9"/>
    <w:rsid w:val="00317648"/>
    <w:rsid w:val="003176F9"/>
    <w:rsid w:val="0031790E"/>
    <w:rsid w:val="00317C71"/>
    <w:rsid w:val="00317FC9"/>
    <w:rsid w:val="003200A4"/>
    <w:rsid w:val="00320359"/>
    <w:rsid w:val="0032085F"/>
    <w:rsid w:val="00320E5D"/>
    <w:rsid w:val="00320EF6"/>
    <w:rsid w:val="00320FDA"/>
    <w:rsid w:val="00321276"/>
    <w:rsid w:val="003214D9"/>
    <w:rsid w:val="0032196D"/>
    <w:rsid w:val="00322151"/>
    <w:rsid w:val="00322295"/>
    <w:rsid w:val="003223B1"/>
    <w:rsid w:val="00322E19"/>
    <w:rsid w:val="00322FE4"/>
    <w:rsid w:val="00323262"/>
    <w:rsid w:val="0032344C"/>
    <w:rsid w:val="0032350A"/>
    <w:rsid w:val="003239E0"/>
    <w:rsid w:val="00323A88"/>
    <w:rsid w:val="00323AA5"/>
    <w:rsid w:val="00323B4E"/>
    <w:rsid w:val="00323C77"/>
    <w:rsid w:val="00323DA2"/>
    <w:rsid w:val="00323DAF"/>
    <w:rsid w:val="00323F53"/>
    <w:rsid w:val="00324185"/>
    <w:rsid w:val="003241AE"/>
    <w:rsid w:val="0032435E"/>
    <w:rsid w:val="003244E6"/>
    <w:rsid w:val="00324548"/>
    <w:rsid w:val="00324984"/>
    <w:rsid w:val="00324B4F"/>
    <w:rsid w:val="00324BA8"/>
    <w:rsid w:val="00324C41"/>
    <w:rsid w:val="003250E2"/>
    <w:rsid w:val="00325148"/>
    <w:rsid w:val="00325180"/>
    <w:rsid w:val="00325232"/>
    <w:rsid w:val="00325718"/>
    <w:rsid w:val="00325809"/>
    <w:rsid w:val="00325930"/>
    <w:rsid w:val="00325FF1"/>
    <w:rsid w:val="0032624A"/>
    <w:rsid w:val="00326253"/>
    <w:rsid w:val="0032671C"/>
    <w:rsid w:val="0032684B"/>
    <w:rsid w:val="00326B3A"/>
    <w:rsid w:val="00326EE7"/>
    <w:rsid w:val="00326FFC"/>
    <w:rsid w:val="003270C4"/>
    <w:rsid w:val="00327237"/>
    <w:rsid w:val="003276E6"/>
    <w:rsid w:val="00327890"/>
    <w:rsid w:val="003278DD"/>
    <w:rsid w:val="0032791F"/>
    <w:rsid w:val="00330104"/>
    <w:rsid w:val="0033081E"/>
    <w:rsid w:val="003308C8"/>
    <w:rsid w:val="00331013"/>
    <w:rsid w:val="00331165"/>
    <w:rsid w:val="003312AF"/>
    <w:rsid w:val="00331308"/>
    <w:rsid w:val="003316C4"/>
    <w:rsid w:val="00331CB5"/>
    <w:rsid w:val="00331DA6"/>
    <w:rsid w:val="00332018"/>
    <w:rsid w:val="00332022"/>
    <w:rsid w:val="003320AF"/>
    <w:rsid w:val="00332202"/>
    <w:rsid w:val="00332676"/>
    <w:rsid w:val="0033290B"/>
    <w:rsid w:val="00332921"/>
    <w:rsid w:val="00332BA9"/>
    <w:rsid w:val="00332BC6"/>
    <w:rsid w:val="00332FF6"/>
    <w:rsid w:val="003331D6"/>
    <w:rsid w:val="0033359A"/>
    <w:rsid w:val="00333905"/>
    <w:rsid w:val="00334081"/>
    <w:rsid w:val="00334272"/>
    <w:rsid w:val="003346C9"/>
    <w:rsid w:val="00334A37"/>
    <w:rsid w:val="003354A1"/>
    <w:rsid w:val="00335972"/>
    <w:rsid w:val="003359DB"/>
    <w:rsid w:val="00335D07"/>
    <w:rsid w:val="00335F55"/>
    <w:rsid w:val="003361B0"/>
    <w:rsid w:val="0033622A"/>
    <w:rsid w:val="00336434"/>
    <w:rsid w:val="0033678C"/>
    <w:rsid w:val="003367AD"/>
    <w:rsid w:val="003367C3"/>
    <w:rsid w:val="003367F0"/>
    <w:rsid w:val="00336846"/>
    <w:rsid w:val="00336933"/>
    <w:rsid w:val="00336A14"/>
    <w:rsid w:val="00336A6A"/>
    <w:rsid w:val="00336C37"/>
    <w:rsid w:val="0033703B"/>
    <w:rsid w:val="003374F5"/>
    <w:rsid w:val="00337730"/>
    <w:rsid w:val="0033793E"/>
    <w:rsid w:val="00337C01"/>
    <w:rsid w:val="00337C24"/>
    <w:rsid w:val="00337F6D"/>
    <w:rsid w:val="0034008E"/>
    <w:rsid w:val="0034017E"/>
    <w:rsid w:val="00340A75"/>
    <w:rsid w:val="00340C7B"/>
    <w:rsid w:val="00340D7C"/>
    <w:rsid w:val="003412AF"/>
    <w:rsid w:val="00341583"/>
    <w:rsid w:val="003417E4"/>
    <w:rsid w:val="00341900"/>
    <w:rsid w:val="00341E51"/>
    <w:rsid w:val="00341FD3"/>
    <w:rsid w:val="003420F4"/>
    <w:rsid w:val="00342325"/>
    <w:rsid w:val="003426BA"/>
    <w:rsid w:val="0034345A"/>
    <w:rsid w:val="00343468"/>
    <w:rsid w:val="00343747"/>
    <w:rsid w:val="003439C8"/>
    <w:rsid w:val="00343C3B"/>
    <w:rsid w:val="00343D73"/>
    <w:rsid w:val="00344523"/>
    <w:rsid w:val="00344612"/>
    <w:rsid w:val="00344D6C"/>
    <w:rsid w:val="00344E31"/>
    <w:rsid w:val="003453CF"/>
    <w:rsid w:val="00345482"/>
    <w:rsid w:val="00345735"/>
    <w:rsid w:val="003458F6"/>
    <w:rsid w:val="00345CA4"/>
    <w:rsid w:val="00345F76"/>
    <w:rsid w:val="00345FB7"/>
    <w:rsid w:val="00345FDE"/>
    <w:rsid w:val="0034615B"/>
    <w:rsid w:val="0034621A"/>
    <w:rsid w:val="00346829"/>
    <w:rsid w:val="003468F5"/>
    <w:rsid w:val="00347030"/>
    <w:rsid w:val="0034714B"/>
    <w:rsid w:val="003471D3"/>
    <w:rsid w:val="003471F0"/>
    <w:rsid w:val="00347553"/>
    <w:rsid w:val="003475B6"/>
    <w:rsid w:val="003477A1"/>
    <w:rsid w:val="00347F4E"/>
    <w:rsid w:val="00350179"/>
    <w:rsid w:val="003502E1"/>
    <w:rsid w:val="003504F9"/>
    <w:rsid w:val="00350529"/>
    <w:rsid w:val="00350AA9"/>
    <w:rsid w:val="00350E93"/>
    <w:rsid w:val="00350F2F"/>
    <w:rsid w:val="003512D4"/>
    <w:rsid w:val="00351491"/>
    <w:rsid w:val="00351DB3"/>
    <w:rsid w:val="00351EA9"/>
    <w:rsid w:val="00352002"/>
    <w:rsid w:val="00352321"/>
    <w:rsid w:val="003523EC"/>
    <w:rsid w:val="003524D6"/>
    <w:rsid w:val="00352674"/>
    <w:rsid w:val="0035292D"/>
    <w:rsid w:val="00352B49"/>
    <w:rsid w:val="00352C31"/>
    <w:rsid w:val="00352C93"/>
    <w:rsid w:val="00352DA0"/>
    <w:rsid w:val="00352E30"/>
    <w:rsid w:val="00352E7D"/>
    <w:rsid w:val="003531F8"/>
    <w:rsid w:val="003533BE"/>
    <w:rsid w:val="003537EE"/>
    <w:rsid w:val="00353D0F"/>
    <w:rsid w:val="00353D1A"/>
    <w:rsid w:val="00353DA0"/>
    <w:rsid w:val="00353EC5"/>
    <w:rsid w:val="00353ED3"/>
    <w:rsid w:val="00353F3F"/>
    <w:rsid w:val="00353FF4"/>
    <w:rsid w:val="0035414C"/>
    <w:rsid w:val="0035426E"/>
    <w:rsid w:val="00354566"/>
    <w:rsid w:val="0035478D"/>
    <w:rsid w:val="00354B54"/>
    <w:rsid w:val="00354BEE"/>
    <w:rsid w:val="00354CDE"/>
    <w:rsid w:val="00354E5F"/>
    <w:rsid w:val="00354EDA"/>
    <w:rsid w:val="0035544A"/>
    <w:rsid w:val="003554CD"/>
    <w:rsid w:val="0035562E"/>
    <w:rsid w:val="00355700"/>
    <w:rsid w:val="0035583D"/>
    <w:rsid w:val="00355ADC"/>
    <w:rsid w:val="00355CFB"/>
    <w:rsid w:val="00355EA9"/>
    <w:rsid w:val="0035637E"/>
    <w:rsid w:val="0035655C"/>
    <w:rsid w:val="00356746"/>
    <w:rsid w:val="0035683B"/>
    <w:rsid w:val="003568ED"/>
    <w:rsid w:val="003568EE"/>
    <w:rsid w:val="00356CC3"/>
    <w:rsid w:val="00356DED"/>
    <w:rsid w:val="003570C5"/>
    <w:rsid w:val="00357555"/>
    <w:rsid w:val="003578A5"/>
    <w:rsid w:val="00357E40"/>
    <w:rsid w:val="00357F4E"/>
    <w:rsid w:val="0036011E"/>
    <w:rsid w:val="00360271"/>
    <w:rsid w:val="00360343"/>
    <w:rsid w:val="00360B3A"/>
    <w:rsid w:val="00360ED4"/>
    <w:rsid w:val="0036156A"/>
    <w:rsid w:val="00361ABE"/>
    <w:rsid w:val="00361B3B"/>
    <w:rsid w:val="00361F29"/>
    <w:rsid w:val="00361F82"/>
    <w:rsid w:val="0036211F"/>
    <w:rsid w:val="0036219A"/>
    <w:rsid w:val="00362496"/>
    <w:rsid w:val="003627E4"/>
    <w:rsid w:val="00362B86"/>
    <w:rsid w:val="00362F2E"/>
    <w:rsid w:val="00362FE3"/>
    <w:rsid w:val="00363161"/>
    <w:rsid w:val="00363262"/>
    <w:rsid w:val="003633E9"/>
    <w:rsid w:val="0036342D"/>
    <w:rsid w:val="00363642"/>
    <w:rsid w:val="003636DD"/>
    <w:rsid w:val="00363745"/>
    <w:rsid w:val="00363873"/>
    <w:rsid w:val="003639CF"/>
    <w:rsid w:val="00363B65"/>
    <w:rsid w:val="00363C2E"/>
    <w:rsid w:val="00363D15"/>
    <w:rsid w:val="003641CF"/>
    <w:rsid w:val="00364229"/>
    <w:rsid w:val="00364569"/>
    <w:rsid w:val="0036467E"/>
    <w:rsid w:val="003649EE"/>
    <w:rsid w:val="00364EE6"/>
    <w:rsid w:val="003650B8"/>
    <w:rsid w:val="00365176"/>
    <w:rsid w:val="003651CC"/>
    <w:rsid w:val="003652E4"/>
    <w:rsid w:val="0036546F"/>
    <w:rsid w:val="003654FE"/>
    <w:rsid w:val="003655E1"/>
    <w:rsid w:val="00365767"/>
    <w:rsid w:val="00365960"/>
    <w:rsid w:val="00365B7F"/>
    <w:rsid w:val="00365D6C"/>
    <w:rsid w:val="0036605D"/>
    <w:rsid w:val="00366492"/>
    <w:rsid w:val="003664D0"/>
    <w:rsid w:val="003669C1"/>
    <w:rsid w:val="00366DE9"/>
    <w:rsid w:val="00366FDA"/>
    <w:rsid w:val="00367AC7"/>
    <w:rsid w:val="00367B4A"/>
    <w:rsid w:val="00367C93"/>
    <w:rsid w:val="00367D8F"/>
    <w:rsid w:val="00367E8D"/>
    <w:rsid w:val="00367F33"/>
    <w:rsid w:val="00370170"/>
    <w:rsid w:val="00370306"/>
    <w:rsid w:val="003703E1"/>
    <w:rsid w:val="003707C1"/>
    <w:rsid w:val="003709E5"/>
    <w:rsid w:val="003710A0"/>
    <w:rsid w:val="00371205"/>
    <w:rsid w:val="0037129C"/>
    <w:rsid w:val="0037168C"/>
    <w:rsid w:val="003716C1"/>
    <w:rsid w:val="003718CD"/>
    <w:rsid w:val="00371A8E"/>
    <w:rsid w:val="00371B9A"/>
    <w:rsid w:val="00371C00"/>
    <w:rsid w:val="0037213B"/>
    <w:rsid w:val="00372231"/>
    <w:rsid w:val="003722BD"/>
    <w:rsid w:val="003723E4"/>
    <w:rsid w:val="0037252E"/>
    <w:rsid w:val="00372B0D"/>
    <w:rsid w:val="00372BB3"/>
    <w:rsid w:val="00372C4A"/>
    <w:rsid w:val="00372CD0"/>
    <w:rsid w:val="00372EDA"/>
    <w:rsid w:val="00372EE7"/>
    <w:rsid w:val="003733F0"/>
    <w:rsid w:val="003738D9"/>
    <w:rsid w:val="00373B54"/>
    <w:rsid w:val="00373FBF"/>
    <w:rsid w:val="003740F1"/>
    <w:rsid w:val="00374148"/>
    <w:rsid w:val="0037420B"/>
    <w:rsid w:val="003743D0"/>
    <w:rsid w:val="00374AF6"/>
    <w:rsid w:val="00374B29"/>
    <w:rsid w:val="00374E4C"/>
    <w:rsid w:val="00374F10"/>
    <w:rsid w:val="00375087"/>
    <w:rsid w:val="00375100"/>
    <w:rsid w:val="003757B7"/>
    <w:rsid w:val="00375CB3"/>
    <w:rsid w:val="003761EA"/>
    <w:rsid w:val="00376264"/>
    <w:rsid w:val="00376452"/>
    <w:rsid w:val="00376481"/>
    <w:rsid w:val="00376828"/>
    <w:rsid w:val="00376A9D"/>
    <w:rsid w:val="00376E3E"/>
    <w:rsid w:val="00376FBC"/>
    <w:rsid w:val="00377084"/>
    <w:rsid w:val="00377576"/>
    <w:rsid w:val="003775CF"/>
    <w:rsid w:val="00377869"/>
    <w:rsid w:val="0038005E"/>
    <w:rsid w:val="00380224"/>
    <w:rsid w:val="003802AE"/>
    <w:rsid w:val="00380314"/>
    <w:rsid w:val="00380391"/>
    <w:rsid w:val="00380527"/>
    <w:rsid w:val="00380772"/>
    <w:rsid w:val="00380DEA"/>
    <w:rsid w:val="003810A8"/>
    <w:rsid w:val="003810BF"/>
    <w:rsid w:val="0038116B"/>
    <w:rsid w:val="00381360"/>
    <w:rsid w:val="00381385"/>
    <w:rsid w:val="003822AD"/>
    <w:rsid w:val="00382464"/>
    <w:rsid w:val="00382697"/>
    <w:rsid w:val="00382793"/>
    <w:rsid w:val="00382E62"/>
    <w:rsid w:val="003830AE"/>
    <w:rsid w:val="00383684"/>
    <w:rsid w:val="00383860"/>
    <w:rsid w:val="00383DBB"/>
    <w:rsid w:val="00383E4A"/>
    <w:rsid w:val="0038400F"/>
    <w:rsid w:val="0038455F"/>
    <w:rsid w:val="0038486E"/>
    <w:rsid w:val="00384BF3"/>
    <w:rsid w:val="00384C17"/>
    <w:rsid w:val="00384C8F"/>
    <w:rsid w:val="00384CFE"/>
    <w:rsid w:val="00384D87"/>
    <w:rsid w:val="00384D8D"/>
    <w:rsid w:val="003851BD"/>
    <w:rsid w:val="00385383"/>
    <w:rsid w:val="00385432"/>
    <w:rsid w:val="00385594"/>
    <w:rsid w:val="0038590E"/>
    <w:rsid w:val="00385DD5"/>
    <w:rsid w:val="00385E14"/>
    <w:rsid w:val="00385FC1"/>
    <w:rsid w:val="00386094"/>
    <w:rsid w:val="003860F2"/>
    <w:rsid w:val="00386180"/>
    <w:rsid w:val="003861A3"/>
    <w:rsid w:val="003861C9"/>
    <w:rsid w:val="00386435"/>
    <w:rsid w:val="00386443"/>
    <w:rsid w:val="0038656D"/>
    <w:rsid w:val="003866C9"/>
    <w:rsid w:val="003868C1"/>
    <w:rsid w:val="00386EDF"/>
    <w:rsid w:val="0038715A"/>
    <w:rsid w:val="0038727D"/>
    <w:rsid w:val="003873A9"/>
    <w:rsid w:val="00387590"/>
    <w:rsid w:val="003875E6"/>
    <w:rsid w:val="00387A04"/>
    <w:rsid w:val="00387BC1"/>
    <w:rsid w:val="00390033"/>
    <w:rsid w:val="00390197"/>
    <w:rsid w:val="003907A0"/>
    <w:rsid w:val="00390923"/>
    <w:rsid w:val="00390A58"/>
    <w:rsid w:val="00390BD7"/>
    <w:rsid w:val="00390DB7"/>
    <w:rsid w:val="00390EF7"/>
    <w:rsid w:val="0039100C"/>
    <w:rsid w:val="0039120B"/>
    <w:rsid w:val="00391282"/>
    <w:rsid w:val="0039128D"/>
    <w:rsid w:val="003912B2"/>
    <w:rsid w:val="003912C6"/>
    <w:rsid w:val="00391321"/>
    <w:rsid w:val="0039175B"/>
    <w:rsid w:val="003918AC"/>
    <w:rsid w:val="003919BF"/>
    <w:rsid w:val="00391C00"/>
    <w:rsid w:val="00391D29"/>
    <w:rsid w:val="00391E42"/>
    <w:rsid w:val="003922A3"/>
    <w:rsid w:val="003923E7"/>
    <w:rsid w:val="00393113"/>
    <w:rsid w:val="00393655"/>
    <w:rsid w:val="003936B1"/>
    <w:rsid w:val="00393AD4"/>
    <w:rsid w:val="00394057"/>
    <w:rsid w:val="003941E5"/>
    <w:rsid w:val="0039420D"/>
    <w:rsid w:val="003945E4"/>
    <w:rsid w:val="00394DA2"/>
    <w:rsid w:val="00394ED7"/>
    <w:rsid w:val="00394F7E"/>
    <w:rsid w:val="0039503B"/>
    <w:rsid w:val="0039516A"/>
    <w:rsid w:val="003951E7"/>
    <w:rsid w:val="00395448"/>
    <w:rsid w:val="00395648"/>
    <w:rsid w:val="00395754"/>
    <w:rsid w:val="00395839"/>
    <w:rsid w:val="00395B96"/>
    <w:rsid w:val="00395DC7"/>
    <w:rsid w:val="0039605E"/>
    <w:rsid w:val="003963D9"/>
    <w:rsid w:val="003969A9"/>
    <w:rsid w:val="003969C2"/>
    <w:rsid w:val="00396E0A"/>
    <w:rsid w:val="00397193"/>
    <w:rsid w:val="00397251"/>
    <w:rsid w:val="003975EC"/>
    <w:rsid w:val="0039763D"/>
    <w:rsid w:val="00397A0B"/>
    <w:rsid w:val="00397A11"/>
    <w:rsid w:val="00397BE6"/>
    <w:rsid w:val="00397C9A"/>
    <w:rsid w:val="00397EC1"/>
    <w:rsid w:val="003A00B0"/>
    <w:rsid w:val="003A030E"/>
    <w:rsid w:val="003A0909"/>
    <w:rsid w:val="003A0F2F"/>
    <w:rsid w:val="003A1166"/>
    <w:rsid w:val="003A1381"/>
    <w:rsid w:val="003A14F8"/>
    <w:rsid w:val="003A155A"/>
    <w:rsid w:val="003A16DF"/>
    <w:rsid w:val="003A1A52"/>
    <w:rsid w:val="003A1B8F"/>
    <w:rsid w:val="003A1CFA"/>
    <w:rsid w:val="003A1EB5"/>
    <w:rsid w:val="003A211A"/>
    <w:rsid w:val="003A227C"/>
    <w:rsid w:val="003A23D5"/>
    <w:rsid w:val="003A24B7"/>
    <w:rsid w:val="003A24FB"/>
    <w:rsid w:val="003A25D1"/>
    <w:rsid w:val="003A2B4E"/>
    <w:rsid w:val="003A2D28"/>
    <w:rsid w:val="003A2D87"/>
    <w:rsid w:val="003A2E9F"/>
    <w:rsid w:val="003A2F09"/>
    <w:rsid w:val="003A34D1"/>
    <w:rsid w:val="003A38AD"/>
    <w:rsid w:val="003A3C37"/>
    <w:rsid w:val="003A4057"/>
    <w:rsid w:val="003A40D9"/>
    <w:rsid w:val="003A46F6"/>
    <w:rsid w:val="003A47AD"/>
    <w:rsid w:val="003A4998"/>
    <w:rsid w:val="003A4A42"/>
    <w:rsid w:val="003A4B92"/>
    <w:rsid w:val="003A4EE8"/>
    <w:rsid w:val="003A5371"/>
    <w:rsid w:val="003A538D"/>
    <w:rsid w:val="003A5496"/>
    <w:rsid w:val="003A5578"/>
    <w:rsid w:val="003A5628"/>
    <w:rsid w:val="003A5656"/>
    <w:rsid w:val="003A58CE"/>
    <w:rsid w:val="003A63FE"/>
    <w:rsid w:val="003A6495"/>
    <w:rsid w:val="003A64E6"/>
    <w:rsid w:val="003A684B"/>
    <w:rsid w:val="003A68A0"/>
    <w:rsid w:val="003A6A71"/>
    <w:rsid w:val="003A6C8D"/>
    <w:rsid w:val="003A6DC3"/>
    <w:rsid w:val="003A74F4"/>
    <w:rsid w:val="003A7524"/>
    <w:rsid w:val="003A7747"/>
    <w:rsid w:val="003A79CF"/>
    <w:rsid w:val="003B022C"/>
    <w:rsid w:val="003B0317"/>
    <w:rsid w:val="003B04CF"/>
    <w:rsid w:val="003B0791"/>
    <w:rsid w:val="003B0967"/>
    <w:rsid w:val="003B0BC7"/>
    <w:rsid w:val="003B0C8E"/>
    <w:rsid w:val="003B10A2"/>
    <w:rsid w:val="003B12A5"/>
    <w:rsid w:val="003B13BF"/>
    <w:rsid w:val="003B169B"/>
    <w:rsid w:val="003B17FD"/>
    <w:rsid w:val="003B1894"/>
    <w:rsid w:val="003B195C"/>
    <w:rsid w:val="003B1EDC"/>
    <w:rsid w:val="003B20E7"/>
    <w:rsid w:val="003B293E"/>
    <w:rsid w:val="003B2CBF"/>
    <w:rsid w:val="003B321B"/>
    <w:rsid w:val="003B34B4"/>
    <w:rsid w:val="003B37B2"/>
    <w:rsid w:val="003B38BD"/>
    <w:rsid w:val="003B3D7B"/>
    <w:rsid w:val="003B3E96"/>
    <w:rsid w:val="003B3EA7"/>
    <w:rsid w:val="003B42D2"/>
    <w:rsid w:val="003B457B"/>
    <w:rsid w:val="003B49B1"/>
    <w:rsid w:val="003B5676"/>
    <w:rsid w:val="003B56A7"/>
    <w:rsid w:val="003B5B0C"/>
    <w:rsid w:val="003B5B5D"/>
    <w:rsid w:val="003B5E4D"/>
    <w:rsid w:val="003B5FCE"/>
    <w:rsid w:val="003B6064"/>
    <w:rsid w:val="003B61CC"/>
    <w:rsid w:val="003B63C0"/>
    <w:rsid w:val="003B63D5"/>
    <w:rsid w:val="003B654A"/>
    <w:rsid w:val="003B6563"/>
    <w:rsid w:val="003B67EC"/>
    <w:rsid w:val="003B68E6"/>
    <w:rsid w:val="003B692A"/>
    <w:rsid w:val="003B6A07"/>
    <w:rsid w:val="003B6BAB"/>
    <w:rsid w:val="003B6C4F"/>
    <w:rsid w:val="003B6CD2"/>
    <w:rsid w:val="003B6DE4"/>
    <w:rsid w:val="003B6E42"/>
    <w:rsid w:val="003B6FAA"/>
    <w:rsid w:val="003B709C"/>
    <w:rsid w:val="003B70A2"/>
    <w:rsid w:val="003B7178"/>
    <w:rsid w:val="003B7199"/>
    <w:rsid w:val="003B7610"/>
    <w:rsid w:val="003B79FA"/>
    <w:rsid w:val="003B7A5E"/>
    <w:rsid w:val="003B7D2A"/>
    <w:rsid w:val="003B7D90"/>
    <w:rsid w:val="003C00BC"/>
    <w:rsid w:val="003C01D2"/>
    <w:rsid w:val="003C052B"/>
    <w:rsid w:val="003C05B6"/>
    <w:rsid w:val="003C0833"/>
    <w:rsid w:val="003C09B9"/>
    <w:rsid w:val="003C09E0"/>
    <w:rsid w:val="003C0BCA"/>
    <w:rsid w:val="003C0CC4"/>
    <w:rsid w:val="003C0E2D"/>
    <w:rsid w:val="003C0EE4"/>
    <w:rsid w:val="003C0F39"/>
    <w:rsid w:val="003C1388"/>
    <w:rsid w:val="003C13EE"/>
    <w:rsid w:val="003C1619"/>
    <w:rsid w:val="003C1810"/>
    <w:rsid w:val="003C1AD1"/>
    <w:rsid w:val="003C1D6D"/>
    <w:rsid w:val="003C1F46"/>
    <w:rsid w:val="003C1F83"/>
    <w:rsid w:val="003C2331"/>
    <w:rsid w:val="003C2693"/>
    <w:rsid w:val="003C27E7"/>
    <w:rsid w:val="003C2CE4"/>
    <w:rsid w:val="003C2D20"/>
    <w:rsid w:val="003C2E1C"/>
    <w:rsid w:val="003C31EB"/>
    <w:rsid w:val="003C35FC"/>
    <w:rsid w:val="003C3861"/>
    <w:rsid w:val="003C38EF"/>
    <w:rsid w:val="003C39D0"/>
    <w:rsid w:val="003C3DDB"/>
    <w:rsid w:val="003C3E9C"/>
    <w:rsid w:val="003C4321"/>
    <w:rsid w:val="003C4427"/>
    <w:rsid w:val="003C4512"/>
    <w:rsid w:val="003C472A"/>
    <w:rsid w:val="003C47E3"/>
    <w:rsid w:val="003C4F89"/>
    <w:rsid w:val="003C5460"/>
    <w:rsid w:val="003C54D1"/>
    <w:rsid w:val="003C5690"/>
    <w:rsid w:val="003C58A9"/>
    <w:rsid w:val="003C58D4"/>
    <w:rsid w:val="003C59BB"/>
    <w:rsid w:val="003C59FD"/>
    <w:rsid w:val="003C5B18"/>
    <w:rsid w:val="003C5BF1"/>
    <w:rsid w:val="003C5CBF"/>
    <w:rsid w:val="003C5ECA"/>
    <w:rsid w:val="003C5F86"/>
    <w:rsid w:val="003C600E"/>
    <w:rsid w:val="003C6267"/>
    <w:rsid w:val="003C63DC"/>
    <w:rsid w:val="003C64BC"/>
    <w:rsid w:val="003C66EB"/>
    <w:rsid w:val="003C66F6"/>
    <w:rsid w:val="003C6CB4"/>
    <w:rsid w:val="003C6D36"/>
    <w:rsid w:val="003C6FE2"/>
    <w:rsid w:val="003C72BF"/>
    <w:rsid w:val="003C765F"/>
    <w:rsid w:val="003C7810"/>
    <w:rsid w:val="003C7DDC"/>
    <w:rsid w:val="003D02CC"/>
    <w:rsid w:val="003D07E5"/>
    <w:rsid w:val="003D0BCB"/>
    <w:rsid w:val="003D0C5C"/>
    <w:rsid w:val="003D0E99"/>
    <w:rsid w:val="003D0F00"/>
    <w:rsid w:val="003D0FE4"/>
    <w:rsid w:val="003D120F"/>
    <w:rsid w:val="003D1344"/>
    <w:rsid w:val="003D1699"/>
    <w:rsid w:val="003D1845"/>
    <w:rsid w:val="003D18C0"/>
    <w:rsid w:val="003D1A3D"/>
    <w:rsid w:val="003D1AB8"/>
    <w:rsid w:val="003D1C5D"/>
    <w:rsid w:val="003D1CE8"/>
    <w:rsid w:val="003D2343"/>
    <w:rsid w:val="003D2717"/>
    <w:rsid w:val="003D29EB"/>
    <w:rsid w:val="003D2CF7"/>
    <w:rsid w:val="003D2E2D"/>
    <w:rsid w:val="003D2FFA"/>
    <w:rsid w:val="003D3123"/>
    <w:rsid w:val="003D3459"/>
    <w:rsid w:val="003D3B13"/>
    <w:rsid w:val="003D3BF4"/>
    <w:rsid w:val="003D3F29"/>
    <w:rsid w:val="003D4583"/>
    <w:rsid w:val="003D472F"/>
    <w:rsid w:val="003D4F33"/>
    <w:rsid w:val="003D4FF1"/>
    <w:rsid w:val="003D5134"/>
    <w:rsid w:val="003D56EA"/>
    <w:rsid w:val="003D5730"/>
    <w:rsid w:val="003D5843"/>
    <w:rsid w:val="003D5899"/>
    <w:rsid w:val="003D5983"/>
    <w:rsid w:val="003D5BC5"/>
    <w:rsid w:val="003D5BCA"/>
    <w:rsid w:val="003D5BF1"/>
    <w:rsid w:val="003D5CAB"/>
    <w:rsid w:val="003D5CF5"/>
    <w:rsid w:val="003D5DEC"/>
    <w:rsid w:val="003D5E56"/>
    <w:rsid w:val="003D5ED4"/>
    <w:rsid w:val="003D60ED"/>
    <w:rsid w:val="003D6636"/>
    <w:rsid w:val="003D66C0"/>
    <w:rsid w:val="003D6A33"/>
    <w:rsid w:val="003D6B03"/>
    <w:rsid w:val="003D6E1B"/>
    <w:rsid w:val="003D6EC8"/>
    <w:rsid w:val="003D6EDF"/>
    <w:rsid w:val="003D7208"/>
    <w:rsid w:val="003D7399"/>
    <w:rsid w:val="003D7DDD"/>
    <w:rsid w:val="003D7E78"/>
    <w:rsid w:val="003D7FA7"/>
    <w:rsid w:val="003E037E"/>
    <w:rsid w:val="003E04D9"/>
    <w:rsid w:val="003E057C"/>
    <w:rsid w:val="003E060D"/>
    <w:rsid w:val="003E088C"/>
    <w:rsid w:val="003E09E4"/>
    <w:rsid w:val="003E0B08"/>
    <w:rsid w:val="003E0F05"/>
    <w:rsid w:val="003E148F"/>
    <w:rsid w:val="003E14CF"/>
    <w:rsid w:val="003E17C7"/>
    <w:rsid w:val="003E1BA0"/>
    <w:rsid w:val="003E1D58"/>
    <w:rsid w:val="003E1FB4"/>
    <w:rsid w:val="003E22A9"/>
    <w:rsid w:val="003E236C"/>
    <w:rsid w:val="003E2517"/>
    <w:rsid w:val="003E25F1"/>
    <w:rsid w:val="003E26B1"/>
    <w:rsid w:val="003E2894"/>
    <w:rsid w:val="003E2CA0"/>
    <w:rsid w:val="003E2CF1"/>
    <w:rsid w:val="003E3606"/>
    <w:rsid w:val="003E3657"/>
    <w:rsid w:val="003E3790"/>
    <w:rsid w:val="003E37CA"/>
    <w:rsid w:val="003E39C8"/>
    <w:rsid w:val="003E39FF"/>
    <w:rsid w:val="003E3AF0"/>
    <w:rsid w:val="003E3CAA"/>
    <w:rsid w:val="003E3EDE"/>
    <w:rsid w:val="003E3F79"/>
    <w:rsid w:val="003E4258"/>
    <w:rsid w:val="003E42CB"/>
    <w:rsid w:val="003E438A"/>
    <w:rsid w:val="003E43A4"/>
    <w:rsid w:val="003E46A1"/>
    <w:rsid w:val="003E48AE"/>
    <w:rsid w:val="003E4EFE"/>
    <w:rsid w:val="003E4F15"/>
    <w:rsid w:val="003E55F5"/>
    <w:rsid w:val="003E572F"/>
    <w:rsid w:val="003E58F5"/>
    <w:rsid w:val="003E5937"/>
    <w:rsid w:val="003E5CAC"/>
    <w:rsid w:val="003E5DE1"/>
    <w:rsid w:val="003E5EEF"/>
    <w:rsid w:val="003E5F92"/>
    <w:rsid w:val="003E5FA3"/>
    <w:rsid w:val="003E6ACD"/>
    <w:rsid w:val="003E6E28"/>
    <w:rsid w:val="003E6E8C"/>
    <w:rsid w:val="003E6F94"/>
    <w:rsid w:val="003E77B7"/>
    <w:rsid w:val="003E77EC"/>
    <w:rsid w:val="003E78AB"/>
    <w:rsid w:val="003E7B7E"/>
    <w:rsid w:val="003F02D4"/>
    <w:rsid w:val="003F0D17"/>
    <w:rsid w:val="003F0DD0"/>
    <w:rsid w:val="003F0EDD"/>
    <w:rsid w:val="003F14BB"/>
    <w:rsid w:val="003F1553"/>
    <w:rsid w:val="003F1625"/>
    <w:rsid w:val="003F1701"/>
    <w:rsid w:val="003F1B25"/>
    <w:rsid w:val="003F1F98"/>
    <w:rsid w:val="003F2136"/>
    <w:rsid w:val="003F2148"/>
    <w:rsid w:val="003F23B2"/>
    <w:rsid w:val="003F24DD"/>
    <w:rsid w:val="003F27F3"/>
    <w:rsid w:val="003F2982"/>
    <w:rsid w:val="003F2A49"/>
    <w:rsid w:val="003F2B9E"/>
    <w:rsid w:val="003F2CA5"/>
    <w:rsid w:val="003F32C9"/>
    <w:rsid w:val="003F3351"/>
    <w:rsid w:val="003F33F5"/>
    <w:rsid w:val="003F34A9"/>
    <w:rsid w:val="003F3522"/>
    <w:rsid w:val="003F36CB"/>
    <w:rsid w:val="003F3DE3"/>
    <w:rsid w:val="003F3F79"/>
    <w:rsid w:val="003F4170"/>
    <w:rsid w:val="003F43BD"/>
    <w:rsid w:val="003F44CA"/>
    <w:rsid w:val="003F4B5D"/>
    <w:rsid w:val="003F4C4C"/>
    <w:rsid w:val="003F4D94"/>
    <w:rsid w:val="003F4F8E"/>
    <w:rsid w:val="003F4FA2"/>
    <w:rsid w:val="003F55C4"/>
    <w:rsid w:val="003F5997"/>
    <w:rsid w:val="003F5A6E"/>
    <w:rsid w:val="003F5A90"/>
    <w:rsid w:val="003F5BB6"/>
    <w:rsid w:val="003F5D9F"/>
    <w:rsid w:val="003F5EC0"/>
    <w:rsid w:val="003F6245"/>
    <w:rsid w:val="003F62C9"/>
    <w:rsid w:val="003F66E3"/>
    <w:rsid w:val="003F6824"/>
    <w:rsid w:val="003F6941"/>
    <w:rsid w:val="003F6943"/>
    <w:rsid w:val="003F6F2C"/>
    <w:rsid w:val="003F7196"/>
    <w:rsid w:val="003F735A"/>
    <w:rsid w:val="003F73FA"/>
    <w:rsid w:val="003F7619"/>
    <w:rsid w:val="003F77F0"/>
    <w:rsid w:val="003F7812"/>
    <w:rsid w:val="003F78C1"/>
    <w:rsid w:val="003F7E69"/>
    <w:rsid w:val="003F7EDC"/>
    <w:rsid w:val="00400092"/>
    <w:rsid w:val="00400339"/>
    <w:rsid w:val="0040048E"/>
    <w:rsid w:val="004004C9"/>
    <w:rsid w:val="00400992"/>
    <w:rsid w:val="00400C4D"/>
    <w:rsid w:val="00400CB2"/>
    <w:rsid w:val="00401081"/>
    <w:rsid w:val="004012B7"/>
    <w:rsid w:val="004013D0"/>
    <w:rsid w:val="0040156A"/>
    <w:rsid w:val="00401AA0"/>
    <w:rsid w:val="00401E76"/>
    <w:rsid w:val="00401EF9"/>
    <w:rsid w:val="004023D5"/>
    <w:rsid w:val="004025EE"/>
    <w:rsid w:val="00402628"/>
    <w:rsid w:val="00402706"/>
    <w:rsid w:val="0040271B"/>
    <w:rsid w:val="004027BC"/>
    <w:rsid w:val="00402905"/>
    <w:rsid w:val="00402F25"/>
    <w:rsid w:val="00402F41"/>
    <w:rsid w:val="004035CF"/>
    <w:rsid w:val="00403661"/>
    <w:rsid w:val="00403B1A"/>
    <w:rsid w:val="00403D13"/>
    <w:rsid w:val="0040401F"/>
    <w:rsid w:val="00404087"/>
    <w:rsid w:val="0040430B"/>
    <w:rsid w:val="0040478C"/>
    <w:rsid w:val="00404C1B"/>
    <w:rsid w:val="00405011"/>
    <w:rsid w:val="00405319"/>
    <w:rsid w:val="00405360"/>
    <w:rsid w:val="00405465"/>
    <w:rsid w:val="00405679"/>
    <w:rsid w:val="00405C25"/>
    <w:rsid w:val="00405CAC"/>
    <w:rsid w:val="00405DCA"/>
    <w:rsid w:val="00405F14"/>
    <w:rsid w:val="00405F5A"/>
    <w:rsid w:val="0040652E"/>
    <w:rsid w:val="00406B08"/>
    <w:rsid w:val="00406B4E"/>
    <w:rsid w:val="00406CAC"/>
    <w:rsid w:val="00406E66"/>
    <w:rsid w:val="00406F98"/>
    <w:rsid w:val="0040724B"/>
    <w:rsid w:val="004074A9"/>
    <w:rsid w:val="0040777E"/>
    <w:rsid w:val="0040790B"/>
    <w:rsid w:val="00407E4A"/>
    <w:rsid w:val="00407F1A"/>
    <w:rsid w:val="0041013A"/>
    <w:rsid w:val="004104EA"/>
    <w:rsid w:val="00410777"/>
    <w:rsid w:val="00410898"/>
    <w:rsid w:val="00410B9C"/>
    <w:rsid w:val="00411286"/>
    <w:rsid w:val="00411476"/>
    <w:rsid w:val="0041158F"/>
    <w:rsid w:val="004117F7"/>
    <w:rsid w:val="00411879"/>
    <w:rsid w:val="00411A37"/>
    <w:rsid w:val="00411AA1"/>
    <w:rsid w:val="00411BBC"/>
    <w:rsid w:val="00412068"/>
    <w:rsid w:val="00412083"/>
    <w:rsid w:val="00412145"/>
    <w:rsid w:val="00412344"/>
    <w:rsid w:val="004123D7"/>
    <w:rsid w:val="00412438"/>
    <w:rsid w:val="00412513"/>
    <w:rsid w:val="00412AF1"/>
    <w:rsid w:val="00412BBA"/>
    <w:rsid w:val="00412D86"/>
    <w:rsid w:val="00412D99"/>
    <w:rsid w:val="0041307A"/>
    <w:rsid w:val="004132C3"/>
    <w:rsid w:val="00413349"/>
    <w:rsid w:val="0041344C"/>
    <w:rsid w:val="0041346A"/>
    <w:rsid w:val="0041365C"/>
    <w:rsid w:val="00414376"/>
    <w:rsid w:val="00414397"/>
    <w:rsid w:val="00414649"/>
    <w:rsid w:val="00415031"/>
    <w:rsid w:val="00415142"/>
    <w:rsid w:val="004151CE"/>
    <w:rsid w:val="00415207"/>
    <w:rsid w:val="00415257"/>
    <w:rsid w:val="0041539F"/>
    <w:rsid w:val="00415567"/>
    <w:rsid w:val="004155D0"/>
    <w:rsid w:val="00415794"/>
    <w:rsid w:val="004158A6"/>
    <w:rsid w:val="004158C2"/>
    <w:rsid w:val="004158C4"/>
    <w:rsid w:val="00415929"/>
    <w:rsid w:val="00415EAE"/>
    <w:rsid w:val="00415EB2"/>
    <w:rsid w:val="00416456"/>
    <w:rsid w:val="00416A5B"/>
    <w:rsid w:val="00416AA7"/>
    <w:rsid w:val="00416ABB"/>
    <w:rsid w:val="00416EA5"/>
    <w:rsid w:val="00417283"/>
    <w:rsid w:val="00417452"/>
    <w:rsid w:val="0041747C"/>
    <w:rsid w:val="00417718"/>
    <w:rsid w:val="00417A5F"/>
    <w:rsid w:val="00417AF8"/>
    <w:rsid w:val="00417C4A"/>
    <w:rsid w:val="00420C68"/>
    <w:rsid w:val="00420CAF"/>
    <w:rsid w:val="00420F43"/>
    <w:rsid w:val="0042106C"/>
    <w:rsid w:val="004210C4"/>
    <w:rsid w:val="004211EF"/>
    <w:rsid w:val="00421346"/>
    <w:rsid w:val="00421372"/>
    <w:rsid w:val="00421481"/>
    <w:rsid w:val="00421587"/>
    <w:rsid w:val="0042158A"/>
    <w:rsid w:val="00421788"/>
    <w:rsid w:val="00421C5D"/>
    <w:rsid w:val="00422291"/>
    <w:rsid w:val="00422B1B"/>
    <w:rsid w:val="00422B61"/>
    <w:rsid w:val="00423097"/>
    <w:rsid w:val="0042341F"/>
    <w:rsid w:val="0042346A"/>
    <w:rsid w:val="004234DD"/>
    <w:rsid w:val="004234E7"/>
    <w:rsid w:val="0042351E"/>
    <w:rsid w:val="00423537"/>
    <w:rsid w:val="00423689"/>
    <w:rsid w:val="00423839"/>
    <w:rsid w:val="00423D9E"/>
    <w:rsid w:val="00423F65"/>
    <w:rsid w:val="0042449E"/>
    <w:rsid w:val="0042476F"/>
    <w:rsid w:val="004247CD"/>
    <w:rsid w:val="0042493A"/>
    <w:rsid w:val="004249CA"/>
    <w:rsid w:val="004249E0"/>
    <w:rsid w:val="00424A2A"/>
    <w:rsid w:val="00424D54"/>
    <w:rsid w:val="0042505B"/>
    <w:rsid w:val="00425173"/>
    <w:rsid w:val="00425226"/>
    <w:rsid w:val="00425533"/>
    <w:rsid w:val="00425956"/>
    <w:rsid w:val="00425AF9"/>
    <w:rsid w:val="00425EC6"/>
    <w:rsid w:val="00425F2A"/>
    <w:rsid w:val="00425F5D"/>
    <w:rsid w:val="00426027"/>
    <w:rsid w:val="00426267"/>
    <w:rsid w:val="004262E5"/>
    <w:rsid w:val="00426865"/>
    <w:rsid w:val="004268A5"/>
    <w:rsid w:val="00426B4F"/>
    <w:rsid w:val="00426BC9"/>
    <w:rsid w:val="00426C50"/>
    <w:rsid w:val="00426CC9"/>
    <w:rsid w:val="00426E0F"/>
    <w:rsid w:val="00426EC1"/>
    <w:rsid w:val="004272DD"/>
    <w:rsid w:val="00427463"/>
    <w:rsid w:val="0042748C"/>
    <w:rsid w:val="00427525"/>
    <w:rsid w:val="00427552"/>
    <w:rsid w:val="004278A0"/>
    <w:rsid w:val="00427990"/>
    <w:rsid w:val="004279A4"/>
    <w:rsid w:val="00427CFB"/>
    <w:rsid w:val="0043006F"/>
    <w:rsid w:val="004302DA"/>
    <w:rsid w:val="004303F2"/>
    <w:rsid w:val="0043041C"/>
    <w:rsid w:val="004307EB"/>
    <w:rsid w:val="004308B0"/>
    <w:rsid w:val="00430943"/>
    <w:rsid w:val="00430A89"/>
    <w:rsid w:val="00430CE8"/>
    <w:rsid w:val="00431134"/>
    <w:rsid w:val="00431155"/>
    <w:rsid w:val="00431213"/>
    <w:rsid w:val="00431236"/>
    <w:rsid w:val="00431601"/>
    <w:rsid w:val="00431760"/>
    <w:rsid w:val="004319FB"/>
    <w:rsid w:val="00431E07"/>
    <w:rsid w:val="00432159"/>
    <w:rsid w:val="004327D0"/>
    <w:rsid w:val="00432A77"/>
    <w:rsid w:val="00432D77"/>
    <w:rsid w:val="00432ED4"/>
    <w:rsid w:val="00433181"/>
    <w:rsid w:val="00433D60"/>
    <w:rsid w:val="00433FBB"/>
    <w:rsid w:val="00434391"/>
    <w:rsid w:val="004345DD"/>
    <w:rsid w:val="00434D0B"/>
    <w:rsid w:val="00434DA2"/>
    <w:rsid w:val="00434E6C"/>
    <w:rsid w:val="00434FDA"/>
    <w:rsid w:val="0043516F"/>
    <w:rsid w:val="0043559E"/>
    <w:rsid w:val="004357CB"/>
    <w:rsid w:val="00435A78"/>
    <w:rsid w:val="00435D4E"/>
    <w:rsid w:val="00435E38"/>
    <w:rsid w:val="00435FB3"/>
    <w:rsid w:val="00436407"/>
    <w:rsid w:val="004369EA"/>
    <w:rsid w:val="00436B0E"/>
    <w:rsid w:val="00436F01"/>
    <w:rsid w:val="00436F7D"/>
    <w:rsid w:val="00437B1D"/>
    <w:rsid w:val="00437E4A"/>
    <w:rsid w:val="00437FF3"/>
    <w:rsid w:val="00440019"/>
    <w:rsid w:val="0044016F"/>
    <w:rsid w:val="00440417"/>
    <w:rsid w:val="004405A4"/>
    <w:rsid w:val="00440608"/>
    <w:rsid w:val="00440AB8"/>
    <w:rsid w:val="00440B48"/>
    <w:rsid w:val="00440C9B"/>
    <w:rsid w:val="00440F6B"/>
    <w:rsid w:val="00441170"/>
    <w:rsid w:val="004415D4"/>
    <w:rsid w:val="004416E0"/>
    <w:rsid w:val="00441D10"/>
    <w:rsid w:val="0044233E"/>
    <w:rsid w:val="00442378"/>
    <w:rsid w:val="004426CE"/>
    <w:rsid w:val="004429E3"/>
    <w:rsid w:val="00442C84"/>
    <w:rsid w:val="00442CC2"/>
    <w:rsid w:val="00442F64"/>
    <w:rsid w:val="00442FBC"/>
    <w:rsid w:val="00443717"/>
    <w:rsid w:val="00443821"/>
    <w:rsid w:val="00443885"/>
    <w:rsid w:val="0044388F"/>
    <w:rsid w:val="00443C51"/>
    <w:rsid w:val="00443D2F"/>
    <w:rsid w:val="00443FEA"/>
    <w:rsid w:val="004445B1"/>
    <w:rsid w:val="00444719"/>
    <w:rsid w:val="00444E90"/>
    <w:rsid w:val="00444E9E"/>
    <w:rsid w:val="00444F08"/>
    <w:rsid w:val="00444F23"/>
    <w:rsid w:val="00445010"/>
    <w:rsid w:val="00445508"/>
    <w:rsid w:val="004455AA"/>
    <w:rsid w:val="004457F9"/>
    <w:rsid w:val="00445816"/>
    <w:rsid w:val="00445853"/>
    <w:rsid w:val="004459FF"/>
    <w:rsid w:val="00445BC3"/>
    <w:rsid w:val="00445CA5"/>
    <w:rsid w:val="00445CAC"/>
    <w:rsid w:val="00445E9C"/>
    <w:rsid w:val="004460BD"/>
    <w:rsid w:val="00446363"/>
    <w:rsid w:val="00446380"/>
    <w:rsid w:val="004468DC"/>
    <w:rsid w:val="00446C20"/>
    <w:rsid w:val="00446E21"/>
    <w:rsid w:val="004471FE"/>
    <w:rsid w:val="004472A1"/>
    <w:rsid w:val="004474EA"/>
    <w:rsid w:val="0044760D"/>
    <w:rsid w:val="004479A9"/>
    <w:rsid w:val="00447DD4"/>
    <w:rsid w:val="00447EF3"/>
    <w:rsid w:val="00450483"/>
    <w:rsid w:val="0045098F"/>
    <w:rsid w:val="00450A00"/>
    <w:rsid w:val="00450AFC"/>
    <w:rsid w:val="00450C7C"/>
    <w:rsid w:val="00450C91"/>
    <w:rsid w:val="0045114B"/>
    <w:rsid w:val="004515FE"/>
    <w:rsid w:val="00451622"/>
    <w:rsid w:val="00451778"/>
    <w:rsid w:val="00451A9D"/>
    <w:rsid w:val="00451BEB"/>
    <w:rsid w:val="00451FDD"/>
    <w:rsid w:val="0045204C"/>
    <w:rsid w:val="0045215C"/>
    <w:rsid w:val="00452408"/>
    <w:rsid w:val="0045252C"/>
    <w:rsid w:val="00452AC2"/>
    <w:rsid w:val="00452AFF"/>
    <w:rsid w:val="00452C71"/>
    <w:rsid w:val="00452CE0"/>
    <w:rsid w:val="00453040"/>
    <w:rsid w:val="004531DE"/>
    <w:rsid w:val="00453337"/>
    <w:rsid w:val="00453808"/>
    <w:rsid w:val="00453A3B"/>
    <w:rsid w:val="00453A7A"/>
    <w:rsid w:val="00453AB9"/>
    <w:rsid w:val="00453BD3"/>
    <w:rsid w:val="00453C5A"/>
    <w:rsid w:val="004546CA"/>
    <w:rsid w:val="00454EDC"/>
    <w:rsid w:val="0045514A"/>
    <w:rsid w:val="0045544D"/>
    <w:rsid w:val="004554EF"/>
    <w:rsid w:val="00455615"/>
    <w:rsid w:val="00455790"/>
    <w:rsid w:val="004558A8"/>
    <w:rsid w:val="00455A95"/>
    <w:rsid w:val="00455D3F"/>
    <w:rsid w:val="00455D89"/>
    <w:rsid w:val="00455DAD"/>
    <w:rsid w:val="00455DF8"/>
    <w:rsid w:val="00455DFB"/>
    <w:rsid w:val="00456328"/>
    <w:rsid w:val="004567C4"/>
    <w:rsid w:val="00456843"/>
    <w:rsid w:val="00456C1D"/>
    <w:rsid w:val="00456CEE"/>
    <w:rsid w:val="00456FE2"/>
    <w:rsid w:val="00457082"/>
    <w:rsid w:val="004571D3"/>
    <w:rsid w:val="00457322"/>
    <w:rsid w:val="004576D0"/>
    <w:rsid w:val="00457A43"/>
    <w:rsid w:val="00457BDD"/>
    <w:rsid w:val="00457C4A"/>
    <w:rsid w:val="00457F38"/>
    <w:rsid w:val="00457FB7"/>
    <w:rsid w:val="004600BA"/>
    <w:rsid w:val="00460554"/>
    <w:rsid w:val="004606EA"/>
    <w:rsid w:val="00460C31"/>
    <w:rsid w:val="00460E64"/>
    <w:rsid w:val="00460ED2"/>
    <w:rsid w:val="004610DE"/>
    <w:rsid w:val="004611C1"/>
    <w:rsid w:val="00461324"/>
    <w:rsid w:val="0046135A"/>
    <w:rsid w:val="004614A8"/>
    <w:rsid w:val="004618B4"/>
    <w:rsid w:val="00461AF9"/>
    <w:rsid w:val="00461B85"/>
    <w:rsid w:val="00461D90"/>
    <w:rsid w:val="00461F39"/>
    <w:rsid w:val="0046200C"/>
    <w:rsid w:val="0046254F"/>
    <w:rsid w:val="004626DE"/>
    <w:rsid w:val="0046283F"/>
    <w:rsid w:val="00462933"/>
    <w:rsid w:val="00462A9C"/>
    <w:rsid w:val="00462BFC"/>
    <w:rsid w:val="00462C1E"/>
    <w:rsid w:val="00462FC1"/>
    <w:rsid w:val="00462FE2"/>
    <w:rsid w:val="004631A5"/>
    <w:rsid w:val="004631C0"/>
    <w:rsid w:val="00463489"/>
    <w:rsid w:val="0046355D"/>
    <w:rsid w:val="0046379A"/>
    <w:rsid w:val="004637A8"/>
    <w:rsid w:val="00463919"/>
    <w:rsid w:val="00463A55"/>
    <w:rsid w:val="00463EDC"/>
    <w:rsid w:val="00463F48"/>
    <w:rsid w:val="00464366"/>
    <w:rsid w:val="00464512"/>
    <w:rsid w:val="004645B8"/>
    <w:rsid w:val="00464669"/>
    <w:rsid w:val="00464BE8"/>
    <w:rsid w:val="00464CF6"/>
    <w:rsid w:val="00464DE7"/>
    <w:rsid w:val="0046503D"/>
    <w:rsid w:val="00465069"/>
    <w:rsid w:val="00465401"/>
    <w:rsid w:val="004656E8"/>
    <w:rsid w:val="00465BE9"/>
    <w:rsid w:val="00465C89"/>
    <w:rsid w:val="00466469"/>
    <w:rsid w:val="0046693E"/>
    <w:rsid w:val="00466A69"/>
    <w:rsid w:val="00466AE2"/>
    <w:rsid w:val="00466BF6"/>
    <w:rsid w:val="00466EAC"/>
    <w:rsid w:val="00466F24"/>
    <w:rsid w:val="0046722E"/>
    <w:rsid w:val="00467855"/>
    <w:rsid w:val="0046790C"/>
    <w:rsid w:val="00467B0E"/>
    <w:rsid w:val="00467F4D"/>
    <w:rsid w:val="00467FF9"/>
    <w:rsid w:val="004705E6"/>
    <w:rsid w:val="004708C7"/>
    <w:rsid w:val="00470C71"/>
    <w:rsid w:val="00470EC1"/>
    <w:rsid w:val="00471057"/>
    <w:rsid w:val="0047142A"/>
    <w:rsid w:val="00471ACB"/>
    <w:rsid w:val="00471D49"/>
    <w:rsid w:val="00471DCF"/>
    <w:rsid w:val="004720B8"/>
    <w:rsid w:val="004723A7"/>
    <w:rsid w:val="004724D0"/>
    <w:rsid w:val="004729A8"/>
    <w:rsid w:val="004729C1"/>
    <w:rsid w:val="00472DAF"/>
    <w:rsid w:val="00472E72"/>
    <w:rsid w:val="004731BC"/>
    <w:rsid w:val="004731F1"/>
    <w:rsid w:val="004735DA"/>
    <w:rsid w:val="0047378C"/>
    <w:rsid w:val="00473863"/>
    <w:rsid w:val="00473D0E"/>
    <w:rsid w:val="0047463C"/>
    <w:rsid w:val="00474765"/>
    <w:rsid w:val="004747D8"/>
    <w:rsid w:val="00474CD4"/>
    <w:rsid w:val="00475506"/>
    <w:rsid w:val="00475602"/>
    <w:rsid w:val="00475A54"/>
    <w:rsid w:val="00475EAE"/>
    <w:rsid w:val="00476224"/>
    <w:rsid w:val="00476237"/>
    <w:rsid w:val="004764F1"/>
    <w:rsid w:val="00476568"/>
    <w:rsid w:val="004765F7"/>
    <w:rsid w:val="004767E4"/>
    <w:rsid w:val="004769C9"/>
    <w:rsid w:val="00476A2E"/>
    <w:rsid w:val="00476CF7"/>
    <w:rsid w:val="00476F51"/>
    <w:rsid w:val="00476FCF"/>
    <w:rsid w:val="00476FE6"/>
    <w:rsid w:val="00477135"/>
    <w:rsid w:val="0047716D"/>
    <w:rsid w:val="00477323"/>
    <w:rsid w:val="00477631"/>
    <w:rsid w:val="00477643"/>
    <w:rsid w:val="004777B8"/>
    <w:rsid w:val="004778B1"/>
    <w:rsid w:val="00477C9B"/>
    <w:rsid w:val="004800DF"/>
    <w:rsid w:val="00480274"/>
    <w:rsid w:val="004803B9"/>
    <w:rsid w:val="004804D4"/>
    <w:rsid w:val="0048070E"/>
    <w:rsid w:val="00480738"/>
    <w:rsid w:val="00480806"/>
    <w:rsid w:val="00480B54"/>
    <w:rsid w:val="00480CDB"/>
    <w:rsid w:val="00480D02"/>
    <w:rsid w:val="004813D2"/>
    <w:rsid w:val="00481533"/>
    <w:rsid w:val="004816E6"/>
    <w:rsid w:val="00481A05"/>
    <w:rsid w:val="00481BB6"/>
    <w:rsid w:val="0048256C"/>
    <w:rsid w:val="00482698"/>
    <w:rsid w:val="004826BB"/>
    <w:rsid w:val="004826CD"/>
    <w:rsid w:val="004828D2"/>
    <w:rsid w:val="00482B67"/>
    <w:rsid w:val="00482BE6"/>
    <w:rsid w:val="00482D09"/>
    <w:rsid w:val="00482E7B"/>
    <w:rsid w:val="00482F8B"/>
    <w:rsid w:val="004830BE"/>
    <w:rsid w:val="004831BB"/>
    <w:rsid w:val="0048321D"/>
    <w:rsid w:val="0048333E"/>
    <w:rsid w:val="0048348D"/>
    <w:rsid w:val="004834C1"/>
    <w:rsid w:val="004837CC"/>
    <w:rsid w:val="00483A00"/>
    <w:rsid w:val="00483ACD"/>
    <w:rsid w:val="00484157"/>
    <w:rsid w:val="004841F8"/>
    <w:rsid w:val="004844C2"/>
    <w:rsid w:val="00484BC0"/>
    <w:rsid w:val="00484BDA"/>
    <w:rsid w:val="00484E46"/>
    <w:rsid w:val="00484F99"/>
    <w:rsid w:val="0048504A"/>
    <w:rsid w:val="004854FB"/>
    <w:rsid w:val="0048579D"/>
    <w:rsid w:val="00485D4E"/>
    <w:rsid w:val="00485EE7"/>
    <w:rsid w:val="0048607D"/>
    <w:rsid w:val="00486347"/>
    <w:rsid w:val="0048652D"/>
    <w:rsid w:val="0048674D"/>
    <w:rsid w:val="0048693C"/>
    <w:rsid w:val="0048698F"/>
    <w:rsid w:val="00486BD4"/>
    <w:rsid w:val="00487088"/>
    <w:rsid w:val="004875E9"/>
    <w:rsid w:val="004877B2"/>
    <w:rsid w:val="00487899"/>
    <w:rsid w:val="00487A4D"/>
    <w:rsid w:val="00487A68"/>
    <w:rsid w:val="00487AAA"/>
    <w:rsid w:val="00487B73"/>
    <w:rsid w:val="00487B80"/>
    <w:rsid w:val="00487BDC"/>
    <w:rsid w:val="00487BFD"/>
    <w:rsid w:val="00487C6C"/>
    <w:rsid w:val="00487D7E"/>
    <w:rsid w:val="00487E49"/>
    <w:rsid w:val="00490156"/>
    <w:rsid w:val="00490169"/>
    <w:rsid w:val="0049052B"/>
    <w:rsid w:val="004908BE"/>
    <w:rsid w:val="00490A19"/>
    <w:rsid w:val="00490BC6"/>
    <w:rsid w:val="00490CBF"/>
    <w:rsid w:val="00490DCF"/>
    <w:rsid w:val="00491037"/>
    <w:rsid w:val="00491080"/>
    <w:rsid w:val="00491152"/>
    <w:rsid w:val="0049123A"/>
    <w:rsid w:val="004916A8"/>
    <w:rsid w:val="004919E9"/>
    <w:rsid w:val="00491D77"/>
    <w:rsid w:val="00491E3C"/>
    <w:rsid w:val="00491F0D"/>
    <w:rsid w:val="004921AF"/>
    <w:rsid w:val="0049229B"/>
    <w:rsid w:val="00492479"/>
    <w:rsid w:val="00492489"/>
    <w:rsid w:val="00492501"/>
    <w:rsid w:val="004929C1"/>
    <w:rsid w:val="00492B6E"/>
    <w:rsid w:val="00492C92"/>
    <w:rsid w:val="00492CBC"/>
    <w:rsid w:val="00492D80"/>
    <w:rsid w:val="00492E49"/>
    <w:rsid w:val="0049305A"/>
    <w:rsid w:val="00493095"/>
    <w:rsid w:val="0049330A"/>
    <w:rsid w:val="0049332A"/>
    <w:rsid w:val="004937F3"/>
    <w:rsid w:val="004939A1"/>
    <w:rsid w:val="00493A50"/>
    <w:rsid w:val="00493B03"/>
    <w:rsid w:val="00493B76"/>
    <w:rsid w:val="00493C08"/>
    <w:rsid w:val="00493D72"/>
    <w:rsid w:val="00493E21"/>
    <w:rsid w:val="00493E5F"/>
    <w:rsid w:val="00493EF1"/>
    <w:rsid w:val="0049400A"/>
    <w:rsid w:val="00494031"/>
    <w:rsid w:val="004941A7"/>
    <w:rsid w:val="00494529"/>
    <w:rsid w:val="0049454B"/>
    <w:rsid w:val="00494636"/>
    <w:rsid w:val="00494829"/>
    <w:rsid w:val="004948F9"/>
    <w:rsid w:val="00494965"/>
    <w:rsid w:val="00494982"/>
    <w:rsid w:val="00494B02"/>
    <w:rsid w:val="00494B46"/>
    <w:rsid w:val="00494BE2"/>
    <w:rsid w:val="00494F84"/>
    <w:rsid w:val="00495059"/>
    <w:rsid w:val="0049541B"/>
    <w:rsid w:val="00495466"/>
    <w:rsid w:val="0049575B"/>
    <w:rsid w:val="0049584D"/>
    <w:rsid w:val="00495894"/>
    <w:rsid w:val="00495915"/>
    <w:rsid w:val="00495B45"/>
    <w:rsid w:val="00495C47"/>
    <w:rsid w:val="00495D56"/>
    <w:rsid w:val="00495F57"/>
    <w:rsid w:val="00496223"/>
    <w:rsid w:val="00496259"/>
    <w:rsid w:val="004965FC"/>
    <w:rsid w:val="00496628"/>
    <w:rsid w:val="00496A48"/>
    <w:rsid w:val="00496D8C"/>
    <w:rsid w:val="00496E8D"/>
    <w:rsid w:val="004975AC"/>
    <w:rsid w:val="00497687"/>
    <w:rsid w:val="00497AC3"/>
    <w:rsid w:val="00497AF0"/>
    <w:rsid w:val="00497B25"/>
    <w:rsid w:val="00497C69"/>
    <w:rsid w:val="004A03B5"/>
    <w:rsid w:val="004A08FE"/>
    <w:rsid w:val="004A0F99"/>
    <w:rsid w:val="004A10BB"/>
    <w:rsid w:val="004A131A"/>
    <w:rsid w:val="004A149F"/>
    <w:rsid w:val="004A1656"/>
    <w:rsid w:val="004A1B4D"/>
    <w:rsid w:val="004A1BE9"/>
    <w:rsid w:val="004A1CCA"/>
    <w:rsid w:val="004A1ECD"/>
    <w:rsid w:val="004A25AE"/>
    <w:rsid w:val="004A269B"/>
    <w:rsid w:val="004A26CF"/>
    <w:rsid w:val="004A2AB0"/>
    <w:rsid w:val="004A2B89"/>
    <w:rsid w:val="004A2C85"/>
    <w:rsid w:val="004A3516"/>
    <w:rsid w:val="004A36A3"/>
    <w:rsid w:val="004A36D6"/>
    <w:rsid w:val="004A3941"/>
    <w:rsid w:val="004A398D"/>
    <w:rsid w:val="004A39AD"/>
    <w:rsid w:val="004A3EAA"/>
    <w:rsid w:val="004A404B"/>
    <w:rsid w:val="004A417A"/>
    <w:rsid w:val="004A428B"/>
    <w:rsid w:val="004A47C6"/>
    <w:rsid w:val="004A4A24"/>
    <w:rsid w:val="004A4F33"/>
    <w:rsid w:val="004A5013"/>
    <w:rsid w:val="004A52A0"/>
    <w:rsid w:val="004A5489"/>
    <w:rsid w:val="004A56E7"/>
    <w:rsid w:val="004A5C87"/>
    <w:rsid w:val="004A5C93"/>
    <w:rsid w:val="004A6024"/>
    <w:rsid w:val="004A6261"/>
    <w:rsid w:val="004A6522"/>
    <w:rsid w:val="004A68AF"/>
    <w:rsid w:val="004A6978"/>
    <w:rsid w:val="004A69DA"/>
    <w:rsid w:val="004A720F"/>
    <w:rsid w:val="004A733F"/>
    <w:rsid w:val="004A7526"/>
    <w:rsid w:val="004A788F"/>
    <w:rsid w:val="004A78C2"/>
    <w:rsid w:val="004A78ED"/>
    <w:rsid w:val="004A7967"/>
    <w:rsid w:val="004A7E5B"/>
    <w:rsid w:val="004A7E88"/>
    <w:rsid w:val="004B02A8"/>
    <w:rsid w:val="004B0303"/>
    <w:rsid w:val="004B04E5"/>
    <w:rsid w:val="004B0577"/>
    <w:rsid w:val="004B0624"/>
    <w:rsid w:val="004B08DB"/>
    <w:rsid w:val="004B0CBD"/>
    <w:rsid w:val="004B1142"/>
    <w:rsid w:val="004B1424"/>
    <w:rsid w:val="004B1510"/>
    <w:rsid w:val="004B16C6"/>
    <w:rsid w:val="004B1749"/>
    <w:rsid w:val="004B1764"/>
    <w:rsid w:val="004B1912"/>
    <w:rsid w:val="004B1C71"/>
    <w:rsid w:val="004B1D32"/>
    <w:rsid w:val="004B1EB4"/>
    <w:rsid w:val="004B1ED3"/>
    <w:rsid w:val="004B2AC9"/>
    <w:rsid w:val="004B2DE9"/>
    <w:rsid w:val="004B3164"/>
    <w:rsid w:val="004B3E4A"/>
    <w:rsid w:val="004B40FD"/>
    <w:rsid w:val="004B43D2"/>
    <w:rsid w:val="004B44B7"/>
    <w:rsid w:val="004B45CA"/>
    <w:rsid w:val="004B46A0"/>
    <w:rsid w:val="004B499D"/>
    <w:rsid w:val="004B4A0F"/>
    <w:rsid w:val="004B4BA5"/>
    <w:rsid w:val="004B4F12"/>
    <w:rsid w:val="004B5253"/>
    <w:rsid w:val="004B53C9"/>
    <w:rsid w:val="004B555A"/>
    <w:rsid w:val="004B5591"/>
    <w:rsid w:val="004B58E0"/>
    <w:rsid w:val="004B59EB"/>
    <w:rsid w:val="004B5B6B"/>
    <w:rsid w:val="004B5BD0"/>
    <w:rsid w:val="004B5C1F"/>
    <w:rsid w:val="004B6007"/>
    <w:rsid w:val="004B63F3"/>
    <w:rsid w:val="004B6982"/>
    <w:rsid w:val="004B6A63"/>
    <w:rsid w:val="004B719C"/>
    <w:rsid w:val="004B71A6"/>
    <w:rsid w:val="004B7282"/>
    <w:rsid w:val="004B72B4"/>
    <w:rsid w:val="004B7374"/>
    <w:rsid w:val="004B7449"/>
    <w:rsid w:val="004B78BB"/>
    <w:rsid w:val="004B78E2"/>
    <w:rsid w:val="004B7981"/>
    <w:rsid w:val="004B7AF2"/>
    <w:rsid w:val="004B7BDE"/>
    <w:rsid w:val="004B7CB8"/>
    <w:rsid w:val="004C0306"/>
    <w:rsid w:val="004C0376"/>
    <w:rsid w:val="004C097A"/>
    <w:rsid w:val="004C0982"/>
    <w:rsid w:val="004C0B5E"/>
    <w:rsid w:val="004C0C62"/>
    <w:rsid w:val="004C0FA6"/>
    <w:rsid w:val="004C1004"/>
    <w:rsid w:val="004C1240"/>
    <w:rsid w:val="004C1471"/>
    <w:rsid w:val="004C1E17"/>
    <w:rsid w:val="004C1E26"/>
    <w:rsid w:val="004C1ECC"/>
    <w:rsid w:val="004C20FE"/>
    <w:rsid w:val="004C2599"/>
    <w:rsid w:val="004C276F"/>
    <w:rsid w:val="004C2822"/>
    <w:rsid w:val="004C28AE"/>
    <w:rsid w:val="004C28C4"/>
    <w:rsid w:val="004C2D34"/>
    <w:rsid w:val="004C2D75"/>
    <w:rsid w:val="004C2FDE"/>
    <w:rsid w:val="004C3062"/>
    <w:rsid w:val="004C3089"/>
    <w:rsid w:val="004C3117"/>
    <w:rsid w:val="004C3281"/>
    <w:rsid w:val="004C349C"/>
    <w:rsid w:val="004C35A2"/>
    <w:rsid w:val="004C35D7"/>
    <w:rsid w:val="004C3871"/>
    <w:rsid w:val="004C3DFB"/>
    <w:rsid w:val="004C4208"/>
    <w:rsid w:val="004C434D"/>
    <w:rsid w:val="004C43FD"/>
    <w:rsid w:val="004C445D"/>
    <w:rsid w:val="004C463E"/>
    <w:rsid w:val="004C4EDF"/>
    <w:rsid w:val="004C4EEF"/>
    <w:rsid w:val="004C52A7"/>
    <w:rsid w:val="004C5409"/>
    <w:rsid w:val="004C54C3"/>
    <w:rsid w:val="004C5589"/>
    <w:rsid w:val="004C5A49"/>
    <w:rsid w:val="004C5C2A"/>
    <w:rsid w:val="004C5DCE"/>
    <w:rsid w:val="004C5E6C"/>
    <w:rsid w:val="004C5F68"/>
    <w:rsid w:val="004C64C8"/>
    <w:rsid w:val="004C6521"/>
    <w:rsid w:val="004C660C"/>
    <w:rsid w:val="004C691A"/>
    <w:rsid w:val="004C6A55"/>
    <w:rsid w:val="004C6DAB"/>
    <w:rsid w:val="004C702F"/>
    <w:rsid w:val="004C70D4"/>
    <w:rsid w:val="004C7319"/>
    <w:rsid w:val="004C73D3"/>
    <w:rsid w:val="004C73DA"/>
    <w:rsid w:val="004C744E"/>
    <w:rsid w:val="004C7667"/>
    <w:rsid w:val="004C7B01"/>
    <w:rsid w:val="004C7B47"/>
    <w:rsid w:val="004C7D5C"/>
    <w:rsid w:val="004C7DC2"/>
    <w:rsid w:val="004C7E36"/>
    <w:rsid w:val="004C7F6B"/>
    <w:rsid w:val="004C7FA7"/>
    <w:rsid w:val="004D0033"/>
    <w:rsid w:val="004D00B1"/>
    <w:rsid w:val="004D01BD"/>
    <w:rsid w:val="004D0325"/>
    <w:rsid w:val="004D0922"/>
    <w:rsid w:val="004D0C20"/>
    <w:rsid w:val="004D0D46"/>
    <w:rsid w:val="004D0E6C"/>
    <w:rsid w:val="004D0FF0"/>
    <w:rsid w:val="004D12E3"/>
    <w:rsid w:val="004D14EB"/>
    <w:rsid w:val="004D16B6"/>
    <w:rsid w:val="004D17F6"/>
    <w:rsid w:val="004D1BBA"/>
    <w:rsid w:val="004D200B"/>
    <w:rsid w:val="004D24A9"/>
    <w:rsid w:val="004D27F7"/>
    <w:rsid w:val="004D2BCC"/>
    <w:rsid w:val="004D2E06"/>
    <w:rsid w:val="004D2FD9"/>
    <w:rsid w:val="004D304B"/>
    <w:rsid w:val="004D32FF"/>
    <w:rsid w:val="004D3730"/>
    <w:rsid w:val="004D37D3"/>
    <w:rsid w:val="004D45C4"/>
    <w:rsid w:val="004D47C7"/>
    <w:rsid w:val="004D495A"/>
    <w:rsid w:val="004D4A76"/>
    <w:rsid w:val="004D4E93"/>
    <w:rsid w:val="004D5138"/>
    <w:rsid w:val="004D570E"/>
    <w:rsid w:val="004D5A77"/>
    <w:rsid w:val="004D5AF3"/>
    <w:rsid w:val="004D5B00"/>
    <w:rsid w:val="004D5C54"/>
    <w:rsid w:val="004D5F20"/>
    <w:rsid w:val="004D5FFB"/>
    <w:rsid w:val="004D604E"/>
    <w:rsid w:val="004D63AE"/>
    <w:rsid w:val="004D64CB"/>
    <w:rsid w:val="004D663D"/>
    <w:rsid w:val="004D6B1A"/>
    <w:rsid w:val="004D6B9E"/>
    <w:rsid w:val="004D6D32"/>
    <w:rsid w:val="004D6E69"/>
    <w:rsid w:val="004D7134"/>
    <w:rsid w:val="004D72B3"/>
    <w:rsid w:val="004D7507"/>
    <w:rsid w:val="004D7683"/>
    <w:rsid w:val="004D76E2"/>
    <w:rsid w:val="004D7E3A"/>
    <w:rsid w:val="004D7EFD"/>
    <w:rsid w:val="004D7F61"/>
    <w:rsid w:val="004D7F9E"/>
    <w:rsid w:val="004E01FE"/>
    <w:rsid w:val="004E0280"/>
    <w:rsid w:val="004E0313"/>
    <w:rsid w:val="004E03F3"/>
    <w:rsid w:val="004E0578"/>
    <w:rsid w:val="004E060E"/>
    <w:rsid w:val="004E089C"/>
    <w:rsid w:val="004E0BF0"/>
    <w:rsid w:val="004E0CF4"/>
    <w:rsid w:val="004E0EAA"/>
    <w:rsid w:val="004E0EAD"/>
    <w:rsid w:val="004E0FF1"/>
    <w:rsid w:val="004E1287"/>
    <w:rsid w:val="004E219F"/>
    <w:rsid w:val="004E2528"/>
    <w:rsid w:val="004E26E4"/>
    <w:rsid w:val="004E276E"/>
    <w:rsid w:val="004E2B05"/>
    <w:rsid w:val="004E2C36"/>
    <w:rsid w:val="004E2C3F"/>
    <w:rsid w:val="004E3110"/>
    <w:rsid w:val="004E3325"/>
    <w:rsid w:val="004E3443"/>
    <w:rsid w:val="004E3496"/>
    <w:rsid w:val="004E34B0"/>
    <w:rsid w:val="004E3538"/>
    <w:rsid w:val="004E3939"/>
    <w:rsid w:val="004E3982"/>
    <w:rsid w:val="004E3B99"/>
    <w:rsid w:val="004E3C00"/>
    <w:rsid w:val="004E4519"/>
    <w:rsid w:val="004E4900"/>
    <w:rsid w:val="004E4A88"/>
    <w:rsid w:val="004E4AC2"/>
    <w:rsid w:val="004E4F2F"/>
    <w:rsid w:val="004E5184"/>
    <w:rsid w:val="004E5405"/>
    <w:rsid w:val="004E5948"/>
    <w:rsid w:val="004E5DBD"/>
    <w:rsid w:val="004E5EB7"/>
    <w:rsid w:val="004E5FA7"/>
    <w:rsid w:val="004E622C"/>
    <w:rsid w:val="004E63A3"/>
    <w:rsid w:val="004E6537"/>
    <w:rsid w:val="004E695A"/>
    <w:rsid w:val="004E6BB2"/>
    <w:rsid w:val="004E6C25"/>
    <w:rsid w:val="004E6DF9"/>
    <w:rsid w:val="004E70A8"/>
    <w:rsid w:val="004E74B8"/>
    <w:rsid w:val="004E7543"/>
    <w:rsid w:val="004E7687"/>
    <w:rsid w:val="004E78D8"/>
    <w:rsid w:val="004E7A8E"/>
    <w:rsid w:val="004F063F"/>
    <w:rsid w:val="004F08F3"/>
    <w:rsid w:val="004F0C49"/>
    <w:rsid w:val="004F0CA9"/>
    <w:rsid w:val="004F0F8A"/>
    <w:rsid w:val="004F103F"/>
    <w:rsid w:val="004F11FB"/>
    <w:rsid w:val="004F1675"/>
    <w:rsid w:val="004F190F"/>
    <w:rsid w:val="004F1C1E"/>
    <w:rsid w:val="004F1C36"/>
    <w:rsid w:val="004F255F"/>
    <w:rsid w:val="004F29C0"/>
    <w:rsid w:val="004F2B81"/>
    <w:rsid w:val="004F2C98"/>
    <w:rsid w:val="004F2CC0"/>
    <w:rsid w:val="004F2D85"/>
    <w:rsid w:val="004F300E"/>
    <w:rsid w:val="004F30CF"/>
    <w:rsid w:val="004F33D2"/>
    <w:rsid w:val="004F345F"/>
    <w:rsid w:val="004F368F"/>
    <w:rsid w:val="004F3AEE"/>
    <w:rsid w:val="004F3F19"/>
    <w:rsid w:val="004F3F81"/>
    <w:rsid w:val="004F41E4"/>
    <w:rsid w:val="004F42EE"/>
    <w:rsid w:val="004F45F5"/>
    <w:rsid w:val="004F4F36"/>
    <w:rsid w:val="004F519F"/>
    <w:rsid w:val="004F5795"/>
    <w:rsid w:val="004F59AE"/>
    <w:rsid w:val="004F5CE3"/>
    <w:rsid w:val="004F5E5F"/>
    <w:rsid w:val="004F5EB0"/>
    <w:rsid w:val="004F6197"/>
    <w:rsid w:val="004F6430"/>
    <w:rsid w:val="004F6463"/>
    <w:rsid w:val="004F68EC"/>
    <w:rsid w:val="004F6CCE"/>
    <w:rsid w:val="004F6DA3"/>
    <w:rsid w:val="004F6E89"/>
    <w:rsid w:val="004F7232"/>
    <w:rsid w:val="004F7293"/>
    <w:rsid w:val="004F7300"/>
    <w:rsid w:val="004F74DC"/>
    <w:rsid w:val="004F7640"/>
    <w:rsid w:val="004F76CA"/>
    <w:rsid w:val="004F76D4"/>
    <w:rsid w:val="004F777A"/>
    <w:rsid w:val="004F77D4"/>
    <w:rsid w:val="004F7BCA"/>
    <w:rsid w:val="004F7BCD"/>
    <w:rsid w:val="004F7F85"/>
    <w:rsid w:val="00500244"/>
    <w:rsid w:val="005003F6"/>
    <w:rsid w:val="0050052F"/>
    <w:rsid w:val="00500B28"/>
    <w:rsid w:val="00500E68"/>
    <w:rsid w:val="00500F61"/>
    <w:rsid w:val="0050133C"/>
    <w:rsid w:val="0050137C"/>
    <w:rsid w:val="0050162A"/>
    <w:rsid w:val="005017FC"/>
    <w:rsid w:val="005018D3"/>
    <w:rsid w:val="00501959"/>
    <w:rsid w:val="00501F4D"/>
    <w:rsid w:val="005021B3"/>
    <w:rsid w:val="005022F6"/>
    <w:rsid w:val="00502510"/>
    <w:rsid w:val="005025ED"/>
    <w:rsid w:val="00502908"/>
    <w:rsid w:val="005029A8"/>
    <w:rsid w:val="00502A7E"/>
    <w:rsid w:val="00502CB8"/>
    <w:rsid w:val="0050307F"/>
    <w:rsid w:val="00503225"/>
    <w:rsid w:val="0050333F"/>
    <w:rsid w:val="00503371"/>
    <w:rsid w:val="00503383"/>
    <w:rsid w:val="005033B6"/>
    <w:rsid w:val="005036AD"/>
    <w:rsid w:val="00503929"/>
    <w:rsid w:val="005039E2"/>
    <w:rsid w:val="00503BB7"/>
    <w:rsid w:val="00503E34"/>
    <w:rsid w:val="00503F92"/>
    <w:rsid w:val="005040CA"/>
    <w:rsid w:val="005040EE"/>
    <w:rsid w:val="005046F5"/>
    <w:rsid w:val="005047CF"/>
    <w:rsid w:val="00504C08"/>
    <w:rsid w:val="00504D69"/>
    <w:rsid w:val="00504DC6"/>
    <w:rsid w:val="005050C6"/>
    <w:rsid w:val="005054E4"/>
    <w:rsid w:val="0050559D"/>
    <w:rsid w:val="00505700"/>
    <w:rsid w:val="00505760"/>
    <w:rsid w:val="005060BC"/>
    <w:rsid w:val="00506393"/>
    <w:rsid w:val="005063BD"/>
    <w:rsid w:val="00506A4C"/>
    <w:rsid w:val="00506C62"/>
    <w:rsid w:val="00506DA3"/>
    <w:rsid w:val="00506F34"/>
    <w:rsid w:val="005073FC"/>
    <w:rsid w:val="00507469"/>
    <w:rsid w:val="0050761E"/>
    <w:rsid w:val="00507761"/>
    <w:rsid w:val="00507AAE"/>
    <w:rsid w:val="00507BF8"/>
    <w:rsid w:val="0051013E"/>
    <w:rsid w:val="0051029C"/>
    <w:rsid w:val="005102AE"/>
    <w:rsid w:val="00510C58"/>
    <w:rsid w:val="00510C63"/>
    <w:rsid w:val="00510E08"/>
    <w:rsid w:val="00511350"/>
    <w:rsid w:val="005114E2"/>
    <w:rsid w:val="005115B1"/>
    <w:rsid w:val="00511890"/>
    <w:rsid w:val="005119E8"/>
    <w:rsid w:val="00511A63"/>
    <w:rsid w:val="00511A6C"/>
    <w:rsid w:val="00511B19"/>
    <w:rsid w:val="00511D85"/>
    <w:rsid w:val="00511ED8"/>
    <w:rsid w:val="00512FEB"/>
    <w:rsid w:val="00513037"/>
    <w:rsid w:val="00513291"/>
    <w:rsid w:val="005135FA"/>
    <w:rsid w:val="005139A5"/>
    <w:rsid w:val="00513C68"/>
    <w:rsid w:val="00513FBE"/>
    <w:rsid w:val="00514453"/>
    <w:rsid w:val="005145C8"/>
    <w:rsid w:val="00514768"/>
    <w:rsid w:val="00514B75"/>
    <w:rsid w:val="00514D73"/>
    <w:rsid w:val="00514E64"/>
    <w:rsid w:val="00514FEB"/>
    <w:rsid w:val="00515010"/>
    <w:rsid w:val="005151DA"/>
    <w:rsid w:val="00515483"/>
    <w:rsid w:val="005154A9"/>
    <w:rsid w:val="005154FD"/>
    <w:rsid w:val="0051580F"/>
    <w:rsid w:val="005158B5"/>
    <w:rsid w:val="00515D76"/>
    <w:rsid w:val="005162C3"/>
    <w:rsid w:val="00516499"/>
    <w:rsid w:val="005164EB"/>
    <w:rsid w:val="00516DF1"/>
    <w:rsid w:val="00516EDF"/>
    <w:rsid w:val="00516FEB"/>
    <w:rsid w:val="00517043"/>
    <w:rsid w:val="00517176"/>
    <w:rsid w:val="00517370"/>
    <w:rsid w:val="00517433"/>
    <w:rsid w:val="005175BC"/>
    <w:rsid w:val="0051763B"/>
    <w:rsid w:val="00517670"/>
    <w:rsid w:val="00517702"/>
    <w:rsid w:val="00517855"/>
    <w:rsid w:val="00517EEB"/>
    <w:rsid w:val="00520240"/>
    <w:rsid w:val="0052040D"/>
    <w:rsid w:val="00520574"/>
    <w:rsid w:val="00520629"/>
    <w:rsid w:val="00520643"/>
    <w:rsid w:val="00520696"/>
    <w:rsid w:val="005206E5"/>
    <w:rsid w:val="00520AFE"/>
    <w:rsid w:val="00520B11"/>
    <w:rsid w:val="00520BF5"/>
    <w:rsid w:val="00520C9A"/>
    <w:rsid w:val="00520EA7"/>
    <w:rsid w:val="00521053"/>
    <w:rsid w:val="005212AF"/>
    <w:rsid w:val="005213FB"/>
    <w:rsid w:val="00521E66"/>
    <w:rsid w:val="005222F2"/>
    <w:rsid w:val="0052254D"/>
    <w:rsid w:val="00522714"/>
    <w:rsid w:val="00522978"/>
    <w:rsid w:val="00522AFF"/>
    <w:rsid w:val="005230A4"/>
    <w:rsid w:val="0052315A"/>
    <w:rsid w:val="005232FF"/>
    <w:rsid w:val="00523317"/>
    <w:rsid w:val="005238B2"/>
    <w:rsid w:val="00523A28"/>
    <w:rsid w:val="00523B3B"/>
    <w:rsid w:val="00523D79"/>
    <w:rsid w:val="00523EE8"/>
    <w:rsid w:val="005242D9"/>
    <w:rsid w:val="005243E4"/>
    <w:rsid w:val="005245CF"/>
    <w:rsid w:val="005247C2"/>
    <w:rsid w:val="00524A39"/>
    <w:rsid w:val="00524BA0"/>
    <w:rsid w:val="00524C20"/>
    <w:rsid w:val="00524D62"/>
    <w:rsid w:val="005251AD"/>
    <w:rsid w:val="00525A02"/>
    <w:rsid w:val="00525B21"/>
    <w:rsid w:val="00525C81"/>
    <w:rsid w:val="00525D02"/>
    <w:rsid w:val="00525EFB"/>
    <w:rsid w:val="00525F21"/>
    <w:rsid w:val="00526084"/>
    <w:rsid w:val="00526288"/>
    <w:rsid w:val="005263B0"/>
    <w:rsid w:val="005264B5"/>
    <w:rsid w:val="00526985"/>
    <w:rsid w:val="00526A01"/>
    <w:rsid w:val="00527074"/>
    <w:rsid w:val="005270AD"/>
    <w:rsid w:val="00527318"/>
    <w:rsid w:val="005274CD"/>
    <w:rsid w:val="005275CE"/>
    <w:rsid w:val="005275F7"/>
    <w:rsid w:val="005276F7"/>
    <w:rsid w:val="0052781F"/>
    <w:rsid w:val="00527C45"/>
    <w:rsid w:val="00527F39"/>
    <w:rsid w:val="00527F4F"/>
    <w:rsid w:val="005300B8"/>
    <w:rsid w:val="0053039C"/>
    <w:rsid w:val="00530404"/>
    <w:rsid w:val="005307CD"/>
    <w:rsid w:val="005308BC"/>
    <w:rsid w:val="00530BF8"/>
    <w:rsid w:val="00530E23"/>
    <w:rsid w:val="00530F03"/>
    <w:rsid w:val="00530F55"/>
    <w:rsid w:val="00531211"/>
    <w:rsid w:val="00531281"/>
    <w:rsid w:val="005316A2"/>
    <w:rsid w:val="005316D9"/>
    <w:rsid w:val="005317D7"/>
    <w:rsid w:val="005319D1"/>
    <w:rsid w:val="00531CC8"/>
    <w:rsid w:val="00532029"/>
    <w:rsid w:val="0053223B"/>
    <w:rsid w:val="0053229D"/>
    <w:rsid w:val="0053230B"/>
    <w:rsid w:val="0053236A"/>
    <w:rsid w:val="00532406"/>
    <w:rsid w:val="0053260F"/>
    <w:rsid w:val="0053267E"/>
    <w:rsid w:val="00532788"/>
    <w:rsid w:val="00532795"/>
    <w:rsid w:val="00532A04"/>
    <w:rsid w:val="00532BBD"/>
    <w:rsid w:val="00532FB6"/>
    <w:rsid w:val="005330E8"/>
    <w:rsid w:val="00533139"/>
    <w:rsid w:val="005331CC"/>
    <w:rsid w:val="005332AD"/>
    <w:rsid w:val="00533AAF"/>
    <w:rsid w:val="00533C40"/>
    <w:rsid w:val="00533F11"/>
    <w:rsid w:val="00533F1C"/>
    <w:rsid w:val="005341C8"/>
    <w:rsid w:val="00534F12"/>
    <w:rsid w:val="005351DF"/>
    <w:rsid w:val="00535337"/>
    <w:rsid w:val="005353E6"/>
    <w:rsid w:val="00535458"/>
    <w:rsid w:val="005354B6"/>
    <w:rsid w:val="0053597D"/>
    <w:rsid w:val="00535B26"/>
    <w:rsid w:val="00535C7A"/>
    <w:rsid w:val="00535D17"/>
    <w:rsid w:val="0053601B"/>
    <w:rsid w:val="005363E3"/>
    <w:rsid w:val="00536A5F"/>
    <w:rsid w:val="00536AEF"/>
    <w:rsid w:val="00536C0A"/>
    <w:rsid w:val="00536D33"/>
    <w:rsid w:val="00536EAC"/>
    <w:rsid w:val="00536ED5"/>
    <w:rsid w:val="00537004"/>
    <w:rsid w:val="005372EC"/>
    <w:rsid w:val="00537433"/>
    <w:rsid w:val="0053748C"/>
    <w:rsid w:val="005374E6"/>
    <w:rsid w:val="00537DA5"/>
    <w:rsid w:val="00537E0A"/>
    <w:rsid w:val="00537E3B"/>
    <w:rsid w:val="00537E73"/>
    <w:rsid w:val="00537EB9"/>
    <w:rsid w:val="00540177"/>
    <w:rsid w:val="005403E4"/>
    <w:rsid w:val="0054079D"/>
    <w:rsid w:val="0054082F"/>
    <w:rsid w:val="0054084C"/>
    <w:rsid w:val="0054085F"/>
    <w:rsid w:val="00540ACA"/>
    <w:rsid w:val="00540D7A"/>
    <w:rsid w:val="00540D90"/>
    <w:rsid w:val="00540F05"/>
    <w:rsid w:val="005411F3"/>
    <w:rsid w:val="00541388"/>
    <w:rsid w:val="00541819"/>
    <w:rsid w:val="00541D5A"/>
    <w:rsid w:val="00541E51"/>
    <w:rsid w:val="00542049"/>
    <w:rsid w:val="0054241F"/>
    <w:rsid w:val="005426F0"/>
    <w:rsid w:val="005427E5"/>
    <w:rsid w:val="00542945"/>
    <w:rsid w:val="005429D3"/>
    <w:rsid w:val="005429E6"/>
    <w:rsid w:val="00542C80"/>
    <w:rsid w:val="00542DAF"/>
    <w:rsid w:val="00542DB8"/>
    <w:rsid w:val="005431D6"/>
    <w:rsid w:val="00543406"/>
    <w:rsid w:val="005435DC"/>
    <w:rsid w:val="0054364D"/>
    <w:rsid w:val="005438F2"/>
    <w:rsid w:val="00543AB8"/>
    <w:rsid w:val="00543AF4"/>
    <w:rsid w:val="00543DD2"/>
    <w:rsid w:val="00543EFB"/>
    <w:rsid w:val="00544262"/>
    <w:rsid w:val="005442FB"/>
    <w:rsid w:val="0054465F"/>
    <w:rsid w:val="00544971"/>
    <w:rsid w:val="00544E12"/>
    <w:rsid w:val="00544F4F"/>
    <w:rsid w:val="00545082"/>
    <w:rsid w:val="005451DC"/>
    <w:rsid w:val="00545259"/>
    <w:rsid w:val="00545796"/>
    <w:rsid w:val="005458A7"/>
    <w:rsid w:val="00545A30"/>
    <w:rsid w:val="00545BBC"/>
    <w:rsid w:val="00545E8E"/>
    <w:rsid w:val="00546050"/>
    <w:rsid w:val="005460F3"/>
    <w:rsid w:val="0054658B"/>
    <w:rsid w:val="00546841"/>
    <w:rsid w:val="0054685E"/>
    <w:rsid w:val="0054724E"/>
    <w:rsid w:val="00547458"/>
    <w:rsid w:val="0054758A"/>
    <w:rsid w:val="00547942"/>
    <w:rsid w:val="00547D34"/>
    <w:rsid w:val="00550034"/>
    <w:rsid w:val="00550055"/>
    <w:rsid w:val="0055005F"/>
    <w:rsid w:val="0055026A"/>
    <w:rsid w:val="00550571"/>
    <w:rsid w:val="005506F9"/>
    <w:rsid w:val="00550A8D"/>
    <w:rsid w:val="00550D7C"/>
    <w:rsid w:val="00550FCC"/>
    <w:rsid w:val="0055105A"/>
    <w:rsid w:val="00551214"/>
    <w:rsid w:val="00551247"/>
    <w:rsid w:val="005512B2"/>
    <w:rsid w:val="00551736"/>
    <w:rsid w:val="005517A1"/>
    <w:rsid w:val="00551871"/>
    <w:rsid w:val="00551ADF"/>
    <w:rsid w:val="00551CCB"/>
    <w:rsid w:val="00551CE2"/>
    <w:rsid w:val="00552124"/>
    <w:rsid w:val="005522CD"/>
    <w:rsid w:val="00552425"/>
    <w:rsid w:val="0055248F"/>
    <w:rsid w:val="0055280A"/>
    <w:rsid w:val="00552A0C"/>
    <w:rsid w:val="00552B53"/>
    <w:rsid w:val="00552DD9"/>
    <w:rsid w:val="0055362B"/>
    <w:rsid w:val="0055376B"/>
    <w:rsid w:val="00553861"/>
    <w:rsid w:val="00553F16"/>
    <w:rsid w:val="00554013"/>
    <w:rsid w:val="00554835"/>
    <w:rsid w:val="00554866"/>
    <w:rsid w:val="00554903"/>
    <w:rsid w:val="00554B05"/>
    <w:rsid w:val="00554B9A"/>
    <w:rsid w:val="00554C5A"/>
    <w:rsid w:val="00554C9C"/>
    <w:rsid w:val="00554E6F"/>
    <w:rsid w:val="00554EB2"/>
    <w:rsid w:val="00554FF1"/>
    <w:rsid w:val="005550E4"/>
    <w:rsid w:val="00555145"/>
    <w:rsid w:val="005552E8"/>
    <w:rsid w:val="005554E3"/>
    <w:rsid w:val="00555665"/>
    <w:rsid w:val="005559AC"/>
    <w:rsid w:val="00555E5A"/>
    <w:rsid w:val="00555EF6"/>
    <w:rsid w:val="00555F0B"/>
    <w:rsid w:val="00555F58"/>
    <w:rsid w:val="0055614E"/>
    <w:rsid w:val="005561AF"/>
    <w:rsid w:val="005563BB"/>
    <w:rsid w:val="00556655"/>
    <w:rsid w:val="005568AA"/>
    <w:rsid w:val="005568AD"/>
    <w:rsid w:val="005568CB"/>
    <w:rsid w:val="00556EF7"/>
    <w:rsid w:val="00556F59"/>
    <w:rsid w:val="005572C0"/>
    <w:rsid w:val="0055746F"/>
    <w:rsid w:val="005577A2"/>
    <w:rsid w:val="00557B94"/>
    <w:rsid w:val="00557D7B"/>
    <w:rsid w:val="00557F3E"/>
    <w:rsid w:val="0056087F"/>
    <w:rsid w:val="00560DC7"/>
    <w:rsid w:val="00560EE1"/>
    <w:rsid w:val="00560FFB"/>
    <w:rsid w:val="005611C9"/>
    <w:rsid w:val="005612B1"/>
    <w:rsid w:val="00561766"/>
    <w:rsid w:val="005619CB"/>
    <w:rsid w:val="00561B11"/>
    <w:rsid w:val="00561BD5"/>
    <w:rsid w:val="00561CFE"/>
    <w:rsid w:val="00562232"/>
    <w:rsid w:val="0056235E"/>
    <w:rsid w:val="005625DB"/>
    <w:rsid w:val="00562697"/>
    <w:rsid w:val="00562712"/>
    <w:rsid w:val="005627BC"/>
    <w:rsid w:val="00562893"/>
    <w:rsid w:val="00562B2B"/>
    <w:rsid w:val="00562D9E"/>
    <w:rsid w:val="00562FE4"/>
    <w:rsid w:val="00563022"/>
    <w:rsid w:val="005630A5"/>
    <w:rsid w:val="0056311E"/>
    <w:rsid w:val="00563226"/>
    <w:rsid w:val="005632CB"/>
    <w:rsid w:val="00563AEE"/>
    <w:rsid w:val="00563F1B"/>
    <w:rsid w:val="00563FCD"/>
    <w:rsid w:val="005641E3"/>
    <w:rsid w:val="00564383"/>
    <w:rsid w:val="0056469E"/>
    <w:rsid w:val="00564821"/>
    <w:rsid w:val="00564993"/>
    <w:rsid w:val="005649B0"/>
    <w:rsid w:val="00564A54"/>
    <w:rsid w:val="00564A71"/>
    <w:rsid w:val="00564AA7"/>
    <w:rsid w:val="00564E4A"/>
    <w:rsid w:val="00564ED0"/>
    <w:rsid w:val="00565083"/>
    <w:rsid w:val="005650EF"/>
    <w:rsid w:val="0056550A"/>
    <w:rsid w:val="005655DA"/>
    <w:rsid w:val="0056581A"/>
    <w:rsid w:val="005658A7"/>
    <w:rsid w:val="005658E7"/>
    <w:rsid w:val="005658F2"/>
    <w:rsid w:val="00565A2A"/>
    <w:rsid w:val="00565D8F"/>
    <w:rsid w:val="00565D97"/>
    <w:rsid w:val="00565F5B"/>
    <w:rsid w:val="0056614B"/>
    <w:rsid w:val="005661DB"/>
    <w:rsid w:val="005664FA"/>
    <w:rsid w:val="005669C7"/>
    <w:rsid w:val="00566AE4"/>
    <w:rsid w:val="00566F48"/>
    <w:rsid w:val="00566F5D"/>
    <w:rsid w:val="00567555"/>
    <w:rsid w:val="005676B2"/>
    <w:rsid w:val="005676E6"/>
    <w:rsid w:val="005676EE"/>
    <w:rsid w:val="00567755"/>
    <w:rsid w:val="005677C6"/>
    <w:rsid w:val="005678F6"/>
    <w:rsid w:val="0056793E"/>
    <w:rsid w:val="00567A54"/>
    <w:rsid w:val="00567CFF"/>
    <w:rsid w:val="00567EDA"/>
    <w:rsid w:val="00570704"/>
    <w:rsid w:val="0057074C"/>
    <w:rsid w:val="00570822"/>
    <w:rsid w:val="0057091C"/>
    <w:rsid w:val="00570A73"/>
    <w:rsid w:val="00570B45"/>
    <w:rsid w:val="00570D9C"/>
    <w:rsid w:val="00570EA2"/>
    <w:rsid w:val="00570F9C"/>
    <w:rsid w:val="0057135B"/>
    <w:rsid w:val="005716F7"/>
    <w:rsid w:val="00571818"/>
    <w:rsid w:val="00571B3C"/>
    <w:rsid w:val="00571B98"/>
    <w:rsid w:val="00571CC3"/>
    <w:rsid w:val="00572064"/>
    <w:rsid w:val="0057207B"/>
    <w:rsid w:val="00572579"/>
    <w:rsid w:val="0057261D"/>
    <w:rsid w:val="00572758"/>
    <w:rsid w:val="005728D5"/>
    <w:rsid w:val="0057299C"/>
    <w:rsid w:val="005729DC"/>
    <w:rsid w:val="00572AED"/>
    <w:rsid w:val="00572EBC"/>
    <w:rsid w:val="005734B9"/>
    <w:rsid w:val="00573651"/>
    <w:rsid w:val="00573AD3"/>
    <w:rsid w:val="00573AE3"/>
    <w:rsid w:val="00573D37"/>
    <w:rsid w:val="00573DC1"/>
    <w:rsid w:val="00573EDE"/>
    <w:rsid w:val="00573FBC"/>
    <w:rsid w:val="0057403B"/>
    <w:rsid w:val="005742D0"/>
    <w:rsid w:val="00574595"/>
    <w:rsid w:val="005749A6"/>
    <w:rsid w:val="00574A20"/>
    <w:rsid w:val="00574A96"/>
    <w:rsid w:val="00574B15"/>
    <w:rsid w:val="00574BFC"/>
    <w:rsid w:val="00574FCA"/>
    <w:rsid w:val="005750AF"/>
    <w:rsid w:val="005751EB"/>
    <w:rsid w:val="005755DD"/>
    <w:rsid w:val="005755ED"/>
    <w:rsid w:val="005755F7"/>
    <w:rsid w:val="005758C2"/>
    <w:rsid w:val="00576072"/>
    <w:rsid w:val="00576A00"/>
    <w:rsid w:val="00576B49"/>
    <w:rsid w:val="00576D5A"/>
    <w:rsid w:val="00577100"/>
    <w:rsid w:val="00577163"/>
    <w:rsid w:val="00577354"/>
    <w:rsid w:val="005773A2"/>
    <w:rsid w:val="005774AA"/>
    <w:rsid w:val="00577505"/>
    <w:rsid w:val="0057778F"/>
    <w:rsid w:val="00577B8B"/>
    <w:rsid w:val="00580915"/>
    <w:rsid w:val="00580A0C"/>
    <w:rsid w:val="00580D22"/>
    <w:rsid w:val="005812C5"/>
    <w:rsid w:val="00581AE4"/>
    <w:rsid w:val="00581AFC"/>
    <w:rsid w:val="00581DC2"/>
    <w:rsid w:val="00581E28"/>
    <w:rsid w:val="00582312"/>
    <w:rsid w:val="00582448"/>
    <w:rsid w:val="00582504"/>
    <w:rsid w:val="00582669"/>
    <w:rsid w:val="005828F5"/>
    <w:rsid w:val="00582982"/>
    <w:rsid w:val="00582A27"/>
    <w:rsid w:val="00582F61"/>
    <w:rsid w:val="005831A1"/>
    <w:rsid w:val="00583771"/>
    <w:rsid w:val="00583954"/>
    <w:rsid w:val="00583EBC"/>
    <w:rsid w:val="00584140"/>
    <w:rsid w:val="0058431C"/>
    <w:rsid w:val="00584546"/>
    <w:rsid w:val="0058454F"/>
    <w:rsid w:val="005845BC"/>
    <w:rsid w:val="0058464E"/>
    <w:rsid w:val="005847BB"/>
    <w:rsid w:val="00584D5A"/>
    <w:rsid w:val="00584DF9"/>
    <w:rsid w:val="00585099"/>
    <w:rsid w:val="005854F1"/>
    <w:rsid w:val="00585734"/>
    <w:rsid w:val="00585A6B"/>
    <w:rsid w:val="00585A97"/>
    <w:rsid w:val="00585C02"/>
    <w:rsid w:val="00585D4F"/>
    <w:rsid w:val="00585DC0"/>
    <w:rsid w:val="00585DF4"/>
    <w:rsid w:val="00585E5A"/>
    <w:rsid w:val="00585E9F"/>
    <w:rsid w:val="00585F31"/>
    <w:rsid w:val="0058617E"/>
    <w:rsid w:val="00586234"/>
    <w:rsid w:val="005862A7"/>
    <w:rsid w:val="005862EE"/>
    <w:rsid w:val="0058647A"/>
    <w:rsid w:val="005864A0"/>
    <w:rsid w:val="0058650D"/>
    <w:rsid w:val="0058661E"/>
    <w:rsid w:val="005868B2"/>
    <w:rsid w:val="0058690D"/>
    <w:rsid w:val="00586AD1"/>
    <w:rsid w:val="00586B8D"/>
    <w:rsid w:val="00586DDF"/>
    <w:rsid w:val="0058710C"/>
    <w:rsid w:val="00587419"/>
    <w:rsid w:val="0058748C"/>
    <w:rsid w:val="005874DC"/>
    <w:rsid w:val="00587856"/>
    <w:rsid w:val="00587A91"/>
    <w:rsid w:val="00587C48"/>
    <w:rsid w:val="00587D42"/>
    <w:rsid w:val="0059007F"/>
    <w:rsid w:val="0059034E"/>
    <w:rsid w:val="0059039B"/>
    <w:rsid w:val="0059046D"/>
    <w:rsid w:val="00590683"/>
    <w:rsid w:val="00590955"/>
    <w:rsid w:val="00590B91"/>
    <w:rsid w:val="00590CB6"/>
    <w:rsid w:val="00591074"/>
    <w:rsid w:val="005910DD"/>
    <w:rsid w:val="005910F3"/>
    <w:rsid w:val="00591173"/>
    <w:rsid w:val="005913E8"/>
    <w:rsid w:val="00591D81"/>
    <w:rsid w:val="00591E65"/>
    <w:rsid w:val="005921F3"/>
    <w:rsid w:val="00592340"/>
    <w:rsid w:val="005924A7"/>
    <w:rsid w:val="0059266B"/>
    <w:rsid w:val="00592762"/>
    <w:rsid w:val="005928B9"/>
    <w:rsid w:val="00592B8C"/>
    <w:rsid w:val="00593281"/>
    <w:rsid w:val="005933F2"/>
    <w:rsid w:val="005944BB"/>
    <w:rsid w:val="0059457F"/>
    <w:rsid w:val="00594691"/>
    <w:rsid w:val="0059480E"/>
    <w:rsid w:val="00594D79"/>
    <w:rsid w:val="005950B3"/>
    <w:rsid w:val="0059544D"/>
    <w:rsid w:val="0059554E"/>
    <w:rsid w:val="00595CFE"/>
    <w:rsid w:val="00595FC0"/>
    <w:rsid w:val="00595FE3"/>
    <w:rsid w:val="00596290"/>
    <w:rsid w:val="005964B2"/>
    <w:rsid w:val="00596695"/>
    <w:rsid w:val="005969C9"/>
    <w:rsid w:val="0059747F"/>
    <w:rsid w:val="005975D2"/>
    <w:rsid w:val="005975F9"/>
    <w:rsid w:val="005977B7"/>
    <w:rsid w:val="00597813"/>
    <w:rsid w:val="00597995"/>
    <w:rsid w:val="00597AA5"/>
    <w:rsid w:val="00597E5A"/>
    <w:rsid w:val="00597E79"/>
    <w:rsid w:val="00597E7B"/>
    <w:rsid w:val="00597EDA"/>
    <w:rsid w:val="00597F4D"/>
    <w:rsid w:val="00597FC5"/>
    <w:rsid w:val="005A0085"/>
    <w:rsid w:val="005A04D7"/>
    <w:rsid w:val="005A0533"/>
    <w:rsid w:val="005A0857"/>
    <w:rsid w:val="005A08A4"/>
    <w:rsid w:val="005A0B77"/>
    <w:rsid w:val="005A0BCC"/>
    <w:rsid w:val="005A0D49"/>
    <w:rsid w:val="005A0E79"/>
    <w:rsid w:val="005A1082"/>
    <w:rsid w:val="005A1599"/>
    <w:rsid w:val="005A15B1"/>
    <w:rsid w:val="005A17E5"/>
    <w:rsid w:val="005A1ACE"/>
    <w:rsid w:val="005A1C77"/>
    <w:rsid w:val="005A1D17"/>
    <w:rsid w:val="005A1E8F"/>
    <w:rsid w:val="005A1EA0"/>
    <w:rsid w:val="005A1F90"/>
    <w:rsid w:val="005A205F"/>
    <w:rsid w:val="005A2073"/>
    <w:rsid w:val="005A2151"/>
    <w:rsid w:val="005A2289"/>
    <w:rsid w:val="005A22AB"/>
    <w:rsid w:val="005A2520"/>
    <w:rsid w:val="005A25DD"/>
    <w:rsid w:val="005A2700"/>
    <w:rsid w:val="005A2CD4"/>
    <w:rsid w:val="005A3320"/>
    <w:rsid w:val="005A3537"/>
    <w:rsid w:val="005A36AD"/>
    <w:rsid w:val="005A3B33"/>
    <w:rsid w:val="005A3C90"/>
    <w:rsid w:val="005A3E5F"/>
    <w:rsid w:val="005A4148"/>
    <w:rsid w:val="005A4725"/>
    <w:rsid w:val="005A4801"/>
    <w:rsid w:val="005A4D19"/>
    <w:rsid w:val="005A5384"/>
    <w:rsid w:val="005A53AD"/>
    <w:rsid w:val="005A5675"/>
    <w:rsid w:val="005A5A7F"/>
    <w:rsid w:val="005A5E70"/>
    <w:rsid w:val="005A5F7C"/>
    <w:rsid w:val="005A5F88"/>
    <w:rsid w:val="005A6024"/>
    <w:rsid w:val="005A6095"/>
    <w:rsid w:val="005A62A9"/>
    <w:rsid w:val="005A6799"/>
    <w:rsid w:val="005A6B13"/>
    <w:rsid w:val="005A6B4C"/>
    <w:rsid w:val="005A6D04"/>
    <w:rsid w:val="005A6D46"/>
    <w:rsid w:val="005A6DDB"/>
    <w:rsid w:val="005A6FA4"/>
    <w:rsid w:val="005A7405"/>
    <w:rsid w:val="005A77A9"/>
    <w:rsid w:val="005A7AE6"/>
    <w:rsid w:val="005A7B93"/>
    <w:rsid w:val="005B009C"/>
    <w:rsid w:val="005B0280"/>
    <w:rsid w:val="005B0332"/>
    <w:rsid w:val="005B0392"/>
    <w:rsid w:val="005B0474"/>
    <w:rsid w:val="005B0491"/>
    <w:rsid w:val="005B04F9"/>
    <w:rsid w:val="005B09E7"/>
    <w:rsid w:val="005B0FCA"/>
    <w:rsid w:val="005B1061"/>
    <w:rsid w:val="005B1303"/>
    <w:rsid w:val="005B1382"/>
    <w:rsid w:val="005B1442"/>
    <w:rsid w:val="005B1509"/>
    <w:rsid w:val="005B1720"/>
    <w:rsid w:val="005B1762"/>
    <w:rsid w:val="005B18FB"/>
    <w:rsid w:val="005B190D"/>
    <w:rsid w:val="005B218C"/>
    <w:rsid w:val="005B228C"/>
    <w:rsid w:val="005B235C"/>
    <w:rsid w:val="005B2574"/>
    <w:rsid w:val="005B2726"/>
    <w:rsid w:val="005B2A82"/>
    <w:rsid w:val="005B2D0C"/>
    <w:rsid w:val="005B2D6F"/>
    <w:rsid w:val="005B2D9B"/>
    <w:rsid w:val="005B2F01"/>
    <w:rsid w:val="005B3188"/>
    <w:rsid w:val="005B357B"/>
    <w:rsid w:val="005B37D7"/>
    <w:rsid w:val="005B39ED"/>
    <w:rsid w:val="005B3A64"/>
    <w:rsid w:val="005B3B49"/>
    <w:rsid w:val="005B3FBE"/>
    <w:rsid w:val="005B4266"/>
    <w:rsid w:val="005B4394"/>
    <w:rsid w:val="005B4434"/>
    <w:rsid w:val="005B46D7"/>
    <w:rsid w:val="005B488D"/>
    <w:rsid w:val="005B4A49"/>
    <w:rsid w:val="005B4A6F"/>
    <w:rsid w:val="005B54DF"/>
    <w:rsid w:val="005B5555"/>
    <w:rsid w:val="005B5750"/>
    <w:rsid w:val="005B5833"/>
    <w:rsid w:val="005B5869"/>
    <w:rsid w:val="005B5B28"/>
    <w:rsid w:val="005B5F7A"/>
    <w:rsid w:val="005B613B"/>
    <w:rsid w:val="005B61BE"/>
    <w:rsid w:val="005B639B"/>
    <w:rsid w:val="005B641B"/>
    <w:rsid w:val="005B656C"/>
    <w:rsid w:val="005B66C6"/>
    <w:rsid w:val="005B67DB"/>
    <w:rsid w:val="005B6A33"/>
    <w:rsid w:val="005B6C4F"/>
    <w:rsid w:val="005B7249"/>
    <w:rsid w:val="005B731C"/>
    <w:rsid w:val="005B749B"/>
    <w:rsid w:val="005B75B8"/>
    <w:rsid w:val="005B7994"/>
    <w:rsid w:val="005B7A49"/>
    <w:rsid w:val="005B7BB0"/>
    <w:rsid w:val="005B7CEE"/>
    <w:rsid w:val="005C0153"/>
    <w:rsid w:val="005C020F"/>
    <w:rsid w:val="005C05B8"/>
    <w:rsid w:val="005C09F8"/>
    <w:rsid w:val="005C123B"/>
    <w:rsid w:val="005C147E"/>
    <w:rsid w:val="005C1711"/>
    <w:rsid w:val="005C1D76"/>
    <w:rsid w:val="005C21FD"/>
    <w:rsid w:val="005C241C"/>
    <w:rsid w:val="005C28A4"/>
    <w:rsid w:val="005C300A"/>
    <w:rsid w:val="005C336C"/>
    <w:rsid w:val="005C3533"/>
    <w:rsid w:val="005C358F"/>
    <w:rsid w:val="005C3826"/>
    <w:rsid w:val="005C39B7"/>
    <w:rsid w:val="005C3BDE"/>
    <w:rsid w:val="005C3C6D"/>
    <w:rsid w:val="005C4199"/>
    <w:rsid w:val="005C4474"/>
    <w:rsid w:val="005C46DF"/>
    <w:rsid w:val="005C4C93"/>
    <w:rsid w:val="005C5198"/>
    <w:rsid w:val="005C5582"/>
    <w:rsid w:val="005C5599"/>
    <w:rsid w:val="005C5644"/>
    <w:rsid w:val="005C58A0"/>
    <w:rsid w:val="005C59C6"/>
    <w:rsid w:val="005C6048"/>
    <w:rsid w:val="005C6E9C"/>
    <w:rsid w:val="005C6F92"/>
    <w:rsid w:val="005C7005"/>
    <w:rsid w:val="005C7238"/>
    <w:rsid w:val="005C7400"/>
    <w:rsid w:val="005C7803"/>
    <w:rsid w:val="005C7A66"/>
    <w:rsid w:val="005C7C1F"/>
    <w:rsid w:val="005C7CBF"/>
    <w:rsid w:val="005C7D65"/>
    <w:rsid w:val="005D000A"/>
    <w:rsid w:val="005D0055"/>
    <w:rsid w:val="005D0285"/>
    <w:rsid w:val="005D0491"/>
    <w:rsid w:val="005D0535"/>
    <w:rsid w:val="005D05B6"/>
    <w:rsid w:val="005D06B1"/>
    <w:rsid w:val="005D07FF"/>
    <w:rsid w:val="005D0937"/>
    <w:rsid w:val="005D0B85"/>
    <w:rsid w:val="005D114B"/>
    <w:rsid w:val="005D13A9"/>
    <w:rsid w:val="005D1761"/>
    <w:rsid w:val="005D1935"/>
    <w:rsid w:val="005D1C51"/>
    <w:rsid w:val="005D2505"/>
    <w:rsid w:val="005D257B"/>
    <w:rsid w:val="005D2592"/>
    <w:rsid w:val="005D277C"/>
    <w:rsid w:val="005D27DC"/>
    <w:rsid w:val="005D2AD5"/>
    <w:rsid w:val="005D2B51"/>
    <w:rsid w:val="005D36D5"/>
    <w:rsid w:val="005D3A35"/>
    <w:rsid w:val="005D3BB5"/>
    <w:rsid w:val="005D3EE5"/>
    <w:rsid w:val="005D3F92"/>
    <w:rsid w:val="005D42A1"/>
    <w:rsid w:val="005D4517"/>
    <w:rsid w:val="005D46BD"/>
    <w:rsid w:val="005D47A8"/>
    <w:rsid w:val="005D495E"/>
    <w:rsid w:val="005D4A66"/>
    <w:rsid w:val="005D4A91"/>
    <w:rsid w:val="005D512B"/>
    <w:rsid w:val="005D523A"/>
    <w:rsid w:val="005D55FC"/>
    <w:rsid w:val="005D5896"/>
    <w:rsid w:val="005D5937"/>
    <w:rsid w:val="005D5B74"/>
    <w:rsid w:val="005D5BAE"/>
    <w:rsid w:val="005D6168"/>
    <w:rsid w:val="005D6229"/>
    <w:rsid w:val="005D66A3"/>
    <w:rsid w:val="005D69FF"/>
    <w:rsid w:val="005D6B8A"/>
    <w:rsid w:val="005D70E3"/>
    <w:rsid w:val="005D7BB8"/>
    <w:rsid w:val="005D7C37"/>
    <w:rsid w:val="005D7C4A"/>
    <w:rsid w:val="005D7CDF"/>
    <w:rsid w:val="005E036B"/>
    <w:rsid w:val="005E0454"/>
    <w:rsid w:val="005E081F"/>
    <w:rsid w:val="005E101F"/>
    <w:rsid w:val="005E1329"/>
    <w:rsid w:val="005E15CA"/>
    <w:rsid w:val="005E18A5"/>
    <w:rsid w:val="005E1B58"/>
    <w:rsid w:val="005E1D1D"/>
    <w:rsid w:val="005E1F13"/>
    <w:rsid w:val="005E2175"/>
    <w:rsid w:val="005E21E5"/>
    <w:rsid w:val="005E2568"/>
    <w:rsid w:val="005E2597"/>
    <w:rsid w:val="005E25B1"/>
    <w:rsid w:val="005E26D6"/>
    <w:rsid w:val="005E2A17"/>
    <w:rsid w:val="005E2A76"/>
    <w:rsid w:val="005E2ACC"/>
    <w:rsid w:val="005E2FF8"/>
    <w:rsid w:val="005E3122"/>
    <w:rsid w:val="005E3ADA"/>
    <w:rsid w:val="005E3C3C"/>
    <w:rsid w:val="005E3CB5"/>
    <w:rsid w:val="005E405E"/>
    <w:rsid w:val="005E40CC"/>
    <w:rsid w:val="005E45A9"/>
    <w:rsid w:val="005E4B99"/>
    <w:rsid w:val="005E4C85"/>
    <w:rsid w:val="005E4C8A"/>
    <w:rsid w:val="005E50DA"/>
    <w:rsid w:val="005E5485"/>
    <w:rsid w:val="005E57DC"/>
    <w:rsid w:val="005E59EC"/>
    <w:rsid w:val="005E5BE9"/>
    <w:rsid w:val="005E62DD"/>
    <w:rsid w:val="005E65D0"/>
    <w:rsid w:val="005E673A"/>
    <w:rsid w:val="005E679A"/>
    <w:rsid w:val="005E6904"/>
    <w:rsid w:val="005E69A2"/>
    <w:rsid w:val="005E6D9B"/>
    <w:rsid w:val="005E73C1"/>
    <w:rsid w:val="005E7682"/>
    <w:rsid w:val="005E7FA5"/>
    <w:rsid w:val="005F0000"/>
    <w:rsid w:val="005F0336"/>
    <w:rsid w:val="005F0661"/>
    <w:rsid w:val="005F08DA"/>
    <w:rsid w:val="005F09D4"/>
    <w:rsid w:val="005F0BC5"/>
    <w:rsid w:val="005F0C14"/>
    <w:rsid w:val="005F0E43"/>
    <w:rsid w:val="005F0EC9"/>
    <w:rsid w:val="005F11D7"/>
    <w:rsid w:val="005F17C2"/>
    <w:rsid w:val="005F1C27"/>
    <w:rsid w:val="005F2170"/>
    <w:rsid w:val="005F282C"/>
    <w:rsid w:val="005F2A8F"/>
    <w:rsid w:val="005F2C47"/>
    <w:rsid w:val="005F2CE4"/>
    <w:rsid w:val="005F30A7"/>
    <w:rsid w:val="005F321C"/>
    <w:rsid w:val="005F3259"/>
    <w:rsid w:val="005F32D7"/>
    <w:rsid w:val="005F3623"/>
    <w:rsid w:val="005F36C9"/>
    <w:rsid w:val="005F383B"/>
    <w:rsid w:val="005F38F0"/>
    <w:rsid w:val="005F3A5C"/>
    <w:rsid w:val="005F3BBF"/>
    <w:rsid w:val="005F3E46"/>
    <w:rsid w:val="005F4023"/>
    <w:rsid w:val="005F40B2"/>
    <w:rsid w:val="005F4141"/>
    <w:rsid w:val="005F4273"/>
    <w:rsid w:val="005F4284"/>
    <w:rsid w:val="005F4727"/>
    <w:rsid w:val="005F4872"/>
    <w:rsid w:val="005F4CAD"/>
    <w:rsid w:val="005F4F7E"/>
    <w:rsid w:val="005F4FE3"/>
    <w:rsid w:val="005F5230"/>
    <w:rsid w:val="005F5E1F"/>
    <w:rsid w:val="005F5F0C"/>
    <w:rsid w:val="005F5F70"/>
    <w:rsid w:val="005F608C"/>
    <w:rsid w:val="005F6244"/>
    <w:rsid w:val="005F6669"/>
    <w:rsid w:val="005F66DA"/>
    <w:rsid w:val="005F6742"/>
    <w:rsid w:val="005F69DE"/>
    <w:rsid w:val="005F6ED5"/>
    <w:rsid w:val="005F740B"/>
    <w:rsid w:val="005F7445"/>
    <w:rsid w:val="005F7815"/>
    <w:rsid w:val="005F7AD9"/>
    <w:rsid w:val="005F7F22"/>
    <w:rsid w:val="00600182"/>
    <w:rsid w:val="00600204"/>
    <w:rsid w:val="00600354"/>
    <w:rsid w:val="006003BA"/>
    <w:rsid w:val="0060068A"/>
    <w:rsid w:val="00600859"/>
    <w:rsid w:val="00600AC7"/>
    <w:rsid w:val="00600C06"/>
    <w:rsid w:val="00600E21"/>
    <w:rsid w:val="00600E2D"/>
    <w:rsid w:val="00601017"/>
    <w:rsid w:val="0060110A"/>
    <w:rsid w:val="006011D4"/>
    <w:rsid w:val="00601654"/>
    <w:rsid w:val="0060181F"/>
    <w:rsid w:val="006018E1"/>
    <w:rsid w:val="006019B9"/>
    <w:rsid w:val="00601B3F"/>
    <w:rsid w:val="00601E26"/>
    <w:rsid w:val="00601F83"/>
    <w:rsid w:val="00602624"/>
    <w:rsid w:val="00602751"/>
    <w:rsid w:val="006027FD"/>
    <w:rsid w:val="00602A03"/>
    <w:rsid w:val="00602B55"/>
    <w:rsid w:val="00603022"/>
    <w:rsid w:val="006033A0"/>
    <w:rsid w:val="006033A6"/>
    <w:rsid w:val="006033D4"/>
    <w:rsid w:val="00603616"/>
    <w:rsid w:val="00603A75"/>
    <w:rsid w:val="00603B45"/>
    <w:rsid w:val="00603C74"/>
    <w:rsid w:val="006043F8"/>
    <w:rsid w:val="0060465D"/>
    <w:rsid w:val="0060469D"/>
    <w:rsid w:val="00604A6F"/>
    <w:rsid w:val="00604CE8"/>
    <w:rsid w:val="00604E71"/>
    <w:rsid w:val="006052A8"/>
    <w:rsid w:val="006056F7"/>
    <w:rsid w:val="006058CD"/>
    <w:rsid w:val="0060599D"/>
    <w:rsid w:val="006062EA"/>
    <w:rsid w:val="00606338"/>
    <w:rsid w:val="006065DB"/>
    <w:rsid w:val="0060697D"/>
    <w:rsid w:val="00606B0C"/>
    <w:rsid w:val="00606E62"/>
    <w:rsid w:val="0060718C"/>
    <w:rsid w:val="006072C8"/>
    <w:rsid w:val="0060767E"/>
    <w:rsid w:val="00607741"/>
    <w:rsid w:val="00607CED"/>
    <w:rsid w:val="00607DCD"/>
    <w:rsid w:val="00607E16"/>
    <w:rsid w:val="00607FA3"/>
    <w:rsid w:val="00610004"/>
    <w:rsid w:val="006102D1"/>
    <w:rsid w:val="006102D2"/>
    <w:rsid w:val="00610726"/>
    <w:rsid w:val="00610C35"/>
    <w:rsid w:val="00610CE3"/>
    <w:rsid w:val="00610DB7"/>
    <w:rsid w:val="00610F1C"/>
    <w:rsid w:val="00610FE3"/>
    <w:rsid w:val="006112C8"/>
    <w:rsid w:val="0061183A"/>
    <w:rsid w:val="006119D5"/>
    <w:rsid w:val="00611BA8"/>
    <w:rsid w:val="006125DB"/>
    <w:rsid w:val="00612625"/>
    <w:rsid w:val="0061267B"/>
    <w:rsid w:val="006127A6"/>
    <w:rsid w:val="00612845"/>
    <w:rsid w:val="00612846"/>
    <w:rsid w:val="00612A72"/>
    <w:rsid w:val="00612A79"/>
    <w:rsid w:val="00612FB1"/>
    <w:rsid w:val="006133F8"/>
    <w:rsid w:val="00613511"/>
    <w:rsid w:val="00613605"/>
    <w:rsid w:val="006136FD"/>
    <w:rsid w:val="006138D8"/>
    <w:rsid w:val="006139CB"/>
    <w:rsid w:val="00613E51"/>
    <w:rsid w:val="00613EBA"/>
    <w:rsid w:val="00613EDE"/>
    <w:rsid w:val="0061409D"/>
    <w:rsid w:val="0061446D"/>
    <w:rsid w:val="0061451E"/>
    <w:rsid w:val="006146E4"/>
    <w:rsid w:val="0061497A"/>
    <w:rsid w:val="00614A75"/>
    <w:rsid w:val="00614B7D"/>
    <w:rsid w:val="00614D0B"/>
    <w:rsid w:val="00614DAF"/>
    <w:rsid w:val="00614F36"/>
    <w:rsid w:val="00614FE1"/>
    <w:rsid w:val="0061505B"/>
    <w:rsid w:val="0061539C"/>
    <w:rsid w:val="00615424"/>
    <w:rsid w:val="00615471"/>
    <w:rsid w:val="0061547F"/>
    <w:rsid w:val="0061588C"/>
    <w:rsid w:val="00615C10"/>
    <w:rsid w:val="00615C74"/>
    <w:rsid w:val="00615E30"/>
    <w:rsid w:val="00615F48"/>
    <w:rsid w:val="00616038"/>
    <w:rsid w:val="0061641B"/>
    <w:rsid w:val="006164CE"/>
    <w:rsid w:val="00616732"/>
    <w:rsid w:val="006169BB"/>
    <w:rsid w:val="00616BE1"/>
    <w:rsid w:val="00617197"/>
    <w:rsid w:val="00617258"/>
    <w:rsid w:val="0061750E"/>
    <w:rsid w:val="006176E8"/>
    <w:rsid w:val="00617B81"/>
    <w:rsid w:val="00617C2D"/>
    <w:rsid w:val="00617C63"/>
    <w:rsid w:val="00617D5C"/>
    <w:rsid w:val="00617E24"/>
    <w:rsid w:val="00617E6F"/>
    <w:rsid w:val="00617EAB"/>
    <w:rsid w:val="00617EC4"/>
    <w:rsid w:val="0062011F"/>
    <w:rsid w:val="00620171"/>
    <w:rsid w:val="0062045E"/>
    <w:rsid w:val="006204EE"/>
    <w:rsid w:val="006205A9"/>
    <w:rsid w:val="00620666"/>
    <w:rsid w:val="006207E2"/>
    <w:rsid w:val="00620A65"/>
    <w:rsid w:val="00620CFE"/>
    <w:rsid w:val="00620F55"/>
    <w:rsid w:val="00621549"/>
    <w:rsid w:val="006216E0"/>
    <w:rsid w:val="006218B7"/>
    <w:rsid w:val="00621A74"/>
    <w:rsid w:val="00621D04"/>
    <w:rsid w:val="00622013"/>
    <w:rsid w:val="006220DB"/>
    <w:rsid w:val="00622543"/>
    <w:rsid w:val="006227D6"/>
    <w:rsid w:val="0062281C"/>
    <w:rsid w:val="00622901"/>
    <w:rsid w:val="00622985"/>
    <w:rsid w:val="00622D03"/>
    <w:rsid w:val="00622DC5"/>
    <w:rsid w:val="00622FEC"/>
    <w:rsid w:val="0062328B"/>
    <w:rsid w:val="006233AB"/>
    <w:rsid w:val="0062349F"/>
    <w:rsid w:val="00623503"/>
    <w:rsid w:val="006235D2"/>
    <w:rsid w:val="00623B40"/>
    <w:rsid w:val="00623BAB"/>
    <w:rsid w:val="00623E54"/>
    <w:rsid w:val="00624084"/>
    <w:rsid w:val="006249A4"/>
    <w:rsid w:val="00624E34"/>
    <w:rsid w:val="006251FB"/>
    <w:rsid w:val="006252A5"/>
    <w:rsid w:val="0062548D"/>
    <w:rsid w:val="00625684"/>
    <w:rsid w:val="006259D6"/>
    <w:rsid w:val="00625DEB"/>
    <w:rsid w:val="00625E69"/>
    <w:rsid w:val="00626025"/>
    <w:rsid w:val="006267F4"/>
    <w:rsid w:val="00626943"/>
    <w:rsid w:val="00626A62"/>
    <w:rsid w:val="00626CA9"/>
    <w:rsid w:val="00626D7C"/>
    <w:rsid w:val="00626DF6"/>
    <w:rsid w:val="006273B7"/>
    <w:rsid w:val="006274D8"/>
    <w:rsid w:val="00627803"/>
    <w:rsid w:val="00627853"/>
    <w:rsid w:val="006278AC"/>
    <w:rsid w:val="006279B3"/>
    <w:rsid w:val="00627A96"/>
    <w:rsid w:val="00627C62"/>
    <w:rsid w:val="00627C6B"/>
    <w:rsid w:val="006303CD"/>
    <w:rsid w:val="00630646"/>
    <w:rsid w:val="0063088C"/>
    <w:rsid w:val="00630CB5"/>
    <w:rsid w:val="00630DE6"/>
    <w:rsid w:val="00630E28"/>
    <w:rsid w:val="0063112D"/>
    <w:rsid w:val="00631258"/>
    <w:rsid w:val="0063161E"/>
    <w:rsid w:val="0063170A"/>
    <w:rsid w:val="0063173B"/>
    <w:rsid w:val="006318CB"/>
    <w:rsid w:val="00631A5F"/>
    <w:rsid w:val="00631E8B"/>
    <w:rsid w:val="00631F14"/>
    <w:rsid w:val="00632087"/>
    <w:rsid w:val="00632180"/>
    <w:rsid w:val="0063234E"/>
    <w:rsid w:val="00632509"/>
    <w:rsid w:val="0063256C"/>
    <w:rsid w:val="00632904"/>
    <w:rsid w:val="00632CCB"/>
    <w:rsid w:val="00633076"/>
    <w:rsid w:val="0063309F"/>
    <w:rsid w:val="00633388"/>
    <w:rsid w:val="0063356B"/>
    <w:rsid w:val="00633742"/>
    <w:rsid w:val="006337DA"/>
    <w:rsid w:val="00633A82"/>
    <w:rsid w:val="00633B74"/>
    <w:rsid w:val="00633BB2"/>
    <w:rsid w:val="00633CC6"/>
    <w:rsid w:val="00634053"/>
    <w:rsid w:val="00634246"/>
    <w:rsid w:val="006342B4"/>
    <w:rsid w:val="00634672"/>
    <w:rsid w:val="006347D0"/>
    <w:rsid w:val="00634EE7"/>
    <w:rsid w:val="00634FF0"/>
    <w:rsid w:val="00635136"/>
    <w:rsid w:val="00635A32"/>
    <w:rsid w:val="00635C04"/>
    <w:rsid w:val="00635D8E"/>
    <w:rsid w:val="00635FB0"/>
    <w:rsid w:val="00636144"/>
    <w:rsid w:val="0063641D"/>
    <w:rsid w:val="006365CE"/>
    <w:rsid w:val="006367FF"/>
    <w:rsid w:val="00636857"/>
    <w:rsid w:val="006368B6"/>
    <w:rsid w:val="00636A9C"/>
    <w:rsid w:val="00636C88"/>
    <w:rsid w:val="006371F6"/>
    <w:rsid w:val="006376FE"/>
    <w:rsid w:val="006378E8"/>
    <w:rsid w:val="00637F39"/>
    <w:rsid w:val="00637F5A"/>
    <w:rsid w:val="00640186"/>
    <w:rsid w:val="006402F4"/>
    <w:rsid w:val="006404CA"/>
    <w:rsid w:val="00640A74"/>
    <w:rsid w:val="00640BAC"/>
    <w:rsid w:val="006411E4"/>
    <w:rsid w:val="00641527"/>
    <w:rsid w:val="00641714"/>
    <w:rsid w:val="006418D4"/>
    <w:rsid w:val="00641A77"/>
    <w:rsid w:val="0064204D"/>
    <w:rsid w:val="006421B7"/>
    <w:rsid w:val="006421CA"/>
    <w:rsid w:val="00642381"/>
    <w:rsid w:val="00642475"/>
    <w:rsid w:val="006428C0"/>
    <w:rsid w:val="006429E1"/>
    <w:rsid w:val="00642EDF"/>
    <w:rsid w:val="00643244"/>
    <w:rsid w:val="006432D1"/>
    <w:rsid w:val="006434BB"/>
    <w:rsid w:val="006435BF"/>
    <w:rsid w:val="006436BD"/>
    <w:rsid w:val="00643AC9"/>
    <w:rsid w:val="00643F26"/>
    <w:rsid w:val="00643FFD"/>
    <w:rsid w:val="00644190"/>
    <w:rsid w:val="00644251"/>
    <w:rsid w:val="00644519"/>
    <w:rsid w:val="006448A1"/>
    <w:rsid w:val="00644D01"/>
    <w:rsid w:val="00644E14"/>
    <w:rsid w:val="00644EA2"/>
    <w:rsid w:val="006455E9"/>
    <w:rsid w:val="00645682"/>
    <w:rsid w:val="006456E7"/>
    <w:rsid w:val="00645C00"/>
    <w:rsid w:val="00645C7B"/>
    <w:rsid w:val="00645C91"/>
    <w:rsid w:val="00645CCB"/>
    <w:rsid w:val="00646109"/>
    <w:rsid w:val="0064687F"/>
    <w:rsid w:val="00646AE1"/>
    <w:rsid w:val="00646D98"/>
    <w:rsid w:val="00646F0E"/>
    <w:rsid w:val="00647046"/>
    <w:rsid w:val="00647295"/>
    <w:rsid w:val="006472FE"/>
    <w:rsid w:val="006473B6"/>
    <w:rsid w:val="006478CD"/>
    <w:rsid w:val="00647A31"/>
    <w:rsid w:val="00647B79"/>
    <w:rsid w:val="00647E1D"/>
    <w:rsid w:val="00650011"/>
    <w:rsid w:val="00650362"/>
    <w:rsid w:val="0065036F"/>
    <w:rsid w:val="00650464"/>
    <w:rsid w:val="006504D5"/>
    <w:rsid w:val="0065056E"/>
    <w:rsid w:val="0065076A"/>
    <w:rsid w:val="00650B5C"/>
    <w:rsid w:val="00650D40"/>
    <w:rsid w:val="0065125B"/>
    <w:rsid w:val="0065171F"/>
    <w:rsid w:val="00651A60"/>
    <w:rsid w:val="00651BAB"/>
    <w:rsid w:val="00651DF1"/>
    <w:rsid w:val="00651EE0"/>
    <w:rsid w:val="006523B4"/>
    <w:rsid w:val="00652495"/>
    <w:rsid w:val="006524A3"/>
    <w:rsid w:val="006525B5"/>
    <w:rsid w:val="0065265C"/>
    <w:rsid w:val="006528CF"/>
    <w:rsid w:val="00652A5B"/>
    <w:rsid w:val="00652B94"/>
    <w:rsid w:val="00652DB6"/>
    <w:rsid w:val="0065319D"/>
    <w:rsid w:val="0065331C"/>
    <w:rsid w:val="0065362E"/>
    <w:rsid w:val="00653864"/>
    <w:rsid w:val="00653A06"/>
    <w:rsid w:val="00653CDE"/>
    <w:rsid w:val="00653DD6"/>
    <w:rsid w:val="00653EFF"/>
    <w:rsid w:val="006541E7"/>
    <w:rsid w:val="00654203"/>
    <w:rsid w:val="00654424"/>
    <w:rsid w:val="006544A3"/>
    <w:rsid w:val="00654558"/>
    <w:rsid w:val="0065456A"/>
    <w:rsid w:val="006545BF"/>
    <w:rsid w:val="0065476F"/>
    <w:rsid w:val="00654894"/>
    <w:rsid w:val="00654B19"/>
    <w:rsid w:val="00654EB5"/>
    <w:rsid w:val="00655179"/>
    <w:rsid w:val="00655641"/>
    <w:rsid w:val="00655714"/>
    <w:rsid w:val="00655E5C"/>
    <w:rsid w:val="006561D6"/>
    <w:rsid w:val="006564F1"/>
    <w:rsid w:val="0065687A"/>
    <w:rsid w:val="00656B3A"/>
    <w:rsid w:val="00656CB5"/>
    <w:rsid w:val="00656F5D"/>
    <w:rsid w:val="006572EA"/>
    <w:rsid w:val="0065770A"/>
    <w:rsid w:val="00657804"/>
    <w:rsid w:val="00657838"/>
    <w:rsid w:val="00657969"/>
    <w:rsid w:val="00657A75"/>
    <w:rsid w:val="00657B44"/>
    <w:rsid w:val="00657E30"/>
    <w:rsid w:val="00660034"/>
    <w:rsid w:val="0066018F"/>
    <w:rsid w:val="006602AB"/>
    <w:rsid w:val="006605CB"/>
    <w:rsid w:val="00660866"/>
    <w:rsid w:val="00660871"/>
    <w:rsid w:val="00660995"/>
    <w:rsid w:val="00660A80"/>
    <w:rsid w:val="00660C97"/>
    <w:rsid w:val="00660F94"/>
    <w:rsid w:val="00660FF4"/>
    <w:rsid w:val="006615A3"/>
    <w:rsid w:val="006616B7"/>
    <w:rsid w:val="00661747"/>
    <w:rsid w:val="006617A0"/>
    <w:rsid w:val="00661893"/>
    <w:rsid w:val="00661D27"/>
    <w:rsid w:val="00661D36"/>
    <w:rsid w:val="00661E8A"/>
    <w:rsid w:val="00662FD8"/>
    <w:rsid w:val="00663702"/>
    <w:rsid w:val="0066385A"/>
    <w:rsid w:val="00663D26"/>
    <w:rsid w:val="00664095"/>
    <w:rsid w:val="006640BD"/>
    <w:rsid w:val="006643FA"/>
    <w:rsid w:val="006644CB"/>
    <w:rsid w:val="0066460C"/>
    <w:rsid w:val="006646BE"/>
    <w:rsid w:val="0066498D"/>
    <w:rsid w:val="00664EE4"/>
    <w:rsid w:val="0066502B"/>
    <w:rsid w:val="00665356"/>
    <w:rsid w:val="0066567B"/>
    <w:rsid w:val="006656F5"/>
    <w:rsid w:val="00665772"/>
    <w:rsid w:val="00665D57"/>
    <w:rsid w:val="00665F7D"/>
    <w:rsid w:val="00666069"/>
    <w:rsid w:val="00666187"/>
    <w:rsid w:val="006663FF"/>
    <w:rsid w:val="00666735"/>
    <w:rsid w:val="006667B4"/>
    <w:rsid w:val="00666919"/>
    <w:rsid w:val="00666CC6"/>
    <w:rsid w:val="00666F67"/>
    <w:rsid w:val="00667070"/>
    <w:rsid w:val="006670EE"/>
    <w:rsid w:val="0066717D"/>
    <w:rsid w:val="006673F8"/>
    <w:rsid w:val="00667746"/>
    <w:rsid w:val="0066774D"/>
    <w:rsid w:val="00667856"/>
    <w:rsid w:val="006678C1"/>
    <w:rsid w:val="0066798C"/>
    <w:rsid w:val="00667A43"/>
    <w:rsid w:val="00667B24"/>
    <w:rsid w:val="00667B97"/>
    <w:rsid w:val="00667B9D"/>
    <w:rsid w:val="0067007F"/>
    <w:rsid w:val="00670146"/>
    <w:rsid w:val="00670272"/>
    <w:rsid w:val="00670280"/>
    <w:rsid w:val="006709DD"/>
    <w:rsid w:val="00670C6A"/>
    <w:rsid w:val="00670E94"/>
    <w:rsid w:val="0067109E"/>
    <w:rsid w:val="006713D3"/>
    <w:rsid w:val="00671684"/>
    <w:rsid w:val="0067193D"/>
    <w:rsid w:val="006719BE"/>
    <w:rsid w:val="00671A85"/>
    <w:rsid w:val="00671AF7"/>
    <w:rsid w:val="00671C8B"/>
    <w:rsid w:val="00672241"/>
    <w:rsid w:val="006723BF"/>
    <w:rsid w:val="00672415"/>
    <w:rsid w:val="0067245D"/>
    <w:rsid w:val="0067257E"/>
    <w:rsid w:val="00672A24"/>
    <w:rsid w:val="00672A32"/>
    <w:rsid w:val="00672CA5"/>
    <w:rsid w:val="0067308E"/>
    <w:rsid w:val="006730D3"/>
    <w:rsid w:val="00673AC7"/>
    <w:rsid w:val="00673B3E"/>
    <w:rsid w:val="00673C66"/>
    <w:rsid w:val="00673EB3"/>
    <w:rsid w:val="00673EF2"/>
    <w:rsid w:val="00674185"/>
    <w:rsid w:val="006741CE"/>
    <w:rsid w:val="0067420D"/>
    <w:rsid w:val="006743ED"/>
    <w:rsid w:val="00674448"/>
    <w:rsid w:val="0067469B"/>
    <w:rsid w:val="006747C1"/>
    <w:rsid w:val="00674F8B"/>
    <w:rsid w:val="00675030"/>
    <w:rsid w:val="00675138"/>
    <w:rsid w:val="006752C9"/>
    <w:rsid w:val="006752E4"/>
    <w:rsid w:val="006757DF"/>
    <w:rsid w:val="00675B70"/>
    <w:rsid w:val="00675B71"/>
    <w:rsid w:val="00675EF9"/>
    <w:rsid w:val="00675FAC"/>
    <w:rsid w:val="006760EE"/>
    <w:rsid w:val="006762DC"/>
    <w:rsid w:val="006763D4"/>
    <w:rsid w:val="006764DD"/>
    <w:rsid w:val="0067695F"/>
    <w:rsid w:val="006769C0"/>
    <w:rsid w:val="006769D2"/>
    <w:rsid w:val="00676E69"/>
    <w:rsid w:val="00676E98"/>
    <w:rsid w:val="00677436"/>
    <w:rsid w:val="00677469"/>
    <w:rsid w:val="0067771B"/>
    <w:rsid w:val="006777A9"/>
    <w:rsid w:val="006779F5"/>
    <w:rsid w:val="00677DAE"/>
    <w:rsid w:val="00680262"/>
    <w:rsid w:val="00680404"/>
    <w:rsid w:val="006804C3"/>
    <w:rsid w:val="006805BA"/>
    <w:rsid w:val="00680938"/>
    <w:rsid w:val="006810FA"/>
    <w:rsid w:val="00681BCE"/>
    <w:rsid w:val="006821DB"/>
    <w:rsid w:val="00682430"/>
    <w:rsid w:val="006826C6"/>
    <w:rsid w:val="00682715"/>
    <w:rsid w:val="00682895"/>
    <w:rsid w:val="00682960"/>
    <w:rsid w:val="0068298F"/>
    <w:rsid w:val="00682CAD"/>
    <w:rsid w:val="00682DCD"/>
    <w:rsid w:val="00682F20"/>
    <w:rsid w:val="00682FCF"/>
    <w:rsid w:val="006832AC"/>
    <w:rsid w:val="006832B2"/>
    <w:rsid w:val="0068339D"/>
    <w:rsid w:val="0068348C"/>
    <w:rsid w:val="0068353F"/>
    <w:rsid w:val="0068361F"/>
    <w:rsid w:val="006836CD"/>
    <w:rsid w:val="00683C2F"/>
    <w:rsid w:val="00683C90"/>
    <w:rsid w:val="00683D18"/>
    <w:rsid w:val="00683E11"/>
    <w:rsid w:val="0068429B"/>
    <w:rsid w:val="006842CB"/>
    <w:rsid w:val="006844A0"/>
    <w:rsid w:val="006845AF"/>
    <w:rsid w:val="0068477C"/>
    <w:rsid w:val="00684B25"/>
    <w:rsid w:val="00684B69"/>
    <w:rsid w:val="00684FCC"/>
    <w:rsid w:val="00685032"/>
    <w:rsid w:val="00685092"/>
    <w:rsid w:val="00685241"/>
    <w:rsid w:val="0068541F"/>
    <w:rsid w:val="006855E3"/>
    <w:rsid w:val="00685669"/>
    <w:rsid w:val="006856B1"/>
    <w:rsid w:val="006859DD"/>
    <w:rsid w:val="00685A13"/>
    <w:rsid w:val="00685B49"/>
    <w:rsid w:val="00685C0D"/>
    <w:rsid w:val="00685DB2"/>
    <w:rsid w:val="0068687B"/>
    <w:rsid w:val="006868A8"/>
    <w:rsid w:val="006869B2"/>
    <w:rsid w:val="00686B06"/>
    <w:rsid w:val="00686D20"/>
    <w:rsid w:val="00686D30"/>
    <w:rsid w:val="00686FE2"/>
    <w:rsid w:val="00687284"/>
    <w:rsid w:val="006874CD"/>
    <w:rsid w:val="006876F6"/>
    <w:rsid w:val="00687A0D"/>
    <w:rsid w:val="00687A73"/>
    <w:rsid w:val="00690173"/>
    <w:rsid w:val="0069030B"/>
    <w:rsid w:val="0069068A"/>
    <w:rsid w:val="006909EA"/>
    <w:rsid w:val="00690CE6"/>
    <w:rsid w:val="00690D24"/>
    <w:rsid w:val="00690DAF"/>
    <w:rsid w:val="00690E03"/>
    <w:rsid w:val="006911D6"/>
    <w:rsid w:val="006911EC"/>
    <w:rsid w:val="006913A0"/>
    <w:rsid w:val="006915CF"/>
    <w:rsid w:val="0069188B"/>
    <w:rsid w:val="006919A8"/>
    <w:rsid w:val="00691AB4"/>
    <w:rsid w:val="00691B6B"/>
    <w:rsid w:val="00692214"/>
    <w:rsid w:val="006922E9"/>
    <w:rsid w:val="00692407"/>
    <w:rsid w:val="0069286C"/>
    <w:rsid w:val="00692937"/>
    <w:rsid w:val="00692AB6"/>
    <w:rsid w:val="00692C75"/>
    <w:rsid w:val="00692ECC"/>
    <w:rsid w:val="00692ED0"/>
    <w:rsid w:val="00692FB9"/>
    <w:rsid w:val="00693047"/>
    <w:rsid w:val="006931A6"/>
    <w:rsid w:val="006931EE"/>
    <w:rsid w:val="006933FA"/>
    <w:rsid w:val="006934C7"/>
    <w:rsid w:val="00693508"/>
    <w:rsid w:val="0069358E"/>
    <w:rsid w:val="00693752"/>
    <w:rsid w:val="006937BF"/>
    <w:rsid w:val="00693993"/>
    <w:rsid w:val="00694370"/>
    <w:rsid w:val="006944F0"/>
    <w:rsid w:val="00694510"/>
    <w:rsid w:val="006946FF"/>
    <w:rsid w:val="00694C10"/>
    <w:rsid w:val="006952FC"/>
    <w:rsid w:val="00695481"/>
    <w:rsid w:val="006957A6"/>
    <w:rsid w:val="0069600C"/>
    <w:rsid w:val="0069637C"/>
    <w:rsid w:val="0069664B"/>
    <w:rsid w:val="00696913"/>
    <w:rsid w:val="006969C8"/>
    <w:rsid w:val="00696A9B"/>
    <w:rsid w:val="00696DB9"/>
    <w:rsid w:val="00696DEE"/>
    <w:rsid w:val="00696E01"/>
    <w:rsid w:val="00696E53"/>
    <w:rsid w:val="006970F1"/>
    <w:rsid w:val="006973C4"/>
    <w:rsid w:val="0069754E"/>
    <w:rsid w:val="0069776F"/>
    <w:rsid w:val="00697A9D"/>
    <w:rsid w:val="006A002E"/>
    <w:rsid w:val="006A0119"/>
    <w:rsid w:val="006A022F"/>
    <w:rsid w:val="006A058E"/>
    <w:rsid w:val="006A07FA"/>
    <w:rsid w:val="006A1111"/>
    <w:rsid w:val="006A17E4"/>
    <w:rsid w:val="006A17F2"/>
    <w:rsid w:val="006A17FD"/>
    <w:rsid w:val="006A196B"/>
    <w:rsid w:val="006A19CC"/>
    <w:rsid w:val="006A1B47"/>
    <w:rsid w:val="006A1B91"/>
    <w:rsid w:val="006A1C1C"/>
    <w:rsid w:val="006A1DD0"/>
    <w:rsid w:val="006A1E33"/>
    <w:rsid w:val="006A1FD2"/>
    <w:rsid w:val="006A20AB"/>
    <w:rsid w:val="006A20DA"/>
    <w:rsid w:val="006A2A21"/>
    <w:rsid w:val="006A2C90"/>
    <w:rsid w:val="006A2CF1"/>
    <w:rsid w:val="006A3043"/>
    <w:rsid w:val="006A3242"/>
    <w:rsid w:val="006A342A"/>
    <w:rsid w:val="006A34C1"/>
    <w:rsid w:val="006A391E"/>
    <w:rsid w:val="006A3933"/>
    <w:rsid w:val="006A3AFB"/>
    <w:rsid w:val="006A3DB6"/>
    <w:rsid w:val="006A3E3D"/>
    <w:rsid w:val="006A3F80"/>
    <w:rsid w:val="006A4037"/>
    <w:rsid w:val="006A40D5"/>
    <w:rsid w:val="006A4356"/>
    <w:rsid w:val="006A4797"/>
    <w:rsid w:val="006A4A63"/>
    <w:rsid w:val="006A4BD1"/>
    <w:rsid w:val="006A4D5E"/>
    <w:rsid w:val="006A51C3"/>
    <w:rsid w:val="006A52F5"/>
    <w:rsid w:val="006A5341"/>
    <w:rsid w:val="006A55FE"/>
    <w:rsid w:val="006A570B"/>
    <w:rsid w:val="006A57DE"/>
    <w:rsid w:val="006A5CD4"/>
    <w:rsid w:val="006A5EC2"/>
    <w:rsid w:val="006A5FE2"/>
    <w:rsid w:val="006A613B"/>
    <w:rsid w:val="006A63DD"/>
    <w:rsid w:val="006A647E"/>
    <w:rsid w:val="006A689C"/>
    <w:rsid w:val="006A698F"/>
    <w:rsid w:val="006A6BCF"/>
    <w:rsid w:val="006A6C42"/>
    <w:rsid w:val="006A7056"/>
    <w:rsid w:val="006A73E3"/>
    <w:rsid w:val="006A759A"/>
    <w:rsid w:val="006A762F"/>
    <w:rsid w:val="006A76E4"/>
    <w:rsid w:val="006A78AF"/>
    <w:rsid w:val="006A79BE"/>
    <w:rsid w:val="006A7A2B"/>
    <w:rsid w:val="006A7B8A"/>
    <w:rsid w:val="006A7C39"/>
    <w:rsid w:val="006A7DAE"/>
    <w:rsid w:val="006A7EA5"/>
    <w:rsid w:val="006A7F5F"/>
    <w:rsid w:val="006B00FE"/>
    <w:rsid w:val="006B03C0"/>
    <w:rsid w:val="006B06D9"/>
    <w:rsid w:val="006B0A17"/>
    <w:rsid w:val="006B0B00"/>
    <w:rsid w:val="006B0B21"/>
    <w:rsid w:val="006B0C0D"/>
    <w:rsid w:val="006B0C82"/>
    <w:rsid w:val="006B0C8B"/>
    <w:rsid w:val="006B0DC9"/>
    <w:rsid w:val="006B0DCC"/>
    <w:rsid w:val="006B0EE0"/>
    <w:rsid w:val="006B0FF9"/>
    <w:rsid w:val="006B139B"/>
    <w:rsid w:val="006B14E3"/>
    <w:rsid w:val="006B15A9"/>
    <w:rsid w:val="006B163E"/>
    <w:rsid w:val="006B1A4A"/>
    <w:rsid w:val="006B26B5"/>
    <w:rsid w:val="006B2A3A"/>
    <w:rsid w:val="006B2B9A"/>
    <w:rsid w:val="006B2F7B"/>
    <w:rsid w:val="006B36DD"/>
    <w:rsid w:val="006B3CA8"/>
    <w:rsid w:val="006B4252"/>
    <w:rsid w:val="006B4310"/>
    <w:rsid w:val="006B43EF"/>
    <w:rsid w:val="006B4409"/>
    <w:rsid w:val="006B47BA"/>
    <w:rsid w:val="006B4980"/>
    <w:rsid w:val="006B4F12"/>
    <w:rsid w:val="006B4F6C"/>
    <w:rsid w:val="006B4FAF"/>
    <w:rsid w:val="006B4FB1"/>
    <w:rsid w:val="006B52D1"/>
    <w:rsid w:val="006B5557"/>
    <w:rsid w:val="006B55EE"/>
    <w:rsid w:val="006B55FB"/>
    <w:rsid w:val="006B5BF4"/>
    <w:rsid w:val="006B61C0"/>
    <w:rsid w:val="006B6205"/>
    <w:rsid w:val="006B6527"/>
    <w:rsid w:val="006B67ED"/>
    <w:rsid w:val="006B6B6E"/>
    <w:rsid w:val="006B7579"/>
    <w:rsid w:val="006B7773"/>
    <w:rsid w:val="006B77CD"/>
    <w:rsid w:val="006B78EF"/>
    <w:rsid w:val="006B7A7A"/>
    <w:rsid w:val="006B7AC8"/>
    <w:rsid w:val="006B7D3B"/>
    <w:rsid w:val="006C0120"/>
    <w:rsid w:val="006C02B1"/>
    <w:rsid w:val="006C02EA"/>
    <w:rsid w:val="006C058F"/>
    <w:rsid w:val="006C0859"/>
    <w:rsid w:val="006C0922"/>
    <w:rsid w:val="006C0D9C"/>
    <w:rsid w:val="006C0FC5"/>
    <w:rsid w:val="006C1281"/>
    <w:rsid w:val="006C13AB"/>
    <w:rsid w:val="006C13CD"/>
    <w:rsid w:val="006C18B3"/>
    <w:rsid w:val="006C195A"/>
    <w:rsid w:val="006C1AB4"/>
    <w:rsid w:val="006C2645"/>
    <w:rsid w:val="006C28B8"/>
    <w:rsid w:val="006C2F56"/>
    <w:rsid w:val="006C3351"/>
    <w:rsid w:val="006C3357"/>
    <w:rsid w:val="006C3455"/>
    <w:rsid w:val="006C3566"/>
    <w:rsid w:val="006C388B"/>
    <w:rsid w:val="006C39A1"/>
    <w:rsid w:val="006C3BD3"/>
    <w:rsid w:val="006C3CCE"/>
    <w:rsid w:val="006C3CE3"/>
    <w:rsid w:val="006C3F03"/>
    <w:rsid w:val="006C430A"/>
    <w:rsid w:val="006C4646"/>
    <w:rsid w:val="006C4CA8"/>
    <w:rsid w:val="006C4F73"/>
    <w:rsid w:val="006C52EC"/>
    <w:rsid w:val="006C5308"/>
    <w:rsid w:val="006C551D"/>
    <w:rsid w:val="006C55CE"/>
    <w:rsid w:val="006C5BD6"/>
    <w:rsid w:val="006C5DE6"/>
    <w:rsid w:val="006C60B9"/>
    <w:rsid w:val="006C627A"/>
    <w:rsid w:val="006C64E7"/>
    <w:rsid w:val="006C65D2"/>
    <w:rsid w:val="006C662A"/>
    <w:rsid w:val="006C6C32"/>
    <w:rsid w:val="006C6C46"/>
    <w:rsid w:val="006C6DA1"/>
    <w:rsid w:val="006C6E4A"/>
    <w:rsid w:val="006C6EE4"/>
    <w:rsid w:val="006C70B3"/>
    <w:rsid w:val="006C7287"/>
    <w:rsid w:val="006C73C1"/>
    <w:rsid w:val="006C73E6"/>
    <w:rsid w:val="006C754B"/>
    <w:rsid w:val="006C768D"/>
    <w:rsid w:val="006C786F"/>
    <w:rsid w:val="006C79DB"/>
    <w:rsid w:val="006C7DAC"/>
    <w:rsid w:val="006D02FA"/>
    <w:rsid w:val="006D07C0"/>
    <w:rsid w:val="006D07F5"/>
    <w:rsid w:val="006D09D9"/>
    <w:rsid w:val="006D0B6B"/>
    <w:rsid w:val="006D0B8E"/>
    <w:rsid w:val="006D0CC6"/>
    <w:rsid w:val="006D0D10"/>
    <w:rsid w:val="006D0F81"/>
    <w:rsid w:val="006D1006"/>
    <w:rsid w:val="006D115B"/>
    <w:rsid w:val="006D16D5"/>
    <w:rsid w:val="006D1A0D"/>
    <w:rsid w:val="006D1D7C"/>
    <w:rsid w:val="006D21E1"/>
    <w:rsid w:val="006D22BC"/>
    <w:rsid w:val="006D22DB"/>
    <w:rsid w:val="006D25B3"/>
    <w:rsid w:val="006D289C"/>
    <w:rsid w:val="006D28F8"/>
    <w:rsid w:val="006D2AEA"/>
    <w:rsid w:val="006D2C51"/>
    <w:rsid w:val="006D2CAE"/>
    <w:rsid w:val="006D2DF5"/>
    <w:rsid w:val="006D2E34"/>
    <w:rsid w:val="006D3153"/>
    <w:rsid w:val="006D3177"/>
    <w:rsid w:val="006D317E"/>
    <w:rsid w:val="006D33EE"/>
    <w:rsid w:val="006D34E8"/>
    <w:rsid w:val="006D381B"/>
    <w:rsid w:val="006D384B"/>
    <w:rsid w:val="006D3D7E"/>
    <w:rsid w:val="006D442A"/>
    <w:rsid w:val="006D491E"/>
    <w:rsid w:val="006D4E4A"/>
    <w:rsid w:val="006D5A28"/>
    <w:rsid w:val="006D5ABE"/>
    <w:rsid w:val="006D5ECF"/>
    <w:rsid w:val="006D5F20"/>
    <w:rsid w:val="006D609F"/>
    <w:rsid w:val="006D62ED"/>
    <w:rsid w:val="006D648F"/>
    <w:rsid w:val="006D663C"/>
    <w:rsid w:val="006D6F48"/>
    <w:rsid w:val="006D7190"/>
    <w:rsid w:val="006D73B3"/>
    <w:rsid w:val="006D76AD"/>
    <w:rsid w:val="006D7878"/>
    <w:rsid w:val="006E0276"/>
    <w:rsid w:val="006E09F2"/>
    <w:rsid w:val="006E0B7A"/>
    <w:rsid w:val="006E0EB8"/>
    <w:rsid w:val="006E0F55"/>
    <w:rsid w:val="006E122F"/>
    <w:rsid w:val="006E1670"/>
    <w:rsid w:val="006E19C2"/>
    <w:rsid w:val="006E1D4F"/>
    <w:rsid w:val="006E1E43"/>
    <w:rsid w:val="006E21C8"/>
    <w:rsid w:val="006E227B"/>
    <w:rsid w:val="006E2542"/>
    <w:rsid w:val="006E2636"/>
    <w:rsid w:val="006E279B"/>
    <w:rsid w:val="006E2825"/>
    <w:rsid w:val="006E2833"/>
    <w:rsid w:val="006E290B"/>
    <w:rsid w:val="006E2E3B"/>
    <w:rsid w:val="006E3102"/>
    <w:rsid w:val="006E33B6"/>
    <w:rsid w:val="006E3459"/>
    <w:rsid w:val="006E361A"/>
    <w:rsid w:val="006E3771"/>
    <w:rsid w:val="006E3A32"/>
    <w:rsid w:val="006E438B"/>
    <w:rsid w:val="006E47EE"/>
    <w:rsid w:val="006E4855"/>
    <w:rsid w:val="006E48DE"/>
    <w:rsid w:val="006E5260"/>
    <w:rsid w:val="006E5645"/>
    <w:rsid w:val="006E574E"/>
    <w:rsid w:val="006E5A70"/>
    <w:rsid w:val="006E5F9D"/>
    <w:rsid w:val="006E61A6"/>
    <w:rsid w:val="006E6352"/>
    <w:rsid w:val="006E63AD"/>
    <w:rsid w:val="006E6833"/>
    <w:rsid w:val="006E688F"/>
    <w:rsid w:val="006E692B"/>
    <w:rsid w:val="006E6A2E"/>
    <w:rsid w:val="006E6AAE"/>
    <w:rsid w:val="006E6C25"/>
    <w:rsid w:val="006E6C3C"/>
    <w:rsid w:val="006E7045"/>
    <w:rsid w:val="006E7529"/>
    <w:rsid w:val="006E755C"/>
    <w:rsid w:val="006E75FD"/>
    <w:rsid w:val="006E76C7"/>
    <w:rsid w:val="006E7957"/>
    <w:rsid w:val="006E797C"/>
    <w:rsid w:val="006E7C7E"/>
    <w:rsid w:val="006F02CC"/>
    <w:rsid w:val="006F02E2"/>
    <w:rsid w:val="006F031B"/>
    <w:rsid w:val="006F0363"/>
    <w:rsid w:val="006F0881"/>
    <w:rsid w:val="006F0A91"/>
    <w:rsid w:val="006F0C27"/>
    <w:rsid w:val="006F0DA5"/>
    <w:rsid w:val="006F0DDF"/>
    <w:rsid w:val="006F0F08"/>
    <w:rsid w:val="006F0F9B"/>
    <w:rsid w:val="006F1265"/>
    <w:rsid w:val="006F12AB"/>
    <w:rsid w:val="006F1554"/>
    <w:rsid w:val="006F1854"/>
    <w:rsid w:val="006F186B"/>
    <w:rsid w:val="006F2874"/>
    <w:rsid w:val="006F28A6"/>
    <w:rsid w:val="006F29A8"/>
    <w:rsid w:val="006F2A44"/>
    <w:rsid w:val="006F2DB1"/>
    <w:rsid w:val="006F2E21"/>
    <w:rsid w:val="006F2E7E"/>
    <w:rsid w:val="006F3324"/>
    <w:rsid w:val="006F3360"/>
    <w:rsid w:val="006F348B"/>
    <w:rsid w:val="006F3507"/>
    <w:rsid w:val="006F350F"/>
    <w:rsid w:val="006F37D2"/>
    <w:rsid w:val="006F3809"/>
    <w:rsid w:val="006F385A"/>
    <w:rsid w:val="006F3B82"/>
    <w:rsid w:val="006F3C50"/>
    <w:rsid w:val="006F3E56"/>
    <w:rsid w:val="006F3FA7"/>
    <w:rsid w:val="006F4533"/>
    <w:rsid w:val="006F5524"/>
    <w:rsid w:val="006F5752"/>
    <w:rsid w:val="006F5832"/>
    <w:rsid w:val="006F5884"/>
    <w:rsid w:val="006F59FC"/>
    <w:rsid w:val="006F5B35"/>
    <w:rsid w:val="006F5BA5"/>
    <w:rsid w:val="006F5F0C"/>
    <w:rsid w:val="006F601A"/>
    <w:rsid w:val="006F6309"/>
    <w:rsid w:val="006F6550"/>
    <w:rsid w:val="006F65F6"/>
    <w:rsid w:val="006F6A17"/>
    <w:rsid w:val="006F6BCD"/>
    <w:rsid w:val="006F6FD1"/>
    <w:rsid w:val="006F73AC"/>
    <w:rsid w:val="006F73EE"/>
    <w:rsid w:val="006F761D"/>
    <w:rsid w:val="006F7658"/>
    <w:rsid w:val="006F77B9"/>
    <w:rsid w:val="006F79EA"/>
    <w:rsid w:val="006F7ED5"/>
    <w:rsid w:val="007004E5"/>
    <w:rsid w:val="00700582"/>
    <w:rsid w:val="007006CC"/>
    <w:rsid w:val="007006E6"/>
    <w:rsid w:val="00700CB7"/>
    <w:rsid w:val="00700DE6"/>
    <w:rsid w:val="00701284"/>
    <w:rsid w:val="007012BA"/>
    <w:rsid w:val="00701789"/>
    <w:rsid w:val="00701856"/>
    <w:rsid w:val="00701BC6"/>
    <w:rsid w:val="00701C61"/>
    <w:rsid w:val="00701C80"/>
    <w:rsid w:val="00701DC4"/>
    <w:rsid w:val="00701FF4"/>
    <w:rsid w:val="0070201F"/>
    <w:rsid w:val="0070231F"/>
    <w:rsid w:val="00702501"/>
    <w:rsid w:val="00702587"/>
    <w:rsid w:val="007027A6"/>
    <w:rsid w:val="00702E3D"/>
    <w:rsid w:val="00702EA6"/>
    <w:rsid w:val="007031DD"/>
    <w:rsid w:val="00703656"/>
    <w:rsid w:val="007036E1"/>
    <w:rsid w:val="007037A9"/>
    <w:rsid w:val="00703DCA"/>
    <w:rsid w:val="00704271"/>
    <w:rsid w:val="0070436F"/>
    <w:rsid w:val="0070468C"/>
    <w:rsid w:val="007048EE"/>
    <w:rsid w:val="00704AF0"/>
    <w:rsid w:val="00704B77"/>
    <w:rsid w:val="00704C57"/>
    <w:rsid w:val="00704C67"/>
    <w:rsid w:val="00704D5C"/>
    <w:rsid w:val="007051DB"/>
    <w:rsid w:val="007055E9"/>
    <w:rsid w:val="00705888"/>
    <w:rsid w:val="0070592A"/>
    <w:rsid w:val="00705A60"/>
    <w:rsid w:val="00705D2A"/>
    <w:rsid w:val="00705ECB"/>
    <w:rsid w:val="00705FD0"/>
    <w:rsid w:val="0070656D"/>
    <w:rsid w:val="007066CC"/>
    <w:rsid w:val="0070699D"/>
    <w:rsid w:val="00706A1D"/>
    <w:rsid w:val="00706B29"/>
    <w:rsid w:val="0070700F"/>
    <w:rsid w:val="007074D5"/>
    <w:rsid w:val="00710071"/>
    <w:rsid w:val="007101B7"/>
    <w:rsid w:val="007101D3"/>
    <w:rsid w:val="00710408"/>
    <w:rsid w:val="007107E4"/>
    <w:rsid w:val="0071087C"/>
    <w:rsid w:val="00710900"/>
    <w:rsid w:val="00710BFC"/>
    <w:rsid w:val="00710D67"/>
    <w:rsid w:val="00710FED"/>
    <w:rsid w:val="00711145"/>
    <w:rsid w:val="0071134F"/>
    <w:rsid w:val="00711A10"/>
    <w:rsid w:val="00711B8A"/>
    <w:rsid w:val="00711CCC"/>
    <w:rsid w:val="00711D1A"/>
    <w:rsid w:val="00711EBC"/>
    <w:rsid w:val="007124B6"/>
    <w:rsid w:val="00712500"/>
    <w:rsid w:val="0071286E"/>
    <w:rsid w:val="00712D5E"/>
    <w:rsid w:val="00712F8F"/>
    <w:rsid w:val="00713065"/>
    <w:rsid w:val="00713132"/>
    <w:rsid w:val="0071329F"/>
    <w:rsid w:val="007136A1"/>
    <w:rsid w:val="007138D3"/>
    <w:rsid w:val="0071409D"/>
    <w:rsid w:val="0071446E"/>
    <w:rsid w:val="0071451D"/>
    <w:rsid w:val="00714B3A"/>
    <w:rsid w:val="007150F1"/>
    <w:rsid w:val="00715103"/>
    <w:rsid w:val="0071528D"/>
    <w:rsid w:val="007152D0"/>
    <w:rsid w:val="00715468"/>
    <w:rsid w:val="007157D6"/>
    <w:rsid w:val="007158C9"/>
    <w:rsid w:val="00715E3F"/>
    <w:rsid w:val="00716209"/>
    <w:rsid w:val="00716442"/>
    <w:rsid w:val="007166E6"/>
    <w:rsid w:val="007166FA"/>
    <w:rsid w:val="00716E59"/>
    <w:rsid w:val="00716E8D"/>
    <w:rsid w:val="00716EDD"/>
    <w:rsid w:val="00716F14"/>
    <w:rsid w:val="00716F6B"/>
    <w:rsid w:val="00717579"/>
    <w:rsid w:val="00717636"/>
    <w:rsid w:val="00717805"/>
    <w:rsid w:val="00717C33"/>
    <w:rsid w:val="00717CF7"/>
    <w:rsid w:val="00717F20"/>
    <w:rsid w:val="00720024"/>
    <w:rsid w:val="007202AF"/>
    <w:rsid w:val="00720396"/>
    <w:rsid w:val="0072042E"/>
    <w:rsid w:val="00720B6F"/>
    <w:rsid w:val="0072102F"/>
    <w:rsid w:val="0072103D"/>
    <w:rsid w:val="007210C8"/>
    <w:rsid w:val="007211B7"/>
    <w:rsid w:val="00721527"/>
    <w:rsid w:val="00721675"/>
    <w:rsid w:val="00721A95"/>
    <w:rsid w:val="00721AC7"/>
    <w:rsid w:val="00721E9F"/>
    <w:rsid w:val="00722409"/>
    <w:rsid w:val="0072248F"/>
    <w:rsid w:val="0072254A"/>
    <w:rsid w:val="00722D8F"/>
    <w:rsid w:val="00722E34"/>
    <w:rsid w:val="0072355E"/>
    <w:rsid w:val="007236DF"/>
    <w:rsid w:val="007236E1"/>
    <w:rsid w:val="00723C4C"/>
    <w:rsid w:val="00723DC9"/>
    <w:rsid w:val="00723DD9"/>
    <w:rsid w:val="0072402E"/>
    <w:rsid w:val="00724154"/>
    <w:rsid w:val="00724459"/>
    <w:rsid w:val="0072469C"/>
    <w:rsid w:val="00724728"/>
    <w:rsid w:val="0072494C"/>
    <w:rsid w:val="00724B5A"/>
    <w:rsid w:val="00724B8D"/>
    <w:rsid w:val="00724E76"/>
    <w:rsid w:val="00724FD3"/>
    <w:rsid w:val="0072512E"/>
    <w:rsid w:val="00725379"/>
    <w:rsid w:val="007254ED"/>
    <w:rsid w:val="0072551A"/>
    <w:rsid w:val="0072578B"/>
    <w:rsid w:val="00725936"/>
    <w:rsid w:val="00725A83"/>
    <w:rsid w:val="00725D12"/>
    <w:rsid w:val="00725EF4"/>
    <w:rsid w:val="00725F48"/>
    <w:rsid w:val="0072661B"/>
    <w:rsid w:val="0072675D"/>
    <w:rsid w:val="0072677F"/>
    <w:rsid w:val="00726AD5"/>
    <w:rsid w:val="00726C91"/>
    <w:rsid w:val="00726DFD"/>
    <w:rsid w:val="00726E25"/>
    <w:rsid w:val="00727A05"/>
    <w:rsid w:val="007308F4"/>
    <w:rsid w:val="00730DCD"/>
    <w:rsid w:val="00730F49"/>
    <w:rsid w:val="007310A8"/>
    <w:rsid w:val="007311BE"/>
    <w:rsid w:val="007316D0"/>
    <w:rsid w:val="0073174B"/>
    <w:rsid w:val="007317A0"/>
    <w:rsid w:val="007317AC"/>
    <w:rsid w:val="007318C5"/>
    <w:rsid w:val="00731C82"/>
    <w:rsid w:val="00731D13"/>
    <w:rsid w:val="00732227"/>
    <w:rsid w:val="00732837"/>
    <w:rsid w:val="007328A9"/>
    <w:rsid w:val="007329AF"/>
    <w:rsid w:val="00732E8B"/>
    <w:rsid w:val="007330F8"/>
    <w:rsid w:val="00733352"/>
    <w:rsid w:val="007333D7"/>
    <w:rsid w:val="007333DA"/>
    <w:rsid w:val="00733752"/>
    <w:rsid w:val="00733849"/>
    <w:rsid w:val="00733BD4"/>
    <w:rsid w:val="00733CBA"/>
    <w:rsid w:val="00733F21"/>
    <w:rsid w:val="00733FD3"/>
    <w:rsid w:val="007340C2"/>
    <w:rsid w:val="00734416"/>
    <w:rsid w:val="007346B7"/>
    <w:rsid w:val="00734C25"/>
    <w:rsid w:val="007351A1"/>
    <w:rsid w:val="00735274"/>
    <w:rsid w:val="00735455"/>
    <w:rsid w:val="007355E2"/>
    <w:rsid w:val="00735A75"/>
    <w:rsid w:val="00735B8A"/>
    <w:rsid w:val="00735CC8"/>
    <w:rsid w:val="00735F1E"/>
    <w:rsid w:val="0073607A"/>
    <w:rsid w:val="00736096"/>
    <w:rsid w:val="00736108"/>
    <w:rsid w:val="007366C1"/>
    <w:rsid w:val="007369FB"/>
    <w:rsid w:val="007369FC"/>
    <w:rsid w:val="00736A7F"/>
    <w:rsid w:val="007371C4"/>
    <w:rsid w:val="007373A7"/>
    <w:rsid w:val="007373C7"/>
    <w:rsid w:val="007373E7"/>
    <w:rsid w:val="0073758A"/>
    <w:rsid w:val="00737C74"/>
    <w:rsid w:val="00737D15"/>
    <w:rsid w:val="00737E00"/>
    <w:rsid w:val="00737ED0"/>
    <w:rsid w:val="007400E9"/>
    <w:rsid w:val="007405C0"/>
    <w:rsid w:val="007407F4"/>
    <w:rsid w:val="00740823"/>
    <w:rsid w:val="00740CD5"/>
    <w:rsid w:val="00740E1E"/>
    <w:rsid w:val="0074115E"/>
    <w:rsid w:val="00741180"/>
    <w:rsid w:val="007412BE"/>
    <w:rsid w:val="0074141B"/>
    <w:rsid w:val="00741474"/>
    <w:rsid w:val="0074194F"/>
    <w:rsid w:val="00741B6A"/>
    <w:rsid w:val="00741C07"/>
    <w:rsid w:val="00741C45"/>
    <w:rsid w:val="00741FC0"/>
    <w:rsid w:val="007420EE"/>
    <w:rsid w:val="00742255"/>
    <w:rsid w:val="00742889"/>
    <w:rsid w:val="00742920"/>
    <w:rsid w:val="00742DFD"/>
    <w:rsid w:val="007430B4"/>
    <w:rsid w:val="00743597"/>
    <w:rsid w:val="007439C0"/>
    <w:rsid w:val="00743AF4"/>
    <w:rsid w:val="00743FAE"/>
    <w:rsid w:val="00744121"/>
    <w:rsid w:val="0074414A"/>
    <w:rsid w:val="00744652"/>
    <w:rsid w:val="00744B6C"/>
    <w:rsid w:val="007456B2"/>
    <w:rsid w:val="0074580E"/>
    <w:rsid w:val="00746256"/>
    <w:rsid w:val="007466C1"/>
    <w:rsid w:val="007466EA"/>
    <w:rsid w:val="007466FD"/>
    <w:rsid w:val="00746A52"/>
    <w:rsid w:val="00746B0D"/>
    <w:rsid w:val="00746B2D"/>
    <w:rsid w:val="00746C37"/>
    <w:rsid w:val="00746DE6"/>
    <w:rsid w:val="00746E14"/>
    <w:rsid w:val="00747742"/>
    <w:rsid w:val="00747898"/>
    <w:rsid w:val="0074795B"/>
    <w:rsid w:val="00747C08"/>
    <w:rsid w:val="00747CC8"/>
    <w:rsid w:val="00747DBB"/>
    <w:rsid w:val="00747EFD"/>
    <w:rsid w:val="0075019E"/>
    <w:rsid w:val="0075041E"/>
    <w:rsid w:val="007508AE"/>
    <w:rsid w:val="007508D8"/>
    <w:rsid w:val="00750B07"/>
    <w:rsid w:val="00751123"/>
    <w:rsid w:val="00751480"/>
    <w:rsid w:val="00751718"/>
    <w:rsid w:val="007518C9"/>
    <w:rsid w:val="00751949"/>
    <w:rsid w:val="00751AEC"/>
    <w:rsid w:val="00752146"/>
    <w:rsid w:val="007521EA"/>
    <w:rsid w:val="00752238"/>
    <w:rsid w:val="00752584"/>
    <w:rsid w:val="007527E9"/>
    <w:rsid w:val="00752819"/>
    <w:rsid w:val="00752D01"/>
    <w:rsid w:val="00752D03"/>
    <w:rsid w:val="0075302C"/>
    <w:rsid w:val="00753059"/>
    <w:rsid w:val="007530AC"/>
    <w:rsid w:val="0075337C"/>
    <w:rsid w:val="007533AB"/>
    <w:rsid w:val="00753442"/>
    <w:rsid w:val="0075368E"/>
    <w:rsid w:val="00753B41"/>
    <w:rsid w:val="00753C07"/>
    <w:rsid w:val="00753CD9"/>
    <w:rsid w:val="00753DBE"/>
    <w:rsid w:val="00754044"/>
    <w:rsid w:val="0075404F"/>
    <w:rsid w:val="00754092"/>
    <w:rsid w:val="007544C7"/>
    <w:rsid w:val="0075463B"/>
    <w:rsid w:val="0075489F"/>
    <w:rsid w:val="007548B5"/>
    <w:rsid w:val="00754944"/>
    <w:rsid w:val="00754B79"/>
    <w:rsid w:val="00754BCE"/>
    <w:rsid w:val="00754EB7"/>
    <w:rsid w:val="00755173"/>
    <w:rsid w:val="0075520E"/>
    <w:rsid w:val="00755403"/>
    <w:rsid w:val="00755646"/>
    <w:rsid w:val="00755EF2"/>
    <w:rsid w:val="00756005"/>
    <w:rsid w:val="00756585"/>
    <w:rsid w:val="00756968"/>
    <w:rsid w:val="007569AF"/>
    <w:rsid w:val="00756C28"/>
    <w:rsid w:val="00756C3A"/>
    <w:rsid w:val="00756C4A"/>
    <w:rsid w:val="00756D92"/>
    <w:rsid w:val="00756DDD"/>
    <w:rsid w:val="00756FE1"/>
    <w:rsid w:val="00757211"/>
    <w:rsid w:val="00757922"/>
    <w:rsid w:val="00757BA7"/>
    <w:rsid w:val="00757C6D"/>
    <w:rsid w:val="00760066"/>
    <w:rsid w:val="007600C3"/>
    <w:rsid w:val="00760255"/>
    <w:rsid w:val="00760C18"/>
    <w:rsid w:val="00760F4A"/>
    <w:rsid w:val="00760FEF"/>
    <w:rsid w:val="007615F6"/>
    <w:rsid w:val="0076185D"/>
    <w:rsid w:val="00761954"/>
    <w:rsid w:val="0076198C"/>
    <w:rsid w:val="00761B55"/>
    <w:rsid w:val="00761C97"/>
    <w:rsid w:val="00761FEF"/>
    <w:rsid w:val="00762001"/>
    <w:rsid w:val="007621AD"/>
    <w:rsid w:val="007621EF"/>
    <w:rsid w:val="00762563"/>
    <w:rsid w:val="0076285A"/>
    <w:rsid w:val="007628FC"/>
    <w:rsid w:val="00762A65"/>
    <w:rsid w:val="00762AF2"/>
    <w:rsid w:val="00763006"/>
    <w:rsid w:val="00763038"/>
    <w:rsid w:val="0076363B"/>
    <w:rsid w:val="0076374D"/>
    <w:rsid w:val="007637CD"/>
    <w:rsid w:val="00763911"/>
    <w:rsid w:val="007639DF"/>
    <w:rsid w:val="007639EC"/>
    <w:rsid w:val="00763B7D"/>
    <w:rsid w:val="00764050"/>
    <w:rsid w:val="0076417B"/>
    <w:rsid w:val="0076449F"/>
    <w:rsid w:val="00764A86"/>
    <w:rsid w:val="00764B78"/>
    <w:rsid w:val="00764C7A"/>
    <w:rsid w:val="0076503B"/>
    <w:rsid w:val="00765095"/>
    <w:rsid w:val="00765125"/>
    <w:rsid w:val="007652D4"/>
    <w:rsid w:val="007653A2"/>
    <w:rsid w:val="007653ED"/>
    <w:rsid w:val="0076548A"/>
    <w:rsid w:val="0076558C"/>
    <w:rsid w:val="00765875"/>
    <w:rsid w:val="007658FA"/>
    <w:rsid w:val="00765A19"/>
    <w:rsid w:val="00765B4C"/>
    <w:rsid w:val="00765CE0"/>
    <w:rsid w:val="00765D17"/>
    <w:rsid w:val="00765FBC"/>
    <w:rsid w:val="007660E3"/>
    <w:rsid w:val="00766194"/>
    <w:rsid w:val="00766565"/>
    <w:rsid w:val="007665F8"/>
    <w:rsid w:val="00766A4D"/>
    <w:rsid w:val="00766A74"/>
    <w:rsid w:val="00766CC1"/>
    <w:rsid w:val="00766E04"/>
    <w:rsid w:val="007670F2"/>
    <w:rsid w:val="00767430"/>
    <w:rsid w:val="007677AD"/>
    <w:rsid w:val="00767983"/>
    <w:rsid w:val="00767CA2"/>
    <w:rsid w:val="007703FD"/>
    <w:rsid w:val="00770B2F"/>
    <w:rsid w:val="00770D63"/>
    <w:rsid w:val="00771024"/>
    <w:rsid w:val="00771087"/>
    <w:rsid w:val="007712A2"/>
    <w:rsid w:val="00771354"/>
    <w:rsid w:val="007713B5"/>
    <w:rsid w:val="00771512"/>
    <w:rsid w:val="00771649"/>
    <w:rsid w:val="0077197B"/>
    <w:rsid w:val="007719A0"/>
    <w:rsid w:val="00771AEE"/>
    <w:rsid w:val="00771D53"/>
    <w:rsid w:val="00771E3D"/>
    <w:rsid w:val="007720B5"/>
    <w:rsid w:val="00772B71"/>
    <w:rsid w:val="00772F35"/>
    <w:rsid w:val="00773326"/>
    <w:rsid w:val="00773380"/>
    <w:rsid w:val="007733C9"/>
    <w:rsid w:val="00773688"/>
    <w:rsid w:val="007736AF"/>
    <w:rsid w:val="007736C8"/>
    <w:rsid w:val="00773889"/>
    <w:rsid w:val="00773959"/>
    <w:rsid w:val="00773977"/>
    <w:rsid w:val="007739C1"/>
    <w:rsid w:val="00773DAF"/>
    <w:rsid w:val="00773ECF"/>
    <w:rsid w:val="00774199"/>
    <w:rsid w:val="0077447B"/>
    <w:rsid w:val="00774482"/>
    <w:rsid w:val="00774708"/>
    <w:rsid w:val="00774883"/>
    <w:rsid w:val="00774ACC"/>
    <w:rsid w:val="00774DA5"/>
    <w:rsid w:val="00774E9C"/>
    <w:rsid w:val="0077549B"/>
    <w:rsid w:val="00775634"/>
    <w:rsid w:val="007757D2"/>
    <w:rsid w:val="00775A36"/>
    <w:rsid w:val="00775D1A"/>
    <w:rsid w:val="007760C7"/>
    <w:rsid w:val="007765F2"/>
    <w:rsid w:val="00776933"/>
    <w:rsid w:val="007769C0"/>
    <w:rsid w:val="007769C2"/>
    <w:rsid w:val="00776B44"/>
    <w:rsid w:val="0077754A"/>
    <w:rsid w:val="0077762F"/>
    <w:rsid w:val="00777A81"/>
    <w:rsid w:val="00777AA4"/>
    <w:rsid w:val="00777ED7"/>
    <w:rsid w:val="00780017"/>
    <w:rsid w:val="00780065"/>
    <w:rsid w:val="00780373"/>
    <w:rsid w:val="00780485"/>
    <w:rsid w:val="0078062B"/>
    <w:rsid w:val="00780AD6"/>
    <w:rsid w:val="00781029"/>
    <w:rsid w:val="007811D9"/>
    <w:rsid w:val="007812F8"/>
    <w:rsid w:val="00781703"/>
    <w:rsid w:val="0078177C"/>
    <w:rsid w:val="00781879"/>
    <w:rsid w:val="00781989"/>
    <w:rsid w:val="00781E0D"/>
    <w:rsid w:val="00782057"/>
    <w:rsid w:val="0078221F"/>
    <w:rsid w:val="0078228F"/>
    <w:rsid w:val="007825F0"/>
    <w:rsid w:val="007827FD"/>
    <w:rsid w:val="00782964"/>
    <w:rsid w:val="00782A9B"/>
    <w:rsid w:val="00782B39"/>
    <w:rsid w:val="00782F83"/>
    <w:rsid w:val="00782FA3"/>
    <w:rsid w:val="007830FB"/>
    <w:rsid w:val="007832FE"/>
    <w:rsid w:val="007833DA"/>
    <w:rsid w:val="00783582"/>
    <w:rsid w:val="007837F3"/>
    <w:rsid w:val="00783C16"/>
    <w:rsid w:val="00783C3D"/>
    <w:rsid w:val="00783C81"/>
    <w:rsid w:val="0078464C"/>
    <w:rsid w:val="00784943"/>
    <w:rsid w:val="00784AA8"/>
    <w:rsid w:val="00784C14"/>
    <w:rsid w:val="00784D37"/>
    <w:rsid w:val="00784EEE"/>
    <w:rsid w:val="00784F54"/>
    <w:rsid w:val="00784FFC"/>
    <w:rsid w:val="0078530B"/>
    <w:rsid w:val="007854B6"/>
    <w:rsid w:val="00785840"/>
    <w:rsid w:val="00785AF2"/>
    <w:rsid w:val="00785CE7"/>
    <w:rsid w:val="00785FB4"/>
    <w:rsid w:val="00786462"/>
    <w:rsid w:val="007864A2"/>
    <w:rsid w:val="00786A01"/>
    <w:rsid w:val="00786D53"/>
    <w:rsid w:val="00786E58"/>
    <w:rsid w:val="00786F3F"/>
    <w:rsid w:val="0078718F"/>
    <w:rsid w:val="007871CC"/>
    <w:rsid w:val="00787374"/>
    <w:rsid w:val="007874C0"/>
    <w:rsid w:val="00787557"/>
    <w:rsid w:val="007877FF"/>
    <w:rsid w:val="0078795F"/>
    <w:rsid w:val="00787F94"/>
    <w:rsid w:val="0079000F"/>
    <w:rsid w:val="007900AD"/>
    <w:rsid w:val="007902F2"/>
    <w:rsid w:val="0079030C"/>
    <w:rsid w:val="007904A2"/>
    <w:rsid w:val="00790586"/>
    <w:rsid w:val="007905FB"/>
    <w:rsid w:val="007907DE"/>
    <w:rsid w:val="007907EA"/>
    <w:rsid w:val="00790A93"/>
    <w:rsid w:val="00790B43"/>
    <w:rsid w:val="00790BAF"/>
    <w:rsid w:val="00790CC3"/>
    <w:rsid w:val="007912B2"/>
    <w:rsid w:val="00791904"/>
    <w:rsid w:val="00791B1F"/>
    <w:rsid w:val="00791BEF"/>
    <w:rsid w:val="0079222C"/>
    <w:rsid w:val="00792914"/>
    <w:rsid w:val="00792A7E"/>
    <w:rsid w:val="00792F8D"/>
    <w:rsid w:val="00792F93"/>
    <w:rsid w:val="00792FAB"/>
    <w:rsid w:val="007936E5"/>
    <w:rsid w:val="0079376D"/>
    <w:rsid w:val="00793822"/>
    <w:rsid w:val="0079395A"/>
    <w:rsid w:val="00793987"/>
    <w:rsid w:val="00793A7A"/>
    <w:rsid w:val="00793C5F"/>
    <w:rsid w:val="00793D3B"/>
    <w:rsid w:val="00793E5D"/>
    <w:rsid w:val="00793EE2"/>
    <w:rsid w:val="007940B1"/>
    <w:rsid w:val="007940C7"/>
    <w:rsid w:val="007945D2"/>
    <w:rsid w:val="00794751"/>
    <w:rsid w:val="00794892"/>
    <w:rsid w:val="00794F52"/>
    <w:rsid w:val="00794F55"/>
    <w:rsid w:val="00795048"/>
    <w:rsid w:val="007950BA"/>
    <w:rsid w:val="007951EB"/>
    <w:rsid w:val="007952CC"/>
    <w:rsid w:val="007957BD"/>
    <w:rsid w:val="00795BCB"/>
    <w:rsid w:val="00795C5C"/>
    <w:rsid w:val="00795F51"/>
    <w:rsid w:val="007960BD"/>
    <w:rsid w:val="0079610F"/>
    <w:rsid w:val="007961B3"/>
    <w:rsid w:val="00796398"/>
    <w:rsid w:val="0079645E"/>
    <w:rsid w:val="00796926"/>
    <w:rsid w:val="00796B9D"/>
    <w:rsid w:val="00796D14"/>
    <w:rsid w:val="00796F5F"/>
    <w:rsid w:val="0079774E"/>
    <w:rsid w:val="00797837"/>
    <w:rsid w:val="00797883"/>
    <w:rsid w:val="0079797F"/>
    <w:rsid w:val="00797D06"/>
    <w:rsid w:val="00797DAA"/>
    <w:rsid w:val="00797FEA"/>
    <w:rsid w:val="007A0124"/>
    <w:rsid w:val="007A0439"/>
    <w:rsid w:val="007A05FE"/>
    <w:rsid w:val="007A0704"/>
    <w:rsid w:val="007A096E"/>
    <w:rsid w:val="007A0B7E"/>
    <w:rsid w:val="007A0BC2"/>
    <w:rsid w:val="007A1714"/>
    <w:rsid w:val="007A17D5"/>
    <w:rsid w:val="007A1A0B"/>
    <w:rsid w:val="007A1CDE"/>
    <w:rsid w:val="007A1EE1"/>
    <w:rsid w:val="007A221B"/>
    <w:rsid w:val="007A2239"/>
    <w:rsid w:val="007A22D2"/>
    <w:rsid w:val="007A249F"/>
    <w:rsid w:val="007A269B"/>
    <w:rsid w:val="007A280E"/>
    <w:rsid w:val="007A281B"/>
    <w:rsid w:val="007A2873"/>
    <w:rsid w:val="007A2A95"/>
    <w:rsid w:val="007A2AE1"/>
    <w:rsid w:val="007A2C37"/>
    <w:rsid w:val="007A2C3B"/>
    <w:rsid w:val="007A2DF5"/>
    <w:rsid w:val="007A310F"/>
    <w:rsid w:val="007A31AA"/>
    <w:rsid w:val="007A31D2"/>
    <w:rsid w:val="007A36E1"/>
    <w:rsid w:val="007A3724"/>
    <w:rsid w:val="007A38FB"/>
    <w:rsid w:val="007A3AF0"/>
    <w:rsid w:val="007A4028"/>
    <w:rsid w:val="007A41B4"/>
    <w:rsid w:val="007A4272"/>
    <w:rsid w:val="007A44C5"/>
    <w:rsid w:val="007A4BC7"/>
    <w:rsid w:val="007A4F7C"/>
    <w:rsid w:val="007A52A2"/>
    <w:rsid w:val="007A52C5"/>
    <w:rsid w:val="007A5341"/>
    <w:rsid w:val="007A55A4"/>
    <w:rsid w:val="007A590A"/>
    <w:rsid w:val="007A59C6"/>
    <w:rsid w:val="007A5AA6"/>
    <w:rsid w:val="007A5D05"/>
    <w:rsid w:val="007A5EE5"/>
    <w:rsid w:val="007A5FA1"/>
    <w:rsid w:val="007A605F"/>
    <w:rsid w:val="007A611F"/>
    <w:rsid w:val="007A6148"/>
    <w:rsid w:val="007A62AB"/>
    <w:rsid w:val="007A68B5"/>
    <w:rsid w:val="007A6995"/>
    <w:rsid w:val="007A69A5"/>
    <w:rsid w:val="007A6A94"/>
    <w:rsid w:val="007A6AD8"/>
    <w:rsid w:val="007A6CC0"/>
    <w:rsid w:val="007A6CCF"/>
    <w:rsid w:val="007A7194"/>
    <w:rsid w:val="007A7267"/>
    <w:rsid w:val="007A79CD"/>
    <w:rsid w:val="007A79F7"/>
    <w:rsid w:val="007A7A73"/>
    <w:rsid w:val="007A7C42"/>
    <w:rsid w:val="007A7C68"/>
    <w:rsid w:val="007A7CBF"/>
    <w:rsid w:val="007A7EB2"/>
    <w:rsid w:val="007A7FB4"/>
    <w:rsid w:val="007B00ED"/>
    <w:rsid w:val="007B07D9"/>
    <w:rsid w:val="007B0810"/>
    <w:rsid w:val="007B0D52"/>
    <w:rsid w:val="007B0E6D"/>
    <w:rsid w:val="007B10D1"/>
    <w:rsid w:val="007B11B1"/>
    <w:rsid w:val="007B124A"/>
    <w:rsid w:val="007B1B33"/>
    <w:rsid w:val="007B1B5D"/>
    <w:rsid w:val="007B1D59"/>
    <w:rsid w:val="007B1FC7"/>
    <w:rsid w:val="007B2013"/>
    <w:rsid w:val="007B20DD"/>
    <w:rsid w:val="007B21E1"/>
    <w:rsid w:val="007B232D"/>
    <w:rsid w:val="007B24E1"/>
    <w:rsid w:val="007B29EC"/>
    <w:rsid w:val="007B2A36"/>
    <w:rsid w:val="007B2C79"/>
    <w:rsid w:val="007B301D"/>
    <w:rsid w:val="007B33C1"/>
    <w:rsid w:val="007B33D5"/>
    <w:rsid w:val="007B342E"/>
    <w:rsid w:val="007B3D44"/>
    <w:rsid w:val="007B3E56"/>
    <w:rsid w:val="007B42D8"/>
    <w:rsid w:val="007B5160"/>
    <w:rsid w:val="007B52DD"/>
    <w:rsid w:val="007B58CC"/>
    <w:rsid w:val="007B595E"/>
    <w:rsid w:val="007B5E6E"/>
    <w:rsid w:val="007B61D6"/>
    <w:rsid w:val="007B63E5"/>
    <w:rsid w:val="007B6A60"/>
    <w:rsid w:val="007B700B"/>
    <w:rsid w:val="007B75B6"/>
    <w:rsid w:val="007B7895"/>
    <w:rsid w:val="007B7B4C"/>
    <w:rsid w:val="007B7CBE"/>
    <w:rsid w:val="007B7DB8"/>
    <w:rsid w:val="007B7EF3"/>
    <w:rsid w:val="007C02D3"/>
    <w:rsid w:val="007C045C"/>
    <w:rsid w:val="007C061B"/>
    <w:rsid w:val="007C07D4"/>
    <w:rsid w:val="007C0950"/>
    <w:rsid w:val="007C0962"/>
    <w:rsid w:val="007C0A29"/>
    <w:rsid w:val="007C0AA4"/>
    <w:rsid w:val="007C0C8C"/>
    <w:rsid w:val="007C14EC"/>
    <w:rsid w:val="007C16AA"/>
    <w:rsid w:val="007C16EA"/>
    <w:rsid w:val="007C1ACE"/>
    <w:rsid w:val="007C20B0"/>
    <w:rsid w:val="007C27C7"/>
    <w:rsid w:val="007C27FB"/>
    <w:rsid w:val="007C283B"/>
    <w:rsid w:val="007C290F"/>
    <w:rsid w:val="007C2C96"/>
    <w:rsid w:val="007C3280"/>
    <w:rsid w:val="007C329B"/>
    <w:rsid w:val="007C3330"/>
    <w:rsid w:val="007C386B"/>
    <w:rsid w:val="007C3DF9"/>
    <w:rsid w:val="007C3EF2"/>
    <w:rsid w:val="007C4103"/>
    <w:rsid w:val="007C4300"/>
    <w:rsid w:val="007C450C"/>
    <w:rsid w:val="007C451F"/>
    <w:rsid w:val="007C47DB"/>
    <w:rsid w:val="007C4C30"/>
    <w:rsid w:val="007C4C34"/>
    <w:rsid w:val="007C4C9F"/>
    <w:rsid w:val="007C4D4B"/>
    <w:rsid w:val="007C50C3"/>
    <w:rsid w:val="007C5292"/>
    <w:rsid w:val="007C55CB"/>
    <w:rsid w:val="007C59BD"/>
    <w:rsid w:val="007C5BEB"/>
    <w:rsid w:val="007C5E8F"/>
    <w:rsid w:val="007C5EB4"/>
    <w:rsid w:val="007C5F7F"/>
    <w:rsid w:val="007C5FDF"/>
    <w:rsid w:val="007C6940"/>
    <w:rsid w:val="007C6998"/>
    <w:rsid w:val="007C6B42"/>
    <w:rsid w:val="007C708F"/>
    <w:rsid w:val="007C72C0"/>
    <w:rsid w:val="007C732B"/>
    <w:rsid w:val="007C7BF7"/>
    <w:rsid w:val="007C7E47"/>
    <w:rsid w:val="007D00EE"/>
    <w:rsid w:val="007D0330"/>
    <w:rsid w:val="007D0428"/>
    <w:rsid w:val="007D05C3"/>
    <w:rsid w:val="007D0612"/>
    <w:rsid w:val="007D0970"/>
    <w:rsid w:val="007D0B70"/>
    <w:rsid w:val="007D0C39"/>
    <w:rsid w:val="007D1196"/>
    <w:rsid w:val="007D1258"/>
    <w:rsid w:val="007D1511"/>
    <w:rsid w:val="007D1554"/>
    <w:rsid w:val="007D17A5"/>
    <w:rsid w:val="007D1824"/>
    <w:rsid w:val="007D1847"/>
    <w:rsid w:val="007D1AC9"/>
    <w:rsid w:val="007D1B12"/>
    <w:rsid w:val="007D1B7F"/>
    <w:rsid w:val="007D1B9C"/>
    <w:rsid w:val="007D206A"/>
    <w:rsid w:val="007D20D6"/>
    <w:rsid w:val="007D21BF"/>
    <w:rsid w:val="007D21D7"/>
    <w:rsid w:val="007D234B"/>
    <w:rsid w:val="007D25C2"/>
    <w:rsid w:val="007D274E"/>
    <w:rsid w:val="007D2910"/>
    <w:rsid w:val="007D2BF6"/>
    <w:rsid w:val="007D2C0D"/>
    <w:rsid w:val="007D2D55"/>
    <w:rsid w:val="007D2D5E"/>
    <w:rsid w:val="007D2EDD"/>
    <w:rsid w:val="007D2F00"/>
    <w:rsid w:val="007D2F90"/>
    <w:rsid w:val="007D3361"/>
    <w:rsid w:val="007D3612"/>
    <w:rsid w:val="007D3A2F"/>
    <w:rsid w:val="007D3B46"/>
    <w:rsid w:val="007D443B"/>
    <w:rsid w:val="007D44E3"/>
    <w:rsid w:val="007D45B2"/>
    <w:rsid w:val="007D49A3"/>
    <w:rsid w:val="007D4D32"/>
    <w:rsid w:val="007D5017"/>
    <w:rsid w:val="007D5136"/>
    <w:rsid w:val="007D5331"/>
    <w:rsid w:val="007D54AC"/>
    <w:rsid w:val="007D5949"/>
    <w:rsid w:val="007D5B41"/>
    <w:rsid w:val="007D5BF9"/>
    <w:rsid w:val="007D5C5B"/>
    <w:rsid w:val="007D6239"/>
    <w:rsid w:val="007D6360"/>
    <w:rsid w:val="007D6387"/>
    <w:rsid w:val="007D63AB"/>
    <w:rsid w:val="007D6550"/>
    <w:rsid w:val="007D661C"/>
    <w:rsid w:val="007D671F"/>
    <w:rsid w:val="007D6BB3"/>
    <w:rsid w:val="007D6DDA"/>
    <w:rsid w:val="007D6E66"/>
    <w:rsid w:val="007D71CB"/>
    <w:rsid w:val="007D7510"/>
    <w:rsid w:val="007D7579"/>
    <w:rsid w:val="007D76AD"/>
    <w:rsid w:val="007D79D4"/>
    <w:rsid w:val="007D7BDB"/>
    <w:rsid w:val="007D7CB4"/>
    <w:rsid w:val="007D7E35"/>
    <w:rsid w:val="007E0051"/>
    <w:rsid w:val="007E00EA"/>
    <w:rsid w:val="007E081C"/>
    <w:rsid w:val="007E0870"/>
    <w:rsid w:val="007E0C4E"/>
    <w:rsid w:val="007E0F03"/>
    <w:rsid w:val="007E0F58"/>
    <w:rsid w:val="007E0F6C"/>
    <w:rsid w:val="007E0FA3"/>
    <w:rsid w:val="007E14A6"/>
    <w:rsid w:val="007E14A8"/>
    <w:rsid w:val="007E153B"/>
    <w:rsid w:val="007E160E"/>
    <w:rsid w:val="007E1A0F"/>
    <w:rsid w:val="007E1A89"/>
    <w:rsid w:val="007E1DCA"/>
    <w:rsid w:val="007E1E2C"/>
    <w:rsid w:val="007E1F36"/>
    <w:rsid w:val="007E2060"/>
    <w:rsid w:val="007E2250"/>
    <w:rsid w:val="007E2564"/>
    <w:rsid w:val="007E264E"/>
    <w:rsid w:val="007E284F"/>
    <w:rsid w:val="007E291F"/>
    <w:rsid w:val="007E2A41"/>
    <w:rsid w:val="007E2B3E"/>
    <w:rsid w:val="007E2BB4"/>
    <w:rsid w:val="007E3322"/>
    <w:rsid w:val="007E34C3"/>
    <w:rsid w:val="007E3921"/>
    <w:rsid w:val="007E3C32"/>
    <w:rsid w:val="007E3CE7"/>
    <w:rsid w:val="007E4069"/>
    <w:rsid w:val="007E41D7"/>
    <w:rsid w:val="007E4402"/>
    <w:rsid w:val="007E44BE"/>
    <w:rsid w:val="007E4749"/>
    <w:rsid w:val="007E47DC"/>
    <w:rsid w:val="007E48BF"/>
    <w:rsid w:val="007E49F7"/>
    <w:rsid w:val="007E4CE8"/>
    <w:rsid w:val="007E4CEA"/>
    <w:rsid w:val="007E4E8D"/>
    <w:rsid w:val="007E5056"/>
    <w:rsid w:val="007E515A"/>
    <w:rsid w:val="007E51AE"/>
    <w:rsid w:val="007E5254"/>
    <w:rsid w:val="007E53C6"/>
    <w:rsid w:val="007E5694"/>
    <w:rsid w:val="007E574A"/>
    <w:rsid w:val="007E5828"/>
    <w:rsid w:val="007E5A35"/>
    <w:rsid w:val="007E5E04"/>
    <w:rsid w:val="007E5EA8"/>
    <w:rsid w:val="007E5F83"/>
    <w:rsid w:val="007E6178"/>
    <w:rsid w:val="007E6221"/>
    <w:rsid w:val="007E67FE"/>
    <w:rsid w:val="007E6823"/>
    <w:rsid w:val="007E690E"/>
    <w:rsid w:val="007E6B8D"/>
    <w:rsid w:val="007E6D68"/>
    <w:rsid w:val="007E6DB4"/>
    <w:rsid w:val="007E7344"/>
    <w:rsid w:val="007E7382"/>
    <w:rsid w:val="007E73A3"/>
    <w:rsid w:val="007E7426"/>
    <w:rsid w:val="007E7542"/>
    <w:rsid w:val="007E7629"/>
    <w:rsid w:val="007E7BBD"/>
    <w:rsid w:val="007E7CC9"/>
    <w:rsid w:val="007E7D8D"/>
    <w:rsid w:val="007E7DC6"/>
    <w:rsid w:val="007F0629"/>
    <w:rsid w:val="007F0644"/>
    <w:rsid w:val="007F09A5"/>
    <w:rsid w:val="007F0E23"/>
    <w:rsid w:val="007F0FEB"/>
    <w:rsid w:val="007F1540"/>
    <w:rsid w:val="007F1714"/>
    <w:rsid w:val="007F1739"/>
    <w:rsid w:val="007F1B22"/>
    <w:rsid w:val="007F1BA1"/>
    <w:rsid w:val="007F1BE3"/>
    <w:rsid w:val="007F1E2C"/>
    <w:rsid w:val="007F1F35"/>
    <w:rsid w:val="007F23FA"/>
    <w:rsid w:val="007F2612"/>
    <w:rsid w:val="007F29FB"/>
    <w:rsid w:val="007F30AE"/>
    <w:rsid w:val="007F3AED"/>
    <w:rsid w:val="007F3D8A"/>
    <w:rsid w:val="007F3F18"/>
    <w:rsid w:val="007F3FF8"/>
    <w:rsid w:val="007F4075"/>
    <w:rsid w:val="007F40CB"/>
    <w:rsid w:val="007F41BD"/>
    <w:rsid w:val="007F46B8"/>
    <w:rsid w:val="007F485D"/>
    <w:rsid w:val="007F4A7F"/>
    <w:rsid w:val="007F4FF1"/>
    <w:rsid w:val="007F5122"/>
    <w:rsid w:val="007F55EB"/>
    <w:rsid w:val="007F56C7"/>
    <w:rsid w:val="007F56E1"/>
    <w:rsid w:val="007F590F"/>
    <w:rsid w:val="007F5D6E"/>
    <w:rsid w:val="007F5EEA"/>
    <w:rsid w:val="007F5F8E"/>
    <w:rsid w:val="007F6085"/>
    <w:rsid w:val="007F60AA"/>
    <w:rsid w:val="007F6251"/>
    <w:rsid w:val="007F639B"/>
    <w:rsid w:val="007F697C"/>
    <w:rsid w:val="007F6A11"/>
    <w:rsid w:val="007F6E3B"/>
    <w:rsid w:val="007F714F"/>
    <w:rsid w:val="007F758D"/>
    <w:rsid w:val="007F78D2"/>
    <w:rsid w:val="007F79D9"/>
    <w:rsid w:val="007F7AD7"/>
    <w:rsid w:val="007F7B3F"/>
    <w:rsid w:val="007F7B62"/>
    <w:rsid w:val="0080002A"/>
    <w:rsid w:val="0080023B"/>
    <w:rsid w:val="008003BA"/>
    <w:rsid w:val="008007F4"/>
    <w:rsid w:val="008008C6"/>
    <w:rsid w:val="0080091B"/>
    <w:rsid w:val="00800D18"/>
    <w:rsid w:val="00800EE5"/>
    <w:rsid w:val="00800EEA"/>
    <w:rsid w:val="0080107C"/>
    <w:rsid w:val="00801714"/>
    <w:rsid w:val="00801781"/>
    <w:rsid w:val="008017A1"/>
    <w:rsid w:val="00801827"/>
    <w:rsid w:val="008018DF"/>
    <w:rsid w:val="00801CFF"/>
    <w:rsid w:val="00801E19"/>
    <w:rsid w:val="00801E29"/>
    <w:rsid w:val="00801FA7"/>
    <w:rsid w:val="00801FBB"/>
    <w:rsid w:val="00802328"/>
    <w:rsid w:val="00802480"/>
    <w:rsid w:val="008024A4"/>
    <w:rsid w:val="00802C56"/>
    <w:rsid w:val="00802D43"/>
    <w:rsid w:val="00802EE6"/>
    <w:rsid w:val="00802F1B"/>
    <w:rsid w:val="008032A5"/>
    <w:rsid w:val="00803490"/>
    <w:rsid w:val="008034D2"/>
    <w:rsid w:val="00803704"/>
    <w:rsid w:val="00803837"/>
    <w:rsid w:val="00803981"/>
    <w:rsid w:val="00803BF1"/>
    <w:rsid w:val="00803E8B"/>
    <w:rsid w:val="00803FAA"/>
    <w:rsid w:val="008041A0"/>
    <w:rsid w:val="008047AA"/>
    <w:rsid w:val="00804AE4"/>
    <w:rsid w:val="00804E5D"/>
    <w:rsid w:val="00805B01"/>
    <w:rsid w:val="00805D35"/>
    <w:rsid w:val="00805F05"/>
    <w:rsid w:val="00805F41"/>
    <w:rsid w:val="008062B0"/>
    <w:rsid w:val="008064E3"/>
    <w:rsid w:val="008065B5"/>
    <w:rsid w:val="00806D19"/>
    <w:rsid w:val="00806D44"/>
    <w:rsid w:val="00807227"/>
    <w:rsid w:val="00807362"/>
    <w:rsid w:val="008075B3"/>
    <w:rsid w:val="0080798A"/>
    <w:rsid w:val="00807A12"/>
    <w:rsid w:val="00807AC4"/>
    <w:rsid w:val="00807D6A"/>
    <w:rsid w:val="00807E52"/>
    <w:rsid w:val="0081039D"/>
    <w:rsid w:val="008103D3"/>
    <w:rsid w:val="00810804"/>
    <w:rsid w:val="00810856"/>
    <w:rsid w:val="00810C59"/>
    <w:rsid w:val="00810CE6"/>
    <w:rsid w:val="00811075"/>
    <w:rsid w:val="00811086"/>
    <w:rsid w:val="008110A0"/>
    <w:rsid w:val="008116CD"/>
    <w:rsid w:val="008117FE"/>
    <w:rsid w:val="00811C14"/>
    <w:rsid w:val="00811D86"/>
    <w:rsid w:val="00811F37"/>
    <w:rsid w:val="008122E7"/>
    <w:rsid w:val="0081257F"/>
    <w:rsid w:val="00812AF4"/>
    <w:rsid w:val="00812BBA"/>
    <w:rsid w:val="00812EC0"/>
    <w:rsid w:val="00813141"/>
    <w:rsid w:val="00813167"/>
    <w:rsid w:val="008131A8"/>
    <w:rsid w:val="008133B8"/>
    <w:rsid w:val="008136D7"/>
    <w:rsid w:val="00813964"/>
    <w:rsid w:val="008139A8"/>
    <w:rsid w:val="00813ADF"/>
    <w:rsid w:val="0081423B"/>
    <w:rsid w:val="00814242"/>
    <w:rsid w:val="00814334"/>
    <w:rsid w:val="0081442B"/>
    <w:rsid w:val="008148B0"/>
    <w:rsid w:val="00814973"/>
    <w:rsid w:val="00814990"/>
    <w:rsid w:val="00814ACB"/>
    <w:rsid w:val="00814B7A"/>
    <w:rsid w:val="00814F98"/>
    <w:rsid w:val="008151B2"/>
    <w:rsid w:val="008152CC"/>
    <w:rsid w:val="00815511"/>
    <w:rsid w:val="00815617"/>
    <w:rsid w:val="00815C89"/>
    <w:rsid w:val="00815D92"/>
    <w:rsid w:val="00816228"/>
    <w:rsid w:val="008168F3"/>
    <w:rsid w:val="00816C49"/>
    <w:rsid w:val="00816CB5"/>
    <w:rsid w:val="00816D91"/>
    <w:rsid w:val="00816E9A"/>
    <w:rsid w:val="0081739A"/>
    <w:rsid w:val="008174EF"/>
    <w:rsid w:val="008175A1"/>
    <w:rsid w:val="008177A3"/>
    <w:rsid w:val="008178A5"/>
    <w:rsid w:val="00817929"/>
    <w:rsid w:val="00817A09"/>
    <w:rsid w:val="00817D03"/>
    <w:rsid w:val="00817E70"/>
    <w:rsid w:val="0082008C"/>
    <w:rsid w:val="008202BE"/>
    <w:rsid w:val="0082032A"/>
    <w:rsid w:val="00820398"/>
    <w:rsid w:val="008204A9"/>
    <w:rsid w:val="0082050B"/>
    <w:rsid w:val="00820538"/>
    <w:rsid w:val="00820628"/>
    <w:rsid w:val="00820FC7"/>
    <w:rsid w:val="00821096"/>
    <w:rsid w:val="008210BE"/>
    <w:rsid w:val="0082171E"/>
    <w:rsid w:val="008218E9"/>
    <w:rsid w:val="008219E2"/>
    <w:rsid w:val="00821ABA"/>
    <w:rsid w:val="00821D3B"/>
    <w:rsid w:val="008222A8"/>
    <w:rsid w:val="008222F9"/>
    <w:rsid w:val="008224B2"/>
    <w:rsid w:val="0082261E"/>
    <w:rsid w:val="0082268C"/>
    <w:rsid w:val="00822723"/>
    <w:rsid w:val="008227C0"/>
    <w:rsid w:val="00822ABC"/>
    <w:rsid w:val="00822F27"/>
    <w:rsid w:val="00822F88"/>
    <w:rsid w:val="008230B0"/>
    <w:rsid w:val="008230BF"/>
    <w:rsid w:val="0082347B"/>
    <w:rsid w:val="008235C0"/>
    <w:rsid w:val="008235C9"/>
    <w:rsid w:val="00823CA5"/>
    <w:rsid w:val="00823D03"/>
    <w:rsid w:val="00823E9D"/>
    <w:rsid w:val="00823F2B"/>
    <w:rsid w:val="008241FA"/>
    <w:rsid w:val="00824273"/>
    <w:rsid w:val="0082465B"/>
    <w:rsid w:val="008251AA"/>
    <w:rsid w:val="0082548F"/>
    <w:rsid w:val="008254BF"/>
    <w:rsid w:val="00825591"/>
    <w:rsid w:val="0082585E"/>
    <w:rsid w:val="00825CFD"/>
    <w:rsid w:val="00825DF8"/>
    <w:rsid w:val="00826113"/>
    <w:rsid w:val="00826214"/>
    <w:rsid w:val="00826410"/>
    <w:rsid w:val="008265D7"/>
    <w:rsid w:val="008266BD"/>
    <w:rsid w:val="008266F7"/>
    <w:rsid w:val="008266F8"/>
    <w:rsid w:val="00826AC5"/>
    <w:rsid w:val="00826E42"/>
    <w:rsid w:val="0082700F"/>
    <w:rsid w:val="008271DC"/>
    <w:rsid w:val="0082745B"/>
    <w:rsid w:val="00827550"/>
    <w:rsid w:val="00827863"/>
    <w:rsid w:val="0082788A"/>
    <w:rsid w:val="008278CB"/>
    <w:rsid w:val="00827B76"/>
    <w:rsid w:val="00827C67"/>
    <w:rsid w:val="00827F83"/>
    <w:rsid w:val="0083012A"/>
    <w:rsid w:val="008305CA"/>
    <w:rsid w:val="008306EB"/>
    <w:rsid w:val="008307CF"/>
    <w:rsid w:val="008307DA"/>
    <w:rsid w:val="0083092F"/>
    <w:rsid w:val="00830C8F"/>
    <w:rsid w:val="00830CD9"/>
    <w:rsid w:val="00830D28"/>
    <w:rsid w:val="00830D49"/>
    <w:rsid w:val="00830D72"/>
    <w:rsid w:val="00830FBE"/>
    <w:rsid w:val="00830FEA"/>
    <w:rsid w:val="008316CB"/>
    <w:rsid w:val="008319F6"/>
    <w:rsid w:val="00831FA4"/>
    <w:rsid w:val="00831FB1"/>
    <w:rsid w:val="00831FE3"/>
    <w:rsid w:val="0083214D"/>
    <w:rsid w:val="0083223D"/>
    <w:rsid w:val="00832348"/>
    <w:rsid w:val="008323E3"/>
    <w:rsid w:val="00832799"/>
    <w:rsid w:val="008329B3"/>
    <w:rsid w:val="0083302A"/>
    <w:rsid w:val="0083303E"/>
    <w:rsid w:val="008330CC"/>
    <w:rsid w:val="0083326D"/>
    <w:rsid w:val="008334A2"/>
    <w:rsid w:val="008334AE"/>
    <w:rsid w:val="008338EC"/>
    <w:rsid w:val="00833A09"/>
    <w:rsid w:val="00833BDA"/>
    <w:rsid w:val="00833BE4"/>
    <w:rsid w:val="00833CD5"/>
    <w:rsid w:val="00833DF8"/>
    <w:rsid w:val="00834121"/>
    <w:rsid w:val="008342E5"/>
    <w:rsid w:val="008343F4"/>
    <w:rsid w:val="00834699"/>
    <w:rsid w:val="008348F8"/>
    <w:rsid w:val="00834EBD"/>
    <w:rsid w:val="0083521A"/>
    <w:rsid w:val="00835796"/>
    <w:rsid w:val="008359F5"/>
    <w:rsid w:val="00835DFF"/>
    <w:rsid w:val="00835E08"/>
    <w:rsid w:val="00835FF6"/>
    <w:rsid w:val="008360B8"/>
    <w:rsid w:val="008360C0"/>
    <w:rsid w:val="008366A4"/>
    <w:rsid w:val="008369D0"/>
    <w:rsid w:val="00836AF2"/>
    <w:rsid w:val="00836B0B"/>
    <w:rsid w:val="008370BE"/>
    <w:rsid w:val="008370F7"/>
    <w:rsid w:val="008372AA"/>
    <w:rsid w:val="008374DD"/>
    <w:rsid w:val="008375F0"/>
    <w:rsid w:val="0083766C"/>
    <w:rsid w:val="00837960"/>
    <w:rsid w:val="008379BE"/>
    <w:rsid w:val="00837ABB"/>
    <w:rsid w:val="00837BE8"/>
    <w:rsid w:val="00837C72"/>
    <w:rsid w:val="00837F2B"/>
    <w:rsid w:val="00840075"/>
    <w:rsid w:val="008401AA"/>
    <w:rsid w:val="008403B7"/>
    <w:rsid w:val="00840534"/>
    <w:rsid w:val="00840683"/>
    <w:rsid w:val="0084080E"/>
    <w:rsid w:val="00840C78"/>
    <w:rsid w:val="00840ED7"/>
    <w:rsid w:val="008414B5"/>
    <w:rsid w:val="00841A29"/>
    <w:rsid w:val="00841A72"/>
    <w:rsid w:val="00841AFC"/>
    <w:rsid w:val="00841DC2"/>
    <w:rsid w:val="00841F61"/>
    <w:rsid w:val="00842168"/>
    <w:rsid w:val="008421B3"/>
    <w:rsid w:val="008422F7"/>
    <w:rsid w:val="008423D5"/>
    <w:rsid w:val="0084242F"/>
    <w:rsid w:val="00842652"/>
    <w:rsid w:val="008426C0"/>
    <w:rsid w:val="00842C9F"/>
    <w:rsid w:val="00842F94"/>
    <w:rsid w:val="00843227"/>
    <w:rsid w:val="00843623"/>
    <w:rsid w:val="00843B92"/>
    <w:rsid w:val="00843D4C"/>
    <w:rsid w:val="00843F85"/>
    <w:rsid w:val="008440F8"/>
    <w:rsid w:val="00844122"/>
    <w:rsid w:val="00844522"/>
    <w:rsid w:val="00844D53"/>
    <w:rsid w:val="00844D8D"/>
    <w:rsid w:val="00844E76"/>
    <w:rsid w:val="00844FAF"/>
    <w:rsid w:val="0084531E"/>
    <w:rsid w:val="00845666"/>
    <w:rsid w:val="00845744"/>
    <w:rsid w:val="00845ADB"/>
    <w:rsid w:val="00845D44"/>
    <w:rsid w:val="00845F2E"/>
    <w:rsid w:val="0084607A"/>
    <w:rsid w:val="008460D9"/>
    <w:rsid w:val="0084612C"/>
    <w:rsid w:val="008461FE"/>
    <w:rsid w:val="0084681C"/>
    <w:rsid w:val="00846A0F"/>
    <w:rsid w:val="00846A67"/>
    <w:rsid w:val="00846D2A"/>
    <w:rsid w:val="00846EB3"/>
    <w:rsid w:val="0084719D"/>
    <w:rsid w:val="008476DD"/>
    <w:rsid w:val="00847C79"/>
    <w:rsid w:val="00850105"/>
    <w:rsid w:val="008501CE"/>
    <w:rsid w:val="0085023E"/>
    <w:rsid w:val="0085024F"/>
    <w:rsid w:val="008504DA"/>
    <w:rsid w:val="0085056E"/>
    <w:rsid w:val="008505F6"/>
    <w:rsid w:val="00850C43"/>
    <w:rsid w:val="00850F6D"/>
    <w:rsid w:val="008512D1"/>
    <w:rsid w:val="008512EF"/>
    <w:rsid w:val="00851778"/>
    <w:rsid w:val="00851887"/>
    <w:rsid w:val="00851D6D"/>
    <w:rsid w:val="0085200C"/>
    <w:rsid w:val="008523C8"/>
    <w:rsid w:val="00852467"/>
    <w:rsid w:val="00852870"/>
    <w:rsid w:val="008529F8"/>
    <w:rsid w:val="00852A5D"/>
    <w:rsid w:val="00852F64"/>
    <w:rsid w:val="00852F78"/>
    <w:rsid w:val="00853039"/>
    <w:rsid w:val="0085313F"/>
    <w:rsid w:val="00853163"/>
    <w:rsid w:val="00853300"/>
    <w:rsid w:val="00853328"/>
    <w:rsid w:val="00853389"/>
    <w:rsid w:val="00853430"/>
    <w:rsid w:val="0085360B"/>
    <w:rsid w:val="0085385B"/>
    <w:rsid w:val="0085386C"/>
    <w:rsid w:val="00853927"/>
    <w:rsid w:val="00853998"/>
    <w:rsid w:val="00853B27"/>
    <w:rsid w:val="00854081"/>
    <w:rsid w:val="00854331"/>
    <w:rsid w:val="008547F6"/>
    <w:rsid w:val="00854923"/>
    <w:rsid w:val="00854A7D"/>
    <w:rsid w:val="00854AEE"/>
    <w:rsid w:val="00854AF1"/>
    <w:rsid w:val="00854C01"/>
    <w:rsid w:val="008551A6"/>
    <w:rsid w:val="00855B20"/>
    <w:rsid w:val="00855E19"/>
    <w:rsid w:val="00855F64"/>
    <w:rsid w:val="00856140"/>
    <w:rsid w:val="00856516"/>
    <w:rsid w:val="008565EA"/>
    <w:rsid w:val="008568BD"/>
    <w:rsid w:val="00856BA2"/>
    <w:rsid w:val="00856BA5"/>
    <w:rsid w:val="00856CE1"/>
    <w:rsid w:val="00856CE7"/>
    <w:rsid w:val="00857149"/>
    <w:rsid w:val="00857443"/>
    <w:rsid w:val="008575C7"/>
    <w:rsid w:val="0085785E"/>
    <w:rsid w:val="00857ACB"/>
    <w:rsid w:val="00857B2B"/>
    <w:rsid w:val="00857C55"/>
    <w:rsid w:val="00857D08"/>
    <w:rsid w:val="00857DAD"/>
    <w:rsid w:val="00857E1E"/>
    <w:rsid w:val="008600CB"/>
    <w:rsid w:val="008605A9"/>
    <w:rsid w:val="00860886"/>
    <w:rsid w:val="00860DA5"/>
    <w:rsid w:val="0086129F"/>
    <w:rsid w:val="008613F1"/>
    <w:rsid w:val="00861736"/>
    <w:rsid w:val="00861807"/>
    <w:rsid w:val="00861AEB"/>
    <w:rsid w:val="00861E7D"/>
    <w:rsid w:val="00861F10"/>
    <w:rsid w:val="00862174"/>
    <w:rsid w:val="00862280"/>
    <w:rsid w:val="0086254A"/>
    <w:rsid w:val="0086282E"/>
    <w:rsid w:val="00862833"/>
    <w:rsid w:val="00862F48"/>
    <w:rsid w:val="00862F9A"/>
    <w:rsid w:val="008632D7"/>
    <w:rsid w:val="0086396E"/>
    <w:rsid w:val="00863A9E"/>
    <w:rsid w:val="00863BA0"/>
    <w:rsid w:val="00863BDD"/>
    <w:rsid w:val="00863CE9"/>
    <w:rsid w:val="00863D9C"/>
    <w:rsid w:val="00863E2D"/>
    <w:rsid w:val="0086416A"/>
    <w:rsid w:val="00864391"/>
    <w:rsid w:val="008646E2"/>
    <w:rsid w:val="00864814"/>
    <w:rsid w:val="00864918"/>
    <w:rsid w:val="00864936"/>
    <w:rsid w:val="0086517D"/>
    <w:rsid w:val="0086519F"/>
    <w:rsid w:val="008652F1"/>
    <w:rsid w:val="008654D2"/>
    <w:rsid w:val="008655B8"/>
    <w:rsid w:val="00865648"/>
    <w:rsid w:val="00865685"/>
    <w:rsid w:val="00865838"/>
    <w:rsid w:val="00865A6A"/>
    <w:rsid w:val="00865CA0"/>
    <w:rsid w:val="00865CBB"/>
    <w:rsid w:val="00865CED"/>
    <w:rsid w:val="00866017"/>
    <w:rsid w:val="00866052"/>
    <w:rsid w:val="00866375"/>
    <w:rsid w:val="00866B2A"/>
    <w:rsid w:val="00866D5B"/>
    <w:rsid w:val="008670BE"/>
    <w:rsid w:val="008670F5"/>
    <w:rsid w:val="0086726A"/>
    <w:rsid w:val="00867642"/>
    <w:rsid w:val="008678BE"/>
    <w:rsid w:val="00867B4D"/>
    <w:rsid w:val="00867BAF"/>
    <w:rsid w:val="00867EF4"/>
    <w:rsid w:val="00867F7E"/>
    <w:rsid w:val="00867FF6"/>
    <w:rsid w:val="00870203"/>
    <w:rsid w:val="00870402"/>
    <w:rsid w:val="008704C0"/>
    <w:rsid w:val="00870D1C"/>
    <w:rsid w:val="00870D52"/>
    <w:rsid w:val="00870DCC"/>
    <w:rsid w:val="00870F19"/>
    <w:rsid w:val="00871071"/>
    <w:rsid w:val="00871544"/>
    <w:rsid w:val="00871577"/>
    <w:rsid w:val="0087158E"/>
    <w:rsid w:val="00871ADC"/>
    <w:rsid w:val="00871AE4"/>
    <w:rsid w:val="00871BF1"/>
    <w:rsid w:val="00871CB7"/>
    <w:rsid w:val="00871E8A"/>
    <w:rsid w:val="00872208"/>
    <w:rsid w:val="00872418"/>
    <w:rsid w:val="00872575"/>
    <w:rsid w:val="008726AF"/>
    <w:rsid w:val="008726B1"/>
    <w:rsid w:val="00872D07"/>
    <w:rsid w:val="00872DBF"/>
    <w:rsid w:val="00872F39"/>
    <w:rsid w:val="00872FE0"/>
    <w:rsid w:val="008733FA"/>
    <w:rsid w:val="0087345E"/>
    <w:rsid w:val="0087361F"/>
    <w:rsid w:val="00873664"/>
    <w:rsid w:val="008737F9"/>
    <w:rsid w:val="00873A96"/>
    <w:rsid w:val="00873CCB"/>
    <w:rsid w:val="00873D59"/>
    <w:rsid w:val="00873E4B"/>
    <w:rsid w:val="0087409C"/>
    <w:rsid w:val="008740A8"/>
    <w:rsid w:val="008740D4"/>
    <w:rsid w:val="00874197"/>
    <w:rsid w:val="00874198"/>
    <w:rsid w:val="0087452A"/>
    <w:rsid w:val="008745A8"/>
    <w:rsid w:val="00874AC8"/>
    <w:rsid w:val="00874B0A"/>
    <w:rsid w:val="00874DED"/>
    <w:rsid w:val="00874F4C"/>
    <w:rsid w:val="00874FA0"/>
    <w:rsid w:val="00875576"/>
    <w:rsid w:val="00875701"/>
    <w:rsid w:val="00875974"/>
    <w:rsid w:val="00875D1B"/>
    <w:rsid w:val="00876600"/>
    <w:rsid w:val="008767B7"/>
    <w:rsid w:val="00876B01"/>
    <w:rsid w:val="00877039"/>
    <w:rsid w:val="00877136"/>
    <w:rsid w:val="008772F9"/>
    <w:rsid w:val="008775ED"/>
    <w:rsid w:val="00877B48"/>
    <w:rsid w:val="00877C61"/>
    <w:rsid w:val="00877DC3"/>
    <w:rsid w:val="00877F4F"/>
    <w:rsid w:val="00880246"/>
    <w:rsid w:val="008807BA"/>
    <w:rsid w:val="0088091F"/>
    <w:rsid w:val="00880A8E"/>
    <w:rsid w:val="00880AB4"/>
    <w:rsid w:val="00880F5C"/>
    <w:rsid w:val="00881095"/>
    <w:rsid w:val="0088136D"/>
    <w:rsid w:val="008815E7"/>
    <w:rsid w:val="00881638"/>
    <w:rsid w:val="008816C9"/>
    <w:rsid w:val="00881752"/>
    <w:rsid w:val="0088180D"/>
    <w:rsid w:val="00881947"/>
    <w:rsid w:val="00881AB3"/>
    <w:rsid w:val="00881AF2"/>
    <w:rsid w:val="00881BEE"/>
    <w:rsid w:val="00881BF3"/>
    <w:rsid w:val="00881CB8"/>
    <w:rsid w:val="00881CE4"/>
    <w:rsid w:val="00881D1A"/>
    <w:rsid w:val="008820B2"/>
    <w:rsid w:val="008821AD"/>
    <w:rsid w:val="00882274"/>
    <w:rsid w:val="008823C3"/>
    <w:rsid w:val="008825B3"/>
    <w:rsid w:val="008826C9"/>
    <w:rsid w:val="008826F6"/>
    <w:rsid w:val="00882DC1"/>
    <w:rsid w:val="00883270"/>
    <w:rsid w:val="00883419"/>
    <w:rsid w:val="0088395C"/>
    <w:rsid w:val="00883B2C"/>
    <w:rsid w:val="00884AE7"/>
    <w:rsid w:val="00885261"/>
    <w:rsid w:val="00885496"/>
    <w:rsid w:val="008855A4"/>
    <w:rsid w:val="008856B9"/>
    <w:rsid w:val="00885B0C"/>
    <w:rsid w:val="00885EB2"/>
    <w:rsid w:val="008861E5"/>
    <w:rsid w:val="00886388"/>
    <w:rsid w:val="00886586"/>
    <w:rsid w:val="008866B6"/>
    <w:rsid w:val="00886992"/>
    <w:rsid w:val="00886EA4"/>
    <w:rsid w:val="008871D2"/>
    <w:rsid w:val="00887742"/>
    <w:rsid w:val="008879FF"/>
    <w:rsid w:val="00887BD6"/>
    <w:rsid w:val="00887C73"/>
    <w:rsid w:val="00887D3F"/>
    <w:rsid w:val="00887E3F"/>
    <w:rsid w:val="00887F15"/>
    <w:rsid w:val="008900BD"/>
    <w:rsid w:val="00890372"/>
    <w:rsid w:val="00890391"/>
    <w:rsid w:val="00890CD6"/>
    <w:rsid w:val="00891192"/>
    <w:rsid w:val="008912AB"/>
    <w:rsid w:val="008912F5"/>
    <w:rsid w:val="00891464"/>
    <w:rsid w:val="0089197C"/>
    <w:rsid w:val="008919F8"/>
    <w:rsid w:val="00891C6F"/>
    <w:rsid w:val="00891D23"/>
    <w:rsid w:val="00891DBD"/>
    <w:rsid w:val="00891F09"/>
    <w:rsid w:val="00892096"/>
    <w:rsid w:val="00892170"/>
    <w:rsid w:val="00892635"/>
    <w:rsid w:val="0089295B"/>
    <w:rsid w:val="00892BD0"/>
    <w:rsid w:val="00892C67"/>
    <w:rsid w:val="00893246"/>
    <w:rsid w:val="00893487"/>
    <w:rsid w:val="0089348C"/>
    <w:rsid w:val="0089356F"/>
    <w:rsid w:val="00893619"/>
    <w:rsid w:val="008936D6"/>
    <w:rsid w:val="00893AD6"/>
    <w:rsid w:val="00894141"/>
    <w:rsid w:val="00894240"/>
    <w:rsid w:val="00894405"/>
    <w:rsid w:val="008947A7"/>
    <w:rsid w:val="00894AE6"/>
    <w:rsid w:val="00894F98"/>
    <w:rsid w:val="00895075"/>
    <w:rsid w:val="0089508B"/>
    <w:rsid w:val="008951EA"/>
    <w:rsid w:val="008955D5"/>
    <w:rsid w:val="008956C7"/>
    <w:rsid w:val="0089586D"/>
    <w:rsid w:val="00895A07"/>
    <w:rsid w:val="00895B6F"/>
    <w:rsid w:val="00895CD8"/>
    <w:rsid w:val="00895F58"/>
    <w:rsid w:val="00895FA5"/>
    <w:rsid w:val="00896111"/>
    <w:rsid w:val="0089671B"/>
    <w:rsid w:val="0089693B"/>
    <w:rsid w:val="0089695E"/>
    <w:rsid w:val="00896B54"/>
    <w:rsid w:val="00896F18"/>
    <w:rsid w:val="00897750"/>
    <w:rsid w:val="00897D73"/>
    <w:rsid w:val="00897F9C"/>
    <w:rsid w:val="008A023B"/>
    <w:rsid w:val="008A07DA"/>
    <w:rsid w:val="008A0914"/>
    <w:rsid w:val="008A09A1"/>
    <w:rsid w:val="008A0D4B"/>
    <w:rsid w:val="008A0D9D"/>
    <w:rsid w:val="008A0DCF"/>
    <w:rsid w:val="008A11DA"/>
    <w:rsid w:val="008A12CE"/>
    <w:rsid w:val="008A1646"/>
    <w:rsid w:val="008A182E"/>
    <w:rsid w:val="008A1BED"/>
    <w:rsid w:val="008A1D16"/>
    <w:rsid w:val="008A201E"/>
    <w:rsid w:val="008A2081"/>
    <w:rsid w:val="008A2292"/>
    <w:rsid w:val="008A2505"/>
    <w:rsid w:val="008A278B"/>
    <w:rsid w:val="008A27D4"/>
    <w:rsid w:val="008A302F"/>
    <w:rsid w:val="008A31FB"/>
    <w:rsid w:val="008A3610"/>
    <w:rsid w:val="008A376A"/>
    <w:rsid w:val="008A388B"/>
    <w:rsid w:val="008A3CF6"/>
    <w:rsid w:val="008A3ED9"/>
    <w:rsid w:val="008A482E"/>
    <w:rsid w:val="008A4C6F"/>
    <w:rsid w:val="008A4CB1"/>
    <w:rsid w:val="008A4CE3"/>
    <w:rsid w:val="008A4D55"/>
    <w:rsid w:val="008A4F6E"/>
    <w:rsid w:val="008A510B"/>
    <w:rsid w:val="008A531B"/>
    <w:rsid w:val="008A5396"/>
    <w:rsid w:val="008A5426"/>
    <w:rsid w:val="008A585F"/>
    <w:rsid w:val="008A5A4A"/>
    <w:rsid w:val="008A5B07"/>
    <w:rsid w:val="008A630C"/>
    <w:rsid w:val="008A6574"/>
    <w:rsid w:val="008A6796"/>
    <w:rsid w:val="008A681E"/>
    <w:rsid w:val="008A6FA4"/>
    <w:rsid w:val="008A7563"/>
    <w:rsid w:val="008A760A"/>
    <w:rsid w:val="008A787E"/>
    <w:rsid w:val="008A7B54"/>
    <w:rsid w:val="008A7BE1"/>
    <w:rsid w:val="008A7EDB"/>
    <w:rsid w:val="008A7F54"/>
    <w:rsid w:val="008B006C"/>
    <w:rsid w:val="008B00F3"/>
    <w:rsid w:val="008B0464"/>
    <w:rsid w:val="008B0896"/>
    <w:rsid w:val="008B0C67"/>
    <w:rsid w:val="008B1314"/>
    <w:rsid w:val="008B13B3"/>
    <w:rsid w:val="008B1528"/>
    <w:rsid w:val="008B17AB"/>
    <w:rsid w:val="008B18DB"/>
    <w:rsid w:val="008B1AEC"/>
    <w:rsid w:val="008B21BB"/>
    <w:rsid w:val="008B2371"/>
    <w:rsid w:val="008B241F"/>
    <w:rsid w:val="008B2478"/>
    <w:rsid w:val="008B271D"/>
    <w:rsid w:val="008B2960"/>
    <w:rsid w:val="008B29D0"/>
    <w:rsid w:val="008B2F8A"/>
    <w:rsid w:val="008B3324"/>
    <w:rsid w:val="008B38C8"/>
    <w:rsid w:val="008B3AFF"/>
    <w:rsid w:val="008B3E19"/>
    <w:rsid w:val="008B451C"/>
    <w:rsid w:val="008B458E"/>
    <w:rsid w:val="008B459A"/>
    <w:rsid w:val="008B4A7D"/>
    <w:rsid w:val="008B4A89"/>
    <w:rsid w:val="008B515F"/>
    <w:rsid w:val="008B523B"/>
    <w:rsid w:val="008B5416"/>
    <w:rsid w:val="008B584B"/>
    <w:rsid w:val="008B594D"/>
    <w:rsid w:val="008B5E56"/>
    <w:rsid w:val="008B664B"/>
    <w:rsid w:val="008B669C"/>
    <w:rsid w:val="008B690A"/>
    <w:rsid w:val="008B6D3C"/>
    <w:rsid w:val="008B6EEA"/>
    <w:rsid w:val="008B6EEB"/>
    <w:rsid w:val="008B6F7F"/>
    <w:rsid w:val="008B70CB"/>
    <w:rsid w:val="008B7236"/>
    <w:rsid w:val="008B7476"/>
    <w:rsid w:val="008B76AB"/>
    <w:rsid w:val="008B79CD"/>
    <w:rsid w:val="008B7E79"/>
    <w:rsid w:val="008B7F4B"/>
    <w:rsid w:val="008C0188"/>
    <w:rsid w:val="008C0283"/>
    <w:rsid w:val="008C02FD"/>
    <w:rsid w:val="008C09A6"/>
    <w:rsid w:val="008C0DC5"/>
    <w:rsid w:val="008C0F86"/>
    <w:rsid w:val="008C100B"/>
    <w:rsid w:val="008C1011"/>
    <w:rsid w:val="008C1241"/>
    <w:rsid w:val="008C1273"/>
    <w:rsid w:val="008C12F6"/>
    <w:rsid w:val="008C13EA"/>
    <w:rsid w:val="008C1560"/>
    <w:rsid w:val="008C1754"/>
    <w:rsid w:val="008C1A47"/>
    <w:rsid w:val="008C1AAF"/>
    <w:rsid w:val="008C1DC4"/>
    <w:rsid w:val="008C1DD2"/>
    <w:rsid w:val="008C26CA"/>
    <w:rsid w:val="008C283F"/>
    <w:rsid w:val="008C28B2"/>
    <w:rsid w:val="008C3454"/>
    <w:rsid w:val="008C349A"/>
    <w:rsid w:val="008C37F9"/>
    <w:rsid w:val="008C38D4"/>
    <w:rsid w:val="008C38DD"/>
    <w:rsid w:val="008C3939"/>
    <w:rsid w:val="008C3ADA"/>
    <w:rsid w:val="008C3D85"/>
    <w:rsid w:val="008C3F00"/>
    <w:rsid w:val="008C3F22"/>
    <w:rsid w:val="008C4077"/>
    <w:rsid w:val="008C4145"/>
    <w:rsid w:val="008C45B1"/>
    <w:rsid w:val="008C4650"/>
    <w:rsid w:val="008C4B76"/>
    <w:rsid w:val="008C4F81"/>
    <w:rsid w:val="008C504B"/>
    <w:rsid w:val="008C5151"/>
    <w:rsid w:val="008C51EC"/>
    <w:rsid w:val="008C533F"/>
    <w:rsid w:val="008C54BB"/>
    <w:rsid w:val="008C57F1"/>
    <w:rsid w:val="008C5C28"/>
    <w:rsid w:val="008C5C39"/>
    <w:rsid w:val="008C5F71"/>
    <w:rsid w:val="008C6567"/>
    <w:rsid w:val="008C65E0"/>
    <w:rsid w:val="008C67D3"/>
    <w:rsid w:val="008C6CAD"/>
    <w:rsid w:val="008C70B6"/>
    <w:rsid w:val="008C7687"/>
    <w:rsid w:val="008C7AB9"/>
    <w:rsid w:val="008C7F8F"/>
    <w:rsid w:val="008C7FB3"/>
    <w:rsid w:val="008D1167"/>
    <w:rsid w:val="008D151A"/>
    <w:rsid w:val="008D1690"/>
    <w:rsid w:val="008D19C9"/>
    <w:rsid w:val="008D1DFF"/>
    <w:rsid w:val="008D24A3"/>
    <w:rsid w:val="008D254E"/>
    <w:rsid w:val="008D2626"/>
    <w:rsid w:val="008D26C2"/>
    <w:rsid w:val="008D277D"/>
    <w:rsid w:val="008D291E"/>
    <w:rsid w:val="008D2B6D"/>
    <w:rsid w:val="008D2C62"/>
    <w:rsid w:val="008D2EA6"/>
    <w:rsid w:val="008D2FB8"/>
    <w:rsid w:val="008D303B"/>
    <w:rsid w:val="008D32B0"/>
    <w:rsid w:val="008D32EA"/>
    <w:rsid w:val="008D344B"/>
    <w:rsid w:val="008D34B1"/>
    <w:rsid w:val="008D3723"/>
    <w:rsid w:val="008D374C"/>
    <w:rsid w:val="008D3D27"/>
    <w:rsid w:val="008D3D57"/>
    <w:rsid w:val="008D430B"/>
    <w:rsid w:val="008D4365"/>
    <w:rsid w:val="008D44E0"/>
    <w:rsid w:val="008D481C"/>
    <w:rsid w:val="008D49D2"/>
    <w:rsid w:val="008D4B1B"/>
    <w:rsid w:val="008D4B9B"/>
    <w:rsid w:val="008D4EA2"/>
    <w:rsid w:val="008D4F5A"/>
    <w:rsid w:val="008D5076"/>
    <w:rsid w:val="008D5484"/>
    <w:rsid w:val="008D548F"/>
    <w:rsid w:val="008D5543"/>
    <w:rsid w:val="008D5645"/>
    <w:rsid w:val="008D564D"/>
    <w:rsid w:val="008D5810"/>
    <w:rsid w:val="008D5827"/>
    <w:rsid w:val="008D5E06"/>
    <w:rsid w:val="008D5F2B"/>
    <w:rsid w:val="008D6035"/>
    <w:rsid w:val="008D6109"/>
    <w:rsid w:val="008D642F"/>
    <w:rsid w:val="008D651B"/>
    <w:rsid w:val="008D6793"/>
    <w:rsid w:val="008D67C9"/>
    <w:rsid w:val="008D69B3"/>
    <w:rsid w:val="008D6AAD"/>
    <w:rsid w:val="008D6BD9"/>
    <w:rsid w:val="008D6FE5"/>
    <w:rsid w:val="008D703F"/>
    <w:rsid w:val="008D71D1"/>
    <w:rsid w:val="008D723C"/>
    <w:rsid w:val="008D7517"/>
    <w:rsid w:val="008D7797"/>
    <w:rsid w:val="008D7C11"/>
    <w:rsid w:val="008D7C6E"/>
    <w:rsid w:val="008D7DC1"/>
    <w:rsid w:val="008D7E4F"/>
    <w:rsid w:val="008D7EC7"/>
    <w:rsid w:val="008E063F"/>
    <w:rsid w:val="008E09F0"/>
    <w:rsid w:val="008E0A01"/>
    <w:rsid w:val="008E0C15"/>
    <w:rsid w:val="008E0DF7"/>
    <w:rsid w:val="008E0EA8"/>
    <w:rsid w:val="008E0F21"/>
    <w:rsid w:val="008E1307"/>
    <w:rsid w:val="008E13C0"/>
    <w:rsid w:val="008E15FA"/>
    <w:rsid w:val="008E1776"/>
    <w:rsid w:val="008E1BF3"/>
    <w:rsid w:val="008E21CE"/>
    <w:rsid w:val="008E243E"/>
    <w:rsid w:val="008E2621"/>
    <w:rsid w:val="008E303A"/>
    <w:rsid w:val="008E32CE"/>
    <w:rsid w:val="008E374E"/>
    <w:rsid w:val="008E3797"/>
    <w:rsid w:val="008E3A5E"/>
    <w:rsid w:val="008E3EAE"/>
    <w:rsid w:val="008E3F31"/>
    <w:rsid w:val="008E4357"/>
    <w:rsid w:val="008E4874"/>
    <w:rsid w:val="008E490F"/>
    <w:rsid w:val="008E50A9"/>
    <w:rsid w:val="008E55B7"/>
    <w:rsid w:val="008E581A"/>
    <w:rsid w:val="008E58A5"/>
    <w:rsid w:val="008E5A3D"/>
    <w:rsid w:val="008E5B50"/>
    <w:rsid w:val="008E5B5B"/>
    <w:rsid w:val="008E5CE9"/>
    <w:rsid w:val="008E5D5F"/>
    <w:rsid w:val="008E620B"/>
    <w:rsid w:val="008E647A"/>
    <w:rsid w:val="008E6618"/>
    <w:rsid w:val="008E6653"/>
    <w:rsid w:val="008E69F1"/>
    <w:rsid w:val="008E6C87"/>
    <w:rsid w:val="008E6CF9"/>
    <w:rsid w:val="008E6D6D"/>
    <w:rsid w:val="008E6FCC"/>
    <w:rsid w:val="008E7275"/>
    <w:rsid w:val="008E77AB"/>
    <w:rsid w:val="008E7B19"/>
    <w:rsid w:val="008E7DDD"/>
    <w:rsid w:val="008E7FD4"/>
    <w:rsid w:val="008F05A9"/>
    <w:rsid w:val="008F06C0"/>
    <w:rsid w:val="008F0879"/>
    <w:rsid w:val="008F095D"/>
    <w:rsid w:val="008F0A0B"/>
    <w:rsid w:val="008F0B0B"/>
    <w:rsid w:val="008F0BFB"/>
    <w:rsid w:val="008F0CD4"/>
    <w:rsid w:val="008F0CED"/>
    <w:rsid w:val="008F0E0B"/>
    <w:rsid w:val="008F10B0"/>
    <w:rsid w:val="008F12AC"/>
    <w:rsid w:val="008F12E2"/>
    <w:rsid w:val="008F15A3"/>
    <w:rsid w:val="008F169F"/>
    <w:rsid w:val="008F176C"/>
    <w:rsid w:val="008F1820"/>
    <w:rsid w:val="008F1CC1"/>
    <w:rsid w:val="008F22CE"/>
    <w:rsid w:val="008F2425"/>
    <w:rsid w:val="008F2466"/>
    <w:rsid w:val="008F2876"/>
    <w:rsid w:val="008F2E05"/>
    <w:rsid w:val="008F2F94"/>
    <w:rsid w:val="008F2FAB"/>
    <w:rsid w:val="008F2FBE"/>
    <w:rsid w:val="008F31E1"/>
    <w:rsid w:val="008F32C3"/>
    <w:rsid w:val="008F348D"/>
    <w:rsid w:val="008F3886"/>
    <w:rsid w:val="008F38A1"/>
    <w:rsid w:val="008F38CD"/>
    <w:rsid w:val="008F3B65"/>
    <w:rsid w:val="008F3F9C"/>
    <w:rsid w:val="008F406B"/>
    <w:rsid w:val="008F41E1"/>
    <w:rsid w:val="008F43CE"/>
    <w:rsid w:val="008F485B"/>
    <w:rsid w:val="008F490E"/>
    <w:rsid w:val="008F501F"/>
    <w:rsid w:val="008F50F6"/>
    <w:rsid w:val="008F5208"/>
    <w:rsid w:val="008F537D"/>
    <w:rsid w:val="008F5460"/>
    <w:rsid w:val="008F5644"/>
    <w:rsid w:val="008F587B"/>
    <w:rsid w:val="008F59D7"/>
    <w:rsid w:val="008F5CB7"/>
    <w:rsid w:val="008F5DD7"/>
    <w:rsid w:val="008F5F03"/>
    <w:rsid w:val="008F5F11"/>
    <w:rsid w:val="008F5F9E"/>
    <w:rsid w:val="008F6007"/>
    <w:rsid w:val="008F62B9"/>
    <w:rsid w:val="008F630B"/>
    <w:rsid w:val="008F648D"/>
    <w:rsid w:val="008F6C5C"/>
    <w:rsid w:val="008F6E20"/>
    <w:rsid w:val="008F7204"/>
    <w:rsid w:val="008F72AB"/>
    <w:rsid w:val="008F73A8"/>
    <w:rsid w:val="008F748A"/>
    <w:rsid w:val="008F7505"/>
    <w:rsid w:val="008F7615"/>
    <w:rsid w:val="008F76A1"/>
    <w:rsid w:val="008F77EF"/>
    <w:rsid w:val="008F789D"/>
    <w:rsid w:val="008F7F1C"/>
    <w:rsid w:val="008F7FC3"/>
    <w:rsid w:val="009000C4"/>
    <w:rsid w:val="00900816"/>
    <w:rsid w:val="00900EAD"/>
    <w:rsid w:val="00901224"/>
    <w:rsid w:val="0090141D"/>
    <w:rsid w:val="0090149F"/>
    <w:rsid w:val="009014DD"/>
    <w:rsid w:val="00901CFE"/>
    <w:rsid w:val="00901D9B"/>
    <w:rsid w:val="00901E68"/>
    <w:rsid w:val="00902312"/>
    <w:rsid w:val="00902393"/>
    <w:rsid w:val="009023FD"/>
    <w:rsid w:val="009025C7"/>
    <w:rsid w:val="00902643"/>
    <w:rsid w:val="00902850"/>
    <w:rsid w:val="009028A3"/>
    <w:rsid w:val="00902FD0"/>
    <w:rsid w:val="00903251"/>
    <w:rsid w:val="0090338D"/>
    <w:rsid w:val="00903C5C"/>
    <w:rsid w:val="00904078"/>
    <w:rsid w:val="0090427E"/>
    <w:rsid w:val="009045D6"/>
    <w:rsid w:val="0090508B"/>
    <w:rsid w:val="009051ED"/>
    <w:rsid w:val="00905346"/>
    <w:rsid w:val="009053FD"/>
    <w:rsid w:val="00905691"/>
    <w:rsid w:val="00905B86"/>
    <w:rsid w:val="00905FE1"/>
    <w:rsid w:val="00906021"/>
    <w:rsid w:val="00906065"/>
    <w:rsid w:val="009060BB"/>
    <w:rsid w:val="00906141"/>
    <w:rsid w:val="00906144"/>
    <w:rsid w:val="0090627F"/>
    <w:rsid w:val="009065D2"/>
    <w:rsid w:val="00906CFD"/>
    <w:rsid w:val="00906D60"/>
    <w:rsid w:val="00906FFF"/>
    <w:rsid w:val="009072B8"/>
    <w:rsid w:val="009074EB"/>
    <w:rsid w:val="0090781B"/>
    <w:rsid w:val="00907839"/>
    <w:rsid w:val="00907B0E"/>
    <w:rsid w:val="00907B41"/>
    <w:rsid w:val="00907B57"/>
    <w:rsid w:val="00907E39"/>
    <w:rsid w:val="00907E48"/>
    <w:rsid w:val="00907F48"/>
    <w:rsid w:val="009102C3"/>
    <w:rsid w:val="0091072F"/>
    <w:rsid w:val="009107C1"/>
    <w:rsid w:val="009108BF"/>
    <w:rsid w:val="00910A1F"/>
    <w:rsid w:val="00910D08"/>
    <w:rsid w:val="00911023"/>
    <w:rsid w:val="009113A8"/>
    <w:rsid w:val="0091184E"/>
    <w:rsid w:val="00911997"/>
    <w:rsid w:val="00911EE4"/>
    <w:rsid w:val="00911EF4"/>
    <w:rsid w:val="00911F9D"/>
    <w:rsid w:val="009120D1"/>
    <w:rsid w:val="00912196"/>
    <w:rsid w:val="0091226F"/>
    <w:rsid w:val="0091249E"/>
    <w:rsid w:val="009126CE"/>
    <w:rsid w:val="009128E5"/>
    <w:rsid w:val="009132DA"/>
    <w:rsid w:val="009133F1"/>
    <w:rsid w:val="009138A5"/>
    <w:rsid w:val="00913B26"/>
    <w:rsid w:val="00913BD2"/>
    <w:rsid w:val="00913DBF"/>
    <w:rsid w:val="00913F1E"/>
    <w:rsid w:val="0091418B"/>
    <w:rsid w:val="009141EF"/>
    <w:rsid w:val="009142FC"/>
    <w:rsid w:val="00914682"/>
    <w:rsid w:val="00914886"/>
    <w:rsid w:val="00914A2D"/>
    <w:rsid w:val="00914A54"/>
    <w:rsid w:val="00914BF2"/>
    <w:rsid w:val="00914D29"/>
    <w:rsid w:val="00914DB2"/>
    <w:rsid w:val="00914E5C"/>
    <w:rsid w:val="00914EF8"/>
    <w:rsid w:val="00914F22"/>
    <w:rsid w:val="00914FD5"/>
    <w:rsid w:val="00915097"/>
    <w:rsid w:val="009150F4"/>
    <w:rsid w:val="00915139"/>
    <w:rsid w:val="0091518B"/>
    <w:rsid w:val="0091544E"/>
    <w:rsid w:val="00915611"/>
    <w:rsid w:val="00915747"/>
    <w:rsid w:val="009157EF"/>
    <w:rsid w:val="0091589A"/>
    <w:rsid w:val="009158A9"/>
    <w:rsid w:val="00915B4B"/>
    <w:rsid w:val="00915B52"/>
    <w:rsid w:val="00915E54"/>
    <w:rsid w:val="00916091"/>
    <w:rsid w:val="009163DB"/>
    <w:rsid w:val="009164DE"/>
    <w:rsid w:val="0091667C"/>
    <w:rsid w:val="00916AB0"/>
    <w:rsid w:val="00916F2F"/>
    <w:rsid w:val="00916FE3"/>
    <w:rsid w:val="00917253"/>
    <w:rsid w:val="00917451"/>
    <w:rsid w:val="009176FE"/>
    <w:rsid w:val="00917899"/>
    <w:rsid w:val="00917B5D"/>
    <w:rsid w:val="00917D4C"/>
    <w:rsid w:val="00917E6F"/>
    <w:rsid w:val="00920159"/>
    <w:rsid w:val="00920437"/>
    <w:rsid w:val="009204DD"/>
    <w:rsid w:val="009205B4"/>
    <w:rsid w:val="0092079A"/>
    <w:rsid w:val="00920B7B"/>
    <w:rsid w:val="00920C1C"/>
    <w:rsid w:val="00921072"/>
    <w:rsid w:val="00921122"/>
    <w:rsid w:val="009212F5"/>
    <w:rsid w:val="0092137F"/>
    <w:rsid w:val="009216A0"/>
    <w:rsid w:val="009216CB"/>
    <w:rsid w:val="009216F2"/>
    <w:rsid w:val="00921978"/>
    <w:rsid w:val="00921A89"/>
    <w:rsid w:val="00921B8C"/>
    <w:rsid w:val="00921BD4"/>
    <w:rsid w:val="00921E06"/>
    <w:rsid w:val="00921E86"/>
    <w:rsid w:val="00922031"/>
    <w:rsid w:val="00922068"/>
    <w:rsid w:val="00922249"/>
    <w:rsid w:val="0092237E"/>
    <w:rsid w:val="009224B9"/>
    <w:rsid w:val="00922622"/>
    <w:rsid w:val="00922843"/>
    <w:rsid w:val="009229D6"/>
    <w:rsid w:val="00922ED3"/>
    <w:rsid w:val="0092309F"/>
    <w:rsid w:val="00923573"/>
    <w:rsid w:val="00923904"/>
    <w:rsid w:val="00923CA2"/>
    <w:rsid w:val="00923DD3"/>
    <w:rsid w:val="00923F66"/>
    <w:rsid w:val="00924261"/>
    <w:rsid w:val="00924281"/>
    <w:rsid w:val="00924398"/>
    <w:rsid w:val="0092448B"/>
    <w:rsid w:val="009248AD"/>
    <w:rsid w:val="00924C9D"/>
    <w:rsid w:val="00924E40"/>
    <w:rsid w:val="00925092"/>
    <w:rsid w:val="009250E9"/>
    <w:rsid w:val="009253D2"/>
    <w:rsid w:val="009256CE"/>
    <w:rsid w:val="009257FC"/>
    <w:rsid w:val="00926399"/>
    <w:rsid w:val="009264A4"/>
    <w:rsid w:val="00926BE7"/>
    <w:rsid w:val="00926D45"/>
    <w:rsid w:val="0092704A"/>
    <w:rsid w:val="0092709A"/>
    <w:rsid w:val="009278D1"/>
    <w:rsid w:val="009279DD"/>
    <w:rsid w:val="00927C0E"/>
    <w:rsid w:val="00927F08"/>
    <w:rsid w:val="00930005"/>
    <w:rsid w:val="0093000C"/>
    <w:rsid w:val="009303CE"/>
    <w:rsid w:val="00930400"/>
    <w:rsid w:val="0093067B"/>
    <w:rsid w:val="00930DA0"/>
    <w:rsid w:val="00931299"/>
    <w:rsid w:val="0093158B"/>
    <w:rsid w:val="00931D8E"/>
    <w:rsid w:val="00931EA1"/>
    <w:rsid w:val="00931FFE"/>
    <w:rsid w:val="0093202A"/>
    <w:rsid w:val="00932136"/>
    <w:rsid w:val="00932199"/>
    <w:rsid w:val="009324FF"/>
    <w:rsid w:val="00932568"/>
    <w:rsid w:val="00932587"/>
    <w:rsid w:val="009329E4"/>
    <w:rsid w:val="00932ABB"/>
    <w:rsid w:val="009335D9"/>
    <w:rsid w:val="0093362A"/>
    <w:rsid w:val="00933679"/>
    <w:rsid w:val="0093379A"/>
    <w:rsid w:val="00933C9C"/>
    <w:rsid w:val="00933DF3"/>
    <w:rsid w:val="00933E6A"/>
    <w:rsid w:val="009340E9"/>
    <w:rsid w:val="0093435C"/>
    <w:rsid w:val="0093453D"/>
    <w:rsid w:val="00934551"/>
    <w:rsid w:val="00934C7D"/>
    <w:rsid w:val="00934D82"/>
    <w:rsid w:val="00934F01"/>
    <w:rsid w:val="00934F9F"/>
    <w:rsid w:val="00935006"/>
    <w:rsid w:val="00935073"/>
    <w:rsid w:val="00935090"/>
    <w:rsid w:val="009351E0"/>
    <w:rsid w:val="00935228"/>
    <w:rsid w:val="009355B0"/>
    <w:rsid w:val="009357CE"/>
    <w:rsid w:val="00935B59"/>
    <w:rsid w:val="00935C9A"/>
    <w:rsid w:val="00935D3E"/>
    <w:rsid w:val="00935F44"/>
    <w:rsid w:val="00935F45"/>
    <w:rsid w:val="00936035"/>
    <w:rsid w:val="009361A8"/>
    <w:rsid w:val="00936439"/>
    <w:rsid w:val="00936692"/>
    <w:rsid w:val="00936AA2"/>
    <w:rsid w:val="00936B01"/>
    <w:rsid w:val="00936C46"/>
    <w:rsid w:val="00936DEC"/>
    <w:rsid w:val="00936EAD"/>
    <w:rsid w:val="00936F0C"/>
    <w:rsid w:val="0093721B"/>
    <w:rsid w:val="009373DA"/>
    <w:rsid w:val="00937741"/>
    <w:rsid w:val="009377F5"/>
    <w:rsid w:val="0093795B"/>
    <w:rsid w:val="00937DD2"/>
    <w:rsid w:val="009402CF"/>
    <w:rsid w:val="009403F6"/>
    <w:rsid w:val="009405E2"/>
    <w:rsid w:val="00940867"/>
    <w:rsid w:val="00940A3E"/>
    <w:rsid w:val="00940C04"/>
    <w:rsid w:val="00941370"/>
    <w:rsid w:val="009413D9"/>
    <w:rsid w:val="0094155F"/>
    <w:rsid w:val="009418ED"/>
    <w:rsid w:val="009421B7"/>
    <w:rsid w:val="00942318"/>
    <w:rsid w:val="009425B2"/>
    <w:rsid w:val="0094266F"/>
    <w:rsid w:val="0094284E"/>
    <w:rsid w:val="00942CF9"/>
    <w:rsid w:val="00942DF3"/>
    <w:rsid w:val="00943505"/>
    <w:rsid w:val="009436E5"/>
    <w:rsid w:val="00944055"/>
    <w:rsid w:val="0094406A"/>
    <w:rsid w:val="009440BE"/>
    <w:rsid w:val="0094492A"/>
    <w:rsid w:val="009449DA"/>
    <w:rsid w:val="00944AC5"/>
    <w:rsid w:val="00944EF1"/>
    <w:rsid w:val="00944F8A"/>
    <w:rsid w:val="00944FB4"/>
    <w:rsid w:val="00945346"/>
    <w:rsid w:val="009454F0"/>
    <w:rsid w:val="009456DE"/>
    <w:rsid w:val="00945B08"/>
    <w:rsid w:val="00945B8C"/>
    <w:rsid w:val="00945EA2"/>
    <w:rsid w:val="00946212"/>
    <w:rsid w:val="009464B0"/>
    <w:rsid w:val="009464D1"/>
    <w:rsid w:val="00946570"/>
    <w:rsid w:val="0094672C"/>
    <w:rsid w:val="00946A3E"/>
    <w:rsid w:val="00946B2B"/>
    <w:rsid w:val="00946B92"/>
    <w:rsid w:val="00946CBB"/>
    <w:rsid w:val="00946D61"/>
    <w:rsid w:val="00947029"/>
    <w:rsid w:val="00947050"/>
    <w:rsid w:val="00947133"/>
    <w:rsid w:val="009471D9"/>
    <w:rsid w:val="00947479"/>
    <w:rsid w:val="0094750B"/>
    <w:rsid w:val="00947534"/>
    <w:rsid w:val="009476E2"/>
    <w:rsid w:val="00947746"/>
    <w:rsid w:val="00947937"/>
    <w:rsid w:val="00947D2F"/>
    <w:rsid w:val="00947EDC"/>
    <w:rsid w:val="00950026"/>
    <w:rsid w:val="009501DE"/>
    <w:rsid w:val="00950573"/>
    <w:rsid w:val="0095069E"/>
    <w:rsid w:val="0095077C"/>
    <w:rsid w:val="00950845"/>
    <w:rsid w:val="009508FA"/>
    <w:rsid w:val="00950C03"/>
    <w:rsid w:val="00950FF5"/>
    <w:rsid w:val="00951123"/>
    <w:rsid w:val="0095129F"/>
    <w:rsid w:val="009513D4"/>
    <w:rsid w:val="00951831"/>
    <w:rsid w:val="009518E2"/>
    <w:rsid w:val="00951B9D"/>
    <w:rsid w:val="00951E6E"/>
    <w:rsid w:val="00951FFB"/>
    <w:rsid w:val="009522D3"/>
    <w:rsid w:val="009523B9"/>
    <w:rsid w:val="009525C7"/>
    <w:rsid w:val="009525ED"/>
    <w:rsid w:val="00952B06"/>
    <w:rsid w:val="00952C7C"/>
    <w:rsid w:val="00952ECD"/>
    <w:rsid w:val="0095320E"/>
    <w:rsid w:val="0095329A"/>
    <w:rsid w:val="009533A6"/>
    <w:rsid w:val="009536CC"/>
    <w:rsid w:val="009538D4"/>
    <w:rsid w:val="00953910"/>
    <w:rsid w:val="0095396B"/>
    <w:rsid w:val="00953B1E"/>
    <w:rsid w:val="00953F88"/>
    <w:rsid w:val="00953FEE"/>
    <w:rsid w:val="009540F7"/>
    <w:rsid w:val="009541F6"/>
    <w:rsid w:val="009542FC"/>
    <w:rsid w:val="00954374"/>
    <w:rsid w:val="009543CB"/>
    <w:rsid w:val="009544C1"/>
    <w:rsid w:val="009544E1"/>
    <w:rsid w:val="00954583"/>
    <w:rsid w:val="009545B2"/>
    <w:rsid w:val="00954713"/>
    <w:rsid w:val="00954776"/>
    <w:rsid w:val="00955272"/>
    <w:rsid w:val="009559A6"/>
    <w:rsid w:val="00955B73"/>
    <w:rsid w:val="00955CC1"/>
    <w:rsid w:val="00956227"/>
    <w:rsid w:val="009564C0"/>
    <w:rsid w:val="00956504"/>
    <w:rsid w:val="00956530"/>
    <w:rsid w:val="00956536"/>
    <w:rsid w:val="009566CC"/>
    <w:rsid w:val="009567BD"/>
    <w:rsid w:val="0095700B"/>
    <w:rsid w:val="00957158"/>
    <w:rsid w:val="00957241"/>
    <w:rsid w:val="009573BE"/>
    <w:rsid w:val="00957586"/>
    <w:rsid w:val="00957A0B"/>
    <w:rsid w:val="00957A71"/>
    <w:rsid w:val="00957AEA"/>
    <w:rsid w:val="00957FE6"/>
    <w:rsid w:val="00960571"/>
    <w:rsid w:val="00960950"/>
    <w:rsid w:val="00960B6D"/>
    <w:rsid w:val="00960BBE"/>
    <w:rsid w:val="00960C63"/>
    <w:rsid w:val="00960DDD"/>
    <w:rsid w:val="00960E43"/>
    <w:rsid w:val="00960F0D"/>
    <w:rsid w:val="0096107A"/>
    <w:rsid w:val="0096128A"/>
    <w:rsid w:val="00961384"/>
    <w:rsid w:val="00961749"/>
    <w:rsid w:val="0096177F"/>
    <w:rsid w:val="00961934"/>
    <w:rsid w:val="009621C7"/>
    <w:rsid w:val="00962254"/>
    <w:rsid w:val="0096269E"/>
    <w:rsid w:val="0096283F"/>
    <w:rsid w:val="00962A10"/>
    <w:rsid w:val="00962A39"/>
    <w:rsid w:val="009632FD"/>
    <w:rsid w:val="00963305"/>
    <w:rsid w:val="0096342F"/>
    <w:rsid w:val="00963666"/>
    <w:rsid w:val="00963BA2"/>
    <w:rsid w:val="00963E53"/>
    <w:rsid w:val="0096449A"/>
    <w:rsid w:val="009644BF"/>
    <w:rsid w:val="009645C8"/>
    <w:rsid w:val="00964A86"/>
    <w:rsid w:val="00964BD7"/>
    <w:rsid w:val="00964E15"/>
    <w:rsid w:val="009650B7"/>
    <w:rsid w:val="00965181"/>
    <w:rsid w:val="009657CA"/>
    <w:rsid w:val="00965A40"/>
    <w:rsid w:val="00965CF5"/>
    <w:rsid w:val="00966104"/>
    <w:rsid w:val="00966195"/>
    <w:rsid w:val="009667D3"/>
    <w:rsid w:val="00966893"/>
    <w:rsid w:val="009669F9"/>
    <w:rsid w:val="00966C23"/>
    <w:rsid w:val="00966C85"/>
    <w:rsid w:val="00966D40"/>
    <w:rsid w:val="009671A5"/>
    <w:rsid w:val="00967646"/>
    <w:rsid w:val="009679D0"/>
    <w:rsid w:val="00967B4E"/>
    <w:rsid w:val="009701F0"/>
    <w:rsid w:val="00970247"/>
    <w:rsid w:val="00970259"/>
    <w:rsid w:val="009706AC"/>
    <w:rsid w:val="009708FC"/>
    <w:rsid w:val="0097093C"/>
    <w:rsid w:val="00970CFA"/>
    <w:rsid w:val="00970D0A"/>
    <w:rsid w:val="00970D85"/>
    <w:rsid w:val="00971020"/>
    <w:rsid w:val="00971133"/>
    <w:rsid w:val="00971387"/>
    <w:rsid w:val="009713DA"/>
    <w:rsid w:val="00971644"/>
    <w:rsid w:val="009718A7"/>
    <w:rsid w:val="00971939"/>
    <w:rsid w:val="009719B8"/>
    <w:rsid w:val="009719D7"/>
    <w:rsid w:val="00971BC1"/>
    <w:rsid w:val="00971DDB"/>
    <w:rsid w:val="00972385"/>
    <w:rsid w:val="00972469"/>
    <w:rsid w:val="0097265D"/>
    <w:rsid w:val="00972B0B"/>
    <w:rsid w:val="00972BC4"/>
    <w:rsid w:val="0097305D"/>
    <w:rsid w:val="009730F6"/>
    <w:rsid w:val="009738D4"/>
    <w:rsid w:val="00973DEE"/>
    <w:rsid w:val="00973F40"/>
    <w:rsid w:val="009740A0"/>
    <w:rsid w:val="009742BD"/>
    <w:rsid w:val="00974880"/>
    <w:rsid w:val="00974A54"/>
    <w:rsid w:val="00974BE0"/>
    <w:rsid w:val="0097505F"/>
    <w:rsid w:val="00975410"/>
    <w:rsid w:val="009755E3"/>
    <w:rsid w:val="0097568E"/>
    <w:rsid w:val="00975717"/>
    <w:rsid w:val="00975E3B"/>
    <w:rsid w:val="00975FC8"/>
    <w:rsid w:val="009760F3"/>
    <w:rsid w:val="009761D0"/>
    <w:rsid w:val="00976294"/>
    <w:rsid w:val="009765E2"/>
    <w:rsid w:val="00976634"/>
    <w:rsid w:val="009767C1"/>
    <w:rsid w:val="00976A70"/>
    <w:rsid w:val="00976BAD"/>
    <w:rsid w:val="00976DA7"/>
    <w:rsid w:val="00976F95"/>
    <w:rsid w:val="009774D6"/>
    <w:rsid w:val="0097770D"/>
    <w:rsid w:val="009779C5"/>
    <w:rsid w:val="00977A87"/>
    <w:rsid w:val="00977A98"/>
    <w:rsid w:val="00977D6B"/>
    <w:rsid w:val="00977DAF"/>
    <w:rsid w:val="00977FAD"/>
    <w:rsid w:val="00980233"/>
    <w:rsid w:val="00980383"/>
    <w:rsid w:val="009806ED"/>
    <w:rsid w:val="0098070B"/>
    <w:rsid w:val="00980774"/>
    <w:rsid w:val="00980C78"/>
    <w:rsid w:val="00980EB6"/>
    <w:rsid w:val="00981103"/>
    <w:rsid w:val="0098119C"/>
    <w:rsid w:val="009811F9"/>
    <w:rsid w:val="0098126F"/>
    <w:rsid w:val="009815B7"/>
    <w:rsid w:val="00981DC7"/>
    <w:rsid w:val="00981DDD"/>
    <w:rsid w:val="00981DF2"/>
    <w:rsid w:val="0098272E"/>
    <w:rsid w:val="00982764"/>
    <w:rsid w:val="00982B43"/>
    <w:rsid w:val="00982CE9"/>
    <w:rsid w:val="00982E06"/>
    <w:rsid w:val="00982E98"/>
    <w:rsid w:val="0098307A"/>
    <w:rsid w:val="0098309D"/>
    <w:rsid w:val="0098361C"/>
    <w:rsid w:val="0098386E"/>
    <w:rsid w:val="00983997"/>
    <w:rsid w:val="00983CA1"/>
    <w:rsid w:val="00984122"/>
    <w:rsid w:val="0098462B"/>
    <w:rsid w:val="00984A25"/>
    <w:rsid w:val="00984D5A"/>
    <w:rsid w:val="00984FCD"/>
    <w:rsid w:val="00985095"/>
    <w:rsid w:val="00985184"/>
    <w:rsid w:val="009854B7"/>
    <w:rsid w:val="00985D14"/>
    <w:rsid w:val="00985D60"/>
    <w:rsid w:val="009862C2"/>
    <w:rsid w:val="009862D7"/>
    <w:rsid w:val="009865ED"/>
    <w:rsid w:val="009868D8"/>
    <w:rsid w:val="009869ED"/>
    <w:rsid w:val="00986C02"/>
    <w:rsid w:val="00987539"/>
    <w:rsid w:val="00987548"/>
    <w:rsid w:val="00987651"/>
    <w:rsid w:val="00987907"/>
    <w:rsid w:val="00987DF1"/>
    <w:rsid w:val="00990164"/>
    <w:rsid w:val="0099077E"/>
    <w:rsid w:val="00990918"/>
    <w:rsid w:val="009909AA"/>
    <w:rsid w:val="009909C7"/>
    <w:rsid w:val="00990BEA"/>
    <w:rsid w:val="00990F65"/>
    <w:rsid w:val="00991139"/>
    <w:rsid w:val="00991371"/>
    <w:rsid w:val="009916D1"/>
    <w:rsid w:val="009917AB"/>
    <w:rsid w:val="00991866"/>
    <w:rsid w:val="00991AC6"/>
    <w:rsid w:val="0099209D"/>
    <w:rsid w:val="00992579"/>
    <w:rsid w:val="0099271D"/>
    <w:rsid w:val="00992B3F"/>
    <w:rsid w:val="00992E2C"/>
    <w:rsid w:val="0099308F"/>
    <w:rsid w:val="00993353"/>
    <w:rsid w:val="009935CC"/>
    <w:rsid w:val="009938B0"/>
    <w:rsid w:val="00993B5D"/>
    <w:rsid w:val="00993CE9"/>
    <w:rsid w:val="00993DD6"/>
    <w:rsid w:val="00993DF7"/>
    <w:rsid w:val="00993EF6"/>
    <w:rsid w:val="009940EE"/>
    <w:rsid w:val="00994713"/>
    <w:rsid w:val="00994948"/>
    <w:rsid w:val="0099495F"/>
    <w:rsid w:val="00994ECB"/>
    <w:rsid w:val="0099530C"/>
    <w:rsid w:val="009954E9"/>
    <w:rsid w:val="009956C0"/>
    <w:rsid w:val="00995808"/>
    <w:rsid w:val="00995A2B"/>
    <w:rsid w:val="00995A83"/>
    <w:rsid w:val="00995B00"/>
    <w:rsid w:val="00995E06"/>
    <w:rsid w:val="0099630A"/>
    <w:rsid w:val="009963BB"/>
    <w:rsid w:val="009966CF"/>
    <w:rsid w:val="0099690F"/>
    <w:rsid w:val="00996938"/>
    <w:rsid w:val="00996AA3"/>
    <w:rsid w:val="00996D1A"/>
    <w:rsid w:val="00996D1E"/>
    <w:rsid w:val="00996FCC"/>
    <w:rsid w:val="009972EB"/>
    <w:rsid w:val="0099750E"/>
    <w:rsid w:val="0099752C"/>
    <w:rsid w:val="009975E6"/>
    <w:rsid w:val="00997BE7"/>
    <w:rsid w:val="00997C09"/>
    <w:rsid w:val="00997C37"/>
    <w:rsid w:val="00997D81"/>
    <w:rsid w:val="00997E6D"/>
    <w:rsid w:val="00997FDD"/>
    <w:rsid w:val="009A020C"/>
    <w:rsid w:val="009A0278"/>
    <w:rsid w:val="009A03B3"/>
    <w:rsid w:val="009A0483"/>
    <w:rsid w:val="009A0D6B"/>
    <w:rsid w:val="009A0E15"/>
    <w:rsid w:val="009A1585"/>
    <w:rsid w:val="009A1795"/>
    <w:rsid w:val="009A1CA4"/>
    <w:rsid w:val="009A20F0"/>
    <w:rsid w:val="009A221A"/>
    <w:rsid w:val="009A26A3"/>
    <w:rsid w:val="009A27B0"/>
    <w:rsid w:val="009A27D8"/>
    <w:rsid w:val="009A2F9C"/>
    <w:rsid w:val="009A3251"/>
    <w:rsid w:val="009A383B"/>
    <w:rsid w:val="009A38A3"/>
    <w:rsid w:val="009A3ABC"/>
    <w:rsid w:val="009A3CF1"/>
    <w:rsid w:val="009A3E0D"/>
    <w:rsid w:val="009A3FA4"/>
    <w:rsid w:val="009A3FFC"/>
    <w:rsid w:val="009A444B"/>
    <w:rsid w:val="009A444E"/>
    <w:rsid w:val="009A476F"/>
    <w:rsid w:val="009A486C"/>
    <w:rsid w:val="009A4961"/>
    <w:rsid w:val="009A4A60"/>
    <w:rsid w:val="009A4A7E"/>
    <w:rsid w:val="009A4B1C"/>
    <w:rsid w:val="009A4FAD"/>
    <w:rsid w:val="009A54E8"/>
    <w:rsid w:val="009A553B"/>
    <w:rsid w:val="009A56D6"/>
    <w:rsid w:val="009A574A"/>
    <w:rsid w:val="009A577A"/>
    <w:rsid w:val="009A5A96"/>
    <w:rsid w:val="009A5B36"/>
    <w:rsid w:val="009A5E3F"/>
    <w:rsid w:val="009A5FF1"/>
    <w:rsid w:val="009A5FF9"/>
    <w:rsid w:val="009A621C"/>
    <w:rsid w:val="009A6306"/>
    <w:rsid w:val="009A6375"/>
    <w:rsid w:val="009A64D8"/>
    <w:rsid w:val="009A6C3A"/>
    <w:rsid w:val="009A7533"/>
    <w:rsid w:val="009A763D"/>
    <w:rsid w:val="009A7B2C"/>
    <w:rsid w:val="009A7BD4"/>
    <w:rsid w:val="009A7CA0"/>
    <w:rsid w:val="009A7D6E"/>
    <w:rsid w:val="009A7F52"/>
    <w:rsid w:val="009B0040"/>
    <w:rsid w:val="009B00F7"/>
    <w:rsid w:val="009B0363"/>
    <w:rsid w:val="009B06F4"/>
    <w:rsid w:val="009B0778"/>
    <w:rsid w:val="009B0834"/>
    <w:rsid w:val="009B0903"/>
    <w:rsid w:val="009B0F73"/>
    <w:rsid w:val="009B11FA"/>
    <w:rsid w:val="009B1284"/>
    <w:rsid w:val="009B12E8"/>
    <w:rsid w:val="009B13C4"/>
    <w:rsid w:val="009B1522"/>
    <w:rsid w:val="009B152B"/>
    <w:rsid w:val="009B166E"/>
    <w:rsid w:val="009B173F"/>
    <w:rsid w:val="009B185A"/>
    <w:rsid w:val="009B18B1"/>
    <w:rsid w:val="009B1935"/>
    <w:rsid w:val="009B1AAF"/>
    <w:rsid w:val="009B1D40"/>
    <w:rsid w:val="009B203B"/>
    <w:rsid w:val="009B2062"/>
    <w:rsid w:val="009B2257"/>
    <w:rsid w:val="009B2375"/>
    <w:rsid w:val="009B24D6"/>
    <w:rsid w:val="009B2668"/>
    <w:rsid w:val="009B27BB"/>
    <w:rsid w:val="009B28F8"/>
    <w:rsid w:val="009B2937"/>
    <w:rsid w:val="009B2FDD"/>
    <w:rsid w:val="009B330F"/>
    <w:rsid w:val="009B332B"/>
    <w:rsid w:val="009B348E"/>
    <w:rsid w:val="009B36D4"/>
    <w:rsid w:val="009B3740"/>
    <w:rsid w:val="009B378C"/>
    <w:rsid w:val="009B391C"/>
    <w:rsid w:val="009B3ADF"/>
    <w:rsid w:val="009B3B0F"/>
    <w:rsid w:val="009B3DC0"/>
    <w:rsid w:val="009B4037"/>
    <w:rsid w:val="009B42AD"/>
    <w:rsid w:val="009B4301"/>
    <w:rsid w:val="009B4ED5"/>
    <w:rsid w:val="009B5018"/>
    <w:rsid w:val="009B51D0"/>
    <w:rsid w:val="009B5223"/>
    <w:rsid w:val="009B5343"/>
    <w:rsid w:val="009B5495"/>
    <w:rsid w:val="009B54B8"/>
    <w:rsid w:val="009B583B"/>
    <w:rsid w:val="009B5DE9"/>
    <w:rsid w:val="009B5DF9"/>
    <w:rsid w:val="009B5EED"/>
    <w:rsid w:val="009B6660"/>
    <w:rsid w:val="009B688B"/>
    <w:rsid w:val="009B6946"/>
    <w:rsid w:val="009B6A8A"/>
    <w:rsid w:val="009B6AC8"/>
    <w:rsid w:val="009B6CDB"/>
    <w:rsid w:val="009B6D6A"/>
    <w:rsid w:val="009B6F18"/>
    <w:rsid w:val="009B6F1A"/>
    <w:rsid w:val="009B7105"/>
    <w:rsid w:val="009B74A2"/>
    <w:rsid w:val="009B793C"/>
    <w:rsid w:val="009B7B03"/>
    <w:rsid w:val="009C03B6"/>
    <w:rsid w:val="009C0637"/>
    <w:rsid w:val="009C076F"/>
    <w:rsid w:val="009C1204"/>
    <w:rsid w:val="009C1460"/>
    <w:rsid w:val="009C1529"/>
    <w:rsid w:val="009C15B6"/>
    <w:rsid w:val="009C17C3"/>
    <w:rsid w:val="009C1A59"/>
    <w:rsid w:val="009C1B90"/>
    <w:rsid w:val="009C1CC5"/>
    <w:rsid w:val="009C20D4"/>
    <w:rsid w:val="009C214E"/>
    <w:rsid w:val="009C2347"/>
    <w:rsid w:val="009C26C0"/>
    <w:rsid w:val="009C2C4E"/>
    <w:rsid w:val="009C3016"/>
    <w:rsid w:val="009C30C8"/>
    <w:rsid w:val="009C31E2"/>
    <w:rsid w:val="009C3311"/>
    <w:rsid w:val="009C3438"/>
    <w:rsid w:val="009C34C1"/>
    <w:rsid w:val="009C3B1E"/>
    <w:rsid w:val="009C3C0A"/>
    <w:rsid w:val="009C3EF0"/>
    <w:rsid w:val="009C40E6"/>
    <w:rsid w:val="009C4607"/>
    <w:rsid w:val="009C4682"/>
    <w:rsid w:val="009C46FD"/>
    <w:rsid w:val="009C4740"/>
    <w:rsid w:val="009C485E"/>
    <w:rsid w:val="009C48AE"/>
    <w:rsid w:val="009C497B"/>
    <w:rsid w:val="009C49E6"/>
    <w:rsid w:val="009C4B4B"/>
    <w:rsid w:val="009C4C7C"/>
    <w:rsid w:val="009C4D0E"/>
    <w:rsid w:val="009C4F36"/>
    <w:rsid w:val="009C5073"/>
    <w:rsid w:val="009C534B"/>
    <w:rsid w:val="009C5423"/>
    <w:rsid w:val="009C54F2"/>
    <w:rsid w:val="009C558A"/>
    <w:rsid w:val="009C5677"/>
    <w:rsid w:val="009C5BCF"/>
    <w:rsid w:val="009C5D4A"/>
    <w:rsid w:val="009C6043"/>
    <w:rsid w:val="009C615C"/>
    <w:rsid w:val="009C6276"/>
    <w:rsid w:val="009C679D"/>
    <w:rsid w:val="009C68E3"/>
    <w:rsid w:val="009C6944"/>
    <w:rsid w:val="009C6CC1"/>
    <w:rsid w:val="009C6F39"/>
    <w:rsid w:val="009C7024"/>
    <w:rsid w:val="009C71F6"/>
    <w:rsid w:val="009C7610"/>
    <w:rsid w:val="009C765F"/>
    <w:rsid w:val="009C77BD"/>
    <w:rsid w:val="009C7ABE"/>
    <w:rsid w:val="009C7D81"/>
    <w:rsid w:val="009C7FAC"/>
    <w:rsid w:val="009D023A"/>
    <w:rsid w:val="009D0927"/>
    <w:rsid w:val="009D0EBB"/>
    <w:rsid w:val="009D1492"/>
    <w:rsid w:val="009D1733"/>
    <w:rsid w:val="009D177E"/>
    <w:rsid w:val="009D1AC6"/>
    <w:rsid w:val="009D1CD6"/>
    <w:rsid w:val="009D1D07"/>
    <w:rsid w:val="009D21A7"/>
    <w:rsid w:val="009D23FC"/>
    <w:rsid w:val="009D254F"/>
    <w:rsid w:val="009D258F"/>
    <w:rsid w:val="009D2747"/>
    <w:rsid w:val="009D2B03"/>
    <w:rsid w:val="009D2E23"/>
    <w:rsid w:val="009D2E5E"/>
    <w:rsid w:val="009D2F7D"/>
    <w:rsid w:val="009D32E6"/>
    <w:rsid w:val="009D3868"/>
    <w:rsid w:val="009D38C6"/>
    <w:rsid w:val="009D3996"/>
    <w:rsid w:val="009D3A01"/>
    <w:rsid w:val="009D3A6F"/>
    <w:rsid w:val="009D3AD2"/>
    <w:rsid w:val="009D3CD2"/>
    <w:rsid w:val="009D3DF8"/>
    <w:rsid w:val="009D3FAD"/>
    <w:rsid w:val="009D4139"/>
    <w:rsid w:val="009D4416"/>
    <w:rsid w:val="009D44AF"/>
    <w:rsid w:val="009D44D1"/>
    <w:rsid w:val="009D4709"/>
    <w:rsid w:val="009D48C9"/>
    <w:rsid w:val="009D4CFA"/>
    <w:rsid w:val="009D4E2E"/>
    <w:rsid w:val="009D5060"/>
    <w:rsid w:val="009D5128"/>
    <w:rsid w:val="009D522A"/>
    <w:rsid w:val="009D534C"/>
    <w:rsid w:val="009D5925"/>
    <w:rsid w:val="009D5A69"/>
    <w:rsid w:val="009D5C79"/>
    <w:rsid w:val="009D5CE7"/>
    <w:rsid w:val="009D60E5"/>
    <w:rsid w:val="009D6173"/>
    <w:rsid w:val="009D61B3"/>
    <w:rsid w:val="009D6577"/>
    <w:rsid w:val="009D66F3"/>
    <w:rsid w:val="009D6730"/>
    <w:rsid w:val="009D673F"/>
    <w:rsid w:val="009D67E8"/>
    <w:rsid w:val="009D6EA9"/>
    <w:rsid w:val="009D71FA"/>
    <w:rsid w:val="009D73CD"/>
    <w:rsid w:val="009D75B4"/>
    <w:rsid w:val="009D76AF"/>
    <w:rsid w:val="009D7A32"/>
    <w:rsid w:val="009D7D39"/>
    <w:rsid w:val="009D7D60"/>
    <w:rsid w:val="009E0199"/>
    <w:rsid w:val="009E04CF"/>
    <w:rsid w:val="009E052E"/>
    <w:rsid w:val="009E07EE"/>
    <w:rsid w:val="009E0810"/>
    <w:rsid w:val="009E0823"/>
    <w:rsid w:val="009E0827"/>
    <w:rsid w:val="009E096D"/>
    <w:rsid w:val="009E097B"/>
    <w:rsid w:val="009E0CC2"/>
    <w:rsid w:val="009E0D85"/>
    <w:rsid w:val="009E0D97"/>
    <w:rsid w:val="009E11C5"/>
    <w:rsid w:val="009E11CD"/>
    <w:rsid w:val="009E162F"/>
    <w:rsid w:val="009E164A"/>
    <w:rsid w:val="009E17B0"/>
    <w:rsid w:val="009E1A8E"/>
    <w:rsid w:val="009E1E55"/>
    <w:rsid w:val="009E1ED7"/>
    <w:rsid w:val="009E1F96"/>
    <w:rsid w:val="009E2928"/>
    <w:rsid w:val="009E29F9"/>
    <w:rsid w:val="009E2AF7"/>
    <w:rsid w:val="009E2B21"/>
    <w:rsid w:val="009E2DDC"/>
    <w:rsid w:val="009E30B6"/>
    <w:rsid w:val="009E3344"/>
    <w:rsid w:val="009E3467"/>
    <w:rsid w:val="009E358E"/>
    <w:rsid w:val="009E3A2F"/>
    <w:rsid w:val="009E3D80"/>
    <w:rsid w:val="009E3E1B"/>
    <w:rsid w:val="009E3F53"/>
    <w:rsid w:val="009E41D8"/>
    <w:rsid w:val="009E46A1"/>
    <w:rsid w:val="009E4789"/>
    <w:rsid w:val="009E4A72"/>
    <w:rsid w:val="009E4B63"/>
    <w:rsid w:val="009E4CBD"/>
    <w:rsid w:val="009E4D65"/>
    <w:rsid w:val="009E4F1C"/>
    <w:rsid w:val="009E508D"/>
    <w:rsid w:val="009E526D"/>
    <w:rsid w:val="009E52E3"/>
    <w:rsid w:val="009E55FE"/>
    <w:rsid w:val="009E5628"/>
    <w:rsid w:val="009E58B1"/>
    <w:rsid w:val="009E5A29"/>
    <w:rsid w:val="009E5FEA"/>
    <w:rsid w:val="009E6048"/>
    <w:rsid w:val="009E6070"/>
    <w:rsid w:val="009E616B"/>
    <w:rsid w:val="009E6283"/>
    <w:rsid w:val="009E6307"/>
    <w:rsid w:val="009E6363"/>
    <w:rsid w:val="009E6611"/>
    <w:rsid w:val="009E6A2E"/>
    <w:rsid w:val="009E6C2E"/>
    <w:rsid w:val="009E6D18"/>
    <w:rsid w:val="009E6D5F"/>
    <w:rsid w:val="009E72ED"/>
    <w:rsid w:val="009E7496"/>
    <w:rsid w:val="009E7672"/>
    <w:rsid w:val="009E77C8"/>
    <w:rsid w:val="009E792E"/>
    <w:rsid w:val="009E7AA5"/>
    <w:rsid w:val="009E7AA6"/>
    <w:rsid w:val="009E7AB1"/>
    <w:rsid w:val="009E7C80"/>
    <w:rsid w:val="009F019C"/>
    <w:rsid w:val="009F0457"/>
    <w:rsid w:val="009F0617"/>
    <w:rsid w:val="009F0B7C"/>
    <w:rsid w:val="009F0DED"/>
    <w:rsid w:val="009F0F5B"/>
    <w:rsid w:val="009F116A"/>
    <w:rsid w:val="009F1536"/>
    <w:rsid w:val="009F169D"/>
    <w:rsid w:val="009F1934"/>
    <w:rsid w:val="009F19AD"/>
    <w:rsid w:val="009F1C88"/>
    <w:rsid w:val="009F1CB0"/>
    <w:rsid w:val="009F263B"/>
    <w:rsid w:val="009F2870"/>
    <w:rsid w:val="009F290D"/>
    <w:rsid w:val="009F2DD5"/>
    <w:rsid w:val="009F2FB0"/>
    <w:rsid w:val="009F3202"/>
    <w:rsid w:val="009F336E"/>
    <w:rsid w:val="009F3616"/>
    <w:rsid w:val="009F36B0"/>
    <w:rsid w:val="009F3DFE"/>
    <w:rsid w:val="009F40E1"/>
    <w:rsid w:val="009F4522"/>
    <w:rsid w:val="009F45A4"/>
    <w:rsid w:val="009F4638"/>
    <w:rsid w:val="009F4752"/>
    <w:rsid w:val="009F4B17"/>
    <w:rsid w:val="009F4BDD"/>
    <w:rsid w:val="009F4E42"/>
    <w:rsid w:val="009F516F"/>
    <w:rsid w:val="009F5688"/>
    <w:rsid w:val="009F5DE0"/>
    <w:rsid w:val="009F6032"/>
    <w:rsid w:val="009F6281"/>
    <w:rsid w:val="009F644C"/>
    <w:rsid w:val="009F6537"/>
    <w:rsid w:val="009F657B"/>
    <w:rsid w:val="009F6584"/>
    <w:rsid w:val="009F6626"/>
    <w:rsid w:val="009F68E8"/>
    <w:rsid w:val="009F6A63"/>
    <w:rsid w:val="009F6C09"/>
    <w:rsid w:val="009F6C37"/>
    <w:rsid w:val="009F7118"/>
    <w:rsid w:val="009F7275"/>
    <w:rsid w:val="009F75DC"/>
    <w:rsid w:val="009F7667"/>
    <w:rsid w:val="009F78BE"/>
    <w:rsid w:val="009F7927"/>
    <w:rsid w:val="009F7A06"/>
    <w:rsid w:val="009F7A6F"/>
    <w:rsid w:val="009F7D24"/>
    <w:rsid w:val="009F7FE0"/>
    <w:rsid w:val="009F7FE5"/>
    <w:rsid w:val="00A00327"/>
    <w:rsid w:val="00A006BF"/>
    <w:rsid w:val="00A00753"/>
    <w:rsid w:val="00A008E3"/>
    <w:rsid w:val="00A008F8"/>
    <w:rsid w:val="00A0098C"/>
    <w:rsid w:val="00A00C87"/>
    <w:rsid w:val="00A00EFD"/>
    <w:rsid w:val="00A01444"/>
    <w:rsid w:val="00A01877"/>
    <w:rsid w:val="00A019E3"/>
    <w:rsid w:val="00A01DCA"/>
    <w:rsid w:val="00A01DCC"/>
    <w:rsid w:val="00A021A7"/>
    <w:rsid w:val="00A025E4"/>
    <w:rsid w:val="00A0269A"/>
    <w:rsid w:val="00A029B7"/>
    <w:rsid w:val="00A030D8"/>
    <w:rsid w:val="00A0332D"/>
    <w:rsid w:val="00A036F8"/>
    <w:rsid w:val="00A0399F"/>
    <w:rsid w:val="00A04381"/>
    <w:rsid w:val="00A04424"/>
    <w:rsid w:val="00A04543"/>
    <w:rsid w:val="00A04722"/>
    <w:rsid w:val="00A0489E"/>
    <w:rsid w:val="00A04A26"/>
    <w:rsid w:val="00A04DEA"/>
    <w:rsid w:val="00A05429"/>
    <w:rsid w:val="00A0580F"/>
    <w:rsid w:val="00A05A7C"/>
    <w:rsid w:val="00A05C69"/>
    <w:rsid w:val="00A06075"/>
    <w:rsid w:val="00A061DD"/>
    <w:rsid w:val="00A0626B"/>
    <w:rsid w:val="00A0641B"/>
    <w:rsid w:val="00A065DD"/>
    <w:rsid w:val="00A0670A"/>
    <w:rsid w:val="00A06E2E"/>
    <w:rsid w:val="00A0737C"/>
    <w:rsid w:val="00A073E5"/>
    <w:rsid w:val="00A075CD"/>
    <w:rsid w:val="00A075FD"/>
    <w:rsid w:val="00A076D3"/>
    <w:rsid w:val="00A07711"/>
    <w:rsid w:val="00A07732"/>
    <w:rsid w:val="00A0798D"/>
    <w:rsid w:val="00A07BB8"/>
    <w:rsid w:val="00A07CAD"/>
    <w:rsid w:val="00A07F62"/>
    <w:rsid w:val="00A10601"/>
    <w:rsid w:val="00A1075D"/>
    <w:rsid w:val="00A108D2"/>
    <w:rsid w:val="00A1093E"/>
    <w:rsid w:val="00A10BFF"/>
    <w:rsid w:val="00A10D3B"/>
    <w:rsid w:val="00A10DC5"/>
    <w:rsid w:val="00A11239"/>
    <w:rsid w:val="00A1149E"/>
    <w:rsid w:val="00A11A24"/>
    <w:rsid w:val="00A11CBA"/>
    <w:rsid w:val="00A125E1"/>
    <w:rsid w:val="00A126B2"/>
    <w:rsid w:val="00A12866"/>
    <w:rsid w:val="00A1288A"/>
    <w:rsid w:val="00A128F4"/>
    <w:rsid w:val="00A129B3"/>
    <w:rsid w:val="00A12AA7"/>
    <w:rsid w:val="00A12DBC"/>
    <w:rsid w:val="00A13233"/>
    <w:rsid w:val="00A138FA"/>
    <w:rsid w:val="00A1390E"/>
    <w:rsid w:val="00A13A62"/>
    <w:rsid w:val="00A13C34"/>
    <w:rsid w:val="00A13CCF"/>
    <w:rsid w:val="00A13D44"/>
    <w:rsid w:val="00A140F1"/>
    <w:rsid w:val="00A1411B"/>
    <w:rsid w:val="00A1419A"/>
    <w:rsid w:val="00A141B2"/>
    <w:rsid w:val="00A1452B"/>
    <w:rsid w:val="00A14663"/>
    <w:rsid w:val="00A14949"/>
    <w:rsid w:val="00A14A57"/>
    <w:rsid w:val="00A14CF2"/>
    <w:rsid w:val="00A14D4D"/>
    <w:rsid w:val="00A14F93"/>
    <w:rsid w:val="00A14FBC"/>
    <w:rsid w:val="00A1531B"/>
    <w:rsid w:val="00A15330"/>
    <w:rsid w:val="00A15411"/>
    <w:rsid w:val="00A1588C"/>
    <w:rsid w:val="00A158CD"/>
    <w:rsid w:val="00A15A00"/>
    <w:rsid w:val="00A15CCC"/>
    <w:rsid w:val="00A1615B"/>
    <w:rsid w:val="00A16497"/>
    <w:rsid w:val="00A164D0"/>
    <w:rsid w:val="00A164F1"/>
    <w:rsid w:val="00A16648"/>
    <w:rsid w:val="00A16BF9"/>
    <w:rsid w:val="00A16C42"/>
    <w:rsid w:val="00A1747C"/>
    <w:rsid w:val="00A179A8"/>
    <w:rsid w:val="00A17BD0"/>
    <w:rsid w:val="00A17CB3"/>
    <w:rsid w:val="00A17E47"/>
    <w:rsid w:val="00A17FD5"/>
    <w:rsid w:val="00A200D0"/>
    <w:rsid w:val="00A20114"/>
    <w:rsid w:val="00A20268"/>
    <w:rsid w:val="00A2070A"/>
    <w:rsid w:val="00A20829"/>
    <w:rsid w:val="00A209E6"/>
    <w:rsid w:val="00A20E2E"/>
    <w:rsid w:val="00A21348"/>
    <w:rsid w:val="00A215CD"/>
    <w:rsid w:val="00A21728"/>
    <w:rsid w:val="00A21976"/>
    <w:rsid w:val="00A21A89"/>
    <w:rsid w:val="00A21E2B"/>
    <w:rsid w:val="00A223CE"/>
    <w:rsid w:val="00A22746"/>
    <w:rsid w:val="00A22B73"/>
    <w:rsid w:val="00A22B9F"/>
    <w:rsid w:val="00A22C2F"/>
    <w:rsid w:val="00A22F3C"/>
    <w:rsid w:val="00A2335E"/>
    <w:rsid w:val="00A2374A"/>
    <w:rsid w:val="00A23A47"/>
    <w:rsid w:val="00A23BA1"/>
    <w:rsid w:val="00A23CF7"/>
    <w:rsid w:val="00A23E4C"/>
    <w:rsid w:val="00A23F5E"/>
    <w:rsid w:val="00A24117"/>
    <w:rsid w:val="00A243B5"/>
    <w:rsid w:val="00A243F2"/>
    <w:rsid w:val="00A248A4"/>
    <w:rsid w:val="00A24A52"/>
    <w:rsid w:val="00A24C9B"/>
    <w:rsid w:val="00A24E3B"/>
    <w:rsid w:val="00A24EDA"/>
    <w:rsid w:val="00A24F6C"/>
    <w:rsid w:val="00A253CF"/>
    <w:rsid w:val="00A2554C"/>
    <w:rsid w:val="00A25823"/>
    <w:rsid w:val="00A25D98"/>
    <w:rsid w:val="00A25F45"/>
    <w:rsid w:val="00A2621D"/>
    <w:rsid w:val="00A262BC"/>
    <w:rsid w:val="00A2648F"/>
    <w:rsid w:val="00A26509"/>
    <w:rsid w:val="00A265EA"/>
    <w:rsid w:val="00A2672C"/>
    <w:rsid w:val="00A267D1"/>
    <w:rsid w:val="00A267EE"/>
    <w:rsid w:val="00A26B2F"/>
    <w:rsid w:val="00A26BBB"/>
    <w:rsid w:val="00A27096"/>
    <w:rsid w:val="00A276F1"/>
    <w:rsid w:val="00A27955"/>
    <w:rsid w:val="00A27DB7"/>
    <w:rsid w:val="00A301AA"/>
    <w:rsid w:val="00A303BD"/>
    <w:rsid w:val="00A3048F"/>
    <w:rsid w:val="00A30582"/>
    <w:rsid w:val="00A30622"/>
    <w:rsid w:val="00A3077D"/>
    <w:rsid w:val="00A31019"/>
    <w:rsid w:val="00A3109D"/>
    <w:rsid w:val="00A3114C"/>
    <w:rsid w:val="00A315C4"/>
    <w:rsid w:val="00A31677"/>
    <w:rsid w:val="00A31718"/>
    <w:rsid w:val="00A3177E"/>
    <w:rsid w:val="00A31EEC"/>
    <w:rsid w:val="00A32117"/>
    <w:rsid w:val="00A3270C"/>
    <w:rsid w:val="00A327A1"/>
    <w:rsid w:val="00A328B6"/>
    <w:rsid w:val="00A32CB2"/>
    <w:rsid w:val="00A32D0D"/>
    <w:rsid w:val="00A32DF7"/>
    <w:rsid w:val="00A32F08"/>
    <w:rsid w:val="00A33235"/>
    <w:rsid w:val="00A332AC"/>
    <w:rsid w:val="00A33312"/>
    <w:rsid w:val="00A33368"/>
    <w:rsid w:val="00A33382"/>
    <w:rsid w:val="00A33982"/>
    <w:rsid w:val="00A33A13"/>
    <w:rsid w:val="00A341F3"/>
    <w:rsid w:val="00A34248"/>
    <w:rsid w:val="00A343DE"/>
    <w:rsid w:val="00A343FF"/>
    <w:rsid w:val="00A34428"/>
    <w:rsid w:val="00A34639"/>
    <w:rsid w:val="00A34715"/>
    <w:rsid w:val="00A347A7"/>
    <w:rsid w:val="00A34869"/>
    <w:rsid w:val="00A34AE8"/>
    <w:rsid w:val="00A34D15"/>
    <w:rsid w:val="00A34D43"/>
    <w:rsid w:val="00A34EFA"/>
    <w:rsid w:val="00A34F81"/>
    <w:rsid w:val="00A350CB"/>
    <w:rsid w:val="00A355A4"/>
    <w:rsid w:val="00A355E8"/>
    <w:rsid w:val="00A35B65"/>
    <w:rsid w:val="00A35C50"/>
    <w:rsid w:val="00A35D95"/>
    <w:rsid w:val="00A361E3"/>
    <w:rsid w:val="00A36784"/>
    <w:rsid w:val="00A369BD"/>
    <w:rsid w:val="00A369C9"/>
    <w:rsid w:val="00A36C31"/>
    <w:rsid w:val="00A36C9D"/>
    <w:rsid w:val="00A37058"/>
    <w:rsid w:val="00A3706C"/>
    <w:rsid w:val="00A370EA"/>
    <w:rsid w:val="00A371EA"/>
    <w:rsid w:val="00A37642"/>
    <w:rsid w:val="00A37A80"/>
    <w:rsid w:val="00A37AB0"/>
    <w:rsid w:val="00A37B6D"/>
    <w:rsid w:val="00A37DED"/>
    <w:rsid w:val="00A37E54"/>
    <w:rsid w:val="00A37F7E"/>
    <w:rsid w:val="00A37FDF"/>
    <w:rsid w:val="00A40069"/>
    <w:rsid w:val="00A400FB"/>
    <w:rsid w:val="00A402A8"/>
    <w:rsid w:val="00A4031D"/>
    <w:rsid w:val="00A404AE"/>
    <w:rsid w:val="00A4058F"/>
    <w:rsid w:val="00A40759"/>
    <w:rsid w:val="00A40BBD"/>
    <w:rsid w:val="00A40CE2"/>
    <w:rsid w:val="00A40E6A"/>
    <w:rsid w:val="00A4102C"/>
    <w:rsid w:val="00A41222"/>
    <w:rsid w:val="00A41477"/>
    <w:rsid w:val="00A414C4"/>
    <w:rsid w:val="00A416B9"/>
    <w:rsid w:val="00A41758"/>
    <w:rsid w:val="00A41822"/>
    <w:rsid w:val="00A41B60"/>
    <w:rsid w:val="00A41E72"/>
    <w:rsid w:val="00A41F23"/>
    <w:rsid w:val="00A41F66"/>
    <w:rsid w:val="00A420F8"/>
    <w:rsid w:val="00A42198"/>
    <w:rsid w:val="00A42969"/>
    <w:rsid w:val="00A42A88"/>
    <w:rsid w:val="00A42BC4"/>
    <w:rsid w:val="00A42BD2"/>
    <w:rsid w:val="00A42C7C"/>
    <w:rsid w:val="00A42D2D"/>
    <w:rsid w:val="00A430B4"/>
    <w:rsid w:val="00A43211"/>
    <w:rsid w:val="00A4345B"/>
    <w:rsid w:val="00A43471"/>
    <w:rsid w:val="00A434FC"/>
    <w:rsid w:val="00A43832"/>
    <w:rsid w:val="00A43BD4"/>
    <w:rsid w:val="00A441F1"/>
    <w:rsid w:val="00A44239"/>
    <w:rsid w:val="00A4427D"/>
    <w:rsid w:val="00A4458A"/>
    <w:rsid w:val="00A44626"/>
    <w:rsid w:val="00A44F13"/>
    <w:rsid w:val="00A45397"/>
    <w:rsid w:val="00A45C90"/>
    <w:rsid w:val="00A45D50"/>
    <w:rsid w:val="00A45E0D"/>
    <w:rsid w:val="00A462C6"/>
    <w:rsid w:val="00A462FA"/>
    <w:rsid w:val="00A4634D"/>
    <w:rsid w:val="00A46433"/>
    <w:rsid w:val="00A464AF"/>
    <w:rsid w:val="00A465DB"/>
    <w:rsid w:val="00A47123"/>
    <w:rsid w:val="00A47303"/>
    <w:rsid w:val="00A47413"/>
    <w:rsid w:val="00A47752"/>
    <w:rsid w:val="00A47B75"/>
    <w:rsid w:val="00A47E01"/>
    <w:rsid w:val="00A47FD5"/>
    <w:rsid w:val="00A502A2"/>
    <w:rsid w:val="00A502B1"/>
    <w:rsid w:val="00A50380"/>
    <w:rsid w:val="00A5102D"/>
    <w:rsid w:val="00A5114B"/>
    <w:rsid w:val="00A51438"/>
    <w:rsid w:val="00A51B12"/>
    <w:rsid w:val="00A51FE0"/>
    <w:rsid w:val="00A5241A"/>
    <w:rsid w:val="00A52624"/>
    <w:rsid w:val="00A528E1"/>
    <w:rsid w:val="00A528F7"/>
    <w:rsid w:val="00A52954"/>
    <w:rsid w:val="00A529A5"/>
    <w:rsid w:val="00A52C68"/>
    <w:rsid w:val="00A5333E"/>
    <w:rsid w:val="00A5398A"/>
    <w:rsid w:val="00A53AA8"/>
    <w:rsid w:val="00A53FEA"/>
    <w:rsid w:val="00A548D6"/>
    <w:rsid w:val="00A549FF"/>
    <w:rsid w:val="00A54A27"/>
    <w:rsid w:val="00A54CC4"/>
    <w:rsid w:val="00A54D3D"/>
    <w:rsid w:val="00A54D90"/>
    <w:rsid w:val="00A54F41"/>
    <w:rsid w:val="00A55046"/>
    <w:rsid w:val="00A550CB"/>
    <w:rsid w:val="00A55389"/>
    <w:rsid w:val="00A55960"/>
    <w:rsid w:val="00A55FCC"/>
    <w:rsid w:val="00A55FF7"/>
    <w:rsid w:val="00A564C2"/>
    <w:rsid w:val="00A56A67"/>
    <w:rsid w:val="00A56AA9"/>
    <w:rsid w:val="00A56D86"/>
    <w:rsid w:val="00A56E72"/>
    <w:rsid w:val="00A56F09"/>
    <w:rsid w:val="00A57099"/>
    <w:rsid w:val="00A570EB"/>
    <w:rsid w:val="00A5715A"/>
    <w:rsid w:val="00A571AD"/>
    <w:rsid w:val="00A5728F"/>
    <w:rsid w:val="00A572AF"/>
    <w:rsid w:val="00A573E6"/>
    <w:rsid w:val="00A57577"/>
    <w:rsid w:val="00A57740"/>
    <w:rsid w:val="00A577B0"/>
    <w:rsid w:val="00A577C6"/>
    <w:rsid w:val="00A579BA"/>
    <w:rsid w:val="00A57DC1"/>
    <w:rsid w:val="00A57E9A"/>
    <w:rsid w:val="00A602D1"/>
    <w:rsid w:val="00A602E5"/>
    <w:rsid w:val="00A605CA"/>
    <w:rsid w:val="00A605FA"/>
    <w:rsid w:val="00A60609"/>
    <w:rsid w:val="00A608F1"/>
    <w:rsid w:val="00A60F0A"/>
    <w:rsid w:val="00A61021"/>
    <w:rsid w:val="00A61307"/>
    <w:rsid w:val="00A61581"/>
    <w:rsid w:val="00A615AE"/>
    <w:rsid w:val="00A61918"/>
    <w:rsid w:val="00A61946"/>
    <w:rsid w:val="00A619E9"/>
    <w:rsid w:val="00A61A64"/>
    <w:rsid w:val="00A61DEE"/>
    <w:rsid w:val="00A61EAA"/>
    <w:rsid w:val="00A62240"/>
    <w:rsid w:val="00A6279C"/>
    <w:rsid w:val="00A62AF2"/>
    <w:rsid w:val="00A62C8C"/>
    <w:rsid w:val="00A63032"/>
    <w:rsid w:val="00A6357C"/>
    <w:rsid w:val="00A63916"/>
    <w:rsid w:val="00A63996"/>
    <w:rsid w:val="00A639D9"/>
    <w:rsid w:val="00A63A34"/>
    <w:rsid w:val="00A63B1A"/>
    <w:rsid w:val="00A63BDB"/>
    <w:rsid w:val="00A63C0A"/>
    <w:rsid w:val="00A63CAF"/>
    <w:rsid w:val="00A63E0A"/>
    <w:rsid w:val="00A6411C"/>
    <w:rsid w:val="00A64362"/>
    <w:rsid w:val="00A649D5"/>
    <w:rsid w:val="00A64B37"/>
    <w:rsid w:val="00A64FE9"/>
    <w:rsid w:val="00A651CD"/>
    <w:rsid w:val="00A65239"/>
    <w:rsid w:val="00A65262"/>
    <w:rsid w:val="00A652AC"/>
    <w:rsid w:val="00A65640"/>
    <w:rsid w:val="00A656C3"/>
    <w:rsid w:val="00A657FB"/>
    <w:rsid w:val="00A658BE"/>
    <w:rsid w:val="00A65AC7"/>
    <w:rsid w:val="00A65B6B"/>
    <w:rsid w:val="00A65D94"/>
    <w:rsid w:val="00A65EFB"/>
    <w:rsid w:val="00A66113"/>
    <w:rsid w:val="00A6613D"/>
    <w:rsid w:val="00A66424"/>
    <w:rsid w:val="00A66548"/>
    <w:rsid w:val="00A665DA"/>
    <w:rsid w:val="00A66790"/>
    <w:rsid w:val="00A6694E"/>
    <w:rsid w:val="00A66A17"/>
    <w:rsid w:val="00A66B1C"/>
    <w:rsid w:val="00A66B58"/>
    <w:rsid w:val="00A66B99"/>
    <w:rsid w:val="00A66C03"/>
    <w:rsid w:val="00A66E45"/>
    <w:rsid w:val="00A66EF9"/>
    <w:rsid w:val="00A66F3F"/>
    <w:rsid w:val="00A67244"/>
    <w:rsid w:val="00A67373"/>
    <w:rsid w:val="00A673E0"/>
    <w:rsid w:val="00A676B4"/>
    <w:rsid w:val="00A6770A"/>
    <w:rsid w:val="00A67891"/>
    <w:rsid w:val="00A67AEF"/>
    <w:rsid w:val="00A67B40"/>
    <w:rsid w:val="00A67F24"/>
    <w:rsid w:val="00A67F86"/>
    <w:rsid w:val="00A700CE"/>
    <w:rsid w:val="00A70292"/>
    <w:rsid w:val="00A706A2"/>
    <w:rsid w:val="00A7078C"/>
    <w:rsid w:val="00A709C5"/>
    <w:rsid w:val="00A70A6B"/>
    <w:rsid w:val="00A70FB8"/>
    <w:rsid w:val="00A7145B"/>
    <w:rsid w:val="00A715C6"/>
    <w:rsid w:val="00A717D7"/>
    <w:rsid w:val="00A71855"/>
    <w:rsid w:val="00A71990"/>
    <w:rsid w:val="00A71B31"/>
    <w:rsid w:val="00A71C82"/>
    <w:rsid w:val="00A7233F"/>
    <w:rsid w:val="00A725C3"/>
    <w:rsid w:val="00A72701"/>
    <w:rsid w:val="00A72AC2"/>
    <w:rsid w:val="00A72F36"/>
    <w:rsid w:val="00A7337A"/>
    <w:rsid w:val="00A736A9"/>
    <w:rsid w:val="00A73891"/>
    <w:rsid w:val="00A738BF"/>
    <w:rsid w:val="00A739EE"/>
    <w:rsid w:val="00A73D42"/>
    <w:rsid w:val="00A73FD3"/>
    <w:rsid w:val="00A74185"/>
    <w:rsid w:val="00A741DC"/>
    <w:rsid w:val="00A745FF"/>
    <w:rsid w:val="00A7462B"/>
    <w:rsid w:val="00A7465B"/>
    <w:rsid w:val="00A747B5"/>
    <w:rsid w:val="00A7495E"/>
    <w:rsid w:val="00A74B1A"/>
    <w:rsid w:val="00A74D42"/>
    <w:rsid w:val="00A74D96"/>
    <w:rsid w:val="00A74E7F"/>
    <w:rsid w:val="00A74F09"/>
    <w:rsid w:val="00A74FE0"/>
    <w:rsid w:val="00A74FE6"/>
    <w:rsid w:val="00A751B3"/>
    <w:rsid w:val="00A7553C"/>
    <w:rsid w:val="00A75547"/>
    <w:rsid w:val="00A7574D"/>
    <w:rsid w:val="00A757BC"/>
    <w:rsid w:val="00A758AE"/>
    <w:rsid w:val="00A75E69"/>
    <w:rsid w:val="00A75EFA"/>
    <w:rsid w:val="00A75F35"/>
    <w:rsid w:val="00A76472"/>
    <w:rsid w:val="00A7648C"/>
    <w:rsid w:val="00A7688E"/>
    <w:rsid w:val="00A769BB"/>
    <w:rsid w:val="00A76DCE"/>
    <w:rsid w:val="00A76EF7"/>
    <w:rsid w:val="00A76F36"/>
    <w:rsid w:val="00A76F84"/>
    <w:rsid w:val="00A771E0"/>
    <w:rsid w:val="00A7750A"/>
    <w:rsid w:val="00A776CB"/>
    <w:rsid w:val="00A77841"/>
    <w:rsid w:val="00A778AD"/>
    <w:rsid w:val="00A77CBF"/>
    <w:rsid w:val="00A80050"/>
    <w:rsid w:val="00A8058B"/>
    <w:rsid w:val="00A80692"/>
    <w:rsid w:val="00A80776"/>
    <w:rsid w:val="00A80867"/>
    <w:rsid w:val="00A809B3"/>
    <w:rsid w:val="00A80CBE"/>
    <w:rsid w:val="00A80CD2"/>
    <w:rsid w:val="00A80EA1"/>
    <w:rsid w:val="00A80EB7"/>
    <w:rsid w:val="00A80F1A"/>
    <w:rsid w:val="00A81374"/>
    <w:rsid w:val="00A8152E"/>
    <w:rsid w:val="00A81595"/>
    <w:rsid w:val="00A815F4"/>
    <w:rsid w:val="00A81F51"/>
    <w:rsid w:val="00A8200F"/>
    <w:rsid w:val="00A82505"/>
    <w:rsid w:val="00A82637"/>
    <w:rsid w:val="00A8282F"/>
    <w:rsid w:val="00A82A56"/>
    <w:rsid w:val="00A834DD"/>
    <w:rsid w:val="00A83521"/>
    <w:rsid w:val="00A83870"/>
    <w:rsid w:val="00A839F2"/>
    <w:rsid w:val="00A83F0A"/>
    <w:rsid w:val="00A8401E"/>
    <w:rsid w:val="00A841D0"/>
    <w:rsid w:val="00A843C6"/>
    <w:rsid w:val="00A84449"/>
    <w:rsid w:val="00A84BBC"/>
    <w:rsid w:val="00A84BC4"/>
    <w:rsid w:val="00A84C1D"/>
    <w:rsid w:val="00A84C2B"/>
    <w:rsid w:val="00A84D8D"/>
    <w:rsid w:val="00A85028"/>
    <w:rsid w:val="00A8511D"/>
    <w:rsid w:val="00A8549E"/>
    <w:rsid w:val="00A854FD"/>
    <w:rsid w:val="00A855E8"/>
    <w:rsid w:val="00A856C7"/>
    <w:rsid w:val="00A8574D"/>
    <w:rsid w:val="00A86401"/>
    <w:rsid w:val="00A864BC"/>
    <w:rsid w:val="00A86790"/>
    <w:rsid w:val="00A86F03"/>
    <w:rsid w:val="00A87212"/>
    <w:rsid w:val="00A87355"/>
    <w:rsid w:val="00A874EE"/>
    <w:rsid w:val="00A876FC"/>
    <w:rsid w:val="00A87810"/>
    <w:rsid w:val="00A87973"/>
    <w:rsid w:val="00A879EE"/>
    <w:rsid w:val="00A87B45"/>
    <w:rsid w:val="00A87DAD"/>
    <w:rsid w:val="00A87E0D"/>
    <w:rsid w:val="00A87F3B"/>
    <w:rsid w:val="00A87F76"/>
    <w:rsid w:val="00A9006C"/>
    <w:rsid w:val="00A90145"/>
    <w:rsid w:val="00A90184"/>
    <w:rsid w:val="00A9025F"/>
    <w:rsid w:val="00A902C8"/>
    <w:rsid w:val="00A9042C"/>
    <w:rsid w:val="00A904AD"/>
    <w:rsid w:val="00A90D2D"/>
    <w:rsid w:val="00A910A0"/>
    <w:rsid w:val="00A9112D"/>
    <w:rsid w:val="00A9136B"/>
    <w:rsid w:val="00A914E8"/>
    <w:rsid w:val="00A91723"/>
    <w:rsid w:val="00A91773"/>
    <w:rsid w:val="00A91878"/>
    <w:rsid w:val="00A9193E"/>
    <w:rsid w:val="00A91B66"/>
    <w:rsid w:val="00A91BC7"/>
    <w:rsid w:val="00A9205A"/>
    <w:rsid w:val="00A920AA"/>
    <w:rsid w:val="00A927C6"/>
    <w:rsid w:val="00A93077"/>
    <w:rsid w:val="00A9328D"/>
    <w:rsid w:val="00A932AD"/>
    <w:rsid w:val="00A93569"/>
    <w:rsid w:val="00A93B87"/>
    <w:rsid w:val="00A93E5C"/>
    <w:rsid w:val="00A93EEB"/>
    <w:rsid w:val="00A940BE"/>
    <w:rsid w:val="00A94167"/>
    <w:rsid w:val="00A9419C"/>
    <w:rsid w:val="00A9468D"/>
    <w:rsid w:val="00A9488E"/>
    <w:rsid w:val="00A949F3"/>
    <w:rsid w:val="00A94ABB"/>
    <w:rsid w:val="00A94AC6"/>
    <w:rsid w:val="00A94DD8"/>
    <w:rsid w:val="00A94E5E"/>
    <w:rsid w:val="00A94E7E"/>
    <w:rsid w:val="00A94FA5"/>
    <w:rsid w:val="00A951F8"/>
    <w:rsid w:val="00A9531C"/>
    <w:rsid w:val="00A955B1"/>
    <w:rsid w:val="00A957BB"/>
    <w:rsid w:val="00A95937"/>
    <w:rsid w:val="00A95C29"/>
    <w:rsid w:val="00A95E31"/>
    <w:rsid w:val="00A95F31"/>
    <w:rsid w:val="00A96097"/>
    <w:rsid w:val="00A9614D"/>
    <w:rsid w:val="00A9616E"/>
    <w:rsid w:val="00A961ED"/>
    <w:rsid w:val="00A963C6"/>
    <w:rsid w:val="00A966BA"/>
    <w:rsid w:val="00A96846"/>
    <w:rsid w:val="00A96C3E"/>
    <w:rsid w:val="00A96F5B"/>
    <w:rsid w:val="00A971EF"/>
    <w:rsid w:val="00A975BF"/>
    <w:rsid w:val="00A9774C"/>
    <w:rsid w:val="00A978E5"/>
    <w:rsid w:val="00A979C5"/>
    <w:rsid w:val="00A97B2B"/>
    <w:rsid w:val="00A97B66"/>
    <w:rsid w:val="00A97C95"/>
    <w:rsid w:val="00A97D5A"/>
    <w:rsid w:val="00A97FB5"/>
    <w:rsid w:val="00AA0182"/>
    <w:rsid w:val="00AA031A"/>
    <w:rsid w:val="00AA04D5"/>
    <w:rsid w:val="00AA055F"/>
    <w:rsid w:val="00AA05E2"/>
    <w:rsid w:val="00AA0B88"/>
    <w:rsid w:val="00AA0CA1"/>
    <w:rsid w:val="00AA0E14"/>
    <w:rsid w:val="00AA0F97"/>
    <w:rsid w:val="00AA118B"/>
    <w:rsid w:val="00AA11AD"/>
    <w:rsid w:val="00AA16CD"/>
    <w:rsid w:val="00AA1AE1"/>
    <w:rsid w:val="00AA1B18"/>
    <w:rsid w:val="00AA1B7B"/>
    <w:rsid w:val="00AA1BE1"/>
    <w:rsid w:val="00AA1DCF"/>
    <w:rsid w:val="00AA2175"/>
    <w:rsid w:val="00AA2550"/>
    <w:rsid w:val="00AA256C"/>
    <w:rsid w:val="00AA28BF"/>
    <w:rsid w:val="00AA2A80"/>
    <w:rsid w:val="00AA2DD6"/>
    <w:rsid w:val="00AA3552"/>
    <w:rsid w:val="00AA364B"/>
    <w:rsid w:val="00AA388B"/>
    <w:rsid w:val="00AA38E3"/>
    <w:rsid w:val="00AA3982"/>
    <w:rsid w:val="00AA39CD"/>
    <w:rsid w:val="00AA3DB4"/>
    <w:rsid w:val="00AA40B3"/>
    <w:rsid w:val="00AA4715"/>
    <w:rsid w:val="00AA47F5"/>
    <w:rsid w:val="00AA48EC"/>
    <w:rsid w:val="00AA4D91"/>
    <w:rsid w:val="00AA5003"/>
    <w:rsid w:val="00AA551D"/>
    <w:rsid w:val="00AA5616"/>
    <w:rsid w:val="00AA5771"/>
    <w:rsid w:val="00AA57C5"/>
    <w:rsid w:val="00AA5AE7"/>
    <w:rsid w:val="00AA5DD6"/>
    <w:rsid w:val="00AA5E5E"/>
    <w:rsid w:val="00AA5F46"/>
    <w:rsid w:val="00AA61BD"/>
    <w:rsid w:val="00AA63F7"/>
    <w:rsid w:val="00AA66FF"/>
    <w:rsid w:val="00AA68A3"/>
    <w:rsid w:val="00AA6B2F"/>
    <w:rsid w:val="00AA6C3F"/>
    <w:rsid w:val="00AA6E1B"/>
    <w:rsid w:val="00AA6E52"/>
    <w:rsid w:val="00AA6F15"/>
    <w:rsid w:val="00AA6F4E"/>
    <w:rsid w:val="00AA7720"/>
    <w:rsid w:val="00AA77AA"/>
    <w:rsid w:val="00AA7AFD"/>
    <w:rsid w:val="00AA7F95"/>
    <w:rsid w:val="00AB033B"/>
    <w:rsid w:val="00AB13F3"/>
    <w:rsid w:val="00AB1874"/>
    <w:rsid w:val="00AB1D63"/>
    <w:rsid w:val="00AB1D85"/>
    <w:rsid w:val="00AB2550"/>
    <w:rsid w:val="00AB26D4"/>
    <w:rsid w:val="00AB28FD"/>
    <w:rsid w:val="00AB296E"/>
    <w:rsid w:val="00AB2DF7"/>
    <w:rsid w:val="00AB2E6A"/>
    <w:rsid w:val="00AB3299"/>
    <w:rsid w:val="00AB3FC9"/>
    <w:rsid w:val="00AB4304"/>
    <w:rsid w:val="00AB4432"/>
    <w:rsid w:val="00AB44DE"/>
    <w:rsid w:val="00AB45A7"/>
    <w:rsid w:val="00AB47A7"/>
    <w:rsid w:val="00AB49C2"/>
    <w:rsid w:val="00AB4A76"/>
    <w:rsid w:val="00AB4B0E"/>
    <w:rsid w:val="00AB4CAC"/>
    <w:rsid w:val="00AB4FCF"/>
    <w:rsid w:val="00AB519A"/>
    <w:rsid w:val="00AB53D7"/>
    <w:rsid w:val="00AB5418"/>
    <w:rsid w:val="00AB559E"/>
    <w:rsid w:val="00AB5917"/>
    <w:rsid w:val="00AB5A66"/>
    <w:rsid w:val="00AB5CB1"/>
    <w:rsid w:val="00AB5DD5"/>
    <w:rsid w:val="00AB6299"/>
    <w:rsid w:val="00AB65AA"/>
    <w:rsid w:val="00AB66AF"/>
    <w:rsid w:val="00AB66D4"/>
    <w:rsid w:val="00AB67B5"/>
    <w:rsid w:val="00AB6B39"/>
    <w:rsid w:val="00AB6E38"/>
    <w:rsid w:val="00AB7409"/>
    <w:rsid w:val="00AB744A"/>
    <w:rsid w:val="00AB76BB"/>
    <w:rsid w:val="00AB7969"/>
    <w:rsid w:val="00AB7B64"/>
    <w:rsid w:val="00AB7BB7"/>
    <w:rsid w:val="00AB7CEF"/>
    <w:rsid w:val="00AB7DD8"/>
    <w:rsid w:val="00AC0089"/>
    <w:rsid w:val="00AC0308"/>
    <w:rsid w:val="00AC05E2"/>
    <w:rsid w:val="00AC09AB"/>
    <w:rsid w:val="00AC0EAC"/>
    <w:rsid w:val="00AC12C3"/>
    <w:rsid w:val="00AC14FC"/>
    <w:rsid w:val="00AC1719"/>
    <w:rsid w:val="00AC19BF"/>
    <w:rsid w:val="00AC1B6E"/>
    <w:rsid w:val="00AC1EFD"/>
    <w:rsid w:val="00AC23BA"/>
    <w:rsid w:val="00AC24C3"/>
    <w:rsid w:val="00AC2582"/>
    <w:rsid w:val="00AC2770"/>
    <w:rsid w:val="00AC28E0"/>
    <w:rsid w:val="00AC29A2"/>
    <w:rsid w:val="00AC2B1E"/>
    <w:rsid w:val="00AC2B28"/>
    <w:rsid w:val="00AC2BAB"/>
    <w:rsid w:val="00AC2DEC"/>
    <w:rsid w:val="00AC2E10"/>
    <w:rsid w:val="00AC3BD5"/>
    <w:rsid w:val="00AC3CE6"/>
    <w:rsid w:val="00AC3D99"/>
    <w:rsid w:val="00AC3F4B"/>
    <w:rsid w:val="00AC3FF5"/>
    <w:rsid w:val="00AC404E"/>
    <w:rsid w:val="00AC40A1"/>
    <w:rsid w:val="00AC410D"/>
    <w:rsid w:val="00AC4A17"/>
    <w:rsid w:val="00AC4AE3"/>
    <w:rsid w:val="00AC4BA7"/>
    <w:rsid w:val="00AC5622"/>
    <w:rsid w:val="00AC5658"/>
    <w:rsid w:val="00AC571D"/>
    <w:rsid w:val="00AC5CFB"/>
    <w:rsid w:val="00AC5FBC"/>
    <w:rsid w:val="00AC6055"/>
    <w:rsid w:val="00AC610A"/>
    <w:rsid w:val="00AC663A"/>
    <w:rsid w:val="00AC69B1"/>
    <w:rsid w:val="00AC6A02"/>
    <w:rsid w:val="00AC6BD1"/>
    <w:rsid w:val="00AC6C89"/>
    <w:rsid w:val="00AC6D0D"/>
    <w:rsid w:val="00AC6D8F"/>
    <w:rsid w:val="00AC73CB"/>
    <w:rsid w:val="00AC79F6"/>
    <w:rsid w:val="00AC7F3E"/>
    <w:rsid w:val="00AD033E"/>
    <w:rsid w:val="00AD0401"/>
    <w:rsid w:val="00AD0713"/>
    <w:rsid w:val="00AD0933"/>
    <w:rsid w:val="00AD0BA6"/>
    <w:rsid w:val="00AD0D2E"/>
    <w:rsid w:val="00AD0FC2"/>
    <w:rsid w:val="00AD0FDC"/>
    <w:rsid w:val="00AD0FF6"/>
    <w:rsid w:val="00AD10D4"/>
    <w:rsid w:val="00AD1753"/>
    <w:rsid w:val="00AD19AB"/>
    <w:rsid w:val="00AD1A0F"/>
    <w:rsid w:val="00AD2165"/>
    <w:rsid w:val="00AD21BB"/>
    <w:rsid w:val="00AD2382"/>
    <w:rsid w:val="00AD23CD"/>
    <w:rsid w:val="00AD2D6E"/>
    <w:rsid w:val="00AD2EBB"/>
    <w:rsid w:val="00AD3031"/>
    <w:rsid w:val="00AD3147"/>
    <w:rsid w:val="00AD33A3"/>
    <w:rsid w:val="00AD3453"/>
    <w:rsid w:val="00AD3659"/>
    <w:rsid w:val="00AD3A27"/>
    <w:rsid w:val="00AD3B89"/>
    <w:rsid w:val="00AD3C67"/>
    <w:rsid w:val="00AD3CB5"/>
    <w:rsid w:val="00AD3E7A"/>
    <w:rsid w:val="00AD3FE7"/>
    <w:rsid w:val="00AD41CC"/>
    <w:rsid w:val="00AD4205"/>
    <w:rsid w:val="00AD452F"/>
    <w:rsid w:val="00AD4593"/>
    <w:rsid w:val="00AD45E0"/>
    <w:rsid w:val="00AD4689"/>
    <w:rsid w:val="00AD4C21"/>
    <w:rsid w:val="00AD4DD0"/>
    <w:rsid w:val="00AD4F10"/>
    <w:rsid w:val="00AD4F95"/>
    <w:rsid w:val="00AD51D1"/>
    <w:rsid w:val="00AD5320"/>
    <w:rsid w:val="00AD57EC"/>
    <w:rsid w:val="00AD5EB3"/>
    <w:rsid w:val="00AD605D"/>
    <w:rsid w:val="00AD611B"/>
    <w:rsid w:val="00AD611D"/>
    <w:rsid w:val="00AD627D"/>
    <w:rsid w:val="00AD656D"/>
    <w:rsid w:val="00AD66A9"/>
    <w:rsid w:val="00AD6925"/>
    <w:rsid w:val="00AD6A9D"/>
    <w:rsid w:val="00AD6F56"/>
    <w:rsid w:val="00AD7375"/>
    <w:rsid w:val="00AD7517"/>
    <w:rsid w:val="00AD755C"/>
    <w:rsid w:val="00AD78FD"/>
    <w:rsid w:val="00AD7BAC"/>
    <w:rsid w:val="00AE0094"/>
    <w:rsid w:val="00AE017B"/>
    <w:rsid w:val="00AE02D0"/>
    <w:rsid w:val="00AE0D4E"/>
    <w:rsid w:val="00AE13A6"/>
    <w:rsid w:val="00AE1492"/>
    <w:rsid w:val="00AE1864"/>
    <w:rsid w:val="00AE1993"/>
    <w:rsid w:val="00AE19BC"/>
    <w:rsid w:val="00AE1A73"/>
    <w:rsid w:val="00AE1B08"/>
    <w:rsid w:val="00AE23C9"/>
    <w:rsid w:val="00AE23E2"/>
    <w:rsid w:val="00AE2AC8"/>
    <w:rsid w:val="00AE2E05"/>
    <w:rsid w:val="00AE3481"/>
    <w:rsid w:val="00AE34E7"/>
    <w:rsid w:val="00AE3537"/>
    <w:rsid w:val="00AE370C"/>
    <w:rsid w:val="00AE3C2B"/>
    <w:rsid w:val="00AE3C73"/>
    <w:rsid w:val="00AE407C"/>
    <w:rsid w:val="00AE44A5"/>
    <w:rsid w:val="00AE44D6"/>
    <w:rsid w:val="00AE4943"/>
    <w:rsid w:val="00AE4D1C"/>
    <w:rsid w:val="00AE4E85"/>
    <w:rsid w:val="00AE514F"/>
    <w:rsid w:val="00AE51FA"/>
    <w:rsid w:val="00AE5422"/>
    <w:rsid w:val="00AE5492"/>
    <w:rsid w:val="00AE586B"/>
    <w:rsid w:val="00AE60E1"/>
    <w:rsid w:val="00AE61B8"/>
    <w:rsid w:val="00AE62A5"/>
    <w:rsid w:val="00AE6515"/>
    <w:rsid w:val="00AE66B4"/>
    <w:rsid w:val="00AE67FE"/>
    <w:rsid w:val="00AE6976"/>
    <w:rsid w:val="00AE6A07"/>
    <w:rsid w:val="00AE6B0C"/>
    <w:rsid w:val="00AE6B34"/>
    <w:rsid w:val="00AE6C37"/>
    <w:rsid w:val="00AE6E5B"/>
    <w:rsid w:val="00AE7021"/>
    <w:rsid w:val="00AE709E"/>
    <w:rsid w:val="00AE78C3"/>
    <w:rsid w:val="00AE7C4D"/>
    <w:rsid w:val="00AE7FE7"/>
    <w:rsid w:val="00AF04AA"/>
    <w:rsid w:val="00AF04E0"/>
    <w:rsid w:val="00AF0560"/>
    <w:rsid w:val="00AF06D8"/>
    <w:rsid w:val="00AF0A14"/>
    <w:rsid w:val="00AF0AC5"/>
    <w:rsid w:val="00AF10CA"/>
    <w:rsid w:val="00AF1100"/>
    <w:rsid w:val="00AF1317"/>
    <w:rsid w:val="00AF1897"/>
    <w:rsid w:val="00AF1AA3"/>
    <w:rsid w:val="00AF1BA0"/>
    <w:rsid w:val="00AF1CCA"/>
    <w:rsid w:val="00AF1D30"/>
    <w:rsid w:val="00AF236B"/>
    <w:rsid w:val="00AF259D"/>
    <w:rsid w:val="00AF2716"/>
    <w:rsid w:val="00AF2938"/>
    <w:rsid w:val="00AF2C8D"/>
    <w:rsid w:val="00AF2F8C"/>
    <w:rsid w:val="00AF35A3"/>
    <w:rsid w:val="00AF3890"/>
    <w:rsid w:val="00AF3913"/>
    <w:rsid w:val="00AF3A2D"/>
    <w:rsid w:val="00AF3CC0"/>
    <w:rsid w:val="00AF3D23"/>
    <w:rsid w:val="00AF3D33"/>
    <w:rsid w:val="00AF3E84"/>
    <w:rsid w:val="00AF400A"/>
    <w:rsid w:val="00AF4247"/>
    <w:rsid w:val="00AF43FD"/>
    <w:rsid w:val="00AF46EF"/>
    <w:rsid w:val="00AF46FB"/>
    <w:rsid w:val="00AF4769"/>
    <w:rsid w:val="00AF4828"/>
    <w:rsid w:val="00AF4897"/>
    <w:rsid w:val="00AF49F3"/>
    <w:rsid w:val="00AF4A9E"/>
    <w:rsid w:val="00AF4CB8"/>
    <w:rsid w:val="00AF4F90"/>
    <w:rsid w:val="00AF54FF"/>
    <w:rsid w:val="00AF566A"/>
    <w:rsid w:val="00AF5971"/>
    <w:rsid w:val="00AF5BEC"/>
    <w:rsid w:val="00AF5FE6"/>
    <w:rsid w:val="00AF60A8"/>
    <w:rsid w:val="00AF61B7"/>
    <w:rsid w:val="00AF61BD"/>
    <w:rsid w:val="00AF641C"/>
    <w:rsid w:val="00AF6456"/>
    <w:rsid w:val="00AF65AE"/>
    <w:rsid w:val="00AF6861"/>
    <w:rsid w:val="00AF7104"/>
    <w:rsid w:val="00AF732E"/>
    <w:rsid w:val="00AF7591"/>
    <w:rsid w:val="00AF7641"/>
    <w:rsid w:val="00AF76E5"/>
    <w:rsid w:val="00AF7844"/>
    <w:rsid w:val="00AF7845"/>
    <w:rsid w:val="00AF7902"/>
    <w:rsid w:val="00AF7962"/>
    <w:rsid w:val="00AF79BA"/>
    <w:rsid w:val="00AF7BFB"/>
    <w:rsid w:val="00AF7C27"/>
    <w:rsid w:val="00AF7E2B"/>
    <w:rsid w:val="00AF7F0B"/>
    <w:rsid w:val="00B00025"/>
    <w:rsid w:val="00B00034"/>
    <w:rsid w:val="00B0005E"/>
    <w:rsid w:val="00B000C6"/>
    <w:rsid w:val="00B000FD"/>
    <w:rsid w:val="00B00293"/>
    <w:rsid w:val="00B00348"/>
    <w:rsid w:val="00B00390"/>
    <w:rsid w:val="00B00575"/>
    <w:rsid w:val="00B00CF0"/>
    <w:rsid w:val="00B00DDE"/>
    <w:rsid w:val="00B010D2"/>
    <w:rsid w:val="00B01330"/>
    <w:rsid w:val="00B01332"/>
    <w:rsid w:val="00B017C7"/>
    <w:rsid w:val="00B01D93"/>
    <w:rsid w:val="00B01FEC"/>
    <w:rsid w:val="00B02127"/>
    <w:rsid w:val="00B024B9"/>
    <w:rsid w:val="00B02E83"/>
    <w:rsid w:val="00B0343A"/>
    <w:rsid w:val="00B03535"/>
    <w:rsid w:val="00B0360D"/>
    <w:rsid w:val="00B039BC"/>
    <w:rsid w:val="00B03B35"/>
    <w:rsid w:val="00B03C27"/>
    <w:rsid w:val="00B0404A"/>
    <w:rsid w:val="00B0412C"/>
    <w:rsid w:val="00B041F0"/>
    <w:rsid w:val="00B0468E"/>
    <w:rsid w:val="00B04696"/>
    <w:rsid w:val="00B046EC"/>
    <w:rsid w:val="00B048CD"/>
    <w:rsid w:val="00B04FA9"/>
    <w:rsid w:val="00B053AB"/>
    <w:rsid w:val="00B056A2"/>
    <w:rsid w:val="00B058F9"/>
    <w:rsid w:val="00B05A73"/>
    <w:rsid w:val="00B06044"/>
    <w:rsid w:val="00B06565"/>
    <w:rsid w:val="00B065AE"/>
    <w:rsid w:val="00B0664B"/>
    <w:rsid w:val="00B0676D"/>
    <w:rsid w:val="00B06A27"/>
    <w:rsid w:val="00B0723C"/>
    <w:rsid w:val="00B07339"/>
    <w:rsid w:val="00B077C3"/>
    <w:rsid w:val="00B07B27"/>
    <w:rsid w:val="00B07CDC"/>
    <w:rsid w:val="00B10264"/>
    <w:rsid w:val="00B103E3"/>
    <w:rsid w:val="00B1082C"/>
    <w:rsid w:val="00B10AB9"/>
    <w:rsid w:val="00B1106F"/>
    <w:rsid w:val="00B11653"/>
    <w:rsid w:val="00B116AC"/>
    <w:rsid w:val="00B116B4"/>
    <w:rsid w:val="00B11736"/>
    <w:rsid w:val="00B1173D"/>
    <w:rsid w:val="00B117ED"/>
    <w:rsid w:val="00B11935"/>
    <w:rsid w:val="00B11AFB"/>
    <w:rsid w:val="00B11E69"/>
    <w:rsid w:val="00B12122"/>
    <w:rsid w:val="00B12306"/>
    <w:rsid w:val="00B1274C"/>
    <w:rsid w:val="00B12D1E"/>
    <w:rsid w:val="00B1316B"/>
    <w:rsid w:val="00B1333C"/>
    <w:rsid w:val="00B13685"/>
    <w:rsid w:val="00B13D0B"/>
    <w:rsid w:val="00B13FD0"/>
    <w:rsid w:val="00B14059"/>
    <w:rsid w:val="00B141B5"/>
    <w:rsid w:val="00B14730"/>
    <w:rsid w:val="00B147E3"/>
    <w:rsid w:val="00B14807"/>
    <w:rsid w:val="00B149DB"/>
    <w:rsid w:val="00B14F53"/>
    <w:rsid w:val="00B15AAF"/>
    <w:rsid w:val="00B15B0D"/>
    <w:rsid w:val="00B16098"/>
    <w:rsid w:val="00B161E3"/>
    <w:rsid w:val="00B16392"/>
    <w:rsid w:val="00B1659C"/>
    <w:rsid w:val="00B167BD"/>
    <w:rsid w:val="00B1691F"/>
    <w:rsid w:val="00B16934"/>
    <w:rsid w:val="00B16A14"/>
    <w:rsid w:val="00B16AEB"/>
    <w:rsid w:val="00B16E5D"/>
    <w:rsid w:val="00B16EFD"/>
    <w:rsid w:val="00B17268"/>
    <w:rsid w:val="00B172EF"/>
    <w:rsid w:val="00B17307"/>
    <w:rsid w:val="00B17342"/>
    <w:rsid w:val="00B17383"/>
    <w:rsid w:val="00B17439"/>
    <w:rsid w:val="00B17806"/>
    <w:rsid w:val="00B17A2B"/>
    <w:rsid w:val="00B17C7C"/>
    <w:rsid w:val="00B17E6D"/>
    <w:rsid w:val="00B204AF"/>
    <w:rsid w:val="00B206FE"/>
    <w:rsid w:val="00B20A4A"/>
    <w:rsid w:val="00B20E80"/>
    <w:rsid w:val="00B21526"/>
    <w:rsid w:val="00B218BC"/>
    <w:rsid w:val="00B21EB3"/>
    <w:rsid w:val="00B21FEB"/>
    <w:rsid w:val="00B2200B"/>
    <w:rsid w:val="00B22302"/>
    <w:rsid w:val="00B2243A"/>
    <w:rsid w:val="00B2285A"/>
    <w:rsid w:val="00B22885"/>
    <w:rsid w:val="00B22BBB"/>
    <w:rsid w:val="00B22C1C"/>
    <w:rsid w:val="00B23275"/>
    <w:rsid w:val="00B232E6"/>
    <w:rsid w:val="00B234A2"/>
    <w:rsid w:val="00B23530"/>
    <w:rsid w:val="00B2371F"/>
    <w:rsid w:val="00B237A7"/>
    <w:rsid w:val="00B23AA2"/>
    <w:rsid w:val="00B23BB3"/>
    <w:rsid w:val="00B24022"/>
    <w:rsid w:val="00B24073"/>
    <w:rsid w:val="00B242AC"/>
    <w:rsid w:val="00B242BA"/>
    <w:rsid w:val="00B24337"/>
    <w:rsid w:val="00B24572"/>
    <w:rsid w:val="00B24BB9"/>
    <w:rsid w:val="00B24D13"/>
    <w:rsid w:val="00B24ECC"/>
    <w:rsid w:val="00B24F16"/>
    <w:rsid w:val="00B24F5A"/>
    <w:rsid w:val="00B25057"/>
    <w:rsid w:val="00B25117"/>
    <w:rsid w:val="00B2523A"/>
    <w:rsid w:val="00B2547D"/>
    <w:rsid w:val="00B25658"/>
    <w:rsid w:val="00B2576E"/>
    <w:rsid w:val="00B25AEC"/>
    <w:rsid w:val="00B25C44"/>
    <w:rsid w:val="00B25CFC"/>
    <w:rsid w:val="00B25E93"/>
    <w:rsid w:val="00B26284"/>
    <w:rsid w:val="00B2658A"/>
    <w:rsid w:val="00B265A7"/>
    <w:rsid w:val="00B268BF"/>
    <w:rsid w:val="00B2693E"/>
    <w:rsid w:val="00B26FD9"/>
    <w:rsid w:val="00B2705F"/>
    <w:rsid w:val="00B27297"/>
    <w:rsid w:val="00B27336"/>
    <w:rsid w:val="00B27395"/>
    <w:rsid w:val="00B2744E"/>
    <w:rsid w:val="00B2794C"/>
    <w:rsid w:val="00B27A73"/>
    <w:rsid w:val="00B27BAF"/>
    <w:rsid w:val="00B27C65"/>
    <w:rsid w:val="00B3011F"/>
    <w:rsid w:val="00B301F8"/>
    <w:rsid w:val="00B30364"/>
    <w:rsid w:val="00B304B3"/>
    <w:rsid w:val="00B3061F"/>
    <w:rsid w:val="00B30731"/>
    <w:rsid w:val="00B30735"/>
    <w:rsid w:val="00B307ED"/>
    <w:rsid w:val="00B3098F"/>
    <w:rsid w:val="00B30F9E"/>
    <w:rsid w:val="00B31214"/>
    <w:rsid w:val="00B317E1"/>
    <w:rsid w:val="00B31976"/>
    <w:rsid w:val="00B319F4"/>
    <w:rsid w:val="00B31FC3"/>
    <w:rsid w:val="00B321C5"/>
    <w:rsid w:val="00B32645"/>
    <w:rsid w:val="00B32817"/>
    <w:rsid w:val="00B3287B"/>
    <w:rsid w:val="00B32BAA"/>
    <w:rsid w:val="00B32C5D"/>
    <w:rsid w:val="00B32CD8"/>
    <w:rsid w:val="00B32E58"/>
    <w:rsid w:val="00B32F09"/>
    <w:rsid w:val="00B33791"/>
    <w:rsid w:val="00B33906"/>
    <w:rsid w:val="00B33A86"/>
    <w:rsid w:val="00B33BC7"/>
    <w:rsid w:val="00B33C59"/>
    <w:rsid w:val="00B33EAB"/>
    <w:rsid w:val="00B34161"/>
    <w:rsid w:val="00B344D7"/>
    <w:rsid w:val="00B34526"/>
    <w:rsid w:val="00B34B83"/>
    <w:rsid w:val="00B34D0F"/>
    <w:rsid w:val="00B34D65"/>
    <w:rsid w:val="00B34EE2"/>
    <w:rsid w:val="00B34F2C"/>
    <w:rsid w:val="00B34F9E"/>
    <w:rsid w:val="00B35148"/>
    <w:rsid w:val="00B3521D"/>
    <w:rsid w:val="00B35496"/>
    <w:rsid w:val="00B3572D"/>
    <w:rsid w:val="00B358CE"/>
    <w:rsid w:val="00B35E63"/>
    <w:rsid w:val="00B35E9F"/>
    <w:rsid w:val="00B36005"/>
    <w:rsid w:val="00B362BD"/>
    <w:rsid w:val="00B3646E"/>
    <w:rsid w:val="00B367FE"/>
    <w:rsid w:val="00B36D60"/>
    <w:rsid w:val="00B36F74"/>
    <w:rsid w:val="00B37227"/>
    <w:rsid w:val="00B3772A"/>
    <w:rsid w:val="00B37919"/>
    <w:rsid w:val="00B37DBC"/>
    <w:rsid w:val="00B4057B"/>
    <w:rsid w:val="00B405BB"/>
    <w:rsid w:val="00B408E4"/>
    <w:rsid w:val="00B40A68"/>
    <w:rsid w:val="00B40A7E"/>
    <w:rsid w:val="00B40B1E"/>
    <w:rsid w:val="00B40CB5"/>
    <w:rsid w:val="00B40DEE"/>
    <w:rsid w:val="00B4132B"/>
    <w:rsid w:val="00B414BF"/>
    <w:rsid w:val="00B41683"/>
    <w:rsid w:val="00B41848"/>
    <w:rsid w:val="00B4193F"/>
    <w:rsid w:val="00B41986"/>
    <w:rsid w:val="00B41B99"/>
    <w:rsid w:val="00B41D52"/>
    <w:rsid w:val="00B41E6D"/>
    <w:rsid w:val="00B41EF6"/>
    <w:rsid w:val="00B42102"/>
    <w:rsid w:val="00B421A5"/>
    <w:rsid w:val="00B421D0"/>
    <w:rsid w:val="00B42DE9"/>
    <w:rsid w:val="00B43266"/>
    <w:rsid w:val="00B43AEE"/>
    <w:rsid w:val="00B43AF4"/>
    <w:rsid w:val="00B43B4A"/>
    <w:rsid w:val="00B43EC4"/>
    <w:rsid w:val="00B44193"/>
    <w:rsid w:val="00B44321"/>
    <w:rsid w:val="00B4436C"/>
    <w:rsid w:val="00B4467B"/>
    <w:rsid w:val="00B44841"/>
    <w:rsid w:val="00B449CA"/>
    <w:rsid w:val="00B44AF4"/>
    <w:rsid w:val="00B44F96"/>
    <w:rsid w:val="00B44FF0"/>
    <w:rsid w:val="00B45150"/>
    <w:rsid w:val="00B45B9D"/>
    <w:rsid w:val="00B45BC9"/>
    <w:rsid w:val="00B45BCF"/>
    <w:rsid w:val="00B45F94"/>
    <w:rsid w:val="00B469DF"/>
    <w:rsid w:val="00B46C08"/>
    <w:rsid w:val="00B46C19"/>
    <w:rsid w:val="00B46D2D"/>
    <w:rsid w:val="00B4701A"/>
    <w:rsid w:val="00B4703C"/>
    <w:rsid w:val="00B4711E"/>
    <w:rsid w:val="00B471C4"/>
    <w:rsid w:val="00B47C47"/>
    <w:rsid w:val="00B47FAB"/>
    <w:rsid w:val="00B50738"/>
    <w:rsid w:val="00B5075C"/>
    <w:rsid w:val="00B50912"/>
    <w:rsid w:val="00B50CCE"/>
    <w:rsid w:val="00B50DF0"/>
    <w:rsid w:val="00B50F6F"/>
    <w:rsid w:val="00B511BD"/>
    <w:rsid w:val="00B516D0"/>
    <w:rsid w:val="00B517AB"/>
    <w:rsid w:val="00B518D2"/>
    <w:rsid w:val="00B5191E"/>
    <w:rsid w:val="00B519A5"/>
    <w:rsid w:val="00B51FDE"/>
    <w:rsid w:val="00B52286"/>
    <w:rsid w:val="00B5258E"/>
    <w:rsid w:val="00B525AB"/>
    <w:rsid w:val="00B52A56"/>
    <w:rsid w:val="00B52D5F"/>
    <w:rsid w:val="00B52FAA"/>
    <w:rsid w:val="00B535D0"/>
    <w:rsid w:val="00B53604"/>
    <w:rsid w:val="00B53818"/>
    <w:rsid w:val="00B539A5"/>
    <w:rsid w:val="00B53EFF"/>
    <w:rsid w:val="00B540D9"/>
    <w:rsid w:val="00B548ED"/>
    <w:rsid w:val="00B5557E"/>
    <w:rsid w:val="00B5598D"/>
    <w:rsid w:val="00B55DE2"/>
    <w:rsid w:val="00B55E8E"/>
    <w:rsid w:val="00B561E5"/>
    <w:rsid w:val="00B5675E"/>
    <w:rsid w:val="00B5677F"/>
    <w:rsid w:val="00B56CB3"/>
    <w:rsid w:val="00B56D98"/>
    <w:rsid w:val="00B578D9"/>
    <w:rsid w:val="00B57977"/>
    <w:rsid w:val="00B57BA9"/>
    <w:rsid w:val="00B57BD9"/>
    <w:rsid w:val="00B57F38"/>
    <w:rsid w:val="00B60172"/>
    <w:rsid w:val="00B6035D"/>
    <w:rsid w:val="00B6052F"/>
    <w:rsid w:val="00B607D1"/>
    <w:rsid w:val="00B60B5B"/>
    <w:rsid w:val="00B60C24"/>
    <w:rsid w:val="00B60CE6"/>
    <w:rsid w:val="00B60D56"/>
    <w:rsid w:val="00B60F0F"/>
    <w:rsid w:val="00B60FC6"/>
    <w:rsid w:val="00B61433"/>
    <w:rsid w:val="00B6181C"/>
    <w:rsid w:val="00B61A71"/>
    <w:rsid w:val="00B61CDC"/>
    <w:rsid w:val="00B61CF5"/>
    <w:rsid w:val="00B61D53"/>
    <w:rsid w:val="00B623A3"/>
    <w:rsid w:val="00B624D8"/>
    <w:rsid w:val="00B62790"/>
    <w:rsid w:val="00B6279A"/>
    <w:rsid w:val="00B6285D"/>
    <w:rsid w:val="00B629C1"/>
    <w:rsid w:val="00B62AFF"/>
    <w:rsid w:val="00B62F5D"/>
    <w:rsid w:val="00B62FEA"/>
    <w:rsid w:val="00B639EC"/>
    <w:rsid w:val="00B63BAA"/>
    <w:rsid w:val="00B63C0C"/>
    <w:rsid w:val="00B63CD8"/>
    <w:rsid w:val="00B63F28"/>
    <w:rsid w:val="00B64CA8"/>
    <w:rsid w:val="00B64F99"/>
    <w:rsid w:val="00B64FFA"/>
    <w:rsid w:val="00B650EE"/>
    <w:rsid w:val="00B65185"/>
    <w:rsid w:val="00B6545A"/>
    <w:rsid w:val="00B6583D"/>
    <w:rsid w:val="00B65852"/>
    <w:rsid w:val="00B65904"/>
    <w:rsid w:val="00B65917"/>
    <w:rsid w:val="00B659FA"/>
    <w:rsid w:val="00B65C1F"/>
    <w:rsid w:val="00B65DC2"/>
    <w:rsid w:val="00B65FDB"/>
    <w:rsid w:val="00B660D5"/>
    <w:rsid w:val="00B66268"/>
    <w:rsid w:val="00B662EA"/>
    <w:rsid w:val="00B6639A"/>
    <w:rsid w:val="00B66599"/>
    <w:rsid w:val="00B66679"/>
    <w:rsid w:val="00B66878"/>
    <w:rsid w:val="00B66967"/>
    <w:rsid w:val="00B669EB"/>
    <w:rsid w:val="00B66A6C"/>
    <w:rsid w:val="00B66A8F"/>
    <w:rsid w:val="00B66B19"/>
    <w:rsid w:val="00B66C56"/>
    <w:rsid w:val="00B66EA8"/>
    <w:rsid w:val="00B66F62"/>
    <w:rsid w:val="00B66F9D"/>
    <w:rsid w:val="00B67347"/>
    <w:rsid w:val="00B6734C"/>
    <w:rsid w:val="00B6747E"/>
    <w:rsid w:val="00B677AB"/>
    <w:rsid w:val="00B678DA"/>
    <w:rsid w:val="00B67A7F"/>
    <w:rsid w:val="00B67BE9"/>
    <w:rsid w:val="00B67DD8"/>
    <w:rsid w:val="00B67F1A"/>
    <w:rsid w:val="00B70113"/>
    <w:rsid w:val="00B70438"/>
    <w:rsid w:val="00B70572"/>
    <w:rsid w:val="00B7097B"/>
    <w:rsid w:val="00B70AED"/>
    <w:rsid w:val="00B70B00"/>
    <w:rsid w:val="00B70CDB"/>
    <w:rsid w:val="00B71059"/>
    <w:rsid w:val="00B71458"/>
    <w:rsid w:val="00B715C0"/>
    <w:rsid w:val="00B71879"/>
    <w:rsid w:val="00B71C0B"/>
    <w:rsid w:val="00B71DE7"/>
    <w:rsid w:val="00B7275E"/>
    <w:rsid w:val="00B72A0F"/>
    <w:rsid w:val="00B72BC8"/>
    <w:rsid w:val="00B73192"/>
    <w:rsid w:val="00B735C9"/>
    <w:rsid w:val="00B73867"/>
    <w:rsid w:val="00B73A3F"/>
    <w:rsid w:val="00B73CDB"/>
    <w:rsid w:val="00B7462D"/>
    <w:rsid w:val="00B74898"/>
    <w:rsid w:val="00B74BB9"/>
    <w:rsid w:val="00B74BEC"/>
    <w:rsid w:val="00B74C55"/>
    <w:rsid w:val="00B74D2D"/>
    <w:rsid w:val="00B7536C"/>
    <w:rsid w:val="00B75662"/>
    <w:rsid w:val="00B75674"/>
    <w:rsid w:val="00B757A3"/>
    <w:rsid w:val="00B75B86"/>
    <w:rsid w:val="00B75C44"/>
    <w:rsid w:val="00B75F16"/>
    <w:rsid w:val="00B75F29"/>
    <w:rsid w:val="00B75FEE"/>
    <w:rsid w:val="00B76391"/>
    <w:rsid w:val="00B765C8"/>
    <w:rsid w:val="00B76628"/>
    <w:rsid w:val="00B76731"/>
    <w:rsid w:val="00B7675B"/>
    <w:rsid w:val="00B76864"/>
    <w:rsid w:val="00B76870"/>
    <w:rsid w:val="00B7687D"/>
    <w:rsid w:val="00B7690A"/>
    <w:rsid w:val="00B76BEE"/>
    <w:rsid w:val="00B76CB2"/>
    <w:rsid w:val="00B76F5D"/>
    <w:rsid w:val="00B76FCF"/>
    <w:rsid w:val="00B77012"/>
    <w:rsid w:val="00B77036"/>
    <w:rsid w:val="00B7732C"/>
    <w:rsid w:val="00B7756A"/>
    <w:rsid w:val="00B77797"/>
    <w:rsid w:val="00B77E07"/>
    <w:rsid w:val="00B77E78"/>
    <w:rsid w:val="00B80532"/>
    <w:rsid w:val="00B8054E"/>
    <w:rsid w:val="00B807DF"/>
    <w:rsid w:val="00B809E6"/>
    <w:rsid w:val="00B80BBE"/>
    <w:rsid w:val="00B80C7F"/>
    <w:rsid w:val="00B81929"/>
    <w:rsid w:val="00B81AA7"/>
    <w:rsid w:val="00B81ED5"/>
    <w:rsid w:val="00B821FE"/>
    <w:rsid w:val="00B8269A"/>
    <w:rsid w:val="00B8294B"/>
    <w:rsid w:val="00B82B2D"/>
    <w:rsid w:val="00B82C6A"/>
    <w:rsid w:val="00B82D24"/>
    <w:rsid w:val="00B82D7A"/>
    <w:rsid w:val="00B830CF"/>
    <w:rsid w:val="00B831D7"/>
    <w:rsid w:val="00B83580"/>
    <w:rsid w:val="00B837E5"/>
    <w:rsid w:val="00B83820"/>
    <w:rsid w:val="00B83830"/>
    <w:rsid w:val="00B83863"/>
    <w:rsid w:val="00B83D47"/>
    <w:rsid w:val="00B83E70"/>
    <w:rsid w:val="00B83E94"/>
    <w:rsid w:val="00B8402A"/>
    <w:rsid w:val="00B840EF"/>
    <w:rsid w:val="00B84603"/>
    <w:rsid w:val="00B8478D"/>
    <w:rsid w:val="00B84DBD"/>
    <w:rsid w:val="00B84FA7"/>
    <w:rsid w:val="00B85014"/>
    <w:rsid w:val="00B850A5"/>
    <w:rsid w:val="00B85336"/>
    <w:rsid w:val="00B854A0"/>
    <w:rsid w:val="00B8563C"/>
    <w:rsid w:val="00B8580F"/>
    <w:rsid w:val="00B858DE"/>
    <w:rsid w:val="00B859F0"/>
    <w:rsid w:val="00B85FB0"/>
    <w:rsid w:val="00B8617D"/>
    <w:rsid w:val="00B863BA"/>
    <w:rsid w:val="00B868F3"/>
    <w:rsid w:val="00B869B5"/>
    <w:rsid w:val="00B86A29"/>
    <w:rsid w:val="00B86E46"/>
    <w:rsid w:val="00B86EA7"/>
    <w:rsid w:val="00B86EEA"/>
    <w:rsid w:val="00B870CE"/>
    <w:rsid w:val="00B87460"/>
    <w:rsid w:val="00B8755F"/>
    <w:rsid w:val="00B87822"/>
    <w:rsid w:val="00B87CD9"/>
    <w:rsid w:val="00B87CEB"/>
    <w:rsid w:val="00B90113"/>
    <w:rsid w:val="00B902F0"/>
    <w:rsid w:val="00B90342"/>
    <w:rsid w:val="00B9060C"/>
    <w:rsid w:val="00B90631"/>
    <w:rsid w:val="00B908B2"/>
    <w:rsid w:val="00B9091D"/>
    <w:rsid w:val="00B90A2D"/>
    <w:rsid w:val="00B90ACB"/>
    <w:rsid w:val="00B90C7D"/>
    <w:rsid w:val="00B90F5A"/>
    <w:rsid w:val="00B90F5B"/>
    <w:rsid w:val="00B90F7A"/>
    <w:rsid w:val="00B90FD9"/>
    <w:rsid w:val="00B9165D"/>
    <w:rsid w:val="00B9171D"/>
    <w:rsid w:val="00B919DF"/>
    <w:rsid w:val="00B91BA2"/>
    <w:rsid w:val="00B9201E"/>
    <w:rsid w:val="00B921E4"/>
    <w:rsid w:val="00B92357"/>
    <w:rsid w:val="00B92418"/>
    <w:rsid w:val="00B92576"/>
    <w:rsid w:val="00B92609"/>
    <w:rsid w:val="00B9279A"/>
    <w:rsid w:val="00B92931"/>
    <w:rsid w:val="00B931BB"/>
    <w:rsid w:val="00B937E6"/>
    <w:rsid w:val="00B93BDC"/>
    <w:rsid w:val="00B93C8C"/>
    <w:rsid w:val="00B940C3"/>
    <w:rsid w:val="00B940E2"/>
    <w:rsid w:val="00B94127"/>
    <w:rsid w:val="00B9446A"/>
    <w:rsid w:val="00B9446E"/>
    <w:rsid w:val="00B9448A"/>
    <w:rsid w:val="00B9461E"/>
    <w:rsid w:val="00B9469F"/>
    <w:rsid w:val="00B94A49"/>
    <w:rsid w:val="00B94C35"/>
    <w:rsid w:val="00B94E9C"/>
    <w:rsid w:val="00B950B2"/>
    <w:rsid w:val="00B95100"/>
    <w:rsid w:val="00B95157"/>
    <w:rsid w:val="00B9537C"/>
    <w:rsid w:val="00B9567A"/>
    <w:rsid w:val="00B9585E"/>
    <w:rsid w:val="00B95886"/>
    <w:rsid w:val="00B959FE"/>
    <w:rsid w:val="00B95A1B"/>
    <w:rsid w:val="00B95C98"/>
    <w:rsid w:val="00B95F5C"/>
    <w:rsid w:val="00B96565"/>
    <w:rsid w:val="00B965C3"/>
    <w:rsid w:val="00B96BED"/>
    <w:rsid w:val="00B96D19"/>
    <w:rsid w:val="00B96E26"/>
    <w:rsid w:val="00B96EEB"/>
    <w:rsid w:val="00B96F58"/>
    <w:rsid w:val="00B970A3"/>
    <w:rsid w:val="00B970A8"/>
    <w:rsid w:val="00B97413"/>
    <w:rsid w:val="00B97422"/>
    <w:rsid w:val="00B97901"/>
    <w:rsid w:val="00B97E0F"/>
    <w:rsid w:val="00BA0073"/>
    <w:rsid w:val="00BA077F"/>
    <w:rsid w:val="00BA094E"/>
    <w:rsid w:val="00BA0DE8"/>
    <w:rsid w:val="00BA0F3E"/>
    <w:rsid w:val="00BA105B"/>
    <w:rsid w:val="00BA10ED"/>
    <w:rsid w:val="00BA161F"/>
    <w:rsid w:val="00BA170D"/>
    <w:rsid w:val="00BA1722"/>
    <w:rsid w:val="00BA17D2"/>
    <w:rsid w:val="00BA1891"/>
    <w:rsid w:val="00BA192B"/>
    <w:rsid w:val="00BA1A5A"/>
    <w:rsid w:val="00BA1F6B"/>
    <w:rsid w:val="00BA1FF8"/>
    <w:rsid w:val="00BA2133"/>
    <w:rsid w:val="00BA21FC"/>
    <w:rsid w:val="00BA228D"/>
    <w:rsid w:val="00BA27E0"/>
    <w:rsid w:val="00BA2827"/>
    <w:rsid w:val="00BA2919"/>
    <w:rsid w:val="00BA29C1"/>
    <w:rsid w:val="00BA2DE8"/>
    <w:rsid w:val="00BA2F11"/>
    <w:rsid w:val="00BA30E1"/>
    <w:rsid w:val="00BA32E7"/>
    <w:rsid w:val="00BA3A6A"/>
    <w:rsid w:val="00BA3C9D"/>
    <w:rsid w:val="00BA3CD5"/>
    <w:rsid w:val="00BA3D79"/>
    <w:rsid w:val="00BA44ED"/>
    <w:rsid w:val="00BA4744"/>
    <w:rsid w:val="00BA4945"/>
    <w:rsid w:val="00BA4B95"/>
    <w:rsid w:val="00BA4BD0"/>
    <w:rsid w:val="00BA4C10"/>
    <w:rsid w:val="00BA4E97"/>
    <w:rsid w:val="00BA51EA"/>
    <w:rsid w:val="00BA5226"/>
    <w:rsid w:val="00BA52AA"/>
    <w:rsid w:val="00BA55D8"/>
    <w:rsid w:val="00BA5882"/>
    <w:rsid w:val="00BA59EC"/>
    <w:rsid w:val="00BA5B5F"/>
    <w:rsid w:val="00BA5FFC"/>
    <w:rsid w:val="00BA622A"/>
    <w:rsid w:val="00BA6351"/>
    <w:rsid w:val="00BA68D6"/>
    <w:rsid w:val="00BA6AB2"/>
    <w:rsid w:val="00BA6AF7"/>
    <w:rsid w:val="00BA6B98"/>
    <w:rsid w:val="00BA6BE1"/>
    <w:rsid w:val="00BA6D37"/>
    <w:rsid w:val="00BA6E1A"/>
    <w:rsid w:val="00BA6E95"/>
    <w:rsid w:val="00BA6FEF"/>
    <w:rsid w:val="00BA7606"/>
    <w:rsid w:val="00BA772C"/>
    <w:rsid w:val="00BA78DF"/>
    <w:rsid w:val="00BA793F"/>
    <w:rsid w:val="00BA7B21"/>
    <w:rsid w:val="00BA7D04"/>
    <w:rsid w:val="00BA7E90"/>
    <w:rsid w:val="00BB067B"/>
    <w:rsid w:val="00BB080D"/>
    <w:rsid w:val="00BB1055"/>
    <w:rsid w:val="00BB109A"/>
    <w:rsid w:val="00BB14D4"/>
    <w:rsid w:val="00BB157F"/>
    <w:rsid w:val="00BB187F"/>
    <w:rsid w:val="00BB1885"/>
    <w:rsid w:val="00BB1AEF"/>
    <w:rsid w:val="00BB1C94"/>
    <w:rsid w:val="00BB1F52"/>
    <w:rsid w:val="00BB23E2"/>
    <w:rsid w:val="00BB24B1"/>
    <w:rsid w:val="00BB26D9"/>
    <w:rsid w:val="00BB27A3"/>
    <w:rsid w:val="00BB281E"/>
    <w:rsid w:val="00BB2825"/>
    <w:rsid w:val="00BB28A3"/>
    <w:rsid w:val="00BB29C5"/>
    <w:rsid w:val="00BB2D66"/>
    <w:rsid w:val="00BB2DCD"/>
    <w:rsid w:val="00BB3360"/>
    <w:rsid w:val="00BB34FA"/>
    <w:rsid w:val="00BB36A8"/>
    <w:rsid w:val="00BB37DF"/>
    <w:rsid w:val="00BB3857"/>
    <w:rsid w:val="00BB3877"/>
    <w:rsid w:val="00BB38ED"/>
    <w:rsid w:val="00BB3960"/>
    <w:rsid w:val="00BB3C60"/>
    <w:rsid w:val="00BB3D67"/>
    <w:rsid w:val="00BB3ED2"/>
    <w:rsid w:val="00BB4116"/>
    <w:rsid w:val="00BB4184"/>
    <w:rsid w:val="00BB41D1"/>
    <w:rsid w:val="00BB4229"/>
    <w:rsid w:val="00BB571C"/>
    <w:rsid w:val="00BB5A8F"/>
    <w:rsid w:val="00BB5C7A"/>
    <w:rsid w:val="00BB5CD0"/>
    <w:rsid w:val="00BB5DB3"/>
    <w:rsid w:val="00BB67AD"/>
    <w:rsid w:val="00BB6B4F"/>
    <w:rsid w:val="00BB6B64"/>
    <w:rsid w:val="00BB70EB"/>
    <w:rsid w:val="00BB7309"/>
    <w:rsid w:val="00BB742B"/>
    <w:rsid w:val="00BB7507"/>
    <w:rsid w:val="00BB7623"/>
    <w:rsid w:val="00BB7734"/>
    <w:rsid w:val="00BB7765"/>
    <w:rsid w:val="00BB7779"/>
    <w:rsid w:val="00BB7865"/>
    <w:rsid w:val="00BB790F"/>
    <w:rsid w:val="00BB7E5D"/>
    <w:rsid w:val="00BB7F18"/>
    <w:rsid w:val="00BC00F4"/>
    <w:rsid w:val="00BC0155"/>
    <w:rsid w:val="00BC02B6"/>
    <w:rsid w:val="00BC0A65"/>
    <w:rsid w:val="00BC117A"/>
    <w:rsid w:val="00BC119E"/>
    <w:rsid w:val="00BC11B0"/>
    <w:rsid w:val="00BC1403"/>
    <w:rsid w:val="00BC1542"/>
    <w:rsid w:val="00BC1881"/>
    <w:rsid w:val="00BC1F45"/>
    <w:rsid w:val="00BC2017"/>
    <w:rsid w:val="00BC2021"/>
    <w:rsid w:val="00BC221F"/>
    <w:rsid w:val="00BC23E0"/>
    <w:rsid w:val="00BC24C2"/>
    <w:rsid w:val="00BC278B"/>
    <w:rsid w:val="00BC2800"/>
    <w:rsid w:val="00BC2872"/>
    <w:rsid w:val="00BC2AEC"/>
    <w:rsid w:val="00BC31A1"/>
    <w:rsid w:val="00BC31DB"/>
    <w:rsid w:val="00BC3221"/>
    <w:rsid w:val="00BC33AC"/>
    <w:rsid w:val="00BC38C9"/>
    <w:rsid w:val="00BC3EF6"/>
    <w:rsid w:val="00BC3F2A"/>
    <w:rsid w:val="00BC3FC8"/>
    <w:rsid w:val="00BC434B"/>
    <w:rsid w:val="00BC4866"/>
    <w:rsid w:val="00BC4A05"/>
    <w:rsid w:val="00BC4A4E"/>
    <w:rsid w:val="00BC4AE1"/>
    <w:rsid w:val="00BC4B63"/>
    <w:rsid w:val="00BC4D23"/>
    <w:rsid w:val="00BC4E30"/>
    <w:rsid w:val="00BC4EBC"/>
    <w:rsid w:val="00BC50B0"/>
    <w:rsid w:val="00BC5364"/>
    <w:rsid w:val="00BC5507"/>
    <w:rsid w:val="00BC55D4"/>
    <w:rsid w:val="00BC56C5"/>
    <w:rsid w:val="00BC5D17"/>
    <w:rsid w:val="00BC5D38"/>
    <w:rsid w:val="00BC5D89"/>
    <w:rsid w:val="00BC5EAF"/>
    <w:rsid w:val="00BC5EF6"/>
    <w:rsid w:val="00BC60E5"/>
    <w:rsid w:val="00BC64B8"/>
    <w:rsid w:val="00BC6818"/>
    <w:rsid w:val="00BC68B6"/>
    <w:rsid w:val="00BC6943"/>
    <w:rsid w:val="00BC6AD2"/>
    <w:rsid w:val="00BC6D64"/>
    <w:rsid w:val="00BC6D6A"/>
    <w:rsid w:val="00BC72D5"/>
    <w:rsid w:val="00BC79BD"/>
    <w:rsid w:val="00BC7B16"/>
    <w:rsid w:val="00BC7FBB"/>
    <w:rsid w:val="00BD010A"/>
    <w:rsid w:val="00BD0188"/>
    <w:rsid w:val="00BD01FB"/>
    <w:rsid w:val="00BD03D5"/>
    <w:rsid w:val="00BD090F"/>
    <w:rsid w:val="00BD093E"/>
    <w:rsid w:val="00BD127E"/>
    <w:rsid w:val="00BD1652"/>
    <w:rsid w:val="00BD17E8"/>
    <w:rsid w:val="00BD1961"/>
    <w:rsid w:val="00BD1C54"/>
    <w:rsid w:val="00BD1EBE"/>
    <w:rsid w:val="00BD204E"/>
    <w:rsid w:val="00BD219C"/>
    <w:rsid w:val="00BD21DF"/>
    <w:rsid w:val="00BD229C"/>
    <w:rsid w:val="00BD3048"/>
    <w:rsid w:val="00BD3160"/>
    <w:rsid w:val="00BD3372"/>
    <w:rsid w:val="00BD341D"/>
    <w:rsid w:val="00BD3589"/>
    <w:rsid w:val="00BD39DC"/>
    <w:rsid w:val="00BD3C2A"/>
    <w:rsid w:val="00BD4013"/>
    <w:rsid w:val="00BD4955"/>
    <w:rsid w:val="00BD496B"/>
    <w:rsid w:val="00BD4B37"/>
    <w:rsid w:val="00BD52BF"/>
    <w:rsid w:val="00BD5315"/>
    <w:rsid w:val="00BD5495"/>
    <w:rsid w:val="00BD5502"/>
    <w:rsid w:val="00BD57B2"/>
    <w:rsid w:val="00BD5AAB"/>
    <w:rsid w:val="00BD5AB3"/>
    <w:rsid w:val="00BD5D12"/>
    <w:rsid w:val="00BD6014"/>
    <w:rsid w:val="00BD630A"/>
    <w:rsid w:val="00BD65DB"/>
    <w:rsid w:val="00BD6633"/>
    <w:rsid w:val="00BD6765"/>
    <w:rsid w:val="00BD6811"/>
    <w:rsid w:val="00BD694A"/>
    <w:rsid w:val="00BD6C0C"/>
    <w:rsid w:val="00BD6F63"/>
    <w:rsid w:val="00BD7336"/>
    <w:rsid w:val="00BD7560"/>
    <w:rsid w:val="00BD76B6"/>
    <w:rsid w:val="00BD7A97"/>
    <w:rsid w:val="00BD7C05"/>
    <w:rsid w:val="00BD7D3A"/>
    <w:rsid w:val="00BE011F"/>
    <w:rsid w:val="00BE01E9"/>
    <w:rsid w:val="00BE02D5"/>
    <w:rsid w:val="00BE0435"/>
    <w:rsid w:val="00BE0488"/>
    <w:rsid w:val="00BE056E"/>
    <w:rsid w:val="00BE099A"/>
    <w:rsid w:val="00BE0A75"/>
    <w:rsid w:val="00BE0A97"/>
    <w:rsid w:val="00BE0E6C"/>
    <w:rsid w:val="00BE12B8"/>
    <w:rsid w:val="00BE13AD"/>
    <w:rsid w:val="00BE147F"/>
    <w:rsid w:val="00BE15B4"/>
    <w:rsid w:val="00BE1A5A"/>
    <w:rsid w:val="00BE1AB3"/>
    <w:rsid w:val="00BE1AD5"/>
    <w:rsid w:val="00BE1C3D"/>
    <w:rsid w:val="00BE1E34"/>
    <w:rsid w:val="00BE1E89"/>
    <w:rsid w:val="00BE209A"/>
    <w:rsid w:val="00BE2180"/>
    <w:rsid w:val="00BE24D1"/>
    <w:rsid w:val="00BE251A"/>
    <w:rsid w:val="00BE25C7"/>
    <w:rsid w:val="00BE26D9"/>
    <w:rsid w:val="00BE2968"/>
    <w:rsid w:val="00BE2B54"/>
    <w:rsid w:val="00BE2D2B"/>
    <w:rsid w:val="00BE3359"/>
    <w:rsid w:val="00BE35EA"/>
    <w:rsid w:val="00BE3773"/>
    <w:rsid w:val="00BE389C"/>
    <w:rsid w:val="00BE39F0"/>
    <w:rsid w:val="00BE40FF"/>
    <w:rsid w:val="00BE428B"/>
    <w:rsid w:val="00BE46C7"/>
    <w:rsid w:val="00BE4770"/>
    <w:rsid w:val="00BE52AA"/>
    <w:rsid w:val="00BE53E3"/>
    <w:rsid w:val="00BE54EB"/>
    <w:rsid w:val="00BE562D"/>
    <w:rsid w:val="00BE5779"/>
    <w:rsid w:val="00BE5BFF"/>
    <w:rsid w:val="00BE5C74"/>
    <w:rsid w:val="00BE683E"/>
    <w:rsid w:val="00BE68B1"/>
    <w:rsid w:val="00BE68C3"/>
    <w:rsid w:val="00BE6C90"/>
    <w:rsid w:val="00BE6DBA"/>
    <w:rsid w:val="00BE6E31"/>
    <w:rsid w:val="00BE6E4A"/>
    <w:rsid w:val="00BE7475"/>
    <w:rsid w:val="00BE75C7"/>
    <w:rsid w:val="00BE7FEB"/>
    <w:rsid w:val="00BE7FF2"/>
    <w:rsid w:val="00BF0433"/>
    <w:rsid w:val="00BF0AAB"/>
    <w:rsid w:val="00BF10D2"/>
    <w:rsid w:val="00BF13A4"/>
    <w:rsid w:val="00BF180E"/>
    <w:rsid w:val="00BF1B20"/>
    <w:rsid w:val="00BF213B"/>
    <w:rsid w:val="00BF21B8"/>
    <w:rsid w:val="00BF25B4"/>
    <w:rsid w:val="00BF2663"/>
    <w:rsid w:val="00BF270C"/>
    <w:rsid w:val="00BF2A0C"/>
    <w:rsid w:val="00BF2AC3"/>
    <w:rsid w:val="00BF2BE4"/>
    <w:rsid w:val="00BF2DC8"/>
    <w:rsid w:val="00BF2F8A"/>
    <w:rsid w:val="00BF318A"/>
    <w:rsid w:val="00BF3520"/>
    <w:rsid w:val="00BF3737"/>
    <w:rsid w:val="00BF386C"/>
    <w:rsid w:val="00BF39F6"/>
    <w:rsid w:val="00BF3CEA"/>
    <w:rsid w:val="00BF4082"/>
    <w:rsid w:val="00BF40AA"/>
    <w:rsid w:val="00BF4305"/>
    <w:rsid w:val="00BF451C"/>
    <w:rsid w:val="00BF4999"/>
    <w:rsid w:val="00BF4B83"/>
    <w:rsid w:val="00BF4BB5"/>
    <w:rsid w:val="00BF4D6C"/>
    <w:rsid w:val="00BF4F42"/>
    <w:rsid w:val="00BF50BE"/>
    <w:rsid w:val="00BF525B"/>
    <w:rsid w:val="00BF5404"/>
    <w:rsid w:val="00BF542E"/>
    <w:rsid w:val="00BF5438"/>
    <w:rsid w:val="00BF54CD"/>
    <w:rsid w:val="00BF5517"/>
    <w:rsid w:val="00BF58F5"/>
    <w:rsid w:val="00BF59A9"/>
    <w:rsid w:val="00BF5A44"/>
    <w:rsid w:val="00BF5A52"/>
    <w:rsid w:val="00BF5D60"/>
    <w:rsid w:val="00BF5DD4"/>
    <w:rsid w:val="00BF5F55"/>
    <w:rsid w:val="00BF6970"/>
    <w:rsid w:val="00BF69D7"/>
    <w:rsid w:val="00BF6A83"/>
    <w:rsid w:val="00BF6AEE"/>
    <w:rsid w:val="00BF7085"/>
    <w:rsid w:val="00BF7A13"/>
    <w:rsid w:val="00BF7ECA"/>
    <w:rsid w:val="00C00170"/>
    <w:rsid w:val="00C003FE"/>
    <w:rsid w:val="00C00459"/>
    <w:rsid w:val="00C00669"/>
    <w:rsid w:val="00C007CE"/>
    <w:rsid w:val="00C008B1"/>
    <w:rsid w:val="00C008D7"/>
    <w:rsid w:val="00C00B69"/>
    <w:rsid w:val="00C00D1D"/>
    <w:rsid w:val="00C00E85"/>
    <w:rsid w:val="00C00EF7"/>
    <w:rsid w:val="00C00F7F"/>
    <w:rsid w:val="00C0100B"/>
    <w:rsid w:val="00C010C7"/>
    <w:rsid w:val="00C011D5"/>
    <w:rsid w:val="00C0152B"/>
    <w:rsid w:val="00C015C4"/>
    <w:rsid w:val="00C0187C"/>
    <w:rsid w:val="00C0197A"/>
    <w:rsid w:val="00C01A79"/>
    <w:rsid w:val="00C01C3D"/>
    <w:rsid w:val="00C01C6C"/>
    <w:rsid w:val="00C01EDC"/>
    <w:rsid w:val="00C01F5C"/>
    <w:rsid w:val="00C02004"/>
    <w:rsid w:val="00C022DE"/>
    <w:rsid w:val="00C02404"/>
    <w:rsid w:val="00C025E6"/>
    <w:rsid w:val="00C0260A"/>
    <w:rsid w:val="00C029AA"/>
    <w:rsid w:val="00C02CF9"/>
    <w:rsid w:val="00C02D6E"/>
    <w:rsid w:val="00C03184"/>
    <w:rsid w:val="00C03231"/>
    <w:rsid w:val="00C032F8"/>
    <w:rsid w:val="00C03301"/>
    <w:rsid w:val="00C0357D"/>
    <w:rsid w:val="00C03AC4"/>
    <w:rsid w:val="00C03DA4"/>
    <w:rsid w:val="00C046B3"/>
    <w:rsid w:val="00C0482F"/>
    <w:rsid w:val="00C04BB0"/>
    <w:rsid w:val="00C04DC3"/>
    <w:rsid w:val="00C04EE0"/>
    <w:rsid w:val="00C052CA"/>
    <w:rsid w:val="00C0556D"/>
    <w:rsid w:val="00C05821"/>
    <w:rsid w:val="00C0597E"/>
    <w:rsid w:val="00C05F04"/>
    <w:rsid w:val="00C0609D"/>
    <w:rsid w:val="00C066A2"/>
    <w:rsid w:val="00C069EE"/>
    <w:rsid w:val="00C06A18"/>
    <w:rsid w:val="00C06C51"/>
    <w:rsid w:val="00C06D0F"/>
    <w:rsid w:val="00C06D38"/>
    <w:rsid w:val="00C07070"/>
    <w:rsid w:val="00C0717C"/>
    <w:rsid w:val="00C07777"/>
    <w:rsid w:val="00C07916"/>
    <w:rsid w:val="00C07978"/>
    <w:rsid w:val="00C0799A"/>
    <w:rsid w:val="00C105CF"/>
    <w:rsid w:val="00C1086D"/>
    <w:rsid w:val="00C10970"/>
    <w:rsid w:val="00C10A47"/>
    <w:rsid w:val="00C10CBE"/>
    <w:rsid w:val="00C11A16"/>
    <w:rsid w:val="00C11BCF"/>
    <w:rsid w:val="00C1220A"/>
    <w:rsid w:val="00C12380"/>
    <w:rsid w:val="00C123A3"/>
    <w:rsid w:val="00C1257A"/>
    <w:rsid w:val="00C125EE"/>
    <w:rsid w:val="00C129E4"/>
    <w:rsid w:val="00C12E3B"/>
    <w:rsid w:val="00C12F6F"/>
    <w:rsid w:val="00C12F90"/>
    <w:rsid w:val="00C13095"/>
    <w:rsid w:val="00C131FA"/>
    <w:rsid w:val="00C133C6"/>
    <w:rsid w:val="00C13859"/>
    <w:rsid w:val="00C1391A"/>
    <w:rsid w:val="00C13BEA"/>
    <w:rsid w:val="00C13C85"/>
    <w:rsid w:val="00C13F97"/>
    <w:rsid w:val="00C141B9"/>
    <w:rsid w:val="00C1472B"/>
    <w:rsid w:val="00C149F0"/>
    <w:rsid w:val="00C14A31"/>
    <w:rsid w:val="00C14B77"/>
    <w:rsid w:val="00C14FDE"/>
    <w:rsid w:val="00C15031"/>
    <w:rsid w:val="00C15048"/>
    <w:rsid w:val="00C150B8"/>
    <w:rsid w:val="00C15617"/>
    <w:rsid w:val="00C15704"/>
    <w:rsid w:val="00C15A11"/>
    <w:rsid w:val="00C15A94"/>
    <w:rsid w:val="00C15DF6"/>
    <w:rsid w:val="00C15E35"/>
    <w:rsid w:val="00C1622A"/>
    <w:rsid w:val="00C1686E"/>
    <w:rsid w:val="00C16D83"/>
    <w:rsid w:val="00C170A6"/>
    <w:rsid w:val="00C171F2"/>
    <w:rsid w:val="00C1732E"/>
    <w:rsid w:val="00C176C6"/>
    <w:rsid w:val="00C1771E"/>
    <w:rsid w:val="00C177D5"/>
    <w:rsid w:val="00C17D28"/>
    <w:rsid w:val="00C17D40"/>
    <w:rsid w:val="00C17D4A"/>
    <w:rsid w:val="00C17EA8"/>
    <w:rsid w:val="00C200FA"/>
    <w:rsid w:val="00C2073F"/>
    <w:rsid w:val="00C21071"/>
    <w:rsid w:val="00C211B8"/>
    <w:rsid w:val="00C2125F"/>
    <w:rsid w:val="00C215AC"/>
    <w:rsid w:val="00C21718"/>
    <w:rsid w:val="00C21992"/>
    <w:rsid w:val="00C21A27"/>
    <w:rsid w:val="00C21B3E"/>
    <w:rsid w:val="00C21B94"/>
    <w:rsid w:val="00C21BD4"/>
    <w:rsid w:val="00C21DD9"/>
    <w:rsid w:val="00C21F4F"/>
    <w:rsid w:val="00C22240"/>
    <w:rsid w:val="00C2225E"/>
    <w:rsid w:val="00C22295"/>
    <w:rsid w:val="00C22523"/>
    <w:rsid w:val="00C22857"/>
    <w:rsid w:val="00C22D76"/>
    <w:rsid w:val="00C22F24"/>
    <w:rsid w:val="00C231B7"/>
    <w:rsid w:val="00C23249"/>
    <w:rsid w:val="00C232E6"/>
    <w:rsid w:val="00C2352B"/>
    <w:rsid w:val="00C23896"/>
    <w:rsid w:val="00C23D88"/>
    <w:rsid w:val="00C2447C"/>
    <w:rsid w:val="00C24679"/>
    <w:rsid w:val="00C2482A"/>
    <w:rsid w:val="00C24C58"/>
    <w:rsid w:val="00C24CE2"/>
    <w:rsid w:val="00C24E07"/>
    <w:rsid w:val="00C24F3D"/>
    <w:rsid w:val="00C24F66"/>
    <w:rsid w:val="00C250D5"/>
    <w:rsid w:val="00C2513F"/>
    <w:rsid w:val="00C25169"/>
    <w:rsid w:val="00C25346"/>
    <w:rsid w:val="00C25358"/>
    <w:rsid w:val="00C253D4"/>
    <w:rsid w:val="00C25631"/>
    <w:rsid w:val="00C25720"/>
    <w:rsid w:val="00C25B67"/>
    <w:rsid w:val="00C25BB6"/>
    <w:rsid w:val="00C25C05"/>
    <w:rsid w:val="00C25DB3"/>
    <w:rsid w:val="00C25E56"/>
    <w:rsid w:val="00C261EA"/>
    <w:rsid w:val="00C2629B"/>
    <w:rsid w:val="00C264BB"/>
    <w:rsid w:val="00C266B8"/>
    <w:rsid w:val="00C26A81"/>
    <w:rsid w:val="00C26AE8"/>
    <w:rsid w:val="00C273BF"/>
    <w:rsid w:val="00C2746F"/>
    <w:rsid w:val="00C275D8"/>
    <w:rsid w:val="00C2763C"/>
    <w:rsid w:val="00C27997"/>
    <w:rsid w:val="00C27CB9"/>
    <w:rsid w:val="00C27D48"/>
    <w:rsid w:val="00C27DBE"/>
    <w:rsid w:val="00C30C7F"/>
    <w:rsid w:val="00C30D36"/>
    <w:rsid w:val="00C30E8B"/>
    <w:rsid w:val="00C30F9C"/>
    <w:rsid w:val="00C30FD5"/>
    <w:rsid w:val="00C30FF0"/>
    <w:rsid w:val="00C31462"/>
    <w:rsid w:val="00C31868"/>
    <w:rsid w:val="00C318B9"/>
    <w:rsid w:val="00C31942"/>
    <w:rsid w:val="00C31994"/>
    <w:rsid w:val="00C319D2"/>
    <w:rsid w:val="00C319F5"/>
    <w:rsid w:val="00C31E1A"/>
    <w:rsid w:val="00C31EA6"/>
    <w:rsid w:val="00C32674"/>
    <w:rsid w:val="00C3268A"/>
    <w:rsid w:val="00C32697"/>
    <w:rsid w:val="00C326FE"/>
    <w:rsid w:val="00C3310B"/>
    <w:rsid w:val="00C33193"/>
    <w:rsid w:val="00C336AC"/>
    <w:rsid w:val="00C33BEF"/>
    <w:rsid w:val="00C33F94"/>
    <w:rsid w:val="00C34728"/>
    <w:rsid w:val="00C349BF"/>
    <w:rsid w:val="00C34A05"/>
    <w:rsid w:val="00C34F99"/>
    <w:rsid w:val="00C350E1"/>
    <w:rsid w:val="00C35367"/>
    <w:rsid w:val="00C3543F"/>
    <w:rsid w:val="00C356A5"/>
    <w:rsid w:val="00C356B6"/>
    <w:rsid w:val="00C35C25"/>
    <w:rsid w:val="00C35D40"/>
    <w:rsid w:val="00C35DB9"/>
    <w:rsid w:val="00C35DD7"/>
    <w:rsid w:val="00C365D8"/>
    <w:rsid w:val="00C365E5"/>
    <w:rsid w:val="00C36BA9"/>
    <w:rsid w:val="00C36C65"/>
    <w:rsid w:val="00C37424"/>
    <w:rsid w:val="00C37713"/>
    <w:rsid w:val="00C37956"/>
    <w:rsid w:val="00C37994"/>
    <w:rsid w:val="00C379FC"/>
    <w:rsid w:val="00C37D28"/>
    <w:rsid w:val="00C37FA6"/>
    <w:rsid w:val="00C40169"/>
    <w:rsid w:val="00C401A1"/>
    <w:rsid w:val="00C405D2"/>
    <w:rsid w:val="00C40879"/>
    <w:rsid w:val="00C40908"/>
    <w:rsid w:val="00C40A26"/>
    <w:rsid w:val="00C40AD6"/>
    <w:rsid w:val="00C40E57"/>
    <w:rsid w:val="00C40F73"/>
    <w:rsid w:val="00C4118A"/>
    <w:rsid w:val="00C414FA"/>
    <w:rsid w:val="00C4176E"/>
    <w:rsid w:val="00C41845"/>
    <w:rsid w:val="00C41925"/>
    <w:rsid w:val="00C422A5"/>
    <w:rsid w:val="00C423C9"/>
    <w:rsid w:val="00C427D2"/>
    <w:rsid w:val="00C42839"/>
    <w:rsid w:val="00C429DE"/>
    <w:rsid w:val="00C42ADB"/>
    <w:rsid w:val="00C42E45"/>
    <w:rsid w:val="00C42EF9"/>
    <w:rsid w:val="00C433F4"/>
    <w:rsid w:val="00C438A4"/>
    <w:rsid w:val="00C438D1"/>
    <w:rsid w:val="00C43A61"/>
    <w:rsid w:val="00C43F43"/>
    <w:rsid w:val="00C43FE7"/>
    <w:rsid w:val="00C4408F"/>
    <w:rsid w:val="00C44108"/>
    <w:rsid w:val="00C44119"/>
    <w:rsid w:val="00C441A1"/>
    <w:rsid w:val="00C443E9"/>
    <w:rsid w:val="00C44804"/>
    <w:rsid w:val="00C44980"/>
    <w:rsid w:val="00C44C8B"/>
    <w:rsid w:val="00C44CC2"/>
    <w:rsid w:val="00C44D78"/>
    <w:rsid w:val="00C44F15"/>
    <w:rsid w:val="00C450C1"/>
    <w:rsid w:val="00C453C3"/>
    <w:rsid w:val="00C45624"/>
    <w:rsid w:val="00C45733"/>
    <w:rsid w:val="00C45B49"/>
    <w:rsid w:val="00C45C09"/>
    <w:rsid w:val="00C45F4F"/>
    <w:rsid w:val="00C46355"/>
    <w:rsid w:val="00C46394"/>
    <w:rsid w:val="00C464EE"/>
    <w:rsid w:val="00C464FB"/>
    <w:rsid w:val="00C466F5"/>
    <w:rsid w:val="00C46D99"/>
    <w:rsid w:val="00C46F59"/>
    <w:rsid w:val="00C470EC"/>
    <w:rsid w:val="00C4714E"/>
    <w:rsid w:val="00C4774B"/>
    <w:rsid w:val="00C477A4"/>
    <w:rsid w:val="00C47D34"/>
    <w:rsid w:val="00C50419"/>
    <w:rsid w:val="00C5083E"/>
    <w:rsid w:val="00C508BF"/>
    <w:rsid w:val="00C50C8B"/>
    <w:rsid w:val="00C50D62"/>
    <w:rsid w:val="00C5119B"/>
    <w:rsid w:val="00C51597"/>
    <w:rsid w:val="00C516E8"/>
    <w:rsid w:val="00C51805"/>
    <w:rsid w:val="00C518B3"/>
    <w:rsid w:val="00C51C59"/>
    <w:rsid w:val="00C51CAE"/>
    <w:rsid w:val="00C51F12"/>
    <w:rsid w:val="00C51FC2"/>
    <w:rsid w:val="00C521E2"/>
    <w:rsid w:val="00C52259"/>
    <w:rsid w:val="00C52686"/>
    <w:rsid w:val="00C52AC8"/>
    <w:rsid w:val="00C52B0F"/>
    <w:rsid w:val="00C52C1B"/>
    <w:rsid w:val="00C52E05"/>
    <w:rsid w:val="00C52E28"/>
    <w:rsid w:val="00C532F5"/>
    <w:rsid w:val="00C53B1C"/>
    <w:rsid w:val="00C54106"/>
    <w:rsid w:val="00C5433B"/>
    <w:rsid w:val="00C54540"/>
    <w:rsid w:val="00C5461D"/>
    <w:rsid w:val="00C54766"/>
    <w:rsid w:val="00C54B54"/>
    <w:rsid w:val="00C54BC6"/>
    <w:rsid w:val="00C54C22"/>
    <w:rsid w:val="00C54F86"/>
    <w:rsid w:val="00C54F95"/>
    <w:rsid w:val="00C54FA1"/>
    <w:rsid w:val="00C55200"/>
    <w:rsid w:val="00C553CB"/>
    <w:rsid w:val="00C55438"/>
    <w:rsid w:val="00C55499"/>
    <w:rsid w:val="00C5567A"/>
    <w:rsid w:val="00C558C4"/>
    <w:rsid w:val="00C55AE4"/>
    <w:rsid w:val="00C56A76"/>
    <w:rsid w:val="00C56CA4"/>
    <w:rsid w:val="00C56E16"/>
    <w:rsid w:val="00C56F52"/>
    <w:rsid w:val="00C576DD"/>
    <w:rsid w:val="00C579E2"/>
    <w:rsid w:val="00C57A33"/>
    <w:rsid w:val="00C57E86"/>
    <w:rsid w:val="00C60141"/>
    <w:rsid w:val="00C601D0"/>
    <w:rsid w:val="00C6024E"/>
    <w:rsid w:val="00C6029D"/>
    <w:rsid w:val="00C608D2"/>
    <w:rsid w:val="00C60A13"/>
    <w:rsid w:val="00C60CFE"/>
    <w:rsid w:val="00C60F34"/>
    <w:rsid w:val="00C6104D"/>
    <w:rsid w:val="00C6119C"/>
    <w:rsid w:val="00C61292"/>
    <w:rsid w:val="00C613CE"/>
    <w:rsid w:val="00C61734"/>
    <w:rsid w:val="00C618E3"/>
    <w:rsid w:val="00C62214"/>
    <w:rsid w:val="00C62288"/>
    <w:rsid w:val="00C6244E"/>
    <w:rsid w:val="00C62744"/>
    <w:rsid w:val="00C628D8"/>
    <w:rsid w:val="00C6296E"/>
    <w:rsid w:val="00C62B27"/>
    <w:rsid w:val="00C62B45"/>
    <w:rsid w:val="00C62D3E"/>
    <w:rsid w:val="00C62EE3"/>
    <w:rsid w:val="00C63032"/>
    <w:rsid w:val="00C63375"/>
    <w:rsid w:val="00C63688"/>
    <w:rsid w:val="00C63BB0"/>
    <w:rsid w:val="00C648F2"/>
    <w:rsid w:val="00C64A6E"/>
    <w:rsid w:val="00C64DB7"/>
    <w:rsid w:val="00C651EB"/>
    <w:rsid w:val="00C6544C"/>
    <w:rsid w:val="00C656BB"/>
    <w:rsid w:val="00C65796"/>
    <w:rsid w:val="00C65F12"/>
    <w:rsid w:val="00C66044"/>
    <w:rsid w:val="00C66343"/>
    <w:rsid w:val="00C66481"/>
    <w:rsid w:val="00C66B31"/>
    <w:rsid w:val="00C66CF8"/>
    <w:rsid w:val="00C671E6"/>
    <w:rsid w:val="00C675DA"/>
    <w:rsid w:val="00C67768"/>
    <w:rsid w:val="00C6783A"/>
    <w:rsid w:val="00C67D1B"/>
    <w:rsid w:val="00C67D2C"/>
    <w:rsid w:val="00C67D3A"/>
    <w:rsid w:val="00C704FE"/>
    <w:rsid w:val="00C70534"/>
    <w:rsid w:val="00C70603"/>
    <w:rsid w:val="00C7064C"/>
    <w:rsid w:val="00C707E3"/>
    <w:rsid w:val="00C708BF"/>
    <w:rsid w:val="00C708E8"/>
    <w:rsid w:val="00C709C6"/>
    <w:rsid w:val="00C70B7F"/>
    <w:rsid w:val="00C70EC3"/>
    <w:rsid w:val="00C7158D"/>
    <w:rsid w:val="00C7162D"/>
    <w:rsid w:val="00C718BB"/>
    <w:rsid w:val="00C71917"/>
    <w:rsid w:val="00C720F0"/>
    <w:rsid w:val="00C72263"/>
    <w:rsid w:val="00C72352"/>
    <w:rsid w:val="00C7252E"/>
    <w:rsid w:val="00C727B6"/>
    <w:rsid w:val="00C72B0C"/>
    <w:rsid w:val="00C72B8D"/>
    <w:rsid w:val="00C73256"/>
    <w:rsid w:val="00C73270"/>
    <w:rsid w:val="00C7334E"/>
    <w:rsid w:val="00C73477"/>
    <w:rsid w:val="00C7351E"/>
    <w:rsid w:val="00C738DF"/>
    <w:rsid w:val="00C73A6F"/>
    <w:rsid w:val="00C73D70"/>
    <w:rsid w:val="00C73DA4"/>
    <w:rsid w:val="00C74023"/>
    <w:rsid w:val="00C741F3"/>
    <w:rsid w:val="00C746B6"/>
    <w:rsid w:val="00C748AC"/>
    <w:rsid w:val="00C748CF"/>
    <w:rsid w:val="00C749B1"/>
    <w:rsid w:val="00C74F7D"/>
    <w:rsid w:val="00C75388"/>
    <w:rsid w:val="00C75538"/>
    <w:rsid w:val="00C75905"/>
    <w:rsid w:val="00C75A33"/>
    <w:rsid w:val="00C75B12"/>
    <w:rsid w:val="00C75E5D"/>
    <w:rsid w:val="00C76141"/>
    <w:rsid w:val="00C761F7"/>
    <w:rsid w:val="00C76223"/>
    <w:rsid w:val="00C763B9"/>
    <w:rsid w:val="00C765E9"/>
    <w:rsid w:val="00C766D8"/>
    <w:rsid w:val="00C7679A"/>
    <w:rsid w:val="00C767DC"/>
    <w:rsid w:val="00C769A7"/>
    <w:rsid w:val="00C76A8D"/>
    <w:rsid w:val="00C76BA1"/>
    <w:rsid w:val="00C76F70"/>
    <w:rsid w:val="00C77337"/>
    <w:rsid w:val="00C77506"/>
    <w:rsid w:val="00C778FC"/>
    <w:rsid w:val="00C77CEC"/>
    <w:rsid w:val="00C77D5B"/>
    <w:rsid w:val="00C77E81"/>
    <w:rsid w:val="00C80324"/>
    <w:rsid w:val="00C8047D"/>
    <w:rsid w:val="00C804AC"/>
    <w:rsid w:val="00C808D3"/>
    <w:rsid w:val="00C80AF6"/>
    <w:rsid w:val="00C80AFC"/>
    <w:rsid w:val="00C80C16"/>
    <w:rsid w:val="00C81033"/>
    <w:rsid w:val="00C81309"/>
    <w:rsid w:val="00C81D1E"/>
    <w:rsid w:val="00C81E97"/>
    <w:rsid w:val="00C81F4F"/>
    <w:rsid w:val="00C8227A"/>
    <w:rsid w:val="00C82B65"/>
    <w:rsid w:val="00C82FCA"/>
    <w:rsid w:val="00C83023"/>
    <w:rsid w:val="00C8332E"/>
    <w:rsid w:val="00C835BD"/>
    <w:rsid w:val="00C83704"/>
    <w:rsid w:val="00C83946"/>
    <w:rsid w:val="00C83C48"/>
    <w:rsid w:val="00C83E29"/>
    <w:rsid w:val="00C840C0"/>
    <w:rsid w:val="00C84210"/>
    <w:rsid w:val="00C84503"/>
    <w:rsid w:val="00C845A4"/>
    <w:rsid w:val="00C84F44"/>
    <w:rsid w:val="00C850AA"/>
    <w:rsid w:val="00C851CE"/>
    <w:rsid w:val="00C85395"/>
    <w:rsid w:val="00C85792"/>
    <w:rsid w:val="00C857FF"/>
    <w:rsid w:val="00C85895"/>
    <w:rsid w:val="00C86075"/>
    <w:rsid w:val="00C8607A"/>
    <w:rsid w:val="00C8623E"/>
    <w:rsid w:val="00C86375"/>
    <w:rsid w:val="00C86630"/>
    <w:rsid w:val="00C868AA"/>
    <w:rsid w:val="00C86A72"/>
    <w:rsid w:val="00C86C7B"/>
    <w:rsid w:val="00C86CEB"/>
    <w:rsid w:val="00C86D75"/>
    <w:rsid w:val="00C86E5F"/>
    <w:rsid w:val="00C86F4A"/>
    <w:rsid w:val="00C870DE"/>
    <w:rsid w:val="00C871D2"/>
    <w:rsid w:val="00C87442"/>
    <w:rsid w:val="00C879E2"/>
    <w:rsid w:val="00C87A2E"/>
    <w:rsid w:val="00C87C47"/>
    <w:rsid w:val="00C87E36"/>
    <w:rsid w:val="00C903BE"/>
    <w:rsid w:val="00C9046A"/>
    <w:rsid w:val="00C905A4"/>
    <w:rsid w:val="00C909AC"/>
    <w:rsid w:val="00C909D2"/>
    <w:rsid w:val="00C90ACD"/>
    <w:rsid w:val="00C90BB7"/>
    <w:rsid w:val="00C90DD7"/>
    <w:rsid w:val="00C90EEE"/>
    <w:rsid w:val="00C90F72"/>
    <w:rsid w:val="00C91106"/>
    <w:rsid w:val="00C91207"/>
    <w:rsid w:val="00C913AC"/>
    <w:rsid w:val="00C914EE"/>
    <w:rsid w:val="00C91536"/>
    <w:rsid w:val="00C91986"/>
    <w:rsid w:val="00C919FD"/>
    <w:rsid w:val="00C91BB1"/>
    <w:rsid w:val="00C91C9F"/>
    <w:rsid w:val="00C91D04"/>
    <w:rsid w:val="00C91EA5"/>
    <w:rsid w:val="00C9219E"/>
    <w:rsid w:val="00C921BF"/>
    <w:rsid w:val="00C9227B"/>
    <w:rsid w:val="00C92289"/>
    <w:rsid w:val="00C92458"/>
    <w:rsid w:val="00C92536"/>
    <w:rsid w:val="00C9288B"/>
    <w:rsid w:val="00C92919"/>
    <w:rsid w:val="00C92A31"/>
    <w:rsid w:val="00C92C93"/>
    <w:rsid w:val="00C9353D"/>
    <w:rsid w:val="00C93D72"/>
    <w:rsid w:val="00C93F4F"/>
    <w:rsid w:val="00C94408"/>
    <w:rsid w:val="00C9473F"/>
    <w:rsid w:val="00C949C9"/>
    <w:rsid w:val="00C94A8C"/>
    <w:rsid w:val="00C95256"/>
    <w:rsid w:val="00C952C3"/>
    <w:rsid w:val="00C95409"/>
    <w:rsid w:val="00C95976"/>
    <w:rsid w:val="00C96493"/>
    <w:rsid w:val="00C964AD"/>
    <w:rsid w:val="00C9689A"/>
    <w:rsid w:val="00C96CF1"/>
    <w:rsid w:val="00C96DF7"/>
    <w:rsid w:val="00C96E4D"/>
    <w:rsid w:val="00C96E63"/>
    <w:rsid w:val="00C9729B"/>
    <w:rsid w:val="00C97567"/>
    <w:rsid w:val="00C97623"/>
    <w:rsid w:val="00C977F1"/>
    <w:rsid w:val="00C97E85"/>
    <w:rsid w:val="00C97FF6"/>
    <w:rsid w:val="00CA00AB"/>
    <w:rsid w:val="00CA039A"/>
    <w:rsid w:val="00CA0494"/>
    <w:rsid w:val="00CA0804"/>
    <w:rsid w:val="00CA0C3D"/>
    <w:rsid w:val="00CA0C91"/>
    <w:rsid w:val="00CA0DDA"/>
    <w:rsid w:val="00CA0EAC"/>
    <w:rsid w:val="00CA0F65"/>
    <w:rsid w:val="00CA1056"/>
    <w:rsid w:val="00CA15E2"/>
    <w:rsid w:val="00CA179D"/>
    <w:rsid w:val="00CA1BC2"/>
    <w:rsid w:val="00CA1DCE"/>
    <w:rsid w:val="00CA2615"/>
    <w:rsid w:val="00CA2638"/>
    <w:rsid w:val="00CA2725"/>
    <w:rsid w:val="00CA2861"/>
    <w:rsid w:val="00CA2A65"/>
    <w:rsid w:val="00CA2A99"/>
    <w:rsid w:val="00CA2C4E"/>
    <w:rsid w:val="00CA2D23"/>
    <w:rsid w:val="00CA2DF0"/>
    <w:rsid w:val="00CA3044"/>
    <w:rsid w:val="00CA3EB5"/>
    <w:rsid w:val="00CA3EBF"/>
    <w:rsid w:val="00CA3FF4"/>
    <w:rsid w:val="00CA4086"/>
    <w:rsid w:val="00CA44C7"/>
    <w:rsid w:val="00CA45D2"/>
    <w:rsid w:val="00CA4778"/>
    <w:rsid w:val="00CA4B46"/>
    <w:rsid w:val="00CA5363"/>
    <w:rsid w:val="00CA5427"/>
    <w:rsid w:val="00CA5895"/>
    <w:rsid w:val="00CA5A04"/>
    <w:rsid w:val="00CA5AE5"/>
    <w:rsid w:val="00CA5BC0"/>
    <w:rsid w:val="00CA6171"/>
    <w:rsid w:val="00CA62BE"/>
    <w:rsid w:val="00CA6391"/>
    <w:rsid w:val="00CA63EA"/>
    <w:rsid w:val="00CA648B"/>
    <w:rsid w:val="00CA6A62"/>
    <w:rsid w:val="00CA6FE0"/>
    <w:rsid w:val="00CA79DE"/>
    <w:rsid w:val="00CA7D8B"/>
    <w:rsid w:val="00CB0301"/>
    <w:rsid w:val="00CB06E5"/>
    <w:rsid w:val="00CB077C"/>
    <w:rsid w:val="00CB07BB"/>
    <w:rsid w:val="00CB094D"/>
    <w:rsid w:val="00CB09D3"/>
    <w:rsid w:val="00CB0A44"/>
    <w:rsid w:val="00CB0B30"/>
    <w:rsid w:val="00CB0EAF"/>
    <w:rsid w:val="00CB100C"/>
    <w:rsid w:val="00CB1183"/>
    <w:rsid w:val="00CB158F"/>
    <w:rsid w:val="00CB17B0"/>
    <w:rsid w:val="00CB1989"/>
    <w:rsid w:val="00CB1C59"/>
    <w:rsid w:val="00CB25B2"/>
    <w:rsid w:val="00CB26DD"/>
    <w:rsid w:val="00CB26FE"/>
    <w:rsid w:val="00CB276E"/>
    <w:rsid w:val="00CB2C0A"/>
    <w:rsid w:val="00CB2DE0"/>
    <w:rsid w:val="00CB2FFA"/>
    <w:rsid w:val="00CB3289"/>
    <w:rsid w:val="00CB3531"/>
    <w:rsid w:val="00CB3DBC"/>
    <w:rsid w:val="00CB409F"/>
    <w:rsid w:val="00CB4479"/>
    <w:rsid w:val="00CB44DB"/>
    <w:rsid w:val="00CB46D5"/>
    <w:rsid w:val="00CB4998"/>
    <w:rsid w:val="00CB4BA6"/>
    <w:rsid w:val="00CB4C47"/>
    <w:rsid w:val="00CB4CB0"/>
    <w:rsid w:val="00CB4E83"/>
    <w:rsid w:val="00CB511D"/>
    <w:rsid w:val="00CB530D"/>
    <w:rsid w:val="00CB5558"/>
    <w:rsid w:val="00CB5691"/>
    <w:rsid w:val="00CB5E75"/>
    <w:rsid w:val="00CB5EF5"/>
    <w:rsid w:val="00CB60ED"/>
    <w:rsid w:val="00CB64C8"/>
    <w:rsid w:val="00CB6532"/>
    <w:rsid w:val="00CB6538"/>
    <w:rsid w:val="00CB661A"/>
    <w:rsid w:val="00CB6808"/>
    <w:rsid w:val="00CB695C"/>
    <w:rsid w:val="00CB6C5C"/>
    <w:rsid w:val="00CB70C9"/>
    <w:rsid w:val="00CB70EB"/>
    <w:rsid w:val="00CB711B"/>
    <w:rsid w:val="00CB745B"/>
    <w:rsid w:val="00CB7AB6"/>
    <w:rsid w:val="00CB7BCF"/>
    <w:rsid w:val="00CB7D93"/>
    <w:rsid w:val="00CB7EAC"/>
    <w:rsid w:val="00CB7F2E"/>
    <w:rsid w:val="00CB7F87"/>
    <w:rsid w:val="00CC0149"/>
    <w:rsid w:val="00CC014B"/>
    <w:rsid w:val="00CC04C9"/>
    <w:rsid w:val="00CC0716"/>
    <w:rsid w:val="00CC0E42"/>
    <w:rsid w:val="00CC1061"/>
    <w:rsid w:val="00CC112F"/>
    <w:rsid w:val="00CC1221"/>
    <w:rsid w:val="00CC132B"/>
    <w:rsid w:val="00CC148B"/>
    <w:rsid w:val="00CC1626"/>
    <w:rsid w:val="00CC1D7B"/>
    <w:rsid w:val="00CC205B"/>
    <w:rsid w:val="00CC207D"/>
    <w:rsid w:val="00CC251F"/>
    <w:rsid w:val="00CC2688"/>
    <w:rsid w:val="00CC2AE7"/>
    <w:rsid w:val="00CC2B75"/>
    <w:rsid w:val="00CC2DD1"/>
    <w:rsid w:val="00CC2DF3"/>
    <w:rsid w:val="00CC2E0C"/>
    <w:rsid w:val="00CC2E43"/>
    <w:rsid w:val="00CC2EE3"/>
    <w:rsid w:val="00CC2EF4"/>
    <w:rsid w:val="00CC31E9"/>
    <w:rsid w:val="00CC4203"/>
    <w:rsid w:val="00CC4209"/>
    <w:rsid w:val="00CC4383"/>
    <w:rsid w:val="00CC43B3"/>
    <w:rsid w:val="00CC4651"/>
    <w:rsid w:val="00CC488B"/>
    <w:rsid w:val="00CC4978"/>
    <w:rsid w:val="00CC4A99"/>
    <w:rsid w:val="00CC4BE4"/>
    <w:rsid w:val="00CC4BEE"/>
    <w:rsid w:val="00CC4CC9"/>
    <w:rsid w:val="00CC4D48"/>
    <w:rsid w:val="00CC4DEB"/>
    <w:rsid w:val="00CC4EE4"/>
    <w:rsid w:val="00CC502B"/>
    <w:rsid w:val="00CC50F6"/>
    <w:rsid w:val="00CC583E"/>
    <w:rsid w:val="00CC5F1D"/>
    <w:rsid w:val="00CC5FDC"/>
    <w:rsid w:val="00CC62A6"/>
    <w:rsid w:val="00CC62DF"/>
    <w:rsid w:val="00CC6A49"/>
    <w:rsid w:val="00CC6DD0"/>
    <w:rsid w:val="00CC6EF8"/>
    <w:rsid w:val="00CC6FE5"/>
    <w:rsid w:val="00CC72FB"/>
    <w:rsid w:val="00CC74CF"/>
    <w:rsid w:val="00CC7556"/>
    <w:rsid w:val="00CC7A89"/>
    <w:rsid w:val="00CC7B69"/>
    <w:rsid w:val="00CC7C82"/>
    <w:rsid w:val="00CC7D57"/>
    <w:rsid w:val="00CC7F65"/>
    <w:rsid w:val="00CD0112"/>
    <w:rsid w:val="00CD0446"/>
    <w:rsid w:val="00CD0515"/>
    <w:rsid w:val="00CD08AF"/>
    <w:rsid w:val="00CD098F"/>
    <w:rsid w:val="00CD099D"/>
    <w:rsid w:val="00CD0B5D"/>
    <w:rsid w:val="00CD0C95"/>
    <w:rsid w:val="00CD1563"/>
    <w:rsid w:val="00CD1619"/>
    <w:rsid w:val="00CD1AE9"/>
    <w:rsid w:val="00CD2067"/>
    <w:rsid w:val="00CD27B1"/>
    <w:rsid w:val="00CD2941"/>
    <w:rsid w:val="00CD2C8F"/>
    <w:rsid w:val="00CD358E"/>
    <w:rsid w:val="00CD3686"/>
    <w:rsid w:val="00CD3981"/>
    <w:rsid w:val="00CD39DE"/>
    <w:rsid w:val="00CD3A4E"/>
    <w:rsid w:val="00CD3ABF"/>
    <w:rsid w:val="00CD3B65"/>
    <w:rsid w:val="00CD3D04"/>
    <w:rsid w:val="00CD4062"/>
    <w:rsid w:val="00CD4409"/>
    <w:rsid w:val="00CD4518"/>
    <w:rsid w:val="00CD4B3C"/>
    <w:rsid w:val="00CD4D40"/>
    <w:rsid w:val="00CD4E95"/>
    <w:rsid w:val="00CD5236"/>
    <w:rsid w:val="00CD540D"/>
    <w:rsid w:val="00CD5767"/>
    <w:rsid w:val="00CD5814"/>
    <w:rsid w:val="00CD5834"/>
    <w:rsid w:val="00CD5854"/>
    <w:rsid w:val="00CD5DB9"/>
    <w:rsid w:val="00CD5EDB"/>
    <w:rsid w:val="00CD5FC9"/>
    <w:rsid w:val="00CD6077"/>
    <w:rsid w:val="00CD6598"/>
    <w:rsid w:val="00CD6905"/>
    <w:rsid w:val="00CD6DE8"/>
    <w:rsid w:val="00CD6F31"/>
    <w:rsid w:val="00CD6FF3"/>
    <w:rsid w:val="00CD71AB"/>
    <w:rsid w:val="00CD751F"/>
    <w:rsid w:val="00CD75B0"/>
    <w:rsid w:val="00CD76C6"/>
    <w:rsid w:val="00CD7852"/>
    <w:rsid w:val="00CD78BA"/>
    <w:rsid w:val="00CD7A8B"/>
    <w:rsid w:val="00CD7AB2"/>
    <w:rsid w:val="00CD7CA2"/>
    <w:rsid w:val="00CD7D24"/>
    <w:rsid w:val="00CD7DEC"/>
    <w:rsid w:val="00CE02C9"/>
    <w:rsid w:val="00CE03B3"/>
    <w:rsid w:val="00CE0413"/>
    <w:rsid w:val="00CE050B"/>
    <w:rsid w:val="00CE0928"/>
    <w:rsid w:val="00CE0A77"/>
    <w:rsid w:val="00CE0C15"/>
    <w:rsid w:val="00CE0F9F"/>
    <w:rsid w:val="00CE0FCE"/>
    <w:rsid w:val="00CE0FDB"/>
    <w:rsid w:val="00CE132C"/>
    <w:rsid w:val="00CE195C"/>
    <w:rsid w:val="00CE1A4A"/>
    <w:rsid w:val="00CE1B41"/>
    <w:rsid w:val="00CE1D57"/>
    <w:rsid w:val="00CE2039"/>
    <w:rsid w:val="00CE20BF"/>
    <w:rsid w:val="00CE22B3"/>
    <w:rsid w:val="00CE2AD2"/>
    <w:rsid w:val="00CE2F81"/>
    <w:rsid w:val="00CE30BD"/>
    <w:rsid w:val="00CE3135"/>
    <w:rsid w:val="00CE327B"/>
    <w:rsid w:val="00CE32F6"/>
    <w:rsid w:val="00CE338E"/>
    <w:rsid w:val="00CE3422"/>
    <w:rsid w:val="00CE352D"/>
    <w:rsid w:val="00CE354F"/>
    <w:rsid w:val="00CE369D"/>
    <w:rsid w:val="00CE3718"/>
    <w:rsid w:val="00CE38E8"/>
    <w:rsid w:val="00CE3C93"/>
    <w:rsid w:val="00CE3E32"/>
    <w:rsid w:val="00CE4376"/>
    <w:rsid w:val="00CE43C5"/>
    <w:rsid w:val="00CE4B2E"/>
    <w:rsid w:val="00CE4C15"/>
    <w:rsid w:val="00CE4CB3"/>
    <w:rsid w:val="00CE4DB6"/>
    <w:rsid w:val="00CE512B"/>
    <w:rsid w:val="00CE522C"/>
    <w:rsid w:val="00CE52B5"/>
    <w:rsid w:val="00CE5454"/>
    <w:rsid w:val="00CE58D9"/>
    <w:rsid w:val="00CE5985"/>
    <w:rsid w:val="00CE5AAE"/>
    <w:rsid w:val="00CE5D51"/>
    <w:rsid w:val="00CE5DA7"/>
    <w:rsid w:val="00CE5F8D"/>
    <w:rsid w:val="00CE64C5"/>
    <w:rsid w:val="00CE6510"/>
    <w:rsid w:val="00CE659E"/>
    <w:rsid w:val="00CE65CA"/>
    <w:rsid w:val="00CE66A4"/>
    <w:rsid w:val="00CE6A1D"/>
    <w:rsid w:val="00CE6A49"/>
    <w:rsid w:val="00CE6D28"/>
    <w:rsid w:val="00CE6E0D"/>
    <w:rsid w:val="00CE6F22"/>
    <w:rsid w:val="00CE715B"/>
    <w:rsid w:val="00CE71C6"/>
    <w:rsid w:val="00CE7895"/>
    <w:rsid w:val="00CE79F0"/>
    <w:rsid w:val="00CE7E8C"/>
    <w:rsid w:val="00CF003A"/>
    <w:rsid w:val="00CF0319"/>
    <w:rsid w:val="00CF05C4"/>
    <w:rsid w:val="00CF0737"/>
    <w:rsid w:val="00CF08E3"/>
    <w:rsid w:val="00CF0B4C"/>
    <w:rsid w:val="00CF0BD6"/>
    <w:rsid w:val="00CF0E2D"/>
    <w:rsid w:val="00CF0EF5"/>
    <w:rsid w:val="00CF0EFD"/>
    <w:rsid w:val="00CF0F57"/>
    <w:rsid w:val="00CF108D"/>
    <w:rsid w:val="00CF11E5"/>
    <w:rsid w:val="00CF14FA"/>
    <w:rsid w:val="00CF156B"/>
    <w:rsid w:val="00CF1572"/>
    <w:rsid w:val="00CF1637"/>
    <w:rsid w:val="00CF196A"/>
    <w:rsid w:val="00CF1AC4"/>
    <w:rsid w:val="00CF1BBB"/>
    <w:rsid w:val="00CF1DC3"/>
    <w:rsid w:val="00CF1F5D"/>
    <w:rsid w:val="00CF2118"/>
    <w:rsid w:val="00CF22EB"/>
    <w:rsid w:val="00CF24C0"/>
    <w:rsid w:val="00CF25E3"/>
    <w:rsid w:val="00CF276C"/>
    <w:rsid w:val="00CF2CAE"/>
    <w:rsid w:val="00CF2EA2"/>
    <w:rsid w:val="00CF2EDD"/>
    <w:rsid w:val="00CF2F72"/>
    <w:rsid w:val="00CF317D"/>
    <w:rsid w:val="00CF32B1"/>
    <w:rsid w:val="00CF3651"/>
    <w:rsid w:val="00CF3800"/>
    <w:rsid w:val="00CF3AE3"/>
    <w:rsid w:val="00CF3F24"/>
    <w:rsid w:val="00CF4075"/>
    <w:rsid w:val="00CF444D"/>
    <w:rsid w:val="00CF4454"/>
    <w:rsid w:val="00CF4478"/>
    <w:rsid w:val="00CF469C"/>
    <w:rsid w:val="00CF4CF0"/>
    <w:rsid w:val="00CF506A"/>
    <w:rsid w:val="00CF50B5"/>
    <w:rsid w:val="00CF5825"/>
    <w:rsid w:val="00CF5841"/>
    <w:rsid w:val="00CF59F5"/>
    <w:rsid w:val="00CF5B4C"/>
    <w:rsid w:val="00CF5D1F"/>
    <w:rsid w:val="00CF5ED1"/>
    <w:rsid w:val="00CF5F5D"/>
    <w:rsid w:val="00CF6144"/>
    <w:rsid w:val="00CF654D"/>
    <w:rsid w:val="00CF69E1"/>
    <w:rsid w:val="00CF7078"/>
    <w:rsid w:val="00CF7409"/>
    <w:rsid w:val="00CF7440"/>
    <w:rsid w:val="00CF752A"/>
    <w:rsid w:val="00CF754D"/>
    <w:rsid w:val="00CF781D"/>
    <w:rsid w:val="00CF7CD3"/>
    <w:rsid w:val="00CF7D14"/>
    <w:rsid w:val="00CF7DCF"/>
    <w:rsid w:val="00CF7F5E"/>
    <w:rsid w:val="00CF7F80"/>
    <w:rsid w:val="00D0008E"/>
    <w:rsid w:val="00D0014B"/>
    <w:rsid w:val="00D003AE"/>
    <w:rsid w:val="00D003DF"/>
    <w:rsid w:val="00D00416"/>
    <w:rsid w:val="00D0059A"/>
    <w:rsid w:val="00D0062F"/>
    <w:rsid w:val="00D00637"/>
    <w:rsid w:val="00D0082D"/>
    <w:rsid w:val="00D009CB"/>
    <w:rsid w:val="00D012AA"/>
    <w:rsid w:val="00D012D7"/>
    <w:rsid w:val="00D0135F"/>
    <w:rsid w:val="00D01394"/>
    <w:rsid w:val="00D01658"/>
    <w:rsid w:val="00D0165A"/>
    <w:rsid w:val="00D01685"/>
    <w:rsid w:val="00D016F2"/>
    <w:rsid w:val="00D016FD"/>
    <w:rsid w:val="00D01AAB"/>
    <w:rsid w:val="00D01D82"/>
    <w:rsid w:val="00D01E20"/>
    <w:rsid w:val="00D02027"/>
    <w:rsid w:val="00D0255A"/>
    <w:rsid w:val="00D02694"/>
    <w:rsid w:val="00D031A5"/>
    <w:rsid w:val="00D03410"/>
    <w:rsid w:val="00D037CC"/>
    <w:rsid w:val="00D03879"/>
    <w:rsid w:val="00D03BD2"/>
    <w:rsid w:val="00D03D40"/>
    <w:rsid w:val="00D03D7C"/>
    <w:rsid w:val="00D03D9E"/>
    <w:rsid w:val="00D03F29"/>
    <w:rsid w:val="00D04643"/>
    <w:rsid w:val="00D0466B"/>
    <w:rsid w:val="00D046CE"/>
    <w:rsid w:val="00D0482A"/>
    <w:rsid w:val="00D04C4A"/>
    <w:rsid w:val="00D04E25"/>
    <w:rsid w:val="00D053F8"/>
    <w:rsid w:val="00D0546C"/>
    <w:rsid w:val="00D0548C"/>
    <w:rsid w:val="00D054AE"/>
    <w:rsid w:val="00D05632"/>
    <w:rsid w:val="00D058C8"/>
    <w:rsid w:val="00D059BB"/>
    <w:rsid w:val="00D059F8"/>
    <w:rsid w:val="00D05AD1"/>
    <w:rsid w:val="00D05DF9"/>
    <w:rsid w:val="00D05ECC"/>
    <w:rsid w:val="00D05FF4"/>
    <w:rsid w:val="00D060B9"/>
    <w:rsid w:val="00D06559"/>
    <w:rsid w:val="00D06E32"/>
    <w:rsid w:val="00D0763F"/>
    <w:rsid w:val="00D07972"/>
    <w:rsid w:val="00D07B2A"/>
    <w:rsid w:val="00D07C6A"/>
    <w:rsid w:val="00D07ED8"/>
    <w:rsid w:val="00D1097B"/>
    <w:rsid w:val="00D10B9E"/>
    <w:rsid w:val="00D10DCD"/>
    <w:rsid w:val="00D10DEF"/>
    <w:rsid w:val="00D10E03"/>
    <w:rsid w:val="00D10E37"/>
    <w:rsid w:val="00D10E80"/>
    <w:rsid w:val="00D10F4B"/>
    <w:rsid w:val="00D1105A"/>
    <w:rsid w:val="00D11245"/>
    <w:rsid w:val="00D11293"/>
    <w:rsid w:val="00D11736"/>
    <w:rsid w:val="00D118B8"/>
    <w:rsid w:val="00D11DD3"/>
    <w:rsid w:val="00D11EAC"/>
    <w:rsid w:val="00D120DD"/>
    <w:rsid w:val="00D12131"/>
    <w:rsid w:val="00D12216"/>
    <w:rsid w:val="00D12812"/>
    <w:rsid w:val="00D129D6"/>
    <w:rsid w:val="00D12B35"/>
    <w:rsid w:val="00D12EFB"/>
    <w:rsid w:val="00D12F0D"/>
    <w:rsid w:val="00D12FE3"/>
    <w:rsid w:val="00D1313E"/>
    <w:rsid w:val="00D13144"/>
    <w:rsid w:val="00D1362A"/>
    <w:rsid w:val="00D13A16"/>
    <w:rsid w:val="00D13A4F"/>
    <w:rsid w:val="00D13B2F"/>
    <w:rsid w:val="00D13B90"/>
    <w:rsid w:val="00D13BD4"/>
    <w:rsid w:val="00D13C28"/>
    <w:rsid w:val="00D13CBC"/>
    <w:rsid w:val="00D13D67"/>
    <w:rsid w:val="00D13F66"/>
    <w:rsid w:val="00D1422F"/>
    <w:rsid w:val="00D14278"/>
    <w:rsid w:val="00D146F2"/>
    <w:rsid w:val="00D1494A"/>
    <w:rsid w:val="00D14992"/>
    <w:rsid w:val="00D14AB0"/>
    <w:rsid w:val="00D152C6"/>
    <w:rsid w:val="00D154BE"/>
    <w:rsid w:val="00D158B5"/>
    <w:rsid w:val="00D15A73"/>
    <w:rsid w:val="00D15A98"/>
    <w:rsid w:val="00D161D6"/>
    <w:rsid w:val="00D16257"/>
    <w:rsid w:val="00D1637C"/>
    <w:rsid w:val="00D1654F"/>
    <w:rsid w:val="00D165F6"/>
    <w:rsid w:val="00D16732"/>
    <w:rsid w:val="00D16BE3"/>
    <w:rsid w:val="00D16C71"/>
    <w:rsid w:val="00D16D23"/>
    <w:rsid w:val="00D17336"/>
    <w:rsid w:val="00D17789"/>
    <w:rsid w:val="00D17A3E"/>
    <w:rsid w:val="00D17B3A"/>
    <w:rsid w:val="00D17B7A"/>
    <w:rsid w:val="00D17CFD"/>
    <w:rsid w:val="00D17D8C"/>
    <w:rsid w:val="00D2037A"/>
    <w:rsid w:val="00D205EE"/>
    <w:rsid w:val="00D20AD8"/>
    <w:rsid w:val="00D20BA6"/>
    <w:rsid w:val="00D20DDC"/>
    <w:rsid w:val="00D20E6F"/>
    <w:rsid w:val="00D20EFE"/>
    <w:rsid w:val="00D20FDE"/>
    <w:rsid w:val="00D21144"/>
    <w:rsid w:val="00D21148"/>
    <w:rsid w:val="00D21294"/>
    <w:rsid w:val="00D21B8B"/>
    <w:rsid w:val="00D21F95"/>
    <w:rsid w:val="00D221F7"/>
    <w:rsid w:val="00D222D3"/>
    <w:rsid w:val="00D22337"/>
    <w:rsid w:val="00D223E5"/>
    <w:rsid w:val="00D2287C"/>
    <w:rsid w:val="00D22BFC"/>
    <w:rsid w:val="00D2301A"/>
    <w:rsid w:val="00D23379"/>
    <w:rsid w:val="00D23390"/>
    <w:rsid w:val="00D23476"/>
    <w:rsid w:val="00D2379B"/>
    <w:rsid w:val="00D23986"/>
    <w:rsid w:val="00D23BE0"/>
    <w:rsid w:val="00D23C1A"/>
    <w:rsid w:val="00D23DBB"/>
    <w:rsid w:val="00D23FD0"/>
    <w:rsid w:val="00D2427B"/>
    <w:rsid w:val="00D24434"/>
    <w:rsid w:val="00D24508"/>
    <w:rsid w:val="00D24940"/>
    <w:rsid w:val="00D24BEC"/>
    <w:rsid w:val="00D24CFA"/>
    <w:rsid w:val="00D24DE8"/>
    <w:rsid w:val="00D24EB2"/>
    <w:rsid w:val="00D25114"/>
    <w:rsid w:val="00D251C6"/>
    <w:rsid w:val="00D2521E"/>
    <w:rsid w:val="00D25336"/>
    <w:rsid w:val="00D253A1"/>
    <w:rsid w:val="00D25754"/>
    <w:rsid w:val="00D25839"/>
    <w:rsid w:val="00D25A98"/>
    <w:rsid w:val="00D25B72"/>
    <w:rsid w:val="00D25EA3"/>
    <w:rsid w:val="00D266B9"/>
    <w:rsid w:val="00D267CA"/>
    <w:rsid w:val="00D267FE"/>
    <w:rsid w:val="00D26810"/>
    <w:rsid w:val="00D269A1"/>
    <w:rsid w:val="00D26BEB"/>
    <w:rsid w:val="00D26C4A"/>
    <w:rsid w:val="00D26ED7"/>
    <w:rsid w:val="00D27082"/>
    <w:rsid w:val="00D271C8"/>
    <w:rsid w:val="00D271F2"/>
    <w:rsid w:val="00D27658"/>
    <w:rsid w:val="00D277A3"/>
    <w:rsid w:val="00D27994"/>
    <w:rsid w:val="00D27DA9"/>
    <w:rsid w:val="00D27DFA"/>
    <w:rsid w:val="00D30357"/>
    <w:rsid w:val="00D303D6"/>
    <w:rsid w:val="00D30B01"/>
    <w:rsid w:val="00D31225"/>
    <w:rsid w:val="00D315E7"/>
    <w:rsid w:val="00D3162E"/>
    <w:rsid w:val="00D31722"/>
    <w:rsid w:val="00D31792"/>
    <w:rsid w:val="00D31B90"/>
    <w:rsid w:val="00D31C41"/>
    <w:rsid w:val="00D31D88"/>
    <w:rsid w:val="00D31D95"/>
    <w:rsid w:val="00D3214A"/>
    <w:rsid w:val="00D32233"/>
    <w:rsid w:val="00D322AD"/>
    <w:rsid w:val="00D322EB"/>
    <w:rsid w:val="00D32524"/>
    <w:rsid w:val="00D32626"/>
    <w:rsid w:val="00D326C1"/>
    <w:rsid w:val="00D3274F"/>
    <w:rsid w:val="00D32796"/>
    <w:rsid w:val="00D3298D"/>
    <w:rsid w:val="00D32D05"/>
    <w:rsid w:val="00D33946"/>
    <w:rsid w:val="00D33A07"/>
    <w:rsid w:val="00D33B14"/>
    <w:rsid w:val="00D33CDA"/>
    <w:rsid w:val="00D33EC7"/>
    <w:rsid w:val="00D33FB4"/>
    <w:rsid w:val="00D34017"/>
    <w:rsid w:val="00D34341"/>
    <w:rsid w:val="00D352AC"/>
    <w:rsid w:val="00D352D2"/>
    <w:rsid w:val="00D352D4"/>
    <w:rsid w:val="00D35408"/>
    <w:rsid w:val="00D3548F"/>
    <w:rsid w:val="00D35583"/>
    <w:rsid w:val="00D35798"/>
    <w:rsid w:val="00D35851"/>
    <w:rsid w:val="00D35EAE"/>
    <w:rsid w:val="00D35F87"/>
    <w:rsid w:val="00D360DA"/>
    <w:rsid w:val="00D3618F"/>
    <w:rsid w:val="00D3659F"/>
    <w:rsid w:val="00D36631"/>
    <w:rsid w:val="00D367CB"/>
    <w:rsid w:val="00D36DDC"/>
    <w:rsid w:val="00D37453"/>
    <w:rsid w:val="00D3797A"/>
    <w:rsid w:val="00D37A12"/>
    <w:rsid w:val="00D37E6A"/>
    <w:rsid w:val="00D37F09"/>
    <w:rsid w:val="00D4020D"/>
    <w:rsid w:val="00D402E1"/>
    <w:rsid w:val="00D403A5"/>
    <w:rsid w:val="00D4064B"/>
    <w:rsid w:val="00D406BA"/>
    <w:rsid w:val="00D40C6D"/>
    <w:rsid w:val="00D40D00"/>
    <w:rsid w:val="00D411B6"/>
    <w:rsid w:val="00D41339"/>
    <w:rsid w:val="00D41421"/>
    <w:rsid w:val="00D4176E"/>
    <w:rsid w:val="00D418B3"/>
    <w:rsid w:val="00D41A8E"/>
    <w:rsid w:val="00D41E8C"/>
    <w:rsid w:val="00D41F28"/>
    <w:rsid w:val="00D4219E"/>
    <w:rsid w:val="00D42321"/>
    <w:rsid w:val="00D42560"/>
    <w:rsid w:val="00D4267B"/>
    <w:rsid w:val="00D42980"/>
    <w:rsid w:val="00D42AFF"/>
    <w:rsid w:val="00D42C82"/>
    <w:rsid w:val="00D42E89"/>
    <w:rsid w:val="00D42ECD"/>
    <w:rsid w:val="00D4322B"/>
    <w:rsid w:val="00D43348"/>
    <w:rsid w:val="00D43634"/>
    <w:rsid w:val="00D43746"/>
    <w:rsid w:val="00D4392F"/>
    <w:rsid w:val="00D43A04"/>
    <w:rsid w:val="00D43CEE"/>
    <w:rsid w:val="00D440AE"/>
    <w:rsid w:val="00D4425C"/>
    <w:rsid w:val="00D4436C"/>
    <w:rsid w:val="00D44677"/>
    <w:rsid w:val="00D44A5D"/>
    <w:rsid w:val="00D44AD9"/>
    <w:rsid w:val="00D44B7D"/>
    <w:rsid w:val="00D44C4F"/>
    <w:rsid w:val="00D44C6D"/>
    <w:rsid w:val="00D44CC2"/>
    <w:rsid w:val="00D44D6E"/>
    <w:rsid w:val="00D44FBC"/>
    <w:rsid w:val="00D452A8"/>
    <w:rsid w:val="00D45882"/>
    <w:rsid w:val="00D45A31"/>
    <w:rsid w:val="00D45C2F"/>
    <w:rsid w:val="00D45C79"/>
    <w:rsid w:val="00D45CB0"/>
    <w:rsid w:val="00D45CEA"/>
    <w:rsid w:val="00D460E2"/>
    <w:rsid w:val="00D461DE"/>
    <w:rsid w:val="00D46805"/>
    <w:rsid w:val="00D4684F"/>
    <w:rsid w:val="00D469BB"/>
    <w:rsid w:val="00D46CEB"/>
    <w:rsid w:val="00D46EC3"/>
    <w:rsid w:val="00D478C6"/>
    <w:rsid w:val="00D478FB"/>
    <w:rsid w:val="00D47A3F"/>
    <w:rsid w:val="00D47A73"/>
    <w:rsid w:val="00D47ABE"/>
    <w:rsid w:val="00D5067D"/>
    <w:rsid w:val="00D50A3F"/>
    <w:rsid w:val="00D50DDD"/>
    <w:rsid w:val="00D5107E"/>
    <w:rsid w:val="00D51181"/>
    <w:rsid w:val="00D512B6"/>
    <w:rsid w:val="00D514D3"/>
    <w:rsid w:val="00D514F9"/>
    <w:rsid w:val="00D51B91"/>
    <w:rsid w:val="00D51CDF"/>
    <w:rsid w:val="00D51CED"/>
    <w:rsid w:val="00D5221C"/>
    <w:rsid w:val="00D52362"/>
    <w:rsid w:val="00D52683"/>
    <w:rsid w:val="00D528D0"/>
    <w:rsid w:val="00D52CE2"/>
    <w:rsid w:val="00D52E0C"/>
    <w:rsid w:val="00D52F13"/>
    <w:rsid w:val="00D52F6D"/>
    <w:rsid w:val="00D53000"/>
    <w:rsid w:val="00D532ED"/>
    <w:rsid w:val="00D5348A"/>
    <w:rsid w:val="00D5359D"/>
    <w:rsid w:val="00D536CE"/>
    <w:rsid w:val="00D53878"/>
    <w:rsid w:val="00D5398E"/>
    <w:rsid w:val="00D53A4F"/>
    <w:rsid w:val="00D53CE1"/>
    <w:rsid w:val="00D54007"/>
    <w:rsid w:val="00D549EC"/>
    <w:rsid w:val="00D54B9A"/>
    <w:rsid w:val="00D54C77"/>
    <w:rsid w:val="00D54D8B"/>
    <w:rsid w:val="00D55094"/>
    <w:rsid w:val="00D5513D"/>
    <w:rsid w:val="00D55202"/>
    <w:rsid w:val="00D55264"/>
    <w:rsid w:val="00D552EE"/>
    <w:rsid w:val="00D55514"/>
    <w:rsid w:val="00D55828"/>
    <w:rsid w:val="00D559E0"/>
    <w:rsid w:val="00D55CC8"/>
    <w:rsid w:val="00D563C0"/>
    <w:rsid w:val="00D565A5"/>
    <w:rsid w:val="00D567CA"/>
    <w:rsid w:val="00D56CF1"/>
    <w:rsid w:val="00D56E0B"/>
    <w:rsid w:val="00D56FC6"/>
    <w:rsid w:val="00D570B1"/>
    <w:rsid w:val="00D572DD"/>
    <w:rsid w:val="00D57422"/>
    <w:rsid w:val="00D57832"/>
    <w:rsid w:val="00D5783D"/>
    <w:rsid w:val="00D57D6B"/>
    <w:rsid w:val="00D60078"/>
    <w:rsid w:val="00D60E42"/>
    <w:rsid w:val="00D60FFC"/>
    <w:rsid w:val="00D61075"/>
    <w:rsid w:val="00D613D8"/>
    <w:rsid w:val="00D6164C"/>
    <w:rsid w:val="00D617CF"/>
    <w:rsid w:val="00D626FF"/>
    <w:rsid w:val="00D627A6"/>
    <w:rsid w:val="00D62845"/>
    <w:rsid w:val="00D62F18"/>
    <w:rsid w:val="00D6328A"/>
    <w:rsid w:val="00D6354C"/>
    <w:rsid w:val="00D637D1"/>
    <w:rsid w:val="00D63994"/>
    <w:rsid w:val="00D639D4"/>
    <w:rsid w:val="00D63CD4"/>
    <w:rsid w:val="00D63D6E"/>
    <w:rsid w:val="00D63DFB"/>
    <w:rsid w:val="00D63E30"/>
    <w:rsid w:val="00D63FD8"/>
    <w:rsid w:val="00D640E8"/>
    <w:rsid w:val="00D64734"/>
    <w:rsid w:val="00D648D5"/>
    <w:rsid w:val="00D648DD"/>
    <w:rsid w:val="00D64D5A"/>
    <w:rsid w:val="00D64EF4"/>
    <w:rsid w:val="00D650C8"/>
    <w:rsid w:val="00D6526B"/>
    <w:rsid w:val="00D65369"/>
    <w:rsid w:val="00D655B3"/>
    <w:rsid w:val="00D6564F"/>
    <w:rsid w:val="00D6577B"/>
    <w:rsid w:val="00D65AAB"/>
    <w:rsid w:val="00D65AB4"/>
    <w:rsid w:val="00D65BBA"/>
    <w:rsid w:val="00D65D74"/>
    <w:rsid w:val="00D65E46"/>
    <w:rsid w:val="00D65F45"/>
    <w:rsid w:val="00D66262"/>
    <w:rsid w:val="00D668A7"/>
    <w:rsid w:val="00D66A52"/>
    <w:rsid w:val="00D66D06"/>
    <w:rsid w:val="00D66DF7"/>
    <w:rsid w:val="00D66F9C"/>
    <w:rsid w:val="00D66FBE"/>
    <w:rsid w:val="00D671A5"/>
    <w:rsid w:val="00D6735E"/>
    <w:rsid w:val="00D675F5"/>
    <w:rsid w:val="00D70014"/>
    <w:rsid w:val="00D700B6"/>
    <w:rsid w:val="00D706FE"/>
    <w:rsid w:val="00D708D6"/>
    <w:rsid w:val="00D70986"/>
    <w:rsid w:val="00D70A86"/>
    <w:rsid w:val="00D70AB8"/>
    <w:rsid w:val="00D70AFF"/>
    <w:rsid w:val="00D70C2C"/>
    <w:rsid w:val="00D70FE0"/>
    <w:rsid w:val="00D710BB"/>
    <w:rsid w:val="00D71164"/>
    <w:rsid w:val="00D713A0"/>
    <w:rsid w:val="00D715F8"/>
    <w:rsid w:val="00D71637"/>
    <w:rsid w:val="00D716D8"/>
    <w:rsid w:val="00D719BA"/>
    <w:rsid w:val="00D719F8"/>
    <w:rsid w:val="00D71C3E"/>
    <w:rsid w:val="00D71DD9"/>
    <w:rsid w:val="00D71FDC"/>
    <w:rsid w:val="00D7206A"/>
    <w:rsid w:val="00D7280C"/>
    <w:rsid w:val="00D72A98"/>
    <w:rsid w:val="00D72D84"/>
    <w:rsid w:val="00D72D8B"/>
    <w:rsid w:val="00D730C4"/>
    <w:rsid w:val="00D7316D"/>
    <w:rsid w:val="00D73715"/>
    <w:rsid w:val="00D737D1"/>
    <w:rsid w:val="00D73D7F"/>
    <w:rsid w:val="00D73DD2"/>
    <w:rsid w:val="00D73E9E"/>
    <w:rsid w:val="00D7439C"/>
    <w:rsid w:val="00D74B8F"/>
    <w:rsid w:val="00D74C08"/>
    <w:rsid w:val="00D74CD7"/>
    <w:rsid w:val="00D74E8A"/>
    <w:rsid w:val="00D74F38"/>
    <w:rsid w:val="00D75090"/>
    <w:rsid w:val="00D7529C"/>
    <w:rsid w:val="00D752D5"/>
    <w:rsid w:val="00D7536B"/>
    <w:rsid w:val="00D75964"/>
    <w:rsid w:val="00D759A8"/>
    <w:rsid w:val="00D75A4C"/>
    <w:rsid w:val="00D75FCF"/>
    <w:rsid w:val="00D761E8"/>
    <w:rsid w:val="00D762A8"/>
    <w:rsid w:val="00D7638D"/>
    <w:rsid w:val="00D76401"/>
    <w:rsid w:val="00D7653C"/>
    <w:rsid w:val="00D765F5"/>
    <w:rsid w:val="00D76E25"/>
    <w:rsid w:val="00D770FC"/>
    <w:rsid w:val="00D771B7"/>
    <w:rsid w:val="00D771C2"/>
    <w:rsid w:val="00D77312"/>
    <w:rsid w:val="00D77351"/>
    <w:rsid w:val="00D774BE"/>
    <w:rsid w:val="00D77567"/>
    <w:rsid w:val="00D77A07"/>
    <w:rsid w:val="00D77B5B"/>
    <w:rsid w:val="00D77CCF"/>
    <w:rsid w:val="00D77D41"/>
    <w:rsid w:val="00D77D7F"/>
    <w:rsid w:val="00D80006"/>
    <w:rsid w:val="00D80323"/>
    <w:rsid w:val="00D8082B"/>
    <w:rsid w:val="00D80AD3"/>
    <w:rsid w:val="00D80C48"/>
    <w:rsid w:val="00D80DF9"/>
    <w:rsid w:val="00D811F3"/>
    <w:rsid w:val="00D81348"/>
    <w:rsid w:val="00D819B2"/>
    <w:rsid w:val="00D81A83"/>
    <w:rsid w:val="00D81C38"/>
    <w:rsid w:val="00D81C6F"/>
    <w:rsid w:val="00D81E0C"/>
    <w:rsid w:val="00D81ECD"/>
    <w:rsid w:val="00D82105"/>
    <w:rsid w:val="00D8237F"/>
    <w:rsid w:val="00D8251D"/>
    <w:rsid w:val="00D8255E"/>
    <w:rsid w:val="00D82BF5"/>
    <w:rsid w:val="00D830FE"/>
    <w:rsid w:val="00D83D06"/>
    <w:rsid w:val="00D83E0C"/>
    <w:rsid w:val="00D83EAA"/>
    <w:rsid w:val="00D8403E"/>
    <w:rsid w:val="00D8410F"/>
    <w:rsid w:val="00D84317"/>
    <w:rsid w:val="00D843E4"/>
    <w:rsid w:val="00D8469F"/>
    <w:rsid w:val="00D84D81"/>
    <w:rsid w:val="00D84F8E"/>
    <w:rsid w:val="00D84F9F"/>
    <w:rsid w:val="00D85050"/>
    <w:rsid w:val="00D8510F"/>
    <w:rsid w:val="00D85112"/>
    <w:rsid w:val="00D851F2"/>
    <w:rsid w:val="00D8576C"/>
    <w:rsid w:val="00D85896"/>
    <w:rsid w:val="00D85A05"/>
    <w:rsid w:val="00D85AA1"/>
    <w:rsid w:val="00D8617A"/>
    <w:rsid w:val="00D86430"/>
    <w:rsid w:val="00D8651A"/>
    <w:rsid w:val="00D8667D"/>
    <w:rsid w:val="00D866D5"/>
    <w:rsid w:val="00D8702F"/>
    <w:rsid w:val="00D87153"/>
    <w:rsid w:val="00D872CE"/>
    <w:rsid w:val="00D872E1"/>
    <w:rsid w:val="00D87660"/>
    <w:rsid w:val="00D876C7"/>
    <w:rsid w:val="00D877A2"/>
    <w:rsid w:val="00D87985"/>
    <w:rsid w:val="00D87AD3"/>
    <w:rsid w:val="00D87D2F"/>
    <w:rsid w:val="00D87DA6"/>
    <w:rsid w:val="00D903B8"/>
    <w:rsid w:val="00D903F1"/>
    <w:rsid w:val="00D90414"/>
    <w:rsid w:val="00D907C6"/>
    <w:rsid w:val="00D90D7A"/>
    <w:rsid w:val="00D90DFA"/>
    <w:rsid w:val="00D90E96"/>
    <w:rsid w:val="00D91187"/>
    <w:rsid w:val="00D91351"/>
    <w:rsid w:val="00D91493"/>
    <w:rsid w:val="00D9175B"/>
    <w:rsid w:val="00D918FD"/>
    <w:rsid w:val="00D91964"/>
    <w:rsid w:val="00D91995"/>
    <w:rsid w:val="00D919BD"/>
    <w:rsid w:val="00D91A05"/>
    <w:rsid w:val="00D91CFD"/>
    <w:rsid w:val="00D91FCC"/>
    <w:rsid w:val="00D920FD"/>
    <w:rsid w:val="00D920FF"/>
    <w:rsid w:val="00D9292A"/>
    <w:rsid w:val="00D92DA5"/>
    <w:rsid w:val="00D93052"/>
    <w:rsid w:val="00D9306D"/>
    <w:rsid w:val="00D9347D"/>
    <w:rsid w:val="00D934DD"/>
    <w:rsid w:val="00D936CB"/>
    <w:rsid w:val="00D939FD"/>
    <w:rsid w:val="00D93DA9"/>
    <w:rsid w:val="00D943A5"/>
    <w:rsid w:val="00D943F6"/>
    <w:rsid w:val="00D944AE"/>
    <w:rsid w:val="00D94607"/>
    <w:rsid w:val="00D94A3D"/>
    <w:rsid w:val="00D94E4B"/>
    <w:rsid w:val="00D9508E"/>
    <w:rsid w:val="00D952C9"/>
    <w:rsid w:val="00D95396"/>
    <w:rsid w:val="00D96403"/>
    <w:rsid w:val="00D9649C"/>
    <w:rsid w:val="00D965AE"/>
    <w:rsid w:val="00D9665B"/>
    <w:rsid w:val="00D966E4"/>
    <w:rsid w:val="00D96922"/>
    <w:rsid w:val="00D96A0A"/>
    <w:rsid w:val="00D96F0C"/>
    <w:rsid w:val="00D96FBB"/>
    <w:rsid w:val="00D97292"/>
    <w:rsid w:val="00D977A4"/>
    <w:rsid w:val="00D977F8"/>
    <w:rsid w:val="00D9790D"/>
    <w:rsid w:val="00D97B31"/>
    <w:rsid w:val="00D97C8D"/>
    <w:rsid w:val="00D97D5D"/>
    <w:rsid w:val="00DA0047"/>
    <w:rsid w:val="00DA01F0"/>
    <w:rsid w:val="00DA0200"/>
    <w:rsid w:val="00DA0257"/>
    <w:rsid w:val="00DA0A60"/>
    <w:rsid w:val="00DA0A8D"/>
    <w:rsid w:val="00DA0BF6"/>
    <w:rsid w:val="00DA0F55"/>
    <w:rsid w:val="00DA1050"/>
    <w:rsid w:val="00DA10C6"/>
    <w:rsid w:val="00DA133C"/>
    <w:rsid w:val="00DA17F9"/>
    <w:rsid w:val="00DA1A2E"/>
    <w:rsid w:val="00DA1ABB"/>
    <w:rsid w:val="00DA1BD8"/>
    <w:rsid w:val="00DA1C01"/>
    <w:rsid w:val="00DA1DBA"/>
    <w:rsid w:val="00DA1DF3"/>
    <w:rsid w:val="00DA1F09"/>
    <w:rsid w:val="00DA21DD"/>
    <w:rsid w:val="00DA221C"/>
    <w:rsid w:val="00DA2784"/>
    <w:rsid w:val="00DA2915"/>
    <w:rsid w:val="00DA2AFC"/>
    <w:rsid w:val="00DA2BB9"/>
    <w:rsid w:val="00DA2E41"/>
    <w:rsid w:val="00DA2FB9"/>
    <w:rsid w:val="00DA3905"/>
    <w:rsid w:val="00DA39B2"/>
    <w:rsid w:val="00DA3CE3"/>
    <w:rsid w:val="00DA3D7D"/>
    <w:rsid w:val="00DA3FA5"/>
    <w:rsid w:val="00DA4041"/>
    <w:rsid w:val="00DA4060"/>
    <w:rsid w:val="00DA40DB"/>
    <w:rsid w:val="00DA4536"/>
    <w:rsid w:val="00DA4696"/>
    <w:rsid w:val="00DA4B4A"/>
    <w:rsid w:val="00DA4F7B"/>
    <w:rsid w:val="00DA521F"/>
    <w:rsid w:val="00DA59EA"/>
    <w:rsid w:val="00DA5B96"/>
    <w:rsid w:val="00DA5C4A"/>
    <w:rsid w:val="00DA5D4F"/>
    <w:rsid w:val="00DA5D80"/>
    <w:rsid w:val="00DA5E5D"/>
    <w:rsid w:val="00DA60B8"/>
    <w:rsid w:val="00DA6126"/>
    <w:rsid w:val="00DA63A0"/>
    <w:rsid w:val="00DA668C"/>
    <w:rsid w:val="00DA6A8A"/>
    <w:rsid w:val="00DA6FD5"/>
    <w:rsid w:val="00DA715E"/>
    <w:rsid w:val="00DA7887"/>
    <w:rsid w:val="00DA78F0"/>
    <w:rsid w:val="00DA7A44"/>
    <w:rsid w:val="00DA7BC3"/>
    <w:rsid w:val="00DA7D9C"/>
    <w:rsid w:val="00DA7DD0"/>
    <w:rsid w:val="00DA7E33"/>
    <w:rsid w:val="00DA7EAD"/>
    <w:rsid w:val="00DA7F58"/>
    <w:rsid w:val="00DB029B"/>
    <w:rsid w:val="00DB02BF"/>
    <w:rsid w:val="00DB03AD"/>
    <w:rsid w:val="00DB05E2"/>
    <w:rsid w:val="00DB08DF"/>
    <w:rsid w:val="00DB0AF2"/>
    <w:rsid w:val="00DB0B7B"/>
    <w:rsid w:val="00DB0EC9"/>
    <w:rsid w:val="00DB10A3"/>
    <w:rsid w:val="00DB112F"/>
    <w:rsid w:val="00DB1264"/>
    <w:rsid w:val="00DB15EA"/>
    <w:rsid w:val="00DB1828"/>
    <w:rsid w:val="00DB1974"/>
    <w:rsid w:val="00DB1B1C"/>
    <w:rsid w:val="00DB1C28"/>
    <w:rsid w:val="00DB1ED9"/>
    <w:rsid w:val="00DB1FBE"/>
    <w:rsid w:val="00DB23D8"/>
    <w:rsid w:val="00DB23ED"/>
    <w:rsid w:val="00DB2772"/>
    <w:rsid w:val="00DB2D01"/>
    <w:rsid w:val="00DB2D1D"/>
    <w:rsid w:val="00DB2DC0"/>
    <w:rsid w:val="00DB3049"/>
    <w:rsid w:val="00DB3083"/>
    <w:rsid w:val="00DB3219"/>
    <w:rsid w:val="00DB35BF"/>
    <w:rsid w:val="00DB40E8"/>
    <w:rsid w:val="00DB450D"/>
    <w:rsid w:val="00DB451C"/>
    <w:rsid w:val="00DB4D5B"/>
    <w:rsid w:val="00DB4E72"/>
    <w:rsid w:val="00DB4F57"/>
    <w:rsid w:val="00DB4FD8"/>
    <w:rsid w:val="00DB5069"/>
    <w:rsid w:val="00DB5248"/>
    <w:rsid w:val="00DB5562"/>
    <w:rsid w:val="00DB56BA"/>
    <w:rsid w:val="00DB5717"/>
    <w:rsid w:val="00DB587C"/>
    <w:rsid w:val="00DB5B91"/>
    <w:rsid w:val="00DB5F8D"/>
    <w:rsid w:val="00DB65E9"/>
    <w:rsid w:val="00DB65FD"/>
    <w:rsid w:val="00DB6A7A"/>
    <w:rsid w:val="00DB6F99"/>
    <w:rsid w:val="00DB6FFA"/>
    <w:rsid w:val="00DB7060"/>
    <w:rsid w:val="00DB7209"/>
    <w:rsid w:val="00DB726A"/>
    <w:rsid w:val="00DB7272"/>
    <w:rsid w:val="00DB73EA"/>
    <w:rsid w:val="00DB7629"/>
    <w:rsid w:val="00DB7712"/>
    <w:rsid w:val="00DB7940"/>
    <w:rsid w:val="00DB7E5C"/>
    <w:rsid w:val="00DB7FEE"/>
    <w:rsid w:val="00DC06B3"/>
    <w:rsid w:val="00DC11B3"/>
    <w:rsid w:val="00DC120C"/>
    <w:rsid w:val="00DC12E5"/>
    <w:rsid w:val="00DC12EA"/>
    <w:rsid w:val="00DC1921"/>
    <w:rsid w:val="00DC1925"/>
    <w:rsid w:val="00DC1C65"/>
    <w:rsid w:val="00DC1D3B"/>
    <w:rsid w:val="00DC21D6"/>
    <w:rsid w:val="00DC23A0"/>
    <w:rsid w:val="00DC2445"/>
    <w:rsid w:val="00DC2469"/>
    <w:rsid w:val="00DC25B3"/>
    <w:rsid w:val="00DC26C7"/>
    <w:rsid w:val="00DC274E"/>
    <w:rsid w:val="00DC2CA3"/>
    <w:rsid w:val="00DC3230"/>
    <w:rsid w:val="00DC3A83"/>
    <w:rsid w:val="00DC3B4B"/>
    <w:rsid w:val="00DC3C1C"/>
    <w:rsid w:val="00DC3C26"/>
    <w:rsid w:val="00DC3EA5"/>
    <w:rsid w:val="00DC3F86"/>
    <w:rsid w:val="00DC406C"/>
    <w:rsid w:val="00DC4122"/>
    <w:rsid w:val="00DC46F2"/>
    <w:rsid w:val="00DC4AC6"/>
    <w:rsid w:val="00DC4D5C"/>
    <w:rsid w:val="00DC4DA1"/>
    <w:rsid w:val="00DC4E09"/>
    <w:rsid w:val="00DC4ED1"/>
    <w:rsid w:val="00DC5169"/>
    <w:rsid w:val="00DC593F"/>
    <w:rsid w:val="00DC67A5"/>
    <w:rsid w:val="00DC687B"/>
    <w:rsid w:val="00DC6B77"/>
    <w:rsid w:val="00DC6CB5"/>
    <w:rsid w:val="00DC6E94"/>
    <w:rsid w:val="00DC6F78"/>
    <w:rsid w:val="00DC70E0"/>
    <w:rsid w:val="00DC7449"/>
    <w:rsid w:val="00DC74F1"/>
    <w:rsid w:val="00DC758A"/>
    <w:rsid w:val="00DC77BA"/>
    <w:rsid w:val="00DC77D7"/>
    <w:rsid w:val="00DC7A26"/>
    <w:rsid w:val="00DC7B18"/>
    <w:rsid w:val="00DC7DA5"/>
    <w:rsid w:val="00DC7E70"/>
    <w:rsid w:val="00DD00F7"/>
    <w:rsid w:val="00DD0338"/>
    <w:rsid w:val="00DD05B1"/>
    <w:rsid w:val="00DD0939"/>
    <w:rsid w:val="00DD0A9B"/>
    <w:rsid w:val="00DD0FF1"/>
    <w:rsid w:val="00DD14D1"/>
    <w:rsid w:val="00DD152D"/>
    <w:rsid w:val="00DD1680"/>
    <w:rsid w:val="00DD1AC8"/>
    <w:rsid w:val="00DD1CF7"/>
    <w:rsid w:val="00DD1ECB"/>
    <w:rsid w:val="00DD1F94"/>
    <w:rsid w:val="00DD2293"/>
    <w:rsid w:val="00DD22C6"/>
    <w:rsid w:val="00DD24E8"/>
    <w:rsid w:val="00DD2BA6"/>
    <w:rsid w:val="00DD2BD0"/>
    <w:rsid w:val="00DD2EF5"/>
    <w:rsid w:val="00DD37BC"/>
    <w:rsid w:val="00DD39AA"/>
    <w:rsid w:val="00DD3A31"/>
    <w:rsid w:val="00DD3B26"/>
    <w:rsid w:val="00DD3F53"/>
    <w:rsid w:val="00DD40E4"/>
    <w:rsid w:val="00DD4178"/>
    <w:rsid w:val="00DD418C"/>
    <w:rsid w:val="00DD4299"/>
    <w:rsid w:val="00DD44A5"/>
    <w:rsid w:val="00DD475A"/>
    <w:rsid w:val="00DD4AF3"/>
    <w:rsid w:val="00DD4FEB"/>
    <w:rsid w:val="00DD52BE"/>
    <w:rsid w:val="00DD5353"/>
    <w:rsid w:val="00DD535B"/>
    <w:rsid w:val="00DD5362"/>
    <w:rsid w:val="00DD5479"/>
    <w:rsid w:val="00DD558A"/>
    <w:rsid w:val="00DD55AD"/>
    <w:rsid w:val="00DD5B77"/>
    <w:rsid w:val="00DD5C4C"/>
    <w:rsid w:val="00DD5CB1"/>
    <w:rsid w:val="00DD6650"/>
    <w:rsid w:val="00DD702F"/>
    <w:rsid w:val="00DD7095"/>
    <w:rsid w:val="00DD7214"/>
    <w:rsid w:val="00DD73A9"/>
    <w:rsid w:val="00DD73D6"/>
    <w:rsid w:val="00DD757B"/>
    <w:rsid w:val="00DD75CB"/>
    <w:rsid w:val="00DD7631"/>
    <w:rsid w:val="00DD7681"/>
    <w:rsid w:val="00DD779C"/>
    <w:rsid w:val="00DD7E54"/>
    <w:rsid w:val="00DD7F74"/>
    <w:rsid w:val="00DE011A"/>
    <w:rsid w:val="00DE020A"/>
    <w:rsid w:val="00DE03E7"/>
    <w:rsid w:val="00DE0424"/>
    <w:rsid w:val="00DE06C4"/>
    <w:rsid w:val="00DE0955"/>
    <w:rsid w:val="00DE11E9"/>
    <w:rsid w:val="00DE13E1"/>
    <w:rsid w:val="00DE147F"/>
    <w:rsid w:val="00DE170A"/>
    <w:rsid w:val="00DE178D"/>
    <w:rsid w:val="00DE19E9"/>
    <w:rsid w:val="00DE1A87"/>
    <w:rsid w:val="00DE1AC9"/>
    <w:rsid w:val="00DE1B46"/>
    <w:rsid w:val="00DE24CA"/>
    <w:rsid w:val="00DE2519"/>
    <w:rsid w:val="00DE2B04"/>
    <w:rsid w:val="00DE2CDE"/>
    <w:rsid w:val="00DE346F"/>
    <w:rsid w:val="00DE363D"/>
    <w:rsid w:val="00DE3813"/>
    <w:rsid w:val="00DE395A"/>
    <w:rsid w:val="00DE3E3D"/>
    <w:rsid w:val="00DE4027"/>
    <w:rsid w:val="00DE43AE"/>
    <w:rsid w:val="00DE43E3"/>
    <w:rsid w:val="00DE440B"/>
    <w:rsid w:val="00DE47E0"/>
    <w:rsid w:val="00DE4989"/>
    <w:rsid w:val="00DE4B9F"/>
    <w:rsid w:val="00DE4F61"/>
    <w:rsid w:val="00DE50EA"/>
    <w:rsid w:val="00DE5123"/>
    <w:rsid w:val="00DE520D"/>
    <w:rsid w:val="00DE542D"/>
    <w:rsid w:val="00DE5896"/>
    <w:rsid w:val="00DE5CCE"/>
    <w:rsid w:val="00DE5CD6"/>
    <w:rsid w:val="00DE5D0D"/>
    <w:rsid w:val="00DE5E33"/>
    <w:rsid w:val="00DE64FE"/>
    <w:rsid w:val="00DE68AE"/>
    <w:rsid w:val="00DE6ED2"/>
    <w:rsid w:val="00DE6FB4"/>
    <w:rsid w:val="00DE719A"/>
    <w:rsid w:val="00DE71E1"/>
    <w:rsid w:val="00DE73C6"/>
    <w:rsid w:val="00DE7747"/>
    <w:rsid w:val="00DE7ABA"/>
    <w:rsid w:val="00DE7CCF"/>
    <w:rsid w:val="00DE7FA7"/>
    <w:rsid w:val="00DF06B8"/>
    <w:rsid w:val="00DF0744"/>
    <w:rsid w:val="00DF089C"/>
    <w:rsid w:val="00DF0951"/>
    <w:rsid w:val="00DF09BB"/>
    <w:rsid w:val="00DF0A5F"/>
    <w:rsid w:val="00DF0CBA"/>
    <w:rsid w:val="00DF0FA7"/>
    <w:rsid w:val="00DF10A0"/>
    <w:rsid w:val="00DF124A"/>
    <w:rsid w:val="00DF153B"/>
    <w:rsid w:val="00DF194D"/>
    <w:rsid w:val="00DF19B4"/>
    <w:rsid w:val="00DF1A15"/>
    <w:rsid w:val="00DF20CC"/>
    <w:rsid w:val="00DF2358"/>
    <w:rsid w:val="00DF25F1"/>
    <w:rsid w:val="00DF2A69"/>
    <w:rsid w:val="00DF2AF0"/>
    <w:rsid w:val="00DF2B54"/>
    <w:rsid w:val="00DF30D3"/>
    <w:rsid w:val="00DF3186"/>
    <w:rsid w:val="00DF33A7"/>
    <w:rsid w:val="00DF3854"/>
    <w:rsid w:val="00DF3D8A"/>
    <w:rsid w:val="00DF4443"/>
    <w:rsid w:val="00DF44AC"/>
    <w:rsid w:val="00DF45D4"/>
    <w:rsid w:val="00DF48C7"/>
    <w:rsid w:val="00DF48D3"/>
    <w:rsid w:val="00DF4DC8"/>
    <w:rsid w:val="00DF4DF4"/>
    <w:rsid w:val="00DF4F52"/>
    <w:rsid w:val="00DF51CD"/>
    <w:rsid w:val="00DF52C2"/>
    <w:rsid w:val="00DF5497"/>
    <w:rsid w:val="00DF57CB"/>
    <w:rsid w:val="00DF5A82"/>
    <w:rsid w:val="00DF5AD7"/>
    <w:rsid w:val="00DF5BB6"/>
    <w:rsid w:val="00DF5E4E"/>
    <w:rsid w:val="00DF67B6"/>
    <w:rsid w:val="00DF6ADD"/>
    <w:rsid w:val="00DF6B58"/>
    <w:rsid w:val="00DF6EB3"/>
    <w:rsid w:val="00DF6ED2"/>
    <w:rsid w:val="00DF767C"/>
    <w:rsid w:val="00DF78A8"/>
    <w:rsid w:val="00DF7D80"/>
    <w:rsid w:val="00DF7D91"/>
    <w:rsid w:val="00E001D5"/>
    <w:rsid w:val="00E003F8"/>
    <w:rsid w:val="00E0062D"/>
    <w:rsid w:val="00E00638"/>
    <w:rsid w:val="00E00979"/>
    <w:rsid w:val="00E00C14"/>
    <w:rsid w:val="00E00D5D"/>
    <w:rsid w:val="00E014FF"/>
    <w:rsid w:val="00E01790"/>
    <w:rsid w:val="00E01820"/>
    <w:rsid w:val="00E01883"/>
    <w:rsid w:val="00E01933"/>
    <w:rsid w:val="00E01BDA"/>
    <w:rsid w:val="00E01CBC"/>
    <w:rsid w:val="00E02350"/>
    <w:rsid w:val="00E023A1"/>
    <w:rsid w:val="00E02462"/>
    <w:rsid w:val="00E02688"/>
    <w:rsid w:val="00E02700"/>
    <w:rsid w:val="00E02BE1"/>
    <w:rsid w:val="00E02E20"/>
    <w:rsid w:val="00E0305D"/>
    <w:rsid w:val="00E031CA"/>
    <w:rsid w:val="00E0326A"/>
    <w:rsid w:val="00E03501"/>
    <w:rsid w:val="00E03702"/>
    <w:rsid w:val="00E03C03"/>
    <w:rsid w:val="00E03D8A"/>
    <w:rsid w:val="00E03EF6"/>
    <w:rsid w:val="00E04013"/>
    <w:rsid w:val="00E040FB"/>
    <w:rsid w:val="00E04709"/>
    <w:rsid w:val="00E047DD"/>
    <w:rsid w:val="00E048D2"/>
    <w:rsid w:val="00E0492D"/>
    <w:rsid w:val="00E0497A"/>
    <w:rsid w:val="00E04B1B"/>
    <w:rsid w:val="00E04C48"/>
    <w:rsid w:val="00E051CE"/>
    <w:rsid w:val="00E057B3"/>
    <w:rsid w:val="00E057D2"/>
    <w:rsid w:val="00E05B25"/>
    <w:rsid w:val="00E05BC9"/>
    <w:rsid w:val="00E05DA3"/>
    <w:rsid w:val="00E05F83"/>
    <w:rsid w:val="00E06271"/>
    <w:rsid w:val="00E063B4"/>
    <w:rsid w:val="00E06463"/>
    <w:rsid w:val="00E064C7"/>
    <w:rsid w:val="00E065A3"/>
    <w:rsid w:val="00E06792"/>
    <w:rsid w:val="00E0680A"/>
    <w:rsid w:val="00E06885"/>
    <w:rsid w:val="00E068D8"/>
    <w:rsid w:val="00E06BA4"/>
    <w:rsid w:val="00E06EBA"/>
    <w:rsid w:val="00E0703E"/>
    <w:rsid w:val="00E071E8"/>
    <w:rsid w:val="00E07215"/>
    <w:rsid w:val="00E07245"/>
    <w:rsid w:val="00E07A73"/>
    <w:rsid w:val="00E10151"/>
    <w:rsid w:val="00E1015B"/>
    <w:rsid w:val="00E10259"/>
    <w:rsid w:val="00E104EC"/>
    <w:rsid w:val="00E10652"/>
    <w:rsid w:val="00E10668"/>
    <w:rsid w:val="00E10727"/>
    <w:rsid w:val="00E107E7"/>
    <w:rsid w:val="00E10834"/>
    <w:rsid w:val="00E109EA"/>
    <w:rsid w:val="00E10AA1"/>
    <w:rsid w:val="00E10B1F"/>
    <w:rsid w:val="00E10E3D"/>
    <w:rsid w:val="00E114D2"/>
    <w:rsid w:val="00E116B4"/>
    <w:rsid w:val="00E11748"/>
    <w:rsid w:val="00E1189E"/>
    <w:rsid w:val="00E11DAA"/>
    <w:rsid w:val="00E11EF5"/>
    <w:rsid w:val="00E11F18"/>
    <w:rsid w:val="00E1212A"/>
    <w:rsid w:val="00E12599"/>
    <w:rsid w:val="00E127FD"/>
    <w:rsid w:val="00E12819"/>
    <w:rsid w:val="00E13830"/>
    <w:rsid w:val="00E138F2"/>
    <w:rsid w:val="00E1396C"/>
    <w:rsid w:val="00E13A0D"/>
    <w:rsid w:val="00E13AD4"/>
    <w:rsid w:val="00E13C5D"/>
    <w:rsid w:val="00E14008"/>
    <w:rsid w:val="00E140FD"/>
    <w:rsid w:val="00E14423"/>
    <w:rsid w:val="00E1464D"/>
    <w:rsid w:val="00E146B1"/>
    <w:rsid w:val="00E147C7"/>
    <w:rsid w:val="00E147CF"/>
    <w:rsid w:val="00E14A15"/>
    <w:rsid w:val="00E14B74"/>
    <w:rsid w:val="00E14C06"/>
    <w:rsid w:val="00E14E67"/>
    <w:rsid w:val="00E14F04"/>
    <w:rsid w:val="00E15282"/>
    <w:rsid w:val="00E15333"/>
    <w:rsid w:val="00E1576F"/>
    <w:rsid w:val="00E15AC7"/>
    <w:rsid w:val="00E15E7F"/>
    <w:rsid w:val="00E15F91"/>
    <w:rsid w:val="00E16334"/>
    <w:rsid w:val="00E163CA"/>
    <w:rsid w:val="00E16A4A"/>
    <w:rsid w:val="00E16A77"/>
    <w:rsid w:val="00E16C43"/>
    <w:rsid w:val="00E16F41"/>
    <w:rsid w:val="00E171DA"/>
    <w:rsid w:val="00E1738D"/>
    <w:rsid w:val="00E17B7E"/>
    <w:rsid w:val="00E17FA7"/>
    <w:rsid w:val="00E17FFB"/>
    <w:rsid w:val="00E20128"/>
    <w:rsid w:val="00E2038D"/>
    <w:rsid w:val="00E2048D"/>
    <w:rsid w:val="00E205E9"/>
    <w:rsid w:val="00E20734"/>
    <w:rsid w:val="00E207CB"/>
    <w:rsid w:val="00E20872"/>
    <w:rsid w:val="00E20894"/>
    <w:rsid w:val="00E209FF"/>
    <w:rsid w:val="00E20A24"/>
    <w:rsid w:val="00E20CC0"/>
    <w:rsid w:val="00E20E2C"/>
    <w:rsid w:val="00E20EEF"/>
    <w:rsid w:val="00E20F1D"/>
    <w:rsid w:val="00E20FFB"/>
    <w:rsid w:val="00E21206"/>
    <w:rsid w:val="00E2129A"/>
    <w:rsid w:val="00E2194F"/>
    <w:rsid w:val="00E21A95"/>
    <w:rsid w:val="00E21C2C"/>
    <w:rsid w:val="00E21CA0"/>
    <w:rsid w:val="00E21ED0"/>
    <w:rsid w:val="00E21F05"/>
    <w:rsid w:val="00E21FD5"/>
    <w:rsid w:val="00E22134"/>
    <w:rsid w:val="00E22BF5"/>
    <w:rsid w:val="00E22E4F"/>
    <w:rsid w:val="00E22F04"/>
    <w:rsid w:val="00E2302C"/>
    <w:rsid w:val="00E232DE"/>
    <w:rsid w:val="00E233A1"/>
    <w:rsid w:val="00E236FD"/>
    <w:rsid w:val="00E237DF"/>
    <w:rsid w:val="00E237E5"/>
    <w:rsid w:val="00E23AFC"/>
    <w:rsid w:val="00E23E46"/>
    <w:rsid w:val="00E23E4B"/>
    <w:rsid w:val="00E23ED1"/>
    <w:rsid w:val="00E24182"/>
    <w:rsid w:val="00E242DC"/>
    <w:rsid w:val="00E24583"/>
    <w:rsid w:val="00E245BC"/>
    <w:rsid w:val="00E24701"/>
    <w:rsid w:val="00E248E6"/>
    <w:rsid w:val="00E24DE4"/>
    <w:rsid w:val="00E24F83"/>
    <w:rsid w:val="00E2502C"/>
    <w:rsid w:val="00E250BA"/>
    <w:rsid w:val="00E2510B"/>
    <w:rsid w:val="00E251A8"/>
    <w:rsid w:val="00E25204"/>
    <w:rsid w:val="00E252AE"/>
    <w:rsid w:val="00E25441"/>
    <w:rsid w:val="00E2589E"/>
    <w:rsid w:val="00E258B5"/>
    <w:rsid w:val="00E25919"/>
    <w:rsid w:val="00E25D11"/>
    <w:rsid w:val="00E25E89"/>
    <w:rsid w:val="00E26053"/>
    <w:rsid w:val="00E26324"/>
    <w:rsid w:val="00E26DFC"/>
    <w:rsid w:val="00E26E4A"/>
    <w:rsid w:val="00E271B9"/>
    <w:rsid w:val="00E272A2"/>
    <w:rsid w:val="00E273BB"/>
    <w:rsid w:val="00E27757"/>
    <w:rsid w:val="00E277B5"/>
    <w:rsid w:val="00E27A30"/>
    <w:rsid w:val="00E300EB"/>
    <w:rsid w:val="00E304B9"/>
    <w:rsid w:val="00E30514"/>
    <w:rsid w:val="00E30BBF"/>
    <w:rsid w:val="00E30F34"/>
    <w:rsid w:val="00E30F8F"/>
    <w:rsid w:val="00E30FF2"/>
    <w:rsid w:val="00E31127"/>
    <w:rsid w:val="00E31186"/>
    <w:rsid w:val="00E31593"/>
    <w:rsid w:val="00E319D6"/>
    <w:rsid w:val="00E31B2F"/>
    <w:rsid w:val="00E32229"/>
    <w:rsid w:val="00E32428"/>
    <w:rsid w:val="00E325C7"/>
    <w:rsid w:val="00E3280C"/>
    <w:rsid w:val="00E32A2D"/>
    <w:rsid w:val="00E32B80"/>
    <w:rsid w:val="00E32E40"/>
    <w:rsid w:val="00E33161"/>
    <w:rsid w:val="00E331DB"/>
    <w:rsid w:val="00E3335E"/>
    <w:rsid w:val="00E33565"/>
    <w:rsid w:val="00E3377E"/>
    <w:rsid w:val="00E3393E"/>
    <w:rsid w:val="00E33C37"/>
    <w:rsid w:val="00E33C77"/>
    <w:rsid w:val="00E33C99"/>
    <w:rsid w:val="00E33CA6"/>
    <w:rsid w:val="00E33D6F"/>
    <w:rsid w:val="00E341BC"/>
    <w:rsid w:val="00E341D2"/>
    <w:rsid w:val="00E342BE"/>
    <w:rsid w:val="00E346B2"/>
    <w:rsid w:val="00E348D0"/>
    <w:rsid w:val="00E34A4B"/>
    <w:rsid w:val="00E34D63"/>
    <w:rsid w:val="00E34E31"/>
    <w:rsid w:val="00E3500F"/>
    <w:rsid w:val="00E35317"/>
    <w:rsid w:val="00E35360"/>
    <w:rsid w:val="00E35386"/>
    <w:rsid w:val="00E35421"/>
    <w:rsid w:val="00E354E2"/>
    <w:rsid w:val="00E35500"/>
    <w:rsid w:val="00E356A9"/>
    <w:rsid w:val="00E35E6D"/>
    <w:rsid w:val="00E35E95"/>
    <w:rsid w:val="00E36087"/>
    <w:rsid w:val="00E366C1"/>
    <w:rsid w:val="00E368B0"/>
    <w:rsid w:val="00E36A62"/>
    <w:rsid w:val="00E36BB8"/>
    <w:rsid w:val="00E36D1C"/>
    <w:rsid w:val="00E36F58"/>
    <w:rsid w:val="00E36FD0"/>
    <w:rsid w:val="00E37024"/>
    <w:rsid w:val="00E3718A"/>
    <w:rsid w:val="00E37262"/>
    <w:rsid w:val="00E37294"/>
    <w:rsid w:val="00E372BC"/>
    <w:rsid w:val="00E37411"/>
    <w:rsid w:val="00E4004C"/>
    <w:rsid w:val="00E405EF"/>
    <w:rsid w:val="00E40790"/>
    <w:rsid w:val="00E407FA"/>
    <w:rsid w:val="00E408A1"/>
    <w:rsid w:val="00E40AC3"/>
    <w:rsid w:val="00E40D42"/>
    <w:rsid w:val="00E40D8B"/>
    <w:rsid w:val="00E4130C"/>
    <w:rsid w:val="00E41480"/>
    <w:rsid w:val="00E41954"/>
    <w:rsid w:val="00E424BB"/>
    <w:rsid w:val="00E42734"/>
    <w:rsid w:val="00E427B8"/>
    <w:rsid w:val="00E42998"/>
    <w:rsid w:val="00E42EB7"/>
    <w:rsid w:val="00E4319B"/>
    <w:rsid w:val="00E43398"/>
    <w:rsid w:val="00E433DB"/>
    <w:rsid w:val="00E4342B"/>
    <w:rsid w:val="00E434A5"/>
    <w:rsid w:val="00E434E9"/>
    <w:rsid w:val="00E436CF"/>
    <w:rsid w:val="00E43902"/>
    <w:rsid w:val="00E43B9C"/>
    <w:rsid w:val="00E43E4D"/>
    <w:rsid w:val="00E44081"/>
    <w:rsid w:val="00E4492B"/>
    <w:rsid w:val="00E449A6"/>
    <w:rsid w:val="00E449D4"/>
    <w:rsid w:val="00E44AE3"/>
    <w:rsid w:val="00E458A7"/>
    <w:rsid w:val="00E45A38"/>
    <w:rsid w:val="00E45C44"/>
    <w:rsid w:val="00E45F17"/>
    <w:rsid w:val="00E465AF"/>
    <w:rsid w:val="00E466C8"/>
    <w:rsid w:val="00E47464"/>
    <w:rsid w:val="00E47774"/>
    <w:rsid w:val="00E4779A"/>
    <w:rsid w:val="00E47859"/>
    <w:rsid w:val="00E47A7C"/>
    <w:rsid w:val="00E47FFD"/>
    <w:rsid w:val="00E500F0"/>
    <w:rsid w:val="00E50171"/>
    <w:rsid w:val="00E505D5"/>
    <w:rsid w:val="00E5068F"/>
    <w:rsid w:val="00E50971"/>
    <w:rsid w:val="00E50B7B"/>
    <w:rsid w:val="00E510D3"/>
    <w:rsid w:val="00E517E5"/>
    <w:rsid w:val="00E51818"/>
    <w:rsid w:val="00E5199E"/>
    <w:rsid w:val="00E51AED"/>
    <w:rsid w:val="00E51D34"/>
    <w:rsid w:val="00E51ECB"/>
    <w:rsid w:val="00E527DD"/>
    <w:rsid w:val="00E52B8E"/>
    <w:rsid w:val="00E52DC3"/>
    <w:rsid w:val="00E53192"/>
    <w:rsid w:val="00E53555"/>
    <w:rsid w:val="00E537B8"/>
    <w:rsid w:val="00E53A8B"/>
    <w:rsid w:val="00E53B64"/>
    <w:rsid w:val="00E53E77"/>
    <w:rsid w:val="00E53EA9"/>
    <w:rsid w:val="00E53FCF"/>
    <w:rsid w:val="00E5424E"/>
    <w:rsid w:val="00E5428C"/>
    <w:rsid w:val="00E5439E"/>
    <w:rsid w:val="00E5455F"/>
    <w:rsid w:val="00E546C4"/>
    <w:rsid w:val="00E5476D"/>
    <w:rsid w:val="00E549E4"/>
    <w:rsid w:val="00E54A06"/>
    <w:rsid w:val="00E54AA6"/>
    <w:rsid w:val="00E54FF6"/>
    <w:rsid w:val="00E55727"/>
    <w:rsid w:val="00E55778"/>
    <w:rsid w:val="00E55922"/>
    <w:rsid w:val="00E55BEC"/>
    <w:rsid w:val="00E55D8D"/>
    <w:rsid w:val="00E560E7"/>
    <w:rsid w:val="00E561B1"/>
    <w:rsid w:val="00E561B2"/>
    <w:rsid w:val="00E5632B"/>
    <w:rsid w:val="00E565A8"/>
    <w:rsid w:val="00E56724"/>
    <w:rsid w:val="00E5697C"/>
    <w:rsid w:val="00E56F66"/>
    <w:rsid w:val="00E57117"/>
    <w:rsid w:val="00E575EB"/>
    <w:rsid w:val="00E57ADA"/>
    <w:rsid w:val="00E6001B"/>
    <w:rsid w:val="00E6041E"/>
    <w:rsid w:val="00E6053E"/>
    <w:rsid w:val="00E60909"/>
    <w:rsid w:val="00E60C8C"/>
    <w:rsid w:val="00E60CE0"/>
    <w:rsid w:val="00E60DD6"/>
    <w:rsid w:val="00E60EFF"/>
    <w:rsid w:val="00E61184"/>
    <w:rsid w:val="00E6162D"/>
    <w:rsid w:val="00E61656"/>
    <w:rsid w:val="00E616E4"/>
    <w:rsid w:val="00E6177D"/>
    <w:rsid w:val="00E618D2"/>
    <w:rsid w:val="00E61ADD"/>
    <w:rsid w:val="00E6223B"/>
    <w:rsid w:val="00E62290"/>
    <w:rsid w:val="00E622BA"/>
    <w:rsid w:val="00E62501"/>
    <w:rsid w:val="00E627C0"/>
    <w:rsid w:val="00E62B36"/>
    <w:rsid w:val="00E62BAB"/>
    <w:rsid w:val="00E62BBC"/>
    <w:rsid w:val="00E62C35"/>
    <w:rsid w:val="00E62C43"/>
    <w:rsid w:val="00E6324C"/>
    <w:rsid w:val="00E63603"/>
    <w:rsid w:val="00E63AD4"/>
    <w:rsid w:val="00E642DE"/>
    <w:rsid w:val="00E64316"/>
    <w:rsid w:val="00E6467F"/>
    <w:rsid w:val="00E6471A"/>
    <w:rsid w:val="00E64830"/>
    <w:rsid w:val="00E64863"/>
    <w:rsid w:val="00E64C2B"/>
    <w:rsid w:val="00E64C75"/>
    <w:rsid w:val="00E64DEB"/>
    <w:rsid w:val="00E64F83"/>
    <w:rsid w:val="00E65053"/>
    <w:rsid w:val="00E6509D"/>
    <w:rsid w:val="00E652B8"/>
    <w:rsid w:val="00E653D0"/>
    <w:rsid w:val="00E6565C"/>
    <w:rsid w:val="00E65D2D"/>
    <w:rsid w:val="00E65DB6"/>
    <w:rsid w:val="00E65EAE"/>
    <w:rsid w:val="00E6604B"/>
    <w:rsid w:val="00E6640F"/>
    <w:rsid w:val="00E669BF"/>
    <w:rsid w:val="00E66A26"/>
    <w:rsid w:val="00E6721F"/>
    <w:rsid w:val="00E6736A"/>
    <w:rsid w:val="00E675E1"/>
    <w:rsid w:val="00E67981"/>
    <w:rsid w:val="00E67A3A"/>
    <w:rsid w:val="00E67A3C"/>
    <w:rsid w:val="00E67C74"/>
    <w:rsid w:val="00E67D8A"/>
    <w:rsid w:val="00E67EF3"/>
    <w:rsid w:val="00E67F7F"/>
    <w:rsid w:val="00E67F83"/>
    <w:rsid w:val="00E67F92"/>
    <w:rsid w:val="00E70077"/>
    <w:rsid w:val="00E7026C"/>
    <w:rsid w:val="00E7049B"/>
    <w:rsid w:val="00E707B1"/>
    <w:rsid w:val="00E7083E"/>
    <w:rsid w:val="00E7090A"/>
    <w:rsid w:val="00E70B72"/>
    <w:rsid w:val="00E7146B"/>
    <w:rsid w:val="00E71488"/>
    <w:rsid w:val="00E71512"/>
    <w:rsid w:val="00E71A06"/>
    <w:rsid w:val="00E71C36"/>
    <w:rsid w:val="00E71C42"/>
    <w:rsid w:val="00E71E13"/>
    <w:rsid w:val="00E71EA8"/>
    <w:rsid w:val="00E71F3F"/>
    <w:rsid w:val="00E71FA6"/>
    <w:rsid w:val="00E71FCE"/>
    <w:rsid w:val="00E7239A"/>
    <w:rsid w:val="00E723AE"/>
    <w:rsid w:val="00E7257B"/>
    <w:rsid w:val="00E72619"/>
    <w:rsid w:val="00E7288E"/>
    <w:rsid w:val="00E72932"/>
    <w:rsid w:val="00E7304B"/>
    <w:rsid w:val="00E73091"/>
    <w:rsid w:val="00E73180"/>
    <w:rsid w:val="00E7319E"/>
    <w:rsid w:val="00E731AA"/>
    <w:rsid w:val="00E731C9"/>
    <w:rsid w:val="00E7359A"/>
    <w:rsid w:val="00E735C8"/>
    <w:rsid w:val="00E73663"/>
    <w:rsid w:val="00E737DF"/>
    <w:rsid w:val="00E7391C"/>
    <w:rsid w:val="00E7396C"/>
    <w:rsid w:val="00E73B59"/>
    <w:rsid w:val="00E73BB2"/>
    <w:rsid w:val="00E73C2E"/>
    <w:rsid w:val="00E73CEE"/>
    <w:rsid w:val="00E73DFC"/>
    <w:rsid w:val="00E73E98"/>
    <w:rsid w:val="00E74385"/>
    <w:rsid w:val="00E743A8"/>
    <w:rsid w:val="00E747A7"/>
    <w:rsid w:val="00E74B34"/>
    <w:rsid w:val="00E74EA6"/>
    <w:rsid w:val="00E74F40"/>
    <w:rsid w:val="00E75070"/>
    <w:rsid w:val="00E755F2"/>
    <w:rsid w:val="00E76480"/>
    <w:rsid w:val="00E76D5E"/>
    <w:rsid w:val="00E77097"/>
    <w:rsid w:val="00E77194"/>
    <w:rsid w:val="00E7738C"/>
    <w:rsid w:val="00E7745C"/>
    <w:rsid w:val="00E7770F"/>
    <w:rsid w:val="00E7793F"/>
    <w:rsid w:val="00E77C51"/>
    <w:rsid w:val="00E77D83"/>
    <w:rsid w:val="00E77FED"/>
    <w:rsid w:val="00E80023"/>
    <w:rsid w:val="00E8042D"/>
    <w:rsid w:val="00E80434"/>
    <w:rsid w:val="00E8067F"/>
    <w:rsid w:val="00E80AD5"/>
    <w:rsid w:val="00E80DD3"/>
    <w:rsid w:val="00E80E95"/>
    <w:rsid w:val="00E80F6A"/>
    <w:rsid w:val="00E8105C"/>
    <w:rsid w:val="00E8140D"/>
    <w:rsid w:val="00E815B5"/>
    <w:rsid w:val="00E816C1"/>
    <w:rsid w:val="00E81A8B"/>
    <w:rsid w:val="00E81BC4"/>
    <w:rsid w:val="00E81FAC"/>
    <w:rsid w:val="00E8206D"/>
    <w:rsid w:val="00E821E5"/>
    <w:rsid w:val="00E8221D"/>
    <w:rsid w:val="00E82403"/>
    <w:rsid w:val="00E82417"/>
    <w:rsid w:val="00E82992"/>
    <w:rsid w:val="00E829A4"/>
    <w:rsid w:val="00E82A43"/>
    <w:rsid w:val="00E82B61"/>
    <w:rsid w:val="00E82C0A"/>
    <w:rsid w:val="00E82C5C"/>
    <w:rsid w:val="00E82F88"/>
    <w:rsid w:val="00E82F9C"/>
    <w:rsid w:val="00E831DA"/>
    <w:rsid w:val="00E8331B"/>
    <w:rsid w:val="00E8337D"/>
    <w:rsid w:val="00E8340B"/>
    <w:rsid w:val="00E83624"/>
    <w:rsid w:val="00E83B79"/>
    <w:rsid w:val="00E83BE8"/>
    <w:rsid w:val="00E83FA2"/>
    <w:rsid w:val="00E84099"/>
    <w:rsid w:val="00E84194"/>
    <w:rsid w:val="00E843BE"/>
    <w:rsid w:val="00E8459F"/>
    <w:rsid w:val="00E84CB4"/>
    <w:rsid w:val="00E84CB6"/>
    <w:rsid w:val="00E84E09"/>
    <w:rsid w:val="00E84E4A"/>
    <w:rsid w:val="00E850A5"/>
    <w:rsid w:val="00E851DD"/>
    <w:rsid w:val="00E855B0"/>
    <w:rsid w:val="00E8562F"/>
    <w:rsid w:val="00E85A3E"/>
    <w:rsid w:val="00E85DD2"/>
    <w:rsid w:val="00E85E78"/>
    <w:rsid w:val="00E86274"/>
    <w:rsid w:val="00E867E2"/>
    <w:rsid w:val="00E8684A"/>
    <w:rsid w:val="00E87000"/>
    <w:rsid w:val="00E8717A"/>
    <w:rsid w:val="00E87300"/>
    <w:rsid w:val="00E8739E"/>
    <w:rsid w:val="00E87464"/>
    <w:rsid w:val="00E8755F"/>
    <w:rsid w:val="00E875CA"/>
    <w:rsid w:val="00E876A6"/>
    <w:rsid w:val="00E876C7"/>
    <w:rsid w:val="00E8783B"/>
    <w:rsid w:val="00E87D28"/>
    <w:rsid w:val="00E901B2"/>
    <w:rsid w:val="00E907E8"/>
    <w:rsid w:val="00E908A9"/>
    <w:rsid w:val="00E90906"/>
    <w:rsid w:val="00E9096B"/>
    <w:rsid w:val="00E9099C"/>
    <w:rsid w:val="00E909F4"/>
    <w:rsid w:val="00E90B06"/>
    <w:rsid w:val="00E90B14"/>
    <w:rsid w:val="00E90B42"/>
    <w:rsid w:val="00E90EEF"/>
    <w:rsid w:val="00E90F7C"/>
    <w:rsid w:val="00E91117"/>
    <w:rsid w:val="00E91585"/>
    <w:rsid w:val="00E919D2"/>
    <w:rsid w:val="00E91ADB"/>
    <w:rsid w:val="00E91B9D"/>
    <w:rsid w:val="00E92192"/>
    <w:rsid w:val="00E9221E"/>
    <w:rsid w:val="00E922BF"/>
    <w:rsid w:val="00E9237A"/>
    <w:rsid w:val="00E9264B"/>
    <w:rsid w:val="00E92B3B"/>
    <w:rsid w:val="00E92C8F"/>
    <w:rsid w:val="00E92CE8"/>
    <w:rsid w:val="00E92DD4"/>
    <w:rsid w:val="00E930B6"/>
    <w:rsid w:val="00E93210"/>
    <w:rsid w:val="00E9322D"/>
    <w:rsid w:val="00E9351E"/>
    <w:rsid w:val="00E93631"/>
    <w:rsid w:val="00E9373B"/>
    <w:rsid w:val="00E93A22"/>
    <w:rsid w:val="00E93E7B"/>
    <w:rsid w:val="00E93F94"/>
    <w:rsid w:val="00E942C7"/>
    <w:rsid w:val="00E94BB5"/>
    <w:rsid w:val="00E94F59"/>
    <w:rsid w:val="00E950BF"/>
    <w:rsid w:val="00E95155"/>
    <w:rsid w:val="00E953A6"/>
    <w:rsid w:val="00E953DC"/>
    <w:rsid w:val="00E953FF"/>
    <w:rsid w:val="00E9548A"/>
    <w:rsid w:val="00E956E1"/>
    <w:rsid w:val="00E958A2"/>
    <w:rsid w:val="00E95D32"/>
    <w:rsid w:val="00E96081"/>
    <w:rsid w:val="00E9613B"/>
    <w:rsid w:val="00E965F9"/>
    <w:rsid w:val="00E96D16"/>
    <w:rsid w:val="00E96D4C"/>
    <w:rsid w:val="00E96E62"/>
    <w:rsid w:val="00E97268"/>
    <w:rsid w:val="00E973C0"/>
    <w:rsid w:val="00E9744D"/>
    <w:rsid w:val="00E975D7"/>
    <w:rsid w:val="00E97640"/>
    <w:rsid w:val="00E97758"/>
    <w:rsid w:val="00E9785A"/>
    <w:rsid w:val="00EA06DE"/>
    <w:rsid w:val="00EA0721"/>
    <w:rsid w:val="00EA0956"/>
    <w:rsid w:val="00EA09D8"/>
    <w:rsid w:val="00EA0B84"/>
    <w:rsid w:val="00EA0C3C"/>
    <w:rsid w:val="00EA0D91"/>
    <w:rsid w:val="00EA1117"/>
    <w:rsid w:val="00EA1397"/>
    <w:rsid w:val="00EA1598"/>
    <w:rsid w:val="00EA1726"/>
    <w:rsid w:val="00EA183C"/>
    <w:rsid w:val="00EA1BB2"/>
    <w:rsid w:val="00EA1F4F"/>
    <w:rsid w:val="00EA2029"/>
    <w:rsid w:val="00EA2456"/>
    <w:rsid w:val="00EA2718"/>
    <w:rsid w:val="00EA274C"/>
    <w:rsid w:val="00EA27F6"/>
    <w:rsid w:val="00EA2E77"/>
    <w:rsid w:val="00EA331F"/>
    <w:rsid w:val="00EA3607"/>
    <w:rsid w:val="00EA39EA"/>
    <w:rsid w:val="00EA3B61"/>
    <w:rsid w:val="00EA3CA4"/>
    <w:rsid w:val="00EA4400"/>
    <w:rsid w:val="00EA4574"/>
    <w:rsid w:val="00EA4674"/>
    <w:rsid w:val="00EA4784"/>
    <w:rsid w:val="00EA47B9"/>
    <w:rsid w:val="00EA48A7"/>
    <w:rsid w:val="00EA4924"/>
    <w:rsid w:val="00EA49E4"/>
    <w:rsid w:val="00EA4B5D"/>
    <w:rsid w:val="00EA4BC2"/>
    <w:rsid w:val="00EA4DFD"/>
    <w:rsid w:val="00EA4E11"/>
    <w:rsid w:val="00EA4E2E"/>
    <w:rsid w:val="00EA4ED2"/>
    <w:rsid w:val="00EA5337"/>
    <w:rsid w:val="00EA5375"/>
    <w:rsid w:val="00EA549D"/>
    <w:rsid w:val="00EA5715"/>
    <w:rsid w:val="00EA5978"/>
    <w:rsid w:val="00EA5AE0"/>
    <w:rsid w:val="00EA5D46"/>
    <w:rsid w:val="00EA5D91"/>
    <w:rsid w:val="00EA5E47"/>
    <w:rsid w:val="00EA65A1"/>
    <w:rsid w:val="00EA662F"/>
    <w:rsid w:val="00EA671F"/>
    <w:rsid w:val="00EA6725"/>
    <w:rsid w:val="00EA679A"/>
    <w:rsid w:val="00EA6875"/>
    <w:rsid w:val="00EA6922"/>
    <w:rsid w:val="00EA6986"/>
    <w:rsid w:val="00EA6A6D"/>
    <w:rsid w:val="00EA6A92"/>
    <w:rsid w:val="00EA6DDA"/>
    <w:rsid w:val="00EA6E88"/>
    <w:rsid w:val="00EA6FD0"/>
    <w:rsid w:val="00EA7087"/>
    <w:rsid w:val="00EA71F7"/>
    <w:rsid w:val="00EA7333"/>
    <w:rsid w:val="00EA7595"/>
    <w:rsid w:val="00EA7A02"/>
    <w:rsid w:val="00EA7A82"/>
    <w:rsid w:val="00EA7B6E"/>
    <w:rsid w:val="00EA7E01"/>
    <w:rsid w:val="00EA7FBC"/>
    <w:rsid w:val="00EB0514"/>
    <w:rsid w:val="00EB19F0"/>
    <w:rsid w:val="00EB1ACA"/>
    <w:rsid w:val="00EB1C29"/>
    <w:rsid w:val="00EB1CF0"/>
    <w:rsid w:val="00EB1DD3"/>
    <w:rsid w:val="00EB223D"/>
    <w:rsid w:val="00EB24F5"/>
    <w:rsid w:val="00EB28CA"/>
    <w:rsid w:val="00EB29A4"/>
    <w:rsid w:val="00EB2B2E"/>
    <w:rsid w:val="00EB3103"/>
    <w:rsid w:val="00EB3855"/>
    <w:rsid w:val="00EB388C"/>
    <w:rsid w:val="00EB39B2"/>
    <w:rsid w:val="00EB3AEB"/>
    <w:rsid w:val="00EB3CB4"/>
    <w:rsid w:val="00EB3EAF"/>
    <w:rsid w:val="00EB3FC4"/>
    <w:rsid w:val="00EB4E01"/>
    <w:rsid w:val="00EB50A5"/>
    <w:rsid w:val="00EB5232"/>
    <w:rsid w:val="00EB5553"/>
    <w:rsid w:val="00EB5A9A"/>
    <w:rsid w:val="00EB5BF5"/>
    <w:rsid w:val="00EB5E4D"/>
    <w:rsid w:val="00EB6126"/>
    <w:rsid w:val="00EB63FF"/>
    <w:rsid w:val="00EB66FB"/>
    <w:rsid w:val="00EB675F"/>
    <w:rsid w:val="00EB6C09"/>
    <w:rsid w:val="00EB7446"/>
    <w:rsid w:val="00EB7451"/>
    <w:rsid w:val="00EB7516"/>
    <w:rsid w:val="00EB7DDD"/>
    <w:rsid w:val="00EC0591"/>
    <w:rsid w:val="00EC082C"/>
    <w:rsid w:val="00EC0B20"/>
    <w:rsid w:val="00EC130D"/>
    <w:rsid w:val="00EC15B3"/>
    <w:rsid w:val="00EC1662"/>
    <w:rsid w:val="00EC1826"/>
    <w:rsid w:val="00EC182A"/>
    <w:rsid w:val="00EC1BAB"/>
    <w:rsid w:val="00EC1CDD"/>
    <w:rsid w:val="00EC1FBA"/>
    <w:rsid w:val="00EC2B63"/>
    <w:rsid w:val="00EC2D96"/>
    <w:rsid w:val="00EC2E25"/>
    <w:rsid w:val="00EC2E3B"/>
    <w:rsid w:val="00EC2EC7"/>
    <w:rsid w:val="00EC34FE"/>
    <w:rsid w:val="00EC3782"/>
    <w:rsid w:val="00EC38EB"/>
    <w:rsid w:val="00EC3B0D"/>
    <w:rsid w:val="00EC3BBC"/>
    <w:rsid w:val="00EC3D2B"/>
    <w:rsid w:val="00EC3DCC"/>
    <w:rsid w:val="00EC3FBC"/>
    <w:rsid w:val="00EC42F7"/>
    <w:rsid w:val="00EC453B"/>
    <w:rsid w:val="00EC4767"/>
    <w:rsid w:val="00EC47FA"/>
    <w:rsid w:val="00EC4AC7"/>
    <w:rsid w:val="00EC4B4B"/>
    <w:rsid w:val="00EC5026"/>
    <w:rsid w:val="00EC5566"/>
    <w:rsid w:val="00EC57FF"/>
    <w:rsid w:val="00EC58D4"/>
    <w:rsid w:val="00EC59D8"/>
    <w:rsid w:val="00EC5A5B"/>
    <w:rsid w:val="00EC5ACF"/>
    <w:rsid w:val="00EC5B06"/>
    <w:rsid w:val="00EC5D1E"/>
    <w:rsid w:val="00EC5ED1"/>
    <w:rsid w:val="00EC5F7A"/>
    <w:rsid w:val="00EC60C0"/>
    <w:rsid w:val="00EC64B9"/>
    <w:rsid w:val="00EC650D"/>
    <w:rsid w:val="00EC6582"/>
    <w:rsid w:val="00EC6632"/>
    <w:rsid w:val="00EC6ADE"/>
    <w:rsid w:val="00EC6F32"/>
    <w:rsid w:val="00EC701D"/>
    <w:rsid w:val="00EC713C"/>
    <w:rsid w:val="00EC73CE"/>
    <w:rsid w:val="00EC7562"/>
    <w:rsid w:val="00EC7939"/>
    <w:rsid w:val="00EC795B"/>
    <w:rsid w:val="00EC7BA3"/>
    <w:rsid w:val="00EC7D89"/>
    <w:rsid w:val="00ED091E"/>
    <w:rsid w:val="00ED102B"/>
    <w:rsid w:val="00ED10C8"/>
    <w:rsid w:val="00ED1109"/>
    <w:rsid w:val="00ED119B"/>
    <w:rsid w:val="00ED15D6"/>
    <w:rsid w:val="00ED1730"/>
    <w:rsid w:val="00ED1BE8"/>
    <w:rsid w:val="00ED1CB0"/>
    <w:rsid w:val="00ED1D26"/>
    <w:rsid w:val="00ED2105"/>
    <w:rsid w:val="00ED2114"/>
    <w:rsid w:val="00ED21C3"/>
    <w:rsid w:val="00ED2404"/>
    <w:rsid w:val="00ED2661"/>
    <w:rsid w:val="00ED267F"/>
    <w:rsid w:val="00ED278D"/>
    <w:rsid w:val="00ED27F5"/>
    <w:rsid w:val="00ED28CC"/>
    <w:rsid w:val="00ED2DE1"/>
    <w:rsid w:val="00ED2E87"/>
    <w:rsid w:val="00ED2E9B"/>
    <w:rsid w:val="00ED2E9C"/>
    <w:rsid w:val="00ED2EB6"/>
    <w:rsid w:val="00ED31AB"/>
    <w:rsid w:val="00ED365D"/>
    <w:rsid w:val="00ED3B77"/>
    <w:rsid w:val="00ED3C1F"/>
    <w:rsid w:val="00ED3CBB"/>
    <w:rsid w:val="00ED451F"/>
    <w:rsid w:val="00ED4531"/>
    <w:rsid w:val="00ED4F0C"/>
    <w:rsid w:val="00ED50C2"/>
    <w:rsid w:val="00ED5386"/>
    <w:rsid w:val="00ED5692"/>
    <w:rsid w:val="00ED5938"/>
    <w:rsid w:val="00ED5A4F"/>
    <w:rsid w:val="00ED5C1B"/>
    <w:rsid w:val="00ED5DA9"/>
    <w:rsid w:val="00ED5EF3"/>
    <w:rsid w:val="00ED619F"/>
    <w:rsid w:val="00ED652A"/>
    <w:rsid w:val="00ED65FA"/>
    <w:rsid w:val="00ED6640"/>
    <w:rsid w:val="00ED686F"/>
    <w:rsid w:val="00ED6986"/>
    <w:rsid w:val="00ED715A"/>
    <w:rsid w:val="00ED72CF"/>
    <w:rsid w:val="00ED7496"/>
    <w:rsid w:val="00ED7643"/>
    <w:rsid w:val="00ED7E34"/>
    <w:rsid w:val="00EE037C"/>
    <w:rsid w:val="00EE0425"/>
    <w:rsid w:val="00EE04B1"/>
    <w:rsid w:val="00EE0543"/>
    <w:rsid w:val="00EE05FB"/>
    <w:rsid w:val="00EE07DC"/>
    <w:rsid w:val="00EE0895"/>
    <w:rsid w:val="00EE0C2B"/>
    <w:rsid w:val="00EE0F88"/>
    <w:rsid w:val="00EE1127"/>
    <w:rsid w:val="00EE1160"/>
    <w:rsid w:val="00EE117D"/>
    <w:rsid w:val="00EE1183"/>
    <w:rsid w:val="00EE123B"/>
    <w:rsid w:val="00EE154F"/>
    <w:rsid w:val="00EE1671"/>
    <w:rsid w:val="00EE17DF"/>
    <w:rsid w:val="00EE1C90"/>
    <w:rsid w:val="00EE1EB4"/>
    <w:rsid w:val="00EE20C3"/>
    <w:rsid w:val="00EE21A1"/>
    <w:rsid w:val="00EE2266"/>
    <w:rsid w:val="00EE226A"/>
    <w:rsid w:val="00EE2463"/>
    <w:rsid w:val="00EE25D1"/>
    <w:rsid w:val="00EE2853"/>
    <w:rsid w:val="00EE29A6"/>
    <w:rsid w:val="00EE2C65"/>
    <w:rsid w:val="00EE2DB4"/>
    <w:rsid w:val="00EE2DD8"/>
    <w:rsid w:val="00EE2E4B"/>
    <w:rsid w:val="00EE4005"/>
    <w:rsid w:val="00EE4225"/>
    <w:rsid w:val="00EE4443"/>
    <w:rsid w:val="00EE46B0"/>
    <w:rsid w:val="00EE499B"/>
    <w:rsid w:val="00EE4A93"/>
    <w:rsid w:val="00EE4E3B"/>
    <w:rsid w:val="00EE4E3C"/>
    <w:rsid w:val="00EE51C0"/>
    <w:rsid w:val="00EE52C4"/>
    <w:rsid w:val="00EE549F"/>
    <w:rsid w:val="00EE588B"/>
    <w:rsid w:val="00EE596C"/>
    <w:rsid w:val="00EE5F20"/>
    <w:rsid w:val="00EE5F38"/>
    <w:rsid w:val="00EE5FA9"/>
    <w:rsid w:val="00EE64BC"/>
    <w:rsid w:val="00EE6764"/>
    <w:rsid w:val="00EE67F3"/>
    <w:rsid w:val="00EE69AF"/>
    <w:rsid w:val="00EE6B66"/>
    <w:rsid w:val="00EE6C3B"/>
    <w:rsid w:val="00EE74E2"/>
    <w:rsid w:val="00EE7EF7"/>
    <w:rsid w:val="00EF028E"/>
    <w:rsid w:val="00EF047C"/>
    <w:rsid w:val="00EF0507"/>
    <w:rsid w:val="00EF07AE"/>
    <w:rsid w:val="00EF0AB1"/>
    <w:rsid w:val="00EF0ACA"/>
    <w:rsid w:val="00EF0C30"/>
    <w:rsid w:val="00EF0CA8"/>
    <w:rsid w:val="00EF0D16"/>
    <w:rsid w:val="00EF1027"/>
    <w:rsid w:val="00EF1427"/>
    <w:rsid w:val="00EF14E0"/>
    <w:rsid w:val="00EF1532"/>
    <w:rsid w:val="00EF15A2"/>
    <w:rsid w:val="00EF1740"/>
    <w:rsid w:val="00EF1837"/>
    <w:rsid w:val="00EF1839"/>
    <w:rsid w:val="00EF199D"/>
    <w:rsid w:val="00EF1C62"/>
    <w:rsid w:val="00EF24A5"/>
    <w:rsid w:val="00EF255F"/>
    <w:rsid w:val="00EF25BA"/>
    <w:rsid w:val="00EF2658"/>
    <w:rsid w:val="00EF27B9"/>
    <w:rsid w:val="00EF28F5"/>
    <w:rsid w:val="00EF2EE7"/>
    <w:rsid w:val="00EF2F9B"/>
    <w:rsid w:val="00EF3010"/>
    <w:rsid w:val="00EF3128"/>
    <w:rsid w:val="00EF312C"/>
    <w:rsid w:val="00EF3385"/>
    <w:rsid w:val="00EF3706"/>
    <w:rsid w:val="00EF3E71"/>
    <w:rsid w:val="00EF41E4"/>
    <w:rsid w:val="00EF4404"/>
    <w:rsid w:val="00EF44E2"/>
    <w:rsid w:val="00EF4B37"/>
    <w:rsid w:val="00EF4D0E"/>
    <w:rsid w:val="00EF4ECA"/>
    <w:rsid w:val="00EF5910"/>
    <w:rsid w:val="00EF5B24"/>
    <w:rsid w:val="00EF5BF7"/>
    <w:rsid w:val="00EF6092"/>
    <w:rsid w:val="00EF60BE"/>
    <w:rsid w:val="00EF626E"/>
    <w:rsid w:val="00EF631B"/>
    <w:rsid w:val="00EF6455"/>
    <w:rsid w:val="00EF6703"/>
    <w:rsid w:val="00EF67D3"/>
    <w:rsid w:val="00EF6803"/>
    <w:rsid w:val="00EF6832"/>
    <w:rsid w:val="00EF692F"/>
    <w:rsid w:val="00EF69FD"/>
    <w:rsid w:val="00EF6E38"/>
    <w:rsid w:val="00EF6E97"/>
    <w:rsid w:val="00EF7138"/>
    <w:rsid w:val="00EF71DB"/>
    <w:rsid w:val="00EF732D"/>
    <w:rsid w:val="00EF7A97"/>
    <w:rsid w:val="00EF7AF9"/>
    <w:rsid w:val="00F0008B"/>
    <w:rsid w:val="00F00109"/>
    <w:rsid w:val="00F0035A"/>
    <w:rsid w:val="00F0043A"/>
    <w:rsid w:val="00F00561"/>
    <w:rsid w:val="00F006DE"/>
    <w:rsid w:val="00F00811"/>
    <w:rsid w:val="00F00872"/>
    <w:rsid w:val="00F00C21"/>
    <w:rsid w:val="00F00DA9"/>
    <w:rsid w:val="00F010B2"/>
    <w:rsid w:val="00F0165B"/>
    <w:rsid w:val="00F01818"/>
    <w:rsid w:val="00F01904"/>
    <w:rsid w:val="00F019C0"/>
    <w:rsid w:val="00F01A34"/>
    <w:rsid w:val="00F01EDA"/>
    <w:rsid w:val="00F01EF1"/>
    <w:rsid w:val="00F01F4C"/>
    <w:rsid w:val="00F01F93"/>
    <w:rsid w:val="00F01F9A"/>
    <w:rsid w:val="00F01FF2"/>
    <w:rsid w:val="00F025CE"/>
    <w:rsid w:val="00F02926"/>
    <w:rsid w:val="00F02BE8"/>
    <w:rsid w:val="00F02EAD"/>
    <w:rsid w:val="00F030DD"/>
    <w:rsid w:val="00F03100"/>
    <w:rsid w:val="00F0322E"/>
    <w:rsid w:val="00F03261"/>
    <w:rsid w:val="00F03371"/>
    <w:rsid w:val="00F03480"/>
    <w:rsid w:val="00F036FF"/>
    <w:rsid w:val="00F03804"/>
    <w:rsid w:val="00F03860"/>
    <w:rsid w:val="00F0397C"/>
    <w:rsid w:val="00F03A49"/>
    <w:rsid w:val="00F03CD0"/>
    <w:rsid w:val="00F045C0"/>
    <w:rsid w:val="00F04710"/>
    <w:rsid w:val="00F04C5E"/>
    <w:rsid w:val="00F04CCC"/>
    <w:rsid w:val="00F051A3"/>
    <w:rsid w:val="00F05470"/>
    <w:rsid w:val="00F0550A"/>
    <w:rsid w:val="00F05653"/>
    <w:rsid w:val="00F05702"/>
    <w:rsid w:val="00F057B3"/>
    <w:rsid w:val="00F05853"/>
    <w:rsid w:val="00F0594D"/>
    <w:rsid w:val="00F05A76"/>
    <w:rsid w:val="00F05AD0"/>
    <w:rsid w:val="00F05D6C"/>
    <w:rsid w:val="00F05F61"/>
    <w:rsid w:val="00F05FFC"/>
    <w:rsid w:val="00F070DA"/>
    <w:rsid w:val="00F07243"/>
    <w:rsid w:val="00F0729E"/>
    <w:rsid w:val="00F07304"/>
    <w:rsid w:val="00F074C1"/>
    <w:rsid w:val="00F076A0"/>
    <w:rsid w:val="00F0785C"/>
    <w:rsid w:val="00F07A08"/>
    <w:rsid w:val="00F07ACA"/>
    <w:rsid w:val="00F07B5F"/>
    <w:rsid w:val="00F07C02"/>
    <w:rsid w:val="00F10310"/>
    <w:rsid w:val="00F10589"/>
    <w:rsid w:val="00F10631"/>
    <w:rsid w:val="00F106DF"/>
    <w:rsid w:val="00F106F7"/>
    <w:rsid w:val="00F10A78"/>
    <w:rsid w:val="00F10AD1"/>
    <w:rsid w:val="00F10ADB"/>
    <w:rsid w:val="00F10E98"/>
    <w:rsid w:val="00F1101C"/>
    <w:rsid w:val="00F1103A"/>
    <w:rsid w:val="00F1141E"/>
    <w:rsid w:val="00F11838"/>
    <w:rsid w:val="00F11988"/>
    <w:rsid w:val="00F11BF8"/>
    <w:rsid w:val="00F11E1D"/>
    <w:rsid w:val="00F12180"/>
    <w:rsid w:val="00F124CA"/>
    <w:rsid w:val="00F12912"/>
    <w:rsid w:val="00F12CCE"/>
    <w:rsid w:val="00F12CFF"/>
    <w:rsid w:val="00F12D05"/>
    <w:rsid w:val="00F1302C"/>
    <w:rsid w:val="00F13109"/>
    <w:rsid w:val="00F13554"/>
    <w:rsid w:val="00F137D7"/>
    <w:rsid w:val="00F1386B"/>
    <w:rsid w:val="00F1398A"/>
    <w:rsid w:val="00F13A16"/>
    <w:rsid w:val="00F13B9D"/>
    <w:rsid w:val="00F13E09"/>
    <w:rsid w:val="00F140AB"/>
    <w:rsid w:val="00F142AF"/>
    <w:rsid w:val="00F1431C"/>
    <w:rsid w:val="00F14649"/>
    <w:rsid w:val="00F147AE"/>
    <w:rsid w:val="00F149CB"/>
    <w:rsid w:val="00F14B3F"/>
    <w:rsid w:val="00F14C65"/>
    <w:rsid w:val="00F14E68"/>
    <w:rsid w:val="00F14FFE"/>
    <w:rsid w:val="00F15139"/>
    <w:rsid w:val="00F1527D"/>
    <w:rsid w:val="00F152A8"/>
    <w:rsid w:val="00F15686"/>
    <w:rsid w:val="00F1570E"/>
    <w:rsid w:val="00F15803"/>
    <w:rsid w:val="00F15CAB"/>
    <w:rsid w:val="00F164DD"/>
    <w:rsid w:val="00F168E6"/>
    <w:rsid w:val="00F16C91"/>
    <w:rsid w:val="00F16EC6"/>
    <w:rsid w:val="00F1753B"/>
    <w:rsid w:val="00F1790A"/>
    <w:rsid w:val="00F17D2C"/>
    <w:rsid w:val="00F17E55"/>
    <w:rsid w:val="00F17FCF"/>
    <w:rsid w:val="00F17FF7"/>
    <w:rsid w:val="00F20144"/>
    <w:rsid w:val="00F2057C"/>
    <w:rsid w:val="00F20CB3"/>
    <w:rsid w:val="00F20F9F"/>
    <w:rsid w:val="00F20FA3"/>
    <w:rsid w:val="00F210B6"/>
    <w:rsid w:val="00F211D7"/>
    <w:rsid w:val="00F212EE"/>
    <w:rsid w:val="00F21639"/>
    <w:rsid w:val="00F21766"/>
    <w:rsid w:val="00F2180B"/>
    <w:rsid w:val="00F219C3"/>
    <w:rsid w:val="00F21B39"/>
    <w:rsid w:val="00F21BD6"/>
    <w:rsid w:val="00F21D7B"/>
    <w:rsid w:val="00F21F4B"/>
    <w:rsid w:val="00F2215C"/>
    <w:rsid w:val="00F2221E"/>
    <w:rsid w:val="00F2256B"/>
    <w:rsid w:val="00F2276F"/>
    <w:rsid w:val="00F227A5"/>
    <w:rsid w:val="00F229B9"/>
    <w:rsid w:val="00F22B11"/>
    <w:rsid w:val="00F22B6F"/>
    <w:rsid w:val="00F22BD2"/>
    <w:rsid w:val="00F22E2C"/>
    <w:rsid w:val="00F22EAF"/>
    <w:rsid w:val="00F2326C"/>
    <w:rsid w:val="00F23468"/>
    <w:rsid w:val="00F23CD6"/>
    <w:rsid w:val="00F23EF1"/>
    <w:rsid w:val="00F23F47"/>
    <w:rsid w:val="00F243A6"/>
    <w:rsid w:val="00F243DA"/>
    <w:rsid w:val="00F24667"/>
    <w:rsid w:val="00F247F0"/>
    <w:rsid w:val="00F2481F"/>
    <w:rsid w:val="00F249F4"/>
    <w:rsid w:val="00F24A39"/>
    <w:rsid w:val="00F24BFD"/>
    <w:rsid w:val="00F24E8C"/>
    <w:rsid w:val="00F2513B"/>
    <w:rsid w:val="00F257A1"/>
    <w:rsid w:val="00F257AD"/>
    <w:rsid w:val="00F2588B"/>
    <w:rsid w:val="00F259B5"/>
    <w:rsid w:val="00F25C04"/>
    <w:rsid w:val="00F25D4E"/>
    <w:rsid w:val="00F25E76"/>
    <w:rsid w:val="00F25EA7"/>
    <w:rsid w:val="00F26140"/>
    <w:rsid w:val="00F26157"/>
    <w:rsid w:val="00F261A3"/>
    <w:rsid w:val="00F26284"/>
    <w:rsid w:val="00F26461"/>
    <w:rsid w:val="00F26731"/>
    <w:rsid w:val="00F2676F"/>
    <w:rsid w:val="00F2692F"/>
    <w:rsid w:val="00F26AFB"/>
    <w:rsid w:val="00F26EC3"/>
    <w:rsid w:val="00F26F1F"/>
    <w:rsid w:val="00F27359"/>
    <w:rsid w:val="00F274D6"/>
    <w:rsid w:val="00F274DF"/>
    <w:rsid w:val="00F275A9"/>
    <w:rsid w:val="00F2796E"/>
    <w:rsid w:val="00F27987"/>
    <w:rsid w:val="00F2799D"/>
    <w:rsid w:val="00F279A4"/>
    <w:rsid w:val="00F27A2A"/>
    <w:rsid w:val="00F27D29"/>
    <w:rsid w:val="00F27ED5"/>
    <w:rsid w:val="00F27EFE"/>
    <w:rsid w:val="00F27F18"/>
    <w:rsid w:val="00F30167"/>
    <w:rsid w:val="00F30238"/>
    <w:rsid w:val="00F309F1"/>
    <w:rsid w:val="00F30A5C"/>
    <w:rsid w:val="00F30BCA"/>
    <w:rsid w:val="00F30C87"/>
    <w:rsid w:val="00F30E3F"/>
    <w:rsid w:val="00F3105B"/>
    <w:rsid w:val="00F31162"/>
    <w:rsid w:val="00F3146A"/>
    <w:rsid w:val="00F31E56"/>
    <w:rsid w:val="00F31E98"/>
    <w:rsid w:val="00F31EEB"/>
    <w:rsid w:val="00F31F36"/>
    <w:rsid w:val="00F324E1"/>
    <w:rsid w:val="00F325F9"/>
    <w:rsid w:val="00F32DF8"/>
    <w:rsid w:val="00F32E1B"/>
    <w:rsid w:val="00F32EEC"/>
    <w:rsid w:val="00F334CE"/>
    <w:rsid w:val="00F3380C"/>
    <w:rsid w:val="00F33811"/>
    <w:rsid w:val="00F33A1F"/>
    <w:rsid w:val="00F33AD3"/>
    <w:rsid w:val="00F34020"/>
    <w:rsid w:val="00F3404D"/>
    <w:rsid w:val="00F34070"/>
    <w:rsid w:val="00F342CC"/>
    <w:rsid w:val="00F3430D"/>
    <w:rsid w:val="00F346C8"/>
    <w:rsid w:val="00F34AE1"/>
    <w:rsid w:val="00F34C3D"/>
    <w:rsid w:val="00F34E17"/>
    <w:rsid w:val="00F34F44"/>
    <w:rsid w:val="00F3537F"/>
    <w:rsid w:val="00F357B0"/>
    <w:rsid w:val="00F35BFC"/>
    <w:rsid w:val="00F35F7B"/>
    <w:rsid w:val="00F365B4"/>
    <w:rsid w:val="00F368CD"/>
    <w:rsid w:val="00F36C48"/>
    <w:rsid w:val="00F36D2B"/>
    <w:rsid w:val="00F371B2"/>
    <w:rsid w:val="00F37720"/>
    <w:rsid w:val="00F37AEB"/>
    <w:rsid w:val="00F37B3A"/>
    <w:rsid w:val="00F37C23"/>
    <w:rsid w:val="00F400D3"/>
    <w:rsid w:val="00F40216"/>
    <w:rsid w:val="00F40278"/>
    <w:rsid w:val="00F40332"/>
    <w:rsid w:val="00F40817"/>
    <w:rsid w:val="00F40A4B"/>
    <w:rsid w:val="00F40AFD"/>
    <w:rsid w:val="00F40D37"/>
    <w:rsid w:val="00F40E17"/>
    <w:rsid w:val="00F413EA"/>
    <w:rsid w:val="00F41470"/>
    <w:rsid w:val="00F417F8"/>
    <w:rsid w:val="00F41B63"/>
    <w:rsid w:val="00F41CE7"/>
    <w:rsid w:val="00F41E09"/>
    <w:rsid w:val="00F41E87"/>
    <w:rsid w:val="00F41ECA"/>
    <w:rsid w:val="00F41F6D"/>
    <w:rsid w:val="00F4202C"/>
    <w:rsid w:val="00F420BC"/>
    <w:rsid w:val="00F425D1"/>
    <w:rsid w:val="00F42C69"/>
    <w:rsid w:val="00F433FC"/>
    <w:rsid w:val="00F4358A"/>
    <w:rsid w:val="00F438E0"/>
    <w:rsid w:val="00F43C33"/>
    <w:rsid w:val="00F43E70"/>
    <w:rsid w:val="00F43EBD"/>
    <w:rsid w:val="00F43ED2"/>
    <w:rsid w:val="00F44199"/>
    <w:rsid w:val="00F4445F"/>
    <w:rsid w:val="00F44665"/>
    <w:rsid w:val="00F4469C"/>
    <w:rsid w:val="00F447A9"/>
    <w:rsid w:val="00F448F9"/>
    <w:rsid w:val="00F44A09"/>
    <w:rsid w:val="00F44A38"/>
    <w:rsid w:val="00F44D41"/>
    <w:rsid w:val="00F44FD1"/>
    <w:rsid w:val="00F4525C"/>
    <w:rsid w:val="00F454F4"/>
    <w:rsid w:val="00F457B8"/>
    <w:rsid w:val="00F45807"/>
    <w:rsid w:val="00F45A09"/>
    <w:rsid w:val="00F45B46"/>
    <w:rsid w:val="00F46076"/>
    <w:rsid w:val="00F4613C"/>
    <w:rsid w:val="00F46AC7"/>
    <w:rsid w:val="00F46C25"/>
    <w:rsid w:val="00F46C32"/>
    <w:rsid w:val="00F46F04"/>
    <w:rsid w:val="00F4704B"/>
    <w:rsid w:val="00F471D3"/>
    <w:rsid w:val="00F47204"/>
    <w:rsid w:val="00F472E3"/>
    <w:rsid w:val="00F47645"/>
    <w:rsid w:val="00F47A3A"/>
    <w:rsid w:val="00F47C71"/>
    <w:rsid w:val="00F47E21"/>
    <w:rsid w:val="00F50170"/>
    <w:rsid w:val="00F50497"/>
    <w:rsid w:val="00F5061F"/>
    <w:rsid w:val="00F50827"/>
    <w:rsid w:val="00F50C75"/>
    <w:rsid w:val="00F5119A"/>
    <w:rsid w:val="00F511F7"/>
    <w:rsid w:val="00F512A5"/>
    <w:rsid w:val="00F51754"/>
    <w:rsid w:val="00F51759"/>
    <w:rsid w:val="00F51D65"/>
    <w:rsid w:val="00F5222E"/>
    <w:rsid w:val="00F5271F"/>
    <w:rsid w:val="00F52B00"/>
    <w:rsid w:val="00F52F37"/>
    <w:rsid w:val="00F53336"/>
    <w:rsid w:val="00F536E0"/>
    <w:rsid w:val="00F538F0"/>
    <w:rsid w:val="00F539B0"/>
    <w:rsid w:val="00F543B4"/>
    <w:rsid w:val="00F54622"/>
    <w:rsid w:val="00F546E0"/>
    <w:rsid w:val="00F54790"/>
    <w:rsid w:val="00F548C3"/>
    <w:rsid w:val="00F548CD"/>
    <w:rsid w:val="00F54A70"/>
    <w:rsid w:val="00F55B16"/>
    <w:rsid w:val="00F55D40"/>
    <w:rsid w:val="00F56147"/>
    <w:rsid w:val="00F5633F"/>
    <w:rsid w:val="00F5643A"/>
    <w:rsid w:val="00F56B32"/>
    <w:rsid w:val="00F56B76"/>
    <w:rsid w:val="00F56CC4"/>
    <w:rsid w:val="00F571FC"/>
    <w:rsid w:val="00F57321"/>
    <w:rsid w:val="00F57471"/>
    <w:rsid w:val="00F575D6"/>
    <w:rsid w:val="00F5777F"/>
    <w:rsid w:val="00F57AA2"/>
    <w:rsid w:val="00F57E7E"/>
    <w:rsid w:val="00F600E3"/>
    <w:rsid w:val="00F602AC"/>
    <w:rsid w:val="00F604C7"/>
    <w:rsid w:val="00F60507"/>
    <w:rsid w:val="00F605B3"/>
    <w:rsid w:val="00F6065C"/>
    <w:rsid w:val="00F606B6"/>
    <w:rsid w:val="00F607A5"/>
    <w:rsid w:val="00F60839"/>
    <w:rsid w:val="00F608FD"/>
    <w:rsid w:val="00F60952"/>
    <w:rsid w:val="00F60C2F"/>
    <w:rsid w:val="00F60CA8"/>
    <w:rsid w:val="00F60E15"/>
    <w:rsid w:val="00F613EC"/>
    <w:rsid w:val="00F615E1"/>
    <w:rsid w:val="00F62143"/>
    <w:rsid w:val="00F623DB"/>
    <w:rsid w:val="00F624A2"/>
    <w:rsid w:val="00F62979"/>
    <w:rsid w:val="00F62988"/>
    <w:rsid w:val="00F629A9"/>
    <w:rsid w:val="00F62A96"/>
    <w:rsid w:val="00F62D47"/>
    <w:rsid w:val="00F62E1F"/>
    <w:rsid w:val="00F63130"/>
    <w:rsid w:val="00F6326C"/>
    <w:rsid w:val="00F63320"/>
    <w:rsid w:val="00F63391"/>
    <w:rsid w:val="00F63606"/>
    <w:rsid w:val="00F63712"/>
    <w:rsid w:val="00F637AB"/>
    <w:rsid w:val="00F63A9E"/>
    <w:rsid w:val="00F63C65"/>
    <w:rsid w:val="00F63CA8"/>
    <w:rsid w:val="00F63E51"/>
    <w:rsid w:val="00F63ED2"/>
    <w:rsid w:val="00F63F1C"/>
    <w:rsid w:val="00F63FED"/>
    <w:rsid w:val="00F64265"/>
    <w:rsid w:val="00F64439"/>
    <w:rsid w:val="00F6452E"/>
    <w:rsid w:val="00F648D4"/>
    <w:rsid w:val="00F6498C"/>
    <w:rsid w:val="00F64A30"/>
    <w:rsid w:val="00F64BE7"/>
    <w:rsid w:val="00F64D89"/>
    <w:rsid w:val="00F64D94"/>
    <w:rsid w:val="00F64E83"/>
    <w:rsid w:val="00F64EE5"/>
    <w:rsid w:val="00F64F07"/>
    <w:rsid w:val="00F64F58"/>
    <w:rsid w:val="00F651C6"/>
    <w:rsid w:val="00F652B3"/>
    <w:rsid w:val="00F652F7"/>
    <w:rsid w:val="00F657F8"/>
    <w:rsid w:val="00F65A91"/>
    <w:rsid w:val="00F65B4C"/>
    <w:rsid w:val="00F65D15"/>
    <w:rsid w:val="00F66055"/>
    <w:rsid w:val="00F661EA"/>
    <w:rsid w:val="00F66835"/>
    <w:rsid w:val="00F66BEF"/>
    <w:rsid w:val="00F6766F"/>
    <w:rsid w:val="00F677E6"/>
    <w:rsid w:val="00F67804"/>
    <w:rsid w:val="00F67894"/>
    <w:rsid w:val="00F678B8"/>
    <w:rsid w:val="00F67967"/>
    <w:rsid w:val="00F679A9"/>
    <w:rsid w:val="00F67A44"/>
    <w:rsid w:val="00F67C41"/>
    <w:rsid w:val="00F67C96"/>
    <w:rsid w:val="00F67D29"/>
    <w:rsid w:val="00F67E7C"/>
    <w:rsid w:val="00F70133"/>
    <w:rsid w:val="00F7070B"/>
    <w:rsid w:val="00F70794"/>
    <w:rsid w:val="00F70955"/>
    <w:rsid w:val="00F70B1F"/>
    <w:rsid w:val="00F70DBC"/>
    <w:rsid w:val="00F70F5B"/>
    <w:rsid w:val="00F7132D"/>
    <w:rsid w:val="00F71565"/>
    <w:rsid w:val="00F716E2"/>
    <w:rsid w:val="00F7195C"/>
    <w:rsid w:val="00F71A86"/>
    <w:rsid w:val="00F71AAB"/>
    <w:rsid w:val="00F72173"/>
    <w:rsid w:val="00F725BA"/>
    <w:rsid w:val="00F72612"/>
    <w:rsid w:val="00F72673"/>
    <w:rsid w:val="00F72723"/>
    <w:rsid w:val="00F72955"/>
    <w:rsid w:val="00F72AB4"/>
    <w:rsid w:val="00F7348A"/>
    <w:rsid w:val="00F73A91"/>
    <w:rsid w:val="00F73CEF"/>
    <w:rsid w:val="00F73DCE"/>
    <w:rsid w:val="00F73DD0"/>
    <w:rsid w:val="00F743E2"/>
    <w:rsid w:val="00F745A7"/>
    <w:rsid w:val="00F74724"/>
    <w:rsid w:val="00F7481C"/>
    <w:rsid w:val="00F74853"/>
    <w:rsid w:val="00F74C80"/>
    <w:rsid w:val="00F74F01"/>
    <w:rsid w:val="00F754FA"/>
    <w:rsid w:val="00F7572A"/>
    <w:rsid w:val="00F7584A"/>
    <w:rsid w:val="00F759F7"/>
    <w:rsid w:val="00F75B15"/>
    <w:rsid w:val="00F75BAA"/>
    <w:rsid w:val="00F75EED"/>
    <w:rsid w:val="00F75F00"/>
    <w:rsid w:val="00F7682C"/>
    <w:rsid w:val="00F76862"/>
    <w:rsid w:val="00F769E0"/>
    <w:rsid w:val="00F76B10"/>
    <w:rsid w:val="00F76C20"/>
    <w:rsid w:val="00F76CD2"/>
    <w:rsid w:val="00F76DE8"/>
    <w:rsid w:val="00F76FD6"/>
    <w:rsid w:val="00F77193"/>
    <w:rsid w:val="00F778E0"/>
    <w:rsid w:val="00F77B25"/>
    <w:rsid w:val="00F77D3C"/>
    <w:rsid w:val="00F77D3F"/>
    <w:rsid w:val="00F77ECC"/>
    <w:rsid w:val="00F8010C"/>
    <w:rsid w:val="00F801CE"/>
    <w:rsid w:val="00F806A0"/>
    <w:rsid w:val="00F8081F"/>
    <w:rsid w:val="00F80A7C"/>
    <w:rsid w:val="00F80BD8"/>
    <w:rsid w:val="00F80C00"/>
    <w:rsid w:val="00F80CFE"/>
    <w:rsid w:val="00F80D58"/>
    <w:rsid w:val="00F80D5E"/>
    <w:rsid w:val="00F80D69"/>
    <w:rsid w:val="00F80DF2"/>
    <w:rsid w:val="00F80F0C"/>
    <w:rsid w:val="00F812E4"/>
    <w:rsid w:val="00F81372"/>
    <w:rsid w:val="00F814B0"/>
    <w:rsid w:val="00F818DD"/>
    <w:rsid w:val="00F81952"/>
    <w:rsid w:val="00F819BB"/>
    <w:rsid w:val="00F81B2A"/>
    <w:rsid w:val="00F81BA3"/>
    <w:rsid w:val="00F82393"/>
    <w:rsid w:val="00F82543"/>
    <w:rsid w:val="00F82D09"/>
    <w:rsid w:val="00F82E28"/>
    <w:rsid w:val="00F82FE8"/>
    <w:rsid w:val="00F83476"/>
    <w:rsid w:val="00F836F1"/>
    <w:rsid w:val="00F83A99"/>
    <w:rsid w:val="00F83AD7"/>
    <w:rsid w:val="00F83EB7"/>
    <w:rsid w:val="00F83EC7"/>
    <w:rsid w:val="00F83F59"/>
    <w:rsid w:val="00F840A1"/>
    <w:rsid w:val="00F841E4"/>
    <w:rsid w:val="00F8435C"/>
    <w:rsid w:val="00F846E6"/>
    <w:rsid w:val="00F8480A"/>
    <w:rsid w:val="00F84A68"/>
    <w:rsid w:val="00F84D2E"/>
    <w:rsid w:val="00F84D99"/>
    <w:rsid w:val="00F84F0F"/>
    <w:rsid w:val="00F84F4D"/>
    <w:rsid w:val="00F84F7A"/>
    <w:rsid w:val="00F851F2"/>
    <w:rsid w:val="00F852D1"/>
    <w:rsid w:val="00F855B9"/>
    <w:rsid w:val="00F856FD"/>
    <w:rsid w:val="00F85A3C"/>
    <w:rsid w:val="00F85C79"/>
    <w:rsid w:val="00F85C84"/>
    <w:rsid w:val="00F85D8B"/>
    <w:rsid w:val="00F85ED4"/>
    <w:rsid w:val="00F8648D"/>
    <w:rsid w:val="00F86537"/>
    <w:rsid w:val="00F867CC"/>
    <w:rsid w:val="00F86A31"/>
    <w:rsid w:val="00F86AAD"/>
    <w:rsid w:val="00F86CF8"/>
    <w:rsid w:val="00F86D77"/>
    <w:rsid w:val="00F86E16"/>
    <w:rsid w:val="00F871AD"/>
    <w:rsid w:val="00F8723B"/>
    <w:rsid w:val="00F875C3"/>
    <w:rsid w:val="00F87865"/>
    <w:rsid w:val="00F87A9A"/>
    <w:rsid w:val="00F87B28"/>
    <w:rsid w:val="00F87CC3"/>
    <w:rsid w:val="00F87D06"/>
    <w:rsid w:val="00F87DEF"/>
    <w:rsid w:val="00F87F92"/>
    <w:rsid w:val="00F9092B"/>
    <w:rsid w:val="00F90995"/>
    <w:rsid w:val="00F90BE9"/>
    <w:rsid w:val="00F90D13"/>
    <w:rsid w:val="00F90E49"/>
    <w:rsid w:val="00F910C1"/>
    <w:rsid w:val="00F913E2"/>
    <w:rsid w:val="00F9167B"/>
    <w:rsid w:val="00F9167D"/>
    <w:rsid w:val="00F9172B"/>
    <w:rsid w:val="00F91966"/>
    <w:rsid w:val="00F9199E"/>
    <w:rsid w:val="00F91BCA"/>
    <w:rsid w:val="00F91D91"/>
    <w:rsid w:val="00F92056"/>
    <w:rsid w:val="00F92114"/>
    <w:rsid w:val="00F92118"/>
    <w:rsid w:val="00F923C1"/>
    <w:rsid w:val="00F9270A"/>
    <w:rsid w:val="00F92757"/>
    <w:rsid w:val="00F929BF"/>
    <w:rsid w:val="00F929E6"/>
    <w:rsid w:val="00F92E28"/>
    <w:rsid w:val="00F9361F"/>
    <w:rsid w:val="00F93992"/>
    <w:rsid w:val="00F93A2B"/>
    <w:rsid w:val="00F93BB0"/>
    <w:rsid w:val="00F93BF7"/>
    <w:rsid w:val="00F94153"/>
    <w:rsid w:val="00F9450C"/>
    <w:rsid w:val="00F9469A"/>
    <w:rsid w:val="00F94754"/>
    <w:rsid w:val="00F9479C"/>
    <w:rsid w:val="00F94FD0"/>
    <w:rsid w:val="00F9534C"/>
    <w:rsid w:val="00F9567F"/>
    <w:rsid w:val="00F959B1"/>
    <w:rsid w:val="00F95AA8"/>
    <w:rsid w:val="00F961CE"/>
    <w:rsid w:val="00F963C1"/>
    <w:rsid w:val="00F96639"/>
    <w:rsid w:val="00F96C62"/>
    <w:rsid w:val="00F96CEE"/>
    <w:rsid w:val="00F96D68"/>
    <w:rsid w:val="00F96D88"/>
    <w:rsid w:val="00F97661"/>
    <w:rsid w:val="00F97872"/>
    <w:rsid w:val="00F979CD"/>
    <w:rsid w:val="00F97C2E"/>
    <w:rsid w:val="00F97CBD"/>
    <w:rsid w:val="00FA006E"/>
    <w:rsid w:val="00FA0AF3"/>
    <w:rsid w:val="00FA0B71"/>
    <w:rsid w:val="00FA12EF"/>
    <w:rsid w:val="00FA1636"/>
    <w:rsid w:val="00FA17ED"/>
    <w:rsid w:val="00FA1983"/>
    <w:rsid w:val="00FA1BF5"/>
    <w:rsid w:val="00FA1DBE"/>
    <w:rsid w:val="00FA1EF4"/>
    <w:rsid w:val="00FA241B"/>
    <w:rsid w:val="00FA24A2"/>
    <w:rsid w:val="00FA2515"/>
    <w:rsid w:val="00FA2665"/>
    <w:rsid w:val="00FA2DC9"/>
    <w:rsid w:val="00FA322B"/>
    <w:rsid w:val="00FA32A5"/>
    <w:rsid w:val="00FA3852"/>
    <w:rsid w:val="00FA3A8B"/>
    <w:rsid w:val="00FA3B01"/>
    <w:rsid w:val="00FA3C1D"/>
    <w:rsid w:val="00FA3C70"/>
    <w:rsid w:val="00FA418A"/>
    <w:rsid w:val="00FA45F5"/>
    <w:rsid w:val="00FA4AA7"/>
    <w:rsid w:val="00FA4B35"/>
    <w:rsid w:val="00FA4FF2"/>
    <w:rsid w:val="00FA51E8"/>
    <w:rsid w:val="00FA5683"/>
    <w:rsid w:val="00FA5C28"/>
    <w:rsid w:val="00FA5C4B"/>
    <w:rsid w:val="00FA5E71"/>
    <w:rsid w:val="00FA6161"/>
    <w:rsid w:val="00FA6197"/>
    <w:rsid w:val="00FA65BD"/>
    <w:rsid w:val="00FA66E5"/>
    <w:rsid w:val="00FA69AA"/>
    <w:rsid w:val="00FA6A19"/>
    <w:rsid w:val="00FA6BE9"/>
    <w:rsid w:val="00FA6D28"/>
    <w:rsid w:val="00FA6EDF"/>
    <w:rsid w:val="00FA74DD"/>
    <w:rsid w:val="00FA77B1"/>
    <w:rsid w:val="00FA790A"/>
    <w:rsid w:val="00FA79DE"/>
    <w:rsid w:val="00FA7CB8"/>
    <w:rsid w:val="00FB0082"/>
    <w:rsid w:val="00FB00EC"/>
    <w:rsid w:val="00FB03EE"/>
    <w:rsid w:val="00FB08A6"/>
    <w:rsid w:val="00FB0A72"/>
    <w:rsid w:val="00FB10EA"/>
    <w:rsid w:val="00FB1296"/>
    <w:rsid w:val="00FB135A"/>
    <w:rsid w:val="00FB14C1"/>
    <w:rsid w:val="00FB1DBB"/>
    <w:rsid w:val="00FB200D"/>
    <w:rsid w:val="00FB28AB"/>
    <w:rsid w:val="00FB2D12"/>
    <w:rsid w:val="00FB2E8B"/>
    <w:rsid w:val="00FB37AD"/>
    <w:rsid w:val="00FB381C"/>
    <w:rsid w:val="00FB3877"/>
    <w:rsid w:val="00FB436A"/>
    <w:rsid w:val="00FB43A1"/>
    <w:rsid w:val="00FB43D8"/>
    <w:rsid w:val="00FB44EA"/>
    <w:rsid w:val="00FB44EC"/>
    <w:rsid w:val="00FB4616"/>
    <w:rsid w:val="00FB46E0"/>
    <w:rsid w:val="00FB489B"/>
    <w:rsid w:val="00FB4E89"/>
    <w:rsid w:val="00FB5847"/>
    <w:rsid w:val="00FB585E"/>
    <w:rsid w:val="00FB591B"/>
    <w:rsid w:val="00FB5EDB"/>
    <w:rsid w:val="00FB5EF8"/>
    <w:rsid w:val="00FB5F0F"/>
    <w:rsid w:val="00FB633F"/>
    <w:rsid w:val="00FB65B9"/>
    <w:rsid w:val="00FB6932"/>
    <w:rsid w:val="00FB69B5"/>
    <w:rsid w:val="00FB6ABF"/>
    <w:rsid w:val="00FB6E0D"/>
    <w:rsid w:val="00FB6E18"/>
    <w:rsid w:val="00FB6FD1"/>
    <w:rsid w:val="00FB70BA"/>
    <w:rsid w:val="00FB7164"/>
    <w:rsid w:val="00FB7497"/>
    <w:rsid w:val="00FB75D9"/>
    <w:rsid w:val="00FB7664"/>
    <w:rsid w:val="00FB7F16"/>
    <w:rsid w:val="00FC019B"/>
    <w:rsid w:val="00FC024B"/>
    <w:rsid w:val="00FC0A44"/>
    <w:rsid w:val="00FC0BB4"/>
    <w:rsid w:val="00FC0D28"/>
    <w:rsid w:val="00FC0E76"/>
    <w:rsid w:val="00FC1373"/>
    <w:rsid w:val="00FC1507"/>
    <w:rsid w:val="00FC1589"/>
    <w:rsid w:val="00FC1BF8"/>
    <w:rsid w:val="00FC23AE"/>
    <w:rsid w:val="00FC252B"/>
    <w:rsid w:val="00FC29F3"/>
    <w:rsid w:val="00FC2D9E"/>
    <w:rsid w:val="00FC2E43"/>
    <w:rsid w:val="00FC2FD8"/>
    <w:rsid w:val="00FC341A"/>
    <w:rsid w:val="00FC366D"/>
    <w:rsid w:val="00FC3899"/>
    <w:rsid w:val="00FC3A42"/>
    <w:rsid w:val="00FC3BBE"/>
    <w:rsid w:val="00FC426E"/>
    <w:rsid w:val="00FC450B"/>
    <w:rsid w:val="00FC481D"/>
    <w:rsid w:val="00FC490E"/>
    <w:rsid w:val="00FC4CAB"/>
    <w:rsid w:val="00FC4F01"/>
    <w:rsid w:val="00FC500A"/>
    <w:rsid w:val="00FC5505"/>
    <w:rsid w:val="00FC5814"/>
    <w:rsid w:val="00FC58A0"/>
    <w:rsid w:val="00FC5B23"/>
    <w:rsid w:val="00FC5F7D"/>
    <w:rsid w:val="00FC64C1"/>
    <w:rsid w:val="00FC66E3"/>
    <w:rsid w:val="00FC66F6"/>
    <w:rsid w:val="00FC67ED"/>
    <w:rsid w:val="00FC6C91"/>
    <w:rsid w:val="00FC6E9E"/>
    <w:rsid w:val="00FC71D7"/>
    <w:rsid w:val="00FC720C"/>
    <w:rsid w:val="00FC7298"/>
    <w:rsid w:val="00FC759A"/>
    <w:rsid w:val="00FC7A1B"/>
    <w:rsid w:val="00FC7C73"/>
    <w:rsid w:val="00FC7CFF"/>
    <w:rsid w:val="00FC7EFF"/>
    <w:rsid w:val="00FD0035"/>
    <w:rsid w:val="00FD013B"/>
    <w:rsid w:val="00FD016C"/>
    <w:rsid w:val="00FD01EE"/>
    <w:rsid w:val="00FD0A5D"/>
    <w:rsid w:val="00FD0B23"/>
    <w:rsid w:val="00FD0BFB"/>
    <w:rsid w:val="00FD1180"/>
    <w:rsid w:val="00FD1550"/>
    <w:rsid w:val="00FD165E"/>
    <w:rsid w:val="00FD1919"/>
    <w:rsid w:val="00FD19EE"/>
    <w:rsid w:val="00FD1B66"/>
    <w:rsid w:val="00FD1BC8"/>
    <w:rsid w:val="00FD1EDF"/>
    <w:rsid w:val="00FD2013"/>
    <w:rsid w:val="00FD20C9"/>
    <w:rsid w:val="00FD22B0"/>
    <w:rsid w:val="00FD2361"/>
    <w:rsid w:val="00FD24DC"/>
    <w:rsid w:val="00FD28FC"/>
    <w:rsid w:val="00FD2900"/>
    <w:rsid w:val="00FD2DAB"/>
    <w:rsid w:val="00FD3047"/>
    <w:rsid w:val="00FD365E"/>
    <w:rsid w:val="00FD3AE7"/>
    <w:rsid w:val="00FD3C89"/>
    <w:rsid w:val="00FD3F33"/>
    <w:rsid w:val="00FD444F"/>
    <w:rsid w:val="00FD4BBA"/>
    <w:rsid w:val="00FD573B"/>
    <w:rsid w:val="00FD59DF"/>
    <w:rsid w:val="00FD5ABC"/>
    <w:rsid w:val="00FD5B90"/>
    <w:rsid w:val="00FD5BB0"/>
    <w:rsid w:val="00FD5D45"/>
    <w:rsid w:val="00FD5E05"/>
    <w:rsid w:val="00FD5EEC"/>
    <w:rsid w:val="00FD5F90"/>
    <w:rsid w:val="00FD66F0"/>
    <w:rsid w:val="00FD678A"/>
    <w:rsid w:val="00FD6968"/>
    <w:rsid w:val="00FD70E2"/>
    <w:rsid w:val="00FD7294"/>
    <w:rsid w:val="00FD7464"/>
    <w:rsid w:val="00FD7803"/>
    <w:rsid w:val="00FD7AA7"/>
    <w:rsid w:val="00FD7CEA"/>
    <w:rsid w:val="00FE054B"/>
    <w:rsid w:val="00FE0684"/>
    <w:rsid w:val="00FE097D"/>
    <w:rsid w:val="00FE0DC1"/>
    <w:rsid w:val="00FE13F7"/>
    <w:rsid w:val="00FE1647"/>
    <w:rsid w:val="00FE1679"/>
    <w:rsid w:val="00FE1F10"/>
    <w:rsid w:val="00FE225A"/>
    <w:rsid w:val="00FE241B"/>
    <w:rsid w:val="00FE26A7"/>
    <w:rsid w:val="00FE27A8"/>
    <w:rsid w:val="00FE2D34"/>
    <w:rsid w:val="00FE2F61"/>
    <w:rsid w:val="00FE3269"/>
    <w:rsid w:val="00FE345D"/>
    <w:rsid w:val="00FE355E"/>
    <w:rsid w:val="00FE35D2"/>
    <w:rsid w:val="00FE3AB4"/>
    <w:rsid w:val="00FE3C8E"/>
    <w:rsid w:val="00FE3EA8"/>
    <w:rsid w:val="00FE45E3"/>
    <w:rsid w:val="00FE4ACA"/>
    <w:rsid w:val="00FE4B6D"/>
    <w:rsid w:val="00FE4E58"/>
    <w:rsid w:val="00FE4E62"/>
    <w:rsid w:val="00FE4F14"/>
    <w:rsid w:val="00FE4F18"/>
    <w:rsid w:val="00FE527B"/>
    <w:rsid w:val="00FE540D"/>
    <w:rsid w:val="00FE5CE5"/>
    <w:rsid w:val="00FE5D50"/>
    <w:rsid w:val="00FE5DC5"/>
    <w:rsid w:val="00FE5FF2"/>
    <w:rsid w:val="00FE6BB6"/>
    <w:rsid w:val="00FE6C1D"/>
    <w:rsid w:val="00FE6E30"/>
    <w:rsid w:val="00FE6EE9"/>
    <w:rsid w:val="00FE722C"/>
    <w:rsid w:val="00FE729F"/>
    <w:rsid w:val="00FE759C"/>
    <w:rsid w:val="00FE789F"/>
    <w:rsid w:val="00FE7985"/>
    <w:rsid w:val="00FE7B72"/>
    <w:rsid w:val="00FE7D33"/>
    <w:rsid w:val="00FF0369"/>
    <w:rsid w:val="00FF0523"/>
    <w:rsid w:val="00FF06CA"/>
    <w:rsid w:val="00FF07F0"/>
    <w:rsid w:val="00FF0D5E"/>
    <w:rsid w:val="00FF0D83"/>
    <w:rsid w:val="00FF0EAA"/>
    <w:rsid w:val="00FF0FED"/>
    <w:rsid w:val="00FF1169"/>
    <w:rsid w:val="00FF12EA"/>
    <w:rsid w:val="00FF140B"/>
    <w:rsid w:val="00FF1830"/>
    <w:rsid w:val="00FF1D42"/>
    <w:rsid w:val="00FF230A"/>
    <w:rsid w:val="00FF255A"/>
    <w:rsid w:val="00FF2841"/>
    <w:rsid w:val="00FF2A0E"/>
    <w:rsid w:val="00FF2DB4"/>
    <w:rsid w:val="00FF3241"/>
    <w:rsid w:val="00FF33E5"/>
    <w:rsid w:val="00FF3694"/>
    <w:rsid w:val="00FF3CBC"/>
    <w:rsid w:val="00FF3E6E"/>
    <w:rsid w:val="00FF41AD"/>
    <w:rsid w:val="00FF4431"/>
    <w:rsid w:val="00FF473F"/>
    <w:rsid w:val="00FF48CE"/>
    <w:rsid w:val="00FF4DDA"/>
    <w:rsid w:val="00FF5D3E"/>
    <w:rsid w:val="00FF5E1A"/>
    <w:rsid w:val="00FF5EBA"/>
    <w:rsid w:val="00FF6292"/>
    <w:rsid w:val="00FF648A"/>
    <w:rsid w:val="00FF6515"/>
    <w:rsid w:val="00FF6B6F"/>
    <w:rsid w:val="00FF6BBD"/>
    <w:rsid w:val="00FF6EBD"/>
    <w:rsid w:val="00FF72D8"/>
    <w:rsid w:val="00FF735D"/>
    <w:rsid w:val="00FF73C8"/>
    <w:rsid w:val="00FF74E9"/>
    <w:rsid w:val="00FF75A2"/>
    <w:rsid w:val="00FF76EB"/>
    <w:rsid w:val="00FF7E6E"/>
    <w:rsid w:val="68C55C2E"/>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BEEC64"/>
  <w15:docId w15:val="{48A2E359-7B7D-4194-8DF4-2C443A7D5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76F51"/>
    <w:pPr>
      <w:widowControl w:val="0"/>
      <w:suppressAutoHyphens/>
      <w:spacing w:after="360" w:line="264" w:lineRule="auto"/>
    </w:pPr>
    <w:rPr>
      <w:rFonts w:asciiTheme="majorHAnsi" w:hAnsiTheme="majorHAnsi" w:cs="Calibri"/>
      <w:sz w:val="22"/>
      <w:szCs w:val="22"/>
    </w:rPr>
  </w:style>
  <w:style w:type="paragraph" w:styleId="Heading1">
    <w:name w:val="heading 1"/>
    <w:basedOn w:val="Normal"/>
    <w:next w:val="Normal"/>
    <w:link w:val="Heading1Char"/>
    <w:autoRedefine/>
    <w:uiPriority w:val="9"/>
    <w:qFormat/>
    <w:rsid w:val="00C10CBE"/>
    <w:pPr>
      <w:keepNext/>
      <w:keepLines/>
      <w:spacing w:before="480"/>
      <w:outlineLvl w:val="0"/>
    </w:pPr>
    <w:rPr>
      <w:bCs/>
      <w:color w:val="365F91"/>
      <w:sz w:val="32"/>
    </w:rPr>
  </w:style>
  <w:style w:type="paragraph" w:styleId="Heading2">
    <w:name w:val="heading 2"/>
    <w:basedOn w:val="Normal"/>
    <w:next w:val="Normal"/>
    <w:link w:val="Heading2Char"/>
    <w:autoRedefine/>
    <w:uiPriority w:val="99"/>
    <w:qFormat/>
    <w:rsid w:val="00A94167"/>
    <w:pPr>
      <w:keepNext/>
      <w:keepLines/>
      <w:spacing w:before="480" w:after="240" w:line="240" w:lineRule="auto"/>
      <w:outlineLvl w:val="1"/>
    </w:pPr>
    <w:rPr>
      <w:b/>
      <w:bCs/>
      <w:color w:val="4F81BD"/>
      <w:sz w:val="28"/>
      <w:szCs w:val="26"/>
    </w:rPr>
  </w:style>
  <w:style w:type="paragraph" w:styleId="Heading3">
    <w:name w:val="heading 3"/>
    <w:aliases w:val="Heading 3 not indexed"/>
    <w:basedOn w:val="Heading2notindexed"/>
    <w:next w:val="Normal"/>
    <w:link w:val="Heading3Char"/>
    <w:uiPriority w:val="99"/>
    <w:qFormat/>
    <w:rsid w:val="007C72C0"/>
    <w:pPr>
      <w:spacing w:before="200" w:after="0"/>
      <w:outlineLvl w:val="2"/>
    </w:pPr>
    <w:rPr>
      <w:color w:val="1F497D" w:themeColor="text2"/>
      <w:sz w:val="24"/>
    </w:rPr>
  </w:style>
  <w:style w:type="paragraph" w:styleId="Heading4">
    <w:name w:val="heading 4"/>
    <w:basedOn w:val="Normal"/>
    <w:next w:val="Normal"/>
    <w:link w:val="Heading4Char"/>
    <w:uiPriority w:val="99"/>
    <w:qFormat/>
    <w:rsid w:val="003E6F94"/>
    <w:pPr>
      <w:keepNext/>
      <w:keepLines/>
      <w:tabs>
        <w:tab w:val="num" w:pos="0"/>
      </w:tabs>
      <w:spacing w:before="200" w:after="0"/>
      <w:outlineLvl w:val="3"/>
    </w:pPr>
    <w:rPr>
      <w:rFonts w:ascii="Cambria" w:hAnsi="Cambria" w:cs="Times New Roman"/>
      <w:b/>
      <w:bCs/>
      <w:i/>
      <w:iCs/>
      <w:color w:val="4F81BD"/>
    </w:rPr>
  </w:style>
  <w:style w:type="paragraph" w:styleId="Heading5">
    <w:name w:val="heading 5"/>
    <w:basedOn w:val="Normal"/>
    <w:next w:val="Normal"/>
    <w:link w:val="Heading5Char"/>
    <w:uiPriority w:val="99"/>
    <w:qFormat/>
    <w:rsid w:val="003E6F94"/>
    <w:pPr>
      <w:keepNext/>
      <w:keepLines/>
      <w:tabs>
        <w:tab w:val="num" w:pos="0"/>
      </w:tabs>
      <w:spacing w:before="200" w:after="0"/>
      <w:outlineLvl w:val="4"/>
    </w:pPr>
    <w:rPr>
      <w:rFonts w:ascii="Cambria" w:hAnsi="Cambria" w:cs="Times New Roman"/>
      <w:color w:val="243F60"/>
    </w:rPr>
  </w:style>
  <w:style w:type="paragraph" w:styleId="Heading6">
    <w:name w:val="heading 6"/>
    <w:basedOn w:val="Normal"/>
    <w:next w:val="Normal"/>
    <w:link w:val="Heading6Char"/>
    <w:uiPriority w:val="99"/>
    <w:qFormat/>
    <w:rsid w:val="003E6F94"/>
    <w:pPr>
      <w:keepNext/>
      <w:keepLines/>
      <w:tabs>
        <w:tab w:val="num" w:pos="0"/>
      </w:tabs>
      <w:spacing w:before="200" w:after="0"/>
      <w:outlineLvl w:val="5"/>
    </w:pPr>
    <w:rPr>
      <w:rFonts w:ascii="Cambria" w:hAnsi="Cambria" w:cs="Times New Roman"/>
      <w:i/>
      <w:iCs/>
      <w:color w:val="243F60"/>
    </w:rPr>
  </w:style>
  <w:style w:type="paragraph" w:styleId="Heading7">
    <w:name w:val="heading 7"/>
    <w:basedOn w:val="Normal"/>
    <w:next w:val="Normal"/>
    <w:link w:val="Heading7Char"/>
    <w:uiPriority w:val="99"/>
    <w:qFormat/>
    <w:rsid w:val="003E6F94"/>
    <w:pPr>
      <w:keepNext/>
      <w:keepLines/>
      <w:tabs>
        <w:tab w:val="num" w:pos="0"/>
      </w:tabs>
      <w:spacing w:before="200" w:after="0"/>
      <w:outlineLvl w:val="6"/>
    </w:pPr>
    <w:rPr>
      <w:rFonts w:ascii="Cambria" w:hAnsi="Cambria" w:cs="Times New Roman"/>
      <w:i/>
      <w:iCs/>
      <w:color w:val="404040"/>
    </w:rPr>
  </w:style>
  <w:style w:type="paragraph" w:styleId="Heading8">
    <w:name w:val="heading 8"/>
    <w:basedOn w:val="Normal"/>
    <w:next w:val="Normal"/>
    <w:link w:val="Heading8Char"/>
    <w:uiPriority w:val="99"/>
    <w:qFormat/>
    <w:rsid w:val="003E6F94"/>
    <w:pPr>
      <w:keepNext/>
      <w:keepLines/>
      <w:tabs>
        <w:tab w:val="num" w:pos="0"/>
      </w:tabs>
      <w:spacing w:before="200" w:after="0"/>
      <w:outlineLvl w:val="7"/>
    </w:pPr>
    <w:rPr>
      <w:rFonts w:ascii="Cambria" w:hAnsi="Cambria" w:cs="Times New Roman"/>
      <w:color w:val="4F81BD"/>
      <w:sz w:val="20"/>
      <w:szCs w:val="20"/>
    </w:rPr>
  </w:style>
  <w:style w:type="paragraph" w:styleId="Heading9">
    <w:name w:val="heading 9"/>
    <w:basedOn w:val="Normal"/>
    <w:next w:val="Normal"/>
    <w:link w:val="Heading9Char"/>
    <w:uiPriority w:val="99"/>
    <w:qFormat/>
    <w:rsid w:val="003E6F94"/>
    <w:pPr>
      <w:keepNext/>
      <w:keepLines/>
      <w:tabs>
        <w:tab w:val="num" w:pos="0"/>
      </w:tabs>
      <w:spacing w:before="200" w:after="0"/>
      <w:outlineLvl w:val="8"/>
    </w:pPr>
    <w:rPr>
      <w:rFonts w:ascii="Cambria"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1"/>
    <w:link w:val="Heading1"/>
    <w:uiPriority w:val="9"/>
    <w:rsid w:val="00C10CBE"/>
    <w:rPr>
      <w:rFonts w:asciiTheme="majorHAnsi" w:hAnsiTheme="majorHAnsi" w:cs="Calibri"/>
      <w:bCs/>
      <w:color w:val="365F91"/>
      <w:sz w:val="32"/>
      <w:szCs w:val="22"/>
    </w:rPr>
  </w:style>
  <w:style w:type="character" w:customStyle="1" w:styleId="Heading2Char">
    <w:name w:val="Heading 2 Char"/>
    <w:basedOn w:val="DefaultParagraphFont1"/>
    <w:link w:val="Heading2"/>
    <w:uiPriority w:val="99"/>
    <w:rsid w:val="00A94167"/>
    <w:rPr>
      <w:rFonts w:asciiTheme="majorHAnsi" w:hAnsiTheme="majorHAnsi" w:cs="Calibri"/>
      <w:b/>
      <w:bCs/>
      <w:color w:val="4F81BD"/>
      <w:sz w:val="28"/>
      <w:szCs w:val="26"/>
    </w:rPr>
  </w:style>
  <w:style w:type="character" w:customStyle="1" w:styleId="Heading3Char">
    <w:name w:val="Heading 3 Char"/>
    <w:aliases w:val="Heading 3 not indexed Char"/>
    <w:basedOn w:val="DefaultParagraphFont1"/>
    <w:link w:val="Heading3"/>
    <w:uiPriority w:val="99"/>
    <w:rsid w:val="007C72C0"/>
    <w:rPr>
      <w:rFonts w:asciiTheme="majorHAnsi" w:hAnsiTheme="majorHAnsi" w:cs="Calibri"/>
      <w:b/>
      <w:bCs/>
      <w:color w:val="1F497D" w:themeColor="text2"/>
      <w:sz w:val="24"/>
      <w:szCs w:val="26"/>
    </w:rPr>
  </w:style>
  <w:style w:type="character" w:customStyle="1" w:styleId="Heading4Char">
    <w:name w:val="Heading 4 Char"/>
    <w:basedOn w:val="DefaultParagraphFont1"/>
    <w:link w:val="Heading4"/>
    <w:uiPriority w:val="99"/>
    <w:rsid w:val="003E6F94"/>
    <w:rPr>
      <w:rFonts w:ascii="Cambria" w:hAnsi="Cambria" w:cs="Times New Roman"/>
      <w:b/>
      <w:bCs/>
      <w:i/>
      <w:iCs/>
      <w:color w:val="4F81BD"/>
      <w:sz w:val="22"/>
      <w:lang w:eastAsia="en-US"/>
    </w:rPr>
  </w:style>
  <w:style w:type="character" w:customStyle="1" w:styleId="Heading5Char">
    <w:name w:val="Heading 5 Char"/>
    <w:basedOn w:val="DefaultParagraphFont1"/>
    <w:link w:val="Heading5"/>
    <w:uiPriority w:val="99"/>
    <w:rsid w:val="003E6F94"/>
    <w:rPr>
      <w:rFonts w:ascii="Cambria" w:hAnsi="Cambria" w:cs="Times New Roman"/>
      <w:color w:val="243F60"/>
      <w:sz w:val="22"/>
      <w:lang w:eastAsia="en-US"/>
    </w:rPr>
  </w:style>
  <w:style w:type="character" w:customStyle="1" w:styleId="Heading6Char">
    <w:name w:val="Heading 6 Char"/>
    <w:basedOn w:val="DefaultParagraphFont1"/>
    <w:link w:val="Heading6"/>
    <w:uiPriority w:val="99"/>
    <w:rsid w:val="003E6F94"/>
    <w:rPr>
      <w:rFonts w:ascii="Cambria" w:hAnsi="Cambria" w:cs="Times New Roman"/>
      <w:i/>
      <w:iCs/>
      <w:color w:val="243F60"/>
      <w:sz w:val="22"/>
      <w:lang w:eastAsia="en-US"/>
    </w:rPr>
  </w:style>
  <w:style w:type="character" w:customStyle="1" w:styleId="Heading7Char">
    <w:name w:val="Heading 7 Char"/>
    <w:basedOn w:val="DefaultParagraphFont1"/>
    <w:link w:val="Heading7"/>
    <w:uiPriority w:val="99"/>
    <w:rsid w:val="003E6F94"/>
    <w:rPr>
      <w:rFonts w:ascii="Cambria" w:hAnsi="Cambria" w:cs="Times New Roman"/>
      <w:i/>
      <w:iCs/>
      <w:color w:val="404040"/>
      <w:sz w:val="22"/>
      <w:lang w:eastAsia="en-US"/>
    </w:rPr>
  </w:style>
  <w:style w:type="character" w:customStyle="1" w:styleId="Heading8Char">
    <w:name w:val="Heading 8 Char"/>
    <w:basedOn w:val="DefaultParagraphFont1"/>
    <w:link w:val="Heading8"/>
    <w:uiPriority w:val="99"/>
    <w:rsid w:val="003E6F94"/>
    <w:rPr>
      <w:rFonts w:ascii="Cambria" w:hAnsi="Cambria" w:cs="Times New Roman"/>
      <w:color w:val="4F81BD"/>
      <w:lang w:eastAsia="en-US"/>
    </w:rPr>
  </w:style>
  <w:style w:type="character" w:customStyle="1" w:styleId="Heading9Char">
    <w:name w:val="Heading 9 Char"/>
    <w:basedOn w:val="DefaultParagraphFont1"/>
    <w:link w:val="Heading9"/>
    <w:uiPriority w:val="99"/>
    <w:rsid w:val="003E6F94"/>
    <w:rPr>
      <w:rFonts w:ascii="Cambria" w:hAnsi="Cambria" w:cs="Times New Roman"/>
      <w:i/>
      <w:iCs/>
      <w:color w:val="404040"/>
      <w:lang w:eastAsia="en-US"/>
    </w:rPr>
  </w:style>
  <w:style w:type="character" w:customStyle="1" w:styleId="WW8Num2z0">
    <w:name w:val="WW8Num2z0"/>
    <w:uiPriority w:val="99"/>
    <w:rsid w:val="003E6F94"/>
    <w:rPr>
      <w:rFonts w:ascii="Symbol" w:hAnsi="Symbol"/>
    </w:rPr>
  </w:style>
  <w:style w:type="character" w:customStyle="1" w:styleId="WW8Num2z1">
    <w:name w:val="WW8Num2z1"/>
    <w:uiPriority w:val="99"/>
    <w:rsid w:val="003E6F94"/>
    <w:rPr>
      <w:rFonts w:ascii="Courier New" w:hAnsi="Courier New"/>
    </w:rPr>
  </w:style>
  <w:style w:type="character" w:customStyle="1" w:styleId="WW8Num2z2">
    <w:name w:val="WW8Num2z2"/>
    <w:uiPriority w:val="99"/>
    <w:rsid w:val="003E6F94"/>
    <w:rPr>
      <w:rFonts w:ascii="Wingdings" w:hAnsi="Wingdings"/>
    </w:rPr>
  </w:style>
  <w:style w:type="character" w:customStyle="1" w:styleId="WW8Num3z0">
    <w:name w:val="WW8Num3z0"/>
    <w:uiPriority w:val="99"/>
    <w:rsid w:val="003E6F94"/>
    <w:rPr>
      <w:rFonts w:ascii="Symbol" w:hAnsi="Symbol"/>
    </w:rPr>
  </w:style>
  <w:style w:type="character" w:customStyle="1" w:styleId="WW8Num3z1">
    <w:name w:val="WW8Num3z1"/>
    <w:uiPriority w:val="99"/>
    <w:rsid w:val="003E6F94"/>
    <w:rPr>
      <w:rFonts w:ascii="Courier New" w:hAnsi="Courier New"/>
    </w:rPr>
  </w:style>
  <w:style w:type="character" w:customStyle="1" w:styleId="WW8Num3z2">
    <w:name w:val="WW8Num3z2"/>
    <w:uiPriority w:val="99"/>
    <w:rsid w:val="003E6F94"/>
    <w:rPr>
      <w:rFonts w:ascii="Wingdings" w:hAnsi="Wingdings"/>
    </w:rPr>
  </w:style>
  <w:style w:type="character" w:customStyle="1" w:styleId="WW8Num6z0">
    <w:name w:val="WW8Num6z0"/>
    <w:uiPriority w:val="99"/>
    <w:rsid w:val="003E6F94"/>
    <w:rPr>
      <w:rFonts w:ascii="Symbol" w:hAnsi="Symbol"/>
    </w:rPr>
  </w:style>
  <w:style w:type="character" w:customStyle="1" w:styleId="WW8Num6z1">
    <w:name w:val="WW8Num6z1"/>
    <w:uiPriority w:val="99"/>
    <w:rsid w:val="003E6F94"/>
    <w:rPr>
      <w:rFonts w:ascii="Courier New" w:hAnsi="Courier New"/>
    </w:rPr>
  </w:style>
  <w:style w:type="character" w:customStyle="1" w:styleId="WW8Num6z2">
    <w:name w:val="WW8Num6z2"/>
    <w:uiPriority w:val="99"/>
    <w:rsid w:val="003E6F94"/>
    <w:rPr>
      <w:rFonts w:ascii="Wingdings" w:hAnsi="Wingdings"/>
    </w:rPr>
  </w:style>
  <w:style w:type="character" w:customStyle="1" w:styleId="WW8Num8z0">
    <w:name w:val="WW8Num8z0"/>
    <w:uiPriority w:val="99"/>
    <w:rsid w:val="003E6F94"/>
    <w:rPr>
      <w:rFonts w:ascii="Symbol" w:hAnsi="Symbol"/>
    </w:rPr>
  </w:style>
  <w:style w:type="character" w:customStyle="1" w:styleId="WW8Num8z1">
    <w:name w:val="WW8Num8z1"/>
    <w:uiPriority w:val="99"/>
    <w:rsid w:val="003E6F94"/>
    <w:rPr>
      <w:rFonts w:ascii="Courier New" w:hAnsi="Courier New"/>
    </w:rPr>
  </w:style>
  <w:style w:type="character" w:customStyle="1" w:styleId="WW8Num8z2">
    <w:name w:val="WW8Num8z2"/>
    <w:uiPriority w:val="99"/>
    <w:rsid w:val="003E6F94"/>
    <w:rPr>
      <w:rFonts w:ascii="Wingdings" w:hAnsi="Wingdings"/>
    </w:rPr>
  </w:style>
  <w:style w:type="character" w:customStyle="1" w:styleId="WW8Num9z0">
    <w:name w:val="WW8Num9z0"/>
    <w:uiPriority w:val="99"/>
    <w:rsid w:val="003E6F94"/>
    <w:rPr>
      <w:rFonts w:ascii="Symbol" w:hAnsi="Symbol"/>
    </w:rPr>
  </w:style>
  <w:style w:type="character" w:customStyle="1" w:styleId="WW8Num9z1">
    <w:name w:val="WW8Num9z1"/>
    <w:uiPriority w:val="99"/>
    <w:rsid w:val="003E6F94"/>
    <w:rPr>
      <w:rFonts w:ascii="Courier New" w:hAnsi="Courier New"/>
    </w:rPr>
  </w:style>
  <w:style w:type="character" w:customStyle="1" w:styleId="WW8Num9z2">
    <w:name w:val="WW8Num9z2"/>
    <w:uiPriority w:val="99"/>
    <w:rsid w:val="003E6F94"/>
    <w:rPr>
      <w:rFonts w:ascii="Wingdings" w:hAnsi="Wingdings"/>
    </w:rPr>
  </w:style>
  <w:style w:type="character" w:customStyle="1" w:styleId="WW8Num13z0">
    <w:name w:val="WW8Num13z0"/>
    <w:uiPriority w:val="99"/>
    <w:rsid w:val="003E6F94"/>
    <w:rPr>
      <w:rFonts w:ascii="Symbol" w:hAnsi="Symbol"/>
    </w:rPr>
  </w:style>
  <w:style w:type="character" w:customStyle="1" w:styleId="WW8Num13z1">
    <w:name w:val="WW8Num13z1"/>
    <w:uiPriority w:val="99"/>
    <w:rsid w:val="003E6F94"/>
    <w:rPr>
      <w:rFonts w:ascii="Courier New" w:hAnsi="Courier New"/>
    </w:rPr>
  </w:style>
  <w:style w:type="character" w:customStyle="1" w:styleId="WW8Num13z2">
    <w:name w:val="WW8Num13z2"/>
    <w:uiPriority w:val="99"/>
    <w:rsid w:val="003E6F94"/>
    <w:rPr>
      <w:rFonts w:ascii="Wingdings" w:hAnsi="Wingdings"/>
    </w:rPr>
  </w:style>
  <w:style w:type="character" w:customStyle="1" w:styleId="WW8Num14z0">
    <w:name w:val="WW8Num14z0"/>
    <w:uiPriority w:val="99"/>
    <w:rsid w:val="003E6F94"/>
    <w:rPr>
      <w:rFonts w:ascii="Symbol" w:hAnsi="Symbol"/>
    </w:rPr>
  </w:style>
  <w:style w:type="character" w:customStyle="1" w:styleId="WW8Num14z1">
    <w:name w:val="WW8Num14z1"/>
    <w:uiPriority w:val="99"/>
    <w:rsid w:val="003E6F94"/>
    <w:rPr>
      <w:rFonts w:ascii="Courier New" w:hAnsi="Courier New"/>
    </w:rPr>
  </w:style>
  <w:style w:type="character" w:customStyle="1" w:styleId="WW8Num14z2">
    <w:name w:val="WW8Num14z2"/>
    <w:uiPriority w:val="99"/>
    <w:rsid w:val="003E6F94"/>
    <w:rPr>
      <w:rFonts w:ascii="Wingdings" w:hAnsi="Wingdings"/>
    </w:rPr>
  </w:style>
  <w:style w:type="character" w:customStyle="1" w:styleId="WW8Num15z0">
    <w:name w:val="WW8Num15z0"/>
    <w:uiPriority w:val="99"/>
    <w:rsid w:val="003E6F94"/>
    <w:rPr>
      <w:rFonts w:ascii="Symbol" w:hAnsi="Symbol"/>
    </w:rPr>
  </w:style>
  <w:style w:type="character" w:customStyle="1" w:styleId="WW8Num18z0">
    <w:name w:val="WW8Num18z0"/>
    <w:uiPriority w:val="99"/>
    <w:rsid w:val="003E6F94"/>
    <w:rPr>
      <w:rFonts w:ascii="Symbol" w:hAnsi="Symbol"/>
    </w:rPr>
  </w:style>
  <w:style w:type="character" w:customStyle="1" w:styleId="WW8Num18z1">
    <w:name w:val="WW8Num18z1"/>
    <w:uiPriority w:val="99"/>
    <w:rsid w:val="003E6F94"/>
    <w:rPr>
      <w:rFonts w:ascii="Courier New" w:hAnsi="Courier New"/>
    </w:rPr>
  </w:style>
  <w:style w:type="character" w:customStyle="1" w:styleId="WW8Num18z2">
    <w:name w:val="WW8Num18z2"/>
    <w:uiPriority w:val="99"/>
    <w:rsid w:val="003E6F94"/>
    <w:rPr>
      <w:rFonts w:ascii="Wingdings" w:hAnsi="Wingdings"/>
    </w:rPr>
  </w:style>
  <w:style w:type="character" w:customStyle="1" w:styleId="WW8Num19z0">
    <w:name w:val="WW8Num19z0"/>
    <w:uiPriority w:val="99"/>
    <w:rsid w:val="003E6F94"/>
    <w:rPr>
      <w:rFonts w:ascii="Symbol" w:hAnsi="Symbol"/>
    </w:rPr>
  </w:style>
  <w:style w:type="character" w:customStyle="1" w:styleId="WW8Num19z1">
    <w:name w:val="WW8Num19z1"/>
    <w:uiPriority w:val="99"/>
    <w:rsid w:val="003E6F94"/>
    <w:rPr>
      <w:rFonts w:ascii="Courier New" w:hAnsi="Courier New"/>
    </w:rPr>
  </w:style>
  <w:style w:type="character" w:customStyle="1" w:styleId="WW8Num19z2">
    <w:name w:val="WW8Num19z2"/>
    <w:uiPriority w:val="99"/>
    <w:rsid w:val="003E6F94"/>
    <w:rPr>
      <w:rFonts w:ascii="Wingdings" w:hAnsi="Wingdings"/>
    </w:rPr>
  </w:style>
  <w:style w:type="character" w:customStyle="1" w:styleId="WW8Num21z0">
    <w:name w:val="WW8Num21z0"/>
    <w:uiPriority w:val="99"/>
    <w:rsid w:val="003E6F94"/>
    <w:rPr>
      <w:rFonts w:ascii="Symbol" w:hAnsi="Symbol"/>
    </w:rPr>
  </w:style>
  <w:style w:type="character" w:customStyle="1" w:styleId="WW8Num21z1">
    <w:name w:val="WW8Num21z1"/>
    <w:uiPriority w:val="99"/>
    <w:rsid w:val="003E6F94"/>
    <w:rPr>
      <w:rFonts w:ascii="Courier New" w:hAnsi="Courier New"/>
    </w:rPr>
  </w:style>
  <w:style w:type="character" w:customStyle="1" w:styleId="WW8Num21z2">
    <w:name w:val="WW8Num21z2"/>
    <w:uiPriority w:val="99"/>
    <w:rsid w:val="003E6F94"/>
    <w:rPr>
      <w:rFonts w:ascii="Wingdings" w:hAnsi="Wingdings"/>
    </w:rPr>
  </w:style>
  <w:style w:type="character" w:customStyle="1" w:styleId="WW8Num22z0">
    <w:name w:val="WW8Num22z0"/>
    <w:uiPriority w:val="99"/>
    <w:rsid w:val="003E6F94"/>
    <w:rPr>
      <w:rFonts w:ascii="Symbol" w:hAnsi="Symbol"/>
    </w:rPr>
  </w:style>
  <w:style w:type="character" w:customStyle="1" w:styleId="WW8Num22z1">
    <w:name w:val="WW8Num22z1"/>
    <w:uiPriority w:val="99"/>
    <w:rsid w:val="003E6F94"/>
    <w:rPr>
      <w:rFonts w:ascii="Courier New" w:hAnsi="Courier New"/>
    </w:rPr>
  </w:style>
  <w:style w:type="character" w:customStyle="1" w:styleId="WW8Num22z2">
    <w:name w:val="WW8Num22z2"/>
    <w:uiPriority w:val="99"/>
    <w:rsid w:val="003E6F94"/>
    <w:rPr>
      <w:rFonts w:ascii="Wingdings" w:hAnsi="Wingdings"/>
    </w:rPr>
  </w:style>
  <w:style w:type="character" w:customStyle="1" w:styleId="WW8Num23z0">
    <w:name w:val="WW8Num23z0"/>
    <w:uiPriority w:val="99"/>
    <w:rsid w:val="003E6F94"/>
    <w:rPr>
      <w:rFonts w:ascii="Symbol" w:hAnsi="Symbol"/>
    </w:rPr>
  </w:style>
  <w:style w:type="character" w:customStyle="1" w:styleId="WW8Num23z1">
    <w:name w:val="WW8Num23z1"/>
    <w:uiPriority w:val="99"/>
    <w:rsid w:val="003E6F94"/>
    <w:rPr>
      <w:rFonts w:ascii="Courier New" w:hAnsi="Courier New"/>
    </w:rPr>
  </w:style>
  <w:style w:type="character" w:customStyle="1" w:styleId="WW8Num23z2">
    <w:name w:val="WW8Num23z2"/>
    <w:uiPriority w:val="99"/>
    <w:rsid w:val="003E6F94"/>
    <w:rPr>
      <w:rFonts w:ascii="Wingdings" w:hAnsi="Wingdings"/>
    </w:rPr>
  </w:style>
  <w:style w:type="character" w:customStyle="1" w:styleId="WW8Num23z3">
    <w:name w:val="WW8Num23z3"/>
    <w:uiPriority w:val="99"/>
    <w:rsid w:val="003E6F94"/>
    <w:rPr>
      <w:rFonts w:ascii="Symbol" w:hAnsi="Symbol"/>
    </w:rPr>
  </w:style>
  <w:style w:type="character" w:customStyle="1" w:styleId="WW8Num24z0">
    <w:name w:val="WW8Num24z0"/>
    <w:uiPriority w:val="99"/>
    <w:rsid w:val="003E6F94"/>
    <w:rPr>
      <w:rFonts w:ascii="Symbol" w:hAnsi="Symbol"/>
    </w:rPr>
  </w:style>
  <w:style w:type="character" w:customStyle="1" w:styleId="WW8Num24z2">
    <w:name w:val="WW8Num24z2"/>
    <w:uiPriority w:val="99"/>
    <w:rsid w:val="003E6F94"/>
    <w:rPr>
      <w:rFonts w:ascii="Wingdings" w:hAnsi="Wingdings"/>
    </w:rPr>
  </w:style>
  <w:style w:type="character" w:customStyle="1" w:styleId="WW8Num24z4">
    <w:name w:val="WW8Num24z4"/>
    <w:uiPriority w:val="99"/>
    <w:rsid w:val="003E6F94"/>
    <w:rPr>
      <w:rFonts w:ascii="Courier New" w:hAnsi="Courier New"/>
    </w:rPr>
  </w:style>
  <w:style w:type="character" w:customStyle="1" w:styleId="WW8Num26z0">
    <w:name w:val="WW8Num26z0"/>
    <w:uiPriority w:val="99"/>
    <w:rsid w:val="003E6F94"/>
    <w:rPr>
      <w:rFonts w:ascii="Symbol" w:hAnsi="Symbol"/>
    </w:rPr>
  </w:style>
  <w:style w:type="character" w:customStyle="1" w:styleId="WW8Num26z1">
    <w:name w:val="WW8Num26z1"/>
    <w:uiPriority w:val="99"/>
    <w:rsid w:val="003E6F94"/>
    <w:rPr>
      <w:rFonts w:ascii="Courier New" w:hAnsi="Courier New"/>
    </w:rPr>
  </w:style>
  <w:style w:type="character" w:customStyle="1" w:styleId="WW8Num26z2">
    <w:name w:val="WW8Num26z2"/>
    <w:uiPriority w:val="99"/>
    <w:rsid w:val="003E6F94"/>
    <w:rPr>
      <w:rFonts w:ascii="Wingdings" w:hAnsi="Wingdings"/>
    </w:rPr>
  </w:style>
  <w:style w:type="character" w:customStyle="1" w:styleId="WW8Num27z0">
    <w:name w:val="WW8Num27z0"/>
    <w:uiPriority w:val="99"/>
    <w:rsid w:val="003E6F94"/>
    <w:rPr>
      <w:rFonts w:ascii="Symbol" w:hAnsi="Symbol"/>
    </w:rPr>
  </w:style>
  <w:style w:type="character" w:customStyle="1" w:styleId="WW8Num27z1">
    <w:name w:val="WW8Num27z1"/>
    <w:uiPriority w:val="99"/>
    <w:rsid w:val="003E6F94"/>
    <w:rPr>
      <w:rFonts w:ascii="Courier New" w:hAnsi="Courier New"/>
    </w:rPr>
  </w:style>
  <w:style w:type="character" w:customStyle="1" w:styleId="WW8Num27z2">
    <w:name w:val="WW8Num27z2"/>
    <w:uiPriority w:val="99"/>
    <w:rsid w:val="003E6F94"/>
    <w:rPr>
      <w:rFonts w:ascii="Wingdings" w:hAnsi="Wingdings"/>
    </w:rPr>
  </w:style>
  <w:style w:type="character" w:customStyle="1" w:styleId="DefaultParagraphFont1">
    <w:name w:val="Default Paragraph Font1"/>
    <w:uiPriority w:val="99"/>
    <w:rsid w:val="003E6F94"/>
  </w:style>
  <w:style w:type="character" w:customStyle="1" w:styleId="TitleChar">
    <w:name w:val="Title Char"/>
    <w:basedOn w:val="DefaultParagraphFont1"/>
    <w:rsid w:val="003E6F94"/>
    <w:rPr>
      <w:rFonts w:ascii="Myriad Pro SemiCond" w:hAnsi="Myriad Pro SemiCond" w:cs="Times New Roman"/>
      <w:caps/>
      <w:color w:val="17365D"/>
      <w:spacing w:val="5"/>
      <w:kern w:val="1"/>
      <w:sz w:val="52"/>
      <w:lang w:eastAsia="en-US"/>
    </w:rPr>
  </w:style>
  <w:style w:type="character" w:customStyle="1" w:styleId="SubtitleChar">
    <w:name w:val="Subtitle Char"/>
    <w:basedOn w:val="DefaultParagraphFont1"/>
    <w:uiPriority w:val="11"/>
    <w:rsid w:val="003E6F94"/>
    <w:rPr>
      <w:rFonts w:ascii="Myriad Pro SemiCond" w:hAnsi="Myriad Pro SemiCond" w:cs="Times New Roman"/>
      <w:i/>
      <w:iCs/>
      <w:color w:val="4F81BD"/>
      <w:spacing w:val="15"/>
      <w:sz w:val="24"/>
      <w:lang w:eastAsia="en-US"/>
    </w:rPr>
  </w:style>
  <w:style w:type="character" w:styleId="Strong">
    <w:name w:val="Strong"/>
    <w:basedOn w:val="DefaultParagraphFont1"/>
    <w:uiPriority w:val="99"/>
    <w:qFormat/>
    <w:rsid w:val="003E6F94"/>
    <w:rPr>
      <w:rFonts w:cs="Times New Roman"/>
      <w:b/>
      <w:bCs/>
    </w:rPr>
  </w:style>
  <w:style w:type="character" w:styleId="Emphasis">
    <w:name w:val="Emphasis"/>
    <w:basedOn w:val="DefaultParagraphFont1"/>
    <w:uiPriority w:val="20"/>
    <w:qFormat/>
    <w:rsid w:val="003E6F94"/>
    <w:rPr>
      <w:rFonts w:cs="Times New Roman"/>
      <w:i/>
      <w:iCs/>
    </w:rPr>
  </w:style>
  <w:style w:type="character" w:customStyle="1" w:styleId="QuoteChar">
    <w:name w:val="Quote Char"/>
    <w:basedOn w:val="DefaultParagraphFont1"/>
    <w:uiPriority w:val="99"/>
    <w:rsid w:val="003E6F94"/>
    <w:rPr>
      <w:rFonts w:ascii="Myriad Pro Light SemiCond" w:hAnsi="Myriad Pro Light SemiCond" w:cs="Times New Roman"/>
      <w:i/>
      <w:iCs/>
      <w:color w:val="000000"/>
      <w:sz w:val="22"/>
      <w:lang w:eastAsia="en-US"/>
    </w:rPr>
  </w:style>
  <w:style w:type="character" w:customStyle="1" w:styleId="IntenseQuoteChar">
    <w:name w:val="Intense Quote Char"/>
    <w:basedOn w:val="DefaultParagraphFont1"/>
    <w:uiPriority w:val="99"/>
    <w:rsid w:val="003E6F94"/>
    <w:rPr>
      <w:rFonts w:cs="Times New Roman"/>
      <w:b/>
      <w:bCs/>
      <w:i/>
      <w:iCs/>
      <w:color w:val="4F81BD"/>
    </w:rPr>
  </w:style>
  <w:style w:type="character" w:styleId="SubtleEmphasis">
    <w:name w:val="Subtle Emphasis"/>
    <w:uiPriority w:val="19"/>
    <w:qFormat/>
    <w:rsid w:val="00F2215C"/>
    <w:rPr>
      <w:rFonts w:ascii="Calibri" w:hAnsi="Calibri"/>
      <w:u w:val="single"/>
      <w:lang w:val="en-GB" w:eastAsia="nb-NO" w:bidi="en-US"/>
    </w:rPr>
  </w:style>
  <w:style w:type="character" w:styleId="IntenseEmphasis">
    <w:name w:val="Intense Emphasis"/>
    <w:basedOn w:val="DefaultParagraphFont1"/>
    <w:uiPriority w:val="21"/>
    <w:qFormat/>
    <w:rsid w:val="003E6F94"/>
    <w:rPr>
      <w:rFonts w:cs="Times New Roman"/>
      <w:b/>
      <w:bCs/>
      <w:i/>
      <w:iCs/>
      <w:color w:val="4F81BD"/>
    </w:rPr>
  </w:style>
  <w:style w:type="character" w:styleId="SubtleReference">
    <w:name w:val="Subtle Reference"/>
    <w:basedOn w:val="DefaultParagraphFont1"/>
    <w:uiPriority w:val="31"/>
    <w:qFormat/>
    <w:rsid w:val="003E6F94"/>
    <w:rPr>
      <w:rFonts w:cs="Times New Roman"/>
      <w:smallCaps/>
      <w:color w:val="C0504D"/>
      <w:u w:val="single"/>
    </w:rPr>
  </w:style>
  <w:style w:type="character" w:styleId="IntenseReference">
    <w:name w:val="Intense Reference"/>
    <w:basedOn w:val="DefaultParagraphFont1"/>
    <w:uiPriority w:val="32"/>
    <w:qFormat/>
    <w:rsid w:val="003E6F94"/>
    <w:rPr>
      <w:rFonts w:cs="Times New Roman"/>
      <w:b/>
      <w:bCs/>
      <w:smallCaps/>
      <w:color w:val="C0504D"/>
      <w:spacing w:val="5"/>
      <w:u w:val="single"/>
    </w:rPr>
  </w:style>
  <w:style w:type="character" w:styleId="BookTitle">
    <w:name w:val="Book Title"/>
    <w:basedOn w:val="DefaultParagraphFont1"/>
    <w:uiPriority w:val="33"/>
    <w:qFormat/>
    <w:rsid w:val="003E6F94"/>
    <w:rPr>
      <w:rFonts w:cs="Times New Roman"/>
      <w:b/>
      <w:bCs/>
      <w:smallCaps/>
      <w:spacing w:val="5"/>
    </w:rPr>
  </w:style>
  <w:style w:type="character" w:customStyle="1" w:styleId="FootnoteTextChar">
    <w:name w:val="Footnote Text Char"/>
    <w:basedOn w:val="DefaultParagraphFont1"/>
    <w:uiPriority w:val="99"/>
    <w:rsid w:val="003E6F94"/>
    <w:rPr>
      <w:rFonts w:cs="Times New Roman"/>
      <w:lang w:val="en-US" w:eastAsia="en-US"/>
    </w:rPr>
  </w:style>
  <w:style w:type="character" w:customStyle="1" w:styleId="Funotenzeichen1">
    <w:name w:val="Fußnotenzeichen1"/>
    <w:basedOn w:val="DefaultParagraphFont1"/>
    <w:uiPriority w:val="99"/>
    <w:rsid w:val="003E6F94"/>
    <w:rPr>
      <w:rFonts w:cs="Times New Roman"/>
      <w:vertAlign w:val="superscript"/>
    </w:rPr>
  </w:style>
  <w:style w:type="character" w:customStyle="1" w:styleId="NoSpacingChar">
    <w:name w:val="No Spacing Char"/>
    <w:basedOn w:val="DefaultParagraphFont1"/>
    <w:uiPriority w:val="99"/>
    <w:rsid w:val="003E6F94"/>
    <w:rPr>
      <w:rFonts w:cs="Times New Roman"/>
      <w:sz w:val="22"/>
      <w:lang w:val="en-US" w:eastAsia="en-US"/>
    </w:rPr>
  </w:style>
  <w:style w:type="character" w:customStyle="1" w:styleId="BalloonTextChar">
    <w:name w:val="Balloon Text Char"/>
    <w:basedOn w:val="DefaultParagraphFont1"/>
    <w:uiPriority w:val="99"/>
    <w:rsid w:val="003E6F94"/>
    <w:rPr>
      <w:rFonts w:ascii="Tahoma" w:hAnsi="Tahoma" w:cs="Tahoma"/>
      <w:sz w:val="16"/>
      <w:lang w:eastAsia="en-US"/>
    </w:rPr>
  </w:style>
  <w:style w:type="character" w:customStyle="1" w:styleId="CommentReference1">
    <w:name w:val="Comment Reference1"/>
    <w:basedOn w:val="DefaultParagraphFont1"/>
    <w:uiPriority w:val="99"/>
    <w:rsid w:val="003E6F94"/>
    <w:rPr>
      <w:rFonts w:cs="Times New Roman"/>
      <w:sz w:val="16"/>
    </w:rPr>
  </w:style>
  <w:style w:type="character" w:styleId="Hyperlink">
    <w:name w:val="Hyperlink"/>
    <w:basedOn w:val="DefaultParagraphFont1"/>
    <w:uiPriority w:val="99"/>
    <w:rsid w:val="003E6F94"/>
    <w:rPr>
      <w:rFonts w:cs="Times New Roman"/>
      <w:color w:val="0000FF"/>
      <w:u w:val="single"/>
    </w:rPr>
  </w:style>
  <w:style w:type="character" w:customStyle="1" w:styleId="HeaderChar">
    <w:name w:val="Header Char"/>
    <w:basedOn w:val="DefaultParagraphFont1"/>
    <w:rsid w:val="003E6F94"/>
    <w:rPr>
      <w:rFonts w:ascii="Myriad Pro SemiCond" w:hAnsi="Myriad Pro SemiCond" w:cs="Times New Roman"/>
      <w:sz w:val="22"/>
      <w:lang w:val="en-GB" w:eastAsia="en-US"/>
    </w:rPr>
  </w:style>
  <w:style w:type="character" w:customStyle="1" w:styleId="apple-style-span">
    <w:name w:val="apple-style-span"/>
    <w:basedOn w:val="DefaultParagraphFont1"/>
    <w:uiPriority w:val="99"/>
    <w:rsid w:val="003E6F94"/>
    <w:rPr>
      <w:rFonts w:cs="Times New Roman"/>
    </w:rPr>
  </w:style>
  <w:style w:type="paragraph" w:customStyle="1" w:styleId="berschrift">
    <w:name w:val="Überschrift"/>
    <w:basedOn w:val="Normal"/>
    <w:next w:val="BodyText"/>
    <w:uiPriority w:val="99"/>
    <w:rsid w:val="003E6F94"/>
    <w:pPr>
      <w:keepNext/>
      <w:spacing w:before="240"/>
    </w:pPr>
    <w:rPr>
      <w:rFonts w:ascii="Arial" w:eastAsia="MS Mincho" w:hAnsi="Arial" w:cs="Tahoma"/>
      <w:sz w:val="28"/>
      <w:szCs w:val="28"/>
    </w:rPr>
  </w:style>
  <w:style w:type="paragraph" w:styleId="BodyText">
    <w:name w:val="Body Text"/>
    <w:basedOn w:val="Normal"/>
    <w:link w:val="BodyTextChar"/>
    <w:uiPriority w:val="99"/>
    <w:rsid w:val="003E6F94"/>
  </w:style>
  <w:style w:type="character" w:customStyle="1" w:styleId="BodyTextChar">
    <w:name w:val="Body Text Char"/>
    <w:basedOn w:val="DefaultParagraphFont"/>
    <w:link w:val="BodyText"/>
    <w:uiPriority w:val="99"/>
    <w:rsid w:val="000044D8"/>
    <w:rPr>
      <w:rFonts w:ascii="Myriad Pro SemiCond" w:hAnsi="Myriad Pro SemiCond" w:cs="Calibri"/>
      <w:sz w:val="22"/>
      <w:szCs w:val="22"/>
    </w:rPr>
  </w:style>
  <w:style w:type="paragraph" w:styleId="List">
    <w:name w:val="List"/>
    <w:basedOn w:val="BodyText"/>
    <w:uiPriority w:val="99"/>
    <w:rsid w:val="003E6F94"/>
    <w:rPr>
      <w:rFonts w:cs="Tahoma"/>
    </w:rPr>
  </w:style>
  <w:style w:type="paragraph" w:customStyle="1" w:styleId="Beschriftung1">
    <w:name w:val="Beschriftung1"/>
    <w:basedOn w:val="Normal"/>
    <w:uiPriority w:val="99"/>
    <w:rsid w:val="003E6F94"/>
    <w:pPr>
      <w:suppressLineNumbers/>
      <w:spacing w:before="120"/>
    </w:pPr>
    <w:rPr>
      <w:rFonts w:cs="Tahoma"/>
      <w:i/>
      <w:iCs/>
      <w:sz w:val="24"/>
      <w:szCs w:val="24"/>
    </w:rPr>
  </w:style>
  <w:style w:type="paragraph" w:customStyle="1" w:styleId="Verzeichnis">
    <w:name w:val="Verzeichnis"/>
    <w:basedOn w:val="Normal"/>
    <w:uiPriority w:val="99"/>
    <w:rsid w:val="003E6F94"/>
    <w:pPr>
      <w:suppressLineNumbers/>
    </w:pPr>
    <w:rPr>
      <w:rFonts w:cs="Tahoma"/>
    </w:rPr>
  </w:style>
  <w:style w:type="paragraph" w:styleId="Header">
    <w:name w:val="header"/>
    <w:basedOn w:val="Normal"/>
    <w:link w:val="HeaderChar1"/>
    <w:rsid w:val="003E6F94"/>
    <w:pPr>
      <w:tabs>
        <w:tab w:val="center" w:pos="4320"/>
        <w:tab w:val="right" w:pos="8640"/>
      </w:tabs>
    </w:pPr>
  </w:style>
  <w:style w:type="character" w:customStyle="1" w:styleId="HeaderChar1">
    <w:name w:val="Header Char1"/>
    <w:basedOn w:val="DefaultParagraphFont"/>
    <w:link w:val="Header"/>
    <w:rsid w:val="000044D8"/>
    <w:rPr>
      <w:rFonts w:ascii="Myriad Pro SemiCond" w:hAnsi="Myriad Pro SemiCond" w:cs="Calibri"/>
      <w:sz w:val="22"/>
      <w:szCs w:val="22"/>
    </w:rPr>
  </w:style>
  <w:style w:type="paragraph" w:styleId="Footer">
    <w:name w:val="footer"/>
    <w:basedOn w:val="Normal"/>
    <w:link w:val="FooterChar"/>
    <w:rsid w:val="003E6F94"/>
    <w:pPr>
      <w:tabs>
        <w:tab w:val="center" w:pos="4320"/>
        <w:tab w:val="right" w:pos="8640"/>
      </w:tabs>
    </w:pPr>
  </w:style>
  <w:style w:type="character" w:customStyle="1" w:styleId="FooterChar">
    <w:name w:val="Footer Char"/>
    <w:basedOn w:val="DefaultParagraphFont"/>
    <w:link w:val="Footer"/>
    <w:rsid w:val="000044D8"/>
    <w:rPr>
      <w:rFonts w:ascii="Myriad Pro SemiCond" w:hAnsi="Myriad Pro SemiCond" w:cs="Calibri"/>
      <w:sz w:val="22"/>
      <w:szCs w:val="22"/>
    </w:rPr>
  </w:style>
  <w:style w:type="paragraph" w:customStyle="1" w:styleId="Caption1">
    <w:name w:val="Caption1"/>
    <w:basedOn w:val="Normal"/>
    <w:next w:val="Normal"/>
    <w:uiPriority w:val="99"/>
    <w:rsid w:val="003E6F94"/>
    <w:pPr>
      <w:spacing w:line="240" w:lineRule="auto"/>
    </w:pPr>
    <w:rPr>
      <w:b/>
      <w:bCs/>
      <w:color w:val="4F81BD"/>
      <w:sz w:val="18"/>
      <w:szCs w:val="18"/>
    </w:rPr>
  </w:style>
  <w:style w:type="paragraph" w:styleId="Title">
    <w:name w:val="Title"/>
    <w:basedOn w:val="Normal"/>
    <w:next w:val="Normal"/>
    <w:link w:val="TitleChar1"/>
    <w:qFormat/>
    <w:rsid w:val="003009F4"/>
    <w:pPr>
      <w:pBdr>
        <w:bottom w:val="single" w:sz="8" w:space="4" w:color="808080"/>
      </w:pBdr>
      <w:spacing w:after="300" w:line="240" w:lineRule="auto"/>
    </w:pPr>
    <w:rPr>
      <w:caps/>
      <w:color w:val="17365D"/>
      <w:spacing w:val="5"/>
      <w:kern w:val="1"/>
      <w:sz w:val="52"/>
      <w:szCs w:val="52"/>
    </w:rPr>
  </w:style>
  <w:style w:type="character" w:customStyle="1" w:styleId="TitleChar1">
    <w:name w:val="Title Char1"/>
    <w:basedOn w:val="DefaultParagraphFont"/>
    <w:link w:val="Title"/>
    <w:rsid w:val="003009F4"/>
    <w:rPr>
      <w:rFonts w:ascii="Myriad Pro SemiCond" w:hAnsi="Myriad Pro SemiCond" w:cs="Calibri"/>
      <w:caps/>
      <w:color w:val="17365D"/>
      <w:spacing w:val="5"/>
      <w:kern w:val="1"/>
      <w:sz w:val="52"/>
      <w:szCs w:val="52"/>
    </w:rPr>
  </w:style>
  <w:style w:type="paragraph" w:styleId="Subtitle">
    <w:name w:val="Subtitle"/>
    <w:basedOn w:val="Normal"/>
    <w:next w:val="Normal"/>
    <w:link w:val="SubtitleChar1"/>
    <w:uiPriority w:val="11"/>
    <w:qFormat/>
    <w:rsid w:val="003E6F94"/>
    <w:rPr>
      <w:i/>
      <w:iCs/>
      <w:color w:val="4F81BD"/>
      <w:spacing w:val="15"/>
      <w:sz w:val="24"/>
      <w:szCs w:val="24"/>
    </w:rPr>
  </w:style>
  <w:style w:type="character" w:customStyle="1" w:styleId="SubtitleChar1">
    <w:name w:val="Subtitle Char1"/>
    <w:basedOn w:val="DefaultParagraphFont"/>
    <w:link w:val="Subtitle"/>
    <w:uiPriority w:val="11"/>
    <w:rsid w:val="000044D8"/>
    <w:rPr>
      <w:rFonts w:asciiTheme="majorHAnsi" w:eastAsiaTheme="majorEastAsia" w:hAnsiTheme="majorHAnsi" w:cstheme="majorBidi"/>
      <w:sz w:val="24"/>
      <w:szCs w:val="24"/>
    </w:rPr>
  </w:style>
  <w:style w:type="paragraph" w:styleId="NoSpacing">
    <w:name w:val="No Spacing"/>
    <w:uiPriority w:val="1"/>
    <w:qFormat/>
    <w:rsid w:val="003E6F94"/>
    <w:pPr>
      <w:widowControl w:val="0"/>
      <w:suppressAutoHyphens/>
    </w:pPr>
    <w:rPr>
      <w:rFonts w:ascii="Calibri" w:hAnsi="Calibri" w:cs="Calibri"/>
      <w:sz w:val="22"/>
      <w:szCs w:val="22"/>
      <w:lang w:val="en-US"/>
    </w:rPr>
  </w:style>
  <w:style w:type="paragraph" w:styleId="ListParagraph">
    <w:name w:val="List Paragraph"/>
    <w:basedOn w:val="Normal"/>
    <w:link w:val="ListParagraphChar"/>
    <w:autoRedefine/>
    <w:uiPriority w:val="34"/>
    <w:qFormat/>
    <w:rsid w:val="00F72955"/>
    <w:pPr>
      <w:spacing w:before="120" w:after="240"/>
      <w:ind w:left="720" w:hanging="360"/>
      <w:contextualSpacing/>
    </w:pPr>
  </w:style>
  <w:style w:type="paragraph" w:styleId="Quote">
    <w:name w:val="Quote"/>
    <w:basedOn w:val="Normal"/>
    <w:next w:val="Normal"/>
    <w:link w:val="QuoteChar1"/>
    <w:uiPriority w:val="29"/>
    <w:qFormat/>
    <w:rsid w:val="003E6F94"/>
    <w:pPr>
      <w:ind w:left="720"/>
    </w:pPr>
    <w:rPr>
      <w:rFonts w:ascii="Myriad Pro Light SemiCond" w:hAnsi="Myriad Pro Light SemiCond"/>
      <w:i/>
      <w:iCs/>
      <w:color w:val="000000"/>
    </w:rPr>
  </w:style>
  <w:style w:type="character" w:customStyle="1" w:styleId="QuoteChar1">
    <w:name w:val="Quote Char1"/>
    <w:basedOn w:val="DefaultParagraphFont"/>
    <w:link w:val="Quote"/>
    <w:uiPriority w:val="29"/>
    <w:rsid w:val="000044D8"/>
    <w:rPr>
      <w:rFonts w:ascii="Myriad Pro SemiCond" w:hAnsi="Myriad Pro SemiCond" w:cs="Calibri"/>
      <w:sz w:val="22"/>
      <w:szCs w:val="22"/>
    </w:rPr>
  </w:style>
  <w:style w:type="paragraph" w:styleId="IntenseQuote">
    <w:name w:val="Intense Quote"/>
    <w:basedOn w:val="Normal"/>
    <w:next w:val="Normal"/>
    <w:link w:val="IntenseQuoteChar1"/>
    <w:uiPriority w:val="30"/>
    <w:qFormat/>
    <w:rsid w:val="003E6F94"/>
    <w:pPr>
      <w:pBdr>
        <w:bottom w:val="single" w:sz="4" w:space="4" w:color="FFFF00"/>
      </w:pBdr>
      <w:spacing w:before="200" w:after="280"/>
      <w:ind w:left="936" w:right="936"/>
    </w:pPr>
    <w:rPr>
      <w:b/>
      <w:bCs/>
      <w:i/>
      <w:iCs/>
      <w:color w:val="4F81BD"/>
    </w:rPr>
  </w:style>
  <w:style w:type="character" w:customStyle="1" w:styleId="IntenseQuoteChar1">
    <w:name w:val="Intense Quote Char1"/>
    <w:basedOn w:val="DefaultParagraphFont"/>
    <w:link w:val="IntenseQuote"/>
    <w:uiPriority w:val="30"/>
    <w:rsid w:val="000044D8"/>
    <w:rPr>
      <w:rFonts w:ascii="Myriad Pro SemiCond" w:hAnsi="Myriad Pro SemiCond" w:cs="Calibri"/>
      <w:sz w:val="22"/>
      <w:szCs w:val="22"/>
    </w:rPr>
  </w:style>
  <w:style w:type="paragraph" w:styleId="TOCHeading">
    <w:name w:val="TOC Heading"/>
    <w:basedOn w:val="Heading1"/>
    <w:next w:val="Normal"/>
    <w:autoRedefine/>
    <w:uiPriority w:val="39"/>
    <w:qFormat/>
    <w:rsid w:val="001E0622"/>
    <w:pPr>
      <w:spacing w:before="120"/>
      <w:outlineLvl w:val="9"/>
    </w:pPr>
  </w:style>
  <w:style w:type="paragraph" w:styleId="FootnoteText">
    <w:name w:val="footnote text"/>
    <w:basedOn w:val="NoSpacing"/>
    <w:link w:val="FootnoteTextChar1"/>
    <w:uiPriority w:val="99"/>
    <w:rsid w:val="00203FC3"/>
    <w:rPr>
      <w:sz w:val="20"/>
      <w:szCs w:val="20"/>
    </w:rPr>
  </w:style>
  <w:style w:type="character" w:customStyle="1" w:styleId="FootnoteTextChar1">
    <w:name w:val="Footnote Text Char1"/>
    <w:basedOn w:val="DefaultParagraphFont"/>
    <w:link w:val="FootnoteText"/>
    <w:uiPriority w:val="99"/>
    <w:rsid w:val="000C5685"/>
    <w:rPr>
      <w:rFonts w:ascii="Calibri" w:hAnsi="Calibri" w:cs="Calibri"/>
      <w:lang w:val="en-US"/>
    </w:rPr>
  </w:style>
  <w:style w:type="paragraph" w:customStyle="1" w:styleId="BalloonText1">
    <w:name w:val="Balloon Text1"/>
    <w:basedOn w:val="Normal"/>
    <w:uiPriority w:val="99"/>
    <w:rsid w:val="003E6F94"/>
    <w:pPr>
      <w:spacing w:after="0" w:line="240" w:lineRule="auto"/>
    </w:pPr>
    <w:rPr>
      <w:rFonts w:ascii="Tahoma" w:hAnsi="Tahoma" w:cs="Tahoma"/>
      <w:sz w:val="16"/>
      <w:szCs w:val="16"/>
    </w:rPr>
  </w:style>
  <w:style w:type="paragraph" w:customStyle="1" w:styleId="CommentText1">
    <w:name w:val="Comment Text1"/>
    <w:basedOn w:val="Normal"/>
    <w:uiPriority w:val="99"/>
    <w:rsid w:val="003E6F94"/>
    <w:rPr>
      <w:sz w:val="20"/>
      <w:szCs w:val="20"/>
    </w:rPr>
  </w:style>
  <w:style w:type="paragraph" w:customStyle="1" w:styleId="CommentSubject1">
    <w:name w:val="Comment Subject1"/>
    <w:basedOn w:val="CommentText1"/>
    <w:next w:val="CommentText1"/>
    <w:uiPriority w:val="99"/>
    <w:rsid w:val="003E6F94"/>
    <w:rPr>
      <w:b/>
      <w:bCs/>
    </w:rPr>
  </w:style>
  <w:style w:type="paragraph" w:customStyle="1" w:styleId="NormalWeb1">
    <w:name w:val="Normal (Web)1"/>
    <w:basedOn w:val="Normal"/>
    <w:uiPriority w:val="99"/>
    <w:rsid w:val="003E6F94"/>
    <w:pPr>
      <w:spacing w:before="280" w:after="280" w:line="240" w:lineRule="auto"/>
    </w:pPr>
    <w:rPr>
      <w:sz w:val="24"/>
      <w:szCs w:val="24"/>
      <w:lang w:val="en-US" w:eastAsia="ar-SA"/>
    </w:rPr>
  </w:style>
  <w:style w:type="paragraph" w:customStyle="1" w:styleId="listparagraph0">
    <w:name w:val="listparagraph"/>
    <w:basedOn w:val="Normal"/>
    <w:uiPriority w:val="99"/>
    <w:rsid w:val="003E6F94"/>
    <w:pPr>
      <w:spacing w:before="280" w:after="280" w:line="240" w:lineRule="auto"/>
    </w:pPr>
    <w:rPr>
      <w:sz w:val="24"/>
      <w:szCs w:val="24"/>
      <w:lang w:eastAsia="ar-SA"/>
    </w:rPr>
  </w:style>
  <w:style w:type="paragraph" w:customStyle="1" w:styleId="TabellenInhalt">
    <w:name w:val="Tabellen Inhalt"/>
    <w:basedOn w:val="Normal"/>
    <w:uiPriority w:val="99"/>
    <w:rsid w:val="003E6F94"/>
    <w:pPr>
      <w:suppressLineNumbers/>
    </w:pPr>
  </w:style>
  <w:style w:type="paragraph" w:customStyle="1" w:styleId="Tabellenberschrift">
    <w:name w:val="Tabellen Überschrift"/>
    <w:basedOn w:val="TabellenInhalt"/>
    <w:uiPriority w:val="99"/>
    <w:rsid w:val="003E6F94"/>
    <w:pPr>
      <w:jc w:val="center"/>
    </w:pPr>
    <w:rPr>
      <w:b/>
      <w:bCs/>
    </w:rPr>
  </w:style>
  <w:style w:type="paragraph" w:customStyle="1" w:styleId="Rahmeninhalt">
    <w:name w:val="Rahmeninhalt"/>
    <w:basedOn w:val="BodyText"/>
    <w:uiPriority w:val="99"/>
    <w:rsid w:val="003E6F94"/>
  </w:style>
  <w:style w:type="character" w:styleId="CommentReference">
    <w:name w:val="annotation reference"/>
    <w:basedOn w:val="DefaultParagraphFont"/>
    <w:uiPriority w:val="99"/>
    <w:semiHidden/>
    <w:rsid w:val="00AF7641"/>
    <w:rPr>
      <w:rFonts w:cs="Times New Roman"/>
      <w:sz w:val="16"/>
    </w:rPr>
  </w:style>
  <w:style w:type="paragraph" w:styleId="CommentText">
    <w:name w:val="annotation text"/>
    <w:basedOn w:val="Normal"/>
    <w:link w:val="CommentTextChar"/>
    <w:uiPriority w:val="99"/>
    <w:semiHidden/>
    <w:rsid w:val="00AF7641"/>
    <w:rPr>
      <w:sz w:val="20"/>
      <w:szCs w:val="20"/>
    </w:rPr>
  </w:style>
  <w:style w:type="character" w:customStyle="1" w:styleId="CommentTextChar">
    <w:name w:val="Comment Text Char"/>
    <w:basedOn w:val="DefaultParagraphFont"/>
    <w:link w:val="CommentText"/>
    <w:uiPriority w:val="99"/>
    <w:semiHidden/>
    <w:rsid w:val="000044D8"/>
    <w:rPr>
      <w:rFonts w:ascii="Myriad Pro SemiCond" w:hAnsi="Myriad Pro SemiCond" w:cs="Calibri"/>
      <w:sz w:val="24"/>
      <w:szCs w:val="24"/>
    </w:rPr>
  </w:style>
  <w:style w:type="paragraph" w:styleId="CommentSubject">
    <w:name w:val="annotation subject"/>
    <w:basedOn w:val="CommentText"/>
    <w:next w:val="CommentText"/>
    <w:link w:val="CommentSubjectChar"/>
    <w:uiPriority w:val="99"/>
    <w:semiHidden/>
    <w:rsid w:val="00AF7641"/>
    <w:rPr>
      <w:b/>
      <w:bCs/>
    </w:rPr>
  </w:style>
  <w:style w:type="character" w:customStyle="1" w:styleId="CommentSubjectChar">
    <w:name w:val="Comment Subject Char"/>
    <w:basedOn w:val="CommentTextChar"/>
    <w:link w:val="CommentSubject"/>
    <w:uiPriority w:val="99"/>
    <w:semiHidden/>
    <w:rsid w:val="000044D8"/>
    <w:rPr>
      <w:rFonts w:ascii="Myriad Pro SemiCond" w:hAnsi="Myriad Pro SemiCond" w:cs="Calibri"/>
      <w:b/>
      <w:bCs/>
      <w:sz w:val="24"/>
      <w:szCs w:val="24"/>
    </w:rPr>
  </w:style>
  <w:style w:type="paragraph" w:styleId="BalloonText">
    <w:name w:val="Balloon Text"/>
    <w:basedOn w:val="Normal"/>
    <w:link w:val="BalloonTextChar1"/>
    <w:uiPriority w:val="99"/>
    <w:semiHidden/>
    <w:rsid w:val="00AF7641"/>
    <w:rPr>
      <w:rFonts w:ascii="Tahoma" w:hAnsi="Tahoma" w:cs="Tahoma"/>
      <w:sz w:val="16"/>
      <w:szCs w:val="16"/>
    </w:rPr>
  </w:style>
  <w:style w:type="character" w:customStyle="1" w:styleId="BalloonTextChar1">
    <w:name w:val="Balloon Text Char1"/>
    <w:basedOn w:val="DefaultParagraphFont"/>
    <w:link w:val="BalloonText"/>
    <w:uiPriority w:val="99"/>
    <w:semiHidden/>
    <w:rsid w:val="000044D8"/>
    <w:rPr>
      <w:rFonts w:ascii="Lucida Grande" w:hAnsi="Lucida Grande" w:cs="Calibri"/>
      <w:sz w:val="18"/>
      <w:szCs w:val="18"/>
    </w:rPr>
  </w:style>
  <w:style w:type="character" w:styleId="FootnoteReference">
    <w:name w:val="footnote reference"/>
    <w:basedOn w:val="DefaultParagraphFont"/>
    <w:uiPriority w:val="99"/>
    <w:rsid w:val="00AF7641"/>
    <w:rPr>
      <w:rFonts w:cs="Times New Roman"/>
      <w:vertAlign w:val="superscript"/>
    </w:rPr>
  </w:style>
  <w:style w:type="paragraph" w:customStyle="1" w:styleId="Abbreviations">
    <w:name w:val="Abbreviations"/>
    <w:basedOn w:val="Normal"/>
    <w:link w:val="AbbreviationsChar"/>
    <w:qFormat/>
    <w:rsid w:val="00263937"/>
    <w:pPr>
      <w:spacing w:after="0"/>
    </w:pPr>
    <w:rPr>
      <w:rFonts w:ascii="Calibri" w:hAnsi="Calibri"/>
      <w:lang w:eastAsia="x-none" w:bidi="en-US"/>
    </w:rPr>
  </w:style>
  <w:style w:type="character" w:customStyle="1" w:styleId="AbbreviationsChar">
    <w:name w:val="Abbreviations Char"/>
    <w:link w:val="Abbreviations"/>
    <w:rsid w:val="00263937"/>
    <w:rPr>
      <w:rFonts w:ascii="Calibri" w:hAnsi="Calibri" w:cs="Calibri"/>
      <w:sz w:val="22"/>
      <w:szCs w:val="22"/>
      <w:lang w:eastAsia="x-none" w:bidi="en-US"/>
    </w:rPr>
  </w:style>
  <w:style w:type="character" w:customStyle="1" w:styleId="Heading1Char1">
    <w:name w:val="Heading 1 Char1"/>
    <w:uiPriority w:val="99"/>
    <w:locked/>
    <w:rsid w:val="003F2CA5"/>
    <w:rPr>
      <w:rFonts w:ascii="Myriad Pro" w:hAnsi="Myriad Pro"/>
      <w:color w:val="365F91"/>
      <w:sz w:val="28"/>
      <w:szCs w:val="28"/>
      <w:lang w:val="en-GB"/>
    </w:rPr>
  </w:style>
  <w:style w:type="character" w:customStyle="1" w:styleId="TableTitle">
    <w:name w:val="Table Title"/>
    <w:uiPriority w:val="21"/>
    <w:qFormat/>
    <w:rsid w:val="006B163E"/>
    <w:rPr>
      <w:b/>
      <w:bCs/>
      <w:i/>
      <w:iCs/>
      <w:color w:val="4F81BD"/>
    </w:rPr>
  </w:style>
  <w:style w:type="table" w:styleId="LightList-Accent1">
    <w:name w:val="Light List Accent 1"/>
    <w:basedOn w:val="TableNormal"/>
    <w:uiPriority w:val="61"/>
    <w:rsid w:val="006B163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1">
    <w:name w:val="toc 1"/>
    <w:basedOn w:val="Normal"/>
    <w:next w:val="Normal"/>
    <w:autoRedefine/>
    <w:uiPriority w:val="39"/>
    <w:unhideWhenUsed/>
    <w:qFormat/>
    <w:rsid w:val="005E25B1"/>
    <w:pPr>
      <w:tabs>
        <w:tab w:val="right" w:leader="dot" w:pos="9485"/>
      </w:tabs>
      <w:spacing w:before="120" w:after="0"/>
    </w:pPr>
    <w:rPr>
      <w:rFonts w:asciiTheme="minorHAnsi" w:hAnsiTheme="minorHAnsi"/>
      <w:b/>
      <w:bCs/>
      <w:sz w:val="24"/>
      <w:szCs w:val="24"/>
    </w:rPr>
  </w:style>
  <w:style w:type="paragraph" w:styleId="TOC2">
    <w:name w:val="toc 2"/>
    <w:basedOn w:val="Normal"/>
    <w:next w:val="Normal"/>
    <w:autoRedefine/>
    <w:uiPriority w:val="39"/>
    <w:unhideWhenUsed/>
    <w:qFormat/>
    <w:rsid w:val="000A2748"/>
    <w:pPr>
      <w:spacing w:after="0"/>
      <w:ind w:left="220"/>
    </w:pPr>
    <w:rPr>
      <w:rFonts w:asciiTheme="minorHAnsi" w:hAnsiTheme="minorHAnsi"/>
      <w:b/>
      <w:bCs/>
    </w:rPr>
  </w:style>
  <w:style w:type="paragraph" w:styleId="TOC3">
    <w:name w:val="toc 3"/>
    <w:basedOn w:val="Normal"/>
    <w:next w:val="Normal"/>
    <w:autoRedefine/>
    <w:uiPriority w:val="39"/>
    <w:unhideWhenUsed/>
    <w:qFormat/>
    <w:rsid w:val="007E1A89"/>
    <w:pPr>
      <w:spacing w:after="0"/>
      <w:ind w:left="440"/>
    </w:pPr>
    <w:rPr>
      <w:rFonts w:asciiTheme="minorHAnsi" w:hAnsiTheme="minorHAnsi"/>
    </w:rPr>
  </w:style>
  <w:style w:type="paragraph" w:styleId="TOC4">
    <w:name w:val="toc 4"/>
    <w:basedOn w:val="Normal"/>
    <w:next w:val="Normal"/>
    <w:autoRedefine/>
    <w:uiPriority w:val="39"/>
    <w:unhideWhenUsed/>
    <w:rsid w:val="007E1A89"/>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7E1A89"/>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7E1A89"/>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7E1A89"/>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7E1A89"/>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7E1A89"/>
    <w:pPr>
      <w:spacing w:after="0"/>
      <w:ind w:left="1760"/>
    </w:pPr>
    <w:rPr>
      <w:rFonts w:asciiTheme="minorHAnsi" w:hAnsiTheme="minorHAnsi"/>
      <w:sz w:val="20"/>
      <w:szCs w:val="20"/>
    </w:rPr>
  </w:style>
  <w:style w:type="numbering" w:customStyle="1" w:styleId="NoList1">
    <w:name w:val="No List1"/>
    <w:next w:val="NoList"/>
    <w:uiPriority w:val="99"/>
    <w:semiHidden/>
    <w:unhideWhenUsed/>
    <w:rsid w:val="00743FAE"/>
  </w:style>
  <w:style w:type="character" w:customStyle="1" w:styleId="Heading2Char2">
    <w:name w:val="Heading 2 Char2"/>
    <w:basedOn w:val="DefaultParagraphFont"/>
    <w:uiPriority w:val="99"/>
    <w:rsid w:val="00743FAE"/>
    <w:rPr>
      <w:rFonts w:ascii="Myriad Pro SemiCond" w:hAnsi="Myriad Pro SemiCond"/>
      <w:b/>
      <w:bCs/>
      <w:color w:val="4F81BD"/>
      <w:sz w:val="26"/>
      <w:szCs w:val="26"/>
      <w:lang w:val="en-GB" w:eastAsia="en-US" w:bidi="en-US"/>
    </w:rPr>
  </w:style>
  <w:style w:type="character" w:customStyle="1" w:styleId="Heading3Char1">
    <w:name w:val="Heading 3 Char1"/>
    <w:basedOn w:val="DefaultParagraphFont"/>
    <w:uiPriority w:val="99"/>
    <w:rsid w:val="00743FAE"/>
    <w:rPr>
      <w:rFonts w:ascii="Myriad Pro SemiCond" w:hAnsi="Myriad Pro SemiCond"/>
      <w:b/>
      <w:bCs/>
      <w:color w:val="4F81BD"/>
      <w:szCs w:val="22"/>
      <w:lang w:val="en-GB" w:eastAsia="en-US" w:bidi="en-US"/>
    </w:rPr>
  </w:style>
  <w:style w:type="paragraph" w:styleId="Caption">
    <w:name w:val="caption"/>
    <w:basedOn w:val="Normal"/>
    <w:next w:val="Normal"/>
    <w:autoRedefine/>
    <w:uiPriority w:val="35"/>
    <w:qFormat/>
    <w:rsid w:val="00727A05"/>
    <w:pPr>
      <w:widowControl/>
      <w:suppressAutoHyphens w:val="0"/>
      <w:spacing w:after="240" w:line="240" w:lineRule="auto"/>
    </w:pPr>
    <w:rPr>
      <w:rFonts w:cs="Times New Roman"/>
      <w:b/>
      <w:bCs/>
      <w:color w:val="1F497D" w:themeColor="text2"/>
      <w:szCs w:val="18"/>
      <w:lang w:bidi="en-US"/>
    </w:rPr>
  </w:style>
  <w:style w:type="character" w:styleId="FollowedHyperlink">
    <w:name w:val="FollowedHyperlink"/>
    <w:basedOn w:val="DefaultParagraphFont"/>
    <w:uiPriority w:val="99"/>
    <w:rsid w:val="00743FAE"/>
    <w:rPr>
      <w:color w:val="606420"/>
      <w:u w:val="single"/>
    </w:rPr>
  </w:style>
  <w:style w:type="character" w:styleId="PageNumber">
    <w:name w:val="page number"/>
    <w:basedOn w:val="DefaultParagraphFont"/>
    <w:rsid w:val="00743FAE"/>
  </w:style>
  <w:style w:type="character" w:customStyle="1" w:styleId="text">
    <w:name w:val="text"/>
    <w:basedOn w:val="DefaultParagraphFont"/>
    <w:rsid w:val="00743FAE"/>
  </w:style>
  <w:style w:type="character" w:customStyle="1" w:styleId="CommentTextChar1">
    <w:name w:val="Comment Text Char1"/>
    <w:basedOn w:val="DefaultParagraphFont"/>
    <w:uiPriority w:val="99"/>
    <w:semiHidden/>
    <w:rsid w:val="00743FAE"/>
    <w:rPr>
      <w:rFonts w:ascii="Myriad Pro SemiCond" w:hAnsi="Myriad Pro SemiCond"/>
      <w:lang w:val="en-GB" w:eastAsia="en-US" w:bidi="en-US"/>
    </w:rPr>
  </w:style>
  <w:style w:type="character" w:customStyle="1" w:styleId="CommentSubjectChar1">
    <w:name w:val="Comment Subject Char1"/>
    <w:basedOn w:val="CommentTextChar1"/>
    <w:uiPriority w:val="99"/>
    <w:semiHidden/>
    <w:rsid w:val="00743FAE"/>
    <w:rPr>
      <w:rFonts w:ascii="Myriad Pro SemiCond" w:hAnsi="Myriad Pro SemiCond"/>
      <w:lang w:val="en-GB" w:eastAsia="en-US" w:bidi="en-US"/>
    </w:rPr>
  </w:style>
  <w:style w:type="paragraph" w:customStyle="1" w:styleId="ListBullet1">
    <w:name w:val="List Bullet1"/>
    <w:basedOn w:val="Normal"/>
    <w:rsid w:val="00743FAE"/>
    <w:pPr>
      <w:widowControl/>
      <w:numPr>
        <w:numId w:val="1"/>
      </w:numPr>
      <w:suppressAutoHyphens w:val="0"/>
      <w:spacing w:after="60"/>
    </w:pPr>
    <w:rPr>
      <w:rFonts w:ascii="Arial" w:hAnsi="Arial" w:cs="Times New Roman"/>
      <w:sz w:val="20"/>
      <w:szCs w:val="20"/>
      <w:lang w:val="en-US" w:bidi="en-US"/>
    </w:rPr>
  </w:style>
  <w:style w:type="character" w:customStyle="1" w:styleId="a1">
    <w:name w:val="a1"/>
    <w:basedOn w:val="DefaultParagraphFont"/>
    <w:rsid w:val="00743FAE"/>
    <w:rPr>
      <w:color w:val="008000"/>
    </w:rPr>
  </w:style>
  <w:style w:type="table" w:customStyle="1" w:styleId="MediumList1-Accent11">
    <w:name w:val="Medium List 1 - Accent 11"/>
    <w:basedOn w:val="TableNormal"/>
    <w:uiPriority w:val="65"/>
    <w:rsid w:val="00743FAE"/>
    <w:rPr>
      <w:rFonts w:ascii="Calibri" w:hAnsi="Calibri"/>
      <w:color w:val="000000"/>
      <w:lang w:val="nb-NO" w:eastAsia="nb-NO"/>
    </w:rPr>
    <w:tblPr>
      <w:tblStyleRowBandSize w:val="1"/>
      <w:tblStyleColBandSize w:val="1"/>
      <w:tblBorders>
        <w:top w:val="single" w:sz="8" w:space="0" w:color="4F81BD"/>
        <w:bottom w:val="single" w:sz="8" w:space="0" w:color="4F81BD"/>
      </w:tblBorders>
    </w:tblPr>
    <w:tblStylePr w:type="firstRow">
      <w:rPr>
        <w:rFonts w:ascii="System" w:eastAsia="Times New Roman" w:hAnsi="System"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styleId="HTMLPreformatted">
    <w:name w:val="HTML Preformatted"/>
    <w:basedOn w:val="Normal"/>
    <w:link w:val="HTMLPreformattedChar"/>
    <w:rsid w:val="00743F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Courier New"/>
      <w:sz w:val="24"/>
      <w:szCs w:val="24"/>
      <w:lang w:val="en-US"/>
    </w:rPr>
  </w:style>
  <w:style w:type="character" w:customStyle="1" w:styleId="HTMLPreformattedChar">
    <w:name w:val="HTML Preformatted Char"/>
    <w:basedOn w:val="DefaultParagraphFont"/>
    <w:link w:val="HTMLPreformatted"/>
    <w:rsid w:val="00743FAE"/>
    <w:rPr>
      <w:rFonts w:ascii="Courier New" w:hAnsi="Courier New" w:cs="Courier New"/>
      <w:sz w:val="24"/>
      <w:szCs w:val="24"/>
      <w:lang w:val="en-US"/>
    </w:rPr>
  </w:style>
  <w:style w:type="character" w:styleId="HTMLTypewriter">
    <w:name w:val="HTML Typewriter"/>
    <w:basedOn w:val="DefaultParagraphFont"/>
    <w:rsid w:val="00743FAE"/>
    <w:rPr>
      <w:rFonts w:ascii="Courier New" w:eastAsia="Times New Roman" w:hAnsi="Courier New" w:cs="Courier New"/>
      <w:sz w:val="20"/>
      <w:szCs w:val="20"/>
    </w:rPr>
  </w:style>
  <w:style w:type="table" w:customStyle="1" w:styleId="LightList-Accent11">
    <w:name w:val="Light List - Accent 11"/>
    <w:basedOn w:val="TableNormal"/>
    <w:uiPriority w:val="61"/>
    <w:rsid w:val="00743FAE"/>
    <w:rPr>
      <w:rFonts w:ascii="Calibri" w:hAnsi="Calibri"/>
      <w:lang w:val="nb-NO" w:eastAsia="nb-N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yle1">
    <w:name w:val="Style1"/>
    <w:basedOn w:val="LightList-Accent11"/>
    <w:rsid w:val="00743FAE"/>
    <w:rPr>
      <w:rFonts w:ascii="Myriad Pro SemiCond" w:hAnsi="Myriad Pro SemiCond"/>
    </w:rP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
    <w:name w:val="Table Grid"/>
    <w:basedOn w:val="TableNormal"/>
    <w:uiPriority w:val="59"/>
    <w:rsid w:val="00743FAE"/>
    <w:rPr>
      <w:rFonts w:ascii="Calibri" w:hAnsi="Calibri"/>
      <w:lang w:val="nb-NO" w:eastAsia="nb-N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spacing0">
    <w:name w:val="msonospacing"/>
    <w:basedOn w:val="Normal"/>
    <w:rsid w:val="00743FAE"/>
    <w:pPr>
      <w:widowControl/>
      <w:suppressAutoHyphens w:val="0"/>
      <w:spacing w:after="0"/>
    </w:pPr>
    <w:rPr>
      <w:rFonts w:cs="Times New Roman"/>
      <w:sz w:val="20"/>
      <w:szCs w:val="20"/>
      <w:lang w:val="nb-NO" w:eastAsia="nb-NO"/>
    </w:rPr>
  </w:style>
  <w:style w:type="paragraph" w:styleId="NormalWeb">
    <w:name w:val="Normal (Web)"/>
    <w:basedOn w:val="Normal"/>
    <w:uiPriority w:val="99"/>
    <w:rsid w:val="00743FAE"/>
    <w:pPr>
      <w:widowControl/>
      <w:suppressAutoHyphens w:val="0"/>
      <w:spacing w:before="100" w:beforeAutospacing="1" w:after="100" w:afterAutospacing="1" w:line="240" w:lineRule="auto"/>
    </w:pPr>
    <w:rPr>
      <w:rFonts w:eastAsia="Calibri" w:cs="Times New Roman"/>
      <w:sz w:val="24"/>
      <w:szCs w:val="24"/>
      <w:lang w:val="en-US"/>
    </w:rPr>
  </w:style>
  <w:style w:type="paragraph" w:styleId="Revision">
    <w:name w:val="Revision"/>
    <w:hidden/>
    <w:uiPriority w:val="99"/>
    <w:semiHidden/>
    <w:rsid w:val="00743FAE"/>
    <w:rPr>
      <w:rFonts w:ascii="Myriad Pro SemiCond" w:hAnsi="Myriad Pro SemiCond"/>
      <w:sz w:val="22"/>
      <w:szCs w:val="22"/>
      <w:lang w:bidi="en-US"/>
    </w:rPr>
  </w:style>
  <w:style w:type="paragraph" w:styleId="PlainText">
    <w:name w:val="Plain Text"/>
    <w:basedOn w:val="Normal"/>
    <w:link w:val="PlainTextChar"/>
    <w:uiPriority w:val="99"/>
    <w:semiHidden/>
    <w:unhideWhenUsed/>
    <w:rsid w:val="00743FAE"/>
    <w:pPr>
      <w:widowControl/>
      <w:suppressAutoHyphens w:val="0"/>
      <w:spacing w:after="0" w:line="240" w:lineRule="auto"/>
    </w:pPr>
    <w:rPr>
      <w:rFonts w:ascii="Calibri" w:hAnsi="Calibri" w:cs="Times New Roman"/>
      <w:sz w:val="20"/>
      <w:szCs w:val="21"/>
    </w:rPr>
  </w:style>
  <w:style w:type="character" w:customStyle="1" w:styleId="PlainTextChar">
    <w:name w:val="Plain Text Char"/>
    <w:basedOn w:val="DefaultParagraphFont"/>
    <w:link w:val="PlainText"/>
    <w:uiPriority w:val="99"/>
    <w:semiHidden/>
    <w:rsid w:val="00743FAE"/>
    <w:rPr>
      <w:rFonts w:ascii="Calibri" w:hAnsi="Calibri"/>
      <w:szCs w:val="21"/>
    </w:rPr>
  </w:style>
  <w:style w:type="paragraph" w:styleId="ListBullet">
    <w:name w:val="List Bullet"/>
    <w:basedOn w:val="Normal"/>
    <w:uiPriority w:val="99"/>
    <w:unhideWhenUsed/>
    <w:rsid w:val="00743FAE"/>
    <w:pPr>
      <w:widowControl/>
      <w:numPr>
        <w:numId w:val="2"/>
      </w:numPr>
      <w:suppressAutoHyphens w:val="0"/>
      <w:contextualSpacing/>
    </w:pPr>
    <w:rPr>
      <w:rFonts w:cs="Times New Roman"/>
      <w:sz w:val="20"/>
      <w:lang w:bidi="en-US"/>
    </w:rPr>
  </w:style>
  <w:style w:type="paragraph" w:styleId="ListBullet2">
    <w:name w:val="List Bullet 2"/>
    <w:basedOn w:val="Normal"/>
    <w:uiPriority w:val="99"/>
    <w:unhideWhenUsed/>
    <w:rsid w:val="00743FAE"/>
    <w:pPr>
      <w:widowControl/>
      <w:numPr>
        <w:numId w:val="3"/>
      </w:numPr>
      <w:suppressAutoHyphens w:val="0"/>
      <w:contextualSpacing/>
    </w:pPr>
    <w:rPr>
      <w:rFonts w:cs="Times New Roman"/>
      <w:sz w:val="20"/>
      <w:lang w:bidi="en-US"/>
    </w:rPr>
  </w:style>
  <w:style w:type="character" w:customStyle="1" w:styleId="BodyTextChar1">
    <w:name w:val="Body Text Char1"/>
    <w:basedOn w:val="DefaultParagraphFont"/>
    <w:uiPriority w:val="99"/>
    <w:rsid w:val="00743FAE"/>
    <w:rPr>
      <w:rFonts w:ascii="Myriad Pro SemiCond" w:hAnsi="Myriad Pro SemiCond"/>
      <w:szCs w:val="22"/>
      <w:lang w:val="en-GB" w:eastAsia="en-US" w:bidi="en-US"/>
    </w:rPr>
  </w:style>
  <w:style w:type="paragraph" w:styleId="BodyTextIndent">
    <w:name w:val="Body Text Indent"/>
    <w:basedOn w:val="Normal"/>
    <w:link w:val="BodyTextIndentChar"/>
    <w:uiPriority w:val="99"/>
    <w:semiHidden/>
    <w:unhideWhenUsed/>
    <w:rsid w:val="00743FAE"/>
    <w:pPr>
      <w:widowControl/>
      <w:suppressAutoHyphens w:val="0"/>
      <w:ind w:left="360"/>
    </w:pPr>
    <w:rPr>
      <w:rFonts w:cs="Times New Roman"/>
      <w:sz w:val="20"/>
      <w:lang w:bidi="en-US"/>
    </w:rPr>
  </w:style>
  <w:style w:type="character" w:customStyle="1" w:styleId="BodyTextIndentChar">
    <w:name w:val="Body Text Indent Char"/>
    <w:basedOn w:val="DefaultParagraphFont"/>
    <w:link w:val="BodyTextIndent"/>
    <w:uiPriority w:val="99"/>
    <w:semiHidden/>
    <w:rsid w:val="00743FAE"/>
    <w:rPr>
      <w:rFonts w:ascii="Myriad Pro SemiCond" w:hAnsi="Myriad Pro SemiCond"/>
      <w:szCs w:val="22"/>
      <w:lang w:bidi="en-US"/>
    </w:rPr>
  </w:style>
  <w:style w:type="paragraph" w:styleId="BodyTextFirstIndent2">
    <w:name w:val="Body Text First Indent 2"/>
    <w:basedOn w:val="BodyTextIndent"/>
    <w:link w:val="BodyTextFirstIndent2Char"/>
    <w:uiPriority w:val="99"/>
    <w:unhideWhenUsed/>
    <w:rsid w:val="00743FAE"/>
    <w:pPr>
      <w:ind w:firstLine="210"/>
    </w:pPr>
  </w:style>
  <w:style w:type="character" w:customStyle="1" w:styleId="BodyTextFirstIndent2Char">
    <w:name w:val="Body Text First Indent 2 Char"/>
    <w:basedOn w:val="BodyTextIndentChar"/>
    <w:link w:val="BodyTextFirstIndent2"/>
    <w:uiPriority w:val="99"/>
    <w:rsid w:val="00743FAE"/>
    <w:rPr>
      <w:rFonts w:ascii="Myriad Pro SemiCond" w:hAnsi="Myriad Pro SemiCond"/>
      <w:szCs w:val="22"/>
      <w:lang w:bidi="en-US"/>
    </w:rPr>
  </w:style>
  <w:style w:type="character" w:customStyle="1" w:styleId="Heading2Char1">
    <w:name w:val="Heading 2 Char1"/>
    <w:basedOn w:val="DefaultParagraphFont"/>
    <w:locked/>
    <w:rsid w:val="00743FAE"/>
    <w:rPr>
      <w:rFonts w:ascii="Myriad Pro SemiCond" w:hAnsi="Myriad Pro SemiCond"/>
      <w:b/>
      <w:bCs/>
      <w:color w:val="4F81BD"/>
      <w:sz w:val="26"/>
      <w:szCs w:val="26"/>
      <w:lang w:val="en-GB" w:eastAsia="en-US" w:bidi="ar-SA"/>
    </w:rPr>
  </w:style>
  <w:style w:type="character" w:customStyle="1" w:styleId="bodytext1">
    <w:name w:val="bodytext1"/>
    <w:basedOn w:val="DefaultParagraphFont"/>
    <w:rsid w:val="00743FAE"/>
    <w:rPr>
      <w:rFonts w:ascii="Tahoma" w:hAnsi="Tahoma" w:cs="Tahoma" w:hint="default"/>
      <w:sz w:val="18"/>
      <w:szCs w:val="18"/>
    </w:rPr>
  </w:style>
  <w:style w:type="table" w:customStyle="1" w:styleId="LightShading1">
    <w:name w:val="Light Shading1"/>
    <w:basedOn w:val="TableNormal"/>
    <w:uiPriority w:val="60"/>
    <w:rsid w:val="00743FAE"/>
    <w:rPr>
      <w:rFonts w:ascii="Calibri" w:hAnsi="Calibri"/>
      <w:color w:val="000000"/>
      <w:lang w:val="nb-NO" w:eastAsia="nb-NO"/>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pple-converted-space">
    <w:name w:val="apple-converted-space"/>
    <w:basedOn w:val="DefaultParagraphFont"/>
    <w:rsid w:val="00B86EA7"/>
  </w:style>
  <w:style w:type="character" w:customStyle="1" w:styleId="SubtleEmphasis1">
    <w:name w:val="Subtle Emphasis1"/>
    <w:uiPriority w:val="99"/>
    <w:rsid w:val="009A38A3"/>
    <w:rPr>
      <w:rFonts w:cs="Times New Roman"/>
      <w:i/>
      <w:iCs/>
      <w:color w:val="808080"/>
    </w:rPr>
  </w:style>
  <w:style w:type="character" w:customStyle="1" w:styleId="IntenseEmphasis1">
    <w:name w:val="Intense Emphasis1"/>
    <w:uiPriority w:val="99"/>
    <w:rsid w:val="009A38A3"/>
    <w:rPr>
      <w:rFonts w:cs="Times New Roman"/>
      <w:b/>
      <w:bCs/>
      <w:i/>
      <w:iCs/>
      <w:color w:val="4F81BD"/>
    </w:rPr>
  </w:style>
  <w:style w:type="character" w:customStyle="1" w:styleId="SubtleReference1">
    <w:name w:val="Subtle Reference1"/>
    <w:uiPriority w:val="99"/>
    <w:rsid w:val="009A38A3"/>
    <w:rPr>
      <w:rFonts w:cs="Times New Roman"/>
      <w:smallCaps/>
      <w:color w:val="C0504D"/>
      <w:u w:val="single"/>
    </w:rPr>
  </w:style>
  <w:style w:type="character" w:customStyle="1" w:styleId="IntenseReference1">
    <w:name w:val="Intense Reference1"/>
    <w:uiPriority w:val="99"/>
    <w:rsid w:val="009A38A3"/>
    <w:rPr>
      <w:rFonts w:cs="Times New Roman"/>
      <w:b/>
      <w:bCs/>
      <w:smallCaps/>
      <w:color w:val="C0504D"/>
      <w:spacing w:val="5"/>
      <w:u w:val="single"/>
    </w:rPr>
  </w:style>
  <w:style w:type="character" w:customStyle="1" w:styleId="BookTitle1">
    <w:name w:val="Book Title1"/>
    <w:uiPriority w:val="99"/>
    <w:rsid w:val="009A38A3"/>
    <w:rPr>
      <w:rFonts w:cs="Times New Roman"/>
      <w:b/>
      <w:bCs/>
      <w:smallCaps/>
      <w:spacing w:val="5"/>
    </w:rPr>
  </w:style>
  <w:style w:type="paragraph" w:customStyle="1" w:styleId="MediumGrid22">
    <w:name w:val="Medium Grid 22"/>
    <w:uiPriority w:val="99"/>
    <w:semiHidden/>
    <w:qFormat/>
    <w:rsid w:val="009A38A3"/>
    <w:pPr>
      <w:widowControl w:val="0"/>
      <w:suppressAutoHyphens/>
    </w:pPr>
    <w:rPr>
      <w:rFonts w:ascii="Calibri" w:hAnsi="Calibri" w:cs="Calibri"/>
      <w:sz w:val="22"/>
      <w:szCs w:val="22"/>
      <w:lang w:val="en-US"/>
    </w:rPr>
  </w:style>
  <w:style w:type="paragraph" w:customStyle="1" w:styleId="ColorfulList-Accent11">
    <w:name w:val="Colorful List - Accent 11"/>
    <w:basedOn w:val="Normal"/>
    <w:uiPriority w:val="99"/>
    <w:qFormat/>
    <w:rsid w:val="009A38A3"/>
    <w:pPr>
      <w:ind w:left="720"/>
    </w:pPr>
  </w:style>
  <w:style w:type="paragraph" w:customStyle="1" w:styleId="ColorfulGrid-Accent11">
    <w:name w:val="Colorful Grid - Accent 11"/>
    <w:basedOn w:val="Normal"/>
    <w:next w:val="Normal"/>
    <w:link w:val="ColorfulGrid-Accent1Char"/>
    <w:uiPriority w:val="99"/>
    <w:rsid w:val="009A38A3"/>
    <w:pPr>
      <w:ind w:left="720"/>
    </w:pPr>
    <w:rPr>
      <w:rFonts w:ascii="Myriad Pro Light SemiCond" w:hAnsi="Myriad Pro Light SemiCond"/>
      <w:i/>
      <w:iCs/>
      <w:color w:val="000000"/>
    </w:rPr>
  </w:style>
  <w:style w:type="character" w:customStyle="1" w:styleId="ColorfulGrid-Accent1Char">
    <w:name w:val="Colorful Grid - Accent 1 Char"/>
    <w:link w:val="ColorfulGrid-Accent11"/>
    <w:uiPriority w:val="99"/>
    <w:rsid w:val="009A38A3"/>
    <w:rPr>
      <w:rFonts w:ascii="Myriad Pro Light SemiCond" w:hAnsi="Myriad Pro Light SemiCond" w:cs="Calibri"/>
      <w:i/>
      <w:iCs/>
      <w:color w:val="000000"/>
      <w:sz w:val="22"/>
      <w:szCs w:val="22"/>
    </w:rPr>
  </w:style>
  <w:style w:type="paragraph" w:customStyle="1" w:styleId="LightShading-Accent21">
    <w:name w:val="Light Shading - Accent 21"/>
    <w:basedOn w:val="Normal"/>
    <w:next w:val="Normal"/>
    <w:link w:val="LightShading-Accent2Char"/>
    <w:uiPriority w:val="99"/>
    <w:rsid w:val="009A38A3"/>
    <w:pPr>
      <w:pBdr>
        <w:bottom w:val="single" w:sz="4" w:space="4" w:color="FFFF00"/>
      </w:pBdr>
      <w:spacing w:before="200" w:after="280"/>
      <w:ind w:left="936" w:right="936"/>
    </w:pPr>
    <w:rPr>
      <w:b/>
      <w:bCs/>
      <w:i/>
      <w:iCs/>
      <w:color w:val="4F81BD"/>
    </w:rPr>
  </w:style>
  <w:style w:type="character" w:customStyle="1" w:styleId="LightShading-Accent2Char">
    <w:name w:val="Light Shading - Accent 2 Char"/>
    <w:link w:val="LightShading-Accent21"/>
    <w:uiPriority w:val="99"/>
    <w:rsid w:val="009A38A3"/>
    <w:rPr>
      <w:rFonts w:ascii="Myriad Pro SemiCond" w:hAnsi="Myriad Pro SemiCond" w:cs="Calibri"/>
      <w:b/>
      <w:bCs/>
      <w:i/>
      <w:iCs/>
      <w:color w:val="4F81BD"/>
      <w:sz w:val="22"/>
      <w:szCs w:val="22"/>
    </w:rPr>
  </w:style>
  <w:style w:type="paragraph" w:customStyle="1" w:styleId="TOCHeading1">
    <w:name w:val="TOC Heading1"/>
    <w:basedOn w:val="Heading1"/>
    <w:next w:val="Normal"/>
    <w:uiPriority w:val="39"/>
    <w:qFormat/>
    <w:rsid w:val="009A38A3"/>
    <w:pPr>
      <w:outlineLvl w:val="9"/>
    </w:pPr>
  </w:style>
  <w:style w:type="table" w:styleId="LightList-Accent2">
    <w:name w:val="Light List Accent 2"/>
    <w:basedOn w:val="TableNormal"/>
    <w:uiPriority w:val="61"/>
    <w:rsid w:val="009A38A3"/>
    <w:rPr>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msolistparagraph0">
    <w:name w:val="msolistparagraph"/>
    <w:basedOn w:val="Normal"/>
    <w:rsid w:val="009A38A3"/>
    <w:pPr>
      <w:widowControl/>
      <w:suppressAutoHyphens w:val="0"/>
      <w:spacing w:after="0" w:line="240" w:lineRule="auto"/>
      <w:ind w:left="720"/>
    </w:pPr>
    <w:rPr>
      <w:rFonts w:ascii="Calibri" w:eastAsia="Calibri" w:hAnsi="Calibri" w:cs="Times New Roman"/>
      <w:sz w:val="24"/>
      <w:szCs w:val="24"/>
      <w:lang w:val="en-US"/>
    </w:rPr>
  </w:style>
  <w:style w:type="character" w:customStyle="1" w:styleId="st">
    <w:name w:val="st"/>
    <w:rsid w:val="009A38A3"/>
  </w:style>
  <w:style w:type="character" w:customStyle="1" w:styleId="ColorfulGrid-Accent1Char1">
    <w:name w:val="Colorful Grid - Accent 1 Char1"/>
    <w:link w:val="ColorfulGrid-Accent1"/>
    <w:uiPriority w:val="99"/>
    <w:rsid w:val="009A38A3"/>
    <w:rPr>
      <w:rFonts w:ascii="Myriad Pro Light SemiCond" w:hAnsi="Myriad Pro Light SemiCond" w:cs="Calibri"/>
      <w:i/>
      <w:iCs/>
      <w:color w:val="000000"/>
      <w:sz w:val="22"/>
      <w:szCs w:val="22"/>
      <w:lang w:val="en-GB" w:eastAsia="en-US"/>
    </w:rPr>
  </w:style>
  <w:style w:type="character" w:customStyle="1" w:styleId="LightShading-Accent2Char1">
    <w:name w:val="Light Shading - Accent 2 Char1"/>
    <w:link w:val="LightShading-Accent2"/>
    <w:uiPriority w:val="99"/>
    <w:rsid w:val="009A38A3"/>
    <w:rPr>
      <w:rFonts w:ascii="Myriad Pro SemiCond" w:hAnsi="Myriad Pro SemiCond" w:cs="Calibri"/>
      <w:b/>
      <w:bCs/>
      <w:i/>
      <w:iCs/>
      <w:color w:val="4F81BD"/>
      <w:sz w:val="22"/>
      <w:szCs w:val="22"/>
      <w:lang w:val="en-GB" w:eastAsia="en-US"/>
    </w:rPr>
  </w:style>
  <w:style w:type="paragraph" w:customStyle="1" w:styleId="MediumGrid21">
    <w:name w:val="Medium Grid 21"/>
    <w:qFormat/>
    <w:rsid w:val="009A38A3"/>
    <w:pPr>
      <w:widowControl w:val="0"/>
      <w:suppressAutoHyphens/>
    </w:pPr>
    <w:rPr>
      <w:rFonts w:ascii="Calibri" w:eastAsia="Arial" w:hAnsi="Calibri" w:cs="Calibri"/>
      <w:sz w:val="22"/>
      <w:szCs w:val="22"/>
      <w:lang w:val="en-US" w:bidi="en-US"/>
    </w:rPr>
  </w:style>
  <w:style w:type="character" w:customStyle="1" w:styleId="hps">
    <w:name w:val="hps"/>
    <w:rsid w:val="009A38A3"/>
  </w:style>
  <w:style w:type="table" w:styleId="ColorfulGrid-Accent1">
    <w:name w:val="Colorful Grid Accent 1"/>
    <w:basedOn w:val="TableNormal"/>
    <w:link w:val="ColorfulGrid-Accent1Char1"/>
    <w:uiPriority w:val="99"/>
    <w:rsid w:val="009A38A3"/>
    <w:rPr>
      <w:rFonts w:ascii="Myriad Pro Light SemiCond" w:hAnsi="Myriad Pro Light SemiCond" w:cs="Calibri"/>
      <w:i/>
      <w:iCs/>
      <w:color w:val="000000"/>
      <w:sz w:val="22"/>
      <w:szCs w:val="22"/>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Shading-Accent2">
    <w:name w:val="Light Shading Accent 2"/>
    <w:basedOn w:val="TableNormal"/>
    <w:link w:val="LightShading-Accent2Char1"/>
    <w:uiPriority w:val="99"/>
    <w:rsid w:val="009A38A3"/>
    <w:rPr>
      <w:rFonts w:ascii="Myriad Pro SemiCond" w:hAnsi="Myriad Pro SemiCond" w:cs="Calibri"/>
      <w:b/>
      <w:bCs/>
      <w:i/>
      <w:iCs/>
      <w:color w:val="4F81BD"/>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TableGrid1">
    <w:name w:val="Table Grid1"/>
    <w:basedOn w:val="TableNormal"/>
    <w:next w:val="TableGrid"/>
    <w:uiPriority w:val="59"/>
    <w:rsid w:val="00ED4F0C"/>
    <w:rPr>
      <w:rFonts w:ascii="Calibri" w:hAnsi="Calibri"/>
      <w:lang w:val="nb-NO" w:eastAsia="nb-N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3">
    <w:name w:val="A3"/>
    <w:uiPriority w:val="99"/>
    <w:rsid w:val="00D47A3F"/>
    <w:rPr>
      <w:rFonts w:cs="Myriad Pro SemiCond"/>
      <w:color w:val="000000"/>
      <w:sz w:val="20"/>
      <w:szCs w:val="20"/>
    </w:rPr>
  </w:style>
  <w:style w:type="character" w:customStyle="1" w:styleId="ListParagraphChar">
    <w:name w:val="List Paragraph Char"/>
    <w:link w:val="ListParagraph"/>
    <w:uiPriority w:val="34"/>
    <w:rsid w:val="00F72955"/>
    <w:rPr>
      <w:rFonts w:asciiTheme="majorHAnsi" w:hAnsiTheme="majorHAnsi" w:cs="Calibri"/>
      <w:sz w:val="22"/>
      <w:szCs w:val="22"/>
    </w:rPr>
  </w:style>
  <w:style w:type="paragraph" w:styleId="Bibliography">
    <w:name w:val="Bibliography"/>
    <w:basedOn w:val="Normal"/>
    <w:next w:val="Normal"/>
    <w:uiPriority w:val="37"/>
    <w:unhideWhenUsed/>
    <w:rsid w:val="002D46F5"/>
  </w:style>
  <w:style w:type="paragraph" w:customStyle="1" w:styleId="Heading2notindexed">
    <w:name w:val="Heading 2 not indexed"/>
    <w:basedOn w:val="Heading2"/>
    <w:next w:val="Abbreviations"/>
    <w:link w:val="Heading2notindexedChar"/>
    <w:autoRedefine/>
    <w:qFormat/>
    <w:rsid w:val="00D8510F"/>
    <w:pPr>
      <w:spacing w:before="240" w:line="264" w:lineRule="auto"/>
    </w:pPr>
  </w:style>
  <w:style w:type="character" w:customStyle="1" w:styleId="Heading2notindexedChar">
    <w:name w:val="Heading 2 not indexed Char"/>
    <w:basedOn w:val="Heading2Char"/>
    <w:link w:val="Heading2notindexed"/>
    <w:rsid w:val="00D8510F"/>
    <w:rPr>
      <w:rFonts w:asciiTheme="majorHAnsi" w:hAnsiTheme="majorHAnsi" w:cs="Calibri"/>
      <w:b/>
      <w:bCs/>
      <w:color w:val="4F81BD"/>
      <w:sz w:val="28"/>
      <w:szCs w:val="26"/>
    </w:rPr>
  </w:style>
  <w:style w:type="paragraph" w:styleId="EndnoteText">
    <w:name w:val="endnote text"/>
    <w:basedOn w:val="Normal"/>
    <w:link w:val="EndnoteTextChar"/>
    <w:uiPriority w:val="99"/>
    <w:semiHidden/>
    <w:unhideWhenUsed/>
    <w:rsid w:val="002D701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D7019"/>
    <w:rPr>
      <w:rFonts w:cs="Calibri"/>
    </w:rPr>
  </w:style>
  <w:style w:type="character" w:styleId="EndnoteReference">
    <w:name w:val="endnote reference"/>
    <w:basedOn w:val="DefaultParagraphFont"/>
    <w:uiPriority w:val="99"/>
    <w:semiHidden/>
    <w:unhideWhenUsed/>
    <w:rsid w:val="002D7019"/>
    <w:rPr>
      <w:vertAlign w:val="superscript"/>
    </w:rPr>
  </w:style>
  <w:style w:type="paragraph" w:styleId="TableofFigures">
    <w:name w:val="table of figures"/>
    <w:basedOn w:val="Normal"/>
    <w:next w:val="Normal"/>
    <w:uiPriority w:val="99"/>
    <w:unhideWhenUsed/>
    <w:rsid w:val="00B33EAB"/>
    <w:pPr>
      <w:ind w:left="440" w:hanging="440"/>
    </w:pPr>
    <w:rPr>
      <w:rFonts w:ascii="Calibri" w:hAnsi="Calibri"/>
    </w:rPr>
  </w:style>
  <w:style w:type="paragraph" w:customStyle="1" w:styleId="Tabletext">
    <w:name w:val="Table text"/>
    <w:basedOn w:val="NoSpacing"/>
    <w:autoRedefine/>
    <w:qFormat/>
    <w:rsid w:val="00D8510F"/>
    <w:pPr>
      <w:spacing w:before="120" w:after="120"/>
    </w:pPr>
    <w:rPr>
      <w:rFonts w:eastAsia="Calibri"/>
    </w:rPr>
  </w:style>
  <w:style w:type="paragraph" w:customStyle="1" w:styleId="p2">
    <w:name w:val="p2"/>
    <w:basedOn w:val="Normal"/>
    <w:rsid w:val="00367D8F"/>
    <w:pPr>
      <w:widowControl/>
      <w:suppressAutoHyphens w:val="0"/>
      <w:spacing w:after="0" w:line="240" w:lineRule="auto"/>
    </w:pPr>
    <w:rPr>
      <w:rFonts w:ascii="Helvetica Neue" w:eastAsiaTheme="minorHAnsi" w:hAnsi="Helvetica Neue" w:cs="Times New Roman"/>
      <w:color w:val="454545"/>
      <w:sz w:val="18"/>
      <w:szCs w:val="18"/>
      <w:lang w:eastAsia="ja-JP"/>
    </w:rPr>
  </w:style>
  <w:style w:type="character" w:customStyle="1" w:styleId="UnresolvedMention1">
    <w:name w:val="Unresolved Mention1"/>
    <w:basedOn w:val="DefaultParagraphFont"/>
    <w:uiPriority w:val="99"/>
    <w:rsid w:val="00E02688"/>
    <w:rPr>
      <w:color w:val="808080"/>
      <w:shd w:val="clear" w:color="auto" w:fill="E6E6E6"/>
    </w:rPr>
  </w:style>
  <w:style w:type="character" w:styleId="UnresolvedMention">
    <w:name w:val="Unresolved Mention"/>
    <w:basedOn w:val="DefaultParagraphFont"/>
    <w:uiPriority w:val="99"/>
    <w:unhideWhenUsed/>
    <w:rsid w:val="009D44D1"/>
    <w:rPr>
      <w:color w:val="808080"/>
      <w:shd w:val="clear" w:color="auto" w:fill="E6E6E6"/>
    </w:rPr>
  </w:style>
  <w:style w:type="paragraph" w:customStyle="1" w:styleId="msonormal0">
    <w:name w:val="msonormal"/>
    <w:basedOn w:val="Normal"/>
    <w:rsid w:val="00543EFB"/>
    <w:pPr>
      <w:widowControl/>
      <w:suppressAutoHyphens w:val="0"/>
      <w:spacing w:before="100" w:beforeAutospacing="1" w:after="100" w:afterAutospacing="1" w:line="240" w:lineRule="auto"/>
    </w:pPr>
    <w:rPr>
      <w:rFonts w:ascii="Times New Roman" w:hAnsi="Times New Roman" w:cs="Times New Roman"/>
      <w:sz w:val="24"/>
      <w:szCs w:val="24"/>
      <w:lang w:val="nb-NO" w:eastAsia="nb-NO"/>
    </w:rPr>
  </w:style>
  <w:style w:type="paragraph" w:customStyle="1" w:styleId="xl63">
    <w:name w:val="xl63"/>
    <w:basedOn w:val="Normal"/>
    <w:rsid w:val="00543EFB"/>
    <w:pPr>
      <w:widowControl/>
      <w:pBdr>
        <w:left w:val="single" w:sz="4" w:space="0" w:color="auto"/>
      </w:pBdr>
      <w:suppressAutoHyphens w:val="0"/>
      <w:spacing w:before="100" w:beforeAutospacing="1" w:after="100" w:afterAutospacing="1" w:line="240" w:lineRule="auto"/>
    </w:pPr>
    <w:rPr>
      <w:rFonts w:ascii="Times New Roman" w:hAnsi="Times New Roman" w:cs="Times New Roman"/>
      <w:sz w:val="24"/>
      <w:szCs w:val="24"/>
      <w:lang w:val="nb-NO" w:eastAsia="nb-NO"/>
    </w:rPr>
  </w:style>
  <w:style w:type="paragraph" w:customStyle="1" w:styleId="xl64">
    <w:name w:val="xl64"/>
    <w:basedOn w:val="Normal"/>
    <w:rsid w:val="00543EFB"/>
    <w:pPr>
      <w:widowControl/>
      <w:suppressAutoHyphens w:val="0"/>
      <w:spacing w:before="100" w:beforeAutospacing="1" w:after="100" w:afterAutospacing="1" w:line="240" w:lineRule="auto"/>
    </w:pPr>
    <w:rPr>
      <w:rFonts w:ascii="Times New Roman" w:hAnsi="Times New Roman" w:cs="Times New Roman"/>
      <w:i/>
      <w:iCs/>
      <w:sz w:val="24"/>
      <w:szCs w:val="24"/>
      <w:lang w:val="nb-NO" w:eastAsia="nb-NO"/>
    </w:rPr>
  </w:style>
  <w:style w:type="paragraph" w:customStyle="1" w:styleId="xl65">
    <w:name w:val="xl65"/>
    <w:basedOn w:val="Normal"/>
    <w:rsid w:val="00543EFB"/>
    <w:pPr>
      <w:widowControl/>
      <w:suppressAutoHyphens w:val="0"/>
      <w:spacing w:before="100" w:beforeAutospacing="1" w:after="100" w:afterAutospacing="1" w:line="240" w:lineRule="auto"/>
      <w:jc w:val="center"/>
      <w:textAlignment w:val="center"/>
    </w:pPr>
    <w:rPr>
      <w:rFonts w:ascii="Times New Roman" w:hAnsi="Times New Roman" w:cs="Times New Roman"/>
      <w:b/>
      <w:bCs/>
      <w:sz w:val="24"/>
      <w:szCs w:val="24"/>
      <w:lang w:val="nb-NO" w:eastAsia="nb-NO"/>
    </w:rPr>
  </w:style>
  <w:style w:type="paragraph" w:customStyle="1" w:styleId="xl66">
    <w:name w:val="xl66"/>
    <w:basedOn w:val="Normal"/>
    <w:rsid w:val="00543EFB"/>
    <w:pPr>
      <w:widowControl/>
      <w:suppressAutoHyphens w:val="0"/>
      <w:spacing w:before="100" w:beforeAutospacing="1" w:after="100" w:afterAutospacing="1" w:line="240" w:lineRule="auto"/>
      <w:textAlignment w:val="center"/>
    </w:pPr>
    <w:rPr>
      <w:rFonts w:ascii="Times New Roman" w:hAnsi="Times New Roman" w:cs="Times New Roman"/>
      <w:sz w:val="24"/>
      <w:szCs w:val="24"/>
      <w:lang w:val="nb-NO" w:eastAsia="nb-NO"/>
    </w:rPr>
  </w:style>
  <w:style w:type="paragraph" w:customStyle="1" w:styleId="xl67">
    <w:name w:val="xl67"/>
    <w:basedOn w:val="Normal"/>
    <w:rsid w:val="00543EFB"/>
    <w:pPr>
      <w:widowControl/>
      <w:suppressAutoHyphens w:val="0"/>
      <w:spacing w:before="100" w:beforeAutospacing="1" w:after="100" w:afterAutospacing="1" w:line="240" w:lineRule="auto"/>
    </w:pPr>
    <w:rPr>
      <w:rFonts w:ascii="Times New Roman" w:hAnsi="Times New Roman" w:cs="Times New Roman"/>
      <w:sz w:val="24"/>
      <w:szCs w:val="24"/>
      <w:lang w:val="nb-NO" w:eastAsia="nb-NO"/>
    </w:rPr>
  </w:style>
  <w:style w:type="paragraph" w:customStyle="1" w:styleId="xl68">
    <w:name w:val="xl68"/>
    <w:basedOn w:val="Normal"/>
    <w:rsid w:val="00543EFB"/>
    <w:pPr>
      <w:widowControl/>
      <w:pBdr>
        <w:top w:val="single" w:sz="8" w:space="0" w:color="auto"/>
        <w:left w:val="single" w:sz="8" w:space="0" w:color="auto"/>
        <w:bottom w:val="single" w:sz="4" w:space="0" w:color="auto"/>
        <w:right w:val="single" w:sz="4" w:space="0" w:color="auto"/>
      </w:pBdr>
      <w:suppressAutoHyphens w:val="0"/>
      <w:spacing w:before="100" w:beforeAutospacing="1" w:after="100" w:afterAutospacing="1" w:line="240" w:lineRule="auto"/>
    </w:pPr>
    <w:rPr>
      <w:rFonts w:ascii="Times New Roman" w:hAnsi="Times New Roman" w:cs="Times New Roman"/>
      <w:b/>
      <w:bCs/>
      <w:sz w:val="24"/>
      <w:szCs w:val="24"/>
      <w:lang w:val="nb-NO" w:eastAsia="nb-NO"/>
    </w:rPr>
  </w:style>
  <w:style w:type="paragraph" w:customStyle="1" w:styleId="xl69">
    <w:name w:val="xl69"/>
    <w:basedOn w:val="Normal"/>
    <w:rsid w:val="00543EFB"/>
    <w:pPr>
      <w:widowControl/>
      <w:pBdr>
        <w:top w:val="single" w:sz="8"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hAnsi="Times New Roman" w:cs="Times New Roman"/>
      <w:b/>
      <w:bCs/>
      <w:sz w:val="24"/>
      <w:szCs w:val="24"/>
      <w:lang w:val="nb-NO" w:eastAsia="nb-NO"/>
    </w:rPr>
  </w:style>
  <w:style w:type="paragraph" w:customStyle="1" w:styleId="xl70">
    <w:name w:val="xl70"/>
    <w:basedOn w:val="Normal"/>
    <w:rsid w:val="00543EFB"/>
    <w:pPr>
      <w:widowControl/>
      <w:pBdr>
        <w:top w:val="single" w:sz="8"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hAnsi="Times New Roman" w:cs="Times New Roman"/>
      <w:b/>
      <w:bCs/>
      <w:sz w:val="24"/>
      <w:szCs w:val="24"/>
      <w:lang w:val="nb-NO" w:eastAsia="nb-NO"/>
    </w:rPr>
  </w:style>
  <w:style w:type="paragraph" w:customStyle="1" w:styleId="xl71">
    <w:name w:val="xl71"/>
    <w:basedOn w:val="Normal"/>
    <w:rsid w:val="00543EFB"/>
    <w:pPr>
      <w:widowControl/>
      <w:pBdr>
        <w:top w:val="single" w:sz="8"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Times New Roman" w:hAnsi="Times New Roman" w:cs="Times New Roman"/>
      <w:b/>
      <w:bCs/>
      <w:sz w:val="24"/>
      <w:szCs w:val="24"/>
      <w:lang w:val="nb-NO" w:eastAsia="nb-NO"/>
    </w:rPr>
  </w:style>
  <w:style w:type="paragraph" w:customStyle="1" w:styleId="xl72">
    <w:name w:val="xl72"/>
    <w:basedOn w:val="Normal"/>
    <w:rsid w:val="00543EFB"/>
    <w:pPr>
      <w:widowControl/>
      <w:pBdr>
        <w:top w:val="single" w:sz="4" w:space="0" w:color="auto"/>
        <w:left w:val="single" w:sz="8"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hAnsi="Times New Roman" w:cs="Times New Roman"/>
      <w:b/>
      <w:bCs/>
      <w:sz w:val="24"/>
      <w:szCs w:val="24"/>
      <w:lang w:val="nb-NO" w:eastAsia="nb-NO"/>
    </w:rPr>
  </w:style>
  <w:style w:type="paragraph" w:customStyle="1" w:styleId="xl73">
    <w:name w:val="xl73"/>
    <w:basedOn w:val="Normal"/>
    <w:rsid w:val="00543EFB"/>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hAnsi="Times New Roman" w:cs="Times New Roman"/>
      <w:sz w:val="24"/>
      <w:szCs w:val="24"/>
      <w:lang w:val="nb-NO" w:eastAsia="nb-NO"/>
    </w:rPr>
  </w:style>
  <w:style w:type="paragraph" w:customStyle="1" w:styleId="xl74">
    <w:name w:val="xl74"/>
    <w:basedOn w:val="Normal"/>
    <w:rsid w:val="00543EFB"/>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hAnsi="Times New Roman" w:cs="Times New Roman"/>
      <w:i/>
      <w:iCs/>
      <w:sz w:val="24"/>
      <w:szCs w:val="24"/>
      <w:lang w:val="nb-NO" w:eastAsia="nb-NO"/>
    </w:rPr>
  </w:style>
  <w:style w:type="paragraph" w:customStyle="1" w:styleId="xl75">
    <w:name w:val="xl75"/>
    <w:basedOn w:val="Normal"/>
    <w:rsid w:val="00543EFB"/>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hAnsi="Times New Roman" w:cs="Times New Roman"/>
      <w:sz w:val="24"/>
      <w:szCs w:val="24"/>
      <w:lang w:val="nb-NO" w:eastAsia="nb-NO"/>
    </w:rPr>
  </w:style>
  <w:style w:type="paragraph" w:customStyle="1" w:styleId="xl76">
    <w:name w:val="xl76"/>
    <w:basedOn w:val="Normal"/>
    <w:rsid w:val="00543EFB"/>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Times New Roman" w:hAnsi="Times New Roman" w:cs="Times New Roman"/>
      <w:sz w:val="24"/>
      <w:szCs w:val="24"/>
      <w:lang w:val="nb-NO" w:eastAsia="nb-NO"/>
    </w:rPr>
  </w:style>
  <w:style w:type="paragraph" w:customStyle="1" w:styleId="xl77">
    <w:name w:val="xl77"/>
    <w:basedOn w:val="Normal"/>
    <w:rsid w:val="00543EFB"/>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hAnsi="Times New Roman" w:cs="Times New Roman"/>
      <w:sz w:val="24"/>
      <w:szCs w:val="24"/>
      <w:lang w:val="nb-NO" w:eastAsia="nb-NO"/>
    </w:rPr>
  </w:style>
  <w:style w:type="paragraph" w:customStyle="1" w:styleId="xl78">
    <w:name w:val="xl78"/>
    <w:basedOn w:val="Normal"/>
    <w:rsid w:val="00543EFB"/>
    <w:pPr>
      <w:widowControl/>
      <w:pBdr>
        <w:top w:val="single" w:sz="4" w:space="0" w:color="auto"/>
        <w:left w:val="single" w:sz="8" w:space="0" w:color="auto"/>
        <w:bottom w:val="single" w:sz="8" w:space="0" w:color="auto"/>
        <w:right w:val="single" w:sz="4" w:space="0" w:color="auto"/>
      </w:pBdr>
      <w:suppressAutoHyphens w:val="0"/>
      <w:spacing w:before="100" w:beforeAutospacing="1" w:after="100" w:afterAutospacing="1" w:line="240" w:lineRule="auto"/>
      <w:jc w:val="center"/>
      <w:textAlignment w:val="center"/>
    </w:pPr>
    <w:rPr>
      <w:rFonts w:ascii="Times New Roman" w:hAnsi="Times New Roman" w:cs="Times New Roman"/>
      <w:b/>
      <w:bCs/>
      <w:sz w:val="24"/>
      <w:szCs w:val="24"/>
      <w:lang w:val="nb-NO" w:eastAsia="nb-NO"/>
    </w:rPr>
  </w:style>
  <w:style w:type="paragraph" w:customStyle="1" w:styleId="xl79">
    <w:name w:val="xl79"/>
    <w:basedOn w:val="Normal"/>
    <w:rsid w:val="00543EFB"/>
    <w:pPr>
      <w:widowControl/>
      <w:pBdr>
        <w:top w:val="single" w:sz="4" w:space="0" w:color="auto"/>
        <w:left w:val="single" w:sz="4" w:space="0" w:color="auto"/>
        <w:bottom w:val="single" w:sz="8" w:space="0" w:color="auto"/>
        <w:right w:val="single" w:sz="4" w:space="0" w:color="auto"/>
      </w:pBdr>
      <w:suppressAutoHyphens w:val="0"/>
      <w:spacing w:before="100" w:beforeAutospacing="1" w:after="100" w:afterAutospacing="1" w:line="240" w:lineRule="auto"/>
    </w:pPr>
    <w:rPr>
      <w:rFonts w:ascii="Times New Roman" w:hAnsi="Times New Roman" w:cs="Times New Roman"/>
      <w:sz w:val="24"/>
      <w:szCs w:val="24"/>
      <w:lang w:val="nb-NO" w:eastAsia="nb-NO"/>
    </w:rPr>
  </w:style>
  <w:style w:type="paragraph" w:customStyle="1" w:styleId="xl80">
    <w:name w:val="xl80"/>
    <w:basedOn w:val="Normal"/>
    <w:rsid w:val="00543EFB"/>
    <w:pPr>
      <w:widowControl/>
      <w:pBdr>
        <w:top w:val="single" w:sz="4" w:space="0" w:color="auto"/>
        <w:left w:val="single" w:sz="4" w:space="0" w:color="auto"/>
        <w:bottom w:val="single" w:sz="8" w:space="0" w:color="auto"/>
        <w:right w:val="single" w:sz="4" w:space="0" w:color="auto"/>
      </w:pBdr>
      <w:suppressAutoHyphens w:val="0"/>
      <w:spacing w:before="100" w:beforeAutospacing="1" w:after="100" w:afterAutospacing="1" w:line="240" w:lineRule="auto"/>
    </w:pPr>
    <w:rPr>
      <w:rFonts w:ascii="Times New Roman" w:hAnsi="Times New Roman" w:cs="Times New Roman"/>
      <w:i/>
      <w:iCs/>
      <w:sz w:val="24"/>
      <w:szCs w:val="24"/>
      <w:lang w:val="nb-NO" w:eastAsia="nb-NO"/>
    </w:rPr>
  </w:style>
  <w:style w:type="paragraph" w:customStyle="1" w:styleId="xl81">
    <w:name w:val="xl81"/>
    <w:basedOn w:val="Normal"/>
    <w:rsid w:val="00543EFB"/>
    <w:pPr>
      <w:widowControl/>
      <w:pBdr>
        <w:top w:val="single" w:sz="4" w:space="0" w:color="auto"/>
        <w:left w:val="single" w:sz="4" w:space="0" w:color="auto"/>
        <w:bottom w:val="single" w:sz="8" w:space="0" w:color="auto"/>
        <w:right w:val="single" w:sz="4" w:space="0" w:color="auto"/>
      </w:pBdr>
      <w:suppressAutoHyphens w:val="0"/>
      <w:spacing w:before="100" w:beforeAutospacing="1" w:after="100" w:afterAutospacing="1" w:line="240" w:lineRule="auto"/>
      <w:jc w:val="center"/>
      <w:textAlignment w:val="center"/>
    </w:pPr>
    <w:rPr>
      <w:rFonts w:ascii="Times New Roman" w:hAnsi="Times New Roman" w:cs="Times New Roman"/>
      <w:sz w:val="24"/>
      <w:szCs w:val="24"/>
      <w:lang w:val="nb-NO" w:eastAsia="nb-NO"/>
    </w:rPr>
  </w:style>
  <w:style w:type="paragraph" w:customStyle="1" w:styleId="xl82">
    <w:name w:val="xl82"/>
    <w:basedOn w:val="Normal"/>
    <w:rsid w:val="00543EFB"/>
    <w:pPr>
      <w:widowControl/>
      <w:pBdr>
        <w:top w:val="single" w:sz="4" w:space="0" w:color="auto"/>
        <w:left w:val="single" w:sz="4" w:space="0" w:color="auto"/>
        <w:bottom w:val="single" w:sz="8" w:space="0" w:color="auto"/>
        <w:right w:val="single" w:sz="4" w:space="0" w:color="auto"/>
      </w:pBdr>
      <w:suppressAutoHyphens w:val="0"/>
      <w:spacing w:before="100" w:beforeAutospacing="1" w:after="100" w:afterAutospacing="1" w:line="240" w:lineRule="auto"/>
      <w:jc w:val="center"/>
    </w:pPr>
    <w:rPr>
      <w:rFonts w:ascii="Times New Roman" w:hAnsi="Times New Roman" w:cs="Times New Roman"/>
      <w:sz w:val="24"/>
      <w:szCs w:val="24"/>
      <w:lang w:val="nb-NO" w:eastAsia="nb-NO"/>
    </w:rPr>
  </w:style>
  <w:style w:type="paragraph" w:customStyle="1" w:styleId="xl83">
    <w:name w:val="xl83"/>
    <w:basedOn w:val="Normal"/>
    <w:rsid w:val="00543EFB"/>
    <w:pPr>
      <w:widowControl/>
      <w:pBdr>
        <w:top w:val="single" w:sz="4" w:space="0" w:color="auto"/>
        <w:left w:val="single" w:sz="4" w:space="0" w:color="auto"/>
        <w:bottom w:val="single" w:sz="8" w:space="0" w:color="auto"/>
        <w:right w:val="single" w:sz="4" w:space="0" w:color="auto"/>
      </w:pBdr>
      <w:suppressAutoHyphens w:val="0"/>
      <w:spacing w:before="100" w:beforeAutospacing="1" w:after="100" w:afterAutospacing="1" w:line="240" w:lineRule="auto"/>
      <w:textAlignment w:val="center"/>
    </w:pPr>
    <w:rPr>
      <w:rFonts w:ascii="Times New Roman" w:hAnsi="Times New Roman" w:cs="Times New Roman"/>
      <w:sz w:val="24"/>
      <w:szCs w:val="24"/>
      <w:lang w:val="nb-NO" w:eastAsia="nb-NO"/>
    </w:rPr>
  </w:style>
  <w:style w:type="paragraph" w:customStyle="1" w:styleId="xl84">
    <w:name w:val="xl84"/>
    <w:basedOn w:val="Normal"/>
    <w:rsid w:val="00543EFB"/>
    <w:pPr>
      <w:widowControl/>
      <w:pBdr>
        <w:top w:val="single" w:sz="4" w:space="0" w:color="auto"/>
        <w:left w:val="single" w:sz="8" w:space="0" w:color="auto"/>
        <w:right w:val="single" w:sz="4" w:space="0" w:color="auto"/>
      </w:pBdr>
      <w:suppressAutoHyphens w:val="0"/>
      <w:spacing w:before="100" w:beforeAutospacing="1" w:after="100" w:afterAutospacing="1" w:line="240" w:lineRule="auto"/>
    </w:pPr>
    <w:rPr>
      <w:rFonts w:ascii="Times New Roman" w:hAnsi="Times New Roman" w:cs="Times New Roman"/>
      <w:b/>
      <w:bCs/>
      <w:sz w:val="24"/>
      <w:szCs w:val="24"/>
      <w:lang w:val="nb-NO" w:eastAsia="nb-NO"/>
    </w:rPr>
  </w:style>
  <w:style w:type="paragraph" w:customStyle="1" w:styleId="xl85">
    <w:name w:val="xl85"/>
    <w:basedOn w:val="Normal"/>
    <w:rsid w:val="00543EFB"/>
    <w:pPr>
      <w:widowControl/>
      <w:pBdr>
        <w:top w:val="single" w:sz="4" w:space="0" w:color="auto"/>
        <w:left w:val="single" w:sz="4" w:space="0" w:color="auto"/>
        <w:right w:val="single" w:sz="4" w:space="0" w:color="auto"/>
      </w:pBdr>
      <w:suppressAutoHyphens w:val="0"/>
      <w:spacing w:before="100" w:beforeAutospacing="1" w:after="100" w:afterAutospacing="1" w:line="240" w:lineRule="auto"/>
    </w:pPr>
    <w:rPr>
      <w:rFonts w:ascii="Times New Roman" w:hAnsi="Times New Roman" w:cs="Times New Roman"/>
      <w:b/>
      <w:bCs/>
      <w:sz w:val="24"/>
      <w:szCs w:val="24"/>
      <w:lang w:val="nb-NO" w:eastAsia="nb-NO"/>
    </w:rPr>
  </w:style>
  <w:style w:type="paragraph" w:customStyle="1" w:styleId="xl86">
    <w:name w:val="xl86"/>
    <w:basedOn w:val="Normal"/>
    <w:rsid w:val="00543EFB"/>
    <w:pPr>
      <w:widowControl/>
      <w:pBdr>
        <w:top w:val="single" w:sz="4" w:space="0" w:color="auto"/>
        <w:left w:val="single" w:sz="4" w:space="0" w:color="auto"/>
        <w:right w:val="single" w:sz="4" w:space="0" w:color="auto"/>
      </w:pBdr>
      <w:suppressAutoHyphens w:val="0"/>
      <w:spacing w:before="100" w:beforeAutospacing="1" w:after="100" w:afterAutospacing="1" w:line="240" w:lineRule="auto"/>
    </w:pPr>
    <w:rPr>
      <w:rFonts w:ascii="Times New Roman" w:hAnsi="Times New Roman" w:cs="Times New Roman"/>
      <w:b/>
      <w:bCs/>
      <w:i/>
      <w:iCs/>
      <w:sz w:val="24"/>
      <w:szCs w:val="24"/>
      <w:lang w:val="nb-NO" w:eastAsia="nb-NO"/>
    </w:rPr>
  </w:style>
  <w:style w:type="paragraph" w:customStyle="1" w:styleId="xl87">
    <w:name w:val="xl87"/>
    <w:basedOn w:val="Normal"/>
    <w:rsid w:val="00543EFB"/>
    <w:pPr>
      <w:widowControl/>
      <w:pBdr>
        <w:top w:val="single" w:sz="4" w:space="0" w:color="auto"/>
        <w:left w:val="single" w:sz="4" w:space="0" w:color="auto"/>
        <w:right w:val="single" w:sz="4" w:space="0" w:color="auto"/>
      </w:pBdr>
      <w:suppressAutoHyphens w:val="0"/>
      <w:spacing w:before="100" w:beforeAutospacing="1" w:after="100" w:afterAutospacing="1" w:line="240" w:lineRule="auto"/>
      <w:jc w:val="center"/>
    </w:pPr>
    <w:rPr>
      <w:rFonts w:ascii="Times New Roman" w:hAnsi="Times New Roman" w:cs="Times New Roman"/>
      <w:b/>
      <w:bCs/>
      <w:sz w:val="24"/>
      <w:szCs w:val="24"/>
      <w:lang w:val="nb-NO" w:eastAsia="nb-NO"/>
    </w:rPr>
  </w:style>
  <w:style w:type="paragraph" w:customStyle="1" w:styleId="xl88">
    <w:name w:val="xl88"/>
    <w:basedOn w:val="Normal"/>
    <w:rsid w:val="00543EFB"/>
    <w:pPr>
      <w:widowControl/>
      <w:pBdr>
        <w:top w:val="single" w:sz="4" w:space="0" w:color="auto"/>
        <w:left w:val="single" w:sz="4" w:space="0" w:color="auto"/>
        <w:right w:val="single" w:sz="4" w:space="0" w:color="auto"/>
      </w:pBdr>
      <w:suppressAutoHyphens w:val="0"/>
      <w:spacing w:before="100" w:beforeAutospacing="1" w:after="100" w:afterAutospacing="1" w:line="240" w:lineRule="auto"/>
      <w:jc w:val="center"/>
    </w:pPr>
    <w:rPr>
      <w:rFonts w:ascii="Times New Roman" w:hAnsi="Times New Roman" w:cs="Times New Roman"/>
      <w:sz w:val="24"/>
      <w:szCs w:val="24"/>
      <w:lang w:val="nb-NO" w:eastAsia="nb-NO"/>
    </w:rPr>
  </w:style>
  <w:style w:type="paragraph" w:customStyle="1" w:styleId="xl89">
    <w:name w:val="xl89"/>
    <w:basedOn w:val="Normal"/>
    <w:rsid w:val="00543EFB"/>
    <w:pPr>
      <w:widowControl/>
      <w:pBdr>
        <w:top w:val="single" w:sz="4" w:space="0" w:color="auto"/>
        <w:left w:val="single" w:sz="4" w:space="0" w:color="auto"/>
        <w:right w:val="single" w:sz="4" w:space="0" w:color="auto"/>
      </w:pBdr>
      <w:suppressAutoHyphens w:val="0"/>
      <w:spacing w:before="100" w:beforeAutospacing="1" w:after="100" w:afterAutospacing="1" w:line="240" w:lineRule="auto"/>
      <w:jc w:val="center"/>
    </w:pPr>
    <w:rPr>
      <w:rFonts w:ascii="Times New Roman" w:hAnsi="Times New Roman" w:cs="Times New Roman"/>
      <w:sz w:val="24"/>
      <w:szCs w:val="24"/>
      <w:lang w:val="nb-NO" w:eastAsia="nb-NO"/>
    </w:rPr>
  </w:style>
  <w:style w:type="paragraph" w:customStyle="1" w:styleId="xl90">
    <w:name w:val="xl90"/>
    <w:basedOn w:val="Normal"/>
    <w:rsid w:val="00543EFB"/>
    <w:pPr>
      <w:widowControl/>
      <w:pBdr>
        <w:top w:val="single" w:sz="4" w:space="0" w:color="auto"/>
        <w:left w:val="single" w:sz="4" w:space="0" w:color="auto"/>
        <w:right w:val="single" w:sz="4" w:space="0" w:color="auto"/>
      </w:pBdr>
      <w:suppressAutoHyphens w:val="0"/>
      <w:spacing w:before="100" w:beforeAutospacing="1" w:after="100" w:afterAutospacing="1" w:line="240" w:lineRule="auto"/>
      <w:textAlignment w:val="center"/>
    </w:pPr>
    <w:rPr>
      <w:rFonts w:ascii="Times New Roman" w:hAnsi="Times New Roman" w:cs="Times New Roman"/>
      <w:sz w:val="24"/>
      <w:szCs w:val="24"/>
      <w:lang w:val="nb-NO" w:eastAsia="nb-NO"/>
    </w:rPr>
  </w:style>
  <w:style w:type="paragraph" w:customStyle="1" w:styleId="xl91">
    <w:name w:val="xl91"/>
    <w:basedOn w:val="Normal"/>
    <w:rsid w:val="00543EFB"/>
    <w:pPr>
      <w:widowControl/>
      <w:pBdr>
        <w:left w:val="single" w:sz="8"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hAnsi="Times New Roman" w:cs="Times New Roman"/>
      <w:b/>
      <w:bCs/>
      <w:sz w:val="24"/>
      <w:szCs w:val="24"/>
      <w:lang w:val="nb-NO" w:eastAsia="nb-NO"/>
    </w:rPr>
  </w:style>
  <w:style w:type="paragraph" w:customStyle="1" w:styleId="xl92">
    <w:name w:val="xl92"/>
    <w:basedOn w:val="Normal"/>
    <w:rsid w:val="00543EFB"/>
    <w:pPr>
      <w:widowControl/>
      <w:pBdr>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hAnsi="Times New Roman" w:cs="Times New Roman"/>
      <w:sz w:val="24"/>
      <w:szCs w:val="24"/>
      <w:lang w:val="nb-NO" w:eastAsia="nb-NO"/>
    </w:rPr>
  </w:style>
  <w:style w:type="paragraph" w:customStyle="1" w:styleId="xl93">
    <w:name w:val="xl93"/>
    <w:basedOn w:val="Normal"/>
    <w:rsid w:val="00543EFB"/>
    <w:pPr>
      <w:widowControl/>
      <w:pBdr>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hAnsi="Times New Roman" w:cs="Times New Roman"/>
      <w:i/>
      <w:iCs/>
      <w:sz w:val="24"/>
      <w:szCs w:val="24"/>
      <w:lang w:val="nb-NO" w:eastAsia="nb-NO"/>
    </w:rPr>
  </w:style>
  <w:style w:type="paragraph" w:customStyle="1" w:styleId="xl94">
    <w:name w:val="xl94"/>
    <w:basedOn w:val="Normal"/>
    <w:rsid w:val="00543EFB"/>
    <w:pPr>
      <w:widowControl/>
      <w:pBdr>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hAnsi="Times New Roman" w:cs="Times New Roman"/>
      <w:sz w:val="24"/>
      <w:szCs w:val="24"/>
      <w:lang w:val="nb-NO" w:eastAsia="nb-NO"/>
    </w:rPr>
  </w:style>
  <w:style w:type="paragraph" w:customStyle="1" w:styleId="xl95">
    <w:name w:val="xl95"/>
    <w:basedOn w:val="Normal"/>
    <w:rsid w:val="00543EFB"/>
    <w:pPr>
      <w:widowControl/>
      <w:pBdr>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Times New Roman" w:hAnsi="Times New Roman" w:cs="Times New Roman"/>
      <w:sz w:val="24"/>
      <w:szCs w:val="24"/>
      <w:lang w:val="nb-NO" w:eastAsia="nb-NO"/>
    </w:rPr>
  </w:style>
  <w:style w:type="paragraph" w:customStyle="1" w:styleId="xl96">
    <w:name w:val="xl96"/>
    <w:basedOn w:val="Normal"/>
    <w:rsid w:val="00543EFB"/>
    <w:pPr>
      <w:widowControl/>
      <w:pBdr>
        <w:top w:val="single" w:sz="8" w:space="0" w:color="auto"/>
        <w:left w:val="single" w:sz="8"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hAnsi="Times New Roman" w:cs="Times New Roman"/>
      <w:b/>
      <w:bCs/>
      <w:sz w:val="24"/>
      <w:szCs w:val="24"/>
      <w:lang w:val="nb-NO" w:eastAsia="nb-NO"/>
    </w:rPr>
  </w:style>
  <w:style w:type="paragraph" w:customStyle="1" w:styleId="xl97">
    <w:name w:val="xl97"/>
    <w:basedOn w:val="Normal"/>
    <w:rsid w:val="00543EFB"/>
    <w:pPr>
      <w:widowControl/>
      <w:pBdr>
        <w:top w:val="single" w:sz="8"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hAnsi="Times New Roman" w:cs="Times New Roman"/>
      <w:sz w:val="24"/>
      <w:szCs w:val="24"/>
      <w:lang w:val="nb-NO" w:eastAsia="nb-NO"/>
    </w:rPr>
  </w:style>
  <w:style w:type="paragraph" w:customStyle="1" w:styleId="xl98">
    <w:name w:val="xl98"/>
    <w:basedOn w:val="Normal"/>
    <w:rsid w:val="00543EFB"/>
    <w:pPr>
      <w:widowControl/>
      <w:pBdr>
        <w:top w:val="single" w:sz="8"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hAnsi="Times New Roman" w:cs="Times New Roman"/>
      <w:i/>
      <w:iCs/>
      <w:sz w:val="24"/>
      <w:szCs w:val="24"/>
      <w:lang w:val="nb-NO" w:eastAsia="nb-NO"/>
    </w:rPr>
  </w:style>
  <w:style w:type="paragraph" w:customStyle="1" w:styleId="xl99">
    <w:name w:val="xl99"/>
    <w:basedOn w:val="Normal"/>
    <w:rsid w:val="00543EFB"/>
    <w:pPr>
      <w:widowControl/>
      <w:pBdr>
        <w:top w:val="single" w:sz="8"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hAnsi="Times New Roman" w:cs="Times New Roman"/>
      <w:sz w:val="24"/>
      <w:szCs w:val="24"/>
      <w:lang w:val="nb-NO" w:eastAsia="nb-NO"/>
    </w:rPr>
  </w:style>
  <w:style w:type="paragraph" w:customStyle="1" w:styleId="xl100">
    <w:name w:val="xl100"/>
    <w:basedOn w:val="Normal"/>
    <w:rsid w:val="00543EFB"/>
    <w:pPr>
      <w:widowControl/>
      <w:pBdr>
        <w:top w:val="single" w:sz="8"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Times New Roman" w:hAnsi="Times New Roman" w:cs="Times New Roman"/>
      <w:sz w:val="24"/>
      <w:szCs w:val="24"/>
      <w:lang w:val="nb-NO" w:eastAsia="nb-NO"/>
    </w:rPr>
  </w:style>
  <w:style w:type="paragraph" w:customStyle="1" w:styleId="xl101">
    <w:name w:val="xl101"/>
    <w:basedOn w:val="Normal"/>
    <w:rsid w:val="00543EFB"/>
    <w:pPr>
      <w:widowControl/>
      <w:pBdr>
        <w:top w:val="single" w:sz="8" w:space="0" w:color="auto"/>
        <w:left w:val="single" w:sz="8" w:space="0" w:color="auto"/>
      </w:pBdr>
      <w:shd w:val="clear" w:color="000000" w:fill="FFCC99"/>
      <w:suppressAutoHyphens w:val="0"/>
      <w:spacing w:before="100" w:beforeAutospacing="1" w:after="100" w:afterAutospacing="1" w:line="240" w:lineRule="auto"/>
    </w:pPr>
    <w:rPr>
      <w:rFonts w:ascii="Times New Roman" w:hAnsi="Times New Roman" w:cs="Times New Roman"/>
      <w:color w:val="3F3F76"/>
      <w:sz w:val="32"/>
      <w:szCs w:val="32"/>
      <w:lang w:val="nb-NO" w:eastAsia="nb-NO"/>
    </w:rPr>
  </w:style>
  <w:style w:type="paragraph" w:customStyle="1" w:styleId="xl102">
    <w:name w:val="xl102"/>
    <w:basedOn w:val="Normal"/>
    <w:rsid w:val="00543EFB"/>
    <w:pPr>
      <w:widowControl/>
      <w:pBdr>
        <w:top w:val="single" w:sz="8" w:space="0" w:color="auto"/>
      </w:pBdr>
      <w:shd w:val="clear" w:color="000000" w:fill="FFCC99"/>
      <w:suppressAutoHyphens w:val="0"/>
      <w:spacing w:before="100" w:beforeAutospacing="1" w:after="100" w:afterAutospacing="1" w:line="240" w:lineRule="auto"/>
    </w:pPr>
    <w:rPr>
      <w:rFonts w:ascii="Times New Roman" w:hAnsi="Times New Roman" w:cs="Times New Roman"/>
      <w:color w:val="3F3F76"/>
      <w:sz w:val="32"/>
      <w:szCs w:val="32"/>
      <w:lang w:val="nb-NO" w:eastAsia="nb-NO"/>
    </w:rPr>
  </w:style>
  <w:style w:type="paragraph" w:customStyle="1" w:styleId="xl103">
    <w:name w:val="xl103"/>
    <w:basedOn w:val="Normal"/>
    <w:rsid w:val="00543EFB"/>
    <w:pPr>
      <w:widowControl/>
      <w:pBdr>
        <w:top w:val="single" w:sz="8" w:space="0" w:color="auto"/>
        <w:right w:val="single" w:sz="4" w:space="0" w:color="auto"/>
      </w:pBdr>
      <w:shd w:val="clear" w:color="000000" w:fill="FFCC99"/>
      <w:suppressAutoHyphens w:val="0"/>
      <w:spacing w:before="100" w:beforeAutospacing="1" w:after="100" w:afterAutospacing="1" w:line="240" w:lineRule="auto"/>
    </w:pPr>
    <w:rPr>
      <w:rFonts w:ascii="Times New Roman" w:hAnsi="Times New Roman" w:cs="Times New Roman"/>
      <w:color w:val="3F3F76"/>
      <w:sz w:val="32"/>
      <w:szCs w:val="32"/>
      <w:lang w:val="nb-NO" w:eastAsia="nb-NO"/>
    </w:rPr>
  </w:style>
  <w:style w:type="paragraph" w:customStyle="1" w:styleId="xl104">
    <w:name w:val="xl104"/>
    <w:basedOn w:val="Normal"/>
    <w:rsid w:val="00543EFB"/>
    <w:pPr>
      <w:widowControl/>
      <w:pBdr>
        <w:top w:val="single" w:sz="8" w:space="0" w:color="auto"/>
        <w:left w:val="single" w:sz="4" w:space="0" w:color="auto"/>
      </w:pBdr>
      <w:shd w:val="clear" w:color="000000" w:fill="FFCC99"/>
      <w:suppressAutoHyphens w:val="0"/>
      <w:spacing w:before="100" w:beforeAutospacing="1" w:after="100" w:afterAutospacing="1" w:line="240" w:lineRule="auto"/>
    </w:pPr>
    <w:rPr>
      <w:rFonts w:ascii="Times New Roman" w:hAnsi="Times New Roman" w:cs="Times New Roman"/>
      <w:color w:val="3F3F76"/>
      <w:sz w:val="32"/>
      <w:szCs w:val="32"/>
      <w:lang w:val="nb-NO" w:eastAsia="nb-NO"/>
    </w:rPr>
  </w:style>
  <w:style w:type="paragraph" w:customStyle="1" w:styleId="xl105">
    <w:name w:val="xl105"/>
    <w:basedOn w:val="Normal"/>
    <w:rsid w:val="00543EFB"/>
    <w:pPr>
      <w:widowControl/>
      <w:pBdr>
        <w:top w:val="single" w:sz="8" w:space="0" w:color="auto"/>
      </w:pBdr>
      <w:shd w:val="clear" w:color="000000" w:fill="FFCC99"/>
      <w:suppressAutoHyphens w:val="0"/>
      <w:spacing w:before="100" w:beforeAutospacing="1" w:after="100" w:afterAutospacing="1" w:line="240" w:lineRule="auto"/>
    </w:pPr>
    <w:rPr>
      <w:rFonts w:ascii="Times New Roman" w:hAnsi="Times New Roman" w:cs="Times New Roman"/>
      <w:color w:val="3F3F76"/>
      <w:sz w:val="32"/>
      <w:szCs w:val="32"/>
      <w:lang w:val="nb-NO" w:eastAsia="nb-NO"/>
    </w:rPr>
  </w:style>
  <w:style w:type="paragraph" w:customStyle="1" w:styleId="xl106">
    <w:name w:val="xl106"/>
    <w:basedOn w:val="Normal"/>
    <w:rsid w:val="00543EFB"/>
    <w:pPr>
      <w:widowControl/>
      <w:pBdr>
        <w:top w:val="single" w:sz="8" w:space="0" w:color="auto"/>
      </w:pBdr>
      <w:shd w:val="clear" w:color="000000" w:fill="FFCC99"/>
      <w:suppressAutoHyphens w:val="0"/>
      <w:spacing w:before="100" w:beforeAutospacing="1" w:after="100" w:afterAutospacing="1" w:line="240" w:lineRule="auto"/>
      <w:textAlignment w:val="center"/>
    </w:pPr>
    <w:rPr>
      <w:rFonts w:ascii="Times New Roman" w:hAnsi="Times New Roman" w:cs="Times New Roman"/>
      <w:color w:val="3F3F76"/>
      <w:sz w:val="32"/>
      <w:szCs w:val="32"/>
      <w:lang w:val="nb-NO" w:eastAsia="nb-NO"/>
    </w:rPr>
  </w:style>
  <w:style w:type="paragraph" w:customStyle="1" w:styleId="xl107">
    <w:name w:val="xl107"/>
    <w:basedOn w:val="Normal"/>
    <w:rsid w:val="00543EFB"/>
    <w:pPr>
      <w:widowControl/>
      <w:pBdr>
        <w:top w:val="single" w:sz="8" w:space="0" w:color="auto"/>
        <w:right w:val="single" w:sz="8" w:space="0" w:color="auto"/>
      </w:pBdr>
      <w:shd w:val="clear" w:color="000000" w:fill="FFCC99"/>
      <w:suppressAutoHyphens w:val="0"/>
      <w:spacing w:before="100" w:beforeAutospacing="1" w:after="100" w:afterAutospacing="1" w:line="240" w:lineRule="auto"/>
      <w:jc w:val="center"/>
      <w:textAlignment w:val="center"/>
    </w:pPr>
    <w:rPr>
      <w:rFonts w:ascii="Times New Roman" w:hAnsi="Times New Roman" w:cs="Times New Roman"/>
      <w:b/>
      <w:bCs/>
      <w:color w:val="3F3F76"/>
      <w:sz w:val="32"/>
      <w:szCs w:val="32"/>
      <w:lang w:val="nb-NO" w:eastAsia="nb-NO"/>
    </w:rPr>
  </w:style>
  <w:style w:type="paragraph" w:customStyle="1" w:styleId="xl108">
    <w:name w:val="xl108"/>
    <w:basedOn w:val="Normal"/>
    <w:rsid w:val="00543EFB"/>
    <w:pPr>
      <w:widowControl/>
      <w:pBdr>
        <w:top w:val="single" w:sz="8" w:space="0" w:color="auto"/>
        <w:left w:val="single" w:sz="4" w:space="0" w:color="auto"/>
        <w:bottom w:val="single" w:sz="4" w:space="0" w:color="auto"/>
        <w:right w:val="single" w:sz="8" w:space="0" w:color="auto"/>
      </w:pBdr>
      <w:suppressAutoHyphens w:val="0"/>
      <w:spacing w:before="100" w:beforeAutospacing="1" w:after="100" w:afterAutospacing="1" w:line="240" w:lineRule="auto"/>
      <w:jc w:val="center"/>
      <w:textAlignment w:val="center"/>
    </w:pPr>
    <w:rPr>
      <w:rFonts w:ascii="Times New Roman" w:hAnsi="Times New Roman" w:cs="Times New Roman"/>
      <w:b/>
      <w:bCs/>
      <w:sz w:val="24"/>
      <w:szCs w:val="24"/>
      <w:lang w:val="nb-NO" w:eastAsia="nb-NO"/>
    </w:rPr>
  </w:style>
  <w:style w:type="paragraph" w:customStyle="1" w:styleId="xl109">
    <w:name w:val="xl109"/>
    <w:basedOn w:val="Normal"/>
    <w:rsid w:val="00543EFB"/>
    <w:pPr>
      <w:widowControl/>
      <w:pBdr>
        <w:top w:val="single" w:sz="4" w:space="0" w:color="auto"/>
        <w:left w:val="single" w:sz="4" w:space="0" w:color="auto"/>
        <w:right w:val="single" w:sz="8" w:space="0" w:color="auto"/>
      </w:pBdr>
      <w:suppressAutoHyphens w:val="0"/>
      <w:spacing w:before="100" w:beforeAutospacing="1" w:after="100" w:afterAutospacing="1" w:line="240" w:lineRule="auto"/>
      <w:jc w:val="center"/>
      <w:textAlignment w:val="center"/>
    </w:pPr>
    <w:rPr>
      <w:rFonts w:ascii="Times New Roman" w:hAnsi="Times New Roman" w:cs="Times New Roman"/>
      <w:b/>
      <w:bCs/>
      <w:sz w:val="24"/>
      <w:szCs w:val="24"/>
      <w:lang w:val="nb-NO" w:eastAsia="nb-NO"/>
    </w:rPr>
  </w:style>
  <w:style w:type="paragraph" w:customStyle="1" w:styleId="xl110">
    <w:name w:val="xl110"/>
    <w:basedOn w:val="Normal"/>
    <w:rsid w:val="00543EFB"/>
    <w:pPr>
      <w:widowControl/>
      <w:pBdr>
        <w:top w:val="single" w:sz="8" w:space="0" w:color="auto"/>
        <w:left w:val="single" w:sz="4" w:space="0" w:color="auto"/>
        <w:bottom w:val="single" w:sz="4" w:space="0" w:color="auto"/>
        <w:right w:val="single" w:sz="8" w:space="0" w:color="auto"/>
      </w:pBdr>
      <w:suppressAutoHyphens w:val="0"/>
      <w:spacing w:before="100" w:beforeAutospacing="1" w:after="100" w:afterAutospacing="1" w:line="240" w:lineRule="auto"/>
      <w:jc w:val="center"/>
      <w:textAlignment w:val="center"/>
    </w:pPr>
    <w:rPr>
      <w:rFonts w:ascii="Times New Roman" w:hAnsi="Times New Roman" w:cs="Times New Roman"/>
      <w:b/>
      <w:bCs/>
      <w:sz w:val="24"/>
      <w:szCs w:val="24"/>
      <w:lang w:val="nb-NO" w:eastAsia="nb-NO"/>
    </w:rPr>
  </w:style>
  <w:style w:type="paragraph" w:customStyle="1" w:styleId="xl111">
    <w:name w:val="xl111"/>
    <w:basedOn w:val="Normal"/>
    <w:rsid w:val="00543EFB"/>
    <w:pPr>
      <w:widowControl/>
      <w:pBdr>
        <w:top w:val="single" w:sz="4" w:space="0" w:color="auto"/>
        <w:left w:val="single" w:sz="4" w:space="0" w:color="auto"/>
        <w:bottom w:val="single" w:sz="4" w:space="0" w:color="auto"/>
        <w:right w:val="single" w:sz="8" w:space="0" w:color="auto"/>
      </w:pBdr>
      <w:suppressAutoHyphens w:val="0"/>
      <w:spacing w:before="100" w:beforeAutospacing="1" w:after="100" w:afterAutospacing="1" w:line="240" w:lineRule="auto"/>
      <w:jc w:val="center"/>
      <w:textAlignment w:val="center"/>
    </w:pPr>
    <w:rPr>
      <w:rFonts w:ascii="Times New Roman" w:hAnsi="Times New Roman" w:cs="Times New Roman"/>
      <w:b/>
      <w:bCs/>
      <w:sz w:val="24"/>
      <w:szCs w:val="24"/>
      <w:lang w:val="nb-NO" w:eastAsia="nb-NO"/>
    </w:rPr>
  </w:style>
  <w:style w:type="paragraph" w:customStyle="1" w:styleId="xl112">
    <w:name w:val="xl112"/>
    <w:basedOn w:val="Normal"/>
    <w:rsid w:val="00543EFB"/>
    <w:pPr>
      <w:widowControl/>
      <w:pBdr>
        <w:top w:val="single" w:sz="4" w:space="0" w:color="auto"/>
        <w:left w:val="single" w:sz="4" w:space="0" w:color="auto"/>
        <w:bottom w:val="single" w:sz="8" w:space="0" w:color="auto"/>
        <w:right w:val="single" w:sz="8" w:space="0" w:color="auto"/>
      </w:pBdr>
      <w:suppressAutoHyphens w:val="0"/>
      <w:spacing w:before="100" w:beforeAutospacing="1" w:after="100" w:afterAutospacing="1" w:line="240" w:lineRule="auto"/>
      <w:jc w:val="center"/>
      <w:textAlignment w:val="center"/>
    </w:pPr>
    <w:rPr>
      <w:rFonts w:ascii="Times New Roman" w:hAnsi="Times New Roman" w:cs="Times New Roman"/>
      <w:b/>
      <w:bCs/>
      <w:sz w:val="24"/>
      <w:szCs w:val="24"/>
      <w:lang w:val="nb-NO" w:eastAsia="nb-NO"/>
    </w:rPr>
  </w:style>
  <w:style w:type="paragraph" w:customStyle="1" w:styleId="xl113">
    <w:name w:val="xl113"/>
    <w:basedOn w:val="Normal"/>
    <w:rsid w:val="00543EFB"/>
    <w:pPr>
      <w:widowControl/>
      <w:pBdr>
        <w:left w:val="single" w:sz="4" w:space="0" w:color="auto"/>
        <w:bottom w:val="single" w:sz="4" w:space="0" w:color="auto"/>
        <w:right w:val="single" w:sz="8" w:space="0" w:color="auto"/>
      </w:pBdr>
      <w:suppressAutoHyphens w:val="0"/>
      <w:spacing w:before="100" w:beforeAutospacing="1" w:after="100" w:afterAutospacing="1" w:line="240" w:lineRule="auto"/>
      <w:jc w:val="center"/>
      <w:textAlignment w:val="center"/>
    </w:pPr>
    <w:rPr>
      <w:rFonts w:ascii="Times New Roman" w:hAnsi="Times New Roman" w:cs="Times New Roman"/>
      <w:b/>
      <w:bCs/>
      <w:sz w:val="24"/>
      <w:szCs w:val="24"/>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5868">
      <w:bodyDiv w:val="1"/>
      <w:marLeft w:val="0"/>
      <w:marRight w:val="0"/>
      <w:marTop w:val="0"/>
      <w:marBottom w:val="0"/>
      <w:divBdr>
        <w:top w:val="none" w:sz="0" w:space="0" w:color="auto"/>
        <w:left w:val="none" w:sz="0" w:space="0" w:color="auto"/>
        <w:bottom w:val="none" w:sz="0" w:space="0" w:color="auto"/>
        <w:right w:val="none" w:sz="0" w:space="0" w:color="auto"/>
      </w:divBdr>
    </w:div>
    <w:div w:id="4866856">
      <w:bodyDiv w:val="1"/>
      <w:marLeft w:val="0"/>
      <w:marRight w:val="0"/>
      <w:marTop w:val="0"/>
      <w:marBottom w:val="0"/>
      <w:divBdr>
        <w:top w:val="none" w:sz="0" w:space="0" w:color="auto"/>
        <w:left w:val="none" w:sz="0" w:space="0" w:color="auto"/>
        <w:bottom w:val="none" w:sz="0" w:space="0" w:color="auto"/>
        <w:right w:val="none" w:sz="0" w:space="0" w:color="auto"/>
      </w:divBdr>
    </w:div>
    <w:div w:id="5985979">
      <w:bodyDiv w:val="1"/>
      <w:marLeft w:val="0"/>
      <w:marRight w:val="0"/>
      <w:marTop w:val="0"/>
      <w:marBottom w:val="0"/>
      <w:divBdr>
        <w:top w:val="none" w:sz="0" w:space="0" w:color="auto"/>
        <w:left w:val="none" w:sz="0" w:space="0" w:color="auto"/>
        <w:bottom w:val="none" w:sz="0" w:space="0" w:color="auto"/>
        <w:right w:val="none" w:sz="0" w:space="0" w:color="auto"/>
      </w:divBdr>
    </w:div>
    <w:div w:id="6754695">
      <w:bodyDiv w:val="1"/>
      <w:marLeft w:val="0"/>
      <w:marRight w:val="0"/>
      <w:marTop w:val="0"/>
      <w:marBottom w:val="0"/>
      <w:divBdr>
        <w:top w:val="none" w:sz="0" w:space="0" w:color="auto"/>
        <w:left w:val="none" w:sz="0" w:space="0" w:color="auto"/>
        <w:bottom w:val="none" w:sz="0" w:space="0" w:color="auto"/>
        <w:right w:val="none" w:sz="0" w:space="0" w:color="auto"/>
      </w:divBdr>
    </w:div>
    <w:div w:id="14380492">
      <w:bodyDiv w:val="1"/>
      <w:marLeft w:val="0"/>
      <w:marRight w:val="0"/>
      <w:marTop w:val="0"/>
      <w:marBottom w:val="0"/>
      <w:divBdr>
        <w:top w:val="none" w:sz="0" w:space="0" w:color="auto"/>
        <w:left w:val="none" w:sz="0" w:space="0" w:color="auto"/>
        <w:bottom w:val="none" w:sz="0" w:space="0" w:color="auto"/>
        <w:right w:val="none" w:sz="0" w:space="0" w:color="auto"/>
      </w:divBdr>
    </w:div>
    <w:div w:id="15277956">
      <w:bodyDiv w:val="1"/>
      <w:marLeft w:val="0"/>
      <w:marRight w:val="0"/>
      <w:marTop w:val="0"/>
      <w:marBottom w:val="0"/>
      <w:divBdr>
        <w:top w:val="none" w:sz="0" w:space="0" w:color="auto"/>
        <w:left w:val="none" w:sz="0" w:space="0" w:color="auto"/>
        <w:bottom w:val="none" w:sz="0" w:space="0" w:color="auto"/>
        <w:right w:val="none" w:sz="0" w:space="0" w:color="auto"/>
      </w:divBdr>
    </w:div>
    <w:div w:id="23337508">
      <w:bodyDiv w:val="1"/>
      <w:marLeft w:val="0"/>
      <w:marRight w:val="0"/>
      <w:marTop w:val="0"/>
      <w:marBottom w:val="0"/>
      <w:divBdr>
        <w:top w:val="none" w:sz="0" w:space="0" w:color="auto"/>
        <w:left w:val="none" w:sz="0" w:space="0" w:color="auto"/>
        <w:bottom w:val="none" w:sz="0" w:space="0" w:color="auto"/>
        <w:right w:val="none" w:sz="0" w:space="0" w:color="auto"/>
      </w:divBdr>
    </w:div>
    <w:div w:id="25371775">
      <w:bodyDiv w:val="1"/>
      <w:marLeft w:val="0"/>
      <w:marRight w:val="0"/>
      <w:marTop w:val="0"/>
      <w:marBottom w:val="0"/>
      <w:divBdr>
        <w:top w:val="none" w:sz="0" w:space="0" w:color="auto"/>
        <w:left w:val="none" w:sz="0" w:space="0" w:color="auto"/>
        <w:bottom w:val="none" w:sz="0" w:space="0" w:color="auto"/>
        <w:right w:val="none" w:sz="0" w:space="0" w:color="auto"/>
      </w:divBdr>
    </w:div>
    <w:div w:id="25914174">
      <w:bodyDiv w:val="1"/>
      <w:marLeft w:val="0"/>
      <w:marRight w:val="0"/>
      <w:marTop w:val="0"/>
      <w:marBottom w:val="0"/>
      <w:divBdr>
        <w:top w:val="none" w:sz="0" w:space="0" w:color="auto"/>
        <w:left w:val="none" w:sz="0" w:space="0" w:color="auto"/>
        <w:bottom w:val="none" w:sz="0" w:space="0" w:color="auto"/>
        <w:right w:val="none" w:sz="0" w:space="0" w:color="auto"/>
      </w:divBdr>
    </w:div>
    <w:div w:id="28654436">
      <w:bodyDiv w:val="1"/>
      <w:marLeft w:val="0"/>
      <w:marRight w:val="0"/>
      <w:marTop w:val="0"/>
      <w:marBottom w:val="0"/>
      <w:divBdr>
        <w:top w:val="none" w:sz="0" w:space="0" w:color="auto"/>
        <w:left w:val="none" w:sz="0" w:space="0" w:color="auto"/>
        <w:bottom w:val="none" w:sz="0" w:space="0" w:color="auto"/>
        <w:right w:val="none" w:sz="0" w:space="0" w:color="auto"/>
      </w:divBdr>
    </w:div>
    <w:div w:id="29770780">
      <w:bodyDiv w:val="1"/>
      <w:marLeft w:val="0"/>
      <w:marRight w:val="0"/>
      <w:marTop w:val="0"/>
      <w:marBottom w:val="0"/>
      <w:divBdr>
        <w:top w:val="none" w:sz="0" w:space="0" w:color="auto"/>
        <w:left w:val="none" w:sz="0" w:space="0" w:color="auto"/>
        <w:bottom w:val="none" w:sz="0" w:space="0" w:color="auto"/>
        <w:right w:val="none" w:sz="0" w:space="0" w:color="auto"/>
      </w:divBdr>
    </w:div>
    <w:div w:id="30880216">
      <w:bodyDiv w:val="1"/>
      <w:marLeft w:val="0"/>
      <w:marRight w:val="0"/>
      <w:marTop w:val="0"/>
      <w:marBottom w:val="0"/>
      <w:divBdr>
        <w:top w:val="none" w:sz="0" w:space="0" w:color="auto"/>
        <w:left w:val="none" w:sz="0" w:space="0" w:color="auto"/>
        <w:bottom w:val="none" w:sz="0" w:space="0" w:color="auto"/>
        <w:right w:val="none" w:sz="0" w:space="0" w:color="auto"/>
      </w:divBdr>
    </w:div>
    <w:div w:id="31076014">
      <w:bodyDiv w:val="1"/>
      <w:marLeft w:val="0"/>
      <w:marRight w:val="0"/>
      <w:marTop w:val="0"/>
      <w:marBottom w:val="0"/>
      <w:divBdr>
        <w:top w:val="none" w:sz="0" w:space="0" w:color="auto"/>
        <w:left w:val="none" w:sz="0" w:space="0" w:color="auto"/>
        <w:bottom w:val="none" w:sz="0" w:space="0" w:color="auto"/>
        <w:right w:val="none" w:sz="0" w:space="0" w:color="auto"/>
      </w:divBdr>
    </w:div>
    <w:div w:id="32583879">
      <w:bodyDiv w:val="1"/>
      <w:marLeft w:val="0"/>
      <w:marRight w:val="0"/>
      <w:marTop w:val="0"/>
      <w:marBottom w:val="0"/>
      <w:divBdr>
        <w:top w:val="none" w:sz="0" w:space="0" w:color="auto"/>
        <w:left w:val="none" w:sz="0" w:space="0" w:color="auto"/>
        <w:bottom w:val="none" w:sz="0" w:space="0" w:color="auto"/>
        <w:right w:val="none" w:sz="0" w:space="0" w:color="auto"/>
      </w:divBdr>
    </w:div>
    <w:div w:id="35202803">
      <w:bodyDiv w:val="1"/>
      <w:marLeft w:val="0"/>
      <w:marRight w:val="0"/>
      <w:marTop w:val="0"/>
      <w:marBottom w:val="0"/>
      <w:divBdr>
        <w:top w:val="none" w:sz="0" w:space="0" w:color="auto"/>
        <w:left w:val="none" w:sz="0" w:space="0" w:color="auto"/>
        <w:bottom w:val="none" w:sz="0" w:space="0" w:color="auto"/>
        <w:right w:val="none" w:sz="0" w:space="0" w:color="auto"/>
      </w:divBdr>
    </w:div>
    <w:div w:id="35586408">
      <w:bodyDiv w:val="1"/>
      <w:marLeft w:val="0"/>
      <w:marRight w:val="0"/>
      <w:marTop w:val="0"/>
      <w:marBottom w:val="0"/>
      <w:divBdr>
        <w:top w:val="none" w:sz="0" w:space="0" w:color="auto"/>
        <w:left w:val="none" w:sz="0" w:space="0" w:color="auto"/>
        <w:bottom w:val="none" w:sz="0" w:space="0" w:color="auto"/>
        <w:right w:val="none" w:sz="0" w:space="0" w:color="auto"/>
      </w:divBdr>
    </w:div>
    <w:div w:id="35660453">
      <w:bodyDiv w:val="1"/>
      <w:marLeft w:val="0"/>
      <w:marRight w:val="0"/>
      <w:marTop w:val="0"/>
      <w:marBottom w:val="0"/>
      <w:divBdr>
        <w:top w:val="none" w:sz="0" w:space="0" w:color="auto"/>
        <w:left w:val="none" w:sz="0" w:space="0" w:color="auto"/>
        <w:bottom w:val="none" w:sz="0" w:space="0" w:color="auto"/>
        <w:right w:val="none" w:sz="0" w:space="0" w:color="auto"/>
      </w:divBdr>
    </w:div>
    <w:div w:id="36590421">
      <w:bodyDiv w:val="1"/>
      <w:marLeft w:val="0"/>
      <w:marRight w:val="0"/>
      <w:marTop w:val="0"/>
      <w:marBottom w:val="0"/>
      <w:divBdr>
        <w:top w:val="none" w:sz="0" w:space="0" w:color="auto"/>
        <w:left w:val="none" w:sz="0" w:space="0" w:color="auto"/>
        <w:bottom w:val="none" w:sz="0" w:space="0" w:color="auto"/>
        <w:right w:val="none" w:sz="0" w:space="0" w:color="auto"/>
      </w:divBdr>
    </w:div>
    <w:div w:id="39744631">
      <w:bodyDiv w:val="1"/>
      <w:marLeft w:val="0"/>
      <w:marRight w:val="0"/>
      <w:marTop w:val="0"/>
      <w:marBottom w:val="0"/>
      <w:divBdr>
        <w:top w:val="none" w:sz="0" w:space="0" w:color="auto"/>
        <w:left w:val="none" w:sz="0" w:space="0" w:color="auto"/>
        <w:bottom w:val="none" w:sz="0" w:space="0" w:color="auto"/>
        <w:right w:val="none" w:sz="0" w:space="0" w:color="auto"/>
      </w:divBdr>
    </w:div>
    <w:div w:id="39985106">
      <w:bodyDiv w:val="1"/>
      <w:marLeft w:val="0"/>
      <w:marRight w:val="0"/>
      <w:marTop w:val="0"/>
      <w:marBottom w:val="0"/>
      <w:divBdr>
        <w:top w:val="none" w:sz="0" w:space="0" w:color="auto"/>
        <w:left w:val="none" w:sz="0" w:space="0" w:color="auto"/>
        <w:bottom w:val="none" w:sz="0" w:space="0" w:color="auto"/>
        <w:right w:val="none" w:sz="0" w:space="0" w:color="auto"/>
      </w:divBdr>
    </w:div>
    <w:div w:id="40834612">
      <w:bodyDiv w:val="1"/>
      <w:marLeft w:val="0"/>
      <w:marRight w:val="0"/>
      <w:marTop w:val="0"/>
      <w:marBottom w:val="0"/>
      <w:divBdr>
        <w:top w:val="none" w:sz="0" w:space="0" w:color="auto"/>
        <w:left w:val="none" w:sz="0" w:space="0" w:color="auto"/>
        <w:bottom w:val="none" w:sz="0" w:space="0" w:color="auto"/>
        <w:right w:val="none" w:sz="0" w:space="0" w:color="auto"/>
      </w:divBdr>
    </w:div>
    <w:div w:id="41485973">
      <w:bodyDiv w:val="1"/>
      <w:marLeft w:val="0"/>
      <w:marRight w:val="0"/>
      <w:marTop w:val="0"/>
      <w:marBottom w:val="0"/>
      <w:divBdr>
        <w:top w:val="none" w:sz="0" w:space="0" w:color="auto"/>
        <w:left w:val="none" w:sz="0" w:space="0" w:color="auto"/>
        <w:bottom w:val="none" w:sz="0" w:space="0" w:color="auto"/>
        <w:right w:val="none" w:sz="0" w:space="0" w:color="auto"/>
      </w:divBdr>
    </w:div>
    <w:div w:id="44841408">
      <w:bodyDiv w:val="1"/>
      <w:marLeft w:val="0"/>
      <w:marRight w:val="0"/>
      <w:marTop w:val="0"/>
      <w:marBottom w:val="0"/>
      <w:divBdr>
        <w:top w:val="none" w:sz="0" w:space="0" w:color="auto"/>
        <w:left w:val="none" w:sz="0" w:space="0" w:color="auto"/>
        <w:bottom w:val="none" w:sz="0" w:space="0" w:color="auto"/>
        <w:right w:val="none" w:sz="0" w:space="0" w:color="auto"/>
      </w:divBdr>
    </w:div>
    <w:div w:id="47531504">
      <w:bodyDiv w:val="1"/>
      <w:marLeft w:val="0"/>
      <w:marRight w:val="0"/>
      <w:marTop w:val="0"/>
      <w:marBottom w:val="0"/>
      <w:divBdr>
        <w:top w:val="none" w:sz="0" w:space="0" w:color="auto"/>
        <w:left w:val="none" w:sz="0" w:space="0" w:color="auto"/>
        <w:bottom w:val="none" w:sz="0" w:space="0" w:color="auto"/>
        <w:right w:val="none" w:sz="0" w:space="0" w:color="auto"/>
      </w:divBdr>
    </w:div>
    <w:div w:id="48725498">
      <w:bodyDiv w:val="1"/>
      <w:marLeft w:val="0"/>
      <w:marRight w:val="0"/>
      <w:marTop w:val="0"/>
      <w:marBottom w:val="0"/>
      <w:divBdr>
        <w:top w:val="none" w:sz="0" w:space="0" w:color="auto"/>
        <w:left w:val="none" w:sz="0" w:space="0" w:color="auto"/>
        <w:bottom w:val="none" w:sz="0" w:space="0" w:color="auto"/>
        <w:right w:val="none" w:sz="0" w:space="0" w:color="auto"/>
      </w:divBdr>
    </w:div>
    <w:div w:id="50152455">
      <w:bodyDiv w:val="1"/>
      <w:marLeft w:val="0"/>
      <w:marRight w:val="0"/>
      <w:marTop w:val="0"/>
      <w:marBottom w:val="0"/>
      <w:divBdr>
        <w:top w:val="none" w:sz="0" w:space="0" w:color="auto"/>
        <w:left w:val="none" w:sz="0" w:space="0" w:color="auto"/>
        <w:bottom w:val="none" w:sz="0" w:space="0" w:color="auto"/>
        <w:right w:val="none" w:sz="0" w:space="0" w:color="auto"/>
      </w:divBdr>
    </w:div>
    <w:div w:id="53084806">
      <w:bodyDiv w:val="1"/>
      <w:marLeft w:val="0"/>
      <w:marRight w:val="0"/>
      <w:marTop w:val="0"/>
      <w:marBottom w:val="0"/>
      <w:divBdr>
        <w:top w:val="none" w:sz="0" w:space="0" w:color="auto"/>
        <w:left w:val="none" w:sz="0" w:space="0" w:color="auto"/>
        <w:bottom w:val="none" w:sz="0" w:space="0" w:color="auto"/>
        <w:right w:val="none" w:sz="0" w:space="0" w:color="auto"/>
      </w:divBdr>
    </w:div>
    <w:div w:id="59790936">
      <w:bodyDiv w:val="1"/>
      <w:marLeft w:val="0"/>
      <w:marRight w:val="0"/>
      <w:marTop w:val="0"/>
      <w:marBottom w:val="0"/>
      <w:divBdr>
        <w:top w:val="none" w:sz="0" w:space="0" w:color="auto"/>
        <w:left w:val="none" w:sz="0" w:space="0" w:color="auto"/>
        <w:bottom w:val="none" w:sz="0" w:space="0" w:color="auto"/>
        <w:right w:val="none" w:sz="0" w:space="0" w:color="auto"/>
      </w:divBdr>
    </w:div>
    <w:div w:id="61414547">
      <w:bodyDiv w:val="1"/>
      <w:marLeft w:val="0"/>
      <w:marRight w:val="0"/>
      <w:marTop w:val="0"/>
      <w:marBottom w:val="0"/>
      <w:divBdr>
        <w:top w:val="none" w:sz="0" w:space="0" w:color="auto"/>
        <w:left w:val="none" w:sz="0" w:space="0" w:color="auto"/>
        <w:bottom w:val="none" w:sz="0" w:space="0" w:color="auto"/>
        <w:right w:val="none" w:sz="0" w:space="0" w:color="auto"/>
      </w:divBdr>
    </w:div>
    <w:div w:id="66265703">
      <w:bodyDiv w:val="1"/>
      <w:marLeft w:val="0"/>
      <w:marRight w:val="0"/>
      <w:marTop w:val="0"/>
      <w:marBottom w:val="0"/>
      <w:divBdr>
        <w:top w:val="none" w:sz="0" w:space="0" w:color="auto"/>
        <w:left w:val="none" w:sz="0" w:space="0" w:color="auto"/>
        <w:bottom w:val="none" w:sz="0" w:space="0" w:color="auto"/>
        <w:right w:val="none" w:sz="0" w:space="0" w:color="auto"/>
      </w:divBdr>
    </w:div>
    <w:div w:id="67730419">
      <w:bodyDiv w:val="1"/>
      <w:marLeft w:val="0"/>
      <w:marRight w:val="0"/>
      <w:marTop w:val="0"/>
      <w:marBottom w:val="0"/>
      <w:divBdr>
        <w:top w:val="none" w:sz="0" w:space="0" w:color="auto"/>
        <w:left w:val="none" w:sz="0" w:space="0" w:color="auto"/>
        <w:bottom w:val="none" w:sz="0" w:space="0" w:color="auto"/>
        <w:right w:val="none" w:sz="0" w:space="0" w:color="auto"/>
      </w:divBdr>
    </w:div>
    <w:div w:id="68888407">
      <w:bodyDiv w:val="1"/>
      <w:marLeft w:val="0"/>
      <w:marRight w:val="0"/>
      <w:marTop w:val="0"/>
      <w:marBottom w:val="0"/>
      <w:divBdr>
        <w:top w:val="none" w:sz="0" w:space="0" w:color="auto"/>
        <w:left w:val="none" w:sz="0" w:space="0" w:color="auto"/>
        <w:bottom w:val="none" w:sz="0" w:space="0" w:color="auto"/>
        <w:right w:val="none" w:sz="0" w:space="0" w:color="auto"/>
      </w:divBdr>
    </w:div>
    <w:div w:id="75907480">
      <w:bodyDiv w:val="1"/>
      <w:marLeft w:val="0"/>
      <w:marRight w:val="0"/>
      <w:marTop w:val="0"/>
      <w:marBottom w:val="0"/>
      <w:divBdr>
        <w:top w:val="none" w:sz="0" w:space="0" w:color="auto"/>
        <w:left w:val="none" w:sz="0" w:space="0" w:color="auto"/>
        <w:bottom w:val="none" w:sz="0" w:space="0" w:color="auto"/>
        <w:right w:val="none" w:sz="0" w:space="0" w:color="auto"/>
      </w:divBdr>
    </w:div>
    <w:div w:id="78403541">
      <w:bodyDiv w:val="1"/>
      <w:marLeft w:val="0"/>
      <w:marRight w:val="0"/>
      <w:marTop w:val="0"/>
      <w:marBottom w:val="0"/>
      <w:divBdr>
        <w:top w:val="none" w:sz="0" w:space="0" w:color="auto"/>
        <w:left w:val="none" w:sz="0" w:space="0" w:color="auto"/>
        <w:bottom w:val="none" w:sz="0" w:space="0" w:color="auto"/>
        <w:right w:val="none" w:sz="0" w:space="0" w:color="auto"/>
      </w:divBdr>
    </w:div>
    <w:div w:id="80221656">
      <w:bodyDiv w:val="1"/>
      <w:marLeft w:val="0"/>
      <w:marRight w:val="0"/>
      <w:marTop w:val="0"/>
      <w:marBottom w:val="0"/>
      <w:divBdr>
        <w:top w:val="none" w:sz="0" w:space="0" w:color="auto"/>
        <w:left w:val="none" w:sz="0" w:space="0" w:color="auto"/>
        <w:bottom w:val="none" w:sz="0" w:space="0" w:color="auto"/>
        <w:right w:val="none" w:sz="0" w:space="0" w:color="auto"/>
      </w:divBdr>
    </w:div>
    <w:div w:id="80227764">
      <w:bodyDiv w:val="1"/>
      <w:marLeft w:val="0"/>
      <w:marRight w:val="0"/>
      <w:marTop w:val="0"/>
      <w:marBottom w:val="0"/>
      <w:divBdr>
        <w:top w:val="none" w:sz="0" w:space="0" w:color="auto"/>
        <w:left w:val="none" w:sz="0" w:space="0" w:color="auto"/>
        <w:bottom w:val="none" w:sz="0" w:space="0" w:color="auto"/>
        <w:right w:val="none" w:sz="0" w:space="0" w:color="auto"/>
      </w:divBdr>
    </w:div>
    <w:div w:id="87234089">
      <w:bodyDiv w:val="1"/>
      <w:marLeft w:val="0"/>
      <w:marRight w:val="0"/>
      <w:marTop w:val="0"/>
      <w:marBottom w:val="0"/>
      <w:divBdr>
        <w:top w:val="none" w:sz="0" w:space="0" w:color="auto"/>
        <w:left w:val="none" w:sz="0" w:space="0" w:color="auto"/>
        <w:bottom w:val="none" w:sz="0" w:space="0" w:color="auto"/>
        <w:right w:val="none" w:sz="0" w:space="0" w:color="auto"/>
      </w:divBdr>
    </w:div>
    <w:div w:id="88164259">
      <w:bodyDiv w:val="1"/>
      <w:marLeft w:val="0"/>
      <w:marRight w:val="0"/>
      <w:marTop w:val="0"/>
      <w:marBottom w:val="0"/>
      <w:divBdr>
        <w:top w:val="none" w:sz="0" w:space="0" w:color="auto"/>
        <w:left w:val="none" w:sz="0" w:space="0" w:color="auto"/>
        <w:bottom w:val="none" w:sz="0" w:space="0" w:color="auto"/>
        <w:right w:val="none" w:sz="0" w:space="0" w:color="auto"/>
      </w:divBdr>
    </w:div>
    <w:div w:id="89472744">
      <w:bodyDiv w:val="1"/>
      <w:marLeft w:val="0"/>
      <w:marRight w:val="0"/>
      <w:marTop w:val="0"/>
      <w:marBottom w:val="0"/>
      <w:divBdr>
        <w:top w:val="none" w:sz="0" w:space="0" w:color="auto"/>
        <w:left w:val="none" w:sz="0" w:space="0" w:color="auto"/>
        <w:bottom w:val="none" w:sz="0" w:space="0" w:color="auto"/>
        <w:right w:val="none" w:sz="0" w:space="0" w:color="auto"/>
      </w:divBdr>
    </w:div>
    <w:div w:id="90974227">
      <w:bodyDiv w:val="1"/>
      <w:marLeft w:val="0"/>
      <w:marRight w:val="0"/>
      <w:marTop w:val="0"/>
      <w:marBottom w:val="0"/>
      <w:divBdr>
        <w:top w:val="none" w:sz="0" w:space="0" w:color="auto"/>
        <w:left w:val="none" w:sz="0" w:space="0" w:color="auto"/>
        <w:bottom w:val="none" w:sz="0" w:space="0" w:color="auto"/>
        <w:right w:val="none" w:sz="0" w:space="0" w:color="auto"/>
      </w:divBdr>
    </w:div>
    <w:div w:id="92091388">
      <w:bodyDiv w:val="1"/>
      <w:marLeft w:val="0"/>
      <w:marRight w:val="0"/>
      <w:marTop w:val="0"/>
      <w:marBottom w:val="0"/>
      <w:divBdr>
        <w:top w:val="none" w:sz="0" w:space="0" w:color="auto"/>
        <w:left w:val="none" w:sz="0" w:space="0" w:color="auto"/>
        <w:bottom w:val="none" w:sz="0" w:space="0" w:color="auto"/>
        <w:right w:val="none" w:sz="0" w:space="0" w:color="auto"/>
      </w:divBdr>
    </w:div>
    <w:div w:id="92283034">
      <w:bodyDiv w:val="1"/>
      <w:marLeft w:val="0"/>
      <w:marRight w:val="0"/>
      <w:marTop w:val="0"/>
      <w:marBottom w:val="0"/>
      <w:divBdr>
        <w:top w:val="none" w:sz="0" w:space="0" w:color="auto"/>
        <w:left w:val="none" w:sz="0" w:space="0" w:color="auto"/>
        <w:bottom w:val="none" w:sz="0" w:space="0" w:color="auto"/>
        <w:right w:val="none" w:sz="0" w:space="0" w:color="auto"/>
      </w:divBdr>
    </w:div>
    <w:div w:id="96560959">
      <w:bodyDiv w:val="1"/>
      <w:marLeft w:val="0"/>
      <w:marRight w:val="0"/>
      <w:marTop w:val="0"/>
      <w:marBottom w:val="0"/>
      <w:divBdr>
        <w:top w:val="none" w:sz="0" w:space="0" w:color="auto"/>
        <w:left w:val="none" w:sz="0" w:space="0" w:color="auto"/>
        <w:bottom w:val="none" w:sz="0" w:space="0" w:color="auto"/>
        <w:right w:val="none" w:sz="0" w:space="0" w:color="auto"/>
      </w:divBdr>
    </w:div>
    <w:div w:id="97023302">
      <w:bodyDiv w:val="1"/>
      <w:marLeft w:val="0"/>
      <w:marRight w:val="0"/>
      <w:marTop w:val="0"/>
      <w:marBottom w:val="0"/>
      <w:divBdr>
        <w:top w:val="none" w:sz="0" w:space="0" w:color="auto"/>
        <w:left w:val="none" w:sz="0" w:space="0" w:color="auto"/>
        <w:bottom w:val="none" w:sz="0" w:space="0" w:color="auto"/>
        <w:right w:val="none" w:sz="0" w:space="0" w:color="auto"/>
      </w:divBdr>
    </w:div>
    <w:div w:id="97677469">
      <w:bodyDiv w:val="1"/>
      <w:marLeft w:val="0"/>
      <w:marRight w:val="0"/>
      <w:marTop w:val="0"/>
      <w:marBottom w:val="0"/>
      <w:divBdr>
        <w:top w:val="none" w:sz="0" w:space="0" w:color="auto"/>
        <w:left w:val="none" w:sz="0" w:space="0" w:color="auto"/>
        <w:bottom w:val="none" w:sz="0" w:space="0" w:color="auto"/>
        <w:right w:val="none" w:sz="0" w:space="0" w:color="auto"/>
      </w:divBdr>
    </w:div>
    <w:div w:id="101192019">
      <w:bodyDiv w:val="1"/>
      <w:marLeft w:val="0"/>
      <w:marRight w:val="0"/>
      <w:marTop w:val="0"/>
      <w:marBottom w:val="0"/>
      <w:divBdr>
        <w:top w:val="none" w:sz="0" w:space="0" w:color="auto"/>
        <w:left w:val="none" w:sz="0" w:space="0" w:color="auto"/>
        <w:bottom w:val="none" w:sz="0" w:space="0" w:color="auto"/>
        <w:right w:val="none" w:sz="0" w:space="0" w:color="auto"/>
      </w:divBdr>
    </w:div>
    <w:div w:id="102919313">
      <w:bodyDiv w:val="1"/>
      <w:marLeft w:val="0"/>
      <w:marRight w:val="0"/>
      <w:marTop w:val="0"/>
      <w:marBottom w:val="0"/>
      <w:divBdr>
        <w:top w:val="none" w:sz="0" w:space="0" w:color="auto"/>
        <w:left w:val="none" w:sz="0" w:space="0" w:color="auto"/>
        <w:bottom w:val="none" w:sz="0" w:space="0" w:color="auto"/>
        <w:right w:val="none" w:sz="0" w:space="0" w:color="auto"/>
      </w:divBdr>
    </w:div>
    <w:div w:id="103576257">
      <w:bodyDiv w:val="1"/>
      <w:marLeft w:val="0"/>
      <w:marRight w:val="0"/>
      <w:marTop w:val="0"/>
      <w:marBottom w:val="0"/>
      <w:divBdr>
        <w:top w:val="none" w:sz="0" w:space="0" w:color="auto"/>
        <w:left w:val="none" w:sz="0" w:space="0" w:color="auto"/>
        <w:bottom w:val="none" w:sz="0" w:space="0" w:color="auto"/>
        <w:right w:val="none" w:sz="0" w:space="0" w:color="auto"/>
      </w:divBdr>
    </w:div>
    <w:div w:id="103814040">
      <w:bodyDiv w:val="1"/>
      <w:marLeft w:val="0"/>
      <w:marRight w:val="0"/>
      <w:marTop w:val="0"/>
      <w:marBottom w:val="0"/>
      <w:divBdr>
        <w:top w:val="none" w:sz="0" w:space="0" w:color="auto"/>
        <w:left w:val="none" w:sz="0" w:space="0" w:color="auto"/>
        <w:bottom w:val="none" w:sz="0" w:space="0" w:color="auto"/>
        <w:right w:val="none" w:sz="0" w:space="0" w:color="auto"/>
      </w:divBdr>
    </w:div>
    <w:div w:id="103965019">
      <w:bodyDiv w:val="1"/>
      <w:marLeft w:val="0"/>
      <w:marRight w:val="0"/>
      <w:marTop w:val="0"/>
      <w:marBottom w:val="0"/>
      <w:divBdr>
        <w:top w:val="none" w:sz="0" w:space="0" w:color="auto"/>
        <w:left w:val="none" w:sz="0" w:space="0" w:color="auto"/>
        <w:bottom w:val="none" w:sz="0" w:space="0" w:color="auto"/>
        <w:right w:val="none" w:sz="0" w:space="0" w:color="auto"/>
      </w:divBdr>
    </w:div>
    <w:div w:id="105278267">
      <w:bodyDiv w:val="1"/>
      <w:marLeft w:val="0"/>
      <w:marRight w:val="0"/>
      <w:marTop w:val="0"/>
      <w:marBottom w:val="0"/>
      <w:divBdr>
        <w:top w:val="none" w:sz="0" w:space="0" w:color="auto"/>
        <w:left w:val="none" w:sz="0" w:space="0" w:color="auto"/>
        <w:bottom w:val="none" w:sz="0" w:space="0" w:color="auto"/>
        <w:right w:val="none" w:sz="0" w:space="0" w:color="auto"/>
      </w:divBdr>
    </w:div>
    <w:div w:id="105467772">
      <w:bodyDiv w:val="1"/>
      <w:marLeft w:val="0"/>
      <w:marRight w:val="0"/>
      <w:marTop w:val="0"/>
      <w:marBottom w:val="0"/>
      <w:divBdr>
        <w:top w:val="none" w:sz="0" w:space="0" w:color="auto"/>
        <w:left w:val="none" w:sz="0" w:space="0" w:color="auto"/>
        <w:bottom w:val="none" w:sz="0" w:space="0" w:color="auto"/>
        <w:right w:val="none" w:sz="0" w:space="0" w:color="auto"/>
      </w:divBdr>
    </w:div>
    <w:div w:id="107314787">
      <w:bodyDiv w:val="1"/>
      <w:marLeft w:val="0"/>
      <w:marRight w:val="0"/>
      <w:marTop w:val="0"/>
      <w:marBottom w:val="0"/>
      <w:divBdr>
        <w:top w:val="none" w:sz="0" w:space="0" w:color="auto"/>
        <w:left w:val="none" w:sz="0" w:space="0" w:color="auto"/>
        <w:bottom w:val="none" w:sz="0" w:space="0" w:color="auto"/>
        <w:right w:val="none" w:sz="0" w:space="0" w:color="auto"/>
      </w:divBdr>
    </w:div>
    <w:div w:id="108093147">
      <w:bodyDiv w:val="1"/>
      <w:marLeft w:val="0"/>
      <w:marRight w:val="0"/>
      <w:marTop w:val="0"/>
      <w:marBottom w:val="0"/>
      <w:divBdr>
        <w:top w:val="none" w:sz="0" w:space="0" w:color="auto"/>
        <w:left w:val="none" w:sz="0" w:space="0" w:color="auto"/>
        <w:bottom w:val="none" w:sz="0" w:space="0" w:color="auto"/>
        <w:right w:val="none" w:sz="0" w:space="0" w:color="auto"/>
      </w:divBdr>
    </w:div>
    <w:div w:id="108858391">
      <w:bodyDiv w:val="1"/>
      <w:marLeft w:val="0"/>
      <w:marRight w:val="0"/>
      <w:marTop w:val="0"/>
      <w:marBottom w:val="0"/>
      <w:divBdr>
        <w:top w:val="none" w:sz="0" w:space="0" w:color="auto"/>
        <w:left w:val="none" w:sz="0" w:space="0" w:color="auto"/>
        <w:bottom w:val="none" w:sz="0" w:space="0" w:color="auto"/>
        <w:right w:val="none" w:sz="0" w:space="0" w:color="auto"/>
      </w:divBdr>
    </w:div>
    <w:div w:id="109053320">
      <w:bodyDiv w:val="1"/>
      <w:marLeft w:val="0"/>
      <w:marRight w:val="0"/>
      <w:marTop w:val="0"/>
      <w:marBottom w:val="0"/>
      <w:divBdr>
        <w:top w:val="none" w:sz="0" w:space="0" w:color="auto"/>
        <w:left w:val="none" w:sz="0" w:space="0" w:color="auto"/>
        <w:bottom w:val="none" w:sz="0" w:space="0" w:color="auto"/>
        <w:right w:val="none" w:sz="0" w:space="0" w:color="auto"/>
      </w:divBdr>
    </w:div>
    <w:div w:id="110436324">
      <w:bodyDiv w:val="1"/>
      <w:marLeft w:val="0"/>
      <w:marRight w:val="0"/>
      <w:marTop w:val="0"/>
      <w:marBottom w:val="0"/>
      <w:divBdr>
        <w:top w:val="none" w:sz="0" w:space="0" w:color="auto"/>
        <w:left w:val="none" w:sz="0" w:space="0" w:color="auto"/>
        <w:bottom w:val="none" w:sz="0" w:space="0" w:color="auto"/>
        <w:right w:val="none" w:sz="0" w:space="0" w:color="auto"/>
      </w:divBdr>
    </w:div>
    <w:div w:id="111170890">
      <w:bodyDiv w:val="1"/>
      <w:marLeft w:val="0"/>
      <w:marRight w:val="0"/>
      <w:marTop w:val="0"/>
      <w:marBottom w:val="0"/>
      <w:divBdr>
        <w:top w:val="none" w:sz="0" w:space="0" w:color="auto"/>
        <w:left w:val="none" w:sz="0" w:space="0" w:color="auto"/>
        <w:bottom w:val="none" w:sz="0" w:space="0" w:color="auto"/>
        <w:right w:val="none" w:sz="0" w:space="0" w:color="auto"/>
      </w:divBdr>
    </w:div>
    <w:div w:id="112332347">
      <w:bodyDiv w:val="1"/>
      <w:marLeft w:val="0"/>
      <w:marRight w:val="0"/>
      <w:marTop w:val="0"/>
      <w:marBottom w:val="0"/>
      <w:divBdr>
        <w:top w:val="none" w:sz="0" w:space="0" w:color="auto"/>
        <w:left w:val="none" w:sz="0" w:space="0" w:color="auto"/>
        <w:bottom w:val="none" w:sz="0" w:space="0" w:color="auto"/>
        <w:right w:val="none" w:sz="0" w:space="0" w:color="auto"/>
      </w:divBdr>
    </w:div>
    <w:div w:id="112402242">
      <w:bodyDiv w:val="1"/>
      <w:marLeft w:val="0"/>
      <w:marRight w:val="0"/>
      <w:marTop w:val="0"/>
      <w:marBottom w:val="0"/>
      <w:divBdr>
        <w:top w:val="none" w:sz="0" w:space="0" w:color="auto"/>
        <w:left w:val="none" w:sz="0" w:space="0" w:color="auto"/>
        <w:bottom w:val="none" w:sz="0" w:space="0" w:color="auto"/>
        <w:right w:val="none" w:sz="0" w:space="0" w:color="auto"/>
      </w:divBdr>
    </w:div>
    <w:div w:id="114642634">
      <w:bodyDiv w:val="1"/>
      <w:marLeft w:val="0"/>
      <w:marRight w:val="0"/>
      <w:marTop w:val="0"/>
      <w:marBottom w:val="0"/>
      <w:divBdr>
        <w:top w:val="none" w:sz="0" w:space="0" w:color="auto"/>
        <w:left w:val="none" w:sz="0" w:space="0" w:color="auto"/>
        <w:bottom w:val="none" w:sz="0" w:space="0" w:color="auto"/>
        <w:right w:val="none" w:sz="0" w:space="0" w:color="auto"/>
      </w:divBdr>
    </w:div>
    <w:div w:id="118761849">
      <w:bodyDiv w:val="1"/>
      <w:marLeft w:val="0"/>
      <w:marRight w:val="0"/>
      <w:marTop w:val="0"/>
      <w:marBottom w:val="0"/>
      <w:divBdr>
        <w:top w:val="none" w:sz="0" w:space="0" w:color="auto"/>
        <w:left w:val="none" w:sz="0" w:space="0" w:color="auto"/>
        <w:bottom w:val="none" w:sz="0" w:space="0" w:color="auto"/>
        <w:right w:val="none" w:sz="0" w:space="0" w:color="auto"/>
      </w:divBdr>
    </w:div>
    <w:div w:id="118964372">
      <w:bodyDiv w:val="1"/>
      <w:marLeft w:val="0"/>
      <w:marRight w:val="0"/>
      <w:marTop w:val="0"/>
      <w:marBottom w:val="0"/>
      <w:divBdr>
        <w:top w:val="none" w:sz="0" w:space="0" w:color="auto"/>
        <w:left w:val="none" w:sz="0" w:space="0" w:color="auto"/>
        <w:bottom w:val="none" w:sz="0" w:space="0" w:color="auto"/>
        <w:right w:val="none" w:sz="0" w:space="0" w:color="auto"/>
      </w:divBdr>
    </w:div>
    <w:div w:id="121270022">
      <w:bodyDiv w:val="1"/>
      <w:marLeft w:val="0"/>
      <w:marRight w:val="0"/>
      <w:marTop w:val="0"/>
      <w:marBottom w:val="0"/>
      <w:divBdr>
        <w:top w:val="none" w:sz="0" w:space="0" w:color="auto"/>
        <w:left w:val="none" w:sz="0" w:space="0" w:color="auto"/>
        <w:bottom w:val="none" w:sz="0" w:space="0" w:color="auto"/>
        <w:right w:val="none" w:sz="0" w:space="0" w:color="auto"/>
      </w:divBdr>
      <w:divsChild>
        <w:div w:id="664868285">
          <w:marLeft w:val="0"/>
          <w:marRight w:val="0"/>
          <w:marTop w:val="0"/>
          <w:marBottom w:val="0"/>
          <w:divBdr>
            <w:top w:val="none" w:sz="0" w:space="0" w:color="auto"/>
            <w:left w:val="none" w:sz="0" w:space="0" w:color="auto"/>
            <w:bottom w:val="none" w:sz="0" w:space="0" w:color="auto"/>
            <w:right w:val="none" w:sz="0" w:space="0" w:color="auto"/>
          </w:divBdr>
        </w:div>
      </w:divsChild>
    </w:div>
    <w:div w:id="125972456">
      <w:bodyDiv w:val="1"/>
      <w:marLeft w:val="0"/>
      <w:marRight w:val="0"/>
      <w:marTop w:val="0"/>
      <w:marBottom w:val="0"/>
      <w:divBdr>
        <w:top w:val="none" w:sz="0" w:space="0" w:color="auto"/>
        <w:left w:val="none" w:sz="0" w:space="0" w:color="auto"/>
        <w:bottom w:val="none" w:sz="0" w:space="0" w:color="auto"/>
        <w:right w:val="none" w:sz="0" w:space="0" w:color="auto"/>
      </w:divBdr>
    </w:div>
    <w:div w:id="127093325">
      <w:bodyDiv w:val="1"/>
      <w:marLeft w:val="0"/>
      <w:marRight w:val="0"/>
      <w:marTop w:val="0"/>
      <w:marBottom w:val="0"/>
      <w:divBdr>
        <w:top w:val="none" w:sz="0" w:space="0" w:color="auto"/>
        <w:left w:val="none" w:sz="0" w:space="0" w:color="auto"/>
        <w:bottom w:val="none" w:sz="0" w:space="0" w:color="auto"/>
        <w:right w:val="none" w:sz="0" w:space="0" w:color="auto"/>
      </w:divBdr>
    </w:div>
    <w:div w:id="131099736">
      <w:bodyDiv w:val="1"/>
      <w:marLeft w:val="0"/>
      <w:marRight w:val="0"/>
      <w:marTop w:val="0"/>
      <w:marBottom w:val="0"/>
      <w:divBdr>
        <w:top w:val="none" w:sz="0" w:space="0" w:color="auto"/>
        <w:left w:val="none" w:sz="0" w:space="0" w:color="auto"/>
        <w:bottom w:val="none" w:sz="0" w:space="0" w:color="auto"/>
        <w:right w:val="none" w:sz="0" w:space="0" w:color="auto"/>
      </w:divBdr>
    </w:div>
    <w:div w:id="131678958">
      <w:bodyDiv w:val="1"/>
      <w:marLeft w:val="0"/>
      <w:marRight w:val="0"/>
      <w:marTop w:val="0"/>
      <w:marBottom w:val="0"/>
      <w:divBdr>
        <w:top w:val="none" w:sz="0" w:space="0" w:color="auto"/>
        <w:left w:val="none" w:sz="0" w:space="0" w:color="auto"/>
        <w:bottom w:val="none" w:sz="0" w:space="0" w:color="auto"/>
        <w:right w:val="none" w:sz="0" w:space="0" w:color="auto"/>
      </w:divBdr>
    </w:div>
    <w:div w:id="134224032">
      <w:bodyDiv w:val="1"/>
      <w:marLeft w:val="0"/>
      <w:marRight w:val="0"/>
      <w:marTop w:val="0"/>
      <w:marBottom w:val="0"/>
      <w:divBdr>
        <w:top w:val="none" w:sz="0" w:space="0" w:color="auto"/>
        <w:left w:val="none" w:sz="0" w:space="0" w:color="auto"/>
        <w:bottom w:val="none" w:sz="0" w:space="0" w:color="auto"/>
        <w:right w:val="none" w:sz="0" w:space="0" w:color="auto"/>
      </w:divBdr>
    </w:div>
    <w:div w:id="134417394">
      <w:bodyDiv w:val="1"/>
      <w:marLeft w:val="0"/>
      <w:marRight w:val="0"/>
      <w:marTop w:val="0"/>
      <w:marBottom w:val="0"/>
      <w:divBdr>
        <w:top w:val="none" w:sz="0" w:space="0" w:color="auto"/>
        <w:left w:val="none" w:sz="0" w:space="0" w:color="auto"/>
        <w:bottom w:val="none" w:sz="0" w:space="0" w:color="auto"/>
        <w:right w:val="none" w:sz="0" w:space="0" w:color="auto"/>
      </w:divBdr>
    </w:div>
    <w:div w:id="134421946">
      <w:bodyDiv w:val="1"/>
      <w:marLeft w:val="0"/>
      <w:marRight w:val="0"/>
      <w:marTop w:val="0"/>
      <w:marBottom w:val="0"/>
      <w:divBdr>
        <w:top w:val="none" w:sz="0" w:space="0" w:color="auto"/>
        <w:left w:val="none" w:sz="0" w:space="0" w:color="auto"/>
        <w:bottom w:val="none" w:sz="0" w:space="0" w:color="auto"/>
        <w:right w:val="none" w:sz="0" w:space="0" w:color="auto"/>
      </w:divBdr>
    </w:div>
    <w:div w:id="138036837">
      <w:bodyDiv w:val="1"/>
      <w:marLeft w:val="0"/>
      <w:marRight w:val="0"/>
      <w:marTop w:val="0"/>
      <w:marBottom w:val="0"/>
      <w:divBdr>
        <w:top w:val="none" w:sz="0" w:space="0" w:color="auto"/>
        <w:left w:val="none" w:sz="0" w:space="0" w:color="auto"/>
        <w:bottom w:val="none" w:sz="0" w:space="0" w:color="auto"/>
        <w:right w:val="none" w:sz="0" w:space="0" w:color="auto"/>
      </w:divBdr>
    </w:div>
    <w:div w:id="138806763">
      <w:bodyDiv w:val="1"/>
      <w:marLeft w:val="0"/>
      <w:marRight w:val="0"/>
      <w:marTop w:val="0"/>
      <w:marBottom w:val="0"/>
      <w:divBdr>
        <w:top w:val="none" w:sz="0" w:space="0" w:color="auto"/>
        <w:left w:val="none" w:sz="0" w:space="0" w:color="auto"/>
        <w:bottom w:val="none" w:sz="0" w:space="0" w:color="auto"/>
        <w:right w:val="none" w:sz="0" w:space="0" w:color="auto"/>
      </w:divBdr>
    </w:div>
    <w:div w:id="141889417">
      <w:bodyDiv w:val="1"/>
      <w:marLeft w:val="0"/>
      <w:marRight w:val="0"/>
      <w:marTop w:val="0"/>
      <w:marBottom w:val="0"/>
      <w:divBdr>
        <w:top w:val="none" w:sz="0" w:space="0" w:color="auto"/>
        <w:left w:val="none" w:sz="0" w:space="0" w:color="auto"/>
        <w:bottom w:val="none" w:sz="0" w:space="0" w:color="auto"/>
        <w:right w:val="none" w:sz="0" w:space="0" w:color="auto"/>
      </w:divBdr>
    </w:div>
    <w:div w:id="145053832">
      <w:bodyDiv w:val="1"/>
      <w:marLeft w:val="0"/>
      <w:marRight w:val="0"/>
      <w:marTop w:val="0"/>
      <w:marBottom w:val="0"/>
      <w:divBdr>
        <w:top w:val="none" w:sz="0" w:space="0" w:color="auto"/>
        <w:left w:val="none" w:sz="0" w:space="0" w:color="auto"/>
        <w:bottom w:val="none" w:sz="0" w:space="0" w:color="auto"/>
        <w:right w:val="none" w:sz="0" w:space="0" w:color="auto"/>
      </w:divBdr>
    </w:div>
    <w:div w:id="146094555">
      <w:bodyDiv w:val="1"/>
      <w:marLeft w:val="0"/>
      <w:marRight w:val="0"/>
      <w:marTop w:val="0"/>
      <w:marBottom w:val="0"/>
      <w:divBdr>
        <w:top w:val="none" w:sz="0" w:space="0" w:color="auto"/>
        <w:left w:val="none" w:sz="0" w:space="0" w:color="auto"/>
        <w:bottom w:val="none" w:sz="0" w:space="0" w:color="auto"/>
        <w:right w:val="none" w:sz="0" w:space="0" w:color="auto"/>
      </w:divBdr>
    </w:div>
    <w:div w:id="147091270">
      <w:bodyDiv w:val="1"/>
      <w:marLeft w:val="0"/>
      <w:marRight w:val="0"/>
      <w:marTop w:val="0"/>
      <w:marBottom w:val="0"/>
      <w:divBdr>
        <w:top w:val="none" w:sz="0" w:space="0" w:color="auto"/>
        <w:left w:val="none" w:sz="0" w:space="0" w:color="auto"/>
        <w:bottom w:val="none" w:sz="0" w:space="0" w:color="auto"/>
        <w:right w:val="none" w:sz="0" w:space="0" w:color="auto"/>
      </w:divBdr>
    </w:div>
    <w:div w:id="148639324">
      <w:bodyDiv w:val="1"/>
      <w:marLeft w:val="0"/>
      <w:marRight w:val="0"/>
      <w:marTop w:val="0"/>
      <w:marBottom w:val="0"/>
      <w:divBdr>
        <w:top w:val="none" w:sz="0" w:space="0" w:color="auto"/>
        <w:left w:val="none" w:sz="0" w:space="0" w:color="auto"/>
        <w:bottom w:val="none" w:sz="0" w:space="0" w:color="auto"/>
        <w:right w:val="none" w:sz="0" w:space="0" w:color="auto"/>
      </w:divBdr>
    </w:div>
    <w:div w:id="149754283">
      <w:bodyDiv w:val="1"/>
      <w:marLeft w:val="0"/>
      <w:marRight w:val="0"/>
      <w:marTop w:val="0"/>
      <w:marBottom w:val="0"/>
      <w:divBdr>
        <w:top w:val="none" w:sz="0" w:space="0" w:color="auto"/>
        <w:left w:val="none" w:sz="0" w:space="0" w:color="auto"/>
        <w:bottom w:val="none" w:sz="0" w:space="0" w:color="auto"/>
        <w:right w:val="none" w:sz="0" w:space="0" w:color="auto"/>
      </w:divBdr>
    </w:div>
    <w:div w:id="150218374">
      <w:bodyDiv w:val="1"/>
      <w:marLeft w:val="0"/>
      <w:marRight w:val="0"/>
      <w:marTop w:val="0"/>
      <w:marBottom w:val="0"/>
      <w:divBdr>
        <w:top w:val="none" w:sz="0" w:space="0" w:color="auto"/>
        <w:left w:val="none" w:sz="0" w:space="0" w:color="auto"/>
        <w:bottom w:val="none" w:sz="0" w:space="0" w:color="auto"/>
        <w:right w:val="none" w:sz="0" w:space="0" w:color="auto"/>
      </w:divBdr>
    </w:div>
    <w:div w:id="153229846">
      <w:bodyDiv w:val="1"/>
      <w:marLeft w:val="0"/>
      <w:marRight w:val="0"/>
      <w:marTop w:val="0"/>
      <w:marBottom w:val="0"/>
      <w:divBdr>
        <w:top w:val="none" w:sz="0" w:space="0" w:color="auto"/>
        <w:left w:val="none" w:sz="0" w:space="0" w:color="auto"/>
        <w:bottom w:val="none" w:sz="0" w:space="0" w:color="auto"/>
        <w:right w:val="none" w:sz="0" w:space="0" w:color="auto"/>
      </w:divBdr>
    </w:div>
    <w:div w:id="155147610">
      <w:bodyDiv w:val="1"/>
      <w:marLeft w:val="0"/>
      <w:marRight w:val="0"/>
      <w:marTop w:val="0"/>
      <w:marBottom w:val="0"/>
      <w:divBdr>
        <w:top w:val="none" w:sz="0" w:space="0" w:color="auto"/>
        <w:left w:val="none" w:sz="0" w:space="0" w:color="auto"/>
        <w:bottom w:val="none" w:sz="0" w:space="0" w:color="auto"/>
        <w:right w:val="none" w:sz="0" w:space="0" w:color="auto"/>
      </w:divBdr>
    </w:div>
    <w:div w:id="156773842">
      <w:bodyDiv w:val="1"/>
      <w:marLeft w:val="0"/>
      <w:marRight w:val="0"/>
      <w:marTop w:val="0"/>
      <w:marBottom w:val="0"/>
      <w:divBdr>
        <w:top w:val="none" w:sz="0" w:space="0" w:color="auto"/>
        <w:left w:val="none" w:sz="0" w:space="0" w:color="auto"/>
        <w:bottom w:val="none" w:sz="0" w:space="0" w:color="auto"/>
        <w:right w:val="none" w:sz="0" w:space="0" w:color="auto"/>
      </w:divBdr>
    </w:div>
    <w:div w:id="162673584">
      <w:bodyDiv w:val="1"/>
      <w:marLeft w:val="0"/>
      <w:marRight w:val="0"/>
      <w:marTop w:val="0"/>
      <w:marBottom w:val="0"/>
      <w:divBdr>
        <w:top w:val="none" w:sz="0" w:space="0" w:color="auto"/>
        <w:left w:val="none" w:sz="0" w:space="0" w:color="auto"/>
        <w:bottom w:val="none" w:sz="0" w:space="0" w:color="auto"/>
        <w:right w:val="none" w:sz="0" w:space="0" w:color="auto"/>
      </w:divBdr>
    </w:div>
    <w:div w:id="163054218">
      <w:bodyDiv w:val="1"/>
      <w:marLeft w:val="0"/>
      <w:marRight w:val="0"/>
      <w:marTop w:val="0"/>
      <w:marBottom w:val="0"/>
      <w:divBdr>
        <w:top w:val="none" w:sz="0" w:space="0" w:color="auto"/>
        <w:left w:val="none" w:sz="0" w:space="0" w:color="auto"/>
        <w:bottom w:val="none" w:sz="0" w:space="0" w:color="auto"/>
        <w:right w:val="none" w:sz="0" w:space="0" w:color="auto"/>
      </w:divBdr>
    </w:div>
    <w:div w:id="163085188">
      <w:bodyDiv w:val="1"/>
      <w:marLeft w:val="0"/>
      <w:marRight w:val="0"/>
      <w:marTop w:val="0"/>
      <w:marBottom w:val="0"/>
      <w:divBdr>
        <w:top w:val="none" w:sz="0" w:space="0" w:color="auto"/>
        <w:left w:val="none" w:sz="0" w:space="0" w:color="auto"/>
        <w:bottom w:val="none" w:sz="0" w:space="0" w:color="auto"/>
        <w:right w:val="none" w:sz="0" w:space="0" w:color="auto"/>
      </w:divBdr>
    </w:div>
    <w:div w:id="164712160">
      <w:bodyDiv w:val="1"/>
      <w:marLeft w:val="0"/>
      <w:marRight w:val="0"/>
      <w:marTop w:val="0"/>
      <w:marBottom w:val="0"/>
      <w:divBdr>
        <w:top w:val="none" w:sz="0" w:space="0" w:color="auto"/>
        <w:left w:val="none" w:sz="0" w:space="0" w:color="auto"/>
        <w:bottom w:val="none" w:sz="0" w:space="0" w:color="auto"/>
        <w:right w:val="none" w:sz="0" w:space="0" w:color="auto"/>
      </w:divBdr>
    </w:div>
    <w:div w:id="165753612">
      <w:bodyDiv w:val="1"/>
      <w:marLeft w:val="0"/>
      <w:marRight w:val="0"/>
      <w:marTop w:val="0"/>
      <w:marBottom w:val="0"/>
      <w:divBdr>
        <w:top w:val="none" w:sz="0" w:space="0" w:color="auto"/>
        <w:left w:val="none" w:sz="0" w:space="0" w:color="auto"/>
        <w:bottom w:val="none" w:sz="0" w:space="0" w:color="auto"/>
        <w:right w:val="none" w:sz="0" w:space="0" w:color="auto"/>
      </w:divBdr>
    </w:div>
    <w:div w:id="166528001">
      <w:bodyDiv w:val="1"/>
      <w:marLeft w:val="0"/>
      <w:marRight w:val="0"/>
      <w:marTop w:val="0"/>
      <w:marBottom w:val="0"/>
      <w:divBdr>
        <w:top w:val="none" w:sz="0" w:space="0" w:color="auto"/>
        <w:left w:val="none" w:sz="0" w:space="0" w:color="auto"/>
        <w:bottom w:val="none" w:sz="0" w:space="0" w:color="auto"/>
        <w:right w:val="none" w:sz="0" w:space="0" w:color="auto"/>
      </w:divBdr>
    </w:div>
    <w:div w:id="168832196">
      <w:bodyDiv w:val="1"/>
      <w:marLeft w:val="0"/>
      <w:marRight w:val="0"/>
      <w:marTop w:val="0"/>
      <w:marBottom w:val="0"/>
      <w:divBdr>
        <w:top w:val="none" w:sz="0" w:space="0" w:color="auto"/>
        <w:left w:val="none" w:sz="0" w:space="0" w:color="auto"/>
        <w:bottom w:val="none" w:sz="0" w:space="0" w:color="auto"/>
        <w:right w:val="none" w:sz="0" w:space="0" w:color="auto"/>
      </w:divBdr>
    </w:div>
    <w:div w:id="169104597">
      <w:bodyDiv w:val="1"/>
      <w:marLeft w:val="0"/>
      <w:marRight w:val="0"/>
      <w:marTop w:val="0"/>
      <w:marBottom w:val="0"/>
      <w:divBdr>
        <w:top w:val="none" w:sz="0" w:space="0" w:color="auto"/>
        <w:left w:val="none" w:sz="0" w:space="0" w:color="auto"/>
        <w:bottom w:val="none" w:sz="0" w:space="0" w:color="auto"/>
        <w:right w:val="none" w:sz="0" w:space="0" w:color="auto"/>
      </w:divBdr>
    </w:div>
    <w:div w:id="170031293">
      <w:bodyDiv w:val="1"/>
      <w:marLeft w:val="0"/>
      <w:marRight w:val="0"/>
      <w:marTop w:val="0"/>
      <w:marBottom w:val="0"/>
      <w:divBdr>
        <w:top w:val="none" w:sz="0" w:space="0" w:color="auto"/>
        <w:left w:val="none" w:sz="0" w:space="0" w:color="auto"/>
        <w:bottom w:val="none" w:sz="0" w:space="0" w:color="auto"/>
        <w:right w:val="none" w:sz="0" w:space="0" w:color="auto"/>
      </w:divBdr>
    </w:div>
    <w:div w:id="181015826">
      <w:bodyDiv w:val="1"/>
      <w:marLeft w:val="0"/>
      <w:marRight w:val="0"/>
      <w:marTop w:val="0"/>
      <w:marBottom w:val="0"/>
      <w:divBdr>
        <w:top w:val="none" w:sz="0" w:space="0" w:color="auto"/>
        <w:left w:val="none" w:sz="0" w:space="0" w:color="auto"/>
        <w:bottom w:val="none" w:sz="0" w:space="0" w:color="auto"/>
        <w:right w:val="none" w:sz="0" w:space="0" w:color="auto"/>
      </w:divBdr>
    </w:div>
    <w:div w:id="181944536">
      <w:bodyDiv w:val="1"/>
      <w:marLeft w:val="0"/>
      <w:marRight w:val="0"/>
      <w:marTop w:val="0"/>
      <w:marBottom w:val="0"/>
      <w:divBdr>
        <w:top w:val="none" w:sz="0" w:space="0" w:color="auto"/>
        <w:left w:val="none" w:sz="0" w:space="0" w:color="auto"/>
        <w:bottom w:val="none" w:sz="0" w:space="0" w:color="auto"/>
        <w:right w:val="none" w:sz="0" w:space="0" w:color="auto"/>
      </w:divBdr>
      <w:divsChild>
        <w:div w:id="307126329">
          <w:marLeft w:val="2246"/>
          <w:marRight w:val="0"/>
          <w:marTop w:val="115"/>
          <w:marBottom w:val="0"/>
          <w:divBdr>
            <w:top w:val="none" w:sz="0" w:space="0" w:color="auto"/>
            <w:left w:val="none" w:sz="0" w:space="0" w:color="auto"/>
            <w:bottom w:val="none" w:sz="0" w:space="0" w:color="auto"/>
            <w:right w:val="none" w:sz="0" w:space="0" w:color="auto"/>
          </w:divBdr>
        </w:div>
        <w:div w:id="365258634">
          <w:marLeft w:val="691"/>
          <w:marRight w:val="0"/>
          <w:marTop w:val="0"/>
          <w:marBottom w:val="0"/>
          <w:divBdr>
            <w:top w:val="none" w:sz="0" w:space="0" w:color="auto"/>
            <w:left w:val="none" w:sz="0" w:space="0" w:color="auto"/>
            <w:bottom w:val="none" w:sz="0" w:space="0" w:color="auto"/>
            <w:right w:val="none" w:sz="0" w:space="0" w:color="auto"/>
          </w:divBdr>
        </w:div>
        <w:div w:id="654990367">
          <w:marLeft w:val="691"/>
          <w:marRight w:val="0"/>
          <w:marTop w:val="0"/>
          <w:marBottom w:val="0"/>
          <w:divBdr>
            <w:top w:val="none" w:sz="0" w:space="0" w:color="auto"/>
            <w:left w:val="none" w:sz="0" w:space="0" w:color="auto"/>
            <w:bottom w:val="none" w:sz="0" w:space="0" w:color="auto"/>
            <w:right w:val="none" w:sz="0" w:space="0" w:color="auto"/>
          </w:divBdr>
        </w:div>
        <w:div w:id="871654787">
          <w:marLeft w:val="691"/>
          <w:marRight w:val="0"/>
          <w:marTop w:val="0"/>
          <w:marBottom w:val="0"/>
          <w:divBdr>
            <w:top w:val="none" w:sz="0" w:space="0" w:color="auto"/>
            <w:left w:val="none" w:sz="0" w:space="0" w:color="auto"/>
            <w:bottom w:val="none" w:sz="0" w:space="0" w:color="auto"/>
            <w:right w:val="none" w:sz="0" w:space="0" w:color="auto"/>
          </w:divBdr>
        </w:div>
        <w:div w:id="984553104">
          <w:marLeft w:val="691"/>
          <w:marRight w:val="0"/>
          <w:marTop w:val="0"/>
          <w:marBottom w:val="0"/>
          <w:divBdr>
            <w:top w:val="none" w:sz="0" w:space="0" w:color="auto"/>
            <w:left w:val="none" w:sz="0" w:space="0" w:color="auto"/>
            <w:bottom w:val="none" w:sz="0" w:space="0" w:color="auto"/>
            <w:right w:val="none" w:sz="0" w:space="0" w:color="auto"/>
          </w:divBdr>
        </w:div>
        <w:div w:id="1337922546">
          <w:marLeft w:val="2246"/>
          <w:marRight w:val="0"/>
          <w:marTop w:val="115"/>
          <w:marBottom w:val="0"/>
          <w:divBdr>
            <w:top w:val="none" w:sz="0" w:space="0" w:color="auto"/>
            <w:left w:val="none" w:sz="0" w:space="0" w:color="auto"/>
            <w:bottom w:val="none" w:sz="0" w:space="0" w:color="auto"/>
            <w:right w:val="none" w:sz="0" w:space="0" w:color="auto"/>
          </w:divBdr>
        </w:div>
        <w:div w:id="1451630592">
          <w:marLeft w:val="2246"/>
          <w:marRight w:val="0"/>
          <w:marTop w:val="115"/>
          <w:marBottom w:val="0"/>
          <w:divBdr>
            <w:top w:val="none" w:sz="0" w:space="0" w:color="auto"/>
            <w:left w:val="none" w:sz="0" w:space="0" w:color="auto"/>
            <w:bottom w:val="none" w:sz="0" w:space="0" w:color="auto"/>
            <w:right w:val="none" w:sz="0" w:space="0" w:color="auto"/>
          </w:divBdr>
        </w:div>
        <w:div w:id="1500385850">
          <w:marLeft w:val="691"/>
          <w:marRight w:val="0"/>
          <w:marTop w:val="0"/>
          <w:marBottom w:val="0"/>
          <w:divBdr>
            <w:top w:val="none" w:sz="0" w:space="0" w:color="auto"/>
            <w:left w:val="none" w:sz="0" w:space="0" w:color="auto"/>
            <w:bottom w:val="none" w:sz="0" w:space="0" w:color="auto"/>
            <w:right w:val="none" w:sz="0" w:space="0" w:color="auto"/>
          </w:divBdr>
        </w:div>
        <w:div w:id="1522818420">
          <w:marLeft w:val="2246"/>
          <w:marRight w:val="0"/>
          <w:marTop w:val="115"/>
          <w:marBottom w:val="0"/>
          <w:divBdr>
            <w:top w:val="none" w:sz="0" w:space="0" w:color="auto"/>
            <w:left w:val="none" w:sz="0" w:space="0" w:color="auto"/>
            <w:bottom w:val="none" w:sz="0" w:space="0" w:color="auto"/>
            <w:right w:val="none" w:sz="0" w:space="0" w:color="auto"/>
          </w:divBdr>
        </w:div>
        <w:div w:id="1752040092">
          <w:marLeft w:val="2246"/>
          <w:marRight w:val="0"/>
          <w:marTop w:val="115"/>
          <w:marBottom w:val="0"/>
          <w:divBdr>
            <w:top w:val="none" w:sz="0" w:space="0" w:color="auto"/>
            <w:left w:val="none" w:sz="0" w:space="0" w:color="auto"/>
            <w:bottom w:val="none" w:sz="0" w:space="0" w:color="auto"/>
            <w:right w:val="none" w:sz="0" w:space="0" w:color="auto"/>
          </w:divBdr>
        </w:div>
      </w:divsChild>
    </w:div>
    <w:div w:id="183976993">
      <w:bodyDiv w:val="1"/>
      <w:marLeft w:val="0"/>
      <w:marRight w:val="0"/>
      <w:marTop w:val="0"/>
      <w:marBottom w:val="0"/>
      <w:divBdr>
        <w:top w:val="none" w:sz="0" w:space="0" w:color="auto"/>
        <w:left w:val="none" w:sz="0" w:space="0" w:color="auto"/>
        <w:bottom w:val="none" w:sz="0" w:space="0" w:color="auto"/>
        <w:right w:val="none" w:sz="0" w:space="0" w:color="auto"/>
      </w:divBdr>
    </w:div>
    <w:div w:id="185100120">
      <w:bodyDiv w:val="1"/>
      <w:marLeft w:val="0"/>
      <w:marRight w:val="0"/>
      <w:marTop w:val="0"/>
      <w:marBottom w:val="0"/>
      <w:divBdr>
        <w:top w:val="none" w:sz="0" w:space="0" w:color="auto"/>
        <w:left w:val="none" w:sz="0" w:space="0" w:color="auto"/>
        <w:bottom w:val="none" w:sz="0" w:space="0" w:color="auto"/>
        <w:right w:val="none" w:sz="0" w:space="0" w:color="auto"/>
      </w:divBdr>
    </w:div>
    <w:div w:id="188229557">
      <w:bodyDiv w:val="1"/>
      <w:marLeft w:val="0"/>
      <w:marRight w:val="0"/>
      <w:marTop w:val="0"/>
      <w:marBottom w:val="0"/>
      <w:divBdr>
        <w:top w:val="none" w:sz="0" w:space="0" w:color="auto"/>
        <w:left w:val="none" w:sz="0" w:space="0" w:color="auto"/>
        <w:bottom w:val="none" w:sz="0" w:space="0" w:color="auto"/>
        <w:right w:val="none" w:sz="0" w:space="0" w:color="auto"/>
      </w:divBdr>
    </w:div>
    <w:div w:id="192500470">
      <w:bodyDiv w:val="1"/>
      <w:marLeft w:val="0"/>
      <w:marRight w:val="0"/>
      <w:marTop w:val="0"/>
      <w:marBottom w:val="0"/>
      <w:divBdr>
        <w:top w:val="none" w:sz="0" w:space="0" w:color="auto"/>
        <w:left w:val="none" w:sz="0" w:space="0" w:color="auto"/>
        <w:bottom w:val="none" w:sz="0" w:space="0" w:color="auto"/>
        <w:right w:val="none" w:sz="0" w:space="0" w:color="auto"/>
      </w:divBdr>
    </w:div>
    <w:div w:id="193232147">
      <w:bodyDiv w:val="1"/>
      <w:marLeft w:val="0"/>
      <w:marRight w:val="0"/>
      <w:marTop w:val="0"/>
      <w:marBottom w:val="0"/>
      <w:divBdr>
        <w:top w:val="none" w:sz="0" w:space="0" w:color="auto"/>
        <w:left w:val="none" w:sz="0" w:space="0" w:color="auto"/>
        <w:bottom w:val="none" w:sz="0" w:space="0" w:color="auto"/>
        <w:right w:val="none" w:sz="0" w:space="0" w:color="auto"/>
      </w:divBdr>
    </w:div>
    <w:div w:id="193812718">
      <w:bodyDiv w:val="1"/>
      <w:marLeft w:val="0"/>
      <w:marRight w:val="0"/>
      <w:marTop w:val="0"/>
      <w:marBottom w:val="0"/>
      <w:divBdr>
        <w:top w:val="none" w:sz="0" w:space="0" w:color="auto"/>
        <w:left w:val="none" w:sz="0" w:space="0" w:color="auto"/>
        <w:bottom w:val="none" w:sz="0" w:space="0" w:color="auto"/>
        <w:right w:val="none" w:sz="0" w:space="0" w:color="auto"/>
      </w:divBdr>
    </w:div>
    <w:div w:id="198787065">
      <w:bodyDiv w:val="1"/>
      <w:marLeft w:val="0"/>
      <w:marRight w:val="0"/>
      <w:marTop w:val="0"/>
      <w:marBottom w:val="0"/>
      <w:divBdr>
        <w:top w:val="none" w:sz="0" w:space="0" w:color="auto"/>
        <w:left w:val="none" w:sz="0" w:space="0" w:color="auto"/>
        <w:bottom w:val="none" w:sz="0" w:space="0" w:color="auto"/>
        <w:right w:val="none" w:sz="0" w:space="0" w:color="auto"/>
      </w:divBdr>
    </w:div>
    <w:div w:id="199171148">
      <w:bodyDiv w:val="1"/>
      <w:marLeft w:val="0"/>
      <w:marRight w:val="0"/>
      <w:marTop w:val="0"/>
      <w:marBottom w:val="0"/>
      <w:divBdr>
        <w:top w:val="none" w:sz="0" w:space="0" w:color="auto"/>
        <w:left w:val="none" w:sz="0" w:space="0" w:color="auto"/>
        <w:bottom w:val="none" w:sz="0" w:space="0" w:color="auto"/>
        <w:right w:val="none" w:sz="0" w:space="0" w:color="auto"/>
      </w:divBdr>
    </w:div>
    <w:div w:id="201598959">
      <w:bodyDiv w:val="1"/>
      <w:marLeft w:val="0"/>
      <w:marRight w:val="0"/>
      <w:marTop w:val="0"/>
      <w:marBottom w:val="0"/>
      <w:divBdr>
        <w:top w:val="none" w:sz="0" w:space="0" w:color="auto"/>
        <w:left w:val="none" w:sz="0" w:space="0" w:color="auto"/>
        <w:bottom w:val="none" w:sz="0" w:space="0" w:color="auto"/>
        <w:right w:val="none" w:sz="0" w:space="0" w:color="auto"/>
      </w:divBdr>
    </w:div>
    <w:div w:id="202258890">
      <w:bodyDiv w:val="1"/>
      <w:marLeft w:val="0"/>
      <w:marRight w:val="0"/>
      <w:marTop w:val="0"/>
      <w:marBottom w:val="0"/>
      <w:divBdr>
        <w:top w:val="none" w:sz="0" w:space="0" w:color="auto"/>
        <w:left w:val="none" w:sz="0" w:space="0" w:color="auto"/>
        <w:bottom w:val="none" w:sz="0" w:space="0" w:color="auto"/>
        <w:right w:val="none" w:sz="0" w:space="0" w:color="auto"/>
      </w:divBdr>
    </w:div>
    <w:div w:id="205025413">
      <w:bodyDiv w:val="1"/>
      <w:marLeft w:val="0"/>
      <w:marRight w:val="0"/>
      <w:marTop w:val="0"/>
      <w:marBottom w:val="0"/>
      <w:divBdr>
        <w:top w:val="none" w:sz="0" w:space="0" w:color="auto"/>
        <w:left w:val="none" w:sz="0" w:space="0" w:color="auto"/>
        <w:bottom w:val="none" w:sz="0" w:space="0" w:color="auto"/>
        <w:right w:val="none" w:sz="0" w:space="0" w:color="auto"/>
      </w:divBdr>
    </w:div>
    <w:div w:id="205068976">
      <w:bodyDiv w:val="1"/>
      <w:marLeft w:val="0"/>
      <w:marRight w:val="0"/>
      <w:marTop w:val="0"/>
      <w:marBottom w:val="0"/>
      <w:divBdr>
        <w:top w:val="none" w:sz="0" w:space="0" w:color="auto"/>
        <w:left w:val="none" w:sz="0" w:space="0" w:color="auto"/>
        <w:bottom w:val="none" w:sz="0" w:space="0" w:color="auto"/>
        <w:right w:val="none" w:sz="0" w:space="0" w:color="auto"/>
      </w:divBdr>
    </w:div>
    <w:div w:id="206768613">
      <w:bodyDiv w:val="1"/>
      <w:marLeft w:val="0"/>
      <w:marRight w:val="0"/>
      <w:marTop w:val="0"/>
      <w:marBottom w:val="0"/>
      <w:divBdr>
        <w:top w:val="none" w:sz="0" w:space="0" w:color="auto"/>
        <w:left w:val="none" w:sz="0" w:space="0" w:color="auto"/>
        <w:bottom w:val="none" w:sz="0" w:space="0" w:color="auto"/>
        <w:right w:val="none" w:sz="0" w:space="0" w:color="auto"/>
      </w:divBdr>
    </w:div>
    <w:div w:id="210382575">
      <w:bodyDiv w:val="1"/>
      <w:marLeft w:val="0"/>
      <w:marRight w:val="0"/>
      <w:marTop w:val="0"/>
      <w:marBottom w:val="0"/>
      <w:divBdr>
        <w:top w:val="none" w:sz="0" w:space="0" w:color="auto"/>
        <w:left w:val="none" w:sz="0" w:space="0" w:color="auto"/>
        <w:bottom w:val="none" w:sz="0" w:space="0" w:color="auto"/>
        <w:right w:val="none" w:sz="0" w:space="0" w:color="auto"/>
      </w:divBdr>
    </w:div>
    <w:div w:id="210650493">
      <w:bodyDiv w:val="1"/>
      <w:marLeft w:val="0"/>
      <w:marRight w:val="0"/>
      <w:marTop w:val="0"/>
      <w:marBottom w:val="0"/>
      <w:divBdr>
        <w:top w:val="none" w:sz="0" w:space="0" w:color="auto"/>
        <w:left w:val="none" w:sz="0" w:space="0" w:color="auto"/>
        <w:bottom w:val="none" w:sz="0" w:space="0" w:color="auto"/>
        <w:right w:val="none" w:sz="0" w:space="0" w:color="auto"/>
      </w:divBdr>
    </w:div>
    <w:div w:id="216285266">
      <w:bodyDiv w:val="1"/>
      <w:marLeft w:val="0"/>
      <w:marRight w:val="0"/>
      <w:marTop w:val="0"/>
      <w:marBottom w:val="0"/>
      <w:divBdr>
        <w:top w:val="none" w:sz="0" w:space="0" w:color="auto"/>
        <w:left w:val="none" w:sz="0" w:space="0" w:color="auto"/>
        <w:bottom w:val="none" w:sz="0" w:space="0" w:color="auto"/>
        <w:right w:val="none" w:sz="0" w:space="0" w:color="auto"/>
      </w:divBdr>
    </w:div>
    <w:div w:id="218635831">
      <w:bodyDiv w:val="1"/>
      <w:marLeft w:val="0"/>
      <w:marRight w:val="0"/>
      <w:marTop w:val="0"/>
      <w:marBottom w:val="0"/>
      <w:divBdr>
        <w:top w:val="none" w:sz="0" w:space="0" w:color="auto"/>
        <w:left w:val="none" w:sz="0" w:space="0" w:color="auto"/>
        <w:bottom w:val="none" w:sz="0" w:space="0" w:color="auto"/>
        <w:right w:val="none" w:sz="0" w:space="0" w:color="auto"/>
      </w:divBdr>
    </w:div>
    <w:div w:id="222105525">
      <w:bodyDiv w:val="1"/>
      <w:marLeft w:val="0"/>
      <w:marRight w:val="0"/>
      <w:marTop w:val="0"/>
      <w:marBottom w:val="0"/>
      <w:divBdr>
        <w:top w:val="none" w:sz="0" w:space="0" w:color="auto"/>
        <w:left w:val="none" w:sz="0" w:space="0" w:color="auto"/>
        <w:bottom w:val="none" w:sz="0" w:space="0" w:color="auto"/>
        <w:right w:val="none" w:sz="0" w:space="0" w:color="auto"/>
      </w:divBdr>
    </w:div>
    <w:div w:id="224683175">
      <w:bodyDiv w:val="1"/>
      <w:marLeft w:val="0"/>
      <w:marRight w:val="0"/>
      <w:marTop w:val="0"/>
      <w:marBottom w:val="0"/>
      <w:divBdr>
        <w:top w:val="none" w:sz="0" w:space="0" w:color="auto"/>
        <w:left w:val="none" w:sz="0" w:space="0" w:color="auto"/>
        <w:bottom w:val="none" w:sz="0" w:space="0" w:color="auto"/>
        <w:right w:val="none" w:sz="0" w:space="0" w:color="auto"/>
      </w:divBdr>
    </w:div>
    <w:div w:id="225142406">
      <w:bodyDiv w:val="1"/>
      <w:marLeft w:val="0"/>
      <w:marRight w:val="0"/>
      <w:marTop w:val="0"/>
      <w:marBottom w:val="0"/>
      <w:divBdr>
        <w:top w:val="none" w:sz="0" w:space="0" w:color="auto"/>
        <w:left w:val="none" w:sz="0" w:space="0" w:color="auto"/>
        <w:bottom w:val="none" w:sz="0" w:space="0" w:color="auto"/>
        <w:right w:val="none" w:sz="0" w:space="0" w:color="auto"/>
      </w:divBdr>
    </w:div>
    <w:div w:id="228002320">
      <w:bodyDiv w:val="1"/>
      <w:marLeft w:val="0"/>
      <w:marRight w:val="0"/>
      <w:marTop w:val="0"/>
      <w:marBottom w:val="0"/>
      <w:divBdr>
        <w:top w:val="none" w:sz="0" w:space="0" w:color="auto"/>
        <w:left w:val="none" w:sz="0" w:space="0" w:color="auto"/>
        <w:bottom w:val="none" w:sz="0" w:space="0" w:color="auto"/>
        <w:right w:val="none" w:sz="0" w:space="0" w:color="auto"/>
      </w:divBdr>
    </w:div>
    <w:div w:id="228736794">
      <w:bodyDiv w:val="1"/>
      <w:marLeft w:val="0"/>
      <w:marRight w:val="0"/>
      <w:marTop w:val="0"/>
      <w:marBottom w:val="0"/>
      <w:divBdr>
        <w:top w:val="none" w:sz="0" w:space="0" w:color="auto"/>
        <w:left w:val="none" w:sz="0" w:space="0" w:color="auto"/>
        <w:bottom w:val="none" w:sz="0" w:space="0" w:color="auto"/>
        <w:right w:val="none" w:sz="0" w:space="0" w:color="auto"/>
      </w:divBdr>
    </w:div>
    <w:div w:id="232276208">
      <w:bodyDiv w:val="1"/>
      <w:marLeft w:val="0"/>
      <w:marRight w:val="0"/>
      <w:marTop w:val="0"/>
      <w:marBottom w:val="0"/>
      <w:divBdr>
        <w:top w:val="none" w:sz="0" w:space="0" w:color="auto"/>
        <w:left w:val="none" w:sz="0" w:space="0" w:color="auto"/>
        <w:bottom w:val="none" w:sz="0" w:space="0" w:color="auto"/>
        <w:right w:val="none" w:sz="0" w:space="0" w:color="auto"/>
      </w:divBdr>
    </w:div>
    <w:div w:id="232816151">
      <w:bodyDiv w:val="1"/>
      <w:marLeft w:val="0"/>
      <w:marRight w:val="0"/>
      <w:marTop w:val="0"/>
      <w:marBottom w:val="0"/>
      <w:divBdr>
        <w:top w:val="none" w:sz="0" w:space="0" w:color="auto"/>
        <w:left w:val="none" w:sz="0" w:space="0" w:color="auto"/>
        <w:bottom w:val="none" w:sz="0" w:space="0" w:color="auto"/>
        <w:right w:val="none" w:sz="0" w:space="0" w:color="auto"/>
      </w:divBdr>
    </w:div>
    <w:div w:id="234322399">
      <w:bodyDiv w:val="1"/>
      <w:marLeft w:val="0"/>
      <w:marRight w:val="0"/>
      <w:marTop w:val="0"/>
      <w:marBottom w:val="0"/>
      <w:divBdr>
        <w:top w:val="none" w:sz="0" w:space="0" w:color="auto"/>
        <w:left w:val="none" w:sz="0" w:space="0" w:color="auto"/>
        <w:bottom w:val="none" w:sz="0" w:space="0" w:color="auto"/>
        <w:right w:val="none" w:sz="0" w:space="0" w:color="auto"/>
      </w:divBdr>
    </w:div>
    <w:div w:id="236017063">
      <w:bodyDiv w:val="1"/>
      <w:marLeft w:val="0"/>
      <w:marRight w:val="0"/>
      <w:marTop w:val="0"/>
      <w:marBottom w:val="0"/>
      <w:divBdr>
        <w:top w:val="none" w:sz="0" w:space="0" w:color="auto"/>
        <w:left w:val="none" w:sz="0" w:space="0" w:color="auto"/>
        <w:bottom w:val="none" w:sz="0" w:space="0" w:color="auto"/>
        <w:right w:val="none" w:sz="0" w:space="0" w:color="auto"/>
      </w:divBdr>
    </w:div>
    <w:div w:id="237060468">
      <w:bodyDiv w:val="1"/>
      <w:marLeft w:val="0"/>
      <w:marRight w:val="0"/>
      <w:marTop w:val="0"/>
      <w:marBottom w:val="0"/>
      <w:divBdr>
        <w:top w:val="none" w:sz="0" w:space="0" w:color="auto"/>
        <w:left w:val="none" w:sz="0" w:space="0" w:color="auto"/>
        <w:bottom w:val="none" w:sz="0" w:space="0" w:color="auto"/>
        <w:right w:val="none" w:sz="0" w:space="0" w:color="auto"/>
      </w:divBdr>
    </w:div>
    <w:div w:id="237637251">
      <w:bodyDiv w:val="1"/>
      <w:marLeft w:val="0"/>
      <w:marRight w:val="0"/>
      <w:marTop w:val="0"/>
      <w:marBottom w:val="0"/>
      <w:divBdr>
        <w:top w:val="none" w:sz="0" w:space="0" w:color="auto"/>
        <w:left w:val="none" w:sz="0" w:space="0" w:color="auto"/>
        <w:bottom w:val="none" w:sz="0" w:space="0" w:color="auto"/>
        <w:right w:val="none" w:sz="0" w:space="0" w:color="auto"/>
      </w:divBdr>
    </w:div>
    <w:div w:id="238711235">
      <w:bodyDiv w:val="1"/>
      <w:marLeft w:val="0"/>
      <w:marRight w:val="0"/>
      <w:marTop w:val="0"/>
      <w:marBottom w:val="0"/>
      <w:divBdr>
        <w:top w:val="none" w:sz="0" w:space="0" w:color="auto"/>
        <w:left w:val="none" w:sz="0" w:space="0" w:color="auto"/>
        <w:bottom w:val="none" w:sz="0" w:space="0" w:color="auto"/>
        <w:right w:val="none" w:sz="0" w:space="0" w:color="auto"/>
      </w:divBdr>
    </w:div>
    <w:div w:id="243413670">
      <w:bodyDiv w:val="1"/>
      <w:marLeft w:val="0"/>
      <w:marRight w:val="0"/>
      <w:marTop w:val="0"/>
      <w:marBottom w:val="0"/>
      <w:divBdr>
        <w:top w:val="none" w:sz="0" w:space="0" w:color="auto"/>
        <w:left w:val="none" w:sz="0" w:space="0" w:color="auto"/>
        <w:bottom w:val="none" w:sz="0" w:space="0" w:color="auto"/>
        <w:right w:val="none" w:sz="0" w:space="0" w:color="auto"/>
      </w:divBdr>
    </w:div>
    <w:div w:id="244655229">
      <w:bodyDiv w:val="1"/>
      <w:marLeft w:val="0"/>
      <w:marRight w:val="0"/>
      <w:marTop w:val="0"/>
      <w:marBottom w:val="0"/>
      <w:divBdr>
        <w:top w:val="none" w:sz="0" w:space="0" w:color="auto"/>
        <w:left w:val="none" w:sz="0" w:space="0" w:color="auto"/>
        <w:bottom w:val="none" w:sz="0" w:space="0" w:color="auto"/>
        <w:right w:val="none" w:sz="0" w:space="0" w:color="auto"/>
      </w:divBdr>
    </w:div>
    <w:div w:id="245113615">
      <w:bodyDiv w:val="1"/>
      <w:marLeft w:val="0"/>
      <w:marRight w:val="0"/>
      <w:marTop w:val="0"/>
      <w:marBottom w:val="0"/>
      <w:divBdr>
        <w:top w:val="none" w:sz="0" w:space="0" w:color="auto"/>
        <w:left w:val="none" w:sz="0" w:space="0" w:color="auto"/>
        <w:bottom w:val="none" w:sz="0" w:space="0" w:color="auto"/>
        <w:right w:val="none" w:sz="0" w:space="0" w:color="auto"/>
      </w:divBdr>
    </w:div>
    <w:div w:id="247690030">
      <w:bodyDiv w:val="1"/>
      <w:marLeft w:val="0"/>
      <w:marRight w:val="0"/>
      <w:marTop w:val="0"/>
      <w:marBottom w:val="0"/>
      <w:divBdr>
        <w:top w:val="none" w:sz="0" w:space="0" w:color="auto"/>
        <w:left w:val="none" w:sz="0" w:space="0" w:color="auto"/>
        <w:bottom w:val="none" w:sz="0" w:space="0" w:color="auto"/>
        <w:right w:val="none" w:sz="0" w:space="0" w:color="auto"/>
      </w:divBdr>
    </w:div>
    <w:div w:id="249119154">
      <w:bodyDiv w:val="1"/>
      <w:marLeft w:val="0"/>
      <w:marRight w:val="0"/>
      <w:marTop w:val="0"/>
      <w:marBottom w:val="0"/>
      <w:divBdr>
        <w:top w:val="none" w:sz="0" w:space="0" w:color="auto"/>
        <w:left w:val="none" w:sz="0" w:space="0" w:color="auto"/>
        <w:bottom w:val="none" w:sz="0" w:space="0" w:color="auto"/>
        <w:right w:val="none" w:sz="0" w:space="0" w:color="auto"/>
      </w:divBdr>
    </w:div>
    <w:div w:id="249586927">
      <w:bodyDiv w:val="1"/>
      <w:marLeft w:val="0"/>
      <w:marRight w:val="0"/>
      <w:marTop w:val="0"/>
      <w:marBottom w:val="0"/>
      <w:divBdr>
        <w:top w:val="none" w:sz="0" w:space="0" w:color="auto"/>
        <w:left w:val="none" w:sz="0" w:space="0" w:color="auto"/>
        <w:bottom w:val="none" w:sz="0" w:space="0" w:color="auto"/>
        <w:right w:val="none" w:sz="0" w:space="0" w:color="auto"/>
      </w:divBdr>
    </w:div>
    <w:div w:id="253981032">
      <w:bodyDiv w:val="1"/>
      <w:marLeft w:val="0"/>
      <w:marRight w:val="0"/>
      <w:marTop w:val="0"/>
      <w:marBottom w:val="0"/>
      <w:divBdr>
        <w:top w:val="none" w:sz="0" w:space="0" w:color="auto"/>
        <w:left w:val="none" w:sz="0" w:space="0" w:color="auto"/>
        <w:bottom w:val="none" w:sz="0" w:space="0" w:color="auto"/>
        <w:right w:val="none" w:sz="0" w:space="0" w:color="auto"/>
      </w:divBdr>
    </w:div>
    <w:div w:id="254635963">
      <w:bodyDiv w:val="1"/>
      <w:marLeft w:val="0"/>
      <w:marRight w:val="0"/>
      <w:marTop w:val="0"/>
      <w:marBottom w:val="0"/>
      <w:divBdr>
        <w:top w:val="none" w:sz="0" w:space="0" w:color="auto"/>
        <w:left w:val="none" w:sz="0" w:space="0" w:color="auto"/>
        <w:bottom w:val="none" w:sz="0" w:space="0" w:color="auto"/>
        <w:right w:val="none" w:sz="0" w:space="0" w:color="auto"/>
      </w:divBdr>
    </w:div>
    <w:div w:id="256795677">
      <w:bodyDiv w:val="1"/>
      <w:marLeft w:val="0"/>
      <w:marRight w:val="0"/>
      <w:marTop w:val="0"/>
      <w:marBottom w:val="0"/>
      <w:divBdr>
        <w:top w:val="none" w:sz="0" w:space="0" w:color="auto"/>
        <w:left w:val="none" w:sz="0" w:space="0" w:color="auto"/>
        <w:bottom w:val="none" w:sz="0" w:space="0" w:color="auto"/>
        <w:right w:val="none" w:sz="0" w:space="0" w:color="auto"/>
      </w:divBdr>
    </w:div>
    <w:div w:id="257714889">
      <w:bodyDiv w:val="1"/>
      <w:marLeft w:val="0"/>
      <w:marRight w:val="0"/>
      <w:marTop w:val="0"/>
      <w:marBottom w:val="0"/>
      <w:divBdr>
        <w:top w:val="none" w:sz="0" w:space="0" w:color="auto"/>
        <w:left w:val="none" w:sz="0" w:space="0" w:color="auto"/>
        <w:bottom w:val="none" w:sz="0" w:space="0" w:color="auto"/>
        <w:right w:val="none" w:sz="0" w:space="0" w:color="auto"/>
      </w:divBdr>
    </w:div>
    <w:div w:id="263196040">
      <w:bodyDiv w:val="1"/>
      <w:marLeft w:val="0"/>
      <w:marRight w:val="0"/>
      <w:marTop w:val="0"/>
      <w:marBottom w:val="0"/>
      <w:divBdr>
        <w:top w:val="none" w:sz="0" w:space="0" w:color="auto"/>
        <w:left w:val="none" w:sz="0" w:space="0" w:color="auto"/>
        <w:bottom w:val="none" w:sz="0" w:space="0" w:color="auto"/>
        <w:right w:val="none" w:sz="0" w:space="0" w:color="auto"/>
      </w:divBdr>
    </w:div>
    <w:div w:id="267549669">
      <w:bodyDiv w:val="1"/>
      <w:marLeft w:val="0"/>
      <w:marRight w:val="0"/>
      <w:marTop w:val="0"/>
      <w:marBottom w:val="0"/>
      <w:divBdr>
        <w:top w:val="none" w:sz="0" w:space="0" w:color="auto"/>
        <w:left w:val="none" w:sz="0" w:space="0" w:color="auto"/>
        <w:bottom w:val="none" w:sz="0" w:space="0" w:color="auto"/>
        <w:right w:val="none" w:sz="0" w:space="0" w:color="auto"/>
      </w:divBdr>
    </w:div>
    <w:div w:id="270554524">
      <w:bodyDiv w:val="1"/>
      <w:marLeft w:val="0"/>
      <w:marRight w:val="0"/>
      <w:marTop w:val="0"/>
      <w:marBottom w:val="0"/>
      <w:divBdr>
        <w:top w:val="none" w:sz="0" w:space="0" w:color="auto"/>
        <w:left w:val="none" w:sz="0" w:space="0" w:color="auto"/>
        <w:bottom w:val="none" w:sz="0" w:space="0" w:color="auto"/>
        <w:right w:val="none" w:sz="0" w:space="0" w:color="auto"/>
      </w:divBdr>
    </w:div>
    <w:div w:id="271788430">
      <w:bodyDiv w:val="1"/>
      <w:marLeft w:val="0"/>
      <w:marRight w:val="0"/>
      <w:marTop w:val="0"/>
      <w:marBottom w:val="0"/>
      <w:divBdr>
        <w:top w:val="none" w:sz="0" w:space="0" w:color="auto"/>
        <w:left w:val="none" w:sz="0" w:space="0" w:color="auto"/>
        <w:bottom w:val="none" w:sz="0" w:space="0" w:color="auto"/>
        <w:right w:val="none" w:sz="0" w:space="0" w:color="auto"/>
      </w:divBdr>
    </w:div>
    <w:div w:id="280846551">
      <w:bodyDiv w:val="1"/>
      <w:marLeft w:val="0"/>
      <w:marRight w:val="0"/>
      <w:marTop w:val="0"/>
      <w:marBottom w:val="0"/>
      <w:divBdr>
        <w:top w:val="none" w:sz="0" w:space="0" w:color="auto"/>
        <w:left w:val="none" w:sz="0" w:space="0" w:color="auto"/>
        <w:bottom w:val="none" w:sz="0" w:space="0" w:color="auto"/>
        <w:right w:val="none" w:sz="0" w:space="0" w:color="auto"/>
      </w:divBdr>
    </w:div>
    <w:div w:id="284773458">
      <w:bodyDiv w:val="1"/>
      <w:marLeft w:val="0"/>
      <w:marRight w:val="0"/>
      <w:marTop w:val="0"/>
      <w:marBottom w:val="0"/>
      <w:divBdr>
        <w:top w:val="none" w:sz="0" w:space="0" w:color="auto"/>
        <w:left w:val="none" w:sz="0" w:space="0" w:color="auto"/>
        <w:bottom w:val="none" w:sz="0" w:space="0" w:color="auto"/>
        <w:right w:val="none" w:sz="0" w:space="0" w:color="auto"/>
      </w:divBdr>
    </w:div>
    <w:div w:id="291911569">
      <w:bodyDiv w:val="1"/>
      <w:marLeft w:val="0"/>
      <w:marRight w:val="0"/>
      <w:marTop w:val="0"/>
      <w:marBottom w:val="0"/>
      <w:divBdr>
        <w:top w:val="none" w:sz="0" w:space="0" w:color="auto"/>
        <w:left w:val="none" w:sz="0" w:space="0" w:color="auto"/>
        <w:bottom w:val="none" w:sz="0" w:space="0" w:color="auto"/>
        <w:right w:val="none" w:sz="0" w:space="0" w:color="auto"/>
      </w:divBdr>
    </w:div>
    <w:div w:id="293367551">
      <w:bodyDiv w:val="1"/>
      <w:marLeft w:val="0"/>
      <w:marRight w:val="0"/>
      <w:marTop w:val="0"/>
      <w:marBottom w:val="0"/>
      <w:divBdr>
        <w:top w:val="none" w:sz="0" w:space="0" w:color="auto"/>
        <w:left w:val="none" w:sz="0" w:space="0" w:color="auto"/>
        <w:bottom w:val="none" w:sz="0" w:space="0" w:color="auto"/>
        <w:right w:val="none" w:sz="0" w:space="0" w:color="auto"/>
      </w:divBdr>
    </w:div>
    <w:div w:id="293994695">
      <w:bodyDiv w:val="1"/>
      <w:marLeft w:val="0"/>
      <w:marRight w:val="0"/>
      <w:marTop w:val="0"/>
      <w:marBottom w:val="0"/>
      <w:divBdr>
        <w:top w:val="none" w:sz="0" w:space="0" w:color="auto"/>
        <w:left w:val="none" w:sz="0" w:space="0" w:color="auto"/>
        <w:bottom w:val="none" w:sz="0" w:space="0" w:color="auto"/>
        <w:right w:val="none" w:sz="0" w:space="0" w:color="auto"/>
      </w:divBdr>
    </w:div>
    <w:div w:id="299268360">
      <w:bodyDiv w:val="1"/>
      <w:marLeft w:val="0"/>
      <w:marRight w:val="0"/>
      <w:marTop w:val="0"/>
      <w:marBottom w:val="0"/>
      <w:divBdr>
        <w:top w:val="none" w:sz="0" w:space="0" w:color="auto"/>
        <w:left w:val="none" w:sz="0" w:space="0" w:color="auto"/>
        <w:bottom w:val="none" w:sz="0" w:space="0" w:color="auto"/>
        <w:right w:val="none" w:sz="0" w:space="0" w:color="auto"/>
      </w:divBdr>
    </w:div>
    <w:div w:id="303043742">
      <w:bodyDiv w:val="1"/>
      <w:marLeft w:val="0"/>
      <w:marRight w:val="0"/>
      <w:marTop w:val="0"/>
      <w:marBottom w:val="0"/>
      <w:divBdr>
        <w:top w:val="none" w:sz="0" w:space="0" w:color="auto"/>
        <w:left w:val="none" w:sz="0" w:space="0" w:color="auto"/>
        <w:bottom w:val="none" w:sz="0" w:space="0" w:color="auto"/>
        <w:right w:val="none" w:sz="0" w:space="0" w:color="auto"/>
      </w:divBdr>
    </w:div>
    <w:div w:id="303505440">
      <w:bodyDiv w:val="1"/>
      <w:marLeft w:val="0"/>
      <w:marRight w:val="0"/>
      <w:marTop w:val="0"/>
      <w:marBottom w:val="0"/>
      <w:divBdr>
        <w:top w:val="none" w:sz="0" w:space="0" w:color="auto"/>
        <w:left w:val="none" w:sz="0" w:space="0" w:color="auto"/>
        <w:bottom w:val="none" w:sz="0" w:space="0" w:color="auto"/>
        <w:right w:val="none" w:sz="0" w:space="0" w:color="auto"/>
      </w:divBdr>
    </w:div>
    <w:div w:id="308487633">
      <w:bodyDiv w:val="1"/>
      <w:marLeft w:val="0"/>
      <w:marRight w:val="0"/>
      <w:marTop w:val="0"/>
      <w:marBottom w:val="0"/>
      <w:divBdr>
        <w:top w:val="none" w:sz="0" w:space="0" w:color="auto"/>
        <w:left w:val="none" w:sz="0" w:space="0" w:color="auto"/>
        <w:bottom w:val="none" w:sz="0" w:space="0" w:color="auto"/>
        <w:right w:val="none" w:sz="0" w:space="0" w:color="auto"/>
      </w:divBdr>
    </w:div>
    <w:div w:id="309214261">
      <w:bodyDiv w:val="1"/>
      <w:marLeft w:val="0"/>
      <w:marRight w:val="0"/>
      <w:marTop w:val="0"/>
      <w:marBottom w:val="0"/>
      <w:divBdr>
        <w:top w:val="none" w:sz="0" w:space="0" w:color="auto"/>
        <w:left w:val="none" w:sz="0" w:space="0" w:color="auto"/>
        <w:bottom w:val="none" w:sz="0" w:space="0" w:color="auto"/>
        <w:right w:val="none" w:sz="0" w:space="0" w:color="auto"/>
      </w:divBdr>
    </w:div>
    <w:div w:id="310795645">
      <w:bodyDiv w:val="1"/>
      <w:marLeft w:val="0"/>
      <w:marRight w:val="0"/>
      <w:marTop w:val="0"/>
      <w:marBottom w:val="0"/>
      <w:divBdr>
        <w:top w:val="none" w:sz="0" w:space="0" w:color="auto"/>
        <w:left w:val="none" w:sz="0" w:space="0" w:color="auto"/>
        <w:bottom w:val="none" w:sz="0" w:space="0" w:color="auto"/>
        <w:right w:val="none" w:sz="0" w:space="0" w:color="auto"/>
      </w:divBdr>
    </w:div>
    <w:div w:id="312025150">
      <w:bodyDiv w:val="1"/>
      <w:marLeft w:val="0"/>
      <w:marRight w:val="0"/>
      <w:marTop w:val="0"/>
      <w:marBottom w:val="0"/>
      <w:divBdr>
        <w:top w:val="none" w:sz="0" w:space="0" w:color="auto"/>
        <w:left w:val="none" w:sz="0" w:space="0" w:color="auto"/>
        <w:bottom w:val="none" w:sz="0" w:space="0" w:color="auto"/>
        <w:right w:val="none" w:sz="0" w:space="0" w:color="auto"/>
      </w:divBdr>
    </w:div>
    <w:div w:id="312415080">
      <w:bodyDiv w:val="1"/>
      <w:marLeft w:val="0"/>
      <w:marRight w:val="0"/>
      <w:marTop w:val="0"/>
      <w:marBottom w:val="0"/>
      <w:divBdr>
        <w:top w:val="none" w:sz="0" w:space="0" w:color="auto"/>
        <w:left w:val="none" w:sz="0" w:space="0" w:color="auto"/>
        <w:bottom w:val="none" w:sz="0" w:space="0" w:color="auto"/>
        <w:right w:val="none" w:sz="0" w:space="0" w:color="auto"/>
      </w:divBdr>
    </w:div>
    <w:div w:id="312947444">
      <w:bodyDiv w:val="1"/>
      <w:marLeft w:val="0"/>
      <w:marRight w:val="0"/>
      <w:marTop w:val="0"/>
      <w:marBottom w:val="0"/>
      <w:divBdr>
        <w:top w:val="none" w:sz="0" w:space="0" w:color="auto"/>
        <w:left w:val="none" w:sz="0" w:space="0" w:color="auto"/>
        <w:bottom w:val="none" w:sz="0" w:space="0" w:color="auto"/>
        <w:right w:val="none" w:sz="0" w:space="0" w:color="auto"/>
      </w:divBdr>
    </w:div>
    <w:div w:id="314527125">
      <w:bodyDiv w:val="1"/>
      <w:marLeft w:val="0"/>
      <w:marRight w:val="0"/>
      <w:marTop w:val="0"/>
      <w:marBottom w:val="0"/>
      <w:divBdr>
        <w:top w:val="none" w:sz="0" w:space="0" w:color="auto"/>
        <w:left w:val="none" w:sz="0" w:space="0" w:color="auto"/>
        <w:bottom w:val="none" w:sz="0" w:space="0" w:color="auto"/>
        <w:right w:val="none" w:sz="0" w:space="0" w:color="auto"/>
      </w:divBdr>
    </w:div>
    <w:div w:id="317468317">
      <w:bodyDiv w:val="1"/>
      <w:marLeft w:val="0"/>
      <w:marRight w:val="0"/>
      <w:marTop w:val="0"/>
      <w:marBottom w:val="0"/>
      <w:divBdr>
        <w:top w:val="none" w:sz="0" w:space="0" w:color="auto"/>
        <w:left w:val="none" w:sz="0" w:space="0" w:color="auto"/>
        <w:bottom w:val="none" w:sz="0" w:space="0" w:color="auto"/>
        <w:right w:val="none" w:sz="0" w:space="0" w:color="auto"/>
      </w:divBdr>
    </w:div>
    <w:div w:id="322392150">
      <w:bodyDiv w:val="1"/>
      <w:marLeft w:val="0"/>
      <w:marRight w:val="0"/>
      <w:marTop w:val="0"/>
      <w:marBottom w:val="0"/>
      <w:divBdr>
        <w:top w:val="none" w:sz="0" w:space="0" w:color="auto"/>
        <w:left w:val="none" w:sz="0" w:space="0" w:color="auto"/>
        <w:bottom w:val="none" w:sz="0" w:space="0" w:color="auto"/>
        <w:right w:val="none" w:sz="0" w:space="0" w:color="auto"/>
      </w:divBdr>
    </w:div>
    <w:div w:id="323583711">
      <w:bodyDiv w:val="1"/>
      <w:marLeft w:val="0"/>
      <w:marRight w:val="0"/>
      <w:marTop w:val="0"/>
      <w:marBottom w:val="0"/>
      <w:divBdr>
        <w:top w:val="none" w:sz="0" w:space="0" w:color="auto"/>
        <w:left w:val="none" w:sz="0" w:space="0" w:color="auto"/>
        <w:bottom w:val="none" w:sz="0" w:space="0" w:color="auto"/>
        <w:right w:val="none" w:sz="0" w:space="0" w:color="auto"/>
      </w:divBdr>
    </w:div>
    <w:div w:id="324087748">
      <w:bodyDiv w:val="1"/>
      <w:marLeft w:val="0"/>
      <w:marRight w:val="0"/>
      <w:marTop w:val="0"/>
      <w:marBottom w:val="0"/>
      <w:divBdr>
        <w:top w:val="none" w:sz="0" w:space="0" w:color="auto"/>
        <w:left w:val="none" w:sz="0" w:space="0" w:color="auto"/>
        <w:bottom w:val="none" w:sz="0" w:space="0" w:color="auto"/>
        <w:right w:val="none" w:sz="0" w:space="0" w:color="auto"/>
      </w:divBdr>
    </w:div>
    <w:div w:id="326370549">
      <w:bodyDiv w:val="1"/>
      <w:marLeft w:val="0"/>
      <w:marRight w:val="0"/>
      <w:marTop w:val="0"/>
      <w:marBottom w:val="0"/>
      <w:divBdr>
        <w:top w:val="none" w:sz="0" w:space="0" w:color="auto"/>
        <w:left w:val="none" w:sz="0" w:space="0" w:color="auto"/>
        <w:bottom w:val="none" w:sz="0" w:space="0" w:color="auto"/>
        <w:right w:val="none" w:sz="0" w:space="0" w:color="auto"/>
      </w:divBdr>
    </w:div>
    <w:div w:id="326632404">
      <w:bodyDiv w:val="1"/>
      <w:marLeft w:val="0"/>
      <w:marRight w:val="0"/>
      <w:marTop w:val="0"/>
      <w:marBottom w:val="0"/>
      <w:divBdr>
        <w:top w:val="none" w:sz="0" w:space="0" w:color="auto"/>
        <w:left w:val="none" w:sz="0" w:space="0" w:color="auto"/>
        <w:bottom w:val="none" w:sz="0" w:space="0" w:color="auto"/>
        <w:right w:val="none" w:sz="0" w:space="0" w:color="auto"/>
      </w:divBdr>
    </w:div>
    <w:div w:id="331032545">
      <w:bodyDiv w:val="1"/>
      <w:marLeft w:val="0"/>
      <w:marRight w:val="0"/>
      <w:marTop w:val="0"/>
      <w:marBottom w:val="0"/>
      <w:divBdr>
        <w:top w:val="none" w:sz="0" w:space="0" w:color="auto"/>
        <w:left w:val="none" w:sz="0" w:space="0" w:color="auto"/>
        <w:bottom w:val="none" w:sz="0" w:space="0" w:color="auto"/>
        <w:right w:val="none" w:sz="0" w:space="0" w:color="auto"/>
      </w:divBdr>
    </w:div>
    <w:div w:id="332535639">
      <w:bodyDiv w:val="1"/>
      <w:marLeft w:val="0"/>
      <w:marRight w:val="0"/>
      <w:marTop w:val="0"/>
      <w:marBottom w:val="0"/>
      <w:divBdr>
        <w:top w:val="none" w:sz="0" w:space="0" w:color="auto"/>
        <w:left w:val="none" w:sz="0" w:space="0" w:color="auto"/>
        <w:bottom w:val="none" w:sz="0" w:space="0" w:color="auto"/>
        <w:right w:val="none" w:sz="0" w:space="0" w:color="auto"/>
      </w:divBdr>
    </w:div>
    <w:div w:id="335808142">
      <w:bodyDiv w:val="1"/>
      <w:marLeft w:val="0"/>
      <w:marRight w:val="0"/>
      <w:marTop w:val="0"/>
      <w:marBottom w:val="0"/>
      <w:divBdr>
        <w:top w:val="none" w:sz="0" w:space="0" w:color="auto"/>
        <w:left w:val="none" w:sz="0" w:space="0" w:color="auto"/>
        <w:bottom w:val="none" w:sz="0" w:space="0" w:color="auto"/>
        <w:right w:val="none" w:sz="0" w:space="0" w:color="auto"/>
      </w:divBdr>
    </w:div>
    <w:div w:id="336349941">
      <w:bodyDiv w:val="1"/>
      <w:marLeft w:val="0"/>
      <w:marRight w:val="0"/>
      <w:marTop w:val="0"/>
      <w:marBottom w:val="0"/>
      <w:divBdr>
        <w:top w:val="none" w:sz="0" w:space="0" w:color="auto"/>
        <w:left w:val="none" w:sz="0" w:space="0" w:color="auto"/>
        <w:bottom w:val="none" w:sz="0" w:space="0" w:color="auto"/>
        <w:right w:val="none" w:sz="0" w:space="0" w:color="auto"/>
      </w:divBdr>
    </w:div>
    <w:div w:id="340856711">
      <w:bodyDiv w:val="1"/>
      <w:marLeft w:val="0"/>
      <w:marRight w:val="0"/>
      <w:marTop w:val="0"/>
      <w:marBottom w:val="0"/>
      <w:divBdr>
        <w:top w:val="none" w:sz="0" w:space="0" w:color="auto"/>
        <w:left w:val="none" w:sz="0" w:space="0" w:color="auto"/>
        <w:bottom w:val="none" w:sz="0" w:space="0" w:color="auto"/>
        <w:right w:val="none" w:sz="0" w:space="0" w:color="auto"/>
      </w:divBdr>
    </w:div>
    <w:div w:id="343946817">
      <w:bodyDiv w:val="1"/>
      <w:marLeft w:val="0"/>
      <w:marRight w:val="0"/>
      <w:marTop w:val="0"/>
      <w:marBottom w:val="0"/>
      <w:divBdr>
        <w:top w:val="none" w:sz="0" w:space="0" w:color="auto"/>
        <w:left w:val="none" w:sz="0" w:space="0" w:color="auto"/>
        <w:bottom w:val="none" w:sz="0" w:space="0" w:color="auto"/>
        <w:right w:val="none" w:sz="0" w:space="0" w:color="auto"/>
      </w:divBdr>
    </w:div>
    <w:div w:id="344671730">
      <w:bodyDiv w:val="1"/>
      <w:marLeft w:val="0"/>
      <w:marRight w:val="0"/>
      <w:marTop w:val="0"/>
      <w:marBottom w:val="0"/>
      <w:divBdr>
        <w:top w:val="none" w:sz="0" w:space="0" w:color="auto"/>
        <w:left w:val="none" w:sz="0" w:space="0" w:color="auto"/>
        <w:bottom w:val="none" w:sz="0" w:space="0" w:color="auto"/>
        <w:right w:val="none" w:sz="0" w:space="0" w:color="auto"/>
      </w:divBdr>
    </w:div>
    <w:div w:id="350224993">
      <w:bodyDiv w:val="1"/>
      <w:marLeft w:val="0"/>
      <w:marRight w:val="0"/>
      <w:marTop w:val="0"/>
      <w:marBottom w:val="0"/>
      <w:divBdr>
        <w:top w:val="none" w:sz="0" w:space="0" w:color="auto"/>
        <w:left w:val="none" w:sz="0" w:space="0" w:color="auto"/>
        <w:bottom w:val="none" w:sz="0" w:space="0" w:color="auto"/>
        <w:right w:val="none" w:sz="0" w:space="0" w:color="auto"/>
      </w:divBdr>
    </w:div>
    <w:div w:id="355085224">
      <w:bodyDiv w:val="1"/>
      <w:marLeft w:val="0"/>
      <w:marRight w:val="0"/>
      <w:marTop w:val="0"/>
      <w:marBottom w:val="0"/>
      <w:divBdr>
        <w:top w:val="none" w:sz="0" w:space="0" w:color="auto"/>
        <w:left w:val="none" w:sz="0" w:space="0" w:color="auto"/>
        <w:bottom w:val="none" w:sz="0" w:space="0" w:color="auto"/>
        <w:right w:val="none" w:sz="0" w:space="0" w:color="auto"/>
      </w:divBdr>
    </w:div>
    <w:div w:id="355692911">
      <w:bodyDiv w:val="1"/>
      <w:marLeft w:val="0"/>
      <w:marRight w:val="0"/>
      <w:marTop w:val="0"/>
      <w:marBottom w:val="0"/>
      <w:divBdr>
        <w:top w:val="none" w:sz="0" w:space="0" w:color="auto"/>
        <w:left w:val="none" w:sz="0" w:space="0" w:color="auto"/>
        <w:bottom w:val="none" w:sz="0" w:space="0" w:color="auto"/>
        <w:right w:val="none" w:sz="0" w:space="0" w:color="auto"/>
      </w:divBdr>
    </w:div>
    <w:div w:id="360781706">
      <w:bodyDiv w:val="1"/>
      <w:marLeft w:val="0"/>
      <w:marRight w:val="0"/>
      <w:marTop w:val="0"/>
      <w:marBottom w:val="0"/>
      <w:divBdr>
        <w:top w:val="none" w:sz="0" w:space="0" w:color="auto"/>
        <w:left w:val="none" w:sz="0" w:space="0" w:color="auto"/>
        <w:bottom w:val="none" w:sz="0" w:space="0" w:color="auto"/>
        <w:right w:val="none" w:sz="0" w:space="0" w:color="auto"/>
      </w:divBdr>
    </w:div>
    <w:div w:id="362563915">
      <w:bodyDiv w:val="1"/>
      <w:marLeft w:val="0"/>
      <w:marRight w:val="0"/>
      <w:marTop w:val="0"/>
      <w:marBottom w:val="0"/>
      <w:divBdr>
        <w:top w:val="none" w:sz="0" w:space="0" w:color="auto"/>
        <w:left w:val="none" w:sz="0" w:space="0" w:color="auto"/>
        <w:bottom w:val="none" w:sz="0" w:space="0" w:color="auto"/>
        <w:right w:val="none" w:sz="0" w:space="0" w:color="auto"/>
      </w:divBdr>
    </w:div>
    <w:div w:id="365494458">
      <w:bodyDiv w:val="1"/>
      <w:marLeft w:val="0"/>
      <w:marRight w:val="0"/>
      <w:marTop w:val="0"/>
      <w:marBottom w:val="0"/>
      <w:divBdr>
        <w:top w:val="none" w:sz="0" w:space="0" w:color="auto"/>
        <w:left w:val="none" w:sz="0" w:space="0" w:color="auto"/>
        <w:bottom w:val="none" w:sz="0" w:space="0" w:color="auto"/>
        <w:right w:val="none" w:sz="0" w:space="0" w:color="auto"/>
      </w:divBdr>
    </w:div>
    <w:div w:id="370691716">
      <w:bodyDiv w:val="1"/>
      <w:marLeft w:val="0"/>
      <w:marRight w:val="0"/>
      <w:marTop w:val="0"/>
      <w:marBottom w:val="0"/>
      <w:divBdr>
        <w:top w:val="none" w:sz="0" w:space="0" w:color="auto"/>
        <w:left w:val="none" w:sz="0" w:space="0" w:color="auto"/>
        <w:bottom w:val="none" w:sz="0" w:space="0" w:color="auto"/>
        <w:right w:val="none" w:sz="0" w:space="0" w:color="auto"/>
      </w:divBdr>
    </w:div>
    <w:div w:id="375201769">
      <w:bodyDiv w:val="1"/>
      <w:marLeft w:val="0"/>
      <w:marRight w:val="0"/>
      <w:marTop w:val="0"/>
      <w:marBottom w:val="0"/>
      <w:divBdr>
        <w:top w:val="none" w:sz="0" w:space="0" w:color="auto"/>
        <w:left w:val="none" w:sz="0" w:space="0" w:color="auto"/>
        <w:bottom w:val="none" w:sz="0" w:space="0" w:color="auto"/>
        <w:right w:val="none" w:sz="0" w:space="0" w:color="auto"/>
      </w:divBdr>
    </w:div>
    <w:div w:id="376395177">
      <w:bodyDiv w:val="1"/>
      <w:marLeft w:val="0"/>
      <w:marRight w:val="0"/>
      <w:marTop w:val="0"/>
      <w:marBottom w:val="0"/>
      <w:divBdr>
        <w:top w:val="none" w:sz="0" w:space="0" w:color="auto"/>
        <w:left w:val="none" w:sz="0" w:space="0" w:color="auto"/>
        <w:bottom w:val="none" w:sz="0" w:space="0" w:color="auto"/>
        <w:right w:val="none" w:sz="0" w:space="0" w:color="auto"/>
      </w:divBdr>
    </w:div>
    <w:div w:id="383990909">
      <w:bodyDiv w:val="1"/>
      <w:marLeft w:val="0"/>
      <w:marRight w:val="0"/>
      <w:marTop w:val="0"/>
      <w:marBottom w:val="0"/>
      <w:divBdr>
        <w:top w:val="none" w:sz="0" w:space="0" w:color="auto"/>
        <w:left w:val="none" w:sz="0" w:space="0" w:color="auto"/>
        <w:bottom w:val="none" w:sz="0" w:space="0" w:color="auto"/>
        <w:right w:val="none" w:sz="0" w:space="0" w:color="auto"/>
      </w:divBdr>
    </w:div>
    <w:div w:id="384372519">
      <w:bodyDiv w:val="1"/>
      <w:marLeft w:val="0"/>
      <w:marRight w:val="0"/>
      <w:marTop w:val="0"/>
      <w:marBottom w:val="0"/>
      <w:divBdr>
        <w:top w:val="none" w:sz="0" w:space="0" w:color="auto"/>
        <w:left w:val="none" w:sz="0" w:space="0" w:color="auto"/>
        <w:bottom w:val="none" w:sz="0" w:space="0" w:color="auto"/>
        <w:right w:val="none" w:sz="0" w:space="0" w:color="auto"/>
      </w:divBdr>
    </w:div>
    <w:div w:id="384724566">
      <w:bodyDiv w:val="1"/>
      <w:marLeft w:val="0"/>
      <w:marRight w:val="0"/>
      <w:marTop w:val="0"/>
      <w:marBottom w:val="0"/>
      <w:divBdr>
        <w:top w:val="none" w:sz="0" w:space="0" w:color="auto"/>
        <w:left w:val="none" w:sz="0" w:space="0" w:color="auto"/>
        <w:bottom w:val="none" w:sz="0" w:space="0" w:color="auto"/>
        <w:right w:val="none" w:sz="0" w:space="0" w:color="auto"/>
      </w:divBdr>
    </w:div>
    <w:div w:id="386102434">
      <w:bodyDiv w:val="1"/>
      <w:marLeft w:val="0"/>
      <w:marRight w:val="0"/>
      <w:marTop w:val="0"/>
      <w:marBottom w:val="0"/>
      <w:divBdr>
        <w:top w:val="none" w:sz="0" w:space="0" w:color="auto"/>
        <w:left w:val="none" w:sz="0" w:space="0" w:color="auto"/>
        <w:bottom w:val="none" w:sz="0" w:space="0" w:color="auto"/>
        <w:right w:val="none" w:sz="0" w:space="0" w:color="auto"/>
      </w:divBdr>
    </w:div>
    <w:div w:id="386149780">
      <w:bodyDiv w:val="1"/>
      <w:marLeft w:val="0"/>
      <w:marRight w:val="0"/>
      <w:marTop w:val="0"/>
      <w:marBottom w:val="0"/>
      <w:divBdr>
        <w:top w:val="none" w:sz="0" w:space="0" w:color="auto"/>
        <w:left w:val="none" w:sz="0" w:space="0" w:color="auto"/>
        <w:bottom w:val="none" w:sz="0" w:space="0" w:color="auto"/>
        <w:right w:val="none" w:sz="0" w:space="0" w:color="auto"/>
      </w:divBdr>
    </w:div>
    <w:div w:id="387534202">
      <w:bodyDiv w:val="1"/>
      <w:marLeft w:val="0"/>
      <w:marRight w:val="0"/>
      <w:marTop w:val="0"/>
      <w:marBottom w:val="0"/>
      <w:divBdr>
        <w:top w:val="none" w:sz="0" w:space="0" w:color="auto"/>
        <w:left w:val="none" w:sz="0" w:space="0" w:color="auto"/>
        <w:bottom w:val="none" w:sz="0" w:space="0" w:color="auto"/>
        <w:right w:val="none" w:sz="0" w:space="0" w:color="auto"/>
      </w:divBdr>
    </w:div>
    <w:div w:id="387732342">
      <w:bodyDiv w:val="1"/>
      <w:marLeft w:val="0"/>
      <w:marRight w:val="0"/>
      <w:marTop w:val="0"/>
      <w:marBottom w:val="0"/>
      <w:divBdr>
        <w:top w:val="none" w:sz="0" w:space="0" w:color="auto"/>
        <w:left w:val="none" w:sz="0" w:space="0" w:color="auto"/>
        <w:bottom w:val="none" w:sz="0" w:space="0" w:color="auto"/>
        <w:right w:val="none" w:sz="0" w:space="0" w:color="auto"/>
      </w:divBdr>
    </w:div>
    <w:div w:id="389889455">
      <w:bodyDiv w:val="1"/>
      <w:marLeft w:val="0"/>
      <w:marRight w:val="0"/>
      <w:marTop w:val="0"/>
      <w:marBottom w:val="0"/>
      <w:divBdr>
        <w:top w:val="none" w:sz="0" w:space="0" w:color="auto"/>
        <w:left w:val="none" w:sz="0" w:space="0" w:color="auto"/>
        <w:bottom w:val="none" w:sz="0" w:space="0" w:color="auto"/>
        <w:right w:val="none" w:sz="0" w:space="0" w:color="auto"/>
      </w:divBdr>
    </w:div>
    <w:div w:id="390421786">
      <w:bodyDiv w:val="1"/>
      <w:marLeft w:val="0"/>
      <w:marRight w:val="0"/>
      <w:marTop w:val="0"/>
      <w:marBottom w:val="0"/>
      <w:divBdr>
        <w:top w:val="none" w:sz="0" w:space="0" w:color="auto"/>
        <w:left w:val="none" w:sz="0" w:space="0" w:color="auto"/>
        <w:bottom w:val="none" w:sz="0" w:space="0" w:color="auto"/>
        <w:right w:val="none" w:sz="0" w:space="0" w:color="auto"/>
      </w:divBdr>
    </w:div>
    <w:div w:id="391733931">
      <w:bodyDiv w:val="1"/>
      <w:marLeft w:val="0"/>
      <w:marRight w:val="0"/>
      <w:marTop w:val="0"/>
      <w:marBottom w:val="0"/>
      <w:divBdr>
        <w:top w:val="none" w:sz="0" w:space="0" w:color="auto"/>
        <w:left w:val="none" w:sz="0" w:space="0" w:color="auto"/>
        <w:bottom w:val="none" w:sz="0" w:space="0" w:color="auto"/>
        <w:right w:val="none" w:sz="0" w:space="0" w:color="auto"/>
      </w:divBdr>
    </w:div>
    <w:div w:id="391930224">
      <w:bodyDiv w:val="1"/>
      <w:marLeft w:val="0"/>
      <w:marRight w:val="0"/>
      <w:marTop w:val="0"/>
      <w:marBottom w:val="0"/>
      <w:divBdr>
        <w:top w:val="none" w:sz="0" w:space="0" w:color="auto"/>
        <w:left w:val="none" w:sz="0" w:space="0" w:color="auto"/>
        <w:bottom w:val="none" w:sz="0" w:space="0" w:color="auto"/>
        <w:right w:val="none" w:sz="0" w:space="0" w:color="auto"/>
      </w:divBdr>
    </w:div>
    <w:div w:id="392852493">
      <w:bodyDiv w:val="1"/>
      <w:marLeft w:val="0"/>
      <w:marRight w:val="0"/>
      <w:marTop w:val="0"/>
      <w:marBottom w:val="0"/>
      <w:divBdr>
        <w:top w:val="none" w:sz="0" w:space="0" w:color="auto"/>
        <w:left w:val="none" w:sz="0" w:space="0" w:color="auto"/>
        <w:bottom w:val="none" w:sz="0" w:space="0" w:color="auto"/>
        <w:right w:val="none" w:sz="0" w:space="0" w:color="auto"/>
      </w:divBdr>
    </w:div>
    <w:div w:id="394008303">
      <w:bodyDiv w:val="1"/>
      <w:marLeft w:val="0"/>
      <w:marRight w:val="0"/>
      <w:marTop w:val="0"/>
      <w:marBottom w:val="0"/>
      <w:divBdr>
        <w:top w:val="none" w:sz="0" w:space="0" w:color="auto"/>
        <w:left w:val="none" w:sz="0" w:space="0" w:color="auto"/>
        <w:bottom w:val="none" w:sz="0" w:space="0" w:color="auto"/>
        <w:right w:val="none" w:sz="0" w:space="0" w:color="auto"/>
      </w:divBdr>
    </w:div>
    <w:div w:id="394739684">
      <w:bodyDiv w:val="1"/>
      <w:marLeft w:val="0"/>
      <w:marRight w:val="0"/>
      <w:marTop w:val="0"/>
      <w:marBottom w:val="0"/>
      <w:divBdr>
        <w:top w:val="none" w:sz="0" w:space="0" w:color="auto"/>
        <w:left w:val="none" w:sz="0" w:space="0" w:color="auto"/>
        <w:bottom w:val="none" w:sz="0" w:space="0" w:color="auto"/>
        <w:right w:val="none" w:sz="0" w:space="0" w:color="auto"/>
      </w:divBdr>
    </w:div>
    <w:div w:id="397561771">
      <w:bodyDiv w:val="1"/>
      <w:marLeft w:val="0"/>
      <w:marRight w:val="0"/>
      <w:marTop w:val="0"/>
      <w:marBottom w:val="0"/>
      <w:divBdr>
        <w:top w:val="none" w:sz="0" w:space="0" w:color="auto"/>
        <w:left w:val="none" w:sz="0" w:space="0" w:color="auto"/>
        <w:bottom w:val="none" w:sz="0" w:space="0" w:color="auto"/>
        <w:right w:val="none" w:sz="0" w:space="0" w:color="auto"/>
      </w:divBdr>
    </w:div>
    <w:div w:id="397674806">
      <w:bodyDiv w:val="1"/>
      <w:marLeft w:val="0"/>
      <w:marRight w:val="0"/>
      <w:marTop w:val="0"/>
      <w:marBottom w:val="0"/>
      <w:divBdr>
        <w:top w:val="none" w:sz="0" w:space="0" w:color="auto"/>
        <w:left w:val="none" w:sz="0" w:space="0" w:color="auto"/>
        <w:bottom w:val="none" w:sz="0" w:space="0" w:color="auto"/>
        <w:right w:val="none" w:sz="0" w:space="0" w:color="auto"/>
      </w:divBdr>
    </w:div>
    <w:div w:id="399329420">
      <w:bodyDiv w:val="1"/>
      <w:marLeft w:val="0"/>
      <w:marRight w:val="0"/>
      <w:marTop w:val="0"/>
      <w:marBottom w:val="0"/>
      <w:divBdr>
        <w:top w:val="none" w:sz="0" w:space="0" w:color="auto"/>
        <w:left w:val="none" w:sz="0" w:space="0" w:color="auto"/>
        <w:bottom w:val="none" w:sz="0" w:space="0" w:color="auto"/>
        <w:right w:val="none" w:sz="0" w:space="0" w:color="auto"/>
      </w:divBdr>
    </w:div>
    <w:div w:id="401221500">
      <w:bodyDiv w:val="1"/>
      <w:marLeft w:val="0"/>
      <w:marRight w:val="0"/>
      <w:marTop w:val="0"/>
      <w:marBottom w:val="0"/>
      <w:divBdr>
        <w:top w:val="none" w:sz="0" w:space="0" w:color="auto"/>
        <w:left w:val="none" w:sz="0" w:space="0" w:color="auto"/>
        <w:bottom w:val="none" w:sz="0" w:space="0" w:color="auto"/>
        <w:right w:val="none" w:sz="0" w:space="0" w:color="auto"/>
      </w:divBdr>
    </w:div>
    <w:div w:id="403797689">
      <w:bodyDiv w:val="1"/>
      <w:marLeft w:val="0"/>
      <w:marRight w:val="0"/>
      <w:marTop w:val="0"/>
      <w:marBottom w:val="0"/>
      <w:divBdr>
        <w:top w:val="none" w:sz="0" w:space="0" w:color="auto"/>
        <w:left w:val="none" w:sz="0" w:space="0" w:color="auto"/>
        <w:bottom w:val="none" w:sz="0" w:space="0" w:color="auto"/>
        <w:right w:val="none" w:sz="0" w:space="0" w:color="auto"/>
      </w:divBdr>
    </w:div>
    <w:div w:id="405542024">
      <w:bodyDiv w:val="1"/>
      <w:marLeft w:val="0"/>
      <w:marRight w:val="0"/>
      <w:marTop w:val="0"/>
      <w:marBottom w:val="0"/>
      <w:divBdr>
        <w:top w:val="none" w:sz="0" w:space="0" w:color="auto"/>
        <w:left w:val="none" w:sz="0" w:space="0" w:color="auto"/>
        <w:bottom w:val="none" w:sz="0" w:space="0" w:color="auto"/>
        <w:right w:val="none" w:sz="0" w:space="0" w:color="auto"/>
      </w:divBdr>
    </w:div>
    <w:div w:id="405803175">
      <w:bodyDiv w:val="1"/>
      <w:marLeft w:val="0"/>
      <w:marRight w:val="0"/>
      <w:marTop w:val="0"/>
      <w:marBottom w:val="0"/>
      <w:divBdr>
        <w:top w:val="none" w:sz="0" w:space="0" w:color="auto"/>
        <w:left w:val="none" w:sz="0" w:space="0" w:color="auto"/>
        <w:bottom w:val="none" w:sz="0" w:space="0" w:color="auto"/>
        <w:right w:val="none" w:sz="0" w:space="0" w:color="auto"/>
      </w:divBdr>
    </w:div>
    <w:div w:id="406264369">
      <w:bodyDiv w:val="1"/>
      <w:marLeft w:val="0"/>
      <w:marRight w:val="0"/>
      <w:marTop w:val="0"/>
      <w:marBottom w:val="0"/>
      <w:divBdr>
        <w:top w:val="none" w:sz="0" w:space="0" w:color="auto"/>
        <w:left w:val="none" w:sz="0" w:space="0" w:color="auto"/>
        <w:bottom w:val="none" w:sz="0" w:space="0" w:color="auto"/>
        <w:right w:val="none" w:sz="0" w:space="0" w:color="auto"/>
      </w:divBdr>
    </w:div>
    <w:div w:id="406806795">
      <w:bodyDiv w:val="1"/>
      <w:marLeft w:val="0"/>
      <w:marRight w:val="0"/>
      <w:marTop w:val="0"/>
      <w:marBottom w:val="0"/>
      <w:divBdr>
        <w:top w:val="none" w:sz="0" w:space="0" w:color="auto"/>
        <w:left w:val="none" w:sz="0" w:space="0" w:color="auto"/>
        <w:bottom w:val="none" w:sz="0" w:space="0" w:color="auto"/>
        <w:right w:val="none" w:sz="0" w:space="0" w:color="auto"/>
      </w:divBdr>
    </w:div>
    <w:div w:id="407533455">
      <w:bodyDiv w:val="1"/>
      <w:marLeft w:val="0"/>
      <w:marRight w:val="0"/>
      <w:marTop w:val="0"/>
      <w:marBottom w:val="0"/>
      <w:divBdr>
        <w:top w:val="none" w:sz="0" w:space="0" w:color="auto"/>
        <w:left w:val="none" w:sz="0" w:space="0" w:color="auto"/>
        <w:bottom w:val="none" w:sz="0" w:space="0" w:color="auto"/>
        <w:right w:val="none" w:sz="0" w:space="0" w:color="auto"/>
      </w:divBdr>
    </w:div>
    <w:div w:id="408499610">
      <w:bodyDiv w:val="1"/>
      <w:marLeft w:val="0"/>
      <w:marRight w:val="0"/>
      <w:marTop w:val="0"/>
      <w:marBottom w:val="0"/>
      <w:divBdr>
        <w:top w:val="none" w:sz="0" w:space="0" w:color="auto"/>
        <w:left w:val="none" w:sz="0" w:space="0" w:color="auto"/>
        <w:bottom w:val="none" w:sz="0" w:space="0" w:color="auto"/>
        <w:right w:val="none" w:sz="0" w:space="0" w:color="auto"/>
      </w:divBdr>
    </w:div>
    <w:div w:id="418186360">
      <w:bodyDiv w:val="1"/>
      <w:marLeft w:val="0"/>
      <w:marRight w:val="0"/>
      <w:marTop w:val="0"/>
      <w:marBottom w:val="0"/>
      <w:divBdr>
        <w:top w:val="none" w:sz="0" w:space="0" w:color="auto"/>
        <w:left w:val="none" w:sz="0" w:space="0" w:color="auto"/>
        <w:bottom w:val="none" w:sz="0" w:space="0" w:color="auto"/>
        <w:right w:val="none" w:sz="0" w:space="0" w:color="auto"/>
      </w:divBdr>
    </w:div>
    <w:div w:id="419722385">
      <w:bodyDiv w:val="1"/>
      <w:marLeft w:val="0"/>
      <w:marRight w:val="0"/>
      <w:marTop w:val="0"/>
      <w:marBottom w:val="0"/>
      <w:divBdr>
        <w:top w:val="none" w:sz="0" w:space="0" w:color="auto"/>
        <w:left w:val="none" w:sz="0" w:space="0" w:color="auto"/>
        <w:bottom w:val="none" w:sz="0" w:space="0" w:color="auto"/>
        <w:right w:val="none" w:sz="0" w:space="0" w:color="auto"/>
      </w:divBdr>
    </w:div>
    <w:div w:id="421604909">
      <w:bodyDiv w:val="1"/>
      <w:marLeft w:val="0"/>
      <w:marRight w:val="0"/>
      <w:marTop w:val="0"/>
      <w:marBottom w:val="0"/>
      <w:divBdr>
        <w:top w:val="none" w:sz="0" w:space="0" w:color="auto"/>
        <w:left w:val="none" w:sz="0" w:space="0" w:color="auto"/>
        <w:bottom w:val="none" w:sz="0" w:space="0" w:color="auto"/>
        <w:right w:val="none" w:sz="0" w:space="0" w:color="auto"/>
      </w:divBdr>
    </w:div>
    <w:div w:id="422411280">
      <w:bodyDiv w:val="1"/>
      <w:marLeft w:val="0"/>
      <w:marRight w:val="0"/>
      <w:marTop w:val="0"/>
      <w:marBottom w:val="0"/>
      <w:divBdr>
        <w:top w:val="none" w:sz="0" w:space="0" w:color="auto"/>
        <w:left w:val="none" w:sz="0" w:space="0" w:color="auto"/>
        <w:bottom w:val="none" w:sz="0" w:space="0" w:color="auto"/>
        <w:right w:val="none" w:sz="0" w:space="0" w:color="auto"/>
      </w:divBdr>
    </w:div>
    <w:div w:id="423302947">
      <w:bodyDiv w:val="1"/>
      <w:marLeft w:val="0"/>
      <w:marRight w:val="0"/>
      <w:marTop w:val="0"/>
      <w:marBottom w:val="0"/>
      <w:divBdr>
        <w:top w:val="none" w:sz="0" w:space="0" w:color="auto"/>
        <w:left w:val="none" w:sz="0" w:space="0" w:color="auto"/>
        <w:bottom w:val="none" w:sz="0" w:space="0" w:color="auto"/>
        <w:right w:val="none" w:sz="0" w:space="0" w:color="auto"/>
      </w:divBdr>
    </w:div>
    <w:div w:id="423845206">
      <w:bodyDiv w:val="1"/>
      <w:marLeft w:val="0"/>
      <w:marRight w:val="0"/>
      <w:marTop w:val="0"/>
      <w:marBottom w:val="0"/>
      <w:divBdr>
        <w:top w:val="none" w:sz="0" w:space="0" w:color="auto"/>
        <w:left w:val="none" w:sz="0" w:space="0" w:color="auto"/>
        <w:bottom w:val="none" w:sz="0" w:space="0" w:color="auto"/>
        <w:right w:val="none" w:sz="0" w:space="0" w:color="auto"/>
      </w:divBdr>
    </w:div>
    <w:div w:id="423963872">
      <w:bodyDiv w:val="1"/>
      <w:marLeft w:val="0"/>
      <w:marRight w:val="0"/>
      <w:marTop w:val="0"/>
      <w:marBottom w:val="0"/>
      <w:divBdr>
        <w:top w:val="none" w:sz="0" w:space="0" w:color="auto"/>
        <w:left w:val="none" w:sz="0" w:space="0" w:color="auto"/>
        <w:bottom w:val="none" w:sz="0" w:space="0" w:color="auto"/>
        <w:right w:val="none" w:sz="0" w:space="0" w:color="auto"/>
      </w:divBdr>
    </w:div>
    <w:div w:id="436604946">
      <w:bodyDiv w:val="1"/>
      <w:marLeft w:val="0"/>
      <w:marRight w:val="0"/>
      <w:marTop w:val="0"/>
      <w:marBottom w:val="0"/>
      <w:divBdr>
        <w:top w:val="none" w:sz="0" w:space="0" w:color="auto"/>
        <w:left w:val="none" w:sz="0" w:space="0" w:color="auto"/>
        <w:bottom w:val="none" w:sz="0" w:space="0" w:color="auto"/>
        <w:right w:val="none" w:sz="0" w:space="0" w:color="auto"/>
      </w:divBdr>
    </w:div>
    <w:div w:id="437144160">
      <w:bodyDiv w:val="1"/>
      <w:marLeft w:val="0"/>
      <w:marRight w:val="0"/>
      <w:marTop w:val="0"/>
      <w:marBottom w:val="0"/>
      <w:divBdr>
        <w:top w:val="none" w:sz="0" w:space="0" w:color="auto"/>
        <w:left w:val="none" w:sz="0" w:space="0" w:color="auto"/>
        <w:bottom w:val="none" w:sz="0" w:space="0" w:color="auto"/>
        <w:right w:val="none" w:sz="0" w:space="0" w:color="auto"/>
      </w:divBdr>
    </w:div>
    <w:div w:id="438333483">
      <w:bodyDiv w:val="1"/>
      <w:marLeft w:val="0"/>
      <w:marRight w:val="0"/>
      <w:marTop w:val="0"/>
      <w:marBottom w:val="0"/>
      <w:divBdr>
        <w:top w:val="none" w:sz="0" w:space="0" w:color="auto"/>
        <w:left w:val="none" w:sz="0" w:space="0" w:color="auto"/>
        <w:bottom w:val="none" w:sz="0" w:space="0" w:color="auto"/>
        <w:right w:val="none" w:sz="0" w:space="0" w:color="auto"/>
      </w:divBdr>
    </w:div>
    <w:div w:id="439296111">
      <w:bodyDiv w:val="1"/>
      <w:marLeft w:val="0"/>
      <w:marRight w:val="0"/>
      <w:marTop w:val="0"/>
      <w:marBottom w:val="0"/>
      <w:divBdr>
        <w:top w:val="none" w:sz="0" w:space="0" w:color="auto"/>
        <w:left w:val="none" w:sz="0" w:space="0" w:color="auto"/>
        <w:bottom w:val="none" w:sz="0" w:space="0" w:color="auto"/>
        <w:right w:val="none" w:sz="0" w:space="0" w:color="auto"/>
      </w:divBdr>
    </w:div>
    <w:div w:id="443891777">
      <w:bodyDiv w:val="1"/>
      <w:marLeft w:val="0"/>
      <w:marRight w:val="0"/>
      <w:marTop w:val="0"/>
      <w:marBottom w:val="0"/>
      <w:divBdr>
        <w:top w:val="none" w:sz="0" w:space="0" w:color="auto"/>
        <w:left w:val="none" w:sz="0" w:space="0" w:color="auto"/>
        <w:bottom w:val="none" w:sz="0" w:space="0" w:color="auto"/>
        <w:right w:val="none" w:sz="0" w:space="0" w:color="auto"/>
      </w:divBdr>
    </w:div>
    <w:div w:id="444034287">
      <w:bodyDiv w:val="1"/>
      <w:marLeft w:val="0"/>
      <w:marRight w:val="0"/>
      <w:marTop w:val="0"/>
      <w:marBottom w:val="0"/>
      <w:divBdr>
        <w:top w:val="none" w:sz="0" w:space="0" w:color="auto"/>
        <w:left w:val="none" w:sz="0" w:space="0" w:color="auto"/>
        <w:bottom w:val="none" w:sz="0" w:space="0" w:color="auto"/>
        <w:right w:val="none" w:sz="0" w:space="0" w:color="auto"/>
      </w:divBdr>
    </w:div>
    <w:div w:id="444813902">
      <w:bodyDiv w:val="1"/>
      <w:marLeft w:val="0"/>
      <w:marRight w:val="0"/>
      <w:marTop w:val="0"/>
      <w:marBottom w:val="0"/>
      <w:divBdr>
        <w:top w:val="none" w:sz="0" w:space="0" w:color="auto"/>
        <w:left w:val="none" w:sz="0" w:space="0" w:color="auto"/>
        <w:bottom w:val="none" w:sz="0" w:space="0" w:color="auto"/>
        <w:right w:val="none" w:sz="0" w:space="0" w:color="auto"/>
      </w:divBdr>
    </w:div>
    <w:div w:id="447546076">
      <w:bodyDiv w:val="1"/>
      <w:marLeft w:val="0"/>
      <w:marRight w:val="0"/>
      <w:marTop w:val="0"/>
      <w:marBottom w:val="0"/>
      <w:divBdr>
        <w:top w:val="none" w:sz="0" w:space="0" w:color="auto"/>
        <w:left w:val="none" w:sz="0" w:space="0" w:color="auto"/>
        <w:bottom w:val="none" w:sz="0" w:space="0" w:color="auto"/>
        <w:right w:val="none" w:sz="0" w:space="0" w:color="auto"/>
      </w:divBdr>
    </w:div>
    <w:div w:id="447746853">
      <w:bodyDiv w:val="1"/>
      <w:marLeft w:val="0"/>
      <w:marRight w:val="0"/>
      <w:marTop w:val="0"/>
      <w:marBottom w:val="0"/>
      <w:divBdr>
        <w:top w:val="none" w:sz="0" w:space="0" w:color="auto"/>
        <w:left w:val="none" w:sz="0" w:space="0" w:color="auto"/>
        <w:bottom w:val="none" w:sz="0" w:space="0" w:color="auto"/>
        <w:right w:val="none" w:sz="0" w:space="0" w:color="auto"/>
      </w:divBdr>
    </w:div>
    <w:div w:id="448403453">
      <w:bodyDiv w:val="1"/>
      <w:marLeft w:val="0"/>
      <w:marRight w:val="0"/>
      <w:marTop w:val="0"/>
      <w:marBottom w:val="0"/>
      <w:divBdr>
        <w:top w:val="none" w:sz="0" w:space="0" w:color="auto"/>
        <w:left w:val="none" w:sz="0" w:space="0" w:color="auto"/>
        <w:bottom w:val="none" w:sz="0" w:space="0" w:color="auto"/>
        <w:right w:val="none" w:sz="0" w:space="0" w:color="auto"/>
      </w:divBdr>
    </w:div>
    <w:div w:id="449858698">
      <w:bodyDiv w:val="1"/>
      <w:marLeft w:val="0"/>
      <w:marRight w:val="0"/>
      <w:marTop w:val="0"/>
      <w:marBottom w:val="0"/>
      <w:divBdr>
        <w:top w:val="none" w:sz="0" w:space="0" w:color="auto"/>
        <w:left w:val="none" w:sz="0" w:space="0" w:color="auto"/>
        <w:bottom w:val="none" w:sz="0" w:space="0" w:color="auto"/>
        <w:right w:val="none" w:sz="0" w:space="0" w:color="auto"/>
      </w:divBdr>
    </w:div>
    <w:div w:id="452138612">
      <w:bodyDiv w:val="1"/>
      <w:marLeft w:val="0"/>
      <w:marRight w:val="0"/>
      <w:marTop w:val="0"/>
      <w:marBottom w:val="0"/>
      <w:divBdr>
        <w:top w:val="none" w:sz="0" w:space="0" w:color="auto"/>
        <w:left w:val="none" w:sz="0" w:space="0" w:color="auto"/>
        <w:bottom w:val="none" w:sz="0" w:space="0" w:color="auto"/>
        <w:right w:val="none" w:sz="0" w:space="0" w:color="auto"/>
      </w:divBdr>
    </w:div>
    <w:div w:id="453064879">
      <w:bodyDiv w:val="1"/>
      <w:marLeft w:val="0"/>
      <w:marRight w:val="0"/>
      <w:marTop w:val="0"/>
      <w:marBottom w:val="0"/>
      <w:divBdr>
        <w:top w:val="none" w:sz="0" w:space="0" w:color="auto"/>
        <w:left w:val="none" w:sz="0" w:space="0" w:color="auto"/>
        <w:bottom w:val="none" w:sz="0" w:space="0" w:color="auto"/>
        <w:right w:val="none" w:sz="0" w:space="0" w:color="auto"/>
      </w:divBdr>
    </w:div>
    <w:div w:id="455369623">
      <w:bodyDiv w:val="1"/>
      <w:marLeft w:val="0"/>
      <w:marRight w:val="0"/>
      <w:marTop w:val="0"/>
      <w:marBottom w:val="0"/>
      <w:divBdr>
        <w:top w:val="none" w:sz="0" w:space="0" w:color="auto"/>
        <w:left w:val="none" w:sz="0" w:space="0" w:color="auto"/>
        <w:bottom w:val="none" w:sz="0" w:space="0" w:color="auto"/>
        <w:right w:val="none" w:sz="0" w:space="0" w:color="auto"/>
      </w:divBdr>
    </w:div>
    <w:div w:id="455411394">
      <w:bodyDiv w:val="1"/>
      <w:marLeft w:val="0"/>
      <w:marRight w:val="0"/>
      <w:marTop w:val="0"/>
      <w:marBottom w:val="0"/>
      <w:divBdr>
        <w:top w:val="none" w:sz="0" w:space="0" w:color="auto"/>
        <w:left w:val="none" w:sz="0" w:space="0" w:color="auto"/>
        <w:bottom w:val="none" w:sz="0" w:space="0" w:color="auto"/>
        <w:right w:val="none" w:sz="0" w:space="0" w:color="auto"/>
      </w:divBdr>
    </w:div>
    <w:div w:id="464009917">
      <w:bodyDiv w:val="1"/>
      <w:marLeft w:val="0"/>
      <w:marRight w:val="0"/>
      <w:marTop w:val="0"/>
      <w:marBottom w:val="0"/>
      <w:divBdr>
        <w:top w:val="none" w:sz="0" w:space="0" w:color="auto"/>
        <w:left w:val="none" w:sz="0" w:space="0" w:color="auto"/>
        <w:bottom w:val="none" w:sz="0" w:space="0" w:color="auto"/>
        <w:right w:val="none" w:sz="0" w:space="0" w:color="auto"/>
      </w:divBdr>
    </w:div>
    <w:div w:id="464589116">
      <w:bodyDiv w:val="1"/>
      <w:marLeft w:val="0"/>
      <w:marRight w:val="0"/>
      <w:marTop w:val="0"/>
      <w:marBottom w:val="0"/>
      <w:divBdr>
        <w:top w:val="none" w:sz="0" w:space="0" w:color="auto"/>
        <w:left w:val="none" w:sz="0" w:space="0" w:color="auto"/>
        <w:bottom w:val="none" w:sz="0" w:space="0" w:color="auto"/>
        <w:right w:val="none" w:sz="0" w:space="0" w:color="auto"/>
      </w:divBdr>
      <w:divsChild>
        <w:div w:id="281309020">
          <w:marLeft w:val="691"/>
          <w:marRight w:val="0"/>
          <w:marTop w:val="0"/>
          <w:marBottom w:val="0"/>
          <w:divBdr>
            <w:top w:val="none" w:sz="0" w:space="0" w:color="auto"/>
            <w:left w:val="none" w:sz="0" w:space="0" w:color="auto"/>
            <w:bottom w:val="none" w:sz="0" w:space="0" w:color="auto"/>
            <w:right w:val="none" w:sz="0" w:space="0" w:color="auto"/>
          </w:divBdr>
        </w:div>
        <w:div w:id="388458360">
          <w:marLeft w:val="691"/>
          <w:marRight w:val="0"/>
          <w:marTop w:val="0"/>
          <w:marBottom w:val="0"/>
          <w:divBdr>
            <w:top w:val="none" w:sz="0" w:space="0" w:color="auto"/>
            <w:left w:val="none" w:sz="0" w:space="0" w:color="auto"/>
            <w:bottom w:val="none" w:sz="0" w:space="0" w:color="auto"/>
            <w:right w:val="none" w:sz="0" w:space="0" w:color="auto"/>
          </w:divBdr>
        </w:div>
        <w:div w:id="398286287">
          <w:marLeft w:val="691"/>
          <w:marRight w:val="0"/>
          <w:marTop w:val="0"/>
          <w:marBottom w:val="0"/>
          <w:divBdr>
            <w:top w:val="none" w:sz="0" w:space="0" w:color="auto"/>
            <w:left w:val="none" w:sz="0" w:space="0" w:color="auto"/>
            <w:bottom w:val="none" w:sz="0" w:space="0" w:color="auto"/>
            <w:right w:val="none" w:sz="0" w:space="0" w:color="auto"/>
          </w:divBdr>
        </w:div>
        <w:div w:id="750085780">
          <w:marLeft w:val="691"/>
          <w:marRight w:val="0"/>
          <w:marTop w:val="0"/>
          <w:marBottom w:val="0"/>
          <w:divBdr>
            <w:top w:val="none" w:sz="0" w:space="0" w:color="auto"/>
            <w:left w:val="none" w:sz="0" w:space="0" w:color="auto"/>
            <w:bottom w:val="none" w:sz="0" w:space="0" w:color="auto"/>
            <w:right w:val="none" w:sz="0" w:space="0" w:color="auto"/>
          </w:divBdr>
        </w:div>
        <w:div w:id="761149498">
          <w:marLeft w:val="691"/>
          <w:marRight w:val="0"/>
          <w:marTop w:val="0"/>
          <w:marBottom w:val="0"/>
          <w:divBdr>
            <w:top w:val="none" w:sz="0" w:space="0" w:color="auto"/>
            <w:left w:val="none" w:sz="0" w:space="0" w:color="auto"/>
            <w:bottom w:val="none" w:sz="0" w:space="0" w:color="auto"/>
            <w:right w:val="none" w:sz="0" w:space="0" w:color="auto"/>
          </w:divBdr>
        </w:div>
        <w:div w:id="895317820">
          <w:marLeft w:val="691"/>
          <w:marRight w:val="0"/>
          <w:marTop w:val="0"/>
          <w:marBottom w:val="0"/>
          <w:divBdr>
            <w:top w:val="none" w:sz="0" w:space="0" w:color="auto"/>
            <w:left w:val="none" w:sz="0" w:space="0" w:color="auto"/>
            <w:bottom w:val="none" w:sz="0" w:space="0" w:color="auto"/>
            <w:right w:val="none" w:sz="0" w:space="0" w:color="auto"/>
          </w:divBdr>
        </w:div>
        <w:div w:id="909193192">
          <w:marLeft w:val="691"/>
          <w:marRight w:val="0"/>
          <w:marTop w:val="0"/>
          <w:marBottom w:val="0"/>
          <w:divBdr>
            <w:top w:val="none" w:sz="0" w:space="0" w:color="auto"/>
            <w:left w:val="none" w:sz="0" w:space="0" w:color="auto"/>
            <w:bottom w:val="none" w:sz="0" w:space="0" w:color="auto"/>
            <w:right w:val="none" w:sz="0" w:space="0" w:color="auto"/>
          </w:divBdr>
        </w:div>
        <w:div w:id="915627523">
          <w:marLeft w:val="691"/>
          <w:marRight w:val="0"/>
          <w:marTop w:val="0"/>
          <w:marBottom w:val="0"/>
          <w:divBdr>
            <w:top w:val="none" w:sz="0" w:space="0" w:color="auto"/>
            <w:left w:val="none" w:sz="0" w:space="0" w:color="auto"/>
            <w:bottom w:val="none" w:sz="0" w:space="0" w:color="auto"/>
            <w:right w:val="none" w:sz="0" w:space="0" w:color="auto"/>
          </w:divBdr>
        </w:div>
        <w:div w:id="1051225835">
          <w:marLeft w:val="691"/>
          <w:marRight w:val="0"/>
          <w:marTop w:val="0"/>
          <w:marBottom w:val="0"/>
          <w:divBdr>
            <w:top w:val="none" w:sz="0" w:space="0" w:color="auto"/>
            <w:left w:val="none" w:sz="0" w:space="0" w:color="auto"/>
            <w:bottom w:val="none" w:sz="0" w:space="0" w:color="auto"/>
            <w:right w:val="none" w:sz="0" w:space="0" w:color="auto"/>
          </w:divBdr>
        </w:div>
        <w:div w:id="1489862190">
          <w:marLeft w:val="691"/>
          <w:marRight w:val="0"/>
          <w:marTop w:val="0"/>
          <w:marBottom w:val="0"/>
          <w:divBdr>
            <w:top w:val="none" w:sz="0" w:space="0" w:color="auto"/>
            <w:left w:val="none" w:sz="0" w:space="0" w:color="auto"/>
            <w:bottom w:val="none" w:sz="0" w:space="0" w:color="auto"/>
            <w:right w:val="none" w:sz="0" w:space="0" w:color="auto"/>
          </w:divBdr>
        </w:div>
        <w:div w:id="1731658469">
          <w:marLeft w:val="691"/>
          <w:marRight w:val="0"/>
          <w:marTop w:val="0"/>
          <w:marBottom w:val="0"/>
          <w:divBdr>
            <w:top w:val="none" w:sz="0" w:space="0" w:color="auto"/>
            <w:left w:val="none" w:sz="0" w:space="0" w:color="auto"/>
            <w:bottom w:val="none" w:sz="0" w:space="0" w:color="auto"/>
            <w:right w:val="none" w:sz="0" w:space="0" w:color="auto"/>
          </w:divBdr>
        </w:div>
        <w:div w:id="1903253199">
          <w:marLeft w:val="691"/>
          <w:marRight w:val="0"/>
          <w:marTop w:val="0"/>
          <w:marBottom w:val="0"/>
          <w:divBdr>
            <w:top w:val="none" w:sz="0" w:space="0" w:color="auto"/>
            <w:left w:val="none" w:sz="0" w:space="0" w:color="auto"/>
            <w:bottom w:val="none" w:sz="0" w:space="0" w:color="auto"/>
            <w:right w:val="none" w:sz="0" w:space="0" w:color="auto"/>
          </w:divBdr>
        </w:div>
      </w:divsChild>
    </w:div>
    <w:div w:id="464616098">
      <w:bodyDiv w:val="1"/>
      <w:marLeft w:val="0"/>
      <w:marRight w:val="0"/>
      <w:marTop w:val="0"/>
      <w:marBottom w:val="0"/>
      <w:divBdr>
        <w:top w:val="none" w:sz="0" w:space="0" w:color="auto"/>
        <w:left w:val="none" w:sz="0" w:space="0" w:color="auto"/>
        <w:bottom w:val="none" w:sz="0" w:space="0" w:color="auto"/>
        <w:right w:val="none" w:sz="0" w:space="0" w:color="auto"/>
      </w:divBdr>
    </w:div>
    <w:div w:id="468128098">
      <w:bodyDiv w:val="1"/>
      <w:marLeft w:val="0"/>
      <w:marRight w:val="0"/>
      <w:marTop w:val="0"/>
      <w:marBottom w:val="0"/>
      <w:divBdr>
        <w:top w:val="none" w:sz="0" w:space="0" w:color="auto"/>
        <w:left w:val="none" w:sz="0" w:space="0" w:color="auto"/>
        <w:bottom w:val="none" w:sz="0" w:space="0" w:color="auto"/>
        <w:right w:val="none" w:sz="0" w:space="0" w:color="auto"/>
      </w:divBdr>
    </w:div>
    <w:div w:id="468208995">
      <w:bodyDiv w:val="1"/>
      <w:marLeft w:val="0"/>
      <w:marRight w:val="0"/>
      <w:marTop w:val="0"/>
      <w:marBottom w:val="0"/>
      <w:divBdr>
        <w:top w:val="none" w:sz="0" w:space="0" w:color="auto"/>
        <w:left w:val="none" w:sz="0" w:space="0" w:color="auto"/>
        <w:bottom w:val="none" w:sz="0" w:space="0" w:color="auto"/>
        <w:right w:val="none" w:sz="0" w:space="0" w:color="auto"/>
      </w:divBdr>
    </w:div>
    <w:div w:id="476806206">
      <w:bodyDiv w:val="1"/>
      <w:marLeft w:val="0"/>
      <w:marRight w:val="0"/>
      <w:marTop w:val="0"/>
      <w:marBottom w:val="0"/>
      <w:divBdr>
        <w:top w:val="none" w:sz="0" w:space="0" w:color="auto"/>
        <w:left w:val="none" w:sz="0" w:space="0" w:color="auto"/>
        <w:bottom w:val="none" w:sz="0" w:space="0" w:color="auto"/>
        <w:right w:val="none" w:sz="0" w:space="0" w:color="auto"/>
      </w:divBdr>
    </w:div>
    <w:div w:id="477306558">
      <w:bodyDiv w:val="1"/>
      <w:marLeft w:val="0"/>
      <w:marRight w:val="0"/>
      <w:marTop w:val="0"/>
      <w:marBottom w:val="0"/>
      <w:divBdr>
        <w:top w:val="none" w:sz="0" w:space="0" w:color="auto"/>
        <w:left w:val="none" w:sz="0" w:space="0" w:color="auto"/>
        <w:bottom w:val="none" w:sz="0" w:space="0" w:color="auto"/>
        <w:right w:val="none" w:sz="0" w:space="0" w:color="auto"/>
      </w:divBdr>
    </w:div>
    <w:div w:id="477454406">
      <w:bodyDiv w:val="1"/>
      <w:marLeft w:val="0"/>
      <w:marRight w:val="0"/>
      <w:marTop w:val="0"/>
      <w:marBottom w:val="0"/>
      <w:divBdr>
        <w:top w:val="none" w:sz="0" w:space="0" w:color="auto"/>
        <w:left w:val="none" w:sz="0" w:space="0" w:color="auto"/>
        <w:bottom w:val="none" w:sz="0" w:space="0" w:color="auto"/>
        <w:right w:val="none" w:sz="0" w:space="0" w:color="auto"/>
      </w:divBdr>
    </w:div>
    <w:div w:id="478183177">
      <w:bodyDiv w:val="1"/>
      <w:marLeft w:val="0"/>
      <w:marRight w:val="0"/>
      <w:marTop w:val="0"/>
      <w:marBottom w:val="0"/>
      <w:divBdr>
        <w:top w:val="none" w:sz="0" w:space="0" w:color="auto"/>
        <w:left w:val="none" w:sz="0" w:space="0" w:color="auto"/>
        <w:bottom w:val="none" w:sz="0" w:space="0" w:color="auto"/>
        <w:right w:val="none" w:sz="0" w:space="0" w:color="auto"/>
      </w:divBdr>
    </w:div>
    <w:div w:id="480271964">
      <w:bodyDiv w:val="1"/>
      <w:marLeft w:val="0"/>
      <w:marRight w:val="0"/>
      <w:marTop w:val="0"/>
      <w:marBottom w:val="0"/>
      <w:divBdr>
        <w:top w:val="none" w:sz="0" w:space="0" w:color="auto"/>
        <w:left w:val="none" w:sz="0" w:space="0" w:color="auto"/>
        <w:bottom w:val="none" w:sz="0" w:space="0" w:color="auto"/>
        <w:right w:val="none" w:sz="0" w:space="0" w:color="auto"/>
      </w:divBdr>
    </w:div>
    <w:div w:id="480390926">
      <w:bodyDiv w:val="1"/>
      <w:marLeft w:val="0"/>
      <w:marRight w:val="0"/>
      <w:marTop w:val="0"/>
      <w:marBottom w:val="0"/>
      <w:divBdr>
        <w:top w:val="none" w:sz="0" w:space="0" w:color="auto"/>
        <w:left w:val="none" w:sz="0" w:space="0" w:color="auto"/>
        <w:bottom w:val="none" w:sz="0" w:space="0" w:color="auto"/>
        <w:right w:val="none" w:sz="0" w:space="0" w:color="auto"/>
      </w:divBdr>
    </w:div>
    <w:div w:id="481429530">
      <w:bodyDiv w:val="1"/>
      <w:marLeft w:val="0"/>
      <w:marRight w:val="0"/>
      <w:marTop w:val="0"/>
      <w:marBottom w:val="0"/>
      <w:divBdr>
        <w:top w:val="none" w:sz="0" w:space="0" w:color="auto"/>
        <w:left w:val="none" w:sz="0" w:space="0" w:color="auto"/>
        <w:bottom w:val="none" w:sz="0" w:space="0" w:color="auto"/>
        <w:right w:val="none" w:sz="0" w:space="0" w:color="auto"/>
      </w:divBdr>
    </w:div>
    <w:div w:id="483399988">
      <w:bodyDiv w:val="1"/>
      <w:marLeft w:val="0"/>
      <w:marRight w:val="0"/>
      <w:marTop w:val="0"/>
      <w:marBottom w:val="0"/>
      <w:divBdr>
        <w:top w:val="none" w:sz="0" w:space="0" w:color="auto"/>
        <w:left w:val="none" w:sz="0" w:space="0" w:color="auto"/>
        <w:bottom w:val="none" w:sz="0" w:space="0" w:color="auto"/>
        <w:right w:val="none" w:sz="0" w:space="0" w:color="auto"/>
      </w:divBdr>
    </w:div>
    <w:div w:id="483741138">
      <w:bodyDiv w:val="1"/>
      <w:marLeft w:val="0"/>
      <w:marRight w:val="0"/>
      <w:marTop w:val="0"/>
      <w:marBottom w:val="0"/>
      <w:divBdr>
        <w:top w:val="none" w:sz="0" w:space="0" w:color="auto"/>
        <w:left w:val="none" w:sz="0" w:space="0" w:color="auto"/>
        <w:bottom w:val="none" w:sz="0" w:space="0" w:color="auto"/>
        <w:right w:val="none" w:sz="0" w:space="0" w:color="auto"/>
      </w:divBdr>
    </w:div>
    <w:div w:id="487282746">
      <w:bodyDiv w:val="1"/>
      <w:marLeft w:val="0"/>
      <w:marRight w:val="0"/>
      <w:marTop w:val="0"/>
      <w:marBottom w:val="0"/>
      <w:divBdr>
        <w:top w:val="none" w:sz="0" w:space="0" w:color="auto"/>
        <w:left w:val="none" w:sz="0" w:space="0" w:color="auto"/>
        <w:bottom w:val="none" w:sz="0" w:space="0" w:color="auto"/>
        <w:right w:val="none" w:sz="0" w:space="0" w:color="auto"/>
      </w:divBdr>
    </w:div>
    <w:div w:id="491605991">
      <w:bodyDiv w:val="1"/>
      <w:marLeft w:val="0"/>
      <w:marRight w:val="0"/>
      <w:marTop w:val="0"/>
      <w:marBottom w:val="0"/>
      <w:divBdr>
        <w:top w:val="none" w:sz="0" w:space="0" w:color="auto"/>
        <w:left w:val="none" w:sz="0" w:space="0" w:color="auto"/>
        <w:bottom w:val="none" w:sz="0" w:space="0" w:color="auto"/>
        <w:right w:val="none" w:sz="0" w:space="0" w:color="auto"/>
      </w:divBdr>
    </w:div>
    <w:div w:id="493379275">
      <w:bodyDiv w:val="1"/>
      <w:marLeft w:val="0"/>
      <w:marRight w:val="0"/>
      <w:marTop w:val="0"/>
      <w:marBottom w:val="0"/>
      <w:divBdr>
        <w:top w:val="none" w:sz="0" w:space="0" w:color="auto"/>
        <w:left w:val="none" w:sz="0" w:space="0" w:color="auto"/>
        <w:bottom w:val="none" w:sz="0" w:space="0" w:color="auto"/>
        <w:right w:val="none" w:sz="0" w:space="0" w:color="auto"/>
      </w:divBdr>
    </w:div>
    <w:div w:id="493765091">
      <w:bodyDiv w:val="1"/>
      <w:marLeft w:val="0"/>
      <w:marRight w:val="0"/>
      <w:marTop w:val="0"/>
      <w:marBottom w:val="0"/>
      <w:divBdr>
        <w:top w:val="none" w:sz="0" w:space="0" w:color="auto"/>
        <w:left w:val="none" w:sz="0" w:space="0" w:color="auto"/>
        <w:bottom w:val="none" w:sz="0" w:space="0" w:color="auto"/>
        <w:right w:val="none" w:sz="0" w:space="0" w:color="auto"/>
      </w:divBdr>
    </w:div>
    <w:div w:id="494540335">
      <w:bodyDiv w:val="1"/>
      <w:marLeft w:val="0"/>
      <w:marRight w:val="0"/>
      <w:marTop w:val="0"/>
      <w:marBottom w:val="0"/>
      <w:divBdr>
        <w:top w:val="none" w:sz="0" w:space="0" w:color="auto"/>
        <w:left w:val="none" w:sz="0" w:space="0" w:color="auto"/>
        <w:bottom w:val="none" w:sz="0" w:space="0" w:color="auto"/>
        <w:right w:val="none" w:sz="0" w:space="0" w:color="auto"/>
      </w:divBdr>
    </w:div>
    <w:div w:id="499084746">
      <w:bodyDiv w:val="1"/>
      <w:marLeft w:val="0"/>
      <w:marRight w:val="0"/>
      <w:marTop w:val="0"/>
      <w:marBottom w:val="0"/>
      <w:divBdr>
        <w:top w:val="none" w:sz="0" w:space="0" w:color="auto"/>
        <w:left w:val="none" w:sz="0" w:space="0" w:color="auto"/>
        <w:bottom w:val="none" w:sz="0" w:space="0" w:color="auto"/>
        <w:right w:val="none" w:sz="0" w:space="0" w:color="auto"/>
      </w:divBdr>
    </w:div>
    <w:div w:id="499125484">
      <w:bodyDiv w:val="1"/>
      <w:marLeft w:val="0"/>
      <w:marRight w:val="0"/>
      <w:marTop w:val="0"/>
      <w:marBottom w:val="0"/>
      <w:divBdr>
        <w:top w:val="none" w:sz="0" w:space="0" w:color="auto"/>
        <w:left w:val="none" w:sz="0" w:space="0" w:color="auto"/>
        <w:bottom w:val="none" w:sz="0" w:space="0" w:color="auto"/>
        <w:right w:val="none" w:sz="0" w:space="0" w:color="auto"/>
      </w:divBdr>
    </w:div>
    <w:div w:id="501900375">
      <w:bodyDiv w:val="1"/>
      <w:marLeft w:val="0"/>
      <w:marRight w:val="0"/>
      <w:marTop w:val="0"/>
      <w:marBottom w:val="0"/>
      <w:divBdr>
        <w:top w:val="none" w:sz="0" w:space="0" w:color="auto"/>
        <w:left w:val="none" w:sz="0" w:space="0" w:color="auto"/>
        <w:bottom w:val="none" w:sz="0" w:space="0" w:color="auto"/>
        <w:right w:val="none" w:sz="0" w:space="0" w:color="auto"/>
      </w:divBdr>
    </w:div>
    <w:div w:id="501970585">
      <w:bodyDiv w:val="1"/>
      <w:marLeft w:val="0"/>
      <w:marRight w:val="0"/>
      <w:marTop w:val="0"/>
      <w:marBottom w:val="0"/>
      <w:divBdr>
        <w:top w:val="none" w:sz="0" w:space="0" w:color="auto"/>
        <w:left w:val="none" w:sz="0" w:space="0" w:color="auto"/>
        <w:bottom w:val="none" w:sz="0" w:space="0" w:color="auto"/>
        <w:right w:val="none" w:sz="0" w:space="0" w:color="auto"/>
      </w:divBdr>
    </w:div>
    <w:div w:id="507645702">
      <w:bodyDiv w:val="1"/>
      <w:marLeft w:val="0"/>
      <w:marRight w:val="0"/>
      <w:marTop w:val="0"/>
      <w:marBottom w:val="0"/>
      <w:divBdr>
        <w:top w:val="none" w:sz="0" w:space="0" w:color="auto"/>
        <w:left w:val="none" w:sz="0" w:space="0" w:color="auto"/>
        <w:bottom w:val="none" w:sz="0" w:space="0" w:color="auto"/>
        <w:right w:val="none" w:sz="0" w:space="0" w:color="auto"/>
      </w:divBdr>
    </w:div>
    <w:div w:id="508252974">
      <w:bodyDiv w:val="1"/>
      <w:marLeft w:val="0"/>
      <w:marRight w:val="0"/>
      <w:marTop w:val="0"/>
      <w:marBottom w:val="0"/>
      <w:divBdr>
        <w:top w:val="none" w:sz="0" w:space="0" w:color="auto"/>
        <w:left w:val="none" w:sz="0" w:space="0" w:color="auto"/>
        <w:bottom w:val="none" w:sz="0" w:space="0" w:color="auto"/>
        <w:right w:val="none" w:sz="0" w:space="0" w:color="auto"/>
      </w:divBdr>
    </w:div>
    <w:div w:id="508367977">
      <w:bodyDiv w:val="1"/>
      <w:marLeft w:val="0"/>
      <w:marRight w:val="0"/>
      <w:marTop w:val="0"/>
      <w:marBottom w:val="0"/>
      <w:divBdr>
        <w:top w:val="none" w:sz="0" w:space="0" w:color="auto"/>
        <w:left w:val="none" w:sz="0" w:space="0" w:color="auto"/>
        <w:bottom w:val="none" w:sz="0" w:space="0" w:color="auto"/>
        <w:right w:val="none" w:sz="0" w:space="0" w:color="auto"/>
      </w:divBdr>
    </w:div>
    <w:div w:id="509682376">
      <w:bodyDiv w:val="1"/>
      <w:marLeft w:val="0"/>
      <w:marRight w:val="0"/>
      <w:marTop w:val="0"/>
      <w:marBottom w:val="0"/>
      <w:divBdr>
        <w:top w:val="none" w:sz="0" w:space="0" w:color="auto"/>
        <w:left w:val="none" w:sz="0" w:space="0" w:color="auto"/>
        <w:bottom w:val="none" w:sz="0" w:space="0" w:color="auto"/>
        <w:right w:val="none" w:sz="0" w:space="0" w:color="auto"/>
      </w:divBdr>
    </w:div>
    <w:div w:id="510872676">
      <w:bodyDiv w:val="1"/>
      <w:marLeft w:val="0"/>
      <w:marRight w:val="0"/>
      <w:marTop w:val="0"/>
      <w:marBottom w:val="0"/>
      <w:divBdr>
        <w:top w:val="none" w:sz="0" w:space="0" w:color="auto"/>
        <w:left w:val="none" w:sz="0" w:space="0" w:color="auto"/>
        <w:bottom w:val="none" w:sz="0" w:space="0" w:color="auto"/>
        <w:right w:val="none" w:sz="0" w:space="0" w:color="auto"/>
      </w:divBdr>
    </w:div>
    <w:div w:id="511916992">
      <w:bodyDiv w:val="1"/>
      <w:marLeft w:val="0"/>
      <w:marRight w:val="0"/>
      <w:marTop w:val="0"/>
      <w:marBottom w:val="0"/>
      <w:divBdr>
        <w:top w:val="none" w:sz="0" w:space="0" w:color="auto"/>
        <w:left w:val="none" w:sz="0" w:space="0" w:color="auto"/>
        <w:bottom w:val="none" w:sz="0" w:space="0" w:color="auto"/>
        <w:right w:val="none" w:sz="0" w:space="0" w:color="auto"/>
      </w:divBdr>
    </w:div>
    <w:div w:id="511988997">
      <w:bodyDiv w:val="1"/>
      <w:marLeft w:val="0"/>
      <w:marRight w:val="0"/>
      <w:marTop w:val="0"/>
      <w:marBottom w:val="0"/>
      <w:divBdr>
        <w:top w:val="none" w:sz="0" w:space="0" w:color="auto"/>
        <w:left w:val="none" w:sz="0" w:space="0" w:color="auto"/>
        <w:bottom w:val="none" w:sz="0" w:space="0" w:color="auto"/>
        <w:right w:val="none" w:sz="0" w:space="0" w:color="auto"/>
      </w:divBdr>
    </w:div>
    <w:div w:id="513226947">
      <w:bodyDiv w:val="1"/>
      <w:marLeft w:val="0"/>
      <w:marRight w:val="0"/>
      <w:marTop w:val="0"/>
      <w:marBottom w:val="0"/>
      <w:divBdr>
        <w:top w:val="none" w:sz="0" w:space="0" w:color="auto"/>
        <w:left w:val="none" w:sz="0" w:space="0" w:color="auto"/>
        <w:bottom w:val="none" w:sz="0" w:space="0" w:color="auto"/>
        <w:right w:val="none" w:sz="0" w:space="0" w:color="auto"/>
      </w:divBdr>
    </w:div>
    <w:div w:id="514417758">
      <w:bodyDiv w:val="1"/>
      <w:marLeft w:val="0"/>
      <w:marRight w:val="0"/>
      <w:marTop w:val="0"/>
      <w:marBottom w:val="0"/>
      <w:divBdr>
        <w:top w:val="none" w:sz="0" w:space="0" w:color="auto"/>
        <w:left w:val="none" w:sz="0" w:space="0" w:color="auto"/>
        <w:bottom w:val="none" w:sz="0" w:space="0" w:color="auto"/>
        <w:right w:val="none" w:sz="0" w:space="0" w:color="auto"/>
      </w:divBdr>
    </w:div>
    <w:div w:id="517089256">
      <w:bodyDiv w:val="1"/>
      <w:marLeft w:val="0"/>
      <w:marRight w:val="0"/>
      <w:marTop w:val="0"/>
      <w:marBottom w:val="0"/>
      <w:divBdr>
        <w:top w:val="none" w:sz="0" w:space="0" w:color="auto"/>
        <w:left w:val="none" w:sz="0" w:space="0" w:color="auto"/>
        <w:bottom w:val="none" w:sz="0" w:space="0" w:color="auto"/>
        <w:right w:val="none" w:sz="0" w:space="0" w:color="auto"/>
      </w:divBdr>
    </w:div>
    <w:div w:id="519902979">
      <w:bodyDiv w:val="1"/>
      <w:marLeft w:val="0"/>
      <w:marRight w:val="0"/>
      <w:marTop w:val="0"/>
      <w:marBottom w:val="0"/>
      <w:divBdr>
        <w:top w:val="none" w:sz="0" w:space="0" w:color="auto"/>
        <w:left w:val="none" w:sz="0" w:space="0" w:color="auto"/>
        <w:bottom w:val="none" w:sz="0" w:space="0" w:color="auto"/>
        <w:right w:val="none" w:sz="0" w:space="0" w:color="auto"/>
      </w:divBdr>
    </w:div>
    <w:div w:id="525679901">
      <w:bodyDiv w:val="1"/>
      <w:marLeft w:val="0"/>
      <w:marRight w:val="0"/>
      <w:marTop w:val="0"/>
      <w:marBottom w:val="0"/>
      <w:divBdr>
        <w:top w:val="none" w:sz="0" w:space="0" w:color="auto"/>
        <w:left w:val="none" w:sz="0" w:space="0" w:color="auto"/>
        <w:bottom w:val="none" w:sz="0" w:space="0" w:color="auto"/>
        <w:right w:val="none" w:sz="0" w:space="0" w:color="auto"/>
      </w:divBdr>
    </w:div>
    <w:div w:id="525752098">
      <w:bodyDiv w:val="1"/>
      <w:marLeft w:val="0"/>
      <w:marRight w:val="0"/>
      <w:marTop w:val="0"/>
      <w:marBottom w:val="0"/>
      <w:divBdr>
        <w:top w:val="none" w:sz="0" w:space="0" w:color="auto"/>
        <w:left w:val="none" w:sz="0" w:space="0" w:color="auto"/>
        <w:bottom w:val="none" w:sz="0" w:space="0" w:color="auto"/>
        <w:right w:val="none" w:sz="0" w:space="0" w:color="auto"/>
      </w:divBdr>
    </w:div>
    <w:div w:id="527187026">
      <w:bodyDiv w:val="1"/>
      <w:marLeft w:val="0"/>
      <w:marRight w:val="0"/>
      <w:marTop w:val="0"/>
      <w:marBottom w:val="0"/>
      <w:divBdr>
        <w:top w:val="none" w:sz="0" w:space="0" w:color="auto"/>
        <w:left w:val="none" w:sz="0" w:space="0" w:color="auto"/>
        <w:bottom w:val="none" w:sz="0" w:space="0" w:color="auto"/>
        <w:right w:val="none" w:sz="0" w:space="0" w:color="auto"/>
      </w:divBdr>
    </w:div>
    <w:div w:id="527256986">
      <w:bodyDiv w:val="1"/>
      <w:marLeft w:val="0"/>
      <w:marRight w:val="0"/>
      <w:marTop w:val="0"/>
      <w:marBottom w:val="0"/>
      <w:divBdr>
        <w:top w:val="none" w:sz="0" w:space="0" w:color="auto"/>
        <w:left w:val="none" w:sz="0" w:space="0" w:color="auto"/>
        <w:bottom w:val="none" w:sz="0" w:space="0" w:color="auto"/>
        <w:right w:val="none" w:sz="0" w:space="0" w:color="auto"/>
      </w:divBdr>
    </w:div>
    <w:div w:id="529732372">
      <w:bodyDiv w:val="1"/>
      <w:marLeft w:val="0"/>
      <w:marRight w:val="0"/>
      <w:marTop w:val="0"/>
      <w:marBottom w:val="0"/>
      <w:divBdr>
        <w:top w:val="none" w:sz="0" w:space="0" w:color="auto"/>
        <w:left w:val="none" w:sz="0" w:space="0" w:color="auto"/>
        <w:bottom w:val="none" w:sz="0" w:space="0" w:color="auto"/>
        <w:right w:val="none" w:sz="0" w:space="0" w:color="auto"/>
      </w:divBdr>
    </w:div>
    <w:div w:id="530536048">
      <w:bodyDiv w:val="1"/>
      <w:marLeft w:val="0"/>
      <w:marRight w:val="0"/>
      <w:marTop w:val="0"/>
      <w:marBottom w:val="0"/>
      <w:divBdr>
        <w:top w:val="none" w:sz="0" w:space="0" w:color="auto"/>
        <w:left w:val="none" w:sz="0" w:space="0" w:color="auto"/>
        <w:bottom w:val="none" w:sz="0" w:space="0" w:color="auto"/>
        <w:right w:val="none" w:sz="0" w:space="0" w:color="auto"/>
      </w:divBdr>
    </w:div>
    <w:div w:id="531235254">
      <w:bodyDiv w:val="1"/>
      <w:marLeft w:val="0"/>
      <w:marRight w:val="0"/>
      <w:marTop w:val="0"/>
      <w:marBottom w:val="0"/>
      <w:divBdr>
        <w:top w:val="none" w:sz="0" w:space="0" w:color="auto"/>
        <w:left w:val="none" w:sz="0" w:space="0" w:color="auto"/>
        <w:bottom w:val="none" w:sz="0" w:space="0" w:color="auto"/>
        <w:right w:val="none" w:sz="0" w:space="0" w:color="auto"/>
      </w:divBdr>
    </w:div>
    <w:div w:id="532690916">
      <w:bodyDiv w:val="1"/>
      <w:marLeft w:val="0"/>
      <w:marRight w:val="0"/>
      <w:marTop w:val="0"/>
      <w:marBottom w:val="0"/>
      <w:divBdr>
        <w:top w:val="none" w:sz="0" w:space="0" w:color="auto"/>
        <w:left w:val="none" w:sz="0" w:space="0" w:color="auto"/>
        <w:bottom w:val="none" w:sz="0" w:space="0" w:color="auto"/>
        <w:right w:val="none" w:sz="0" w:space="0" w:color="auto"/>
      </w:divBdr>
    </w:div>
    <w:div w:id="539246297">
      <w:bodyDiv w:val="1"/>
      <w:marLeft w:val="0"/>
      <w:marRight w:val="0"/>
      <w:marTop w:val="0"/>
      <w:marBottom w:val="0"/>
      <w:divBdr>
        <w:top w:val="none" w:sz="0" w:space="0" w:color="auto"/>
        <w:left w:val="none" w:sz="0" w:space="0" w:color="auto"/>
        <w:bottom w:val="none" w:sz="0" w:space="0" w:color="auto"/>
        <w:right w:val="none" w:sz="0" w:space="0" w:color="auto"/>
      </w:divBdr>
    </w:div>
    <w:div w:id="539319982">
      <w:bodyDiv w:val="1"/>
      <w:marLeft w:val="0"/>
      <w:marRight w:val="0"/>
      <w:marTop w:val="0"/>
      <w:marBottom w:val="0"/>
      <w:divBdr>
        <w:top w:val="none" w:sz="0" w:space="0" w:color="auto"/>
        <w:left w:val="none" w:sz="0" w:space="0" w:color="auto"/>
        <w:bottom w:val="none" w:sz="0" w:space="0" w:color="auto"/>
        <w:right w:val="none" w:sz="0" w:space="0" w:color="auto"/>
      </w:divBdr>
    </w:div>
    <w:div w:id="540479992">
      <w:bodyDiv w:val="1"/>
      <w:marLeft w:val="0"/>
      <w:marRight w:val="0"/>
      <w:marTop w:val="0"/>
      <w:marBottom w:val="0"/>
      <w:divBdr>
        <w:top w:val="none" w:sz="0" w:space="0" w:color="auto"/>
        <w:left w:val="none" w:sz="0" w:space="0" w:color="auto"/>
        <w:bottom w:val="none" w:sz="0" w:space="0" w:color="auto"/>
        <w:right w:val="none" w:sz="0" w:space="0" w:color="auto"/>
      </w:divBdr>
    </w:div>
    <w:div w:id="544559334">
      <w:bodyDiv w:val="1"/>
      <w:marLeft w:val="0"/>
      <w:marRight w:val="0"/>
      <w:marTop w:val="0"/>
      <w:marBottom w:val="0"/>
      <w:divBdr>
        <w:top w:val="none" w:sz="0" w:space="0" w:color="auto"/>
        <w:left w:val="none" w:sz="0" w:space="0" w:color="auto"/>
        <w:bottom w:val="none" w:sz="0" w:space="0" w:color="auto"/>
        <w:right w:val="none" w:sz="0" w:space="0" w:color="auto"/>
      </w:divBdr>
    </w:div>
    <w:div w:id="544954248">
      <w:bodyDiv w:val="1"/>
      <w:marLeft w:val="0"/>
      <w:marRight w:val="0"/>
      <w:marTop w:val="0"/>
      <w:marBottom w:val="0"/>
      <w:divBdr>
        <w:top w:val="none" w:sz="0" w:space="0" w:color="auto"/>
        <w:left w:val="none" w:sz="0" w:space="0" w:color="auto"/>
        <w:bottom w:val="none" w:sz="0" w:space="0" w:color="auto"/>
        <w:right w:val="none" w:sz="0" w:space="0" w:color="auto"/>
      </w:divBdr>
    </w:div>
    <w:div w:id="545264900">
      <w:bodyDiv w:val="1"/>
      <w:marLeft w:val="0"/>
      <w:marRight w:val="0"/>
      <w:marTop w:val="0"/>
      <w:marBottom w:val="0"/>
      <w:divBdr>
        <w:top w:val="none" w:sz="0" w:space="0" w:color="auto"/>
        <w:left w:val="none" w:sz="0" w:space="0" w:color="auto"/>
        <w:bottom w:val="none" w:sz="0" w:space="0" w:color="auto"/>
        <w:right w:val="none" w:sz="0" w:space="0" w:color="auto"/>
      </w:divBdr>
    </w:div>
    <w:div w:id="547452060">
      <w:bodyDiv w:val="1"/>
      <w:marLeft w:val="0"/>
      <w:marRight w:val="0"/>
      <w:marTop w:val="0"/>
      <w:marBottom w:val="0"/>
      <w:divBdr>
        <w:top w:val="none" w:sz="0" w:space="0" w:color="auto"/>
        <w:left w:val="none" w:sz="0" w:space="0" w:color="auto"/>
        <w:bottom w:val="none" w:sz="0" w:space="0" w:color="auto"/>
        <w:right w:val="none" w:sz="0" w:space="0" w:color="auto"/>
      </w:divBdr>
    </w:div>
    <w:div w:id="548345782">
      <w:bodyDiv w:val="1"/>
      <w:marLeft w:val="0"/>
      <w:marRight w:val="0"/>
      <w:marTop w:val="0"/>
      <w:marBottom w:val="0"/>
      <w:divBdr>
        <w:top w:val="none" w:sz="0" w:space="0" w:color="auto"/>
        <w:left w:val="none" w:sz="0" w:space="0" w:color="auto"/>
        <w:bottom w:val="none" w:sz="0" w:space="0" w:color="auto"/>
        <w:right w:val="none" w:sz="0" w:space="0" w:color="auto"/>
      </w:divBdr>
    </w:div>
    <w:div w:id="548810428">
      <w:bodyDiv w:val="1"/>
      <w:marLeft w:val="0"/>
      <w:marRight w:val="0"/>
      <w:marTop w:val="0"/>
      <w:marBottom w:val="0"/>
      <w:divBdr>
        <w:top w:val="none" w:sz="0" w:space="0" w:color="auto"/>
        <w:left w:val="none" w:sz="0" w:space="0" w:color="auto"/>
        <w:bottom w:val="none" w:sz="0" w:space="0" w:color="auto"/>
        <w:right w:val="none" w:sz="0" w:space="0" w:color="auto"/>
      </w:divBdr>
    </w:div>
    <w:div w:id="549388580">
      <w:bodyDiv w:val="1"/>
      <w:marLeft w:val="0"/>
      <w:marRight w:val="0"/>
      <w:marTop w:val="0"/>
      <w:marBottom w:val="0"/>
      <w:divBdr>
        <w:top w:val="none" w:sz="0" w:space="0" w:color="auto"/>
        <w:left w:val="none" w:sz="0" w:space="0" w:color="auto"/>
        <w:bottom w:val="none" w:sz="0" w:space="0" w:color="auto"/>
        <w:right w:val="none" w:sz="0" w:space="0" w:color="auto"/>
      </w:divBdr>
    </w:div>
    <w:div w:id="552350637">
      <w:bodyDiv w:val="1"/>
      <w:marLeft w:val="0"/>
      <w:marRight w:val="0"/>
      <w:marTop w:val="0"/>
      <w:marBottom w:val="0"/>
      <w:divBdr>
        <w:top w:val="none" w:sz="0" w:space="0" w:color="auto"/>
        <w:left w:val="none" w:sz="0" w:space="0" w:color="auto"/>
        <w:bottom w:val="none" w:sz="0" w:space="0" w:color="auto"/>
        <w:right w:val="none" w:sz="0" w:space="0" w:color="auto"/>
      </w:divBdr>
    </w:div>
    <w:div w:id="553851811">
      <w:bodyDiv w:val="1"/>
      <w:marLeft w:val="0"/>
      <w:marRight w:val="0"/>
      <w:marTop w:val="0"/>
      <w:marBottom w:val="0"/>
      <w:divBdr>
        <w:top w:val="none" w:sz="0" w:space="0" w:color="auto"/>
        <w:left w:val="none" w:sz="0" w:space="0" w:color="auto"/>
        <w:bottom w:val="none" w:sz="0" w:space="0" w:color="auto"/>
        <w:right w:val="none" w:sz="0" w:space="0" w:color="auto"/>
      </w:divBdr>
    </w:div>
    <w:div w:id="554390801">
      <w:bodyDiv w:val="1"/>
      <w:marLeft w:val="0"/>
      <w:marRight w:val="0"/>
      <w:marTop w:val="0"/>
      <w:marBottom w:val="0"/>
      <w:divBdr>
        <w:top w:val="none" w:sz="0" w:space="0" w:color="auto"/>
        <w:left w:val="none" w:sz="0" w:space="0" w:color="auto"/>
        <w:bottom w:val="none" w:sz="0" w:space="0" w:color="auto"/>
        <w:right w:val="none" w:sz="0" w:space="0" w:color="auto"/>
      </w:divBdr>
    </w:div>
    <w:div w:id="555162360">
      <w:bodyDiv w:val="1"/>
      <w:marLeft w:val="0"/>
      <w:marRight w:val="0"/>
      <w:marTop w:val="0"/>
      <w:marBottom w:val="0"/>
      <w:divBdr>
        <w:top w:val="none" w:sz="0" w:space="0" w:color="auto"/>
        <w:left w:val="none" w:sz="0" w:space="0" w:color="auto"/>
        <w:bottom w:val="none" w:sz="0" w:space="0" w:color="auto"/>
        <w:right w:val="none" w:sz="0" w:space="0" w:color="auto"/>
      </w:divBdr>
    </w:div>
    <w:div w:id="555511394">
      <w:bodyDiv w:val="1"/>
      <w:marLeft w:val="0"/>
      <w:marRight w:val="0"/>
      <w:marTop w:val="0"/>
      <w:marBottom w:val="0"/>
      <w:divBdr>
        <w:top w:val="none" w:sz="0" w:space="0" w:color="auto"/>
        <w:left w:val="none" w:sz="0" w:space="0" w:color="auto"/>
        <w:bottom w:val="none" w:sz="0" w:space="0" w:color="auto"/>
        <w:right w:val="none" w:sz="0" w:space="0" w:color="auto"/>
      </w:divBdr>
    </w:div>
    <w:div w:id="556016267">
      <w:bodyDiv w:val="1"/>
      <w:marLeft w:val="0"/>
      <w:marRight w:val="0"/>
      <w:marTop w:val="0"/>
      <w:marBottom w:val="0"/>
      <w:divBdr>
        <w:top w:val="none" w:sz="0" w:space="0" w:color="auto"/>
        <w:left w:val="none" w:sz="0" w:space="0" w:color="auto"/>
        <w:bottom w:val="none" w:sz="0" w:space="0" w:color="auto"/>
        <w:right w:val="none" w:sz="0" w:space="0" w:color="auto"/>
      </w:divBdr>
    </w:div>
    <w:div w:id="559681341">
      <w:bodyDiv w:val="1"/>
      <w:marLeft w:val="0"/>
      <w:marRight w:val="0"/>
      <w:marTop w:val="0"/>
      <w:marBottom w:val="0"/>
      <w:divBdr>
        <w:top w:val="none" w:sz="0" w:space="0" w:color="auto"/>
        <w:left w:val="none" w:sz="0" w:space="0" w:color="auto"/>
        <w:bottom w:val="none" w:sz="0" w:space="0" w:color="auto"/>
        <w:right w:val="none" w:sz="0" w:space="0" w:color="auto"/>
      </w:divBdr>
    </w:div>
    <w:div w:id="560555239">
      <w:bodyDiv w:val="1"/>
      <w:marLeft w:val="0"/>
      <w:marRight w:val="0"/>
      <w:marTop w:val="0"/>
      <w:marBottom w:val="0"/>
      <w:divBdr>
        <w:top w:val="none" w:sz="0" w:space="0" w:color="auto"/>
        <w:left w:val="none" w:sz="0" w:space="0" w:color="auto"/>
        <w:bottom w:val="none" w:sz="0" w:space="0" w:color="auto"/>
        <w:right w:val="none" w:sz="0" w:space="0" w:color="auto"/>
      </w:divBdr>
    </w:div>
    <w:div w:id="560989011">
      <w:bodyDiv w:val="1"/>
      <w:marLeft w:val="0"/>
      <w:marRight w:val="0"/>
      <w:marTop w:val="0"/>
      <w:marBottom w:val="0"/>
      <w:divBdr>
        <w:top w:val="none" w:sz="0" w:space="0" w:color="auto"/>
        <w:left w:val="none" w:sz="0" w:space="0" w:color="auto"/>
        <w:bottom w:val="none" w:sz="0" w:space="0" w:color="auto"/>
        <w:right w:val="none" w:sz="0" w:space="0" w:color="auto"/>
      </w:divBdr>
    </w:div>
    <w:div w:id="562257725">
      <w:bodyDiv w:val="1"/>
      <w:marLeft w:val="0"/>
      <w:marRight w:val="0"/>
      <w:marTop w:val="0"/>
      <w:marBottom w:val="0"/>
      <w:divBdr>
        <w:top w:val="none" w:sz="0" w:space="0" w:color="auto"/>
        <w:left w:val="none" w:sz="0" w:space="0" w:color="auto"/>
        <w:bottom w:val="none" w:sz="0" w:space="0" w:color="auto"/>
        <w:right w:val="none" w:sz="0" w:space="0" w:color="auto"/>
      </w:divBdr>
    </w:div>
    <w:div w:id="566767674">
      <w:bodyDiv w:val="1"/>
      <w:marLeft w:val="0"/>
      <w:marRight w:val="0"/>
      <w:marTop w:val="0"/>
      <w:marBottom w:val="0"/>
      <w:divBdr>
        <w:top w:val="none" w:sz="0" w:space="0" w:color="auto"/>
        <w:left w:val="none" w:sz="0" w:space="0" w:color="auto"/>
        <w:bottom w:val="none" w:sz="0" w:space="0" w:color="auto"/>
        <w:right w:val="none" w:sz="0" w:space="0" w:color="auto"/>
      </w:divBdr>
    </w:div>
    <w:div w:id="567034954">
      <w:bodyDiv w:val="1"/>
      <w:marLeft w:val="0"/>
      <w:marRight w:val="0"/>
      <w:marTop w:val="0"/>
      <w:marBottom w:val="0"/>
      <w:divBdr>
        <w:top w:val="none" w:sz="0" w:space="0" w:color="auto"/>
        <w:left w:val="none" w:sz="0" w:space="0" w:color="auto"/>
        <w:bottom w:val="none" w:sz="0" w:space="0" w:color="auto"/>
        <w:right w:val="none" w:sz="0" w:space="0" w:color="auto"/>
      </w:divBdr>
    </w:div>
    <w:div w:id="567422012">
      <w:bodyDiv w:val="1"/>
      <w:marLeft w:val="0"/>
      <w:marRight w:val="0"/>
      <w:marTop w:val="0"/>
      <w:marBottom w:val="0"/>
      <w:divBdr>
        <w:top w:val="none" w:sz="0" w:space="0" w:color="auto"/>
        <w:left w:val="none" w:sz="0" w:space="0" w:color="auto"/>
        <w:bottom w:val="none" w:sz="0" w:space="0" w:color="auto"/>
        <w:right w:val="none" w:sz="0" w:space="0" w:color="auto"/>
      </w:divBdr>
    </w:div>
    <w:div w:id="567764371">
      <w:bodyDiv w:val="1"/>
      <w:marLeft w:val="0"/>
      <w:marRight w:val="0"/>
      <w:marTop w:val="0"/>
      <w:marBottom w:val="0"/>
      <w:divBdr>
        <w:top w:val="none" w:sz="0" w:space="0" w:color="auto"/>
        <w:left w:val="none" w:sz="0" w:space="0" w:color="auto"/>
        <w:bottom w:val="none" w:sz="0" w:space="0" w:color="auto"/>
        <w:right w:val="none" w:sz="0" w:space="0" w:color="auto"/>
      </w:divBdr>
    </w:div>
    <w:div w:id="574516858">
      <w:bodyDiv w:val="1"/>
      <w:marLeft w:val="0"/>
      <w:marRight w:val="0"/>
      <w:marTop w:val="0"/>
      <w:marBottom w:val="0"/>
      <w:divBdr>
        <w:top w:val="none" w:sz="0" w:space="0" w:color="auto"/>
        <w:left w:val="none" w:sz="0" w:space="0" w:color="auto"/>
        <w:bottom w:val="none" w:sz="0" w:space="0" w:color="auto"/>
        <w:right w:val="none" w:sz="0" w:space="0" w:color="auto"/>
      </w:divBdr>
    </w:div>
    <w:div w:id="586495702">
      <w:bodyDiv w:val="1"/>
      <w:marLeft w:val="0"/>
      <w:marRight w:val="0"/>
      <w:marTop w:val="0"/>
      <w:marBottom w:val="0"/>
      <w:divBdr>
        <w:top w:val="none" w:sz="0" w:space="0" w:color="auto"/>
        <w:left w:val="none" w:sz="0" w:space="0" w:color="auto"/>
        <w:bottom w:val="none" w:sz="0" w:space="0" w:color="auto"/>
        <w:right w:val="none" w:sz="0" w:space="0" w:color="auto"/>
      </w:divBdr>
    </w:div>
    <w:div w:id="589124295">
      <w:bodyDiv w:val="1"/>
      <w:marLeft w:val="0"/>
      <w:marRight w:val="0"/>
      <w:marTop w:val="0"/>
      <w:marBottom w:val="0"/>
      <w:divBdr>
        <w:top w:val="none" w:sz="0" w:space="0" w:color="auto"/>
        <w:left w:val="none" w:sz="0" w:space="0" w:color="auto"/>
        <w:bottom w:val="none" w:sz="0" w:space="0" w:color="auto"/>
        <w:right w:val="none" w:sz="0" w:space="0" w:color="auto"/>
      </w:divBdr>
    </w:div>
    <w:div w:id="589587505">
      <w:bodyDiv w:val="1"/>
      <w:marLeft w:val="0"/>
      <w:marRight w:val="0"/>
      <w:marTop w:val="0"/>
      <w:marBottom w:val="0"/>
      <w:divBdr>
        <w:top w:val="none" w:sz="0" w:space="0" w:color="auto"/>
        <w:left w:val="none" w:sz="0" w:space="0" w:color="auto"/>
        <w:bottom w:val="none" w:sz="0" w:space="0" w:color="auto"/>
        <w:right w:val="none" w:sz="0" w:space="0" w:color="auto"/>
      </w:divBdr>
    </w:div>
    <w:div w:id="593787794">
      <w:bodyDiv w:val="1"/>
      <w:marLeft w:val="0"/>
      <w:marRight w:val="0"/>
      <w:marTop w:val="0"/>
      <w:marBottom w:val="0"/>
      <w:divBdr>
        <w:top w:val="none" w:sz="0" w:space="0" w:color="auto"/>
        <w:left w:val="none" w:sz="0" w:space="0" w:color="auto"/>
        <w:bottom w:val="none" w:sz="0" w:space="0" w:color="auto"/>
        <w:right w:val="none" w:sz="0" w:space="0" w:color="auto"/>
      </w:divBdr>
    </w:div>
    <w:div w:id="594287763">
      <w:bodyDiv w:val="1"/>
      <w:marLeft w:val="0"/>
      <w:marRight w:val="0"/>
      <w:marTop w:val="0"/>
      <w:marBottom w:val="0"/>
      <w:divBdr>
        <w:top w:val="none" w:sz="0" w:space="0" w:color="auto"/>
        <w:left w:val="none" w:sz="0" w:space="0" w:color="auto"/>
        <w:bottom w:val="none" w:sz="0" w:space="0" w:color="auto"/>
        <w:right w:val="none" w:sz="0" w:space="0" w:color="auto"/>
      </w:divBdr>
    </w:div>
    <w:div w:id="596593838">
      <w:bodyDiv w:val="1"/>
      <w:marLeft w:val="0"/>
      <w:marRight w:val="0"/>
      <w:marTop w:val="0"/>
      <w:marBottom w:val="0"/>
      <w:divBdr>
        <w:top w:val="none" w:sz="0" w:space="0" w:color="auto"/>
        <w:left w:val="none" w:sz="0" w:space="0" w:color="auto"/>
        <w:bottom w:val="none" w:sz="0" w:space="0" w:color="auto"/>
        <w:right w:val="none" w:sz="0" w:space="0" w:color="auto"/>
      </w:divBdr>
    </w:div>
    <w:div w:id="605307236">
      <w:bodyDiv w:val="1"/>
      <w:marLeft w:val="0"/>
      <w:marRight w:val="0"/>
      <w:marTop w:val="0"/>
      <w:marBottom w:val="0"/>
      <w:divBdr>
        <w:top w:val="none" w:sz="0" w:space="0" w:color="auto"/>
        <w:left w:val="none" w:sz="0" w:space="0" w:color="auto"/>
        <w:bottom w:val="none" w:sz="0" w:space="0" w:color="auto"/>
        <w:right w:val="none" w:sz="0" w:space="0" w:color="auto"/>
      </w:divBdr>
    </w:div>
    <w:div w:id="616641497">
      <w:bodyDiv w:val="1"/>
      <w:marLeft w:val="0"/>
      <w:marRight w:val="0"/>
      <w:marTop w:val="0"/>
      <w:marBottom w:val="0"/>
      <w:divBdr>
        <w:top w:val="none" w:sz="0" w:space="0" w:color="auto"/>
        <w:left w:val="none" w:sz="0" w:space="0" w:color="auto"/>
        <w:bottom w:val="none" w:sz="0" w:space="0" w:color="auto"/>
        <w:right w:val="none" w:sz="0" w:space="0" w:color="auto"/>
      </w:divBdr>
    </w:div>
    <w:div w:id="619603780">
      <w:bodyDiv w:val="1"/>
      <w:marLeft w:val="0"/>
      <w:marRight w:val="0"/>
      <w:marTop w:val="0"/>
      <w:marBottom w:val="0"/>
      <w:divBdr>
        <w:top w:val="none" w:sz="0" w:space="0" w:color="auto"/>
        <w:left w:val="none" w:sz="0" w:space="0" w:color="auto"/>
        <w:bottom w:val="none" w:sz="0" w:space="0" w:color="auto"/>
        <w:right w:val="none" w:sz="0" w:space="0" w:color="auto"/>
      </w:divBdr>
    </w:div>
    <w:div w:id="620650300">
      <w:bodyDiv w:val="1"/>
      <w:marLeft w:val="0"/>
      <w:marRight w:val="0"/>
      <w:marTop w:val="0"/>
      <w:marBottom w:val="0"/>
      <w:divBdr>
        <w:top w:val="none" w:sz="0" w:space="0" w:color="auto"/>
        <w:left w:val="none" w:sz="0" w:space="0" w:color="auto"/>
        <w:bottom w:val="none" w:sz="0" w:space="0" w:color="auto"/>
        <w:right w:val="none" w:sz="0" w:space="0" w:color="auto"/>
      </w:divBdr>
    </w:div>
    <w:div w:id="623734531">
      <w:bodyDiv w:val="1"/>
      <w:marLeft w:val="0"/>
      <w:marRight w:val="0"/>
      <w:marTop w:val="0"/>
      <w:marBottom w:val="0"/>
      <w:divBdr>
        <w:top w:val="none" w:sz="0" w:space="0" w:color="auto"/>
        <w:left w:val="none" w:sz="0" w:space="0" w:color="auto"/>
        <w:bottom w:val="none" w:sz="0" w:space="0" w:color="auto"/>
        <w:right w:val="none" w:sz="0" w:space="0" w:color="auto"/>
      </w:divBdr>
    </w:div>
    <w:div w:id="624192854">
      <w:bodyDiv w:val="1"/>
      <w:marLeft w:val="0"/>
      <w:marRight w:val="0"/>
      <w:marTop w:val="0"/>
      <w:marBottom w:val="0"/>
      <w:divBdr>
        <w:top w:val="none" w:sz="0" w:space="0" w:color="auto"/>
        <w:left w:val="none" w:sz="0" w:space="0" w:color="auto"/>
        <w:bottom w:val="none" w:sz="0" w:space="0" w:color="auto"/>
        <w:right w:val="none" w:sz="0" w:space="0" w:color="auto"/>
      </w:divBdr>
    </w:div>
    <w:div w:id="625355687">
      <w:bodyDiv w:val="1"/>
      <w:marLeft w:val="0"/>
      <w:marRight w:val="0"/>
      <w:marTop w:val="0"/>
      <w:marBottom w:val="0"/>
      <w:divBdr>
        <w:top w:val="none" w:sz="0" w:space="0" w:color="auto"/>
        <w:left w:val="none" w:sz="0" w:space="0" w:color="auto"/>
        <w:bottom w:val="none" w:sz="0" w:space="0" w:color="auto"/>
        <w:right w:val="none" w:sz="0" w:space="0" w:color="auto"/>
      </w:divBdr>
    </w:div>
    <w:div w:id="625430834">
      <w:bodyDiv w:val="1"/>
      <w:marLeft w:val="0"/>
      <w:marRight w:val="0"/>
      <w:marTop w:val="0"/>
      <w:marBottom w:val="0"/>
      <w:divBdr>
        <w:top w:val="none" w:sz="0" w:space="0" w:color="auto"/>
        <w:left w:val="none" w:sz="0" w:space="0" w:color="auto"/>
        <w:bottom w:val="none" w:sz="0" w:space="0" w:color="auto"/>
        <w:right w:val="none" w:sz="0" w:space="0" w:color="auto"/>
      </w:divBdr>
    </w:div>
    <w:div w:id="628321851">
      <w:bodyDiv w:val="1"/>
      <w:marLeft w:val="0"/>
      <w:marRight w:val="0"/>
      <w:marTop w:val="0"/>
      <w:marBottom w:val="0"/>
      <w:divBdr>
        <w:top w:val="none" w:sz="0" w:space="0" w:color="auto"/>
        <w:left w:val="none" w:sz="0" w:space="0" w:color="auto"/>
        <w:bottom w:val="none" w:sz="0" w:space="0" w:color="auto"/>
        <w:right w:val="none" w:sz="0" w:space="0" w:color="auto"/>
      </w:divBdr>
    </w:div>
    <w:div w:id="628903003">
      <w:bodyDiv w:val="1"/>
      <w:marLeft w:val="0"/>
      <w:marRight w:val="0"/>
      <w:marTop w:val="0"/>
      <w:marBottom w:val="0"/>
      <w:divBdr>
        <w:top w:val="none" w:sz="0" w:space="0" w:color="auto"/>
        <w:left w:val="none" w:sz="0" w:space="0" w:color="auto"/>
        <w:bottom w:val="none" w:sz="0" w:space="0" w:color="auto"/>
        <w:right w:val="none" w:sz="0" w:space="0" w:color="auto"/>
      </w:divBdr>
    </w:div>
    <w:div w:id="629017030">
      <w:bodyDiv w:val="1"/>
      <w:marLeft w:val="0"/>
      <w:marRight w:val="0"/>
      <w:marTop w:val="0"/>
      <w:marBottom w:val="0"/>
      <w:divBdr>
        <w:top w:val="none" w:sz="0" w:space="0" w:color="auto"/>
        <w:left w:val="none" w:sz="0" w:space="0" w:color="auto"/>
        <w:bottom w:val="none" w:sz="0" w:space="0" w:color="auto"/>
        <w:right w:val="none" w:sz="0" w:space="0" w:color="auto"/>
      </w:divBdr>
    </w:div>
    <w:div w:id="629358822">
      <w:bodyDiv w:val="1"/>
      <w:marLeft w:val="0"/>
      <w:marRight w:val="0"/>
      <w:marTop w:val="0"/>
      <w:marBottom w:val="0"/>
      <w:divBdr>
        <w:top w:val="none" w:sz="0" w:space="0" w:color="auto"/>
        <w:left w:val="none" w:sz="0" w:space="0" w:color="auto"/>
        <w:bottom w:val="none" w:sz="0" w:space="0" w:color="auto"/>
        <w:right w:val="none" w:sz="0" w:space="0" w:color="auto"/>
      </w:divBdr>
    </w:div>
    <w:div w:id="631061867">
      <w:bodyDiv w:val="1"/>
      <w:marLeft w:val="0"/>
      <w:marRight w:val="0"/>
      <w:marTop w:val="0"/>
      <w:marBottom w:val="0"/>
      <w:divBdr>
        <w:top w:val="none" w:sz="0" w:space="0" w:color="auto"/>
        <w:left w:val="none" w:sz="0" w:space="0" w:color="auto"/>
        <w:bottom w:val="none" w:sz="0" w:space="0" w:color="auto"/>
        <w:right w:val="none" w:sz="0" w:space="0" w:color="auto"/>
      </w:divBdr>
    </w:div>
    <w:div w:id="632173138">
      <w:bodyDiv w:val="1"/>
      <w:marLeft w:val="0"/>
      <w:marRight w:val="0"/>
      <w:marTop w:val="0"/>
      <w:marBottom w:val="0"/>
      <w:divBdr>
        <w:top w:val="none" w:sz="0" w:space="0" w:color="auto"/>
        <w:left w:val="none" w:sz="0" w:space="0" w:color="auto"/>
        <w:bottom w:val="none" w:sz="0" w:space="0" w:color="auto"/>
        <w:right w:val="none" w:sz="0" w:space="0" w:color="auto"/>
      </w:divBdr>
    </w:div>
    <w:div w:id="632173729">
      <w:bodyDiv w:val="1"/>
      <w:marLeft w:val="0"/>
      <w:marRight w:val="0"/>
      <w:marTop w:val="0"/>
      <w:marBottom w:val="0"/>
      <w:divBdr>
        <w:top w:val="none" w:sz="0" w:space="0" w:color="auto"/>
        <w:left w:val="none" w:sz="0" w:space="0" w:color="auto"/>
        <w:bottom w:val="none" w:sz="0" w:space="0" w:color="auto"/>
        <w:right w:val="none" w:sz="0" w:space="0" w:color="auto"/>
      </w:divBdr>
    </w:div>
    <w:div w:id="632174352">
      <w:bodyDiv w:val="1"/>
      <w:marLeft w:val="0"/>
      <w:marRight w:val="0"/>
      <w:marTop w:val="0"/>
      <w:marBottom w:val="0"/>
      <w:divBdr>
        <w:top w:val="none" w:sz="0" w:space="0" w:color="auto"/>
        <w:left w:val="none" w:sz="0" w:space="0" w:color="auto"/>
        <w:bottom w:val="none" w:sz="0" w:space="0" w:color="auto"/>
        <w:right w:val="none" w:sz="0" w:space="0" w:color="auto"/>
      </w:divBdr>
    </w:div>
    <w:div w:id="635456153">
      <w:bodyDiv w:val="1"/>
      <w:marLeft w:val="0"/>
      <w:marRight w:val="0"/>
      <w:marTop w:val="0"/>
      <w:marBottom w:val="0"/>
      <w:divBdr>
        <w:top w:val="none" w:sz="0" w:space="0" w:color="auto"/>
        <w:left w:val="none" w:sz="0" w:space="0" w:color="auto"/>
        <w:bottom w:val="none" w:sz="0" w:space="0" w:color="auto"/>
        <w:right w:val="none" w:sz="0" w:space="0" w:color="auto"/>
      </w:divBdr>
    </w:div>
    <w:div w:id="635599059">
      <w:bodyDiv w:val="1"/>
      <w:marLeft w:val="0"/>
      <w:marRight w:val="0"/>
      <w:marTop w:val="0"/>
      <w:marBottom w:val="0"/>
      <w:divBdr>
        <w:top w:val="none" w:sz="0" w:space="0" w:color="auto"/>
        <w:left w:val="none" w:sz="0" w:space="0" w:color="auto"/>
        <w:bottom w:val="none" w:sz="0" w:space="0" w:color="auto"/>
        <w:right w:val="none" w:sz="0" w:space="0" w:color="auto"/>
      </w:divBdr>
    </w:div>
    <w:div w:id="636253632">
      <w:bodyDiv w:val="1"/>
      <w:marLeft w:val="0"/>
      <w:marRight w:val="0"/>
      <w:marTop w:val="0"/>
      <w:marBottom w:val="0"/>
      <w:divBdr>
        <w:top w:val="none" w:sz="0" w:space="0" w:color="auto"/>
        <w:left w:val="none" w:sz="0" w:space="0" w:color="auto"/>
        <w:bottom w:val="none" w:sz="0" w:space="0" w:color="auto"/>
        <w:right w:val="none" w:sz="0" w:space="0" w:color="auto"/>
      </w:divBdr>
    </w:div>
    <w:div w:id="641037880">
      <w:bodyDiv w:val="1"/>
      <w:marLeft w:val="0"/>
      <w:marRight w:val="0"/>
      <w:marTop w:val="0"/>
      <w:marBottom w:val="0"/>
      <w:divBdr>
        <w:top w:val="none" w:sz="0" w:space="0" w:color="auto"/>
        <w:left w:val="none" w:sz="0" w:space="0" w:color="auto"/>
        <w:bottom w:val="none" w:sz="0" w:space="0" w:color="auto"/>
        <w:right w:val="none" w:sz="0" w:space="0" w:color="auto"/>
      </w:divBdr>
    </w:div>
    <w:div w:id="641084873">
      <w:bodyDiv w:val="1"/>
      <w:marLeft w:val="0"/>
      <w:marRight w:val="0"/>
      <w:marTop w:val="0"/>
      <w:marBottom w:val="0"/>
      <w:divBdr>
        <w:top w:val="none" w:sz="0" w:space="0" w:color="auto"/>
        <w:left w:val="none" w:sz="0" w:space="0" w:color="auto"/>
        <w:bottom w:val="none" w:sz="0" w:space="0" w:color="auto"/>
        <w:right w:val="none" w:sz="0" w:space="0" w:color="auto"/>
      </w:divBdr>
    </w:div>
    <w:div w:id="641665263">
      <w:bodyDiv w:val="1"/>
      <w:marLeft w:val="0"/>
      <w:marRight w:val="0"/>
      <w:marTop w:val="0"/>
      <w:marBottom w:val="0"/>
      <w:divBdr>
        <w:top w:val="none" w:sz="0" w:space="0" w:color="auto"/>
        <w:left w:val="none" w:sz="0" w:space="0" w:color="auto"/>
        <w:bottom w:val="none" w:sz="0" w:space="0" w:color="auto"/>
        <w:right w:val="none" w:sz="0" w:space="0" w:color="auto"/>
      </w:divBdr>
    </w:div>
    <w:div w:id="644814885">
      <w:bodyDiv w:val="1"/>
      <w:marLeft w:val="0"/>
      <w:marRight w:val="0"/>
      <w:marTop w:val="0"/>
      <w:marBottom w:val="0"/>
      <w:divBdr>
        <w:top w:val="none" w:sz="0" w:space="0" w:color="auto"/>
        <w:left w:val="none" w:sz="0" w:space="0" w:color="auto"/>
        <w:bottom w:val="none" w:sz="0" w:space="0" w:color="auto"/>
        <w:right w:val="none" w:sz="0" w:space="0" w:color="auto"/>
      </w:divBdr>
    </w:div>
    <w:div w:id="649478491">
      <w:bodyDiv w:val="1"/>
      <w:marLeft w:val="0"/>
      <w:marRight w:val="0"/>
      <w:marTop w:val="0"/>
      <w:marBottom w:val="0"/>
      <w:divBdr>
        <w:top w:val="none" w:sz="0" w:space="0" w:color="auto"/>
        <w:left w:val="none" w:sz="0" w:space="0" w:color="auto"/>
        <w:bottom w:val="none" w:sz="0" w:space="0" w:color="auto"/>
        <w:right w:val="none" w:sz="0" w:space="0" w:color="auto"/>
      </w:divBdr>
    </w:div>
    <w:div w:id="649947486">
      <w:bodyDiv w:val="1"/>
      <w:marLeft w:val="0"/>
      <w:marRight w:val="0"/>
      <w:marTop w:val="0"/>
      <w:marBottom w:val="0"/>
      <w:divBdr>
        <w:top w:val="none" w:sz="0" w:space="0" w:color="auto"/>
        <w:left w:val="none" w:sz="0" w:space="0" w:color="auto"/>
        <w:bottom w:val="none" w:sz="0" w:space="0" w:color="auto"/>
        <w:right w:val="none" w:sz="0" w:space="0" w:color="auto"/>
      </w:divBdr>
    </w:div>
    <w:div w:id="650058325">
      <w:bodyDiv w:val="1"/>
      <w:marLeft w:val="0"/>
      <w:marRight w:val="0"/>
      <w:marTop w:val="0"/>
      <w:marBottom w:val="0"/>
      <w:divBdr>
        <w:top w:val="none" w:sz="0" w:space="0" w:color="auto"/>
        <w:left w:val="none" w:sz="0" w:space="0" w:color="auto"/>
        <w:bottom w:val="none" w:sz="0" w:space="0" w:color="auto"/>
        <w:right w:val="none" w:sz="0" w:space="0" w:color="auto"/>
      </w:divBdr>
    </w:div>
    <w:div w:id="651063303">
      <w:bodyDiv w:val="1"/>
      <w:marLeft w:val="0"/>
      <w:marRight w:val="0"/>
      <w:marTop w:val="0"/>
      <w:marBottom w:val="0"/>
      <w:divBdr>
        <w:top w:val="none" w:sz="0" w:space="0" w:color="auto"/>
        <w:left w:val="none" w:sz="0" w:space="0" w:color="auto"/>
        <w:bottom w:val="none" w:sz="0" w:space="0" w:color="auto"/>
        <w:right w:val="none" w:sz="0" w:space="0" w:color="auto"/>
      </w:divBdr>
    </w:div>
    <w:div w:id="656416703">
      <w:bodyDiv w:val="1"/>
      <w:marLeft w:val="0"/>
      <w:marRight w:val="0"/>
      <w:marTop w:val="0"/>
      <w:marBottom w:val="0"/>
      <w:divBdr>
        <w:top w:val="none" w:sz="0" w:space="0" w:color="auto"/>
        <w:left w:val="none" w:sz="0" w:space="0" w:color="auto"/>
        <w:bottom w:val="none" w:sz="0" w:space="0" w:color="auto"/>
        <w:right w:val="none" w:sz="0" w:space="0" w:color="auto"/>
      </w:divBdr>
    </w:div>
    <w:div w:id="658313327">
      <w:bodyDiv w:val="1"/>
      <w:marLeft w:val="0"/>
      <w:marRight w:val="0"/>
      <w:marTop w:val="0"/>
      <w:marBottom w:val="0"/>
      <w:divBdr>
        <w:top w:val="none" w:sz="0" w:space="0" w:color="auto"/>
        <w:left w:val="none" w:sz="0" w:space="0" w:color="auto"/>
        <w:bottom w:val="none" w:sz="0" w:space="0" w:color="auto"/>
        <w:right w:val="none" w:sz="0" w:space="0" w:color="auto"/>
      </w:divBdr>
    </w:div>
    <w:div w:id="658387344">
      <w:bodyDiv w:val="1"/>
      <w:marLeft w:val="0"/>
      <w:marRight w:val="0"/>
      <w:marTop w:val="0"/>
      <w:marBottom w:val="0"/>
      <w:divBdr>
        <w:top w:val="none" w:sz="0" w:space="0" w:color="auto"/>
        <w:left w:val="none" w:sz="0" w:space="0" w:color="auto"/>
        <w:bottom w:val="none" w:sz="0" w:space="0" w:color="auto"/>
        <w:right w:val="none" w:sz="0" w:space="0" w:color="auto"/>
      </w:divBdr>
    </w:div>
    <w:div w:id="658538481">
      <w:bodyDiv w:val="1"/>
      <w:marLeft w:val="0"/>
      <w:marRight w:val="0"/>
      <w:marTop w:val="0"/>
      <w:marBottom w:val="0"/>
      <w:divBdr>
        <w:top w:val="none" w:sz="0" w:space="0" w:color="auto"/>
        <w:left w:val="none" w:sz="0" w:space="0" w:color="auto"/>
        <w:bottom w:val="none" w:sz="0" w:space="0" w:color="auto"/>
        <w:right w:val="none" w:sz="0" w:space="0" w:color="auto"/>
      </w:divBdr>
    </w:div>
    <w:div w:id="660474348">
      <w:bodyDiv w:val="1"/>
      <w:marLeft w:val="0"/>
      <w:marRight w:val="0"/>
      <w:marTop w:val="0"/>
      <w:marBottom w:val="0"/>
      <w:divBdr>
        <w:top w:val="none" w:sz="0" w:space="0" w:color="auto"/>
        <w:left w:val="none" w:sz="0" w:space="0" w:color="auto"/>
        <w:bottom w:val="none" w:sz="0" w:space="0" w:color="auto"/>
        <w:right w:val="none" w:sz="0" w:space="0" w:color="auto"/>
      </w:divBdr>
    </w:div>
    <w:div w:id="664356033">
      <w:bodyDiv w:val="1"/>
      <w:marLeft w:val="0"/>
      <w:marRight w:val="0"/>
      <w:marTop w:val="0"/>
      <w:marBottom w:val="0"/>
      <w:divBdr>
        <w:top w:val="none" w:sz="0" w:space="0" w:color="auto"/>
        <w:left w:val="none" w:sz="0" w:space="0" w:color="auto"/>
        <w:bottom w:val="none" w:sz="0" w:space="0" w:color="auto"/>
        <w:right w:val="none" w:sz="0" w:space="0" w:color="auto"/>
      </w:divBdr>
    </w:div>
    <w:div w:id="668564752">
      <w:bodyDiv w:val="1"/>
      <w:marLeft w:val="0"/>
      <w:marRight w:val="0"/>
      <w:marTop w:val="0"/>
      <w:marBottom w:val="0"/>
      <w:divBdr>
        <w:top w:val="none" w:sz="0" w:space="0" w:color="auto"/>
        <w:left w:val="none" w:sz="0" w:space="0" w:color="auto"/>
        <w:bottom w:val="none" w:sz="0" w:space="0" w:color="auto"/>
        <w:right w:val="none" w:sz="0" w:space="0" w:color="auto"/>
      </w:divBdr>
    </w:div>
    <w:div w:id="670254394">
      <w:bodyDiv w:val="1"/>
      <w:marLeft w:val="0"/>
      <w:marRight w:val="0"/>
      <w:marTop w:val="0"/>
      <w:marBottom w:val="0"/>
      <w:divBdr>
        <w:top w:val="none" w:sz="0" w:space="0" w:color="auto"/>
        <w:left w:val="none" w:sz="0" w:space="0" w:color="auto"/>
        <w:bottom w:val="none" w:sz="0" w:space="0" w:color="auto"/>
        <w:right w:val="none" w:sz="0" w:space="0" w:color="auto"/>
      </w:divBdr>
    </w:div>
    <w:div w:id="675232276">
      <w:bodyDiv w:val="1"/>
      <w:marLeft w:val="0"/>
      <w:marRight w:val="0"/>
      <w:marTop w:val="0"/>
      <w:marBottom w:val="0"/>
      <w:divBdr>
        <w:top w:val="none" w:sz="0" w:space="0" w:color="auto"/>
        <w:left w:val="none" w:sz="0" w:space="0" w:color="auto"/>
        <w:bottom w:val="none" w:sz="0" w:space="0" w:color="auto"/>
        <w:right w:val="none" w:sz="0" w:space="0" w:color="auto"/>
      </w:divBdr>
    </w:div>
    <w:div w:id="678044954">
      <w:bodyDiv w:val="1"/>
      <w:marLeft w:val="0"/>
      <w:marRight w:val="0"/>
      <w:marTop w:val="0"/>
      <w:marBottom w:val="0"/>
      <w:divBdr>
        <w:top w:val="none" w:sz="0" w:space="0" w:color="auto"/>
        <w:left w:val="none" w:sz="0" w:space="0" w:color="auto"/>
        <w:bottom w:val="none" w:sz="0" w:space="0" w:color="auto"/>
        <w:right w:val="none" w:sz="0" w:space="0" w:color="auto"/>
      </w:divBdr>
    </w:div>
    <w:div w:id="681393617">
      <w:bodyDiv w:val="1"/>
      <w:marLeft w:val="0"/>
      <w:marRight w:val="0"/>
      <w:marTop w:val="0"/>
      <w:marBottom w:val="0"/>
      <w:divBdr>
        <w:top w:val="none" w:sz="0" w:space="0" w:color="auto"/>
        <w:left w:val="none" w:sz="0" w:space="0" w:color="auto"/>
        <w:bottom w:val="none" w:sz="0" w:space="0" w:color="auto"/>
        <w:right w:val="none" w:sz="0" w:space="0" w:color="auto"/>
      </w:divBdr>
    </w:div>
    <w:div w:id="682247300">
      <w:bodyDiv w:val="1"/>
      <w:marLeft w:val="0"/>
      <w:marRight w:val="0"/>
      <w:marTop w:val="0"/>
      <w:marBottom w:val="0"/>
      <w:divBdr>
        <w:top w:val="none" w:sz="0" w:space="0" w:color="auto"/>
        <w:left w:val="none" w:sz="0" w:space="0" w:color="auto"/>
        <w:bottom w:val="none" w:sz="0" w:space="0" w:color="auto"/>
        <w:right w:val="none" w:sz="0" w:space="0" w:color="auto"/>
      </w:divBdr>
    </w:div>
    <w:div w:id="683439410">
      <w:bodyDiv w:val="1"/>
      <w:marLeft w:val="0"/>
      <w:marRight w:val="0"/>
      <w:marTop w:val="0"/>
      <w:marBottom w:val="0"/>
      <w:divBdr>
        <w:top w:val="none" w:sz="0" w:space="0" w:color="auto"/>
        <w:left w:val="none" w:sz="0" w:space="0" w:color="auto"/>
        <w:bottom w:val="none" w:sz="0" w:space="0" w:color="auto"/>
        <w:right w:val="none" w:sz="0" w:space="0" w:color="auto"/>
      </w:divBdr>
    </w:div>
    <w:div w:id="683702643">
      <w:bodyDiv w:val="1"/>
      <w:marLeft w:val="0"/>
      <w:marRight w:val="0"/>
      <w:marTop w:val="0"/>
      <w:marBottom w:val="0"/>
      <w:divBdr>
        <w:top w:val="none" w:sz="0" w:space="0" w:color="auto"/>
        <w:left w:val="none" w:sz="0" w:space="0" w:color="auto"/>
        <w:bottom w:val="none" w:sz="0" w:space="0" w:color="auto"/>
        <w:right w:val="none" w:sz="0" w:space="0" w:color="auto"/>
      </w:divBdr>
    </w:div>
    <w:div w:id="684675246">
      <w:bodyDiv w:val="1"/>
      <w:marLeft w:val="0"/>
      <w:marRight w:val="0"/>
      <w:marTop w:val="0"/>
      <w:marBottom w:val="0"/>
      <w:divBdr>
        <w:top w:val="none" w:sz="0" w:space="0" w:color="auto"/>
        <w:left w:val="none" w:sz="0" w:space="0" w:color="auto"/>
        <w:bottom w:val="none" w:sz="0" w:space="0" w:color="auto"/>
        <w:right w:val="none" w:sz="0" w:space="0" w:color="auto"/>
      </w:divBdr>
    </w:div>
    <w:div w:id="687219179">
      <w:bodyDiv w:val="1"/>
      <w:marLeft w:val="0"/>
      <w:marRight w:val="0"/>
      <w:marTop w:val="0"/>
      <w:marBottom w:val="0"/>
      <w:divBdr>
        <w:top w:val="none" w:sz="0" w:space="0" w:color="auto"/>
        <w:left w:val="none" w:sz="0" w:space="0" w:color="auto"/>
        <w:bottom w:val="none" w:sz="0" w:space="0" w:color="auto"/>
        <w:right w:val="none" w:sz="0" w:space="0" w:color="auto"/>
      </w:divBdr>
    </w:div>
    <w:div w:id="687368286">
      <w:bodyDiv w:val="1"/>
      <w:marLeft w:val="0"/>
      <w:marRight w:val="0"/>
      <w:marTop w:val="0"/>
      <w:marBottom w:val="0"/>
      <w:divBdr>
        <w:top w:val="none" w:sz="0" w:space="0" w:color="auto"/>
        <w:left w:val="none" w:sz="0" w:space="0" w:color="auto"/>
        <w:bottom w:val="none" w:sz="0" w:space="0" w:color="auto"/>
        <w:right w:val="none" w:sz="0" w:space="0" w:color="auto"/>
      </w:divBdr>
    </w:div>
    <w:div w:id="692193735">
      <w:bodyDiv w:val="1"/>
      <w:marLeft w:val="0"/>
      <w:marRight w:val="0"/>
      <w:marTop w:val="0"/>
      <w:marBottom w:val="0"/>
      <w:divBdr>
        <w:top w:val="none" w:sz="0" w:space="0" w:color="auto"/>
        <w:left w:val="none" w:sz="0" w:space="0" w:color="auto"/>
        <w:bottom w:val="none" w:sz="0" w:space="0" w:color="auto"/>
        <w:right w:val="none" w:sz="0" w:space="0" w:color="auto"/>
      </w:divBdr>
    </w:div>
    <w:div w:id="697194838">
      <w:bodyDiv w:val="1"/>
      <w:marLeft w:val="0"/>
      <w:marRight w:val="0"/>
      <w:marTop w:val="0"/>
      <w:marBottom w:val="0"/>
      <w:divBdr>
        <w:top w:val="none" w:sz="0" w:space="0" w:color="auto"/>
        <w:left w:val="none" w:sz="0" w:space="0" w:color="auto"/>
        <w:bottom w:val="none" w:sz="0" w:space="0" w:color="auto"/>
        <w:right w:val="none" w:sz="0" w:space="0" w:color="auto"/>
      </w:divBdr>
    </w:div>
    <w:div w:id="697585894">
      <w:bodyDiv w:val="1"/>
      <w:marLeft w:val="0"/>
      <w:marRight w:val="0"/>
      <w:marTop w:val="0"/>
      <w:marBottom w:val="0"/>
      <w:divBdr>
        <w:top w:val="none" w:sz="0" w:space="0" w:color="auto"/>
        <w:left w:val="none" w:sz="0" w:space="0" w:color="auto"/>
        <w:bottom w:val="none" w:sz="0" w:space="0" w:color="auto"/>
        <w:right w:val="none" w:sz="0" w:space="0" w:color="auto"/>
      </w:divBdr>
    </w:div>
    <w:div w:id="699016619">
      <w:bodyDiv w:val="1"/>
      <w:marLeft w:val="0"/>
      <w:marRight w:val="0"/>
      <w:marTop w:val="0"/>
      <w:marBottom w:val="0"/>
      <w:divBdr>
        <w:top w:val="none" w:sz="0" w:space="0" w:color="auto"/>
        <w:left w:val="none" w:sz="0" w:space="0" w:color="auto"/>
        <w:bottom w:val="none" w:sz="0" w:space="0" w:color="auto"/>
        <w:right w:val="none" w:sz="0" w:space="0" w:color="auto"/>
      </w:divBdr>
    </w:div>
    <w:div w:id="700588036">
      <w:bodyDiv w:val="1"/>
      <w:marLeft w:val="0"/>
      <w:marRight w:val="0"/>
      <w:marTop w:val="0"/>
      <w:marBottom w:val="0"/>
      <w:divBdr>
        <w:top w:val="none" w:sz="0" w:space="0" w:color="auto"/>
        <w:left w:val="none" w:sz="0" w:space="0" w:color="auto"/>
        <w:bottom w:val="none" w:sz="0" w:space="0" w:color="auto"/>
        <w:right w:val="none" w:sz="0" w:space="0" w:color="auto"/>
      </w:divBdr>
    </w:div>
    <w:div w:id="701706992">
      <w:bodyDiv w:val="1"/>
      <w:marLeft w:val="0"/>
      <w:marRight w:val="0"/>
      <w:marTop w:val="0"/>
      <w:marBottom w:val="0"/>
      <w:divBdr>
        <w:top w:val="none" w:sz="0" w:space="0" w:color="auto"/>
        <w:left w:val="none" w:sz="0" w:space="0" w:color="auto"/>
        <w:bottom w:val="none" w:sz="0" w:space="0" w:color="auto"/>
        <w:right w:val="none" w:sz="0" w:space="0" w:color="auto"/>
      </w:divBdr>
    </w:div>
    <w:div w:id="703216957">
      <w:bodyDiv w:val="1"/>
      <w:marLeft w:val="0"/>
      <w:marRight w:val="0"/>
      <w:marTop w:val="0"/>
      <w:marBottom w:val="0"/>
      <w:divBdr>
        <w:top w:val="none" w:sz="0" w:space="0" w:color="auto"/>
        <w:left w:val="none" w:sz="0" w:space="0" w:color="auto"/>
        <w:bottom w:val="none" w:sz="0" w:space="0" w:color="auto"/>
        <w:right w:val="none" w:sz="0" w:space="0" w:color="auto"/>
      </w:divBdr>
    </w:div>
    <w:div w:id="710154859">
      <w:bodyDiv w:val="1"/>
      <w:marLeft w:val="0"/>
      <w:marRight w:val="0"/>
      <w:marTop w:val="0"/>
      <w:marBottom w:val="0"/>
      <w:divBdr>
        <w:top w:val="none" w:sz="0" w:space="0" w:color="auto"/>
        <w:left w:val="none" w:sz="0" w:space="0" w:color="auto"/>
        <w:bottom w:val="none" w:sz="0" w:space="0" w:color="auto"/>
        <w:right w:val="none" w:sz="0" w:space="0" w:color="auto"/>
      </w:divBdr>
    </w:div>
    <w:div w:id="714356838">
      <w:bodyDiv w:val="1"/>
      <w:marLeft w:val="0"/>
      <w:marRight w:val="0"/>
      <w:marTop w:val="0"/>
      <w:marBottom w:val="0"/>
      <w:divBdr>
        <w:top w:val="none" w:sz="0" w:space="0" w:color="auto"/>
        <w:left w:val="none" w:sz="0" w:space="0" w:color="auto"/>
        <w:bottom w:val="none" w:sz="0" w:space="0" w:color="auto"/>
        <w:right w:val="none" w:sz="0" w:space="0" w:color="auto"/>
      </w:divBdr>
    </w:div>
    <w:div w:id="715786050">
      <w:bodyDiv w:val="1"/>
      <w:marLeft w:val="0"/>
      <w:marRight w:val="0"/>
      <w:marTop w:val="0"/>
      <w:marBottom w:val="0"/>
      <w:divBdr>
        <w:top w:val="none" w:sz="0" w:space="0" w:color="auto"/>
        <w:left w:val="none" w:sz="0" w:space="0" w:color="auto"/>
        <w:bottom w:val="none" w:sz="0" w:space="0" w:color="auto"/>
        <w:right w:val="none" w:sz="0" w:space="0" w:color="auto"/>
      </w:divBdr>
    </w:div>
    <w:div w:id="717054637">
      <w:bodyDiv w:val="1"/>
      <w:marLeft w:val="0"/>
      <w:marRight w:val="0"/>
      <w:marTop w:val="0"/>
      <w:marBottom w:val="0"/>
      <w:divBdr>
        <w:top w:val="none" w:sz="0" w:space="0" w:color="auto"/>
        <w:left w:val="none" w:sz="0" w:space="0" w:color="auto"/>
        <w:bottom w:val="none" w:sz="0" w:space="0" w:color="auto"/>
        <w:right w:val="none" w:sz="0" w:space="0" w:color="auto"/>
      </w:divBdr>
    </w:div>
    <w:div w:id="717824457">
      <w:bodyDiv w:val="1"/>
      <w:marLeft w:val="0"/>
      <w:marRight w:val="0"/>
      <w:marTop w:val="0"/>
      <w:marBottom w:val="0"/>
      <w:divBdr>
        <w:top w:val="none" w:sz="0" w:space="0" w:color="auto"/>
        <w:left w:val="none" w:sz="0" w:space="0" w:color="auto"/>
        <w:bottom w:val="none" w:sz="0" w:space="0" w:color="auto"/>
        <w:right w:val="none" w:sz="0" w:space="0" w:color="auto"/>
      </w:divBdr>
    </w:div>
    <w:div w:id="720373059">
      <w:bodyDiv w:val="1"/>
      <w:marLeft w:val="0"/>
      <w:marRight w:val="0"/>
      <w:marTop w:val="0"/>
      <w:marBottom w:val="0"/>
      <w:divBdr>
        <w:top w:val="none" w:sz="0" w:space="0" w:color="auto"/>
        <w:left w:val="none" w:sz="0" w:space="0" w:color="auto"/>
        <w:bottom w:val="none" w:sz="0" w:space="0" w:color="auto"/>
        <w:right w:val="none" w:sz="0" w:space="0" w:color="auto"/>
      </w:divBdr>
    </w:div>
    <w:div w:id="720908068">
      <w:bodyDiv w:val="1"/>
      <w:marLeft w:val="0"/>
      <w:marRight w:val="0"/>
      <w:marTop w:val="0"/>
      <w:marBottom w:val="0"/>
      <w:divBdr>
        <w:top w:val="none" w:sz="0" w:space="0" w:color="auto"/>
        <w:left w:val="none" w:sz="0" w:space="0" w:color="auto"/>
        <w:bottom w:val="none" w:sz="0" w:space="0" w:color="auto"/>
        <w:right w:val="none" w:sz="0" w:space="0" w:color="auto"/>
      </w:divBdr>
    </w:div>
    <w:div w:id="722019395">
      <w:bodyDiv w:val="1"/>
      <w:marLeft w:val="0"/>
      <w:marRight w:val="0"/>
      <w:marTop w:val="0"/>
      <w:marBottom w:val="0"/>
      <w:divBdr>
        <w:top w:val="none" w:sz="0" w:space="0" w:color="auto"/>
        <w:left w:val="none" w:sz="0" w:space="0" w:color="auto"/>
        <w:bottom w:val="none" w:sz="0" w:space="0" w:color="auto"/>
        <w:right w:val="none" w:sz="0" w:space="0" w:color="auto"/>
      </w:divBdr>
    </w:div>
    <w:div w:id="725370090">
      <w:bodyDiv w:val="1"/>
      <w:marLeft w:val="0"/>
      <w:marRight w:val="0"/>
      <w:marTop w:val="0"/>
      <w:marBottom w:val="0"/>
      <w:divBdr>
        <w:top w:val="none" w:sz="0" w:space="0" w:color="auto"/>
        <w:left w:val="none" w:sz="0" w:space="0" w:color="auto"/>
        <w:bottom w:val="none" w:sz="0" w:space="0" w:color="auto"/>
        <w:right w:val="none" w:sz="0" w:space="0" w:color="auto"/>
      </w:divBdr>
    </w:div>
    <w:div w:id="725954032">
      <w:bodyDiv w:val="1"/>
      <w:marLeft w:val="0"/>
      <w:marRight w:val="0"/>
      <w:marTop w:val="0"/>
      <w:marBottom w:val="0"/>
      <w:divBdr>
        <w:top w:val="none" w:sz="0" w:space="0" w:color="auto"/>
        <w:left w:val="none" w:sz="0" w:space="0" w:color="auto"/>
        <w:bottom w:val="none" w:sz="0" w:space="0" w:color="auto"/>
        <w:right w:val="none" w:sz="0" w:space="0" w:color="auto"/>
      </w:divBdr>
    </w:div>
    <w:div w:id="726685899">
      <w:bodyDiv w:val="1"/>
      <w:marLeft w:val="0"/>
      <w:marRight w:val="0"/>
      <w:marTop w:val="0"/>
      <w:marBottom w:val="0"/>
      <w:divBdr>
        <w:top w:val="none" w:sz="0" w:space="0" w:color="auto"/>
        <w:left w:val="none" w:sz="0" w:space="0" w:color="auto"/>
        <w:bottom w:val="none" w:sz="0" w:space="0" w:color="auto"/>
        <w:right w:val="none" w:sz="0" w:space="0" w:color="auto"/>
      </w:divBdr>
    </w:div>
    <w:div w:id="727385668">
      <w:bodyDiv w:val="1"/>
      <w:marLeft w:val="0"/>
      <w:marRight w:val="0"/>
      <w:marTop w:val="0"/>
      <w:marBottom w:val="0"/>
      <w:divBdr>
        <w:top w:val="none" w:sz="0" w:space="0" w:color="auto"/>
        <w:left w:val="none" w:sz="0" w:space="0" w:color="auto"/>
        <w:bottom w:val="none" w:sz="0" w:space="0" w:color="auto"/>
        <w:right w:val="none" w:sz="0" w:space="0" w:color="auto"/>
      </w:divBdr>
    </w:div>
    <w:div w:id="732780896">
      <w:bodyDiv w:val="1"/>
      <w:marLeft w:val="0"/>
      <w:marRight w:val="0"/>
      <w:marTop w:val="0"/>
      <w:marBottom w:val="0"/>
      <w:divBdr>
        <w:top w:val="none" w:sz="0" w:space="0" w:color="auto"/>
        <w:left w:val="none" w:sz="0" w:space="0" w:color="auto"/>
        <w:bottom w:val="none" w:sz="0" w:space="0" w:color="auto"/>
        <w:right w:val="none" w:sz="0" w:space="0" w:color="auto"/>
      </w:divBdr>
    </w:div>
    <w:div w:id="734862211">
      <w:bodyDiv w:val="1"/>
      <w:marLeft w:val="0"/>
      <w:marRight w:val="0"/>
      <w:marTop w:val="0"/>
      <w:marBottom w:val="0"/>
      <w:divBdr>
        <w:top w:val="none" w:sz="0" w:space="0" w:color="auto"/>
        <w:left w:val="none" w:sz="0" w:space="0" w:color="auto"/>
        <w:bottom w:val="none" w:sz="0" w:space="0" w:color="auto"/>
        <w:right w:val="none" w:sz="0" w:space="0" w:color="auto"/>
      </w:divBdr>
    </w:div>
    <w:div w:id="735321393">
      <w:bodyDiv w:val="1"/>
      <w:marLeft w:val="0"/>
      <w:marRight w:val="0"/>
      <w:marTop w:val="0"/>
      <w:marBottom w:val="0"/>
      <w:divBdr>
        <w:top w:val="none" w:sz="0" w:space="0" w:color="auto"/>
        <w:left w:val="none" w:sz="0" w:space="0" w:color="auto"/>
        <w:bottom w:val="none" w:sz="0" w:space="0" w:color="auto"/>
        <w:right w:val="none" w:sz="0" w:space="0" w:color="auto"/>
      </w:divBdr>
    </w:div>
    <w:div w:id="735395252">
      <w:bodyDiv w:val="1"/>
      <w:marLeft w:val="0"/>
      <w:marRight w:val="0"/>
      <w:marTop w:val="0"/>
      <w:marBottom w:val="0"/>
      <w:divBdr>
        <w:top w:val="none" w:sz="0" w:space="0" w:color="auto"/>
        <w:left w:val="none" w:sz="0" w:space="0" w:color="auto"/>
        <w:bottom w:val="none" w:sz="0" w:space="0" w:color="auto"/>
        <w:right w:val="none" w:sz="0" w:space="0" w:color="auto"/>
      </w:divBdr>
    </w:div>
    <w:div w:id="738601543">
      <w:bodyDiv w:val="1"/>
      <w:marLeft w:val="0"/>
      <w:marRight w:val="0"/>
      <w:marTop w:val="0"/>
      <w:marBottom w:val="0"/>
      <w:divBdr>
        <w:top w:val="none" w:sz="0" w:space="0" w:color="auto"/>
        <w:left w:val="none" w:sz="0" w:space="0" w:color="auto"/>
        <w:bottom w:val="none" w:sz="0" w:space="0" w:color="auto"/>
        <w:right w:val="none" w:sz="0" w:space="0" w:color="auto"/>
      </w:divBdr>
    </w:div>
    <w:div w:id="743380804">
      <w:bodyDiv w:val="1"/>
      <w:marLeft w:val="0"/>
      <w:marRight w:val="0"/>
      <w:marTop w:val="0"/>
      <w:marBottom w:val="0"/>
      <w:divBdr>
        <w:top w:val="none" w:sz="0" w:space="0" w:color="auto"/>
        <w:left w:val="none" w:sz="0" w:space="0" w:color="auto"/>
        <w:bottom w:val="none" w:sz="0" w:space="0" w:color="auto"/>
        <w:right w:val="none" w:sz="0" w:space="0" w:color="auto"/>
      </w:divBdr>
    </w:div>
    <w:div w:id="746148629">
      <w:bodyDiv w:val="1"/>
      <w:marLeft w:val="0"/>
      <w:marRight w:val="0"/>
      <w:marTop w:val="0"/>
      <w:marBottom w:val="0"/>
      <w:divBdr>
        <w:top w:val="none" w:sz="0" w:space="0" w:color="auto"/>
        <w:left w:val="none" w:sz="0" w:space="0" w:color="auto"/>
        <w:bottom w:val="none" w:sz="0" w:space="0" w:color="auto"/>
        <w:right w:val="none" w:sz="0" w:space="0" w:color="auto"/>
      </w:divBdr>
    </w:div>
    <w:div w:id="754085103">
      <w:bodyDiv w:val="1"/>
      <w:marLeft w:val="0"/>
      <w:marRight w:val="0"/>
      <w:marTop w:val="0"/>
      <w:marBottom w:val="0"/>
      <w:divBdr>
        <w:top w:val="none" w:sz="0" w:space="0" w:color="auto"/>
        <w:left w:val="none" w:sz="0" w:space="0" w:color="auto"/>
        <w:bottom w:val="none" w:sz="0" w:space="0" w:color="auto"/>
        <w:right w:val="none" w:sz="0" w:space="0" w:color="auto"/>
      </w:divBdr>
    </w:div>
    <w:div w:id="756512292">
      <w:bodyDiv w:val="1"/>
      <w:marLeft w:val="0"/>
      <w:marRight w:val="0"/>
      <w:marTop w:val="0"/>
      <w:marBottom w:val="0"/>
      <w:divBdr>
        <w:top w:val="none" w:sz="0" w:space="0" w:color="auto"/>
        <w:left w:val="none" w:sz="0" w:space="0" w:color="auto"/>
        <w:bottom w:val="none" w:sz="0" w:space="0" w:color="auto"/>
        <w:right w:val="none" w:sz="0" w:space="0" w:color="auto"/>
      </w:divBdr>
    </w:div>
    <w:div w:id="757336445">
      <w:bodyDiv w:val="1"/>
      <w:marLeft w:val="0"/>
      <w:marRight w:val="0"/>
      <w:marTop w:val="0"/>
      <w:marBottom w:val="0"/>
      <w:divBdr>
        <w:top w:val="none" w:sz="0" w:space="0" w:color="auto"/>
        <w:left w:val="none" w:sz="0" w:space="0" w:color="auto"/>
        <w:bottom w:val="none" w:sz="0" w:space="0" w:color="auto"/>
        <w:right w:val="none" w:sz="0" w:space="0" w:color="auto"/>
      </w:divBdr>
    </w:div>
    <w:div w:id="758259750">
      <w:bodyDiv w:val="1"/>
      <w:marLeft w:val="0"/>
      <w:marRight w:val="0"/>
      <w:marTop w:val="0"/>
      <w:marBottom w:val="0"/>
      <w:divBdr>
        <w:top w:val="none" w:sz="0" w:space="0" w:color="auto"/>
        <w:left w:val="none" w:sz="0" w:space="0" w:color="auto"/>
        <w:bottom w:val="none" w:sz="0" w:space="0" w:color="auto"/>
        <w:right w:val="none" w:sz="0" w:space="0" w:color="auto"/>
      </w:divBdr>
    </w:div>
    <w:div w:id="760223056">
      <w:bodyDiv w:val="1"/>
      <w:marLeft w:val="0"/>
      <w:marRight w:val="0"/>
      <w:marTop w:val="0"/>
      <w:marBottom w:val="0"/>
      <w:divBdr>
        <w:top w:val="none" w:sz="0" w:space="0" w:color="auto"/>
        <w:left w:val="none" w:sz="0" w:space="0" w:color="auto"/>
        <w:bottom w:val="none" w:sz="0" w:space="0" w:color="auto"/>
        <w:right w:val="none" w:sz="0" w:space="0" w:color="auto"/>
      </w:divBdr>
    </w:div>
    <w:div w:id="765273991">
      <w:bodyDiv w:val="1"/>
      <w:marLeft w:val="0"/>
      <w:marRight w:val="0"/>
      <w:marTop w:val="0"/>
      <w:marBottom w:val="0"/>
      <w:divBdr>
        <w:top w:val="none" w:sz="0" w:space="0" w:color="auto"/>
        <w:left w:val="none" w:sz="0" w:space="0" w:color="auto"/>
        <w:bottom w:val="none" w:sz="0" w:space="0" w:color="auto"/>
        <w:right w:val="none" w:sz="0" w:space="0" w:color="auto"/>
      </w:divBdr>
    </w:div>
    <w:div w:id="766077204">
      <w:bodyDiv w:val="1"/>
      <w:marLeft w:val="0"/>
      <w:marRight w:val="0"/>
      <w:marTop w:val="0"/>
      <w:marBottom w:val="0"/>
      <w:divBdr>
        <w:top w:val="none" w:sz="0" w:space="0" w:color="auto"/>
        <w:left w:val="none" w:sz="0" w:space="0" w:color="auto"/>
        <w:bottom w:val="none" w:sz="0" w:space="0" w:color="auto"/>
        <w:right w:val="none" w:sz="0" w:space="0" w:color="auto"/>
      </w:divBdr>
    </w:div>
    <w:div w:id="766463615">
      <w:bodyDiv w:val="1"/>
      <w:marLeft w:val="0"/>
      <w:marRight w:val="0"/>
      <w:marTop w:val="0"/>
      <w:marBottom w:val="0"/>
      <w:divBdr>
        <w:top w:val="none" w:sz="0" w:space="0" w:color="auto"/>
        <w:left w:val="none" w:sz="0" w:space="0" w:color="auto"/>
        <w:bottom w:val="none" w:sz="0" w:space="0" w:color="auto"/>
        <w:right w:val="none" w:sz="0" w:space="0" w:color="auto"/>
      </w:divBdr>
    </w:div>
    <w:div w:id="767038886">
      <w:bodyDiv w:val="1"/>
      <w:marLeft w:val="0"/>
      <w:marRight w:val="0"/>
      <w:marTop w:val="0"/>
      <w:marBottom w:val="0"/>
      <w:divBdr>
        <w:top w:val="none" w:sz="0" w:space="0" w:color="auto"/>
        <w:left w:val="none" w:sz="0" w:space="0" w:color="auto"/>
        <w:bottom w:val="none" w:sz="0" w:space="0" w:color="auto"/>
        <w:right w:val="none" w:sz="0" w:space="0" w:color="auto"/>
      </w:divBdr>
    </w:div>
    <w:div w:id="768040475">
      <w:bodyDiv w:val="1"/>
      <w:marLeft w:val="0"/>
      <w:marRight w:val="0"/>
      <w:marTop w:val="0"/>
      <w:marBottom w:val="0"/>
      <w:divBdr>
        <w:top w:val="none" w:sz="0" w:space="0" w:color="auto"/>
        <w:left w:val="none" w:sz="0" w:space="0" w:color="auto"/>
        <w:bottom w:val="none" w:sz="0" w:space="0" w:color="auto"/>
        <w:right w:val="none" w:sz="0" w:space="0" w:color="auto"/>
      </w:divBdr>
    </w:div>
    <w:div w:id="773329689">
      <w:bodyDiv w:val="1"/>
      <w:marLeft w:val="0"/>
      <w:marRight w:val="0"/>
      <w:marTop w:val="0"/>
      <w:marBottom w:val="0"/>
      <w:divBdr>
        <w:top w:val="none" w:sz="0" w:space="0" w:color="auto"/>
        <w:left w:val="none" w:sz="0" w:space="0" w:color="auto"/>
        <w:bottom w:val="none" w:sz="0" w:space="0" w:color="auto"/>
        <w:right w:val="none" w:sz="0" w:space="0" w:color="auto"/>
      </w:divBdr>
    </w:div>
    <w:div w:id="778643983">
      <w:bodyDiv w:val="1"/>
      <w:marLeft w:val="0"/>
      <w:marRight w:val="0"/>
      <w:marTop w:val="0"/>
      <w:marBottom w:val="0"/>
      <w:divBdr>
        <w:top w:val="none" w:sz="0" w:space="0" w:color="auto"/>
        <w:left w:val="none" w:sz="0" w:space="0" w:color="auto"/>
        <w:bottom w:val="none" w:sz="0" w:space="0" w:color="auto"/>
        <w:right w:val="none" w:sz="0" w:space="0" w:color="auto"/>
      </w:divBdr>
    </w:div>
    <w:div w:id="782311018">
      <w:bodyDiv w:val="1"/>
      <w:marLeft w:val="0"/>
      <w:marRight w:val="0"/>
      <w:marTop w:val="0"/>
      <w:marBottom w:val="0"/>
      <w:divBdr>
        <w:top w:val="none" w:sz="0" w:space="0" w:color="auto"/>
        <w:left w:val="none" w:sz="0" w:space="0" w:color="auto"/>
        <w:bottom w:val="none" w:sz="0" w:space="0" w:color="auto"/>
        <w:right w:val="none" w:sz="0" w:space="0" w:color="auto"/>
      </w:divBdr>
    </w:div>
    <w:div w:id="782387976">
      <w:bodyDiv w:val="1"/>
      <w:marLeft w:val="0"/>
      <w:marRight w:val="0"/>
      <w:marTop w:val="0"/>
      <w:marBottom w:val="0"/>
      <w:divBdr>
        <w:top w:val="none" w:sz="0" w:space="0" w:color="auto"/>
        <w:left w:val="none" w:sz="0" w:space="0" w:color="auto"/>
        <w:bottom w:val="none" w:sz="0" w:space="0" w:color="auto"/>
        <w:right w:val="none" w:sz="0" w:space="0" w:color="auto"/>
      </w:divBdr>
    </w:div>
    <w:div w:id="783886728">
      <w:bodyDiv w:val="1"/>
      <w:marLeft w:val="0"/>
      <w:marRight w:val="0"/>
      <w:marTop w:val="0"/>
      <w:marBottom w:val="0"/>
      <w:divBdr>
        <w:top w:val="none" w:sz="0" w:space="0" w:color="auto"/>
        <w:left w:val="none" w:sz="0" w:space="0" w:color="auto"/>
        <w:bottom w:val="none" w:sz="0" w:space="0" w:color="auto"/>
        <w:right w:val="none" w:sz="0" w:space="0" w:color="auto"/>
      </w:divBdr>
    </w:div>
    <w:div w:id="789015261">
      <w:bodyDiv w:val="1"/>
      <w:marLeft w:val="0"/>
      <w:marRight w:val="0"/>
      <w:marTop w:val="0"/>
      <w:marBottom w:val="0"/>
      <w:divBdr>
        <w:top w:val="none" w:sz="0" w:space="0" w:color="auto"/>
        <w:left w:val="none" w:sz="0" w:space="0" w:color="auto"/>
        <w:bottom w:val="none" w:sz="0" w:space="0" w:color="auto"/>
        <w:right w:val="none" w:sz="0" w:space="0" w:color="auto"/>
      </w:divBdr>
    </w:div>
    <w:div w:id="789713797">
      <w:bodyDiv w:val="1"/>
      <w:marLeft w:val="0"/>
      <w:marRight w:val="0"/>
      <w:marTop w:val="0"/>
      <w:marBottom w:val="0"/>
      <w:divBdr>
        <w:top w:val="none" w:sz="0" w:space="0" w:color="auto"/>
        <w:left w:val="none" w:sz="0" w:space="0" w:color="auto"/>
        <w:bottom w:val="none" w:sz="0" w:space="0" w:color="auto"/>
        <w:right w:val="none" w:sz="0" w:space="0" w:color="auto"/>
      </w:divBdr>
    </w:div>
    <w:div w:id="789857396">
      <w:bodyDiv w:val="1"/>
      <w:marLeft w:val="0"/>
      <w:marRight w:val="0"/>
      <w:marTop w:val="0"/>
      <w:marBottom w:val="0"/>
      <w:divBdr>
        <w:top w:val="none" w:sz="0" w:space="0" w:color="auto"/>
        <w:left w:val="none" w:sz="0" w:space="0" w:color="auto"/>
        <w:bottom w:val="none" w:sz="0" w:space="0" w:color="auto"/>
        <w:right w:val="none" w:sz="0" w:space="0" w:color="auto"/>
      </w:divBdr>
    </w:div>
    <w:div w:id="792209097">
      <w:bodyDiv w:val="1"/>
      <w:marLeft w:val="0"/>
      <w:marRight w:val="0"/>
      <w:marTop w:val="0"/>
      <w:marBottom w:val="0"/>
      <w:divBdr>
        <w:top w:val="none" w:sz="0" w:space="0" w:color="auto"/>
        <w:left w:val="none" w:sz="0" w:space="0" w:color="auto"/>
        <w:bottom w:val="none" w:sz="0" w:space="0" w:color="auto"/>
        <w:right w:val="none" w:sz="0" w:space="0" w:color="auto"/>
      </w:divBdr>
    </w:div>
    <w:div w:id="793904685">
      <w:bodyDiv w:val="1"/>
      <w:marLeft w:val="0"/>
      <w:marRight w:val="0"/>
      <w:marTop w:val="0"/>
      <w:marBottom w:val="0"/>
      <w:divBdr>
        <w:top w:val="none" w:sz="0" w:space="0" w:color="auto"/>
        <w:left w:val="none" w:sz="0" w:space="0" w:color="auto"/>
        <w:bottom w:val="none" w:sz="0" w:space="0" w:color="auto"/>
        <w:right w:val="none" w:sz="0" w:space="0" w:color="auto"/>
      </w:divBdr>
    </w:div>
    <w:div w:id="796340674">
      <w:bodyDiv w:val="1"/>
      <w:marLeft w:val="0"/>
      <w:marRight w:val="0"/>
      <w:marTop w:val="0"/>
      <w:marBottom w:val="0"/>
      <w:divBdr>
        <w:top w:val="none" w:sz="0" w:space="0" w:color="auto"/>
        <w:left w:val="none" w:sz="0" w:space="0" w:color="auto"/>
        <w:bottom w:val="none" w:sz="0" w:space="0" w:color="auto"/>
        <w:right w:val="none" w:sz="0" w:space="0" w:color="auto"/>
      </w:divBdr>
    </w:div>
    <w:div w:id="796416019">
      <w:bodyDiv w:val="1"/>
      <w:marLeft w:val="0"/>
      <w:marRight w:val="0"/>
      <w:marTop w:val="0"/>
      <w:marBottom w:val="0"/>
      <w:divBdr>
        <w:top w:val="none" w:sz="0" w:space="0" w:color="auto"/>
        <w:left w:val="none" w:sz="0" w:space="0" w:color="auto"/>
        <w:bottom w:val="none" w:sz="0" w:space="0" w:color="auto"/>
        <w:right w:val="none" w:sz="0" w:space="0" w:color="auto"/>
      </w:divBdr>
    </w:div>
    <w:div w:id="799112102">
      <w:bodyDiv w:val="1"/>
      <w:marLeft w:val="0"/>
      <w:marRight w:val="0"/>
      <w:marTop w:val="0"/>
      <w:marBottom w:val="0"/>
      <w:divBdr>
        <w:top w:val="none" w:sz="0" w:space="0" w:color="auto"/>
        <w:left w:val="none" w:sz="0" w:space="0" w:color="auto"/>
        <w:bottom w:val="none" w:sz="0" w:space="0" w:color="auto"/>
        <w:right w:val="none" w:sz="0" w:space="0" w:color="auto"/>
      </w:divBdr>
    </w:div>
    <w:div w:id="799496450">
      <w:bodyDiv w:val="1"/>
      <w:marLeft w:val="0"/>
      <w:marRight w:val="0"/>
      <w:marTop w:val="0"/>
      <w:marBottom w:val="0"/>
      <w:divBdr>
        <w:top w:val="none" w:sz="0" w:space="0" w:color="auto"/>
        <w:left w:val="none" w:sz="0" w:space="0" w:color="auto"/>
        <w:bottom w:val="none" w:sz="0" w:space="0" w:color="auto"/>
        <w:right w:val="none" w:sz="0" w:space="0" w:color="auto"/>
      </w:divBdr>
    </w:div>
    <w:div w:id="801382779">
      <w:bodyDiv w:val="1"/>
      <w:marLeft w:val="0"/>
      <w:marRight w:val="0"/>
      <w:marTop w:val="0"/>
      <w:marBottom w:val="0"/>
      <w:divBdr>
        <w:top w:val="none" w:sz="0" w:space="0" w:color="auto"/>
        <w:left w:val="none" w:sz="0" w:space="0" w:color="auto"/>
        <w:bottom w:val="none" w:sz="0" w:space="0" w:color="auto"/>
        <w:right w:val="none" w:sz="0" w:space="0" w:color="auto"/>
      </w:divBdr>
    </w:div>
    <w:div w:id="804398408">
      <w:bodyDiv w:val="1"/>
      <w:marLeft w:val="0"/>
      <w:marRight w:val="0"/>
      <w:marTop w:val="0"/>
      <w:marBottom w:val="0"/>
      <w:divBdr>
        <w:top w:val="none" w:sz="0" w:space="0" w:color="auto"/>
        <w:left w:val="none" w:sz="0" w:space="0" w:color="auto"/>
        <w:bottom w:val="none" w:sz="0" w:space="0" w:color="auto"/>
        <w:right w:val="none" w:sz="0" w:space="0" w:color="auto"/>
      </w:divBdr>
    </w:div>
    <w:div w:id="805007281">
      <w:bodyDiv w:val="1"/>
      <w:marLeft w:val="0"/>
      <w:marRight w:val="0"/>
      <w:marTop w:val="0"/>
      <w:marBottom w:val="0"/>
      <w:divBdr>
        <w:top w:val="none" w:sz="0" w:space="0" w:color="auto"/>
        <w:left w:val="none" w:sz="0" w:space="0" w:color="auto"/>
        <w:bottom w:val="none" w:sz="0" w:space="0" w:color="auto"/>
        <w:right w:val="none" w:sz="0" w:space="0" w:color="auto"/>
      </w:divBdr>
    </w:div>
    <w:div w:id="807626556">
      <w:bodyDiv w:val="1"/>
      <w:marLeft w:val="0"/>
      <w:marRight w:val="0"/>
      <w:marTop w:val="0"/>
      <w:marBottom w:val="0"/>
      <w:divBdr>
        <w:top w:val="none" w:sz="0" w:space="0" w:color="auto"/>
        <w:left w:val="none" w:sz="0" w:space="0" w:color="auto"/>
        <w:bottom w:val="none" w:sz="0" w:space="0" w:color="auto"/>
        <w:right w:val="none" w:sz="0" w:space="0" w:color="auto"/>
      </w:divBdr>
    </w:div>
    <w:div w:id="808863364">
      <w:bodyDiv w:val="1"/>
      <w:marLeft w:val="0"/>
      <w:marRight w:val="0"/>
      <w:marTop w:val="0"/>
      <w:marBottom w:val="0"/>
      <w:divBdr>
        <w:top w:val="none" w:sz="0" w:space="0" w:color="auto"/>
        <w:left w:val="none" w:sz="0" w:space="0" w:color="auto"/>
        <w:bottom w:val="none" w:sz="0" w:space="0" w:color="auto"/>
        <w:right w:val="none" w:sz="0" w:space="0" w:color="auto"/>
      </w:divBdr>
    </w:div>
    <w:div w:id="809979910">
      <w:bodyDiv w:val="1"/>
      <w:marLeft w:val="0"/>
      <w:marRight w:val="0"/>
      <w:marTop w:val="0"/>
      <w:marBottom w:val="0"/>
      <w:divBdr>
        <w:top w:val="none" w:sz="0" w:space="0" w:color="auto"/>
        <w:left w:val="none" w:sz="0" w:space="0" w:color="auto"/>
        <w:bottom w:val="none" w:sz="0" w:space="0" w:color="auto"/>
        <w:right w:val="none" w:sz="0" w:space="0" w:color="auto"/>
      </w:divBdr>
    </w:div>
    <w:div w:id="810630756">
      <w:bodyDiv w:val="1"/>
      <w:marLeft w:val="0"/>
      <w:marRight w:val="0"/>
      <w:marTop w:val="0"/>
      <w:marBottom w:val="0"/>
      <w:divBdr>
        <w:top w:val="none" w:sz="0" w:space="0" w:color="auto"/>
        <w:left w:val="none" w:sz="0" w:space="0" w:color="auto"/>
        <w:bottom w:val="none" w:sz="0" w:space="0" w:color="auto"/>
        <w:right w:val="none" w:sz="0" w:space="0" w:color="auto"/>
      </w:divBdr>
    </w:div>
    <w:div w:id="810708798">
      <w:bodyDiv w:val="1"/>
      <w:marLeft w:val="0"/>
      <w:marRight w:val="0"/>
      <w:marTop w:val="0"/>
      <w:marBottom w:val="0"/>
      <w:divBdr>
        <w:top w:val="none" w:sz="0" w:space="0" w:color="auto"/>
        <w:left w:val="none" w:sz="0" w:space="0" w:color="auto"/>
        <w:bottom w:val="none" w:sz="0" w:space="0" w:color="auto"/>
        <w:right w:val="none" w:sz="0" w:space="0" w:color="auto"/>
      </w:divBdr>
    </w:div>
    <w:div w:id="815533113">
      <w:bodyDiv w:val="1"/>
      <w:marLeft w:val="0"/>
      <w:marRight w:val="0"/>
      <w:marTop w:val="0"/>
      <w:marBottom w:val="0"/>
      <w:divBdr>
        <w:top w:val="none" w:sz="0" w:space="0" w:color="auto"/>
        <w:left w:val="none" w:sz="0" w:space="0" w:color="auto"/>
        <w:bottom w:val="none" w:sz="0" w:space="0" w:color="auto"/>
        <w:right w:val="none" w:sz="0" w:space="0" w:color="auto"/>
      </w:divBdr>
    </w:div>
    <w:div w:id="816609513">
      <w:bodyDiv w:val="1"/>
      <w:marLeft w:val="0"/>
      <w:marRight w:val="0"/>
      <w:marTop w:val="0"/>
      <w:marBottom w:val="0"/>
      <w:divBdr>
        <w:top w:val="none" w:sz="0" w:space="0" w:color="auto"/>
        <w:left w:val="none" w:sz="0" w:space="0" w:color="auto"/>
        <w:bottom w:val="none" w:sz="0" w:space="0" w:color="auto"/>
        <w:right w:val="none" w:sz="0" w:space="0" w:color="auto"/>
      </w:divBdr>
    </w:div>
    <w:div w:id="819731515">
      <w:bodyDiv w:val="1"/>
      <w:marLeft w:val="0"/>
      <w:marRight w:val="0"/>
      <w:marTop w:val="0"/>
      <w:marBottom w:val="0"/>
      <w:divBdr>
        <w:top w:val="none" w:sz="0" w:space="0" w:color="auto"/>
        <w:left w:val="none" w:sz="0" w:space="0" w:color="auto"/>
        <w:bottom w:val="none" w:sz="0" w:space="0" w:color="auto"/>
        <w:right w:val="none" w:sz="0" w:space="0" w:color="auto"/>
      </w:divBdr>
    </w:div>
    <w:div w:id="821428369">
      <w:bodyDiv w:val="1"/>
      <w:marLeft w:val="0"/>
      <w:marRight w:val="0"/>
      <w:marTop w:val="0"/>
      <w:marBottom w:val="0"/>
      <w:divBdr>
        <w:top w:val="none" w:sz="0" w:space="0" w:color="auto"/>
        <w:left w:val="none" w:sz="0" w:space="0" w:color="auto"/>
        <w:bottom w:val="none" w:sz="0" w:space="0" w:color="auto"/>
        <w:right w:val="none" w:sz="0" w:space="0" w:color="auto"/>
      </w:divBdr>
    </w:div>
    <w:div w:id="822939507">
      <w:bodyDiv w:val="1"/>
      <w:marLeft w:val="0"/>
      <w:marRight w:val="0"/>
      <w:marTop w:val="0"/>
      <w:marBottom w:val="0"/>
      <w:divBdr>
        <w:top w:val="none" w:sz="0" w:space="0" w:color="auto"/>
        <w:left w:val="none" w:sz="0" w:space="0" w:color="auto"/>
        <w:bottom w:val="none" w:sz="0" w:space="0" w:color="auto"/>
        <w:right w:val="none" w:sz="0" w:space="0" w:color="auto"/>
      </w:divBdr>
    </w:div>
    <w:div w:id="825390837">
      <w:bodyDiv w:val="1"/>
      <w:marLeft w:val="0"/>
      <w:marRight w:val="0"/>
      <w:marTop w:val="0"/>
      <w:marBottom w:val="0"/>
      <w:divBdr>
        <w:top w:val="none" w:sz="0" w:space="0" w:color="auto"/>
        <w:left w:val="none" w:sz="0" w:space="0" w:color="auto"/>
        <w:bottom w:val="none" w:sz="0" w:space="0" w:color="auto"/>
        <w:right w:val="none" w:sz="0" w:space="0" w:color="auto"/>
      </w:divBdr>
    </w:div>
    <w:div w:id="826093737">
      <w:bodyDiv w:val="1"/>
      <w:marLeft w:val="0"/>
      <w:marRight w:val="0"/>
      <w:marTop w:val="0"/>
      <w:marBottom w:val="0"/>
      <w:divBdr>
        <w:top w:val="none" w:sz="0" w:space="0" w:color="auto"/>
        <w:left w:val="none" w:sz="0" w:space="0" w:color="auto"/>
        <w:bottom w:val="none" w:sz="0" w:space="0" w:color="auto"/>
        <w:right w:val="none" w:sz="0" w:space="0" w:color="auto"/>
      </w:divBdr>
    </w:div>
    <w:div w:id="826868354">
      <w:bodyDiv w:val="1"/>
      <w:marLeft w:val="0"/>
      <w:marRight w:val="0"/>
      <w:marTop w:val="0"/>
      <w:marBottom w:val="0"/>
      <w:divBdr>
        <w:top w:val="none" w:sz="0" w:space="0" w:color="auto"/>
        <w:left w:val="none" w:sz="0" w:space="0" w:color="auto"/>
        <w:bottom w:val="none" w:sz="0" w:space="0" w:color="auto"/>
        <w:right w:val="none" w:sz="0" w:space="0" w:color="auto"/>
      </w:divBdr>
    </w:div>
    <w:div w:id="830370754">
      <w:bodyDiv w:val="1"/>
      <w:marLeft w:val="0"/>
      <w:marRight w:val="0"/>
      <w:marTop w:val="0"/>
      <w:marBottom w:val="0"/>
      <w:divBdr>
        <w:top w:val="none" w:sz="0" w:space="0" w:color="auto"/>
        <w:left w:val="none" w:sz="0" w:space="0" w:color="auto"/>
        <w:bottom w:val="none" w:sz="0" w:space="0" w:color="auto"/>
        <w:right w:val="none" w:sz="0" w:space="0" w:color="auto"/>
      </w:divBdr>
    </w:div>
    <w:div w:id="830482956">
      <w:bodyDiv w:val="1"/>
      <w:marLeft w:val="0"/>
      <w:marRight w:val="0"/>
      <w:marTop w:val="0"/>
      <w:marBottom w:val="0"/>
      <w:divBdr>
        <w:top w:val="none" w:sz="0" w:space="0" w:color="auto"/>
        <w:left w:val="none" w:sz="0" w:space="0" w:color="auto"/>
        <w:bottom w:val="none" w:sz="0" w:space="0" w:color="auto"/>
        <w:right w:val="none" w:sz="0" w:space="0" w:color="auto"/>
      </w:divBdr>
    </w:div>
    <w:div w:id="830486102">
      <w:bodyDiv w:val="1"/>
      <w:marLeft w:val="0"/>
      <w:marRight w:val="0"/>
      <w:marTop w:val="0"/>
      <w:marBottom w:val="0"/>
      <w:divBdr>
        <w:top w:val="none" w:sz="0" w:space="0" w:color="auto"/>
        <w:left w:val="none" w:sz="0" w:space="0" w:color="auto"/>
        <w:bottom w:val="none" w:sz="0" w:space="0" w:color="auto"/>
        <w:right w:val="none" w:sz="0" w:space="0" w:color="auto"/>
      </w:divBdr>
    </w:div>
    <w:div w:id="831798682">
      <w:bodyDiv w:val="1"/>
      <w:marLeft w:val="0"/>
      <w:marRight w:val="0"/>
      <w:marTop w:val="0"/>
      <w:marBottom w:val="0"/>
      <w:divBdr>
        <w:top w:val="none" w:sz="0" w:space="0" w:color="auto"/>
        <w:left w:val="none" w:sz="0" w:space="0" w:color="auto"/>
        <w:bottom w:val="none" w:sz="0" w:space="0" w:color="auto"/>
        <w:right w:val="none" w:sz="0" w:space="0" w:color="auto"/>
      </w:divBdr>
    </w:div>
    <w:div w:id="834036281">
      <w:bodyDiv w:val="1"/>
      <w:marLeft w:val="0"/>
      <w:marRight w:val="0"/>
      <w:marTop w:val="0"/>
      <w:marBottom w:val="0"/>
      <w:divBdr>
        <w:top w:val="none" w:sz="0" w:space="0" w:color="auto"/>
        <w:left w:val="none" w:sz="0" w:space="0" w:color="auto"/>
        <w:bottom w:val="none" w:sz="0" w:space="0" w:color="auto"/>
        <w:right w:val="none" w:sz="0" w:space="0" w:color="auto"/>
      </w:divBdr>
    </w:div>
    <w:div w:id="834763132">
      <w:bodyDiv w:val="1"/>
      <w:marLeft w:val="0"/>
      <w:marRight w:val="0"/>
      <w:marTop w:val="0"/>
      <w:marBottom w:val="0"/>
      <w:divBdr>
        <w:top w:val="none" w:sz="0" w:space="0" w:color="auto"/>
        <w:left w:val="none" w:sz="0" w:space="0" w:color="auto"/>
        <w:bottom w:val="none" w:sz="0" w:space="0" w:color="auto"/>
        <w:right w:val="none" w:sz="0" w:space="0" w:color="auto"/>
      </w:divBdr>
    </w:div>
    <w:div w:id="837307858">
      <w:bodyDiv w:val="1"/>
      <w:marLeft w:val="0"/>
      <w:marRight w:val="0"/>
      <w:marTop w:val="0"/>
      <w:marBottom w:val="0"/>
      <w:divBdr>
        <w:top w:val="none" w:sz="0" w:space="0" w:color="auto"/>
        <w:left w:val="none" w:sz="0" w:space="0" w:color="auto"/>
        <w:bottom w:val="none" w:sz="0" w:space="0" w:color="auto"/>
        <w:right w:val="none" w:sz="0" w:space="0" w:color="auto"/>
      </w:divBdr>
    </w:div>
    <w:div w:id="838352832">
      <w:bodyDiv w:val="1"/>
      <w:marLeft w:val="0"/>
      <w:marRight w:val="0"/>
      <w:marTop w:val="0"/>
      <w:marBottom w:val="0"/>
      <w:divBdr>
        <w:top w:val="none" w:sz="0" w:space="0" w:color="auto"/>
        <w:left w:val="none" w:sz="0" w:space="0" w:color="auto"/>
        <w:bottom w:val="none" w:sz="0" w:space="0" w:color="auto"/>
        <w:right w:val="none" w:sz="0" w:space="0" w:color="auto"/>
      </w:divBdr>
    </w:div>
    <w:div w:id="838884783">
      <w:bodyDiv w:val="1"/>
      <w:marLeft w:val="0"/>
      <w:marRight w:val="0"/>
      <w:marTop w:val="0"/>
      <w:marBottom w:val="0"/>
      <w:divBdr>
        <w:top w:val="none" w:sz="0" w:space="0" w:color="auto"/>
        <w:left w:val="none" w:sz="0" w:space="0" w:color="auto"/>
        <w:bottom w:val="none" w:sz="0" w:space="0" w:color="auto"/>
        <w:right w:val="none" w:sz="0" w:space="0" w:color="auto"/>
      </w:divBdr>
    </w:div>
    <w:div w:id="842017259">
      <w:bodyDiv w:val="1"/>
      <w:marLeft w:val="0"/>
      <w:marRight w:val="0"/>
      <w:marTop w:val="0"/>
      <w:marBottom w:val="0"/>
      <w:divBdr>
        <w:top w:val="none" w:sz="0" w:space="0" w:color="auto"/>
        <w:left w:val="none" w:sz="0" w:space="0" w:color="auto"/>
        <w:bottom w:val="none" w:sz="0" w:space="0" w:color="auto"/>
        <w:right w:val="none" w:sz="0" w:space="0" w:color="auto"/>
      </w:divBdr>
    </w:div>
    <w:div w:id="843857346">
      <w:bodyDiv w:val="1"/>
      <w:marLeft w:val="0"/>
      <w:marRight w:val="0"/>
      <w:marTop w:val="0"/>
      <w:marBottom w:val="0"/>
      <w:divBdr>
        <w:top w:val="none" w:sz="0" w:space="0" w:color="auto"/>
        <w:left w:val="none" w:sz="0" w:space="0" w:color="auto"/>
        <w:bottom w:val="none" w:sz="0" w:space="0" w:color="auto"/>
        <w:right w:val="none" w:sz="0" w:space="0" w:color="auto"/>
      </w:divBdr>
    </w:div>
    <w:div w:id="849417052">
      <w:bodyDiv w:val="1"/>
      <w:marLeft w:val="0"/>
      <w:marRight w:val="0"/>
      <w:marTop w:val="0"/>
      <w:marBottom w:val="0"/>
      <w:divBdr>
        <w:top w:val="none" w:sz="0" w:space="0" w:color="auto"/>
        <w:left w:val="none" w:sz="0" w:space="0" w:color="auto"/>
        <w:bottom w:val="none" w:sz="0" w:space="0" w:color="auto"/>
        <w:right w:val="none" w:sz="0" w:space="0" w:color="auto"/>
      </w:divBdr>
    </w:div>
    <w:div w:id="850414136">
      <w:bodyDiv w:val="1"/>
      <w:marLeft w:val="0"/>
      <w:marRight w:val="0"/>
      <w:marTop w:val="0"/>
      <w:marBottom w:val="0"/>
      <w:divBdr>
        <w:top w:val="none" w:sz="0" w:space="0" w:color="auto"/>
        <w:left w:val="none" w:sz="0" w:space="0" w:color="auto"/>
        <w:bottom w:val="none" w:sz="0" w:space="0" w:color="auto"/>
        <w:right w:val="none" w:sz="0" w:space="0" w:color="auto"/>
      </w:divBdr>
    </w:div>
    <w:div w:id="851845842">
      <w:bodyDiv w:val="1"/>
      <w:marLeft w:val="0"/>
      <w:marRight w:val="0"/>
      <w:marTop w:val="0"/>
      <w:marBottom w:val="0"/>
      <w:divBdr>
        <w:top w:val="none" w:sz="0" w:space="0" w:color="auto"/>
        <w:left w:val="none" w:sz="0" w:space="0" w:color="auto"/>
        <w:bottom w:val="none" w:sz="0" w:space="0" w:color="auto"/>
        <w:right w:val="none" w:sz="0" w:space="0" w:color="auto"/>
      </w:divBdr>
    </w:div>
    <w:div w:id="855385003">
      <w:bodyDiv w:val="1"/>
      <w:marLeft w:val="0"/>
      <w:marRight w:val="0"/>
      <w:marTop w:val="0"/>
      <w:marBottom w:val="0"/>
      <w:divBdr>
        <w:top w:val="none" w:sz="0" w:space="0" w:color="auto"/>
        <w:left w:val="none" w:sz="0" w:space="0" w:color="auto"/>
        <w:bottom w:val="none" w:sz="0" w:space="0" w:color="auto"/>
        <w:right w:val="none" w:sz="0" w:space="0" w:color="auto"/>
      </w:divBdr>
    </w:div>
    <w:div w:id="856776051">
      <w:bodyDiv w:val="1"/>
      <w:marLeft w:val="0"/>
      <w:marRight w:val="0"/>
      <w:marTop w:val="0"/>
      <w:marBottom w:val="0"/>
      <w:divBdr>
        <w:top w:val="none" w:sz="0" w:space="0" w:color="auto"/>
        <w:left w:val="none" w:sz="0" w:space="0" w:color="auto"/>
        <w:bottom w:val="none" w:sz="0" w:space="0" w:color="auto"/>
        <w:right w:val="none" w:sz="0" w:space="0" w:color="auto"/>
      </w:divBdr>
    </w:div>
    <w:div w:id="860316158">
      <w:bodyDiv w:val="1"/>
      <w:marLeft w:val="0"/>
      <w:marRight w:val="0"/>
      <w:marTop w:val="0"/>
      <w:marBottom w:val="0"/>
      <w:divBdr>
        <w:top w:val="none" w:sz="0" w:space="0" w:color="auto"/>
        <w:left w:val="none" w:sz="0" w:space="0" w:color="auto"/>
        <w:bottom w:val="none" w:sz="0" w:space="0" w:color="auto"/>
        <w:right w:val="none" w:sz="0" w:space="0" w:color="auto"/>
      </w:divBdr>
    </w:div>
    <w:div w:id="861551144">
      <w:bodyDiv w:val="1"/>
      <w:marLeft w:val="0"/>
      <w:marRight w:val="0"/>
      <w:marTop w:val="0"/>
      <w:marBottom w:val="0"/>
      <w:divBdr>
        <w:top w:val="none" w:sz="0" w:space="0" w:color="auto"/>
        <w:left w:val="none" w:sz="0" w:space="0" w:color="auto"/>
        <w:bottom w:val="none" w:sz="0" w:space="0" w:color="auto"/>
        <w:right w:val="none" w:sz="0" w:space="0" w:color="auto"/>
      </w:divBdr>
    </w:div>
    <w:div w:id="864556012">
      <w:bodyDiv w:val="1"/>
      <w:marLeft w:val="0"/>
      <w:marRight w:val="0"/>
      <w:marTop w:val="0"/>
      <w:marBottom w:val="0"/>
      <w:divBdr>
        <w:top w:val="none" w:sz="0" w:space="0" w:color="auto"/>
        <w:left w:val="none" w:sz="0" w:space="0" w:color="auto"/>
        <w:bottom w:val="none" w:sz="0" w:space="0" w:color="auto"/>
        <w:right w:val="none" w:sz="0" w:space="0" w:color="auto"/>
      </w:divBdr>
    </w:div>
    <w:div w:id="865557011">
      <w:bodyDiv w:val="1"/>
      <w:marLeft w:val="0"/>
      <w:marRight w:val="0"/>
      <w:marTop w:val="0"/>
      <w:marBottom w:val="0"/>
      <w:divBdr>
        <w:top w:val="none" w:sz="0" w:space="0" w:color="auto"/>
        <w:left w:val="none" w:sz="0" w:space="0" w:color="auto"/>
        <w:bottom w:val="none" w:sz="0" w:space="0" w:color="auto"/>
        <w:right w:val="none" w:sz="0" w:space="0" w:color="auto"/>
      </w:divBdr>
    </w:div>
    <w:div w:id="875779882">
      <w:bodyDiv w:val="1"/>
      <w:marLeft w:val="0"/>
      <w:marRight w:val="0"/>
      <w:marTop w:val="0"/>
      <w:marBottom w:val="0"/>
      <w:divBdr>
        <w:top w:val="none" w:sz="0" w:space="0" w:color="auto"/>
        <w:left w:val="none" w:sz="0" w:space="0" w:color="auto"/>
        <w:bottom w:val="none" w:sz="0" w:space="0" w:color="auto"/>
        <w:right w:val="none" w:sz="0" w:space="0" w:color="auto"/>
      </w:divBdr>
    </w:div>
    <w:div w:id="879706578">
      <w:bodyDiv w:val="1"/>
      <w:marLeft w:val="0"/>
      <w:marRight w:val="0"/>
      <w:marTop w:val="0"/>
      <w:marBottom w:val="0"/>
      <w:divBdr>
        <w:top w:val="none" w:sz="0" w:space="0" w:color="auto"/>
        <w:left w:val="none" w:sz="0" w:space="0" w:color="auto"/>
        <w:bottom w:val="none" w:sz="0" w:space="0" w:color="auto"/>
        <w:right w:val="none" w:sz="0" w:space="0" w:color="auto"/>
      </w:divBdr>
    </w:div>
    <w:div w:id="881479238">
      <w:bodyDiv w:val="1"/>
      <w:marLeft w:val="0"/>
      <w:marRight w:val="0"/>
      <w:marTop w:val="0"/>
      <w:marBottom w:val="0"/>
      <w:divBdr>
        <w:top w:val="none" w:sz="0" w:space="0" w:color="auto"/>
        <w:left w:val="none" w:sz="0" w:space="0" w:color="auto"/>
        <w:bottom w:val="none" w:sz="0" w:space="0" w:color="auto"/>
        <w:right w:val="none" w:sz="0" w:space="0" w:color="auto"/>
      </w:divBdr>
    </w:div>
    <w:div w:id="882015960">
      <w:bodyDiv w:val="1"/>
      <w:marLeft w:val="0"/>
      <w:marRight w:val="0"/>
      <w:marTop w:val="0"/>
      <w:marBottom w:val="0"/>
      <w:divBdr>
        <w:top w:val="none" w:sz="0" w:space="0" w:color="auto"/>
        <w:left w:val="none" w:sz="0" w:space="0" w:color="auto"/>
        <w:bottom w:val="none" w:sz="0" w:space="0" w:color="auto"/>
        <w:right w:val="none" w:sz="0" w:space="0" w:color="auto"/>
      </w:divBdr>
    </w:div>
    <w:div w:id="883833967">
      <w:bodyDiv w:val="1"/>
      <w:marLeft w:val="0"/>
      <w:marRight w:val="0"/>
      <w:marTop w:val="0"/>
      <w:marBottom w:val="0"/>
      <w:divBdr>
        <w:top w:val="none" w:sz="0" w:space="0" w:color="auto"/>
        <w:left w:val="none" w:sz="0" w:space="0" w:color="auto"/>
        <w:bottom w:val="none" w:sz="0" w:space="0" w:color="auto"/>
        <w:right w:val="none" w:sz="0" w:space="0" w:color="auto"/>
      </w:divBdr>
    </w:div>
    <w:div w:id="885484497">
      <w:bodyDiv w:val="1"/>
      <w:marLeft w:val="0"/>
      <w:marRight w:val="0"/>
      <w:marTop w:val="0"/>
      <w:marBottom w:val="0"/>
      <w:divBdr>
        <w:top w:val="none" w:sz="0" w:space="0" w:color="auto"/>
        <w:left w:val="none" w:sz="0" w:space="0" w:color="auto"/>
        <w:bottom w:val="none" w:sz="0" w:space="0" w:color="auto"/>
        <w:right w:val="none" w:sz="0" w:space="0" w:color="auto"/>
      </w:divBdr>
    </w:div>
    <w:div w:id="886066903">
      <w:bodyDiv w:val="1"/>
      <w:marLeft w:val="0"/>
      <w:marRight w:val="0"/>
      <w:marTop w:val="0"/>
      <w:marBottom w:val="0"/>
      <w:divBdr>
        <w:top w:val="none" w:sz="0" w:space="0" w:color="auto"/>
        <w:left w:val="none" w:sz="0" w:space="0" w:color="auto"/>
        <w:bottom w:val="none" w:sz="0" w:space="0" w:color="auto"/>
        <w:right w:val="none" w:sz="0" w:space="0" w:color="auto"/>
      </w:divBdr>
    </w:div>
    <w:div w:id="886453648">
      <w:bodyDiv w:val="1"/>
      <w:marLeft w:val="0"/>
      <w:marRight w:val="0"/>
      <w:marTop w:val="0"/>
      <w:marBottom w:val="0"/>
      <w:divBdr>
        <w:top w:val="none" w:sz="0" w:space="0" w:color="auto"/>
        <w:left w:val="none" w:sz="0" w:space="0" w:color="auto"/>
        <w:bottom w:val="none" w:sz="0" w:space="0" w:color="auto"/>
        <w:right w:val="none" w:sz="0" w:space="0" w:color="auto"/>
      </w:divBdr>
    </w:div>
    <w:div w:id="887841528">
      <w:bodyDiv w:val="1"/>
      <w:marLeft w:val="0"/>
      <w:marRight w:val="0"/>
      <w:marTop w:val="0"/>
      <w:marBottom w:val="0"/>
      <w:divBdr>
        <w:top w:val="none" w:sz="0" w:space="0" w:color="auto"/>
        <w:left w:val="none" w:sz="0" w:space="0" w:color="auto"/>
        <w:bottom w:val="none" w:sz="0" w:space="0" w:color="auto"/>
        <w:right w:val="none" w:sz="0" w:space="0" w:color="auto"/>
      </w:divBdr>
    </w:div>
    <w:div w:id="888032148">
      <w:bodyDiv w:val="1"/>
      <w:marLeft w:val="0"/>
      <w:marRight w:val="0"/>
      <w:marTop w:val="0"/>
      <w:marBottom w:val="0"/>
      <w:divBdr>
        <w:top w:val="none" w:sz="0" w:space="0" w:color="auto"/>
        <w:left w:val="none" w:sz="0" w:space="0" w:color="auto"/>
        <w:bottom w:val="none" w:sz="0" w:space="0" w:color="auto"/>
        <w:right w:val="none" w:sz="0" w:space="0" w:color="auto"/>
      </w:divBdr>
    </w:div>
    <w:div w:id="889927592">
      <w:bodyDiv w:val="1"/>
      <w:marLeft w:val="0"/>
      <w:marRight w:val="0"/>
      <w:marTop w:val="0"/>
      <w:marBottom w:val="0"/>
      <w:divBdr>
        <w:top w:val="none" w:sz="0" w:space="0" w:color="auto"/>
        <w:left w:val="none" w:sz="0" w:space="0" w:color="auto"/>
        <w:bottom w:val="none" w:sz="0" w:space="0" w:color="auto"/>
        <w:right w:val="none" w:sz="0" w:space="0" w:color="auto"/>
      </w:divBdr>
    </w:div>
    <w:div w:id="898368273">
      <w:bodyDiv w:val="1"/>
      <w:marLeft w:val="0"/>
      <w:marRight w:val="0"/>
      <w:marTop w:val="0"/>
      <w:marBottom w:val="0"/>
      <w:divBdr>
        <w:top w:val="none" w:sz="0" w:space="0" w:color="auto"/>
        <w:left w:val="none" w:sz="0" w:space="0" w:color="auto"/>
        <w:bottom w:val="none" w:sz="0" w:space="0" w:color="auto"/>
        <w:right w:val="none" w:sz="0" w:space="0" w:color="auto"/>
      </w:divBdr>
    </w:div>
    <w:div w:id="901064888">
      <w:bodyDiv w:val="1"/>
      <w:marLeft w:val="0"/>
      <w:marRight w:val="0"/>
      <w:marTop w:val="0"/>
      <w:marBottom w:val="0"/>
      <w:divBdr>
        <w:top w:val="none" w:sz="0" w:space="0" w:color="auto"/>
        <w:left w:val="none" w:sz="0" w:space="0" w:color="auto"/>
        <w:bottom w:val="none" w:sz="0" w:space="0" w:color="auto"/>
        <w:right w:val="none" w:sz="0" w:space="0" w:color="auto"/>
      </w:divBdr>
    </w:div>
    <w:div w:id="902370514">
      <w:bodyDiv w:val="1"/>
      <w:marLeft w:val="0"/>
      <w:marRight w:val="0"/>
      <w:marTop w:val="0"/>
      <w:marBottom w:val="0"/>
      <w:divBdr>
        <w:top w:val="none" w:sz="0" w:space="0" w:color="auto"/>
        <w:left w:val="none" w:sz="0" w:space="0" w:color="auto"/>
        <w:bottom w:val="none" w:sz="0" w:space="0" w:color="auto"/>
        <w:right w:val="none" w:sz="0" w:space="0" w:color="auto"/>
      </w:divBdr>
    </w:div>
    <w:div w:id="911432107">
      <w:bodyDiv w:val="1"/>
      <w:marLeft w:val="0"/>
      <w:marRight w:val="0"/>
      <w:marTop w:val="0"/>
      <w:marBottom w:val="0"/>
      <w:divBdr>
        <w:top w:val="none" w:sz="0" w:space="0" w:color="auto"/>
        <w:left w:val="none" w:sz="0" w:space="0" w:color="auto"/>
        <w:bottom w:val="none" w:sz="0" w:space="0" w:color="auto"/>
        <w:right w:val="none" w:sz="0" w:space="0" w:color="auto"/>
      </w:divBdr>
    </w:div>
    <w:div w:id="912591222">
      <w:bodyDiv w:val="1"/>
      <w:marLeft w:val="0"/>
      <w:marRight w:val="0"/>
      <w:marTop w:val="0"/>
      <w:marBottom w:val="0"/>
      <w:divBdr>
        <w:top w:val="none" w:sz="0" w:space="0" w:color="auto"/>
        <w:left w:val="none" w:sz="0" w:space="0" w:color="auto"/>
        <w:bottom w:val="none" w:sz="0" w:space="0" w:color="auto"/>
        <w:right w:val="none" w:sz="0" w:space="0" w:color="auto"/>
      </w:divBdr>
    </w:div>
    <w:div w:id="912668576">
      <w:bodyDiv w:val="1"/>
      <w:marLeft w:val="0"/>
      <w:marRight w:val="0"/>
      <w:marTop w:val="0"/>
      <w:marBottom w:val="0"/>
      <w:divBdr>
        <w:top w:val="none" w:sz="0" w:space="0" w:color="auto"/>
        <w:left w:val="none" w:sz="0" w:space="0" w:color="auto"/>
        <w:bottom w:val="none" w:sz="0" w:space="0" w:color="auto"/>
        <w:right w:val="none" w:sz="0" w:space="0" w:color="auto"/>
      </w:divBdr>
    </w:div>
    <w:div w:id="915671597">
      <w:bodyDiv w:val="1"/>
      <w:marLeft w:val="0"/>
      <w:marRight w:val="0"/>
      <w:marTop w:val="0"/>
      <w:marBottom w:val="0"/>
      <w:divBdr>
        <w:top w:val="none" w:sz="0" w:space="0" w:color="auto"/>
        <w:left w:val="none" w:sz="0" w:space="0" w:color="auto"/>
        <w:bottom w:val="none" w:sz="0" w:space="0" w:color="auto"/>
        <w:right w:val="none" w:sz="0" w:space="0" w:color="auto"/>
      </w:divBdr>
    </w:div>
    <w:div w:id="917447537">
      <w:bodyDiv w:val="1"/>
      <w:marLeft w:val="0"/>
      <w:marRight w:val="0"/>
      <w:marTop w:val="0"/>
      <w:marBottom w:val="0"/>
      <w:divBdr>
        <w:top w:val="none" w:sz="0" w:space="0" w:color="auto"/>
        <w:left w:val="none" w:sz="0" w:space="0" w:color="auto"/>
        <w:bottom w:val="none" w:sz="0" w:space="0" w:color="auto"/>
        <w:right w:val="none" w:sz="0" w:space="0" w:color="auto"/>
      </w:divBdr>
    </w:div>
    <w:div w:id="920405418">
      <w:bodyDiv w:val="1"/>
      <w:marLeft w:val="0"/>
      <w:marRight w:val="0"/>
      <w:marTop w:val="0"/>
      <w:marBottom w:val="0"/>
      <w:divBdr>
        <w:top w:val="none" w:sz="0" w:space="0" w:color="auto"/>
        <w:left w:val="none" w:sz="0" w:space="0" w:color="auto"/>
        <w:bottom w:val="none" w:sz="0" w:space="0" w:color="auto"/>
        <w:right w:val="none" w:sz="0" w:space="0" w:color="auto"/>
      </w:divBdr>
    </w:div>
    <w:div w:id="921764367">
      <w:bodyDiv w:val="1"/>
      <w:marLeft w:val="0"/>
      <w:marRight w:val="0"/>
      <w:marTop w:val="0"/>
      <w:marBottom w:val="0"/>
      <w:divBdr>
        <w:top w:val="none" w:sz="0" w:space="0" w:color="auto"/>
        <w:left w:val="none" w:sz="0" w:space="0" w:color="auto"/>
        <w:bottom w:val="none" w:sz="0" w:space="0" w:color="auto"/>
        <w:right w:val="none" w:sz="0" w:space="0" w:color="auto"/>
      </w:divBdr>
    </w:div>
    <w:div w:id="923800922">
      <w:bodyDiv w:val="1"/>
      <w:marLeft w:val="0"/>
      <w:marRight w:val="0"/>
      <w:marTop w:val="0"/>
      <w:marBottom w:val="0"/>
      <w:divBdr>
        <w:top w:val="none" w:sz="0" w:space="0" w:color="auto"/>
        <w:left w:val="none" w:sz="0" w:space="0" w:color="auto"/>
        <w:bottom w:val="none" w:sz="0" w:space="0" w:color="auto"/>
        <w:right w:val="none" w:sz="0" w:space="0" w:color="auto"/>
      </w:divBdr>
    </w:div>
    <w:div w:id="927540773">
      <w:bodyDiv w:val="1"/>
      <w:marLeft w:val="0"/>
      <w:marRight w:val="0"/>
      <w:marTop w:val="0"/>
      <w:marBottom w:val="0"/>
      <w:divBdr>
        <w:top w:val="none" w:sz="0" w:space="0" w:color="auto"/>
        <w:left w:val="none" w:sz="0" w:space="0" w:color="auto"/>
        <w:bottom w:val="none" w:sz="0" w:space="0" w:color="auto"/>
        <w:right w:val="none" w:sz="0" w:space="0" w:color="auto"/>
      </w:divBdr>
    </w:div>
    <w:div w:id="928149819">
      <w:bodyDiv w:val="1"/>
      <w:marLeft w:val="0"/>
      <w:marRight w:val="0"/>
      <w:marTop w:val="0"/>
      <w:marBottom w:val="0"/>
      <w:divBdr>
        <w:top w:val="none" w:sz="0" w:space="0" w:color="auto"/>
        <w:left w:val="none" w:sz="0" w:space="0" w:color="auto"/>
        <w:bottom w:val="none" w:sz="0" w:space="0" w:color="auto"/>
        <w:right w:val="none" w:sz="0" w:space="0" w:color="auto"/>
      </w:divBdr>
    </w:div>
    <w:div w:id="928346881">
      <w:bodyDiv w:val="1"/>
      <w:marLeft w:val="0"/>
      <w:marRight w:val="0"/>
      <w:marTop w:val="0"/>
      <w:marBottom w:val="0"/>
      <w:divBdr>
        <w:top w:val="none" w:sz="0" w:space="0" w:color="auto"/>
        <w:left w:val="none" w:sz="0" w:space="0" w:color="auto"/>
        <w:bottom w:val="none" w:sz="0" w:space="0" w:color="auto"/>
        <w:right w:val="none" w:sz="0" w:space="0" w:color="auto"/>
      </w:divBdr>
    </w:div>
    <w:div w:id="934485614">
      <w:bodyDiv w:val="1"/>
      <w:marLeft w:val="0"/>
      <w:marRight w:val="0"/>
      <w:marTop w:val="0"/>
      <w:marBottom w:val="0"/>
      <w:divBdr>
        <w:top w:val="none" w:sz="0" w:space="0" w:color="auto"/>
        <w:left w:val="none" w:sz="0" w:space="0" w:color="auto"/>
        <w:bottom w:val="none" w:sz="0" w:space="0" w:color="auto"/>
        <w:right w:val="none" w:sz="0" w:space="0" w:color="auto"/>
      </w:divBdr>
    </w:div>
    <w:div w:id="934510102">
      <w:bodyDiv w:val="1"/>
      <w:marLeft w:val="0"/>
      <w:marRight w:val="0"/>
      <w:marTop w:val="0"/>
      <w:marBottom w:val="0"/>
      <w:divBdr>
        <w:top w:val="none" w:sz="0" w:space="0" w:color="auto"/>
        <w:left w:val="none" w:sz="0" w:space="0" w:color="auto"/>
        <w:bottom w:val="none" w:sz="0" w:space="0" w:color="auto"/>
        <w:right w:val="none" w:sz="0" w:space="0" w:color="auto"/>
      </w:divBdr>
    </w:div>
    <w:div w:id="937524941">
      <w:bodyDiv w:val="1"/>
      <w:marLeft w:val="0"/>
      <w:marRight w:val="0"/>
      <w:marTop w:val="0"/>
      <w:marBottom w:val="0"/>
      <w:divBdr>
        <w:top w:val="none" w:sz="0" w:space="0" w:color="auto"/>
        <w:left w:val="none" w:sz="0" w:space="0" w:color="auto"/>
        <w:bottom w:val="none" w:sz="0" w:space="0" w:color="auto"/>
        <w:right w:val="none" w:sz="0" w:space="0" w:color="auto"/>
      </w:divBdr>
    </w:div>
    <w:div w:id="941105102">
      <w:bodyDiv w:val="1"/>
      <w:marLeft w:val="0"/>
      <w:marRight w:val="0"/>
      <w:marTop w:val="0"/>
      <w:marBottom w:val="0"/>
      <w:divBdr>
        <w:top w:val="none" w:sz="0" w:space="0" w:color="auto"/>
        <w:left w:val="none" w:sz="0" w:space="0" w:color="auto"/>
        <w:bottom w:val="none" w:sz="0" w:space="0" w:color="auto"/>
        <w:right w:val="none" w:sz="0" w:space="0" w:color="auto"/>
      </w:divBdr>
    </w:div>
    <w:div w:id="943729740">
      <w:bodyDiv w:val="1"/>
      <w:marLeft w:val="0"/>
      <w:marRight w:val="0"/>
      <w:marTop w:val="0"/>
      <w:marBottom w:val="0"/>
      <w:divBdr>
        <w:top w:val="none" w:sz="0" w:space="0" w:color="auto"/>
        <w:left w:val="none" w:sz="0" w:space="0" w:color="auto"/>
        <w:bottom w:val="none" w:sz="0" w:space="0" w:color="auto"/>
        <w:right w:val="none" w:sz="0" w:space="0" w:color="auto"/>
      </w:divBdr>
    </w:div>
    <w:div w:id="948585295">
      <w:bodyDiv w:val="1"/>
      <w:marLeft w:val="0"/>
      <w:marRight w:val="0"/>
      <w:marTop w:val="0"/>
      <w:marBottom w:val="0"/>
      <w:divBdr>
        <w:top w:val="none" w:sz="0" w:space="0" w:color="auto"/>
        <w:left w:val="none" w:sz="0" w:space="0" w:color="auto"/>
        <w:bottom w:val="none" w:sz="0" w:space="0" w:color="auto"/>
        <w:right w:val="none" w:sz="0" w:space="0" w:color="auto"/>
      </w:divBdr>
    </w:div>
    <w:div w:id="948855501">
      <w:bodyDiv w:val="1"/>
      <w:marLeft w:val="0"/>
      <w:marRight w:val="0"/>
      <w:marTop w:val="0"/>
      <w:marBottom w:val="0"/>
      <w:divBdr>
        <w:top w:val="none" w:sz="0" w:space="0" w:color="auto"/>
        <w:left w:val="none" w:sz="0" w:space="0" w:color="auto"/>
        <w:bottom w:val="none" w:sz="0" w:space="0" w:color="auto"/>
        <w:right w:val="none" w:sz="0" w:space="0" w:color="auto"/>
      </w:divBdr>
    </w:div>
    <w:div w:id="949236396">
      <w:bodyDiv w:val="1"/>
      <w:marLeft w:val="0"/>
      <w:marRight w:val="0"/>
      <w:marTop w:val="0"/>
      <w:marBottom w:val="0"/>
      <w:divBdr>
        <w:top w:val="none" w:sz="0" w:space="0" w:color="auto"/>
        <w:left w:val="none" w:sz="0" w:space="0" w:color="auto"/>
        <w:bottom w:val="none" w:sz="0" w:space="0" w:color="auto"/>
        <w:right w:val="none" w:sz="0" w:space="0" w:color="auto"/>
      </w:divBdr>
    </w:div>
    <w:div w:id="949431347">
      <w:bodyDiv w:val="1"/>
      <w:marLeft w:val="0"/>
      <w:marRight w:val="0"/>
      <w:marTop w:val="0"/>
      <w:marBottom w:val="0"/>
      <w:divBdr>
        <w:top w:val="none" w:sz="0" w:space="0" w:color="auto"/>
        <w:left w:val="none" w:sz="0" w:space="0" w:color="auto"/>
        <w:bottom w:val="none" w:sz="0" w:space="0" w:color="auto"/>
        <w:right w:val="none" w:sz="0" w:space="0" w:color="auto"/>
      </w:divBdr>
    </w:div>
    <w:div w:id="954752725">
      <w:bodyDiv w:val="1"/>
      <w:marLeft w:val="0"/>
      <w:marRight w:val="0"/>
      <w:marTop w:val="0"/>
      <w:marBottom w:val="0"/>
      <w:divBdr>
        <w:top w:val="none" w:sz="0" w:space="0" w:color="auto"/>
        <w:left w:val="none" w:sz="0" w:space="0" w:color="auto"/>
        <w:bottom w:val="none" w:sz="0" w:space="0" w:color="auto"/>
        <w:right w:val="none" w:sz="0" w:space="0" w:color="auto"/>
      </w:divBdr>
    </w:div>
    <w:div w:id="954826709">
      <w:bodyDiv w:val="1"/>
      <w:marLeft w:val="0"/>
      <w:marRight w:val="0"/>
      <w:marTop w:val="0"/>
      <w:marBottom w:val="0"/>
      <w:divBdr>
        <w:top w:val="none" w:sz="0" w:space="0" w:color="auto"/>
        <w:left w:val="none" w:sz="0" w:space="0" w:color="auto"/>
        <w:bottom w:val="none" w:sz="0" w:space="0" w:color="auto"/>
        <w:right w:val="none" w:sz="0" w:space="0" w:color="auto"/>
      </w:divBdr>
    </w:div>
    <w:div w:id="955793001">
      <w:bodyDiv w:val="1"/>
      <w:marLeft w:val="0"/>
      <w:marRight w:val="0"/>
      <w:marTop w:val="0"/>
      <w:marBottom w:val="0"/>
      <w:divBdr>
        <w:top w:val="none" w:sz="0" w:space="0" w:color="auto"/>
        <w:left w:val="none" w:sz="0" w:space="0" w:color="auto"/>
        <w:bottom w:val="none" w:sz="0" w:space="0" w:color="auto"/>
        <w:right w:val="none" w:sz="0" w:space="0" w:color="auto"/>
      </w:divBdr>
    </w:div>
    <w:div w:id="956760236">
      <w:bodyDiv w:val="1"/>
      <w:marLeft w:val="0"/>
      <w:marRight w:val="0"/>
      <w:marTop w:val="0"/>
      <w:marBottom w:val="0"/>
      <w:divBdr>
        <w:top w:val="none" w:sz="0" w:space="0" w:color="auto"/>
        <w:left w:val="none" w:sz="0" w:space="0" w:color="auto"/>
        <w:bottom w:val="none" w:sz="0" w:space="0" w:color="auto"/>
        <w:right w:val="none" w:sz="0" w:space="0" w:color="auto"/>
      </w:divBdr>
    </w:div>
    <w:div w:id="959534503">
      <w:bodyDiv w:val="1"/>
      <w:marLeft w:val="0"/>
      <w:marRight w:val="0"/>
      <w:marTop w:val="0"/>
      <w:marBottom w:val="0"/>
      <w:divBdr>
        <w:top w:val="none" w:sz="0" w:space="0" w:color="auto"/>
        <w:left w:val="none" w:sz="0" w:space="0" w:color="auto"/>
        <w:bottom w:val="none" w:sz="0" w:space="0" w:color="auto"/>
        <w:right w:val="none" w:sz="0" w:space="0" w:color="auto"/>
      </w:divBdr>
      <w:divsChild>
        <w:div w:id="179242823">
          <w:marLeft w:val="0"/>
          <w:marRight w:val="0"/>
          <w:marTop w:val="144"/>
          <w:marBottom w:val="144"/>
          <w:divBdr>
            <w:top w:val="none" w:sz="0" w:space="0" w:color="auto"/>
            <w:left w:val="none" w:sz="0" w:space="0" w:color="auto"/>
            <w:bottom w:val="none" w:sz="0" w:space="0" w:color="auto"/>
            <w:right w:val="none" w:sz="0" w:space="0" w:color="auto"/>
          </w:divBdr>
        </w:div>
      </w:divsChild>
    </w:div>
    <w:div w:id="963345046">
      <w:bodyDiv w:val="1"/>
      <w:marLeft w:val="0"/>
      <w:marRight w:val="0"/>
      <w:marTop w:val="0"/>
      <w:marBottom w:val="0"/>
      <w:divBdr>
        <w:top w:val="none" w:sz="0" w:space="0" w:color="auto"/>
        <w:left w:val="none" w:sz="0" w:space="0" w:color="auto"/>
        <w:bottom w:val="none" w:sz="0" w:space="0" w:color="auto"/>
        <w:right w:val="none" w:sz="0" w:space="0" w:color="auto"/>
      </w:divBdr>
    </w:div>
    <w:div w:id="966348750">
      <w:bodyDiv w:val="1"/>
      <w:marLeft w:val="0"/>
      <w:marRight w:val="0"/>
      <w:marTop w:val="0"/>
      <w:marBottom w:val="0"/>
      <w:divBdr>
        <w:top w:val="none" w:sz="0" w:space="0" w:color="auto"/>
        <w:left w:val="none" w:sz="0" w:space="0" w:color="auto"/>
        <w:bottom w:val="none" w:sz="0" w:space="0" w:color="auto"/>
        <w:right w:val="none" w:sz="0" w:space="0" w:color="auto"/>
      </w:divBdr>
    </w:div>
    <w:div w:id="966547432">
      <w:bodyDiv w:val="1"/>
      <w:marLeft w:val="0"/>
      <w:marRight w:val="0"/>
      <w:marTop w:val="0"/>
      <w:marBottom w:val="0"/>
      <w:divBdr>
        <w:top w:val="none" w:sz="0" w:space="0" w:color="auto"/>
        <w:left w:val="none" w:sz="0" w:space="0" w:color="auto"/>
        <w:bottom w:val="none" w:sz="0" w:space="0" w:color="auto"/>
        <w:right w:val="none" w:sz="0" w:space="0" w:color="auto"/>
      </w:divBdr>
    </w:div>
    <w:div w:id="971013935">
      <w:bodyDiv w:val="1"/>
      <w:marLeft w:val="0"/>
      <w:marRight w:val="0"/>
      <w:marTop w:val="0"/>
      <w:marBottom w:val="0"/>
      <w:divBdr>
        <w:top w:val="none" w:sz="0" w:space="0" w:color="auto"/>
        <w:left w:val="none" w:sz="0" w:space="0" w:color="auto"/>
        <w:bottom w:val="none" w:sz="0" w:space="0" w:color="auto"/>
        <w:right w:val="none" w:sz="0" w:space="0" w:color="auto"/>
      </w:divBdr>
    </w:div>
    <w:div w:id="972901437">
      <w:bodyDiv w:val="1"/>
      <w:marLeft w:val="0"/>
      <w:marRight w:val="0"/>
      <w:marTop w:val="0"/>
      <w:marBottom w:val="0"/>
      <w:divBdr>
        <w:top w:val="none" w:sz="0" w:space="0" w:color="auto"/>
        <w:left w:val="none" w:sz="0" w:space="0" w:color="auto"/>
        <w:bottom w:val="none" w:sz="0" w:space="0" w:color="auto"/>
        <w:right w:val="none" w:sz="0" w:space="0" w:color="auto"/>
      </w:divBdr>
    </w:div>
    <w:div w:id="975404717">
      <w:bodyDiv w:val="1"/>
      <w:marLeft w:val="0"/>
      <w:marRight w:val="0"/>
      <w:marTop w:val="0"/>
      <w:marBottom w:val="0"/>
      <w:divBdr>
        <w:top w:val="none" w:sz="0" w:space="0" w:color="auto"/>
        <w:left w:val="none" w:sz="0" w:space="0" w:color="auto"/>
        <w:bottom w:val="none" w:sz="0" w:space="0" w:color="auto"/>
        <w:right w:val="none" w:sz="0" w:space="0" w:color="auto"/>
      </w:divBdr>
    </w:div>
    <w:div w:id="975447962">
      <w:bodyDiv w:val="1"/>
      <w:marLeft w:val="0"/>
      <w:marRight w:val="0"/>
      <w:marTop w:val="0"/>
      <w:marBottom w:val="0"/>
      <w:divBdr>
        <w:top w:val="none" w:sz="0" w:space="0" w:color="auto"/>
        <w:left w:val="none" w:sz="0" w:space="0" w:color="auto"/>
        <w:bottom w:val="none" w:sz="0" w:space="0" w:color="auto"/>
        <w:right w:val="none" w:sz="0" w:space="0" w:color="auto"/>
      </w:divBdr>
    </w:div>
    <w:div w:id="977416459">
      <w:bodyDiv w:val="1"/>
      <w:marLeft w:val="0"/>
      <w:marRight w:val="0"/>
      <w:marTop w:val="0"/>
      <w:marBottom w:val="0"/>
      <w:divBdr>
        <w:top w:val="none" w:sz="0" w:space="0" w:color="auto"/>
        <w:left w:val="none" w:sz="0" w:space="0" w:color="auto"/>
        <w:bottom w:val="none" w:sz="0" w:space="0" w:color="auto"/>
        <w:right w:val="none" w:sz="0" w:space="0" w:color="auto"/>
      </w:divBdr>
    </w:div>
    <w:div w:id="982275224">
      <w:bodyDiv w:val="1"/>
      <w:marLeft w:val="0"/>
      <w:marRight w:val="0"/>
      <w:marTop w:val="0"/>
      <w:marBottom w:val="0"/>
      <w:divBdr>
        <w:top w:val="none" w:sz="0" w:space="0" w:color="auto"/>
        <w:left w:val="none" w:sz="0" w:space="0" w:color="auto"/>
        <w:bottom w:val="none" w:sz="0" w:space="0" w:color="auto"/>
        <w:right w:val="none" w:sz="0" w:space="0" w:color="auto"/>
      </w:divBdr>
    </w:div>
    <w:div w:id="984817130">
      <w:bodyDiv w:val="1"/>
      <w:marLeft w:val="0"/>
      <w:marRight w:val="0"/>
      <w:marTop w:val="0"/>
      <w:marBottom w:val="0"/>
      <w:divBdr>
        <w:top w:val="none" w:sz="0" w:space="0" w:color="auto"/>
        <w:left w:val="none" w:sz="0" w:space="0" w:color="auto"/>
        <w:bottom w:val="none" w:sz="0" w:space="0" w:color="auto"/>
        <w:right w:val="none" w:sz="0" w:space="0" w:color="auto"/>
      </w:divBdr>
    </w:div>
    <w:div w:id="985356432">
      <w:bodyDiv w:val="1"/>
      <w:marLeft w:val="0"/>
      <w:marRight w:val="0"/>
      <w:marTop w:val="0"/>
      <w:marBottom w:val="0"/>
      <w:divBdr>
        <w:top w:val="none" w:sz="0" w:space="0" w:color="auto"/>
        <w:left w:val="none" w:sz="0" w:space="0" w:color="auto"/>
        <w:bottom w:val="none" w:sz="0" w:space="0" w:color="auto"/>
        <w:right w:val="none" w:sz="0" w:space="0" w:color="auto"/>
      </w:divBdr>
    </w:div>
    <w:div w:id="990016264">
      <w:bodyDiv w:val="1"/>
      <w:marLeft w:val="0"/>
      <w:marRight w:val="0"/>
      <w:marTop w:val="0"/>
      <w:marBottom w:val="0"/>
      <w:divBdr>
        <w:top w:val="none" w:sz="0" w:space="0" w:color="auto"/>
        <w:left w:val="none" w:sz="0" w:space="0" w:color="auto"/>
        <w:bottom w:val="none" w:sz="0" w:space="0" w:color="auto"/>
        <w:right w:val="none" w:sz="0" w:space="0" w:color="auto"/>
      </w:divBdr>
    </w:div>
    <w:div w:id="992022076">
      <w:bodyDiv w:val="1"/>
      <w:marLeft w:val="0"/>
      <w:marRight w:val="0"/>
      <w:marTop w:val="0"/>
      <w:marBottom w:val="0"/>
      <w:divBdr>
        <w:top w:val="none" w:sz="0" w:space="0" w:color="auto"/>
        <w:left w:val="none" w:sz="0" w:space="0" w:color="auto"/>
        <w:bottom w:val="none" w:sz="0" w:space="0" w:color="auto"/>
        <w:right w:val="none" w:sz="0" w:space="0" w:color="auto"/>
      </w:divBdr>
    </w:div>
    <w:div w:id="996954224">
      <w:bodyDiv w:val="1"/>
      <w:marLeft w:val="0"/>
      <w:marRight w:val="0"/>
      <w:marTop w:val="0"/>
      <w:marBottom w:val="0"/>
      <w:divBdr>
        <w:top w:val="none" w:sz="0" w:space="0" w:color="auto"/>
        <w:left w:val="none" w:sz="0" w:space="0" w:color="auto"/>
        <w:bottom w:val="none" w:sz="0" w:space="0" w:color="auto"/>
        <w:right w:val="none" w:sz="0" w:space="0" w:color="auto"/>
      </w:divBdr>
    </w:div>
    <w:div w:id="999580678">
      <w:bodyDiv w:val="1"/>
      <w:marLeft w:val="0"/>
      <w:marRight w:val="0"/>
      <w:marTop w:val="0"/>
      <w:marBottom w:val="0"/>
      <w:divBdr>
        <w:top w:val="none" w:sz="0" w:space="0" w:color="auto"/>
        <w:left w:val="none" w:sz="0" w:space="0" w:color="auto"/>
        <w:bottom w:val="none" w:sz="0" w:space="0" w:color="auto"/>
        <w:right w:val="none" w:sz="0" w:space="0" w:color="auto"/>
      </w:divBdr>
    </w:div>
    <w:div w:id="1006054156">
      <w:bodyDiv w:val="1"/>
      <w:marLeft w:val="0"/>
      <w:marRight w:val="0"/>
      <w:marTop w:val="0"/>
      <w:marBottom w:val="0"/>
      <w:divBdr>
        <w:top w:val="none" w:sz="0" w:space="0" w:color="auto"/>
        <w:left w:val="none" w:sz="0" w:space="0" w:color="auto"/>
        <w:bottom w:val="none" w:sz="0" w:space="0" w:color="auto"/>
        <w:right w:val="none" w:sz="0" w:space="0" w:color="auto"/>
      </w:divBdr>
    </w:div>
    <w:div w:id="1007102905">
      <w:bodyDiv w:val="1"/>
      <w:marLeft w:val="0"/>
      <w:marRight w:val="0"/>
      <w:marTop w:val="0"/>
      <w:marBottom w:val="0"/>
      <w:divBdr>
        <w:top w:val="none" w:sz="0" w:space="0" w:color="auto"/>
        <w:left w:val="none" w:sz="0" w:space="0" w:color="auto"/>
        <w:bottom w:val="none" w:sz="0" w:space="0" w:color="auto"/>
        <w:right w:val="none" w:sz="0" w:space="0" w:color="auto"/>
      </w:divBdr>
    </w:div>
    <w:div w:id="1007517192">
      <w:bodyDiv w:val="1"/>
      <w:marLeft w:val="0"/>
      <w:marRight w:val="0"/>
      <w:marTop w:val="0"/>
      <w:marBottom w:val="0"/>
      <w:divBdr>
        <w:top w:val="none" w:sz="0" w:space="0" w:color="auto"/>
        <w:left w:val="none" w:sz="0" w:space="0" w:color="auto"/>
        <w:bottom w:val="none" w:sz="0" w:space="0" w:color="auto"/>
        <w:right w:val="none" w:sz="0" w:space="0" w:color="auto"/>
      </w:divBdr>
    </w:div>
    <w:div w:id="1008141514">
      <w:bodyDiv w:val="1"/>
      <w:marLeft w:val="0"/>
      <w:marRight w:val="0"/>
      <w:marTop w:val="0"/>
      <w:marBottom w:val="0"/>
      <w:divBdr>
        <w:top w:val="none" w:sz="0" w:space="0" w:color="auto"/>
        <w:left w:val="none" w:sz="0" w:space="0" w:color="auto"/>
        <w:bottom w:val="none" w:sz="0" w:space="0" w:color="auto"/>
        <w:right w:val="none" w:sz="0" w:space="0" w:color="auto"/>
      </w:divBdr>
    </w:div>
    <w:div w:id="1008945863">
      <w:bodyDiv w:val="1"/>
      <w:marLeft w:val="0"/>
      <w:marRight w:val="0"/>
      <w:marTop w:val="0"/>
      <w:marBottom w:val="0"/>
      <w:divBdr>
        <w:top w:val="none" w:sz="0" w:space="0" w:color="auto"/>
        <w:left w:val="none" w:sz="0" w:space="0" w:color="auto"/>
        <w:bottom w:val="none" w:sz="0" w:space="0" w:color="auto"/>
        <w:right w:val="none" w:sz="0" w:space="0" w:color="auto"/>
      </w:divBdr>
    </w:div>
    <w:div w:id="1009216177">
      <w:bodyDiv w:val="1"/>
      <w:marLeft w:val="0"/>
      <w:marRight w:val="0"/>
      <w:marTop w:val="0"/>
      <w:marBottom w:val="0"/>
      <w:divBdr>
        <w:top w:val="none" w:sz="0" w:space="0" w:color="auto"/>
        <w:left w:val="none" w:sz="0" w:space="0" w:color="auto"/>
        <w:bottom w:val="none" w:sz="0" w:space="0" w:color="auto"/>
        <w:right w:val="none" w:sz="0" w:space="0" w:color="auto"/>
      </w:divBdr>
    </w:div>
    <w:div w:id="1010718905">
      <w:bodyDiv w:val="1"/>
      <w:marLeft w:val="0"/>
      <w:marRight w:val="0"/>
      <w:marTop w:val="0"/>
      <w:marBottom w:val="0"/>
      <w:divBdr>
        <w:top w:val="none" w:sz="0" w:space="0" w:color="auto"/>
        <w:left w:val="none" w:sz="0" w:space="0" w:color="auto"/>
        <w:bottom w:val="none" w:sz="0" w:space="0" w:color="auto"/>
        <w:right w:val="none" w:sz="0" w:space="0" w:color="auto"/>
      </w:divBdr>
    </w:div>
    <w:div w:id="1014961879">
      <w:bodyDiv w:val="1"/>
      <w:marLeft w:val="0"/>
      <w:marRight w:val="0"/>
      <w:marTop w:val="0"/>
      <w:marBottom w:val="0"/>
      <w:divBdr>
        <w:top w:val="none" w:sz="0" w:space="0" w:color="auto"/>
        <w:left w:val="none" w:sz="0" w:space="0" w:color="auto"/>
        <w:bottom w:val="none" w:sz="0" w:space="0" w:color="auto"/>
        <w:right w:val="none" w:sz="0" w:space="0" w:color="auto"/>
      </w:divBdr>
    </w:div>
    <w:div w:id="1015888953">
      <w:bodyDiv w:val="1"/>
      <w:marLeft w:val="0"/>
      <w:marRight w:val="0"/>
      <w:marTop w:val="0"/>
      <w:marBottom w:val="0"/>
      <w:divBdr>
        <w:top w:val="none" w:sz="0" w:space="0" w:color="auto"/>
        <w:left w:val="none" w:sz="0" w:space="0" w:color="auto"/>
        <w:bottom w:val="none" w:sz="0" w:space="0" w:color="auto"/>
        <w:right w:val="none" w:sz="0" w:space="0" w:color="auto"/>
      </w:divBdr>
    </w:div>
    <w:div w:id="1018965866">
      <w:bodyDiv w:val="1"/>
      <w:marLeft w:val="0"/>
      <w:marRight w:val="0"/>
      <w:marTop w:val="0"/>
      <w:marBottom w:val="0"/>
      <w:divBdr>
        <w:top w:val="none" w:sz="0" w:space="0" w:color="auto"/>
        <w:left w:val="none" w:sz="0" w:space="0" w:color="auto"/>
        <w:bottom w:val="none" w:sz="0" w:space="0" w:color="auto"/>
        <w:right w:val="none" w:sz="0" w:space="0" w:color="auto"/>
      </w:divBdr>
    </w:div>
    <w:div w:id="1020857472">
      <w:bodyDiv w:val="1"/>
      <w:marLeft w:val="0"/>
      <w:marRight w:val="0"/>
      <w:marTop w:val="0"/>
      <w:marBottom w:val="0"/>
      <w:divBdr>
        <w:top w:val="none" w:sz="0" w:space="0" w:color="auto"/>
        <w:left w:val="none" w:sz="0" w:space="0" w:color="auto"/>
        <w:bottom w:val="none" w:sz="0" w:space="0" w:color="auto"/>
        <w:right w:val="none" w:sz="0" w:space="0" w:color="auto"/>
      </w:divBdr>
    </w:div>
    <w:div w:id="1020858551">
      <w:bodyDiv w:val="1"/>
      <w:marLeft w:val="0"/>
      <w:marRight w:val="0"/>
      <w:marTop w:val="0"/>
      <w:marBottom w:val="0"/>
      <w:divBdr>
        <w:top w:val="none" w:sz="0" w:space="0" w:color="auto"/>
        <w:left w:val="none" w:sz="0" w:space="0" w:color="auto"/>
        <w:bottom w:val="none" w:sz="0" w:space="0" w:color="auto"/>
        <w:right w:val="none" w:sz="0" w:space="0" w:color="auto"/>
      </w:divBdr>
    </w:div>
    <w:div w:id="1022976520">
      <w:bodyDiv w:val="1"/>
      <w:marLeft w:val="0"/>
      <w:marRight w:val="0"/>
      <w:marTop w:val="0"/>
      <w:marBottom w:val="0"/>
      <w:divBdr>
        <w:top w:val="none" w:sz="0" w:space="0" w:color="auto"/>
        <w:left w:val="none" w:sz="0" w:space="0" w:color="auto"/>
        <w:bottom w:val="none" w:sz="0" w:space="0" w:color="auto"/>
        <w:right w:val="none" w:sz="0" w:space="0" w:color="auto"/>
      </w:divBdr>
    </w:div>
    <w:div w:id="1023749784">
      <w:bodyDiv w:val="1"/>
      <w:marLeft w:val="0"/>
      <w:marRight w:val="0"/>
      <w:marTop w:val="0"/>
      <w:marBottom w:val="0"/>
      <w:divBdr>
        <w:top w:val="none" w:sz="0" w:space="0" w:color="auto"/>
        <w:left w:val="none" w:sz="0" w:space="0" w:color="auto"/>
        <w:bottom w:val="none" w:sz="0" w:space="0" w:color="auto"/>
        <w:right w:val="none" w:sz="0" w:space="0" w:color="auto"/>
      </w:divBdr>
    </w:div>
    <w:div w:id="1024015391">
      <w:bodyDiv w:val="1"/>
      <w:marLeft w:val="0"/>
      <w:marRight w:val="0"/>
      <w:marTop w:val="0"/>
      <w:marBottom w:val="0"/>
      <w:divBdr>
        <w:top w:val="none" w:sz="0" w:space="0" w:color="auto"/>
        <w:left w:val="none" w:sz="0" w:space="0" w:color="auto"/>
        <w:bottom w:val="none" w:sz="0" w:space="0" w:color="auto"/>
        <w:right w:val="none" w:sz="0" w:space="0" w:color="auto"/>
      </w:divBdr>
    </w:div>
    <w:div w:id="1026443448">
      <w:bodyDiv w:val="1"/>
      <w:marLeft w:val="0"/>
      <w:marRight w:val="0"/>
      <w:marTop w:val="0"/>
      <w:marBottom w:val="0"/>
      <w:divBdr>
        <w:top w:val="none" w:sz="0" w:space="0" w:color="auto"/>
        <w:left w:val="none" w:sz="0" w:space="0" w:color="auto"/>
        <w:bottom w:val="none" w:sz="0" w:space="0" w:color="auto"/>
        <w:right w:val="none" w:sz="0" w:space="0" w:color="auto"/>
      </w:divBdr>
    </w:div>
    <w:div w:id="1027948389">
      <w:bodyDiv w:val="1"/>
      <w:marLeft w:val="0"/>
      <w:marRight w:val="0"/>
      <w:marTop w:val="0"/>
      <w:marBottom w:val="0"/>
      <w:divBdr>
        <w:top w:val="none" w:sz="0" w:space="0" w:color="auto"/>
        <w:left w:val="none" w:sz="0" w:space="0" w:color="auto"/>
        <w:bottom w:val="none" w:sz="0" w:space="0" w:color="auto"/>
        <w:right w:val="none" w:sz="0" w:space="0" w:color="auto"/>
      </w:divBdr>
    </w:div>
    <w:div w:id="1035035040">
      <w:bodyDiv w:val="1"/>
      <w:marLeft w:val="0"/>
      <w:marRight w:val="0"/>
      <w:marTop w:val="0"/>
      <w:marBottom w:val="0"/>
      <w:divBdr>
        <w:top w:val="none" w:sz="0" w:space="0" w:color="auto"/>
        <w:left w:val="none" w:sz="0" w:space="0" w:color="auto"/>
        <w:bottom w:val="none" w:sz="0" w:space="0" w:color="auto"/>
        <w:right w:val="none" w:sz="0" w:space="0" w:color="auto"/>
      </w:divBdr>
    </w:div>
    <w:div w:id="1035890306">
      <w:bodyDiv w:val="1"/>
      <w:marLeft w:val="0"/>
      <w:marRight w:val="0"/>
      <w:marTop w:val="0"/>
      <w:marBottom w:val="0"/>
      <w:divBdr>
        <w:top w:val="none" w:sz="0" w:space="0" w:color="auto"/>
        <w:left w:val="none" w:sz="0" w:space="0" w:color="auto"/>
        <w:bottom w:val="none" w:sz="0" w:space="0" w:color="auto"/>
        <w:right w:val="none" w:sz="0" w:space="0" w:color="auto"/>
      </w:divBdr>
    </w:div>
    <w:div w:id="1037854784">
      <w:bodyDiv w:val="1"/>
      <w:marLeft w:val="0"/>
      <w:marRight w:val="0"/>
      <w:marTop w:val="0"/>
      <w:marBottom w:val="0"/>
      <w:divBdr>
        <w:top w:val="none" w:sz="0" w:space="0" w:color="auto"/>
        <w:left w:val="none" w:sz="0" w:space="0" w:color="auto"/>
        <w:bottom w:val="none" w:sz="0" w:space="0" w:color="auto"/>
        <w:right w:val="none" w:sz="0" w:space="0" w:color="auto"/>
      </w:divBdr>
    </w:div>
    <w:div w:id="1040399069">
      <w:bodyDiv w:val="1"/>
      <w:marLeft w:val="0"/>
      <w:marRight w:val="0"/>
      <w:marTop w:val="0"/>
      <w:marBottom w:val="0"/>
      <w:divBdr>
        <w:top w:val="none" w:sz="0" w:space="0" w:color="auto"/>
        <w:left w:val="none" w:sz="0" w:space="0" w:color="auto"/>
        <w:bottom w:val="none" w:sz="0" w:space="0" w:color="auto"/>
        <w:right w:val="none" w:sz="0" w:space="0" w:color="auto"/>
      </w:divBdr>
    </w:div>
    <w:div w:id="1044062863">
      <w:bodyDiv w:val="1"/>
      <w:marLeft w:val="0"/>
      <w:marRight w:val="0"/>
      <w:marTop w:val="0"/>
      <w:marBottom w:val="0"/>
      <w:divBdr>
        <w:top w:val="none" w:sz="0" w:space="0" w:color="auto"/>
        <w:left w:val="none" w:sz="0" w:space="0" w:color="auto"/>
        <w:bottom w:val="none" w:sz="0" w:space="0" w:color="auto"/>
        <w:right w:val="none" w:sz="0" w:space="0" w:color="auto"/>
      </w:divBdr>
    </w:div>
    <w:div w:id="1049837711">
      <w:bodyDiv w:val="1"/>
      <w:marLeft w:val="0"/>
      <w:marRight w:val="0"/>
      <w:marTop w:val="0"/>
      <w:marBottom w:val="0"/>
      <w:divBdr>
        <w:top w:val="none" w:sz="0" w:space="0" w:color="auto"/>
        <w:left w:val="none" w:sz="0" w:space="0" w:color="auto"/>
        <w:bottom w:val="none" w:sz="0" w:space="0" w:color="auto"/>
        <w:right w:val="none" w:sz="0" w:space="0" w:color="auto"/>
      </w:divBdr>
    </w:div>
    <w:div w:id="1058018838">
      <w:bodyDiv w:val="1"/>
      <w:marLeft w:val="0"/>
      <w:marRight w:val="0"/>
      <w:marTop w:val="0"/>
      <w:marBottom w:val="0"/>
      <w:divBdr>
        <w:top w:val="none" w:sz="0" w:space="0" w:color="auto"/>
        <w:left w:val="none" w:sz="0" w:space="0" w:color="auto"/>
        <w:bottom w:val="none" w:sz="0" w:space="0" w:color="auto"/>
        <w:right w:val="none" w:sz="0" w:space="0" w:color="auto"/>
      </w:divBdr>
    </w:div>
    <w:div w:id="1059860705">
      <w:bodyDiv w:val="1"/>
      <w:marLeft w:val="0"/>
      <w:marRight w:val="0"/>
      <w:marTop w:val="0"/>
      <w:marBottom w:val="0"/>
      <w:divBdr>
        <w:top w:val="none" w:sz="0" w:space="0" w:color="auto"/>
        <w:left w:val="none" w:sz="0" w:space="0" w:color="auto"/>
        <w:bottom w:val="none" w:sz="0" w:space="0" w:color="auto"/>
        <w:right w:val="none" w:sz="0" w:space="0" w:color="auto"/>
      </w:divBdr>
    </w:div>
    <w:div w:id="1060404015">
      <w:bodyDiv w:val="1"/>
      <w:marLeft w:val="0"/>
      <w:marRight w:val="0"/>
      <w:marTop w:val="0"/>
      <w:marBottom w:val="0"/>
      <w:divBdr>
        <w:top w:val="none" w:sz="0" w:space="0" w:color="auto"/>
        <w:left w:val="none" w:sz="0" w:space="0" w:color="auto"/>
        <w:bottom w:val="none" w:sz="0" w:space="0" w:color="auto"/>
        <w:right w:val="none" w:sz="0" w:space="0" w:color="auto"/>
      </w:divBdr>
    </w:div>
    <w:div w:id="1060519681">
      <w:bodyDiv w:val="1"/>
      <w:marLeft w:val="0"/>
      <w:marRight w:val="0"/>
      <w:marTop w:val="0"/>
      <w:marBottom w:val="0"/>
      <w:divBdr>
        <w:top w:val="none" w:sz="0" w:space="0" w:color="auto"/>
        <w:left w:val="none" w:sz="0" w:space="0" w:color="auto"/>
        <w:bottom w:val="none" w:sz="0" w:space="0" w:color="auto"/>
        <w:right w:val="none" w:sz="0" w:space="0" w:color="auto"/>
      </w:divBdr>
    </w:div>
    <w:div w:id="1060715449">
      <w:bodyDiv w:val="1"/>
      <w:marLeft w:val="0"/>
      <w:marRight w:val="0"/>
      <w:marTop w:val="0"/>
      <w:marBottom w:val="0"/>
      <w:divBdr>
        <w:top w:val="none" w:sz="0" w:space="0" w:color="auto"/>
        <w:left w:val="none" w:sz="0" w:space="0" w:color="auto"/>
        <w:bottom w:val="none" w:sz="0" w:space="0" w:color="auto"/>
        <w:right w:val="none" w:sz="0" w:space="0" w:color="auto"/>
      </w:divBdr>
    </w:div>
    <w:div w:id="1065298502">
      <w:bodyDiv w:val="1"/>
      <w:marLeft w:val="0"/>
      <w:marRight w:val="0"/>
      <w:marTop w:val="0"/>
      <w:marBottom w:val="0"/>
      <w:divBdr>
        <w:top w:val="none" w:sz="0" w:space="0" w:color="auto"/>
        <w:left w:val="none" w:sz="0" w:space="0" w:color="auto"/>
        <w:bottom w:val="none" w:sz="0" w:space="0" w:color="auto"/>
        <w:right w:val="none" w:sz="0" w:space="0" w:color="auto"/>
      </w:divBdr>
    </w:div>
    <w:div w:id="1065642617">
      <w:bodyDiv w:val="1"/>
      <w:marLeft w:val="0"/>
      <w:marRight w:val="0"/>
      <w:marTop w:val="0"/>
      <w:marBottom w:val="0"/>
      <w:divBdr>
        <w:top w:val="none" w:sz="0" w:space="0" w:color="auto"/>
        <w:left w:val="none" w:sz="0" w:space="0" w:color="auto"/>
        <w:bottom w:val="none" w:sz="0" w:space="0" w:color="auto"/>
        <w:right w:val="none" w:sz="0" w:space="0" w:color="auto"/>
      </w:divBdr>
    </w:div>
    <w:div w:id="1071121268">
      <w:bodyDiv w:val="1"/>
      <w:marLeft w:val="0"/>
      <w:marRight w:val="0"/>
      <w:marTop w:val="0"/>
      <w:marBottom w:val="0"/>
      <w:divBdr>
        <w:top w:val="none" w:sz="0" w:space="0" w:color="auto"/>
        <w:left w:val="none" w:sz="0" w:space="0" w:color="auto"/>
        <w:bottom w:val="none" w:sz="0" w:space="0" w:color="auto"/>
        <w:right w:val="none" w:sz="0" w:space="0" w:color="auto"/>
      </w:divBdr>
    </w:div>
    <w:div w:id="1072121661">
      <w:bodyDiv w:val="1"/>
      <w:marLeft w:val="0"/>
      <w:marRight w:val="0"/>
      <w:marTop w:val="0"/>
      <w:marBottom w:val="0"/>
      <w:divBdr>
        <w:top w:val="none" w:sz="0" w:space="0" w:color="auto"/>
        <w:left w:val="none" w:sz="0" w:space="0" w:color="auto"/>
        <w:bottom w:val="none" w:sz="0" w:space="0" w:color="auto"/>
        <w:right w:val="none" w:sz="0" w:space="0" w:color="auto"/>
      </w:divBdr>
    </w:div>
    <w:div w:id="1072200123">
      <w:bodyDiv w:val="1"/>
      <w:marLeft w:val="0"/>
      <w:marRight w:val="0"/>
      <w:marTop w:val="0"/>
      <w:marBottom w:val="0"/>
      <w:divBdr>
        <w:top w:val="none" w:sz="0" w:space="0" w:color="auto"/>
        <w:left w:val="none" w:sz="0" w:space="0" w:color="auto"/>
        <w:bottom w:val="none" w:sz="0" w:space="0" w:color="auto"/>
        <w:right w:val="none" w:sz="0" w:space="0" w:color="auto"/>
      </w:divBdr>
    </w:div>
    <w:div w:id="1072895464">
      <w:bodyDiv w:val="1"/>
      <w:marLeft w:val="0"/>
      <w:marRight w:val="0"/>
      <w:marTop w:val="0"/>
      <w:marBottom w:val="0"/>
      <w:divBdr>
        <w:top w:val="none" w:sz="0" w:space="0" w:color="auto"/>
        <w:left w:val="none" w:sz="0" w:space="0" w:color="auto"/>
        <w:bottom w:val="none" w:sz="0" w:space="0" w:color="auto"/>
        <w:right w:val="none" w:sz="0" w:space="0" w:color="auto"/>
      </w:divBdr>
    </w:div>
    <w:div w:id="1074356183">
      <w:bodyDiv w:val="1"/>
      <w:marLeft w:val="0"/>
      <w:marRight w:val="0"/>
      <w:marTop w:val="0"/>
      <w:marBottom w:val="0"/>
      <w:divBdr>
        <w:top w:val="none" w:sz="0" w:space="0" w:color="auto"/>
        <w:left w:val="none" w:sz="0" w:space="0" w:color="auto"/>
        <w:bottom w:val="none" w:sz="0" w:space="0" w:color="auto"/>
        <w:right w:val="none" w:sz="0" w:space="0" w:color="auto"/>
      </w:divBdr>
    </w:div>
    <w:div w:id="1074859984">
      <w:bodyDiv w:val="1"/>
      <w:marLeft w:val="0"/>
      <w:marRight w:val="0"/>
      <w:marTop w:val="0"/>
      <w:marBottom w:val="0"/>
      <w:divBdr>
        <w:top w:val="none" w:sz="0" w:space="0" w:color="auto"/>
        <w:left w:val="none" w:sz="0" w:space="0" w:color="auto"/>
        <w:bottom w:val="none" w:sz="0" w:space="0" w:color="auto"/>
        <w:right w:val="none" w:sz="0" w:space="0" w:color="auto"/>
      </w:divBdr>
    </w:div>
    <w:div w:id="1080371743">
      <w:bodyDiv w:val="1"/>
      <w:marLeft w:val="0"/>
      <w:marRight w:val="0"/>
      <w:marTop w:val="0"/>
      <w:marBottom w:val="0"/>
      <w:divBdr>
        <w:top w:val="none" w:sz="0" w:space="0" w:color="auto"/>
        <w:left w:val="none" w:sz="0" w:space="0" w:color="auto"/>
        <w:bottom w:val="none" w:sz="0" w:space="0" w:color="auto"/>
        <w:right w:val="none" w:sz="0" w:space="0" w:color="auto"/>
      </w:divBdr>
    </w:div>
    <w:div w:id="1081173129">
      <w:bodyDiv w:val="1"/>
      <w:marLeft w:val="0"/>
      <w:marRight w:val="0"/>
      <w:marTop w:val="0"/>
      <w:marBottom w:val="0"/>
      <w:divBdr>
        <w:top w:val="none" w:sz="0" w:space="0" w:color="auto"/>
        <w:left w:val="none" w:sz="0" w:space="0" w:color="auto"/>
        <w:bottom w:val="none" w:sz="0" w:space="0" w:color="auto"/>
        <w:right w:val="none" w:sz="0" w:space="0" w:color="auto"/>
      </w:divBdr>
    </w:div>
    <w:div w:id="1082414922">
      <w:bodyDiv w:val="1"/>
      <w:marLeft w:val="0"/>
      <w:marRight w:val="0"/>
      <w:marTop w:val="0"/>
      <w:marBottom w:val="0"/>
      <w:divBdr>
        <w:top w:val="none" w:sz="0" w:space="0" w:color="auto"/>
        <w:left w:val="none" w:sz="0" w:space="0" w:color="auto"/>
        <w:bottom w:val="none" w:sz="0" w:space="0" w:color="auto"/>
        <w:right w:val="none" w:sz="0" w:space="0" w:color="auto"/>
      </w:divBdr>
    </w:div>
    <w:div w:id="1082526237">
      <w:bodyDiv w:val="1"/>
      <w:marLeft w:val="0"/>
      <w:marRight w:val="0"/>
      <w:marTop w:val="0"/>
      <w:marBottom w:val="0"/>
      <w:divBdr>
        <w:top w:val="none" w:sz="0" w:space="0" w:color="auto"/>
        <w:left w:val="none" w:sz="0" w:space="0" w:color="auto"/>
        <w:bottom w:val="none" w:sz="0" w:space="0" w:color="auto"/>
        <w:right w:val="none" w:sz="0" w:space="0" w:color="auto"/>
      </w:divBdr>
    </w:div>
    <w:div w:id="1082995855">
      <w:bodyDiv w:val="1"/>
      <w:marLeft w:val="0"/>
      <w:marRight w:val="0"/>
      <w:marTop w:val="0"/>
      <w:marBottom w:val="0"/>
      <w:divBdr>
        <w:top w:val="none" w:sz="0" w:space="0" w:color="auto"/>
        <w:left w:val="none" w:sz="0" w:space="0" w:color="auto"/>
        <w:bottom w:val="none" w:sz="0" w:space="0" w:color="auto"/>
        <w:right w:val="none" w:sz="0" w:space="0" w:color="auto"/>
      </w:divBdr>
    </w:div>
    <w:div w:id="1083453507">
      <w:bodyDiv w:val="1"/>
      <w:marLeft w:val="0"/>
      <w:marRight w:val="0"/>
      <w:marTop w:val="0"/>
      <w:marBottom w:val="0"/>
      <w:divBdr>
        <w:top w:val="none" w:sz="0" w:space="0" w:color="auto"/>
        <w:left w:val="none" w:sz="0" w:space="0" w:color="auto"/>
        <w:bottom w:val="none" w:sz="0" w:space="0" w:color="auto"/>
        <w:right w:val="none" w:sz="0" w:space="0" w:color="auto"/>
      </w:divBdr>
    </w:div>
    <w:div w:id="1090584603">
      <w:bodyDiv w:val="1"/>
      <w:marLeft w:val="0"/>
      <w:marRight w:val="0"/>
      <w:marTop w:val="0"/>
      <w:marBottom w:val="0"/>
      <w:divBdr>
        <w:top w:val="none" w:sz="0" w:space="0" w:color="auto"/>
        <w:left w:val="none" w:sz="0" w:space="0" w:color="auto"/>
        <w:bottom w:val="none" w:sz="0" w:space="0" w:color="auto"/>
        <w:right w:val="none" w:sz="0" w:space="0" w:color="auto"/>
      </w:divBdr>
    </w:div>
    <w:div w:id="1091314918">
      <w:bodyDiv w:val="1"/>
      <w:marLeft w:val="0"/>
      <w:marRight w:val="0"/>
      <w:marTop w:val="0"/>
      <w:marBottom w:val="0"/>
      <w:divBdr>
        <w:top w:val="none" w:sz="0" w:space="0" w:color="auto"/>
        <w:left w:val="none" w:sz="0" w:space="0" w:color="auto"/>
        <w:bottom w:val="none" w:sz="0" w:space="0" w:color="auto"/>
        <w:right w:val="none" w:sz="0" w:space="0" w:color="auto"/>
      </w:divBdr>
    </w:div>
    <w:div w:id="1092625313">
      <w:bodyDiv w:val="1"/>
      <w:marLeft w:val="0"/>
      <w:marRight w:val="0"/>
      <w:marTop w:val="0"/>
      <w:marBottom w:val="0"/>
      <w:divBdr>
        <w:top w:val="none" w:sz="0" w:space="0" w:color="auto"/>
        <w:left w:val="none" w:sz="0" w:space="0" w:color="auto"/>
        <w:bottom w:val="none" w:sz="0" w:space="0" w:color="auto"/>
        <w:right w:val="none" w:sz="0" w:space="0" w:color="auto"/>
      </w:divBdr>
    </w:div>
    <w:div w:id="1096050779">
      <w:bodyDiv w:val="1"/>
      <w:marLeft w:val="0"/>
      <w:marRight w:val="0"/>
      <w:marTop w:val="0"/>
      <w:marBottom w:val="0"/>
      <w:divBdr>
        <w:top w:val="none" w:sz="0" w:space="0" w:color="auto"/>
        <w:left w:val="none" w:sz="0" w:space="0" w:color="auto"/>
        <w:bottom w:val="none" w:sz="0" w:space="0" w:color="auto"/>
        <w:right w:val="none" w:sz="0" w:space="0" w:color="auto"/>
      </w:divBdr>
    </w:div>
    <w:div w:id="1097752949">
      <w:bodyDiv w:val="1"/>
      <w:marLeft w:val="0"/>
      <w:marRight w:val="0"/>
      <w:marTop w:val="0"/>
      <w:marBottom w:val="0"/>
      <w:divBdr>
        <w:top w:val="none" w:sz="0" w:space="0" w:color="auto"/>
        <w:left w:val="none" w:sz="0" w:space="0" w:color="auto"/>
        <w:bottom w:val="none" w:sz="0" w:space="0" w:color="auto"/>
        <w:right w:val="none" w:sz="0" w:space="0" w:color="auto"/>
      </w:divBdr>
    </w:div>
    <w:div w:id="1098451848">
      <w:bodyDiv w:val="1"/>
      <w:marLeft w:val="0"/>
      <w:marRight w:val="0"/>
      <w:marTop w:val="0"/>
      <w:marBottom w:val="0"/>
      <w:divBdr>
        <w:top w:val="none" w:sz="0" w:space="0" w:color="auto"/>
        <w:left w:val="none" w:sz="0" w:space="0" w:color="auto"/>
        <w:bottom w:val="none" w:sz="0" w:space="0" w:color="auto"/>
        <w:right w:val="none" w:sz="0" w:space="0" w:color="auto"/>
      </w:divBdr>
    </w:div>
    <w:div w:id="1100956592">
      <w:bodyDiv w:val="1"/>
      <w:marLeft w:val="0"/>
      <w:marRight w:val="0"/>
      <w:marTop w:val="0"/>
      <w:marBottom w:val="0"/>
      <w:divBdr>
        <w:top w:val="none" w:sz="0" w:space="0" w:color="auto"/>
        <w:left w:val="none" w:sz="0" w:space="0" w:color="auto"/>
        <w:bottom w:val="none" w:sz="0" w:space="0" w:color="auto"/>
        <w:right w:val="none" w:sz="0" w:space="0" w:color="auto"/>
      </w:divBdr>
    </w:div>
    <w:div w:id="1101804798">
      <w:bodyDiv w:val="1"/>
      <w:marLeft w:val="0"/>
      <w:marRight w:val="0"/>
      <w:marTop w:val="0"/>
      <w:marBottom w:val="0"/>
      <w:divBdr>
        <w:top w:val="none" w:sz="0" w:space="0" w:color="auto"/>
        <w:left w:val="none" w:sz="0" w:space="0" w:color="auto"/>
        <w:bottom w:val="none" w:sz="0" w:space="0" w:color="auto"/>
        <w:right w:val="none" w:sz="0" w:space="0" w:color="auto"/>
      </w:divBdr>
    </w:div>
    <w:div w:id="1104809441">
      <w:bodyDiv w:val="1"/>
      <w:marLeft w:val="0"/>
      <w:marRight w:val="0"/>
      <w:marTop w:val="0"/>
      <w:marBottom w:val="0"/>
      <w:divBdr>
        <w:top w:val="none" w:sz="0" w:space="0" w:color="auto"/>
        <w:left w:val="none" w:sz="0" w:space="0" w:color="auto"/>
        <w:bottom w:val="none" w:sz="0" w:space="0" w:color="auto"/>
        <w:right w:val="none" w:sz="0" w:space="0" w:color="auto"/>
      </w:divBdr>
    </w:div>
    <w:div w:id="1113784406">
      <w:bodyDiv w:val="1"/>
      <w:marLeft w:val="0"/>
      <w:marRight w:val="0"/>
      <w:marTop w:val="0"/>
      <w:marBottom w:val="0"/>
      <w:divBdr>
        <w:top w:val="none" w:sz="0" w:space="0" w:color="auto"/>
        <w:left w:val="none" w:sz="0" w:space="0" w:color="auto"/>
        <w:bottom w:val="none" w:sz="0" w:space="0" w:color="auto"/>
        <w:right w:val="none" w:sz="0" w:space="0" w:color="auto"/>
      </w:divBdr>
    </w:div>
    <w:div w:id="1114059336">
      <w:bodyDiv w:val="1"/>
      <w:marLeft w:val="0"/>
      <w:marRight w:val="0"/>
      <w:marTop w:val="0"/>
      <w:marBottom w:val="0"/>
      <w:divBdr>
        <w:top w:val="none" w:sz="0" w:space="0" w:color="auto"/>
        <w:left w:val="none" w:sz="0" w:space="0" w:color="auto"/>
        <w:bottom w:val="none" w:sz="0" w:space="0" w:color="auto"/>
        <w:right w:val="none" w:sz="0" w:space="0" w:color="auto"/>
      </w:divBdr>
    </w:div>
    <w:div w:id="1115978875">
      <w:bodyDiv w:val="1"/>
      <w:marLeft w:val="0"/>
      <w:marRight w:val="0"/>
      <w:marTop w:val="0"/>
      <w:marBottom w:val="0"/>
      <w:divBdr>
        <w:top w:val="none" w:sz="0" w:space="0" w:color="auto"/>
        <w:left w:val="none" w:sz="0" w:space="0" w:color="auto"/>
        <w:bottom w:val="none" w:sz="0" w:space="0" w:color="auto"/>
        <w:right w:val="none" w:sz="0" w:space="0" w:color="auto"/>
      </w:divBdr>
    </w:div>
    <w:div w:id="1118373782">
      <w:bodyDiv w:val="1"/>
      <w:marLeft w:val="0"/>
      <w:marRight w:val="0"/>
      <w:marTop w:val="0"/>
      <w:marBottom w:val="0"/>
      <w:divBdr>
        <w:top w:val="none" w:sz="0" w:space="0" w:color="auto"/>
        <w:left w:val="none" w:sz="0" w:space="0" w:color="auto"/>
        <w:bottom w:val="none" w:sz="0" w:space="0" w:color="auto"/>
        <w:right w:val="none" w:sz="0" w:space="0" w:color="auto"/>
      </w:divBdr>
    </w:div>
    <w:div w:id="1119496289">
      <w:bodyDiv w:val="1"/>
      <w:marLeft w:val="0"/>
      <w:marRight w:val="0"/>
      <w:marTop w:val="0"/>
      <w:marBottom w:val="0"/>
      <w:divBdr>
        <w:top w:val="none" w:sz="0" w:space="0" w:color="auto"/>
        <w:left w:val="none" w:sz="0" w:space="0" w:color="auto"/>
        <w:bottom w:val="none" w:sz="0" w:space="0" w:color="auto"/>
        <w:right w:val="none" w:sz="0" w:space="0" w:color="auto"/>
      </w:divBdr>
    </w:div>
    <w:div w:id="1120496854">
      <w:bodyDiv w:val="1"/>
      <w:marLeft w:val="0"/>
      <w:marRight w:val="0"/>
      <w:marTop w:val="0"/>
      <w:marBottom w:val="0"/>
      <w:divBdr>
        <w:top w:val="none" w:sz="0" w:space="0" w:color="auto"/>
        <w:left w:val="none" w:sz="0" w:space="0" w:color="auto"/>
        <w:bottom w:val="none" w:sz="0" w:space="0" w:color="auto"/>
        <w:right w:val="none" w:sz="0" w:space="0" w:color="auto"/>
      </w:divBdr>
    </w:div>
    <w:div w:id="1124155472">
      <w:bodyDiv w:val="1"/>
      <w:marLeft w:val="0"/>
      <w:marRight w:val="0"/>
      <w:marTop w:val="0"/>
      <w:marBottom w:val="0"/>
      <w:divBdr>
        <w:top w:val="none" w:sz="0" w:space="0" w:color="auto"/>
        <w:left w:val="none" w:sz="0" w:space="0" w:color="auto"/>
        <w:bottom w:val="none" w:sz="0" w:space="0" w:color="auto"/>
        <w:right w:val="none" w:sz="0" w:space="0" w:color="auto"/>
      </w:divBdr>
    </w:div>
    <w:div w:id="1127239243">
      <w:bodyDiv w:val="1"/>
      <w:marLeft w:val="0"/>
      <w:marRight w:val="0"/>
      <w:marTop w:val="0"/>
      <w:marBottom w:val="0"/>
      <w:divBdr>
        <w:top w:val="none" w:sz="0" w:space="0" w:color="auto"/>
        <w:left w:val="none" w:sz="0" w:space="0" w:color="auto"/>
        <w:bottom w:val="none" w:sz="0" w:space="0" w:color="auto"/>
        <w:right w:val="none" w:sz="0" w:space="0" w:color="auto"/>
      </w:divBdr>
    </w:div>
    <w:div w:id="1129281690">
      <w:bodyDiv w:val="1"/>
      <w:marLeft w:val="0"/>
      <w:marRight w:val="0"/>
      <w:marTop w:val="0"/>
      <w:marBottom w:val="0"/>
      <w:divBdr>
        <w:top w:val="none" w:sz="0" w:space="0" w:color="auto"/>
        <w:left w:val="none" w:sz="0" w:space="0" w:color="auto"/>
        <w:bottom w:val="none" w:sz="0" w:space="0" w:color="auto"/>
        <w:right w:val="none" w:sz="0" w:space="0" w:color="auto"/>
      </w:divBdr>
    </w:div>
    <w:div w:id="1129784742">
      <w:bodyDiv w:val="1"/>
      <w:marLeft w:val="0"/>
      <w:marRight w:val="0"/>
      <w:marTop w:val="0"/>
      <w:marBottom w:val="0"/>
      <w:divBdr>
        <w:top w:val="none" w:sz="0" w:space="0" w:color="auto"/>
        <w:left w:val="none" w:sz="0" w:space="0" w:color="auto"/>
        <w:bottom w:val="none" w:sz="0" w:space="0" w:color="auto"/>
        <w:right w:val="none" w:sz="0" w:space="0" w:color="auto"/>
      </w:divBdr>
    </w:div>
    <w:div w:id="1130053091">
      <w:bodyDiv w:val="1"/>
      <w:marLeft w:val="0"/>
      <w:marRight w:val="0"/>
      <w:marTop w:val="0"/>
      <w:marBottom w:val="0"/>
      <w:divBdr>
        <w:top w:val="none" w:sz="0" w:space="0" w:color="auto"/>
        <w:left w:val="none" w:sz="0" w:space="0" w:color="auto"/>
        <w:bottom w:val="none" w:sz="0" w:space="0" w:color="auto"/>
        <w:right w:val="none" w:sz="0" w:space="0" w:color="auto"/>
      </w:divBdr>
    </w:div>
    <w:div w:id="1130781476">
      <w:bodyDiv w:val="1"/>
      <w:marLeft w:val="0"/>
      <w:marRight w:val="0"/>
      <w:marTop w:val="0"/>
      <w:marBottom w:val="0"/>
      <w:divBdr>
        <w:top w:val="none" w:sz="0" w:space="0" w:color="auto"/>
        <w:left w:val="none" w:sz="0" w:space="0" w:color="auto"/>
        <w:bottom w:val="none" w:sz="0" w:space="0" w:color="auto"/>
        <w:right w:val="none" w:sz="0" w:space="0" w:color="auto"/>
      </w:divBdr>
    </w:div>
    <w:div w:id="1132597949">
      <w:bodyDiv w:val="1"/>
      <w:marLeft w:val="0"/>
      <w:marRight w:val="0"/>
      <w:marTop w:val="0"/>
      <w:marBottom w:val="0"/>
      <w:divBdr>
        <w:top w:val="none" w:sz="0" w:space="0" w:color="auto"/>
        <w:left w:val="none" w:sz="0" w:space="0" w:color="auto"/>
        <w:bottom w:val="none" w:sz="0" w:space="0" w:color="auto"/>
        <w:right w:val="none" w:sz="0" w:space="0" w:color="auto"/>
      </w:divBdr>
    </w:div>
    <w:div w:id="1133868920">
      <w:bodyDiv w:val="1"/>
      <w:marLeft w:val="0"/>
      <w:marRight w:val="0"/>
      <w:marTop w:val="0"/>
      <w:marBottom w:val="0"/>
      <w:divBdr>
        <w:top w:val="none" w:sz="0" w:space="0" w:color="auto"/>
        <w:left w:val="none" w:sz="0" w:space="0" w:color="auto"/>
        <w:bottom w:val="none" w:sz="0" w:space="0" w:color="auto"/>
        <w:right w:val="none" w:sz="0" w:space="0" w:color="auto"/>
      </w:divBdr>
    </w:div>
    <w:div w:id="1135030360">
      <w:bodyDiv w:val="1"/>
      <w:marLeft w:val="0"/>
      <w:marRight w:val="0"/>
      <w:marTop w:val="0"/>
      <w:marBottom w:val="0"/>
      <w:divBdr>
        <w:top w:val="none" w:sz="0" w:space="0" w:color="auto"/>
        <w:left w:val="none" w:sz="0" w:space="0" w:color="auto"/>
        <w:bottom w:val="none" w:sz="0" w:space="0" w:color="auto"/>
        <w:right w:val="none" w:sz="0" w:space="0" w:color="auto"/>
      </w:divBdr>
    </w:div>
    <w:div w:id="1136029073">
      <w:bodyDiv w:val="1"/>
      <w:marLeft w:val="0"/>
      <w:marRight w:val="0"/>
      <w:marTop w:val="0"/>
      <w:marBottom w:val="0"/>
      <w:divBdr>
        <w:top w:val="none" w:sz="0" w:space="0" w:color="auto"/>
        <w:left w:val="none" w:sz="0" w:space="0" w:color="auto"/>
        <w:bottom w:val="none" w:sz="0" w:space="0" w:color="auto"/>
        <w:right w:val="none" w:sz="0" w:space="0" w:color="auto"/>
      </w:divBdr>
    </w:div>
    <w:div w:id="1136527890">
      <w:bodyDiv w:val="1"/>
      <w:marLeft w:val="0"/>
      <w:marRight w:val="0"/>
      <w:marTop w:val="0"/>
      <w:marBottom w:val="0"/>
      <w:divBdr>
        <w:top w:val="none" w:sz="0" w:space="0" w:color="auto"/>
        <w:left w:val="none" w:sz="0" w:space="0" w:color="auto"/>
        <w:bottom w:val="none" w:sz="0" w:space="0" w:color="auto"/>
        <w:right w:val="none" w:sz="0" w:space="0" w:color="auto"/>
      </w:divBdr>
    </w:div>
    <w:div w:id="1138451953">
      <w:bodyDiv w:val="1"/>
      <w:marLeft w:val="0"/>
      <w:marRight w:val="0"/>
      <w:marTop w:val="0"/>
      <w:marBottom w:val="0"/>
      <w:divBdr>
        <w:top w:val="none" w:sz="0" w:space="0" w:color="auto"/>
        <w:left w:val="none" w:sz="0" w:space="0" w:color="auto"/>
        <w:bottom w:val="none" w:sz="0" w:space="0" w:color="auto"/>
        <w:right w:val="none" w:sz="0" w:space="0" w:color="auto"/>
      </w:divBdr>
    </w:div>
    <w:div w:id="1138493387">
      <w:bodyDiv w:val="1"/>
      <w:marLeft w:val="0"/>
      <w:marRight w:val="0"/>
      <w:marTop w:val="0"/>
      <w:marBottom w:val="0"/>
      <w:divBdr>
        <w:top w:val="none" w:sz="0" w:space="0" w:color="auto"/>
        <w:left w:val="none" w:sz="0" w:space="0" w:color="auto"/>
        <w:bottom w:val="none" w:sz="0" w:space="0" w:color="auto"/>
        <w:right w:val="none" w:sz="0" w:space="0" w:color="auto"/>
      </w:divBdr>
    </w:div>
    <w:div w:id="1138497699">
      <w:bodyDiv w:val="1"/>
      <w:marLeft w:val="0"/>
      <w:marRight w:val="0"/>
      <w:marTop w:val="0"/>
      <w:marBottom w:val="0"/>
      <w:divBdr>
        <w:top w:val="none" w:sz="0" w:space="0" w:color="auto"/>
        <w:left w:val="none" w:sz="0" w:space="0" w:color="auto"/>
        <w:bottom w:val="none" w:sz="0" w:space="0" w:color="auto"/>
        <w:right w:val="none" w:sz="0" w:space="0" w:color="auto"/>
      </w:divBdr>
    </w:div>
    <w:div w:id="1139759738">
      <w:bodyDiv w:val="1"/>
      <w:marLeft w:val="0"/>
      <w:marRight w:val="0"/>
      <w:marTop w:val="0"/>
      <w:marBottom w:val="0"/>
      <w:divBdr>
        <w:top w:val="none" w:sz="0" w:space="0" w:color="auto"/>
        <w:left w:val="none" w:sz="0" w:space="0" w:color="auto"/>
        <w:bottom w:val="none" w:sz="0" w:space="0" w:color="auto"/>
        <w:right w:val="none" w:sz="0" w:space="0" w:color="auto"/>
      </w:divBdr>
    </w:div>
    <w:div w:id="1141845917">
      <w:bodyDiv w:val="1"/>
      <w:marLeft w:val="0"/>
      <w:marRight w:val="0"/>
      <w:marTop w:val="0"/>
      <w:marBottom w:val="0"/>
      <w:divBdr>
        <w:top w:val="none" w:sz="0" w:space="0" w:color="auto"/>
        <w:left w:val="none" w:sz="0" w:space="0" w:color="auto"/>
        <w:bottom w:val="none" w:sz="0" w:space="0" w:color="auto"/>
        <w:right w:val="none" w:sz="0" w:space="0" w:color="auto"/>
      </w:divBdr>
    </w:div>
    <w:div w:id="1142960981">
      <w:bodyDiv w:val="1"/>
      <w:marLeft w:val="0"/>
      <w:marRight w:val="0"/>
      <w:marTop w:val="0"/>
      <w:marBottom w:val="0"/>
      <w:divBdr>
        <w:top w:val="none" w:sz="0" w:space="0" w:color="auto"/>
        <w:left w:val="none" w:sz="0" w:space="0" w:color="auto"/>
        <w:bottom w:val="none" w:sz="0" w:space="0" w:color="auto"/>
        <w:right w:val="none" w:sz="0" w:space="0" w:color="auto"/>
      </w:divBdr>
    </w:div>
    <w:div w:id="1143425242">
      <w:bodyDiv w:val="1"/>
      <w:marLeft w:val="0"/>
      <w:marRight w:val="0"/>
      <w:marTop w:val="0"/>
      <w:marBottom w:val="0"/>
      <w:divBdr>
        <w:top w:val="none" w:sz="0" w:space="0" w:color="auto"/>
        <w:left w:val="none" w:sz="0" w:space="0" w:color="auto"/>
        <w:bottom w:val="none" w:sz="0" w:space="0" w:color="auto"/>
        <w:right w:val="none" w:sz="0" w:space="0" w:color="auto"/>
      </w:divBdr>
    </w:div>
    <w:div w:id="1147281194">
      <w:bodyDiv w:val="1"/>
      <w:marLeft w:val="0"/>
      <w:marRight w:val="0"/>
      <w:marTop w:val="0"/>
      <w:marBottom w:val="0"/>
      <w:divBdr>
        <w:top w:val="none" w:sz="0" w:space="0" w:color="auto"/>
        <w:left w:val="none" w:sz="0" w:space="0" w:color="auto"/>
        <w:bottom w:val="none" w:sz="0" w:space="0" w:color="auto"/>
        <w:right w:val="none" w:sz="0" w:space="0" w:color="auto"/>
      </w:divBdr>
    </w:div>
    <w:div w:id="1153378216">
      <w:bodyDiv w:val="1"/>
      <w:marLeft w:val="0"/>
      <w:marRight w:val="0"/>
      <w:marTop w:val="0"/>
      <w:marBottom w:val="0"/>
      <w:divBdr>
        <w:top w:val="none" w:sz="0" w:space="0" w:color="auto"/>
        <w:left w:val="none" w:sz="0" w:space="0" w:color="auto"/>
        <w:bottom w:val="none" w:sz="0" w:space="0" w:color="auto"/>
        <w:right w:val="none" w:sz="0" w:space="0" w:color="auto"/>
      </w:divBdr>
    </w:div>
    <w:div w:id="1153788753">
      <w:bodyDiv w:val="1"/>
      <w:marLeft w:val="0"/>
      <w:marRight w:val="0"/>
      <w:marTop w:val="0"/>
      <w:marBottom w:val="0"/>
      <w:divBdr>
        <w:top w:val="none" w:sz="0" w:space="0" w:color="auto"/>
        <w:left w:val="none" w:sz="0" w:space="0" w:color="auto"/>
        <w:bottom w:val="none" w:sz="0" w:space="0" w:color="auto"/>
        <w:right w:val="none" w:sz="0" w:space="0" w:color="auto"/>
      </w:divBdr>
    </w:div>
    <w:div w:id="1154755464">
      <w:bodyDiv w:val="1"/>
      <w:marLeft w:val="0"/>
      <w:marRight w:val="0"/>
      <w:marTop w:val="0"/>
      <w:marBottom w:val="0"/>
      <w:divBdr>
        <w:top w:val="none" w:sz="0" w:space="0" w:color="auto"/>
        <w:left w:val="none" w:sz="0" w:space="0" w:color="auto"/>
        <w:bottom w:val="none" w:sz="0" w:space="0" w:color="auto"/>
        <w:right w:val="none" w:sz="0" w:space="0" w:color="auto"/>
      </w:divBdr>
    </w:div>
    <w:div w:id="1154907198">
      <w:bodyDiv w:val="1"/>
      <w:marLeft w:val="0"/>
      <w:marRight w:val="0"/>
      <w:marTop w:val="0"/>
      <w:marBottom w:val="0"/>
      <w:divBdr>
        <w:top w:val="none" w:sz="0" w:space="0" w:color="auto"/>
        <w:left w:val="none" w:sz="0" w:space="0" w:color="auto"/>
        <w:bottom w:val="none" w:sz="0" w:space="0" w:color="auto"/>
        <w:right w:val="none" w:sz="0" w:space="0" w:color="auto"/>
      </w:divBdr>
    </w:div>
    <w:div w:id="1155489644">
      <w:bodyDiv w:val="1"/>
      <w:marLeft w:val="0"/>
      <w:marRight w:val="0"/>
      <w:marTop w:val="0"/>
      <w:marBottom w:val="0"/>
      <w:divBdr>
        <w:top w:val="none" w:sz="0" w:space="0" w:color="auto"/>
        <w:left w:val="none" w:sz="0" w:space="0" w:color="auto"/>
        <w:bottom w:val="none" w:sz="0" w:space="0" w:color="auto"/>
        <w:right w:val="none" w:sz="0" w:space="0" w:color="auto"/>
      </w:divBdr>
    </w:div>
    <w:div w:id="1157111943">
      <w:bodyDiv w:val="1"/>
      <w:marLeft w:val="0"/>
      <w:marRight w:val="0"/>
      <w:marTop w:val="0"/>
      <w:marBottom w:val="0"/>
      <w:divBdr>
        <w:top w:val="none" w:sz="0" w:space="0" w:color="auto"/>
        <w:left w:val="none" w:sz="0" w:space="0" w:color="auto"/>
        <w:bottom w:val="none" w:sz="0" w:space="0" w:color="auto"/>
        <w:right w:val="none" w:sz="0" w:space="0" w:color="auto"/>
      </w:divBdr>
    </w:div>
    <w:div w:id="1157460728">
      <w:bodyDiv w:val="1"/>
      <w:marLeft w:val="0"/>
      <w:marRight w:val="0"/>
      <w:marTop w:val="0"/>
      <w:marBottom w:val="0"/>
      <w:divBdr>
        <w:top w:val="none" w:sz="0" w:space="0" w:color="auto"/>
        <w:left w:val="none" w:sz="0" w:space="0" w:color="auto"/>
        <w:bottom w:val="none" w:sz="0" w:space="0" w:color="auto"/>
        <w:right w:val="none" w:sz="0" w:space="0" w:color="auto"/>
      </w:divBdr>
    </w:div>
    <w:div w:id="1159148415">
      <w:bodyDiv w:val="1"/>
      <w:marLeft w:val="0"/>
      <w:marRight w:val="0"/>
      <w:marTop w:val="0"/>
      <w:marBottom w:val="0"/>
      <w:divBdr>
        <w:top w:val="none" w:sz="0" w:space="0" w:color="auto"/>
        <w:left w:val="none" w:sz="0" w:space="0" w:color="auto"/>
        <w:bottom w:val="none" w:sz="0" w:space="0" w:color="auto"/>
        <w:right w:val="none" w:sz="0" w:space="0" w:color="auto"/>
      </w:divBdr>
    </w:div>
    <w:div w:id="1166752610">
      <w:bodyDiv w:val="1"/>
      <w:marLeft w:val="0"/>
      <w:marRight w:val="0"/>
      <w:marTop w:val="0"/>
      <w:marBottom w:val="0"/>
      <w:divBdr>
        <w:top w:val="none" w:sz="0" w:space="0" w:color="auto"/>
        <w:left w:val="none" w:sz="0" w:space="0" w:color="auto"/>
        <w:bottom w:val="none" w:sz="0" w:space="0" w:color="auto"/>
        <w:right w:val="none" w:sz="0" w:space="0" w:color="auto"/>
      </w:divBdr>
    </w:div>
    <w:div w:id="1168670540">
      <w:bodyDiv w:val="1"/>
      <w:marLeft w:val="0"/>
      <w:marRight w:val="0"/>
      <w:marTop w:val="0"/>
      <w:marBottom w:val="0"/>
      <w:divBdr>
        <w:top w:val="none" w:sz="0" w:space="0" w:color="auto"/>
        <w:left w:val="none" w:sz="0" w:space="0" w:color="auto"/>
        <w:bottom w:val="none" w:sz="0" w:space="0" w:color="auto"/>
        <w:right w:val="none" w:sz="0" w:space="0" w:color="auto"/>
      </w:divBdr>
    </w:div>
    <w:div w:id="1172985404">
      <w:bodyDiv w:val="1"/>
      <w:marLeft w:val="0"/>
      <w:marRight w:val="0"/>
      <w:marTop w:val="0"/>
      <w:marBottom w:val="0"/>
      <w:divBdr>
        <w:top w:val="none" w:sz="0" w:space="0" w:color="auto"/>
        <w:left w:val="none" w:sz="0" w:space="0" w:color="auto"/>
        <w:bottom w:val="none" w:sz="0" w:space="0" w:color="auto"/>
        <w:right w:val="none" w:sz="0" w:space="0" w:color="auto"/>
      </w:divBdr>
    </w:div>
    <w:div w:id="1175077021">
      <w:bodyDiv w:val="1"/>
      <w:marLeft w:val="0"/>
      <w:marRight w:val="0"/>
      <w:marTop w:val="0"/>
      <w:marBottom w:val="0"/>
      <w:divBdr>
        <w:top w:val="none" w:sz="0" w:space="0" w:color="auto"/>
        <w:left w:val="none" w:sz="0" w:space="0" w:color="auto"/>
        <w:bottom w:val="none" w:sz="0" w:space="0" w:color="auto"/>
        <w:right w:val="none" w:sz="0" w:space="0" w:color="auto"/>
      </w:divBdr>
    </w:div>
    <w:div w:id="1175993580">
      <w:bodyDiv w:val="1"/>
      <w:marLeft w:val="0"/>
      <w:marRight w:val="0"/>
      <w:marTop w:val="0"/>
      <w:marBottom w:val="0"/>
      <w:divBdr>
        <w:top w:val="none" w:sz="0" w:space="0" w:color="auto"/>
        <w:left w:val="none" w:sz="0" w:space="0" w:color="auto"/>
        <w:bottom w:val="none" w:sz="0" w:space="0" w:color="auto"/>
        <w:right w:val="none" w:sz="0" w:space="0" w:color="auto"/>
      </w:divBdr>
    </w:div>
    <w:div w:id="1176380379">
      <w:bodyDiv w:val="1"/>
      <w:marLeft w:val="0"/>
      <w:marRight w:val="0"/>
      <w:marTop w:val="0"/>
      <w:marBottom w:val="0"/>
      <w:divBdr>
        <w:top w:val="none" w:sz="0" w:space="0" w:color="auto"/>
        <w:left w:val="none" w:sz="0" w:space="0" w:color="auto"/>
        <w:bottom w:val="none" w:sz="0" w:space="0" w:color="auto"/>
        <w:right w:val="none" w:sz="0" w:space="0" w:color="auto"/>
      </w:divBdr>
    </w:div>
    <w:div w:id="1177232674">
      <w:bodyDiv w:val="1"/>
      <w:marLeft w:val="0"/>
      <w:marRight w:val="0"/>
      <w:marTop w:val="0"/>
      <w:marBottom w:val="0"/>
      <w:divBdr>
        <w:top w:val="none" w:sz="0" w:space="0" w:color="auto"/>
        <w:left w:val="none" w:sz="0" w:space="0" w:color="auto"/>
        <w:bottom w:val="none" w:sz="0" w:space="0" w:color="auto"/>
        <w:right w:val="none" w:sz="0" w:space="0" w:color="auto"/>
      </w:divBdr>
    </w:div>
    <w:div w:id="1179544524">
      <w:bodyDiv w:val="1"/>
      <w:marLeft w:val="0"/>
      <w:marRight w:val="0"/>
      <w:marTop w:val="0"/>
      <w:marBottom w:val="0"/>
      <w:divBdr>
        <w:top w:val="none" w:sz="0" w:space="0" w:color="auto"/>
        <w:left w:val="none" w:sz="0" w:space="0" w:color="auto"/>
        <w:bottom w:val="none" w:sz="0" w:space="0" w:color="auto"/>
        <w:right w:val="none" w:sz="0" w:space="0" w:color="auto"/>
      </w:divBdr>
    </w:div>
    <w:div w:id="1182554236">
      <w:bodyDiv w:val="1"/>
      <w:marLeft w:val="0"/>
      <w:marRight w:val="0"/>
      <w:marTop w:val="0"/>
      <w:marBottom w:val="0"/>
      <w:divBdr>
        <w:top w:val="none" w:sz="0" w:space="0" w:color="auto"/>
        <w:left w:val="none" w:sz="0" w:space="0" w:color="auto"/>
        <w:bottom w:val="none" w:sz="0" w:space="0" w:color="auto"/>
        <w:right w:val="none" w:sz="0" w:space="0" w:color="auto"/>
      </w:divBdr>
    </w:div>
    <w:div w:id="1183010666">
      <w:bodyDiv w:val="1"/>
      <w:marLeft w:val="0"/>
      <w:marRight w:val="0"/>
      <w:marTop w:val="0"/>
      <w:marBottom w:val="0"/>
      <w:divBdr>
        <w:top w:val="none" w:sz="0" w:space="0" w:color="auto"/>
        <w:left w:val="none" w:sz="0" w:space="0" w:color="auto"/>
        <w:bottom w:val="none" w:sz="0" w:space="0" w:color="auto"/>
        <w:right w:val="none" w:sz="0" w:space="0" w:color="auto"/>
      </w:divBdr>
    </w:div>
    <w:div w:id="1183282226">
      <w:bodyDiv w:val="1"/>
      <w:marLeft w:val="0"/>
      <w:marRight w:val="0"/>
      <w:marTop w:val="0"/>
      <w:marBottom w:val="0"/>
      <w:divBdr>
        <w:top w:val="none" w:sz="0" w:space="0" w:color="auto"/>
        <w:left w:val="none" w:sz="0" w:space="0" w:color="auto"/>
        <w:bottom w:val="none" w:sz="0" w:space="0" w:color="auto"/>
        <w:right w:val="none" w:sz="0" w:space="0" w:color="auto"/>
      </w:divBdr>
    </w:div>
    <w:div w:id="1184782831">
      <w:bodyDiv w:val="1"/>
      <w:marLeft w:val="0"/>
      <w:marRight w:val="0"/>
      <w:marTop w:val="0"/>
      <w:marBottom w:val="0"/>
      <w:divBdr>
        <w:top w:val="none" w:sz="0" w:space="0" w:color="auto"/>
        <w:left w:val="none" w:sz="0" w:space="0" w:color="auto"/>
        <w:bottom w:val="none" w:sz="0" w:space="0" w:color="auto"/>
        <w:right w:val="none" w:sz="0" w:space="0" w:color="auto"/>
      </w:divBdr>
    </w:div>
    <w:div w:id="1186557957">
      <w:bodyDiv w:val="1"/>
      <w:marLeft w:val="0"/>
      <w:marRight w:val="0"/>
      <w:marTop w:val="0"/>
      <w:marBottom w:val="0"/>
      <w:divBdr>
        <w:top w:val="none" w:sz="0" w:space="0" w:color="auto"/>
        <w:left w:val="none" w:sz="0" w:space="0" w:color="auto"/>
        <w:bottom w:val="none" w:sz="0" w:space="0" w:color="auto"/>
        <w:right w:val="none" w:sz="0" w:space="0" w:color="auto"/>
      </w:divBdr>
    </w:div>
    <w:div w:id="1190149071">
      <w:bodyDiv w:val="1"/>
      <w:marLeft w:val="0"/>
      <w:marRight w:val="0"/>
      <w:marTop w:val="0"/>
      <w:marBottom w:val="0"/>
      <w:divBdr>
        <w:top w:val="none" w:sz="0" w:space="0" w:color="auto"/>
        <w:left w:val="none" w:sz="0" w:space="0" w:color="auto"/>
        <w:bottom w:val="none" w:sz="0" w:space="0" w:color="auto"/>
        <w:right w:val="none" w:sz="0" w:space="0" w:color="auto"/>
      </w:divBdr>
    </w:div>
    <w:div w:id="1191917067">
      <w:bodyDiv w:val="1"/>
      <w:marLeft w:val="0"/>
      <w:marRight w:val="0"/>
      <w:marTop w:val="0"/>
      <w:marBottom w:val="0"/>
      <w:divBdr>
        <w:top w:val="none" w:sz="0" w:space="0" w:color="auto"/>
        <w:left w:val="none" w:sz="0" w:space="0" w:color="auto"/>
        <w:bottom w:val="none" w:sz="0" w:space="0" w:color="auto"/>
        <w:right w:val="none" w:sz="0" w:space="0" w:color="auto"/>
      </w:divBdr>
    </w:div>
    <w:div w:id="1197160462">
      <w:bodyDiv w:val="1"/>
      <w:marLeft w:val="0"/>
      <w:marRight w:val="0"/>
      <w:marTop w:val="0"/>
      <w:marBottom w:val="0"/>
      <w:divBdr>
        <w:top w:val="none" w:sz="0" w:space="0" w:color="auto"/>
        <w:left w:val="none" w:sz="0" w:space="0" w:color="auto"/>
        <w:bottom w:val="none" w:sz="0" w:space="0" w:color="auto"/>
        <w:right w:val="none" w:sz="0" w:space="0" w:color="auto"/>
      </w:divBdr>
    </w:div>
    <w:div w:id="1200046983">
      <w:bodyDiv w:val="1"/>
      <w:marLeft w:val="0"/>
      <w:marRight w:val="0"/>
      <w:marTop w:val="0"/>
      <w:marBottom w:val="0"/>
      <w:divBdr>
        <w:top w:val="none" w:sz="0" w:space="0" w:color="auto"/>
        <w:left w:val="none" w:sz="0" w:space="0" w:color="auto"/>
        <w:bottom w:val="none" w:sz="0" w:space="0" w:color="auto"/>
        <w:right w:val="none" w:sz="0" w:space="0" w:color="auto"/>
      </w:divBdr>
    </w:div>
    <w:div w:id="1200510669">
      <w:bodyDiv w:val="1"/>
      <w:marLeft w:val="0"/>
      <w:marRight w:val="0"/>
      <w:marTop w:val="0"/>
      <w:marBottom w:val="0"/>
      <w:divBdr>
        <w:top w:val="none" w:sz="0" w:space="0" w:color="auto"/>
        <w:left w:val="none" w:sz="0" w:space="0" w:color="auto"/>
        <w:bottom w:val="none" w:sz="0" w:space="0" w:color="auto"/>
        <w:right w:val="none" w:sz="0" w:space="0" w:color="auto"/>
      </w:divBdr>
    </w:div>
    <w:div w:id="1201284551">
      <w:bodyDiv w:val="1"/>
      <w:marLeft w:val="0"/>
      <w:marRight w:val="0"/>
      <w:marTop w:val="0"/>
      <w:marBottom w:val="0"/>
      <w:divBdr>
        <w:top w:val="none" w:sz="0" w:space="0" w:color="auto"/>
        <w:left w:val="none" w:sz="0" w:space="0" w:color="auto"/>
        <w:bottom w:val="none" w:sz="0" w:space="0" w:color="auto"/>
        <w:right w:val="none" w:sz="0" w:space="0" w:color="auto"/>
      </w:divBdr>
    </w:div>
    <w:div w:id="1201631540">
      <w:bodyDiv w:val="1"/>
      <w:marLeft w:val="0"/>
      <w:marRight w:val="0"/>
      <w:marTop w:val="0"/>
      <w:marBottom w:val="0"/>
      <w:divBdr>
        <w:top w:val="none" w:sz="0" w:space="0" w:color="auto"/>
        <w:left w:val="none" w:sz="0" w:space="0" w:color="auto"/>
        <w:bottom w:val="none" w:sz="0" w:space="0" w:color="auto"/>
        <w:right w:val="none" w:sz="0" w:space="0" w:color="auto"/>
      </w:divBdr>
    </w:div>
    <w:div w:id="1203130193">
      <w:bodyDiv w:val="1"/>
      <w:marLeft w:val="0"/>
      <w:marRight w:val="0"/>
      <w:marTop w:val="0"/>
      <w:marBottom w:val="0"/>
      <w:divBdr>
        <w:top w:val="none" w:sz="0" w:space="0" w:color="auto"/>
        <w:left w:val="none" w:sz="0" w:space="0" w:color="auto"/>
        <w:bottom w:val="none" w:sz="0" w:space="0" w:color="auto"/>
        <w:right w:val="none" w:sz="0" w:space="0" w:color="auto"/>
      </w:divBdr>
    </w:div>
    <w:div w:id="1203251249">
      <w:bodyDiv w:val="1"/>
      <w:marLeft w:val="0"/>
      <w:marRight w:val="0"/>
      <w:marTop w:val="0"/>
      <w:marBottom w:val="0"/>
      <w:divBdr>
        <w:top w:val="none" w:sz="0" w:space="0" w:color="auto"/>
        <w:left w:val="none" w:sz="0" w:space="0" w:color="auto"/>
        <w:bottom w:val="none" w:sz="0" w:space="0" w:color="auto"/>
        <w:right w:val="none" w:sz="0" w:space="0" w:color="auto"/>
      </w:divBdr>
    </w:div>
    <w:div w:id="1204170132">
      <w:bodyDiv w:val="1"/>
      <w:marLeft w:val="0"/>
      <w:marRight w:val="0"/>
      <w:marTop w:val="0"/>
      <w:marBottom w:val="0"/>
      <w:divBdr>
        <w:top w:val="none" w:sz="0" w:space="0" w:color="auto"/>
        <w:left w:val="none" w:sz="0" w:space="0" w:color="auto"/>
        <w:bottom w:val="none" w:sz="0" w:space="0" w:color="auto"/>
        <w:right w:val="none" w:sz="0" w:space="0" w:color="auto"/>
      </w:divBdr>
    </w:div>
    <w:div w:id="1205141536">
      <w:bodyDiv w:val="1"/>
      <w:marLeft w:val="0"/>
      <w:marRight w:val="0"/>
      <w:marTop w:val="0"/>
      <w:marBottom w:val="0"/>
      <w:divBdr>
        <w:top w:val="none" w:sz="0" w:space="0" w:color="auto"/>
        <w:left w:val="none" w:sz="0" w:space="0" w:color="auto"/>
        <w:bottom w:val="none" w:sz="0" w:space="0" w:color="auto"/>
        <w:right w:val="none" w:sz="0" w:space="0" w:color="auto"/>
      </w:divBdr>
    </w:div>
    <w:div w:id="1209992722">
      <w:bodyDiv w:val="1"/>
      <w:marLeft w:val="0"/>
      <w:marRight w:val="0"/>
      <w:marTop w:val="0"/>
      <w:marBottom w:val="0"/>
      <w:divBdr>
        <w:top w:val="none" w:sz="0" w:space="0" w:color="auto"/>
        <w:left w:val="none" w:sz="0" w:space="0" w:color="auto"/>
        <w:bottom w:val="none" w:sz="0" w:space="0" w:color="auto"/>
        <w:right w:val="none" w:sz="0" w:space="0" w:color="auto"/>
      </w:divBdr>
    </w:div>
    <w:div w:id="1212303500">
      <w:bodyDiv w:val="1"/>
      <w:marLeft w:val="0"/>
      <w:marRight w:val="0"/>
      <w:marTop w:val="0"/>
      <w:marBottom w:val="0"/>
      <w:divBdr>
        <w:top w:val="none" w:sz="0" w:space="0" w:color="auto"/>
        <w:left w:val="none" w:sz="0" w:space="0" w:color="auto"/>
        <w:bottom w:val="none" w:sz="0" w:space="0" w:color="auto"/>
        <w:right w:val="none" w:sz="0" w:space="0" w:color="auto"/>
      </w:divBdr>
    </w:div>
    <w:div w:id="1212810360">
      <w:bodyDiv w:val="1"/>
      <w:marLeft w:val="0"/>
      <w:marRight w:val="0"/>
      <w:marTop w:val="0"/>
      <w:marBottom w:val="0"/>
      <w:divBdr>
        <w:top w:val="none" w:sz="0" w:space="0" w:color="auto"/>
        <w:left w:val="none" w:sz="0" w:space="0" w:color="auto"/>
        <w:bottom w:val="none" w:sz="0" w:space="0" w:color="auto"/>
        <w:right w:val="none" w:sz="0" w:space="0" w:color="auto"/>
      </w:divBdr>
    </w:div>
    <w:div w:id="1213037410">
      <w:bodyDiv w:val="1"/>
      <w:marLeft w:val="0"/>
      <w:marRight w:val="0"/>
      <w:marTop w:val="0"/>
      <w:marBottom w:val="0"/>
      <w:divBdr>
        <w:top w:val="none" w:sz="0" w:space="0" w:color="auto"/>
        <w:left w:val="none" w:sz="0" w:space="0" w:color="auto"/>
        <w:bottom w:val="none" w:sz="0" w:space="0" w:color="auto"/>
        <w:right w:val="none" w:sz="0" w:space="0" w:color="auto"/>
      </w:divBdr>
    </w:div>
    <w:div w:id="1213661967">
      <w:bodyDiv w:val="1"/>
      <w:marLeft w:val="0"/>
      <w:marRight w:val="0"/>
      <w:marTop w:val="0"/>
      <w:marBottom w:val="0"/>
      <w:divBdr>
        <w:top w:val="none" w:sz="0" w:space="0" w:color="auto"/>
        <w:left w:val="none" w:sz="0" w:space="0" w:color="auto"/>
        <w:bottom w:val="none" w:sz="0" w:space="0" w:color="auto"/>
        <w:right w:val="none" w:sz="0" w:space="0" w:color="auto"/>
      </w:divBdr>
    </w:div>
    <w:div w:id="1216314074">
      <w:bodyDiv w:val="1"/>
      <w:marLeft w:val="0"/>
      <w:marRight w:val="0"/>
      <w:marTop w:val="0"/>
      <w:marBottom w:val="0"/>
      <w:divBdr>
        <w:top w:val="none" w:sz="0" w:space="0" w:color="auto"/>
        <w:left w:val="none" w:sz="0" w:space="0" w:color="auto"/>
        <w:bottom w:val="none" w:sz="0" w:space="0" w:color="auto"/>
        <w:right w:val="none" w:sz="0" w:space="0" w:color="auto"/>
      </w:divBdr>
    </w:div>
    <w:div w:id="1218123383">
      <w:bodyDiv w:val="1"/>
      <w:marLeft w:val="0"/>
      <w:marRight w:val="0"/>
      <w:marTop w:val="0"/>
      <w:marBottom w:val="0"/>
      <w:divBdr>
        <w:top w:val="none" w:sz="0" w:space="0" w:color="auto"/>
        <w:left w:val="none" w:sz="0" w:space="0" w:color="auto"/>
        <w:bottom w:val="none" w:sz="0" w:space="0" w:color="auto"/>
        <w:right w:val="none" w:sz="0" w:space="0" w:color="auto"/>
      </w:divBdr>
    </w:div>
    <w:div w:id="1219122378">
      <w:bodyDiv w:val="1"/>
      <w:marLeft w:val="0"/>
      <w:marRight w:val="0"/>
      <w:marTop w:val="0"/>
      <w:marBottom w:val="0"/>
      <w:divBdr>
        <w:top w:val="none" w:sz="0" w:space="0" w:color="auto"/>
        <w:left w:val="none" w:sz="0" w:space="0" w:color="auto"/>
        <w:bottom w:val="none" w:sz="0" w:space="0" w:color="auto"/>
        <w:right w:val="none" w:sz="0" w:space="0" w:color="auto"/>
      </w:divBdr>
    </w:div>
    <w:div w:id="1224097294">
      <w:bodyDiv w:val="1"/>
      <w:marLeft w:val="0"/>
      <w:marRight w:val="0"/>
      <w:marTop w:val="0"/>
      <w:marBottom w:val="0"/>
      <w:divBdr>
        <w:top w:val="none" w:sz="0" w:space="0" w:color="auto"/>
        <w:left w:val="none" w:sz="0" w:space="0" w:color="auto"/>
        <w:bottom w:val="none" w:sz="0" w:space="0" w:color="auto"/>
        <w:right w:val="none" w:sz="0" w:space="0" w:color="auto"/>
      </w:divBdr>
    </w:div>
    <w:div w:id="1226793415">
      <w:bodyDiv w:val="1"/>
      <w:marLeft w:val="0"/>
      <w:marRight w:val="0"/>
      <w:marTop w:val="0"/>
      <w:marBottom w:val="0"/>
      <w:divBdr>
        <w:top w:val="none" w:sz="0" w:space="0" w:color="auto"/>
        <w:left w:val="none" w:sz="0" w:space="0" w:color="auto"/>
        <w:bottom w:val="none" w:sz="0" w:space="0" w:color="auto"/>
        <w:right w:val="none" w:sz="0" w:space="0" w:color="auto"/>
      </w:divBdr>
    </w:div>
    <w:div w:id="1227574549">
      <w:bodyDiv w:val="1"/>
      <w:marLeft w:val="0"/>
      <w:marRight w:val="0"/>
      <w:marTop w:val="0"/>
      <w:marBottom w:val="0"/>
      <w:divBdr>
        <w:top w:val="none" w:sz="0" w:space="0" w:color="auto"/>
        <w:left w:val="none" w:sz="0" w:space="0" w:color="auto"/>
        <w:bottom w:val="none" w:sz="0" w:space="0" w:color="auto"/>
        <w:right w:val="none" w:sz="0" w:space="0" w:color="auto"/>
      </w:divBdr>
    </w:div>
    <w:div w:id="1228420887">
      <w:bodyDiv w:val="1"/>
      <w:marLeft w:val="0"/>
      <w:marRight w:val="0"/>
      <w:marTop w:val="0"/>
      <w:marBottom w:val="0"/>
      <w:divBdr>
        <w:top w:val="none" w:sz="0" w:space="0" w:color="auto"/>
        <w:left w:val="none" w:sz="0" w:space="0" w:color="auto"/>
        <w:bottom w:val="none" w:sz="0" w:space="0" w:color="auto"/>
        <w:right w:val="none" w:sz="0" w:space="0" w:color="auto"/>
      </w:divBdr>
    </w:div>
    <w:div w:id="1228761309">
      <w:bodyDiv w:val="1"/>
      <w:marLeft w:val="0"/>
      <w:marRight w:val="0"/>
      <w:marTop w:val="0"/>
      <w:marBottom w:val="0"/>
      <w:divBdr>
        <w:top w:val="none" w:sz="0" w:space="0" w:color="auto"/>
        <w:left w:val="none" w:sz="0" w:space="0" w:color="auto"/>
        <w:bottom w:val="none" w:sz="0" w:space="0" w:color="auto"/>
        <w:right w:val="none" w:sz="0" w:space="0" w:color="auto"/>
      </w:divBdr>
    </w:div>
    <w:div w:id="1228802287">
      <w:bodyDiv w:val="1"/>
      <w:marLeft w:val="0"/>
      <w:marRight w:val="0"/>
      <w:marTop w:val="0"/>
      <w:marBottom w:val="0"/>
      <w:divBdr>
        <w:top w:val="none" w:sz="0" w:space="0" w:color="auto"/>
        <w:left w:val="none" w:sz="0" w:space="0" w:color="auto"/>
        <w:bottom w:val="none" w:sz="0" w:space="0" w:color="auto"/>
        <w:right w:val="none" w:sz="0" w:space="0" w:color="auto"/>
      </w:divBdr>
    </w:div>
    <w:div w:id="1232883882">
      <w:bodyDiv w:val="1"/>
      <w:marLeft w:val="0"/>
      <w:marRight w:val="0"/>
      <w:marTop w:val="0"/>
      <w:marBottom w:val="0"/>
      <w:divBdr>
        <w:top w:val="none" w:sz="0" w:space="0" w:color="auto"/>
        <w:left w:val="none" w:sz="0" w:space="0" w:color="auto"/>
        <w:bottom w:val="none" w:sz="0" w:space="0" w:color="auto"/>
        <w:right w:val="none" w:sz="0" w:space="0" w:color="auto"/>
      </w:divBdr>
    </w:div>
    <w:div w:id="1234240911">
      <w:bodyDiv w:val="1"/>
      <w:marLeft w:val="0"/>
      <w:marRight w:val="0"/>
      <w:marTop w:val="0"/>
      <w:marBottom w:val="0"/>
      <w:divBdr>
        <w:top w:val="none" w:sz="0" w:space="0" w:color="auto"/>
        <w:left w:val="none" w:sz="0" w:space="0" w:color="auto"/>
        <w:bottom w:val="none" w:sz="0" w:space="0" w:color="auto"/>
        <w:right w:val="none" w:sz="0" w:space="0" w:color="auto"/>
      </w:divBdr>
    </w:div>
    <w:div w:id="1234586240">
      <w:bodyDiv w:val="1"/>
      <w:marLeft w:val="0"/>
      <w:marRight w:val="0"/>
      <w:marTop w:val="0"/>
      <w:marBottom w:val="0"/>
      <w:divBdr>
        <w:top w:val="none" w:sz="0" w:space="0" w:color="auto"/>
        <w:left w:val="none" w:sz="0" w:space="0" w:color="auto"/>
        <w:bottom w:val="none" w:sz="0" w:space="0" w:color="auto"/>
        <w:right w:val="none" w:sz="0" w:space="0" w:color="auto"/>
      </w:divBdr>
    </w:div>
    <w:div w:id="1235093447">
      <w:bodyDiv w:val="1"/>
      <w:marLeft w:val="0"/>
      <w:marRight w:val="0"/>
      <w:marTop w:val="0"/>
      <w:marBottom w:val="0"/>
      <w:divBdr>
        <w:top w:val="none" w:sz="0" w:space="0" w:color="auto"/>
        <w:left w:val="none" w:sz="0" w:space="0" w:color="auto"/>
        <w:bottom w:val="none" w:sz="0" w:space="0" w:color="auto"/>
        <w:right w:val="none" w:sz="0" w:space="0" w:color="auto"/>
      </w:divBdr>
    </w:div>
    <w:div w:id="1235628740">
      <w:bodyDiv w:val="1"/>
      <w:marLeft w:val="0"/>
      <w:marRight w:val="0"/>
      <w:marTop w:val="0"/>
      <w:marBottom w:val="0"/>
      <w:divBdr>
        <w:top w:val="none" w:sz="0" w:space="0" w:color="auto"/>
        <w:left w:val="none" w:sz="0" w:space="0" w:color="auto"/>
        <w:bottom w:val="none" w:sz="0" w:space="0" w:color="auto"/>
        <w:right w:val="none" w:sz="0" w:space="0" w:color="auto"/>
      </w:divBdr>
    </w:div>
    <w:div w:id="1241139429">
      <w:bodyDiv w:val="1"/>
      <w:marLeft w:val="0"/>
      <w:marRight w:val="0"/>
      <w:marTop w:val="0"/>
      <w:marBottom w:val="0"/>
      <w:divBdr>
        <w:top w:val="none" w:sz="0" w:space="0" w:color="auto"/>
        <w:left w:val="none" w:sz="0" w:space="0" w:color="auto"/>
        <w:bottom w:val="none" w:sz="0" w:space="0" w:color="auto"/>
        <w:right w:val="none" w:sz="0" w:space="0" w:color="auto"/>
      </w:divBdr>
    </w:div>
    <w:div w:id="1243218408">
      <w:bodyDiv w:val="1"/>
      <w:marLeft w:val="0"/>
      <w:marRight w:val="0"/>
      <w:marTop w:val="0"/>
      <w:marBottom w:val="0"/>
      <w:divBdr>
        <w:top w:val="none" w:sz="0" w:space="0" w:color="auto"/>
        <w:left w:val="none" w:sz="0" w:space="0" w:color="auto"/>
        <w:bottom w:val="none" w:sz="0" w:space="0" w:color="auto"/>
        <w:right w:val="none" w:sz="0" w:space="0" w:color="auto"/>
      </w:divBdr>
    </w:div>
    <w:div w:id="1244030528">
      <w:bodyDiv w:val="1"/>
      <w:marLeft w:val="0"/>
      <w:marRight w:val="0"/>
      <w:marTop w:val="0"/>
      <w:marBottom w:val="0"/>
      <w:divBdr>
        <w:top w:val="none" w:sz="0" w:space="0" w:color="auto"/>
        <w:left w:val="none" w:sz="0" w:space="0" w:color="auto"/>
        <w:bottom w:val="none" w:sz="0" w:space="0" w:color="auto"/>
        <w:right w:val="none" w:sz="0" w:space="0" w:color="auto"/>
      </w:divBdr>
    </w:div>
    <w:div w:id="1247690913">
      <w:bodyDiv w:val="1"/>
      <w:marLeft w:val="0"/>
      <w:marRight w:val="0"/>
      <w:marTop w:val="0"/>
      <w:marBottom w:val="0"/>
      <w:divBdr>
        <w:top w:val="none" w:sz="0" w:space="0" w:color="auto"/>
        <w:left w:val="none" w:sz="0" w:space="0" w:color="auto"/>
        <w:bottom w:val="none" w:sz="0" w:space="0" w:color="auto"/>
        <w:right w:val="none" w:sz="0" w:space="0" w:color="auto"/>
      </w:divBdr>
    </w:div>
    <w:div w:id="1248151806">
      <w:bodyDiv w:val="1"/>
      <w:marLeft w:val="0"/>
      <w:marRight w:val="0"/>
      <w:marTop w:val="0"/>
      <w:marBottom w:val="0"/>
      <w:divBdr>
        <w:top w:val="none" w:sz="0" w:space="0" w:color="auto"/>
        <w:left w:val="none" w:sz="0" w:space="0" w:color="auto"/>
        <w:bottom w:val="none" w:sz="0" w:space="0" w:color="auto"/>
        <w:right w:val="none" w:sz="0" w:space="0" w:color="auto"/>
      </w:divBdr>
    </w:div>
    <w:div w:id="1250197230">
      <w:bodyDiv w:val="1"/>
      <w:marLeft w:val="0"/>
      <w:marRight w:val="0"/>
      <w:marTop w:val="0"/>
      <w:marBottom w:val="0"/>
      <w:divBdr>
        <w:top w:val="none" w:sz="0" w:space="0" w:color="auto"/>
        <w:left w:val="none" w:sz="0" w:space="0" w:color="auto"/>
        <w:bottom w:val="none" w:sz="0" w:space="0" w:color="auto"/>
        <w:right w:val="none" w:sz="0" w:space="0" w:color="auto"/>
      </w:divBdr>
    </w:div>
    <w:div w:id="1251156494">
      <w:bodyDiv w:val="1"/>
      <w:marLeft w:val="0"/>
      <w:marRight w:val="0"/>
      <w:marTop w:val="0"/>
      <w:marBottom w:val="0"/>
      <w:divBdr>
        <w:top w:val="none" w:sz="0" w:space="0" w:color="auto"/>
        <w:left w:val="none" w:sz="0" w:space="0" w:color="auto"/>
        <w:bottom w:val="none" w:sz="0" w:space="0" w:color="auto"/>
        <w:right w:val="none" w:sz="0" w:space="0" w:color="auto"/>
      </w:divBdr>
    </w:div>
    <w:div w:id="1252162568">
      <w:bodyDiv w:val="1"/>
      <w:marLeft w:val="0"/>
      <w:marRight w:val="0"/>
      <w:marTop w:val="0"/>
      <w:marBottom w:val="0"/>
      <w:divBdr>
        <w:top w:val="none" w:sz="0" w:space="0" w:color="auto"/>
        <w:left w:val="none" w:sz="0" w:space="0" w:color="auto"/>
        <w:bottom w:val="none" w:sz="0" w:space="0" w:color="auto"/>
        <w:right w:val="none" w:sz="0" w:space="0" w:color="auto"/>
      </w:divBdr>
    </w:div>
    <w:div w:id="1252469485">
      <w:bodyDiv w:val="1"/>
      <w:marLeft w:val="0"/>
      <w:marRight w:val="0"/>
      <w:marTop w:val="0"/>
      <w:marBottom w:val="0"/>
      <w:divBdr>
        <w:top w:val="none" w:sz="0" w:space="0" w:color="auto"/>
        <w:left w:val="none" w:sz="0" w:space="0" w:color="auto"/>
        <w:bottom w:val="none" w:sz="0" w:space="0" w:color="auto"/>
        <w:right w:val="none" w:sz="0" w:space="0" w:color="auto"/>
      </w:divBdr>
    </w:div>
    <w:div w:id="1255551387">
      <w:bodyDiv w:val="1"/>
      <w:marLeft w:val="0"/>
      <w:marRight w:val="0"/>
      <w:marTop w:val="0"/>
      <w:marBottom w:val="0"/>
      <w:divBdr>
        <w:top w:val="none" w:sz="0" w:space="0" w:color="auto"/>
        <w:left w:val="none" w:sz="0" w:space="0" w:color="auto"/>
        <w:bottom w:val="none" w:sz="0" w:space="0" w:color="auto"/>
        <w:right w:val="none" w:sz="0" w:space="0" w:color="auto"/>
      </w:divBdr>
    </w:div>
    <w:div w:id="1256283368">
      <w:bodyDiv w:val="1"/>
      <w:marLeft w:val="0"/>
      <w:marRight w:val="0"/>
      <w:marTop w:val="0"/>
      <w:marBottom w:val="0"/>
      <w:divBdr>
        <w:top w:val="none" w:sz="0" w:space="0" w:color="auto"/>
        <w:left w:val="none" w:sz="0" w:space="0" w:color="auto"/>
        <w:bottom w:val="none" w:sz="0" w:space="0" w:color="auto"/>
        <w:right w:val="none" w:sz="0" w:space="0" w:color="auto"/>
      </w:divBdr>
    </w:div>
    <w:div w:id="1256941027">
      <w:bodyDiv w:val="1"/>
      <w:marLeft w:val="0"/>
      <w:marRight w:val="0"/>
      <w:marTop w:val="0"/>
      <w:marBottom w:val="0"/>
      <w:divBdr>
        <w:top w:val="none" w:sz="0" w:space="0" w:color="auto"/>
        <w:left w:val="none" w:sz="0" w:space="0" w:color="auto"/>
        <w:bottom w:val="none" w:sz="0" w:space="0" w:color="auto"/>
        <w:right w:val="none" w:sz="0" w:space="0" w:color="auto"/>
      </w:divBdr>
    </w:div>
    <w:div w:id="1258900880">
      <w:bodyDiv w:val="1"/>
      <w:marLeft w:val="0"/>
      <w:marRight w:val="0"/>
      <w:marTop w:val="0"/>
      <w:marBottom w:val="0"/>
      <w:divBdr>
        <w:top w:val="none" w:sz="0" w:space="0" w:color="auto"/>
        <w:left w:val="none" w:sz="0" w:space="0" w:color="auto"/>
        <w:bottom w:val="none" w:sz="0" w:space="0" w:color="auto"/>
        <w:right w:val="none" w:sz="0" w:space="0" w:color="auto"/>
      </w:divBdr>
    </w:div>
    <w:div w:id="1260337941">
      <w:bodyDiv w:val="1"/>
      <w:marLeft w:val="0"/>
      <w:marRight w:val="0"/>
      <w:marTop w:val="0"/>
      <w:marBottom w:val="0"/>
      <w:divBdr>
        <w:top w:val="none" w:sz="0" w:space="0" w:color="auto"/>
        <w:left w:val="none" w:sz="0" w:space="0" w:color="auto"/>
        <w:bottom w:val="none" w:sz="0" w:space="0" w:color="auto"/>
        <w:right w:val="none" w:sz="0" w:space="0" w:color="auto"/>
      </w:divBdr>
    </w:div>
    <w:div w:id="1265071482">
      <w:bodyDiv w:val="1"/>
      <w:marLeft w:val="0"/>
      <w:marRight w:val="0"/>
      <w:marTop w:val="0"/>
      <w:marBottom w:val="0"/>
      <w:divBdr>
        <w:top w:val="none" w:sz="0" w:space="0" w:color="auto"/>
        <w:left w:val="none" w:sz="0" w:space="0" w:color="auto"/>
        <w:bottom w:val="none" w:sz="0" w:space="0" w:color="auto"/>
        <w:right w:val="none" w:sz="0" w:space="0" w:color="auto"/>
      </w:divBdr>
    </w:div>
    <w:div w:id="1266619919">
      <w:bodyDiv w:val="1"/>
      <w:marLeft w:val="0"/>
      <w:marRight w:val="0"/>
      <w:marTop w:val="0"/>
      <w:marBottom w:val="0"/>
      <w:divBdr>
        <w:top w:val="none" w:sz="0" w:space="0" w:color="auto"/>
        <w:left w:val="none" w:sz="0" w:space="0" w:color="auto"/>
        <w:bottom w:val="none" w:sz="0" w:space="0" w:color="auto"/>
        <w:right w:val="none" w:sz="0" w:space="0" w:color="auto"/>
      </w:divBdr>
    </w:div>
    <w:div w:id="1268467250">
      <w:bodyDiv w:val="1"/>
      <w:marLeft w:val="0"/>
      <w:marRight w:val="0"/>
      <w:marTop w:val="0"/>
      <w:marBottom w:val="0"/>
      <w:divBdr>
        <w:top w:val="none" w:sz="0" w:space="0" w:color="auto"/>
        <w:left w:val="none" w:sz="0" w:space="0" w:color="auto"/>
        <w:bottom w:val="none" w:sz="0" w:space="0" w:color="auto"/>
        <w:right w:val="none" w:sz="0" w:space="0" w:color="auto"/>
      </w:divBdr>
      <w:divsChild>
        <w:div w:id="2141461508">
          <w:marLeft w:val="0"/>
          <w:marRight w:val="0"/>
          <w:marTop w:val="144"/>
          <w:marBottom w:val="144"/>
          <w:divBdr>
            <w:top w:val="none" w:sz="0" w:space="0" w:color="auto"/>
            <w:left w:val="none" w:sz="0" w:space="0" w:color="auto"/>
            <w:bottom w:val="none" w:sz="0" w:space="0" w:color="auto"/>
            <w:right w:val="none" w:sz="0" w:space="0" w:color="auto"/>
          </w:divBdr>
        </w:div>
      </w:divsChild>
    </w:div>
    <w:div w:id="1270157658">
      <w:bodyDiv w:val="1"/>
      <w:marLeft w:val="0"/>
      <w:marRight w:val="0"/>
      <w:marTop w:val="0"/>
      <w:marBottom w:val="0"/>
      <w:divBdr>
        <w:top w:val="none" w:sz="0" w:space="0" w:color="auto"/>
        <w:left w:val="none" w:sz="0" w:space="0" w:color="auto"/>
        <w:bottom w:val="none" w:sz="0" w:space="0" w:color="auto"/>
        <w:right w:val="none" w:sz="0" w:space="0" w:color="auto"/>
      </w:divBdr>
    </w:div>
    <w:div w:id="1270285018">
      <w:bodyDiv w:val="1"/>
      <w:marLeft w:val="0"/>
      <w:marRight w:val="0"/>
      <w:marTop w:val="0"/>
      <w:marBottom w:val="0"/>
      <w:divBdr>
        <w:top w:val="none" w:sz="0" w:space="0" w:color="auto"/>
        <w:left w:val="none" w:sz="0" w:space="0" w:color="auto"/>
        <w:bottom w:val="none" w:sz="0" w:space="0" w:color="auto"/>
        <w:right w:val="none" w:sz="0" w:space="0" w:color="auto"/>
      </w:divBdr>
    </w:div>
    <w:div w:id="1271820063">
      <w:bodyDiv w:val="1"/>
      <w:marLeft w:val="0"/>
      <w:marRight w:val="0"/>
      <w:marTop w:val="0"/>
      <w:marBottom w:val="0"/>
      <w:divBdr>
        <w:top w:val="none" w:sz="0" w:space="0" w:color="auto"/>
        <w:left w:val="none" w:sz="0" w:space="0" w:color="auto"/>
        <w:bottom w:val="none" w:sz="0" w:space="0" w:color="auto"/>
        <w:right w:val="none" w:sz="0" w:space="0" w:color="auto"/>
      </w:divBdr>
    </w:div>
    <w:div w:id="1275988508">
      <w:bodyDiv w:val="1"/>
      <w:marLeft w:val="0"/>
      <w:marRight w:val="0"/>
      <w:marTop w:val="0"/>
      <w:marBottom w:val="0"/>
      <w:divBdr>
        <w:top w:val="none" w:sz="0" w:space="0" w:color="auto"/>
        <w:left w:val="none" w:sz="0" w:space="0" w:color="auto"/>
        <w:bottom w:val="none" w:sz="0" w:space="0" w:color="auto"/>
        <w:right w:val="none" w:sz="0" w:space="0" w:color="auto"/>
      </w:divBdr>
    </w:div>
    <w:div w:id="1277787985">
      <w:bodyDiv w:val="1"/>
      <w:marLeft w:val="0"/>
      <w:marRight w:val="0"/>
      <w:marTop w:val="0"/>
      <w:marBottom w:val="0"/>
      <w:divBdr>
        <w:top w:val="none" w:sz="0" w:space="0" w:color="auto"/>
        <w:left w:val="none" w:sz="0" w:space="0" w:color="auto"/>
        <w:bottom w:val="none" w:sz="0" w:space="0" w:color="auto"/>
        <w:right w:val="none" w:sz="0" w:space="0" w:color="auto"/>
      </w:divBdr>
    </w:div>
    <w:div w:id="1281909752">
      <w:bodyDiv w:val="1"/>
      <w:marLeft w:val="0"/>
      <w:marRight w:val="0"/>
      <w:marTop w:val="0"/>
      <w:marBottom w:val="0"/>
      <w:divBdr>
        <w:top w:val="none" w:sz="0" w:space="0" w:color="auto"/>
        <w:left w:val="none" w:sz="0" w:space="0" w:color="auto"/>
        <w:bottom w:val="none" w:sz="0" w:space="0" w:color="auto"/>
        <w:right w:val="none" w:sz="0" w:space="0" w:color="auto"/>
      </w:divBdr>
    </w:div>
    <w:div w:id="1282107809">
      <w:bodyDiv w:val="1"/>
      <w:marLeft w:val="0"/>
      <w:marRight w:val="0"/>
      <w:marTop w:val="0"/>
      <w:marBottom w:val="0"/>
      <w:divBdr>
        <w:top w:val="none" w:sz="0" w:space="0" w:color="auto"/>
        <w:left w:val="none" w:sz="0" w:space="0" w:color="auto"/>
        <w:bottom w:val="none" w:sz="0" w:space="0" w:color="auto"/>
        <w:right w:val="none" w:sz="0" w:space="0" w:color="auto"/>
      </w:divBdr>
    </w:div>
    <w:div w:id="1282612332">
      <w:bodyDiv w:val="1"/>
      <w:marLeft w:val="0"/>
      <w:marRight w:val="0"/>
      <w:marTop w:val="0"/>
      <w:marBottom w:val="0"/>
      <w:divBdr>
        <w:top w:val="none" w:sz="0" w:space="0" w:color="auto"/>
        <w:left w:val="none" w:sz="0" w:space="0" w:color="auto"/>
        <w:bottom w:val="none" w:sz="0" w:space="0" w:color="auto"/>
        <w:right w:val="none" w:sz="0" w:space="0" w:color="auto"/>
      </w:divBdr>
    </w:div>
    <w:div w:id="1287348518">
      <w:bodyDiv w:val="1"/>
      <w:marLeft w:val="0"/>
      <w:marRight w:val="0"/>
      <w:marTop w:val="0"/>
      <w:marBottom w:val="0"/>
      <w:divBdr>
        <w:top w:val="none" w:sz="0" w:space="0" w:color="auto"/>
        <w:left w:val="none" w:sz="0" w:space="0" w:color="auto"/>
        <w:bottom w:val="none" w:sz="0" w:space="0" w:color="auto"/>
        <w:right w:val="none" w:sz="0" w:space="0" w:color="auto"/>
      </w:divBdr>
    </w:div>
    <w:div w:id="1288118718">
      <w:bodyDiv w:val="1"/>
      <w:marLeft w:val="0"/>
      <w:marRight w:val="0"/>
      <w:marTop w:val="0"/>
      <w:marBottom w:val="0"/>
      <w:divBdr>
        <w:top w:val="none" w:sz="0" w:space="0" w:color="auto"/>
        <w:left w:val="none" w:sz="0" w:space="0" w:color="auto"/>
        <w:bottom w:val="none" w:sz="0" w:space="0" w:color="auto"/>
        <w:right w:val="none" w:sz="0" w:space="0" w:color="auto"/>
      </w:divBdr>
    </w:div>
    <w:div w:id="1288120860">
      <w:bodyDiv w:val="1"/>
      <w:marLeft w:val="0"/>
      <w:marRight w:val="0"/>
      <w:marTop w:val="0"/>
      <w:marBottom w:val="0"/>
      <w:divBdr>
        <w:top w:val="none" w:sz="0" w:space="0" w:color="auto"/>
        <w:left w:val="none" w:sz="0" w:space="0" w:color="auto"/>
        <w:bottom w:val="none" w:sz="0" w:space="0" w:color="auto"/>
        <w:right w:val="none" w:sz="0" w:space="0" w:color="auto"/>
      </w:divBdr>
    </w:div>
    <w:div w:id="1291203298">
      <w:bodyDiv w:val="1"/>
      <w:marLeft w:val="0"/>
      <w:marRight w:val="0"/>
      <w:marTop w:val="0"/>
      <w:marBottom w:val="0"/>
      <w:divBdr>
        <w:top w:val="none" w:sz="0" w:space="0" w:color="auto"/>
        <w:left w:val="none" w:sz="0" w:space="0" w:color="auto"/>
        <w:bottom w:val="none" w:sz="0" w:space="0" w:color="auto"/>
        <w:right w:val="none" w:sz="0" w:space="0" w:color="auto"/>
      </w:divBdr>
    </w:div>
    <w:div w:id="1291983536">
      <w:bodyDiv w:val="1"/>
      <w:marLeft w:val="0"/>
      <w:marRight w:val="0"/>
      <w:marTop w:val="0"/>
      <w:marBottom w:val="0"/>
      <w:divBdr>
        <w:top w:val="none" w:sz="0" w:space="0" w:color="auto"/>
        <w:left w:val="none" w:sz="0" w:space="0" w:color="auto"/>
        <w:bottom w:val="none" w:sz="0" w:space="0" w:color="auto"/>
        <w:right w:val="none" w:sz="0" w:space="0" w:color="auto"/>
      </w:divBdr>
    </w:div>
    <w:div w:id="1294603421">
      <w:bodyDiv w:val="1"/>
      <w:marLeft w:val="0"/>
      <w:marRight w:val="0"/>
      <w:marTop w:val="0"/>
      <w:marBottom w:val="0"/>
      <w:divBdr>
        <w:top w:val="none" w:sz="0" w:space="0" w:color="auto"/>
        <w:left w:val="none" w:sz="0" w:space="0" w:color="auto"/>
        <w:bottom w:val="none" w:sz="0" w:space="0" w:color="auto"/>
        <w:right w:val="none" w:sz="0" w:space="0" w:color="auto"/>
      </w:divBdr>
    </w:div>
    <w:div w:id="1296989130">
      <w:bodyDiv w:val="1"/>
      <w:marLeft w:val="0"/>
      <w:marRight w:val="0"/>
      <w:marTop w:val="0"/>
      <w:marBottom w:val="0"/>
      <w:divBdr>
        <w:top w:val="none" w:sz="0" w:space="0" w:color="auto"/>
        <w:left w:val="none" w:sz="0" w:space="0" w:color="auto"/>
        <w:bottom w:val="none" w:sz="0" w:space="0" w:color="auto"/>
        <w:right w:val="none" w:sz="0" w:space="0" w:color="auto"/>
      </w:divBdr>
    </w:div>
    <w:div w:id="1297875947">
      <w:bodyDiv w:val="1"/>
      <w:marLeft w:val="0"/>
      <w:marRight w:val="0"/>
      <w:marTop w:val="0"/>
      <w:marBottom w:val="0"/>
      <w:divBdr>
        <w:top w:val="none" w:sz="0" w:space="0" w:color="auto"/>
        <w:left w:val="none" w:sz="0" w:space="0" w:color="auto"/>
        <w:bottom w:val="none" w:sz="0" w:space="0" w:color="auto"/>
        <w:right w:val="none" w:sz="0" w:space="0" w:color="auto"/>
      </w:divBdr>
    </w:div>
    <w:div w:id="1298291897">
      <w:bodyDiv w:val="1"/>
      <w:marLeft w:val="0"/>
      <w:marRight w:val="0"/>
      <w:marTop w:val="0"/>
      <w:marBottom w:val="0"/>
      <w:divBdr>
        <w:top w:val="none" w:sz="0" w:space="0" w:color="auto"/>
        <w:left w:val="none" w:sz="0" w:space="0" w:color="auto"/>
        <w:bottom w:val="none" w:sz="0" w:space="0" w:color="auto"/>
        <w:right w:val="none" w:sz="0" w:space="0" w:color="auto"/>
      </w:divBdr>
    </w:div>
    <w:div w:id="1300111922">
      <w:bodyDiv w:val="1"/>
      <w:marLeft w:val="0"/>
      <w:marRight w:val="0"/>
      <w:marTop w:val="0"/>
      <w:marBottom w:val="0"/>
      <w:divBdr>
        <w:top w:val="none" w:sz="0" w:space="0" w:color="auto"/>
        <w:left w:val="none" w:sz="0" w:space="0" w:color="auto"/>
        <w:bottom w:val="none" w:sz="0" w:space="0" w:color="auto"/>
        <w:right w:val="none" w:sz="0" w:space="0" w:color="auto"/>
      </w:divBdr>
    </w:div>
    <w:div w:id="1300497401">
      <w:bodyDiv w:val="1"/>
      <w:marLeft w:val="0"/>
      <w:marRight w:val="0"/>
      <w:marTop w:val="0"/>
      <w:marBottom w:val="0"/>
      <w:divBdr>
        <w:top w:val="none" w:sz="0" w:space="0" w:color="auto"/>
        <w:left w:val="none" w:sz="0" w:space="0" w:color="auto"/>
        <w:bottom w:val="none" w:sz="0" w:space="0" w:color="auto"/>
        <w:right w:val="none" w:sz="0" w:space="0" w:color="auto"/>
      </w:divBdr>
    </w:div>
    <w:div w:id="1301380952">
      <w:bodyDiv w:val="1"/>
      <w:marLeft w:val="0"/>
      <w:marRight w:val="0"/>
      <w:marTop w:val="0"/>
      <w:marBottom w:val="0"/>
      <w:divBdr>
        <w:top w:val="none" w:sz="0" w:space="0" w:color="auto"/>
        <w:left w:val="none" w:sz="0" w:space="0" w:color="auto"/>
        <w:bottom w:val="none" w:sz="0" w:space="0" w:color="auto"/>
        <w:right w:val="none" w:sz="0" w:space="0" w:color="auto"/>
      </w:divBdr>
    </w:div>
    <w:div w:id="1302929300">
      <w:bodyDiv w:val="1"/>
      <w:marLeft w:val="0"/>
      <w:marRight w:val="0"/>
      <w:marTop w:val="0"/>
      <w:marBottom w:val="0"/>
      <w:divBdr>
        <w:top w:val="none" w:sz="0" w:space="0" w:color="auto"/>
        <w:left w:val="none" w:sz="0" w:space="0" w:color="auto"/>
        <w:bottom w:val="none" w:sz="0" w:space="0" w:color="auto"/>
        <w:right w:val="none" w:sz="0" w:space="0" w:color="auto"/>
      </w:divBdr>
    </w:div>
    <w:div w:id="1302998527">
      <w:bodyDiv w:val="1"/>
      <w:marLeft w:val="0"/>
      <w:marRight w:val="0"/>
      <w:marTop w:val="0"/>
      <w:marBottom w:val="0"/>
      <w:divBdr>
        <w:top w:val="none" w:sz="0" w:space="0" w:color="auto"/>
        <w:left w:val="none" w:sz="0" w:space="0" w:color="auto"/>
        <w:bottom w:val="none" w:sz="0" w:space="0" w:color="auto"/>
        <w:right w:val="none" w:sz="0" w:space="0" w:color="auto"/>
      </w:divBdr>
    </w:div>
    <w:div w:id="1303849244">
      <w:bodyDiv w:val="1"/>
      <w:marLeft w:val="0"/>
      <w:marRight w:val="0"/>
      <w:marTop w:val="0"/>
      <w:marBottom w:val="0"/>
      <w:divBdr>
        <w:top w:val="none" w:sz="0" w:space="0" w:color="auto"/>
        <w:left w:val="none" w:sz="0" w:space="0" w:color="auto"/>
        <w:bottom w:val="none" w:sz="0" w:space="0" w:color="auto"/>
        <w:right w:val="none" w:sz="0" w:space="0" w:color="auto"/>
      </w:divBdr>
    </w:div>
    <w:div w:id="1306619485">
      <w:bodyDiv w:val="1"/>
      <w:marLeft w:val="0"/>
      <w:marRight w:val="0"/>
      <w:marTop w:val="0"/>
      <w:marBottom w:val="0"/>
      <w:divBdr>
        <w:top w:val="none" w:sz="0" w:space="0" w:color="auto"/>
        <w:left w:val="none" w:sz="0" w:space="0" w:color="auto"/>
        <w:bottom w:val="none" w:sz="0" w:space="0" w:color="auto"/>
        <w:right w:val="none" w:sz="0" w:space="0" w:color="auto"/>
      </w:divBdr>
    </w:div>
    <w:div w:id="1307977515">
      <w:bodyDiv w:val="1"/>
      <w:marLeft w:val="0"/>
      <w:marRight w:val="0"/>
      <w:marTop w:val="0"/>
      <w:marBottom w:val="0"/>
      <w:divBdr>
        <w:top w:val="none" w:sz="0" w:space="0" w:color="auto"/>
        <w:left w:val="none" w:sz="0" w:space="0" w:color="auto"/>
        <w:bottom w:val="none" w:sz="0" w:space="0" w:color="auto"/>
        <w:right w:val="none" w:sz="0" w:space="0" w:color="auto"/>
      </w:divBdr>
    </w:div>
    <w:div w:id="1310791494">
      <w:bodyDiv w:val="1"/>
      <w:marLeft w:val="0"/>
      <w:marRight w:val="0"/>
      <w:marTop w:val="0"/>
      <w:marBottom w:val="0"/>
      <w:divBdr>
        <w:top w:val="none" w:sz="0" w:space="0" w:color="auto"/>
        <w:left w:val="none" w:sz="0" w:space="0" w:color="auto"/>
        <w:bottom w:val="none" w:sz="0" w:space="0" w:color="auto"/>
        <w:right w:val="none" w:sz="0" w:space="0" w:color="auto"/>
      </w:divBdr>
    </w:div>
    <w:div w:id="1316563687">
      <w:bodyDiv w:val="1"/>
      <w:marLeft w:val="0"/>
      <w:marRight w:val="0"/>
      <w:marTop w:val="0"/>
      <w:marBottom w:val="0"/>
      <w:divBdr>
        <w:top w:val="none" w:sz="0" w:space="0" w:color="auto"/>
        <w:left w:val="none" w:sz="0" w:space="0" w:color="auto"/>
        <w:bottom w:val="none" w:sz="0" w:space="0" w:color="auto"/>
        <w:right w:val="none" w:sz="0" w:space="0" w:color="auto"/>
      </w:divBdr>
    </w:div>
    <w:div w:id="1318999108">
      <w:bodyDiv w:val="1"/>
      <w:marLeft w:val="0"/>
      <w:marRight w:val="0"/>
      <w:marTop w:val="0"/>
      <w:marBottom w:val="0"/>
      <w:divBdr>
        <w:top w:val="none" w:sz="0" w:space="0" w:color="auto"/>
        <w:left w:val="none" w:sz="0" w:space="0" w:color="auto"/>
        <w:bottom w:val="none" w:sz="0" w:space="0" w:color="auto"/>
        <w:right w:val="none" w:sz="0" w:space="0" w:color="auto"/>
      </w:divBdr>
    </w:div>
    <w:div w:id="1320306446">
      <w:bodyDiv w:val="1"/>
      <w:marLeft w:val="0"/>
      <w:marRight w:val="0"/>
      <w:marTop w:val="0"/>
      <w:marBottom w:val="0"/>
      <w:divBdr>
        <w:top w:val="none" w:sz="0" w:space="0" w:color="auto"/>
        <w:left w:val="none" w:sz="0" w:space="0" w:color="auto"/>
        <w:bottom w:val="none" w:sz="0" w:space="0" w:color="auto"/>
        <w:right w:val="none" w:sz="0" w:space="0" w:color="auto"/>
      </w:divBdr>
    </w:div>
    <w:div w:id="1321231194">
      <w:bodyDiv w:val="1"/>
      <w:marLeft w:val="0"/>
      <w:marRight w:val="0"/>
      <w:marTop w:val="0"/>
      <w:marBottom w:val="0"/>
      <w:divBdr>
        <w:top w:val="none" w:sz="0" w:space="0" w:color="auto"/>
        <w:left w:val="none" w:sz="0" w:space="0" w:color="auto"/>
        <w:bottom w:val="none" w:sz="0" w:space="0" w:color="auto"/>
        <w:right w:val="none" w:sz="0" w:space="0" w:color="auto"/>
      </w:divBdr>
    </w:div>
    <w:div w:id="1330254150">
      <w:bodyDiv w:val="1"/>
      <w:marLeft w:val="0"/>
      <w:marRight w:val="0"/>
      <w:marTop w:val="0"/>
      <w:marBottom w:val="0"/>
      <w:divBdr>
        <w:top w:val="none" w:sz="0" w:space="0" w:color="auto"/>
        <w:left w:val="none" w:sz="0" w:space="0" w:color="auto"/>
        <w:bottom w:val="none" w:sz="0" w:space="0" w:color="auto"/>
        <w:right w:val="none" w:sz="0" w:space="0" w:color="auto"/>
      </w:divBdr>
    </w:div>
    <w:div w:id="1333217430">
      <w:bodyDiv w:val="1"/>
      <w:marLeft w:val="0"/>
      <w:marRight w:val="0"/>
      <w:marTop w:val="0"/>
      <w:marBottom w:val="0"/>
      <w:divBdr>
        <w:top w:val="none" w:sz="0" w:space="0" w:color="auto"/>
        <w:left w:val="none" w:sz="0" w:space="0" w:color="auto"/>
        <w:bottom w:val="none" w:sz="0" w:space="0" w:color="auto"/>
        <w:right w:val="none" w:sz="0" w:space="0" w:color="auto"/>
      </w:divBdr>
    </w:div>
    <w:div w:id="1335767541">
      <w:bodyDiv w:val="1"/>
      <w:marLeft w:val="0"/>
      <w:marRight w:val="0"/>
      <w:marTop w:val="0"/>
      <w:marBottom w:val="0"/>
      <w:divBdr>
        <w:top w:val="none" w:sz="0" w:space="0" w:color="auto"/>
        <w:left w:val="none" w:sz="0" w:space="0" w:color="auto"/>
        <w:bottom w:val="none" w:sz="0" w:space="0" w:color="auto"/>
        <w:right w:val="none" w:sz="0" w:space="0" w:color="auto"/>
      </w:divBdr>
    </w:div>
    <w:div w:id="1337802496">
      <w:bodyDiv w:val="1"/>
      <w:marLeft w:val="0"/>
      <w:marRight w:val="0"/>
      <w:marTop w:val="0"/>
      <w:marBottom w:val="0"/>
      <w:divBdr>
        <w:top w:val="none" w:sz="0" w:space="0" w:color="auto"/>
        <w:left w:val="none" w:sz="0" w:space="0" w:color="auto"/>
        <w:bottom w:val="none" w:sz="0" w:space="0" w:color="auto"/>
        <w:right w:val="none" w:sz="0" w:space="0" w:color="auto"/>
      </w:divBdr>
    </w:div>
    <w:div w:id="1342270634">
      <w:bodyDiv w:val="1"/>
      <w:marLeft w:val="0"/>
      <w:marRight w:val="0"/>
      <w:marTop w:val="0"/>
      <w:marBottom w:val="0"/>
      <w:divBdr>
        <w:top w:val="none" w:sz="0" w:space="0" w:color="auto"/>
        <w:left w:val="none" w:sz="0" w:space="0" w:color="auto"/>
        <w:bottom w:val="none" w:sz="0" w:space="0" w:color="auto"/>
        <w:right w:val="none" w:sz="0" w:space="0" w:color="auto"/>
      </w:divBdr>
    </w:div>
    <w:div w:id="1343118428">
      <w:bodyDiv w:val="1"/>
      <w:marLeft w:val="0"/>
      <w:marRight w:val="0"/>
      <w:marTop w:val="0"/>
      <w:marBottom w:val="0"/>
      <w:divBdr>
        <w:top w:val="none" w:sz="0" w:space="0" w:color="auto"/>
        <w:left w:val="none" w:sz="0" w:space="0" w:color="auto"/>
        <w:bottom w:val="none" w:sz="0" w:space="0" w:color="auto"/>
        <w:right w:val="none" w:sz="0" w:space="0" w:color="auto"/>
      </w:divBdr>
    </w:div>
    <w:div w:id="1345353121">
      <w:bodyDiv w:val="1"/>
      <w:marLeft w:val="0"/>
      <w:marRight w:val="0"/>
      <w:marTop w:val="0"/>
      <w:marBottom w:val="0"/>
      <w:divBdr>
        <w:top w:val="none" w:sz="0" w:space="0" w:color="auto"/>
        <w:left w:val="none" w:sz="0" w:space="0" w:color="auto"/>
        <w:bottom w:val="none" w:sz="0" w:space="0" w:color="auto"/>
        <w:right w:val="none" w:sz="0" w:space="0" w:color="auto"/>
      </w:divBdr>
    </w:div>
    <w:div w:id="1349020298">
      <w:bodyDiv w:val="1"/>
      <w:marLeft w:val="0"/>
      <w:marRight w:val="0"/>
      <w:marTop w:val="0"/>
      <w:marBottom w:val="0"/>
      <w:divBdr>
        <w:top w:val="none" w:sz="0" w:space="0" w:color="auto"/>
        <w:left w:val="none" w:sz="0" w:space="0" w:color="auto"/>
        <w:bottom w:val="none" w:sz="0" w:space="0" w:color="auto"/>
        <w:right w:val="none" w:sz="0" w:space="0" w:color="auto"/>
      </w:divBdr>
    </w:div>
    <w:div w:id="1350175656">
      <w:bodyDiv w:val="1"/>
      <w:marLeft w:val="0"/>
      <w:marRight w:val="0"/>
      <w:marTop w:val="0"/>
      <w:marBottom w:val="0"/>
      <w:divBdr>
        <w:top w:val="none" w:sz="0" w:space="0" w:color="auto"/>
        <w:left w:val="none" w:sz="0" w:space="0" w:color="auto"/>
        <w:bottom w:val="none" w:sz="0" w:space="0" w:color="auto"/>
        <w:right w:val="none" w:sz="0" w:space="0" w:color="auto"/>
      </w:divBdr>
    </w:div>
    <w:div w:id="1351372516">
      <w:bodyDiv w:val="1"/>
      <w:marLeft w:val="0"/>
      <w:marRight w:val="0"/>
      <w:marTop w:val="0"/>
      <w:marBottom w:val="0"/>
      <w:divBdr>
        <w:top w:val="none" w:sz="0" w:space="0" w:color="auto"/>
        <w:left w:val="none" w:sz="0" w:space="0" w:color="auto"/>
        <w:bottom w:val="none" w:sz="0" w:space="0" w:color="auto"/>
        <w:right w:val="none" w:sz="0" w:space="0" w:color="auto"/>
      </w:divBdr>
    </w:div>
    <w:div w:id="1353844510">
      <w:bodyDiv w:val="1"/>
      <w:marLeft w:val="0"/>
      <w:marRight w:val="0"/>
      <w:marTop w:val="0"/>
      <w:marBottom w:val="0"/>
      <w:divBdr>
        <w:top w:val="none" w:sz="0" w:space="0" w:color="auto"/>
        <w:left w:val="none" w:sz="0" w:space="0" w:color="auto"/>
        <w:bottom w:val="none" w:sz="0" w:space="0" w:color="auto"/>
        <w:right w:val="none" w:sz="0" w:space="0" w:color="auto"/>
      </w:divBdr>
    </w:div>
    <w:div w:id="1354186621">
      <w:bodyDiv w:val="1"/>
      <w:marLeft w:val="0"/>
      <w:marRight w:val="0"/>
      <w:marTop w:val="0"/>
      <w:marBottom w:val="0"/>
      <w:divBdr>
        <w:top w:val="none" w:sz="0" w:space="0" w:color="auto"/>
        <w:left w:val="none" w:sz="0" w:space="0" w:color="auto"/>
        <w:bottom w:val="none" w:sz="0" w:space="0" w:color="auto"/>
        <w:right w:val="none" w:sz="0" w:space="0" w:color="auto"/>
      </w:divBdr>
    </w:div>
    <w:div w:id="1355034170">
      <w:bodyDiv w:val="1"/>
      <w:marLeft w:val="0"/>
      <w:marRight w:val="0"/>
      <w:marTop w:val="0"/>
      <w:marBottom w:val="0"/>
      <w:divBdr>
        <w:top w:val="none" w:sz="0" w:space="0" w:color="auto"/>
        <w:left w:val="none" w:sz="0" w:space="0" w:color="auto"/>
        <w:bottom w:val="none" w:sz="0" w:space="0" w:color="auto"/>
        <w:right w:val="none" w:sz="0" w:space="0" w:color="auto"/>
      </w:divBdr>
    </w:div>
    <w:div w:id="1357658545">
      <w:bodyDiv w:val="1"/>
      <w:marLeft w:val="0"/>
      <w:marRight w:val="0"/>
      <w:marTop w:val="0"/>
      <w:marBottom w:val="0"/>
      <w:divBdr>
        <w:top w:val="none" w:sz="0" w:space="0" w:color="auto"/>
        <w:left w:val="none" w:sz="0" w:space="0" w:color="auto"/>
        <w:bottom w:val="none" w:sz="0" w:space="0" w:color="auto"/>
        <w:right w:val="none" w:sz="0" w:space="0" w:color="auto"/>
      </w:divBdr>
    </w:div>
    <w:div w:id="1360006798">
      <w:bodyDiv w:val="1"/>
      <w:marLeft w:val="0"/>
      <w:marRight w:val="0"/>
      <w:marTop w:val="0"/>
      <w:marBottom w:val="0"/>
      <w:divBdr>
        <w:top w:val="none" w:sz="0" w:space="0" w:color="auto"/>
        <w:left w:val="none" w:sz="0" w:space="0" w:color="auto"/>
        <w:bottom w:val="none" w:sz="0" w:space="0" w:color="auto"/>
        <w:right w:val="none" w:sz="0" w:space="0" w:color="auto"/>
      </w:divBdr>
    </w:div>
    <w:div w:id="1362510574">
      <w:bodyDiv w:val="1"/>
      <w:marLeft w:val="0"/>
      <w:marRight w:val="0"/>
      <w:marTop w:val="0"/>
      <w:marBottom w:val="0"/>
      <w:divBdr>
        <w:top w:val="none" w:sz="0" w:space="0" w:color="auto"/>
        <w:left w:val="none" w:sz="0" w:space="0" w:color="auto"/>
        <w:bottom w:val="none" w:sz="0" w:space="0" w:color="auto"/>
        <w:right w:val="none" w:sz="0" w:space="0" w:color="auto"/>
      </w:divBdr>
    </w:div>
    <w:div w:id="1363435296">
      <w:bodyDiv w:val="1"/>
      <w:marLeft w:val="0"/>
      <w:marRight w:val="0"/>
      <w:marTop w:val="0"/>
      <w:marBottom w:val="0"/>
      <w:divBdr>
        <w:top w:val="none" w:sz="0" w:space="0" w:color="auto"/>
        <w:left w:val="none" w:sz="0" w:space="0" w:color="auto"/>
        <w:bottom w:val="none" w:sz="0" w:space="0" w:color="auto"/>
        <w:right w:val="none" w:sz="0" w:space="0" w:color="auto"/>
      </w:divBdr>
      <w:divsChild>
        <w:div w:id="184558059">
          <w:marLeft w:val="0"/>
          <w:marRight w:val="0"/>
          <w:marTop w:val="144"/>
          <w:marBottom w:val="144"/>
          <w:divBdr>
            <w:top w:val="none" w:sz="0" w:space="0" w:color="auto"/>
            <w:left w:val="none" w:sz="0" w:space="0" w:color="auto"/>
            <w:bottom w:val="none" w:sz="0" w:space="0" w:color="auto"/>
            <w:right w:val="none" w:sz="0" w:space="0" w:color="auto"/>
          </w:divBdr>
        </w:div>
      </w:divsChild>
    </w:div>
    <w:div w:id="1364282241">
      <w:bodyDiv w:val="1"/>
      <w:marLeft w:val="0"/>
      <w:marRight w:val="0"/>
      <w:marTop w:val="0"/>
      <w:marBottom w:val="0"/>
      <w:divBdr>
        <w:top w:val="none" w:sz="0" w:space="0" w:color="auto"/>
        <w:left w:val="none" w:sz="0" w:space="0" w:color="auto"/>
        <w:bottom w:val="none" w:sz="0" w:space="0" w:color="auto"/>
        <w:right w:val="none" w:sz="0" w:space="0" w:color="auto"/>
      </w:divBdr>
    </w:div>
    <w:div w:id="1366099820">
      <w:bodyDiv w:val="1"/>
      <w:marLeft w:val="0"/>
      <w:marRight w:val="0"/>
      <w:marTop w:val="0"/>
      <w:marBottom w:val="0"/>
      <w:divBdr>
        <w:top w:val="none" w:sz="0" w:space="0" w:color="auto"/>
        <w:left w:val="none" w:sz="0" w:space="0" w:color="auto"/>
        <w:bottom w:val="none" w:sz="0" w:space="0" w:color="auto"/>
        <w:right w:val="none" w:sz="0" w:space="0" w:color="auto"/>
      </w:divBdr>
    </w:div>
    <w:div w:id="1366951565">
      <w:bodyDiv w:val="1"/>
      <w:marLeft w:val="0"/>
      <w:marRight w:val="0"/>
      <w:marTop w:val="0"/>
      <w:marBottom w:val="0"/>
      <w:divBdr>
        <w:top w:val="none" w:sz="0" w:space="0" w:color="auto"/>
        <w:left w:val="none" w:sz="0" w:space="0" w:color="auto"/>
        <w:bottom w:val="none" w:sz="0" w:space="0" w:color="auto"/>
        <w:right w:val="none" w:sz="0" w:space="0" w:color="auto"/>
      </w:divBdr>
    </w:div>
    <w:div w:id="1367290063">
      <w:bodyDiv w:val="1"/>
      <w:marLeft w:val="0"/>
      <w:marRight w:val="0"/>
      <w:marTop w:val="0"/>
      <w:marBottom w:val="0"/>
      <w:divBdr>
        <w:top w:val="none" w:sz="0" w:space="0" w:color="auto"/>
        <w:left w:val="none" w:sz="0" w:space="0" w:color="auto"/>
        <w:bottom w:val="none" w:sz="0" w:space="0" w:color="auto"/>
        <w:right w:val="none" w:sz="0" w:space="0" w:color="auto"/>
      </w:divBdr>
    </w:div>
    <w:div w:id="1368213570">
      <w:bodyDiv w:val="1"/>
      <w:marLeft w:val="0"/>
      <w:marRight w:val="0"/>
      <w:marTop w:val="0"/>
      <w:marBottom w:val="0"/>
      <w:divBdr>
        <w:top w:val="none" w:sz="0" w:space="0" w:color="auto"/>
        <w:left w:val="none" w:sz="0" w:space="0" w:color="auto"/>
        <w:bottom w:val="none" w:sz="0" w:space="0" w:color="auto"/>
        <w:right w:val="none" w:sz="0" w:space="0" w:color="auto"/>
      </w:divBdr>
    </w:div>
    <w:div w:id="1369835057">
      <w:bodyDiv w:val="1"/>
      <w:marLeft w:val="0"/>
      <w:marRight w:val="0"/>
      <w:marTop w:val="0"/>
      <w:marBottom w:val="0"/>
      <w:divBdr>
        <w:top w:val="none" w:sz="0" w:space="0" w:color="auto"/>
        <w:left w:val="none" w:sz="0" w:space="0" w:color="auto"/>
        <w:bottom w:val="none" w:sz="0" w:space="0" w:color="auto"/>
        <w:right w:val="none" w:sz="0" w:space="0" w:color="auto"/>
      </w:divBdr>
    </w:div>
    <w:div w:id="1370060649">
      <w:bodyDiv w:val="1"/>
      <w:marLeft w:val="0"/>
      <w:marRight w:val="0"/>
      <w:marTop w:val="0"/>
      <w:marBottom w:val="0"/>
      <w:divBdr>
        <w:top w:val="none" w:sz="0" w:space="0" w:color="auto"/>
        <w:left w:val="none" w:sz="0" w:space="0" w:color="auto"/>
        <w:bottom w:val="none" w:sz="0" w:space="0" w:color="auto"/>
        <w:right w:val="none" w:sz="0" w:space="0" w:color="auto"/>
      </w:divBdr>
    </w:div>
    <w:div w:id="1371539302">
      <w:bodyDiv w:val="1"/>
      <w:marLeft w:val="0"/>
      <w:marRight w:val="0"/>
      <w:marTop w:val="0"/>
      <w:marBottom w:val="0"/>
      <w:divBdr>
        <w:top w:val="none" w:sz="0" w:space="0" w:color="auto"/>
        <w:left w:val="none" w:sz="0" w:space="0" w:color="auto"/>
        <w:bottom w:val="none" w:sz="0" w:space="0" w:color="auto"/>
        <w:right w:val="none" w:sz="0" w:space="0" w:color="auto"/>
      </w:divBdr>
    </w:div>
    <w:div w:id="1378239781">
      <w:bodyDiv w:val="1"/>
      <w:marLeft w:val="0"/>
      <w:marRight w:val="0"/>
      <w:marTop w:val="0"/>
      <w:marBottom w:val="0"/>
      <w:divBdr>
        <w:top w:val="none" w:sz="0" w:space="0" w:color="auto"/>
        <w:left w:val="none" w:sz="0" w:space="0" w:color="auto"/>
        <w:bottom w:val="none" w:sz="0" w:space="0" w:color="auto"/>
        <w:right w:val="none" w:sz="0" w:space="0" w:color="auto"/>
      </w:divBdr>
    </w:div>
    <w:div w:id="1383019230">
      <w:bodyDiv w:val="1"/>
      <w:marLeft w:val="0"/>
      <w:marRight w:val="0"/>
      <w:marTop w:val="0"/>
      <w:marBottom w:val="0"/>
      <w:divBdr>
        <w:top w:val="none" w:sz="0" w:space="0" w:color="auto"/>
        <w:left w:val="none" w:sz="0" w:space="0" w:color="auto"/>
        <w:bottom w:val="none" w:sz="0" w:space="0" w:color="auto"/>
        <w:right w:val="none" w:sz="0" w:space="0" w:color="auto"/>
      </w:divBdr>
    </w:div>
    <w:div w:id="1387685923">
      <w:bodyDiv w:val="1"/>
      <w:marLeft w:val="0"/>
      <w:marRight w:val="0"/>
      <w:marTop w:val="0"/>
      <w:marBottom w:val="0"/>
      <w:divBdr>
        <w:top w:val="none" w:sz="0" w:space="0" w:color="auto"/>
        <w:left w:val="none" w:sz="0" w:space="0" w:color="auto"/>
        <w:bottom w:val="none" w:sz="0" w:space="0" w:color="auto"/>
        <w:right w:val="none" w:sz="0" w:space="0" w:color="auto"/>
      </w:divBdr>
    </w:div>
    <w:div w:id="1391734104">
      <w:bodyDiv w:val="1"/>
      <w:marLeft w:val="0"/>
      <w:marRight w:val="0"/>
      <w:marTop w:val="0"/>
      <w:marBottom w:val="0"/>
      <w:divBdr>
        <w:top w:val="none" w:sz="0" w:space="0" w:color="auto"/>
        <w:left w:val="none" w:sz="0" w:space="0" w:color="auto"/>
        <w:bottom w:val="none" w:sz="0" w:space="0" w:color="auto"/>
        <w:right w:val="none" w:sz="0" w:space="0" w:color="auto"/>
      </w:divBdr>
    </w:div>
    <w:div w:id="1394233508">
      <w:bodyDiv w:val="1"/>
      <w:marLeft w:val="0"/>
      <w:marRight w:val="0"/>
      <w:marTop w:val="0"/>
      <w:marBottom w:val="0"/>
      <w:divBdr>
        <w:top w:val="none" w:sz="0" w:space="0" w:color="auto"/>
        <w:left w:val="none" w:sz="0" w:space="0" w:color="auto"/>
        <w:bottom w:val="none" w:sz="0" w:space="0" w:color="auto"/>
        <w:right w:val="none" w:sz="0" w:space="0" w:color="auto"/>
      </w:divBdr>
    </w:div>
    <w:div w:id="1395817438">
      <w:bodyDiv w:val="1"/>
      <w:marLeft w:val="0"/>
      <w:marRight w:val="0"/>
      <w:marTop w:val="0"/>
      <w:marBottom w:val="0"/>
      <w:divBdr>
        <w:top w:val="none" w:sz="0" w:space="0" w:color="auto"/>
        <w:left w:val="none" w:sz="0" w:space="0" w:color="auto"/>
        <w:bottom w:val="none" w:sz="0" w:space="0" w:color="auto"/>
        <w:right w:val="none" w:sz="0" w:space="0" w:color="auto"/>
      </w:divBdr>
    </w:div>
    <w:div w:id="1399866280">
      <w:bodyDiv w:val="1"/>
      <w:marLeft w:val="0"/>
      <w:marRight w:val="0"/>
      <w:marTop w:val="0"/>
      <w:marBottom w:val="0"/>
      <w:divBdr>
        <w:top w:val="none" w:sz="0" w:space="0" w:color="auto"/>
        <w:left w:val="none" w:sz="0" w:space="0" w:color="auto"/>
        <w:bottom w:val="none" w:sz="0" w:space="0" w:color="auto"/>
        <w:right w:val="none" w:sz="0" w:space="0" w:color="auto"/>
      </w:divBdr>
    </w:div>
    <w:div w:id="1400638370">
      <w:bodyDiv w:val="1"/>
      <w:marLeft w:val="0"/>
      <w:marRight w:val="0"/>
      <w:marTop w:val="0"/>
      <w:marBottom w:val="0"/>
      <w:divBdr>
        <w:top w:val="none" w:sz="0" w:space="0" w:color="auto"/>
        <w:left w:val="none" w:sz="0" w:space="0" w:color="auto"/>
        <w:bottom w:val="none" w:sz="0" w:space="0" w:color="auto"/>
        <w:right w:val="none" w:sz="0" w:space="0" w:color="auto"/>
      </w:divBdr>
    </w:div>
    <w:div w:id="1402487479">
      <w:bodyDiv w:val="1"/>
      <w:marLeft w:val="0"/>
      <w:marRight w:val="0"/>
      <w:marTop w:val="0"/>
      <w:marBottom w:val="0"/>
      <w:divBdr>
        <w:top w:val="none" w:sz="0" w:space="0" w:color="auto"/>
        <w:left w:val="none" w:sz="0" w:space="0" w:color="auto"/>
        <w:bottom w:val="none" w:sz="0" w:space="0" w:color="auto"/>
        <w:right w:val="none" w:sz="0" w:space="0" w:color="auto"/>
      </w:divBdr>
    </w:div>
    <w:div w:id="1408576926">
      <w:bodyDiv w:val="1"/>
      <w:marLeft w:val="0"/>
      <w:marRight w:val="0"/>
      <w:marTop w:val="0"/>
      <w:marBottom w:val="0"/>
      <w:divBdr>
        <w:top w:val="none" w:sz="0" w:space="0" w:color="auto"/>
        <w:left w:val="none" w:sz="0" w:space="0" w:color="auto"/>
        <w:bottom w:val="none" w:sz="0" w:space="0" w:color="auto"/>
        <w:right w:val="none" w:sz="0" w:space="0" w:color="auto"/>
      </w:divBdr>
    </w:div>
    <w:div w:id="1409233488">
      <w:bodyDiv w:val="1"/>
      <w:marLeft w:val="0"/>
      <w:marRight w:val="0"/>
      <w:marTop w:val="0"/>
      <w:marBottom w:val="0"/>
      <w:divBdr>
        <w:top w:val="none" w:sz="0" w:space="0" w:color="auto"/>
        <w:left w:val="none" w:sz="0" w:space="0" w:color="auto"/>
        <w:bottom w:val="none" w:sz="0" w:space="0" w:color="auto"/>
        <w:right w:val="none" w:sz="0" w:space="0" w:color="auto"/>
      </w:divBdr>
    </w:div>
    <w:div w:id="1410691438">
      <w:bodyDiv w:val="1"/>
      <w:marLeft w:val="0"/>
      <w:marRight w:val="0"/>
      <w:marTop w:val="0"/>
      <w:marBottom w:val="0"/>
      <w:divBdr>
        <w:top w:val="none" w:sz="0" w:space="0" w:color="auto"/>
        <w:left w:val="none" w:sz="0" w:space="0" w:color="auto"/>
        <w:bottom w:val="none" w:sz="0" w:space="0" w:color="auto"/>
        <w:right w:val="none" w:sz="0" w:space="0" w:color="auto"/>
      </w:divBdr>
    </w:div>
    <w:div w:id="1411193748">
      <w:bodyDiv w:val="1"/>
      <w:marLeft w:val="0"/>
      <w:marRight w:val="0"/>
      <w:marTop w:val="0"/>
      <w:marBottom w:val="0"/>
      <w:divBdr>
        <w:top w:val="none" w:sz="0" w:space="0" w:color="auto"/>
        <w:left w:val="none" w:sz="0" w:space="0" w:color="auto"/>
        <w:bottom w:val="none" w:sz="0" w:space="0" w:color="auto"/>
        <w:right w:val="none" w:sz="0" w:space="0" w:color="auto"/>
      </w:divBdr>
    </w:div>
    <w:div w:id="1412392988">
      <w:bodyDiv w:val="1"/>
      <w:marLeft w:val="0"/>
      <w:marRight w:val="0"/>
      <w:marTop w:val="0"/>
      <w:marBottom w:val="0"/>
      <w:divBdr>
        <w:top w:val="none" w:sz="0" w:space="0" w:color="auto"/>
        <w:left w:val="none" w:sz="0" w:space="0" w:color="auto"/>
        <w:bottom w:val="none" w:sz="0" w:space="0" w:color="auto"/>
        <w:right w:val="none" w:sz="0" w:space="0" w:color="auto"/>
      </w:divBdr>
      <w:divsChild>
        <w:div w:id="1920094873">
          <w:marLeft w:val="0"/>
          <w:marRight w:val="0"/>
          <w:marTop w:val="0"/>
          <w:marBottom w:val="0"/>
          <w:divBdr>
            <w:top w:val="none" w:sz="0" w:space="0" w:color="auto"/>
            <w:left w:val="none" w:sz="0" w:space="0" w:color="auto"/>
            <w:bottom w:val="none" w:sz="0" w:space="0" w:color="auto"/>
            <w:right w:val="none" w:sz="0" w:space="0" w:color="auto"/>
          </w:divBdr>
        </w:div>
      </w:divsChild>
    </w:div>
    <w:div w:id="1412698030">
      <w:bodyDiv w:val="1"/>
      <w:marLeft w:val="0"/>
      <w:marRight w:val="0"/>
      <w:marTop w:val="0"/>
      <w:marBottom w:val="0"/>
      <w:divBdr>
        <w:top w:val="none" w:sz="0" w:space="0" w:color="auto"/>
        <w:left w:val="none" w:sz="0" w:space="0" w:color="auto"/>
        <w:bottom w:val="none" w:sz="0" w:space="0" w:color="auto"/>
        <w:right w:val="none" w:sz="0" w:space="0" w:color="auto"/>
      </w:divBdr>
    </w:div>
    <w:div w:id="1417165746">
      <w:bodyDiv w:val="1"/>
      <w:marLeft w:val="0"/>
      <w:marRight w:val="0"/>
      <w:marTop w:val="0"/>
      <w:marBottom w:val="0"/>
      <w:divBdr>
        <w:top w:val="none" w:sz="0" w:space="0" w:color="auto"/>
        <w:left w:val="none" w:sz="0" w:space="0" w:color="auto"/>
        <w:bottom w:val="none" w:sz="0" w:space="0" w:color="auto"/>
        <w:right w:val="none" w:sz="0" w:space="0" w:color="auto"/>
      </w:divBdr>
    </w:div>
    <w:div w:id="1419210851">
      <w:bodyDiv w:val="1"/>
      <w:marLeft w:val="0"/>
      <w:marRight w:val="0"/>
      <w:marTop w:val="0"/>
      <w:marBottom w:val="0"/>
      <w:divBdr>
        <w:top w:val="none" w:sz="0" w:space="0" w:color="auto"/>
        <w:left w:val="none" w:sz="0" w:space="0" w:color="auto"/>
        <w:bottom w:val="none" w:sz="0" w:space="0" w:color="auto"/>
        <w:right w:val="none" w:sz="0" w:space="0" w:color="auto"/>
      </w:divBdr>
    </w:div>
    <w:div w:id="1419476316">
      <w:bodyDiv w:val="1"/>
      <w:marLeft w:val="0"/>
      <w:marRight w:val="0"/>
      <w:marTop w:val="0"/>
      <w:marBottom w:val="0"/>
      <w:divBdr>
        <w:top w:val="none" w:sz="0" w:space="0" w:color="auto"/>
        <w:left w:val="none" w:sz="0" w:space="0" w:color="auto"/>
        <w:bottom w:val="none" w:sz="0" w:space="0" w:color="auto"/>
        <w:right w:val="none" w:sz="0" w:space="0" w:color="auto"/>
      </w:divBdr>
    </w:div>
    <w:div w:id="1420172589">
      <w:bodyDiv w:val="1"/>
      <w:marLeft w:val="0"/>
      <w:marRight w:val="0"/>
      <w:marTop w:val="0"/>
      <w:marBottom w:val="0"/>
      <w:divBdr>
        <w:top w:val="none" w:sz="0" w:space="0" w:color="auto"/>
        <w:left w:val="none" w:sz="0" w:space="0" w:color="auto"/>
        <w:bottom w:val="none" w:sz="0" w:space="0" w:color="auto"/>
        <w:right w:val="none" w:sz="0" w:space="0" w:color="auto"/>
      </w:divBdr>
    </w:div>
    <w:div w:id="1423525079">
      <w:bodyDiv w:val="1"/>
      <w:marLeft w:val="0"/>
      <w:marRight w:val="0"/>
      <w:marTop w:val="0"/>
      <w:marBottom w:val="0"/>
      <w:divBdr>
        <w:top w:val="none" w:sz="0" w:space="0" w:color="auto"/>
        <w:left w:val="none" w:sz="0" w:space="0" w:color="auto"/>
        <w:bottom w:val="none" w:sz="0" w:space="0" w:color="auto"/>
        <w:right w:val="none" w:sz="0" w:space="0" w:color="auto"/>
      </w:divBdr>
    </w:div>
    <w:div w:id="1430925196">
      <w:bodyDiv w:val="1"/>
      <w:marLeft w:val="0"/>
      <w:marRight w:val="0"/>
      <w:marTop w:val="0"/>
      <w:marBottom w:val="0"/>
      <w:divBdr>
        <w:top w:val="none" w:sz="0" w:space="0" w:color="auto"/>
        <w:left w:val="none" w:sz="0" w:space="0" w:color="auto"/>
        <w:bottom w:val="none" w:sz="0" w:space="0" w:color="auto"/>
        <w:right w:val="none" w:sz="0" w:space="0" w:color="auto"/>
      </w:divBdr>
    </w:div>
    <w:div w:id="1433623775">
      <w:bodyDiv w:val="1"/>
      <w:marLeft w:val="0"/>
      <w:marRight w:val="0"/>
      <w:marTop w:val="0"/>
      <w:marBottom w:val="0"/>
      <w:divBdr>
        <w:top w:val="none" w:sz="0" w:space="0" w:color="auto"/>
        <w:left w:val="none" w:sz="0" w:space="0" w:color="auto"/>
        <w:bottom w:val="none" w:sz="0" w:space="0" w:color="auto"/>
        <w:right w:val="none" w:sz="0" w:space="0" w:color="auto"/>
      </w:divBdr>
    </w:div>
    <w:div w:id="1433862788">
      <w:bodyDiv w:val="1"/>
      <w:marLeft w:val="0"/>
      <w:marRight w:val="0"/>
      <w:marTop w:val="0"/>
      <w:marBottom w:val="0"/>
      <w:divBdr>
        <w:top w:val="none" w:sz="0" w:space="0" w:color="auto"/>
        <w:left w:val="none" w:sz="0" w:space="0" w:color="auto"/>
        <w:bottom w:val="none" w:sz="0" w:space="0" w:color="auto"/>
        <w:right w:val="none" w:sz="0" w:space="0" w:color="auto"/>
      </w:divBdr>
    </w:div>
    <w:div w:id="1435130778">
      <w:bodyDiv w:val="1"/>
      <w:marLeft w:val="0"/>
      <w:marRight w:val="0"/>
      <w:marTop w:val="0"/>
      <w:marBottom w:val="0"/>
      <w:divBdr>
        <w:top w:val="none" w:sz="0" w:space="0" w:color="auto"/>
        <w:left w:val="none" w:sz="0" w:space="0" w:color="auto"/>
        <w:bottom w:val="none" w:sz="0" w:space="0" w:color="auto"/>
        <w:right w:val="none" w:sz="0" w:space="0" w:color="auto"/>
      </w:divBdr>
    </w:div>
    <w:div w:id="1437796541">
      <w:bodyDiv w:val="1"/>
      <w:marLeft w:val="0"/>
      <w:marRight w:val="0"/>
      <w:marTop w:val="0"/>
      <w:marBottom w:val="0"/>
      <w:divBdr>
        <w:top w:val="none" w:sz="0" w:space="0" w:color="auto"/>
        <w:left w:val="none" w:sz="0" w:space="0" w:color="auto"/>
        <w:bottom w:val="none" w:sz="0" w:space="0" w:color="auto"/>
        <w:right w:val="none" w:sz="0" w:space="0" w:color="auto"/>
      </w:divBdr>
    </w:div>
    <w:div w:id="1439519059">
      <w:bodyDiv w:val="1"/>
      <w:marLeft w:val="0"/>
      <w:marRight w:val="0"/>
      <w:marTop w:val="0"/>
      <w:marBottom w:val="0"/>
      <w:divBdr>
        <w:top w:val="none" w:sz="0" w:space="0" w:color="auto"/>
        <w:left w:val="none" w:sz="0" w:space="0" w:color="auto"/>
        <w:bottom w:val="none" w:sz="0" w:space="0" w:color="auto"/>
        <w:right w:val="none" w:sz="0" w:space="0" w:color="auto"/>
      </w:divBdr>
    </w:div>
    <w:div w:id="1442383689">
      <w:bodyDiv w:val="1"/>
      <w:marLeft w:val="0"/>
      <w:marRight w:val="0"/>
      <w:marTop w:val="0"/>
      <w:marBottom w:val="0"/>
      <w:divBdr>
        <w:top w:val="none" w:sz="0" w:space="0" w:color="auto"/>
        <w:left w:val="none" w:sz="0" w:space="0" w:color="auto"/>
        <w:bottom w:val="none" w:sz="0" w:space="0" w:color="auto"/>
        <w:right w:val="none" w:sz="0" w:space="0" w:color="auto"/>
      </w:divBdr>
    </w:div>
    <w:div w:id="1443112472">
      <w:bodyDiv w:val="1"/>
      <w:marLeft w:val="0"/>
      <w:marRight w:val="0"/>
      <w:marTop w:val="0"/>
      <w:marBottom w:val="0"/>
      <w:divBdr>
        <w:top w:val="none" w:sz="0" w:space="0" w:color="auto"/>
        <w:left w:val="none" w:sz="0" w:space="0" w:color="auto"/>
        <w:bottom w:val="none" w:sz="0" w:space="0" w:color="auto"/>
        <w:right w:val="none" w:sz="0" w:space="0" w:color="auto"/>
      </w:divBdr>
    </w:div>
    <w:div w:id="1444812322">
      <w:bodyDiv w:val="1"/>
      <w:marLeft w:val="0"/>
      <w:marRight w:val="0"/>
      <w:marTop w:val="0"/>
      <w:marBottom w:val="0"/>
      <w:divBdr>
        <w:top w:val="none" w:sz="0" w:space="0" w:color="auto"/>
        <w:left w:val="none" w:sz="0" w:space="0" w:color="auto"/>
        <w:bottom w:val="none" w:sz="0" w:space="0" w:color="auto"/>
        <w:right w:val="none" w:sz="0" w:space="0" w:color="auto"/>
      </w:divBdr>
    </w:div>
    <w:div w:id="1445731828">
      <w:bodyDiv w:val="1"/>
      <w:marLeft w:val="0"/>
      <w:marRight w:val="0"/>
      <w:marTop w:val="0"/>
      <w:marBottom w:val="0"/>
      <w:divBdr>
        <w:top w:val="none" w:sz="0" w:space="0" w:color="auto"/>
        <w:left w:val="none" w:sz="0" w:space="0" w:color="auto"/>
        <w:bottom w:val="none" w:sz="0" w:space="0" w:color="auto"/>
        <w:right w:val="none" w:sz="0" w:space="0" w:color="auto"/>
      </w:divBdr>
    </w:div>
    <w:div w:id="1452165386">
      <w:bodyDiv w:val="1"/>
      <w:marLeft w:val="0"/>
      <w:marRight w:val="0"/>
      <w:marTop w:val="0"/>
      <w:marBottom w:val="0"/>
      <w:divBdr>
        <w:top w:val="none" w:sz="0" w:space="0" w:color="auto"/>
        <w:left w:val="none" w:sz="0" w:space="0" w:color="auto"/>
        <w:bottom w:val="none" w:sz="0" w:space="0" w:color="auto"/>
        <w:right w:val="none" w:sz="0" w:space="0" w:color="auto"/>
      </w:divBdr>
    </w:div>
    <w:div w:id="1452749664">
      <w:bodyDiv w:val="1"/>
      <w:marLeft w:val="0"/>
      <w:marRight w:val="0"/>
      <w:marTop w:val="0"/>
      <w:marBottom w:val="0"/>
      <w:divBdr>
        <w:top w:val="none" w:sz="0" w:space="0" w:color="auto"/>
        <w:left w:val="none" w:sz="0" w:space="0" w:color="auto"/>
        <w:bottom w:val="none" w:sz="0" w:space="0" w:color="auto"/>
        <w:right w:val="none" w:sz="0" w:space="0" w:color="auto"/>
      </w:divBdr>
    </w:div>
    <w:div w:id="1452894565">
      <w:bodyDiv w:val="1"/>
      <w:marLeft w:val="0"/>
      <w:marRight w:val="0"/>
      <w:marTop w:val="0"/>
      <w:marBottom w:val="0"/>
      <w:divBdr>
        <w:top w:val="none" w:sz="0" w:space="0" w:color="auto"/>
        <w:left w:val="none" w:sz="0" w:space="0" w:color="auto"/>
        <w:bottom w:val="none" w:sz="0" w:space="0" w:color="auto"/>
        <w:right w:val="none" w:sz="0" w:space="0" w:color="auto"/>
      </w:divBdr>
    </w:div>
    <w:div w:id="1459493584">
      <w:bodyDiv w:val="1"/>
      <w:marLeft w:val="0"/>
      <w:marRight w:val="0"/>
      <w:marTop w:val="0"/>
      <w:marBottom w:val="0"/>
      <w:divBdr>
        <w:top w:val="none" w:sz="0" w:space="0" w:color="auto"/>
        <w:left w:val="none" w:sz="0" w:space="0" w:color="auto"/>
        <w:bottom w:val="none" w:sz="0" w:space="0" w:color="auto"/>
        <w:right w:val="none" w:sz="0" w:space="0" w:color="auto"/>
      </w:divBdr>
    </w:div>
    <w:div w:id="1459493766">
      <w:bodyDiv w:val="1"/>
      <w:marLeft w:val="0"/>
      <w:marRight w:val="0"/>
      <w:marTop w:val="0"/>
      <w:marBottom w:val="0"/>
      <w:divBdr>
        <w:top w:val="none" w:sz="0" w:space="0" w:color="auto"/>
        <w:left w:val="none" w:sz="0" w:space="0" w:color="auto"/>
        <w:bottom w:val="none" w:sz="0" w:space="0" w:color="auto"/>
        <w:right w:val="none" w:sz="0" w:space="0" w:color="auto"/>
      </w:divBdr>
    </w:div>
    <w:div w:id="1460955402">
      <w:bodyDiv w:val="1"/>
      <w:marLeft w:val="0"/>
      <w:marRight w:val="0"/>
      <w:marTop w:val="0"/>
      <w:marBottom w:val="0"/>
      <w:divBdr>
        <w:top w:val="none" w:sz="0" w:space="0" w:color="auto"/>
        <w:left w:val="none" w:sz="0" w:space="0" w:color="auto"/>
        <w:bottom w:val="none" w:sz="0" w:space="0" w:color="auto"/>
        <w:right w:val="none" w:sz="0" w:space="0" w:color="auto"/>
      </w:divBdr>
    </w:div>
    <w:div w:id="1461724750">
      <w:bodyDiv w:val="1"/>
      <w:marLeft w:val="0"/>
      <w:marRight w:val="0"/>
      <w:marTop w:val="0"/>
      <w:marBottom w:val="0"/>
      <w:divBdr>
        <w:top w:val="none" w:sz="0" w:space="0" w:color="auto"/>
        <w:left w:val="none" w:sz="0" w:space="0" w:color="auto"/>
        <w:bottom w:val="none" w:sz="0" w:space="0" w:color="auto"/>
        <w:right w:val="none" w:sz="0" w:space="0" w:color="auto"/>
      </w:divBdr>
    </w:div>
    <w:div w:id="1462335559">
      <w:bodyDiv w:val="1"/>
      <w:marLeft w:val="0"/>
      <w:marRight w:val="0"/>
      <w:marTop w:val="0"/>
      <w:marBottom w:val="0"/>
      <w:divBdr>
        <w:top w:val="none" w:sz="0" w:space="0" w:color="auto"/>
        <w:left w:val="none" w:sz="0" w:space="0" w:color="auto"/>
        <w:bottom w:val="none" w:sz="0" w:space="0" w:color="auto"/>
        <w:right w:val="none" w:sz="0" w:space="0" w:color="auto"/>
      </w:divBdr>
    </w:div>
    <w:div w:id="1463767664">
      <w:bodyDiv w:val="1"/>
      <w:marLeft w:val="0"/>
      <w:marRight w:val="0"/>
      <w:marTop w:val="0"/>
      <w:marBottom w:val="0"/>
      <w:divBdr>
        <w:top w:val="none" w:sz="0" w:space="0" w:color="auto"/>
        <w:left w:val="none" w:sz="0" w:space="0" w:color="auto"/>
        <w:bottom w:val="none" w:sz="0" w:space="0" w:color="auto"/>
        <w:right w:val="none" w:sz="0" w:space="0" w:color="auto"/>
      </w:divBdr>
    </w:div>
    <w:div w:id="1465271983">
      <w:bodyDiv w:val="1"/>
      <w:marLeft w:val="0"/>
      <w:marRight w:val="0"/>
      <w:marTop w:val="0"/>
      <w:marBottom w:val="0"/>
      <w:divBdr>
        <w:top w:val="none" w:sz="0" w:space="0" w:color="auto"/>
        <w:left w:val="none" w:sz="0" w:space="0" w:color="auto"/>
        <w:bottom w:val="none" w:sz="0" w:space="0" w:color="auto"/>
        <w:right w:val="none" w:sz="0" w:space="0" w:color="auto"/>
      </w:divBdr>
    </w:div>
    <w:div w:id="1466773419">
      <w:bodyDiv w:val="1"/>
      <w:marLeft w:val="0"/>
      <w:marRight w:val="0"/>
      <w:marTop w:val="0"/>
      <w:marBottom w:val="0"/>
      <w:divBdr>
        <w:top w:val="none" w:sz="0" w:space="0" w:color="auto"/>
        <w:left w:val="none" w:sz="0" w:space="0" w:color="auto"/>
        <w:bottom w:val="none" w:sz="0" w:space="0" w:color="auto"/>
        <w:right w:val="none" w:sz="0" w:space="0" w:color="auto"/>
      </w:divBdr>
    </w:div>
    <w:div w:id="1466855458">
      <w:bodyDiv w:val="1"/>
      <w:marLeft w:val="0"/>
      <w:marRight w:val="0"/>
      <w:marTop w:val="0"/>
      <w:marBottom w:val="0"/>
      <w:divBdr>
        <w:top w:val="none" w:sz="0" w:space="0" w:color="auto"/>
        <w:left w:val="none" w:sz="0" w:space="0" w:color="auto"/>
        <w:bottom w:val="none" w:sz="0" w:space="0" w:color="auto"/>
        <w:right w:val="none" w:sz="0" w:space="0" w:color="auto"/>
      </w:divBdr>
    </w:div>
    <w:div w:id="1467820307">
      <w:bodyDiv w:val="1"/>
      <w:marLeft w:val="0"/>
      <w:marRight w:val="0"/>
      <w:marTop w:val="0"/>
      <w:marBottom w:val="0"/>
      <w:divBdr>
        <w:top w:val="none" w:sz="0" w:space="0" w:color="auto"/>
        <w:left w:val="none" w:sz="0" w:space="0" w:color="auto"/>
        <w:bottom w:val="none" w:sz="0" w:space="0" w:color="auto"/>
        <w:right w:val="none" w:sz="0" w:space="0" w:color="auto"/>
      </w:divBdr>
    </w:div>
    <w:div w:id="1469782284">
      <w:bodyDiv w:val="1"/>
      <w:marLeft w:val="0"/>
      <w:marRight w:val="0"/>
      <w:marTop w:val="0"/>
      <w:marBottom w:val="0"/>
      <w:divBdr>
        <w:top w:val="none" w:sz="0" w:space="0" w:color="auto"/>
        <w:left w:val="none" w:sz="0" w:space="0" w:color="auto"/>
        <w:bottom w:val="none" w:sz="0" w:space="0" w:color="auto"/>
        <w:right w:val="none" w:sz="0" w:space="0" w:color="auto"/>
      </w:divBdr>
      <w:divsChild>
        <w:div w:id="1146968673">
          <w:marLeft w:val="0"/>
          <w:marRight w:val="0"/>
          <w:marTop w:val="0"/>
          <w:marBottom w:val="0"/>
          <w:divBdr>
            <w:top w:val="none" w:sz="0" w:space="0" w:color="auto"/>
            <w:left w:val="none" w:sz="0" w:space="0" w:color="auto"/>
            <w:bottom w:val="none" w:sz="0" w:space="0" w:color="auto"/>
            <w:right w:val="none" w:sz="0" w:space="0" w:color="auto"/>
          </w:divBdr>
        </w:div>
      </w:divsChild>
    </w:div>
    <w:div w:id="1472600248">
      <w:bodyDiv w:val="1"/>
      <w:marLeft w:val="0"/>
      <w:marRight w:val="0"/>
      <w:marTop w:val="0"/>
      <w:marBottom w:val="0"/>
      <w:divBdr>
        <w:top w:val="none" w:sz="0" w:space="0" w:color="auto"/>
        <w:left w:val="none" w:sz="0" w:space="0" w:color="auto"/>
        <w:bottom w:val="none" w:sz="0" w:space="0" w:color="auto"/>
        <w:right w:val="none" w:sz="0" w:space="0" w:color="auto"/>
      </w:divBdr>
    </w:div>
    <w:div w:id="1482379474">
      <w:bodyDiv w:val="1"/>
      <w:marLeft w:val="0"/>
      <w:marRight w:val="0"/>
      <w:marTop w:val="0"/>
      <w:marBottom w:val="0"/>
      <w:divBdr>
        <w:top w:val="none" w:sz="0" w:space="0" w:color="auto"/>
        <w:left w:val="none" w:sz="0" w:space="0" w:color="auto"/>
        <w:bottom w:val="none" w:sz="0" w:space="0" w:color="auto"/>
        <w:right w:val="none" w:sz="0" w:space="0" w:color="auto"/>
      </w:divBdr>
    </w:div>
    <w:div w:id="1486555387">
      <w:bodyDiv w:val="1"/>
      <w:marLeft w:val="0"/>
      <w:marRight w:val="0"/>
      <w:marTop w:val="0"/>
      <w:marBottom w:val="0"/>
      <w:divBdr>
        <w:top w:val="none" w:sz="0" w:space="0" w:color="auto"/>
        <w:left w:val="none" w:sz="0" w:space="0" w:color="auto"/>
        <w:bottom w:val="none" w:sz="0" w:space="0" w:color="auto"/>
        <w:right w:val="none" w:sz="0" w:space="0" w:color="auto"/>
      </w:divBdr>
    </w:div>
    <w:div w:id="1486627150">
      <w:bodyDiv w:val="1"/>
      <w:marLeft w:val="0"/>
      <w:marRight w:val="0"/>
      <w:marTop w:val="0"/>
      <w:marBottom w:val="0"/>
      <w:divBdr>
        <w:top w:val="none" w:sz="0" w:space="0" w:color="auto"/>
        <w:left w:val="none" w:sz="0" w:space="0" w:color="auto"/>
        <w:bottom w:val="none" w:sz="0" w:space="0" w:color="auto"/>
        <w:right w:val="none" w:sz="0" w:space="0" w:color="auto"/>
      </w:divBdr>
    </w:div>
    <w:div w:id="1486973728">
      <w:bodyDiv w:val="1"/>
      <w:marLeft w:val="0"/>
      <w:marRight w:val="0"/>
      <w:marTop w:val="0"/>
      <w:marBottom w:val="0"/>
      <w:divBdr>
        <w:top w:val="none" w:sz="0" w:space="0" w:color="auto"/>
        <w:left w:val="none" w:sz="0" w:space="0" w:color="auto"/>
        <w:bottom w:val="none" w:sz="0" w:space="0" w:color="auto"/>
        <w:right w:val="none" w:sz="0" w:space="0" w:color="auto"/>
      </w:divBdr>
    </w:div>
    <w:div w:id="1488791164">
      <w:bodyDiv w:val="1"/>
      <w:marLeft w:val="0"/>
      <w:marRight w:val="0"/>
      <w:marTop w:val="0"/>
      <w:marBottom w:val="0"/>
      <w:divBdr>
        <w:top w:val="none" w:sz="0" w:space="0" w:color="auto"/>
        <w:left w:val="none" w:sz="0" w:space="0" w:color="auto"/>
        <w:bottom w:val="none" w:sz="0" w:space="0" w:color="auto"/>
        <w:right w:val="none" w:sz="0" w:space="0" w:color="auto"/>
      </w:divBdr>
    </w:div>
    <w:div w:id="1489517161">
      <w:bodyDiv w:val="1"/>
      <w:marLeft w:val="0"/>
      <w:marRight w:val="0"/>
      <w:marTop w:val="0"/>
      <w:marBottom w:val="0"/>
      <w:divBdr>
        <w:top w:val="none" w:sz="0" w:space="0" w:color="auto"/>
        <w:left w:val="none" w:sz="0" w:space="0" w:color="auto"/>
        <w:bottom w:val="none" w:sz="0" w:space="0" w:color="auto"/>
        <w:right w:val="none" w:sz="0" w:space="0" w:color="auto"/>
      </w:divBdr>
    </w:div>
    <w:div w:id="1489707306">
      <w:bodyDiv w:val="1"/>
      <w:marLeft w:val="0"/>
      <w:marRight w:val="0"/>
      <w:marTop w:val="0"/>
      <w:marBottom w:val="0"/>
      <w:divBdr>
        <w:top w:val="none" w:sz="0" w:space="0" w:color="auto"/>
        <w:left w:val="none" w:sz="0" w:space="0" w:color="auto"/>
        <w:bottom w:val="none" w:sz="0" w:space="0" w:color="auto"/>
        <w:right w:val="none" w:sz="0" w:space="0" w:color="auto"/>
      </w:divBdr>
    </w:div>
    <w:div w:id="1490289991">
      <w:bodyDiv w:val="1"/>
      <w:marLeft w:val="0"/>
      <w:marRight w:val="0"/>
      <w:marTop w:val="0"/>
      <w:marBottom w:val="0"/>
      <w:divBdr>
        <w:top w:val="none" w:sz="0" w:space="0" w:color="auto"/>
        <w:left w:val="none" w:sz="0" w:space="0" w:color="auto"/>
        <w:bottom w:val="none" w:sz="0" w:space="0" w:color="auto"/>
        <w:right w:val="none" w:sz="0" w:space="0" w:color="auto"/>
      </w:divBdr>
    </w:div>
    <w:div w:id="1491870103">
      <w:bodyDiv w:val="1"/>
      <w:marLeft w:val="0"/>
      <w:marRight w:val="0"/>
      <w:marTop w:val="0"/>
      <w:marBottom w:val="0"/>
      <w:divBdr>
        <w:top w:val="none" w:sz="0" w:space="0" w:color="auto"/>
        <w:left w:val="none" w:sz="0" w:space="0" w:color="auto"/>
        <w:bottom w:val="none" w:sz="0" w:space="0" w:color="auto"/>
        <w:right w:val="none" w:sz="0" w:space="0" w:color="auto"/>
      </w:divBdr>
    </w:div>
    <w:div w:id="1493332495">
      <w:bodyDiv w:val="1"/>
      <w:marLeft w:val="0"/>
      <w:marRight w:val="0"/>
      <w:marTop w:val="0"/>
      <w:marBottom w:val="0"/>
      <w:divBdr>
        <w:top w:val="none" w:sz="0" w:space="0" w:color="auto"/>
        <w:left w:val="none" w:sz="0" w:space="0" w:color="auto"/>
        <w:bottom w:val="none" w:sz="0" w:space="0" w:color="auto"/>
        <w:right w:val="none" w:sz="0" w:space="0" w:color="auto"/>
      </w:divBdr>
    </w:div>
    <w:div w:id="1497529820">
      <w:bodyDiv w:val="1"/>
      <w:marLeft w:val="0"/>
      <w:marRight w:val="0"/>
      <w:marTop w:val="0"/>
      <w:marBottom w:val="0"/>
      <w:divBdr>
        <w:top w:val="none" w:sz="0" w:space="0" w:color="auto"/>
        <w:left w:val="none" w:sz="0" w:space="0" w:color="auto"/>
        <w:bottom w:val="none" w:sz="0" w:space="0" w:color="auto"/>
        <w:right w:val="none" w:sz="0" w:space="0" w:color="auto"/>
      </w:divBdr>
    </w:div>
    <w:div w:id="1505171872">
      <w:bodyDiv w:val="1"/>
      <w:marLeft w:val="0"/>
      <w:marRight w:val="0"/>
      <w:marTop w:val="0"/>
      <w:marBottom w:val="0"/>
      <w:divBdr>
        <w:top w:val="none" w:sz="0" w:space="0" w:color="auto"/>
        <w:left w:val="none" w:sz="0" w:space="0" w:color="auto"/>
        <w:bottom w:val="none" w:sz="0" w:space="0" w:color="auto"/>
        <w:right w:val="none" w:sz="0" w:space="0" w:color="auto"/>
      </w:divBdr>
    </w:div>
    <w:div w:id="1506480115">
      <w:bodyDiv w:val="1"/>
      <w:marLeft w:val="0"/>
      <w:marRight w:val="0"/>
      <w:marTop w:val="0"/>
      <w:marBottom w:val="0"/>
      <w:divBdr>
        <w:top w:val="none" w:sz="0" w:space="0" w:color="auto"/>
        <w:left w:val="none" w:sz="0" w:space="0" w:color="auto"/>
        <w:bottom w:val="none" w:sz="0" w:space="0" w:color="auto"/>
        <w:right w:val="none" w:sz="0" w:space="0" w:color="auto"/>
      </w:divBdr>
    </w:div>
    <w:div w:id="1506704011">
      <w:bodyDiv w:val="1"/>
      <w:marLeft w:val="0"/>
      <w:marRight w:val="0"/>
      <w:marTop w:val="0"/>
      <w:marBottom w:val="0"/>
      <w:divBdr>
        <w:top w:val="none" w:sz="0" w:space="0" w:color="auto"/>
        <w:left w:val="none" w:sz="0" w:space="0" w:color="auto"/>
        <w:bottom w:val="none" w:sz="0" w:space="0" w:color="auto"/>
        <w:right w:val="none" w:sz="0" w:space="0" w:color="auto"/>
      </w:divBdr>
    </w:div>
    <w:div w:id="1507790530">
      <w:bodyDiv w:val="1"/>
      <w:marLeft w:val="0"/>
      <w:marRight w:val="0"/>
      <w:marTop w:val="0"/>
      <w:marBottom w:val="0"/>
      <w:divBdr>
        <w:top w:val="none" w:sz="0" w:space="0" w:color="auto"/>
        <w:left w:val="none" w:sz="0" w:space="0" w:color="auto"/>
        <w:bottom w:val="none" w:sz="0" w:space="0" w:color="auto"/>
        <w:right w:val="none" w:sz="0" w:space="0" w:color="auto"/>
      </w:divBdr>
    </w:div>
    <w:div w:id="1510674490">
      <w:bodyDiv w:val="1"/>
      <w:marLeft w:val="0"/>
      <w:marRight w:val="0"/>
      <w:marTop w:val="0"/>
      <w:marBottom w:val="0"/>
      <w:divBdr>
        <w:top w:val="none" w:sz="0" w:space="0" w:color="auto"/>
        <w:left w:val="none" w:sz="0" w:space="0" w:color="auto"/>
        <w:bottom w:val="none" w:sz="0" w:space="0" w:color="auto"/>
        <w:right w:val="none" w:sz="0" w:space="0" w:color="auto"/>
      </w:divBdr>
    </w:div>
    <w:div w:id="1513835924">
      <w:bodyDiv w:val="1"/>
      <w:marLeft w:val="0"/>
      <w:marRight w:val="0"/>
      <w:marTop w:val="0"/>
      <w:marBottom w:val="0"/>
      <w:divBdr>
        <w:top w:val="none" w:sz="0" w:space="0" w:color="auto"/>
        <w:left w:val="none" w:sz="0" w:space="0" w:color="auto"/>
        <w:bottom w:val="none" w:sz="0" w:space="0" w:color="auto"/>
        <w:right w:val="none" w:sz="0" w:space="0" w:color="auto"/>
      </w:divBdr>
    </w:div>
    <w:div w:id="1514805765">
      <w:bodyDiv w:val="1"/>
      <w:marLeft w:val="0"/>
      <w:marRight w:val="0"/>
      <w:marTop w:val="0"/>
      <w:marBottom w:val="0"/>
      <w:divBdr>
        <w:top w:val="none" w:sz="0" w:space="0" w:color="auto"/>
        <w:left w:val="none" w:sz="0" w:space="0" w:color="auto"/>
        <w:bottom w:val="none" w:sz="0" w:space="0" w:color="auto"/>
        <w:right w:val="none" w:sz="0" w:space="0" w:color="auto"/>
      </w:divBdr>
    </w:div>
    <w:div w:id="1515536539">
      <w:bodyDiv w:val="1"/>
      <w:marLeft w:val="0"/>
      <w:marRight w:val="0"/>
      <w:marTop w:val="0"/>
      <w:marBottom w:val="0"/>
      <w:divBdr>
        <w:top w:val="none" w:sz="0" w:space="0" w:color="auto"/>
        <w:left w:val="none" w:sz="0" w:space="0" w:color="auto"/>
        <w:bottom w:val="none" w:sz="0" w:space="0" w:color="auto"/>
        <w:right w:val="none" w:sz="0" w:space="0" w:color="auto"/>
      </w:divBdr>
    </w:div>
    <w:div w:id="1517304761">
      <w:bodyDiv w:val="1"/>
      <w:marLeft w:val="0"/>
      <w:marRight w:val="0"/>
      <w:marTop w:val="0"/>
      <w:marBottom w:val="0"/>
      <w:divBdr>
        <w:top w:val="none" w:sz="0" w:space="0" w:color="auto"/>
        <w:left w:val="none" w:sz="0" w:space="0" w:color="auto"/>
        <w:bottom w:val="none" w:sz="0" w:space="0" w:color="auto"/>
        <w:right w:val="none" w:sz="0" w:space="0" w:color="auto"/>
      </w:divBdr>
    </w:div>
    <w:div w:id="1517504074">
      <w:bodyDiv w:val="1"/>
      <w:marLeft w:val="0"/>
      <w:marRight w:val="0"/>
      <w:marTop w:val="0"/>
      <w:marBottom w:val="0"/>
      <w:divBdr>
        <w:top w:val="none" w:sz="0" w:space="0" w:color="auto"/>
        <w:left w:val="none" w:sz="0" w:space="0" w:color="auto"/>
        <w:bottom w:val="none" w:sz="0" w:space="0" w:color="auto"/>
        <w:right w:val="none" w:sz="0" w:space="0" w:color="auto"/>
      </w:divBdr>
    </w:div>
    <w:div w:id="1519344179">
      <w:bodyDiv w:val="1"/>
      <w:marLeft w:val="0"/>
      <w:marRight w:val="0"/>
      <w:marTop w:val="0"/>
      <w:marBottom w:val="0"/>
      <w:divBdr>
        <w:top w:val="none" w:sz="0" w:space="0" w:color="auto"/>
        <w:left w:val="none" w:sz="0" w:space="0" w:color="auto"/>
        <w:bottom w:val="none" w:sz="0" w:space="0" w:color="auto"/>
        <w:right w:val="none" w:sz="0" w:space="0" w:color="auto"/>
      </w:divBdr>
    </w:div>
    <w:div w:id="1520969359">
      <w:bodyDiv w:val="1"/>
      <w:marLeft w:val="0"/>
      <w:marRight w:val="0"/>
      <w:marTop w:val="0"/>
      <w:marBottom w:val="0"/>
      <w:divBdr>
        <w:top w:val="none" w:sz="0" w:space="0" w:color="auto"/>
        <w:left w:val="none" w:sz="0" w:space="0" w:color="auto"/>
        <w:bottom w:val="none" w:sz="0" w:space="0" w:color="auto"/>
        <w:right w:val="none" w:sz="0" w:space="0" w:color="auto"/>
      </w:divBdr>
    </w:div>
    <w:div w:id="1532765429">
      <w:bodyDiv w:val="1"/>
      <w:marLeft w:val="0"/>
      <w:marRight w:val="0"/>
      <w:marTop w:val="0"/>
      <w:marBottom w:val="0"/>
      <w:divBdr>
        <w:top w:val="none" w:sz="0" w:space="0" w:color="auto"/>
        <w:left w:val="none" w:sz="0" w:space="0" w:color="auto"/>
        <w:bottom w:val="none" w:sz="0" w:space="0" w:color="auto"/>
        <w:right w:val="none" w:sz="0" w:space="0" w:color="auto"/>
      </w:divBdr>
    </w:div>
    <w:div w:id="1535383912">
      <w:bodyDiv w:val="1"/>
      <w:marLeft w:val="0"/>
      <w:marRight w:val="0"/>
      <w:marTop w:val="0"/>
      <w:marBottom w:val="0"/>
      <w:divBdr>
        <w:top w:val="none" w:sz="0" w:space="0" w:color="auto"/>
        <w:left w:val="none" w:sz="0" w:space="0" w:color="auto"/>
        <w:bottom w:val="none" w:sz="0" w:space="0" w:color="auto"/>
        <w:right w:val="none" w:sz="0" w:space="0" w:color="auto"/>
      </w:divBdr>
    </w:div>
    <w:div w:id="1542009005">
      <w:bodyDiv w:val="1"/>
      <w:marLeft w:val="0"/>
      <w:marRight w:val="0"/>
      <w:marTop w:val="0"/>
      <w:marBottom w:val="0"/>
      <w:divBdr>
        <w:top w:val="none" w:sz="0" w:space="0" w:color="auto"/>
        <w:left w:val="none" w:sz="0" w:space="0" w:color="auto"/>
        <w:bottom w:val="none" w:sz="0" w:space="0" w:color="auto"/>
        <w:right w:val="none" w:sz="0" w:space="0" w:color="auto"/>
      </w:divBdr>
    </w:div>
    <w:div w:id="1544100559">
      <w:bodyDiv w:val="1"/>
      <w:marLeft w:val="0"/>
      <w:marRight w:val="0"/>
      <w:marTop w:val="0"/>
      <w:marBottom w:val="0"/>
      <w:divBdr>
        <w:top w:val="none" w:sz="0" w:space="0" w:color="auto"/>
        <w:left w:val="none" w:sz="0" w:space="0" w:color="auto"/>
        <w:bottom w:val="none" w:sz="0" w:space="0" w:color="auto"/>
        <w:right w:val="none" w:sz="0" w:space="0" w:color="auto"/>
      </w:divBdr>
    </w:div>
    <w:div w:id="1546061759">
      <w:bodyDiv w:val="1"/>
      <w:marLeft w:val="0"/>
      <w:marRight w:val="0"/>
      <w:marTop w:val="0"/>
      <w:marBottom w:val="0"/>
      <w:divBdr>
        <w:top w:val="none" w:sz="0" w:space="0" w:color="auto"/>
        <w:left w:val="none" w:sz="0" w:space="0" w:color="auto"/>
        <w:bottom w:val="none" w:sz="0" w:space="0" w:color="auto"/>
        <w:right w:val="none" w:sz="0" w:space="0" w:color="auto"/>
      </w:divBdr>
    </w:div>
    <w:div w:id="1548688692">
      <w:bodyDiv w:val="1"/>
      <w:marLeft w:val="0"/>
      <w:marRight w:val="0"/>
      <w:marTop w:val="0"/>
      <w:marBottom w:val="0"/>
      <w:divBdr>
        <w:top w:val="none" w:sz="0" w:space="0" w:color="auto"/>
        <w:left w:val="none" w:sz="0" w:space="0" w:color="auto"/>
        <w:bottom w:val="none" w:sz="0" w:space="0" w:color="auto"/>
        <w:right w:val="none" w:sz="0" w:space="0" w:color="auto"/>
      </w:divBdr>
    </w:div>
    <w:div w:id="1551765041">
      <w:bodyDiv w:val="1"/>
      <w:marLeft w:val="0"/>
      <w:marRight w:val="0"/>
      <w:marTop w:val="0"/>
      <w:marBottom w:val="0"/>
      <w:divBdr>
        <w:top w:val="none" w:sz="0" w:space="0" w:color="auto"/>
        <w:left w:val="none" w:sz="0" w:space="0" w:color="auto"/>
        <w:bottom w:val="none" w:sz="0" w:space="0" w:color="auto"/>
        <w:right w:val="none" w:sz="0" w:space="0" w:color="auto"/>
      </w:divBdr>
    </w:div>
    <w:div w:id="1555628621">
      <w:bodyDiv w:val="1"/>
      <w:marLeft w:val="0"/>
      <w:marRight w:val="0"/>
      <w:marTop w:val="0"/>
      <w:marBottom w:val="0"/>
      <w:divBdr>
        <w:top w:val="none" w:sz="0" w:space="0" w:color="auto"/>
        <w:left w:val="none" w:sz="0" w:space="0" w:color="auto"/>
        <w:bottom w:val="none" w:sz="0" w:space="0" w:color="auto"/>
        <w:right w:val="none" w:sz="0" w:space="0" w:color="auto"/>
      </w:divBdr>
    </w:div>
    <w:div w:id="1558006443">
      <w:bodyDiv w:val="1"/>
      <w:marLeft w:val="0"/>
      <w:marRight w:val="0"/>
      <w:marTop w:val="0"/>
      <w:marBottom w:val="0"/>
      <w:divBdr>
        <w:top w:val="none" w:sz="0" w:space="0" w:color="auto"/>
        <w:left w:val="none" w:sz="0" w:space="0" w:color="auto"/>
        <w:bottom w:val="none" w:sz="0" w:space="0" w:color="auto"/>
        <w:right w:val="none" w:sz="0" w:space="0" w:color="auto"/>
      </w:divBdr>
    </w:div>
    <w:div w:id="1561552809">
      <w:bodyDiv w:val="1"/>
      <w:marLeft w:val="0"/>
      <w:marRight w:val="0"/>
      <w:marTop w:val="0"/>
      <w:marBottom w:val="0"/>
      <w:divBdr>
        <w:top w:val="none" w:sz="0" w:space="0" w:color="auto"/>
        <w:left w:val="none" w:sz="0" w:space="0" w:color="auto"/>
        <w:bottom w:val="none" w:sz="0" w:space="0" w:color="auto"/>
        <w:right w:val="none" w:sz="0" w:space="0" w:color="auto"/>
      </w:divBdr>
    </w:div>
    <w:div w:id="1561864395">
      <w:bodyDiv w:val="1"/>
      <w:marLeft w:val="0"/>
      <w:marRight w:val="0"/>
      <w:marTop w:val="0"/>
      <w:marBottom w:val="0"/>
      <w:divBdr>
        <w:top w:val="none" w:sz="0" w:space="0" w:color="auto"/>
        <w:left w:val="none" w:sz="0" w:space="0" w:color="auto"/>
        <w:bottom w:val="none" w:sz="0" w:space="0" w:color="auto"/>
        <w:right w:val="none" w:sz="0" w:space="0" w:color="auto"/>
      </w:divBdr>
    </w:div>
    <w:div w:id="1562449671">
      <w:bodyDiv w:val="1"/>
      <w:marLeft w:val="0"/>
      <w:marRight w:val="0"/>
      <w:marTop w:val="0"/>
      <w:marBottom w:val="0"/>
      <w:divBdr>
        <w:top w:val="none" w:sz="0" w:space="0" w:color="auto"/>
        <w:left w:val="none" w:sz="0" w:space="0" w:color="auto"/>
        <w:bottom w:val="none" w:sz="0" w:space="0" w:color="auto"/>
        <w:right w:val="none" w:sz="0" w:space="0" w:color="auto"/>
      </w:divBdr>
    </w:div>
    <w:div w:id="1570724477">
      <w:bodyDiv w:val="1"/>
      <w:marLeft w:val="0"/>
      <w:marRight w:val="0"/>
      <w:marTop w:val="0"/>
      <w:marBottom w:val="0"/>
      <w:divBdr>
        <w:top w:val="none" w:sz="0" w:space="0" w:color="auto"/>
        <w:left w:val="none" w:sz="0" w:space="0" w:color="auto"/>
        <w:bottom w:val="none" w:sz="0" w:space="0" w:color="auto"/>
        <w:right w:val="none" w:sz="0" w:space="0" w:color="auto"/>
      </w:divBdr>
    </w:div>
    <w:div w:id="1572816253">
      <w:bodyDiv w:val="1"/>
      <w:marLeft w:val="0"/>
      <w:marRight w:val="0"/>
      <w:marTop w:val="0"/>
      <w:marBottom w:val="0"/>
      <w:divBdr>
        <w:top w:val="none" w:sz="0" w:space="0" w:color="auto"/>
        <w:left w:val="none" w:sz="0" w:space="0" w:color="auto"/>
        <w:bottom w:val="none" w:sz="0" w:space="0" w:color="auto"/>
        <w:right w:val="none" w:sz="0" w:space="0" w:color="auto"/>
      </w:divBdr>
    </w:div>
    <w:div w:id="1574731773">
      <w:bodyDiv w:val="1"/>
      <w:marLeft w:val="0"/>
      <w:marRight w:val="0"/>
      <w:marTop w:val="0"/>
      <w:marBottom w:val="0"/>
      <w:divBdr>
        <w:top w:val="none" w:sz="0" w:space="0" w:color="auto"/>
        <w:left w:val="none" w:sz="0" w:space="0" w:color="auto"/>
        <w:bottom w:val="none" w:sz="0" w:space="0" w:color="auto"/>
        <w:right w:val="none" w:sz="0" w:space="0" w:color="auto"/>
      </w:divBdr>
    </w:div>
    <w:div w:id="1575243581">
      <w:bodyDiv w:val="1"/>
      <w:marLeft w:val="0"/>
      <w:marRight w:val="0"/>
      <w:marTop w:val="0"/>
      <w:marBottom w:val="0"/>
      <w:divBdr>
        <w:top w:val="none" w:sz="0" w:space="0" w:color="auto"/>
        <w:left w:val="none" w:sz="0" w:space="0" w:color="auto"/>
        <w:bottom w:val="none" w:sz="0" w:space="0" w:color="auto"/>
        <w:right w:val="none" w:sz="0" w:space="0" w:color="auto"/>
      </w:divBdr>
    </w:div>
    <w:div w:id="1576741738">
      <w:bodyDiv w:val="1"/>
      <w:marLeft w:val="0"/>
      <w:marRight w:val="0"/>
      <w:marTop w:val="0"/>
      <w:marBottom w:val="0"/>
      <w:divBdr>
        <w:top w:val="none" w:sz="0" w:space="0" w:color="auto"/>
        <w:left w:val="none" w:sz="0" w:space="0" w:color="auto"/>
        <w:bottom w:val="none" w:sz="0" w:space="0" w:color="auto"/>
        <w:right w:val="none" w:sz="0" w:space="0" w:color="auto"/>
      </w:divBdr>
    </w:div>
    <w:div w:id="1578058098">
      <w:bodyDiv w:val="1"/>
      <w:marLeft w:val="0"/>
      <w:marRight w:val="0"/>
      <w:marTop w:val="0"/>
      <w:marBottom w:val="0"/>
      <w:divBdr>
        <w:top w:val="none" w:sz="0" w:space="0" w:color="auto"/>
        <w:left w:val="none" w:sz="0" w:space="0" w:color="auto"/>
        <w:bottom w:val="none" w:sz="0" w:space="0" w:color="auto"/>
        <w:right w:val="none" w:sz="0" w:space="0" w:color="auto"/>
      </w:divBdr>
    </w:div>
    <w:div w:id="1578782637">
      <w:bodyDiv w:val="1"/>
      <w:marLeft w:val="0"/>
      <w:marRight w:val="0"/>
      <w:marTop w:val="0"/>
      <w:marBottom w:val="0"/>
      <w:divBdr>
        <w:top w:val="none" w:sz="0" w:space="0" w:color="auto"/>
        <w:left w:val="none" w:sz="0" w:space="0" w:color="auto"/>
        <w:bottom w:val="none" w:sz="0" w:space="0" w:color="auto"/>
        <w:right w:val="none" w:sz="0" w:space="0" w:color="auto"/>
      </w:divBdr>
    </w:div>
    <w:div w:id="1579443274">
      <w:bodyDiv w:val="1"/>
      <w:marLeft w:val="0"/>
      <w:marRight w:val="0"/>
      <w:marTop w:val="0"/>
      <w:marBottom w:val="0"/>
      <w:divBdr>
        <w:top w:val="none" w:sz="0" w:space="0" w:color="auto"/>
        <w:left w:val="none" w:sz="0" w:space="0" w:color="auto"/>
        <w:bottom w:val="none" w:sz="0" w:space="0" w:color="auto"/>
        <w:right w:val="none" w:sz="0" w:space="0" w:color="auto"/>
      </w:divBdr>
    </w:div>
    <w:div w:id="1583105818">
      <w:bodyDiv w:val="1"/>
      <w:marLeft w:val="0"/>
      <w:marRight w:val="0"/>
      <w:marTop w:val="0"/>
      <w:marBottom w:val="0"/>
      <w:divBdr>
        <w:top w:val="none" w:sz="0" w:space="0" w:color="auto"/>
        <w:left w:val="none" w:sz="0" w:space="0" w:color="auto"/>
        <w:bottom w:val="none" w:sz="0" w:space="0" w:color="auto"/>
        <w:right w:val="none" w:sz="0" w:space="0" w:color="auto"/>
      </w:divBdr>
    </w:div>
    <w:div w:id="1584487141">
      <w:bodyDiv w:val="1"/>
      <w:marLeft w:val="0"/>
      <w:marRight w:val="0"/>
      <w:marTop w:val="0"/>
      <w:marBottom w:val="0"/>
      <w:divBdr>
        <w:top w:val="none" w:sz="0" w:space="0" w:color="auto"/>
        <w:left w:val="none" w:sz="0" w:space="0" w:color="auto"/>
        <w:bottom w:val="none" w:sz="0" w:space="0" w:color="auto"/>
        <w:right w:val="none" w:sz="0" w:space="0" w:color="auto"/>
      </w:divBdr>
    </w:div>
    <w:div w:id="1587959990">
      <w:bodyDiv w:val="1"/>
      <w:marLeft w:val="0"/>
      <w:marRight w:val="0"/>
      <w:marTop w:val="0"/>
      <w:marBottom w:val="0"/>
      <w:divBdr>
        <w:top w:val="none" w:sz="0" w:space="0" w:color="auto"/>
        <w:left w:val="none" w:sz="0" w:space="0" w:color="auto"/>
        <w:bottom w:val="none" w:sz="0" w:space="0" w:color="auto"/>
        <w:right w:val="none" w:sz="0" w:space="0" w:color="auto"/>
      </w:divBdr>
    </w:div>
    <w:div w:id="1588415142">
      <w:bodyDiv w:val="1"/>
      <w:marLeft w:val="0"/>
      <w:marRight w:val="0"/>
      <w:marTop w:val="0"/>
      <w:marBottom w:val="0"/>
      <w:divBdr>
        <w:top w:val="none" w:sz="0" w:space="0" w:color="auto"/>
        <w:left w:val="none" w:sz="0" w:space="0" w:color="auto"/>
        <w:bottom w:val="none" w:sz="0" w:space="0" w:color="auto"/>
        <w:right w:val="none" w:sz="0" w:space="0" w:color="auto"/>
      </w:divBdr>
    </w:div>
    <w:div w:id="1590775117">
      <w:bodyDiv w:val="1"/>
      <w:marLeft w:val="0"/>
      <w:marRight w:val="0"/>
      <w:marTop w:val="0"/>
      <w:marBottom w:val="0"/>
      <w:divBdr>
        <w:top w:val="none" w:sz="0" w:space="0" w:color="auto"/>
        <w:left w:val="none" w:sz="0" w:space="0" w:color="auto"/>
        <w:bottom w:val="none" w:sz="0" w:space="0" w:color="auto"/>
        <w:right w:val="none" w:sz="0" w:space="0" w:color="auto"/>
      </w:divBdr>
    </w:div>
    <w:div w:id="1590968864">
      <w:bodyDiv w:val="1"/>
      <w:marLeft w:val="0"/>
      <w:marRight w:val="0"/>
      <w:marTop w:val="0"/>
      <w:marBottom w:val="0"/>
      <w:divBdr>
        <w:top w:val="none" w:sz="0" w:space="0" w:color="auto"/>
        <w:left w:val="none" w:sz="0" w:space="0" w:color="auto"/>
        <w:bottom w:val="none" w:sz="0" w:space="0" w:color="auto"/>
        <w:right w:val="none" w:sz="0" w:space="0" w:color="auto"/>
      </w:divBdr>
    </w:div>
    <w:div w:id="1590970438">
      <w:bodyDiv w:val="1"/>
      <w:marLeft w:val="0"/>
      <w:marRight w:val="0"/>
      <w:marTop w:val="0"/>
      <w:marBottom w:val="0"/>
      <w:divBdr>
        <w:top w:val="none" w:sz="0" w:space="0" w:color="auto"/>
        <w:left w:val="none" w:sz="0" w:space="0" w:color="auto"/>
        <w:bottom w:val="none" w:sz="0" w:space="0" w:color="auto"/>
        <w:right w:val="none" w:sz="0" w:space="0" w:color="auto"/>
      </w:divBdr>
    </w:div>
    <w:div w:id="1595046490">
      <w:bodyDiv w:val="1"/>
      <w:marLeft w:val="0"/>
      <w:marRight w:val="0"/>
      <w:marTop w:val="0"/>
      <w:marBottom w:val="0"/>
      <w:divBdr>
        <w:top w:val="none" w:sz="0" w:space="0" w:color="auto"/>
        <w:left w:val="none" w:sz="0" w:space="0" w:color="auto"/>
        <w:bottom w:val="none" w:sz="0" w:space="0" w:color="auto"/>
        <w:right w:val="none" w:sz="0" w:space="0" w:color="auto"/>
      </w:divBdr>
    </w:div>
    <w:div w:id="1597638680">
      <w:bodyDiv w:val="1"/>
      <w:marLeft w:val="0"/>
      <w:marRight w:val="0"/>
      <w:marTop w:val="0"/>
      <w:marBottom w:val="0"/>
      <w:divBdr>
        <w:top w:val="none" w:sz="0" w:space="0" w:color="auto"/>
        <w:left w:val="none" w:sz="0" w:space="0" w:color="auto"/>
        <w:bottom w:val="none" w:sz="0" w:space="0" w:color="auto"/>
        <w:right w:val="none" w:sz="0" w:space="0" w:color="auto"/>
      </w:divBdr>
    </w:div>
    <w:div w:id="1599018689">
      <w:bodyDiv w:val="1"/>
      <w:marLeft w:val="0"/>
      <w:marRight w:val="0"/>
      <w:marTop w:val="0"/>
      <w:marBottom w:val="0"/>
      <w:divBdr>
        <w:top w:val="none" w:sz="0" w:space="0" w:color="auto"/>
        <w:left w:val="none" w:sz="0" w:space="0" w:color="auto"/>
        <w:bottom w:val="none" w:sz="0" w:space="0" w:color="auto"/>
        <w:right w:val="none" w:sz="0" w:space="0" w:color="auto"/>
      </w:divBdr>
    </w:div>
    <w:div w:id="1602301145">
      <w:bodyDiv w:val="1"/>
      <w:marLeft w:val="0"/>
      <w:marRight w:val="0"/>
      <w:marTop w:val="0"/>
      <w:marBottom w:val="0"/>
      <w:divBdr>
        <w:top w:val="none" w:sz="0" w:space="0" w:color="auto"/>
        <w:left w:val="none" w:sz="0" w:space="0" w:color="auto"/>
        <w:bottom w:val="none" w:sz="0" w:space="0" w:color="auto"/>
        <w:right w:val="none" w:sz="0" w:space="0" w:color="auto"/>
      </w:divBdr>
    </w:div>
    <w:div w:id="1603411108">
      <w:bodyDiv w:val="1"/>
      <w:marLeft w:val="0"/>
      <w:marRight w:val="0"/>
      <w:marTop w:val="0"/>
      <w:marBottom w:val="0"/>
      <w:divBdr>
        <w:top w:val="none" w:sz="0" w:space="0" w:color="auto"/>
        <w:left w:val="none" w:sz="0" w:space="0" w:color="auto"/>
        <w:bottom w:val="none" w:sz="0" w:space="0" w:color="auto"/>
        <w:right w:val="none" w:sz="0" w:space="0" w:color="auto"/>
      </w:divBdr>
    </w:div>
    <w:div w:id="1603490201">
      <w:bodyDiv w:val="1"/>
      <w:marLeft w:val="0"/>
      <w:marRight w:val="0"/>
      <w:marTop w:val="0"/>
      <w:marBottom w:val="0"/>
      <w:divBdr>
        <w:top w:val="none" w:sz="0" w:space="0" w:color="auto"/>
        <w:left w:val="none" w:sz="0" w:space="0" w:color="auto"/>
        <w:bottom w:val="none" w:sz="0" w:space="0" w:color="auto"/>
        <w:right w:val="none" w:sz="0" w:space="0" w:color="auto"/>
      </w:divBdr>
    </w:div>
    <w:div w:id="1607077044">
      <w:bodyDiv w:val="1"/>
      <w:marLeft w:val="0"/>
      <w:marRight w:val="0"/>
      <w:marTop w:val="0"/>
      <w:marBottom w:val="0"/>
      <w:divBdr>
        <w:top w:val="none" w:sz="0" w:space="0" w:color="auto"/>
        <w:left w:val="none" w:sz="0" w:space="0" w:color="auto"/>
        <w:bottom w:val="none" w:sz="0" w:space="0" w:color="auto"/>
        <w:right w:val="none" w:sz="0" w:space="0" w:color="auto"/>
      </w:divBdr>
    </w:div>
    <w:div w:id="1607881488">
      <w:bodyDiv w:val="1"/>
      <w:marLeft w:val="0"/>
      <w:marRight w:val="0"/>
      <w:marTop w:val="0"/>
      <w:marBottom w:val="0"/>
      <w:divBdr>
        <w:top w:val="none" w:sz="0" w:space="0" w:color="auto"/>
        <w:left w:val="none" w:sz="0" w:space="0" w:color="auto"/>
        <w:bottom w:val="none" w:sz="0" w:space="0" w:color="auto"/>
        <w:right w:val="none" w:sz="0" w:space="0" w:color="auto"/>
      </w:divBdr>
    </w:div>
    <w:div w:id="1608536455">
      <w:bodyDiv w:val="1"/>
      <w:marLeft w:val="0"/>
      <w:marRight w:val="0"/>
      <w:marTop w:val="0"/>
      <w:marBottom w:val="0"/>
      <w:divBdr>
        <w:top w:val="none" w:sz="0" w:space="0" w:color="auto"/>
        <w:left w:val="none" w:sz="0" w:space="0" w:color="auto"/>
        <w:bottom w:val="none" w:sz="0" w:space="0" w:color="auto"/>
        <w:right w:val="none" w:sz="0" w:space="0" w:color="auto"/>
      </w:divBdr>
    </w:div>
    <w:div w:id="1608659780">
      <w:bodyDiv w:val="1"/>
      <w:marLeft w:val="0"/>
      <w:marRight w:val="0"/>
      <w:marTop w:val="0"/>
      <w:marBottom w:val="0"/>
      <w:divBdr>
        <w:top w:val="none" w:sz="0" w:space="0" w:color="auto"/>
        <w:left w:val="none" w:sz="0" w:space="0" w:color="auto"/>
        <w:bottom w:val="none" w:sz="0" w:space="0" w:color="auto"/>
        <w:right w:val="none" w:sz="0" w:space="0" w:color="auto"/>
      </w:divBdr>
    </w:div>
    <w:div w:id="1609387419">
      <w:bodyDiv w:val="1"/>
      <w:marLeft w:val="0"/>
      <w:marRight w:val="0"/>
      <w:marTop w:val="0"/>
      <w:marBottom w:val="0"/>
      <w:divBdr>
        <w:top w:val="none" w:sz="0" w:space="0" w:color="auto"/>
        <w:left w:val="none" w:sz="0" w:space="0" w:color="auto"/>
        <w:bottom w:val="none" w:sz="0" w:space="0" w:color="auto"/>
        <w:right w:val="none" w:sz="0" w:space="0" w:color="auto"/>
      </w:divBdr>
    </w:div>
    <w:div w:id="1609971738">
      <w:bodyDiv w:val="1"/>
      <w:marLeft w:val="0"/>
      <w:marRight w:val="0"/>
      <w:marTop w:val="0"/>
      <w:marBottom w:val="0"/>
      <w:divBdr>
        <w:top w:val="none" w:sz="0" w:space="0" w:color="auto"/>
        <w:left w:val="none" w:sz="0" w:space="0" w:color="auto"/>
        <w:bottom w:val="none" w:sz="0" w:space="0" w:color="auto"/>
        <w:right w:val="none" w:sz="0" w:space="0" w:color="auto"/>
      </w:divBdr>
    </w:div>
    <w:div w:id="1610971851">
      <w:bodyDiv w:val="1"/>
      <w:marLeft w:val="0"/>
      <w:marRight w:val="0"/>
      <w:marTop w:val="0"/>
      <w:marBottom w:val="0"/>
      <w:divBdr>
        <w:top w:val="none" w:sz="0" w:space="0" w:color="auto"/>
        <w:left w:val="none" w:sz="0" w:space="0" w:color="auto"/>
        <w:bottom w:val="none" w:sz="0" w:space="0" w:color="auto"/>
        <w:right w:val="none" w:sz="0" w:space="0" w:color="auto"/>
      </w:divBdr>
    </w:div>
    <w:div w:id="1612128511">
      <w:bodyDiv w:val="1"/>
      <w:marLeft w:val="0"/>
      <w:marRight w:val="0"/>
      <w:marTop w:val="0"/>
      <w:marBottom w:val="0"/>
      <w:divBdr>
        <w:top w:val="none" w:sz="0" w:space="0" w:color="auto"/>
        <w:left w:val="none" w:sz="0" w:space="0" w:color="auto"/>
        <w:bottom w:val="none" w:sz="0" w:space="0" w:color="auto"/>
        <w:right w:val="none" w:sz="0" w:space="0" w:color="auto"/>
      </w:divBdr>
    </w:div>
    <w:div w:id="1613786236">
      <w:bodyDiv w:val="1"/>
      <w:marLeft w:val="0"/>
      <w:marRight w:val="0"/>
      <w:marTop w:val="0"/>
      <w:marBottom w:val="0"/>
      <w:divBdr>
        <w:top w:val="none" w:sz="0" w:space="0" w:color="auto"/>
        <w:left w:val="none" w:sz="0" w:space="0" w:color="auto"/>
        <w:bottom w:val="none" w:sz="0" w:space="0" w:color="auto"/>
        <w:right w:val="none" w:sz="0" w:space="0" w:color="auto"/>
      </w:divBdr>
    </w:div>
    <w:div w:id="1614021562">
      <w:bodyDiv w:val="1"/>
      <w:marLeft w:val="0"/>
      <w:marRight w:val="0"/>
      <w:marTop w:val="0"/>
      <w:marBottom w:val="0"/>
      <w:divBdr>
        <w:top w:val="none" w:sz="0" w:space="0" w:color="auto"/>
        <w:left w:val="none" w:sz="0" w:space="0" w:color="auto"/>
        <w:bottom w:val="none" w:sz="0" w:space="0" w:color="auto"/>
        <w:right w:val="none" w:sz="0" w:space="0" w:color="auto"/>
      </w:divBdr>
    </w:div>
    <w:div w:id="1615866206">
      <w:bodyDiv w:val="1"/>
      <w:marLeft w:val="0"/>
      <w:marRight w:val="0"/>
      <w:marTop w:val="0"/>
      <w:marBottom w:val="0"/>
      <w:divBdr>
        <w:top w:val="none" w:sz="0" w:space="0" w:color="auto"/>
        <w:left w:val="none" w:sz="0" w:space="0" w:color="auto"/>
        <w:bottom w:val="none" w:sz="0" w:space="0" w:color="auto"/>
        <w:right w:val="none" w:sz="0" w:space="0" w:color="auto"/>
      </w:divBdr>
    </w:div>
    <w:div w:id="1618759904">
      <w:bodyDiv w:val="1"/>
      <w:marLeft w:val="0"/>
      <w:marRight w:val="0"/>
      <w:marTop w:val="0"/>
      <w:marBottom w:val="0"/>
      <w:divBdr>
        <w:top w:val="none" w:sz="0" w:space="0" w:color="auto"/>
        <w:left w:val="none" w:sz="0" w:space="0" w:color="auto"/>
        <w:bottom w:val="none" w:sz="0" w:space="0" w:color="auto"/>
        <w:right w:val="none" w:sz="0" w:space="0" w:color="auto"/>
      </w:divBdr>
    </w:div>
    <w:div w:id="1619679945">
      <w:bodyDiv w:val="1"/>
      <w:marLeft w:val="0"/>
      <w:marRight w:val="0"/>
      <w:marTop w:val="0"/>
      <w:marBottom w:val="0"/>
      <w:divBdr>
        <w:top w:val="none" w:sz="0" w:space="0" w:color="auto"/>
        <w:left w:val="none" w:sz="0" w:space="0" w:color="auto"/>
        <w:bottom w:val="none" w:sz="0" w:space="0" w:color="auto"/>
        <w:right w:val="none" w:sz="0" w:space="0" w:color="auto"/>
      </w:divBdr>
    </w:div>
    <w:div w:id="1620599058">
      <w:bodyDiv w:val="1"/>
      <w:marLeft w:val="0"/>
      <w:marRight w:val="0"/>
      <w:marTop w:val="0"/>
      <w:marBottom w:val="0"/>
      <w:divBdr>
        <w:top w:val="none" w:sz="0" w:space="0" w:color="auto"/>
        <w:left w:val="none" w:sz="0" w:space="0" w:color="auto"/>
        <w:bottom w:val="none" w:sz="0" w:space="0" w:color="auto"/>
        <w:right w:val="none" w:sz="0" w:space="0" w:color="auto"/>
      </w:divBdr>
    </w:div>
    <w:div w:id="1621105648">
      <w:bodyDiv w:val="1"/>
      <w:marLeft w:val="0"/>
      <w:marRight w:val="0"/>
      <w:marTop w:val="0"/>
      <w:marBottom w:val="0"/>
      <w:divBdr>
        <w:top w:val="none" w:sz="0" w:space="0" w:color="auto"/>
        <w:left w:val="none" w:sz="0" w:space="0" w:color="auto"/>
        <w:bottom w:val="none" w:sz="0" w:space="0" w:color="auto"/>
        <w:right w:val="none" w:sz="0" w:space="0" w:color="auto"/>
      </w:divBdr>
    </w:div>
    <w:div w:id="1622955011">
      <w:bodyDiv w:val="1"/>
      <w:marLeft w:val="0"/>
      <w:marRight w:val="0"/>
      <w:marTop w:val="0"/>
      <w:marBottom w:val="0"/>
      <w:divBdr>
        <w:top w:val="none" w:sz="0" w:space="0" w:color="auto"/>
        <w:left w:val="none" w:sz="0" w:space="0" w:color="auto"/>
        <w:bottom w:val="none" w:sz="0" w:space="0" w:color="auto"/>
        <w:right w:val="none" w:sz="0" w:space="0" w:color="auto"/>
      </w:divBdr>
    </w:div>
    <w:div w:id="1626933169">
      <w:bodyDiv w:val="1"/>
      <w:marLeft w:val="0"/>
      <w:marRight w:val="0"/>
      <w:marTop w:val="0"/>
      <w:marBottom w:val="0"/>
      <w:divBdr>
        <w:top w:val="none" w:sz="0" w:space="0" w:color="auto"/>
        <w:left w:val="none" w:sz="0" w:space="0" w:color="auto"/>
        <w:bottom w:val="none" w:sz="0" w:space="0" w:color="auto"/>
        <w:right w:val="none" w:sz="0" w:space="0" w:color="auto"/>
      </w:divBdr>
    </w:div>
    <w:div w:id="1631009831">
      <w:bodyDiv w:val="1"/>
      <w:marLeft w:val="0"/>
      <w:marRight w:val="0"/>
      <w:marTop w:val="0"/>
      <w:marBottom w:val="0"/>
      <w:divBdr>
        <w:top w:val="none" w:sz="0" w:space="0" w:color="auto"/>
        <w:left w:val="none" w:sz="0" w:space="0" w:color="auto"/>
        <w:bottom w:val="none" w:sz="0" w:space="0" w:color="auto"/>
        <w:right w:val="none" w:sz="0" w:space="0" w:color="auto"/>
      </w:divBdr>
    </w:div>
    <w:div w:id="1632521047">
      <w:bodyDiv w:val="1"/>
      <w:marLeft w:val="0"/>
      <w:marRight w:val="0"/>
      <w:marTop w:val="0"/>
      <w:marBottom w:val="0"/>
      <w:divBdr>
        <w:top w:val="none" w:sz="0" w:space="0" w:color="auto"/>
        <w:left w:val="none" w:sz="0" w:space="0" w:color="auto"/>
        <w:bottom w:val="none" w:sz="0" w:space="0" w:color="auto"/>
        <w:right w:val="none" w:sz="0" w:space="0" w:color="auto"/>
      </w:divBdr>
    </w:div>
    <w:div w:id="1634212374">
      <w:bodyDiv w:val="1"/>
      <w:marLeft w:val="0"/>
      <w:marRight w:val="0"/>
      <w:marTop w:val="0"/>
      <w:marBottom w:val="0"/>
      <w:divBdr>
        <w:top w:val="none" w:sz="0" w:space="0" w:color="auto"/>
        <w:left w:val="none" w:sz="0" w:space="0" w:color="auto"/>
        <w:bottom w:val="none" w:sz="0" w:space="0" w:color="auto"/>
        <w:right w:val="none" w:sz="0" w:space="0" w:color="auto"/>
      </w:divBdr>
    </w:div>
    <w:div w:id="1634746512">
      <w:bodyDiv w:val="1"/>
      <w:marLeft w:val="0"/>
      <w:marRight w:val="0"/>
      <w:marTop w:val="0"/>
      <w:marBottom w:val="0"/>
      <w:divBdr>
        <w:top w:val="none" w:sz="0" w:space="0" w:color="auto"/>
        <w:left w:val="none" w:sz="0" w:space="0" w:color="auto"/>
        <w:bottom w:val="none" w:sz="0" w:space="0" w:color="auto"/>
        <w:right w:val="none" w:sz="0" w:space="0" w:color="auto"/>
      </w:divBdr>
    </w:div>
    <w:div w:id="1637367895">
      <w:bodyDiv w:val="1"/>
      <w:marLeft w:val="0"/>
      <w:marRight w:val="0"/>
      <w:marTop w:val="0"/>
      <w:marBottom w:val="0"/>
      <w:divBdr>
        <w:top w:val="none" w:sz="0" w:space="0" w:color="auto"/>
        <w:left w:val="none" w:sz="0" w:space="0" w:color="auto"/>
        <w:bottom w:val="none" w:sz="0" w:space="0" w:color="auto"/>
        <w:right w:val="none" w:sz="0" w:space="0" w:color="auto"/>
      </w:divBdr>
    </w:div>
    <w:div w:id="1638297517">
      <w:bodyDiv w:val="1"/>
      <w:marLeft w:val="0"/>
      <w:marRight w:val="0"/>
      <w:marTop w:val="0"/>
      <w:marBottom w:val="0"/>
      <w:divBdr>
        <w:top w:val="none" w:sz="0" w:space="0" w:color="auto"/>
        <w:left w:val="none" w:sz="0" w:space="0" w:color="auto"/>
        <w:bottom w:val="none" w:sz="0" w:space="0" w:color="auto"/>
        <w:right w:val="none" w:sz="0" w:space="0" w:color="auto"/>
      </w:divBdr>
    </w:div>
    <w:div w:id="1640039585">
      <w:bodyDiv w:val="1"/>
      <w:marLeft w:val="0"/>
      <w:marRight w:val="0"/>
      <w:marTop w:val="0"/>
      <w:marBottom w:val="0"/>
      <w:divBdr>
        <w:top w:val="none" w:sz="0" w:space="0" w:color="auto"/>
        <w:left w:val="none" w:sz="0" w:space="0" w:color="auto"/>
        <w:bottom w:val="none" w:sz="0" w:space="0" w:color="auto"/>
        <w:right w:val="none" w:sz="0" w:space="0" w:color="auto"/>
      </w:divBdr>
    </w:div>
    <w:div w:id="1641032993">
      <w:bodyDiv w:val="1"/>
      <w:marLeft w:val="0"/>
      <w:marRight w:val="0"/>
      <w:marTop w:val="0"/>
      <w:marBottom w:val="0"/>
      <w:divBdr>
        <w:top w:val="none" w:sz="0" w:space="0" w:color="auto"/>
        <w:left w:val="none" w:sz="0" w:space="0" w:color="auto"/>
        <w:bottom w:val="none" w:sz="0" w:space="0" w:color="auto"/>
        <w:right w:val="none" w:sz="0" w:space="0" w:color="auto"/>
      </w:divBdr>
    </w:div>
    <w:div w:id="1644583154">
      <w:bodyDiv w:val="1"/>
      <w:marLeft w:val="0"/>
      <w:marRight w:val="0"/>
      <w:marTop w:val="0"/>
      <w:marBottom w:val="0"/>
      <w:divBdr>
        <w:top w:val="none" w:sz="0" w:space="0" w:color="auto"/>
        <w:left w:val="none" w:sz="0" w:space="0" w:color="auto"/>
        <w:bottom w:val="none" w:sz="0" w:space="0" w:color="auto"/>
        <w:right w:val="none" w:sz="0" w:space="0" w:color="auto"/>
      </w:divBdr>
    </w:div>
    <w:div w:id="1644694972">
      <w:bodyDiv w:val="1"/>
      <w:marLeft w:val="0"/>
      <w:marRight w:val="0"/>
      <w:marTop w:val="0"/>
      <w:marBottom w:val="0"/>
      <w:divBdr>
        <w:top w:val="none" w:sz="0" w:space="0" w:color="auto"/>
        <w:left w:val="none" w:sz="0" w:space="0" w:color="auto"/>
        <w:bottom w:val="none" w:sz="0" w:space="0" w:color="auto"/>
        <w:right w:val="none" w:sz="0" w:space="0" w:color="auto"/>
      </w:divBdr>
    </w:div>
    <w:div w:id="1649243004">
      <w:bodyDiv w:val="1"/>
      <w:marLeft w:val="0"/>
      <w:marRight w:val="0"/>
      <w:marTop w:val="0"/>
      <w:marBottom w:val="0"/>
      <w:divBdr>
        <w:top w:val="none" w:sz="0" w:space="0" w:color="auto"/>
        <w:left w:val="none" w:sz="0" w:space="0" w:color="auto"/>
        <w:bottom w:val="none" w:sz="0" w:space="0" w:color="auto"/>
        <w:right w:val="none" w:sz="0" w:space="0" w:color="auto"/>
      </w:divBdr>
    </w:div>
    <w:div w:id="1649506670">
      <w:bodyDiv w:val="1"/>
      <w:marLeft w:val="0"/>
      <w:marRight w:val="0"/>
      <w:marTop w:val="0"/>
      <w:marBottom w:val="0"/>
      <w:divBdr>
        <w:top w:val="none" w:sz="0" w:space="0" w:color="auto"/>
        <w:left w:val="none" w:sz="0" w:space="0" w:color="auto"/>
        <w:bottom w:val="none" w:sz="0" w:space="0" w:color="auto"/>
        <w:right w:val="none" w:sz="0" w:space="0" w:color="auto"/>
      </w:divBdr>
    </w:div>
    <w:div w:id="1650672852">
      <w:bodyDiv w:val="1"/>
      <w:marLeft w:val="0"/>
      <w:marRight w:val="0"/>
      <w:marTop w:val="0"/>
      <w:marBottom w:val="0"/>
      <w:divBdr>
        <w:top w:val="none" w:sz="0" w:space="0" w:color="auto"/>
        <w:left w:val="none" w:sz="0" w:space="0" w:color="auto"/>
        <w:bottom w:val="none" w:sz="0" w:space="0" w:color="auto"/>
        <w:right w:val="none" w:sz="0" w:space="0" w:color="auto"/>
      </w:divBdr>
    </w:div>
    <w:div w:id="1651984373">
      <w:bodyDiv w:val="1"/>
      <w:marLeft w:val="0"/>
      <w:marRight w:val="0"/>
      <w:marTop w:val="0"/>
      <w:marBottom w:val="0"/>
      <w:divBdr>
        <w:top w:val="none" w:sz="0" w:space="0" w:color="auto"/>
        <w:left w:val="none" w:sz="0" w:space="0" w:color="auto"/>
        <w:bottom w:val="none" w:sz="0" w:space="0" w:color="auto"/>
        <w:right w:val="none" w:sz="0" w:space="0" w:color="auto"/>
      </w:divBdr>
    </w:div>
    <w:div w:id="1652709015">
      <w:bodyDiv w:val="1"/>
      <w:marLeft w:val="0"/>
      <w:marRight w:val="0"/>
      <w:marTop w:val="0"/>
      <w:marBottom w:val="0"/>
      <w:divBdr>
        <w:top w:val="none" w:sz="0" w:space="0" w:color="auto"/>
        <w:left w:val="none" w:sz="0" w:space="0" w:color="auto"/>
        <w:bottom w:val="none" w:sz="0" w:space="0" w:color="auto"/>
        <w:right w:val="none" w:sz="0" w:space="0" w:color="auto"/>
      </w:divBdr>
    </w:div>
    <w:div w:id="1652710807">
      <w:bodyDiv w:val="1"/>
      <w:marLeft w:val="0"/>
      <w:marRight w:val="0"/>
      <w:marTop w:val="0"/>
      <w:marBottom w:val="0"/>
      <w:divBdr>
        <w:top w:val="none" w:sz="0" w:space="0" w:color="auto"/>
        <w:left w:val="none" w:sz="0" w:space="0" w:color="auto"/>
        <w:bottom w:val="none" w:sz="0" w:space="0" w:color="auto"/>
        <w:right w:val="none" w:sz="0" w:space="0" w:color="auto"/>
      </w:divBdr>
    </w:div>
    <w:div w:id="1653635753">
      <w:bodyDiv w:val="1"/>
      <w:marLeft w:val="0"/>
      <w:marRight w:val="0"/>
      <w:marTop w:val="0"/>
      <w:marBottom w:val="0"/>
      <w:divBdr>
        <w:top w:val="none" w:sz="0" w:space="0" w:color="auto"/>
        <w:left w:val="none" w:sz="0" w:space="0" w:color="auto"/>
        <w:bottom w:val="none" w:sz="0" w:space="0" w:color="auto"/>
        <w:right w:val="none" w:sz="0" w:space="0" w:color="auto"/>
      </w:divBdr>
    </w:div>
    <w:div w:id="1654674861">
      <w:bodyDiv w:val="1"/>
      <w:marLeft w:val="0"/>
      <w:marRight w:val="0"/>
      <w:marTop w:val="0"/>
      <w:marBottom w:val="0"/>
      <w:divBdr>
        <w:top w:val="none" w:sz="0" w:space="0" w:color="auto"/>
        <w:left w:val="none" w:sz="0" w:space="0" w:color="auto"/>
        <w:bottom w:val="none" w:sz="0" w:space="0" w:color="auto"/>
        <w:right w:val="none" w:sz="0" w:space="0" w:color="auto"/>
      </w:divBdr>
    </w:div>
    <w:div w:id="1655648855">
      <w:bodyDiv w:val="1"/>
      <w:marLeft w:val="0"/>
      <w:marRight w:val="0"/>
      <w:marTop w:val="0"/>
      <w:marBottom w:val="0"/>
      <w:divBdr>
        <w:top w:val="none" w:sz="0" w:space="0" w:color="auto"/>
        <w:left w:val="none" w:sz="0" w:space="0" w:color="auto"/>
        <w:bottom w:val="none" w:sz="0" w:space="0" w:color="auto"/>
        <w:right w:val="none" w:sz="0" w:space="0" w:color="auto"/>
      </w:divBdr>
    </w:div>
    <w:div w:id="1656449919">
      <w:bodyDiv w:val="1"/>
      <w:marLeft w:val="0"/>
      <w:marRight w:val="0"/>
      <w:marTop w:val="0"/>
      <w:marBottom w:val="0"/>
      <w:divBdr>
        <w:top w:val="none" w:sz="0" w:space="0" w:color="auto"/>
        <w:left w:val="none" w:sz="0" w:space="0" w:color="auto"/>
        <w:bottom w:val="none" w:sz="0" w:space="0" w:color="auto"/>
        <w:right w:val="none" w:sz="0" w:space="0" w:color="auto"/>
      </w:divBdr>
    </w:div>
    <w:div w:id="1660765453">
      <w:bodyDiv w:val="1"/>
      <w:marLeft w:val="0"/>
      <w:marRight w:val="0"/>
      <w:marTop w:val="0"/>
      <w:marBottom w:val="0"/>
      <w:divBdr>
        <w:top w:val="none" w:sz="0" w:space="0" w:color="auto"/>
        <w:left w:val="none" w:sz="0" w:space="0" w:color="auto"/>
        <w:bottom w:val="none" w:sz="0" w:space="0" w:color="auto"/>
        <w:right w:val="none" w:sz="0" w:space="0" w:color="auto"/>
      </w:divBdr>
    </w:div>
    <w:div w:id="1660958832">
      <w:bodyDiv w:val="1"/>
      <w:marLeft w:val="0"/>
      <w:marRight w:val="0"/>
      <w:marTop w:val="0"/>
      <w:marBottom w:val="0"/>
      <w:divBdr>
        <w:top w:val="none" w:sz="0" w:space="0" w:color="auto"/>
        <w:left w:val="none" w:sz="0" w:space="0" w:color="auto"/>
        <w:bottom w:val="none" w:sz="0" w:space="0" w:color="auto"/>
        <w:right w:val="none" w:sz="0" w:space="0" w:color="auto"/>
      </w:divBdr>
    </w:div>
    <w:div w:id="1665695541">
      <w:bodyDiv w:val="1"/>
      <w:marLeft w:val="0"/>
      <w:marRight w:val="0"/>
      <w:marTop w:val="0"/>
      <w:marBottom w:val="0"/>
      <w:divBdr>
        <w:top w:val="none" w:sz="0" w:space="0" w:color="auto"/>
        <w:left w:val="none" w:sz="0" w:space="0" w:color="auto"/>
        <w:bottom w:val="none" w:sz="0" w:space="0" w:color="auto"/>
        <w:right w:val="none" w:sz="0" w:space="0" w:color="auto"/>
      </w:divBdr>
    </w:div>
    <w:div w:id="1666007575">
      <w:bodyDiv w:val="1"/>
      <w:marLeft w:val="0"/>
      <w:marRight w:val="0"/>
      <w:marTop w:val="0"/>
      <w:marBottom w:val="0"/>
      <w:divBdr>
        <w:top w:val="none" w:sz="0" w:space="0" w:color="auto"/>
        <w:left w:val="none" w:sz="0" w:space="0" w:color="auto"/>
        <w:bottom w:val="none" w:sz="0" w:space="0" w:color="auto"/>
        <w:right w:val="none" w:sz="0" w:space="0" w:color="auto"/>
      </w:divBdr>
    </w:div>
    <w:div w:id="1671985785">
      <w:bodyDiv w:val="1"/>
      <w:marLeft w:val="0"/>
      <w:marRight w:val="0"/>
      <w:marTop w:val="0"/>
      <w:marBottom w:val="0"/>
      <w:divBdr>
        <w:top w:val="none" w:sz="0" w:space="0" w:color="auto"/>
        <w:left w:val="none" w:sz="0" w:space="0" w:color="auto"/>
        <w:bottom w:val="none" w:sz="0" w:space="0" w:color="auto"/>
        <w:right w:val="none" w:sz="0" w:space="0" w:color="auto"/>
      </w:divBdr>
    </w:div>
    <w:div w:id="1673023773">
      <w:bodyDiv w:val="1"/>
      <w:marLeft w:val="0"/>
      <w:marRight w:val="0"/>
      <w:marTop w:val="0"/>
      <w:marBottom w:val="0"/>
      <w:divBdr>
        <w:top w:val="none" w:sz="0" w:space="0" w:color="auto"/>
        <w:left w:val="none" w:sz="0" w:space="0" w:color="auto"/>
        <w:bottom w:val="none" w:sz="0" w:space="0" w:color="auto"/>
        <w:right w:val="none" w:sz="0" w:space="0" w:color="auto"/>
      </w:divBdr>
    </w:div>
    <w:div w:id="1674455606">
      <w:bodyDiv w:val="1"/>
      <w:marLeft w:val="0"/>
      <w:marRight w:val="0"/>
      <w:marTop w:val="0"/>
      <w:marBottom w:val="0"/>
      <w:divBdr>
        <w:top w:val="none" w:sz="0" w:space="0" w:color="auto"/>
        <w:left w:val="none" w:sz="0" w:space="0" w:color="auto"/>
        <w:bottom w:val="none" w:sz="0" w:space="0" w:color="auto"/>
        <w:right w:val="none" w:sz="0" w:space="0" w:color="auto"/>
      </w:divBdr>
    </w:div>
    <w:div w:id="1676034680">
      <w:bodyDiv w:val="1"/>
      <w:marLeft w:val="0"/>
      <w:marRight w:val="0"/>
      <w:marTop w:val="0"/>
      <w:marBottom w:val="0"/>
      <w:divBdr>
        <w:top w:val="none" w:sz="0" w:space="0" w:color="auto"/>
        <w:left w:val="none" w:sz="0" w:space="0" w:color="auto"/>
        <w:bottom w:val="none" w:sz="0" w:space="0" w:color="auto"/>
        <w:right w:val="none" w:sz="0" w:space="0" w:color="auto"/>
      </w:divBdr>
    </w:div>
    <w:div w:id="1677614614">
      <w:bodyDiv w:val="1"/>
      <w:marLeft w:val="0"/>
      <w:marRight w:val="0"/>
      <w:marTop w:val="0"/>
      <w:marBottom w:val="0"/>
      <w:divBdr>
        <w:top w:val="none" w:sz="0" w:space="0" w:color="auto"/>
        <w:left w:val="none" w:sz="0" w:space="0" w:color="auto"/>
        <w:bottom w:val="none" w:sz="0" w:space="0" w:color="auto"/>
        <w:right w:val="none" w:sz="0" w:space="0" w:color="auto"/>
      </w:divBdr>
    </w:div>
    <w:div w:id="1678267306">
      <w:bodyDiv w:val="1"/>
      <w:marLeft w:val="0"/>
      <w:marRight w:val="0"/>
      <w:marTop w:val="0"/>
      <w:marBottom w:val="0"/>
      <w:divBdr>
        <w:top w:val="none" w:sz="0" w:space="0" w:color="auto"/>
        <w:left w:val="none" w:sz="0" w:space="0" w:color="auto"/>
        <w:bottom w:val="none" w:sz="0" w:space="0" w:color="auto"/>
        <w:right w:val="none" w:sz="0" w:space="0" w:color="auto"/>
      </w:divBdr>
    </w:div>
    <w:div w:id="1679187408">
      <w:bodyDiv w:val="1"/>
      <w:marLeft w:val="0"/>
      <w:marRight w:val="0"/>
      <w:marTop w:val="0"/>
      <w:marBottom w:val="0"/>
      <w:divBdr>
        <w:top w:val="none" w:sz="0" w:space="0" w:color="auto"/>
        <w:left w:val="none" w:sz="0" w:space="0" w:color="auto"/>
        <w:bottom w:val="none" w:sz="0" w:space="0" w:color="auto"/>
        <w:right w:val="none" w:sz="0" w:space="0" w:color="auto"/>
      </w:divBdr>
    </w:div>
    <w:div w:id="1679386919">
      <w:bodyDiv w:val="1"/>
      <w:marLeft w:val="0"/>
      <w:marRight w:val="0"/>
      <w:marTop w:val="0"/>
      <w:marBottom w:val="0"/>
      <w:divBdr>
        <w:top w:val="none" w:sz="0" w:space="0" w:color="auto"/>
        <w:left w:val="none" w:sz="0" w:space="0" w:color="auto"/>
        <w:bottom w:val="none" w:sz="0" w:space="0" w:color="auto"/>
        <w:right w:val="none" w:sz="0" w:space="0" w:color="auto"/>
      </w:divBdr>
      <w:divsChild>
        <w:div w:id="182283317">
          <w:marLeft w:val="0"/>
          <w:marRight w:val="0"/>
          <w:marTop w:val="0"/>
          <w:marBottom w:val="0"/>
          <w:divBdr>
            <w:top w:val="none" w:sz="0" w:space="0" w:color="auto"/>
            <w:left w:val="none" w:sz="0" w:space="0" w:color="auto"/>
            <w:bottom w:val="none" w:sz="0" w:space="0" w:color="auto"/>
            <w:right w:val="none" w:sz="0" w:space="0" w:color="auto"/>
          </w:divBdr>
        </w:div>
      </w:divsChild>
    </w:div>
    <w:div w:id="1679455035">
      <w:bodyDiv w:val="1"/>
      <w:marLeft w:val="0"/>
      <w:marRight w:val="0"/>
      <w:marTop w:val="0"/>
      <w:marBottom w:val="0"/>
      <w:divBdr>
        <w:top w:val="none" w:sz="0" w:space="0" w:color="auto"/>
        <w:left w:val="none" w:sz="0" w:space="0" w:color="auto"/>
        <w:bottom w:val="none" w:sz="0" w:space="0" w:color="auto"/>
        <w:right w:val="none" w:sz="0" w:space="0" w:color="auto"/>
      </w:divBdr>
    </w:div>
    <w:div w:id="1685479702">
      <w:bodyDiv w:val="1"/>
      <w:marLeft w:val="0"/>
      <w:marRight w:val="0"/>
      <w:marTop w:val="0"/>
      <w:marBottom w:val="0"/>
      <w:divBdr>
        <w:top w:val="none" w:sz="0" w:space="0" w:color="auto"/>
        <w:left w:val="none" w:sz="0" w:space="0" w:color="auto"/>
        <w:bottom w:val="none" w:sz="0" w:space="0" w:color="auto"/>
        <w:right w:val="none" w:sz="0" w:space="0" w:color="auto"/>
      </w:divBdr>
    </w:div>
    <w:div w:id="1685672971">
      <w:bodyDiv w:val="1"/>
      <w:marLeft w:val="0"/>
      <w:marRight w:val="0"/>
      <w:marTop w:val="0"/>
      <w:marBottom w:val="0"/>
      <w:divBdr>
        <w:top w:val="none" w:sz="0" w:space="0" w:color="auto"/>
        <w:left w:val="none" w:sz="0" w:space="0" w:color="auto"/>
        <w:bottom w:val="none" w:sz="0" w:space="0" w:color="auto"/>
        <w:right w:val="none" w:sz="0" w:space="0" w:color="auto"/>
      </w:divBdr>
    </w:div>
    <w:div w:id="1685939580">
      <w:bodyDiv w:val="1"/>
      <w:marLeft w:val="0"/>
      <w:marRight w:val="0"/>
      <w:marTop w:val="0"/>
      <w:marBottom w:val="0"/>
      <w:divBdr>
        <w:top w:val="none" w:sz="0" w:space="0" w:color="auto"/>
        <w:left w:val="none" w:sz="0" w:space="0" w:color="auto"/>
        <w:bottom w:val="none" w:sz="0" w:space="0" w:color="auto"/>
        <w:right w:val="none" w:sz="0" w:space="0" w:color="auto"/>
      </w:divBdr>
    </w:div>
    <w:div w:id="1688361818">
      <w:bodyDiv w:val="1"/>
      <w:marLeft w:val="0"/>
      <w:marRight w:val="0"/>
      <w:marTop w:val="0"/>
      <w:marBottom w:val="0"/>
      <w:divBdr>
        <w:top w:val="none" w:sz="0" w:space="0" w:color="auto"/>
        <w:left w:val="none" w:sz="0" w:space="0" w:color="auto"/>
        <w:bottom w:val="none" w:sz="0" w:space="0" w:color="auto"/>
        <w:right w:val="none" w:sz="0" w:space="0" w:color="auto"/>
      </w:divBdr>
    </w:div>
    <w:div w:id="1692608192">
      <w:bodyDiv w:val="1"/>
      <w:marLeft w:val="0"/>
      <w:marRight w:val="0"/>
      <w:marTop w:val="0"/>
      <w:marBottom w:val="0"/>
      <w:divBdr>
        <w:top w:val="none" w:sz="0" w:space="0" w:color="auto"/>
        <w:left w:val="none" w:sz="0" w:space="0" w:color="auto"/>
        <w:bottom w:val="none" w:sz="0" w:space="0" w:color="auto"/>
        <w:right w:val="none" w:sz="0" w:space="0" w:color="auto"/>
      </w:divBdr>
    </w:div>
    <w:div w:id="1693141777">
      <w:bodyDiv w:val="1"/>
      <w:marLeft w:val="0"/>
      <w:marRight w:val="0"/>
      <w:marTop w:val="0"/>
      <w:marBottom w:val="0"/>
      <w:divBdr>
        <w:top w:val="none" w:sz="0" w:space="0" w:color="auto"/>
        <w:left w:val="none" w:sz="0" w:space="0" w:color="auto"/>
        <w:bottom w:val="none" w:sz="0" w:space="0" w:color="auto"/>
        <w:right w:val="none" w:sz="0" w:space="0" w:color="auto"/>
      </w:divBdr>
    </w:div>
    <w:div w:id="1693989764">
      <w:bodyDiv w:val="1"/>
      <w:marLeft w:val="0"/>
      <w:marRight w:val="0"/>
      <w:marTop w:val="0"/>
      <w:marBottom w:val="0"/>
      <w:divBdr>
        <w:top w:val="none" w:sz="0" w:space="0" w:color="auto"/>
        <w:left w:val="none" w:sz="0" w:space="0" w:color="auto"/>
        <w:bottom w:val="none" w:sz="0" w:space="0" w:color="auto"/>
        <w:right w:val="none" w:sz="0" w:space="0" w:color="auto"/>
      </w:divBdr>
    </w:div>
    <w:div w:id="1698189743">
      <w:bodyDiv w:val="1"/>
      <w:marLeft w:val="0"/>
      <w:marRight w:val="0"/>
      <w:marTop w:val="0"/>
      <w:marBottom w:val="0"/>
      <w:divBdr>
        <w:top w:val="none" w:sz="0" w:space="0" w:color="auto"/>
        <w:left w:val="none" w:sz="0" w:space="0" w:color="auto"/>
        <w:bottom w:val="none" w:sz="0" w:space="0" w:color="auto"/>
        <w:right w:val="none" w:sz="0" w:space="0" w:color="auto"/>
      </w:divBdr>
    </w:div>
    <w:div w:id="1699159868">
      <w:bodyDiv w:val="1"/>
      <w:marLeft w:val="0"/>
      <w:marRight w:val="0"/>
      <w:marTop w:val="0"/>
      <w:marBottom w:val="0"/>
      <w:divBdr>
        <w:top w:val="none" w:sz="0" w:space="0" w:color="auto"/>
        <w:left w:val="none" w:sz="0" w:space="0" w:color="auto"/>
        <w:bottom w:val="none" w:sz="0" w:space="0" w:color="auto"/>
        <w:right w:val="none" w:sz="0" w:space="0" w:color="auto"/>
      </w:divBdr>
    </w:div>
    <w:div w:id="1700544645">
      <w:bodyDiv w:val="1"/>
      <w:marLeft w:val="0"/>
      <w:marRight w:val="0"/>
      <w:marTop w:val="0"/>
      <w:marBottom w:val="0"/>
      <w:divBdr>
        <w:top w:val="none" w:sz="0" w:space="0" w:color="auto"/>
        <w:left w:val="none" w:sz="0" w:space="0" w:color="auto"/>
        <w:bottom w:val="none" w:sz="0" w:space="0" w:color="auto"/>
        <w:right w:val="none" w:sz="0" w:space="0" w:color="auto"/>
      </w:divBdr>
    </w:div>
    <w:div w:id="1708600837">
      <w:bodyDiv w:val="1"/>
      <w:marLeft w:val="0"/>
      <w:marRight w:val="0"/>
      <w:marTop w:val="0"/>
      <w:marBottom w:val="0"/>
      <w:divBdr>
        <w:top w:val="none" w:sz="0" w:space="0" w:color="auto"/>
        <w:left w:val="none" w:sz="0" w:space="0" w:color="auto"/>
        <w:bottom w:val="none" w:sz="0" w:space="0" w:color="auto"/>
        <w:right w:val="none" w:sz="0" w:space="0" w:color="auto"/>
      </w:divBdr>
    </w:div>
    <w:div w:id="1708604866">
      <w:bodyDiv w:val="1"/>
      <w:marLeft w:val="0"/>
      <w:marRight w:val="0"/>
      <w:marTop w:val="0"/>
      <w:marBottom w:val="0"/>
      <w:divBdr>
        <w:top w:val="none" w:sz="0" w:space="0" w:color="auto"/>
        <w:left w:val="none" w:sz="0" w:space="0" w:color="auto"/>
        <w:bottom w:val="none" w:sz="0" w:space="0" w:color="auto"/>
        <w:right w:val="none" w:sz="0" w:space="0" w:color="auto"/>
      </w:divBdr>
    </w:div>
    <w:div w:id="1711149236">
      <w:bodyDiv w:val="1"/>
      <w:marLeft w:val="0"/>
      <w:marRight w:val="0"/>
      <w:marTop w:val="0"/>
      <w:marBottom w:val="0"/>
      <w:divBdr>
        <w:top w:val="none" w:sz="0" w:space="0" w:color="auto"/>
        <w:left w:val="none" w:sz="0" w:space="0" w:color="auto"/>
        <w:bottom w:val="none" w:sz="0" w:space="0" w:color="auto"/>
        <w:right w:val="none" w:sz="0" w:space="0" w:color="auto"/>
      </w:divBdr>
    </w:div>
    <w:div w:id="1712264473">
      <w:bodyDiv w:val="1"/>
      <w:marLeft w:val="0"/>
      <w:marRight w:val="0"/>
      <w:marTop w:val="0"/>
      <w:marBottom w:val="0"/>
      <w:divBdr>
        <w:top w:val="none" w:sz="0" w:space="0" w:color="auto"/>
        <w:left w:val="none" w:sz="0" w:space="0" w:color="auto"/>
        <w:bottom w:val="none" w:sz="0" w:space="0" w:color="auto"/>
        <w:right w:val="none" w:sz="0" w:space="0" w:color="auto"/>
      </w:divBdr>
    </w:div>
    <w:div w:id="1714620129">
      <w:bodyDiv w:val="1"/>
      <w:marLeft w:val="0"/>
      <w:marRight w:val="0"/>
      <w:marTop w:val="0"/>
      <w:marBottom w:val="0"/>
      <w:divBdr>
        <w:top w:val="none" w:sz="0" w:space="0" w:color="auto"/>
        <w:left w:val="none" w:sz="0" w:space="0" w:color="auto"/>
        <w:bottom w:val="none" w:sz="0" w:space="0" w:color="auto"/>
        <w:right w:val="none" w:sz="0" w:space="0" w:color="auto"/>
      </w:divBdr>
    </w:div>
    <w:div w:id="1715544358">
      <w:bodyDiv w:val="1"/>
      <w:marLeft w:val="0"/>
      <w:marRight w:val="0"/>
      <w:marTop w:val="0"/>
      <w:marBottom w:val="0"/>
      <w:divBdr>
        <w:top w:val="none" w:sz="0" w:space="0" w:color="auto"/>
        <w:left w:val="none" w:sz="0" w:space="0" w:color="auto"/>
        <w:bottom w:val="none" w:sz="0" w:space="0" w:color="auto"/>
        <w:right w:val="none" w:sz="0" w:space="0" w:color="auto"/>
      </w:divBdr>
    </w:div>
    <w:div w:id="1715885586">
      <w:bodyDiv w:val="1"/>
      <w:marLeft w:val="0"/>
      <w:marRight w:val="0"/>
      <w:marTop w:val="0"/>
      <w:marBottom w:val="0"/>
      <w:divBdr>
        <w:top w:val="none" w:sz="0" w:space="0" w:color="auto"/>
        <w:left w:val="none" w:sz="0" w:space="0" w:color="auto"/>
        <w:bottom w:val="none" w:sz="0" w:space="0" w:color="auto"/>
        <w:right w:val="none" w:sz="0" w:space="0" w:color="auto"/>
      </w:divBdr>
    </w:div>
    <w:div w:id="1718624468">
      <w:bodyDiv w:val="1"/>
      <w:marLeft w:val="0"/>
      <w:marRight w:val="0"/>
      <w:marTop w:val="0"/>
      <w:marBottom w:val="0"/>
      <w:divBdr>
        <w:top w:val="none" w:sz="0" w:space="0" w:color="auto"/>
        <w:left w:val="none" w:sz="0" w:space="0" w:color="auto"/>
        <w:bottom w:val="none" w:sz="0" w:space="0" w:color="auto"/>
        <w:right w:val="none" w:sz="0" w:space="0" w:color="auto"/>
      </w:divBdr>
    </w:div>
    <w:div w:id="1719741573">
      <w:bodyDiv w:val="1"/>
      <w:marLeft w:val="0"/>
      <w:marRight w:val="0"/>
      <w:marTop w:val="0"/>
      <w:marBottom w:val="0"/>
      <w:divBdr>
        <w:top w:val="none" w:sz="0" w:space="0" w:color="auto"/>
        <w:left w:val="none" w:sz="0" w:space="0" w:color="auto"/>
        <w:bottom w:val="none" w:sz="0" w:space="0" w:color="auto"/>
        <w:right w:val="none" w:sz="0" w:space="0" w:color="auto"/>
      </w:divBdr>
    </w:div>
    <w:div w:id="1723400901">
      <w:bodyDiv w:val="1"/>
      <w:marLeft w:val="0"/>
      <w:marRight w:val="0"/>
      <w:marTop w:val="0"/>
      <w:marBottom w:val="0"/>
      <w:divBdr>
        <w:top w:val="none" w:sz="0" w:space="0" w:color="auto"/>
        <w:left w:val="none" w:sz="0" w:space="0" w:color="auto"/>
        <w:bottom w:val="none" w:sz="0" w:space="0" w:color="auto"/>
        <w:right w:val="none" w:sz="0" w:space="0" w:color="auto"/>
      </w:divBdr>
    </w:div>
    <w:div w:id="1725327211">
      <w:bodyDiv w:val="1"/>
      <w:marLeft w:val="0"/>
      <w:marRight w:val="0"/>
      <w:marTop w:val="0"/>
      <w:marBottom w:val="0"/>
      <w:divBdr>
        <w:top w:val="none" w:sz="0" w:space="0" w:color="auto"/>
        <w:left w:val="none" w:sz="0" w:space="0" w:color="auto"/>
        <w:bottom w:val="none" w:sz="0" w:space="0" w:color="auto"/>
        <w:right w:val="none" w:sz="0" w:space="0" w:color="auto"/>
      </w:divBdr>
    </w:div>
    <w:div w:id="1727753994">
      <w:bodyDiv w:val="1"/>
      <w:marLeft w:val="0"/>
      <w:marRight w:val="0"/>
      <w:marTop w:val="0"/>
      <w:marBottom w:val="0"/>
      <w:divBdr>
        <w:top w:val="none" w:sz="0" w:space="0" w:color="auto"/>
        <w:left w:val="none" w:sz="0" w:space="0" w:color="auto"/>
        <w:bottom w:val="none" w:sz="0" w:space="0" w:color="auto"/>
        <w:right w:val="none" w:sz="0" w:space="0" w:color="auto"/>
      </w:divBdr>
    </w:div>
    <w:div w:id="1730223355">
      <w:bodyDiv w:val="1"/>
      <w:marLeft w:val="0"/>
      <w:marRight w:val="0"/>
      <w:marTop w:val="0"/>
      <w:marBottom w:val="0"/>
      <w:divBdr>
        <w:top w:val="none" w:sz="0" w:space="0" w:color="auto"/>
        <w:left w:val="none" w:sz="0" w:space="0" w:color="auto"/>
        <w:bottom w:val="none" w:sz="0" w:space="0" w:color="auto"/>
        <w:right w:val="none" w:sz="0" w:space="0" w:color="auto"/>
      </w:divBdr>
    </w:div>
    <w:div w:id="1731070731">
      <w:bodyDiv w:val="1"/>
      <w:marLeft w:val="0"/>
      <w:marRight w:val="0"/>
      <w:marTop w:val="0"/>
      <w:marBottom w:val="0"/>
      <w:divBdr>
        <w:top w:val="none" w:sz="0" w:space="0" w:color="auto"/>
        <w:left w:val="none" w:sz="0" w:space="0" w:color="auto"/>
        <w:bottom w:val="none" w:sz="0" w:space="0" w:color="auto"/>
        <w:right w:val="none" w:sz="0" w:space="0" w:color="auto"/>
      </w:divBdr>
    </w:div>
    <w:div w:id="1731079726">
      <w:bodyDiv w:val="1"/>
      <w:marLeft w:val="0"/>
      <w:marRight w:val="0"/>
      <w:marTop w:val="0"/>
      <w:marBottom w:val="0"/>
      <w:divBdr>
        <w:top w:val="none" w:sz="0" w:space="0" w:color="auto"/>
        <w:left w:val="none" w:sz="0" w:space="0" w:color="auto"/>
        <w:bottom w:val="none" w:sz="0" w:space="0" w:color="auto"/>
        <w:right w:val="none" w:sz="0" w:space="0" w:color="auto"/>
      </w:divBdr>
    </w:div>
    <w:div w:id="1732340390">
      <w:bodyDiv w:val="1"/>
      <w:marLeft w:val="0"/>
      <w:marRight w:val="0"/>
      <w:marTop w:val="0"/>
      <w:marBottom w:val="0"/>
      <w:divBdr>
        <w:top w:val="none" w:sz="0" w:space="0" w:color="auto"/>
        <w:left w:val="none" w:sz="0" w:space="0" w:color="auto"/>
        <w:bottom w:val="none" w:sz="0" w:space="0" w:color="auto"/>
        <w:right w:val="none" w:sz="0" w:space="0" w:color="auto"/>
      </w:divBdr>
    </w:div>
    <w:div w:id="1737168401">
      <w:bodyDiv w:val="1"/>
      <w:marLeft w:val="0"/>
      <w:marRight w:val="0"/>
      <w:marTop w:val="0"/>
      <w:marBottom w:val="0"/>
      <w:divBdr>
        <w:top w:val="none" w:sz="0" w:space="0" w:color="auto"/>
        <w:left w:val="none" w:sz="0" w:space="0" w:color="auto"/>
        <w:bottom w:val="none" w:sz="0" w:space="0" w:color="auto"/>
        <w:right w:val="none" w:sz="0" w:space="0" w:color="auto"/>
      </w:divBdr>
    </w:div>
    <w:div w:id="1740514999">
      <w:bodyDiv w:val="1"/>
      <w:marLeft w:val="0"/>
      <w:marRight w:val="0"/>
      <w:marTop w:val="0"/>
      <w:marBottom w:val="0"/>
      <w:divBdr>
        <w:top w:val="none" w:sz="0" w:space="0" w:color="auto"/>
        <w:left w:val="none" w:sz="0" w:space="0" w:color="auto"/>
        <w:bottom w:val="none" w:sz="0" w:space="0" w:color="auto"/>
        <w:right w:val="none" w:sz="0" w:space="0" w:color="auto"/>
      </w:divBdr>
    </w:div>
    <w:div w:id="1745683894">
      <w:bodyDiv w:val="1"/>
      <w:marLeft w:val="0"/>
      <w:marRight w:val="0"/>
      <w:marTop w:val="0"/>
      <w:marBottom w:val="0"/>
      <w:divBdr>
        <w:top w:val="none" w:sz="0" w:space="0" w:color="auto"/>
        <w:left w:val="none" w:sz="0" w:space="0" w:color="auto"/>
        <w:bottom w:val="none" w:sz="0" w:space="0" w:color="auto"/>
        <w:right w:val="none" w:sz="0" w:space="0" w:color="auto"/>
      </w:divBdr>
    </w:div>
    <w:div w:id="1747336449">
      <w:bodyDiv w:val="1"/>
      <w:marLeft w:val="0"/>
      <w:marRight w:val="0"/>
      <w:marTop w:val="0"/>
      <w:marBottom w:val="0"/>
      <w:divBdr>
        <w:top w:val="none" w:sz="0" w:space="0" w:color="auto"/>
        <w:left w:val="none" w:sz="0" w:space="0" w:color="auto"/>
        <w:bottom w:val="none" w:sz="0" w:space="0" w:color="auto"/>
        <w:right w:val="none" w:sz="0" w:space="0" w:color="auto"/>
      </w:divBdr>
    </w:div>
    <w:div w:id="1750343125">
      <w:bodyDiv w:val="1"/>
      <w:marLeft w:val="0"/>
      <w:marRight w:val="0"/>
      <w:marTop w:val="0"/>
      <w:marBottom w:val="0"/>
      <w:divBdr>
        <w:top w:val="none" w:sz="0" w:space="0" w:color="auto"/>
        <w:left w:val="none" w:sz="0" w:space="0" w:color="auto"/>
        <w:bottom w:val="none" w:sz="0" w:space="0" w:color="auto"/>
        <w:right w:val="none" w:sz="0" w:space="0" w:color="auto"/>
      </w:divBdr>
    </w:div>
    <w:div w:id="1752847451">
      <w:bodyDiv w:val="1"/>
      <w:marLeft w:val="0"/>
      <w:marRight w:val="0"/>
      <w:marTop w:val="0"/>
      <w:marBottom w:val="0"/>
      <w:divBdr>
        <w:top w:val="none" w:sz="0" w:space="0" w:color="auto"/>
        <w:left w:val="none" w:sz="0" w:space="0" w:color="auto"/>
        <w:bottom w:val="none" w:sz="0" w:space="0" w:color="auto"/>
        <w:right w:val="none" w:sz="0" w:space="0" w:color="auto"/>
      </w:divBdr>
    </w:div>
    <w:div w:id="1753307516">
      <w:bodyDiv w:val="1"/>
      <w:marLeft w:val="0"/>
      <w:marRight w:val="0"/>
      <w:marTop w:val="0"/>
      <w:marBottom w:val="0"/>
      <w:divBdr>
        <w:top w:val="none" w:sz="0" w:space="0" w:color="auto"/>
        <w:left w:val="none" w:sz="0" w:space="0" w:color="auto"/>
        <w:bottom w:val="none" w:sz="0" w:space="0" w:color="auto"/>
        <w:right w:val="none" w:sz="0" w:space="0" w:color="auto"/>
      </w:divBdr>
    </w:div>
    <w:div w:id="1755740094">
      <w:bodyDiv w:val="1"/>
      <w:marLeft w:val="0"/>
      <w:marRight w:val="0"/>
      <w:marTop w:val="0"/>
      <w:marBottom w:val="0"/>
      <w:divBdr>
        <w:top w:val="none" w:sz="0" w:space="0" w:color="auto"/>
        <w:left w:val="none" w:sz="0" w:space="0" w:color="auto"/>
        <w:bottom w:val="none" w:sz="0" w:space="0" w:color="auto"/>
        <w:right w:val="none" w:sz="0" w:space="0" w:color="auto"/>
      </w:divBdr>
    </w:div>
    <w:div w:id="1756433265">
      <w:bodyDiv w:val="1"/>
      <w:marLeft w:val="0"/>
      <w:marRight w:val="0"/>
      <w:marTop w:val="0"/>
      <w:marBottom w:val="0"/>
      <w:divBdr>
        <w:top w:val="none" w:sz="0" w:space="0" w:color="auto"/>
        <w:left w:val="none" w:sz="0" w:space="0" w:color="auto"/>
        <w:bottom w:val="none" w:sz="0" w:space="0" w:color="auto"/>
        <w:right w:val="none" w:sz="0" w:space="0" w:color="auto"/>
      </w:divBdr>
    </w:div>
    <w:div w:id="1756975282">
      <w:bodyDiv w:val="1"/>
      <w:marLeft w:val="0"/>
      <w:marRight w:val="0"/>
      <w:marTop w:val="0"/>
      <w:marBottom w:val="0"/>
      <w:divBdr>
        <w:top w:val="none" w:sz="0" w:space="0" w:color="auto"/>
        <w:left w:val="none" w:sz="0" w:space="0" w:color="auto"/>
        <w:bottom w:val="none" w:sz="0" w:space="0" w:color="auto"/>
        <w:right w:val="none" w:sz="0" w:space="0" w:color="auto"/>
      </w:divBdr>
    </w:div>
    <w:div w:id="1760835894">
      <w:bodyDiv w:val="1"/>
      <w:marLeft w:val="0"/>
      <w:marRight w:val="0"/>
      <w:marTop w:val="0"/>
      <w:marBottom w:val="0"/>
      <w:divBdr>
        <w:top w:val="none" w:sz="0" w:space="0" w:color="auto"/>
        <w:left w:val="none" w:sz="0" w:space="0" w:color="auto"/>
        <w:bottom w:val="none" w:sz="0" w:space="0" w:color="auto"/>
        <w:right w:val="none" w:sz="0" w:space="0" w:color="auto"/>
      </w:divBdr>
    </w:div>
    <w:div w:id="1761562354">
      <w:bodyDiv w:val="1"/>
      <w:marLeft w:val="0"/>
      <w:marRight w:val="0"/>
      <w:marTop w:val="0"/>
      <w:marBottom w:val="0"/>
      <w:divBdr>
        <w:top w:val="none" w:sz="0" w:space="0" w:color="auto"/>
        <w:left w:val="none" w:sz="0" w:space="0" w:color="auto"/>
        <w:bottom w:val="none" w:sz="0" w:space="0" w:color="auto"/>
        <w:right w:val="none" w:sz="0" w:space="0" w:color="auto"/>
      </w:divBdr>
    </w:div>
    <w:div w:id="1765564269">
      <w:bodyDiv w:val="1"/>
      <w:marLeft w:val="0"/>
      <w:marRight w:val="0"/>
      <w:marTop w:val="0"/>
      <w:marBottom w:val="0"/>
      <w:divBdr>
        <w:top w:val="none" w:sz="0" w:space="0" w:color="auto"/>
        <w:left w:val="none" w:sz="0" w:space="0" w:color="auto"/>
        <w:bottom w:val="none" w:sz="0" w:space="0" w:color="auto"/>
        <w:right w:val="none" w:sz="0" w:space="0" w:color="auto"/>
      </w:divBdr>
    </w:div>
    <w:div w:id="1769503888">
      <w:bodyDiv w:val="1"/>
      <w:marLeft w:val="0"/>
      <w:marRight w:val="0"/>
      <w:marTop w:val="0"/>
      <w:marBottom w:val="0"/>
      <w:divBdr>
        <w:top w:val="none" w:sz="0" w:space="0" w:color="auto"/>
        <w:left w:val="none" w:sz="0" w:space="0" w:color="auto"/>
        <w:bottom w:val="none" w:sz="0" w:space="0" w:color="auto"/>
        <w:right w:val="none" w:sz="0" w:space="0" w:color="auto"/>
      </w:divBdr>
    </w:div>
    <w:div w:id="1772696984">
      <w:bodyDiv w:val="1"/>
      <w:marLeft w:val="0"/>
      <w:marRight w:val="0"/>
      <w:marTop w:val="0"/>
      <w:marBottom w:val="0"/>
      <w:divBdr>
        <w:top w:val="none" w:sz="0" w:space="0" w:color="auto"/>
        <w:left w:val="none" w:sz="0" w:space="0" w:color="auto"/>
        <w:bottom w:val="none" w:sz="0" w:space="0" w:color="auto"/>
        <w:right w:val="none" w:sz="0" w:space="0" w:color="auto"/>
      </w:divBdr>
    </w:div>
    <w:div w:id="1773630028">
      <w:bodyDiv w:val="1"/>
      <w:marLeft w:val="0"/>
      <w:marRight w:val="0"/>
      <w:marTop w:val="0"/>
      <w:marBottom w:val="0"/>
      <w:divBdr>
        <w:top w:val="none" w:sz="0" w:space="0" w:color="auto"/>
        <w:left w:val="none" w:sz="0" w:space="0" w:color="auto"/>
        <w:bottom w:val="none" w:sz="0" w:space="0" w:color="auto"/>
        <w:right w:val="none" w:sz="0" w:space="0" w:color="auto"/>
      </w:divBdr>
    </w:div>
    <w:div w:id="1776630730">
      <w:bodyDiv w:val="1"/>
      <w:marLeft w:val="0"/>
      <w:marRight w:val="0"/>
      <w:marTop w:val="0"/>
      <w:marBottom w:val="0"/>
      <w:divBdr>
        <w:top w:val="none" w:sz="0" w:space="0" w:color="auto"/>
        <w:left w:val="none" w:sz="0" w:space="0" w:color="auto"/>
        <w:bottom w:val="none" w:sz="0" w:space="0" w:color="auto"/>
        <w:right w:val="none" w:sz="0" w:space="0" w:color="auto"/>
      </w:divBdr>
    </w:div>
    <w:div w:id="1780835651">
      <w:bodyDiv w:val="1"/>
      <w:marLeft w:val="0"/>
      <w:marRight w:val="0"/>
      <w:marTop w:val="0"/>
      <w:marBottom w:val="0"/>
      <w:divBdr>
        <w:top w:val="none" w:sz="0" w:space="0" w:color="auto"/>
        <w:left w:val="none" w:sz="0" w:space="0" w:color="auto"/>
        <w:bottom w:val="none" w:sz="0" w:space="0" w:color="auto"/>
        <w:right w:val="none" w:sz="0" w:space="0" w:color="auto"/>
      </w:divBdr>
    </w:div>
    <w:div w:id="1781797525">
      <w:bodyDiv w:val="1"/>
      <w:marLeft w:val="0"/>
      <w:marRight w:val="0"/>
      <w:marTop w:val="0"/>
      <w:marBottom w:val="0"/>
      <w:divBdr>
        <w:top w:val="none" w:sz="0" w:space="0" w:color="auto"/>
        <w:left w:val="none" w:sz="0" w:space="0" w:color="auto"/>
        <w:bottom w:val="none" w:sz="0" w:space="0" w:color="auto"/>
        <w:right w:val="none" w:sz="0" w:space="0" w:color="auto"/>
      </w:divBdr>
    </w:div>
    <w:div w:id="1781993042">
      <w:bodyDiv w:val="1"/>
      <w:marLeft w:val="0"/>
      <w:marRight w:val="0"/>
      <w:marTop w:val="0"/>
      <w:marBottom w:val="0"/>
      <w:divBdr>
        <w:top w:val="none" w:sz="0" w:space="0" w:color="auto"/>
        <w:left w:val="none" w:sz="0" w:space="0" w:color="auto"/>
        <w:bottom w:val="none" w:sz="0" w:space="0" w:color="auto"/>
        <w:right w:val="none" w:sz="0" w:space="0" w:color="auto"/>
      </w:divBdr>
    </w:div>
    <w:div w:id="1789855190">
      <w:bodyDiv w:val="1"/>
      <w:marLeft w:val="0"/>
      <w:marRight w:val="0"/>
      <w:marTop w:val="0"/>
      <w:marBottom w:val="0"/>
      <w:divBdr>
        <w:top w:val="none" w:sz="0" w:space="0" w:color="auto"/>
        <w:left w:val="none" w:sz="0" w:space="0" w:color="auto"/>
        <w:bottom w:val="none" w:sz="0" w:space="0" w:color="auto"/>
        <w:right w:val="none" w:sz="0" w:space="0" w:color="auto"/>
      </w:divBdr>
    </w:div>
    <w:div w:id="1790313341">
      <w:bodyDiv w:val="1"/>
      <w:marLeft w:val="0"/>
      <w:marRight w:val="0"/>
      <w:marTop w:val="0"/>
      <w:marBottom w:val="0"/>
      <w:divBdr>
        <w:top w:val="none" w:sz="0" w:space="0" w:color="auto"/>
        <w:left w:val="none" w:sz="0" w:space="0" w:color="auto"/>
        <w:bottom w:val="none" w:sz="0" w:space="0" w:color="auto"/>
        <w:right w:val="none" w:sz="0" w:space="0" w:color="auto"/>
      </w:divBdr>
    </w:div>
    <w:div w:id="1790784710">
      <w:bodyDiv w:val="1"/>
      <w:marLeft w:val="0"/>
      <w:marRight w:val="0"/>
      <w:marTop w:val="0"/>
      <w:marBottom w:val="0"/>
      <w:divBdr>
        <w:top w:val="none" w:sz="0" w:space="0" w:color="auto"/>
        <w:left w:val="none" w:sz="0" w:space="0" w:color="auto"/>
        <w:bottom w:val="none" w:sz="0" w:space="0" w:color="auto"/>
        <w:right w:val="none" w:sz="0" w:space="0" w:color="auto"/>
      </w:divBdr>
    </w:div>
    <w:div w:id="1792506511">
      <w:bodyDiv w:val="1"/>
      <w:marLeft w:val="0"/>
      <w:marRight w:val="0"/>
      <w:marTop w:val="0"/>
      <w:marBottom w:val="0"/>
      <w:divBdr>
        <w:top w:val="none" w:sz="0" w:space="0" w:color="auto"/>
        <w:left w:val="none" w:sz="0" w:space="0" w:color="auto"/>
        <w:bottom w:val="none" w:sz="0" w:space="0" w:color="auto"/>
        <w:right w:val="none" w:sz="0" w:space="0" w:color="auto"/>
      </w:divBdr>
    </w:div>
    <w:div w:id="1793087752">
      <w:bodyDiv w:val="1"/>
      <w:marLeft w:val="0"/>
      <w:marRight w:val="0"/>
      <w:marTop w:val="0"/>
      <w:marBottom w:val="0"/>
      <w:divBdr>
        <w:top w:val="none" w:sz="0" w:space="0" w:color="auto"/>
        <w:left w:val="none" w:sz="0" w:space="0" w:color="auto"/>
        <w:bottom w:val="none" w:sz="0" w:space="0" w:color="auto"/>
        <w:right w:val="none" w:sz="0" w:space="0" w:color="auto"/>
      </w:divBdr>
    </w:div>
    <w:div w:id="1793815839">
      <w:bodyDiv w:val="1"/>
      <w:marLeft w:val="0"/>
      <w:marRight w:val="0"/>
      <w:marTop w:val="0"/>
      <w:marBottom w:val="0"/>
      <w:divBdr>
        <w:top w:val="none" w:sz="0" w:space="0" w:color="auto"/>
        <w:left w:val="none" w:sz="0" w:space="0" w:color="auto"/>
        <w:bottom w:val="none" w:sz="0" w:space="0" w:color="auto"/>
        <w:right w:val="none" w:sz="0" w:space="0" w:color="auto"/>
      </w:divBdr>
    </w:div>
    <w:div w:id="1794014062">
      <w:bodyDiv w:val="1"/>
      <w:marLeft w:val="0"/>
      <w:marRight w:val="0"/>
      <w:marTop w:val="0"/>
      <w:marBottom w:val="0"/>
      <w:divBdr>
        <w:top w:val="none" w:sz="0" w:space="0" w:color="auto"/>
        <w:left w:val="none" w:sz="0" w:space="0" w:color="auto"/>
        <w:bottom w:val="none" w:sz="0" w:space="0" w:color="auto"/>
        <w:right w:val="none" w:sz="0" w:space="0" w:color="auto"/>
      </w:divBdr>
    </w:div>
    <w:div w:id="1795126471">
      <w:bodyDiv w:val="1"/>
      <w:marLeft w:val="0"/>
      <w:marRight w:val="0"/>
      <w:marTop w:val="0"/>
      <w:marBottom w:val="0"/>
      <w:divBdr>
        <w:top w:val="none" w:sz="0" w:space="0" w:color="auto"/>
        <w:left w:val="none" w:sz="0" w:space="0" w:color="auto"/>
        <w:bottom w:val="none" w:sz="0" w:space="0" w:color="auto"/>
        <w:right w:val="none" w:sz="0" w:space="0" w:color="auto"/>
      </w:divBdr>
    </w:div>
    <w:div w:id="1797412142">
      <w:bodyDiv w:val="1"/>
      <w:marLeft w:val="0"/>
      <w:marRight w:val="0"/>
      <w:marTop w:val="0"/>
      <w:marBottom w:val="0"/>
      <w:divBdr>
        <w:top w:val="none" w:sz="0" w:space="0" w:color="auto"/>
        <w:left w:val="none" w:sz="0" w:space="0" w:color="auto"/>
        <w:bottom w:val="none" w:sz="0" w:space="0" w:color="auto"/>
        <w:right w:val="none" w:sz="0" w:space="0" w:color="auto"/>
      </w:divBdr>
    </w:div>
    <w:div w:id="1801145781">
      <w:bodyDiv w:val="1"/>
      <w:marLeft w:val="0"/>
      <w:marRight w:val="0"/>
      <w:marTop w:val="0"/>
      <w:marBottom w:val="0"/>
      <w:divBdr>
        <w:top w:val="none" w:sz="0" w:space="0" w:color="auto"/>
        <w:left w:val="none" w:sz="0" w:space="0" w:color="auto"/>
        <w:bottom w:val="none" w:sz="0" w:space="0" w:color="auto"/>
        <w:right w:val="none" w:sz="0" w:space="0" w:color="auto"/>
      </w:divBdr>
    </w:div>
    <w:div w:id="1801337834">
      <w:bodyDiv w:val="1"/>
      <w:marLeft w:val="0"/>
      <w:marRight w:val="0"/>
      <w:marTop w:val="0"/>
      <w:marBottom w:val="0"/>
      <w:divBdr>
        <w:top w:val="none" w:sz="0" w:space="0" w:color="auto"/>
        <w:left w:val="none" w:sz="0" w:space="0" w:color="auto"/>
        <w:bottom w:val="none" w:sz="0" w:space="0" w:color="auto"/>
        <w:right w:val="none" w:sz="0" w:space="0" w:color="auto"/>
      </w:divBdr>
    </w:div>
    <w:div w:id="1803040735">
      <w:bodyDiv w:val="1"/>
      <w:marLeft w:val="0"/>
      <w:marRight w:val="0"/>
      <w:marTop w:val="0"/>
      <w:marBottom w:val="0"/>
      <w:divBdr>
        <w:top w:val="none" w:sz="0" w:space="0" w:color="auto"/>
        <w:left w:val="none" w:sz="0" w:space="0" w:color="auto"/>
        <w:bottom w:val="none" w:sz="0" w:space="0" w:color="auto"/>
        <w:right w:val="none" w:sz="0" w:space="0" w:color="auto"/>
      </w:divBdr>
    </w:div>
    <w:div w:id="1804303514">
      <w:bodyDiv w:val="1"/>
      <w:marLeft w:val="0"/>
      <w:marRight w:val="0"/>
      <w:marTop w:val="0"/>
      <w:marBottom w:val="0"/>
      <w:divBdr>
        <w:top w:val="none" w:sz="0" w:space="0" w:color="auto"/>
        <w:left w:val="none" w:sz="0" w:space="0" w:color="auto"/>
        <w:bottom w:val="none" w:sz="0" w:space="0" w:color="auto"/>
        <w:right w:val="none" w:sz="0" w:space="0" w:color="auto"/>
      </w:divBdr>
    </w:div>
    <w:div w:id="1805273259">
      <w:bodyDiv w:val="1"/>
      <w:marLeft w:val="0"/>
      <w:marRight w:val="0"/>
      <w:marTop w:val="0"/>
      <w:marBottom w:val="0"/>
      <w:divBdr>
        <w:top w:val="none" w:sz="0" w:space="0" w:color="auto"/>
        <w:left w:val="none" w:sz="0" w:space="0" w:color="auto"/>
        <w:bottom w:val="none" w:sz="0" w:space="0" w:color="auto"/>
        <w:right w:val="none" w:sz="0" w:space="0" w:color="auto"/>
      </w:divBdr>
    </w:div>
    <w:div w:id="1806578215">
      <w:bodyDiv w:val="1"/>
      <w:marLeft w:val="0"/>
      <w:marRight w:val="0"/>
      <w:marTop w:val="0"/>
      <w:marBottom w:val="0"/>
      <w:divBdr>
        <w:top w:val="none" w:sz="0" w:space="0" w:color="auto"/>
        <w:left w:val="none" w:sz="0" w:space="0" w:color="auto"/>
        <w:bottom w:val="none" w:sz="0" w:space="0" w:color="auto"/>
        <w:right w:val="none" w:sz="0" w:space="0" w:color="auto"/>
      </w:divBdr>
    </w:div>
    <w:div w:id="1807700812">
      <w:bodyDiv w:val="1"/>
      <w:marLeft w:val="0"/>
      <w:marRight w:val="0"/>
      <w:marTop w:val="0"/>
      <w:marBottom w:val="0"/>
      <w:divBdr>
        <w:top w:val="none" w:sz="0" w:space="0" w:color="auto"/>
        <w:left w:val="none" w:sz="0" w:space="0" w:color="auto"/>
        <w:bottom w:val="none" w:sz="0" w:space="0" w:color="auto"/>
        <w:right w:val="none" w:sz="0" w:space="0" w:color="auto"/>
      </w:divBdr>
    </w:div>
    <w:div w:id="1809932835">
      <w:bodyDiv w:val="1"/>
      <w:marLeft w:val="0"/>
      <w:marRight w:val="0"/>
      <w:marTop w:val="0"/>
      <w:marBottom w:val="0"/>
      <w:divBdr>
        <w:top w:val="none" w:sz="0" w:space="0" w:color="auto"/>
        <w:left w:val="none" w:sz="0" w:space="0" w:color="auto"/>
        <w:bottom w:val="none" w:sz="0" w:space="0" w:color="auto"/>
        <w:right w:val="none" w:sz="0" w:space="0" w:color="auto"/>
      </w:divBdr>
    </w:div>
    <w:div w:id="1810702889">
      <w:bodyDiv w:val="1"/>
      <w:marLeft w:val="0"/>
      <w:marRight w:val="0"/>
      <w:marTop w:val="0"/>
      <w:marBottom w:val="0"/>
      <w:divBdr>
        <w:top w:val="none" w:sz="0" w:space="0" w:color="auto"/>
        <w:left w:val="none" w:sz="0" w:space="0" w:color="auto"/>
        <w:bottom w:val="none" w:sz="0" w:space="0" w:color="auto"/>
        <w:right w:val="none" w:sz="0" w:space="0" w:color="auto"/>
      </w:divBdr>
    </w:div>
    <w:div w:id="1810975980">
      <w:bodyDiv w:val="1"/>
      <w:marLeft w:val="0"/>
      <w:marRight w:val="0"/>
      <w:marTop w:val="0"/>
      <w:marBottom w:val="0"/>
      <w:divBdr>
        <w:top w:val="none" w:sz="0" w:space="0" w:color="auto"/>
        <w:left w:val="none" w:sz="0" w:space="0" w:color="auto"/>
        <w:bottom w:val="none" w:sz="0" w:space="0" w:color="auto"/>
        <w:right w:val="none" w:sz="0" w:space="0" w:color="auto"/>
      </w:divBdr>
    </w:div>
    <w:div w:id="1812282150">
      <w:bodyDiv w:val="1"/>
      <w:marLeft w:val="0"/>
      <w:marRight w:val="0"/>
      <w:marTop w:val="0"/>
      <w:marBottom w:val="0"/>
      <w:divBdr>
        <w:top w:val="none" w:sz="0" w:space="0" w:color="auto"/>
        <w:left w:val="none" w:sz="0" w:space="0" w:color="auto"/>
        <w:bottom w:val="none" w:sz="0" w:space="0" w:color="auto"/>
        <w:right w:val="none" w:sz="0" w:space="0" w:color="auto"/>
      </w:divBdr>
    </w:div>
    <w:div w:id="1814366130">
      <w:bodyDiv w:val="1"/>
      <w:marLeft w:val="0"/>
      <w:marRight w:val="0"/>
      <w:marTop w:val="0"/>
      <w:marBottom w:val="0"/>
      <w:divBdr>
        <w:top w:val="none" w:sz="0" w:space="0" w:color="auto"/>
        <w:left w:val="none" w:sz="0" w:space="0" w:color="auto"/>
        <w:bottom w:val="none" w:sz="0" w:space="0" w:color="auto"/>
        <w:right w:val="none" w:sz="0" w:space="0" w:color="auto"/>
      </w:divBdr>
    </w:div>
    <w:div w:id="1814978608">
      <w:bodyDiv w:val="1"/>
      <w:marLeft w:val="0"/>
      <w:marRight w:val="0"/>
      <w:marTop w:val="0"/>
      <w:marBottom w:val="0"/>
      <w:divBdr>
        <w:top w:val="none" w:sz="0" w:space="0" w:color="auto"/>
        <w:left w:val="none" w:sz="0" w:space="0" w:color="auto"/>
        <w:bottom w:val="none" w:sz="0" w:space="0" w:color="auto"/>
        <w:right w:val="none" w:sz="0" w:space="0" w:color="auto"/>
      </w:divBdr>
    </w:div>
    <w:div w:id="1816607488">
      <w:bodyDiv w:val="1"/>
      <w:marLeft w:val="0"/>
      <w:marRight w:val="0"/>
      <w:marTop w:val="0"/>
      <w:marBottom w:val="0"/>
      <w:divBdr>
        <w:top w:val="none" w:sz="0" w:space="0" w:color="auto"/>
        <w:left w:val="none" w:sz="0" w:space="0" w:color="auto"/>
        <w:bottom w:val="none" w:sz="0" w:space="0" w:color="auto"/>
        <w:right w:val="none" w:sz="0" w:space="0" w:color="auto"/>
      </w:divBdr>
    </w:div>
    <w:div w:id="1817065885">
      <w:bodyDiv w:val="1"/>
      <w:marLeft w:val="0"/>
      <w:marRight w:val="0"/>
      <w:marTop w:val="0"/>
      <w:marBottom w:val="0"/>
      <w:divBdr>
        <w:top w:val="none" w:sz="0" w:space="0" w:color="auto"/>
        <w:left w:val="none" w:sz="0" w:space="0" w:color="auto"/>
        <w:bottom w:val="none" w:sz="0" w:space="0" w:color="auto"/>
        <w:right w:val="none" w:sz="0" w:space="0" w:color="auto"/>
      </w:divBdr>
    </w:div>
    <w:div w:id="1817338605">
      <w:bodyDiv w:val="1"/>
      <w:marLeft w:val="0"/>
      <w:marRight w:val="0"/>
      <w:marTop w:val="0"/>
      <w:marBottom w:val="0"/>
      <w:divBdr>
        <w:top w:val="none" w:sz="0" w:space="0" w:color="auto"/>
        <w:left w:val="none" w:sz="0" w:space="0" w:color="auto"/>
        <w:bottom w:val="none" w:sz="0" w:space="0" w:color="auto"/>
        <w:right w:val="none" w:sz="0" w:space="0" w:color="auto"/>
      </w:divBdr>
    </w:div>
    <w:div w:id="1817994279">
      <w:bodyDiv w:val="1"/>
      <w:marLeft w:val="0"/>
      <w:marRight w:val="0"/>
      <w:marTop w:val="0"/>
      <w:marBottom w:val="0"/>
      <w:divBdr>
        <w:top w:val="none" w:sz="0" w:space="0" w:color="auto"/>
        <w:left w:val="none" w:sz="0" w:space="0" w:color="auto"/>
        <w:bottom w:val="none" w:sz="0" w:space="0" w:color="auto"/>
        <w:right w:val="none" w:sz="0" w:space="0" w:color="auto"/>
      </w:divBdr>
    </w:div>
    <w:div w:id="1818573486">
      <w:bodyDiv w:val="1"/>
      <w:marLeft w:val="0"/>
      <w:marRight w:val="0"/>
      <w:marTop w:val="0"/>
      <w:marBottom w:val="0"/>
      <w:divBdr>
        <w:top w:val="none" w:sz="0" w:space="0" w:color="auto"/>
        <w:left w:val="none" w:sz="0" w:space="0" w:color="auto"/>
        <w:bottom w:val="none" w:sz="0" w:space="0" w:color="auto"/>
        <w:right w:val="none" w:sz="0" w:space="0" w:color="auto"/>
      </w:divBdr>
    </w:div>
    <w:div w:id="1818760313">
      <w:bodyDiv w:val="1"/>
      <w:marLeft w:val="0"/>
      <w:marRight w:val="0"/>
      <w:marTop w:val="0"/>
      <w:marBottom w:val="0"/>
      <w:divBdr>
        <w:top w:val="none" w:sz="0" w:space="0" w:color="auto"/>
        <w:left w:val="none" w:sz="0" w:space="0" w:color="auto"/>
        <w:bottom w:val="none" w:sz="0" w:space="0" w:color="auto"/>
        <w:right w:val="none" w:sz="0" w:space="0" w:color="auto"/>
      </w:divBdr>
    </w:div>
    <w:div w:id="1819373746">
      <w:bodyDiv w:val="1"/>
      <w:marLeft w:val="0"/>
      <w:marRight w:val="0"/>
      <w:marTop w:val="0"/>
      <w:marBottom w:val="0"/>
      <w:divBdr>
        <w:top w:val="none" w:sz="0" w:space="0" w:color="auto"/>
        <w:left w:val="none" w:sz="0" w:space="0" w:color="auto"/>
        <w:bottom w:val="none" w:sz="0" w:space="0" w:color="auto"/>
        <w:right w:val="none" w:sz="0" w:space="0" w:color="auto"/>
      </w:divBdr>
    </w:div>
    <w:div w:id="1820725529">
      <w:bodyDiv w:val="1"/>
      <w:marLeft w:val="0"/>
      <w:marRight w:val="0"/>
      <w:marTop w:val="0"/>
      <w:marBottom w:val="0"/>
      <w:divBdr>
        <w:top w:val="none" w:sz="0" w:space="0" w:color="auto"/>
        <w:left w:val="none" w:sz="0" w:space="0" w:color="auto"/>
        <w:bottom w:val="none" w:sz="0" w:space="0" w:color="auto"/>
        <w:right w:val="none" w:sz="0" w:space="0" w:color="auto"/>
      </w:divBdr>
    </w:div>
    <w:div w:id="1821117105">
      <w:bodyDiv w:val="1"/>
      <w:marLeft w:val="0"/>
      <w:marRight w:val="0"/>
      <w:marTop w:val="0"/>
      <w:marBottom w:val="0"/>
      <w:divBdr>
        <w:top w:val="none" w:sz="0" w:space="0" w:color="auto"/>
        <w:left w:val="none" w:sz="0" w:space="0" w:color="auto"/>
        <w:bottom w:val="none" w:sz="0" w:space="0" w:color="auto"/>
        <w:right w:val="none" w:sz="0" w:space="0" w:color="auto"/>
      </w:divBdr>
    </w:div>
    <w:div w:id="1821381511">
      <w:bodyDiv w:val="1"/>
      <w:marLeft w:val="0"/>
      <w:marRight w:val="0"/>
      <w:marTop w:val="0"/>
      <w:marBottom w:val="0"/>
      <w:divBdr>
        <w:top w:val="none" w:sz="0" w:space="0" w:color="auto"/>
        <w:left w:val="none" w:sz="0" w:space="0" w:color="auto"/>
        <w:bottom w:val="none" w:sz="0" w:space="0" w:color="auto"/>
        <w:right w:val="none" w:sz="0" w:space="0" w:color="auto"/>
      </w:divBdr>
    </w:div>
    <w:div w:id="1821921128">
      <w:bodyDiv w:val="1"/>
      <w:marLeft w:val="0"/>
      <w:marRight w:val="0"/>
      <w:marTop w:val="0"/>
      <w:marBottom w:val="0"/>
      <w:divBdr>
        <w:top w:val="none" w:sz="0" w:space="0" w:color="auto"/>
        <w:left w:val="none" w:sz="0" w:space="0" w:color="auto"/>
        <w:bottom w:val="none" w:sz="0" w:space="0" w:color="auto"/>
        <w:right w:val="none" w:sz="0" w:space="0" w:color="auto"/>
      </w:divBdr>
    </w:div>
    <w:div w:id="1822572396">
      <w:bodyDiv w:val="1"/>
      <w:marLeft w:val="0"/>
      <w:marRight w:val="0"/>
      <w:marTop w:val="0"/>
      <w:marBottom w:val="0"/>
      <w:divBdr>
        <w:top w:val="none" w:sz="0" w:space="0" w:color="auto"/>
        <w:left w:val="none" w:sz="0" w:space="0" w:color="auto"/>
        <w:bottom w:val="none" w:sz="0" w:space="0" w:color="auto"/>
        <w:right w:val="none" w:sz="0" w:space="0" w:color="auto"/>
      </w:divBdr>
    </w:div>
    <w:div w:id="1822692172">
      <w:bodyDiv w:val="1"/>
      <w:marLeft w:val="0"/>
      <w:marRight w:val="0"/>
      <w:marTop w:val="0"/>
      <w:marBottom w:val="0"/>
      <w:divBdr>
        <w:top w:val="none" w:sz="0" w:space="0" w:color="auto"/>
        <w:left w:val="none" w:sz="0" w:space="0" w:color="auto"/>
        <w:bottom w:val="none" w:sz="0" w:space="0" w:color="auto"/>
        <w:right w:val="none" w:sz="0" w:space="0" w:color="auto"/>
      </w:divBdr>
    </w:div>
    <w:div w:id="1826629342">
      <w:bodyDiv w:val="1"/>
      <w:marLeft w:val="0"/>
      <w:marRight w:val="0"/>
      <w:marTop w:val="0"/>
      <w:marBottom w:val="0"/>
      <w:divBdr>
        <w:top w:val="none" w:sz="0" w:space="0" w:color="auto"/>
        <w:left w:val="none" w:sz="0" w:space="0" w:color="auto"/>
        <w:bottom w:val="none" w:sz="0" w:space="0" w:color="auto"/>
        <w:right w:val="none" w:sz="0" w:space="0" w:color="auto"/>
      </w:divBdr>
    </w:div>
    <w:div w:id="1828134435">
      <w:bodyDiv w:val="1"/>
      <w:marLeft w:val="0"/>
      <w:marRight w:val="0"/>
      <w:marTop w:val="0"/>
      <w:marBottom w:val="0"/>
      <w:divBdr>
        <w:top w:val="none" w:sz="0" w:space="0" w:color="auto"/>
        <w:left w:val="none" w:sz="0" w:space="0" w:color="auto"/>
        <w:bottom w:val="none" w:sz="0" w:space="0" w:color="auto"/>
        <w:right w:val="none" w:sz="0" w:space="0" w:color="auto"/>
      </w:divBdr>
    </w:div>
    <w:div w:id="1830511071">
      <w:bodyDiv w:val="1"/>
      <w:marLeft w:val="0"/>
      <w:marRight w:val="0"/>
      <w:marTop w:val="0"/>
      <w:marBottom w:val="0"/>
      <w:divBdr>
        <w:top w:val="none" w:sz="0" w:space="0" w:color="auto"/>
        <w:left w:val="none" w:sz="0" w:space="0" w:color="auto"/>
        <w:bottom w:val="none" w:sz="0" w:space="0" w:color="auto"/>
        <w:right w:val="none" w:sz="0" w:space="0" w:color="auto"/>
      </w:divBdr>
    </w:div>
    <w:div w:id="1832872969">
      <w:bodyDiv w:val="1"/>
      <w:marLeft w:val="0"/>
      <w:marRight w:val="0"/>
      <w:marTop w:val="0"/>
      <w:marBottom w:val="0"/>
      <w:divBdr>
        <w:top w:val="none" w:sz="0" w:space="0" w:color="auto"/>
        <w:left w:val="none" w:sz="0" w:space="0" w:color="auto"/>
        <w:bottom w:val="none" w:sz="0" w:space="0" w:color="auto"/>
        <w:right w:val="none" w:sz="0" w:space="0" w:color="auto"/>
      </w:divBdr>
    </w:div>
    <w:div w:id="1838958386">
      <w:bodyDiv w:val="1"/>
      <w:marLeft w:val="0"/>
      <w:marRight w:val="0"/>
      <w:marTop w:val="0"/>
      <w:marBottom w:val="0"/>
      <w:divBdr>
        <w:top w:val="none" w:sz="0" w:space="0" w:color="auto"/>
        <w:left w:val="none" w:sz="0" w:space="0" w:color="auto"/>
        <w:bottom w:val="none" w:sz="0" w:space="0" w:color="auto"/>
        <w:right w:val="none" w:sz="0" w:space="0" w:color="auto"/>
      </w:divBdr>
    </w:div>
    <w:div w:id="1847014239">
      <w:bodyDiv w:val="1"/>
      <w:marLeft w:val="0"/>
      <w:marRight w:val="0"/>
      <w:marTop w:val="0"/>
      <w:marBottom w:val="0"/>
      <w:divBdr>
        <w:top w:val="none" w:sz="0" w:space="0" w:color="auto"/>
        <w:left w:val="none" w:sz="0" w:space="0" w:color="auto"/>
        <w:bottom w:val="none" w:sz="0" w:space="0" w:color="auto"/>
        <w:right w:val="none" w:sz="0" w:space="0" w:color="auto"/>
      </w:divBdr>
    </w:div>
    <w:div w:id="1848666712">
      <w:bodyDiv w:val="1"/>
      <w:marLeft w:val="0"/>
      <w:marRight w:val="0"/>
      <w:marTop w:val="0"/>
      <w:marBottom w:val="0"/>
      <w:divBdr>
        <w:top w:val="none" w:sz="0" w:space="0" w:color="auto"/>
        <w:left w:val="none" w:sz="0" w:space="0" w:color="auto"/>
        <w:bottom w:val="none" w:sz="0" w:space="0" w:color="auto"/>
        <w:right w:val="none" w:sz="0" w:space="0" w:color="auto"/>
      </w:divBdr>
    </w:div>
    <w:div w:id="1850482503">
      <w:bodyDiv w:val="1"/>
      <w:marLeft w:val="0"/>
      <w:marRight w:val="0"/>
      <w:marTop w:val="0"/>
      <w:marBottom w:val="0"/>
      <w:divBdr>
        <w:top w:val="none" w:sz="0" w:space="0" w:color="auto"/>
        <w:left w:val="none" w:sz="0" w:space="0" w:color="auto"/>
        <w:bottom w:val="none" w:sz="0" w:space="0" w:color="auto"/>
        <w:right w:val="none" w:sz="0" w:space="0" w:color="auto"/>
      </w:divBdr>
    </w:div>
    <w:div w:id="1851407918">
      <w:bodyDiv w:val="1"/>
      <w:marLeft w:val="0"/>
      <w:marRight w:val="0"/>
      <w:marTop w:val="0"/>
      <w:marBottom w:val="0"/>
      <w:divBdr>
        <w:top w:val="none" w:sz="0" w:space="0" w:color="auto"/>
        <w:left w:val="none" w:sz="0" w:space="0" w:color="auto"/>
        <w:bottom w:val="none" w:sz="0" w:space="0" w:color="auto"/>
        <w:right w:val="none" w:sz="0" w:space="0" w:color="auto"/>
      </w:divBdr>
    </w:div>
    <w:div w:id="1852060137">
      <w:bodyDiv w:val="1"/>
      <w:marLeft w:val="0"/>
      <w:marRight w:val="0"/>
      <w:marTop w:val="0"/>
      <w:marBottom w:val="0"/>
      <w:divBdr>
        <w:top w:val="none" w:sz="0" w:space="0" w:color="auto"/>
        <w:left w:val="none" w:sz="0" w:space="0" w:color="auto"/>
        <w:bottom w:val="none" w:sz="0" w:space="0" w:color="auto"/>
        <w:right w:val="none" w:sz="0" w:space="0" w:color="auto"/>
      </w:divBdr>
    </w:div>
    <w:div w:id="1856266494">
      <w:bodyDiv w:val="1"/>
      <w:marLeft w:val="0"/>
      <w:marRight w:val="0"/>
      <w:marTop w:val="0"/>
      <w:marBottom w:val="0"/>
      <w:divBdr>
        <w:top w:val="none" w:sz="0" w:space="0" w:color="auto"/>
        <w:left w:val="none" w:sz="0" w:space="0" w:color="auto"/>
        <w:bottom w:val="none" w:sz="0" w:space="0" w:color="auto"/>
        <w:right w:val="none" w:sz="0" w:space="0" w:color="auto"/>
      </w:divBdr>
    </w:div>
    <w:div w:id="1856462400">
      <w:bodyDiv w:val="1"/>
      <w:marLeft w:val="0"/>
      <w:marRight w:val="0"/>
      <w:marTop w:val="0"/>
      <w:marBottom w:val="0"/>
      <w:divBdr>
        <w:top w:val="none" w:sz="0" w:space="0" w:color="auto"/>
        <w:left w:val="none" w:sz="0" w:space="0" w:color="auto"/>
        <w:bottom w:val="none" w:sz="0" w:space="0" w:color="auto"/>
        <w:right w:val="none" w:sz="0" w:space="0" w:color="auto"/>
      </w:divBdr>
    </w:div>
    <w:div w:id="1867475746">
      <w:bodyDiv w:val="1"/>
      <w:marLeft w:val="0"/>
      <w:marRight w:val="0"/>
      <w:marTop w:val="0"/>
      <w:marBottom w:val="0"/>
      <w:divBdr>
        <w:top w:val="none" w:sz="0" w:space="0" w:color="auto"/>
        <w:left w:val="none" w:sz="0" w:space="0" w:color="auto"/>
        <w:bottom w:val="none" w:sz="0" w:space="0" w:color="auto"/>
        <w:right w:val="none" w:sz="0" w:space="0" w:color="auto"/>
      </w:divBdr>
    </w:div>
    <w:div w:id="1870139345">
      <w:bodyDiv w:val="1"/>
      <w:marLeft w:val="0"/>
      <w:marRight w:val="0"/>
      <w:marTop w:val="0"/>
      <w:marBottom w:val="0"/>
      <w:divBdr>
        <w:top w:val="none" w:sz="0" w:space="0" w:color="auto"/>
        <w:left w:val="none" w:sz="0" w:space="0" w:color="auto"/>
        <w:bottom w:val="none" w:sz="0" w:space="0" w:color="auto"/>
        <w:right w:val="none" w:sz="0" w:space="0" w:color="auto"/>
      </w:divBdr>
    </w:div>
    <w:div w:id="1872764144">
      <w:bodyDiv w:val="1"/>
      <w:marLeft w:val="0"/>
      <w:marRight w:val="0"/>
      <w:marTop w:val="0"/>
      <w:marBottom w:val="0"/>
      <w:divBdr>
        <w:top w:val="none" w:sz="0" w:space="0" w:color="auto"/>
        <w:left w:val="none" w:sz="0" w:space="0" w:color="auto"/>
        <w:bottom w:val="none" w:sz="0" w:space="0" w:color="auto"/>
        <w:right w:val="none" w:sz="0" w:space="0" w:color="auto"/>
      </w:divBdr>
    </w:div>
    <w:div w:id="1875802620">
      <w:bodyDiv w:val="1"/>
      <w:marLeft w:val="0"/>
      <w:marRight w:val="0"/>
      <w:marTop w:val="0"/>
      <w:marBottom w:val="0"/>
      <w:divBdr>
        <w:top w:val="none" w:sz="0" w:space="0" w:color="auto"/>
        <w:left w:val="none" w:sz="0" w:space="0" w:color="auto"/>
        <w:bottom w:val="none" w:sz="0" w:space="0" w:color="auto"/>
        <w:right w:val="none" w:sz="0" w:space="0" w:color="auto"/>
      </w:divBdr>
    </w:div>
    <w:div w:id="1876382438">
      <w:bodyDiv w:val="1"/>
      <w:marLeft w:val="0"/>
      <w:marRight w:val="0"/>
      <w:marTop w:val="0"/>
      <w:marBottom w:val="0"/>
      <w:divBdr>
        <w:top w:val="none" w:sz="0" w:space="0" w:color="auto"/>
        <w:left w:val="none" w:sz="0" w:space="0" w:color="auto"/>
        <w:bottom w:val="none" w:sz="0" w:space="0" w:color="auto"/>
        <w:right w:val="none" w:sz="0" w:space="0" w:color="auto"/>
      </w:divBdr>
    </w:div>
    <w:div w:id="1877308315">
      <w:bodyDiv w:val="1"/>
      <w:marLeft w:val="0"/>
      <w:marRight w:val="0"/>
      <w:marTop w:val="0"/>
      <w:marBottom w:val="0"/>
      <w:divBdr>
        <w:top w:val="none" w:sz="0" w:space="0" w:color="auto"/>
        <w:left w:val="none" w:sz="0" w:space="0" w:color="auto"/>
        <w:bottom w:val="none" w:sz="0" w:space="0" w:color="auto"/>
        <w:right w:val="none" w:sz="0" w:space="0" w:color="auto"/>
      </w:divBdr>
    </w:div>
    <w:div w:id="1878472061">
      <w:bodyDiv w:val="1"/>
      <w:marLeft w:val="0"/>
      <w:marRight w:val="0"/>
      <w:marTop w:val="0"/>
      <w:marBottom w:val="0"/>
      <w:divBdr>
        <w:top w:val="none" w:sz="0" w:space="0" w:color="auto"/>
        <w:left w:val="none" w:sz="0" w:space="0" w:color="auto"/>
        <w:bottom w:val="none" w:sz="0" w:space="0" w:color="auto"/>
        <w:right w:val="none" w:sz="0" w:space="0" w:color="auto"/>
      </w:divBdr>
    </w:div>
    <w:div w:id="1880240384">
      <w:bodyDiv w:val="1"/>
      <w:marLeft w:val="0"/>
      <w:marRight w:val="0"/>
      <w:marTop w:val="0"/>
      <w:marBottom w:val="0"/>
      <w:divBdr>
        <w:top w:val="none" w:sz="0" w:space="0" w:color="auto"/>
        <w:left w:val="none" w:sz="0" w:space="0" w:color="auto"/>
        <w:bottom w:val="none" w:sz="0" w:space="0" w:color="auto"/>
        <w:right w:val="none" w:sz="0" w:space="0" w:color="auto"/>
      </w:divBdr>
    </w:div>
    <w:div w:id="1883908160">
      <w:bodyDiv w:val="1"/>
      <w:marLeft w:val="0"/>
      <w:marRight w:val="0"/>
      <w:marTop w:val="0"/>
      <w:marBottom w:val="0"/>
      <w:divBdr>
        <w:top w:val="none" w:sz="0" w:space="0" w:color="auto"/>
        <w:left w:val="none" w:sz="0" w:space="0" w:color="auto"/>
        <w:bottom w:val="none" w:sz="0" w:space="0" w:color="auto"/>
        <w:right w:val="none" w:sz="0" w:space="0" w:color="auto"/>
      </w:divBdr>
    </w:div>
    <w:div w:id="1885092122">
      <w:bodyDiv w:val="1"/>
      <w:marLeft w:val="0"/>
      <w:marRight w:val="0"/>
      <w:marTop w:val="0"/>
      <w:marBottom w:val="0"/>
      <w:divBdr>
        <w:top w:val="none" w:sz="0" w:space="0" w:color="auto"/>
        <w:left w:val="none" w:sz="0" w:space="0" w:color="auto"/>
        <w:bottom w:val="none" w:sz="0" w:space="0" w:color="auto"/>
        <w:right w:val="none" w:sz="0" w:space="0" w:color="auto"/>
      </w:divBdr>
    </w:div>
    <w:div w:id="1885822748">
      <w:bodyDiv w:val="1"/>
      <w:marLeft w:val="0"/>
      <w:marRight w:val="0"/>
      <w:marTop w:val="0"/>
      <w:marBottom w:val="0"/>
      <w:divBdr>
        <w:top w:val="none" w:sz="0" w:space="0" w:color="auto"/>
        <w:left w:val="none" w:sz="0" w:space="0" w:color="auto"/>
        <w:bottom w:val="none" w:sz="0" w:space="0" w:color="auto"/>
        <w:right w:val="none" w:sz="0" w:space="0" w:color="auto"/>
      </w:divBdr>
    </w:div>
    <w:div w:id="1886214426">
      <w:bodyDiv w:val="1"/>
      <w:marLeft w:val="0"/>
      <w:marRight w:val="0"/>
      <w:marTop w:val="0"/>
      <w:marBottom w:val="0"/>
      <w:divBdr>
        <w:top w:val="none" w:sz="0" w:space="0" w:color="auto"/>
        <w:left w:val="none" w:sz="0" w:space="0" w:color="auto"/>
        <w:bottom w:val="none" w:sz="0" w:space="0" w:color="auto"/>
        <w:right w:val="none" w:sz="0" w:space="0" w:color="auto"/>
      </w:divBdr>
    </w:div>
    <w:div w:id="1888954655">
      <w:bodyDiv w:val="1"/>
      <w:marLeft w:val="0"/>
      <w:marRight w:val="0"/>
      <w:marTop w:val="0"/>
      <w:marBottom w:val="0"/>
      <w:divBdr>
        <w:top w:val="none" w:sz="0" w:space="0" w:color="auto"/>
        <w:left w:val="none" w:sz="0" w:space="0" w:color="auto"/>
        <w:bottom w:val="none" w:sz="0" w:space="0" w:color="auto"/>
        <w:right w:val="none" w:sz="0" w:space="0" w:color="auto"/>
      </w:divBdr>
    </w:div>
    <w:div w:id="1889490670">
      <w:bodyDiv w:val="1"/>
      <w:marLeft w:val="0"/>
      <w:marRight w:val="0"/>
      <w:marTop w:val="0"/>
      <w:marBottom w:val="0"/>
      <w:divBdr>
        <w:top w:val="none" w:sz="0" w:space="0" w:color="auto"/>
        <w:left w:val="none" w:sz="0" w:space="0" w:color="auto"/>
        <w:bottom w:val="none" w:sz="0" w:space="0" w:color="auto"/>
        <w:right w:val="none" w:sz="0" w:space="0" w:color="auto"/>
      </w:divBdr>
    </w:div>
    <w:div w:id="1890797806">
      <w:bodyDiv w:val="1"/>
      <w:marLeft w:val="0"/>
      <w:marRight w:val="0"/>
      <w:marTop w:val="0"/>
      <w:marBottom w:val="0"/>
      <w:divBdr>
        <w:top w:val="none" w:sz="0" w:space="0" w:color="auto"/>
        <w:left w:val="none" w:sz="0" w:space="0" w:color="auto"/>
        <w:bottom w:val="none" w:sz="0" w:space="0" w:color="auto"/>
        <w:right w:val="none" w:sz="0" w:space="0" w:color="auto"/>
      </w:divBdr>
    </w:div>
    <w:div w:id="1891185944">
      <w:bodyDiv w:val="1"/>
      <w:marLeft w:val="0"/>
      <w:marRight w:val="0"/>
      <w:marTop w:val="0"/>
      <w:marBottom w:val="0"/>
      <w:divBdr>
        <w:top w:val="none" w:sz="0" w:space="0" w:color="auto"/>
        <w:left w:val="none" w:sz="0" w:space="0" w:color="auto"/>
        <w:bottom w:val="none" w:sz="0" w:space="0" w:color="auto"/>
        <w:right w:val="none" w:sz="0" w:space="0" w:color="auto"/>
      </w:divBdr>
    </w:div>
    <w:div w:id="1893760955">
      <w:bodyDiv w:val="1"/>
      <w:marLeft w:val="0"/>
      <w:marRight w:val="0"/>
      <w:marTop w:val="0"/>
      <w:marBottom w:val="0"/>
      <w:divBdr>
        <w:top w:val="none" w:sz="0" w:space="0" w:color="auto"/>
        <w:left w:val="none" w:sz="0" w:space="0" w:color="auto"/>
        <w:bottom w:val="none" w:sz="0" w:space="0" w:color="auto"/>
        <w:right w:val="none" w:sz="0" w:space="0" w:color="auto"/>
      </w:divBdr>
    </w:div>
    <w:div w:id="1894073480">
      <w:bodyDiv w:val="1"/>
      <w:marLeft w:val="0"/>
      <w:marRight w:val="0"/>
      <w:marTop w:val="0"/>
      <w:marBottom w:val="0"/>
      <w:divBdr>
        <w:top w:val="none" w:sz="0" w:space="0" w:color="auto"/>
        <w:left w:val="none" w:sz="0" w:space="0" w:color="auto"/>
        <w:bottom w:val="none" w:sz="0" w:space="0" w:color="auto"/>
        <w:right w:val="none" w:sz="0" w:space="0" w:color="auto"/>
      </w:divBdr>
    </w:div>
    <w:div w:id="1895241127">
      <w:bodyDiv w:val="1"/>
      <w:marLeft w:val="0"/>
      <w:marRight w:val="0"/>
      <w:marTop w:val="0"/>
      <w:marBottom w:val="0"/>
      <w:divBdr>
        <w:top w:val="none" w:sz="0" w:space="0" w:color="auto"/>
        <w:left w:val="none" w:sz="0" w:space="0" w:color="auto"/>
        <w:bottom w:val="none" w:sz="0" w:space="0" w:color="auto"/>
        <w:right w:val="none" w:sz="0" w:space="0" w:color="auto"/>
      </w:divBdr>
    </w:div>
    <w:div w:id="1896774457">
      <w:bodyDiv w:val="1"/>
      <w:marLeft w:val="0"/>
      <w:marRight w:val="0"/>
      <w:marTop w:val="0"/>
      <w:marBottom w:val="0"/>
      <w:divBdr>
        <w:top w:val="none" w:sz="0" w:space="0" w:color="auto"/>
        <w:left w:val="none" w:sz="0" w:space="0" w:color="auto"/>
        <w:bottom w:val="none" w:sz="0" w:space="0" w:color="auto"/>
        <w:right w:val="none" w:sz="0" w:space="0" w:color="auto"/>
      </w:divBdr>
    </w:div>
    <w:div w:id="1898011763">
      <w:bodyDiv w:val="1"/>
      <w:marLeft w:val="0"/>
      <w:marRight w:val="0"/>
      <w:marTop w:val="0"/>
      <w:marBottom w:val="0"/>
      <w:divBdr>
        <w:top w:val="none" w:sz="0" w:space="0" w:color="auto"/>
        <w:left w:val="none" w:sz="0" w:space="0" w:color="auto"/>
        <w:bottom w:val="none" w:sz="0" w:space="0" w:color="auto"/>
        <w:right w:val="none" w:sz="0" w:space="0" w:color="auto"/>
      </w:divBdr>
    </w:div>
    <w:div w:id="1900481588">
      <w:bodyDiv w:val="1"/>
      <w:marLeft w:val="0"/>
      <w:marRight w:val="0"/>
      <w:marTop w:val="0"/>
      <w:marBottom w:val="0"/>
      <w:divBdr>
        <w:top w:val="none" w:sz="0" w:space="0" w:color="auto"/>
        <w:left w:val="none" w:sz="0" w:space="0" w:color="auto"/>
        <w:bottom w:val="none" w:sz="0" w:space="0" w:color="auto"/>
        <w:right w:val="none" w:sz="0" w:space="0" w:color="auto"/>
      </w:divBdr>
    </w:div>
    <w:div w:id="1905068700">
      <w:bodyDiv w:val="1"/>
      <w:marLeft w:val="0"/>
      <w:marRight w:val="0"/>
      <w:marTop w:val="0"/>
      <w:marBottom w:val="0"/>
      <w:divBdr>
        <w:top w:val="none" w:sz="0" w:space="0" w:color="auto"/>
        <w:left w:val="none" w:sz="0" w:space="0" w:color="auto"/>
        <w:bottom w:val="none" w:sz="0" w:space="0" w:color="auto"/>
        <w:right w:val="none" w:sz="0" w:space="0" w:color="auto"/>
      </w:divBdr>
    </w:div>
    <w:div w:id="1906062668">
      <w:bodyDiv w:val="1"/>
      <w:marLeft w:val="0"/>
      <w:marRight w:val="0"/>
      <w:marTop w:val="0"/>
      <w:marBottom w:val="0"/>
      <w:divBdr>
        <w:top w:val="none" w:sz="0" w:space="0" w:color="auto"/>
        <w:left w:val="none" w:sz="0" w:space="0" w:color="auto"/>
        <w:bottom w:val="none" w:sz="0" w:space="0" w:color="auto"/>
        <w:right w:val="none" w:sz="0" w:space="0" w:color="auto"/>
      </w:divBdr>
    </w:div>
    <w:div w:id="1908488139">
      <w:bodyDiv w:val="1"/>
      <w:marLeft w:val="0"/>
      <w:marRight w:val="0"/>
      <w:marTop w:val="0"/>
      <w:marBottom w:val="0"/>
      <w:divBdr>
        <w:top w:val="none" w:sz="0" w:space="0" w:color="auto"/>
        <w:left w:val="none" w:sz="0" w:space="0" w:color="auto"/>
        <w:bottom w:val="none" w:sz="0" w:space="0" w:color="auto"/>
        <w:right w:val="none" w:sz="0" w:space="0" w:color="auto"/>
      </w:divBdr>
    </w:div>
    <w:div w:id="1908805036">
      <w:bodyDiv w:val="1"/>
      <w:marLeft w:val="0"/>
      <w:marRight w:val="0"/>
      <w:marTop w:val="0"/>
      <w:marBottom w:val="0"/>
      <w:divBdr>
        <w:top w:val="none" w:sz="0" w:space="0" w:color="auto"/>
        <w:left w:val="none" w:sz="0" w:space="0" w:color="auto"/>
        <w:bottom w:val="none" w:sz="0" w:space="0" w:color="auto"/>
        <w:right w:val="none" w:sz="0" w:space="0" w:color="auto"/>
      </w:divBdr>
    </w:div>
    <w:div w:id="1909802791">
      <w:bodyDiv w:val="1"/>
      <w:marLeft w:val="0"/>
      <w:marRight w:val="0"/>
      <w:marTop w:val="0"/>
      <w:marBottom w:val="0"/>
      <w:divBdr>
        <w:top w:val="none" w:sz="0" w:space="0" w:color="auto"/>
        <w:left w:val="none" w:sz="0" w:space="0" w:color="auto"/>
        <w:bottom w:val="none" w:sz="0" w:space="0" w:color="auto"/>
        <w:right w:val="none" w:sz="0" w:space="0" w:color="auto"/>
      </w:divBdr>
    </w:div>
    <w:div w:id="1910535580">
      <w:bodyDiv w:val="1"/>
      <w:marLeft w:val="0"/>
      <w:marRight w:val="0"/>
      <w:marTop w:val="0"/>
      <w:marBottom w:val="0"/>
      <w:divBdr>
        <w:top w:val="none" w:sz="0" w:space="0" w:color="auto"/>
        <w:left w:val="none" w:sz="0" w:space="0" w:color="auto"/>
        <w:bottom w:val="none" w:sz="0" w:space="0" w:color="auto"/>
        <w:right w:val="none" w:sz="0" w:space="0" w:color="auto"/>
      </w:divBdr>
    </w:div>
    <w:div w:id="1913343680">
      <w:bodyDiv w:val="1"/>
      <w:marLeft w:val="0"/>
      <w:marRight w:val="0"/>
      <w:marTop w:val="0"/>
      <w:marBottom w:val="0"/>
      <w:divBdr>
        <w:top w:val="none" w:sz="0" w:space="0" w:color="auto"/>
        <w:left w:val="none" w:sz="0" w:space="0" w:color="auto"/>
        <w:bottom w:val="none" w:sz="0" w:space="0" w:color="auto"/>
        <w:right w:val="none" w:sz="0" w:space="0" w:color="auto"/>
      </w:divBdr>
    </w:div>
    <w:div w:id="1914585793">
      <w:bodyDiv w:val="1"/>
      <w:marLeft w:val="0"/>
      <w:marRight w:val="0"/>
      <w:marTop w:val="0"/>
      <w:marBottom w:val="0"/>
      <w:divBdr>
        <w:top w:val="none" w:sz="0" w:space="0" w:color="auto"/>
        <w:left w:val="none" w:sz="0" w:space="0" w:color="auto"/>
        <w:bottom w:val="none" w:sz="0" w:space="0" w:color="auto"/>
        <w:right w:val="none" w:sz="0" w:space="0" w:color="auto"/>
      </w:divBdr>
    </w:div>
    <w:div w:id="1917476153">
      <w:bodyDiv w:val="1"/>
      <w:marLeft w:val="0"/>
      <w:marRight w:val="0"/>
      <w:marTop w:val="0"/>
      <w:marBottom w:val="0"/>
      <w:divBdr>
        <w:top w:val="none" w:sz="0" w:space="0" w:color="auto"/>
        <w:left w:val="none" w:sz="0" w:space="0" w:color="auto"/>
        <w:bottom w:val="none" w:sz="0" w:space="0" w:color="auto"/>
        <w:right w:val="none" w:sz="0" w:space="0" w:color="auto"/>
      </w:divBdr>
    </w:div>
    <w:div w:id="1917663012">
      <w:bodyDiv w:val="1"/>
      <w:marLeft w:val="0"/>
      <w:marRight w:val="0"/>
      <w:marTop w:val="0"/>
      <w:marBottom w:val="0"/>
      <w:divBdr>
        <w:top w:val="none" w:sz="0" w:space="0" w:color="auto"/>
        <w:left w:val="none" w:sz="0" w:space="0" w:color="auto"/>
        <w:bottom w:val="none" w:sz="0" w:space="0" w:color="auto"/>
        <w:right w:val="none" w:sz="0" w:space="0" w:color="auto"/>
      </w:divBdr>
    </w:div>
    <w:div w:id="1920864382">
      <w:bodyDiv w:val="1"/>
      <w:marLeft w:val="0"/>
      <w:marRight w:val="0"/>
      <w:marTop w:val="0"/>
      <w:marBottom w:val="0"/>
      <w:divBdr>
        <w:top w:val="none" w:sz="0" w:space="0" w:color="auto"/>
        <w:left w:val="none" w:sz="0" w:space="0" w:color="auto"/>
        <w:bottom w:val="none" w:sz="0" w:space="0" w:color="auto"/>
        <w:right w:val="none" w:sz="0" w:space="0" w:color="auto"/>
      </w:divBdr>
    </w:div>
    <w:div w:id="1921519490">
      <w:bodyDiv w:val="1"/>
      <w:marLeft w:val="0"/>
      <w:marRight w:val="0"/>
      <w:marTop w:val="0"/>
      <w:marBottom w:val="0"/>
      <w:divBdr>
        <w:top w:val="none" w:sz="0" w:space="0" w:color="auto"/>
        <w:left w:val="none" w:sz="0" w:space="0" w:color="auto"/>
        <w:bottom w:val="none" w:sz="0" w:space="0" w:color="auto"/>
        <w:right w:val="none" w:sz="0" w:space="0" w:color="auto"/>
      </w:divBdr>
    </w:div>
    <w:div w:id="1925649722">
      <w:bodyDiv w:val="1"/>
      <w:marLeft w:val="0"/>
      <w:marRight w:val="0"/>
      <w:marTop w:val="0"/>
      <w:marBottom w:val="0"/>
      <w:divBdr>
        <w:top w:val="none" w:sz="0" w:space="0" w:color="auto"/>
        <w:left w:val="none" w:sz="0" w:space="0" w:color="auto"/>
        <w:bottom w:val="none" w:sz="0" w:space="0" w:color="auto"/>
        <w:right w:val="none" w:sz="0" w:space="0" w:color="auto"/>
      </w:divBdr>
    </w:div>
    <w:div w:id="1926381303">
      <w:bodyDiv w:val="1"/>
      <w:marLeft w:val="0"/>
      <w:marRight w:val="0"/>
      <w:marTop w:val="0"/>
      <w:marBottom w:val="0"/>
      <w:divBdr>
        <w:top w:val="none" w:sz="0" w:space="0" w:color="auto"/>
        <w:left w:val="none" w:sz="0" w:space="0" w:color="auto"/>
        <w:bottom w:val="none" w:sz="0" w:space="0" w:color="auto"/>
        <w:right w:val="none" w:sz="0" w:space="0" w:color="auto"/>
      </w:divBdr>
    </w:div>
    <w:div w:id="1927110272">
      <w:bodyDiv w:val="1"/>
      <w:marLeft w:val="0"/>
      <w:marRight w:val="0"/>
      <w:marTop w:val="0"/>
      <w:marBottom w:val="0"/>
      <w:divBdr>
        <w:top w:val="none" w:sz="0" w:space="0" w:color="auto"/>
        <w:left w:val="none" w:sz="0" w:space="0" w:color="auto"/>
        <w:bottom w:val="none" w:sz="0" w:space="0" w:color="auto"/>
        <w:right w:val="none" w:sz="0" w:space="0" w:color="auto"/>
      </w:divBdr>
    </w:div>
    <w:div w:id="1929187714">
      <w:bodyDiv w:val="1"/>
      <w:marLeft w:val="0"/>
      <w:marRight w:val="0"/>
      <w:marTop w:val="0"/>
      <w:marBottom w:val="0"/>
      <w:divBdr>
        <w:top w:val="none" w:sz="0" w:space="0" w:color="auto"/>
        <w:left w:val="none" w:sz="0" w:space="0" w:color="auto"/>
        <w:bottom w:val="none" w:sz="0" w:space="0" w:color="auto"/>
        <w:right w:val="none" w:sz="0" w:space="0" w:color="auto"/>
      </w:divBdr>
    </w:div>
    <w:div w:id="1929922933">
      <w:bodyDiv w:val="1"/>
      <w:marLeft w:val="0"/>
      <w:marRight w:val="0"/>
      <w:marTop w:val="0"/>
      <w:marBottom w:val="0"/>
      <w:divBdr>
        <w:top w:val="none" w:sz="0" w:space="0" w:color="auto"/>
        <w:left w:val="none" w:sz="0" w:space="0" w:color="auto"/>
        <w:bottom w:val="none" w:sz="0" w:space="0" w:color="auto"/>
        <w:right w:val="none" w:sz="0" w:space="0" w:color="auto"/>
      </w:divBdr>
    </w:div>
    <w:div w:id="1931306094">
      <w:bodyDiv w:val="1"/>
      <w:marLeft w:val="0"/>
      <w:marRight w:val="0"/>
      <w:marTop w:val="0"/>
      <w:marBottom w:val="0"/>
      <w:divBdr>
        <w:top w:val="none" w:sz="0" w:space="0" w:color="auto"/>
        <w:left w:val="none" w:sz="0" w:space="0" w:color="auto"/>
        <w:bottom w:val="none" w:sz="0" w:space="0" w:color="auto"/>
        <w:right w:val="none" w:sz="0" w:space="0" w:color="auto"/>
      </w:divBdr>
    </w:div>
    <w:div w:id="1932467056">
      <w:bodyDiv w:val="1"/>
      <w:marLeft w:val="0"/>
      <w:marRight w:val="0"/>
      <w:marTop w:val="0"/>
      <w:marBottom w:val="0"/>
      <w:divBdr>
        <w:top w:val="none" w:sz="0" w:space="0" w:color="auto"/>
        <w:left w:val="none" w:sz="0" w:space="0" w:color="auto"/>
        <w:bottom w:val="none" w:sz="0" w:space="0" w:color="auto"/>
        <w:right w:val="none" w:sz="0" w:space="0" w:color="auto"/>
      </w:divBdr>
    </w:div>
    <w:div w:id="1933463760">
      <w:bodyDiv w:val="1"/>
      <w:marLeft w:val="0"/>
      <w:marRight w:val="0"/>
      <w:marTop w:val="0"/>
      <w:marBottom w:val="0"/>
      <w:divBdr>
        <w:top w:val="none" w:sz="0" w:space="0" w:color="auto"/>
        <w:left w:val="none" w:sz="0" w:space="0" w:color="auto"/>
        <w:bottom w:val="none" w:sz="0" w:space="0" w:color="auto"/>
        <w:right w:val="none" w:sz="0" w:space="0" w:color="auto"/>
      </w:divBdr>
    </w:div>
    <w:div w:id="1935287742">
      <w:bodyDiv w:val="1"/>
      <w:marLeft w:val="0"/>
      <w:marRight w:val="0"/>
      <w:marTop w:val="0"/>
      <w:marBottom w:val="0"/>
      <w:divBdr>
        <w:top w:val="none" w:sz="0" w:space="0" w:color="auto"/>
        <w:left w:val="none" w:sz="0" w:space="0" w:color="auto"/>
        <w:bottom w:val="none" w:sz="0" w:space="0" w:color="auto"/>
        <w:right w:val="none" w:sz="0" w:space="0" w:color="auto"/>
      </w:divBdr>
    </w:div>
    <w:div w:id="1938050735">
      <w:bodyDiv w:val="1"/>
      <w:marLeft w:val="0"/>
      <w:marRight w:val="0"/>
      <w:marTop w:val="0"/>
      <w:marBottom w:val="0"/>
      <w:divBdr>
        <w:top w:val="none" w:sz="0" w:space="0" w:color="auto"/>
        <w:left w:val="none" w:sz="0" w:space="0" w:color="auto"/>
        <w:bottom w:val="none" w:sz="0" w:space="0" w:color="auto"/>
        <w:right w:val="none" w:sz="0" w:space="0" w:color="auto"/>
      </w:divBdr>
    </w:div>
    <w:div w:id="1940021629">
      <w:bodyDiv w:val="1"/>
      <w:marLeft w:val="0"/>
      <w:marRight w:val="0"/>
      <w:marTop w:val="0"/>
      <w:marBottom w:val="0"/>
      <w:divBdr>
        <w:top w:val="none" w:sz="0" w:space="0" w:color="auto"/>
        <w:left w:val="none" w:sz="0" w:space="0" w:color="auto"/>
        <w:bottom w:val="none" w:sz="0" w:space="0" w:color="auto"/>
        <w:right w:val="none" w:sz="0" w:space="0" w:color="auto"/>
      </w:divBdr>
    </w:div>
    <w:div w:id="1940872430">
      <w:bodyDiv w:val="1"/>
      <w:marLeft w:val="0"/>
      <w:marRight w:val="0"/>
      <w:marTop w:val="0"/>
      <w:marBottom w:val="0"/>
      <w:divBdr>
        <w:top w:val="none" w:sz="0" w:space="0" w:color="auto"/>
        <w:left w:val="none" w:sz="0" w:space="0" w:color="auto"/>
        <w:bottom w:val="none" w:sz="0" w:space="0" w:color="auto"/>
        <w:right w:val="none" w:sz="0" w:space="0" w:color="auto"/>
      </w:divBdr>
    </w:div>
    <w:div w:id="1941063790">
      <w:bodyDiv w:val="1"/>
      <w:marLeft w:val="0"/>
      <w:marRight w:val="0"/>
      <w:marTop w:val="0"/>
      <w:marBottom w:val="0"/>
      <w:divBdr>
        <w:top w:val="none" w:sz="0" w:space="0" w:color="auto"/>
        <w:left w:val="none" w:sz="0" w:space="0" w:color="auto"/>
        <w:bottom w:val="none" w:sz="0" w:space="0" w:color="auto"/>
        <w:right w:val="none" w:sz="0" w:space="0" w:color="auto"/>
      </w:divBdr>
    </w:div>
    <w:div w:id="1941452943">
      <w:bodyDiv w:val="1"/>
      <w:marLeft w:val="0"/>
      <w:marRight w:val="0"/>
      <w:marTop w:val="0"/>
      <w:marBottom w:val="0"/>
      <w:divBdr>
        <w:top w:val="none" w:sz="0" w:space="0" w:color="auto"/>
        <w:left w:val="none" w:sz="0" w:space="0" w:color="auto"/>
        <w:bottom w:val="none" w:sz="0" w:space="0" w:color="auto"/>
        <w:right w:val="none" w:sz="0" w:space="0" w:color="auto"/>
      </w:divBdr>
    </w:div>
    <w:div w:id="1943410617">
      <w:bodyDiv w:val="1"/>
      <w:marLeft w:val="0"/>
      <w:marRight w:val="0"/>
      <w:marTop w:val="0"/>
      <w:marBottom w:val="0"/>
      <w:divBdr>
        <w:top w:val="none" w:sz="0" w:space="0" w:color="auto"/>
        <w:left w:val="none" w:sz="0" w:space="0" w:color="auto"/>
        <w:bottom w:val="none" w:sz="0" w:space="0" w:color="auto"/>
        <w:right w:val="none" w:sz="0" w:space="0" w:color="auto"/>
      </w:divBdr>
    </w:div>
    <w:div w:id="1945308096">
      <w:bodyDiv w:val="1"/>
      <w:marLeft w:val="0"/>
      <w:marRight w:val="0"/>
      <w:marTop w:val="0"/>
      <w:marBottom w:val="0"/>
      <w:divBdr>
        <w:top w:val="none" w:sz="0" w:space="0" w:color="auto"/>
        <w:left w:val="none" w:sz="0" w:space="0" w:color="auto"/>
        <w:bottom w:val="none" w:sz="0" w:space="0" w:color="auto"/>
        <w:right w:val="none" w:sz="0" w:space="0" w:color="auto"/>
      </w:divBdr>
    </w:div>
    <w:div w:id="1945456667">
      <w:bodyDiv w:val="1"/>
      <w:marLeft w:val="0"/>
      <w:marRight w:val="0"/>
      <w:marTop w:val="0"/>
      <w:marBottom w:val="0"/>
      <w:divBdr>
        <w:top w:val="none" w:sz="0" w:space="0" w:color="auto"/>
        <w:left w:val="none" w:sz="0" w:space="0" w:color="auto"/>
        <w:bottom w:val="none" w:sz="0" w:space="0" w:color="auto"/>
        <w:right w:val="none" w:sz="0" w:space="0" w:color="auto"/>
      </w:divBdr>
    </w:div>
    <w:div w:id="1945765418">
      <w:bodyDiv w:val="1"/>
      <w:marLeft w:val="0"/>
      <w:marRight w:val="0"/>
      <w:marTop w:val="0"/>
      <w:marBottom w:val="0"/>
      <w:divBdr>
        <w:top w:val="none" w:sz="0" w:space="0" w:color="auto"/>
        <w:left w:val="none" w:sz="0" w:space="0" w:color="auto"/>
        <w:bottom w:val="none" w:sz="0" w:space="0" w:color="auto"/>
        <w:right w:val="none" w:sz="0" w:space="0" w:color="auto"/>
      </w:divBdr>
    </w:div>
    <w:div w:id="1951204205">
      <w:bodyDiv w:val="1"/>
      <w:marLeft w:val="0"/>
      <w:marRight w:val="0"/>
      <w:marTop w:val="0"/>
      <w:marBottom w:val="0"/>
      <w:divBdr>
        <w:top w:val="none" w:sz="0" w:space="0" w:color="auto"/>
        <w:left w:val="none" w:sz="0" w:space="0" w:color="auto"/>
        <w:bottom w:val="none" w:sz="0" w:space="0" w:color="auto"/>
        <w:right w:val="none" w:sz="0" w:space="0" w:color="auto"/>
      </w:divBdr>
    </w:div>
    <w:div w:id="1954940828">
      <w:bodyDiv w:val="1"/>
      <w:marLeft w:val="0"/>
      <w:marRight w:val="0"/>
      <w:marTop w:val="0"/>
      <w:marBottom w:val="0"/>
      <w:divBdr>
        <w:top w:val="none" w:sz="0" w:space="0" w:color="auto"/>
        <w:left w:val="none" w:sz="0" w:space="0" w:color="auto"/>
        <w:bottom w:val="none" w:sz="0" w:space="0" w:color="auto"/>
        <w:right w:val="none" w:sz="0" w:space="0" w:color="auto"/>
      </w:divBdr>
    </w:div>
    <w:div w:id="1962148436">
      <w:bodyDiv w:val="1"/>
      <w:marLeft w:val="0"/>
      <w:marRight w:val="0"/>
      <w:marTop w:val="0"/>
      <w:marBottom w:val="0"/>
      <w:divBdr>
        <w:top w:val="none" w:sz="0" w:space="0" w:color="auto"/>
        <w:left w:val="none" w:sz="0" w:space="0" w:color="auto"/>
        <w:bottom w:val="none" w:sz="0" w:space="0" w:color="auto"/>
        <w:right w:val="none" w:sz="0" w:space="0" w:color="auto"/>
      </w:divBdr>
    </w:div>
    <w:div w:id="1962762710">
      <w:bodyDiv w:val="1"/>
      <w:marLeft w:val="0"/>
      <w:marRight w:val="0"/>
      <w:marTop w:val="0"/>
      <w:marBottom w:val="0"/>
      <w:divBdr>
        <w:top w:val="none" w:sz="0" w:space="0" w:color="auto"/>
        <w:left w:val="none" w:sz="0" w:space="0" w:color="auto"/>
        <w:bottom w:val="none" w:sz="0" w:space="0" w:color="auto"/>
        <w:right w:val="none" w:sz="0" w:space="0" w:color="auto"/>
      </w:divBdr>
    </w:div>
    <w:div w:id="1963681452">
      <w:bodyDiv w:val="1"/>
      <w:marLeft w:val="0"/>
      <w:marRight w:val="0"/>
      <w:marTop w:val="0"/>
      <w:marBottom w:val="0"/>
      <w:divBdr>
        <w:top w:val="none" w:sz="0" w:space="0" w:color="auto"/>
        <w:left w:val="none" w:sz="0" w:space="0" w:color="auto"/>
        <w:bottom w:val="none" w:sz="0" w:space="0" w:color="auto"/>
        <w:right w:val="none" w:sz="0" w:space="0" w:color="auto"/>
      </w:divBdr>
    </w:div>
    <w:div w:id="1970355705">
      <w:bodyDiv w:val="1"/>
      <w:marLeft w:val="0"/>
      <w:marRight w:val="0"/>
      <w:marTop w:val="0"/>
      <w:marBottom w:val="0"/>
      <w:divBdr>
        <w:top w:val="none" w:sz="0" w:space="0" w:color="auto"/>
        <w:left w:val="none" w:sz="0" w:space="0" w:color="auto"/>
        <w:bottom w:val="none" w:sz="0" w:space="0" w:color="auto"/>
        <w:right w:val="none" w:sz="0" w:space="0" w:color="auto"/>
      </w:divBdr>
    </w:div>
    <w:div w:id="1970816374">
      <w:bodyDiv w:val="1"/>
      <w:marLeft w:val="0"/>
      <w:marRight w:val="0"/>
      <w:marTop w:val="0"/>
      <w:marBottom w:val="0"/>
      <w:divBdr>
        <w:top w:val="none" w:sz="0" w:space="0" w:color="auto"/>
        <w:left w:val="none" w:sz="0" w:space="0" w:color="auto"/>
        <w:bottom w:val="none" w:sz="0" w:space="0" w:color="auto"/>
        <w:right w:val="none" w:sz="0" w:space="0" w:color="auto"/>
      </w:divBdr>
    </w:div>
    <w:div w:id="1972786626">
      <w:bodyDiv w:val="1"/>
      <w:marLeft w:val="0"/>
      <w:marRight w:val="0"/>
      <w:marTop w:val="0"/>
      <w:marBottom w:val="0"/>
      <w:divBdr>
        <w:top w:val="none" w:sz="0" w:space="0" w:color="auto"/>
        <w:left w:val="none" w:sz="0" w:space="0" w:color="auto"/>
        <w:bottom w:val="none" w:sz="0" w:space="0" w:color="auto"/>
        <w:right w:val="none" w:sz="0" w:space="0" w:color="auto"/>
      </w:divBdr>
    </w:div>
    <w:div w:id="1975519990">
      <w:bodyDiv w:val="1"/>
      <w:marLeft w:val="0"/>
      <w:marRight w:val="0"/>
      <w:marTop w:val="0"/>
      <w:marBottom w:val="0"/>
      <w:divBdr>
        <w:top w:val="none" w:sz="0" w:space="0" w:color="auto"/>
        <w:left w:val="none" w:sz="0" w:space="0" w:color="auto"/>
        <w:bottom w:val="none" w:sz="0" w:space="0" w:color="auto"/>
        <w:right w:val="none" w:sz="0" w:space="0" w:color="auto"/>
      </w:divBdr>
    </w:div>
    <w:div w:id="1976182820">
      <w:bodyDiv w:val="1"/>
      <w:marLeft w:val="0"/>
      <w:marRight w:val="0"/>
      <w:marTop w:val="0"/>
      <w:marBottom w:val="0"/>
      <w:divBdr>
        <w:top w:val="none" w:sz="0" w:space="0" w:color="auto"/>
        <w:left w:val="none" w:sz="0" w:space="0" w:color="auto"/>
        <w:bottom w:val="none" w:sz="0" w:space="0" w:color="auto"/>
        <w:right w:val="none" w:sz="0" w:space="0" w:color="auto"/>
      </w:divBdr>
    </w:div>
    <w:div w:id="1978993241">
      <w:bodyDiv w:val="1"/>
      <w:marLeft w:val="0"/>
      <w:marRight w:val="0"/>
      <w:marTop w:val="0"/>
      <w:marBottom w:val="0"/>
      <w:divBdr>
        <w:top w:val="none" w:sz="0" w:space="0" w:color="auto"/>
        <w:left w:val="none" w:sz="0" w:space="0" w:color="auto"/>
        <w:bottom w:val="none" w:sz="0" w:space="0" w:color="auto"/>
        <w:right w:val="none" w:sz="0" w:space="0" w:color="auto"/>
      </w:divBdr>
    </w:div>
    <w:div w:id="1979609425">
      <w:bodyDiv w:val="1"/>
      <w:marLeft w:val="0"/>
      <w:marRight w:val="0"/>
      <w:marTop w:val="0"/>
      <w:marBottom w:val="0"/>
      <w:divBdr>
        <w:top w:val="none" w:sz="0" w:space="0" w:color="auto"/>
        <w:left w:val="none" w:sz="0" w:space="0" w:color="auto"/>
        <w:bottom w:val="none" w:sz="0" w:space="0" w:color="auto"/>
        <w:right w:val="none" w:sz="0" w:space="0" w:color="auto"/>
      </w:divBdr>
    </w:div>
    <w:div w:id="1981155833">
      <w:bodyDiv w:val="1"/>
      <w:marLeft w:val="0"/>
      <w:marRight w:val="0"/>
      <w:marTop w:val="0"/>
      <w:marBottom w:val="0"/>
      <w:divBdr>
        <w:top w:val="none" w:sz="0" w:space="0" w:color="auto"/>
        <w:left w:val="none" w:sz="0" w:space="0" w:color="auto"/>
        <w:bottom w:val="none" w:sz="0" w:space="0" w:color="auto"/>
        <w:right w:val="none" w:sz="0" w:space="0" w:color="auto"/>
      </w:divBdr>
    </w:div>
    <w:div w:id="1984893642">
      <w:bodyDiv w:val="1"/>
      <w:marLeft w:val="0"/>
      <w:marRight w:val="0"/>
      <w:marTop w:val="0"/>
      <w:marBottom w:val="0"/>
      <w:divBdr>
        <w:top w:val="none" w:sz="0" w:space="0" w:color="auto"/>
        <w:left w:val="none" w:sz="0" w:space="0" w:color="auto"/>
        <w:bottom w:val="none" w:sz="0" w:space="0" w:color="auto"/>
        <w:right w:val="none" w:sz="0" w:space="0" w:color="auto"/>
      </w:divBdr>
    </w:div>
    <w:div w:id="1984966685">
      <w:bodyDiv w:val="1"/>
      <w:marLeft w:val="0"/>
      <w:marRight w:val="0"/>
      <w:marTop w:val="0"/>
      <w:marBottom w:val="0"/>
      <w:divBdr>
        <w:top w:val="none" w:sz="0" w:space="0" w:color="auto"/>
        <w:left w:val="none" w:sz="0" w:space="0" w:color="auto"/>
        <w:bottom w:val="none" w:sz="0" w:space="0" w:color="auto"/>
        <w:right w:val="none" w:sz="0" w:space="0" w:color="auto"/>
      </w:divBdr>
    </w:div>
    <w:div w:id="1986154166">
      <w:bodyDiv w:val="1"/>
      <w:marLeft w:val="0"/>
      <w:marRight w:val="0"/>
      <w:marTop w:val="0"/>
      <w:marBottom w:val="0"/>
      <w:divBdr>
        <w:top w:val="none" w:sz="0" w:space="0" w:color="auto"/>
        <w:left w:val="none" w:sz="0" w:space="0" w:color="auto"/>
        <w:bottom w:val="none" w:sz="0" w:space="0" w:color="auto"/>
        <w:right w:val="none" w:sz="0" w:space="0" w:color="auto"/>
      </w:divBdr>
    </w:div>
    <w:div w:id="1986543877">
      <w:bodyDiv w:val="1"/>
      <w:marLeft w:val="0"/>
      <w:marRight w:val="0"/>
      <w:marTop w:val="0"/>
      <w:marBottom w:val="0"/>
      <w:divBdr>
        <w:top w:val="none" w:sz="0" w:space="0" w:color="auto"/>
        <w:left w:val="none" w:sz="0" w:space="0" w:color="auto"/>
        <w:bottom w:val="none" w:sz="0" w:space="0" w:color="auto"/>
        <w:right w:val="none" w:sz="0" w:space="0" w:color="auto"/>
      </w:divBdr>
    </w:div>
    <w:div w:id="1988626489">
      <w:bodyDiv w:val="1"/>
      <w:marLeft w:val="0"/>
      <w:marRight w:val="0"/>
      <w:marTop w:val="0"/>
      <w:marBottom w:val="0"/>
      <w:divBdr>
        <w:top w:val="none" w:sz="0" w:space="0" w:color="auto"/>
        <w:left w:val="none" w:sz="0" w:space="0" w:color="auto"/>
        <w:bottom w:val="none" w:sz="0" w:space="0" w:color="auto"/>
        <w:right w:val="none" w:sz="0" w:space="0" w:color="auto"/>
      </w:divBdr>
    </w:div>
    <w:div w:id="1989241610">
      <w:bodyDiv w:val="1"/>
      <w:marLeft w:val="0"/>
      <w:marRight w:val="0"/>
      <w:marTop w:val="0"/>
      <w:marBottom w:val="0"/>
      <w:divBdr>
        <w:top w:val="none" w:sz="0" w:space="0" w:color="auto"/>
        <w:left w:val="none" w:sz="0" w:space="0" w:color="auto"/>
        <w:bottom w:val="none" w:sz="0" w:space="0" w:color="auto"/>
        <w:right w:val="none" w:sz="0" w:space="0" w:color="auto"/>
      </w:divBdr>
    </w:div>
    <w:div w:id="1990278499">
      <w:bodyDiv w:val="1"/>
      <w:marLeft w:val="0"/>
      <w:marRight w:val="0"/>
      <w:marTop w:val="0"/>
      <w:marBottom w:val="0"/>
      <w:divBdr>
        <w:top w:val="none" w:sz="0" w:space="0" w:color="auto"/>
        <w:left w:val="none" w:sz="0" w:space="0" w:color="auto"/>
        <w:bottom w:val="none" w:sz="0" w:space="0" w:color="auto"/>
        <w:right w:val="none" w:sz="0" w:space="0" w:color="auto"/>
      </w:divBdr>
    </w:div>
    <w:div w:id="1990747011">
      <w:bodyDiv w:val="1"/>
      <w:marLeft w:val="0"/>
      <w:marRight w:val="0"/>
      <w:marTop w:val="0"/>
      <w:marBottom w:val="0"/>
      <w:divBdr>
        <w:top w:val="none" w:sz="0" w:space="0" w:color="auto"/>
        <w:left w:val="none" w:sz="0" w:space="0" w:color="auto"/>
        <w:bottom w:val="none" w:sz="0" w:space="0" w:color="auto"/>
        <w:right w:val="none" w:sz="0" w:space="0" w:color="auto"/>
      </w:divBdr>
    </w:div>
    <w:div w:id="1991397647">
      <w:bodyDiv w:val="1"/>
      <w:marLeft w:val="0"/>
      <w:marRight w:val="0"/>
      <w:marTop w:val="0"/>
      <w:marBottom w:val="0"/>
      <w:divBdr>
        <w:top w:val="none" w:sz="0" w:space="0" w:color="auto"/>
        <w:left w:val="none" w:sz="0" w:space="0" w:color="auto"/>
        <w:bottom w:val="none" w:sz="0" w:space="0" w:color="auto"/>
        <w:right w:val="none" w:sz="0" w:space="0" w:color="auto"/>
      </w:divBdr>
    </w:div>
    <w:div w:id="1992371232">
      <w:bodyDiv w:val="1"/>
      <w:marLeft w:val="0"/>
      <w:marRight w:val="0"/>
      <w:marTop w:val="0"/>
      <w:marBottom w:val="0"/>
      <w:divBdr>
        <w:top w:val="none" w:sz="0" w:space="0" w:color="auto"/>
        <w:left w:val="none" w:sz="0" w:space="0" w:color="auto"/>
        <w:bottom w:val="none" w:sz="0" w:space="0" w:color="auto"/>
        <w:right w:val="none" w:sz="0" w:space="0" w:color="auto"/>
      </w:divBdr>
    </w:div>
    <w:div w:id="1992707150">
      <w:bodyDiv w:val="1"/>
      <w:marLeft w:val="0"/>
      <w:marRight w:val="0"/>
      <w:marTop w:val="0"/>
      <w:marBottom w:val="0"/>
      <w:divBdr>
        <w:top w:val="none" w:sz="0" w:space="0" w:color="auto"/>
        <w:left w:val="none" w:sz="0" w:space="0" w:color="auto"/>
        <w:bottom w:val="none" w:sz="0" w:space="0" w:color="auto"/>
        <w:right w:val="none" w:sz="0" w:space="0" w:color="auto"/>
      </w:divBdr>
    </w:div>
    <w:div w:id="1993632868">
      <w:bodyDiv w:val="1"/>
      <w:marLeft w:val="0"/>
      <w:marRight w:val="0"/>
      <w:marTop w:val="0"/>
      <w:marBottom w:val="0"/>
      <w:divBdr>
        <w:top w:val="none" w:sz="0" w:space="0" w:color="auto"/>
        <w:left w:val="none" w:sz="0" w:space="0" w:color="auto"/>
        <w:bottom w:val="none" w:sz="0" w:space="0" w:color="auto"/>
        <w:right w:val="none" w:sz="0" w:space="0" w:color="auto"/>
      </w:divBdr>
    </w:div>
    <w:div w:id="1994526199">
      <w:bodyDiv w:val="1"/>
      <w:marLeft w:val="0"/>
      <w:marRight w:val="0"/>
      <w:marTop w:val="0"/>
      <w:marBottom w:val="0"/>
      <w:divBdr>
        <w:top w:val="none" w:sz="0" w:space="0" w:color="auto"/>
        <w:left w:val="none" w:sz="0" w:space="0" w:color="auto"/>
        <w:bottom w:val="none" w:sz="0" w:space="0" w:color="auto"/>
        <w:right w:val="none" w:sz="0" w:space="0" w:color="auto"/>
      </w:divBdr>
    </w:div>
    <w:div w:id="2004971080">
      <w:bodyDiv w:val="1"/>
      <w:marLeft w:val="0"/>
      <w:marRight w:val="0"/>
      <w:marTop w:val="0"/>
      <w:marBottom w:val="0"/>
      <w:divBdr>
        <w:top w:val="none" w:sz="0" w:space="0" w:color="auto"/>
        <w:left w:val="none" w:sz="0" w:space="0" w:color="auto"/>
        <w:bottom w:val="none" w:sz="0" w:space="0" w:color="auto"/>
        <w:right w:val="none" w:sz="0" w:space="0" w:color="auto"/>
      </w:divBdr>
    </w:div>
    <w:div w:id="2006085944">
      <w:bodyDiv w:val="1"/>
      <w:marLeft w:val="0"/>
      <w:marRight w:val="0"/>
      <w:marTop w:val="0"/>
      <w:marBottom w:val="0"/>
      <w:divBdr>
        <w:top w:val="none" w:sz="0" w:space="0" w:color="auto"/>
        <w:left w:val="none" w:sz="0" w:space="0" w:color="auto"/>
        <w:bottom w:val="none" w:sz="0" w:space="0" w:color="auto"/>
        <w:right w:val="none" w:sz="0" w:space="0" w:color="auto"/>
      </w:divBdr>
    </w:div>
    <w:div w:id="2010021493">
      <w:bodyDiv w:val="1"/>
      <w:marLeft w:val="0"/>
      <w:marRight w:val="0"/>
      <w:marTop w:val="0"/>
      <w:marBottom w:val="0"/>
      <w:divBdr>
        <w:top w:val="none" w:sz="0" w:space="0" w:color="auto"/>
        <w:left w:val="none" w:sz="0" w:space="0" w:color="auto"/>
        <w:bottom w:val="none" w:sz="0" w:space="0" w:color="auto"/>
        <w:right w:val="none" w:sz="0" w:space="0" w:color="auto"/>
      </w:divBdr>
    </w:div>
    <w:div w:id="2013560632">
      <w:bodyDiv w:val="1"/>
      <w:marLeft w:val="0"/>
      <w:marRight w:val="0"/>
      <w:marTop w:val="0"/>
      <w:marBottom w:val="0"/>
      <w:divBdr>
        <w:top w:val="none" w:sz="0" w:space="0" w:color="auto"/>
        <w:left w:val="none" w:sz="0" w:space="0" w:color="auto"/>
        <w:bottom w:val="none" w:sz="0" w:space="0" w:color="auto"/>
        <w:right w:val="none" w:sz="0" w:space="0" w:color="auto"/>
      </w:divBdr>
      <w:divsChild>
        <w:div w:id="2054384534">
          <w:marLeft w:val="0"/>
          <w:marRight w:val="0"/>
          <w:marTop w:val="144"/>
          <w:marBottom w:val="144"/>
          <w:divBdr>
            <w:top w:val="none" w:sz="0" w:space="0" w:color="auto"/>
            <w:left w:val="none" w:sz="0" w:space="0" w:color="auto"/>
            <w:bottom w:val="none" w:sz="0" w:space="0" w:color="auto"/>
            <w:right w:val="none" w:sz="0" w:space="0" w:color="auto"/>
          </w:divBdr>
        </w:div>
      </w:divsChild>
    </w:div>
    <w:div w:id="2014720770">
      <w:bodyDiv w:val="1"/>
      <w:marLeft w:val="0"/>
      <w:marRight w:val="0"/>
      <w:marTop w:val="0"/>
      <w:marBottom w:val="0"/>
      <w:divBdr>
        <w:top w:val="none" w:sz="0" w:space="0" w:color="auto"/>
        <w:left w:val="none" w:sz="0" w:space="0" w:color="auto"/>
        <w:bottom w:val="none" w:sz="0" w:space="0" w:color="auto"/>
        <w:right w:val="none" w:sz="0" w:space="0" w:color="auto"/>
      </w:divBdr>
    </w:div>
    <w:div w:id="2015306042">
      <w:bodyDiv w:val="1"/>
      <w:marLeft w:val="0"/>
      <w:marRight w:val="0"/>
      <w:marTop w:val="0"/>
      <w:marBottom w:val="0"/>
      <w:divBdr>
        <w:top w:val="none" w:sz="0" w:space="0" w:color="auto"/>
        <w:left w:val="none" w:sz="0" w:space="0" w:color="auto"/>
        <w:bottom w:val="none" w:sz="0" w:space="0" w:color="auto"/>
        <w:right w:val="none" w:sz="0" w:space="0" w:color="auto"/>
      </w:divBdr>
    </w:div>
    <w:div w:id="2016371448">
      <w:bodyDiv w:val="1"/>
      <w:marLeft w:val="0"/>
      <w:marRight w:val="0"/>
      <w:marTop w:val="0"/>
      <w:marBottom w:val="0"/>
      <w:divBdr>
        <w:top w:val="none" w:sz="0" w:space="0" w:color="auto"/>
        <w:left w:val="none" w:sz="0" w:space="0" w:color="auto"/>
        <w:bottom w:val="none" w:sz="0" w:space="0" w:color="auto"/>
        <w:right w:val="none" w:sz="0" w:space="0" w:color="auto"/>
      </w:divBdr>
    </w:div>
    <w:div w:id="2017531484">
      <w:bodyDiv w:val="1"/>
      <w:marLeft w:val="0"/>
      <w:marRight w:val="0"/>
      <w:marTop w:val="0"/>
      <w:marBottom w:val="0"/>
      <w:divBdr>
        <w:top w:val="none" w:sz="0" w:space="0" w:color="auto"/>
        <w:left w:val="none" w:sz="0" w:space="0" w:color="auto"/>
        <w:bottom w:val="none" w:sz="0" w:space="0" w:color="auto"/>
        <w:right w:val="none" w:sz="0" w:space="0" w:color="auto"/>
      </w:divBdr>
    </w:div>
    <w:div w:id="2017878917">
      <w:bodyDiv w:val="1"/>
      <w:marLeft w:val="0"/>
      <w:marRight w:val="0"/>
      <w:marTop w:val="0"/>
      <w:marBottom w:val="0"/>
      <w:divBdr>
        <w:top w:val="none" w:sz="0" w:space="0" w:color="auto"/>
        <w:left w:val="none" w:sz="0" w:space="0" w:color="auto"/>
        <w:bottom w:val="none" w:sz="0" w:space="0" w:color="auto"/>
        <w:right w:val="none" w:sz="0" w:space="0" w:color="auto"/>
      </w:divBdr>
    </w:div>
    <w:div w:id="2019624604">
      <w:bodyDiv w:val="1"/>
      <w:marLeft w:val="0"/>
      <w:marRight w:val="0"/>
      <w:marTop w:val="0"/>
      <w:marBottom w:val="0"/>
      <w:divBdr>
        <w:top w:val="none" w:sz="0" w:space="0" w:color="auto"/>
        <w:left w:val="none" w:sz="0" w:space="0" w:color="auto"/>
        <w:bottom w:val="none" w:sz="0" w:space="0" w:color="auto"/>
        <w:right w:val="none" w:sz="0" w:space="0" w:color="auto"/>
      </w:divBdr>
    </w:div>
    <w:div w:id="2020349578">
      <w:bodyDiv w:val="1"/>
      <w:marLeft w:val="0"/>
      <w:marRight w:val="0"/>
      <w:marTop w:val="0"/>
      <w:marBottom w:val="0"/>
      <w:divBdr>
        <w:top w:val="none" w:sz="0" w:space="0" w:color="auto"/>
        <w:left w:val="none" w:sz="0" w:space="0" w:color="auto"/>
        <w:bottom w:val="none" w:sz="0" w:space="0" w:color="auto"/>
        <w:right w:val="none" w:sz="0" w:space="0" w:color="auto"/>
      </w:divBdr>
    </w:div>
    <w:div w:id="2021738079">
      <w:bodyDiv w:val="1"/>
      <w:marLeft w:val="0"/>
      <w:marRight w:val="0"/>
      <w:marTop w:val="0"/>
      <w:marBottom w:val="0"/>
      <w:divBdr>
        <w:top w:val="none" w:sz="0" w:space="0" w:color="auto"/>
        <w:left w:val="none" w:sz="0" w:space="0" w:color="auto"/>
        <w:bottom w:val="none" w:sz="0" w:space="0" w:color="auto"/>
        <w:right w:val="none" w:sz="0" w:space="0" w:color="auto"/>
      </w:divBdr>
    </w:div>
    <w:div w:id="2022009478">
      <w:bodyDiv w:val="1"/>
      <w:marLeft w:val="0"/>
      <w:marRight w:val="0"/>
      <w:marTop w:val="0"/>
      <w:marBottom w:val="0"/>
      <w:divBdr>
        <w:top w:val="none" w:sz="0" w:space="0" w:color="auto"/>
        <w:left w:val="none" w:sz="0" w:space="0" w:color="auto"/>
        <w:bottom w:val="none" w:sz="0" w:space="0" w:color="auto"/>
        <w:right w:val="none" w:sz="0" w:space="0" w:color="auto"/>
      </w:divBdr>
    </w:div>
    <w:div w:id="2022202777">
      <w:bodyDiv w:val="1"/>
      <w:marLeft w:val="0"/>
      <w:marRight w:val="0"/>
      <w:marTop w:val="0"/>
      <w:marBottom w:val="0"/>
      <w:divBdr>
        <w:top w:val="none" w:sz="0" w:space="0" w:color="auto"/>
        <w:left w:val="none" w:sz="0" w:space="0" w:color="auto"/>
        <w:bottom w:val="none" w:sz="0" w:space="0" w:color="auto"/>
        <w:right w:val="none" w:sz="0" w:space="0" w:color="auto"/>
      </w:divBdr>
    </w:div>
    <w:div w:id="2022512463">
      <w:bodyDiv w:val="1"/>
      <w:marLeft w:val="0"/>
      <w:marRight w:val="0"/>
      <w:marTop w:val="0"/>
      <w:marBottom w:val="0"/>
      <w:divBdr>
        <w:top w:val="none" w:sz="0" w:space="0" w:color="auto"/>
        <w:left w:val="none" w:sz="0" w:space="0" w:color="auto"/>
        <w:bottom w:val="none" w:sz="0" w:space="0" w:color="auto"/>
        <w:right w:val="none" w:sz="0" w:space="0" w:color="auto"/>
      </w:divBdr>
    </w:div>
    <w:div w:id="2023236494">
      <w:bodyDiv w:val="1"/>
      <w:marLeft w:val="0"/>
      <w:marRight w:val="0"/>
      <w:marTop w:val="0"/>
      <w:marBottom w:val="0"/>
      <w:divBdr>
        <w:top w:val="none" w:sz="0" w:space="0" w:color="auto"/>
        <w:left w:val="none" w:sz="0" w:space="0" w:color="auto"/>
        <w:bottom w:val="none" w:sz="0" w:space="0" w:color="auto"/>
        <w:right w:val="none" w:sz="0" w:space="0" w:color="auto"/>
      </w:divBdr>
    </w:div>
    <w:div w:id="2023699564">
      <w:bodyDiv w:val="1"/>
      <w:marLeft w:val="0"/>
      <w:marRight w:val="0"/>
      <w:marTop w:val="0"/>
      <w:marBottom w:val="0"/>
      <w:divBdr>
        <w:top w:val="none" w:sz="0" w:space="0" w:color="auto"/>
        <w:left w:val="none" w:sz="0" w:space="0" w:color="auto"/>
        <w:bottom w:val="none" w:sz="0" w:space="0" w:color="auto"/>
        <w:right w:val="none" w:sz="0" w:space="0" w:color="auto"/>
      </w:divBdr>
    </w:div>
    <w:div w:id="2026128665">
      <w:bodyDiv w:val="1"/>
      <w:marLeft w:val="0"/>
      <w:marRight w:val="0"/>
      <w:marTop w:val="0"/>
      <w:marBottom w:val="0"/>
      <w:divBdr>
        <w:top w:val="none" w:sz="0" w:space="0" w:color="auto"/>
        <w:left w:val="none" w:sz="0" w:space="0" w:color="auto"/>
        <w:bottom w:val="none" w:sz="0" w:space="0" w:color="auto"/>
        <w:right w:val="none" w:sz="0" w:space="0" w:color="auto"/>
      </w:divBdr>
    </w:div>
    <w:div w:id="2027124207">
      <w:bodyDiv w:val="1"/>
      <w:marLeft w:val="0"/>
      <w:marRight w:val="0"/>
      <w:marTop w:val="0"/>
      <w:marBottom w:val="0"/>
      <w:divBdr>
        <w:top w:val="none" w:sz="0" w:space="0" w:color="auto"/>
        <w:left w:val="none" w:sz="0" w:space="0" w:color="auto"/>
        <w:bottom w:val="none" w:sz="0" w:space="0" w:color="auto"/>
        <w:right w:val="none" w:sz="0" w:space="0" w:color="auto"/>
      </w:divBdr>
    </w:div>
    <w:div w:id="2028944625">
      <w:bodyDiv w:val="1"/>
      <w:marLeft w:val="0"/>
      <w:marRight w:val="0"/>
      <w:marTop w:val="0"/>
      <w:marBottom w:val="0"/>
      <w:divBdr>
        <w:top w:val="none" w:sz="0" w:space="0" w:color="auto"/>
        <w:left w:val="none" w:sz="0" w:space="0" w:color="auto"/>
        <w:bottom w:val="none" w:sz="0" w:space="0" w:color="auto"/>
        <w:right w:val="none" w:sz="0" w:space="0" w:color="auto"/>
      </w:divBdr>
    </w:div>
    <w:div w:id="2030988028">
      <w:bodyDiv w:val="1"/>
      <w:marLeft w:val="0"/>
      <w:marRight w:val="0"/>
      <w:marTop w:val="0"/>
      <w:marBottom w:val="0"/>
      <w:divBdr>
        <w:top w:val="none" w:sz="0" w:space="0" w:color="auto"/>
        <w:left w:val="none" w:sz="0" w:space="0" w:color="auto"/>
        <w:bottom w:val="none" w:sz="0" w:space="0" w:color="auto"/>
        <w:right w:val="none" w:sz="0" w:space="0" w:color="auto"/>
      </w:divBdr>
    </w:div>
    <w:div w:id="2032100566">
      <w:bodyDiv w:val="1"/>
      <w:marLeft w:val="0"/>
      <w:marRight w:val="0"/>
      <w:marTop w:val="0"/>
      <w:marBottom w:val="0"/>
      <w:divBdr>
        <w:top w:val="none" w:sz="0" w:space="0" w:color="auto"/>
        <w:left w:val="none" w:sz="0" w:space="0" w:color="auto"/>
        <w:bottom w:val="none" w:sz="0" w:space="0" w:color="auto"/>
        <w:right w:val="none" w:sz="0" w:space="0" w:color="auto"/>
      </w:divBdr>
    </w:div>
    <w:div w:id="2032758261">
      <w:bodyDiv w:val="1"/>
      <w:marLeft w:val="0"/>
      <w:marRight w:val="0"/>
      <w:marTop w:val="0"/>
      <w:marBottom w:val="0"/>
      <w:divBdr>
        <w:top w:val="none" w:sz="0" w:space="0" w:color="auto"/>
        <w:left w:val="none" w:sz="0" w:space="0" w:color="auto"/>
        <w:bottom w:val="none" w:sz="0" w:space="0" w:color="auto"/>
        <w:right w:val="none" w:sz="0" w:space="0" w:color="auto"/>
      </w:divBdr>
    </w:div>
    <w:div w:id="2033341989">
      <w:bodyDiv w:val="1"/>
      <w:marLeft w:val="0"/>
      <w:marRight w:val="0"/>
      <w:marTop w:val="0"/>
      <w:marBottom w:val="0"/>
      <w:divBdr>
        <w:top w:val="none" w:sz="0" w:space="0" w:color="auto"/>
        <w:left w:val="none" w:sz="0" w:space="0" w:color="auto"/>
        <w:bottom w:val="none" w:sz="0" w:space="0" w:color="auto"/>
        <w:right w:val="none" w:sz="0" w:space="0" w:color="auto"/>
      </w:divBdr>
    </w:div>
    <w:div w:id="2037344055">
      <w:bodyDiv w:val="1"/>
      <w:marLeft w:val="0"/>
      <w:marRight w:val="0"/>
      <w:marTop w:val="0"/>
      <w:marBottom w:val="0"/>
      <w:divBdr>
        <w:top w:val="none" w:sz="0" w:space="0" w:color="auto"/>
        <w:left w:val="none" w:sz="0" w:space="0" w:color="auto"/>
        <w:bottom w:val="none" w:sz="0" w:space="0" w:color="auto"/>
        <w:right w:val="none" w:sz="0" w:space="0" w:color="auto"/>
      </w:divBdr>
    </w:div>
    <w:div w:id="2039355152">
      <w:bodyDiv w:val="1"/>
      <w:marLeft w:val="0"/>
      <w:marRight w:val="0"/>
      <w:marTop w:val="0"/>
      <w:marBottom w:val="0"/>
      <w:divBdr>
        <w:top w:val="none" w:sz="0" w:space="0" w:color="auto"/>
        <w:left w:val="none" w:sz="0" w:space="0" w:color="auto"/>
        <w:bottom w:val="none" w:sz="0" w:space="0" w:color="auto"/>
        <w:right w:val="none" w:sz="0" w:space="0" w:color="auto"/>
      </w:divBdr>
    </w:div>
    <w:div w:id="2040276780">
      <w:bodyDiv w:val="1"/>
      <w:marLeft w:val="0"/>
      <w:marRight w:val="0"/>
      <w:marTop w:val="0"/>
      <w:marBottom w:val="0"/>
      <w:divBdr>
        <w:top w:val="none" w:sz="0" w:space="0" w:color="auto"/>
        <w:left w:val="none" w:sz="0" w:space="0" w:color="auto"/>
        <w:bottom w:val="none" w:sz="0" w:space="0" w:color="auto"/>
        <w:right w:val="none" w:sz="0" w:space="0" w:color="auto"/>
      </w:divBdr>
    </w:div>
    <w:div w:id="2042322881">
      <w:bodyDiv w:val="1"/>
      <w:marLeft w:val="0"/>
      <w:marRight w:val="0"/>
      <w:marTop w:val="0"/>
      <w:marBottom w:val="0"/>
      <w:divBdr>
        <w:top w:val="none" w:sz="0" w:space="0" w:color="auto"/>
        <w:left w:val="none" w:sz="0" w:space="0" w:color="auto"/>
        <w:bottom w:val="none" w:sz="0" w:space="0" w:color="auto"/>
        <w:right w:val="none" w:sz="0" w:space="0" w:color="auto"/>
      </w:divBdr>
    </w:div>
    <w:div w:id="2045977106">
      <w:bodyDiv w:val="1"/>
      <w:marLeft w:val="0"/>
      <w:marRight w:val="0"/>
      <w:marTop w:val="0"/>
      <w:marBottom w:val="0"/>
      <w:divBdr>
        <w:top w:val="none" w:sz="0" w:space="0" w:color="auto"/>
        <w:left w:val="none" w:sz="0" w:space="0" w:color="auto"/>
        <w:bottom w:val="none" w:sz="0" w:space="0" w:color="auto"/>
        <w:right w:val="none" w:sz="0" w:space="0" w:color="auto"/>
      </w:divBdr>
    </w:div>
    <w:div w:id="2047682070">
      <w:bodyDiv w:val="1"/>
      <w:marLeft w:val="0"/>
      <w:marRight w:val="0"/>
      <w:marTop w:val="0"/>
      <w:marBottom w:val="0"/>
      <w:divBdr>
        <w:top w:val="none" w:sz="0" w:space="0" w:color="auto"/>
        <w:left w:val="none" w:sz="0" w:space="0" w:color="auto"/>
        <w:bottom w:val="none" w:sz="0" w:space="0" w:color="auto"/>
        <w:right w:val="none" w:sz="0" w:space="0" w:color="auto"/>
      </w:divBdr>
    </w:div>
    <w:div w:id="2048021728">
      <w:bodyDiv w:val="1"/>
      <w:marLeft w:val="0"/>
      <w:marRight w:val="0"/>
      <w:marTop w:val="0"/>
      <w:marBottom w:val="0"/>
      <w:divBdr>
        <w:top w:val="none" w:sz="0" w:space="0" w:color="auto"/>
        <w:left w:val="none" w:sz="0" w:space="0" w:color="auto"/>
        <w:bottom w:val="none" w:sz="0" w:space="0" w:color="auto"/>
        <w:right w:val="none" w:sz="0" w:space="0" w:color="auto"/>
      </w:divBdr>
    </w:div>
    <w:div w:id="2048600742">
      <w:bodyDiv w:val="1"/>
      <w:marLeft w:val="0"/>
      <w:marRight w:val="0"/>
      <w:marTop w:val="0"/>
      <w:marBottom w:val="0"/>
      <w:divBdr>
        <w:top w:val="none" w:sz="0" w:space="0" w:color="auto"/>
        <w:left w:val="none" w:sz="0" w:space="0" w:color="auto"/>
        <w:bottom w:val="none" w:sz="0" w:space="0" w:color="auto"/>
        <w:right w:val="none" w:sz="0" w:space="0" w:color="auto"/>
      </w:divBdr>
    </w:div>
    <w:div w:id="2052267799">
      <w:bodyDiv w:val="1"/>
      <w:marLeft w:val="0"/>
      <w:marRight w:val="0"/>
      <w:marTop w:val="0"/>
      <w:marBottom w:val="0"/>
      <w:divBdr>
        <w:top w:val="none" w:sz="0" w:space="0" w:color="auto"/>
        <w:left w:val="none" w:sz="0" w:space="0" w:color="auto"/>
        <w:bottom w:val="none" w:sz="0" w:space="0" w:color="auto"/>
        <w:right w:val="none" w:sz="0" w:space="0" w:color="auto"/>
      </w:divBdr>
    </w:div>
    <w:div w:id="2053336179">
      <w:bodyDiv w:val="1"/>
      <w:marLeft w:val="0"/>
      <w:marRight w:val="0"/>
      <w:marTop w:val="0"/>
      <w:marBottom w:val="0"/>
      <w:divBdr>
        <w:top w:val="none" w:sz="0" w:space="0" w:color="auto"/>
        <w:left w:val="none" w:sz="0" w:space="0" w:color="auto"/>
        <w:bottom w:val="none" w:sz="0" w:space="0" w:color="auto"/>
        <w:right w:val="none" w:sz="0" w:space="0" w:color="auto"/>
      </w:divBdr>
    </w:div>
    <w:div w:id="2053386950">
      <w:bodyDiv w:val="1"/>
      <w:marLeft w:val="0"/>
      <w:marRight w:val="0"/>
      <w:marTop w:val="0"/>
      <w:marBottom w:val="0"/>
      <w:divBdr>
        <w:top w:val="none" w:sz="0" w:space="0" w:color="auto"/>
        <w:left w:val="none" w:sz="0" w:space="0" w:color="auto"/>
        <w:bottom w:val="none" w:sz="0" w:space="0" w:color="auto"/>
        <w:right w:val="none" w:sz="0" w:space="0" w:color="auto"/>
      </w:divBdr>
    </w:div>
    <w:div w:id="2054302804">
      <w:bodyDiv w:val="1"/>
      <w:marLeft w:val="0"/>
      <w:marRight w:val="0"/>
      <w:marTop w:val="0"/>
      <w:marBottom w:val="0"/>
      <w:divBdr>
        <w:top w:val="none" w:sz="0" w:space="0" w:color="auto"/>
        <w:left w:val="none" w:sz="0" w:space="0" w:color="auto"/>
        <w:bottom w:val="none" w:sz="0" w:space="0" w:color="auto"/>
        <w:right w:val="none" w:sz="0" w:space="0" w:color="auto"/>
      </w:divBdr>
    </w:div>
    <w:div w:id="2056345977">
      <w:bodyDiv w:val="1"/>
      <w:marLeft w:val="0"/>
      <w:marRight w:val="0"/>
      <w:marTop w:val="0"/>
      <w:marBottom w:val="0"/>
      <w:divBdr>
        <w:top w:val="none" w:sz="0" w:space="0" w:color="auto"/>
        <w:left w:val="none" w:sz="0" w:space="0" w:color="auto"/>
        <w:bottom w:val="none" w:sz="0" w:space="0" w:color="auto"/>
        <w:right w:val="none" w:sz="0" w:space="0" w:color="auto"/>
      </w:divBdr>
    </w:div>
    <w:div w:id="2060854598">
      <w:bodyDiv w:val="1"/>
      <w:marLeft w:val="0"/>
      <w:marRight w:val="0"/>
      <w:marTop w:val="0"/>
      <w:marBottom w:val="0"/>
      <w:divBdr>
        <w:top w:val="none" w:sz="0" w:space="0" w:color="auto"/>
        <w:left w:val="none" w:sz="0" w:space="0" w:color="auto"/>
        <w:bottom w:val="none" w:sz="0" w:space="0" w:color="auto"/>
        <w:right w:val="none" w:sz="0" w:space="0" w:color="auto"/>
      </w:divBdr>
    </w:div>
    <w:div w:id="2062553648">
      <w:bodyDiv w:val="1"/>
      <w:marLeft w:val="0"/>
      <w:marRight w:val="0"/>
      <w:marTop w:val="0"/>
      <w:marBottom w:val="0"/>
      <w:divBdr>
        <w:top w:val="none" w:sz="0" w:space="0" w:color="auto"/>
        <w:left w:val="none" w:sz="0" w:space="0" w:color="auto"/>
        <w:bottom w:val="none" w:sz="0" w:space="0" w:color="auto"/>
        <w:right w:val="none" w:sz="0" w:space="0" w:color="auto"/>
      </w:divBdr>
    </w:div>
    <w:div w:id="2062710385">
      <w:bodyDiv w:val="1"/>
      <w:marLeft w:val="0"/>
      <w:marRight w:val="0"/>
      <w:marTop w:val="0"/>
      <w:marBottom w:val="0"/>
      <w:divBdr>
        <w:top w:val="none" w:sz="0" w:space="0" w:color="auto"/>
        <w:left w:val="none" w:sz="0" w:space="0" w:color="auto"/>
        <w:bottom w:val="none" w:sz="0" w:space="0" w:color="auto"/>
        <w:right w:val="none" w:sz="0" w:space="0" w:color="auto"/>
      </w:divBdr>
    </w:div>
    <w:div w:id="2063602061">
      <w:bodyDiv w:val="1"/>
      <w:marLeft w:val="0"/>
      <w:marRight w:val="0"/>
      <w:marTop w:val="0"/>
      <w:marBottom w:val="0"/>
      <w:divBdr>
        <w:top w:val="none" w:sz="0" w:space="0" w:color="auto"/>
        <w:left w:val="none" w:sz="0" w:space="0" w:color="auto"/>
        <w:bottom w:val="none" w:sz="0" w:space="0" w:color="auto"/>
        <w:right w:val="none" w:sz="0" w:space="0" w:color="auto"/>
      </w:divBdr>
    </w:div>
    <w:div w:id="2068644577">
      <w:bodyDiv w:val="1"/>
      <w:marLeft w:val="0"/>
      <w:marRight w:val="0"/>
      <w:marTop w:val="0"/>
      <w:marBottom w:val="0"/>
      <w:divBdr>
        <w:top w:val="none" w:sz="0" w:space="0" w:color="auto"/>
        <w:left w:val="none" w:sz="0" w:space="0" w:color="auto"/>
        <w:bottom w:val="none" w:sz="0" w:space="0" w:color="auto"/>
        <w:right w:val="none" w:sz="0" w:space="0" w:color="auto"/>
      </w:divBdr>
    </w:div>
    <w:div w:id="2070229447">
      <w:bodyDiv w:val="1"/>
      <w:marLeft w:val="0"/>
      <w:marRight w:val="0"/>
      <w:marTop w:val="0"/>
      <w:marBottom w:val="0"/>
      <w:divBdr>
        <w:top w:val="none" w:sz="0" w:space="0" w:color="auto"/>
        <w:left w:val="none" w:sz="0" w:space="0" w:color="auto"/>
        <w:bottom w:val="none" w:sz="0" w:space="0" w:color="auto"/>
        <w:right w:val="none" w:sz="0" w:space="0" w:color="auto"/>
      </w:divBdr>
    </w:div>
    <w:div w:id="2071270785">
      <w:bodyDiv w:val="1"/>
      <w:marLeft w:val="0"/>
      <w:marRight w:val="0"/>
      <w:marTop w:val="0"/>
      <w:marBottom w:val="0"/>
      <w:divBdr>
        <w:top w:val="none" w:sz="0" w:space="0" w:color="auto"/>
        <w:left w:val="none" w:sz="0" w:space="0" w:color="auto"/>
        <w:bottom w:val="none" w:sz="0" w:space="0" w:color="auto"/>
        <w:right w:val="none" w:sz="0" w:space="0" w:color="auto"/>
      </w:divBdr>
    </w:div>
    <w:div w:id="2071611258">
      <w:bodyDiv w:val="1"/>
      <w:marLeft w:val="0"/>
      <w:marRight w:val="0"/>
      <w:marTop w:val="0"/>
      <w:marBottom w:val="0"/>
      <w:divBdr>
        <w:top w:val="none" w:sz="0" w:space="0" w:color="auto"/>
        <w:left w:val="none" w:sz="0" w:space="0" w:color="auto"/>
        <w:bottom w:val="none" w:sz="0" w:space="0" w:color="auto"/>
        <w:right w:val="none" w:sz="0" w:space="0" w:color="auto"/>
      </w:divBdr>
    </w:div>
    <w:div w:id="2072849421">
      <w:bodyDiv w:val="1"/>
      <w:marLeft w:val="0"/>
      <w:marRight w:val="0"/>
      <w:marTop w:val="0"/>
      <w:marBottom w:val="0"/>
      <w:divBdr>
        <w:top w:val="none" w:sz="0" w:space="0" w:color="auto"/>
        <w:left w:val="none" w:sz="0" w:space="0" w:color="auto"/>
        <w:bottom w:val="none" w:sz="0" w:space="0" w:color="auto"/>
        <w:right w:val="none" w:sz="0" w:space="0" w:color="auto"/>
      </w:divBdr>
    </w:div>
    <w:div w:id="2074500758">
      <w:bodyDiv w:val="1"/>
      <w:marLeft w:val="0"/>
      <w:marRight w:val="0"/>
      <w:marTop w:val="0"/>
      <w:marBottom w:val="0"/>
      <w:divBdr>
        <w:top w:val="none" w:sz="0" w:space="0" w:color="auto"/>
        <w:left w:val="none" w:sz="0" w:space="0" w:color="auto"/>
        <w:bottom w:val="none" w:sz="0" w:space="0" w:color="auto"/>
        <w:right w:val="none" w:sz="0" w:space="0" w:color="auto"/>
      </w:divBdr>
    </w:div>
    <w:div w:id="2075471182">
      <w:bodyDiv w:val="1"/>
      <w:marLeft w:val="0"/>
      <w:marRight w:val="0"/>
      <w:marTop w:val="0"/>
      <w:marBottom w:val="0"/>
      <w:divBdr>
        <w:top w:val="none" w:sz="0" w:space="0" w:color="auto"/>
        <w:left w:val="none" w:sz="0" w:space="0" w:color="auto"/>
        <w:bottom w:val="none" w:sz="0" w:space="0" w:color="auto"/>
        <w:right w:val="none" w:sz="0" w:space="0" w:color="auto"/>
      </w:divBdr>
    </w:div>
    <w:div w:id="2078279958">
      <w:bodyDiv w:val="1"/>
      <w:marLeft w:val="0"/>
      <w:marRight w:val="0"/>
      <w:marTop w:val="0"/>
      <w:marBottom w:val="0"/>
      <w:divBdr>
        <w:top w:val="none" w:sz="0" w:space="0" w:color="auto"/>
        <w:left w:val="none" w:sz="0" w:space="0" w:color="auto"/>
        <w:bottom w:val="none" w:sz="0" w:space="0" w:color="auto"/>
        <w:right w:val="none" w:sz="0" w:space="0" w:color="auto"/>
      </w:divBdr>
    </w:div>
    <w:div w:id="2081517069">
      <w:bodyDiv w:val="1"/>
      <w:marLeft w:val="0"/>
      <w:marRight w:val="0"/>
      <w:marTop w:val="0"/>
      <w:marBottom w:val="0"/>
      <w:divBdr>
        <w:top w:val="none" w:sz="0" w:space="0" w:color="auto"/>
        <w:left w:val="none" w:sz="0" w:space="0" w:color="auto"/>
        <w:bottom w:val="none" w:sz="0" w:space="0" w:color="auto"/>
        <w:right w:val="none" w:sz="0" w:space="0" w:color="auto"/>
      </w:divBdr>
    </w:div>
    <w:div w:id="2081906217">
      <w:bodyDiv w:val="1"/>
      <w:marLeft w:val="0"/>
      <w:marRight w:val="0"/>
      <w:marTop w:val="0"/>
      <w:marBottom w:val="0"/>
      <w:divBdr>
        <w:top w:val="none" w:sz="0" w:space="0" w:color="auto"/>
        <w:left w:val="none" w:sz="0" w:space="0" w:color="auto"/>
        <w:bottom w:val="none" w:sz="0" w:space="0" w:color="auto"/>
        <w:right w:val="none" w:sz="0" w:space="0" w:color="auto"/>
      </w:divBdr>
    </w:div>
    <w:div w:id="2082556712">
      <w:bodyDiv w:val="1"/>
      <w:marLeft w:val="0"/>
      <w:marRight w:val="0"/>
      <w:marTop w:val="0"/>
      <w:marBottom w:val="0"/>
      <w:divBdr>
        <w:top w:val="none" w:sz="0" w:space="0" w:color="auto"/>
        <w:left w:val="none" w:sz="0" w:space="0" w:color="auto"/>
        <w:bottom w:val="none" w:sz="0" w:space="0" w:color="auto"/>
        <w:right w:val="none" w:sz="0" w:space="0" w:color="auto"/>
      </w:divBdr>
    </w:div>
    <w:div w:id="2084836652">
      <w:bodyDiv w:val="1"/>
      <w:marLeft w:val="0"/>
      <w:marRight w:val="0"/>
      <w:marTop w:val="0"/>
      <w:marBottom w:val="0"/>
      <w:divBdr>
        <w:top w:val="none" w:sz="0" w:space="0" w:color="auto"/>
        <w:left w:val="none" w:sz="0" w:space="0" w:color="auto"/>
        <w:bottom w:val="none" w:sz="0" w:space="0" w:color="auto"/>
        <w:right w:val="none" w:sz="0" w:space="0" w:color="auto"/>
      </w:divBdr>
    </w:div>
    <w:div w:id="2086292165">
      <w:bodyDiv w:val="1"/>
      <w:marLeft w:val="0"/>
      <w:marRight w:val="0"/>
      <w:marTop w:val="0"/>
      <w:marBottom w:val="0"/>
      <w:divBdr>
        <w:top w:val="none" w:sz="0" w:space="0" w:color="auto"/>
        <w:left w:val="none" w:sz="0" w:space="0" w:color="auto"/>
        <w:bottom w:val="none" w:sz="0" w:space="0" w:color="auto"/>
        <w:right w:val="none" w:sz="0" w:space="0" w:color="auto"/>
      </w:divBdr>
    </w:div>
    <w:div w:id="2087147166">
      <w:bodyDiv w:val="1"/>
      <w:marLeft w:val="0"/>
      <w:marRight w:val="0"/>
      <w:marTop w:val="0"/>
      <w:marBottom w:val="0"/>
      <w:divBdr>
        <w:top w:val="none" w:sz="0" w:space="0" w:color="auto"/>
        <w:left w:val="none" w:sz="0" w:space="0" w:color="auto"/>
        <w:bottom w:val="none" w:sz="0" w:space="0" w:color="auto"/>
        <w:right w:val="none" w:sz="0" w:space="0" w:color="auto"/>
      </w:divBdr>
    </w:div>
    <w:div w:id="2089764500">
      <w:bodyDiv w:val="1"/>
      <w:marLeft w:val="0"/>
      <w:marRight w:val="0"/>
      <w:marTop w:val="0"/>
      <w:marBottom w:val="0"/>
      <w:divBdr>
        <w:top w:val="none" w:sz="0" w:space="0" w:color="auto"/>
        <w:left w:val="none" w:sz="0" w:space="0" w:color="auto"/>
        <w:bottom w:val="none" w:sz="0" w:space="0" w:color="auto"/>
        <w:right w:val="none" w:sz="0" w:space="0" w:color="auto"/>
      </w:divBdr>
    </w:div>
    <w:div w:id="2094163127">
      <w:bodyDiv w:val="1"/>
      <w:marLeft w:val="0"/>
      <w:marRight w:val="0"/>
      <w:marTop w:val="0"/>
      <w:marBottom w:val="0"/>
      <w:divBdr>
        <w:top w:val="none" w:sz="0" w:space="0" w:color="auto"/>
        <w:left w:val="none" w:sz="0" w:space="0" w:color="auto"/>
        <w:bottom w:val="none" w:sz="0" w:space="0" w:color="auto"/>
        <w:right w:val="none" w:sz="0" w:space="0" w:color="auto"/>
      </w:divBdr>
    </w:div>
    <w:div w:id="2095546106">
      <w:bodyDiv w:val="1"/>
      <w:marLeft w:val="0"/>
      <w:marRight w:val="0"/>
      <w:marTop w:val="0"/>
      <w:marBottom w:val="0"/>
      <w:divBdr>
        <w:top w:val="none" w:sz="0" w:space="0" w:color="auto"/>
        <w:left w:val="none" w:sz="0" w:space="0" w:color="auto"/>
        <w:bottom w:val="none" w:sz="0" w:space="0" w:color="auto"/>
        <w:right w:val="none" w:sz="0" w:space="0" w:color="auto"/>
      </w:divBdr>
    </w:div>
    <w:div w:id="2095979186">
      <w:bodyDiv w:val="1"/>
      <w:marLeft w:val="0"/>
      <w:marRight w:val="0"/>
      <w:marTop w:val="0"/>
      <w:marBottom w:val="0"/>
      <w:divBdr>
        <w:top w:val="none" w:sz="0" w:space="0" w:color="auto"/>
        <w:left w:val="none" w:sz="0" w:space="0" w:color="auto"/>
        <w:bottom w:val="none" w:sz="0" w:space="0" w:color="auto"/>
        <w:right w:val="none" w:sz="0" w:space="0" w:color="auto"/>
      </w:divBdr>
    </w:div>
    <w:div w:id="2099597323">
      <w:bodyDiv w:val="1"/>
      <w:marLeft w:val="0"/>
      <w:marRight w:val="0"/>
      <w:marTop w:val="0"/>
      <w:marBottom w:val="0"/>
      <w:divBdr>
        <w:top w:val="none" w:sz="0" w:space="0" w:color="auto"/>
        <w:left w:val="none" w:sz="0" w:space="0" w:color="auto"/>
        <w:bottom w:val="none" w:sz="0" w:space="0" w:color="auto"/>
        <w:right w:val="none" w:sz="0" w:space="0" w:color="auto"/>
      </w:divBdr>
    </w:div>
    <w:div w:id="2100062036">
      <w:bodyDiv w:val="1"/>
      <w:marLeft w:val="0"/>
      <w:marRight w:val="0"/>
      <w:marTop w:val="0"/>
      <w:marBottom w:val="0"/>
      <w:divBdr>
        <w:top w:val="none" w:sz="0" w:space="0" w:color="auto"/>
        <w:left w:val="none" w:sz="0" w:space="0" w:color="auto"/>
        <w:bottom w:val="none" w:sz="0" w:space="0" w:color="auto"/>
        <w:right w:val="none" w:sz="0" w:space="0" w:color="auto"/>
      </w:divBdr>
    </w:div>
    <w:div w:id="2101825683">
      <w:bodyDiv w:val="1"/>
      <w:marLeft w:val="0"/>
      <w:marRight w:val="0"/>
      <w:marTop w:val="0"/>
      <w:marBottom w:val="0"/>
      <w:divBdr>
        <w:top w:val="none" w:sz="0" w:space="0" w:color="auto"/>
        <w:left w:val="none" w:sz="0" w:space="0" w:color="auto"/>
        <w:bottom w:val="none" w:sz="0" w:space="0" w:color="auto"/>
        <w:right w:val="none" w:sz="0" w:space="0" w:color="auto"/>
      </w:divBdr>
    </w:div>
    <w:div w:id="2104108228">
      <w:bodyDiv w:val="1"/>
      <w:marLeft w:val="0"/>
      <w:marRight w:val="0"/>
      <w:marTop w:val="0"/>
      <w:marBottom w:val="0"/>
      <w:divBdr>
        <w:top w:val="none" w:sz="0" w:space="0" w:color="auto"/>
        <w:left w:val="none" w:sz="0" w:space="0" w:color="auto"/>
        <w:bottom w:val="none" w:sz="0" w:space="0" w:color="auto"/>
        <w:right w:val="none" w:sz="0" w:space="0" w:color="auto"/>
      </w:divBdr>
    </w:div>
    <w:div w:id="2105110400">
      <w:bodyDiv w:val="1"/>
      <w:marLeft w:val="0"/>
      <w:marRight w:val="0"/>
      <w:marTop w:val="0"/>
      <w:marBottom w:val="0"/>
      <w:divBdr>
        <w:top w:val="none" w:sz="0" w:space="0" w:color="auto"/>
        <w:left w:val="none" w:sz="0" w:space="0" w:color="auto"/>
        <w:bottom w:val="none" w:sz="0" w:space="0" w:color="auto"/>
        <w:right w:val="none" w:sz="0" w:space="0" w:color="auto"/>
      </w:divBdr>
    </w:div>
    <w:div w:id="2106420311">
      <w:bodyDiv w:val="1"/>
      <w:marLeft w:val="0"/>
      <w:marRight w:val="0"/>
      <w:marTop w:val="0"/>
      <w:marBottom w:val="0"/>
      <w:divBdr>
        <w:top w:val="none" w:sz="0" w:space="0" w:color="auto"/>
        <w:left w:val="none" w:sz="0" w:space="0" w:color="auto"/>
        <w:bottom w:val="none" w:sz="0" w:space="0" w:color="auto"/>
        <w:right w:val="none" w:sz="0" w:space="0" w:color="auto"/>
      </w:divBdr>
    </w:div>
    <w:div w:id="2107072262">
      <w:bodyDiv w:val="1"/>
      <w:marLeft w:val="0"/>
      <w:marRight w:val="0"/>
      <w:marTop w:val="0"/>
      <w:marBottom w:val="0"/>
      <w:divBdr>
        <w:top w:val="none" w:sz="0" w:space="0" w:color="auto"/>
        <w:left w:val="none" w:sz="0" w:space="0" w:color="auto"/>
        <w:bottom w:val="none" w:sz="0" w:space="0" w:color="auto"/>
        <w:right w:val="none" w:sz="0" w:space="0" w:color="auto"/>
      </w:divBdr>
    </w:div>
    <w:div w:id="2110469500">
      <w:bodyDiv w:val="1"/>
      <w:marLeft w:val="0"/>
      <w:marRight w:val="0"/>
      <w:marTop w:val="0"/>
      <w:marBottom w:val="0"/>
      <w:divBdr>
        <w:top w:val="none" w:sz="0" w:space="0" w:color="auto"/>
        <w:left w:val="none" w:sz="0" w:space="0" w:color="auto"/>
        <w:bottom w:val="none" w:sz="0" w:space="0" w:color="auto"/>
        <w:right w:val="none" w:sz="0" w:space="0" w:color="auto"/>
      </w:divBdr>
    </w:div>
    <w:div w:id="2112429415">
      <w:bodyDiv w:val="1"/>
      <w:marLeft w:val="0"/>
      <w:marRight w:val="0"/>
      <w:marTop w:val="0"/>
      <w:marBottom w:val="0"/>
      <w:divBdr>
        <w:top w:val="none" w:sz="0" w:space="0" w:color="auto"/>
        <w:left w:val="none" w:sz="0" w:space="0" w:color="auto"/>
        <w:bottom w:val="none" w:sz="0" w:space="0" w:color="auto"/>
        <w:right w:val="none" w:sz="0" w:space="0" w:color="auto"/>
      </w:divBdr>
    </w:div>
    <w:div w:id="2114587751">
      <w:bodyDiv w:val="1"/>
      <w:marLeft w:val="0"/>
      <w:marRight w:val="0"/>
      <w:marTop w:val="0"/>
      <w:marBottom w:val="0"/>
      <w:divBdr>
        <w:top w:val="none" w:sz="0" w:space="0" w:color="auto"/>
        <w:left w:val="none" w:sz="0" w:space="0" w:color="auto"/>
        <w:bottom w:val="none" w:sz="0" w:space="0" w:color="auto"/>
        <w:right w:val="none" w:sz="0" w:space="0" w:color="auto"/>
      </w:divBdr>
    </w:div>
    <w:div w:id="2116442802">
      <w:bodyDiv w:val="1"/>
      <w:marLeft w:val="0"/>
      <w:marRight w:val="0"/>
      <w:marTop w:val="0"/>
      <w:marBottom w:val="0"/>
      <w:divBdr>
        <w:top w:val="none" w:sz="0" w:space="0" w:color="auto"/>
        <w:left w:val="none" w:sz="0" w:space="0" w:color="auto"/>
        <w:bottom w:val="none" w:sz="0" w:space="0" w:color="auto"/>
        <w:right w:val="none" w:sz="0" w:space="0" w:color="auto"/>
      </w:divBdr>
    </w:div>
    <w:div w:id="2116973526">
      <w:bodyDiv w:val="1"/>
      <w:marLeft w:val="0"/>
      <w:marRight w:val="0"/>
      <w:marTop w:val="0"/>
      <w:marBottom w:val="0"/>
      <w:divBdr>
        <w:top w:val="none" w:sz="0" w:space="0" w:color="auto"/>
        <w:left w:val="none" w:sz="0" w:space="0" w:color="auto"/>
        <w:bottom w:val="none" w:sz="0" w:space="0" w:color="auto"/>
        <w:right w:val="none" w:sz="0" w:space="0" w:color="auto"/>
      </w:divBdr>
    </w:div>
    <w:div w:id="2117215176">
      <w:bodyDiv w:val="1"/>
      <w:marLeft w:val="0"/>
      <w:marRight w:val="0"/>
      <w:marTop w:val="0"/>
      <w:marBottom w:val="0"/>
      <w:divBdr>
        <w:top w:val="none" w:sz="0" w:space="0" w:color="auto"/>
        <w:left w:val="none" w:sz="0" w:space="0" w:color="auto"/>
        <w:bottom w:val="none" w:sz="0" w:space="0" w:color="auto"/>
        <w:right w:val="none" w:sz="0" w:space="0" w:color="auto"/>
      </w:divBdr>
    </w:div>
    <w:div w:id="2118406125">
      <w:bodyDiv w:val="1"/>
      <w:marLeft w:val="0"/>
      <w:marRight w:val="0"/>
      <w:marTop w:val="0"/>
      <w:marBottom w:val="0"/>
      <w:divBdr>
        <w:top w:val="none" w:sz="0" w:space="0" w:color="auto"/>
        <w:left w:val="none" w:sz="0" w:space="0" w:color="auto"/>
        <w:bottom w:val="none" w:sz="0" w:space="0" w:color="auto"/>
        <w:right w:val="none" w:sz="0" w:space="0" w:color="auto"/>
      </w:divBdr>
    </w:div>
    <w:div w:id="2125340629">
      <w:bodyDiv w:val="1"/>
      <w:marLeft w:val="0"/>
      <w:marRight w:val="0"/>
      <w:marTop w:val="0"/>
      <w:marBottom w:val="0"/>
      <w:divBdr>
        <w:top w:val="none" w:sz="0" w:space="0" w:color="auto"/>
        <w:left w:val="none" w:sz="0" w:space="0" w:color="auto"/>
        <w:bottom w:val="none" w:sz="0" w:space="0" w:color="auto"/>
        <w:right w:val="none" w:sz="0" w:space="0" w:color="auto"/>
      </w:divBdr>
    </w:div>
    <w:div w:id="2128233289">
      <w:bodyDiv w:val="1"/>
      <w:marLeft w:val="0"/>
      <w:marRight w:val="0"/>
      <w:marTop w:val="0"/>
      <w:marBottom w:val="0"/>
      <w:divBdr>
        <w:top w:val="none" w:sz="0" w:space="0" w:color="auto"/>
        <w:left w:val="none" w:sz="0" w:space="0" w:color="auto"/>
        <w:bottom w:val="none" w:sz="0" w:space="0" w:color="auto"/>
        <w:right w:val="none" w:sz="0" w:space="0" w:color="auto"/>
      </w:divBdr>
    </w:div>
    <w:div w:id="2131509297">
      <w:bodyDiv w:val="1"/>
      <w:marLeft w:val="0"/>
      <w:marRight w:val="0"/>
      <w:marTop w:val="0"/>
      <w:marBottom w:val="0"/>
      <w:divBdr>
        <w:top w:val="none" w:sz="0" w:space="0" w:color="auto"/>
        <w:left w:val="none" w:sz="0" w:space="0" w:color="auto"/>
        <w:bottom w:val="none" w:sz="0" w:space="0" w:color="auto"/>
        <w:right w:val="none" w:sz="0" w:space="0" w:color="auto"/>
      </w:divBdr>
    </w:div>
    <w:div w:id="2134203699">
      <w:bodyDiv w:val="1"/>
      <w:marLeft w:val="0"/>
      <w:marRight w:val="0"/>
      <w:marTop w:val="0"/>
      <w:marBottom w:val="0"/>
      <w:divBdr>
        <w:top w:val="none" w:sz="0" w:space="0" w:color="auto"/>
        <w:left w:val="none" w:sz="0" w:space="0" w:color="auto"/>
        <w:bottom w:val="none" w:sz="0" w:space="0" w:color="auto"/>
        <w:right w:val="none" w:sz="0" w:space="0" w:color="auto"/>
      </w:divBdr>
    </w:div>
    <w:div w:id="2134515271">
      <w:bodyDiv w:val="1"/>
      <w:marLeft w:val="0"/>
      <w:marRight w:val="0"/>
      <w:marTop w:val="0"/>
      <w:marBottom w:val="0"/>
      <w:divBdr>
        <w:top w:val="none" w:sz="0" w:space="0" w:color="auto"/>
        <w:left w:val="none" w:sz="0" w:space="0" w:color="auto"/>
        <w:bottom w:val="none" w:sz="0" w:space="0" w:color="auto"/>
        <w:right w:val="none" w:sz="0" w:space="0" w:color="auto"/>
      </w:divBdr>
    </w:div>
    <w:div w:id="2139689426">
      <w:bodyDiv w:val="1"/>
      <w:marLeft w:val="0"/>
      <w:marRight w:val="0"/>
      <w:marTop w:val="0"/>
      <w:marBottom w:val="0"/>
      <w:divBdr>
        <w:top w:val="none" w:sz="0" w:space="0" w:color="auto"/>
        <w:left w:val="none" w:sz="0" w:space="0" w:color="auto"/>
        <w:bottom w:val="none" w:sz="0" w:space="0" w:color="auto"/>
        <w:right w:val="none" w:sz="0" w:space="0" w:color="auto"/>
      </w:divBdr>
    </w:div>
    <w:div w:id="2141799874">
      <w:bodyDiv w:val="1"/>
      <w:marLeft w:val="0"/>
      <w:marRight w:val="0"/>
      <w:marTop w:val="0"/>
      <w:marBottom w:val="0"/>
      <w:divBdr>
        <w:top w:val="none" w:sz="0" w:space="0" w:color="auto"/>
        <w:left w:val="none" w:sz="0" w:space="0" w:color="auto"/>
        <w:bottom w:val="none" w:sz="0" w:space="0" w:color="auto"/>
        <w:right w:val="none" w:sz="0" w:space="0" w:color="auto"/>
      </w:divBdr>
    </w:div>
    <w:div w:id="2142795980">
      <w:bodyDiv w:val="1"/>
      <w:marLeft w:val="0"/>
      <w:marRight w:val="0"/>
      <w:marTop w:val="0"/>
      <w:marBottom w:val="0"/>
      <w:divBdr>
        <w:top w:val="none" w:sz="0" w:space="0" w:color="auto"/>
        <w:left w:val="none" w:sz="0" w:space="0" w:color="auto"/>
        <w:bottom w:val="none" w:sz="0" w:space="0" w:color="auto"/>
        <w:right w:val="none" w:sz="0" w:space="0" w:color="auto"/>
      </w:divBdr>
    </w:div>
    <w:div w:id="2145346481">
      <w:bodyDiv w:val="1"/>
      <w:marLeft w:val="0"/>
      <w:marRight w:val="0"/>
      <w:marTop w:val="0"/>
      <w:marBottom w:val="0"/>
      <w:divBdr>
        <w:top w:val="none" w:sz="0" w:space="0" w:color="auto"/>
        <w:left w:val="none" w:sz="0" w:space="0" w:color="auto"/>
        <w:bottom w:val="none" w:sz="0" w:space="0" w:color="auto"/>
        <w:right w:val="none" w:sz="0" w:space="0" w:color="auto"/>
      </w:divBdr>
    </w:div>
    <w:div w:id="2145386956">
      <w:bodyDiv w:val="1"/>
      <w:marLeft w:val="0"/>
      <w:marRight w:val="0"/>
      <w:marTop w:val="0"/>
      <w:marBottom w:val="0"/>
      <w:divBdr>
        <w:top w:val="none" w:sz="0" w:space="0" w:color="auto"/>
        <w:left w:val="none" w:sz="0" w:space="0" w:color="auto"/>
        <w:bottom w:val="none" w:sz="0" w:space="0" w:color="auto"/>
        <w:right w:val="none" w:sz="0" w:space="0" w:color="auto"/>
      </w:divBdr>
    </w:div>
    <w:div w:id="2147235915">
      <w:bodyDiv w:val="1"/>
      <w:marLeft w:val="0"/>
      <w:marRight w:val="0"/>
      <w:marTop w:val="0"/>
      <w:marBottom w:val="0"/>
      <w:divBdr>
        <w:top w:val="none" w:sz="0" w:space="0" w:color="auto"/>
        <w:left w:val="none" w:sz="0" w:space="0" w:color="auto"/>
        <w:bottom w:val="none" w:sz="0" w:space="0" w:color="auto"/>
        <w:right w:val="none" w:sz="0" w:space="0" w:color="auto"/>
      </w:divBdr>
    </w:div>
    <w:div w:id="2147240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hyperlink" Target="http://www.imf.org/~/media/Files/Publications/CR/2017/cr17377.ashx" TargetMode="External"/><Relationship Id="rId21" Type="http://schemas.microsoft.com/office/2016/09/relationships/commentsIds" Target="commentsIds.xml"/><Relationship Id="rId42" Type="http://schemas.openxmlformats.org/officeDocument/2006/relationships/hyperlink" Target="mailto:Mehrpoor.af@gmail.com" TargetMode="External"/><Relationship Id="rId47" Type="http://schemas.openxmlformats.org/officeDocument/2006/relationships/hyperlink" Target="http://www.understandingwar.org/backgrounder/afghanistan-partial-threat-assessment-november-22-2016" TargetMode="External"/><Relationship Id="rId63" Type="http://schemas.openxmlformats.org/officeDocument/2006/relationships/hyperlink" Target="https://eiti.org/document/afghanistan-open-data-policy" TargetMode="External"/><Relationship Id="rId68" Type="http://schemas.openxmlformats.org/officeDocument/2006/relationships/hyperlink" Target="https://eiti.org/board-decisions" TargetMode="External"/><Relationship Id="rId84" Type="http://schemas.openxmlformats.org/officeDocument/2006/relationships/hyperlink" Target="http://www.budgetmof.gov.af/index.php/en/" TargetMode="External"/><Relationship Id="rId89" Type="http://schemas.openxmlformats.org/officeDocument/2006/relationships/hyperlink" Target="http://mom.gov.af/Content/files/Policies/English/English_Coal_Policy.pdf" TargetMode="External"/><Relationship Id="rId112" Type="http://schemas.openxmlformats.org/officeDocument/2006/relationships/hyperlink" Target="https://www.justice.gov/eoir/page/file/1023176/download" TargetMode="External"/><Relationship Id="rId133" Type="http://schemas.openxmlformats.org/officeDocument/2006/relationships/hyperlink" Target="https://thediplomat.com/2017/01/the-story-behind-chinas-long-stalled-mine-in-afghanistan/" TargetMode="External"/><Relationship Id="rId138" Type="http://schemas.openxmlformats.org/officeDocument/2006/relationships/hyperlink" Target="https://www.state.gov/j/drl/rls/hrrpt/humanrightsreport/index.htm" TargetMode="External"/><Relationship Id="rId154" Type="http://schemas.openxmlformats.org/officeDocument/2006/relationships/fontTable" Target="fontTable.xml"/><Relationship Id="rId16" Type="http://schemas.openxmlformats.org/officeDocument/2006/relationships/footer" Target="footer3.xml"/><Relationship Id="rId107" Type="http://schemas.openxmlformats.org/officeDocument/2006/relationships/hyperlink" Target="http://aeiti.af/Content/Media/Documents/WorkshopforExtractiveIndustries2014192201724621107553325325.pdf" TargetMode="External"/><Relationship Id="rId11" Type="http://schemas.openxmlformats.org/officeDocument/2006/relationships/header" Target="header1.xml"/><Relationship Id="rId32" Type="http://schemas.openxmlformats.org/officeDocument/2006/relationships/hyperlink" Target="mailto:Eng.sediq@hotmail.com" TargetMode="External"/><Relationship Id="rId37" Type="http://schemas.openxmlformats.org/officeDocument/2006/relationships/hyperlink" Target="mailto:afgeology@gmail.com" TargetMode="External"/><Relationship Id="rId53" Type="http://schemas.openxmlformats.org/officeDocument/2006/relationships/hyperlink" Target="http://aeiti.af/en/tender/request-for-expressions-of-interest" TargetMode="External"/><Relationship Id="rId58" Type="http://schemas.openxmlformats.org/officeDocument/2006/relationships/hyperlink" Target="https://eiti.org/sites/default/files/documents/5threconciliationfinalreport_1393-1394_2105201744057225553325325.pdf" TargetMode="External"/><Relationship Id="rId74" Type="http://schemas.openxmlformats.org/officeDocument/2006/relationships/hyperlink" Target="https://iwaweb.org/afghan-government-unable-to-provide-basic-management-of-mining-revenues-says-civil-society/" TargetMode="External"/><Relationship Id="rId79" Type="http://schemas.openxmlformats.org/officeDocument/2006/relationships/hyperlink" Target="http://aeiti.af/en/documents/category/minutes-2015-2017" TargetMode="External"/><Relationship Id="rId102" Type="http://schemas.openxmlformats.org/officeDocument/2006/relationships/hyperlink" Target="https://wits.worldbank.org/CountryProfile/en/Country/AFG/Year/2015/TradeFlow/Export/Partner/WLD/Product/All-Groups" TargetMode="External"/><Relationship Id="rId123" Type="http://schemas.openxmlformats.org/officeDocument/2006/relationships/hyperlink" Target="http://www.fbr.gov.pk/TradeStatistics/COUNTRYWISE_DTL411.aspx?id=Afghanistan" TargetMode="External"/><Relationship Id="rId128" Type="http://schemas.openxmlformats.org/officeDocument/2006/relationships/hyperlink" Target="https://www.reuters.com/article/us-afghanistan-journalists/afghan-journalists-face-more-threats-as-violence-spreads-idUSKBN1531T7" TargetMode="External"/><Relationship Id="rId144" Type="http://schemas.openxmlformats.org/officeDocument/2006/relationships/hyperlink" Target="https://www.state.gov/e/eb/ifd/oma/235938.htm" TargetMode="External"/><Relationship Id="rId149" Type="http://schemas.openxmlformats.org/officeDocument/2006/relationships/hyperlink" Target="http://documents.worldbank.org/curated/en/531871480603485128/pdf/1480603483585-0000A8056-ITM00184-P159402-12-01-2016-1480603482616.pdf" TargetMode="External"/><Relationship Id="rId5" Type="http://schemas.openxmlformats.org/officeDocument/2006/relationships/numbering" Target="numbering.xml"/><Relationship Id="rId90" Type="http://schemas.openxmlformats.org/officeDocument/2006/relationships/hyperlink" Target="http://mom.gov.af/Content/files/10%20reasons-10pg-4.pdf" TargetMode="External"/><Relationship Id="rId95" Type="http://schemas.openxmlformats.org/officeDocument/2006/relationships/hyperlink" Target="https://president.gov.af/en/news/president-ghani-state-building-is-impossible-without-civil-society/" TargetMode="External"/><Relationship Id="rId22" Type="http://schemas.openxmlformats.org/officeDocument/2006/relationships/header" Target="header6.xml"/><Relationship Id="rId27" Type="http://schemas.openxmlformats.org/officeDocument/2006/relationships/header" Target="header9.xml"/><Relationship Id="rId43" Type="http://schemas.openxmlformats.org/officeDocument/2006/relationships/header" Target="header10.xml"/><Relationship Id="rId48" Type="http://schemas.openxmlformats.org/officeDocument/2006/relationships/hyperlink" Target="http://aeiti.af/en/documents/category/aeiti-docs" TargetMode="External"/><Relationship Id="rId64" Type="http://schemas.openxmlformats.org/officeDocument/2006/relationships/hyperlink" Target="http://www.eisourcebook.org/cms/March_2013/Afghanistan%20EITI%20Shadow%20Validation%20Report.pdf" TargetMode="External"/><Relationship Id="rId69" Type="http://schemas.openxmlformats.org/officeDocument/2006/relationships/hyperlink" Target="https://eiti.org/BD/2017-17" TargetMode="External"/><Relationship Id="rId113" Type="http://schemas.openxmlformats.org/officeDocument/2006/relationships/hyperlink" Target="https://emcplus.gaf.de/countries/7" TargetMode="External"/><Relationship Id="rId118" Type="http://schemas.openxmlformats.org/officeDocument/2006/relationships/hyperlink" Target="https://www.imf.org/en/News/Articles/2016/07/21/15/07/NA072216-IMF-Loan-for-Afghanistan-to-support-Inclusive-Growth" TargetMode="External"/><Relationship Id="rId134" Type="http://schemas.openxmlformats.org/officeDocument/2006/relationships/hyperlink" Target="https://www.tolonews.com/afghanistan/ghoryan-salt-mine-contract-signed" TargetMode="External"/><Relationship Id="rId139" Type="http://schemas.openxmlformats.org/officeDocument/2006/relationships/hyperlink" Target="https://www.usip.org/publications/2011/11/role-civil-society-monitoring-afghanistans-extractive-industries" TargetMode="External"/><Relationship Id="rId80" Type="http://schemas.openxmlformats.org/officeDocument/2006/relationships/hyperlink" Target="http://aeiti.af/en/documents/category/minutes-2015-2017" TargetMode="External"/><Relationship Id="rId85" Type="http://schemas.openxmlformats.org/officeDocument/2006/relationships/hyperlink" Target="http://www.mec.af/files/2017_05_09_mof_ac_review_report_english.pdf" TargetMode="External"/><Relationship Id="rId150" Type="http://schemas.openxmlformats.org/officeDocument/2006/relationships/hyperlink" Target="http://documents.worldbank.org/curated/en/393331467989442762/PAD1710-PJPR-PUBLIC-Project-Paper-Document-Disclosable-Version-P150632-2016-02-16-12-46.docx" TargetMode="External"/><Relationship Id="rId155" Type="http://schemas.microsoft.com/office/2011/relationships/people" Target="people.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hyperlink" Target="mailto:Mharis.bromand@gmail.com" TargetMode="External"/><Relationship Id="rId38" Type="http://schemas.openxmlformats.org/officeDocument/2006/relationships/hyperlink" Target="mailto:ataee10000@yahoo.com" TargetMode="External"/><Relationship Id="rId46" Type="http://schemas.openxmlformats.org/officeDocument/2006/relationships/image" Target="media/image2.png"/><Relationship Id="rId59" Type="http://schemas.openxmlformats.org/officeDocument/2006/relationships/hyperlink" Target="https://eiti.org/sites/default/files/documents/2014-2015_afghanistan_eiti_report_appendices.pdf" TargetMode="External"/><Relationship Id="rId67" Type="http://schemas.openxmlformats.org/officeDocument/2006/relationships/hyperlink" Target="https://eiti.org/BD/2016-18%20in%20January%202018" TargetMode="External"/><Relationship Id="rId103" Type="http://schemas.openxmlformats.org/officeDocument/2006/relationships/hyperlink" Target="https://sdnrp-mining.gaf.de/all-licenses" TargetMode="External"/><Relationship Id="rId108" Type="http://schemas.openxmlformats.org/officeDocument/2006/relationships/hyperlink" Target="http://aeiti.af/en/news/aeitis-5th-reconciliation-report-was-shared-with-government-officials-and-civil-society-members-in-kandahar-province" TargetMode="External"/><Relationship Id="rId116" Type="http://schemas.openxmlformats.org/officeDocument/2006/relationships/hyperlink" Target="https://www.boell.de/sites/default/files/assets/boell.de/images/download_de/worldwide/Mining_in_Afghanistan_KorrekturenCL.pdf" TargetMode="External"/><Relationship Id="rId124" Type="http://schemas.openxmlformats.org/officeDocument/2006/relationships/hyperlink" Target="http://afghanistan-un.org/2010/01/afghan-leadership-regional-cooperation-international-partnership/" TargetMode="External"/><Relationship Id="rId129" Type="http://schemas.openxmlformats.org/officeDocument/2006/relationships/hyperlink" Target="https://www.sigar.mil/pdf/audits/SIGAR-15-55-AR.pdf" TargetMode="External"/><Relationship Id="rId137" Type="http://schemas.openxmlformats.org/officeDocument/2006/relationships/hyperlink" Target="http://www.state.gov/j/drl/rls/hrrpt/humanrightsreport/index.htm?year=2015&amp;dlid=252957" TargetMode="External"/><Relationship Id="rId20" Type="http://schemas.microsoft.com/office/2011/relationships/commentsExtended" Target="commentsExtended.xml"/><Relationship Id="rId41" Type="http://schemas.openxmlformats.org/officeDocument/2006/relationships/hyperlink" Target="mailto:Ramin.r@cnpcag.com" TargetMode="External"/><Relationship Id="rId54" Type="http://schemas.openxmlformats.org/officeDocument/2006/relationships/hyperlink" Target="https://eiti.org/sites/default/files/documents/2012-2013_afghanistan_eiti_report_appendices.pdf" TargetMode="External"/><Relationship Id="rId62" Type="http://schemas.openxmlformats.org/officeDocument/2006/relationships/hyperlink" Target="http://aeiti.af/Content/Media/Documents/ReportonMoMPandMoFTraining,August2014192201724528368553325325.pdf" TargetMode="External"/><Relationship Id="rId70" Type="http://schemas.openxmlformats.org/officeDocument/2006/relationships/hyperlink" Target="https://www.globalwitness.org/en-gb/archive/gaps-new-afghan-mining-law-pose-threat-stability/" TargetMode="External"/><Relationship Id="rId75" Type="http://schemas.openxmlformats.org/officeDocument/2006/relationships/hyperlink" Target="https://iwaweb.org/wp-content/uploads/2016/11/Solving-the-Institutional-Puzzle.pdf" TargetMode="External"/><Relationship Id="rId83" Type="http://schemas.openxmlformats.org/officeDocument/2006/relationships/hyperlink" Target="http://cso.gov.af/Content/files/%D8%B1%DB%8C%D8%A7%D8%B3%D8%AA%20%D8%A7%D9%82%D8%AA%D8%B5%D8%A7%D8%AF%DB%8C%20%D9%87%D8%A7/mining%20%26%20Energy/%D8%A8%D8%AE%D8%B4%20%D9%85%D8%B9%D8%A7%D8%AF%D9%86%20%D9%88%20%D8%A7%D9%86%D8%B1%DA%98%DB%8C%201387%20%D8%A7%D9%84%DB%8C%201394.xls" TargetMode="External"/><Relationship Id="rId88" Type="http://schemas.openxmlformats.org/officeDocument/2006/relationships/hyperlink" Target="http://moic.gov.af/en/news/57147" TargetMode="External"/><Relationship Id="rId91" Type="http://schemas.openxmlformats.org/officeDocument/2006/relationships/hyperlink" Target="http://mom.gov.af/Content/files/The%20Hajigak%20Iron%20Ore%20Deposit.pdf" TargetMode="External"/><Relationship Id="rId96" Type="http://schemas.openxmlformats.org/officeDocument/2006/relationships/hyperlink" Target="https://www.youtube.com/watch?v=EzRiIvAbByQ&amp;feature=youtu.be" TargetMode="External"/><Relationship Id="rId111" Type="http://schemas.openxmlformats.org/officeDocument/2006/relationships/hyperlink" Target="https://www.brookings.edu/wp-content/uploads/2016/06/China-Buys-into-Afghanistan-Erica-Downs.pdf" TargetMode="External"/><Relationship Id="rId132" Type="http://schemas.openxmlformats.org/officeDocument/2006/relationships/hyperlink" Target="https://www.sigar.mil/pdf/audits/SIGAR-16-11-AR.pdf" TargetMode="External"/><Relationship Id="rId140" Type="http://schemas.openxmlformats.org/officeDocument/2006/relationships/hyperlink" Target="https://www.usip.org/sites/default/files/PB233-Reviving-Commercial-Development-of-Afghanistan-s-Aynak-Copper-Resource.pdf" TargetMode="External"/><Relationship Id="rId145" Type="http://schemas.openxmlformats.org/officeDocument/2006/relationships/hyperlink" Target="https://minerals.usgs.gov/minerals/pubs/country/2014/myb3-2014-af.pdf" TargetMode="External"/><Relationship Id="rId153" Type="http://schemas.openxmlformats.org/officeDocument/2006/relationships/hyperlink" Target="http://politicalcritique.org/world/2017/civil-society-afghanista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beta.eiti.org/document/validation-guide" TargetMode="External"/><Relationship Id="rId28" Type="http://schemas.openxmlformats.org/officeDocument/2006/relationships/hyperlink" Target="mailto:Ghazaal.habibyar@gmail.com" TargetMode="External"/><Relationship Id="rId36" Type="http://schemas.openxmlformats.org/officeDocument/2006/relationships/hyperlink" Target="mailto:Afzal_sherzad2000@yahoo.com" TargetMode="External"/><Relationship Id="rId49" Type="http://schemas.openxmlformats.org/officeDocument/2006/relationships/hyperlink" Target="http://aeiti.af/Content/Media/Documents/AEITIAnnualProgressReport201619220171551887553325325.pdf" TargetMode="External"/><Relationship Id="rId57" Type="http://schemas.openxmlformats.org/officeDocument/2006/relationships/hyperlink" Target="https://eiti.org/sites/default/files/documents/5threconciliationfinalreport_1393-1394_2105201744057225553325325.pdf" TargetMode="External"/><Relationship Id="rId106" Type="http://schemas.openxmlformats.org/officeDocument/2006/relationships/hyperlink" Target="https://www.acbrip.gov.af/companyverification/" TargetMode="External"/><Relationship Id="rId114" Type="http://schemas.openxmlformats.org/officeDocument/2006/relationships/hyperlink" Target="http://www.ez-afghanistan.de/en/news/towards-full-membership-afghanistan-extractive-industries-transparency-initiative-aeiti" TargetMode="External"/><Relationship Id="rId119" Type="http://schemas.openxmlformats.org/officeDocument/2006/relationships/hyperlink" Target="https://www.imf.org/external/pubs/ft/scr/2016/cr16120.pdf" TargetMode="External"/><Relationship Id="rId127" Type="http://schemas.openxmlformats.org/officeDocument/2006/relationships/hyperlink" Target="http://samuelhall.org/wp-content/uploads/2013/05/Natural-Resources-Strategy-for-Afghanistan.pdf" TargetMode="External"/><Relationship Id="rId10" Type="http://schemas.openxmlformats.org/officeDocument/2006/relationships/endnotes" Target="endnotes.xml"/><Relationship Id="rId31" Type="http://schemas.openxmlformats.org/officeDocument/2006/relationships/hyperlink" Target="mailto:Mahdirezaee86@gmail.com" TargetMode="External"/><Relationship Id="rId44" Type="http://schemas.openxmlformats.org/officeDocument/2006/relationships/header" Target="header11.xml"/><Relationship Id="rId52" Type="http://schemas.openxmlformats.org/officeDocument/2006/relationships/hyperlink" Target="http://aeiti.af/en/documents/93" TargetMode="External"/><Relationship Id="rId60" Type="http://schemas.openxmlformats.org/officeDocument/2006/relationships/hyperlink" Target="https://eiti.org/sites/default/files/documents/5threconciliationfinalreport_1393-1394_2105201744057225553325325.pdf%20in%20December%202017" TargetMode="External"/><Relationship Id="rId65" Type="http://schemas.openxmlformats.org/officeDocument/2006/relationships/hyperlink" Target="http://aeiti.af/Content/Media/Documents/Letter-MWA-GW-re-5th-AEITI(1)75201715155205553325325.pdf" TargetMode="External"/><Relationship Id="rId73" Type="http://schemas.openxmlformats.org/officeDocument/2006/relationships/hyperlink" Target="https://www.globalwitness.org/en-gb/campaigns/afghanistan/civil-society-note-eiti-international-secretariat-ahead-aeiti-validation/" TargetMode="External"/><Relationship Id="rId78" Type="http://schemas.openxmlformats.org/officeDocument/2006/relationships/hyperlink" Target="http://aeiti.af/en/documents/category/minutes-2015-2017" TargetMode="External"/><Relationship Id="rId81" Type="http://schemas.openxmlformats.org/officeDocument/2006/relationships/hyperlink" Target="https://s3.amazonaws.com/rgi-documents/5d6be75be025f046421581eb24535dfc512ff039.pdf" TargetMode="External"/><Relationship Id="rId86" Type="http://schemas.openxmlformats.org/officeDocument/2006/relationships/hyperlink" Target="http://mof.gov.af/Content/files/TMAF_SOM_Report_Final_English.pdf" TargetMode="External"/><Relationship Id="rId94" Type="http://schemas.openxmlformats.org/officeDocument/2006/relationships/hyperlink" Target="http://mom.gov.af/en/page/momp-contracts/hydrocarbons-contract" TargetMode="External"/><Relationship Id="rId99" Type="http://schemas.openxmlformats.org/officeDocument/2006/relationships/hyperlink" Target="https://www.facebook.com/AEITI/" TargetMode="External"/><Relationship Id="rId101" Type="http://schemas.openxmlformats.org/officeDocument/2006/relationships/hyperlink" Target="https://data.worldbank.org/" TargetMode="External"/><Relationship Id="rId122" Type="http://schemas.openxmlformats.org/officeDocument/2006/relationships/hyperlink" Target="https://brage.bibsys.no/xmlui/bitstream/handle/11250/2470515/NUPI_rapport_Afghanistan_Strand_Borchgrevink_BergHarpviken.pdf?sequence=2&amp;isAllowed=y" TargetMode="External"/><Relationship Id="rId130" Type="http://schemas.openxmlformats.org/officeDocument/2006/relationships/hyperlink" Target="https://www.sigar.mil/pdf/special%20projects/SIGAR-16-2-SP.pdf" TargetMode="External"/><Relationship Id="rId135" Type="http://schemas.openxmlformats.org/officeDocument/2006/relationships/hyperlink" Target="http://www.unesco.org/new/en/kabul/education/enhancement-of-literacy-in-afghanistan-ela-program/" TargetMode="External"/><Relationship Id="rId143" Type="http://schemas.openxmlformats.org/officeDocument/2006/relationships/hyperlink" Target="https://www.usip.org/sites/default/files/2017-05/sr404-industrial-scale-looting-of-afghanistan-s-mineral-resources.pdf" TargetMode="External"/><Relationship Id="rId148" Type="http://schemas.openxmlformats.org/officeDocument/2006/relationships/hyperlink" Target="https://pefa.org/sites/default/files/assements/comments/AF-Aug13-PFMPR-Public.pdf" TargetMode="External"/><Relationship Id="rId151" Type="http://schemas.openxmlformats.org/officeDocument/2006/relationships/hyperlink" Target="https://www.oecd.org/aidfortrade/casestories/casestories-2017/CS-61-NTP-MIP-Chabahar-port-New-transit-gateway-for-Afghanistan.pdf" TargetMode="External"/><Relationship Id="rId15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hyperlink" Target="mailto:habibnang@gmail.com" TargetMode="External"/><Relationship Id="rId109" Type="http://schemas.openxmlformats.org/officeDocument/2006/relationships/hyperlink" Target="http://aeiti.af/en/news/the-5th-report-was-shared-with-members-of-csos-private-sectore-and-publics" TargetMode="External"/><Relationship Id="rId34" Type="http://schemas.openxmlformats.org/officeDocument/2006/relationships/hyperlink" Target="mailto:a.zemarai@afghanadvocacy.org.af" TargetMode="External"/><Relationship Id="rId50" Type="http://schemas.openxmlformats.org/officeDocument/2006/relationships/hyperlink" Target="https://eiti.org/publishers/afghanistan-eiti" TargetMode="External"/><Relationship Id="rId55" Type="http://schemas.openxmlformats.org/officeDocument/2006/relationships/hyperlink" Target="https://eiti.org/sites/default/files/documents/2012-2013_afghanistan_eiti_report_appendices.pdf" TargetMode="External"/><Relationship Id="rId76" Type="http://schemas.openxmlformats.org/officeDocument/2006/relationships/hyperlink" Target="https://iwaweb.org/wp-content/uploads/2015/09/Policy-Brief-Extractives-for-sustainable-development-in-Afghanistan.pdf" TargetMode="External"/><Relationship Id="rId97" Type="http://schemas.openxmlformats.org/officeDocument/2006/relationships/hyperlink" Target="http://www.aeiti.af/en" TargetMode="External"/><Relationship Id="rId104" Type="http://schemas.openxmlformats.org/officeDocument/2006/relationships/hyperlink" Target="http://miningwatch.af/?page_id=347" TargetMode="External"/><Relationship Id="rId120" Type="http://schemas.openxmlformats.org/officeDocument/2006/relationships/hyperlink" Target="http://www.icnl.org/research/monitor/afghanistan.html" TargetMode="External"/><Relationship Id="rId125" Type="http://schemas.openxmlformats.org/officeDocument/2006/relationships/hyperlink" Target="http://www.resourcecontracts.org/search?q=afghanistan" TargetMode="External"/><Relationship Id="rId141" Type="http://schemas.openxmlformats.org/officeDocument/2006/relationships/hyperlink" Target="https://www.usip.org/sites/default/files/SR358-Afghanistan-s-Emerging-Mining-Oligarchy.pdf" TargetMode="External"/><Relationship Id="rId146" Type="http://schemas.openxmlformats.org/officeDocument/2006/relationships/hyperlink" Target="http://pdf.usaid.gov/pdf_docs/PA00MM5C.pdf" TargetMode="External"/><Relationship Id="rId7" Type="http://schemas.openxmlformats.org/officeDocument/2006/relationships/settings" Target="settings.xml"/><Relationship Id="rId71" Type="http://schemas.openxmlformats.org/officeDocument/2006/relationships/hyperlink" Target="https://www.globalwitness.org/en/press-releases/afghanistans-famous-lapis-mines-funding-taliban-and-armed-groups-new-investigation-shows/" TargetMode="External"/><Relationship Id="rId92" Type="http://schemas.openxmlformats.org/officeDocument/2006/relationships/hyperlink" Target="http://mom.gov.af/Content/files/Hydrocarbone%20Contracts/MOM_Amu_Darya_Process_and_Transparency_Review.pdf" TargetMode="External"/><Relationship Id="rId2" Type="http://schemas.openxmlformats.org/officeDocument/2006/relationships/customXml" Target="../customXml/item2.xml"/><Relationship Id="rId29" Type="http://schemas.openxmlformats.org/officeDocument/2006/relationships/hyperlink" Target="mailto:Mnoor.noori@yahoo.com" TargetMode="External"/><Relationship Id="rId24" Type="http://schemas.openxmlformats.org/officeDocument/2006/relationships/hyperlink" Target="https://beta.eiti.org/document/validation-procedures" TargetMode="External"/><Relationship Id="rId40" Type="http://schemas.openxmlformats.org/officeDocument/2006/relationships/hyperlink" Target="mailto:Khoshak.company@gmail.com" TargetMode="External"/><Relationship Id="rId45" Type="http://schemas.openxmlformats.org/officeDocument/2006/relationships/header" Target="header12.xml"/><Relationship Id="rId66" Type="http://schemas.openxmlformats.org/officeDocument/2006/relationships/hyperlink" Target="https://eiti.org/news/afghan-president-sets-out-his-mining-agenda" TargetMode="External"/><Relationship Id="rId87" Type="http://schemas.openxmlformats.org/officeDocument/2006/relationships/hyperlink" Target="http://mfa.gov.af/Content/Media/Documents/agreed_smaf_smart_deliverables_final26102016113033613553325325.pdf" TargetMode="External"/><Relationship Id="rId110" Type="http://schemas.openxmlformats.org/officeDocument/2006/relationships/hyperlink" Target="http://afghanistantimes.af/media-censorship-increased-in-afghanistan-nai/" TargetMode="External"/><Relationship Id="rId115" Type="http://schemas.openxmlformats.org/officeDocument/2006/relationships/hyperlink" Target="https://eiti.org/sites/default/files/documents/2013_afghanistan_validation_report.pdf" TargetMode="External"/><Relationship Id="rId131" Type="http://schemas.openxmlformats.org/officeDocument/2006/relationships/hyperlink" Target="https://www.sigar.mil/pdf/audits/SIGAR-16-11-AR.pdf" TargetMode="External"/><Relationship Id="rId136" Type="http://schemas.openxmlformats.org/officeDocument/2006/relationships/hyperlink" Target="http://mom.gov.af/Content/files/UNICON_NCE_WB_present_DRAFT_03.pdf" TargetMode="External"/><Relationship Id="rId61" Type="http://schemas.openxmlformats.org/officeDocument/2006/relationships/hyperlink" Target="http://aeiti.af/Content/Media/Documents/1394948558120420157478410553325325.pdf" TargetMode="External"/><Relationship Id="rId82" Type="http://schemas.openxmlformats.org/officeDocument/2006/relationships/hyperlink" Target="http://mom.gov.af/Content/files/State%20Owned%20Enterprise%20Law.pdf" TargetMode="External"/><Relationship Id="rId152" Type="http://schemas.openxmlformats.org/officeDocument/2006/relationships/hyperlink" Target="https://www.oecd.org/aidfortrade/casestories/casestories-2017/CS-61-NTP-MIP-Chabahar-port-New-transit-gateway-for-Afghanistan.pdf%20in%20January%202018" TargetMode="External"/><Relationship Id="rId19" Type="http://schemas.openxmlformats.org/officeDocument/2006/relationships/comments" Target="comments.xml"/><Relationship Id="rId14" Type="http://schemas.openxmlformats.org/officeDocument/2006/relationships/footer" Target="footer2.xml"/><Relationship Id="rId30" Type="http://schemas.openxmlformats.org/officeDocument/2006/relationships/hyperlink" Target="mailto:mirabduljamilrahim@gmail.com" TargetMode="External"/><Relationship Id="rId35" Type="http://schemas.openxmlformats.org/officeDocument/2006/relationships/hyperlink" Target="mailto:javed.noorani@gmail.com" TargetMode="External"/><Relationship Id="rId56" Type="http://schemas.openxmlformats.org/officeDocument/2006/relationships/hyperlink" Target="https://eiti.org/sites/default/files/documents/2012-2013_afghanistan_eiti_report_appendices.pdf" TargetMode="External"/><Relationship Id="rId77" Type="http://schemas.openxmlformats.org/officeDocument/2006/relationships/hyperlink" Target="https://www.globalwitness.org/en-gb/archive/opening-afghanistans-extractives-sector-afghan-government-unveils-first-tranche-mining-and/" TargetMode="External"/><Relationship Id="rId100" Type="http://schemas.openxmlformats.org/officeDocument/2006/relationships/hyperlink" Target="https://freedomhouse.org/report/freedom-press/2017/afghanistan" TargetMode="External"/><Relationship Id="rId105" Type="http://schemas.openxmlformats.org/officeDocument/2006/relationships/hyperlink" Target="https://afghanistan.revenuedev.org/dashboard" TargetMode="External"/><Relationship Id="rId126" Type="http://schemas.openxmlformats.org/officeDocument/2006/relationships/hyperlink" Target="https://www.reuters.com/article/us-afghanistan-cement/hopes-and-fears-for-jobs-as-afghan-cement-factory-reopens-idUSKCN0YL0W6" TargetMode="External"/><Relationship Id="rId147" Type="http://schemas.openxmlformats.org/officeDocument/2006/relationships/hyperlink" Target="https://afghanistan.cr.usgs.gov/flexviewer/" TargetMode="External"/><Relationship Id="rId8" Type="http://schemas.openxmlformats.org/officeDocument/2006/relationships/webSettings" Target="webSettings.xml"/><Relationship Id="rId51" Type="http://schemas.openxmlformats.org/officeDocument/2006/relationships/hyperlink" Target="http://aeiti.af/en/documents/category/reconciliation-reports" TargetMode="External"/><Relationship Id="rId72" Type="http://schemas.openxmlformats.org/officeDocument/2006/relationships/hyperlink" Target="https://www.globalwitness.org/en-gb/campaigns/conflict-minerals/war-treasury-people-afghanistan-lapis-lazuli-and-battle-mineral-wealth/" TargetMode="External"/><Relationship Id="rId93" Type="http://schemas.openxmlformats.org/officeDocument/2006/relationships/hyperlink" Target="http://mom.gov.af/en/page/7064" TargetMode="External"/><Relationship Id="rId98" Type="http://schemas.openxmlformats.org/officeDocument/2006/relationships/hyperlink" Target="https://eiti.org/afghanistan" TargetMode="External"/><Relationship Id="rId121" Type="http://schemas.openxmlformats.org/officeDocument/2006/relationships/hyperlink" Target="https://5clpp.com/2017/11/08/threats-to-freedom-of-expression-in-afghanistan/" TargetMode="External"/><Relationship Id="rId142" Type="http://schemas.openxmlformats.org/officeDocument/2006/relationships/hyperlink" Target="https://www.usip.org/sites/default/files/2017-07/pb226-illegal-extraction-of-minerals-as-a-driver-of-conflict-in-afghanistan.pdf%20in%20January%202018"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6" Type="http://schemas.openxmlformats.org/officeDocument/2006/relationships/hyperlink" Target="https://eiti.org/sites/default/files/documents/5threconciliationfinalreport_1393-1394_2105201744057225553325325.pdf" TargetMode="External"/><Relationship Id="rId117" Type="http://schemas.openxmlformats.org/officeDocument/2006/relationships/hyperlink" Target="http://cso.gov.af/Content/files/&#1585;&#1740;&#1575;&#1587;&#1578;%20&#1575;&#1602;&#1578;&#1589;&#1575;&#1583;&#1740;%20&#1607;&#1575;/mining%20%26%20Energy/&#1576;&#1582;&#1588;%20&#1605;&#1593;&#1575;&#1583;&#1606;%20&#1608;%20&#1575;&#1606;&#1585;&#1688;&#1740;%201387%20&#1575;&#1604;&#1740;%201394.xls" TargetMode="External"/><Relationship Id="rId21" Type="http://schemas.openxmlformats.org/officeDocument/2006/relationships/hyperlink" Target="https://thediplomat.com/2017/01/the-story-behind-chinas-long-stalled-mine-in-afghanistan/" TargetMode="External"/><Relationship Id="rId42" Type="http://schemas.openxmlformats.org/officeDocument/2006/relationships/hyperlink" Target="https://eeas.europa.eu/delegations/afghanistan/24791/eu-country-road-map-engagement-civil-society-afghanistan-2015-2017_en" TargetMode="External"/><Relationship Id="rId47" Type="http://schemas.openxmlformats.org/officeDocument/2006/relationships/hyperlink" Target="https://www.unodc.org/res/cld/document/penal-code-amended_html/PENAL_CODE_with_Amendments.pdf" TargetMode="External"/><Relationship Id="rId63" Type="http://schemas.openxmlformats.org/officeDocument/2006/relationships/hyperlink" Target="http://archive.resourcegovernance.org/news/integrity-watch-afghanistan-launch-citizen-driven-monitoring-database" TargetMode="External"/><Relationship Id="rId68" Type="http://schemas.openxmlformats.org/officeDocument/2006/relationships/hyperlink" Target="https://iwaweb.org/wp-content/uploads/2015/09/Policy-Brief-Extractives-for-sustainable-development-in-Afghanistan.pdf" TargetMode="External"/><Relationship Id="rId84" Type="http://schemas.openxmlformats.org/officeDocument/2006/relationships/hyperlink" Target="http://aeiti.af/en/news/33" TargetMode="External"/><Relationship Id="rId89" Type="http://schemas.openxmlformats.org/officeDocument/2006/relationships/hyperlink" Target="https://eiti.org/sites/default/files/documents/2014-2015_afghanistan_eiti_report_appendices.pdf" TargetMode="External"/><Relationship Id="rId112" Type="http://schemas.openxmlformats.org/officeDocument/2006/relationships/hyperlink" Target="https://www.reuters.com/article/us-afghanistan-cement/hopes-and-fears-for-jobs-as-afghan-cement-factory-reopens-idUSKCN0YL0W6" TargetMode="External"/><Relationship Id="rId133" Type="http://schemas.openxmlformats.org/officeDocument/2006/relationships/hyperlink" Target="http://aeiti.af/en/documents/category/minutes-2015-2017" TargetMode="External"/><Relationship Id="rId138" Type="http://schemas.openxmlformats.org/officeDocument/2006/relationships/hyperlink" Target="http://www.aeiti.af/en" TargetMode="External"/><Relationship Id="rId154" Type="http://schemas.openxmlformats.org/officeDocument/2006/relationships/hyperlink" Target="http://aeiti.af/en/news" TargetMode="External"/><Relationship Id="rId159" Type="http://schemas.openxmlformats.org/officeDocument/2006/relationships/hyperlink" Target="http://aeiti.af/Content/Media/Documents/2016Mid-YearPerformanceTrackingReport7620171147779553325325.pdf" TargetMode="External"/><Relationship Id="rId170" Type="http://schemas.openxmlformats.org/officeDocument/2006/relationships/hyperlink" Target="https://info.undp.org/docs/pdc/Documents/AFG/NHDR-Project%20Document%202016.pdf" TargetMode="External"/><Relationship Id="rId16" Type="http://schemas.openxmlformats.org/officeDocument/2006/relationships/hyperlink" Target="https://brage.bibsys.no/xmlui/bitstream/handle/11250/2470515/NUPI_rapport_Afghanistan_Strand_Borchgrevink_BergHarpviken.pdf?sequence=2&amp;isAllowed=y" TargetMode="External"/><Relationship Id="rId107" Type="http://schemas.openxmlformats.org/officeDocument/2006/relationships/hyperlink" Target="https://www.acbrip.gov.af/companyverification/" TargetMode="External"/><Relationship Id="rId11" Type="http://schemas.openxmlformats.org/officeDocument/2006/relationships/hyperlink" Target="https://www.boell.de/sites/default/files/assets/boell.de/images/download_de/worldwide/Mining_in_Afghanistan_KorrekturenCL.pdf" TargetMode="External"/><Relationship Id="rId32" Type="http://schemas.openxmlformats.org/officeDocument/2006/relationships/hyperlink" Target="http://aeiti.af/Content/Media/Documents/Agreed-Smaf-Smart-Deliverables-Final-v211120165242941553325325.pdf" TargetMode="External"/><Relationship Id="rId37" Type="http://schemas.openxmlformats.org/officeDocument/2006/relationships/hyperlink" Target="http://aeiti.af/en/documents/category/annual-progress-reports" TargetMode="External"/><Relationship Id="rId53" Type="http://schemas.openxmlformats.org/officeDocument/2006/relationships/hyperlink" Target="http://www.bbc.com/news/world-south-asia-12013942" TargetMode="External"/><Relationship Id="rId58" Type="http://schemas.openxmlformats.org/officeDocument/2006/relationships/hyperlink" Target="http://ngo.gov.af/ngo_list/english/list_int.php" TargetMode="External"/><Relationship Id="rId74" Type="http://schemas.openxmlformats.org/officeDocument/2006/relationships/hyperlink" Target="https://www.globalwitness.org/en-gb/campaigns/afghanistan/civil-society-note-eiti-international-secretariat-ahead-aeiti-validation/" TargetMode="External"/><Relationship Id="rId79" Type="http://schemas.openxmlformats.org/officeDocument/2006/relationships/hyperlink" Target="http://mom.gov.af/en/news/9438" TargetMode="External"/><Relationship Id="rId102" Type="http://schemas.openxmlformats.org/officeDocument/2006/relationships/hyperlink" Target="https://iwaweb.org/wp-content/uploads/2016/11/Solving-the-Institutional-Puzzle.pdf" TargetMode="External"/><Relationship Id="rId123" Type="http://schemas.openxmlformats.org/officeDocument/2006/relationships/hyperlink" Target="https://www.oecd.org/aidfortrade/casestories/casestories-2017/CS-61-NTP-MIP-Chabahar-port-New-transit-gateway-for-Afghanistan.pdf" TargetMode="External"/><Relationship Id="rId128" Type="http://schemas.openxmlformats.org/officeDocument/2006/relationships/hyperlink" Target="https://iwaweb.org/afghan-government-unable-to-provide-basic-management-of-mining-revenues-says-civil-society/" TargetMode="External"/><Relationship Id="rId144" Type="http://schemas.openxmlformats.org/officeDocument/2006/relationships/hyperlink" Target="http://aeiti.af/Content/Media/Documents/AEITI4thReportinInfographics(English)24201722534338553325325.pdf" TargetMode="External"/><Relationship Id="rId149" Type="http://schemas.openxmlformats.org/officeDocument/2006/relationships/hyperlink" Target="http://www.ez-afghanistan.de/en/news/towards-full-membership-afghanistan-extractive-industries-transparency-initiative-aeiti" TargetMode="External"/><Relationship Id="rId5" Type="http://schemas.openxmlformats.org/officeDocument/2006/relationships/hyperlink" Target="https://ctc.usma.edu/the-taliban-stones-commission-and-the-insurgent-windfall-from-illegal-mining/" TargetMode="External"/><Relationship Id="rId90" Type="http://schemas.openxmlformats.org/officeDocument/2006/relationships/hyperlink" Target="https://www.state.gov/e/eb/ifd/oma/235938.htm" TargetMode="External"/><Relationship Id="rId95" Type="http://schemas.openxmlformats.org/officeDocument/2006/relationships/hyperlink" Target="http://www.tolonews.com/afghanistan/ghoryan-salt-mine-contract-signed" TargetMode="External"/><Relationship Id="rId160" Type="http://schemas.openxmlformats.org/officeDocument/2006/relationships/hyperlink" Target="https://www.facebook.com/AEITI/" TargetMode="External"/><Relationship Id="rId165" Type="http://schemas.openxmlformats.org/officeDocument/2006/relationships/hyperlink" Target="http://aeiti.af/en/news/afghan-parliament-members-discussed-transparency-within-mining-sector-with-international-experts-at-workshop" TargetMode="External"/><Relationship Id="rId22" Type="http://schemas.openxmlformats.org/officeDocument/2006/relationships/hyperlink" Target="https://www.usip.org/sites/default/files/PB233-Reviving-Commercial-Development-of-Afghanistan-s-Aynak-Copper-Resource.pdf" TargetMode="External"/><Relationship Id="rId27" Type="http://schemas.openxmlformats.org/officeDocument/2006/relationships/hyperlink" Target="https://minerals.usgs.gov/minerals/pubs/country/2014/myb3-2014-af.pdf" TargetMode="External"/><Relationship Id="rId43" Type="http://schemas.openxmlformats.org/officeDocument/2006/relationships/hyperlink" Target="https://www.usip.org/publications/2011/11/role-civil-society-monitoring-afghanistans-extractive-industries" TargetMode="External"/><Relationship Id="rId48" Type="http://schemas.openxmlformats.org/officeDocument/2006/relationships/hyperlink" Target="https://iwaweb.org/wp-content/uploads/2016/05/ATI-report-English-for-screen.pdf" TargetMode="External"/><Relationship Id="rId64" Type="http://schemas.openxmlformats.org/officeDocument/2006/relationships/hyperlink" Target="https://www.usaid.gov/sites/default/files/documents/1871/IWA%20306-F-12-00003.pdf" TargetMode="External"/><Relationship Id="rId69" Type="http://schemas.openxmlformats.org/officeDocument/2006/relationships/hyperlink" Target="http://www.tloafghanistan.org/" TargetMode="External"/><Relationship Id="rId113" Type="http://schemas.openxmlformats.org/officeDocument/2006/relationships/hyperlink" Target="http://mom.gov.af/Content/files/State%20Owned%20Enterprise%20Law.pdf" TargetMode="External"/><Relationship Id="rId118" Type="http://schemas.openxmlformats.org/officeDocument/2006/relationships/hyperlink" Target="https://wits.worldbank.org/CountryProfile/en/Country/AFG/Year/2015/TradeFlow/Export/Partner/WLD/Product/All-Groups" TargetMode="External"/><Relationship Id="rId134" Type="http://schemas.openxmlformats.org/officeDocument/2006/relationships/hyperlink" Target="https://eiti.org/sites/default/files/documents/2012-2013_afghanistan_eiti_report_appendices.pdf" TargetMode="External"/><Relationship Id="rId139" Type="http://schemas.openxmlformats.org/officeDocument/2006/relationships/hyperlink" Target="https://www.state.gov/e/eb/ifd/oma/235938.htm" TargetMode="External"/><Relationship Id="rId80" Type="http://schemas.openxmlformats.org/officeDocument/2006/relationships/hyperlink" Target="https://twitter.com/MompAfg/status/960872205914640384" TargetMode="External"/><Relationship Id="rId85" Type="http://schemas.openxmlformats.org/officeDocument/2006/relationships/hyperlink" Target="http://aeiti.af/en/news/csos-election-to-introduce-members-to-aeiti-msg" TargetMode="External"/><Relationship Id="rId150" Type="http://schemas.openxmlformats.org/officeDocument/2006/relationships/hyperlink" Target="http://aeiti.af/Content/Media/Documents/WorkshopforExtractiveIndustries2014192201724621107553325325.pdf" TargetMode="External"/><Relationship Id="rId155" Type="http://schemas.openxmlformats.org/officeDocument/2006/relationships/hyperlink" Target="http://aeiti.af/en/video" TargetMode="External"/><Relationship Id="rId171" Type="http://schemas.openxmlformats.org/officeDocument/2006/relationships/hyperlink" Target="http://aeiti.af/Content/Media/Documents/2016Mid-YearPerformanceTrackingReport7620171147779553325325.pdf" TargetMode="External"/><Relationship Id="rId12" Type="http://schemas.openxmlformats.org/officeDocument/2006/relationships/hyperlink" Target="http://mom.gov.af/Content/files/10%20reasons-10pg-4.pdf" TargetMode="External"/><Relationship Id="rId17" Type="http://schemas.openxmlformats.org/officeDocument/2006/relationships/hyperlink" Target="https://www.sigar.mil/pdf/audits/SIGAR-15-55-AR.pdf" TargetMode="External"/><Relationship Id="rId33" Type="http://schemas.openxmlformats.org/officeDocument/2006/relationships/hyperlink" Target="https://eiti.org/news/afghan-president-sets-out-his-mining-agenda" TargetMode="External"/><Relationship Id="rId38" Type="http://schemas.openxmlformats.org/officeDocument/2006/relationships/hyperlink" Target="http://mof.gov.af/Content/files/SOM%20main%20paper%20with%20annexs%20final%203%20sep2015(1).pdf" TargetMode="External"/><Relationship Id="rId59" Type="http://schemas.openxmlformats.org/officeDocument/2006/relationships/hyperlink" Target="http://ngo.gov.af/english" TargetMode="External"/><Relationship Id="rId103" Type="http://schemas.openxmlformats.org/officeDocument/2006/relationships/hyperlink" Target="http://mom.gov.af/Content/files/Policies/English/English_Coal_Policy.pdf" TargetMode="External"/><Relationship Id="rId108" Type="http://schemas.openxmlformats.org/officeDocument/2006/relationships/hyperlink" Target="https://www.imf.org/en/News/Articles/2016/07/21/15/07/NA072216-IMF-Loan-for-Afghanistan-to-support-Inclusive-Growth" TargetMode="External"/><Relationship Id="rId124" Type="http://schemas.openxmlformats.org/officeDocument/2006/relationships/hyperlink" Target="https://www.sigar.mil/pdf/special%20projects/SIGAR-16-2-SP.pdf" TargetMode="External"/><Relationship Id="rId129" Type="http://schemas.openxmlformats.org/officeDocument/2006/relationships/hyperlink" Target="http://aeiti.af/Content/Media/Documents/Letter-MWA-GW-re-5th-AEITI(1)75201715155205553325325.pdf" TargetMode="External"/><Relationship Id="rId54" Type="http://schemas.openxmlformats.org/officeDocument/2006/relationships/hyperlink" Target="http://moic.gov.af/en/news/57147" TargetMode="External"/><Relationship Id="rId70" Type="http://schemas.openxmlformats.org/officeDocument/2006/relationships/hyperlink" Target="http://www.af.boell.org/" TargetMode="External"/><Relationship Id="rId75" Type="http://schemas.openxmlformats.org/officeDocument/2006/relationships/hyperlink" Target="https://www.pajhwok.com/en/2017/05/04/govt-unable-safeguard-mining-revenue-warns-mwa" TargetMode="External"/><Relationship Id="rId91" Type="http://schemas.openxmlformats.org/officeDocument/2006/relationships/hyperlink" Target="https://www.usip.org/sites/default/files/2017-05/sr404-industrial-scale-looting-of-afghanistan-s-mineral-resources.pdf" TargetMode="External"/><Relationship Id="rId96" Type="http://schemas.openxmlformats.org/officeDocument/2006/relationships/hyperlink" Target="http://mom.gov.af/Content/files/Hydrocarbone%20Contracts/MOM_Amu_Darya_Process_and_Transparency_Review.pdf" TargetMode="External"/><Relationship Id="rId140" Type="http://schemas.openxmlformats.org/officeDocument/2006/relationships/hyperlink" Target="http://www.budgetmof.gov.af/index.php/en/" TargetMode="External"/><Relationship Id="rId145" Type="http://schemas.openxmlformats.org/officeDocument/2006/relationships/hyperlink" Target="http://aeiti.af/en/documents/category/summary-reports" TargetMode="External"/><Relationship Id="rId161" Type="http://schemas.openxmlformats.org/officeDocument/2006/relationships/hyperlink" Target="http://aeiti.af/en/documents/category/aeiti-docs" TargetMode="External"/><Relationship Id="rId166" Type="http://schemas.openxmlformats.org/officeDocument/2006/relationships/hyperlink" Target="http://aeiti.af/en/news/53" TargetMode="External"/><Relationship Id="rId1" Type="http://schemas.openxmlformats.org/officeDocument/2006/relationships/hyperlink" Target="https://eiti.org/BD/2016-18" TargetMode="External"/><Relationship Id="rId6" Type="http://schemas.openxmlformats.org/officeDocument/2006/relationships/hyperlink" Target="https://data.worldbank.org/" TargetMode="External"/><Relationship Id="rId15" Type="http://schemas.openxmlformats.org/officeDocument/2006/relationships/hyperlink" Target="https://www.usip.org/sites/default/files/2017-07/pb226-illegal-extraction-of-minerals-as-a-driver-of-conflict-in-afghanistan.pdf" TargetMode="External"/><Relationship Id="rId23" Type="http://schemas.openxmlformats.org/officeDocument/2006/relationships/hyperlink" Target="http://mom.gov.af/Content/files/The%20Hajigak%20Iron%20Ore%20Deposit.pdf" TargetMode="External"/><Relationship Id="rId28" Type="http://schemas.openxmlformats.org/officeDocument/2006/relationships/hyperlink" Target="https://eiti.org/validation" TargetMode="External"/><Relationship Id="rId36" Type="http://schemas.openxmlformats.org/officeDocument/2006/relationships/hyperlink" Target="http://www.aeiti.af/en/page/govt-sector" TargetMode="External"/><Relationship Id="rId49" Type="http://schemas.openxmlformats.org/officeDocument/2006/relationships/hyperlink" Target="https://freedomhouse.org/report/freedom-press/2017/afghanistan" TargetMode="External"/><Relationship Id="rId57" Type="http://schemas.openxmlformats.org/officeDocument/2006/relationships/hyperlink" Target="http://ngo.gov.af/415/ngos-law" TargetMode="External"/><Relationship Id="rId106" Type="http://schemas.openxmlformats.org/officeDocument/2006/relationships/hyperlink" Target="https://www.acbrip.gov.af/companyverification/" TargetMode="External"/><Relationship Id="rId114" Type="http://schemas.openxmlformats.org/officeDocument/2006/relationships/hyperlink" Target="http://pdf.usaid.gov/pdf_docs/PA00MM5C.pdf" TargetMode="External"/><Relationship Id="rId119" Type="http://schemas.openxmlformats.org/officeDocument/2006/relationships/hyperlink" Target="http://www.fbr.gov.pk/TradeStatistics/COUNTRYWISE_DTL411.aspx?id=Afghanistan" TargetMode="External"/><Relationship Id="rId127" Type="http://schemas.openxmlformats.org/officeDocument/2006/relationships/hyperlink" Target="http://www.dtic.mil/dtic/tr/fulltext/u2/a622280.pdf" TargetMode="External"/><Relationship Id="rId10" Type="http://schemas.openxmlformats.org/officeDocument/2006/relationships/hyperlink" Target="http://mom.gov.af/Content/files/10%20reasons-10pg-4.pdf" TargetMode="External"/><Relationship Id="rId31" Type="http://schemas.openxmlformats.org/officeDocument/2006/relationships/hyperlink" Target="http://afghanistan-un.org/2010/01/afghan-leadership-regional-cooperation-international-partnership/" TargetMode="External"/><Relationship Id="rId44" Type="http://schemas.openxmlformats.org/officeDocument/2006/relationships/hyperlink" Target="http://www.unesco.org/new/en/kabul/education/enhancement-of-literacy-in-afghanistan-ela-program/" TargetMode="External"/><Relationship Id="rId52" Type="http://schemas.openxmlformats.org/officeDocument/2006/relationships/hyperlink" Target="http://ajsc.af/six-month-report-jan-june-2017-afghanistan-a-dangerous-country-for-journalists-and-media/" TargetMode="External"/><Relationship Id="rId60" Type="http://schemas.openxmlformats.org/officeDocument/2006/relationships/hyperlink" Target="http://moj.gov.af/Content/files/jamiats_3053.pdf" TargetMode="External"/><Relationship Id="rId65" Type="http://schemas.openxmlformats.org/officeDocument/2006/relationships/hyperlink" Target="https://brage.bibsys.no/xmlui/bitstream/handle/11250/2475150/Review%20of%20Norwegian%20development%20assistance%20to%20Afghanistan%202011%E2%80%932014?sequence=1" TargetMode="External"/><Relationship Id="rId73" Type="http://schemas.openxmlformats.org/officeDocument/2006/relationships/hyperlink" Target="http://aeiti.af/Content/Media/Documents/Letter-MWA-GW-re-5th-AEITI(1)75201715155205553325325.pdf" TargetMode="External"/><Relationship Id="rId78" Type="http://schemas.openxmlformats.org/officeDocument/2006/relationships/hyperlink" Target="https://iwaweb.org/wp-content/uploads/2017/03/Amendment-to-mining-law.pdf" TargetMode="External"/><Relationship Id="rId81" Type="http://schemas.openxmlformats.org/officeDocument/2006/relationships/hyperlink" Target="http://aeiti.af/Content/Media/Documents/1394948558120420157478410553325325.pdf" TargetMode="External"/><Relationship Id="rId86" Type="http://schemas.openxmlformats.org/officeDocument/2006/relationships/hyperlink" Target="http://aeiti.af/en/news/33" TargetMode="External"/><Relationship Id="rId94" Type="http://schemas.openxmlformats.org/officeDocument/2006/relationships/hyperlink" Target="https://s3.amazonaws.com/rgi-documents/5d6be75be025f046421581eb24535dfc512ff039.pdf" TargetMode="External"/><Relationship Id="rId99" Type="http://schemas.openxmlformats.org/officeDocument/2006/relationships/hyperlink" Target="http://mom.gov.af/en/page/7064" TargetMode="External"/><Relationship Id="rId101" Type="http://schemas.openxmlformats.org/officeDocument/2006/relationships/hyperlink" Target="https://afghanistan.revenuedev.org/dashboard" TargetMode="External"/><Relationship Id="rId122" Type="http://schemas.openxmlformats.org/officeDocument/2006/relationships/hyperlink" Target="http://www.imf.org/~/media/Files/Publications/CR/2017/cr17377.ashx" TargetMode="External"/><Relationship Id="rId130" Type="http://schemas.openxmlformats.org/officeDocument/2006/relationships/hyperlink" Target="https://eiti.org/BD/2017-17" TargetMode="External"/><Relationship Id="rId135" Type="http://schemas.openxmlformats.org/officeDocument/2006/relationships/hyperlink" Target="http://aeiti.af/en/tender/request-for-expressions-of-interest" TargetMode="External"/><Relationship Id="rId143" Type="http://schemas.openxmlformats.org/officeDocument/2006/relationships/hyperlink" Target="https://www.imf.org/external/pubs/ft/scr/2016/cr16120.pdf" TargetMode="External"/><Relationship Id="rId148" Type="http://schemas.openxmlformats.org/officeDocument/2006/relationships/hyperlink" Target="http://aeiti.af/en/news/the-5th-report-was-shared-with-members-of-csos-private-sectore-and-publics" TargetMode="External"/><Relationship Id="rId151" Type="http://schemas.openxmlformats.org/officeDocument/2006/relationships/hyperlink" Target="http://aeiti.af/Content/Media/Documents/ReportonMoMPandMoFTraining,August2014192201724528368553325325.pdf" TargetMode="External"/><Relationship Id="rId156" Type="http://schemas.openxmlformats.org/officeDocument/2006/relationships/hyperlink" Target="https://www.pajhwok.com/en/2017/05/13/afghanistan-extractive-industries-transparency-initiative-aeiti-pre-assessment-kabul" TargetMode="External"/><Relationship Id="rId164" Type="http://schemas.openxmlformats.org/officeDocument/2006/relationships/hyperlink" Target="https://www.youtube.com/watch?v=EzRiIvAbByQ&amp;feature=youtu.be" TargetMode="External"/><Relationship Id="rId169" Type="http://schemas.openxmlformats.org/officeDocument/2006/relationships/hyperlink" Target="http://www.imf.org/~/media/Files/Publications/CR/2017/cr17377.ashx" TargetMode="External"/><Relationship Id="rId4" Type="http://schemas.openxmlformats.org/officeDocument/2006/relationships/hyperlink" Target="https://beta.eiti.org/document/validation-guide" TargetMode="External"/><Relationship Id="rId9" Type="http://schemas.openxmlformats.org/officeDocument/2006/relationships/hyperlink" Target="https://www.usip.org/sites/default/files/SR358-Afghanistan-s-Emerging-Mining-Oligarchy.pdf" TargetMode="External"/><Relationship Id="rId13" Type="http://schemas.openxmlformats.org/officeDocument/2006/relationships/hyperlink" Target="https://www.globalwitness.org/en/press-releases/afghanistans-famous-lapis-mines-funding-taliban-and-armed-groups-new-investigation-shows/" TargetMode="External"/><Relationship Id="rId18" Type="http://schemas.openxmlformats.org/officeDocument/2006/relationships/hyperlink" Target="https://www.globalwitness.org/en-gb/campaigns/conflict-minerals/war-treasury-people-afghanistan-lapis-lazuli-and-battle-mineral-wealth/" TargetMode="External"/><Relationship Id="rId39" Type="http://schemas.openxmlformats.org/officeDocument/2006/relationships/hyperlink" Target="https://president.gov.af/en/news/president-ghani-state-building-is-impossible-without-civil-society/" TargetMode="External"/><Relationship Id="rId109" Type="http://schemas.openxmlformats.org/officeDocument/2006/relationships/hyperlink" Target="https://iwaweb.org/wp-content/uploads/2015/09/Policy-Brief-Extractives-for-sustainable-development-in-Afghanistan.pdf" TargetMode="External"/><Relationship Id="rId34" Type="http://schemas.openxmlformats.org/officeDocument/2006/relationships/hyperlink" Target="https://eiti.org/news/president-ghani-puts-mining-reform-at-heart-of-governments-anticorruption-efforts" TargetMode="External"/><Relationship Id="rId50" Type="http://schemas.openxmlformats.org/officeDocument/2006/relationships/hyperlink" Target="http://www.state.gov/j/drl/rls/hrrpt/humanrightsreport/index.htm?year=2015&amp;dlid=252957" TargetMode="External"/><Relationship Id="rId55" Type="http://schemas.openxmlformats.org/officeDocument/2006/relationships/hyperlink" Target="https://www.justice.gov/eoir/page/file/1023176/download" TargetMode="External"/><Relationship Id="rId76" Type="http://schemas.openxmlformats.org/officeDocument/2006/relationships/hyperlink" Target="https://iwaweb.org/afghan-government-unable-to-provide-basic-management-of-mining-revenues-says-civil-society/" TargetMode="External"/><Relationship Id="rId97" Type="http://schemas.openxmlformats.org/officeDocument/2006/relationships/hyperlink" Target="https://afghanistan.cr.usgs.gov/flexviewer/" TargetMode="External"/><Relationship Id="rId104" Type="http://schemas.openxmlformats.org/officeDocument/2006/relationships/hyperlink" Target="http://www.resourcecontracts.org/search?q=afghanistan" TargetMode="External"/><Relationship Id="rId120" Type="http://schemas.openxmlformats.org/officeDocument/2006/relationships/hyperlink" Target="http://www.mec.af/files/2017_05_09_mof_ac_review_report_english.pdf" TargetMode="External"/><Relationship Id="rId125" Type="http://schemas.openxmlformats.org/officeDocument/2006/relationships/hyperlink" Target="http://documents.worldbank.org/curated/en/531871480603485128/pdf/1480603483585-0000A8056-ITM00184-P159402-12-01-2016-1480603482616.pdf" TargetMode="External"/><Relationship Id="rId141" Type="http://schemas.openxmlformats.org/officeDocument/2006/relationships/hyperlink" Target="http://documents.worldbank.org/curated/en/393331467989442762/PAD1710-PJPR-PUBLIC-Project-Paper-Document-Disclosable-Version-P150632-2016-02-16-12-46.docx" TargetMode="External"/><Relationship Id="rId146" Type="http://schemas.openxmlformats.org/officeDocument/2006/relationships/hyperlink" Target="http://aeiti.af/en/documents/category/aeiti-docs?page=1" TargetMode="External"/><Relationship Id="rId167" Type="http://schemas.openxmlformats.org/officeDocument/2006/relationships/hyperlink" Target="http://samuelhall.org/wp-content/uploads/2017/10/Shaping-Afghanistans-Natural-Resources-Strategy.pdf" TargetMode="External"/><Relationship Id="rId7" Type="http://schemas.openxmlformats.org/officeDocument/2006/relationships/hyperlink" Target="http://mom.gov.af/Content/files/10%20reasons-10pg-4.pdf" TargetMode="External"/><Relationship Id="rId71" Type="http://schemas.openxmlformats.org/officeDocument/2006/relationships/hyperlink" Target="https://5clpp.com/2017/11/08/threats-to-freedom-of-expression-in-afghanistan/" TargetMode="External"/><Relationship Id="rId92" Type="http://schemas.openxmlformats.org/officeDocument/2006/relationships/hyperlink" Target="https://www.sigar.mil/pdf/audits/SIGAR-16-11-AR.pdf" TargetMode="External"/><Relationship Id="rId162" Type="http://schemas.openxmlformats.org/officeDocument/2006/relationships/hyperlink" Target="http://aeiti.af/Content/Media/Documents/4thReconciliationReportSummary192201721615849553325325.PDF" TargetMode="External"/><Relationship Id="rId2" Type="http://schemas.openxmlformats.org/officeDocument/2006/relationships/hyperlink" Target="https://eiti.org/board-decisions" TargetMode="External"/><Relationship Id="rId29" Type="http://schemas.openxmlformats.org/officeDocument/2006/relationships/hyperlink" Target="https://eiti.org/sites/default/files/documents/2013_afghanistan_validation_report.pdf" TargetMode="External"/><Relationship Id="rId24" Type="http://schemas.openxmlformats.org/officeDocument/2006/relationships/hyperlink" Target="http://samuelhall.org/wp-content/uploads/2013/05/Natural-Resources-Strategy-for-Afghanistan.pdf" TargetMode="External"/><Relationship Id="rId40" Type="http://schemas.openxmlformats.org/officeDocument/2006/relationships/hyperlink" Target="http://foreignpolicy.com/2012/08/16/can-civil-society-save-afghanistan/" TargetMode="External"/><Relationship Id="rId45" Type="http://schemas.openxmlformats.org/officeDocument/2006/relationships/hyperlink" Target="http://politicalcritique.org/world/2017/civil-society-afghanistan/" TargetMode="External"/><Relationship Id="rId66" Type="http://schemas.openxmlformats.org/officeDocument/2006/relationships/hyperlink" Target="https://www.globalwitness.org/en/press-releases/integrity-watch-afghanistan-and-global-witness-parliaments-rejection-acting-minister-mines-prolongs-theft-afghanistans-natural-resources/" TargetMode="External"/><Relationship Id="rId87" Type="http://schemas.openxmlformats.org/officeDocument/2006/relationships/hyperlink" Target="http://aeiti.af/en/news/secretariats-work-plan-discussed-by-msg-members" TargetMode="External"/><Relationship Id="rId110" Type="http://schemas.openxmlformats.org/officeDocument/2006/relationships/hyperlink" Target="https://eiti.org/sites/default/files/documents/2012-2013_afghanistan_eiti_report_appendices.pdf" TargetMode="External"/><Relationship Id="rId115" Type="http://schemas.openxmlformats.org/officeDocument/2006/relationships/hyperlink" Target="http://mom.gov.af/Content/files/UNICON_NCE_WB_present_DRAFT_03.pdf" TargetMode="External"/><Relationship Id="rId131" Type="http://schemas.openxmlformats.org/officeDocument/2006/relationships/hyperlink" Target="https://eiti.org/publishers/afghanistan-eiti" TargetMode="External"/><Relationship Id="rId136" Type="http://schemas.openxmlformats.org/officeDocument/2006/relationships/hyperlink" Target="http://aeiti.af/en/documents/category/minutes-2015-2017" TargetMode="External"/><Relationship Id="rId157" Type="http://schemas.openxmlformats.org/officeDocument/2006/relationships/hyperlink" Target="http://miningwatch.af/?page_id=347" TargetMode="External"/><Relationship Id="rId61" Type="http://schemas.openxmlformats.org/officeDocument/2006/relationships/hyperlink" Target="http://www.icnl.org/research/monitor/afghanistan.html" TargetMode="External"/><Relationship Id="rId82" Type="http://schemas.openxmlformats.org/officeDocument/2006/relationships/hyperlink" Target="http://www.aeiti.af/en/page/govt-sector" TargetMode="External"/><Relationship Id="rId152" Type="http://schemas.openxmlformats.org/officeDocument/2006/relationships/hyperlink" Target="http://aeiti.af/en/documents/category/provincial-and-outreach-reports" TargetMode="External"/><Relationship Id="rId19" Type="http://schemas.openxmlformats.org/officeDocument/2006/relationships/hyperlink" Target="https://eiti.org/sites/default/files/documents/5threconciliationfinalreport_1393-1394_2105201744057225553325325.pdf" TargetMode="External"/><Relationship Id="rId14" Type="http://schemas.openxmlformats.org/officeDocument/2006/relationships/hyperlink" Target="https://eiti.org/sites/default/files/documents/2012-2013_afghanistan_eiti_report_appendices.pdf" TargetMode="External"/><Relationship Id="rId30" Type="http://schemas.openxmlformats.org/officeDocument/2006/relationships/hyperlink" Target="http://mof.gov.af/Content/files/TMAF_SOM_Report_Final_English.pdf" TargetMode="External"/><Relationship Id="rId35" Type="http://schemas.openxmlformats.org/officeDocument/2006/relationships/hyperlink" Target="https://eiti.org/news/second-wind-for-afghanistans-mining-sector" TargetMode="External"/><Relationship Id="rId56" Type="http://schemas.openxmlformats.org/officeDocument/2006/relationships/hyperlink" Target="http://afghanistantimes.af/media-censorship-increased-in-afghanistan-nai/" TargetMode="External"/><Relationship Id="rId77" Type="http://schemas.openxmlformats.org/officeDocument/2006/relationships/hyperlink" Target="https://www.globalwitness.org/documents/18344/Policy_Brief_-_SMAF_and_the_extractive_industries_in_Afghanistan_February_2016.pdf" TargetMode="External"/><Relationship Id="rId100" Type="http://schemas.openxmlformats.org/officeDocument/2006/relationships/hyperlink" Target="https://sdnrp-mining.gaf.de/all-licenses" TargetMode="External"/><Relationship Id="rId105" Type="http://schemas.openxmlformats.org/officeDocument/2006/relationships/hyperlink" Target="http://aeiti.af/en/documents/category/aeiti-docs" TargetMode="External"/><Relationship Id="rId126" Type="http://schemas.openxmlformats.org/officeDocument/2006/relationships/hyperlink" Target="https://www.adb.org/sites/default/files/project-document/63658/42533-012-afg-tacr.pdf" TargetMode="External"/><Relationship Id="rId147" Type="http://schemas.openxmlformats.org/officeDocument/2006/relationships/hyperlink" Target="http://aeiti.af/en/news/aeitis-5th-reconciliation-report-was-shared-with-government-officials-and-civil-society-members-in-kandahar-province" TargetMode="External"/><Relationship Id="rId168" Type="http://schemas.openxmlformats.org/officeDocument/2006/relationships/hyperlink" Target="http://mfa.gov.af/Content/Media/Documents/agreed_smaf_smart_deliverables_final26102016113033613553325325.pdf" TargetMode="External"/><Relationship Id="rId8" Type="http://schemas.openxmlformats.org/officeDocument/2006/relationships/hyperlink" Target="https://www.brookings.edu/wp-content/uploads/2016/06/China-Buys-into-Afghanistan-Erica-Downs.pdf" TargetMode="External"/><Relationship Id="rId51" Type="http://schemas.openxmlformats.org/officeDocument/2006/relationships/hyperlink" Target="https://www.reuters.com/article/us-afghanistan-journalists/afghan-journalists-face-more-threats-as-violence-spreads-idUSKBN1531T7" TargetMode="External"/><Relationship Id="rId72" Type="http://schemas.openxmlformats.org/officeDocument/2006/relationships/hyperlink" Target="http://www.eisourcebook.org/cms/March_2013/Afghanistan%20EITI%20Shadow%20Validation%20Report.pdf" TargetMode="External"/><Relationship Id="rId93" Type="http://schemas.openxmlformats.org/officeDocument/2006/relationships/hyperlink" Target="https://www.globalwitness.org/en-gb/archive/gaps-new-afghan-mining-law-pose-threat-stability/" TargetMode="External"/><Relationship Id="rId98" Type="http://schemas.openxmlformats.org/officeDocument/2006/relationships/hyperlink" Target="https://emcplus.gaf.de/countries/7" TargetMode="External"/><Relationship Id="rId121" Type="http://schemas.openxmlformats.org/officeDocument/2006/relationships/hyperlink" Target="http://aeiti.af/en/documents/93" TargetMode="External"/><Relationship Id="rId142" Type="http://schemas.openxmlformats.org/officeDocument/2006/relationships/hyperlink" Target="https://pefa.org/sites/default/files/assements/comments/AF-Aug13-PFMPR-Public.pdf" TargetMode="External"/><Relationship Id="rId163" Type="http://schemas.openxmlformats.org/officeDocument/2006/relationships/hyperlink" Target="http://aeiti.af/Content/Media/Documents/AEITI4thReportinInfographics(English)24201722534338553325325.pdf" TargetMode="External"/><Relationship Id="rId3" Type="http://schemas.openxmlformats.org/officeDocument/2006/relationships/hyperlink" Target="https://beta.eiti.org/document/validation-procedures" TargetMode="External"/><Relationship Id="rId25" Type="http://schemas.openxmlformats.org/officeDocument/2006/relationships/hyperlink" Target="https://www.oecd.org/aidfortrade/casestories/casestories-2017/CS-61-NTP-MIP-Chabahar-port-New-transit-gateway-for-Afghanistan.pdf" TargetMode="External"/><Relationship Id="rId46" Type="http://schemas.openxmlformats.org/officeDocument/2006/relationships/hyperlink" Target="https://www.state.gov/j/drl/rls/hrrpt/humanrightsreport/index.htm" TargetMode="External"/><Relationship Id="rId67" Type="http://schemas.openxmlformats.org/officeDocument/2006/relationships/hyperlink" Target="https://iwaweb.org/mining-watch-afghanistan-weak-management-and-leadership-of-the-extractive-industry-leadership-in-afghanistan-causes-corruption-in-the-sector/" TargetMode="External"/><Relationship Id="rId116" Type="http://schemas.openxmlformats.org/officeDocument/2006/relationships/hyperlink" Target="http://mom.gov.af/Content/files/State%20Owned%20Enterprise%20Law.pdf" TargetMode="External"/><Relationship Id="rId137" Type="http://schemas.openxmlformats.org/officeDocument/2006/relationships/hyperlink" Target="https://eiti.org/afghanistan" TargetMode="External"/><Relationship Id="rId158" Type="http://schemas.openxmlformats.org/officeDocument/2006/relationships/hyperlink" Target="https://eiti.org/document/afghanistan-open-data-policy" TargetMode="External"/><Relationship Id="rId20" Type="http://schemas.openxmlformats.org/officeDocument/2006/relationships/hyperlink" Target="http://aeiti.af/Content/Media/Documents/AEITIAnnualProgressReport201619220171551887553325325.pdf" TargetMode="External"/><Relationship Id="rId41" Type="http://schemas.openxmlformats.org/officeDocument/2006/relationships/hyperlink" Target="http://www.afghanistan.no/English/Our_Work/Civil_society/Civil_society_contributes_to_development/index.html" TargetMode="External"/><Relationship Id="rId62" Type="http://schemas.openxmlformats.org/officeDocument/2006/relationships/hyperlink" Target="http://www.icnl.org/research/monitor/afghanistan.html" TargetMode="External"/><Relationship Id="rId83" Type="http://schemas.openxmlformats.org/officeDocument/2006/relationships/hyperlink" Target="http://aeiti.af/en/news/csos-election-to-introduce-members-to-aeiti-msg" TargetMode="External"/><Relationship Id="rId88" Type="http://schemas.openxmlformats.org/officeDocument/2006/relationships/hyperlink" Target="https://eiti.org/sites/default/files/documents/5threconciliationfinalreport_1393-1394_2105201744057225553325325.pdf" TargetMode="External"/><Relationship Id="rId111" Type="http://schemas.openxmlformats.org/officeDocument/2006/relationships/hyperlink" Target="http://aeiti.af/en/documents/category/minutes-2015-2017" TargetMode="External"/><Relationship Id="rId132" Type="http://schemas.openxmlformats.org/officeDocument/2006/relationships/hyperlink" Target="http://aeiti.af/en/documents/category/reconciliation-reports" TargetMode="External"/><Relationship Id="rId153" Type="http://schemas.openxmlformats.org/officeDocument/2006/relationships/hyperlink" Target="http://mof.gov.af/en/news/afghanistan-releases-third-eiti-reconciliation-repor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FDACE739233BB499185E9201691D117" ma:contentTypeVersion="45" ma:contentTypeDescription="Create a new document." ma:contentTypeScope="" ma:versionID="20182d0dbdd215c1e09bd485ed6324dc">
  <xsd:schema xmlns:xsd="http://www.w3.org/2001/XMLSchema" xmlns:xs="http://www.w3.org/2001/XMLSchema" xmlns:p="http://schemas.microsoft.com/office/2006/metadata/properties" targetNamespace="http://schemas.microsoft.com/office/2006/metadata/properties" ma:root="true" ma:fieldsID="074b5a4020cc0417531245af4bd9469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b:Source>
    <b:Tag>MSI</b:Tag>
    <b:SourceType>DocumentFromInternetSite</b:SourceType>
    <b:Guid>{6318B42E-FE54-AC46-827A-5D1A3C40926F}</b:Guid>
    <b:Title>Nigeria spreadsheet</b:Title>
    <b:Author>
      <b:Author>
        <b:Corporate>MSI Integrity</b:Corporate>
      </b:Author>
    </b:Author>
    <b:RefOrder>2</b:RefOrder>
  </b:Source>
  <b:Source>
    <b:Tag>EIT16</b:Tag>
    <b:SourceType>DocumentFromInternetSite</b:SourceType>
    <b:Guid>{C763165C-CB3E-CF41-962C-04F9D6AFC953}</b:Guid>
    <b:Title>EITI - About us - Secretariat</b:Title>
    <b:Year>2016</b:Year>
    <b:Author>
      <b:Author>
        <b:Corporate>EITI</b:Corporate>
      </b:Author>
    </b:Author>
    <b:InternetSiteTitle>EITI.org</b:InternetSiteTitle>
    <b:URL>https://eiti.org/about/Secretariat</b:URL>
    <b:Month>10</b:Month>
    <b:Day>06</b:Day>
    <b:RefOrder>1</b:RefOrder>
  </b:Source>
</b:Sources>
</file>

<file path=customXml/itemProps1.xml><?xml version="1.0" encoding="utf-8"?>
<ds:datastoreItem xmlns:ds="http://schemas.openxmlformats.org/officeDocument/2006/customXml" ds:itemID="{81FC52CC-9915-4DFA-BA63-F458D6173D0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3DD25E8-4C60-4792-B8CC-6B55FEB6ABCD}">
  <ds:schemaRefs>
    <ds:schemaRef ds:uri="http://schemas.microsoft.com/sharepoint/v3/contenttype/forms"/>
  </ds:schemaRefs>
</ds:datastoreItem>
</file>

<file path=customXml/itemProps3.xml><?xml version="1.0" encoding="utf-8"?>
<ds:datastoreItem xmlns:ds="http://schemas.openxmlformats.org/officeDocument/2006/customXml" ds:itemID="{17A0814F-AC8B-4122-B77C-5841A29F1E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6CCD9E7-B054-4A1B-9D48-2F69D4D0B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1005</TotalTime>
  <Pages>149</Pages>
  <Words>60332</Words>
  <Characters>343894</Characters>
  <Application>Microsoft Office Word</Application>
  <DocSecurity>0</DocSecurity>
  <Lines>2865</Lines>
  <Paragraphs>806</Paragraphs>
  <ScaleCrop>false</ScaleCrop>
  <HeadingPairs>
    <vt:vector size="2" baseType="variant">
      <vt:variant>
        <vt:lpstr>Title</vt:lpstr>
      </vt:variant>
      <vt:variant>
        <vt:i4>1</vt:i4>
      </vt:variant>
    </vt:vector>
  </HeadingPairs>
  <TitlesOfParts>
    <vt:vector size="1" baseType="lpstr">
      <vt:lpstr/>
    </vt:vector>
  </TitlesOfParts>
  <Company>Auswärtiges Amt</Company>
  <LinksUpToDate>false</LinksUpToDate>
  <CharactersWithSpaces>403420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EITI International Secretariat</dc:creator>
  <cp:keywords/>
  <dc:description/>
  <cp:lastModifiedBy>Javed Noorani</cp:lastModifiedBy>
  <cp:revision>3</cp:revision>
  <cp:lastPrinted>2018-04-20T14:59:00Z</cp:lastPrinted>
  <dcterms:created xsi:type="dcterms:W3CDTF">2018-08-28T07:13:00Z</dcterms:created>
  <dcterms:modified xsi:type="dcterms:W3CDTF">2018-08-30T00:44:00Z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0x0101004FDACE739233BB499185E9201691D117</vt:lpwstr>
  </property>
</Properties>
</file>