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C870B" w14:textId="12400504" w:rsidR="00056339" w:rsidRPr="005625E1" w:rsidRDefault="00056339" w:rsidP="00F12713">
      <w:pPr>
        <w:spacing w:after="0" w:line="240" w:lineRule="auto"/>
        <w:jc w:val="center"/>
        <w:rPr>
          <w:rFonts w:cstheme="minorHAnsi"/>
          <w:b/>
        </w:rPr>
      </w:pPr>
      <w:r w:rsidRPr="005625E1">
        <w:rPr>
          <w:rFonts w:cstheme="minorHAnsi"/>
          <w:b/>
        </w:rPr>
        <w:t xml:space="preserve">Validation of </w:t>
      </w:r>
      <w:r w:rsidR="00174A91">
        <w:rPr>
          <w:rFonts w:cstheme="minorHAnsi"/>
          <w:b/>
        </w:rPr>
        <w:t>Togo</w:t>
      </w:r>
    </w:p>
    <w:p w14:paraId="30323B62" w14:textId="38B61EF8" w:rsidR="00056339" w:rsidRPr="005625E1" w:rsidRDefault="00116C05" w:rsidP="00F12713">
      <w:pPr>
        <w:tabs>
          <w:tab w:val="left" w:pos="1890"/>
        </w:tabs>
        <w:spacing w:after="0" w:line="240" w:lineRule="auto"/>
        <w:jc w:val="center"/>
        <w:rPr>
          <w:rFonts w:cstheme="minorHAnsi"/>
        </w:rPr>
      </w:pPr>
      <w:r>
        <w:rPr>
          <w:rFonts w:cstheme="minorHAnsi"/>
        </w:rPr>
        <w:t xml:space="preserve">Draft </w:t>
      </w:r>
      <w:r w:rsidR="00056339" w:rsidRPr="005625E1">
        <w:rPr>
          <w:rFonts w:cstheme="minorHAnsi"/>
        </w:rPr>
        <w:t xml:space="preserve">Validation </w:t>
      </w:r>
      <w:r w:rsidR="0001315D" w:rsidRPr="005625E1">
        <w:rPr>
          <w:rFonts w:cstheme="minorHAnsi"/>
        </w:rPr>
        <w:t>Report</w:t>
      </w:r>
    </w:p>
    <w:p w14:paraId="7CE3F3AD" w14:textId="2E7299AA" w:rsidR="00056339" w:rsidRPr="005625E1" w:rsidRDefault="00A57147" w:rsidP="00F12713">
      <w:pPr>
        <w:spacing w:after="0" w:line="240" w:lineRule="auto"/>
        <w:jc w:val="center"/>
        <w:rPr>
          <w:rFonts w:cstheme="minorHAnsi"/>
        </w:rPr>
      </w:pPr>
      <w:r>
        <w:rPr>
          <w:rFonts w:cstheme="minorHAnsi"/>
        </w:rPr>
        <w:t xml:space="preserve">Adam Smith International </w:t>
      </w:r>
      <w:r w:rsidR="00555FC2" w:rsidRPr="005625E1">
        <w:rPr>
          <w:rFonts w:cstheme="minorHAnsi"/>
        </w:rPr>
        <w:t>Independent Validator</w:t>
      </w:r>
    </w:p>
    <w:p w14:paraId="649995B7" w14:textId="455E589D" w:rsidR="00056339" w:rsidRPr="005625E1" w:rsidRDefault="00BF777C" w:rsidP="00F12713">
      <w:pPr>
        <w:spacing w:after="0" w:line="240" w:lineRule="auto"/>
        <w:jc w:val="center"/>
        <w:rPr>
          <w:rFonts w:cstheme="minorHAnsi"/>
        </w:rPr>
      </w:pPr>
      <w:r>
        <w:rPr>
          <w:rFonts w:cstheme="minorHAnsi"/>
        </w:rPr>
        <w:t>8</w:t>
      </w:r>
      <w:r w:rsidRPr="00BF777C">
        <w:rPr>
          <w:rFonts w:cstheme="minorHAnsi"/>
          <w:vertAlign w:val="superscript"/>
        </w:rPr>
        <w:t>th</w:t>
      </w:r>
      <w:r>
        <w:rPr>
          <w:rFonts w:cstheme="minorHAnsi"/>
        </w:rPr>
        <w:t xml:space="preserve"> January 2017</w:t>
      </w:r>
    </w:p>
    <w:p w14:paraId="5DA4E47B" w14:textId="77777777" w:rsidR="00FD740D" w:rsidRDefault="00FD740D" w:rsidP="00FD740D">
      <w:pPr>
        <w:spacing w:after="0" w:line="240" w:lineRule="auto"/>
        <w:rPr>
          <w:rFonts w:cstheme="minorHAnsi"/>
        </w:rPr>
      </w:pPr>
    </w:p>
    <w:p w14:paraId="2292AB67" w14:textId="77777777" w:rsidR="00645AC4" w:rsidRDefault="00116C05" w:rsidP="00F12713">
      <w:pPr>
        <w:spacing w:after="0" w:line="240" w:lineRule="auto"/>
        <w:rPr>
          <w:rFonts w:cstheme="minorHAnsi"/>
          <w:b/>
          <w:color w:val="365F91" w:themeColor="accent1" w:themeShade="BF"/>
        </w:rPr>
      </w:pPr>
      <w:r w:rsidRPr="005625E1">
        <w:rPr>
          <w:rFonts w:cstheme="minorHAnsi"/>
          <w:b/>
          <w:color w:val="365F91" w:themeColor="accent1" w:themeShade="BF"/>
        </w:rPr>
        <w:t>1.</w:t>
      </w:r>
      <w:r w:rsidRPr="005625E1">
        <w:rPr>
          <w:rFonts w:cstheme="minorHAnsi"/>
          <w:b/>
          <w:color w:val="365F91" w:themeColor="accent1" w:themeShade="BF"/>
        </w:rPr>
        <w:tab/>
      </w:r>
      <w:r>
        <w:rPr>
          <w:rFonts w:cstheme="minorHAnsi"/>
          <w:b/>
          <w:color w:val="365F91" w:themeColor="accent1" w:themeShade="BF"/>
        </w:rPr>
        <w:t>EXECUTIVE SUMMARY</w:t>
      </w:r>
    </w:p>
    <w:p w14:paraId="6F283362" w14:textId="0A26EA48" w:rsidR="00174A91" w:rsidRPr="00174A91" w:rsidRDefault="00174A91" w:rsidP="008A3148">
      <w:pPr>
        <w:spacing w:before="240"/>
        <w:jc w:val="both"/>
        <w:rPr>
          <w:b/>
          <w:bCs/>
        </w:rPr>
      </w:pPr>
      <w:r w:rsidRPr="00A365F4">
        <w:t>T</w:t>
      </w:r>
      <w:r>
        <w:t>he Government of Togo</w:t>
      </w:r>
      <w:r w:rsidRPr="00A365F4">
        <w:t xml:space="preserve"> co</w:t>
      </w:r>
      <w:r>
        <w:t xml:space="preserve">mmitted to implement the EITI through an official launch on 14 December 2009. </w:t>
      </w:r>
      <w:r w:rsidRPr="00B90B7C">
        <w:t xml:space="preserve">The National Supervisory Council, the Steering Committee and the </w:t>
      </w:r>
      <w:r>
        <w:t>t</w:t>
      </w:r>
      <w:r w:rsidRPr="00B90B7C">
        <w:t xml:space="preserve">echnical </w:t>
      </w:r>
      <w:r>
        <w:t>s</w:t>
      </w:r>
      <w:r w:rsidRPr="00B90B7C">
        <w:t xml:space="preserve">ecretariat were created on 30 March 2010. </w:t>
      </w:r>
      <w:r>
        <w:t>In October 2010, t</w:t>
      </w:r>
      <w:r w:rsidRPr="000F507E">
        <w:t xml:space="preserve">he country was accepted as an EITI </w:t>
      </w:r>
      <w:r>
        <w:t>c</w:t>
      </w:r>
      <w:r w:rsidRPr="000F507E">
        <w:t>andidate</w:t>
      </w:r>
      <w:r>
        <w:t xml:space="preserve"> country. </w:t>
      </w:r>
    </w:p>
    <w:p w14:paraId="364EC90E" w14:textId="2D322CA3" w:rsidR="00645AC4" w:rsidRPr="00763429" w:rsidRDefault="00AF1E33" w:rsidP="008A3148">
      <w:pPr>
        <w:spacing w:after="0" w:line="240" w:lineRule="auto"/>
        <w:jc w:val="both"/>
        <w:rPr>
          <w:rFonts w:cstheme="minorHAnsi"/>
        </w:rPr>
      </w:pPr>
      <w:r>
        <w:rPr>
          <w:rFonts w:cstheme="minorHAnsi"/>
        </w:rPr>
        <w:t xml:space="preserve"> This draft validation report follows on from a</w:t>
      </w:r>
      <w:r w:rsidR="002939E2">
        <w:rPr>
          <w:rFonts w:cstheme="minorHAnsi"/>
        </w:rPr>
        <w:t xml:space="preserve"> quality assurance</w:t>
      </w:r>
      <w:r>
        <w:rPr>
          <w:rFonts w:cstheme="minorHAnsi"/>
        </w:rPr>
        <w:t xml:space="preserve"> review of the International Secretariat’s </w:t>
      </w:r>
      <w:r w:rsidR="002939E2">
        <w:rPr>
          <w:rFonts w:cstheme="minorHAnsi"/>
        </w:rPr>
        <w:t>initial assessment.  T</w:t>
      </w:r>
      <w:r w:rsidRPr="00AF1E33">
        <w:rPr>
          <w:rFonts w:cstheme="minorHAnsi"/>
        </w:rPr>
        <w:t xml:space="preserve">he </w:t>
      </w:r>
      <w:r w:rsidR="002939E2">
        <w:rPr>
          <w:rFonts w:cstheme="minorHAnsi"/>
        </w:rPr>
        <w:t xml:space="preserve">Validator </w:t>
      </w:r>
      <w:r w:rsidR="00174A91">
        <w:rPr>
          <w:rFonts w:cstheme="minorHAnsi"/>
        </w:rPr>
        <w:t xml:space="preserve">agrees with </w:t>
      </w:r>
      <w:r w:rsidR="00174A91" w:rsidRPr="0070682C">
        <w:rPr>
          <w:rFonts w:cstheme="minorHAnsi"/>
        </w:rPr>
        <w:t>the Secreta</w:t>
      </w:r>
      <w:r w:rsidR="00174A91">
        <w:rPr>
          <w:rFonts w:cstheme="minorHAnsi"/>
        </w:rPr>
        <w:t>riat’s preliminary assessment</w:t>
      </w:r>
      <w:r w:rsidR="00174A91" w:rsidRPr="0070682C">
        <w:rPr>
          <w:rFonts w:cstheme="minorHAnsi"/>
        </w:rPr>
        <w:t xml:space="preserve"> that requirements</w:t>
      </w:r>
      <w:r w:rsidR="00763429">
        <w:rPr>
          <w:rFonts w:cstheme="minorHAnsi"/>
        </w:rPr>
        <w:t xml:space="preserve"> 1.4, 1.5, 2.3, 2.4, 2.6, 4.3, 4.5, 5.2 and 7.4 </w:t>
      </w:r>
      <w:r w:rsidR="00174A91">
        <w:rPr>
          <w:rFonts w:cstheme="minorHAnsi"/>
        </w:rPr>
        <w:t>have not been fully addressed in Togo.</w:t>
      </w:r>
    </w:p>
    <w:p w14:paraId="0783FB4D" w14:textId="77777777" w:rsidR="00645AC4" w:rsidRDefault="00645AC4" w:rsidP="008A3148">
      <w:pPr>
        <w:spacing w:after="0" w:line="240" w:lineRule="auto"/>
        <w:jc w:val="both"/>
        <w:rPr>
          <w:rFonts w:cstheme="minorHAnsi"/>
          <w:b/>
          <w:color w:val="365F91" w:themeColor="accent1" w:themeShade="BF"/>
        </w:rPr>
      </w:pPr>
    </w:p>
    <w:p w14:paraId="07E1A5A0" w14:textId="6D4C6AF3" w:rsidR="00A20847" w:rsidRPr="005625E1" w:rsidRDefault="00645AC4" w:rsidP="00F12713">
      <w:pPr>
        <w:spacing w:after="0" w:line="240" w:lineRule="auto"/>
        <w:rPr>
          <w:rFonts w:cstheme="minorHAnsi"/>
          <w:b/>
          <w:color w:val="365F91" w:themeColor="accent1" w:themeShade="BF"/>
        </w:rPr>
      </w:pPr>
      <w:r>
        <w:rPr>
          <w:rFonts w:cstheme="minorHAnsi"/>
          <w:b/>
          <w:color w:val="365F91" w:themeColor="accent1" w:themeShade="BF"/>
        </w:rPr>
        <w:t>2.</w:t>
      </w:r>
      <w:r>
        <w:rPr>
          <w:rFonts w:cstheme="minorHAnsi"/>
          <w:b/>
          <w:color w:val="365F91" w:themeColor="accent1" w:themeShade="BF"/>
        </w:rPr>
        <w:tab/>
      </w:r>
      <w:r w:rsidR="00803CB3" w:rsidRPr="005625E1">
        <w:rPr>
          <w:rFonts w:cstheme="minorHAnsi"/>
          <w:b/>
          <w:color w:val="365F91" w:themeColor="accent1" w:themeShade="BF"/>
        </w:rPr>
        <w:t>BACKGROUND</w:t>
      </w:r>
    </w:p>
    <w:p w14:paraId="1B0CD6D6" w14:textId="77777777" w:rsidR="00174A91" w:rsidRDefault="00174A91" w:rsidP="008A3148">
      <w:pPr>
        <w:spacing w:before="240"/>
        <w:jc w:val="both"/>
      </w:pPr>
      <w:r w:rsidRPr="00F61F36">
        <w:t xml:space="preserve">Togo is a Sub-Saharan West African country </w:t>
      </w:r>
      <w:r>
        <w:t>with</w:t>
      </w:r>
      <w:r w:rsidRPr="00F61F36">
        <w:t xml:space="preserve"> an estimated population of 7.3</w:t>
      </w:r>
      <w:r>
        <w:t xml:space="preserve"> million inhabitants</w:t>
      </w:r>
      <w:r>
        <w:rPr>
          <w:rStyle w:val="FootnoteReference"/>
          <w:rFonts w:ascii="Calibri" w:hAnsi="Calibri"/>
          <w:b/>
          <w:bCs/>
        </w:rPr>
        <w:footnoteReference w:id="1"/>
      </w:r>
      <w:r>
        <w:t xml:space="preserve">. </w:t>
      </w:r>
      <w:r w:rsidRPr="00F61F36">
        <w:t>T</w:t>
      </w:r>
      <w:r>
        <w:t xml:space="preserve">he </w:t>
      </w:r>
      <w:r w:rsidRPr="00F61F36">
        <w:t xml:space="preserve">recent economic performance has been relatively robust: </w:t>
      </w:r>
      <w:r>
        <w:t>gross domestic product (</w:t>
      </w:r>
      <w:r w:rsidRPr="00F61F36">
        <w:t>GDP</w:t>
      </w:r>
      <w:r>
        <w:t>)</w:t>
      </w:r>
      <w:r w:rsidRPr="00F61F36">
        <w:t xml:space="preserve"> growth has averaged approximately 5%</w:t>
      </w:r>
      <w:r>
        <w:t xml:space="preserve"> </w:t>
      </w:r>
      <w:r w:rsidRPr="00F61F36">
        <w:t xml:space="preserve">over the </w:t>
      </w:r>
      <w:r>
        <w:t>period 2014-2016</w:t>
      </w:r>
      <w:r w:rsidRPr="00F61F36">
        <w:t>. While Togo has been subject to negative shocks, including the impact of the economic slowdown in Nigeria and lower commodity prices for its main exports, such as phosphates and clinker, the government has pursued an ambitious public investment program</w:t>
      </w:r>
      <w:r>
        <w:t>me</w:t>
      </w:r>
      <w:r w:rsidRPr="00F61F36">
        <w:t xml:space="preserve"> that—in 2015/16—helped sustain aggregate demand.</w:t>
      </w:r>
      <w:r>
        <w:t xml:space="preserve"> </w:t>
      </w:r>
      <w:r w:rsidRPr="00F61F36">
        <w:t>The main drivers of economic growth have been agricultural production and the extractive industries, as well as trading activities.</w:t>
      </w:r>
      <w:r>
        <w:t xml:space="preserve"> According to statistics provided by the Ministry of the Economy and Finance, over the period 2013-2016, the extractive sector has contributed 0.2, -0.1, 0.6 and 0.0 to the country’s GDP.</w:t>
      </w:r>
    </w:p>
    <w:p w14:paraId="569AA216" w14:textId="77777777" w:rsidR="00174A91" w:rsidRPr="00F61F36" w:rsidRDefault="00174A91" w:rsidP="008A3148">
      <w:pPr>
        <w:jc w:val="both"/>
      </w:pPr>
      <w:r>
        <w:t>Togo</w:t>
      </w:r>
      <w:r w:rsidRPr="002730E2">
        <w:t xml:space="preserve"> is a producer of iron, phosphates, limestone, gravel and sand. Yet social conflicts around revenue redistribution to resource-rich communities and mine rehabilitations have been widespread.</w:t>
      </w:r>
      <w:r>
        <w:t xml:space="preserve"> </w:t>
      </w:r>
      <w:r w:rsidRPr="00F61F36">
        <w:t>T</w:t>
      </w:r>
      <w:r>
        <w:t>he country</w:t>
      </w:r>
      <w:r w:rsidRPr="00F61F36">
        <w:t xml:space="preserve"> has undergone significant development in mining since the German and</w:t>
      </w:r>
      <w:r>
        <w:t xml:space="preserve"> French colonial era</w:t>
      </w:r>
      <w:r>
        <w:rPr>
          <w:rStyle w:val="FootnoteReference"/>
          <w:rFonts w:ascii="Calibri" w:hAnsi="Calibri"/>
          <w:b/>
          <w:bCs/>
        </w:rPr>
        <w:footnoteReference w:id="2"/>
      </w:r>
      <w:r>
        <w:t>. M</w:t>
      </w:r>
      <w:r w:rsidRPr="00F61F36">
        <w:t>ining operation</w:t>
      </w:r>
      <w:r>
        <w:t>s</w:t>
      </w:r>
      <w:r w:rsidRPr="00F61F36">
        <w:t xml:space="preserve"> began in 1961 with the industrial exploitation of phosphate in the maritime region</w:t>
      </w:r>
      <w:r>
        <w:t>,</w:t>
      </w:r>
      <w:r w:rsidRPr="00F61F36">
        <w:t xml:space="preserve"> more</w:t>
      </w:r>
      <w:r>
        <w:t xml:space="preserve"> precisely, in Hahotoé. The phosphate sector</w:t>
      </w:r>
      <w:r w:rsidRPr="00F61F36">
        <w:t xml:space="preserve"> is operated by a single SNPT company in two mines at Hahotoé and Kpogame.</w:t>
      </w:r>
    </w:p>
    <w:p w14:paraId="054917BD" w14:textId="77777777" w:rsidR="00174A91" w:rsidRDefault="00174A91" w:rsidP="008A3148">
      <w:pPr>
        <w:jc w:val="both"/>
      </w:pPr>
      <w:r>
        <w:t xml:space="preserve">In 1975, industrial exploitation of limestone began in Tabligbo with the installation of a clinker-manufacturing plant. This deposit is currently divided between two companies: WACEM and Scantogo Mines for the production of clinker. In 2006, the government signed an agreement with MM Investment Holding Ltd for the exploitation, processing and commercialisation of iron ore, manganese, bauxite, chromite in the Nayéga perimeter. In 2010, the government granted a permit for the Pomar company to operate the Pagala marble mine in the Blittah region. </w:t>
      </w:r>
    </w:p>
    <w:p w14:paraId="602056CB" w14:textId="77777777" w:rsidR="00174A91" w:rsidRDefault="00174A91" w:rsidP="008A3148">
      <w:pPr>
        <w:jc w:val="both"/>
      </w:pPr>
      <w:r>
        <w:t>On 21 October 2010, the Government of Togo and ENI signed two sharing contracts for the exploration and production of hydrocarbons on the Oti1 and Kara offshore blocks located in the "Dahomey Basin". In June 2012, at the end of its first exploration phase, ENI confirmed that geological studies revealed the existence of black gold in the Oti 1 and Kara 1 blocks. Following a conflict arising from a renegotiation of the contract, ENI ceased operations on the two blocks mentioned above. The government has entered negotiations with other operators for the granting of these permits. However, no confirmation has been given concerning the status of these permits and any forfeiture of the concessions granted to ENI.</w:t>
      </w:r>
    </w:p>
    <w:p w14:paraId="53AE9F3C" w14:textId="77777777" w:rsidR="00174A91" w:rsidRDefault="00174A91" w:rsidP="008A3148">
      <w:pPr>
        <w:jc w:val="both"/>
      </w:pPr>
      <w:r>
        <w:t>At present, there is no research or exploitation of hydrocarbons in Togo.</w:t>
      </w:r>
    </w:p>
    <w:p w14:paraId="6D1F9371" w14:textId="77777777" w:rsidR="00174A91" w:rsidRDefault="00174A91" w:rsidP="008A3148">
      <w:pPr>
        <w:jc w:val="both"/>
      </w:pPr>
      <w:r w:rsidRPr="00633F71">
        <w:lastRenderedPageBreak/>
        <w:t>To</w:t>
      </w:r>
      <w:r>
        <w:t>go is in the process of creating regulations for</w:t>
      </w:r>
      <w:r w:rsidRPr="00633F71">
        <w:t xml:space="preserve"> its </w:t>
      </w:r>
      <w:r>
        <w:t>M</w:t>
      </w:r>
      <w:r w:rsidRPr="00633F71">
        <w:t xml:space="preserve">ining </w:t>
      </w:r>
      <w:r>
        <w:t>C</w:t>
      </w:r>
      <w:r w:rsidRPr="00633F71">
        <w:t>ode</w:t>
      </w:r>
      <w:r>
        <w:t>. These</w:t>
      </w:r>
      <w:r w:rsidRPr="00633F71">
        <w:t xml:space="preserve"> will include new provisions on local content, mandatory company payment declarations based on audited accounts and socio-economic work by companies in local communities. The government’s main priorities in the sector are linked to the World Bank’s development and mining governance project (PDGM). Over the period of </w:t>
      </w:r>
      <w:r>
        <w:t>five</w:t>
      </w:r>
      <w:r w:rsidRPr="00633F71">
        <w:t xml:space="preserve"> years, the country aims to moderni</w:t>
      </w:r>
      <w:r>
        <w:t>s</w:t>
      </w:r>
      <w:r w:rsidRPr="00633F71">
        <w:t>e its mining cadastre, institutionali</w:t>
      </w:r>
      <w:r>
        <w:t>s</w:t>
      </w:r>
      <w:r w:rsidRPr="00633F71">
        <w:t>e auditing of the sector and update the mining database.</w:t>
      </w:r>
    </w:p>
    <w:p w14:paraId="620C5795" w14:textId="6824331F" w:rsidR="00392B71" w:rsidRPr="005625E1" w:rsidRDefault="00EB73CC" w:rsidP="008A3148">
      <w:pPr>
        <w:spacing w:after="0" w:line="240" w:lineRule="auto"/>
        <w:jc w:val="both"/>
        <w:rPr>
          <w:rFonts w:cstheme="minorHAnsi"/>
        </w:rPr>
      </w:pPr>
      <w:r>
        <w:rPr>
          <w:rFonts w:cstheme="minorHAnsi"/>
        </w:rPr>
        <w:t>In line with</w:t>
      </w:r>
      <w:r w:rsidR="004D7FC9" w:rsidRPr="005625E1">
        <w:rPr>
          <w:rFonts w:cstheme="minorHAnsi"/>
        </w:rPr>
        <w:t xml:space="preserve"> the Validation Guide, the International Secretariat carried out the first phase of validation</w:t>
      </w:r>
      <w:r w:rsidR="00E746A6" w:rsidRPr="005625E1">
        <w:rPr>
          <w:rFonts w:cstheme="minorHAnsi"/>
        </w:rPr>
        <w:t>—</w:t>
      </w:r>
      <w:r w:rsidR="004D7FC9" w:rsidRPr="005625E1">
        <w:rPr>
          <w:rFonts w:cstheme="minorHAnsi"/>
        </w:rPr>
        <w:t xml:space="preserve">initial data collection, stakeholder consultations, and preparation of their initial evaluation of progress against the EITI requirements </w:t>
      </w:r>
      <w:r w:rsidR="00A57147">
        <w:rPr>
          <w:rFonts w:cstheme="minorHAnsi"/>
        </w:rPr>
        <w:t>(the “Initial Assessment”). Adam Smith International (ASI)</w:t>
      </w:r>
      <w:r w:rsidR="004D7FC9" w:rsidRPr="005625E1">
        <w:rPr>
          <w:rFonts w:cstheme="minorHAnsi"/>
        </w:rPr>
        <w:t xml:space="preserve"> was appointed as the independent Validator to evaluate whether the Secretariat’s work </w:t>
      </w:r>
      <w:r w:rsidR="003C7904" w:rsidRPr="005625E1">
        <w:rPr>
          <w:rFonts w:cstheme="minorHAnsi"/>
        </w:rPr>
        <w:t xml:space="preserve">was </w:t>
      </w:r>
      <w:r w:rsidR="004D7FC9" w:rsidRPr="005625E1">
        <w:rPr>
          <w:rFonts w:cstheme="minorHAnsi"/>
        </w:rPr>
        <w:t>carried out in accordance</w:t>
      </w:r>
      <w:r w:rsidR="00A57147">
        <w:rPr>
          <w:rFonts w:cstheme="minorHAnsi"/>
        </w:rPr>
        <w:t xml:space="preserve"> with the Validation Guide. ASI</w:t>
      </w:r>
      <w:r w:rsidR="003C7904" w:rsidRPr="005625E1">
        <w:rPr>
          <w:rFonts w:cstheme="minorHAnsi"/>
        </w:rPr>
        <w:t>’s</w:t>
      </w:r>
      <w:r w:rsidR="004D7FC9" w:rsidRPr="005625E1">
        <w:rPr>
          <w:rFonts w:cstheme="minorHAnsi"/>
        </w:rPr>
        <w:t xml:space="preserve"> </w:t>
      </w:r>
      <w:r w:rsidR="00783488" w:rsidRPr="005625E1">
        <w:rPr>
          <w:rFonts w:cstheme="minorHAnsi"/>
        </w:rPr>
        <w:t xml:space="preserve">principal responsibilities as Validator are to </w:t>
      </w:r>
      <w:r w:rsidR="004D7FC9" w:rsidRPr="005625E1">
        <w:rPr>
          <w:rFonts w:cstheme="minorHAnsi"/>
        </w:rPr>
        <w:t>review and amend the Initial Assessment, as needed, and</w:t>
      </w:r>
      <w:r w:rsidR="007D33F8" w:rsidRPr="005625E1">
        <w:rPr>
          <w:rFonts w:cstheme="minorHAnsi"/>
        </w:rPr>
        <w:t xml:space="preserve"> to</w:t>
      </w:r>
      <w:r w:rsidR="004D7FC9" w:rsidRPr="005625E1">
        <w:rPr>
          <w:rFonts w:cstheme="minorHAnsi"/>
        </w:rPr>
        <w:t xml:space="preserve"> summarize its independent review in </w:t>
      </w:r>
      <w:r w:rsidR="00783488" w:rsidRPr="005625E1">
        <w:rPr>
          <w:rFonts w:cstheme="minorHAnsi"/>
        </w:rPr>
        <w:t xml:space="preserve">this </w:t>
      </w:r>
      <w:r w:rsidR="004D7FC9" w:rsidRPr="005625E1">
        <w:rPr>
          <w:rFonts w:cstheme="minorHAnsi"/>
        </w:rPr>
        <w:t>Validation Report for submission to the Board</w:t>
      </w:r>
      <w:r w:rsidR="007D33F8" w:rsidRPr="005625E1">
        <w:rPr>
          <w:rFonts w:cstheme="minorHAnsi"/>
        </w:rPr>
        <w:t xml:space="preserve"> through the Validation Committee</w:t>
      </w:r>
      <w:r w:rsidR="004D7FC9" w:rsidRPr="005625E1">
        <w:rPr>
          <w:rFonts w:cstheme="minorHAnsi"/>
        </w:rPr>
        <w:t xml:space="preserve">. </w:t>
      </w:r>
    </w:p>
    <w:p w14:paraId="17302B13" w14:textId="77777777" w:rsidR="00E75A5A" w:rsidRPr="005625E1" w:rsidRDefault="00E75A5A" w:rsidP="00F12713">
      <w:pPr>
        <w:spacing w:after="0" w:line="240" w:lineRule="auto"/>
        <w:rPr>
          <w:rFonts w:cstheme="minorHAnsi"/>
          <w:b/>
          <w:color w:val="365F91" w:themeColor="accent1" w:themeShade="BF"/>
        </w:rPr>
      </w:pPr>
    </w:p>
    <w:p w14:paraId="2DF12C34" w14:textId="77777777" w:rsidR="00171CE0" w:rsidRPr="005625E1" w:rsidRDefault="00171CE0" w:rsidP="008A3148">
      <w:pPr>
        <w:pStyle w:val="ListParagraph"/>
        <w:numPr>
          <w:ilvl w:val="0"/>
          <w:numId w:val="2"/>
        </w:numPr>
        <w:spacing w:after="0" w:line="240" w:lineRule="auto"/>
        <w:ind w:left="993"/>
        <w:rPr>
          <w:rFonts w:cstheme="minorHAnsi"/>
          <w:b/>
          <w:color w:val="365F91" w:themeColor="accent1" w:themeShade="BF"/>
        </w:rPr>
      </w:pPr>
      <w:r w:rsidRPr="005625E1">
        <w:rPr>
          <w:rFonts w:cstheme="minorHAnsi"/>
          <w:b/>
          <w:color w:val="365F91" w:themeColor="accent1" w:themeShade="BF"/>
        </w:rPr>
        <w:t>Work Performed by the Independent Validator</w:t>
      </w:r>
    </w:p>
    <w:p w14:paraId="1839987E" w14:textId="77777777" w:rsidR="00803CB3" w:rsidRPr="005625E1" w:rsidRDefault="00803CB3" w:rsidP="00F12713">
      <w:pPr>
        <w:pStyle w:val="ListParagraph"/>
        <w:widowControl w:val="0"/>
        <w:suppressAutoHyphens/>
        <w:spacing w:after="0" w:line="240" w:lineRule="auto"/>
        <w:rPr>
          <w:rFonts w:cstheme="minorHAnsi"/>
        </w:rPr>
      </w:pPr>
    </w:p>
    <w:p w14:paraId="1C24EF9E" w14:textId="3894019A" w:rsidR="00E53F90" w:rsidRPr="005625E1" w:rsidRDefault="00F64F77" w:rsidP="008A3148">
      <w:pPr>
        <w:widowControl w:val="0"/>
        <w:suppressAutoHyphens/>
        <w:spacing w:after="0" w:line="240" w:lineRule="auto"/>
        <w:jc w:val="both"/>
        <w:rPr>
          <w:rFonts w:eastAsia="Times New Roman" w:cstheme="minorHAnsi"/>
          <w:bCs/>
          <w:color w:val="FF0000"/>
          <w:highlight w:val="yellow"/>
          <w:lang w:eastAsia="fr-FR"/>
        </w:rPr>
      </w:pPr>
      <w:r w:rsidRPr="005625E1">
        <w:rPr>
          <w:rFonts w:cstheme="minorHAnsi"/>
        </w:rPr>
        <w:t>The Secretariat</w:t>
      </w:r>
      <w:r w:rsidR="004D7FC9" w:rsidRPr="005625E1">
        <w:rPr>
          <w:rFonts w:cstheme="minorHAnsi"/>
        </w:rPr>
        <w:t xml:space="preserve">’s Initial Assessment was transmitted to </w:t>
      </w:r>
      <w:r w:rsidR="00A57147">
        <w:rPr>
          <w:rFonts w:cstheme="minorHAnsi"/>
        </w:rPr>
        <w:t>ASI</w:t>
      </w:r>
      <w:r w:rsidR="004D7FC9" w:rsidRPr="005625E1">
        <w:rPr>
          <w:rFonts w:cstheme="minorHAnsi"/>
        </w:rPr>
        <w:t xml:space="preserve"> on</w:t>
      </w:r>
      <w:r w:rsidR="00174A91">
        <w:rPr>
          <w:rFonts w:cstheme="minorHAnsi"/>
        </w:rPr>
        <w:t xml:space="preserve"> the 19</w:t>
      </w:r>
      <w:r w:rsidR="00174A91" w:rsidRPr="00174A91">
        <w:rPr>
          <w:rFonts w:cstheme="minorHAnsi"/>
          <w:vertAlign w:val="superscript"/>
        </w:rPr>
        <w:t>th</w:t>
      </w:r>
      <w:r w:rsidR="00174A91">
        <w:rPr>
          <w:rFonts w:cstheme="minorHAnsi"/>
        </w:rPr>
        <w:t xml:space="preserve"> December</w:t>
      </w:r>
      <w:r w:rsidR="005560CF">
        <w:rPr>
          <w:rFonts w:cstheme="minorHAnsi"/>
        </w:rPr>
        <w:t>,</w:t>
      </w:r>
      <w:r w:rsidR="00635030" w:rsidRPr="005625E1">
        <w:rPr>
          <w:rFonts w:cstheme="minorHAnsi"/>
        </w:rPr>
        <w:t xml:space="preserve"> 2017</w:t>
      </w:r>
      <w:r w:rsidR="004D7FC9" w:rsidRPr="005625E1">
        <w:rPr>
          <w:rFonts w:cstheme="minorHAnsi"/>
        </w:rPr>
        <w:t xml:space="preserve">. </w:t>
      </w:r>
      <w:r w:rsidRPr="005625E1">
        <w:rPr>
          <w:rFonts w:cstheme="minorHAnsi"/>
        </w:rPr>
        <w:t xml:space="preserve"> </w:t>
      </w:r>
      <w:r w:rsidR="004D7FC9" w:rsidRPr="005625E1">
        <w:rPr>
          <w:rFonts w:cstheme="minorHAnsi"/>
        </w:rPr>
        <w:t xml:space="preserve">Our </w:t>
      </w:r>
      <w:r w:rsidR="00803CB3" w:rsidRPr="005625E1">
        <w:rPr>
          <w:rFonts w:eastAsia="Times New Roman" w:cstheme="minorHAnsi"/>
          <w:bCs/>
          <w:lang w:eastAsia="fr-FR"/>
        </w:rPr>
        <w:t xml:space="preserve">Validation Team </w:t>
      </w:r>
      <w:r w:rsidR="004D7FC9" w:rsidRPr="005625E1">
        <w:rPr>
          <w:rFonts w:eastAsia="Times New Roman" w:cstheme="minorHAnsi"/>
          <w:bCs/>
          <w:lang w:eastAsia="fr-FR"/>
        </w:rPr>
        <w:t xml:space="preserve">undertook this phase of the Validation process </w:t>
      </w:r>
      <w:r w:rsidR="00803CB3" w:rsidRPr="005625E1">
        <w:rPr>
          <w:rFonts w:eastAsia="Times New Roman" w:cstheme="minorHAnsi"/>
          <w:bCs/>
          <w:lang w:eastAsia="fr-FR"/>
        </w:rPr>
        <w:t xml:space="preserve">through: (1) In-depth review and marking up of the EITI Assessment by </w:t>
      </w:r>
      <w:r w:rsidR="00AB786F" w:rsidRPr="005625E1">
        <w:rPr>
          <w:rFonts w:eastAsia="Times New Roman" w:cstheme="minorHAnsi"/>
          <w:bCs/>
          <w:lang w:eastAsia="fr-FR"/>
        </w:rPr>
        <w:t xml:space="preserve">each </w:t>
      </w:r>
      <w:r w:rsidR="00803CB3" w:rsidRPr="005625E1">
        <w:rPr>
          <w:rFonts w:eastAsia="Times New Roman" w:cstheme="minorHAnsi"/>
          <w:bCs/>
          <w:lang w:eastAsia="fr-FR"/>
        </w:rPr>
        <w:t>team</w:t>
      </w:r>
      <w:r w:rsidR="00AB786F" w:rsidRPr="005625E1">
        <w:rPr>
          <w:rFonts w:eastAsia="Times New Roman" w:cstheme="minorHAnsi"/>
          <w:bCs/>
          <w:lang w:eastAsia="fr-FR"/>
        </w:rPr>
        <w:t xml:space="preserve"> member</w:t>
      </w:r>
      <w:r w:rsidR="00803CB3" w:rsidRPr="005625E1">
        <w:rPr>
          <w:rFonts w:eastAsia="Times New Roman" w:cstheme="minorHAnsi"/>
          <w:bCs/>
          <w:lang w:eastAsia="fr-FR"/>
        </w:rPr>
        <w:t>; (</w:t>
      </w:r>
      <w:r w:rsidR="004A0786" w:rsidRPr="005625E1">
        <w:rPr>
          <w:rFonts w:eastAsia="Times New Roman" w:cstheme="minorHAnsi"/>
          <w:bCs/>
          <w:lang w:eastAsia="fr-FR"/>
        </w:rPr>
        <w:t>2</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Multi-Stakeholder Specialist of Requireme</w:t>
      </w:r>
      <w:r w:rsidR="00954096">
        <w:rPr>
          <w:rFonts w:eastAsia="Times New Roman" w:cstheme="minorHAnsi"/>
          <w:bCs/>
          <w:lang w:eastAsia="fr-FR"/>
        </w:rPr>
        <w:t>nts 1 and the Civil Society Protocol</w:t>
      </w:r>
      <w:r w:rsidR="00803CB3" w:rsidRPr="005625E1">
        <w:rPr>
          <w:rFonts w:eastAsia="Times New Roman" w:cstheme="minorHAnsi"/>
          <w:bCs/>
          <w:lang w:eastAsia="fr-FR"/>
        </w:rPr>
        <w:t>; (</w:t>
      </w:r>
      <w:r w:rsidR="004A0786" w:rsidRPr="005625E1">
        <w:rPr>
          <w:rFonts w:eastAsia="Times New Roman" w:cstheme="minorHAnsi"/>
          <w:bCs/>
          <w:lang w:eastAsia="fr-FR"/>
        </w:rPr>
        <w:t>3</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Financ</w:t>
      </w:r>
      <w:r w:rsidR="00954096">
        <w:rPr>
          <w:rFonts w:eastAsia="Times New Roman" w:cstheme="minorHAnsi"/>
          <w:bCs/>
          <w:lang w:eastAsia="fr-FR"/>
        </w:rPr>
        <w:t xml:space="preserve">ial Specialist of Requirements 4, 5 and </w:t>
      </w:r>
      <w:r w:rsidR="00803CB3" w:rsidRPr="005625E1">
        <w:rPr>
          <w:rFonts w:eastAsia="Times New Roman" w:cstheme="minorHAnsi"/>
          <w:bCs/>
          <w:lang w:eastAsia="fr-FR"/>
        </w:rPr>
        <w:t>6; (</w:t>
      </w:r>
      <w:r w:rsidR="00FC4788">
        <w:rPr>
          <w:rFonts w:eastAsia="Times New Roman" w:cstheme="minorHAnsi"/>
          <w:bCs/>
          <w:lang w:eastAsia="fr-FR"/>
        </w:rPr>
        <w:t xml:space="preserve">4) </w:t>
      </w:r>
      <w:r w:rsidR="00C71C1F">
        <w:rPr>
          <w:rFonts w:eastAsia="Times New Roman" w:cstheme="minorHAnsi"/>
          <w:bCs/>
          <w:lang w:eastAsia="fr-FR"/>
        </w:rPr>
        <w:t>C</w:t>
      </w:r>
      <w:r w:rsidR="001A386F" w:rsidRPr="005625E1">
        <w:rPr>
          <w:rFonts w:eastAsia="Times New Roman" w:cstheme="minorHAnsi"/>
          <w:bCs/>
          <w:lang w:eastAsia="fr-FR"/>
        </w:rPr>
        <w:t xml:space="preserve">onsolidation of reviews and </w:t>
      </w:r>
      <w:r w:rsidR="00D82592">
        <w:rPr>
          <w:rFonts w:eastAsia="Times New Roman" w:cstheme="minorHAnsi"/>
          <w:bCs/>
          <w:lang w:eastAsia="fr-FR"/>
        </w:rPr>
        <w:t>the production of this</w:t>
      </w:r>
      <w:r w:rsidR="00A57147">
        <w:rPr>
          <w:rFonts w:eastAsia="Times New Roman" w:cstheme="minorHAnsi"/>
          <w:bCs/>
          <w:lang w:eastAsia="fr-FR"/>
        </w:rPr>
        <w:t xml:space="preserve"> draft</w:t>
      </w:r>
      <w:r w:rsidR="001A386F" w:rsidRPr="005625E1">
        <w:rPr>
          <w:rFonts w:eastAsia="Times New Roman" w:cstheme="minorHAnsi"/>
          <w:bCs/>
          <w:lang w:eastAsia="fr-FR"/>
        </w:rPr>
        <w:t xml:space="preserve"> Validation Report</w:t>
      </w:r>
      <w:r w:rsidR="00325E55">
        <w:rPr>
          <w:rFonts w:eastAsia="Times New Roman" w:cstheme="minorHAnsi"/>
          <w:bCs/>
          <w:lang w:eastAsia="fr-FR"/>
        </w:rPr>
        <w:t>, sent</w:t>
      </w:r>
      <w:r w:rsidR="00AE5306">
        <w:rPr>
          <w:rFonts w:eastAsia="Times New Roman" w:cstheme="minorHAnsi"/>
          <w:bCs/>
          <w:lang w:eastAsia="fr-FR"/>
        </w:rPr>
        <w:t xml:space="preserve"> to the International Secretariat on the </w:t>
      </w:r>
      <w:r w:rsidR="00ED52E0">
        <w:rPr>
          <w:rFonts w:eastAsia="Times New Roman" w:cstheme="minorHAnsi"/>
          <w:bCs/>
          <w:lang w:eastAsia="fr-FR"/>
        </w:rPr>
        <w:t>8</w:t>
      </w:r>
      <w:r w:rsidR="00ED52E0" w:rsidRPr="00ED52E0">
        <w:rPr>
          <w:rFonts w:eastAsia="Times New Roman" w:cstheme="minorHAnsi"/>
          <w:bCs/>
          <w:vertAlign w:val="superscript"/>
          <w:lang w:eastAsia="fr-FR"/>
        </w:rPr>
        <w:t>th</w:t>
      </w:r>
      <w:r w:rsidR="00ED52E0">
        <w:rPr>
          <w:rFonts w:eastAsia="Times New Roman" w:cstheme="minorHAnsi"/>
          <w:bCs/>
          <w:lang w:eastAsia="fr-FR"/>
        </w:rPr>
        <w:t xml:space="preserve"> January 2018</w:t>
      </w:r>
      <w:r w:rsidR="00AE5306">
        <w:rPr>
          <w:rFonts w:eastAsia="Times New Roman" w:cstheme="minorHAnsi"/>
          <w:bCs/>
          <w:lang w:eastAsia="fr-FR"/>
        </w:rPr>
        <w:t>.</w:t>
      </w:r>
    </w:p>
    <w:p w14:paraId="17014EBA" w14:textId="530A403E" w:rsidR="00572CE5" w:rsidRPr="00CA7E4C" w:rsidRDefault="00572CE5" w:rsidP="00F12713">
      <w:pPr>
        <w:spacing w:after="0" w:line="240" w:lineRule="auto"/>
        <w:rPr>
          <w:rFonts w:cstheme="minorHAnsi"/>
        </w:rPr>
      </w:pPr>
    </w:p>
    <w:p w14:paraId="54B24071" w14:textId="77777777" w:rsidR="00C71C1F" w:rsidRPr="00F62BD3" w:rsidRDefault="00C71C1F" w:rsidP="00392B71">
      <w:pPr>
        <w:pStyle w:val="ListParagraph"/>
        <w:spacing w:after="0" w:line="240" w:lineRule="auto"/>
        <w:rPr>
          <w:rFonts w:cstheme="minorHAnsi"/>
          <w:b/>
        </w:rPr>
      </w:pPr>
    </w:p>
    <w:p w14:paraId="28360106" w14:textId="7A3F215D" w:rsidR="00572CE5" w:rsidRPr="005625E1" w:rsidRDefault="00572CE5" w:rsidP="008A3148">
      <w:pPr>
        <w:pStyle w:val="ListParagraph"/>
        <w:numPr>
          <w:ilvl w:val="0"/>
          <w:numId w:val="2"/>
        </w:numPr>
        <w:spacing w:after="0" w:line="240" w:lineRule="auto"/>
        <w:ind w:left="993" w:hanging="284"/>
        <w:rPr>
          <w:rFonts w:cstheme="minorHAnsi"/>
          <w:b/>
        </w:rPr>
      </w:pPr>
      <w:r w:rsidRPr="005625E1">
        <w:rPr>
          <w:rFonts w:cstheme="minorHAnsi"/>
          <w:b/>
          <w:color w:val="365F91" w:themeColor="accent1" w:themeShade="BF"/>
        </w:rPr>
        <w:t>C</w:t>
      </w:r>
      <w:r w:rsidR="00511804" w:rsidRPr="005625E1">
        <w:rPr>
          <w:rFonts w:cstheme="minorHAnsi"/>
          <w:b/>
          <w:color w:val="365F91" w:themeColor="accent1" w:themeShade="BF"/>
        </w:rPr>
        <w:t>omments</w:t>
      </w:r>
      <w:r w:rsidRPr="005625E1">
        <w:rPr>
          <w:rFonts w:cstheme="minorHAnsi"/>
          <w:b/>
          <w:color w:val="365F91" w:themeColor="accent1" w:themeShade="BF"/>
        </w:rPr>
        <w:t xml:space="preserve"> on the Limitations of the </w:t>
      </w:r>
      <w:r w:rsidR="00DD1148" w:rsidRPr="005625E1">
        <w:rPr>
          <w:rFonts w:cstheme="minorHAnsi"/>
          <w:b/>
          <w:color w:val="365F91" w:themeColor="accent1" w:themeShade="BF"/>
        </w:rPr>
        <w:t>Validation</w:t>
      </w:r>
    </w:p>
    <w:p w14:paraId="3AD219A6" w14:textId="77777777" w:rsidR="00572CE5" w:rsidRPr="005625E1" w:rsidRDefault="00572CE5" w:rsidP="00F12713">
      <w:pPr>
        <w:spacing w:after="0" w:line="240" w:lineRule="auto"/>
        <w:rPr>
          <w:rFonts w:cstheme="minorHAnsi"/>
        </w:rPr>
      </w:pPr>
    </w:p>
    <w:p w14:paraId="1888077F" w14:textId="5B8EAB43" w:rsidR="00573AAF" w:rsidRDefault="00865D33" w:rsidP="008A3148">
      <w:pPr>
        <w:widowControl w:val="0"/>
        <w:suppressAutoHyphens/>
        <w:spacing w:after="0" w:line="240" w:lineRule="auto"/>
        <w:jc w:val="both"/>
        <w:rPr>
          <w:rFonts w:eastAsia="Times New Roman" w:cstheme="minorHAnsi"/>
        </w:rPr>
      </w:pPr>
      <w:r>
        <w:rPr>
          <w:rFonts w:eastAsia="Times New Roman" w:cstheme="minorHAnsi"/>
        </w:rPr>
        <w:t>The Validator carefully reviewed the Secretariat’s Initial A</w:t>
      </w:r>
      <w:r w:rsidR="0082215E">
        <w:rPr>
          <w:rFonts w:eastAsia="Times New Roman" w:cstheme="minorHAnsi"/>
        </w:rPr>
        <w:t xml:space="preserve">ssessment and at this stage has no </w:t>
      </w:r>
      <w:r>
        <w:rPr>
          <w:rFonts w:eastAsia="Times New Roman" w:cstheme="minorHAnsi"/>
        </w:rPr>
        <w:t>comments on the limitation of the validation process.</w:t>
      </w:r>
    </w:p>
    <w:p w14:paraId="0B4D135E" w14:textId="77777777" w:rsidR="008A3148" w:rsidRDefault="008A3148" w:rsidP="00F12713">
      <w:pPr>
        <w:widowControl w:val="0"/>
        <w:suppressAutoHyphens/>
        <w:spacing w:after="0" w:line="240" w:lineRule="auto"/>
        <w:rPr>
          <w:rFonts w:eastAsia="Times New Roman" w:cstheme="minorHAnsi"/>
        </w:rPr>
      </w:pPr>
    </w:p>
    <w:p w14:paraId="64D315E3" w14:textId="77777777" w:rsidR="00C71C1F" w:rsidRPr="005625E1" w:rsidRDefault="00C71C1F" w:rsidP="00F12713">
      <w:pPr>
        <w:pStyle w:val="ListParagraph"/>
        <w:spacing w:after="0" w:line="240" w:lineRule="auto"/>
        <w:rPr>
          <w:rFonts w:cstheme="minorHAnsi"/>
          <w:b/>
          <w:color w:val="365F91" w:themeColor="accent1" w:themeShade="BF"/>
        </w:rPr>
      </w:pPr>
    </w:p>
    <w:p w14:paraId="1096F300" w14:textId="3E4AD76F" w:rsidR="00803CB3" w:rsidRPr="005625E1" w:rsidRDefault="00803CB3" w:rsidP="008A3148">
      <w:pPr>
        <w:pStyle w:val="ListParagraph"/>
        <w:numPr>
          <w:ilvl w:val="0"/>
          <w:numId w:val="2"/>
        </w:numPr>
        <w:spacing w:after="0" w:line="240" w:lineRule="auto"/>
        <w:ind w:left="993" w:hanging="284"/>
        <w:rPr>
          <w:rFonts w:cstheme="minorHAnsi"/>
          <w:b/>
          <w:color w:val="365F91" w:themeColor="accent1" w:themeShade="BF"/>
        </w:rPr>
      </w:pPr>
      <w:r w:rsidRPr="005625E1">
        <w:rPr>
          <w:rFonts w:cstheme="minorHAnsi"/>
          <w:b/>
          <w:color w:val="365F91" w:themeColor="accent1" w:themeShade="BF"/>
        </w:rPr>
        <w:t xml:space="preserve">Comments on the </w:t>
      </w:r>
      <w:r w:rsidR="00A952F9" w:rsidRPr="005625E1">
        <w:rPr>
          <w:rFonts w:cstheme="minorHAnsi"/>
          <w:b/>
          <w:color w:val="365F91" w:themeColor="accent1" w:themeShade="BF"/>
        </w:rPr>
        <w:t xml:space="preserve">International Secretariat’s </w:t>
      </w:r>
      <w:r w:rsidRPr="005625E1">
        <w:rPr>
          <w:rFonts w:cstheme="minorHAnsi"/>
          <w:b/>
          <w:color w:val="365F91" w:themeColor="accent1" w:themeShade="BF"/>
        </w:rPr>
        <w:t xml:space="preserve">Initial Assessment </w:t>
      </w:r>
    </w:p>
    <w:p w14:paraId="14A8ACAE" w14:textId="77777777" w:rsidR="00F62BD3" w:rsidRDefault="00F62BD3" w:rsidP="00F12713">
      <w:pPr>
        <w:spacing w:after="0" w:line="240" w:lineRule="auto"/>
        <w:rPr>
          <w:rFonts w:eastAsia="Times New Roman" w:cstheme="minorHAnsi"/>
        </w:rPr>
      </w:pPr>
    </w:p>
    <w:p w14:paraId="7E32F375" w14:textId="3AF120F5" w:rsidR="00E719C0" w:rsidRPr="00E719C0" w:rsidRDefault="00803CB3" w:rsidP="008A3148">
      <w:pPr>
        <w:spacing w:after="0" w:line="240" w:lineRule="auto"/>
        <w:jc w:val="both"/>
        <w:rPr>
          <w:rFonts w:eastAsia="Times New Roman" w:cstheme="minorHAnsi"/>
        </w:rPr>
      </w:pPr>
      <w:r w:rsidRPr="005625E1">
        <w:rPr>
          <w:rFonts w:eastAsia="Times New Roman" w:cstheme="minorHAnsi"/>
        </w:rPr>
        <w:t xml:space="preserve">The initial data collection, stakeholder consultations, and drafting of the </w:t>
      </w:r>
      <w:r w:rsidR="00000EAA" w:rsidRPr="005625E1">
        <w:rPr>
          <w:rFonts w:eastAsia="Times New Roman" w:cstheme="minorHAnsi"/>
        </w:rPr>
        <w:t xml:space="preserve">Initial </w:t>
      </w:r>
      <w:r w:rsidRPr="005625E1">
        <w:rPr>
          <w:rFonts w:eastAsia="Times New Roman" w:cstheme="minorHAnsi"/>
        </w:rPr>
        <w:t xml:space="preserve">Assessment were generally undertaken by the </w:t>
      </w:r>
      <w:r w:rsidR="00A952F9" w:rsidRPr="005625E1">
        <w:rPr>
          <w:rFonts w:eastAsia="Times New Roman" w:cstheme="minorHAnsi"/>
        </w:rPr>
        <w:t xml:space="preserve">International </w:t>
      </w:r>
      <w:r w:rsidRPr="005625E1">
        <w:rPr>
          <w:rFonts w:eastAsia="Times New Roman" w:cstheme="minorHAnsi"/>
        </w:rPr>
        <w:t>Secretariat</w:t>
      </w:r>
      <w:r w:rsidR="00000EAA" w:rsidRPr="005625E1">
        <w:rPr>
          <w:rFonts w:eastAsia="Times New Roman" w:cstheme="minorHAnsi"/>
        </w:rPr>
        <w:t xml:space="preserve"> </w:t>
      </w:r>
      <w:r w:rsidRPr="005625E1">
        <w:rPr>
          <w:rFonts w:eastAsia="Times New Roman" w:cstheme="minorHAnsi"/>
        </w:rPr>
        <w:t xml:space="preserve">in accordance with </w:t>
      </w:r>
      <w:r w:rsidR="00000EAA" w:rsidRPr="005625E1">
        <w:rPr>
          <w:rFonts w:eastAsia="Times New Roman" w:cstheme="minorHAnsi"/>
        </w:rPr>
        <w:t xml:space="preserve">the </w:t>
      </w:r>
      <w:r w:rsidRPr="005625E1">
        <w:rPr>
          <w:rFonts w:eastAsia="Times New Roman" w:cstheme="minorHAnsi"/>
        </w:rPr>
        <w:t xml:space="preserve">2016 Validation Guide. </w:t>
      </w:r>
      <w:r w:rsidR="00E719C0">
        <w:rPr>
          <w:rFonts w:eastAsia="Times New Roman" w:cstheme="minorHAnsi"/>
        </w:rPr>
        <w:t xml:space="preserve"> The data collection took place acros</w:t>
      </w:r>
      <w:r w:rsidR="008A3148">
        <w:rPr>
          <w:rFonts w:eastAsia="Times New Roman" w:cstheme="minorHAnsi"/>
        </w:rPr>
        <w:t>s three phases.  Firstly</w:t>
      </w:r>
      <w:r w:rsidR="00E719C0">
        <w:rPr>
          <w:rFonts w:eastAsia="Times New Roman" w:cstheme="minorHAnsi"/>
        </w:rPr>
        <w:t xml:space="preserve">, a desk review of the </w:t>
      </w:r>
      <w:r w:rsidR="00E719C0" w:rsidRPr="00E719C0">
        <w:rPr>
          <w:rFonts w:eastAsia="Times New Roman" w:cstheme="minorHAnsi"/>
        </w:rPr>
        <w:t>available documentation relating to the country’s compliance with the EITI Standard, including but not limited to:</w:t>
      </w:r>
    </w:p>
    <w:p w14:paraId="03B2D900" w14:textId="77777777" w:rsidR="00E719C0" w:rsidRPr="00E719C0" w:rsidRDefault="00E719C0" w:rsidP="008A3148">
      <w:pPr>
        <w:numPr>
          <w:ilvl w:val="0"/>
          <w:numId w:val="8"/>
        </w:numPr>
        <w:spacing w:before="240" w:after="0" w:line="240" w:lineRule="auto"/>
        <w:rPr>
          <w:rFonts w:eastAsia="Times New Roman" w:cstheme="minorHAnsi"/>
        </w:rPr>
      </w:pPr>
      <w:r w:rsidRPr="00E719C0">
        <w:rPr>
          <w:rFonts w:eastAsia="Times New Roman" w:cstheme="minorHAnsi"/>
        </w:rPr>
        <w:t>The EITI work plan and other planning documents such as budgets and communication plans;</w:t>
      </w:r>
    </w:p>
    <w:p w14:paraId="7F3B9476"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The multi-stakeholder group’s Terms of Reference, and minutes from multi-stakeholder group meetings;</w:t>
      </w:r>
    </w:p>
    <w:p w14:paraId="2BBB6D4D"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EITI Reports, and supplementary information such as summary reports and scoping studies;</w:t>
      </w:r>
    </w:p>
    <w:p w14:paraId="505CF551"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Communication materials;</w:t>
      </w:r>
    </w:p>
    <w:p w14:paraId="193C162B"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Annual progress reports; and</w:t>
      </w:r>
    </w:p>
    <w:p w14:paraId="312B3F1F"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Any other information of relevance to Validation.</w:t>
      </w:r>
    </w:p>
    <w:p w14:paraId="2E5EFC1C" w14:textId="77777777" w:rsidR="00E719C0" w:rsidRDefault="00E719C0" w:rsidP="00F12713">
      <w:pPr>
        <w:spacing w:after="0" w:line="240" w:lineRule="auto"/>
        <w:rPr>
          <w:rFonts w:eastAsia="Times New Roman" w:cstheme="minorHAnsi"/>
        </w:rPr>
      </w:pPr>
    </w:p>
    <w:p w14:paraId="127CC6F7" w14:textId="25692AF7" w:rsidR="00E719C0" w:rsidRDefault="00E719C0" w:rsidP="008A3148">
      <w:pPr>
        <w:spacing w:after="0" w:line="240" w:lineRule="auto"/>
        <w:jc w:val="both"/>
        <w:rPr>
          <w:rFonts w:cstheme="minorHAnsi"/>
        </w:rPr>
      </w:pPr>
      <w:r>
        <w:rPr>
          <w:rFonts w:cstheme="minorHAnsi"/>
        </w:rPr>
        <w:t>Secondly, a country visit, which</w:t>
      </w:r>
      <w:r w:rsidRPr="00E719C0">
        <w:rPr>
          <w:rFonts w:cstheme="minorHAnsi"/>
        </w:rPr>
        <w:t xml:space="preserve"> took place </w:t>
      </w:r>
      <w:r w:rsidR="004E2A3B">
        <w:rPr>
          <w:rFonts w:cstheme="minorHAnsi"/>
        </w:rPr>
        <w:t>from 19-26 April</w:t>
      </w:r>
      <w:r w:rsidRPr="00E719C0">
        <w:rPr>
          <w:rFonts w:cstheme="minorHAnsi"/>
        </w:rPr>
        <w:t xml:space="preserve"> 2017. All meetings took place in </w:t>
      </w:r>
      <w:r w:rsidR="004E2A3B">
        <w:rPr>
          <w:rFonts w:ascii="Calibri" w:hAnsi="Calibri"/>
          <w:b/>
          <w:bCs/>
        </w:rPr>
        <w:t>Lomé and Palimé</w:t>
      </w:r>
      <w:r w:rsidR="004E2A3B" w:rsidRPr="004E2A3B">
        <w:rPr>
          <w:rFonts w:ascii="Calibri" w:hAnsi="Calibri"/>
          <w:bCs/>
        </w:rPr>
        <w:t>, Togo</w:t>
      </w:r>
      <w:r w:rsidRPr="00E719C0">
        <w:rPr>
          <w:rFonts w:cstheme="minorHAnsi"/>
        </w:rPr>
        <w:t>. The secretariat met with the multi-stakeholder group and its members, the IA and other key stakeholders, including stakeholder groups that are represented on, but not directly participating in, the multi-stakeholder group.</w:t>
      </w:r>
    </w:p>
    <w:p w14:paraId="3A202C2B" w14:textId="77777777" w:rsidR="00E719C0" w:rsidRDefault="00E719C0" w:rsidP="008A3148">
      <w:pPr>
        <w:spacing w:after="0" w:line="240" w:lineRule="auto"/>
        <w:jc w:val="both"/>
        <w:rPr>
          <w:rFonts w:cstheme="minorHAnsi"/>
        </w:rPr>
      </w:pPr>
    </w:p>
    <w:p w14:paraId="0A5DE1F5" w14:textId="6A9AC4A3" w:rsidR="006B688F" w:rsidRDefault="006B688F" w:rsidP="008A3148">
      <w:pPr>
        <w:spacing w:after="0" w:line="240" w:lineRule="auto"/>
        <w:jc w:val="both"/>
        <w:rPr>
          <w:rFonts w:cstheme="minorHAnsi"/>
        </w:rPr>
      </w:pPr>
      <w:r>
        <w:rPr>
          <w:rFonts w:cstheme="minorHAnsi"/>
        </w:rPr>
        <w:t xml:space="preserve">Finally, </w:t>
      </w:r>
      <w:r w:rsidRPr="006B688F">
        <w:rPr>
          <w:rFonts w:cstheme="minorHAnsi"/>
        </w:rPr>
        <w:t>the</w:t>
      </w:r>
      <w:r>
        <w:rPr>
          <w:rFonts w:cstheme="minorHAnsi"/>
        </w:rPr>
        <w:t xml:space="preserve"> International Secretariat </w:t>
      </w:r>
      <w:r w:rsidRPr="006B688F">
        <w:rPr>
          <w:rFonts w:cstheme="minorHAnsi"/>
        </w:rPr>
        <w:t>prepare</w:t>
      </w:r>
      <w:r>
        <w:rPr>
          <w:rFonts w:cstheme="minorHAnsi"/>
        </w:rPr>
        <w:t>d</w:t>
      </w:r>
      <w:r w:rsidRPr="006B688F">
        <w:rPr>
          <w:rFonts w:cstheme="minorHAnsi"/>
        </w:rPr>
        <w:t xml:space="preserve"> a report making an initial assessment of progress against requirements in accordance with the Validation Gu</w:t>
      </w:r>
      <w:r w:rsidR="00BE48E7">
        <w:rPr>
          <w:rFonts w:cstheme="minorHAnsi"/>
        </w:rPr>
        <w:t>ide. The initial assessment did</w:t>
      </w:r>
      <w:r w:rsidRPr="006B688F">
        <w:rPr>
          <w:rFonts w:cstheme="minorHAnsi"/>
        </w:rPr>
        <w:t xml:space="preserve"> not include an overall assess</w:t>
      </w:r>
      <w:r w:rsidR="00BE48E7">
        <w:rPr>
          <w:rFonts w:cstheme="minorHAnsi"/>
        </w:rPr>
        <w:t>ment of compliance. The report was submitted to the Validator, with t</w:t>
      </w:r>
      <w:r w:rsidRPr="006B688F">
        <w:rPr>
          <w:rFonts w:cstheme="minorHAnsi"/>
        </w:rPr>
        <w:t xml:space="preserve">he National Coordinator (NC) </w:t>
      </w:r>
      <w:r w:rsidR="00BE48E7">
        <w:rPr>
          <w:rFonts w:cstheme="minorHAnsi"/>
        </w:rPr>
        <w:t>also receiving a</w:t>
      </w:r>
      <w:r w:rsidRPr="006B688F">
        <w:rPr>
          <w:rFonts w:cstheme="minorHAnsi"/>
        </w:rPr>
        <w:t xml:space="preserve"> copy. </w:t>
      </w:r>
    </w:p>
    <w:p w14:paraId="4E7695CD" w14:textId="77777777" w:rsidR="00BE48E7" w:rsidRDefault="00BE48E7" w:rsidP="00F12713">
      <w:pPr>
        <w:spacing w:after="0" w:line="240" w:lineRule="auto"/>
        <w:rPr>
          <w:rFonts w:cstheme="minorHAnsi"/>
        </w:rPr>
      </w:pPr>
    </w:p>
    <w:p w14:paraId="14236177" w14:textId="3E334AE3" w:rsidR="007C0497" w:rsidRPr="005625E1" w:rsidRDefault="007C0497" w:rsidP="00F12713">
      <w:pPr>
        <w:spacing w:after="0" w:line="240" w:lineRule="auto"/>
        <w:rPr>
          <w:rFonts w:eastAsia="Calibri" w:cstheme="minorHAnsi"/>
          <w:color w:val="FF0000"/>
          <w:lang w:bidi="en-US"/>
        </w:rPr>
      </w:pPr>
    </w:p>
    <w:p w14:paraId="2C5EE03B" w14:textId="77777777" w:rsidR="00803CB3" w:rsidRPr="005625E1" w:rsidRDefault="00803CB3" w:rsidP="00F12713">
      <w:pPr>
        <w:spacing w:after="0" w:line="240" w:lineRule="auto"/>
        <w:rPr>
          <w:rFonts w:cstheme="minorHAnsi"/>
          <w:b/>
          <w:color w:val="365F91" w:themeColor="accent1" w:themeShade="BF"/>
        </w:rPr>
      </w:pPr>
      <w:r w:rsidRPr="005625E1">
        <w:rPr>
          <w:rFonts w:cstheme="minorHAnsi"/>
          <w:b/>
          <w:color w:val="365F91" w:themeColor="accent1" w:themeShade="BF"/>
        </w:rPr>
        <w:t xml:space="preserve">2. </w:t>
      </w:r>
      <w:r w:rsidRPr="005625E1">
        <w:rPr>
          <w:rFonts w:cstheme="minorHAnsi"/>
          <w:b/>
          <w:color w:val="365F91" w:themeColor="accent1" w:themeShade="BF"/>
        </w:rPr>
        <w:tab/>
        <w:t>GENERAL COMMENTS</w:t>
      </w:r>
    </w:p>
    <w:p w14:paraId="4ECD14A5" w14:textId="77777777" w:rsidR="007C0497" w:rsidRDefault="007C0497" w:rsidP="00F12713">
      <w:pPr>
        <w:spacing w:after="0" w:line="240" w:lineRule="auto"/>
        <w:rPr>
          <w:rFonts w:cstheme="minorHAnsi"/>
          <w:b/>
          <w:color w:val="365F91" w:themeColor="accent1" w:themeShade="BF"/>
        </w:rPr>
      </w:pPr>
    </w:p>
    <w:p w14:paraId="33798BBC" w14:textId="77777777" w:rsidR="00F46036" w:rsidRPr="005625E1" w:rsidRDefault="00F46036" w:rsidP="00F12713">
      <w:pPr>
        <w:spacing w:after="0" w:line="240" w:lineRule="auto"/>
        <w:rPr>
          <w:rFonts w:cstheme="minorHAnsi"/>
          <w:b/>
          <w:color w:val="365F91" w:themeColor="accent1" w:themeShade="BF"/>
        </w:rPr>
      </w:pPr>
    </w:p>
    <w:p w14:paraId="2C9DD649" w14:textId="77777777" w:rsidR="007C0497" w:rsidRPr="005625E1" w:rsidRDefault="007C0497"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Progress in EITI Implementation </w:t>
      </w:r>
    </w:p>
    <w:p w14:paraId="7D60F9DB" w14:textId="77777777" w:rsidR="007C0497" w:rsidRPr="005625E1" w:rsidRDefault="007C0497" w:rsidP="00F12713">
      <w:pPr>
        <w:spacing w:after="0" w:line="240" w:lineRule="auto"/>
        <w:rPr>
          <w:rFonts w:cstheme="minorHAnsi"/>
          <w:color w:val="FF0000"/>
        </w:rPr>
      </w:pPr>
    </w:p>
    <w:p w14:paraId="05726061" w14:textId="77777777" w:rsidR="004E2A3B" w:rsidRDefault="004E2A3B" w:rsidP="008A3148">
      <w:pPr>
        <w:spacing w:after="0"/>
        <w:jc w:val="both"/>
        <w:rPr>
          <w:rFonts w:ascii="Calibri" w:hAnsi="Calibri"/>
        </w:rPr>
      </w:pPr>
      <w:r>
        <w:rPr>
          <w:rFonts w:ascii="Calibri" w:hAnsi="Calibri"/>
        </w:rPr>
        <w:t>The EITI in Togo not only covers the hydrocarbon sector,</w:t>
      </w:r>
      <w:r w:rsidRPr="001C0A8B">
        <w:rPr>
          <w:rFonts w:ascii="Calibri" w:hAnsi="Calibri"/>
        </w:rPr>
        <w:t xml:space="preserve"> solid minerals and q</w:t>
      </w:r>
      <w:r>
        <w:rPr>
          <w:rFonts w:ascii="Calibri" w:hAnsi="Calibri"/>
        </w:rPr>
        <w:t>uarrying sectors, but additionally groundwater exploitation, the transportation sector</w:t>
      </w:r>
      <w:r w:rsidRPr="001C0A8B">
        <w:rPr>
          <w:rFonts w:ascii="Calibri" w:hAnsi="Calibri"/>
        </w:rPr>
        <w:t xml:space="preserve"> and the marketing of precious minerals (downstream).</w:t>
      </w:r>
      <w:r>
        <w:rPr>
          <w:rFonts w:ascii="Calibri" w:hAnsi="Calibri"/>
        </w:rPr>
        <w:t xml:space="preserve"> </w:t>
      </w:r>
      <w:r w:rsidRPr="00E112B3">
        <w:rPr>
          <w:rFonts w:ascii="Calibri" w:hAnsi="Calibri"/>
        </w:rPr>
        <w:t xml:space="preserve">Togo </w:t>
      </w:r>
      <w:r>
        <w:rPr>
          <w:rFonts w:ascii="Calibri" w:hAnsi="Calibri"/>
        </w:rPr>
        <w:t xml:space="preserve">presents a dynamic case of EITI implementation with an engaged national team that has a good understanding of the rationale behind EITI implementation. This is reflected in the high quality of documents supporting implementation such as work plans and annual progress reports, as well as consultation amongst stakeholders on these documents. However, there is potential for improvements more broadly in the sector. </w:t>
      </w:r>
    </w:p>
    <w:p w14:paraId="0FE8275B" w14:textId="77777777" w:rsidR="004E2A3B" w:rsidRDefault="004E2A3B" w:rsidP="008A3148">
      <w:pPr>
        <w:spacing w:after="0"/>
        <w:jc w:val="both"/>
        <w:rPr>
          <w:rFonts w:ascii="Calibri" w:hAnsi="Calibri"/>
        </w:rPr>
      </w:pPr>
    </w:p>
    <w:p w14:paraId="583A97C9" w14:textId="77777777" w:rsidR="004E2A3B" w:rsidRDefault="004E2A3B" w:rsidP="008A3148">
      <w:pPr>
        <w:spacing w:after="0"/>
        <w:jc w:val="both"/>
        <w:rPr>
          <w:rFonts w:ascii="Calibri" w:hAnsi="Calibri"/>
        </w:rPr>
      </w:pPr>
      <w:r>
        <w:rPr>
          <w:rFonts w:ascii="Calibri" w:hAnsi="Calibri"/>
        </w:rPr>
        <w:t>The EITI plays an important role in providing statistics on the mining sector, given a paucity of national statistics. T</w:t>
      </w:r>
      <w:r w:rsidRPr="00FA488F">
        <w:rPr>
          <w:rFonts w:ascii="Calibri" w:hAnsi="Calibri"/>
        </w:rPr>
        <w:t>he</w:t>
      </w:r>
      <w:r>
        <w:rPr>
          <w:rFonts w:ascii="Calibri" w:hAnsi="Calibri"/>
        </w:rPr>
        <w:t xml:space="preserve"> International Monetary Fund (IMF)’s 2014 Togo poverty reduction strategy paper</w:t>
      </w:r>
      <w:r>
        <w:rPr>
          <w:rStyle w:val="FootnoteReference"/>
          <w:rFonts w:ascii="Calibri" w:hAnsi="Calibri"/>
        </w:rPr>
        <w:footnoteReference w:id="3"/>
      </w:r>
      <w:r>
        <w:rPr>
          <w:rFonts w:ascii="Calibri" w:hAnsi="Calibri"/>
        </w:rPr>
        <w:t xml:space="preserve"> notes that ‘</w:t>
      </w:r>
      <w:r w:rsidRPr="00C2255D">
        <w:rPr>
          <w:rFonts w:ascii="Calibri" w:hAnsi="Calibri"/>
        </w:rPr>
        <w:t>Cognizant of the curren</w:t>
      </w:r>
      <w:r>
        <w:rPr>
          <w:rFonts w:ascii="Calibri" w:hAnsi="Calibri"/>
        </w:rPr>
        <w:t>t state of the national statistical system</w:t>
      </w:r>
      <w:r w:rsidRPr="00C2255D">
        <w:rPr>
          <w:rFonts w:ascii="Calibri" w:hAnsi="Calibri"/>
        </w:rPr>
        <w:t>, the Government has undertaken institutional and legal</w:t>
      </w:r>
      <w:r>
        <w:rPr>
          <w:rFonts w:ascii="Calibri" w:hAnsi="Calibri"/>
        </w:rPr>
        <w:t xml:space="preserve"> </w:t>
      </w:r>
      <w:r w:rsidRPr="00C2255D">
        <w:rPr>
          <w:rFonts w:ascii="Calibri" w:hAnsi="Calibri"/>
        </w:rPr>
        <w:t>reform to build</w:t>
      </w:r>
      <w:r>
        <w:rPr>
          <w:rFonts w:ascii="Calibri" w:hAnsi="Calibri"/>
        </w:rPr>
        <w:t xml:space="preserve"> system capacity, creating the national strategy for development of statistics (Stratégie nationale du développement de la statistique) </w:t>
      </w:r>
      <w:r w:rsidRPr="00C2255D">
        <w:rPr>
          <w:rFonts w:ascii="Calibri" w:hAnsi="Calibri"/>
        </w:rPr>
        <w:t>in May 2010.</w:t>
      </w:r>
      <w:r>
        <w:rPr>
          <w:rFonts w:ascii="Calibri" w:hAnsi="Calibri"/>
        </w:rPr>
        <w:t xml:space="preserve">’ This led to the creation of the </w:t>
      </w:r>
      <w:r w:rsidRPr="00C2255D">
        <w:rPr>
          <w:rFonts w:ascii="Calibri" w:hAnsi="Calibri"/>
        </w:rPr>
        <w:t>National Statistics Council (CNS—Conseil National de la Statistique)</w:t>
      </w:r>
      <w:r>
        <w:rPr>
          <w:rFonts w:ascii="Calibri" w:hAnsi="Calibri"/>
        </w:rPr>
        <w:t xml:space="preserve"> on 3 June 2011</w:t>
      </w:r>
      <w:r w:rsidRPr="00C2255D">
        <w:rPr>
          <w:rFonts w:ascii="Calibri" w:hAnsi="Calibri"/>
        </w:rPr>
        <w:t>, which coordinates, guides and</w:t>
      </w:r>
      <w:r>
        <w:rPr>
          <w:rFonts w:ascii="Calibri" w:hAnsi="Calibri"/>
        </w:rPr>
        <w:t xml:space="preserve"> drives the national statistical system. The benefits of EITI implementation </w:t>
      </w:r>
      <w:r w:rsidRPr="00FA488F">
        <w:rPr>
          <w:rFonts w:ascii="Calibri" w:hAnsi="Calibri"/>
        </w:rPr>
        <w:t>are</w:t>
      </w:r>
      <w:r>
        <w:rPr>
          <w:rFonts w:ascii="Calibri" w:hAnsi="Calibri"/>
        </w:rPr>
        <w:t xml:space="preserve"> also</w:t>
      </w:r>
      <w:r w:rsidRPr="00FA488F">
        <w:rPr>
          <w:rFonts w:ascii="Calibri" w:hAnsi="Calibri"/>
        </w:rPr>
        <w:t xml:space="preserve"> economic</w:t>
      </w:r>
      <w:r>
        <w:rPr>
          <w:rFonts w:ascii="Calibri" w:hAnsi="Calibri"/>
        </w:rPr>
        <w:t>,</w:t>
      </w:r>
      <w:r w:rsidRPr="00FA488F">
        <w:rPr>
          <w:rFonts w:ascii="Calibri" w:hAnsi="Calibri"/>
        </w:rPr>
        <w:t xml:space="preserve"> in that the</w:t>
      </w:r>
      <w:r>
        <w:rPr>
          <w:rFonts w:ascii="Calibri" w:hAnsi="Calibri"/>
        </w:rPr>
        <w:t xml:space="preserve"> process</w:t>
      </w:r>
      <w:r w:rsidRPr="00FA488F">
        <w:rPr>
          <w:rFonts w:ascii="Calibri" w:hAnsi="Calibri"/>
        </w:rPr>
        <w:t xml:space="preserve"> correct</w:t>
      </w:r>
      <w:r>
        <w:rPr>
          <w:rFonts w:ascii="Calibri" w:hAnsi="Calibri"/>
        </w:rPr>
        <w:t>s</w:t>
      </w:r>
      <w:r w:rsidRPr="00FA488F">
        <w:rPr>
          <w:rFonts w:ascii="Calibri" w:hAnsi="Calibri"/>
        </w:rPr>
        <w:t xml:space="preserve"> errors and improve</w:t>
      </w:r>
      <w:r>
        <w:rPr>
          <w:rFonts w:ascii="Calibri" w:hAnsi="Calibri"/>
        </w:rPr>
        <w:t xml:space="preserve">s </w:t>
      </w:r>
      <w:r w:rsidRPr="00FA488F">
        <w:rPr>
          <w:rFonts w:ascii="Calibri" w:hAnsi="Calibri"/>
        </w:rPr>
        <w:t>governance of state revenues, both at the</w:t>
      </w:r>
      <w:r>
        <w:rPr>
          <w:rFonts w:ascii="Calibri" w:hAnsi="Calibri"/>
        </w:rPr>
        <w:t xml:space="preserve"> central and subnational levels. Although not yet fully comprehensive, EITI Reports are the sole source of key information linked to production and employment in the country’s mining sector. </w:t>
      </w:r>
      <w:r w:rsidRPr="001733B4">
        <w:rPr>
          <w:rFonts w:ascii="Calibri" w:hAnsi="Calibri"/>
        </w:rPr>
        <w:t>Implementati</w:t>
      </w:r>
      <w:r>
        <w:rPr>
          <w:rFonts w:ascii="Calibri" w:hAnsi="Calibri"/>
        </w:rPr>
        <w:t>on of the EITI has enabled the s</w:t>
      </w:r>
      <w:r w:rsidRPr="001733B4">
        <w:rPr>
          <w:rFonts w:ascii="Calibri" w:hAnsi="Calibri"/>
        </w:rPr>
        <w:t>tate fina</w:t>
      </w:r>
      <w:r>
        <w:rPr>
          <w:rFonts w:ascii="Calibri" w:hAnsi="Calibri"/>
        </w:rPr>
        <w:t>ncial authorities, more specifically,</w:t>
      </w:r>
      <w:r w:rsidRPr="001733B4">
        <w:rPr>
          <w:rFonts w:ascii="Calibri" w:hAnsi="Calibri"/>
        </w:rPr>
        <w:t xml:space="preserve"> the Tax Commission </w:t>
      </w:r>
      <w:r>
        <w:rPr>
          <w:rFonts w:ascii="Calibri" w:hAnsi="Calibri"/>
        </w:rPr>
        <w:t xml:space="preserve">(CI) </w:t>
      </w:r>
      <w:r w:rsidRPr="001733B4">
        <w:rPr>
          <w:rFonts w:ascii="Calibri" w:hAnsi="Calibri"/>
        </w:rPr>
        <w:t>and the Customs and Indirect</w:t>
      </w:r>
      <w:r>
        <w:rPr>
          <w:rFonts w:ascii="Calibri" w:hAnsi="Calibri"/>
        </w:rPr>
        <w:t xml:space="preserve"> Duties</w:t>
      </w:r>
      <w:r w:rsidRPr="001733B4">
        <w:rPr>
          <w:rFonts w:ascii="Calibri" w:hAnsi="Calibri"/>
        </w:rPr>
        <w:t xml:space="preserve"> Commission</w:t>
      </w:r>
      <w:r>
        <w:rPr>
          <w:rFonts w:ascii="Calibri" w:hAnsi="Calibri"/>
        </w:rPr>
        <w:t xml:space="preserve"> (CDDI)</w:t>
      </w:r>
      <w:r w:rsidRPr="001733B4">
        <w:rPr>
          <w:rFonts w:ascii="Calibri" w:hAnsi="Calibri"/>
        </w:rPr>
        <w:t xml:space="preserve">, to </w:t>
      </w:r>
      <w:r>
        <w:rPr>
          <w:rFonts w:ascii="Calibri" w:hAnsi="Calibri"/>
        </w:rPr>
        <w:t>identify</w:t>
      </w:r>
      <w:r w:rsidRPr="001733B4">
        <w:rPr>
          <w:rFonts w:ascii="Calibri" w:hAnsi="Calibri"/>
        </w:rPr>
        <w:t xml:space="preserve"> weaknesses of their information system</w:t>
      </w:r>
      <w:r>
        <w:rPr>
          <w:rFonts w:ascii="Calibri" w:hAnsi="Calibri"/>
        </w:rPr>
        <w:t>s and to take steps to correct</w:t>
      </w:r>
      <w:r w:rsidRPr="001733B4">
        <w:rPr>
          <w:rFonts w:ascii="Calibri" w:hAnsi="Calibri"/>
        </w:rPr>
        <w:t xml:space="preserve"> </w:t>
      </w:r>
      <w:r>
        <w:rPr>
          <w:rFonts w:ascii="Calibri" w:hAnsi="Calibri"/>
        </w:rPr>
        <w:t xml:space="preserve">the </w:t>
      </w:r>
      <w:r w:rsidRPr="001733B4">
        <w:rPr>
          <w:rFonts w:ascii="Calibri" w:hAnsi="Calibri"/>
        </w:rPr>
        <w:t>shortcomings.</w:t>
      </w:r>
      <w:r>
        <w:rPr>
          <w:rFonts w:ascii="Calibri" w:hAnsi="Calibri"/>
        </w:rPr>
        <w:t xml:space="preserve"> </w:t>
      </w:r>
    </w:p>
    <w:p w14:paraId="15E57C46" w14:textId="77777777" w:rsidR="00325E55" w:rsidRDefault="00325E55" w:rsidP="00F46036">
      <w:pPr>
        <w:spacing w:after="0" w:line="240" w:lineRule="auto"/>
        <w:rPr>
          <w:rFonts w:cstheme="minorHAnsi"/>
        </w:rPr>
      </w:pPr>
    </w:p>
    <w:p w14:paraId="23D51BBE" w14:textId="1130FA5E" w:rsidR="00172322" w:rsidRDefault="00172322" w:rsidP="00F12713">
      <w:pPr>
        <w:spacing w:after="0" w:line="240" w:lineRule="auto"/>
        <w:rPr>
          <w:rFonts w:cstheme="minorHAnsi"/>
          <w:color w:val="FF0000"/>
        </w:rPr>
      </w:pPr>
    </w:p>
    <w:p w14:paraId="3EA7C111" w14:textId="77777777" w:rsidR="00406FF1" w:rsidRPr="005625E1" w:rsidRDefault="00CE3B4B"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Impact of </w:t>
      </w:r>
      <w:r w:rsidR="00406FF1" w:rsidRPr="005625E1">
        <w:rPr>
          <w:rFonts w:cstheme="minorHAnsi"/>
          <w:b/>
          <w:color w:val="365F91" w:themeColor="accent1" w:themeShade="BF"/>
        </w:rPr>
        <w:t xml:space="preserve">EITI </w:t>
      </w:r>
      <w:r w:rsidRPr="005625E1">
        <w:rPr>
          <w:rFonts w:cstheme="minorHAnsi"/>
          <w:b/>
          <w:color w:val="365F91" w:themeColor="accent1" w:themeShade="BF"/>
        </w:rPr>
        <w:t>I</w:t>
      </w:r>
      <w:r w:rsidR="00406FF1" w:rsidRPr="005625E1">
        <w:rPr>
          <w:rFonts w:cstheme="minorHAnsi"/>
          <w:b/>
          <w:color w:val="365F91" w:themeColor="accent1" w:themeShade="BF"/>
        </w:rPr>
        <w:t>mplementation</w:t>
      </w:r>
    </w:p>
    <w:p w14:paraId="7E8E1DC7" w14:textId="77777777" w:rsidR="005625E1" w:rsidRPr="005625E1" w:rsidRDefault="005625E1" w:rsidP="00F12713">
      <w:pPr>
        <w:spacing w:after="0" w:line="240" w:lineRule="auto"/>
        <w:rPr>
          <w:rFonts w:cstheme="minorHAnsi"/>
          <w:color w:val="FF0000"/>
        </w:rPr>
      </w:pPr>
    </w:p>
    <w:p w14:paraId="1E1833DB" w14:textId="77777777" w:rsidR="004E2A3B" w:rsidRDefault="004E2A3B" w:rsidP="008A3148">
      <w:pPr>
        <w:spacing w:after="0"/>
        <w:jc w:val="both"/>
        <w:rPr>
          <w:rFonts w:ascii="Calibri" w:hAnsi="Calibri"/>
        </w:rPr>
      </w:pPr>
      <w:r>
        <w:rPr>
          <w:rFonts w:ascii="Calibri" w:hAnsi="Calibri"/>
        </w:rPr>
        <w:t>The government’s renewed commitment to improve transparency in the sector has manifested itself in various forms.</w:t>
      </w:r>
      <w:r w:rsidRPr="001733B4">
        <w:rPr>
          <w:rFonts w:ascii="Calibri" w:hAnsi="Calibri"/>
        </w:rPr>
        <w:t xml:space="preserve"> </w:t>
      </w:r>
      <w:r>
        <w:rPr>
          <w:rFonts w:ascii="Calibri" w:hAnsi="Calibri"/>
        </w:rPr>
        <w:t>T</w:t>
      </w:r>
      <w:r w:rsidRPr="001733B4">
        <w:rPr>
          <w:rFonts w:ascii="Calibri" w:hAnsi="Calibri"/>
        </w:rPr>
        <w:t>he government</w:t>
      </w:r>
      <w:r>
        <w:rPr>
          <w:rFonts w:ascii="Calibri" w:hAnsi="Calibri"/>
        </w:rPr>
        <w:t xml:space="preserve"> has recruited an expert to revise the Mining Code, which highlights transparency as a key feature of the sector’s management. Additionally, on 14 July 2015, the</w:t>
      </w:r>
      <w:r w:rsidRPr="001733B4">
        <w:rPr>
          <w:rFonts w:ascii="Calibri" w:hAnsi="Calibri"/>
        </w:rPr>
        <w:t xml:space="preserve"> National Assembly </w:t>
      </w:r>
      <w:r w:rsidRPr="00AF0B94">
        <w:rPr>
          <w:rFonts w:ascii="Calibri" w:hAnsi="Calibri"/>
        </w:rPr>
        <w:t xml:space="preserve">unanimously adopted </w:t>
      </w:r>
      <w:r>
        <w:rPr>
          <w:rFonts w:ascii="Calibri" w:hAnsi="Calibri"/>
        </w:rPr>
        <w:t>the bill to e</w:t>
      </w:r>
      <w:r w:rsidRPr="00AF0B94">
        <w:rPr>
          <w:rFonts w:ascii="Calibri" w:hAnsi="Calibri"/>
        </w:rPr>
        <w:t>stablish the High Authority for the Prevention and Combating of Corruption and Similar Offen</w:t>
      </w:r>
      <w:r>
        <w:rPr>
          <w:rFonts w:ascii="Calibri" w:hAnsi="Calibri"/>
        </w:rPr>
        <w:t>c</w:t>
      </w:r>
      <w:r w:rsidRPr="00AF0B94">
        <w:rPr>
          <w:rFonts w:ascii="Calibri" w:hAnsi="Calibri"/>
        </w:rPr>
        <w:t>es</w:t>
      </w:r>
      <w:r>
        <w:rPr>
          <w:rStyle w:val="FootnoteReference"/>
          <w:rFonts w:ascii="Calibri" w:hAnsi="Calibri"/>
        </w:rPr>
        <w:footnoteReference w:id="4"/>
      </w:r>
      <w:r w:rsidRPr="001733B4">
        <w:rPr>
          <w:rFonts w:ascii="Calibri" w:hAnsi="Calibri"/>
        </w:rPr>
        <w:t xml:space="preserve">. The </w:t>
      </w:r>
      <w:r>
        <w:rPr>
          <w:rFonts w:ascii="Calibri" w:hAnsi="Calibri"/>
        </w:rPr>
        <w:t>Togolese revenue office (</w:t>
      </w:r>
      <w:r w:rsidRPr="001733B4">
        <w:rPr>
          <w:rFonts w:ascii="Calibri" w:hAnsi="Calibri"/>
        </w:rPr>
        <w:t>OTR</w:t>
      </w:r>
      <w:r>
        <w:rPr>
          <w:rFonts w:ascii="Calibri" w:hAnsi="Calibri"/>
        </w:rPr>
        <w:t>)</w:t>
      </w:r>
      <w:r w:rsidRPr="001733B4">
        <w:rPr>
          <w:rFonts w:ascii="Calibri" w:hAnsi="Calibri"/>
        </w:rPr>
        <w:t xml:space="preserve"> has set up a toll-free number to allow the public to report cases of corruption. </w:t>
      </w:r>
    </w:p>
    <w:p w14:paraId="218A1BFF" w14:textId="77777777" w:rsidR="004E2A3B" w:rsidRDefault="004E2A3B" w:rsidP="008A3148">
      <w:pPr>
        <w:spacing w:after="0"/>
        <w:jc w:val="both"/>
        <w:rPr>
          <w:rFonts w:ascii="Calibri" w:hAnsi="Calibri"/>
        </w:rPr>
      </w:pPr>
    </w:p>
    <w:p w14:paraId="61F17FB8" w14:textId="77777777" w:rsidR="008A3148" w:rsidRDefault="004E2A3B" w:rsidP="008A3148">
      <w:pPr>
        <w:tabs>
          <w:tab w:val="left" w:pos="6804"/>
        </w:tabs>
        <w:spacing w:after="0"/>
        <w:jc w:val="both"/>
        <w:rPr>
          <w:rFonts w:ascii="Calibri" w:hAnsi="Calibri"/>
        </w:rPr>
      </w:pPr>
      <w:r w:rsidRPr="00FA488F">
        <w:rPr>
          <w:rFonts w:ascii="Calibri" w:hAnsi="Calibri"/>
        </w:rPr>
        <w:t>The social impact</w:t>
      </w:r>
      <w:r>
        <w:rPr>
          <w:rFonts w:ascii="Calibri" w:hAnsi="Calibri"/>
        </w:rPr>
        <w:t xml:space="preserve"> of the EITI is most</w:t>
      </w:r>
      <w:r w:rsidRPr="00FA488F">
        <w:rPr>
          <w:rFonts w:ascii="Calibri" w:hAnsi="Calibri"/>
        </w:rPr>
        <w:t xml:space="preserve"> visible in mining communities.</w:t>
      </w:r>
      <w:r w:rsidRPr="001C0A8B">
        <w:t xml:space="preserve"> </w:t>
      </w:r>
      <w:r>
        <w:t>I</w:t>
      </w:r>
      <w:r w:rsidRPr="001C0A8B">
        <w:rPr>
          <w:rFonts w:ascii="Calibri" w:hAnsi="Calibri"/>
        </w:rPr>
        <w:t>n 2014,</w:t>
      </w:r>
      <w:r>
        <w:rPr>
          <w:rFonts w:ascii="Calibri" w:hAnsi="Calibri"/>
        </w:rPr>
        <w:t xml:space="preserve"> the civil society representative on the MSG, COMINTES, was entrusted with funding from the European Union’s national reconciliation and civil society support project. Along with the EITI, COMINTES worked to support a</w:t>
      </w:r>
      <w:r w:rsidRPr="001C0A8B">
        <w:rPr>
          <w:rFonts w:ascii="Calibri" w:hAnsi="Calibri"/>
        </w:rPr>
        <w:t>dvocacy</w:t>
      </w:r>
      <w:r>
        <w:rPr>
          <w:rFonts w:ascii="Calibri" w:hAnsi="Calibri"/>
        </w:rPr>
        <w:t xml:space="preserve"> a</w:t>
      </w:r>
      <w:r w:rsidRPr="001C0A8B">
        <w:rPr>
          <w:rFonts w:ascii="Calibri" w:hAnsi="Calibri"/>
        </w:rPr>
        <w:t>nd good gove</w:t>
      </w:r>
      <w:r>
        <w:rPr>
          <w:rFonts w:ascii="Calibri" w:hAnsi="Calibri"/>
        </w:rPr>
        <w:t xml:space="preserve">rnance, particularly in </w:t>
      </w:r>
      <w:r w:rsidRPr="001C0A8B">
        <w:rPr>
          <w:rFonts w:ascii="Calibri" w:hAnsi="Calibri"/>
        </w:rPr>
        <w:t>the exploitation of</w:t>
      </w:r>
      <w:r>
        <w:rPr>
          <w:rFonts w:ascii="Calibri" w:hAnsi="Calibri"/>
        </w:rPr>
        <w:t xml:space="preserve"> iron from</w:t>
      </w:r>
      <w:r w:rsidRPr="001C0A8B">
        <w:rPr>
          <w:rFonts w:ascii="Calibri" w:hAnsi="Calibri"/>
        </w:rPr>
        <w:t xml:space="preserve"> Bangéli</w:t>
      </w:r>
      <w:r>
        <w:rPr>
          <w:rFonts w:ascii="Calibri" w:hAnsi="Calibri"/>
        </w:rPr>
        <w:t>,</w:t>
      </w:r>
      <w:r w:rsidRPr="001C0A8B">
        <w:rPr>
          <w:rFonts w:ascii="Calibri" w:hAnsi="Calibri"/>
        </w:rPr>
        <w:t xml:space="preserve"> in the prefecture of Bassar. </w:t>
      </w:r>
      <w:r>
        <w:rPr>
          <w:rFonts w:ascii="Calibri" w:hAnsi="Calibri"/>
        </w:rPr>
        <w:t xml:space="preserve">EITI implementation has led to improved scrutiny and oversight of </w:t>
      </w:r>
      <w:r w:rsidRPr="001733B4">
        <w:rPr>
          <w:rFonts w:ascii="Calibri" w:hAnsi="Calibri"/>
        </w:rPr>
        <w:t>subnationa</w:t>
      </w:r>
      <w:r>
        <w:rPr>
          <w:rFonts w:ascii="Calibri" w:hAnsi="Calibri"/>
        </w:rPr>
        <w:t>l transfers to local authorities. The</w:t>
      </w:r>
      <w:r w:rsidRPr="001733B4">
        <w:rPr>
          <w:rFonts w:ascii="Calibri" w:hAnsi="Calibri"/>
        </w:rPr>
        <w:t xml:space="preserve"> prefectures of Vo and Zio</w:t>
      </w:r>
      <w:r>
        <w:rPr>
          <w:rFonts w:ascii="Calibri" w:hAnsi="Calibri"/>
        </w:rPr>
        <w:t xml:space="preserve"> have </w:t>
      </w:r>
      <w:r w:rsidRPr="001C0A8B">
        <w:rPr>
          <w:rFonts w:ascii="Calibri" w:hAnsi="Calibri"/>
        </w:rPr>
        <w:t xml:space="preserve">used </w:t>
      </w:r>
      <w:r>
        <w:rPr>
          <w:rFonts w:ascii="Calibri" w:hAnsi="Calibri"/>
        </w:rPr>
        <w:t>these funds</w:t>
      </w:r>
      <w:r w:rsidRPr="001C0A8B">
        <w:rPr>
          <w:rFonts w:ascii="Calibri" w:hAnsi="Calibri"/>
        </w:rPr>
        <w:t xml:space="preserve"> in the constr</w:t>
      </w:r>
      <w:r>
        <w:rPr>
          <w:rFonts w:ascii="Calibri" w:hAnsi="Calibri"/>
        </w:rPr>
        <w:t>uction of social infrastructure such as markets, sanitation and</w:t>
      </w:r>
      <w:r w:rsidRPr="001C0A8B">
        <w:rPr>
          <w:rFonts w:ascii="Calibri" w:hAnsi="Calibri"/>
        </w:rPr>
        <w:t xml:space="preserve"> </w:t>
      </w:r>
      <w:r>
        <w:rPr>
          <w:rFonts w:ascii="Calibri" w:hAnsi="Calibri"/>
        </w:rPr>
        <w:t xml:space="preserve">new </w:t>
      </w:r>
      <w:r w:rsidRPr="001C0A8B">
        <w:rPr>
          <w:rFonts w:ascii="Calibri" w:hAnsi="Calibri"/>
        </w:rPr>
        <w:t>offices</w:t>
      </w:r>
      <w:r>
        <w:rPr>
          <w:rFonts w:ascii="Calibri" w:hAnsi="Calibri"/>
        </w:rPr>
        <w:t>. EITI implementation has also increased recognition of voluntary contributions to support local projects and has given rise to more</w:t>
      </w:r>
      <w:r w:rsidRPr="001733B4">
        <w:rPr>
          <w:rFonts w:ascii="Calibri" w:hAnsi="Calibri"/>
        </w:rPr>
        <w:t xml:space="preserve"> favo</w:t>
      </w:r>
      <w:r>
        <w:rPr>
          <w:rFonts w:ascii="Calibri" w:hAnsi="Calibri"/>
        </w:rPr>
        <w:t>u</w:t>
      </w:r>
      <w:r w:rsidRPr="001733B4">
        <w:rPr>
          <w:rFonts w:ascii="Calibri" w:hAnsi="Calibri"/>
        </w:rPr>
        <w:t>rable relationships between businesses and local communities.</w:t>
      </w:r>
    </w:p>
    <w:p w14:paraId="4730C240" w14:textId="08BDA3C4" w:rsidR="00056339" w:rsidRDefault="00C71C1F" w:rsidP="008A3148">
      <w:pPr>
        <w:tabs>
          <w:tab w:val="left" w:pos="6804"/>
        </w:tabs>
        <w:spacing w:after="0"/>
        <w:jc w:val="both"/>
        <w:rPr>
          <w:rFonts w:cstheme="minorHAnsi"/>
          <w:b/>
          <w:color w:val="365F91" w:themeColor="accent1" w:themeShade="BF"/>
        </w:rPr>
      </w:pPr>
      <w:r>
        <w:rPr>
          <w:rFonts w:cstheme="minorHAnsi"/>
          <w:color w:val="FF0000"/>
        </w:rPr>
        <w:br w:type="page"/>
      </w:r>
      <w:r w:rsidR="00CC23A6" w:rsidRPr="005625E1">
        <w:rPr>
          <w:rFonts w:cstheme="minorHAnsi"/>
          <w:b/>
          <w:color w:val="365F91" w:themeColor="accent1" w:themeShade="BF"/>
        </w:rPr>
        <w:lastRenderedPageBreak/>
        <w:t>T</w:t>
      </w:r>
      <w:r w:rsidR="00056339" w:rsidRPr="005625E1">
        <w:rPr>
          <w:rFonts w:cstheme="minorHAnsi"/>
          <w:b/>
          <w:color w:val="365F91" w:themeColor="accent1" w:themeShade="BF"/>
        </w:rPr>
        <w:t xml:space="preserve">he Independent Validator’s </w:t>
      </w:r>
      <w:r w:rsidR="002D2440" w:rsidRPr="005625E1">
        <w:rPr>
          <w:rFonts w:cstheme="minorHAnsi"/>
          <w:b/>
          <w:color w:val="365F91" w:themeColor="accent1" w:themeShade="BF"/>
        </w:rPr>
        <w:t xml:space="preserve">Assessment of Compliance </w:t>
      </w:r>
    </w:p>
    <w:p w14:paraId="6E405B96" w14:textId="77777777" w:rsidR="008A3148" w:rsidRPr="008A3148" w:rsidRDefault="008A3148" w:rsidP="008A3148">
      <w:pPr>
        <w:tabs>
          <w:tab w:val="left" w:pos="6804"/>
        </w:tabs>
        <w:spacing w:after="0"/>
        <w:jc w:val="both"/>
        <w:rPr>
          <w:rFonts w:ascii="Calibri" w:hAnsi="Calibri"/>
        </w:rPr>
      </w:pPr>
    </w:p>
    <w:p w14:paraId="6A711829" w14:textId="7E9CC165" w:rsidR="002D2440" w:rsidRPr="005625E1" w:rsidRDefault="002D2440" w:rsidP="00F12713">
      <w:pPr>
        <w:spacing w:after="0" w:line="240" w:lineRule="auto"/>
        <w:rPr>
          <w:rFonts w:eastAsia="Calibri" w:cstheme="minorHAnsi"/>
          <w:i/>
          <w:color w:val="365F91" w:themeColor="accent1" w:themeShade="BF"/>
        </w:rPr>
      </w:pPr>
      <w:r w:rsidRPr="005625E1">
        <w:rPr>
          <w:rFonts w:eastAsia="Calibri" w:cstheme="minorHAnsi"/>
          <w:i/>
          <w:color w:val="365F91" w:themeColor="accent1" w:themeShade="BF"/>
        </w:rPr>
        <w:t>Figure 1 – Validator’s assessment</w:t>
      </w:r>
    </w:p>
    <w:tbl>
      <w:tblPr>
        <w:tblW w:w="9945"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gridCol w:w="878"/>
      </w:tblGrid>
      <w:tr w:rsidR="00B54197" w:rsidRPr="00407552" w14:paraId="0BD6E5CA" w14:textId="77777777" w:rsidTr="003371C5">
        <w:trPr>
          <w:gridAfter w:val="1"/>
          <w:wAfter w:w="878" w:type="dxa"/>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33E73615" w14:textId="77777777" w:rsidR="00B54197" w:rsidRPr="00407552" w:rsidRDefault="00B54197" w:rsidP="003371C5">
            <w:pPr>
              <w:spacing w:after="0" w:line="240" w:lineRule="auto"/>
              <w:rPr>
                <w:rFonts w:ascii="Calibri" w:hAnsi="Calibri" w:cs="Times New Roman"/>
                <w:b/>
                <w:bCs/>
                <w:color w:val="FFFFFF"/>
                <w:lang w:eastAsia="en-GB"/>
              </w:rPr>
            </w:pPr>
            <w:r w:rsidRPr="00407552">
              <w:rPr>
                <w:rFonts w:ascii="Calibri" w:hAnsi="Calibri"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4812947A" w14:textId="77777777" w:rsidR="00B54197" w:rsidRPr="00407552" w:rsidRDefault="00B54197" w:rsidP="003371C5">
            <w:pPr>
              <w:spacing w:after="0" w:line="240" w:lineRule="auto"/>
              <w:jc w:val="center"/>
              <w:rPr>
                <w:rFonts w:ascii="Calibri" w:hAnsi="Calibri" w:cs="Times New Roman"/>
                <w:b/>
                <w:bCs/>
                <w:color w:val="FFFFFF"/>
                <w:lang w:eastAsia="en-GB"/>
              </w:rPr>
            </w:pPr>
            <w:r w:rsidRPr="00407552">
              <w:rPr>
                <w:rFonts w:ascii="Calibri" w:hAnsi="Calibri" w:cs="Times New Roman"/>
                <w:b/>
                <w:bCs/>
                <w:color w:val="FFFFFF"/>
                <w:lang w:eastAsia="en-GB"/>
              </w:rPr>
              <w:t>LEVEL OF PROGRESS</w:t>
            </w:r>
          </w:p>
        </w:tc>
      </w:tr>
      <w:tr w:rsidR="00B54197" w:rsidRPr="00407552" w14:paraId="6797DF9F" w14:textId="77777777" w:rsidTr="003371C5">
        <w:trPr>
          <w:gridAfter w:val="1"/>
          <w:wAfter w:w="878" w:type="dxa"/>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4E3A253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27B2769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047D3164"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51DC8053" w14:textId="77777777" w:rsidR="00B54197" w:rsidRPr="00407552" w:rsidRDefault="00B54197" w:rsidP="003371C5">
            <w:pPr>
              <w:spacing w:after="0" w:line="240" w:lineRule="auto"/>
              <w:rPr>
                <w:rFonts w:ascii="Calibri" w:hAnsi="Calibri" w:cs="Times New Roman"/>
                <w:b/>
                <w:bCs/>
                <w:color w:val="FFFFFF"/>
                <w:lang w:eastAsia="en-GB"/>
              </w:rPr>
            </w:pPr>
            <w:r w:rsidRPr="00407552">
              <w:rPr>
                <w:rFonts w:ascii="Calibri" w:hAnsi="Calibri"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1333D66F" w14:textId="77777777" w:rsidR="00B54197" w:rsidRPr="00407552" w:rsidRDefault="00B54197" w:rsidP="003371C5">
            <w:pPr>
              <w:spacing w:after="0" w:line="240" w:lineRule="auto"/>
              <w:rPr>
                <w:rFonts w:ascii="Calibri" w:hAnsi="Calibri" w:cs="Times New Roman"/>
                <w:bCs/>
                <w:color w:val="000000"/>
                <w:lang w:eastAsia="en-GB"/>
              </w:rPr>
            </w:pPr>
            <w:r w:rsidRPr="00407552">
              <w:rPr>
                <w:rFonts w:ascii="Calibri" w:hAnsi="Calibri" w:cs="Times New Roman"/>
                <w:bCs/>
                <w:color w:val="000000"/>
                <w:lang w:eastAsia="en-GB"/>
              </w:rPr>
              <w:t xml:space="preserve">  No</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46B6117A" w14:textId="77777777" w:rsidR="00B54197" w:rsidRPr="00407552" w:rsidRDefault="00B54197" w:rsidP="003371C5">
            <w:pPr>
              <w:spacing w:after="0" w:line="240" w:lineRule="auto"/>
              <w:rPr>
                <w:rFonts w:ascii="Calibri" w:hAnsi="Calibri" w:cs="Times New Roman"/>
                <w:bCs/>
                <w:color w:val="000000"/>
                <w:lang w:eastAsia="en-GB"/>
              </w:rPr>
            </w:pPr>
            <w:r w:rsidRPr="00407552">
              <w:rPr>
                <w:rFonts w:ascii="Calibri" w:hAnsi="Calibri" w:cs="Times New Roman"/>
                <w:bCs/>
                <w:color w:val="000000"/>
                <w:lang w:eastAsia="en-GB"/>
              </w:rPr>
              <w:t xml:space="preserve">  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51C95527" w14:textId="77777777" w:rsidR="00B54197" w:rsidRPr="00407552" w:rsidRDefault="00B54197" w:rsidP="003371C5">
            <w:pPr>
              <w:spacing w:after="0" w:line="240" w:lineRule="auto"/>
              <w:rPr>
                <w:rFonts w:ascii="Calibri" w:hAnsi="Calibri" w:cs="Times New Roman"/>
                <w:bCs/>
                <w:color w:val="000000"/>
                <w:lang w:eastAsia="en-GB"/>
              </w:rPr>
            </w:pPr>
            <w:r w:rsidRPr="00407552">
              <w:rPr>
                <w:rFonts w:ascii="Calibri" w:hAnsi="Calibri" w:cs="Times New Roman"/>
                <w:bCs/>
                <w:color w:val="000000"/>
                <w:lang w:eastAsia="en-GB"/>
              </w:rPr>
              <w:t xml:space="preserve">  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33D49F39" w14:textId="77777777" w:rsidR="00B54197" w:rsidRPr="00407552" w:rsidRDefault="00B54197" w:rsidP="003371C5">
            <w:pPr>
              <w:spacing w:after="0" w:line="240" w:lineRule="auto"/>
              <w:rPr>
                <w:rFonts w:ascii="Calibri" w:hAnsi="Calibri" w:cs="Times New Roman"/>
                <w:bCs/>
                <w:color w:val="000000"/>
                <w:lang w:eastAsia="en-GB"/>
              </w:rPr>
            </w:pPr>
            <w:r w:rsidRPr="00407552">
              <w:rPr>
                <w:rFonts w:ascii="Calibri" w:hAnsi="Calibri" w:cs="Times New Roman"/>
                <w:bCs/>
                <w:color w:val="000000"/>
                <w:lang w:eastAsia="en-GB"/>
              </w:rPr>
              <w:t xml:space="preserve">  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7EED1051" w14:textId="77777777" w:rsidR="00B54197" w:rsidRPr="00407552" w:rsidRDefault="00B54197" w:rsidP="003371C5">
            <w:pPr>
              <w:spacing w:after="0" w:line="240" w:lineRule="auto"/>
              <w:rPr>
                <w:rFonts w:ascii="Calibri" w:hAnsi="Calibri" w:cs="Times New Roman"/>
                <w:bCs/>
                <w:color w:val="000000"/>
                <w:lang w:eastAsia="en-GB"/>
              </w:rPr>
            </w:pPr>
            <w:r w:rsidRPr="00407552">
              <w:rPr>
                <w:rFonts w:ascii="Calibri" w:hAnsi="Calibri" w:cs="Times New Roman"/>
                <w:bCs/>
                <w:color w:val="000000"/>
                <w:lang w:eastAsia="en-GB"/>
              </w:rPr>
              <w:t xml:space="preserve">  Beyond</w:t>
            </w:r>
          </w:p>
        </w:tc>
      </w:tr>
      <w:tr w:rsidR="00B54197" w:rsidRPr="00407552" w14:paraId="1F649F5B" w14:textId="77777777" w:rsidTr="003371C5">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486ABBB1"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41AF427A"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00000"/>
          </w:tcPr>
          <w:p w14:paraId="7B961F9A" w14:textId="77777777" w:rsidR="00B54197" w:rsidRPr="00407552" w:rsidRDefault="00B54197" w:rsidP="003371C5">
            <w:pPr>
              <w:spacing w:after="0" w:line="240" w:lineRule="auto"/>
              <w:rPr>
                <w:rFonts w:ascii="Calibri" w:hAnsi="Calibri"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49475C9E" w14:textId="77777777" w:rsidR="00B54197" w:rsidRPr="00407552" w:rsidRDefault="00B54197" w:rsidP="003371C5">
            <w:pPr>
              <w:spacing w:after="0" w:line="240" w:lineRule="auto"/>
              <w:rPr>
                <w:rFonts w:ascii="Calibri" w:hAnsi="Calibri"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2"/>
            <w:vAlign w:val="bottom"/>
          </w:tcPr>
          <w:p w14:paraId="51B8F509"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3F9D39BB"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color w:val="000000"/>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0DBC7E26"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color w:val="000000"/>
                <w:lang w:eastAsia="en-GB"/>
              </w:rPr>
              <w:t> </w:t>
            </w:r>
          </w:p>
        </w:tc>
        <w:tc>
          <w:tcPr>
            <w:tcW w:w="878" w:type="dxa"/>
            <w:vAlign w:val="bottom"/>
          </w:tcPr>
          <w:p w14:paraId="134028A9" w14:textId="77777777" w:rsidR="00B54197" w:rsidRPr="00407552" w:rsidRDefault="00B54197" w:rsidP="003371C5">
            <w:pPr>
              <w:spacing w:after="0" w:line="240" w:lineRule="auto"/>
              <w:rPr>
                <w:rFonts w:ascii="Calibri" w:hAnsi="Calibri"/>
              </w:rPr>
            </w:pPr>
            <w:r w:rsidRPr="00407552">
              <w:rPr>
                <w:rFonts w:ascii="Calibri" w:hAnsi="Calibri" w:cs="Times New Roman"/>
                <w:color w:val="000000"/>
                <w:lang w:eastAsia="en-GB"/>
              </w:rPr>
              <w:t> </w:t>
            </w:r>
          </w:p>
        </w:tc>
      </w:tr>
      <w:tr w:rsidR="00B54197" w:rsidRPr="00407552" w14:paraId="70385C77" w14:textId="77777777" w:rsidTr="003371C5">
        <w:trPr>
          <w:gridAfter w:val="1"/>
          <w:wAfter w:w="878" w:type="dxa"/>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7242363B"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71275CE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E242AA4"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C84A0E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71CC6A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15FD081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72C795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5CD1BC0B" w14:textId="77777777" w:rsidTr="003371C5">
        <w:trPr>
          <w:gridAfter w:val="1"/>
          <w:wAfter w:w="878" w:type="dxa"/>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3D403B37"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642C7BB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9938B1B"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C4C39F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3578FB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71305B8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7344F4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61578FCA" w14:textId="77777777" w:rsidTr="003371C5">
        <w:trPr>
          <w:gridAfter w:val="1"/>
          <w:wAfter w:w="878" w:type="dxa"/>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7527D1C0"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13A6B83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DF54355"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52506A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87DB27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4933C7E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289F3B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499FFA36" w14:textId="77777777" w:rsidTr="003371C5">
        <w:trPr>
          <w:gridAfter w:val="1"/>
          <w:wAfter w:w="878" w:type="dxa"/>
          <w:trHeight w:val="32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77343031"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2829B2A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B7650B"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30AC2F9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8A9759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811DAC1"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0020C5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5EB24DCC" w14:textId="77777777" w:rsidTr="003371C5">
        <w:trPr>
          <w:gridAfter w:val="1"/>
          <w:wAfter w:w="878" w:type="dxa"/>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194EC196"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7D65546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Work</w:t>
            </w:r>
            <w:r>
              <w:rPr>
                <w:rFonts w:ascii="Calibri" w:hAnsi="Calibri" w:cs="Times New Roman"/>
                <w:color w:val="000000"/>
                <w:lang w:eastAsia="en-GB"/>
              </w:rPr>
              <w:t xml:space="preserve"> </w:t>
            </w:r>
            <w:r w:rsidRPr="00407552">
              <w:rPr>
                <w:rFonts w:ascii="Calibri" w:hAnsi="Calibri" w:cs="Times New Roman"/>
                <w:color w:val="000000"/>
                <w:lang w:eastAsia="en-GB"/>
              </w:rPr>
              <w:t>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33640D79"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20659FD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92D050"/>
            <w:noWrap/>
            <w:vAlign w:val="bottom"/>
            <w:hideMark/>
          </w:tcPr>
          <w:p w14:paraId="75B0EBF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1F5A4BA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66156AE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79C3F33A" w14:textId="77777777" w:rsidTr="003371C5">
        <w:trPr>
          <w:gridAfter w:val="1"/>
          <w:wAfter w:w="878" w:type="dxa"/>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95F61F3"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B3D951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648EAB30"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04A43F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C1EAB1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4F970A1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06BFC8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4ECC8347"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D56E1CB"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9210DF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License allocations (#2.2)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421F295"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56411E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B0F813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2CDDF57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A1E130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2EC4B54F"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6D51A2E"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85A12F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95F5FB"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tcPr>
          <w:p w14:paraId="4E0A61C5" w14:textId="77777777" w:rsidR="00B54197" w:rsidRPr="00407552" w:rsidRDefault="00B54197" w:rsidP="003371C5">
            <w:pPr>
              <w:spacing w:after="0" w:line="240" w:lineRule="auto"/>
              <w:rPr>
                <w:rFonts w:ascii="Calibri" w:hAnsi="Calibri" w:cs="Times New Roman"/>
                <w:color w:val="000000"/>
                <w:lang w:eastAsia="en-GB"/>
              </w:rPr>
            </w:pP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7F55964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172751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F01AFD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03DF476A"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B6C73A3"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A9D093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576292B"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11608F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756314B1"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51DBB3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0A422F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1FF991C5"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7C35885"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C27A3D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67C50116"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BC7999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35CCFB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1A9A45E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D9D9D9" w:themeFill="background1" w:themeFillShade="D9"/>
            <w:noWrap/>
            <w:vAlign w:val="bottom"/>
            <w:hideMark/>
          </w:tcPr>
          <w:p w14:paraId="2B776F6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24020E3D" w14:textId="77777777" w:rsidTr="003371C5">
        <w:trPr>
          <w:gridAfter w:val="1"/>
          <w:wAfter w:w="878" w:type="dxa"/>
          <w:trHeight w:val="31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4459F3C1"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49E90E0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CCAFC81"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6245A6E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92D050"/>
            <w:noWrap/>
            <w:vAlign w:val="bottom"/>
            <w:hideMark/>
          </w:tcPr>
          <w:p w14:paraId="25217F3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119D51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270FCB9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2D8FB4E8" w14:textId="77777777" w:rsidTr="003371C5">
        <w:trPr>
          <w:gridAfter w:val="1"/>
          <w:wAfter w:w="878" w:type="dxa"/>
          <w:trHeight w:val="337"/>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DE8FE57"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E725B0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41BB68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636F4F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55FCAD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66F4AB2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356372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50E9098A"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D1BEFE9"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3CFB05C"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1AD96D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B813CC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8067E3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5C257DA4"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551DF1C"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17D53613"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171FE135"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3D0F5B3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112AFFD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9A65B3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3E05FA9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00B050"/>
            <w:noWrap/>
            <w:vAlign w:val="bottom"/>
            <w:hideMark/>
          </w:tcPr>
          <w:p w14:paraId="066C2444"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7DB8064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4257161A" w14:textId="77777777" w:rsidTr="003371C5">
        <w:trPr>
          <w:gridAfter w:val="1"/>
          <w:wAfter w:w="878" w:type="dxa"/>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69882295"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6A3AA5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FCB6B67"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9E4426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4D4708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14ED3E8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C84EBC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67702051"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1F7BC63"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802ECB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63411980"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537C339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5ED41DD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0A8AAAB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bottom"/>
            <w:hideMark/>
          </w:tcPr>
          <w:p w14:paraId="04C3D28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2F55975F" w14:textId="77777777" w:rsidTr="003371C5">
        <w:trPr>
          <w:gridAfter w:val="1"/>
          <w:wAfter w:w="878" w:type="dxa"/>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394A1C2"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80E839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FDC0CB5"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7E03A19"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6021895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19F2B59"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24EAD2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5B5FB92A"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19CF387"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D37379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4A5D7D5E"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7F9F63C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center"/>
            <w:hideMark/>
          </w:tcPr>
          <w:p w14:paraId="20C3A0F6" w14:textId="77777777" w:rsidR="00B54197" w:rsidRPr="00407552" w:rsidRDefault="00B54197" w:rsidP="003371C5">
            <w:pPr>
              <w:spacing w:after="0" w:line="240" w:lineRule="auto"/>
              <w:jc w:val="center"/>
              <w:rPr>
                <w:rFonts w:ascii="Calibri" w:hAnsi="Calibri" w:cs="Times New Roman"/>
                <w:color w:val="00B050"/>
                <w:lang w:eastAsia="en-GB"/>
              </w:rPr>
            </w:pPr>
            <w:r w:rsidRPr="00407552">
              <w:rPr>
                <w:rFonts w:ascii="Calibri" w:hAnsi="Calibri"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center"/>
            <w:hideMark/>
          </w:tcPr>
          <w:p w14:paraId="0C02C4ED" w14:textId="77777777" w:rsidR="00B54197" w:rsidRPr="00407552" w:rsidRDefault="00B54197" w:rsidP="003371C5">
            <w:pPr>
              <w:spacing w:after="0" w:line="240" w:lineRule="auto"/>
              <w:jc w:val="center"/>
              <w:rPr>
                <w:rFonts w:ascii="Calibri" w:hAnsi="Calibri" w:cs="Times New Roman"/>
                <w:color w:val="00B050"/>
                <w:lang w:eastAsia="en-GB"/>
              </w:rPr>
            </w:pPr>
            <w:r w:rsidRPr="00407552">
              <w:rPr>
                <w:rFonts w:ascii="Calibri" w:hAnsi="Calibri" w:cs="Times New Roman"/>
                <w:color w:val="00B05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center"/>
            <w:hideMark/>
          </w:tcPr>
          <w:p w14:paraId="61497D7B" w14:textId="77777777" w:rsidR="00B54197" w:rsidRPr="00407552" w:rsidRDefault="00B54197" w:rsidP="003371C5">
            <w:pPr>
              <w:spacing w:after="0" w:line="240" w:lineRule="auto"/>
              <w:jc w:val="center"/>
              <w:rPr>
                <w:rFonts w:ascii="Calibri" w:hAnsi="Calibri" w:cs="Times New Roman"/>
                <w:color w:val="00B050"/>
                <w:lang w:eastAsia="en-GB"/>
              </w:rPr>
            </w:pPr>
            <w:r w:rsidRPr="00407552">
              <w:rPr>
                <w:rFonts w:ascii="Calibri" w:hAnsi="Calibri" w:cs="Times New Roman"/>
                <w:color w:val="00B050"/>
                <w:lang w:eastAsia="en-GB"/>
              </w:rPr>
              <w:t> </w:t>
            </w:r>
          </w:p>
        </w:tc>
      </w:tr>
      <w:tr w:rsidR="00B54197" w:rsidRPr="00407552" w14:paraId="3C7E4F5C"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24F662A"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B0F0DE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SOE transactions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B9657E7"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1B70DBC"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center"/>
            <w:hideMark/>
          </w:tcPr>
          <w:p w14:paraId="4696D6D0" w14:textId="77777777" w:rsidR="00B54197" w:rsidRPr="00407552" w:rsidRDefault="00B54197" w:rsidP="003371C5">
            <w:pPr>
              <w:spacing w:after="0" w:line="240" w:lineRule="auto"/>
              <w:jc w:val="center"/>
              <w:rPr>
                <w:rFonts w:ascii="Calibri" w:hAnsi="Calibri" w:cs="Times New Roman"/>
                <w:color w:val="00B050"/>
                <w:lang w:eastAsia="en-GB"/>
              </w:rPr>
            </w:pPr>
            <w:r w:rsidRPr="00407552">
              <w:rPr>
                <w:rFonts w:ascii="Calibri" w:hAnsi="Calibri"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3BBCA8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6552BC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5F9DA68E" w14:textId="77777777" w:rsidTr="003371C5">
        <w:trPr>
          <w:gridAfter w:val="1"/>
          <w:wAfter w:w="878" w:type="dxa"/>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4B747E0"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64D32D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AA45379"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D231BF9"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6F5298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4647D71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D12A701"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033BA8AB"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E0B8395"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AC3B77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162C70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57AD74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4A16FF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305076C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9E86371"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04EEC9C5" w14:textId="77777777" w:rsidTr="003371C5">
        <w:trPr>
          <w:gridAfter w:val="1"/>
          <w:wAfter w:w="878" w:type="dxa"/>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2C24798"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24150C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EC51332"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97E5FC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02C028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536983E1"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1F5273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1ED86421"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57BF3B0B"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5E4902D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31FED6E3"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88681B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B2ABBE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00B050"/>
            <w:noWrap/>
            <w:vAlign w:val="bottom"/>
            <w:hideMark/>
          </w:tcPr>
          <w:p w14:paraId="317804E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6462014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74EA1FE7" w14:textId="77777777" w:rsidTr="003371C5">
        <w:trPr>
          <w:gridAfter w:val="1"/>
          <w:wAfter w:w="878" w:type="dxa"/>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6E85FD35"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254FD57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Distribution of revenues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02BBF4D8"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FACBD0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0DDEA4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7C72747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DEC14E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4BE6EE68"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4D6E025"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5261D5C4"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529061"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0799A5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2423429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7BF6BA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591F81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78702096"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554EF22"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5666E60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Revenue management and expenditures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4492C1E7"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4D259954"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678004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4AECE8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3135CFC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0F255FE9" w14:textId="77777777" w:rsidTr="003371C5">
        <w:trPr>
          <w:gridAfter w:val="1"/>
          <w:wAfter w:w="878" w:type="dxa"/>
          <w:trHeight w:val="300"/>
        </w:trPr>
        <w:tc>
          <w:tcPr>
            <w:tcW w:w="2127" w:type="dxa"/>
            <w:vMerge w:val="restart"/>
            <w:tcBorders>
              <w:top w:val="single" w:sz="12" w:space="0" w:color="000000" w:themeColor="text1"/>
              <w:left w:val="single" w:sz="12" w:space="0" w:color="auto"/>
              <w:right w:val="single" w:sz="2" w:space="0" w:color="A6A6A6" w:themeColor="background1" w:themeShade="A6"/>
            </w:tcBorders>
            <w:shd w:val="clear" w:color="000000" w:fill="BFBFBF"/>
            <w:vAlign w:val="center"/>
            <w:hideMark/>
          </w:tcPr>
          <w:p w14:paraId="009F15E7"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7217F8AF" w14:textId="77777777" w:rsidR="00B54197" w:rsidRPr="00407552" w:rsidRDefault="00B54197" w:rsidP="003371C5">
            <w:pPr>
              <w:spacing w:after="0" w:line="240" w:lineRule="auto"/>
              <w:rPr>
                <w:rFonts w:ascii="Calibri" w:hAnsi="Calibri" w:cs="Times New Roman"/>
                <w:color w:val="000000"/>
                <w:lang w:eastAsia="en-GB"/>
              </w:rPr>
            </w:pPr>
            <w:r>
              <w:rPr>
                <w:rFonts w:ascii="Calibri" w:hAnsi="Calibri" w:cs="Times New Roman"/>
                <w:color w:val="000000"/>
                <w:lang w:eastAsia="en-GB"/>
              </w:rPr>
              <w:t>S</w:t>
            </w:r>
            <w:r w:rsidRPr="00407552">
              <w:rPr>
                <w:rFonts w:ascii="Calibri" w:hAnsi="Calibri" w:cs="Times New Roman"/>
                <w:color w:val="000000"/>
                <w:lang w:eastAsia="en-GB"/>
              </w:rPr>
              <w:t>ocial expenditures (#6.</w:t>
            </w:r>
            <w:r>
              <w:rPr>
                <w:rFonts w:ascii="Calibri" w:hAnsi="Calibri" w:cs="Times New Roman"/>
                <w:color w:val="000000"/>
                <w:lang w:eastAsia="en-GB"/>
              </w:rPr>
              <w:t>1</w:t>
            </w:r>
            <w:r w:rsidRPr="00407552">
              <w:rPr>
                <w:rFonts w:ascii="Calibri" w:hAnsi="Calibri" w:cs="Times New Roman"/>
                <w:color w:val="000000"/>
                <w:lang w:eastAsia="en-GB"/>
              </w:rPr>
              <w:t>)</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1CAC5381"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A0C398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6207DCB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2AA345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0C0"/>
            <w:noWrap/>
            <w:vAlign w:val="bottom"/>
            <w:hideMark/>
          </w:tcPr>
          <w:p w14:paraId="36A5BBE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3A5A21A6" w14:textId="77777777" w:rsidTr="003371C5">
        <w:trPr>
          <w:gridAfter w:val="1"/>
          <w:wAfter w:w="878" w:type="dxa"/>
          <w:trHeight w:val="300"/>
        </w:trPr>
        <w:tc>
          <w:tcPr>
            <w:tcW w:w="2127" w:type="dxa"/>
            <w:vMerge/>
            <w:tcBorders>
              <w:left w:val="single" w:sz="12" w:space="0" w:color="auto"/>
              <w:right w:val="single" w:sz="2" w:space="0" w:color="A6A6A6" w:themeColor="background1" w:themeShade="A6"/>
            </w:tcBorders>
            <w:shd w:val="clear" w:color="000000" w:fill="BFBFBF"/>
            <w:vAlign w:val="center"/>
            <w:hideMark/>
          </w:tcPr>
          <w:p w14:paraId="27DD37D3"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6CB36CB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3A5FC616"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073F06A6"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17EEBAD1"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3C81935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bottom"/>
            <w:hideMark/>
          </w:tcPr>
          <w:p w14:paraId="51FEE31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71D462C0" w14:textId="77777777" w:rsidTr="003371C5">
        <w:trPr>
          <w:gridAfter w:val="1"/>
          <w:wAfter w:w="878" w:type="dxa"/>
          <w:trHeight w:val="300"/>
        </w:trPr>
        <w:tc>
          <w:tcPr>
            <w:tcW w:w="2127" w:type="dxa"/>
            <w:vMerge/>
            <w:tcBorders>
              <w:left w:val="single" w:sz="12" w:space="0" w:color="auto"/>
              <w:bottom w:val="single" w:sz="12" w:space="0" w:color="auto"/>
              <w:right w:val="single" w:sz="2" w:space="0" w:color="A6A6A6" w:themeColor="background1" w:themeShade="A6"/>
            </w:tcBorders>
            <w:shd w:val="clear" w:color="000000" w:fill="BFBFBF"/>
            <w:vAlign w:val="center"/>
            <w:hideMark/>
          </w:tcPr>
          <w:p w14:paraId="2EC9BDAA"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0C7DECD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55F4A669"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5A0F8F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B7BE80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00B050"/>
            <w:noWrap/>
            <w:vAlign w:val="bottom"/>
            <w:hideMark/>
          </w:tcPr>
          <w:p w14:paraId="4B806B1E"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189A484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4452E39C" w14:textId="77777777" w:rsidTr="003371C5">
        <w:trPr>
          <w:gridAfter w:val="1"/>
          <w:wAfter w:w="878" w:type="dxa"/>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BDD431A" w14:textId="77777777" w:rsidR="00B54197" w:rsidRPr="00407552" w:rsidRDefault="00B54197" w:rsidP="003371C5">
            <w:pPr>
              <w:spacing w:after="0" w:line="240" w:lineRule="auto"/>
              <w:rPr>
                <w:rFonts w:ascii="Calibri" w:hAnsi="Calibri" w:cs="Times New Roman"/>
                <w:b/>
                <w:bCs/>
                <w:color w:val="000000"/>
                <w:lang w:eastAsia="en-GB"/>
              </w:rPr>
            </w:pPr>
            <w:r w:rsidRPr="00407552">
              <w:rPr>
                <w:rFonts w:ascii="Calibri" w:hAnsi="Calibri"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264374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09A8875E"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15DD10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728D60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64A6C3BF"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CB058F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265A118B" w14:textId="77777777" w:rsidTr="003371C5">
        <w:trPr>
          <w:gridAfter w:val="1"/>
          <w:wAfter w:w="878" w:type="dxa"/>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AF2C1B2"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DFDA45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5695FC1D"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2F5B6F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778A75A"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2AB8F313"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1451EF67"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499BDCD8"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85FD424"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F5A5054"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6C88BE6"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6ABA0D0"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145367D"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2748149B"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34B44D2"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r w:rsidR="00B54197" w:rsidRPr="00407552" w14:paraId="1FA96264"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7B7418EA"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FECD00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2AF582A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7A2CA11"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92D050"/>
            <w:noWrap/>
            <w:vAlign w:val="bottom"/>
            <w:hideMark/>
          </w:tcPr>
          <w:p w14:paraId="2B2EAFE4"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themeFill="background1"/>
            <w:noWrap/>
            <w:vAlign w:val="bottom"/>
            <w:hideMark/>
          </w:tcPr>
          <w:p w14:paraId="391E7CC5"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61A55B38" w14:textId="77777777" w:rsidR="00B54197" w:rsidRPr="00407552" w:rsidRDefault="00B54197" w:rsidP="003371C5">
            <w:pPr>
              <w:spacing w:after="0" w:line="240" w:lineRule="auto"/>
              <w:rPr>
                <w:rFonts w:ascii="Calibri" w:hAnsi="Calibri" w:cs="Times New Roman"/>
                <w:color w:val="000000"/>
                <w:lang w:eastAsia="en-GB"/>
              </w:rPr>
            </w:pPr>
            <w:r w:rsidRPr="00407552">
              <w:rPr>
                <w:rFonts w:ascii="Calibri" w:hAnsi="Calibri" w:cs="Times New Roman"/>
                <w:color w:val="000000"/>
                <w:lang w:eastAsia="en-GB"/>
              </w:rPr>
              <w:t> </w:t>
            </w:r>
          </w:p>
        </w:tc>
      </w:tr>
    </w:tbl>
    <w:p w14:paraId="62D9987F" w14:textId="77777777" w:rsidR="007F1C2E" w:rsidRDefault="007F1C2E" w:rsidP="00F12713">
      <w:pPr>
        <w:spacing w:after="0" w:line="240" w:lineRule="auto"/>
        <w:rPr>
          <w:rFonts w:cstheme="minorHAnsi"/>
          <w:color w:val="000000" w:themeColor="text1"/>
          <w:lang w:eastAsia="en-GB"/>
        </w:rPr>
      </w:pPr>
    </w:p>
    <w:p w14:paraId="7DA52E5A" w14:textId="77777777" w:rsidR="00C17CE1" w:rsidRDefault="00C17CE1" w:rsidP="00F12713">
      <w:pPr>
        <w:spacing w:after="0" w:line="240" w:lineRule="auto"/>
        <w:rPr>
          <w:rFonts w:cstheme="minorHAnsi"/>
          <w:color w:val="000000" w:themeColor="text1"/>
          <w:lang w:eastAsia="en-GB"/>
        </w:rPr>
      </w:pPr>
    </w:p>
    <w:p w14:paraId="36066AFA" w14:textId="77777777" w:rsidR="008A3148" w:rsidRDefault="008A3148" w:rsidP="00F12713">
      <w:pPr>
        <w:spacing w:after="0" w:line="240" w:lineRule="auto"/>
        <w:rPr>
          <w:rFonts w:cstheme="minorHAnsi"/>
          <w:color w:val="000000" w:themeColor="text1"/>
          <w:lang w:eastAsia="en-GB"/>
        </w:rPr>
      </w:pPr>
    </w:p>
    <w:p w14:paraId="44F02676" w14:textId="77777777" w:rsidR="00C17CE1" w:rsidRDefault="00C17CE1" w:rsidP="00F12713">
      <w:pPr>
        <w:spacing w:after="0" w:line="240" w:lineRule="auto"/>
        <w:rPr>
          <w:rFonts w:cstheme="minorHAnsi"/>
          <w:color w:val="000000" w:themeColor="text1"/>
          <w:lang w:eastAsia="en-GB"/>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0F507E" w:rsidRDefault="00C17CE1" w:rsidP="00780054">
            <w:pPr>
              <w:spacing w:after="0" w:line="240" w:lineRule="auto"/>
              <w:rPr>
                <w:rFonts w:cs="Times New Roman"/>
                <w:i/>
                <w:color w:val="000000"/>
              </w:rPr>
            </w:pPr>
            <w:r w:rsidRPr="000F507E">
              <w:rPr>
                <w:rFonts w:cs="Times New Roman"/>
                <w:i/>
                <w:color w:val="000000"/>
              </w:rPr>
              <w:lastRenderedPageBreak/>
              <w:t>Legend to the assessment card</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780054">
            <w:pPr>
              <w:spacing w:after="0" w:line="240" w:lineRule="auto"/>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76FB92DD"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no progress in addressing the requirement.  The broader objective of the requirement is in no way fulfilled.</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EFFCF05"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inadequate progress in meeting the requirement. Significant elements of the requirement are outstanding and the broader objective of the requirement is far from being fulfilled.</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46C2B5A"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made progress in meeting the requirement. Significant elements of the requirement are being implemented and the broader objective of the requirement is being fulfilled.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5FDF83B"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is compliant with the EITI requirement.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A604ADE"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gone beyond the requirement.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780054">
            <w:pPr>
              <w:spacing w:after="0" w:line="240" w:lineRule="auto"/>
              <w:jc w:val="center"/>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80F230E" w14:textId="77777777" w:rsidR="00C17CE1" w:rsidRPr="000F507E" w:rsidRDefault="00C17CE1" w:rsidP="00780054">
            <w:pPr>
              <w:spacing w:after="0" w:line="240" w:lineRule="auto"/>
              <w:rPr>
                <w:rFonts w:cs="Times New Roman"/>
                <w:color w:val="000000"/>
              </w:rPr>
            </w:pPr>
            <w:r w:rsidRPr="000F507E">
              <w:rPr>
                <w:rFonts w:cs="Times New Roman"/>
                <w:color w:val="000000"/>
              </w:rPr>
              <w:t>This requirement is only encouraged or recommended and should not be taken into account in assessing compliance.</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MSG has demonstrated that this requirement is not applicable in the country. </w:t>
            </w:r>
          </w:p>
        </w:tc>
      </w:tr>
    </w:tbl>
    <w:p w14:paraId="2AFE60CA" w14:textId="77777777" w:rsidR="00C17CE1" w:rsidRDefault="00C17CE1" w:rsidP="00F12713">
      <w:pPr>
        <w:spacing w:after="0" w:line="240" w:lineRule="auto"/>
        <w:rPr>
          <w:rFonts w:cstheme="minorHAnsi"/>
          <w:color w:val="000000" w:themeColor="text1"/>
          <w:lang w:eastAsia="en-GB"/>
        </w:rPr>
      </w:pPr>
    </w:p>
    <w:p w14:paraId="183C2573" w14:textId="026FA95E" w:rsidR="00A67544" w:rsidRPr="005625E1" w:rsidRDefault="002D2440" w:rsidP="00F12713">
      <w:pPr>
        <w:spacing w:after="0" w:line="240" w:lineRule="auto"/>
        <w:rPr>
          <w:rFonts w:cstheme="minorHAnsi"/>
          <w:b/>
          <w:color w:val="365F91" w:themeColor="accent1" w:themeShade="BF"/>
        </w:rPr>
      </w:pPr>
      <w:r w:rsidRPr="005625E1">
        <w:rPr>
          <w:rFonts w:cstheme="minorHAnsi"/>
          <w:b/>
          <w:color w:val="365F91" w:themeColor="accent1" w:themeShade="BF"/>
        </w:rPr>
        <w:br w:type="page"/>
      </w:r>
      <w:r w:rsidR="00B06EE0" w:rsidRPr="005625E1">
        <w:rPr>
          <w:rFonts w:cstheme="minorHAnsi"/>
          <w:b/>
          <w:color w:val="365F91" w:themeColor="accent1" w:themeShade="BF"/>
        </w:rPr>
        <w:lastRenderedPageBreak/>
        <w:t>3</w:t>
      </w:r>
      <w:r w:rsidR="00A67544" w:rsidRPr="005625E1">
        <w:rPr>
          <w:rFonts w:cstheme="minorHAnsi"/>
          <w:b/>
          <w:color w:val="365F91" w:themeColor="accent1" w:themeShade="BF"/>
        </w:rPr>
        <w:t>.</w:t>
      </w:r>
      <w:r w:rsidR="00310D77" w:rsidRPr="005625E1">
        <w:rPr>
          <w:rFonts w:cstheme="minorHAnsi"/>
          <w:b/>
          <w:color w:val="365F91" w:themeColor="accent1" w:themeShade="BF"/>
        </w:rPr>
        <w:tab/>
      </w:r>
      <w:r w:rsidR="00FD1CB7" w:rsidRPr="005625E1">
        <w:rPr>
          <w:rFonts w:cstheme="minorHAnsi"/>
          <w:b/>
          <w:color w:val="365F91" w:themeColor="accent1" w:themeShade="BF"/>
        </w:rPr>
        <w:t xml:space="preserve">DETAILED FINDINGS </w:t>
      </w:r>
    </w:p>
    <w:p w14:paraId="10C12F4D" w14:textId="77777777" w:rsidR="00824402" w:rsidRDefault="00824402" w:rsidP="00F12713">
      <w:pPr>
        <w:spacing w:after="0" w:line="240" w:lineRule="auto"/>
        <w:rPr>
          <w:rFonts w:cstheme="minorHAnsi"/>
          <w:b/>
        </w:rPr>
      </w:pPr>
    </w:p>
    <w:p w14:paraId="08BA86C6" w14:textId="77777777" w:rsidR="00A3483B" w:rsidRDefault="00A3483B" w:rsidP="008A3148">
      <w:pPr>
        <w:spacing w:after="0" w:line="240" w:lineRule="auto"/>
        <w:jc w:val="both"/>
        <w:rPr>
          <w:rFonts w:cstheme="minorHAnsi"/>
        </w:rPr>
      </w:pPr>
      <w:r>
        <w:rPr>
          <w:rFonts w:cstheme="minorHAnsi"/>
        </w:rPr>
        <w:t>The Validator agrees with the findings of the Initial Assessment.  Therefore there are no detailed findings on disagreements to report.</w:t>
      </w:r>
    </w:p>
    <w:p w14:paraId="5408CCA0" w14:textId="77777777" w:rsidR="00A938B1" w:rsidRDefault="00A938B1" w:rsidP="00A938B1">
      <w:pPr>
        <w:spacing w:after="0" w:line="240" w:lineRule="auto"/>
        <w:rPr>
          <w:rFonts w:cstheme="minorHAnsi"/>
        </w:rPr>
      </w:pPr>
    </w:p>
    <w:p w14:paraId="709EEE9D" w14:textId="77777777" w:rsidR="00A938B1" w:rsidRPr="00A938B1" w:rsidRDefault="00A938B1" w:rsidP="00A938B1">
      <w:pPr>
        <w:spacing w:after="0" w:line="240" w:lineRule="auto"/>
        <w:rPr>
          <w:rFonts w:cstheme="minorHAnsi"/>
        </w:rPr>
      </w:pPr>
    </w:p>
    <w:p w14:paraId="53E190DE" w14:textId="344C38FF" w:rsidR="00766D41" w:rsidRPr="005625E1" w:rsidRDefault="00766D41" w:rsidP="00D03129">
      <w:pPr>
        <w:spacing w:after="0" w:line="240" w:lineRule="auto"/>
        <w:ind w:left="720" w:hanging="720"/>
        <w:rPr>
          <w:rFonts w:cstheme="minorHAnsi"/>
          <w:b/>
          <w:color w:val="1F497D" w:themeColor="text2"/>
        </w:rPr>
      </w:pPr>
      <w:r w:rsidRPr="005625E1">
        <w:rPr>
          <w:rFonts w:cstheme="minorHAnsi"/>
          <w:b/>
          <w:color w:val="1F497D" w:themeColor="text2"/>
        </w:rPr>
        <w:t>4</w:t>
      </w:r>
      <w:r w:rsidR="00310D77" w:rsidRPr="005625E1">
        <w:rPr>
          <w:rFonts w:cstheme="minorHAnsi"/>
          <w:b/>
          <w:color w:val="1F497D" w:themeColor="text2"/>
        </w:rPr>
        <w:t>.</w:t>
      </w:r>
      <w:r w:rsidR="00310D77" w:rsidRPr="005625E1">
        <w:rPr>
          <w:rFonts w:cstheme="minorHAnsi"/>
          <w:b/>
          <w:color w:val="1F497D" w:themeColor="text2"/>
        </w:rPr>
        <w:tab/>
      </w:r>
      <w:r w:rsidRPr="005625E1">
        <w:rPr>
          <w:rFonts w:cstheme="minorHAnsi"/>
          <w:b/>
          <w:color w:val="1F497D" w:themeColor="text2"/>
        </w:rPr>
        <w:t>RECOMMENDATIONS</w:t>
      </w:r>
      <w:r w:rsidR="00310D77" w:rsidRPr="005625E1">
        <w:rPr>
          <w:rFonts w:cstheme="minorHAnsi"/>
          <w:b/>
          <w:color w:val="1F497D" w:themeColor="text2"/>
        </w:rPr>
        <w:t xml:space="preserve"> </w:t>
      </w:r>
    </w:p>
    <w:p w14:paraId="0F7F6A38" w14:textId="77954A7A" w:rsidR="00823D46" w:rsidRDefault="00823D46" w:rsidP="00F12713">
      <w:pPr>
        <w:spacing w:after="0" w:line="240" w:lineRule="auto"/>
        <w:ind w:left="720" w:hanging="720"/>
        <w:rPr>
          <w:rFonts w:cstheme="minorHAnsi"/>
          <w:b/>
          <w:color w:val="FF0000"/>
        </w:rPr>
      </w:pPr>
    </w:p>
    <w:p w14:paraId="39BE6665" w14:textId="77777777" w:rsidR="004E2A3B" w:rsidRDefault="004E2A3B" w:rsidP="008A3148">
      <w:pPr>
        <w:spacing w:before="120"/>
        <w:jc w:val="both"/>
        <w:rPr>
          <w:rFonts w:ascii="Calibri" w:hAnsi="Calibri"/>
          <w:bCs/>
        </w:rPr>
      </w:pPr>
      <w:r w:rsidRPr="005B4064">
        <w:rPr>
          <w:rFonts w:ascii="Calibri" w:hAnsi="Calibri"/>
          <w:bCs/>
        </w:rPr>
        <w:t>While t</w:t>
      </w:r>
      <w:r>
        <w:rPr>
          <w:rFonts w:ascii="Calibri" w:hAnsi="Calibri"/>
          <w:bCs/>
        </w:rPr>
        <w:t xml:space="preserve">his </w:t>
      </w:r>
      <w:r w:rsidRPr="005B4064">
        <w:rPr>
          <w:rFonts w:ascii="Calibri" w:hAnsi="Calibri"/>
          <w:bCs/>
        </w:rPr>
        <w:t>report includes recommendations for specific improvements</w:t>
      </w:r>
      <w:r>
        <w:rPr>
          <w:rFonts w:ascii="Calibri" w:hAnsi="Calibri"/>
          <w:bCs/>
        </w:rPr>
        <w:t xml:space="preserve"> </w:t>
      </w:r>
      <w:r w:rsidRPr="005B4064">
        <w:rPr>
          <w:rFonts w:ascii="Calibri" w:hAnsi="Calibri"/>
          <w:bCs/>
        </w:rPr>
        <w:t>the MSG may wish to consider implementing</w:t>
      </w:r>
      <w:r>
        <w:rPr>
          <w:rFonts w:ascii="Calibri" w:hAnsi="Calibri"/>
          <w:bCs/>
        </w:rPr>
        <w:t>,</w:t>
      </w:r>
      <w:r w:rsidRPr="005B4064">
        <w:rPr>
          <w:rFonts w:ascii="Calibri" w:hAnsi="Calibri"/>
          <w:bCs/>
        </w:rPr>
        <w:t xml:space="preserve"> the following is a list of strategic recommendations that could help </w:t>
      </w:r>
      <w:r>
        <w:rPr>
          <w:rFonts w:ascii="Calibri" w:hAnsi="Calibri"/>
          <w:bCs/>
        </w:rPr>
        <w:t>Togo</w:t>
      </w:r>
      <w:r w:rsidRPr="005B4064">
        <w:rPr>
          <w:rFonts w:ascii="Calibri" w:hAnsi="Calibri"/>
          <w:bCs/>
        </w:rPr>
        <w:t xml:space="preserve"> make even greater use of the EITI as an instrument to support reforms.</w:t>
      </w:r>
    </w:p>
    <w:p w14:paraId="586B085B" w14:textId="77777777" w:rsidR="004E2A3B" w:rsidRPr="006C2AB2" w:rsidRDefault="004E2A3B" w:rsidP="008A3148">
      <w:pPr>
        <w:numPr>
          <w:ilvl w:val="0"/>
          <w:numId w:val="10"/>
        </w:numPr>
        <w:spacing w:before="120" w:after="120" w:line="240" w:lineRule="auto"/>
        <w:jc w:val="both"/>
        <w:rPr>
          <w:bCs/>
          <w:lang w:val="en-029"/>
        </w:rPr>
      </w:pPr>
      <w:r w:rsidRPr="006C2AB2">
        <w:rPr>
          <w:bCs/>
          <w:lang w:val="en-CA"/>
        </w:rPr>
        <w:t xml:space="preserve">In accordance with requirement 1.4, the MSG should update its internal governance document with provisions ensuring that (i) </w:t>
      </w:r>
      <w:r w:rsidRPr="006C2AB2">
        <w:rPr>
          <w:bCs/>
          <w:lang w:val="en-029"/>
        </w:rPr>
        <w:t xml:space="preserve">representation on the MSG comprises appropriate stakeholders; (ii) there are clear procedures for alternate Steering Committee members and replacement of Steering Committee members; (iii) MSG members liaise with their constituencies; (iv) there is a mechanism for dealing with conflicts of interest; and (v) the Steering Committee’s policy on per diems is clear and transparent. The MSG should consider the adoption of the </w:t>
      </w:r>
      <w:r w:rsidRPr="006C2AB2">
        <w:rPr>
          <w:bCs/>
          <w:lang w:val="en-CA"/>
        </w:rPr>
        <w:t>Ministerial order on the renewal of the MSG.</w:t>
      </w:r>
    </w:p>
    <w:p w14:paraId="1D2C78D5" w14:textId="77777777" w:rsidR="004E2A3B" w:rsidRPr="006C2AB2" w:rsidRDefault="004E2A3B" w:rsidP="008A3148">
      <w:pPr>
        <w:numPr>
          <w:ilvl w:val="0"/>
          <w:numId w:val="10"/>
        </w:numPr>
        <w:spacing w:before="120" w:after="120" w:line="240" w:lineRule="auto"/>
        <w:jc w:val="both"/>
        <w:rPr>
          <w:bCs/>
          <w:lang w:val="en-029" w:eastAsia="x-none"/>
        </w:rPr>
      </w:pPr>
      <w:r w:rsidRPr="006C2AB2">
        <w:rPr>
          <w:bCs/>
          <w:lang w:val="en-029" w:eastAsia="x-none"/>
        </w:rPr>
        <w:t>In accordance with requirement 1.5, the MSG should ensure that the work plan sets clear implementation objectives that are linked to the EITI Principles and reflect national priorities, and that the workplan clearly sets out the agreed activities and responsible parties.</w:t>
      </w:r>
    </w:p>
    <w:p w14:paraId="4E243AD3" w14:textId="77777777" w:rsidR="004E2A3B" w:rsidRPr="006C2AB2" w:rsidRDefault="004E2A3B" w:rsidP="008A3148">
      <w:pPr>
        <w:numPr>
          <w:ilvl w:val="0"/>
          <w:numId w:val="10"/>
        </w:numPr>
        <w:spacing w:before="120" w:after="120" w:line="240" w:lineRule="auto"/>
        <w:jc w:val="both"/>
        <w:rPr>
          <w:bCs/>
          <w:lang w:val="en-029"/>
        </w:rPr>
      </w:pPr>
      <w:r w:rsidRPr="006C2AB2">
        <w:rPr>
          <w:bCs/>
          <w:lang w:val="en-029"/>
        </w:rPr>
        <w:t xml:space="preserve">To strengthen implementation, the MSG may wish to discuss and comment on whether the statutory provisions for the management and allocation of mining titles are clear, including the timeline for the allocation of permits.  </w:t>
      </w:r>
    </w:p>
    <w:p w14:paraId="5EF19A60" w14:textId="77777777" w:rsidR="004E2A3B" w:rsidRPr="006C2AB2" w:rsidRDefault="004E2A3B" w:rsidP="008A3148">
      <w:pPr>
        <w:numPr>
          <w:ilvl w:val="0"/>
          <w:numId w:val="10"/>
        </w:numPr>
        <w:spacing w:before="120" w:after="120" w:line="240" w:lineRule="auto"/>
        <w:jc w:val="both"/>
        <w:rPr>
          <w:bCs/>
          <w:lang w:val="en-CA"/>
        </w:rPr>
      </w:pPr>
      <w:r w:rsidRPr="006C2AB2">
        <w:rPr>
          <w:bCs/>
          <w:lang w:val="en-CA"/>
        </w:rPr>
        <w:t>In accordance with Requirement 2.3, Togo should maintain a publicly available register or cadastre system(s) with timely and comprehensive information regarding license holders, coordinates where collated, date of application, date of award, duration of the license and the commodity being produced in the case of production licenses.</w:t>
      </w:r>
    </w:p>
    <w:p w14:paraId="75BC3A06" w14:textId="77777777" w:rsidR="004E2A3B" w:rsidRPr="00771704" w:rsidRDefault="004E2A3B" w:rsidP="008A3148">
      <w:pPr>
        <w:numPr>
          <w:ilvl w:val="0"/>
          <w:numId w:val="10"/>
        </w:numPr>
        <w:spacing w:before="120" w:after="120" w:line="240" w:lineRule="auto"/>
        <w:jc w:val="both"/>
        <w:rPr>
          <w:b/>
          <w:bCs/>
          <w:lang w:val="en-029"/>
        </w:rPr>
      </w:pPr>
      <w:r w:rsidRPr="006C2AB2">
        <w:rPr>
          <w:bCs/>
          <w:lang w:val="en-029"/>
        </w:rPr>
        <w:t xml:space="preserve">In </w:t>
      </w:r>
      <w:r w:rsidRPr="006C2AB2">
        <w:rPr>
          <w:bCs/>
          <w:lang w:val="en-CA"/>
        </w:rPr>
        <w:t>accordance</w:t>
      </w:r>
      <w:r w:rsidRPr="006C2AB2">
        <w:rPr>
          <w:bCs/>
          <w:lang w:val="en-029"/>
        </w:rPr>
        <w:t xml:space="preserve"> with requirement 2.4, the MSG should clarify the government’s policy on contract transparency, including relevant legal provisions, actual disclosure practices and any government reforms that are planned or underway.</w:t>
      </w:r>
    </w:p>
    <w:p w14:paraId="510B00A0" w14:textId="77777777" w:rsidR="004E2A3B" w:rsidRPr="006C2AB2" w:rsidRDefault="004E2A3B" w:rsidP="008A3148">
      <w:pPr>
        <w:numPr>
          <w:ilvl w:val="0"/>
          <w:numId w:val="10"/>
        </w:numPr>
        <w:spacing w:before="120" w:after="120" w:line="240" w:lineRule="auto"/>
        <w:jc w:val="both"/>
        <w:rPr>
          <w:bCs/>
          <w:lang w:val="en-CA"/>
        </w:rPr>
      </w:pPr>
      <w:r w:rsidRPr="006C2AB2">
        <w:rPr>
          <w:bCs/>
          <w:lang w:val="en-CA"/>
        </w:rPr>
        <w:t>In accordance with Requirement 2.5, the government is encouraged to clarify the government policy on BO disclosure, and to agree a definition of politically exposed persons for beneficial ownership within the Togolese context, as well as a quality assurance mechanisms for company declarations on beneficial ownership.</w:t>
      </w:r>
    </w:p>
    <w:p w14:paraId="2E23CB20" w14:textId="77777777" w:rsidR="004E2A3B" w:rsidRPr="006C2AB2" w:rsidRDefault="004E2A3B" w:rsidP="008A3148">
      <w:pPr>
        <w:numPr>
          <w:ilvl w:val="0"/>
          <w:numId w:val="10"/>
        </w:numPr>
        <w:spacing w:before="120" w:after="120" w:line="240" w:lineRule="auto"/>
        <w:jc w:val="both"/>
        <w:rPr>
          <w:rFonts w:ascii="Calibri Light" w:hAnsi="Calibri Light"/>
          <w:bCs/>
          <w:lang w:val="en-029"/>
        </w:rPr>
      </w:pPr>
      <w:r w:rsidRPr="006C2AB2">
        <w:rPr>
          <w:bCs/>
          <w:lang w:val="en-CA"/>
        </w:rPr>
        <w:t>In accordance with requirement 2.6, the MSG should disclose</w:t>
      </w:r>
      <w:r w:rsidRPr="006C2AB2">
        <w:rPr>
          <w:bCs/>
          <w:sz w:val="20"/>
          <w:szCs w:val="20"/>
          <w:lang w:val="en-CA"/>
        </w:rPr>
        <w:t xml:space="preserve"> </w:t>
      </w:r>
      <w:r w:rsidRPr="006C2AB2">
        <w:rPr>
          <w:bCs/>
          <w:lang w:val="en-CA"/>
        </w:rPr>
        <w:t xml:space="preserve">details regarding the terms attached to the SOE’s equity stake, including their level of responsibility to cover expenses at various phases of the project cycle, e.g., full-paid equity, free equity, carried interest, for instance on the company’s website. The MSG should also provide details on loans and loan guarantees to SNPT. </w:t>
      </w:r>
    </w:p>
    <w:p w14:paraId="2E344BAA" w14:textId="77777777" w:rsidR="004E2A3B" w:rsidRPr="006C2AB2" w:rsidRDefault="004E2A3B" w:rsidP="008A3148">
      <w:pPr>
        <w:numPr>
          <w:ilvl w:val="0"/>
          <w:numId w:val="10"/>
        </w:numPr>
        <w:spacing w:before="120" w:after="120" w:line="240" w:lineRule="auto"/>
        <w:jc w:val="both"/>
        <w:rPr>
          <w:rFonts w:ascii="Calibri" w:hAnsi="Calibri"/>
          <w:bCs/>
          <w:lang w:val="en-029"/>
        </w:rPr>
      </w:pPr>
      <w:r w:rsidRPr="006C2AB2">
        <w:rPr>
          <w:bCs/>
          <w:lang w:val="en-029"/>
        </w:rPr>
        <w:t xml:space="preserve">To strengthen implementation, the MSG is encouraged to continue discussions with companies and the OTR on how to improve the collection of production data. </w:t>
      </w:r>
    </w:p>
    <w:p w14:paraId="7DE15F7F" w14:textId="77777777" w:rsidR="004E2A3B" w:rsidRPr="006C2AB2" w:rsidRDefault="004E2A3B" w:rsidP="008A3148">
      <w:pPr>
        <w:numPr>
          <w:ilvl w:val="0"/>
          <w:numId w:val="10"/>
        </w:numPr>
        <w:spacing w:before="120" w:after="120" w:line="240" w:lineRule="auto"/>
        <w:jc w:val="both"/>
        <w:rPr>
          <w:bCs/>
          <w:lang w:val="en-029"/>
        </w:rPr>
      </w:pPr>
      <w:bookmarkStart w:id="0" w:name="_GoBack"/>
      <w:bookmarkEnd w:id="0"/>
      <w:r w:rsidRPr="006C2AB2">
        <w:rPr>
          <w:bCs/>
          <w:lang w:val="en-029"/>
        </w:rPr>
        <w:t xml:space="preserve">To strengthen implementation, and in accordance with the global trend toward EITI mainstreaming, </w:t>
      </w:r>
      <w:r w:rsidRPr="006C2AB2">
        <w:rPr>
          <w:bCs/>
          <w:lang w:val="en-CA"/>
        </w:rPr>
        <w:t>the OTR could consider disclosing disaggregated data on mining revenues prior to reconciliation work.</w:t>
      </w:r>
    </w:p>
    <w:p w14:paraId="4A1976CF" w14:textId="77777777" w:rsidR="004E2A3B" w:rsidRPr="006C2AB2" w:rsidRDefault="004E2A3B" w:rsidP="008A3148">
      <w:pPr>
        <w:numPr>
          <w:ilvl w:val="0"/>
          <w:numId w:val="10"/>
        </w:numPr>
        <w:spacing w:before="120" w:after="120" w:line="240" w:lineRule="auto"/>
        <w:jc w:val="both"/>
        <w:rPr>
          <w:bCs/>
          <w:lang w:val="en-CA"/>
        </w:rPr>
      </w:pPr>
      <w:r w:rsidRPr="006C2AB2">
        <w:rPr>
          <w:bCs/>
          <w:lang w:val="en-CA"/>
        </w:rPr>
        <w:t>In accordance with requirement 4.3, the MSG should</w:t>
      </w:r>
      <w:r w:rsidRPr="006C2AB2">
        <w:rPr>
          <w:bCs/>
          <w:sz w:val="20"/>
          <w:szCs w:val="20"/>
          <w:lang w:val="en-CA"/>
        </w:rPr>
        <w:t xml:space="preserve"> </w:t>
      </w:r>
      <w:r w:rsidRPr="006C2AB2">
        <w:rPr>
          <w:bCs/>
          <w:lang w:val="en-CA"/>
        </w:rPr>
        <w:t xml:space="preserve">gain a full understanding of the terms of the relevant barter agreements and contracts, the parties involved, the resources which have been pledged by the state, the value of the balancing benefit stream (e.g. infrastructure works), and the materiality of these agreements relative to conventional contracts. The multi-stakeholder group and the Independent Administrator should ensure that the EITI Report addresses these arrangements, providing a level of detail commensurate with the disclosure and reconciliation of other payments and revenues streams. </w:t>
      </w:r>
    </w:p>
    <w:p w14:paraId="4DEFBDC9" w14:textId="77777777" w:rsidR="004E2A3B" w:rsidRPr="006C2AB2" w:rsidRDefault="004E2A3B" w:rsidP="008A3148">
      <w:pPr>
        <w:numPr>
          <w:ilvl w:val="0"/>
          <w:numId w:val="10"/>
        </w:numPr>
        <w:spacing w:before="120" w:after="120" w:line="240" w:lineRule="auto"/>
        <w:jc w:val="both"/>
        <w:rPr>
          <w:bCs/>
          <w:lang w:val="en-029" w:eastAsia="x-none"/>
        </w:rPr>
      </w:pPr>
      <w:r w:rsidRPr="006C2AB2">
        <w:rPr>
          <w:bCs/>
          <w:lang w:val="en-029" w:eastAsia="x-none"/>
        </w:rPr>
        <w:lastRenderedPageBreak/>
        <w:t xml:space="preserve">In </w:t>
      </w:r>
      <w:r w:rsidRPr="006C2AB2">
        <w:rPr>
          <w:bCs/>
          <w:lang w:val="en-CA"/>
        </w:rPr>
        <w:t xml:space="preserve">accordance </w:t>
      </w:r>
      <w:r w:rsidRPr="006C2AB2">
        <w:rPr>
          <w:bCs/>
          <w:lang w:val="en-029" w:eastAsia="x-none"/>
        </w:rPr>
        <w:t>with requirement 4.5, the MSG should ensure that SNPT provides the detailed information requested by the Independent Administrator allowing for more in-depth reconciliation with government figures.</w:t>
      </w:r>
    </w:p>
    <w:p w14:paraId="0150B904" w14:textId="77777777" w:rsidR="004E2A3B" w:rsidRPr="006C2AB2" w:rsidRDefault="004E2A3B" w:rsidP="008A3148">
      <w:pPr>
        <w:numPr>
          <w:ilvl w:val="0"/>
          <w:numId w:val="10"/>
        </w:numPr>
        <w:spacing w:before="120" w:after="120" w:line="240" w:lineRule="auto"/>
        <w:jc w:val="both"/>
        <w:rPr>
          <w:bCs/>
          <w:lang w:val="en-CA" w:eastAsia="x-none"/>
        </w:rPr>
      </w:pPr>
      <w:r w:rsidRPr="006C2AB2">
        <w:rPr>
          <w:bCs/>
          <w:lang w:val="en-CA" w:eastAsia="x-none"/>
        </w:rPr>
        <w:t xml:space="preserve">In </w:t>
      </w:r>
      <w:r w:rsidRPr="006C2AB2">
        <w:rPr>
          <w:bCs/>
          <w:lang w:val="en-CA"/>
        </w:rPr>
        <w:t xml:space="preserve">accordance </w:t>
      </w:r>
      <w:r w:rsidRPr="006C2AB2">
        <w:rPr>
          <w:bCs/>
          <w:lang w:val="en-CA" w:eastAsia="x-none"/>
        </w:rPr>
        <w:t>with requirement 5.2, the MSG should liaise with the OTR to disclose the revenue sharing formula</w:t>
      </w:r>
      <w:r w:rsidRPr="006C2AB2">
        <w:rPr>
          <w:lang w:val="en-CA"/>
        </w:rPr>
        <w:t xml:space="preserve"> </w:t>
      </w:r>
      <w:r w:rsidRPr="006C2AB2">
        <w:rPr>
          <w:bCs/>
        </w:rPr>
        <w:t xml:space="preserve">for any </w:t>
      </w:r>
      <w:r w:rsidRPr="006C2AB2">
        <w:rPr>
          <w:bCs/>
          <w:lang w:val="en-CA" w:eastAsia="x-none"/>
        </w:rPr>
        <w:t>transfers between national and subnational government entities that are related to revenues generated by the extractive industries, including any discrepancies between the transfer amount calculated in accordance with the relevant revenue sharing formula and the actual amount that was transferred between the central government and each relevant subnational entity.</w:t>
      </w:r>
    </w:p>
    <w:p w14:paraId="35790013" w14:textId="77777777" w:rsidR="00C352FD" w:rsidRDefault="00C352FD" w:rsidP="00C352FD">
      <w:pPr>
        <w:spacing w:after="0" w:line="240" w:lineRule="auto"/>
        <w:rPr>
          <w:rFonts w:cstheme="minorHAnsi"/>
        </w:rPr>
      </w:pPr>
    </w:p>
    <w:p w14:paraId="7E04B2AA" w14:textId="77777777" w:rsidR="00C352FD" w:rsidRDefault="00C352FD" w:rsidP="00C352FD">
      <w:pPr>
        <w:spacing w:after="0" w:line="240" w:lineRule="auto"/>
        <w:rPr>
          <w:rFonts w:cstheme="minorHAnsi"/>
        </w:rPr>
      </w:pPr>
    </w:p>
    <w:p w14:paraId="7053208A" w14:textId="2CC17537" w:rsidR="000608BE" w:rsidRPr="000608BE" w:rsidRDefault="000608BE" w:rsidP="002E590F">
      <w:pPr>
        <w:widowControl w:val="0"/>
        <w:suppressAutoHyphens/>
        <w:spacing w:after="0" w:line="240" w:lineRule="auto"/>
        <w:jc w:val="center"/>
        <w:rPr>
          <w:rFonts w:cstheme="minorHAnsi"/>
        </w:rPr>
      </w:pPr>
      <w:r>
        <w:rPr>
          <w:rFonts w:cstheme="minorHAnsi"/>
        </w:rPr>
        <w:t>***</w:t>
      </w:r>
    </w:p>
    <w:sectPr w:rsidR="000608BE" w:rsidRPr="000608BE" w:rsidSect="008A3148">
      <w:footerReference w:type="even" r:id="rId8"/>
      <w:footerReference w:type="default" r:id="rId9"/>
      <w:pgSz w:w="12240" w:h="15840" w:code="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E81E" w14:textId="77777777" w:rsidR="00F11FEC" w:rsidRDefault="00F11FEC" w:rsidP="00186F04">
      <w:pPr>
        <w:spacing w:after="0" w:line="240" w:lineRule="auto"/>
      </w:pPr>
      <w:r>
        <w:separator/>
      </w:r>
    </w:p>
  </w:endnote>
  <w:endnote w:type="continuationSeparator" w:id="0">
    <w:p w14:paraId="508A37EB" w14:textId="77777777" w:rsidR="00F11FEC" w:rsidRDefault="00F11FEC"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4F37" w14:textId="77777777" w:rsidR="00321499" w:rsidRDefault="00321499"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321499" w:rsidRDefault="00321499" w:rsidP="00185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647" w14:textId="692A3AB6" w:rsidR="00321499" w:rsidRDefault="00321499"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3AB">
      <w:rPr>
        <w:rStyle w:val="PageNumber"/>
        <w:noProof/>
      </w:rPr>
      <w:t>7</w:t>
    </w:r>
    <w:r>
      <w:rPr>
        <w:rStyle w:val="PageNumber"/>
      </w:rPr>
      <w:fldChar w:fldCharType="end"/>
    </w:r>
  </w:p>
  <w:p w14:paraId="57266DD4" w14:textId="77777777" w:rsidR="00321499" w:rsidRDefault="00321499" w:rsidP="00185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58A8A" w14:textId="77777777" w:rsidR="00F11FEC" w:rsidRDefault="00F11FEC" w:rsidP="00186F04">
      <w:pPr>
        <w:spacing w:after="0" w:line="240" w:lineRule="auto"/>
      </w:pPr>
      <w:r>
        <w:separator/>
      </w:r>
    </w:p>
  </w:footnote>
  <w:footnote w:type="continuationSeparator" w:id="0">
    <w:p w14:paraId="4A4DFB3B" w14:textId="77777777" w:rsidR="00F11FEC" w:rsidRDefault="00F11FEC" w:rsidP="00186F04">
      <w:pPr>
        <w:spacing w:after="0" w:line="240" w:lineRule="auto"/>
      </w:pPr>
      <w:r>
        <w:continuationSeparator/>
      </w:r>
    </w:p>
  </w:footnote>
  <w:footnote w:id="1">
    <w:p w14:paraId="6F683D4D" w14:textId="77777777" w:rsidR="00174A91" w:rsidRPr="00F61F36" w:rsidRDefault="00174A91" w:rsidP="00174A91">
      <w:pPr>
        <w:pStyle w:val="FootnoteText"/>
      </w:pPr>
      <w:r w:rsidRPr="000A1B63">
        <w:rPr>
          <w:rStyle w:val="FootnoteReference"/>
          <w:sz w:val="18"/>
          <w:szCs w:val="18"/>
        </w:rPr>
        <w:footnoteRef/>
      </w:r>
      <w:r w:rsidRPr="000A1B63">
        <w:rPr>
          <w:sz w:val="18"/>
          <w:szCs w:val="18"/>
        </w:rPr>
        <w:t xml:space="preserve"> World Bank overview Togo updated on 1 April 2017: </w:t>
      </w:r>
      <w:hyperlink r:id="rId1" w:history="1">
        <w:r w:rsidRPr="000A1B63">
          <w:rPr>
            <w:rStyle w:val="Hyperlink"/>
            <w:sz w:val="18"/>
            <w:szCs w:val="18"/>
          </w:rPr>
          <w:t>http://www.worldbank.org/en/country/togo/overview</w:t>
        </w:r>
      </w:hyperlink>
      <w:r>
        <w:t xml:space="preserve"> </w:t>
      </w:r>
    </w:p>
  </w:footnote>
  <w:footnote w:id="2">
    <w:p w14:paraId="0D049881" w14:textId="77777777" w:rsidR="00174A91" w:rsidRPr="000A1B63" w:rsidRDefault="00174A91" w:rsidP="00174A91">
      <w:pPr>
        <w:pStyle w:val="FootnoteText"/>
        <w:rPr>
          <w:sz w:val="18"/>
          <w:szCs w:val="18"/>
        </w:rPr>
      </w:pPr>
      <w:r>
        <w:rPr>
          <w:rStyle w:val="FootnoteReference"/>
        </w:rPr>
        <w:footnoteRef/>
      </w:r>
      <w:r>
        <w:t xml:space="preserve"> </w:t>
      </w:r>
      <w:r w:rsidRPr="000A1B63">
        <w:rPr>
          <w:sz w:val="18"/>
          <w:szCs w:val="18"/>
        </w:rPr>
        <w:t xml:space="preserve">2014 EITI Report: </w:t>
      </w:r>
      <w:hyperlink r:id="rId2" w:history="1">
        <w:r w:rsidRPr="000A1B63">
          <w:rPr>
            <w:rStyle w:val="Hyperlink"/>
            <w:sz w:val="18"/>
            <w:szCs w:val="18"/>
          </w:rPr>
          <w:t>https://eiti.org/sites/default/files/documents/rapport-itie-togo_2014.pdf</w:t>
        </w:r>
      </w:hyperlink>
      <w:r w:rsidRPr="000A1B63">
        <w:rPr>
          <w:sz w:val="18"/>
          <w:szCs w:val="18"/>
        </w:rPr>
        <w:t xml:space="preserve"> </w:t>
      </w:r>
    </w:p>
  </w:footnote>
  <w:footnote w:id="3">
    <w:p w14:paraId="5ADDF008" w14:textId="77777777" w:rsidR="004E2A3B" w:rsidRPr="00F746AD" w:rsidRDefault="004E2A3B" w:rsidP="004E2A3B">
      <w:pPr>
        <w:pStyle w:val="FootnoteText"/>
        <w:rPr>
          <w:lang w:val="nb-NO"/>
        </w:rPr>
      </w:pPr>
      <w:r w:rsidRPr="000A1B63">
        <w:rPr>
          <w:rStyle w:val="FootnoteReference"/>
          <w:sz w:val="18"/>
          <w:szCs w:val="18"/>
        </w:rPr>
        <w:footnoteRef/>
      </w:r>
      <w:r w:rsidRPr="000A1B63">
        <w:rPr>
          <w:sz w:val="18"/>
          <w:szCs w:val="18"/>
          <w:lang w:val="nb-NO"/>
        </w:rPr>
        <w:t xml:space="preserve"> </w:t>
      </w:r>
      <w:hyperlink r:id="rId3" w:history="1">
        <w:r w:rsidRPr="00F25937">
          <w:rPr>
            <w:rStyle w:val="Hyperlink"/>
            <w:sz w:val="18"/>
            <w:szCs w:val="18"/>
            <w:lang w:val="nb-NO"/>
          </w:rPr>
          <w:t>https://www.imf.org/external/pubs/ft/scr/2014/cr14224.pdf</w:t>
        </w:r>
      </w:hyperlink>
      <w:r w:rsidRPr="007D44AF">
        <w:rPr>
          <w:lang w:val="nb-NO"/>
        </w:rPr>
        <w:t xml:space="preserve"> </w:t>
      </w:r>
      <w:r w:rsidRPr="000A1B63">
        <w:rPr>
          <w:sz w:val="18"/>
          <w:szCs w:val="18"/>
          <w:lang w:val="nb-NO"/>
        </w:rPr>
        <w:t xml:space="preserve"> </w:t>
      </w:r>
    </w:p>
  </w:footnote>
  <w:footnote w:id="4">
    <w:p w14:paraId="7E67BFA6" w14:textId="77777777" w:rsidR="004E2A3B" w:rsidRPr="00F746AD" w:rsidRDefault="004E2A3B" w:rsidP="004E2A3B">
      <w:pPr>
        <w:pStyle w:val="FootnoteText"/>
        <w:rPr>
          <w:lang w:val="nb-NO"/>
        </w:rPr>
      </w:pPr>
      <w:r>
        <w:rPr>
          <w:rStyle w:val="FootnoteReference"/>
        </w:rPr>
        <w:footnoteRef/>
      </w:r>
      <w:r w:rsidRPr="00F746AD">
        <w:rPr>
          <w:lang w:val="nb-NO"/>
        </w:rPr>
        <w:t xml:space="preserve"> </w:t>
      </w:r>
      <w:r w:rsidRPr="0094109B">
        <w:rPr>
          <w:sz w:val="18"/>
          <w:szCs w:val="18"/>
          <w:lang w:val="nb-NO"/>
        </w:rPr>
        <w:t>http://www.assemblee-nationale.tg/actualites/217-renforcement-de-l%E2%80%99arsenal-juridique-en-mati%C3%A8re-lutte-contre-la-corruption.htm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B5CCD"/>
    <w:multiLevelType w:val="hybridMultilevel"/>
    <w:tmpl w:val="D0DE7470"/>
    <w:lvl w:ilvl="0" w:tplc="589E0C64">
      <w:start w:val="1"/>
      <w:numFmt w:val="decimal"/>
      <w:lvlText w:val="%1."/>
      <w:lvlJc w:val="left"/>
      <w:pPr>
        <w:ind w:left="360" w:hanging="360"/>
      </w:pPr>
      <w:rPr>
        <w:rFonts w:hint="default"/>
        <w:color w:val="1F497D" w:themeColor="text2"/>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425652"/>
    <w:multiLevelType w:val="hybridMultilevel"/>
    <w:tmpl w:val="B67EA480"/>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
  </w:num>
  <w:num w:numId="7">
    <w:abstractNumId w:val="7"/>
  </w:num>
  <w:num w:numId="8">
    <w:abstractNumId w:val="4"/>
  </w:num>
  <w:num w:numId="9">
    <w:abstractNumId w:val="0"/>
  </w:num>
  <w:num w:numId="10">
    <w:abstractNumId w:val="8"/>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6"/>
    <w:rsid w:val="0000008D"/>
    <w:rsid w:val="00000EAA"/>
    <w:rsid w:val="000078E9"/>
    <w:rsid w:val="00010FBC"/>
    <w:rsid w:val="00012BF4"/>
    <w:rsid w:val="0001315D"/>
    <w:rsid w:val="000131DC"/>
    <w:rsid w:val="00016E7E"/>
    <w:rsid w:val="000175AE"/>
    <w:rsid w:val="00020DA4"/>
    <w:rsid w:val="000235AF"/>
    <w:rsid w:val="0002362B"/>
    <w:rsid w:val="00024230"/>
    <w:rsid w:val="000257C0"/>
    <w:rsid w:val="00026B56"/>
    <w:rsid w:val="0002747A"/>
    <w:rsid w:val="00032378"/>
    <w:rsid w:val="0003327A"/>
    <w:rsid w:val="00040C82"/>
    <w:rsid w:val="00043B92"/>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80AC4"/>
    <w:rsid w:val="00084829"/>
    <w:rsid w:val="00086E78"/>
    <w:rsid w:val="0008702B"/>
    <w:rsid w:val="00091E26"/>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69DE"/>
    <w:rsid w:val="000D6AB9"/>
    <w:rsid w:val="000D7037"/>
    <w:rsid w:val="000D71C1"/>
    <w:rsid w:val="000D7CEB"/>
    <w:rsid w:val="000E1506"/>
    <w:rsid w:val="000E1BF2"/>
    <w:rsid w:val="000E2EF6"/>
    <w:rsid w:val="000E345F"/>
    <w:rsid w:val="000F3FE0"/>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212FD"/>
    <w:rsid w:val="001244EB"/>
    <w:rsid w:val="00124A0A"/>
    <w:rsid w:val="00125E59"/>
    <w:rsid w:val="00131F3F"/>
    <w:rsid w:val="0013451F"/>
    <w:rsid w:val="00140F76"/>
    <w:rsid w:val="00142290"/>
    <w:rsid w:val="001427A5"/>
    <w:rsid w:val="00143D5A"/>
    <w:rsid w:val="00146EC1"/>
    <w:rsid w:val="00151499"/>
    <w:rsid w:val="00155749"/>
    <w:rsid w:val="00161877"/>
    <w:rsid w:val="00162976"/>
    <w:rsid w:val="001645A4"/>
    <w:rsid w:val="00166319"/>
    <w:rsid w:val="00171CE0"/>
    <w:rsid w:val="00172322"/>
    <w:rsid w:val="001748FF"/>
    <w:rsid w:val="00174A91"/>
    <w:rsid w:val="00176B8D"/>
    <w:rsid w:val="0017792C"/>
    <w:rsid w:val="0018007F"/>
    <w:rsid w:val="001817EE"/>
    <w:rsid w:val="00182F37"/>
    <w:rsid w:val="0018358C"/>
    <w:rsid w:val="00184391"/>
    <w:rsid w:val="00185BF5"/>
    <w:rsid w:val="001861D5"/>
    <w:rsid w:val="0018631A"/>
    <w:rsid w:val="00186F04"/>
    <w:rsid w:val="00191216"/>
    <w:rsid w:val="001921DC"/>
    <w:rsid w:val="001946A4"/>
    <w:rsid w:val="00197D6B"/>
    <w:rsid w:val="001A132E"/>
    <w:rsid w:val="001A386F"/>
    <w:rsid w:val="001A4E34"/>
    <w:rsid w:val="001A50F7"/>
    <w:rsid w:val="001A6431"/>
    <w:rsid w:val="001B3B6F"/>
    <w:rsid w:val="001C1952"/>
    <w:rsid w:val="001C33F5"/>
    <w:rsid w:val="001C3829"/>
    <w:rsid w:val="001D3A2B"/>
    <w:rsid w:val="001D4318"/>
    <w:rsid w:val="001D68E2"/>
    <w:rsid w:val="001D759A"/>
    <w:rsid w:val="001F0A27"/>
    <w:rsid w:val="001F6B6D"/>
    <w:rsid w:val="00200EC6"/>
    <w:rsid w:val="00201632"/>
    <w:rsid w:val="00201EB8"/>
    <w:rsid w:val="00205C1B"/>
    <w:rsid w:val="00205CD3"/>
    <w:rsid w:val="00205F21"/>
    <w:rsid w:val="002109FB"/>
    <w:rsid w:val="002200AD"/>
    <w:rsid w:val="0022274E"/>
    <w:rsid w:val="002234D7"/>
    <w:rsid w:val="00232B37"/>
    <w:rsid w:val="00233DB9"/>
    <w:rsid w:val="002370E4"/>
    <w:rsid w:val="00243D4F"/>
    <w:rsid w:val="00243FF7"/>
    <w:rsid w:val="00244055"/>
    <w:rsid w:val="002466C7"/>
    <w:rsid w:val="002505AD"/>
    <w:rsid w:val="0025100A"/>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4673"/>
    <w:rsid w:val="00275241"/>
    <w:rsid w:val="002807CA"/>
    <w:rsid w:val="00280C48"/>
    <w:rsid w:val="00283F39"/>
    <w:rsid w:val="00285F1D"/>
    <w:rsid w:val="00286C7B"/>
    <w:rsid w:val="002875D7"/>
    <w:rsid w:val="00287F73"/>
    <w:rsid w:val="00291451"/>
    <w:rsid w:val="00292CAD"/>
    <w:rsid w:val="002939E2"/>
    <w:rsid w:val="00294906"/>
    <w:rsid w:val="002A10E4"/>
    <w:rsid w:val="002A3A13"/>
    <w:rsid w:val="002A3D9D"/>
    <w:rsid w:val="002A5801"/>
    <w:rsid w:val="002B2A68"/>
    <w:rsid w:val="002B3318"/>
    <w:rsid w:val="002B3865"/>
    <w:rsid w:val="002B53EF"/>
    <w:rsid w:val="002C0504"/>
    <w:rsid w:val="002C0FC7"/>
    <w:rsid w:val="002C1876"/>
    <w:rsid w:val="002C25D5"/>
    <w:rsid w:val="002C60C6"/>
    <w:rsid w:val="002C640F"/>
    <w:rsid w:val="002C67FF"/>
    <w:rsid w:val="002D1528"/>
    <w:rsid w:val="002D2440"/>
    <w:rsid w:val="002D4B3C"/>
    <w:rsid w:val="002D6BB1"/>
    <w:rsid w:val="002E4D95"/>
    <w:rsid w:val="002E590F"/>
    <w:rsid w:val="002F4158"/>
    <w:rsid w:val="002F594B"/>
    <w:rsid w:val="002F73B1"/>
    <w:rsid w:val="00303148"/>
    <w:rsid w:val="00306890"/>
    <w:rsid w:val="00307CAE"/>
    <w:rsid w:val="00307DC4"/>
    <w:rsid w:val="00310D77"/>
    <w:rsid w:val="00315CBE"/>
    <w:rsid w:val="003166B3"/>
    <w:rsid w:val="00320061"/>
    <w:rsid w:val="00321499"/>
    <w:rsid w:val="0032211D"/>
    <w:rsid w:val="0032249A"/>
    <w:rsid w:val="00325E55"/>
    <w:rsid w:val="003267A5"/>
    <w:rsid w:val="0033180A"/>
    <w:rsid w:val="00333DBB"/>
    <w:rsid w:val="00334685"/>
    <w:rsid w:val="0033525E"/>
    <w:rsid w:val="00340268"/>
    <w:rsid w:val="00344212"/>
    <w:rsid w:val="00346286"/>
    <w:rsid w:val="00351B5C"/>
    <w:rsid w:val="00362704"/>
    <w:rsid w:val="00363CA8"/>
    <w:rsid w:val="0036418F"/>
    <w:rsid w:val="00364807"/>
    <w:rsid w:val="0036521A"/>
    <w:rsid w:val="00373DD8"/>
    <w:rsid w:val="00375307"/>
    <w:rsid w:val="00376AFA"/>
    <w:rsid w:val="00377024"/>
    <w:rsid w:val="0037743F"/>
    <w:rsid w:val="00380CCB"/>
    <w:rsid w:val="00381155"/>
    <w:rsid w:val="0038180E"/>
    <w:rsid w:val="00382343"/>
    <w:rsid w:val="0038392A"/>
    <w:rsid w:val="00384CAF"/>
    <w:rsid w:val="00384E97"/>
    <w:rsid w:val="003857B3"/>
    <w:rsid w:val="00392B71"/>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856"/>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BC2"/>
    <w:rsid w:val="0042550B"/>
    <w:rsid w:val="00425EE0"/>
    <w:rsid w:val="00425F66"/>
    <w:rsid w:val="004306DD"/>
    <w:rsid w:val="00430FAA"/>
    <w:rsid w:val="00431189"/>
    <w:rsid w:val="0043214E"/>
    <w:rsid w:val="00432C81"/>
    <w:rsid w:val="00441E23"/>
    <w:rsid w:val="00447899"/>
    <w:rsid w:val="00447C69"/>
    <w:rsid w:val="004526E1"/>
    <w:rsid w:val="004561B8"/>
    <w:rsid w:val="0045757A"/>
    <w:rsid w:val="00460639"/>
    <w:rsid w:val="00460C86"/>
    <w:rsid w:val="00460EC4"/>
    <w:rsid w:val="0046105E"/>
    <w:rsid w:val="00462D99"/>
    <w:rsid w:val="00465FBB"/>
    <w:rsid w:val="004663D8"/>
    <w:rsid w:val="00466F03"/>
    <w:rsid w:val="0047251C"/>
    <w:rsid w:val="00474234"/>
    <w:rsid w:val="00474343"/>
    <w:rsid w:val="00474858"/>
    <w:rsid w:val="004752AF"/>
    <w:rsid w:val="00476A12"/>
    <w:rsid w:val="004855CE"/>
    <w:rsid w:val="004855E9"/>
    <w:rsid w:val="00486BD8"/>
    <w:rsid w:val="00487012"/>
    <w:rsid w:val="00490165"/>
    <w:rsid w:val="004911B9"/>
    <w:rsid w:val="00493D90"/>
    <w:rsid w:val="004A0786"/>
    <w:rsid w:val="004A54DF"/>
    <w:rsid w:val="004A6C81"/>
    <w:rsid w:val="004B10D1"/>
    <w:rsid w:val="004B2253"/>
    <w:rsid w:val="004B2428"/>
    <w:rsid w:val="004B3273"/>
    <w:rsid w:val="004B348A"/>
    <w:rsid w:val="004B4969"/>
    <w:rsid w:val="004B5FE7"/>
    <w:rsid w:val="004C04D7"/>
    <w:rsid w:val="004C534B"/>
    <w:rsid w:val="004C6979"/>
    <w:rsid w:val="004C6C04"/>
    <w:rsid w:val="004D5961"/>
    <w:rsid w:val="004D645B"/>
    <w:rsid w:val="004D7FC9"/>
    <w:rsid w:val="004E0BE2"/>
    <w:rsid w:val="004E2A3B"/>
    <w:rsid w:val="004E6B86"/>
    <w:rsid w:val="004F0128"/>
    <w:rsid w:val="004F0B0E"/>
    <w:rsid w:val="004F2CA7"/>
    <w:rsid w:val="004F300B"/>
    <w:rsid w:val="004F42C6"/>
    <w:rsid w:val="004F7D10"/>
    <w:rsid w:val="00501794"/>
    <w:rsid w:val="00504018"/>
    <w:rsid w:val="005046F3"/>
    <w:rsid w:val="00505BAC"/>
    <w:rsid w:val="005105D2"/>
    <w:rsid w:val="00511324"/>
    <w:rsid w:val="00511804"/>
    <w:rsid w:val="00512ADD"/>
    <w:rsid w:val="005140A5"/>
    <w:rsid w:val="00516DAC"/>
    <w:rsid w:val="00517B78"/>
    <w:rsid w:val="00517FFB"/>
    <w:rsid w:val="00521EA7"/>
    <w:rsid w:val="0052678F"/>
    <w:rsid w:val="00527027"/>
    <w:rsid w:val="0053095C"/>
    <w:rsid w:val="00530F33"/>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EDA"/>
    <w:rsid w:val="005A45C3"/>
    <w:rsid w:val="005B7604"/>
    <w:rsid w:val="005C0DD5"/>
    <w:rsid w:val="005C3ADE"/>
    <w:rsid w:val="005C3DCD"/>
    <w:rsid w:val="005C7005"/>
    <w:rsid w:val="005D0773"/>
    <w:rsid w:val="005D0D9D"/>
    <w:rsid w:val="005D146A"/>
    <w:rsid w:val="005D4CFB"/>
    <w:rsid w:val="005D4E65"/>
    <w:rsid w:val="005D64D1"/>
    <w:rsid w:val="005D74C7"/>
    <w:rsid w:val="005E258B"/>
    <w:rsid w:val="005E2F26"/>
    <w:rsid w:val="005E6402"/>
    <w:rsid w:val="005E7CB7"/>
    <w:rsid w:val="005F391B"/>
    <w:rsid w:val="005F55FB"/>
    <w:rsid w:val="005F63AB"/>
    <w:rsid w:val="00604FF2"/>
    <w:rsid w:val="00614D35"/>
    <w:rsid w:val="0061665A"/>
    <w:rsid w:val="006227AF"/>
    <w:rsid w:val="00623492"/>
    <w:rsid w:val="00623D3C"/>
    <w:rsid w:val="00623EF8"/>
    <w:rsid w:val="006274A2"/>
    <w:rsid w:val="00627573"/>
    <w:rsid w:val="00633888"/>
    <w:rsid w:val="00635030"/>
    <w:rsid w:val="00635575"/>
    <w:rsid w:val="006369C6"/>
    <w:rsid w:val="00637542"/>
    <w:rsid w:val="00637ED8"/>
    <w:rsid w:val="00641943"/>
    <w:rsid w:val="00645AC4"/>
    <w:rsid w:val="00646249"/>
    <w:rsid w:val="00650747"/>
    <w:rsid w:val="006511EE"/>
    <w:rsid w:val="006528B2"/>
    <w:rsid w:val="00655133"/>
    <w:rsid w:val="00655EB3"/>
    <w:rsid w:val="00656C60"/>
    <w:rsid w:val="00656DBA"/>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A0DF3"/>
    <w:rsid w:val="006A5849"/>
    <w:rsid w:val="006A6EE1"/>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AF9"/>
    <w:rsid w:val="007610B9"/>
    <w:rsid w:val="00761D22"/>
    <w:rsid w:val="00763429"/>
    <w:rsid w:val="00766D41"/>
    <w:rsid w:val="00767209"/>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DE"/>
    <w:rsid w:val="007D33F8"/>
    <w:rsid w:val="007D380E"/>
    <w:rsid w:val="007D429D"/>
    <w:rsid w:val="007D48CD"/>
    <w:rsid w:val="007E1CEC"/>
    <w:rsid w:val="007E28F0"/>
    <w:rsid w:val="007E4AE0"/>
    <w:rsid w:val="007E5B01"/>
    <w:rsid w:val="007E73F3"/>
    <w:rsid w:val="007F1C2E"/>
    <w:rsid w:val="007F2D87"/>
    <w:rsid w:val="007F318E"/>
    <w:rsid w:val="007F5E89"/>
    <w:rsid w:val="007F60D3"/>
    <w:rsid w:val="007F730B"/>
    <w:rsid w:val="00800CDD"/>
    <w:rsid w:val="00802D4A"/>
    <w:rsid w:val="00803CB3"/>
    <w:rsid w:val="0080431C"/>
    <w:rsid w:val="008116D3"/>
    <w:rsid w:val="00813694"/>
    <w:rsid w:val="00815301"/>
    <w:rsid w:val="0081641D"/>
    <w:rsid w:val="0082215E"/>
    <w:rsid w:val="00823D46"/>
    <w:rsid w:val="00824402"/>
    <w:rsid w:val="00830F20"/>
    <w:rsid w:val="00833DCA"/>
    <w:rsid w:val="00840C7F"/>
    <w:rsid w:val="0084290B"/>
    <w:rsid w:val="00850815"/>
    <w:rsid w:val="0085150B"/>
    <w:rsid w:val="00852CC3"/>
    <w:rsid w:val="00857314"/>
    <w:rsid w:val="00860B70"/>
    <w:rsid w:val="00860D5F"/>
    <w:rsid w:val="00865D33"/>
    <w:rsid w:val="008661EA"/>
    <w:rsid w:val="00874A03"/>
    <w:rsid w:val="00874C2F"/>
    <w:rsid w:val="00874CF2"/>
    <w:rsid w:val="008761C1"/>
    <w:rsid w:val="008826A2"/>
    <w:rsid w:val="00886D03"/>
    <w:rsid w:val="00894529"/>
    <w:rsid w:val="0089655B"/>
    <w:rsid w:val="008A3148"/>
    <w:rsid w:val="008B121A"/>
    <w:rsid w:val="008B3137"/>
    <w:rsid w:val="008B4CB1"/>
    <w:rsid w:val="008B667D"/>
    <w:rsid w:val="008B7147"/>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474E"/>
    <w:rsid w:val="00905186"/>
    <w:rsid w:val="00905644"/>
    <w:rsid w:val="00906DA4"/>
    <w:rsid w:val="00911C86"/>
    <w:rsid w:val="009123C8"/>
    <w:rsid w:val="00912864"/>
    <w:rsid w:val="009143D5"/>
    <w:rsid w:val="009155AD"/>
    <w:rsid w:val="00915E6C"/>
    <w:rsid w:val="0091688B"/>
    <w:rsid w:val="00916ADD"/>
    <w:rsid w:val="0092137D"/>
    <w:rsid w:val="00924DC3"/>
    <w:rsid w:val="0092600C"/>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5885"/>
    <w:rsid w:val="00990351"/>
    <w:rsid w:val="00990CD0"/>
    <w:rsid w:val="009A03D9"/>
    <w:rsid w:val="009A2490"/>
    <w:rsid w:val="009A25AC"/>
    <w:rsid w:val="009A58DE"/>
    <w:rsid w:val="009B0699"/>
    <w:rsid w:val="009B0806"/>
    <w:rsid w:val="009B2767"/>
    <w:rsid w:val="009B2EEB"/>
    <w:rsid w:val="009B4AC8"/>
    <w:rsid w:val="009B6799"/>
    <w:rsid w:val="009B6B17"/>
    <w:rsid w:val="009B7BDA"/>
    <w:rsid w:val="009C1A8A"/>
    <w:rsid w:val="009C4089"/>
    <w:rsid w:val="009D2723"/>
    <w:rsid w:val="009D4EA9"/>
    <w:rsid w:val="009D58E6"/>
    <w:rsid w:val="009E28B1"/>
    <w:rsid w:val="009E3509"/>
    <w:rsid w:val="009E7803"/>
    <w:rsid w:val="009E780B"/>
    <w:rsid w:val="009F2700"/>
    <w:rsid w:val="00A01C92"/>
    <w:rsid w:val="00A023FA"/>
    <w:rsid w:val="00A0249F"/>
    <w:rsid w:val="00A03FEB"/>
    <w:rsid w:val="00A15B94"/>
    <w:rsid w:val="00A16606"/>
    <w:rsid w:val="00A16EDC"/>
    <w:rsid w:val="00A1799A"/>
    <w:rsid w:val="00A20847"/>
    <w:rsid w:val="00A22D21"/>
    <w:rsid w:val="00A33B07"/>
    <w:rsid w:val="00A3483B"/>
    <w:rsid w:val="00A43946"/>
    <w:rsid w:val="00A4497F"/>
    <w:rsid w:val="00A4629A"/>
    <w:rsid w:val="00A464D8"/>
    <w:rsid w:val="00A46E39"/>
    <w:rsid w:val="00A47026"/>
    <w:rsid w:val="00A531BC"/>
    <w:rsid w:val="00A54825"/>
    <w:rsid w:val="00A57147"/>
    <w:rsid w:val="00A57487"/>
    <w:rsid w:val="00A57C07"/>
    <w:rsid w:val="00A60A4A"/>
    <w:rsid w:val="00A65255"/>
    <w:rsid w:val="00A669F4"/>
    <w:rsid w:val="00A67544"/>
    <w:rsid w:val="00A70C93"/>
    <w:rsid w:val="00A75E93"/>
    <w:rsid w:val="00A81804"/>
    <w:rsid w:val="00A85227"/>
    <w:rsid w:val="00A87823"/>
    <w:rsid w:val="00A912CB"/>
    <w:rsid w:val="00A938B1"/>
    <w:rsid w:val="00A9393E"/>
    <w:rsid w:val="00A939F1"/>
    <w:rsid w:val="00A944D6"/>
    <w:rsid w:val="00A952F9"/>
    <w:rsid w:val="00A957F0"/>
    <w:rsid w:val="00A97B13"/>
    <w:rsid w:val="00AA1BCE"/>
    <w:rsid w:val="00AA281B"/>
    <w:rsid w:val="00AA2F8F"/>
    <w:rsid w:val="00AA444B"/>
    <w:rsid w:val="00AA7231"/>
    <w:rsid w:val="00AA7251"/>
    <w:rsid w:val="00AB16B3"/>
    <w:rsid w:val="00AB36FC"/>
    <w:rsid w:val="00AB786F"/>
    <w:rsid w:val="00AC0C73"/>
    <w:rsid w:val="00AC2FD8"/>
    <w:rsid w:val="00AC3332"/>
    <w:rsid w:val="00AD33EE"/>
    <w:rsid w:val="00AD497F"/>
    <w:rsid w:val="00AD49F8"/>
    <w:rsid w:val="00AD50B4"/>
    <w:rsid w:val="00AD598E"/>
    <w:rsid w:val="00AD6DE8"/>
    <w:rsid w:val="00AE2020"/>
    <w:rsid w:val="00AE4128"/>
    <w:rsid w:val="00AE5306"/>
    <w:rsid w:val="00AE5B93"/>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4197"/>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C7F"/>
    <w:rsid w:val="00BA0AF7"/>
    <w:rsid w:val="00BA150D"/>
    <w:rsid w:val="00BA18AA"/>
    <w:rsid w:val="00BA284A"/>
    <w:rsid w:val="00BA54EA"/>
    <w:rsid w:val="00BA5A94"/>
    <w:rsid w:val="00BA6C85"/>
    <w:rsid w:val="00BB2777"/>
    <w:rsid w:val="00BB2A2B"/>
    <w:rsid w:val="00BB49C2"/>
    <w:rsid w:val="00BB7037"/>
    <w:rsid w:val="00BB7947"/>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F08C5"/>
    <w:rsid w:val="00BF54B8"/>
    <w:rsid w:val="00BF5F28"/>
    <w:rsid w:val="00BF67DB"/>
    <w:rsid w:val="00BF777C"/>
    <w:rsid w:val="00C01E3B"/>
    <w:rsid w:val="00C02D6F"/>
    <w:rsid w:val="00C02F53"/>
    <w:rsid w:val="00C119F7"/>
    <w:rsid w:val="00C11D94"/>
    <w:rsid w:val="00C13980"/>
    <w:rsid w:val="00C14716"/>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50EFF"/>
    <w:rsid w:val="00C51917"/>
    <w:rsid w:val="00C5288D"/>
    <w:rsid w:val="00C53725"/>
    <w:rsid w:val="00C5438D"/>
    <w:rsid w:val="00C555A1"/>
    <w:rsid w:val="00C612C8"/>
    <w:rsid w:val="00C61C1E"/>
    <w:rsid w:val="00C631BE"/>
    <w:rsid w:val="00C655F8"/>
    <w:rsid w:val="00C70A72"/>
    <w:rsid w:val="00C70F86"/>
    <w:rsid w:val="00C71C1F"/>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3DF"/>
    <w:rsid w:val="00CA393E"/>
    <w:rsid w:val="00CA7E4C"/>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5202"/>
    <w:rsid w:val="00CD5789"/>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1B86"/>
    <w:rsid w:val="00D137EB"/>
    <w:rsid w:val="00D13AC7"/>
    <w:rsid w:val="00D14477"/>
    <w:rsid w:val="00D17081"/>
    <w:rsid w:val="00D178DA"/>
    <w:rsid w:val="00D22315"/>
    <w:rsid w:val="00D236F9"/>
    <w:rsid w:val="00D2433A"/>
    <w:rsid w:val="00D25C6A"/>
    <w:rsid w:val="00D25F46"/>
    <w:rsid w:val="00D2606A"/>
    <w:rsid w:val="00D269D9"/>
    <w:rsid w:val="00D26CA7"/>
    <w:rsid w:val="00D27F80"/>
    <w:rsid w:val="00D320DC"/>
    <w:rsid w:val="00D35781"/>
    <w:rsid w:val="00D3638F"/>
    <w:rsid w:val="00D364FF"/>
    <w:rsid w:val="00D368F1"/>
    <w:rsid w:val="00D452EA"/>
    <w:rsid w:val="00D50AE7"/>
    <w:rsid w:val="00D50BDC"/>
    <w:rsid w:val="00D52429"/>
    <w:rsid w:val="00D52F3D"/>
    <w:rsid w:val="00D53A58"/>
    <w:rsid w:val="00D53CD7"/>
    <w:rsid w:val="00D649C2"/>
    <w:rsid w:val="00D6561D"/>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3DAD"/>
    <w:rsid w:val="00D96975"/>
    <w:rsid w:val="00DA06A3"/>
    <w:rsid w:val="00DA2313"/>
    <w:rsid w:val="00DA2638"/>
    <w:rsid w:val="00DA29C1"/>
    <w:rsid w:val="00DB02A0"/>
    <w:rsid w:val="00DB1B3C"/>
    <w:rsid w:val="00DB2D43"/>
    <w:rsid w:val="00DB64C4"/>
    <w:rsid w:val="00DC0654"/>
    <w:rsid w:val="00DC259D"/>
    <w:rsid w:val="00DC3DA9"/>
    <w:rsid w:val="00DC3E7F"/>
    <w:rsid w:val="00DC52D4"/>
    <w:rsid w:val="00DC6A43"/>
    <w:rsid w:val="00DC7B11"/>
    <w:rsid w:val="00DD1148"/>
    <w:rsid w:val="00DD1288"/>
    <w:rsid w:val="00DD3B1D"/>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34B8"/>
    <w:rsid w:val="00E24E40"/>
    <w:rsid w:val="00E30020"/>
    <w:rsid w:val="00E3661A"/>
    <w:rsid w:val="00E41B1C"/>
    <w:rsid w:val="00E42A35"/>
    <w:rsid w:val="00E44584"/>
    <w:rsid w:val="00E450EA"/>
    <w:rsid w:val="00E45BDC"/>
    <w:rsid w:val="00E46A1D"/>
    <w:rsid w:val="00E5022A"/>
    <w:rsid w:val="00E50E51"/>
    <w:rsid w:val="00E5126C"/>
    <w:rsid w:val="00E51B6C"/>
    <w:rsid w:val="00E53F90"/>
    <w:rsid w:val="00E5478B"/>
    <w:rsid w:val="00E56189"/>
    <w:rsid w:val="00E5696D"/>
    <w:rsid w:val="00E57AA1"/>
    <w:rsid w:val="00E60A76"/>
    <w:rsid w:val="00E64B40"/>
    <w:rsid w:val="00E70F1E"/>
    <w:rsid w:val="00E719C0"/>
    <w:rsid w:val="00E72FF0"/>
    <w:rsid w:val="00E73729"/>
    <w:rsid w:val="00E746A6"/>
    <w:rsid w:val="00E75A5A"/>
    <w:rsid w:val="00E7775B"/>
    <w:rsid w:val="00E87345"/>
    <w:rsid w:val="00E878C8"/>
    <w:rsid w:val="00E90261"/>
    <w:rsid w:val="00E91F3B"/>
    <w:rsid w:val="00E93401"/>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40FA"/>
    <w:rsid w:val="00ED52E0"/>
    <w:rsid w:val="00ED6D37"/>
    <w:rsid w:val="00EE0BD4"/>
    <w:rsid w:val="00EE5583"/>
    <w:rsid w:val="00EF4766"/>
    <w:rsid w:val="00EF52FF"/>
    <w:rsid w:val="00F050ED"/>
    <w:rsid w:val="00F064B2"/>
    <w:rsid w:val="00F07874"/>
    <w:rsid w:val="00F11C2A"/>
    <w:rsid w:val="00F11FEC"/>
    <w:rsid w:val="00F11FEE"/>
    <w:rsid w:val="00F1219F"/>
    <w:rsid w:val="00F12713"/>
    <w:rsid w:val="00F150D5"/>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5182"/>
    <w:rsid w:val="00FA6245"/>
    <w:rsid w:val="00FB4B0F"/>
    <w:rsid w:val="00FC40BF"/>
    <w:rsid w:val="00FC4788"/>
    <w:rsid w:val="00FC6653"/>
    <w:rsid w:val="00FD1109"/>
    <w:rsid w:val="00FD1CB7"/>
    <w:rsid w:val="00FD23A8"/>
    <w:rsid w:val="00FD3C97"/>
    <w:rsid w:val="00FD41DA"/>
    <w:rsid w:val="00FD628C"/>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91EBBB94-8254-4A85-BF2D-5803EF31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scr/2014/cr14224.pdf" TargetMode="External"/><Relationship Id="rId2" Type="http://schemas.openxmlformats.org/officeDocument/2006/relationships/hyperlink" Target="https://eiti.org/sites/default/files/documents/rapport-itie-togo_2014.pdf" TargetMode="External"/><Relationship Id="rId1" Type="http://schemas.openxmlformats.org/officeDocument/2006/relationships/hyperlink" Target="http://www.worldbank.org/en/country/togo/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s>
</file>

<file path=customXml/itemProps1.xml><?xml version="1.0" encoding="utf-8"?>
<ds:datastoreItem xmlns:ds="http://schemas.openxmlformats.org/officeDocument/2006/customXml" ds:itemID="{3769F3FC-C5A8-4EE3-AE41-87AE0DBC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2773</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Dylan Gélard</cp:lastModifiedBy>
  <cp:revision>49</cp:revision>
  <dcterms:created xsi:type="dcterms:W3CDTF">2017-06-25T06:46:00Z</dcterms:created>
  <dcterms:modified xsi:type="dcterms:W3CDTF">2018-01-15T09:25:00Z</dcterms:modified>
  <cp:category/>
</cp:coreProperties>
</file>