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68329" w14:textId="3FE4C515" w:rsidR="00E73966" w:rsidRDefault="0062029E" w:rsidP="00E73966">
      <w:pPr>
        <w:spacing w:after="0" w:line="240" w:lineRule="auto"/>
        <w:jc w:val="both"/>
        <w:rPr>
          <w:rFonts w:ascii="Calibri" w:hAnsi="Calibri" w:cs="Calibri"/>
          <w:i/>
          <w:color w:val="222222"/>
          <w:shd w:val="clear" w:color="auto" w:fill="FFFFFF"/>
        </w:rPr>
      </w:pPr>
      <w:r w:rsidRPr="00E73966">
        <w:rPr>
          <w:b/>
          <w:noProof/>
        </w:rPr>
        <mc:AlternateContent>
          <mc:Choice Requires="wps">
            <w:drawing>
              <wp:anchor distT="45720" distB="45720" distL="114300" distR="114300" simplePos="0" relativeHeight="251662336" behindDoc="0" locked="0" layoutInCell="1" allowOverlap="1" wp14:anchorId="7BB0E20F" wp14:editId="08A5502E">
                <wp:simplePos x="0" y="0"/>
                <wp:positionH relativeFrom="column">
                  <wp:posOffset>187960</wp:posOffset>
                </wp:positionH>
                <wp:positionV relativeFrom="paragraph">
                  <wp:posOffset>-62865</wp:posOffset>
                </wp:positionV>
                <wp:extent cx="5356225" cy="838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838200"/>
                        </a:xfrm>
                        <a:prstGeom prst="rect">
                          <a:avLst/>
                        </a:prstGeom>
                        <a:noFill/>
                        <a:ln w="9525">
                          <a:noFill/>
                          <a:miter lim="800000"/>
                          <a:headEnd/>
                          <a:tailEnd/>
                        </a:ln>
                      </wps:spPr>
                      <wps:txbx>
                        <w:txbxContent>
                          <w:p w14:paraId="1277B846" w14:textId="21416714" w:rsidR="00E73966" w:rsidRPr="00E73966" w:rsidRDefault="00E73966" w:rsidP="00301394">
                            <w:pPr>
                              <w:spacing w:after="0" w:line="240" w:lineRule="auto"/>
                              <w:jc w:val="center"/>
                            </w:pPr>
                            <w:r w:rsidRPr="0091644A">
                              <w:rPr>
                                <w:i/>
                                <w:color w:val="6C6C6C"/>
                              </w:rPr>
                              <w:t xml:space="preserve">This brief describes the links between the EITI and the Mining Local Procurement Reporting Mechanism (LPRM), including how EITI members can promote increased local procurement and transparency through using the system. Where relevant, aspects were drawn directly the Mining LPRM which can be downloaded at </w:t>
                            </w:r>
                            <w:hyperlink r:id="rId8" w:history="1">
                              <w:r w:rsidRPr="00E73966">
                                <w:rPr>
                                  <w:rStyle w:val="Hyperlink"/>
                                </w:rPr>
                                <w:t>www.miningsharedvalue.org/mininglprm</w:t>
                              </w:r>
                            </w:hyperlink>
                            <w:r w:rsidRPr="00E73966">
                              <w:rPr>
                                <w:i/>
                              </w:rPr>
                              <w:t>.</w:t>
                            </w:r>
                          </w:p>
                          <w:p w14:paraId="4834466C" w14:textId="340AC7FB" w:rsidR="00E73966" w:rsidRDefault="00E73966" w:rsidP="0030139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0E20F" id="_x0000_t202" coordsize="21600,21600" o:spt="202" path="m,l,21600r21600,l21600,xe">
                <v:stroke joinstyle="miter"/>
                <v:path gradientshapeok="t" o:connecttype="rect"/>
              </v:shapetype>
              <v:shape id="Text Box 2" o:spid="_x0000_s1026" type="#_x0000_t202" style="position:absolute;left:0;text-align:left;margin-left:14.8pt;margin-top:-4.95pt;width:421.75pt;height:6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" filled="f" stroked="f">
                <v:textbox>
                  <w:txbxContent>
                    <w:p w14:paraId="1277B846" w14:textId="21416714" w:rsidR="00E73966" w:rsidRPr="00E73966" w:rsidRDefault="00E73966" w:rsidP="00301394">
                      <w:pPr>
                        <w:spacing w:after="0" w:line="240" w:lineRule="auto"/>
                        <w:jc w:val="center"/>
                      </w:pPr>
                      <w:r w:rsidRPr="0091644A">
                        <w:rPr>
                          <w:i/>
                          <w:color w:val="6C6C6C"/>
                        </w:rPr>
                        <w:t xml:space="preserve">This brief describes the links between the EITI and the Mining Local Procurement Reporting Mechanism (LPRM), including how EITI members can promote increased local procurement and transparency through using the system. Where relevant, aspects were drawn directly the Mining LPRM which can be downloaded at </w:t>
                      </w:r>
                      <w:hyperlink r:id="rId9" w:history="1">
                        <w:r w:rsidRPr="00E73966">
                          <w:rPr>
                            <w:rStyle w:val="Hyperlink"/>
                          </w:rPr>
                          <w:t>www.miningsharedvalue.org/mininglprm</w:t>
                        </w:r>
                      </w:hyperlink>
                      <w:r w:rsidRPr="00E73966">
                        <w:rPr>
                          <w:i/>
                        </w:rPr>
                        <w:t>.</w:t>
                      </w:r>
                    </w:p>
                    <w:p w14:paraId="4834466C" w14:textId="340AC7FB" w:rsidR="00E73966" w:rsidRDefault="00E73966" w:rsidP="00301394">
                      <w:pPr>
                        <w:jc w:val="center"/>
                      </w:pPr>
                    </w:p>
                  </w:txbxContent>
                </v:textbox>
              </v:shape>
            </w:pict>
          </mc:Fallback>
        </mc:AlternateContent>
      </w:r>
    </w:p>
    <w:p w14:paraId="3869B35C" w14:textId="40B78851" w:rsidR="00E73966" w:rsidRDefault="00E73966" w:rsidP="00E73966">
      <w:pPr>
        <w:spacing w:after="0" w:line="240" w:lineRule="auto"/>
        <w:jc w:val="both"/>
        <w:rPr>
          <w:rFonts w:ascii="Calibri" w:hAnsi="Calibri" w:cs="Calibri"/>
          <w:i/>
          <w:color w:val="222222"/>
          <w:shd w:val="clear" w:color="auto" w:fill="FFFFFF"/>
        </w:rPr>
      </w:pPr>
    </w:p>
    <w:p w14:paraId="35257FFF" w14:textId="03D37F58" w:rsidR="00926321" w:rsidRDefault="00926321" w:rsidP="00E73966">
      <w:pPr>
        <w:spacing w:after="0" w:line="240" w:lineRule="auto"/>
        <w:jc w:val="both"/>
        <w:rPr>
          <w:rFonts w:ascii="Calibri" w:hAnsi="Calibri" w:cs="Calibri"/>
          <w:i/>
          <w:color w:val="222222"/>
          <w:shd w:val="clear" w:color="auto" w:fill="FFFFFF"/>
        </w:rPr>
      </w:pPr>
    </w:p>
    <w:p w14:paraId="26BC9306" w14:textId="77777777" w:rsidR="0062029E" w:rsidRDefault="0062029E" w:rsidP="00E73966">
      <w:pPr>
        <w:spacing w:after="0" w:line="240" w:lineRule="auto"/>
        <w:jc w:val="both"/>
        <w:rPr>
          <w:rFonts w:ascii="Calibri" w:hAnsi="Calibri" w:cs="Calibri"/>
          <w:i/>
          <w:color w:val="222222"/>
          <w:shd w:val="clear" w:color="auto" w:fill="FFFFFF"/>
        </w:rPr>
      </w:pPr>
    </w:p>
    <w:p w14:paraId="40BAEBA1" w14:textId="09C929E5" w:rsidR="00E73966" w:rsidRPr="0091644A" w:rsidRDefault="00E73966" w:rsidP="00E73966">
      <w:pPr>
        <w:spacing w:after="0" w:line="240" w:lineRule="auto"/>
        <w:jc w:val="both"/>
        <w:rPr>
          <w:rFonts w:ascii="Calibri" w:hAnsi="Calibri" w:cs="Calibri"/>
          <w:i/>
          <w:color w:val="6C6C6C"/>
          <w:shd w:val="clear" w:color="auto" w:fill="FFFFFF"/>
        </w:rPr>
      </w:pPr>
    </w:p>
    <w:p w14:paraId="5BB8614D" w14:textId="2F512432" w:rsidR="00B66008" w:rsidRPr="0091644A" w:rsidRDefault="00B66008" w:rsidP="00E73966">
      <w:pPr>
        <w:shd w:val="clear" w:color="auto" w:fill="FBB249"/>
        <w:spacing w:after="0" w:line="240" w:lineRule="auto"/>
        <w:rPr>
          <w:b/>
          <w:color w:val="6C6C6C"/>
          <w:sz w:val="24"/>
        </w:rPr>
      </w:pPr>
      <w:r w:rsidRPr="0091644A">
        <w:rPr>
          <w:b/>
          <w:color w:val="6C6C6C"/>
          <w:sz w:val="24"/>
        </w:rPr>
        <w:t xml:space="preserve">Introduction </w:t>
      </w:r>
    </w:p>
    <w:p w14:paraId="297B05E5" w14:textId="3FEF224D" w:rsidR="00E73966" w:rsidRDefault="00E73966" w:rsidP="00E73966">
      <w:pPr>
        <w:shd w:val="clear" w:color="auto" w:fill="1A9A99"/>
        <w:rPr>
          <w:b/>
        </w:rPr>
      </w:pPr>
    </w:p>
    <w:p w14:paraId="4B79B305" w14:textId="787EC6D3" w:rsidR="00C30E15" w:rsidRPr="0091644A" w:rsidRDefault="00C30E15" w:rsidP="00E42A42">
      <w:pPr>
        <w:spacing w:after="0" w:line="240" w:lineRule="auto"/>
        <w:jc w:val="both"/>
        <w:rPr>
          <w:color w:val="6C6C6C"/>
          <w:sz w:val="20"/>
        </w:rPr>
      </w:pPr>
      <w:r w:rsidRPr="0091644A">
        <w:rPr>
          <w:color w:val="6C6C6C"/>
          <w:sz w:val="20"/>
        </w:rPr>
        <w:t xml:space="preserve">EITI members have an interest in supporting the good governance of mineral resources, focusing on increasing transparency and accountability. Rooted in shedding light on </w:t>
      </w:r>
      <w:r w:rsidR="00030988" w:rsidRPr="0091644A">
        <w:rPr>
          <w:color w:val="6C6C6C"/>
          <w:sz w:val="20"/>
        </w:rPr>
        <w:t xml:space="preserve">tax </w:t>
      </w:r>
      <w:r w:rsidRPr="0091644A">
        <w:rPr>
          <w:color w:val="6C6C6C"/>
          <w:sz w:val="20"/>
        </w:rPr>
        <w:t>revenue flows, efforts have expanded over the years</w:t>
      </w:r>
      <w:r w:rsidR="00030988" w:rsidRPr="0091644A">
        <w:rPr>
          <w:color w:val="6C6C6C"/>
          <w:sz w:val="20"/>
        </w:rPr>
        <w:t xml:space="preserve"> as stakeholders increase their expectations of improved mineral </w:t>
      </w:r>
      <w:r w:rsidR="0095223A" w:rsidRPr="0091644A">
        <w:rPr>
          <w:color w:val="6C6C6C"/>
          <w:sz w:val="20"/>
        </w:rPr>
        <w:t>governance</w:t>
      </w:r>
      <w:r w:rsidRPr="0091644A">
        <w:rPr>
          <w:color w:val="6C6C6C"/>
          <w:sz w:val="20"/>
        </w:rPr>
        <w:t>. In man</w:t>
      </w:r>
      <w:r w:rsidR="00567F08" w:rsidRPr="0091644A">
        <w:rPr>
          <w:color w:val="6C6C6C"/>
          <w:sz w:val="20"/>
        </w:rPr>
        <w:t xml:space="preserve">y countries, there is </w:t>
      </w:r>
      <w:r w:rsidR="0095223A" w:rsidRPr="0091644A">
        <w:rPr>
          <w:color w:val="6C6C6C"/>
          <w:sz w:val="20"/>
        </w:rPr>
        <w:t xml:space="preserve">growing </w:t>
      </w:r>
      <w:r w:rsidR="00030988" w:rsidRPr="0091644A">
        <w:rPr>
          <w:color w:val="6C6C6C"/>
          <w:sz w:val="20"/>
        </w:rPr>
        <w:t>pressure to increase the amount of goods and services purchased locally by mine</w:t>
      </w:r>
      <w:r w:rsidR="0095223A" w:rsidRPr="0091644A">
        <w:rPr>
          <w:color w:val="6C6C6C"/>
          <w:sz w:val="20"/>
        </w:rPr>
        <w:t xml:space="preserve"> sites</w:t>
      </w:r>
      <w:r w:rsidR="00030988" w:rsidRPr="0091644A">
        <w:rPr>
          <w:color w:val="6C6C6C"/>
          <w:sz w:val="20"/>
        </w:rPr>
        <w:t xml:space="preserve">. </w:t>
      </w:r>
      <w:r w:rsidR="000A6591" w:rsidRPr="0091644A">
        <w:rPr>
          <w:color w:val="6C6C6C"/>
          <w:sz w:val="20"/>
        </w:rPr>
        <w:t xml:space="preserve">As the </w:t>
      </w:r>
      <w:r w:rsidR="00C67391" w:rsidRPr="0091644A">
        <w:rPr>
          <w:i/>
          <w:color w:val="6C6C6C"/>
          <w:sz w:val="20"/>
        </w:rPr>
        <w:t>single largest payment type in-</w:t>
      </w:r>
      <w:r w:rsidR="000A6591" w:rsidRPr="0091644A">
        <w:rPr>
          <w:i/>
          <w:color w:val="6C6C6C"/>
          <w:sz w:val="20"/>
        </w:rPr>
        <w:t>country</w:t>
      </w:r>
      <w:r w:rsidR="000A6591" w:rsidRPr="0091644A">
        <w:rPr>
          <w:color w:val="6C6C6C"/>
          <w:sz w:val="20"/>
        </w:rPr>
        <w:t xml:space="preserve"> by most mine sites, </w:t>
      </w:r>
      <w:r w:rsidR="00C67391" w:rsidRPr="0091644A">
        <w:rPr>
          <w:color w:val="6C6C6C"/>
          <w:sz w:val="20"/>
        </w:rPr>
        <w:t xml:space="preserve">there is </w:t>
      </w:r>
      <w:r w:rsidR="0095223A" w:rsidRPr="0091644A">
        <w:rPr>
          <w:color w:val="6C6C6C"/>
          <w:sz w:val="20"/>
        </w:rPr>
        <w:t xml:space="preserve">currently a notable shortfall in </w:t>
      </w:r>
      <w:r w:rsidR="000A6591" w:rsidRPr="0091644A">
        <w:rPr>
          <w:color w:val="6C6C6C"/>
          <w:sz w:val="20"/>
        </w:rPr>
        <w:t xml:space="preserve">government and industry </w:t>
      </w:r>
      <w:r w:rsidR="0095223A" w:rsidRPr="0091644A">
        <w:rPr>
          <w:color w:val="6C6C6C"/>
          <w:sz w:val="20"/>
        </w:rPr>
        <w:t xml:space="preserve">measurement and reporting on </w:t>
      </w:r>
      <w:r w:rsidR="000A6591" w:rsidRPr="0091644A">
        <w:rPr>
          <w:color w:val="6C6C6C"/>
          <w:sz w:val="20"/>
        </w:rPr>
        <w:t>local procurement.</w:t>
      </w:r>
      <w:r w:rsidR="00030988" w:rsidRPr="0091644A">
        <w:rPr>
          <w:color w:val="6C6C6C"/>
          <w:sz w:val="20"/>
        </w:rPr>
        <w:t xml:space="preserve"> These </w:t>
      </w:r>
      <w:r w:rsidR="002B4F30" w:rsidRPr="0091644A">
        <w:rPr>
          <w:color w:val="6C6C6C"/>
          <w:sz w:val="20"/>
        </w:rPr>
        <w:t>large</w:t>
      </w:r>
      <w:r w:rsidR="00030988" w:rsidRPr="0091644A">
        <w:rPr>
          <w:color w:val="6C6C6C"/>
          <w:sz w:val="20"/>
        </w:rPr>
        <w:t xml:space="preserve"> figures also represent worrisome </w:t>
      </w:r>
      <w:r w:rsidR="007317A5" w:rsidRPr="0091644A">
        <w:rPr>
          <w:color w:val="6C6C6C"/>
          <w:sz w:val="20"/>
        </w:rPr>
        <w:t>opportunities</w:t>
      </w:r>
      <w:r w:rsidR="00030988" w:rsidRPr="0091644A">
        <w:rPr>
          <w:color w:val="6C6C6C"/>
          <w:sz w:val="20"/>
        </w:rPr>
        <w:t xml:space="preserve"> for corruption that can be mitigated through increased transparency around the procurement process. </w:t>
      </w:r>
      <w:r w:rsidRPr="0091644A">
        <w:rPr>
          <w:color w:val="6C6C6C"/>
          <w:sz w:val="20"/>
        </w:rPr>
        <w:t xml:space="preserve">The Mining Local Procurement Reporting Mechanism (LPRM) presents a comprehensive set of disclosures that can be used as a basis for </w:t>
      </w:r>
      <w:r w:rsidR="00030988" w:rsidRPr="0091644A">
        <w:rPr>
          <w:color w:val="6C6C6C"/>
          <w:sz w:val="20"/>
        </w:rPr>
        <w:t xml:space="preserve">efforts to improve economic </w:t>
      </w:r>
      <w:r w:rsidR="007317A5" w:rsidRPr="0091644A">
        <w:rPr>
          <w:color w:val="6C6C6C"/>
          <w:sz w:val="20"/>
        </w:rPr>
        <w:t>impacts</w:t>
      </w:r>
      <w:r w:rsidR="00030988" w:rsidRPr="0091644A">
        <w:rPr>
          <w:color w:val="6C6C6C"/>
          <w:sz w:val="20"/>
        </w:rPr>
        <w:t xml:space="preserve"> and transparency</w:t>
      </w:r>
      <w:r w:rsidRPr="0091644A">
        <w:rPr>
          <w:color w:val="6C6C6C"/>
          <w:sz w:val="20"/>
        </w:rPr>
        <w:t>.</w:t>
      </w:r>
    </w:p>
    <w:p w14:paraId="037B722E" w14:textId="42DFF38F" w:rsidR="00274BCD" w:rsidRPr="0091644A" w:rsidRDefault="00274BCD" w:rsidP="00E42A42">
      <w:pPr>
        <w:spacing w:after="0" w:line="240" w:lineRule="auto"/>
        <w:jc w:val="both"/>
        <w:rPr>
          <w:color w:val="6C6C6C"/>
          <w:sz w:val="20"/>
        </w:rPr>
      </w:pPr>
    </w:p>
    <w:p w14:paraId="22B8CBAF" w14:textId="5E55AE68" w:rsidR="0095223A" w:rsidRPr="0091644A" w:rsidRDefault="000A6591" w:rsidP="00E42A42">
      <w:pPr>
        <w:spacing w:after="0" w:line="240" w:lineRule="auto"/>
        <w:jc w:val="both"/>
        <w:rPr>
          <w:color w:val="6C6C6C"/>
          <w:sz w:val="20"/>
        </w:rPr>
      </w:pPr>
      <w:r w:rsidRPr="0091644A">
        <w:rPr>
          <w:color w:val="6C6C6C"/>
          <w:sz w:val="20"/>
        </w:rPr>
        <w:t xml:space="preserve">The purpose of the Mining LPRM is to increase and standardise information being provided by mine sites on their efforts and results in purchasing goods and services in host countries and communities. It builds on a multitude of initiatives working to improve the management of mineral resources, including the Extractive Industries Transparency Initiative (EITI), and the Africa Mining Vision (AMV). </w:t>
      </w:r>
      <w:r w:rsidR="007317A5" w:rsidRPr="0091644A">
        <w:rPr>
          <w:color w:val="6C6C6C"/>
          <w:sz w:val="20"/>
        </w:rPr>
        <w:t>It facilitates comprehensive reporting on local procurement spending at the site level, as well as practical details on mining company procurement processes and programmes that support better informed stakeholders.</w:t>
      </w:r>
    </w:p>
    <w:p w14:paraId="1810BF8C" w14:textId="77777777" w:rsidR="00274BCD" w:rsidRPr="0091644A" w:rsidRDefault="00274BCD" w:rsidP="00E42A42">
      <w:pPr>
        <w:spacing w:after="0" w:line="240" w:lineRule="auto"/>
        <w:jc w:val="both"/>
        <w:rPr>
          <w:color w:val="6C6C6C"/>
          <w:sz w:val="20"/>
        </w:rPr>
      </w:pPr>
    </w:p>
    <w:p w14:paraId="3A4620B7" w14:textId="04D7E339" w:rsidR="00274BCD" w:rsidRPr="0091644A" w:rsidRDefault="00AA478E" w:rsidP="00E42A42">
      <w:pPr>
        <w:spacing w:after="0" w:line="240" w:lineRule="auto"/>
        <w:jc w:val="both"/>
        <w:rPr>
          <w:color w:val="6C6C6C"/>
          <w:sz w:val="20"/>
        </w:rPr>
      </w:pPr>
      <w:r w:rsidRPr="0091644A">
        <w:rPr>
          <w:color w:val="6C6C6C"/>
          <w:sz w:val="20"/>
        </w:rPr>
        <w:t xml:space="preserve">The objective of the Mining LPRM is to create information that empowers host country suppliers, governments, and other stakeholders to make better informed decisions when setting goals for increasing local procurement. Sensitive to the reporting burden that many mining companies and their sites feel, and amidst fears of initiatives “sitting on the shelf”, the LPRM is designed to be central to the local procurement approaches undertaken by all actors who are part of a host country’s mining system. In supporting host country organisations to request and utilize information created by the disclosures of the LPRM, the goal is to create local ownership over efforts to increase local procurement, and to draw in additional financial and human resources for these efforts. </w:t>
      </w:r>
    </w:p>
    <w:p w14:paraId="4AE4846C" w14:textId="77777777" w:rsidR="00E73966" w:rsidRDefault="00E73966" w:rsidP="00E42A42">
      <w:pPr>
        <w:spacing w:after="0" w:line="240" w:lineRule="auto"/>
        <w:jc w:val="both"/>
      </w:pPr>
    </w:p>
    <w:p w14:paraId="61E3A159" w14:textId="29D5B7BF" w:rsidR="00E42A42" w:rsidRPr="0091644A" w:rsidRDefault="00B66008" w:rsidP="00E73966">
      <w:pPr>
        <w:shd w:val="clear" w:color="auto" w:fill="FBB249"/>
        <w:spacing w:after="0" w:line="240" w:lineRule="auto"/>
        <w:rPr>
          <w:b/>
          <w:color w:val="6C6C6C"/>
          <w:sz w:val="24"/>
        </w:rPr>
      </w:pPr>
      <w:r w:rsidRPr="0091644A">
        <w:rPr>
          <w:b/>
          <w:color w:val="6C6C6C"/>
          <w:sz w:val="24"/>
        </w:rPr>
        <w:t xml:space="preserve">Links between the EITI and the Mining </w:t>
      </w:r>
      <w:r w:rsidR="000129A9" w:rsidRPr="0091644A">
        <w:rPr>
          <w:b/>
          <w:color w:val="6C6C6C"/>
          <w:sz w:val="24"/>
        </w:rPr>
        <w:t>LPRM</w:t>
      </w:r>
    </w:p>
    <w:p w14:paraId="1F9F531B" w14:textId="632035EE" w:rsidR="00E73966" w:rsidRDefault="00E73966" w:rsidP="00E73966">
      <w:pPr>
        <w:shd w:val="clear" w:color="auto" w:fill="1A9A99"/>
        <w:rPr>
          <w:b/>
        </w:rPr>
      </w:pPr>
    </w:p>
    <w:p w14:paraId="3844F8E6" w14:textId="2A9D3C0C" w:rsidR="00F150CE" w:rsidRPr="00E73966" w:rsidRDefault="00274BCD" w:rsidP="00E73966">
      <w:r w:rsidRPr="00274BCD">
        <w:rPr>
          <w:noProof/>
          <w:sz w:val="20"/>
        </w:rPr>
        <mc:AlternateContent>
          <mc:Choice Requires="wps">
            <w:drawing>
              <wp:anchor distT="45720" distB="45720" distL="114300" distR="114300" simplePos="0" relativeHeight="251659264" behindDoc="0" locked="0" layoutInCell="1" allowOverlap="1" wp14:anchorId="04BB808E" wp14:editId="24E20068">
                <wp:simplePos x="0" y="0"/>
                <wp:positionH relativeFrom="column">
                  <wp:posOffset>38100</wp:posOffset>
                </wp:positionH>
                <wp:positionV relativeFrom="paragraph">
                  <wp:posOffset>1294765</wp:posOffset>
                </wp:positionV>
                <wp:extent cx="3093720" cy="12344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234440"/>
                        </a:xfrm>
                        <a:prstGeom prst="rect">
                          <a:avLst/>
                        </a:prstGeom>
                        <a:noFill/>
                        <a:ln w="9525">
                          <a:noFill/>
                          <a:miter lim="800000"/>
                          <a:headEnd/>
                          <a:tailEnd/>
                        </a:ln>
                      </wps:spPr>
                      <wps:txbx>
                        <w:txbxContent>
                          <w:p w14:paraId="435B8232" w14:textId="215C489C" w:rsidR="00E42A42" w:rsidRPr="0091644A" w:rsidRDefault="00E42A42" w:rsidP="00E73966">
                            <w:pPr>
                              <w:spacing w:after="0" w:line="240" w:lineRule="auto"/>
                              <w:rPr>
                                <w:color w:val="6C6C6C"/>
                                <w:sz w:val="20"/>
                              </w:rPr>
                            </w:pPr>
                            <w:r w:rsidRPr="0091644A">
                              <w:rPr>
                                <w:color w:val="6C6C6C"/>
                                <w:sz w:val="20"/>
                              </w:rPr>
                              <w:t>As outlined in the Appendix B of the LPRM which details overlap between the LPRM and existing sustainability frameworks, the following links are noted between EITI reporting and the Mining LPRM (</w:t>
                            </w:r>
                            <w:r w:rsidRPr="0091644A">
                              <w:rPr>
                                <w:i/>
                                <w:color w:val="6C6C6C"/>
                                <w:sz w:val="20"/>
                              </w:rPr>
                              <w:t xml:space="preserve">Mining Local Procurement Reporting Mechanism, </w:t>
                            </w:r>
                            <w:r w:rsidRPr="0091644A">
                              <w:rPr>
                                <w:color w:val="6C6C6C"/>
                                <w:sz w:val="20"/>
                              </w:rPr>
                              <w:t>pg.76):</w:t>
                            </w:r>
                          </w:p>
                          <w:p w14:paraId="52C577FB" w14:textId="122E9D7C" w:rsidR="00274BCD" w:rsidRDefault="00274BCD" w:rsidP="00E739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B808E" id="_x0000_s1027" type="#_x0000_t202" style="position:absolute;margin-left:3pt;margin-top:101.95pt;width:243.6pt;height:9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" filled="f" stroked="f">
                <v:textbox>
                  <w:txbxContent>
                    <w:p w14:paraId="435B8232" w14:textId="215C489C" w:rsidR="00E42A42" w:rsidRPr="0091644A" w:rsidRDefault="00E42A42" w:rsidP="00E73966">
                      <w:pPr>
                        <w:spacing w:after="0" w:line="240" w:lineRule="auto"/>
                        <w:rPr>
                          <w:color w:val="6C6C6C"/>
                          <w:sz w:val="20"/>
                        </w:rPr>
                      </w:pPr>
                      <w:r w:rsidRPr="0091644A">
                        <w:rPr>
                          <w:color w:val="6C6C6C"/>
                          <w:sz w:val="20"/>
                        </w:rPr>
                        <w:t>As outlined in the Appendix B of the LPRM which details overlap between the LPRM and existing sustainability frameworks, the following links are noted between EITI reporting and the Mining LPRM (</w:t>
                      </w:r>
                      <w:r w:rsidRPr="0091644A">
                        <w:rPr>
                          <w:i/>
                          <w:color w:val="6C6C6C"/>
                          <w:sz w:val="20"/>
                        </w:rPr>
                        <w:t xml:space="preserve">Mining Local Procurement Reporting Mechanism, </w:t>
                      </w:r>
                      <w:r w:rsidRPr="0091644A">
                        <w:rPr>
                          <w:color w:val="6C6C6C"/>
                          <w:sz w:val="20"/>
                        </w:rPr>
                        <w:t>pg.76):</w:t>
                      </w:r>
                    </w:p>
                    <w:p w14:paraId="52C577FB" w14:textId="122E9D7C" w:rsidR="00274BCD" w:rsidRDefault="00274BCD" w:rsidP="00E73966"/>
                  </w:txbxContent>
                </v:textbox>
              </v:shape>
            </w:pict>
          </mc:Fallback>
        </mc:AlternateContent>
      </w:r>
      <w:r w:rsidR="00B66008">
        <w:rPr>
          <w:noProof/>
        </w:rPr>
        <w:drawing>
          <wp:inline distT="0" distB="0" distL="0" distR="0" wp14:anchorId="6D025173" wp14:editId="7F285EBE">
            <wp:extent cx="5760720" cy="279604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7567" cy="2809073"/>
                    </a:xfrm>
                    <a:prstGeom prst="rect">
                      <a:avLst/>
                    </a:prstGeom>
                  </pic:spPr>
                </pic:pic>
              </a:graphicData>
            </a:graphic>
          </wp:inline>
        </w:drawing>
      </w:r>
    </w:p>
    <w:p w14:paraId="2D94D3B8" w14:textId="38E80C6E" w:rsidR="00D541C2" w:rsidRPr="0091644A" w:rsidRDefault="00CD0383" w:rsidP="00E42A42">
      <w:pPr>
        <w:spacing w:after="0" w:line="240" w:lineRule="auto"/>
        <w:jc w:val="both"/>
        <w:rPr>
          <w:color w:val="6C6C6C"/>
          <w:sz w:val="20"/>
        </w:rPr>
      </w:pPr>
      <w:r w:rsidRPr="0091644A">
        <w:rPr>
          <w:color w:val="6C6C6C"/>
          <w:sz w:val="20"/>
        </w:rPr>
        <w:lastRenderedPageBreak/>
        <w:t xml:space="preserve">Given that </w:t>
      </w:r>
      <w:r w:rsidR="004F09B8" w:rsidRPr="0091644A">
        <w:rPr>
          <w:color w:val="6C6C6C"/>
          <w:sz w:val="20"/>
        </w:rPr>
        <w:t>“</w:t>
      </w:r>
      <w:r w:rsidRPr="0091644A">
        <w:rPr>
          <w:color w:val="6C6C6C"/>
          <w:sz w:val="20"/>
        </w:rPr>
        <w:t>social benefits</w:t>
      </w:r>
      <w:r w:rsidR="004F09B8" w:rsidRPr="0091644A">
        <w:rPr>
          <w:color w:val="6C6C6C"/>
          <w:sz w:val="20"/>
        </w:rPr>
        <w:t>”</w:t>
      </w:r>
      <w:r w:rsidR="000A6591" w:rsidRPr="0091644A">
        <w:rPr>
          <w:color w:val="6C6C6C"/>
          <w:sz w:val="20"/>
        </w:rPr>
        <w:t>, described in EITI reporting above,</w:t>
      </w:r>
      <w:r w:rsidRPr="0091644A">
        <w:rPr>
          <w:color w:val="6C6C6C"/>
          <w:sz w:val="20"/>
        </w:rPr>
        <w:t xml:space="preserve"> could be defined in </w:t>
      </w:r>
      <w:r w:rsidR="00E37DAC" w:rsidRPr="0091644A">
        <w:rPr>
          <w:color w:val="6C6C6C"/>
          <w:sz w:val="20"/>
        </w:rPr>
        <w:t xml:space="preserve">a multitude of </w:t>
      </w:r>
      <w:r w:rsidRPr="0091644A">
        <w:rPr>
          <w:color w:val="6C6C6C"/>
          <w:sz w:val="20"/>
        </w:rPr>
        <w:t xml:space="preserve">different ways, it is </w:t>
      </w:r>
      <w:r w:rsidR="00E37DAC" w:rsidRPr="0091644A">
        <w:rPr>
          <w:color w:val="6C6C6C"/>
          <w:sz w:val="20"/>
        </w:rPr>
        <w:t>predictable</w:t>
      </w:r>
      <w:r w:rsidRPr="0091644A">
        <w:rPr>
          <w:color w:val="6C6C6C"/>
          <w:sz w:val="20"/>
        </w:rPr>
        <w:t xml:space="preserve"> that the level of local procurement aspects covered in EITI reporting </w:t>
      </w:r>
      <w:r w:rsidR="00E37DAC" w:rsidRPr="0091644A">
        <w:rPr>
          <w:color w:val="6C6C6C"/>
          <w:sz w:val="20"/>
        </w:rPr>
        <w:t xml:space="preserve">will greatly </w:t>
      </w:r>
      <w:r w:rsidRPr="0091644A">
        <w:rPr>
          <w:color w:val="6C6C6C"/>
          <w:sz w:val="20"/>
        </w:rPr>
        <w:t xml:space="preserve">vary both within and between member countries. </w:t>
      </w:r>
      <w:r w:rsidR="00B41192" w:rsidRPr="0091644A">
        <w:rPr>
          <w:color w:val="6C6C6C"/>
          <w:sz w:val="20"/>
        </w:rPr>
        <w:t>However, based on the framing, it is likely that</w:t>
      </w:r>
      <w:r w:rsidR="005423F5" w:rsidRPr="0091644A">
        <w:rPr>
          <w:color w:val="6C6C6C"/>
          <w:sz w:val="20"/>
        </w:rPr>
        <w:t xml:space="preserve"> the</w:t>
      </w:r>
      <w:r w:rsidR="00B41192" w:rsidRPr="0091644A">
        <w:rPr>
          <w:color w:val="6C6C6C"/>
          <w:sz w:val="20"/>
        </w:rPr>
        <w:t xml:space="preserve"> focus will largely be placed on supports and services companies offer to build supplier capacity, for example through formal supplier development programmes. This means that site-level reporting</w:t>
      </w:r>
      <w:r w:rsidR="005423F5" w:rsidRPr="0091644A">
        <w:rPr>
          <w:color w:val="6C6C6C"/>
          <w:sz w:val="20"/>
        </w:rPr>
        <w:t xml:space="preserve"> of</w:t>
      </w:r>
      <w:r w:rsidR="00B41192" w:rsidRPr="0091644A">
        <w:rPr>
          <w:color w:val="6C6C6C"/>
          <w:sz w:val="20"/>
        </w:rPr>
        <w:t xml:space="preserve"> the procurement processes, local procurement </w:t>
      </w:r>
      <w:proofErr w:type="gramStart"/>
      <w:r w:rsidR="00B41192" w:rsidRPr="0091644A">
        <w:rPr>
          <w:color w:val="6C6C6C"/>
          <w:sz w:val="20"/>
        </w:rPr>
        <w:t>spend</w:t>
      </w:r>
      <w:proofErr w:type="gramEnd"/>
      <w:r w:rsidR="00B41192" w:rsidRPr="0091644A">
        <w:rPr>
          <w:color w:val="6C6C6C"/>
          <w:sz w:val="20"/>
        </w:rPr>
        <w:t>, due diligence processes, incentives to procure locally, and the external commitments and obligations related to local procurement will not be captured</w:t>
      </w:r>
      <w:r w:rsidR="00D541C2" w:rsidRPr="0091644A">
        <w:rPr>
          <w:color w:val="6C6C6C"/>
          <w:sz w:val="20"/>
        </w:rPr>
        <w:t xml:space="preserve"> in most cases</w:t>
      </w:r>
      <w:r w:rsidR="00B41192" w:rsidRPr="0091644A">
        <w:rPr>
          <w:color w:val="6C6C6C"/>
          <w:sz w:val="20"/>
        </w:rPr>
        <w:t xml:space="preserve">. </w:t>
      </w:r>
    </w:p>
    <w:p w14:paraId="1106FB15" w14:textId="1795E6E8" w:rsidR="00274BCD" w:rsidRPr="0091644A" w:rsidRDefault="00274BCD" w:rsidP="00E42A42">
      <w:pPr>
        <w:spacing w:after="0" w:line="240" w:lineRule="auto"/>
        <w:jc w:val="both"/>
        <w:rPr>
          <w:color w:val="6C6C6C"/>
          <w:sz w:val="20"/>
        </w:rPr>
      </w:pPr>
    </w:p>
    <w:p w14:paraId="658017D5" w14:textId="06F6F5CE" w:rsidR="00B66008" w:rsidRDefault="00E37DAC" w:rsidP="00E42A42">
      <w:pPr>
        <w:spacing w:after="0" w:line="240" w:lineRule="auto"/>
        <w:jc w:val="both"/>
        <w:rPr>
          <w:sz w:val="20"/>
        </w:rPr>
      </w:pPr>
      <w:r w:rsidRPr="0091644A">
        <w:rPr>
          <w:color w:val="6C6C6C"/>
          <w:sz w:val="20"/>
        </w:rPr>
        <w:t xml:space="preserve">Use of the </w:t>
      </w:r>
      <w:r w:rsidR="00092343" w:rsidRPr="0091644A">
        <w:rPr>
          <w:color w:val="6C6C6C"/>
          <w:sz w:val="20"/>
        </w:rPr>
        <w:t xml:space="preserve">LPRM </w:t>
      </w:r>
      <w:r w:rsidRPr="0091644A">
        <w:rPr>
          <w:color w:val="6C6C6C"/>
          <w:sz w:val="20"/>
        </w:rPr>
        <w:t>will</w:t>
      </w:r>
      <w:r w:rsidR="00D541C2" w:rsidRPr="0091644A">
        <w:rPr>
          <w:color w:val="6C6C6C"/>
          <w:sz w:val="20"/>
        </w:rPr>
        <w:t xml:space="preserve"> ensure</w:t>
      </w:r>
      <w:r w:rsidR="00FA2768" w:rsidRPr="0091644A">
        <w:rPr>
          <w:color w:val="6C6C6C"/>
          <w:sz w:val="20"/>
        </w:rPr>
        <w:t xml:space="preserve"> that</w:t>
      </w:r>
      <w:r w:rsidR="00D541C2" w:rsidRPr="0091644A">
        <w:rPr>
          <w:color w:val="6C6C6C"/>
          <w:sz w:val="20"/>
        </w:rPr>
        <w:t xml:space="preserve"> this valuable information is available, with</w:t>
      </w:r>
      <w:r w:rsidR="00092343" w:rsidRPr="0091644A">
        <w:rPr>
          <w:color w:val="6C6C6C"/>
          <w:sz w:val="20"/>
        </w:rPr>
        <w:t xml:space="preserve"> a comprehensive set of local procurement disclosures which outline the specific </w:t>
      </w:r>
      <w:r w:rsidRPr="0091644A">
        <w:rPr>
          <w:color w:val="6C6C6C"/>
          <w:sz w:val="20"/>
        </w:rPr>
        <w:t>information that is</w:t>
      </w:r>
      <w:r w:rsidR="00092343" w:rsidRPr="0091644A">
        <w:rPr>
          <w:color w:val="6C6C6C"/>
          <w:sz w:val="20"/>
        </w:rPr>
        <w:t xml:space="preserve"> required to </w:t>
      </w:r>
      <w:r w:rsidRPr="0091644A">
        <w:rPr>
          <w:color w:val="6C6C6C"/>
          <w:sz w:val="20"/>
        </w:rPr>
        <w:t>obtain</w:t>
      </w:r>
      <w:r w:rsidR="00092343" w:rsidRPr="0091644A">
        <w:rPr>
          <w:color w:val="6C6C6C"/>
          <w:sz w:val="20"/>
        </w:rPr>
        <w:t xml:space="preserve"> a clear understanding of the state of local procurement for a given site. </w:t>
      </w:r>
      <w:r w:rsidR="00626CE9" w:rsidRPr="0091644A">
        <w:rPr>
          <w:color w:val="6C6C6C"/>
          <w:sz w:val="20"/>
        </w:rPr>
        <w:t>Given recent EITI efforts to advance project-level reporting, the LPRM is well-timed as it provides EITI members with the necessary disclosures on local procurement at a site-level that can be incorporated into this push for increased detail within company reporting.</w:t>
      </w:r>
    </w:p>
    <w:p w14:paraId="19D1479D" w14:textId="7F13F5B2" w:rsidR="00274BCD" w:rsidRPr="00274BCD" w:rsidRDefault="00274BCD" w:rsidP="00E42A42">
      <w:pPr>
        <w:spacing w:after="0" w:line="240" w:lineRule="auto"/>
        <w:jc w:val="both"/>
        <w:rPr>
          <w:sz w:val="20"/>
        </w:rPr>
      </w:pPr>
    </w:p>
    <w:p w14:paraId="7E1F222A" w14:textId="1DE83A67" w:rsidR="00092343" w:rsidRPr="0091644A" w:rsidRDefault="00402792" w:rsidP="00E73966">
      <w:pPr>
        <w:shd w:val="clear" w:color="auto" w:fill="FBB249"/>
        <w:spacing w:after="0" w:line="240" w:lineRule="auto"/>
        <w:jc w:val="both"/>
        <w:rPr>
          <w:b/>
          <w:color w:val="6C6C6C"/>
          <w:sz w:val="24"/>
        </w:rPr>
      </w:pPr>
      <w:r w:rsidRPr="0091644A">
        <w:rPr>
          <w:b/>
          <w:color w:val="6C6C6C"/>
          <w:sz w:val="24"/>
        </w:rPr>
        <w:t xml:space="preserve">Operationalizing </w:t>
      </w:r>
      <w:r w:rsidR="00EB35DD" w:rsidRPr="0091644A">
        <w:rPr>
          <w:b/>
          <w:color w:val="6C6C6C"/>
          <w:sz w:val="24"/>
        </w:rPr>
        <w:t xml:space="preserve">the </w:t>
      </w:r>
      <w:r w:rsidRPr="0091644A">
        <w:rPr>
          <w:b/>
          <w:color w:val="6C6C6C"/>
          <w:sz w:val="24"/>
        </w:rPr>
        <w:t>Mining LPRM</w:t>
      </w:r>
      <w:r w:rsidR="00E37DAC" w:rsidRPr="0091644A">
        <w:rPr>
          <w:b/>
          <w:color w:val="6C6C6C"/>
          <w:sz w:val="24"/>
        </w:rPr>
        <w:t xml:space="preserve"> in Member Countries</w:t>
      </w:r>
    </w:p>
    <w:p w14:paraId="3E5F3955" w14:textId="00254EAF" w:rsidR="00E73966" w:rsidRDefault="00E73966" w:rsidP="00E73966">
      <w:pPr>
        <w:shd w:val="clear" w:color="auto" w:fill="1A9A99"/>
        <w:jc w:val="both"/>
      </w:pPr>
    </w:p>
    <w:p w14:paraId="543CD063" w14:textId="0693F0F5" w:rsidR="00274BCD" w:rsidRPr="0091644A" w:rsidRDefault="00FB59DC" w:rsidP="00E42A42">
      <w:pPr>
        <w:spacing w:after="0" w:line="240" w:lineRule="auto"/>
        <w:jc w:val="both"/>
        <w:rPr>
          <w:color w:val="6C6C6C"/>
          <w:sz w:val="20"/>
        </w:rPr>
      </w:pPr>
      <w:r w:rsidRPr="0091644A">
        <w:rPr>
          <w:color w:val="6C6C6C"/>
          <w:sz w:val="20"/>
        </w:rPr>
        <w:t xml:space="preserve">EITI members </w:t>
      </w:r>
      <w:r w:rsidR="00E37DAC" w:rsidRPr="0091644A">
        <w:rPr>
          <w:color w:val="6C6C6C"/>
          <w:sz w:val="20"/>
        </w:rPr>
        <w:t>can utilize the Mining LPRM</w:t>
      </w:r>
      <w:r w:rsidR="007C7858" w:rsidRPr="0091644A">
        <w:rPr>
          <w:color w:val="6C6C6C"/>
          <w:sz w:val="20"/>
        </w:rPr>
        <w:t xml:space="preserve"> </w:t>
      </w:r>
      <w:r w:rsidR="00D429B9" w:rsidRPr="0091644A">
        <w:rPr>
          <w:color w:val="6C6C6C"/>
          <w:sz w:val="20"/>
        </w:rPr>
        <w:t>in different ways</w:t>
      </w:r>
      <w:r w:rsidR="00E37DAC" w:rsidRPr="0091644A">
        <w:rPr>
          <w:color w:val="6C6C6C"/>
          <w:sz w:val="20"/>
        </w:rPr>
        <w:t>, ranging from dissemination and promotion, to eventual mandatory requirements for mine sites to report using all of the required disclosures</w:t>
      </w:r>
      <w:r w:rsidR="00D429B9" w:rsidRPr="0091644A">
        <w:rPr>
          <w:color w:val="6C6C6C"/>
          <w:sz w:val="20"/>
        </w:rPr>
        <w:t xml:space="preserve">. </w:t>
      </w:r>
    </w:p>
    <w:p w14:paraId="298D0CC6" w14:textId="3E40DC8F" w:rsidR="00274BCD" w:rsidRPr="0091644A" w:rsidRDefault="00274BCD" w:rsidP="00E42A42">
      <w:pPr>
        <w:spacing w:after="0" w:line="240" w:lineRule="auto"/>
        <w:jc w:val="both"/>
        <w:rPr>
          <w:color w:val="6C6C6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1644A" w:rsidRPr="0091644A" w14:paraId="14C6D271" w14:textId="77777777" w:rsidTr="00E73966">
        <w:tc>
          <w:tcPr>
            <w:tcW w:w="4508" w:type="dxa"/>
          </w:tcPr>
          <w:p w14:paraId="1E830A9F" w14:textId="77777777" w:rsidR="00274BCD" w:rsidRPr="0091644A" w:rsidRDefault="00274BCD" w:rsidP="00274BCD">
            <w:pPr>
              <w:rPr>
                <w:color w:val="6C6C6C"/>
                <w:sz w:val="20"/>
              </w:rPr>
            </w:pPr>
            <w:r w:rsidRPr="0091644A">
              <w:rPr>
                <w:color w:val="6C6C6C"/>
                <w:sz w:val="20"/>
              </w:rPr>
              <w:t>In the short-term, activities could include:</w:t>
            </w:r>
          </w:p>
          <w:p w14:paraId="0CF44F39" w14:textId="77777777" w:rsidR="00274BCD" w:rsidRPr="0091644A" w:rsidRDefault="00274BCD" w:rsidP="00294E8E">
            <w:pPr>
              <w:rPr>
                <w:color w:val="6C6C6C"/>
                <w:sz w:val="20"/>
              </w:rPr>
            </w:pPr>
          </w:p>
        </w:tc>
        <w:tc>
          <w:tcPr>
            <w:tcW w:w="4508" w:type="dxa"/>
          </w:tcPr>
          <w:p w14:paraId="729E153D" w14:textId="2FFEFE41" w:rsidR="00274BCD" w:rsidRPr="0091644A" w:rsidRDefault="00274BCD" w:rsidP="00274BCD">
            <w:pPr>
              <w:rPr>
                <w:color w:val="6C6C6C"/>
                <w:sz w:val="20"/>
              </w:rPr>
            </w:pPr>
            <w:r w:rsidRPr="0091644A">
              <w:rPr>
                <w:color w:val="6C6C6C"/>
                <w:sz w:val="20"/>
              </w:rPr>
              <w:t>In the long-term, activities could include:</w:t>
            </w:r>
          </w:p>
          <w:p w14:paraId="138FF56B" w14:textId="77777777" w:rsidR="00274BCD" w:rsidRPr="0091644A" w:rsidRDefault="00274BCD" w:rsidP="00294E8E">
            <w:pPr>
              <w:rPr>
                <w:color w:val="6C6C6C"/>
                <w:sz w:val="20"/>
              </w:rPr>
            </w:pPr>
          </w:p>
        </w:tc>
      </w:tr>
      <w:tr w:rsidR="0091644A" w:rsidRPr="0091644A" w14:paraId="1EC1A76B" w14:textId="77777777" w:rsidTr="00E73966">
        <w:tc>
          <w:tcPr>
            <w:tcW w:w="4508" w:type="dxa"/>
          </w:tcPr>
          <w:p w14:paraId="1BAD3B47" w14:textId="342BE417" w:rsidR="00274BCD" w:rsidRPr="0091644A" w:rsidRDefault="00274BCD" w:rsidP="00274BCD">
            <w:pPr>
              <w:pStyle w:val="ListParagraph"/>
              <w:numPr>
                <w:ilvl w:val="0"/>
                <w:numId w:val="2"/>
              </w:numPr>
              <w:rPr>
                <w:color w:val="6C6C6C"/>
                <w:sz w:val="20"/>
              </w:rPr>
            </w:pPr>
            <w:r w:rsidRPr="0091644A">
              <w:rPr>
                <w:color w:val="6C6C6C"/>
                <w:sz w:val="20"/>
              </w:rPr>
              <w:t xml:space="preserve">Country-level guidance and training to mining companies, mining associations, and other relevant stakeholders on local procurement reporting and detail on how it aligns with existing country reporting requirements. </w:t>
            </w:r>
          </w:p>
          <w:p w14:paraId="0B73F147" w14:textId="64AAA179" w:rsidR="00926321" w:rsidRPr="0091644A" w:rsidRDefault="00926321" w:rsidP="00926321">
            <w:pPr>
              <w:pStyle w:val="ListParagraph"/>
              <w:rPr>
                <w:color w:val="6C6C6C"/>
                <w:sz w:val="20"/>
              </w:rPr>
            </w:pPr>
          </w:p>
          <w:p w14:paraId="5FC7C6DE" w14:textId="5AAE703A" w:rsidR="00274BCD" w:rsidRPr="0091644A" w:rsidRDefault="00274BCD" w:rsidP="00274BCD">
            <w:pPr>
              <w:pStyle w:val="ListParagraph"/>
              <w:numPr>
                <w:ilvl w:val="0"/>
                <w:numId w:val="2"/>
              </w:numPr>
              <w:rPr>
                <w:color w:val="6C6C6C"/>
                <w:sz w:val="20"/>
              </w:rPr>
            </w:pPr>
            <w:r w:rsidRPr="0091644A">
              <w:rPr>
                <w:color w:val="6C6C6C"/>
                <w:sz w:val="20"/>
              </w:rPr>
              <w:t>Support to civil society on how the LPRM could bolster current efforts and activities promoting improved mining governance.</w:t>
            </w:r>
          </w:p>
          <w:p w14:paraId="6BD8FAB8" w14:textId="75DF9104" w:rsidR="00926321" w:rsidRPr="0091644A" w:rsidRDefault="00926321" w:rsidP="00E73966">
            <w:pPr>
              <w:rPr>
                <w:color w:val="6C6C6C"/>
                <w:sz w:val="20"/>
              </w:rPr>
            </w:pPr>
          </w:p>
          <w:p w14:paraId="0E2515B5" w14:textId="7EB41F0C" w:rsidR="00274BCD" w:rsidRPr="0091644A" w:rsidRDefault="00274BCD" w:rsidP="00274BCD">
            <w:pPr>
              <w:pStyle w:val="ListParagraph"/>
              <w:numPr>
                <w:ilvl w:val="0"/>
                <w:numId w:val="2"/>
              </w:numPr>
              <w:rPr>
                <w:color w:val="6C6C6C"/>
                <w:sz w:val="20"/>
              </w:rPr>
            </w:pPr>
            <w:r w:rsidRPr="0091644A">
              <w:rPr>
                <w:color w:val="6C6C6C"/>
                <w:sz w:val="20"/>
              </w:rPr>
              <w:t>Training to governments on how the LPRM could support current data collection and economic planning (e.g. su</w:t>
            </w:r>
            <w:bookmarkStart w:id="0" w:name="_GoBack"/>
            <w:bookmarkEnd w:id="0"/>
            <w:r w:rsidRPr="0091644A">
              <w:rPr>
                <w:color w:val="6C6C6C"/>
                <w:sz w:val="20"/>
              </w:rPr>
              <w:t>pplier support programs, educational spending, targeted infrastructure).</w:t>
            </w:r>
          </w:p>
          <w:p w14:paraId="0C73077B" w14:textId="5E6A373C" w:rsidR="00926321" w:rsidRPr="0091644A" w:rsidRDefault="00926321" w:rsidP="00926321">
            <w:pPr>
              <w:pStyle w:val="ListParagraph"/>
              <w:rPr>
                <w:color w:val="6C6C6C"/>
                <w:sz w:val="20"/>
              </w:rPr>
            </w:pPr>
          </w:p>
          <w:p w14:paraId="3FBE792D" w14:textId="39FC4ED3" w:rsidR="00274BCD" w:rsidRPr="0091644A" w:rsidRDefault="00274BCD" w:rsidP="00274BCD">
            <w:pPr>
              <w:pStyle w:val="ListParagraph"/>
              <w:numPr>
                <w:ilvl w:val="0"/>
                <w:numId w:val="2"/>
              </w:numPr>
              <w:rPr>
                <w:color w:val="6C6C6C"/>
                <w:sz w:val="20"/>
              </w:rPr>
            </w:pPr>
            <w:r w:rsidRPr="0091644A">
              <w:rPr>
                <w:color w:val="6C6C6C"/>
                <w:sz w:val="20"/>
              </w:rPr>
              <w:t>Commitments from EITI national multi-stakeholder groups to support and promote the LPRM.</w:t>
            </w:r>
          </w:p>
          <w:p w14:paraId="2A83FC9A" w14:textId="77777777" w:rsidR="00274BCD" w:rsidRPr="0091644A" w:rsidRDefault="00274BCD" w:rsidP="00294E8E">
            <w:pPr>
              <w:rPr>
                <w:color w:val="6C6C6C"/>
                <w:sz w:val="20"/>
              </w:rPr>
            </w:pPr>
          </w:p>
        </w:tc>
        <w:tc>
          <w:tcPr>
            <w:tcW w:w="4508" w:type="dxa"/>
          </w:tcPr>
          <w:p w14:paraId="7806DB4A" w14:textId="48D3F01F" w:rsidR="00274BCD" w:rsidRPr="0091644A" w:rsidRDefault="00274BCD" w:rsidP="00274BCD">
            <w:pPr>
              <w:pStyle w:val="ListParagraph"/>
              <w:numPr>
                <w:ilvl w:val="0"/>
                <w:numId w:val="1"/>
              </w:numPr>
              <w:rPr>
                <w:color w:val="6C6C6C"/>
                <w:sz w:val="20"/>
              </w:rPr>
            </w:pPr>
            <w:r w:rsidRPr="0091644A">
              <w:rPr>
                <w:color w:val="6C6C6C"/>
                <w:sz w:val="20"/>
              </w:rPr>
              <w:t>Integrating all or select Mining LPRM disclosures into existing country reporting requirements and publishing this data within EITI reports.</w:t>
            </w:r>
          </w:p>
          <w:p w14:paraId="0D95296E" w14:textId="3F354DA2" w:rsidR="00926321" w:rsidRPr="0091644A" w:rsidRDefault="00926321" w:rsidP="00926321">
            <w:pPr>
              <w:pStyle w:val="ListParagraph"/>
              <w:rPr>
                <w:color w:val="6C6C6C"/>
                <w:sz w:val="20"/>
              </w:rPr>
            </w:pPr>
          </w:p>
          <w:p w14:paraId="3A179095" w14:textId="6B784C64" w:rsidR="00274BCD" w:rsidRPr="0091644A" w:rsidRDefault="00B043DF" w:rsidP="00274BCD">
            <w:pPr>
              <w:pStyle w:val="ListParagraph"/>
              <w:numPr>
                <w:ilvl w:val="0"/>
                <w:numId w:val="1"/>
              </w:numPr>
              <w:rPr>
                <w:color w:val="6C6C6C"/>
                <w:sz w:val="20"/>
              </w:rPr>
            </w:pPr>
            <w:r>
              <w:rPr>
                <w:noProof/>
              </w:rPr>
              <w:drawing>
                <wp:anchor distT="0" distB="0" distL="114300" distR="114300" simplePos="0" relativeHeight="251678720" behindDoc="0" locked="0" layoutInCell="1" allowOverlap="1" wp14:anchorId="4413ADE0" wp14:editId="09B28C73">
                  <wp:simplePos x="0" y="0"/>
                  <wp:positionH relativeFrom="column">
                    <wp:posOffset>699885</wp:posOffset>
                  </wp:positionH>
                  <wp:positionV relativeFrom="paragraph">
                    <wp:posOffset>333606</wp:posOffset>
                  </wp:positionV>
                  <wp:extent cx="2438400" cy="24384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BCD" w:rsidRPr="0091644A">
              <w:rPr>
                <w:color w:val="6C6C6C"/>
                <w:sz w:val="20"/>
              </w:rPr>
              <w:t>Integrating all or select Mining LPRM disclosures into existing country reporting requirements and publishing this data as part of a separate report focused on local procurement.</w:t>
            </w:r>
          </w:p>
          <w:p w14:paraId="247E5CFA" w14:textId="256B177F" w:rsidR="00274BCD" w:rsidRPr="0091644A" w:rsidRDefault="00301394" w:rsidP="00294E8E">
            <w:pPr>
              <w:rPr>
                <w:color w:val="6C6C6C"/>
                <w:sz w:val="20"/>
              </w:rPr>
            </w:pPr>
            <w:r>
              <w:rPr>
                <w:noProof/>
              </w:rPr>
              <w:drawing>
                <wp:anchor distT="0" distB="0" distL="114300" distR="114300" simplePos="0" relativeHeight="251667456" behindDoc="0" locked="0" layoutInCell="1" allowOverlap="1" wp14:anchorId="384A65EA" wp14:editId="18712154">
                  <wp:simplePos x="0" y="0"/>
                  <wp:positionH relativeFrom="column">
                    <wp:posOffset>235222</wp:posOffset>
                  </wp:positionH>
                  <wp:positionV relativeFrom="paragraph">
                    <wp:posOffset>347435</wp:posOffset>
                  </wp:positionV>
                  <wp:extent cx="885825" cy="8858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C05F1B" w14:textId="399FD145" w:rsidR="00AA6D8D" w:rsidRDefault="00AA6D8D" w:rsidP="00AA6D8D">
      <w:pPr>
        <w:spacing w:after="0" w:line="240" w:lineRule="auto"/>
        <w:jc w:val="both"/>
        <w:rPr>
          <w:i/>
          <w:color w:val="6C6C6C"/>
        </w:rPr>
      </w:pPr>
    </w:p>
    <w:p w14:paraId="0927300A" w14:textId="215C1791" w:rsidR="00AA6D8D" w:rsidRPr="00DD1F24" w:rsidRDefault="00AA6D8D" w:rsidP="00301394">
      <w:pPr>
        <w:spacing w:after="0" w:line="240" w:lineRule="auto"/>
        <w:jc w:val="center"/>
      </w:pPr>
      <w:r w:rsidRPr="00DD1F24">
        <w:rPr>
          <w:i/>
          <w:color w:val="6C6C6C"/>
        </w:rPr>
        <w:t>For more information about the Mining LPRM and how you can use it in your work, please contact Jeff Geipel</w:t>
      </w:r>
      <w:r w:rsidRPr="00DD1F24">
        <w:rPr>
          <w:color w:val="6C6C6C"/>
        </w:rPr>
        <w:t xml:space="preserve"> (</w:t>
      </w:r>
      <w:hyperlink r:id="rId13" w:history="1">
        <w:r w:rsidRPr="00DD1F24">
          <w:rPr>
            <w:rStyle w:val="Hyperlink"/>
          </w:rPr>
          <w:t>jeffgeipel@ewb.ca</w:t>
        </w:r>
      </w:hyperlink>
      <w:r w:rsidRPr="00DD1F24">
        <w:rPr>
          <w:color w:val="6C6C6C"/>
        </w:rPr>
        <w:t xml:space="preserve">) </w:t>
      </w:r>
      <w:r w:rsidRPr="00DD1F24">
        <w:rPr>
          <w:i/>
          <w:color w:val="6C6C6C"/>
        </w:rPr>
        <w:t>or Emily Nickerson</w:t>
      </w:r>
      <w:r w:rsidRPr="00DD1F24">
        <w:rPr>
          <w:color w:val="6C6C6C"/>
        </w:rPr>
        <w:t xml:space="preserve"> (</w:t>
      </w:r>
      <w:hyperlink r:id="rId14" w:history="1">
        <w:r w:rsidRPr="00DD1F24">
          <w:rPr>
            <w:rStyle w:val="Hyperlink"/>
          </w:rPr>
          <w:t>emilynickerson@ewb.ca</w:t>
        </w:r>
      </w:hyperlink>
      <w:r w:rsidRPr="00DD1F24">
        <w:rPr>
          <w:color w:val="6C6C6C"/>
        </w:rPr>
        <w:t>).</w:t>
      </w:r>
    </w:p>
    <w:p w14:paraId="024004BC" w14:textId="47186437" w:rsidR="001B7191" w:rsidRPr="00DC66F5" w:rsidRDefault="005F17D1" w:rsidP="00F47FE2">
      <w:pPr>
        <w:rPr>
          <w:color w:val="FF0000"/>
        </w:rPr>
      </w:pPr>
      <w:r>
        <w:rPr>
          <w:noProof/>
        </w:rPr>
        <w:drawing>
          <wp:anchor distT="0" distB="0" distL="114300" distR="114300" simplePos="0" relativeHeight="251679744" behindDoc="0" locked="0" layoutInCell="1" allowOverlap="1" wp14:anchorId="4D2B9DFB" wp14:editId="464AFB34">
            <wp:simplePos x="0" y="0"/>
            <wp:positionH relativeFrom="column">
              <wp:posOffset>1102360</wp:posOffset>
            </wp:positionH>
            <wp:positionV relativeFrom="paragraph">
              <wp:posOffset>245110</wp:posOffset>
            </wp:positionV>
            <wp:extent cx="3526790" cy="8058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6790" cy="8058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7191" w:rsidRPr="00DC66F5" w:rsidSect="00E23DB6">
      <w:headerReference w:type="default" r:id="rId16"/>
      <w:footerReference w:type="default" r:id="rId17"/>
      <w:headerReference w:type="first" r:id="rId18"/>
      <w:footerReference w:type="first" r:id="rId19"/>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92CBB" w14:textId="77777777" w:rsidR="00E7081A" w:rsidRDefault="00E7081A" w:rsidP="00B66008">
      <w:pPr>
        <w:spacing w:after="0" w:line="240" w:lineRule="auto"/>
      </w:pPr>
      <w:r>
        <w:separator/>
      </w:r>
    </w:p>
  </w:endnote>
  <w:endnote w:type="continuationSeparator" w:id="0">
    <w:p w14:paraId="2F1A2CBB" w14:textId="77777777" w:rsidR="00E7081A" w:rsidRDefault="00E7081A" w:rsidP="00B6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DFE5" w14:textId="580B8C64" w:rsidR="00FD3E25" w:rsidRDefault="00FD3E25">
    <w:pPr>
      <w:pStyle w:val="Footer"/>
    </w:pPr>
    <w:r w:rsidRPr="005F17D1">
      <w:rPr>
        <w:noProof/>
        <w:color w:val="FF0000"/>
      </w:rPr>
      <w:drawing>
        <wp:anchor distT="0" distB="0" distL="114300" distR="114300" simplePos="0" relativeHeight="251659776" behindDoc="0" locked="0" layoutInCell="1" allowOverlap="1" wp14:anchorId="2FDFD851" wp14:editId="28A07597">
          <wp:simplePos x="0" y="0"/>
          <wp:positionH relativeFrom="column">
            <wp:posOffset>-914400</wp:posOffset>
          </wp:positionH>
          <wp:positionV relativeFrom="paragraph">
            <wp:posOffset>-569595</wp:posOffset>
          </wp:positionV>
          <wp:extent cx="3886200" cy="118872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30688" r="20041"/>
                  <a:stretch/>
                </pic:blipFill>
                <pic:spPr bwMode="auto">
                  <a:xfrm>
                    <a:off x="0" y="0"/>
                    <a:ext cx="3886200"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2DDE">
      <w:rPr>
        <w:noProof/>
        <w:color w:val="FF0000"/>
      </w:rPr>
      <w:drawing>
        <wp:anchor distT="0" distB="0" distL="114300" distR="114300" simplePos="0" relativeHeight="251658752" behindDoc="0" locked="0" layoutInCell="1" allowOverlap="1" wp14:anchorId="4DBA7949" wp14:editId="0CC6C694">
          <wp:simplePos x="0" y="0"/>
          <wp:positionH relativeFrom="column">
            <wp:posOffset>2974793</wp:posOffset>
          </wp:positionH>
          <wp:positionV relativeFrom="paragraph">
            <wp:posOffset>-558800</wp:posOffset>
          </wp:positionV>
          <wp:extent cx="3886200" cy="11887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
                    <a:extLst>
                      <a:ext uri="{28A0092B-C50C-407E-A947-70E740481C1C}">
                        <a14:useLocalDpi xmlns:a14="http://schemas.microsoft.com/office/drawing/2010/main" val="0"/>
                      </a:ext>
                    </a:extLst>
                  </a:blip>
                  <a:srcRect l="2469" r="-2469"/>
                  <a:stretch/>
                </pic:blipFill>
                <pic:spPr bwMode="auto">
                  <a:xfrm>
                    <a:off x="0" y="0"/>
                    <a:ext cx="388620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49489" w14:textId="05020C11" w:rsidR="00FD3E25" w:rsidRDefault="00FD3E25">
    <w:pPr>
      <w:pStyle w:val="Footer"/>
    </w:pPr>
    <w:r w:rsidRPr="00FD3E25">
      <w:rPr>
        <w:noProof/>
        <w:color w:val="6C6C6C"/>
        <w:sz w:val="20"/>
      </w:rPr>
      <w:drawing>
        <wp:anchor distT="0" distB="0" distL="114300" distR="114300" simplePos="0" relativeHeight="251656704" behindDoc="0" locked="0" layoutInCell="1" allowOverlap="1" wp14:anchorId="03E47BEB" wp14:editId="1BE54874">
          <wp:simplePos x="0" y="0"/>
          <wp:positionH relativeFrom="column">
            <wp:posOffset>-914400</wp:posOffset>
          </wp:positionH>
          <wp:positionV relativeFrom="paragraph">
            <wp:posOffset>-568960</wp:posOffset>
          </wp:positionV>
          <wp:extent cx="3886200" cy="118872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49248"/>
                  <a:stretch/>
                </pic:blipFill>
                <pic:spPr bwMode="auto">
                  <a:xfrm>
                    <a:off x="0" y="0"/>
                    <a:ext cx="3886200"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2DDE">
      <w:rPr>
        <w:noProof/>
        <w:color w:val="FF0000"/>
      </w:rPr>
      <w:drawing>
        <wp:anchor distT="0" distB="0" distL="114300" distR="114300" simplePos="0" relativeHeight="251657728" behindDoc="0" locked="0" layoutInCell="1" allowOverlap="1" wp14:anchorId="402A18B0" wp14:editId="0ACF20B3">
          <wp:simplePos x="0" y="0"/>
          <wp:positionH relativeFrom="column">
            <wp:posOffset>2922270</wp:posOffset>
          </wp:positionH>
          <wp:positionV relativeFrom="paragraph">
            <wp:posOffset>-569595</wp:posOffset>
          </wp:positionV>
          <wp:extent cx="3886200" cy="11887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8" t="39955" r="18"/>
                  <a:stretch/>
                </pic:blipFill>
                <pic:spPr bwMode="auto">
                  <a:xfrm>
                    <a:off x="0" y="0"/>
                    <a:ext cx="3886200"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E0601" w14:textId="77777777" w:rsidR="00E7081A" w:rsidRDefault="00E7081A" w:rsidP="00B66008">
      <w:pPr>
        <w:spacing w:after="0" w:line="240" w:lineRule="auto"/>
      </w:pPr>
      <w:r>
        <w:separator/>
      </w:r>
    </w:p>
  </w:footnote>
  <w:footnote w:type="continuationSeparator" w:id="0">
    <w:p w14:paraId="785AA9C4" w14:textId="77777777" w:rsidR="00E7081A" w:rsidRDefault="00E7081A" w:rsidP="00B66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8A49E" w14:textId="244498C1" w:rsidR="00DD1F24" w:rsidRDefault="00DD1F24">
    <w:pPr>
      <w:pStyle w:val="Header"/>
    </w:pPr>
    <w:r>
      <w:rPr>
        <w:b/>
        <w:noProof/>
      </w:rPr>
      <mc:AlternateContent>
        <mc:Choice Requires="wps">
          <w:drawing>
            <wp:anchor distT="0" distB="0" distL="114300" distR="114300" simplePos="0" relativeHeight="251655680" behindDoc="0" locked="0" layoutInCell="1" allowOverlap="1" wp14:anchorId="70DABC3B" wp14:editId="511A46B5">
              <wp:simplePos x="0" y="0"/>
              <wp:positionH relativeFrom="margin">
                <wp:posOffset>-914400</wp:posOffset>
              </wp:positionH>
              <wp:positionV relativeFrom="paragraph">
                <wp:posOffset>-449580</wp:posOffset>
              </wp:positionV>
              <wp:extent cx="7772400" cy="762000"/>
              <wp:effectExtent l="0" t="0" r="0" b="0"/>
              <wp:wrapNone/>
              <wp:docPr id="24" name="Rectangle 24"/>
              <wp:cNvGraphicFramePr/>
              <a:graphic xmlns:a="http://schemas.openxmlformats.org/drawingml/2006/main">
                <a:graphicData uri="http://schemas.microsoft.com/office/word/2010/wordprocessingShape">
                  <wps:wsp>
                    <wps:cNvSpPr/>
                    <wps:spPr>
                      <a:xfrm>
                        <a:off x="0" y="0"/>
                        <a:ext cx="7772400" cy="762000"/>
                      </a:xfrm>
                      <a:prstGeom prst="rect">
                        <a:avLst/>
                      </a:prstGeom>
                      <a:solidFill>
                        <a:srgbClr val="FBB2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AA39" id="Rectangle 24" o:spid="_x0000_s1026" style="position:absolute;margin-left:-1in;margin-top:-35.4pt;width:612pt;height:6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" fillcolor="#fbb249" stroked="f" strokeweight="1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C7E9B" w14:textId="2474F2A2" w:rsidR="00294E8E" w:rsidRPr="0003383F" w:rsidRDefault="00FD3E25" w:rsidP="0062029E">
    <w:pPr>
      <w:rPr>
        <w:b/>
        <w:color w:val="1A9A99"/>
        <w:sz w:val="29"/>
        <w:szCs w:val="29"/>
      </w:rPr>
    </w:pPr>
    <w:r>
      <w:rPr>
        <w:b/>
        <w:noProof/>
      </w:rPr>
      <mc:AlternateContent>
        <mc:Choice Requires="wps">
          <w:drawing>
            <wp:anchor distT="0" distB="0" distL="114300" distR="114300" simplePos="0" relativeHeight="251654656" behindDoc="1" locked="0" layoutInCell="1" allowOverlap="1" wp14:anchorId="5B91E908" wp14:editId="257E51A1">
              <wp:simplePos x="0" y="0"/>
              <wp:positionH relativeFrom="margin">
                <wp:posOffset>-914400</wp:posOffset>
              </wp:positionH>
              <wp:positionV relativeFrom="paragraph">
                <wp:posOffset>-449580</wp:posOffset>
              </wp:positionV>
              <wp:extent cx="7772400" cy="762000"/>
              <wp:effectExtent l="0" t="0" r="0" b="0"/>
              <wp:wrapNone/>
              <wp:docPr id="22" name="Rectangle 22"/>
              <wp:cNvGraphicFramePr/>
              <a:graphic xmlns:a="http://schemas.openxmlformats.org/drawingml/2006/main">
                <a:graphicData uri="http://schemas.microsoft.com/office/word/2010/wordprocessingShape">
                  <wps:wsp>
                    <wps:cNvSpPr/>
                    <wps:spPr>
                      <a:xfrm>
                        <a:off x="0" y="0"/>
                        <a:ext cx="7772400" cy="762000"/>
                      </a:xfrm>
                      <a:prstGeom prst="rect">
                        <a:avLst/>
                      </a:prstGeom>
                      <a:solidFill>
                        <a:srgbClr val="FBB2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91B71" id="Rectangle 22" o:spid="_x0000_s1026" style="position:absolute;margin-left:-1in;margin-top:-35.4pt;width:612pt;height:60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" fillcolor="#fbb249" stroked="f" strokeweight="1pt">
              <w10:wrap anchorx="margin"/>
            </v:rect>
          </w:pict>
        </mc:Fallback>
      </mc:AlternateContent>
    </w:r>
    <w:sdt>
      <w:sdtPr>
        <w:rPr>
          <w:b/>
          <w:color w:val="1A9A99"/>
          <w:sz w:val="29"/>
          <w:szCs w:val="29"/>
        </w:rPr>
        <w:id w:val="-720054958"/>
        <w:docPartObj>
          <w:docPartGallery w:val="Watermarks"/>
          <w:docPartUnique/>
        </w:docPartObj>
      </w:sdtPr>
      <w:sdtEndPr/>
      <w:sdtContent>
        <w:r w:rsidR="00E23DB6">
          <w:rPr>
            <w:b/>
            <w:noProof/>
            <w:color w:val="1A9A99"/>
            <w:sz w:val="29"/>
            <w:szCs w:val="29"/>
          </w:rPr>
          <w:pict w14:anchorId="7A197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94E8E" w:rsidRPr="0003383F">
      <w:rPr>
        <w:b/>
        <w:color w:val="1A9A99"/>
        <w:sz w:val="29"/>
        <w:szCs w:val="29"/>
      </w:rPr>
      <w:t>Supporting guidance for EITI members to operationalize the Mining LPRM</w:t>
    </w:r>
  </w:p>
  <w:p w14:paraId="5AA90E9A" w14:textId="3AEA2069" w:rsidR="00B66008" w:rsidRDefault="00B660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01484"/>
    <w:multiLevelType w:val="hybridMultilevel"/>
    <w:tmpl w:val="61DEFA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4616328"/>
    <w:multiLevelType w:val="hybridMultilevel"/>
    <w:tmpl w:val="7026D8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08"/>
    <w:rsid w:val="000129A9"/>
    <w:rsid w:val="00030988"/>
    <w:rsid w:val="000325A9"/>
    <w:rsid w:val="0003383F"/>
    <w:rsid w:val="00092343"/>
    <w:rsid w:val="000A6591"/>
    <w:rsid w:val="0015780C"/>
    <w:rsid w:val="00161E70"/>
    <w:rsid w:val="00174A1C"/>
    <w:rsid w:val="001B7191"/>
    <w:rsid w:val="001D11B8"/>
    <w:rsid w:val="00202FB3"/>
    <w:rsid w:val="00207D57"/>
    <w:rsid w:val="002461AA"/>
    <w:rsid w:val="0026206A"/>
    <w:rsid w:val="00274BCD"/>
    <w:rsid w:val="00294E8E"/>
    <w:rsid w:val="002B4F30"/>
    <w:rsid w:val="00301394"/>
    <w:rsid w:val="003517DB"/>
    <w:rsid w:val="003F1227"/>
    <w:rsid w:val="00402792"/>
    <w:rsid w:val="004C14FE"/>
    <w:rsid w:val="004E58A3"/>
    <w:rsid w:val="004F09B8"/>
    <w:rsid w:val="00527FBB"/>
    <w:rsid w:val="005423F5"/>
    <w:rsid w:val="00567F08"/>
    <w:rsid w:val="00592C86"/>
    <w:rsid w:val="005A1746"/>
    <w:rsid w:val="005C3DCD"/>
    <w:rsid w:val="005F17D1"/>
    <w:rsid w:val="0062029E"/>
    <w:rsid w:val="00626CE9"/>
    <w:rsid w:val="00652C65"/>
    <w:rsid w:val="00665752"/>
    <w:rsid w:val="00667801"/>
    <w:rsid w:val="00671E96"/>
    <w:rsid w:val="00671EC8"/>
    <w:rsid w:val="00703482"/>
    <w:rsid w:val="007317A5"/>
    <w:rsid w:val="007563A8"/>
    <w:rsid w:val="00781958"/>
    <w:rsid w:val="007C7858"/>
    <w:rsid w:val="007D745D"/>
    <w:rsid w:val="008170BC"/>
    <w:rsid w:val="0086490D"/>
    <w:rsid w:val="00916356"/>
    <w:rsid w:val="0091644A"/>
    <w:rsid w:val="00926321"/>
    <w:rsid w:val="0095223A"/>
    <w:rsid w:val="00A01194"/>
    <w:rsid w:val="00AA478E"/>
    <w:rsid w:val="00AA6D8D"/>
    <w:rsid w:val="00B043DF"/>
    <w:rsid w:val="00B41192"/>
    <w:rsid w:val="00B62DDE"/>
    <w:rsid w:val="00B66008"/>
    <w:rsid w:val="00B7174A"/>
    <w:rsid w:val="00C018B0"/>
    <w:rsid w:val="00C30E15"/>
    <w:rsid w:val="00C612E4"/>
    <w:rsid w:val="00C67391"/>
    <w:rsid w:val="00C922AB"/>
    <w:rsid w:val="00CA2BA7"/>
    <w:rsid w:val="00CA43E6"/>
    <w:rsid w:val="00CD0383"/>
    <w:rsid w:val="00CE599B"/>
    <w:rsid w:val="00CF0545"/>
    <w:rsid w:val="00D13F1B"/>
    <w:rsid w:val="00D429B9"/>
    <w:rsid w:val="00D541C2"/>
    <w:rsid w:val="00DC66F5"/>
    <w:rsid w:val="00DD1F24"/>
    <w:rsid w:val="00E2200C"/>
    <w:rsid w:val="00E23DB6"/>
    <w:rsid w:val="00E36A51"/>
    <w:rsid w:val="00E37DAC"/>
    <w:rsid w:val="00E41683"/>
    <w:rsid w:val="00E42A42"/>
    <w:rsid w:val="00E7081A"/>
    <w:rsid w:val="00E73966"/>
    <w:rsid w:val="00EB35DD"/>
    <w:rsid w:val="00EC4767"/>
    <w:rsid w:val="00F065F0"/>
    <w:rsid w:val="00F150CE"/>
    <w:rsid w:val="00F47FE2"/>
    <w:rsid w:val="00F63AAC"/>
    <w:rsid w:val="00FA2768"/>
    <w:rsid w:val="00FB59DC"/>
    <w:rsid w:val="00FD3E25"/>
    <w:rsid w:val="00FD71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6E20AC"/>
  <w15:chartTrackingRefBased/>
  <w15:docId w15:val="{33DAC511-65D3-4650-90ED-AF11003A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0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008"/>
  </w:style>
  <w:style w:type="paragraph" w:styleId="Footer">
    <w:name w:val="footer"/>
    <w:basedOn w:val="Normal"/>
    <w:link w:val="FooterChar"/>
    <w:uiPriority w:val="99"/>
    <w:unhideWhenUsed/>
    <w:rsid w:val="00B66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008"/>
  </w:style>
  <w:style w:type="character" w:styleId="Hyperlink">
    <w:name w:val="Hyperlink"/>
    <w:basedOn w:val="DefaultParagraphFont"/>
    <w:uiPriority w:val="99"/>
    <w:unhideWhenUsed/>
    <w:rsid w:val="00B66008"/>
    <w:rPr>
      <w:color w:val="0563C1" w:themeColor="hyperlink"/>
      <w:u w:val="single"/>
    </w:rPr>
  </w:style>
  <w:style w:type="character" w:styleId="UnresolvedMention">
    <w:name w:val="Unresolved Mention"/>
    <w:basedOn w:val="DefaultParagraphFont"/>
    <w:uiPriority w:val="99"/>
    <w:semiHidden/>
    <w:unhideWhenUsed/>
    <w:rsid w:val="00B66008"/>
    <w:rPr>
      <w:color w:val="808080"/>
      <w:shd w:val="clear" w:color="auto" w:fill="E6E6E6"/>
    </w:rPr>
  </w:style>
  <w:style w:type="paragraph" w:styleId="ListParagraph">
    <w:name w:val="List Paragraph"/>
    <w:basedOn w:val="Normal"/>
    <w:uiPriority w:val="34"/>
    <w:qFormat/>
    <w:rsid w:val="00F47FE2"/>
    <w:pPr>
      <w:ind w:left="720"/>
      <w:contextualSpacing/>
    </w:pPr>
  </w:style>
  <w:style w:type="character" w:styleId="CommentReference">
    <w:name w:val="annotation reference"/>
    <w:basedOn w:val="DefaultParagraphFont"/>
    <w:uiPriority w:val="99"/>
    <w:semiHidden/>
    <w:unhideWhenUsed/>
    <w:rsid w:val="008170BC"/>
    <w:rPr>
      <w:sz w:val="16"/>
      <w:szCs w:val="16"/>
    </w:rPr>
  </w:style>
  <w:style w:type="paragraph" w:styleId="CommentText">
    <w:name w:val="annotation text"/>
    <w:basedOn w:val="Normal"/>
    <w:link w:val="CommentTextChar"/>
    <w:uiPriority w:val="99"/>
    <w:semiHidden/>
    <w:unhideWhenUsed/>
    <w:rsid w:val="008170BC"/>
    <w:pPr>
      <w:spacing w:line="240" w:lineRule="auto"/>
    </w:pPr>
    <w:rPr>
      <w:sz w:val="20"/>
      <w:szCs w:val="20"/>
    </w:rPr>
  </w:style>
  <w:style w:type="character" w:customStyle="1" w:styleId="CommentTextChar">
    <w:name w:val="Comment Text Char"/>
    <w:basedOn w:val="DefaultParagraphFont"/>
    <w:link w:val="CommentText"/>
    <w:uiPriority w:val="99"/>
    <w:semiHidden/>
    <w:rsid w:val="008170BC"/>
    <w:rPr>
      <w:sz w:val="20"/>
      <w:szCs w:val="20"/>
    </w:rPr>
  </w:style>
  <w:style w:type="paragraph" w:styleId="CommentSubject">
    <w:name w:val="annotation subject"/>
    <w:basedOn w:val="CommentText"/>
    <w:next w:val="CommentText"/>
    <w:link w:val="CommentSubjectChar"/>
    <w:uiPriority w:val="99"/>
    <w:semiHidden/>
    <w:unhideWhenUsed/>
    <w:rsid w:val="008170BC"/>
    <w:rPr>
      <w:b/>
      <w:bCs/>
    </w:rPr>
  </w:style>
  <w:style w:type="character" w:customStyle="1" w:styleId="CommentSubjectChar">
    <w:name w:val="Comment Subject Char"/>
    <w:basedOn w:val="CommentTextChar"/>
    <w:link w:val="CommentSubject"/>
    <w:uiPriority w:val="99"/>
    <w:semiHidden/>
    <w:rsid w:val="008170BC"/>
    <w:rPr>
      <w:b/>
      <w:bCs/>
      <w:sz w:val="20"/>
      <w:szCs w:val="20"/>
    </w:rPr>
  </w:style>
  <w:style w:type="paragraph" w:styleId="BalloonText">
    <w:name w:val="Balloon Text"/>
    <w:basedOn w:val="Normal"/>
    <w:link w:val="BalloonTextChar"/>
    <w:uiPriority w:val="99"/>
    <w:semiHidden/>
    <w:unhideWhenUsed/>
    <w:rsid w:val="008170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BC"/>
    <w:rPr>
      <w:rFonts w:ascii="Segoe UI" w:hAnsi="Segoe UI" w:cs="Segoe UI"/>
      <w:sz w:val="18"/>
      <w:szCs w:val="18"/>
    </w:rPr>
  </w:style>
  <w:style w:type="table" w:styleId="TableGrid">
    <w:name w:val="Table Grid"/>
    <w:basedOn w:val="TableNormal"/>
    <w:uiPriority w:val="39"/>
    <w:rsid w:val="00274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17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ingsharedvalue.org/mininglprm" TargetMode="External"/><Relationship Id="rId13" Type="http://schemas.openxmlformats.org/officeDocument/2006/relationships/hyperlink" Target="mailto:jeffgeipel@ewb.c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iningsharedvalue.org/mininglprm" TargetMode="External"/><Relationship Id="rId14" Type="http://schemas.openxmlformats.org/officeDocument/2006/relationships/hyperlink" Target="mailto:emilynickerson@ewb.c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877C2-8BFB-42AF-A2AB-8958ADBF5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Nickerson</dc:creator>
  <cp:keywords/>
  <dc:description/>
  <cp:lastModifiedBy>Jeff Geipel</cp:lastModifiedBy>
  <cp:revision>5</cp:revision>
  <dcterms:created xsi:type="dcterms:W3CDTF">2017-11-21T22:07:00Z</dcterms:created>
  <dcterms:modified xsi:type="dcterms:W3CDTF">2017-11-21T22:48:00Z</dcterms:modified>
</cp:coreProperties>
</file>