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7F0014EE" w14:textId="77777777" w:rsidR="00FF675B" w:rsidRPr="00BB0D9C" w:rsidRDefault="00FF675B" w:rsidP="00FF675B">
      <w:pPr>
        <w:pStyle w:val="Header"/>
        <w:rPr>
          <w:sz w:val="36"/>
          <w:szCs w:val="36"/>
        </w:rPr>
        <w:sectPr w:rsidR="00FF675B" w:rsidRPr="00BB0D9C" w:rsidSect="00450CAF">
          <w:headerReference w:type="default" r:id="rId11"/>
          <w:footerReference w:type="even" r:id="rId12"/>
          <w:footerReference w:type="default" r:id="rId13"/>
          <w:headerReference w:type="first" r:id="rId14"/>
          <w:footerReference w:type="first" r:id="rId15"/>
          <w:pgSz w:w="11905" w:h="16837"/>
          <w:pgMar w:top="1417" w:right="1417" w:bottom="1417" w:left="1417" w:header="851" w:footer="618" w:gutter="0"/>
          <w:cols w:space="708"/>
          <w:titlePg/>
          <w:docGrid w:linePitch="326"/>
        </w:sectPr>
      </w:pPr>
      <w:bookmarkStart w:id="0" w:name="_Toc503446316"/>
      <w:bookmarkStart w:id="1" w:name="_Toc475451300"/>
    </w:p>
    <w:p w14:paraId="412FE7D8" w14:textId="7645FD10" w:rsidR="00FF675B" w:rsidRPr="00BB0D9C" w:rsidRDefault="00FF675B" w:rsidP="00F279B5">
      <w:pPr>
        <w:tabs>
          <w:tab w:val="left" w:pos="680"/>
          <w:tab w:val="left" w:pos="1360"/>
          <w:tab w:val="left" w:pos="2040"/>
          <w:tab w:val="left" w:pos="2720"/>
          <w:tab w:val="right" w:pos="9071"/>
        </w:tabs>
        <w:spacing w:after="360"/>
        <w:rPr>
          <w:color w:val="FFFFFF" w:themeColor="background1"/>
        </w:rPr>
      </w:pPr>
      <w:r w:rsidRPr="00BB0D9C">
        <w:rPr>
          <w:b/>
          <w:noProof/>
          <w:color w:val="FFFFFF" w:themeColor="background1"/>
          <w:sz w:val="32"/>
          <w:szCs w:val="32"/>
          <w:lang w:val="en-GB" w:eastAsia="en-GB"/>
        </w:rPr>
        <w:drawing>
          <wp:anchor distT="0" distB="0" distL="114300" distR="114300" simplePos="0" relativeHeight="251654656" behindDoc="1" locked="0" layoutInCell="1" allowOverlap="1" wp14:anchorId="6FF9E3B4" wp14:editId="60A15F0F">
            <wp:simplePos x="0" y="0"/>
            <wp:positionH relativeFrom="column">
              <wp:posOffset>-1392854</wp:posOffset>
            </wp:positionH>
            <wp:positionV relativeFrom="paragraph">
              <wp:posOffset>596078</wp:posOffset>
            </wp:positionV>
            <wp:extent cx="8156164" cy="447675"/>
            <wp:effectExtent l="0" t="0" r="0" b="0"/>
            <wp:wrapNone/>
            <wp:docPr id="4" name="Picture 16" descr="Description: blue2-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Description: blue2-60%"/>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162984" cy="448049"/>
                    </a:xfrm>
                    <a:prstGeom prst="rect">
                      <a:avLst/>
                    </a:prstGeom>
                    <a:noFill/>
                    <a:ln>
                      <a:noFill/>
                    </a:ln>
                  </pic:spPr>
                </pic:pic>
              </a:graphicData>
            </a:graphic>
          </wp:anchor>
        </w:drawing>
      </w:r>
      <w:r w:rsidR="00BB0D9C" w:rsidRPr="00BB0D9C">
        <w:rPr>
          <w:noProof/>
          <w:lang w:val="en-GB" w:eastAsia="en-GB"/>
        </w:rPr>
        <mc:AlternateContent>
          <mc:Choice Requires="wps">
            <w:drawing>
              <wp:anchor distT="0" distB="0" distL="114300" distR="114300" simplePos="0" relativeHeight="251660800" behindDoc="1" locked="0" layoutInCell="1" allowOverlap="1" wp14:anchorId="29C8A73B" wp14:editId="75210783">
                <wp:simplePos x="0" y="0"/>
                <wp:positionH relativeFrom="column">
                  <wp:posOffset>-910590</wp:posOffset>
                </wp:positionH>
                <wp:positionV relativeFrom="paragraph">
                  <wp:posOffset>159385</wp:posOffset>
                </wp:positionV>
                <wp:extent cx="7672070" cy="499745"/>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672070" cy="499745"/>
                        </a:xfrm>
                        <a:prstGeom prst="rect">
                          <a:avLst/>
                        </a:prstGeom>
                        <a:solidFill>
                          <a:srgbClr val="13285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B31C65" w14:textId="77777777" w:rsidR="000132C6" w:rsidRDefault="000132C6" w:rsidP="00FF675B"/>
                          <w:p w14:paraId="29552589" w14:textId="77777777" w:rsidR="000132C6" w:rsidRDefault="000132C6" w:rsidP="00FF675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type w14:anchorId="29C8A73B" id="_x0000_t202" coordsize="21600,21600" o:spt="202" path="m,l,21600r21600,l21600,xe">
                <v:stroke joinstyle="miter"/>
                <v:path gradientshapeok="t" o:connecttype="rect"/>
              </v:shapetype>
              <v:shape id="Text Box 17" o:spid="_x0000_s1026" type="#_x0000_t202" style="position:absolute;margin-left:-71.7pt;margin-top:12.55pt;width:604.1pt;height:39.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" fillcolor="#132856" stroked="f">
                <v:path arrowok="t"/>
                <v:textbox>
                  <w:txbxContent>
                    <w:p w14:paraId="23B31C65" w14:textId="77777777" w:rsidR="000132C6" w:rsidRDefault="000132C6" w:rsidP="00FF675B"/>
                    <w:p w14:paraId="29552589" w14:textId="77777777" w:rsidR="000132C6" w:rsidRDefault="000132C6" w:rsidP="00FF675B"/>
                  </w:txbxContent>
                </v:textbox>
              </v:shape>
            </w:pict>
          </mc:Fallback>
        </mc:AlternateContent>
      </w:r>
      <w:r w:rsidRPr="00BB0D9C">
        <w:rPr>
          <w:b/>
          <w:color w:val="FFFFFF" w:themeColor="background1"/>
          <w:sz w:val="32"/>
          <w:szCs w:val="32"/>
        </w:rPr>
        <w:br/>
        <w:t>Secretariado Internacional EITI</w:t>
      </w:r>
      <w:r w:rsidRPr="00BB0D9C">
        <w:rPr>
          <w:color w:val="FFFFFF" w:themeColor="background1"/>
        </w:rPr>
        <w:tab/>
      </w:r>
      <w:r w:rsidR="00206464" w:rsidRPr="00BB0D9C">
        <w:rPr>
          <w:color w:val="FFFFFF" w:themeColor="background1"/>
        </w:rPr>
        <w:fldChar w:fldCharType="begin"/>
      </w:r>
      <w:r w:rsidRPr="00BB0D9C">
        <w:rPr>
          <w:color w:val="FFFFFF" w:themeColor="background1"/>
        </w:rPr>
        <w:instrText xml:space="preserve"> DATE \@ "dd MMMM yyyy" </w:instrText>
      </w:r>
      <w:r w:rsidR="00206464" w:rsidRPr="00BB0D9C">
        <w:rPr>
          <w:color w:val="FFFFFF" w:themeColor="background1"/>
        </w:rPr>
        <w:fldChar w:fldCharType="separate"/>
      </w:r>
      <w:r w:rsidR="00801158">
        <w:rPr>
          <w:noProof/>
          <w:color w:val="FFFFFF" w:themeColor="background1"/>
        </w:rPr>
        <w:t>12 agosto 2020</w:t>
      </w:r>
      <w:r w:rsidR="00206464" w:rsidRPr="00BB0D9C">
        <w:rPr>
          <w:color w:val="FFFFFF" w:themeColor="background1"/>
        </w:rPr>
        <w:fldChar w:fldCharType="end"/>
      </w:r>
    </w:p>
    <w:p w14:paraId="65DE2D32" w14:textId="77777777" w:rsidR="00FF675B" w:rsidRPr="00BB0D9C" w:rsidRDefault="00FF675B" w:rsidP="00FF675B">
      <w:pPr>
        <w:pStyle w:val="Titletitlepage"/>
      </w:pPr>
      <w:r w:rsidRPr="00BB0D9C">
        <w:rPr>
          <w:sz w:val="48"/>
        </w:rPr>
        <w:br/>
      </w:r>
      <w:r w:rsidRPr="00BB0D9C">
        <w:t>Validación de Honduras:</w:t>
      </w:r>
    </w:p>
    <w:p w14:paraId="1778CE4E" w14:textId="77777777" w:rsidR="00FF675B" w:rsidRPr="00BB0D9C" w:rsidRDefault="00D900AC" w:rsidP="00FF675B">
      <w:pPr>
        <w:pStyle w:val="Titletitlepage"/>
        <w:sectPr w:rsidR="00FF675B" w:rsidRPr="00BB0D9C" w:rsidSect="00450CAF">
          <w:type w:val="continuous"/>
          <w:pgSz w:w="11905" w:h="16837"/>
          <w:pgMar w:top="1417" w:right="1417" w:bottom="1417" w:left="1417" w:header="851" w:footer="618" w:gutter="0"/>
          <w:cols w:space="708"/>
          <w:formProt w:val="0"/>
          <w:titlePg/>
          <w:docGrid w:linePitch="326"/>
        </w:sectPr>
      </w:pPr>
      <w:r w:rsidRPr="00BB0D9C">
        <w:t>E</w:t>
      </w:r>
      <w:r w:rsidR="00FF675B" w:rsidRPr="00BB0D9C">
        <w:t xml:space="preserve">valuación </w:t>
      </w:r>
      <w:r w:rsidRPr="00BB0D9C">
        <w:t xml:space="preserve">final </w:t>
      </w:r>
      <w:r w:rsidR="00FF675B" w:rsidRPr="00BB0D9C">
        <w:t>del Secretariado Internacional EITI</w:t>
      </w:r>
      <w:r w:rsidR="00FF675B" w:rsidRPr="00BB0D9C">
        <w:tab/>
      </w:r>
    </w:p>
    <w:p w14:paraId="108F3279" w14:textId="77777777" w:rsidR="007256B1" w:rsidRPr="00BB0D9C" w:rsidRDefault="007256B1" w:rsidP="007256B1"/>
    <w:p w14:paraId="608FFEE8" w14:textId="77777777" w:rsidR="007256B1" w:rsidRPr="00BB0D9C" w:rsidRDefault="007256B1" w:rsidP="007256B1"/>
    <w:p w14:paraId="0F32F7E8" w14:textId="77777777" w:rsidR="007256B1" w:rsidRPr="00BB0D9C" w:rsidRDefault="007256B1" w:rsidP="007256B1">
      <w:pPr>
        <w:pStyle w:val="MainTitle"/>
      </w:pPr>
      <w:r w:rsidRPr="00BB0D9C">
        <w:t xml:space="preserve">Validación de Honduras: evaluación </w:t>
      </w:r>
      <w:r w:rsidR="00D900AC" w:rsidRPr="00BB0D9C">
        <w:t xml:space="preserve">final </w:t>
      </w:r>
      <w:r w:rsidRPr="00BB0D9C">
        <w:t>del Secretariado Internacional EITI</w:t>
      </w:r>
    </w:p>
    <w:p w14:paraId="315D28CB" w14:textId="77777777" w:rsidR="007256B1" w:rsidRPr="00BB0D9C" w:rsidRDefault="007256B1" w:rsidP="00FF675B">
      <w:pPr>
        <w:pStyle w:val="TOC1"/>
        <w:rPr>
          <w:color w:val="365F91" w:themeColor="accent1" w:themeShade="BF"/>
          <w:sz w:val="28"/>
          <w:szCs w:val="28"/>
        </w:rPr>
      </w:pPr>
    </w:p>
    <w:p w14:paraId="5DF2BF59" w14:textId="77777777" w:rsidR="00393251" w:rsidRPr="00BB0D9C" w:rsidRDefault="00393251" w:rsidP="00FF675B">
      <w:pPr>
        <w:pStyle w:val="TOC1"/>
        <w:rPr>
          <w:color w:val="365F91" w:themeColor="accent1" w:themeShade="BF"/>
          <w:sz w:val="28"/>
          <w:szCs w:val="28"/>
        </w:rPr>
      </w:pPr>
      <w:r w:rsidRPr="00BB0D9C">
        <w:rPr>
          <w:color w:val="365F91" w:themeColor="accent1" w:themeShade="BF"/>
          <w:sz w:val="28"/>
          <w:szCs w:val="28"/>
        </w:rPr>
        <w:t>Índice</w:t>
      </w:r>
    </w:p>
    <w:p w14:paraId="44A39DBC" w14:textId="77777777" w:rsidR="007A4A65" w:rsidRPr="00BB0D9C" w:rsidRDefault="00206464">
      <w:pPr>
        <w:pStyle w:val="TOC1"/>
        <w:tabs>
          <w:tab w:val="left" w:pos="440"/>
        </w:tabs>
        <w:rPr>
          <w:rFonts w:asciiTheme="minorHAnsi" w:hAnsiTheme="minorHAnsi"/>
          <w:b w:val="0"/>
          <w:bCs w:val="0"/>
          <w:sz w:val="22"/>
          <w:szCs w:val="22"/>
          <w:lang w:eastAsia="es-ES"/>
        </w:rPr>
      </w:pPr>
      <w:r w:rsidRPr="00BB0D9C">
        <w:fldChar w:fldCharType="begin"/>
      </w:r>
      <w:r w:rsidR="006F6114" w:rsidRPr="00BB0D9C">
        <w:instrText xml:space="preserve"> TOC \o "1-2" \h \z \u </w:instrText>
      </w:r>
      <w:r w:rsidRPr="00BB0D9C">
        <w:fldChar w:fldCharType="separate"/>
      </w:r>
      <w:hyperlink w:anchor="_Toc45021590" w:history="1">
        <w:r w:rsidR="007A4A65" w:rsidRPr="00BB0D9C">
          <w:rPr>
            <w:rStyle w:val="Hyperlink"/>
          </w:rPr>
          <w:t>1.</w:t>
        </w:r>
        <w:r w:rsidR="007A4A65" w:rsidRPr="00BB0D9C">
          <w:rPr>
            <w:rFonts w:asciiTheme="minorHAnsi" w:hAnsiTheme="minorHAnsi"/>
            <w:b w:val="0"/>
            <w:bCs w:val="0"/>
            <w:sz w:val="22"/>
            <w:szCs w:val="22"/>
            <w:lang w:eastAsia="es-ES"/>
          </w:rPr>
          <w:tab/>
        </w:r>
        <w:r w:rsidR="007A4A65" w:rsidRPr="00BB0D9C">
          <w:rPr>
            <w:rStyle w:val="Hyperlink"/>
            <w:rFonts w:ascii="Franklin Gothic Book" w:hAnsi="Franklin Gothic Book"/>
          </w:rPr>
          <w:t>Resumen</w:t>
        </w:r>
        <w:r w:rsidR="007A4A65" w:rsidRPr="00BB0D9C">
          <w:rPr>
            <w:webHidden/>
          </w:rPr>
          <w:tab/>
        </w:r>
        <w:r w:rsidRPr="00BB0D9C">
          <w:rPr>
            <w:webHidden/>
          </w:rPr>
          <w:fldChar w:fldCharType="begin"/>
        </w:r>
        <w:r w:rsidR="007A4A65" w:rsidRPr="00BB0D9C">
          <w:rPr>
            <w:webHidden/>
          </w:rPr>
          <w:instrText xml:space="preserve"> PAGEREF _Toc45021590 \h </w:instrText>
        </w:r>
        <w:r w:rsidRPr="00BB0D9C">
          <w:rPr>
            <w:webHidden/>
          </w:rPr>
        </w:r>
        <w:r w:rsidRPr="00BB0D9C">
          <w:rPr>
            <w:webHidden/>
          </w:rPr>
          <w:fldChar w:fldCharType="separate"/>
        </w:r>
        <w:r w:rsidR="007A4A65" w:rsidRPr="00BB0D9C">
          <w:rPr>
            <w:webHidden/>
          </w:rPr>
          <w:t>3</w:t>
        </w:r>
        <w:r w:rsidRPr="00BB0D9C">
          <w:rPr>
            <w:webHidden/>
          </w:rPr>
          <w:fldChar w:fldCharType="end"/>
        </w:r>
      </w:hyperlink>
    </w:p>
    <w:p w14:paraId="53E71E6C" w14:textId="77777777" w:rsidR="007A4A65" w:rsidRPr="00BB0D9C" w:rsidRDefault="00801158">
      <w:pPr>
        <w:pStyle w:val="TOC1"/>
        <w:tabs>
          <w:tab w:val="left" w:pos="440"/>
        </w:tabs>
        <w:rPr>
          <w:rFonts w:asciiTheme="minorHAnsi" w:hAnsiTheme="minorHAnsi"/>
          <w:b w:val="0"/>
          <w:bCs w:val="0"/>
          <w:sz w:val="22"/>
          <w:szCs w:val="22"/>
          <w:lang w:eastAsia="es-ES"/>
        </w:rPr>
      </w:pPr>
      <w:hyperlink w:anchor="_Toc45021591" w:history="1">
        <w:r w:rsidR="007A4A65" w:rsidRPr="00BB0D9C">
          <w:rPr>
            <w:rStyle w:val="Hyperlink"/>
          </w:rPr>
          <w:t>2.</w:t>
        </w:r>
        <w:r w:rsidR="007A4A65" w:rsidRPr="00BB0D9C">
          <w:rPr>
            <w:rFonts w:asciiTheme="minorHAnsi" w:hAnsiTheme="minorHAnsi"/>
            <w:b w:val="0"/>
            <w:bCs w:val="0"/>
            <w:sz w:val="22"/>
            <w:szCs w:val="22"/>
            <w:lang w:eastAsia="es-ES"/>
          </w:rPr>
          <w:tab/>
        </w:r>
        <w:r w:rsidR="007A4A65" w:rsidRPr="00BB0D9C">
          <w:rPr>
            <w:rStyle w:val="Hyperlink"/>
            <w:rFonts w:ascii="Franklin Gothic Book" w:hAnsi="Franklin Gothic Book"/>
          </w:rPr>
          <w:t>Tarjeta de puntaje</w:t>
        </w:r>
        <w:r w:rsidR="007A4A65" w:rsidRPr="00BB0D9C">
          <w:rPr>
            <w:webHidden/>
          </w:rPr>
          <w:tab/>
        </w:r>
        <w:r w:rsidR="00206464" w:rsidRPr="00BB0D9C">
          <w:rPr>
            <w:webHidden/>
          </w:rPr>
          <w:fldChar w:fldCharType="begin"/>
        </w:r>
        <w:r w:rsidR="007A4A65" w:rsidRPr="00BB0D9C">
          <w:rPr>
            <w:webHidden/>
          </w:rPr>
          <w:instrText xml:space="preserve"> PAGEREF _Toc45021591 \h </w:instrText>
        </w:r>
        <w:r w:rsidR="00206464" w:rsidRPr="00BB0D9C">
          <w:rPr>
            <w:webHidden/>
          </w:rPr>
        </w:r>
        <w:r w:rsidR="00206464" w:rsidRPr="00BB0D9C">
          <w:rPr>
            <w:webHidden/>
          </w:rPr>
          <w:fldChar w:fldCharType="separate"/>
        </w:r>
        <w:r w:rsidR="007A4A65" w:rsidRPr="00BB0D9C">
          <w:rPr>
            <w:webHidden/>
          </w:rPr>
          <w:t>5</w:t>
        </w:r>
        <w:r w:rsidR="00206464" w:rsidRPr="00BB0D9C">
          <w:rPr>
            <w:webHidden/>
          </w:rPr>
          <w:fldChar w:fldCharType="end"/>
        </w:r>
      </w:hyperlink>
    </w:p>
    <w:p w14:paraId="6486E901" w14:textId="77777777" w:rsidR="007A4A65" w:rsidRPr="00BB0D9C" w:rsidRDefault="00801158">
      <w:pPr>
        <w:pStyle w:val="TOC1"/>
        <w:tabs>
          <w:tab w:val="left" w:pos="440"/>
        </w:tabs>
        <w:rPr>
          <w:rFonts w:asciiTheme="minorHAnsi" w:hAnsiTheme="minorHAnsi"/>
          <w:b w:val="0"/>
          <w:bCs w:val="0"/>
          <w:sz w:val="22"/>
          <w:szCs w:val="22"/>
          <w:lang w:eastAsia="es-ES"/>
        </w:rPr>
      </w:pPr>
      <w:hyperlink w:anchor="_Toc45021592" w:history="1">
        <w:r w:rsidR="007A4A65" w:rsidRPr="00BB0D9C">
          <w:rPr>
            <w:rStyle w:val="Hyperlink"/>
            <w:rFonts w:ascii="Franklin Gothic Book" w:hAnsi="Franklin Gothic Book"/>
          </w:rPr>
          <w:t>3.</w:t>
        </w:r>
        <w:r w:rsidR="007A4A65" w:rsidRPr="00BB0D9C">
          <w:rPr>
            <w:rFonts w:asciiTheme="minorHAnsi" w:hAnsiTheme="minorHAnsi"/>
            <w:b w:val="0"/>
            <w:bCs w:val="0"/>
            <w:sz w:val="22"/>
            <w:szCs w:val="22"/>
            <w:lang w:eastAsia="es-ES"/>
          </w:rPr>
          <w:tab/>
        </w:r>
        <w:r w:rsidR="007A4A65" w:rsidRPr="00BB0D9C">
          <w:rPr>
            <w:rStyle w:val="Hyperlink"/>
            <w:rFonts w:ascii="Franklin Gothic Book" w:hAnsi="Franklin Gothic Book"/>
          </w:rPr>
          <w:t>Antecedentes</w:t>
        </w:r>
        <w:r w:rsidR="007A4A65" w:rsidRPr="00BB0D9C">
          <w:rPr>
            <w:webHidden/>
          </w:rPr>
          <w:tab/>
        </w:r>
        <w:r w:rsidR="00206464" w:rsidRPr="00BB0D9C">
          <w:rPr>
            <w:webHidden/>
          </w:rPr>
          <w:fldChar w:fldCharType="begin"/>
        </w:r>
        <w:r w:rsidR="007A4A65" w:rsidRPr="00BB0D9C">
          <w:rPr>
            <w:webHidden/>
          </w:rPr>
          <w:instrText xml:space="preserve"> PAGEREF _Toc45021592 \h </w:instrText>
        </w:r>
        <w:r w:rsidR="00206464" w:rsidRPr="00BB0D9C">
          <w:rPr>
            <w:webHidden/>
          </w:rPr>
        </w:r>
        <w:r w:rsidR="00206464" w:rsidRPr="00BB0D9C">
          <w:rPr>
            <w:webHidden/>
          </w:rPr>
          <w:fldChar w:fldCharType="separate"/>
        </w:r>
        <w:r w:rsidR="007A4A65" w:rsidRPr="00BB0D9C">
          <w:rPr>
            <w:webHidden/>
          </w:rPr>
          <w:t>7</w:t>
        </w:r>
        <w:r w:rsidR="00206464" w:rsidRPr="00BB0D9C">
          <w:rPr>
            <w:webHidden/>
          </w:rPr>
          <w:fldChar w:fldCharType="end"/>
        </w:r>
      </w:hyperlink>
    </w:p>
    <w:p w14:paraId="26A5A80D" w14:textId="77777777" w:rsidR="007A4A65" w:rsidRPr="00BB0D9C" w:rsidRDefault="00801158">
      <w:pPr>
        <w:pStyle w:val="TOC1"/>
        <w:tabs>
          <w:tab w:val="left" w:pos="440"/>
        </w:tabs>
        <w:rPr>
          <w:rFonts w:asciiTheme="minorHAnsi" w:hAnsiTheme="minorHAnsi"/>
          <w:b w:val="0"/>
          <w:bCs w:val="0"/>
          <w:sz w:val="22"/>
          <w:szCs w:val="22"/>
          <w:lang w:eastAsia="es-ES"/>
        </w:rPr>
      </w:pPr>
      <w:hyperlink w:anchor="_Toc45021593" w:history="1">
        <w:r w:rsidR="007A4A65" w:rsidRPr="00BB0D9C">
          <w:rPr>
            <w:rStyle w:val="Hyperlink"/>
            <w:rFonts w:ascii="Franklin Gothic Book" w:hAnsi="Franklin Gothic Book"/>
          </w:rPr>
          <w:t>4.</w:t>
        </w:r>
        <w:r w:rsidR="007A4A65" w:rsidRPr="00BB0D9C">
          <w:rPr>
            <w:rFonts w:asciiTheme="minorHAnsi" w:hAnsiTheme="minorHAnsi"/>
            <w:b w:val="0"/>
            <w:bCs w:val="0"/>
            <w:sz w:val="22"/>
            <w:szCs w:val="22"/>
            <w:lang w:eastAsia="es-ES"/>
          </w:rPr>
          <w:tab/>
        </w:r>
        <w:r w:rsidR="007A4A65" w:rsidRPr="00BB0D9C">
          <w:rPr>
            <w:rStyle w:val="Hyperlink"/>
            <w:rFonts w:ascii="Franklin Gothic Book" w:hAnsi="Franklin Gothic Book"/>
          </w:rPr>
          <w:t>Análisis de las medidas correctivas</w:t>
        </w:r>
        <w:r w:rsidR="007A4A65" w:rsidRPr="00BB0D9C">
          <w:rPr>
            <w:webHidden/>
          </w:rPr>
          <w:tab/>
        </w:r>
        <w:r w:rsidR="00206464" w:rsidRPr="00BB0D9C">
          <w:rPr>
            <w:webHidden/>
          </w:rPr>
          <w:fldChar w:fldCharType="begin"/>
        </w:r>
        <w:r w:rsidR="007A4A65" w:rsidRPr="00BB0D9C">
          <w:rPr>
            <w:webHidden/>
          </w:rPr>
          <w:instrText xml:space="preserve"> PAGEREF _Toc45021593 \h </w:instrText>
        </w:r>
        <w:r w:rsidR="00206464" w:rsidRPr="00BB0D9C">
          <w:rPr>
            <w:webHidden/>
          </w:rPr>
        </w:r>
        <w:r w:rsidR="00206464" w:rsidRPr="00BB0D9C">
          <w:rPr>
            <w:webHidden/>
          </w:rPr>
          <w:fldChar w:fldCharType="separate"/>
        </w:r>
        <w:r w:rsidR="007A4A65" w:rsidRPr="00BB0D9C">
          <w:rPr>
            <w:webHidden/>
          </w:rPr>
          <w:t>9</w:t>
        </w:r>
        <w:r w:rsidR="00206464" w:rsidRPr="00BB0D9C">
          <w:rPr>
            <w:webHidden/>
          </w:rPr>
          <w:fldChar w:fldCharType="end"/>
        </w:r>
      </w:hyperlink>
    </w:p>
    <w:p w14:paraId="3C2CC8A6" w14:textId="77777777" w:rsidR="007A4A65" w:rsidRPr="00BB0D9C" w:rsidRDefault="00801158">
      <w:pPr>
        <w:pStyle w:val="TOC2"/>
        <w:rPr>
          <w:rFonts w:asciiTheme="minorHAnsi" w:hAnsiTheme="minorHAnsi"/>
          <w:b w:val="0"/>
          <w:bCs w:val="0"/>
          <w:szCs w:val="22"/>
          <w:lang w:eastAsia="es-ES"/>
        </w:rPr>
      </w:pPr>
      <w:hyperlink w:anchor="_Toc45021594" w:history="1">
        <w:r w:rsidR="007A4A65" w:rsidRPr="00BB0D9C">
          <w:rPr>
            <w:rStyle w:val="Hyperlink"/>
            <w:lang w:bidi="en-US"/>
          </w:rPr>
          <w:t>4.1</w:t>
        </w:r>
        <w:r w:rsidR="007A4A65" w:rsidRPr="00BB0D9C">
          <w:rPr>
            <w:rFonts w:asciiTheme="minorHAnsi" w:hAnsiTheme="minorHAnsi"/>
            <w:b w:val="0"/>
            <w:bCs w:val="0"/>
            <w:szCs w:val="22"/>
            <w:lang w:eastAsia="es-ES"/>
          </w:rPr>
          <w:tab/>
        </w:r>
        <w:r w:rsidR="007A4A65" w:rsidRPr="00BB0D9C">
          <w:rPr>
            <w:rStyle w:val="Hyperlink"/>
            <w:lang w:bidi="en-US"/>
          </w:rPr>
          <w:t>Medida correctiva 1: Participación del gobierno (n.° 1.1)</w:t>
        </w:r>
        <w:r w:rsidR="007A4A65" w:rsidRPr="00BB0D9C">
          <w:rPr>
            <w:webHidden/>
          </w:rPr>
          <w:tab/>
        </w:r>
        <w:r w:rsidR="00206464" w:rsidRPr="00BB0D9C">
          <w:rPr>
            <w:webHidden/>
          </w:rPr>
          <w:fldChar w:fldCharType="begin"/>
        </w:r>
        <w:r w:rsidR="007A4A65" w:rsidRPr="00BB0D9C">
          <w:rPr>
            <w:webHidden/>
          </w:rPr>
          <w:instrText xml:space="preserve"> PAGEREF _Toc45021594 \h </w:instrText>
        </w:r>
        <w:r w:rsidR="00206464" w:rsidRPr="00BB0D9C">
          <w:rPr>
            <w:webHidden/>
          </w:rPr>
        </w:r>
        <w:r w:rsidR="00206464" w:rsidRPr="00BB0D9C">
          <w:rPr>
            <w:webHidden/>
          </w:rPr>
          <w:fldChar w:fldCharType="separate"/>
        </w:r>
        <w:r w:rsidR="007A4A65" w:rsidRPr="00BB0D9C">
          <w:rPr>
            <w:webHidden/>
          </w:rPr>
          <w:t>9</w:t>
        </w:r>
        <w:r w:rsidR="00206464" w:rsidRPr="00BB0D9C">
          <w:rPr>
            <w:webHidden/>
          </w:rPr>
          <w:fldChar w:fldCharType="end"/>
        </w:r>
      </w:hyperlink>
    </w:p>
    <w:p w14:paraId="1D1A5E8D" w14:textId="77777777" w:rsidR="007A4A65" w:rsidRPr="00BB0D9C" w:rsidRDefault="00801158">
      <w:pPr>
        <w:pStyle w:val="TOC2"/>
        <w:rPr>
          <w:rFonts w:asciiTheme="minorHAnsi" w:hAnsiTheme="minorHAnsi"/>
          <w:b w:val="0"/>
          <w:bCs w:val="0"/>
          <w:szCs w:val="22"/>
          <w:lang w:eastAsia="es-ES"/>
        </w:rPr>
      </w:pPr>
      <w:hyperlink w:anchor="_Toc45021595" w:history="1">
        <w:r w:rsidR="007A4A65" w:rsidRPr="00BB0D9C">
          <w:rPr>
            <w:rStyle w:val="Hyperlink"/>
            <w:lang w:bidi="en-US"/>
          </w:rPr>
          <w:t>4.2</w:t>
        </w:r>
        <w:r w:rsidR="007A4A65" w:rsidRPr="00BB0D9C">
          <w:rPr>
            <w:rFonts w:asciiTheme="minorHAnsi" w:hAnsiTheme="minorHAnsi"/>
            <w:b w:val="0"/>
            <w:bCs w:val="0"/>
            <w:szCs w:val="22"/>
            <w:lang w:eastAsia="es-ES"/>
          </w:rPr>
          <w:tab/>
        </w:r>
        <w:r w:rsidR="007A4A65" w:rsidRPr="00BB0D9C">
          <w:rPr>
            <w:rStyle w:val="Hyperlink"/>
            <w:lang w:bidi="en-US"/>
          </w:rPr>
          <w:t>Medida correctiva 2: Participación de la industria (n.° 1.2)</w:t>
        </w:r>
        <w:r w:rsidR="007A4A65" w:rsidRPr="00BB0D9C">
          <w:rPr>
            <w:webHidden/>
          </w:rPr>
          <w:tab/>
        </w:r>
        <w:r w:rsidR="00206464" w:rsidRPr="00BB0D9C">
          <w:rPr>
            <w:webHidden/>
          </w:rPr>
          <w:fldChar w:fldCharType="begin"/>
        </w:r>
        <w:r w:rsidR="007A4A65" w:rsidRPr="00BB0D9C">
          <w:rPr>
            <w:webHidden/>
          </w:rPr>
          <w:instrText xml:space="preserve"> PAGEREF _Toc45021595 \h </w:instrText>
        </w:r>
        <w:r w:rsidR="00206464" w:rsidRPr="00BB0D9C">
          <w:rPr>
            <w:webHidden/>
          </w:rPr>
        </w:r>
        <w:r w:rsidR="00206464" w:rsidRPr="00BB0D9C">
          <w:rPr>
            <w:webHidden/>
          </w:rPr>
          <w:fldChar w:fldCharType="separate"/>
        </w:r>
        <w:r w:rsidR="007A4A65" w:rsidRPr="00BB0D9C">
          <w:rPr>
            <w:webHidden/>
          </w:rPr>
          <w:t>14</w:t>
        </w:r>
        <w:r w:rsidR="00206464" w:rsidRPr="00BB0D9C">
          <w:rPr>
            <w:webHidden/>
          </w:rPr>
          <w:fldChar w:fldCharType="end"/>
        </w:r>
      </w:hyperlink>
    </w:p>
    <w:p w14:paraId="17A9FD53" w14:textId="77777777" w:rsidR="007A4A65" w:rsidRPr="00BB0D9C" w:rsidRDefault="00801158">
      <w:pPr>
        <w:pStyle w:val="TOC2"/>
        <w:rPr>
          <w:rFonts w:asciiTheme="minorHAnsi" w:hAnsiTheme="minorHAnsi"/>
          <w:b w:val="0"/>
          <w:bCs w:val="0"/>
          <w:szCs w:val="22"/>
          <w:lang w:eastAsia="es-ES"/>
        </w:rPr>
      </w:pPr>
      <w:hyperlink w:anchor="_Toc45021596" w:history="1">
        <w:r w:rsidR="007A4A65" w:rsidRPr="00BB0D9C">
          <w:rPr>
            <w:rStyle w:val="Hyperlink"/>
            <w:lang w:bidi="en-US"/>
          </w:rPr>
          <w:t>4.3</w:t>
        </w:r>
        <w:r w:rsidR="007A4A65" w:rsidRPr="00BB0D9C">
          <w:rPr>
            <w:rFonts w:asciiTheme="minorHAnsi" w:hAnsiTheme="minorHAnsi"/>
            <w:b w:val="0"/>
            <w:bCs w:val="0"/>
            <w:szCs w:val="22"/>
            <w:lang w:eastAsia="es-ES"/>
          </w:rPr>
          <w:tab/>
        </w:r>
        <w:r w:rsidR="007A4A65" w:rsidRPr="00BB0D9C">
          <w:rPr>
            <w:rStyle w:val="Hyperlink"/>
            <w:lang w:bidi="en-US"/>
          </w:rPr>
          <w:t>Medida correctiva 3: Participación de la sociedad civil (n.° 1.3)</w:t>
        </w:r>
        <w:r w:rsidR="007A4A65" w:rsidRPr="00BB0D9C">
          <w:rPr>
            <w:webHidden/>
          </w:rPr>
          <w:tab/>
        </w:r>
        <w:r w:rsidR="00206464" w:rsidRPr="00BB0D9C">
          <w:rPr>
            <w:webHidden/>
          </w:rPr>
          <w:fldChar w:fldCharType="begin"/>
        </w:r>
        <w:r w:rsidR="007A4A65" w:rsidRPr="00BB0D9C">
          <w:rPr>
            <w:webHidden/>
          </w:rPr>
          <w:instrText xml:space="preserve"> PAGEREF _Toc45021596 \h </w:instrText>
        </w:r>
        <w:r w:rsidR="00206464" w:rsidRPr="00BB0D9C">
          <w:rPr>
            <w:webHidden/>
          </w:rPr>
        </w:r>
        <w:r w:rsidR="00206464" w:rsidRPr="00BB0D9C">
          <w:rPr>
            <w:webHidden/>
          </w:rPr>
          <w:fldChar w:fldCharType="separate"/>
        </w:r>
        <w:r w:rsidR="007A4A65" w:rsidRPr="00BB0D9C">
          <w:rPr>
            <w:webHidden/>
          </w:rPr>
          <w:t>16</w:t>
        </w:r>
        <w:r w:rsidR="00206464" w:rsidRPr="00BB0D9C">
          <w:rPr>
            <w:webHidden/>
          </w:rPr>
          <w:fldChar w:fldCharType="end"/>
        </w:r>
      </w:hyperlink>
    </w:p>
    <w:p w14:paraId="6F68122C" w14:textId="77777777" w:rsidR="007A4A65" w:rsidRPr="00BB0D9C" w:rsidRDefault="00801158">
      <w:pPr>
        <w:pStyle w:val="TOC2"/>
        <w:rPr>
          <w:rFonts w:asciiTheme="minorHAnsi" w:hAnsiTheme="minorHAnsi"/>
          <w:b w:val="0"/>
          <w:bCs w:val="0"/>
          <w:szCs w:val="22"/>
          <w:lang w:eastAsia="es-ES"/>
        </w:rPr>
      </w:pPr>
      <w:hyperlink w:anchor="_Toc45021597" w:history="1">
        <w:r w:rsidR="007A4A65" w:rsidRPr="00BB0D9C">
          <w:rPr>
            <w:rStyle w:val="Hyperlink"/>
            <w:lang w:bidi="en-US"/>
          </w:rPr>
          <w:t>4.4</w:t>
        </w:r>
        <w:r w:rsidR="007A4A65" w:rsidRPr="00BB0D9C">
          <w:rPr>
            <w:rFonts w:asciiTheme="minorHAnsi" w:hAnsiTheme="minorHAnsi"/>
            <w:b w:val="0"/>
            <w:bCs w:val="0"/>
            <w:szCs w:val="22"/>
            <w:lang w:eastAsia="es-ES"/>
          </w:rPr>
          <w:tab/>
        </w:r>
        <w:r w:rsidR="007A4A65" w:rsidRPr="00BB0D9C">
          <w:rPr>
            <w:rStyle w:val="Hyperlink"/>
            <w:lang w:bidi="en-US"/>
          </w:rPr>
          <w:t>Medida correctiva 4: Plan de trabajo (n.° 1.5)</w:t>
        </w:r>
        <w:r w:rsidR="007A4A65" w:rsidRPr="00BB0D9C">
          <w:rPr>
            <w:webHidden/>
          </w:rPr>
          <w:tab/>
        </w:r>
        <w:r w:rsidR="00206464" w:rsidRPr="00BB0D9C">
          <w:rPr>
            <w:webHidden/>
          </w:rPr>
          <w:fldChar w:fldCharType="begin"/>
        </w:r>
        <w:r w:rsidR="007A4A65" w:rsidRPr="00BB0D9C">
          <w:rPr>
            <w:webHidden/>
          </w:rPr>
          <w:instrText xml:space="preserve"> PAGEREF _Toc45021597 \h </w:instrText>
        </w:r>
        <w:r w:rsidR="00206464" w:rsidRPr="00BB0D9C">
          <w:rPr>
            <w:webHidden/>
          </w:rPr>
        </w:r>
        <w:r w:rsidR="00206464" w:rsidRPr="00BB0D9C">
          <w:rPr>
            <w:webHidden/>
          </w:rPr>
          <w:fldChar w:fldCharType="separate"/>
        </w:r>
        <w:r w:rsidR="007A4A65" w:rsidRPr="00BB0D9C">
          <w:rPr>
            <w:webHidden/>
          </w:rPr>
          <w:t>22</w:t>
        </w:r>
        <w:r w:rsidR="00206464" w:rsidRPr="00BB0D9C">
          <w:rPr>
            <w:webHidden/>
          </w:rPr>
          <w:fldChar w:fldCharType="end"/>
        </w:r>
      </w:hyperlink>
    </w:p>
    <w:p w14:paraId="068E0498" w14:textId="77777777" w:rsidR="007A4A65" w:rsidRPr="00BB0D9C" w:rsidRDefault="00801158">
      <w:pPr>
        <w:pStyle w:val="TOC2"/>
        <w:rPr>
          <w:rFonts w:asciiTheme="minorHAnsi" w:hAnsiTheme="minorHAnsi"/>
          <w:b w:val="0"/>
          <w:bCs w:val="0"/>
          <w:szCs w:val="22"/>
          <w:lang w:eastAsia="es-ES"/>
        </w:rPr>
      </w:pPr>
      <w:hyperlink w:anchor="_Toc45021598" w:history="1">
        <w:r w:rsidR="007A4A65" w:rsidRPr="00BB0D9C">
          <w:rPr>
            <w:rStyle w:val="Hyperlink"/>
            <w:lang w:bidi="en-US"/>
          </w:rPr>
          <w:t>4.5</w:t>
        </w:r>
        <w:r w:rsidR="007A4A65" w:rsidRPr="00BB0D9C">
          <w:rPr>
            <w:rFonts w:asciiTheme="minorHAnsi" w:hAnsiTheme="minorHAnsi"/>
            <w:b w:val="0"/>
            <w:bCs w:val="0"/>
            <w:szCs w:val="22"/>
            <w:lang w:eastAsia="es-ES"/>
          </w:rPr>
          <w:tab/>
        </w:r>
        <w:r w:rsidR="007A4A65" w:rsidRPr="00BB0D9C">
          <w:rPr>
            <w:rStyle w:val="Hyperlink"/>
            <w:lang w:bidi="en-US"/>
          </w:rPr>
          <w:t>Medida correctiva 5: Exhaustividad (n.° 4.1)</w:t>
        </w:r>
        <w:r w:rsidR="007A4A65" w:rsidRPr="00BB0D9C">
          <w:rPr>
            <w:webHidden/>
          </w:rPr>
          <w:tab/>
        </w:r>
        <w:r w:rsidR="00206464" w:rsidRPr="00BB0D9C">
          <w:rPr>
            <w:webHidden/>
          </w:rPr>
          <w:fldChar w:fldCharType="begin"/>
        </w:r>
        <w:r w:rsidR="007A4A65" w:rsidRPr="00BB0D9C">
          <w:rPr>
            <w:webHidden/>
          </w:rPr>
          <w:instrText xml:space="preserve"> PAGEREF _Toc45021598 \h </w:instrText>
        </w:r>
        <w:r w:rsidR="00206464" w:rsidRPr="00BB0D9C">
          <w:rPr>
            <w:webHidden/>
          </w:rPr>
        </w:r>
        <w:r w:rsidR="00206464" w:rsidRPr="00BB0D9C">
          <w:rPr>
            <w:webHidden/>
          </w:rPr>
          <w:fldChar w:fldCharType="separate"/>
        </w:r>
        <w:r w:rsidR="007A4A65" w:rsidRPr="00BB0D9C">
          <w:rPr>
            <w:webHidden/>
          </w:rPr>
          <w:t>25</w:t>
        </w:r>
        <w:r w:rsidR="00206464" w:rsidRPr="00BB0D9C">
          <w:rPr>
            <w:webHidden/>
          </w:rPr>
          <w:fldChar w:fldCharType="end"/>
        </w:r>
      </w:hyperlink>
    </w:p>
    <w:p w14:paraId="1152F032" w14:textId="77777777" w:rsidR="007A4A65" w:rsidRPr="00BB0D9C" w:rsidRDefault="00801158">
      <w:pPr>
        <w:pStyle w:val="TOC2"/>
        <w:rPr>
          <w:rFonts w:asciiTheme="minorHAnsi" w:hAnsiTheme="minorHAnsi"/>
          <w:b w:val="0"/>
          <w:bCs w:val="0"/>
          <w:szCs w:val="22"/>
          <w:lang w:eastAsia="es-ES"/>
        </w:rPr>
      </w:pPr>
      <w:hyperlink w:anchor="_Toc45021599" w:history="1">
        <w:r w:rsidR="007A4A65" w:rsidRPr="00BB0D9C">
          <w:rPr>
            <w:rStyle w:val="Hyperlink"/>
            <w:lang w:bidi="en-US"/>
          </w:rPr>
          <w:t>4.6</w:t>
        </w:r>
        <w:r w:rsidR="007A4A65" w:rsidRPr="00BB0D9C">
          <w:rPr>
            <w:rFonts w:asciiTheme="minorHAnsi" w:hAnsiTheme="minorHAnsi"/>
            <w:b w:val="0"/>
            <w:bCs w:val="0"/>
            <w:szCs w:val="22"/>
            <w:lang w:eastAsia="es-ES"/>
          </w:rPr>
          <w:tab/>
        </w:r>
        <w:r w:rsidR="007A4A65" w:rsidRPr="00BB0D9C">
          <w:rPr>
            <w:rStyle w:val="Hyperlink"/>
            <w:lang w:bidi="en-US"/>
          </w:rPr>
          <w:t>Medida correctiva 6: Pagos subnacionales (n.° 4.6)</w:t>
        </w:r>
        <w:r w:rsidR="007A4A65" w:rsidRPr="00BB0D9C">
          <w:rPr>
            <w:webHidden/>
          </w:rPr>
          <w:tab/>
        </w:r>
        <w:r w:rsidR="00206464" w:rsidRPr="00BB0D9C">
          <w:rPr>
            <w:webHidden/>
          </w:rPr>
          <w:fldChar w:fldCharType="begin"/>
        </w:r>
        <w:r w:rsidR="007A4A65" w:rsidRPr="00BB0D9C">
          <w:rPr>
            <w:webHidden/>
          </w:rPr>
          <w:instrText xml:space="preserve"> PAGEREF _Toc45021599 \h </w:instrText>
        </w:r>
        <w:r w:rsidR="00206464" w:rsidRPr="00BB0D9C">
          <w:rPr>
            <w:webHidden/>
          </w:rPr>
        </w:r>
        <w:r w:rsidR="00206464" w:rsidRPr="00BB0D9C">
          <w:rPr>
            <w:webHidden/>
          </w:rPr>
          <w:fldChar w:fldCharType="separate"/>
        </w:r>
        <w:r w:rsidR="007A4A65" w:rsidRPr="00BB0D9C">
          <w:rPr>
            <w:webHidden/>
          </w:rPr>
          <w:t>31</w:t>
        </w:r>
        <w:r w:rsidR="00206464" w:rsidRPr="00BB0D9C">
          <w:rPr>
            <w:webHidden/>
          </w:rPr>
          <w:fldChar w:fldCharType="end"/>
        </w:r>
      </w:hyperlink>
    </w:p>
    <w:p w14:paraId="35D571C0" w14:textId="77777777" w:rsidR="007A4A65" w:rsidRPr="00BB0D9C" w:rsidRDefault="00801158">
      <w:pPr>
        <w:pStyle w:val="TOC2"/>
        <w:rPr>
          <w:rFonts w:asciiTheme="minorHAnsi" w:hAnsiTheme="minorHAnsi"/>
          <w:b w:val="0"/>
          <w:bCs w:val="0"/>
          <w:szCs w:val="22"/>
          <w:lang w:eastAsia="es-ES"/>
        </w:rPr>
      </w:pPr>
      <w:hyperlink w:anchor="_Toc45021600" w:history="1">
        <w:r w:rsidR="007A4A65" w:rsidRPr="00BB0D9C">
          <w:rPr>
            <w:rStyle w:val="Hyperlink"/>
            <w:lang w:bidi="en-US"/>
          </w:rPr>
          <w:t>4.7</w:t>
        </w:r>
        <w:r w:rsidR="007A4A65" w:rsidRPr="00BB0D9C">
          <w:rPr>
            <w:rFonts w:asciiTheme="minorHAnsi" w:hAnsiTheme="minorHAnsi"/>
            <w:b w:val="0"/>
            <w:bCs w:val="0"/>
            <w:szCs w:val="22"/>
            <w:lang w:eastAsia="es-ES"/>
          </w:rPr>
          <w:tab/>
        </w:r>
        <w:r w:rsidR="007A4A65" w:rsidRPr="00BB0D9C">
          <w:rPr>
            <w:rStyle w:val="Hyperlink"/>
            <w:lang w:bidi="en-US"/>
          </w:rPr>
          <w:t>Medida correctiva 7: Calidad y garantía de los datos (n.° 4.9)</w:t>
        </w:r>
        <w:r w:rsidR="007A4A65" w:rsidRPr="00BB0D9C">
          <w:rPr>
            <w:webHidden/>
          </w:rPr>
          <w:tab/>
        </w:r>
        <w:r w:rsidR="00206464" w:rsidRPr="00BB0D9C">
          <w:rPr>
            <w:webHidden/>
          </w:rPr>
          <w:fldChar w:fldCharType="begin"/>
        </w:r>
        <w:r w:rsidR="007A4A65" w:rsidRPr="00BB0D9C">
          <w:rPr>
            <w:webHidden/>
          </w:rPr>
          <w:instrText xml:space="preserve"> PAGEREF _Toc45021600 \h </w:instrText>
        </w:r>
        <w:r w:rsidR="00206464" w:rsidRPr="00BB0D9C">
          <w:rPr>
            <w:webHidden/>
          </w:rPr>
        </w:r>
        <w:r w:rsidR="00206464" w:rsidRPr="00BB0D9C">
          <w:rPr>
            <w:webHidden/>
          </w:rPr>
          <w:fldChar w:fldCharType="separate"/>
        </w:r>
        <w:r w:rsidR="007A4A65" w:rsidRPr="00BB0D9C">
          <w:rPr>
            <w:webHidden/>
          </w:rPr>
          <w:t>33</w:t>
        </w:r>
        <w:r w:rsidR="00206464" w:rsidRPr="00BB0D9C">
          <w:rPr>
            <w:webHidden/>
          </w:rPr>
          <w:fldChar w:fldCharType="end"/>
        </w:r>
      </w:hyperlink>
    </w:p>
    <w:p w14:paraId="5879A672" w14:textId="77777777" w:rsidR="007A4A65" w:rsidRPr="00BB0D9C" w:rsidRDefault="00801158">
      <w:pPr>
        <w:pStyle w:val="TOC2"/>
        <w:rPr>
          <w:rFonts w:asciiTheme="minorHAnsi" w:hAnsiTheme="minorHAnsi"/>
          <w:b w:val="0"/>
          <w:bCs w:val="0"/>
          <w:szCs w:val="22"/>
          <w:lang w:eastAsia="es-ES"/>
        </w:rPr>
      </w:pPr>
      <w:hyperlink w:anchor="_Toc45021601" w:history="1">
        <w:r w:rsidR="007A4A65" w:rsidRPr="00BB0D9C">
          <w:rPr>
            <w:rStyle w:val="Hyperlink"/>
            <w:lang w:bidi="en-US"/>
          </w:rPr>
          <w:t>4.8</w:t>
        </w:r>
        <w:r w:rsidR="007A4A65" w:rsidRPr="00BB0D9C">
          <w:rPr>
            <w:rFonts w:asciiTheme="minorHAnsi" w:hAnsiTheme="minorHAnsi"/>
            <w:b w:val="0"/>
            <w:bCs w:val="0"/>
            <w:szCs w:val="22"/>
            <w:lang w:eastAsia="es-ES"/>
          </w:rPr>
          <w:tab/>
        </w:r>
        <w:r w:rsidR="007A4A65" w:rsidRPr="00BB0D9C">
          <w:rPr>
            <w:rStyle w:val="Hyperlink"/>
            <w:lang w:bidi="en-US"/>
          </w:rPr>
          <w:t>Medida correctiva 8: Gastos sociales (n.° 6.1)</w:t>
        </w:r>
        <w:r w:rsidR="007A4A65" w:rsidRPr="00BB0D9C">
          <w:rPr>
            <w:webHidden/>
          </w:rPr>
          <w:tab/>
        </w:r>
        <w:r w:rsidR="00206464" w:rsidRPr="00BB0D9C">
          <w:rPr>
            <w:webHidden/>
          </w:rPr>
          <w:fldChar w:fldCharType="begin"/>
        </w:r>
        <w:r w:rsidR="007A4A65" w:rsidRPr="00BB0D9C">
          <w:rPr>
            <w:webHidden/>
          </w:rPr>
          <w:instrText xml:space="preserve"> PAGEREF _Toc45021601 \h </w:instrText>
        </w:r>
        <w:r w:rsidR="00206464" w:rsidRPr="00BB0D9C">
          <w:rPr>
            <w:webHidden/>
          </w:rPr>
        </w:r>
        <w:r w:rsidR="00206464" w:rsidRPr="00BB0D9C">
          <w:rPr>
            <w:webHidden/>
          </w:rPr>
          <w:fldChar w:fldCharType="separate"/>
        </w:r>
        <w:r w:rsidR="007A4A65" w:rsidRPr="00BB0D9C">
          <w:rPr>
            <w:webHidden/>
          </w:rPr>
          <w:t>37</w:t>
        </w:r>
        <w:r w:rsidR="00206464" w:rsidRPr="00BB0D9C">
          <w:rPr>
            <w:webHidden/>
          </w:rPr>
          <w:fldChar w:fldCharType="end"/>
        </w:r>
      </w:hyperlink>
    </w:p>
    <w:p w14:paraId="4DF33922" w14:textId="77777777" w:rsidR="007A4A65" w:rsidRPr="00BB0D9C" w:rsidRDefault="00801158">
      <w:pPr>
        <w:pStyle w:val="TOC2"/>
        <w:rPr>
          <w:rFonts w:asciiTheme="minorHAnsi" w:hAnsiTheme="minorHAnsi"/>
          <w:b w:val="0"/>
          <w:bCs w:val="0"/>
          <w:szCs w:val="22"/>
          <w:lang w:eastAsia="es-ES"/>
        </w:rPr>
      </w:pPr>
      <w:hyperlink w:anchor="_Toc45021602" w:history="1">
        <w:r w:rsidR="007A4A65" w:rsidRPr="00BB0D9C">
          <w:rPr>
            <w:rStyle w:val="Hyperlink"/>
            <w:lang w:bidi="en-US"/>
          </w:rPr>
          <w:t>4.9</w:t>
        </w:r>
        <w:r w:rsidR="007A4A65" w:rsidRPr="00BB0D9C">
          <w:rPr>
            <w:rFonts w:asciiTheme="minorHAnsi" w:hAnsiTheme="minorHAnsi"/>
            <w:b w:val="0"/>
            <w:bCs w:val="0"/>
            <w:szCs w:val="22"/>
            <w:lang w:eastAsia="es-ES"/>
          </w:rPr>
          <w:tab/>
        </w:r>
        <w:r w:rsidR="007A4A65" w:rsidRPr="00BB0D9C">
          <w:rPr>
            <w:rStyle w:val="Hyperlink"/>
            <w:lang w:bidi="en-US"/>
          </w:rPr>
          <w:t>Medida correctiva 9: Contribución económica (n.° 6.3)</w:t>
        </w:r>
        <w:r w:rsidR="007A4A65" w:rsidRPr="00BB0D9C">
          <w:rPr>
            <w:webHidden/>
          </w:rPr>
          <w:tab/>
        </w:r>
        <w:r w:rsidR="00206464" w:rsidRPr="00BB0D9C">
          <w:rPr>
            <w:webHidden/>
          </w:rPr>
          <w:fldChar w:fldCharType="begin"/>
        </w:r>
        <w:r w:rsidR="007A4A65" w:rsidRPr="00BB0D9C">
          <w:rPr>
            <w:webHidden/>
          </w:rPr>
          <w:instrText xml:space="preserve"> PAGEREF _Toc45021602 \h </w:instrText>
        </w:r>
        <w:r w:rsidR="00206464" w:rsidRPr="00BB0D9C">
          <w:rPr>
            <w:webHidden/>
          </w:rPr>
        </w:r>
        <w:r w:rsidR="00206464" w:rsidRPr="00BB0D9C">
          <w:rPr>
            <w:webHidden/>
          </w:rPr>
          <w:fldChar w:fldCharType="separate"/>
        </w:r>
        <w:r w:rsidR="007A4A65" w:rsidRPr="00BB0D9C">
          <w:rPr>
            <w:webHidden/>
          </w:rPr>
          <w:t>39</w:t>
        </w:r>
        <w:r w:rsidR="00206464" w:rsidRPr="00BB0D9C">
          <w:rPr>
            <w:webHidden/>
          </w:rPr>
          <w:fldChar w:fldCharType="end"/>
        </w:r>
      </w:hyperlink>
    </w:p>
    <w:p w14:paraId="06E39F67" w14:textId="77777777" w:rsidR="007A4A65" w:rsidRPr="00BB0D9C" w:rsidRDefault="00801158">
      <w:pPr>
        <w:pStyle w:val="TOC2"/>
        <w:rPr>
          <w:rFonts w:asciiTheme="minorHAnsi" w:hAnsiTheme="minorHAnsi"/>
          <w:b w:val="0"/>
          <w:bCs w:val="0"/>
          <w:szCs w:val="22"/>
          <w:lang w:eastAsia="es-ES"/>
        </w:rPr>
      </w:pPr>
      <w:hyperlink w:anchor="_Toc45021603" w:history="1">
        <w:r w:rsidR="007A4A65" w:rsidRPr="00BB0D9C">
          <w:rPr>
            <w:rStyle w:val="Hyperlink"/>
            <w:lang w:bidi="en-US"/>
          </w:rPr>
          <w:t>4.10</w:t>
        </w:r>
        <w:r w:rsidR="007A4A65" w:rsidRPr="00BB0D9C">
          <w:rPr>
            <w:rFonts w:asciiTheme="minorHAnsi" w:hAnsiTheme="minorHAnsi"/>
            <w:b w:val="0"/>
            <w:bCs w:val="0"/>
            <w:szCs w:val="22"/>
            <w:lang w:eastAsia="es-ES"/>
          </w:rPr>
          <w:tab/>
        </w:r>
        <w:r w:rsidR="007A4A65" w:rsidRPr="00BB0D9C">
          <w:rPr>
            <w:rStyle w:val="Hyperlink"/>
            <w:lang w:bidi="en-US"/>
          </w:rPr>
          <w:t>Medida correctiva 10: Debate público (n.° 7.1)</w:t>
        </w:r>
        <w:r w:rsidR="007A4A65" w:rsidRPr="00BB0D9C">
          <w:rPr>
            <w:webHidden/>
          </w:rPr>
          <w:tab/>
        </w:r>
        <w:r w:rsidR="00206464" w:rsidRPr="00BB0D9C">
          <w:rPr>
            <w:webHidden/>
          </w:rPr>
          <w:fldChar w:fldCharType="begin"/>
        </w:r>
        <w:r w:rsidR="007A4A65" w:rsidRPr="00BB0D9C">
          <w:rPr>
            <w:webHidden/>
          </w:rPr>
          <w:instrText xml:space="preserve"> PAGEREF _Toc45021603 \h </w:instrText>
        </w:r>
        <w:r w:rsidR="00206464" w:rsidRPr="00BB0D9C">
          <w:rPr>
            <w:webHidden/>
          </w:rPr>
        </w:r>
        <w:r w:rsidR="00206464" w:rsidRPr="00BB0D9C">
          <w:rPr>
            <w:webHidden/>
          </w:rPr>
          <w:fldChar w:fldCharType="separate"/>
        </w:r>
        <w:r w:rsidR="007A4A65" w:rsidRPr="00BB0D9C">
          <w:rPr>
            <w:webHidden/>
          </w:rPr>
          <w:t>40</w:t>
        </w:r>
        <w:r w:rsidR="00206464" w:rsidRPr="00BB0D9C">
          <w:rPr>
            <w:webHidden/>
          </w:rPr>
          <w:fldChar w:fldCharType="end"/>
        </w:r>
      </w:hyperlink>
    </w:p>
    <w:p w14:paraId="6566E1EC" w14:textId="77777777" w:rsidR="007A4A65" w:rsidRPr="00BB0D9C" w:rsidRDefault="00801158">
      <w:pPr>
        <w:pStyle w:val="TOC2"/>
        <w:rPr>
          <w:rFonts w:asciiTheme="minorHAnsi" w:hAnsiTheme="minorHAnsi"/>
          <w:b w:val="0"/>
          <w:bCs w:val="0"/>
          <w:szCs w:val="22"/>
          <w:lang w:eastAsia="es-ES"/>
        </w:rPr>
      </w:pPr>
      <w:hyperlink w:anchor="_Toc45021604" w:history="1">
        <w:r w:rsidR="007A4A65" w:rsidRPr="00BB0D9C">
          <w:rPr>
            <w:rStyle w:val="Hyperlink"/>
            <w:lang w:bidi="en-US"/>
          </w:rPr>
          <w:t>4.11</w:t>
        </w:r>
        <w:r w:rsidR="007A4A65" w:rsidRPr="00BB0D9C">
          <w:rPr>
            <w:rFonts w:asciiTheme="minorHAnsi" w:hAnsiTheme="minorHAnsi"/>
            <w:b w:val="0"/>
            <w:bCs w:val="0"/>
            <w:szCs w:val="22"/>
            <w:lang w:eastAsia="es-ES"/>
          </w:rPr>
          <w:tab/>
        </w:r>
        <w:r w:rsidR="007A4A65" w:rsidRPr="00BB0D9C">
          <w:rPr>
            <w:rStyle w:val="Hyperlink"/>
            <w:lang w:bidi="en-US"/>
          </w:rPr>
          <w:t>Medida correctiva 11: Seguimiento de las recomendaciones (n.° 7.3)</w:t>
        </w:r>
        <w:r w:rsidR="007A4A65" w:rsidRPr="00BB0D9C">
          <w:rPr>
            <w:webHidden/>
          </w:rPr>
          <w:tab/>
        </w:r>
        <w:r w:rsidR="00206464" w:rsidRPr="00BB0D9C">
          <w:rPr>
            <w:webHidden/>
          </w:rPr>
          <w:fldChar w:fldCharType="begin"/>
        </w:r>
        <w:r w:rsidR="007A4A65" w:rsidRPr="00BB0D9C">
          <w:rPr>
            <w:webHidden/>
          </w:rPr>
          <w:instrText xml:space="preserve"> PAGEREF _Toc45021604 \h </w:instrText>
        </w:r>
        <w:r w:rsidR="00206464" w:rsidRPr="00BB0D9C">
          <w:rPr>
            <w:webHidden/>
          </w:rPr>
        </w:r>
        <w:r w:rsidR="00206464" w:rsidRPr="00BB0D9C">
          <w:rPr>
            <w:webHidden/>
          </w:rPr>
          <w:fldChar w:fldCharType="separate"/>
        </w:r>
        <w:r w:rsidR="007A4A65" w:rsidRPr="00BB0D9C">
          <w:rPr>
            <w:webHidden/>
          </w:rPr>
          <w:t>43</w:t>
        </w:r>
        <w:r w:rsidR="00206464" w:rsidRPr="00BB0D9C">
          <w:rPr>
            <w:webHidden/>
          </w:rPr>
          <w:fldChar w:fldCharType="end"/>
        </w:r>
      </w:hyperlink>
    </w:p>
    <w:p w14:paraId="36F5FAB8" w14:textId="77777777" w:rsidR="007A4A65" w:rsidRPr="00BB0D9C" w:rsidRDefault="00801158">
      <w:pPr>
        <w:pStyle w:val="TOC2"/>
        <w:rPr>
          <w:rFonts w:asciiTheme="minorHAnsi" w:hAnsiTheme="minorHAnsi"/>
          <w:b w:val="0"/>
          <w:bCs w:val="0"/>
          <w:szCs w:val="22"/>
          <w:lang w:eastAsia="es-ES"/>
        </w:rPr>
      </w:pPr>
      <w:hyperlink w:anchor="_Toc45021605" w:history="1">
        <w:r w:rsidR="007A4A65" w:rsidRPr="00BB0D9C">
          <w:rPr>
            <w:rStyle w:val="Hyperlink"/>
            <w:lang w:bidi="en-US"/>
          </w:rPr>
          <w:t>4.12</w:t>
        </w:r>
        <w:r w:rsidR="007A4A65" w:rsidRPr="00BB0D9C">
          <w:rPr>
            <w:rFonts w:asciiTheme="minorHAnsi" w:hAnsiTheme="minorHAnsi"/>
            <w:b w:val="0"/>
            <w:bCs w:val="0"/>
            <w:szCs w:val="22"/>
            <w:lang w:eastAsia="es-ES"/>
          </w:rPr>
          <w:tab/>
        </w:r>
        <w:r w:rsidR="007A4A65" w:rsidRPr="00BB0D9C">
          <w:rPr>
            <w:rStyle w:val="Hyperlink"/>
            <w:lang w:bidi="en-US"/>
          </w:rPr>
          <w:t>Medida correctiva 12: Resultados e impacto de la implementación del EITI (n.° 7.4)</w:t>
        </w:r>
        <w:r w:rsidR="007A4A65" w:rsidRPr="00BB0D9C">
          <w:rPr>
            <w:webHidden/>
          </w:rPr>
          <w:tab/>
        </w:r>
        <w:r w:rsidR="00206464" w:rsidRPr="00BB0D9C">
          <w:rPr>
            <w:webHidden/>
          </w:rPr>
          <w:fldChar w:fldCharType="begin"/>
        </w:r>
        <w:r w:rsidR="007A4A65" w:rsidRPr="00BB0D9C">
          <w:rPr>
            <w:webHidden/>
          </w:rPr>
          <w:instrText xml:space="preserve"> PAGEREF _Toc45021605 \h </w:instrText>
        </w:r>
        <w:r w:rsidR="00206464" w:rsidRPr="00BB0D9C">
          <w:rPr>
            <w:webHidden/>
          </w:rPr>
        </w:r>
        <w:r w:rsidR="00206464" w:rsidRPr="00BB0D9C">
          <w:rPr>
            <w:webHidden/>
          </w:rPr>
          <w:fldChar w:fldCharType="separate"/>
        </w:r>
        <w:r w:rsidR="007A4A65" w:rsidRPr="00BB0D9C">
          <w:rPr>
            <w:webHidden/>
          </w:rPr>
          <w:t>46</w:t>
        </w:r>
        <w:r w:rsidR="00206464" w:rsidRPr="00BB0D9C">
          <w:rPr>
            <w:webHidden/>
          </w:rPr>
          <w:fldChar w:fldCharType="end"/>
        </w:r>
      </w:hyperlink>
    </w:p>
    <w:p w14:paraId="15A03279" w14:textId="77777777" w:rsidR="007A4A65" w:rsidRPr="00BB0D9C" w:rsidRDefault="00801158">
      <w:pPr>
        <w:pStyle w:val="TOC1"/>
        <w:tabs>
          <w:tab w:val="left" w:pos="440"/>
        </w:tabs>
        <w:rPr>
          <w:rFonts w:asciiTheme="minorHAnsi" w:hAnsiTheme="minorHAnsi"/>
          <w:b w:val="0"/>
          <w:bCs w:val="0"/>
          <w:sz w:val="22"/>
          <w:szCs w:val="22"/>
          <w:lang w:eastAsia="es-ES"/>
        </w:rPr>
      </w:pPr>
      <w:hyperlink w:anchor="_Toc45021606" w:history="1">
        <w:r w:rsidR="007A4A65" w:rsidRPr="00BB0D9C">
          <w:rPr>
            <w:rStyle w:val="Hyperlink"/>
            <w:rFonts w:ascii="Franklin Gothic Book" w:hAnsi="Franklin Gothic Book"/>
          </w:rPr>
          <w:t>5.</w:t>
        </w:r>
        <w:r w:rsidR="007A4A65" w:rsidRPr="00BB0D9C">
          <w:rPr>
            <w:rFonts w:asciiTheme="minorHAnsi" w:hAnsiTheme="minorHAnsi"/>
            <w:b w:val="0"/>
            <w:bCs w:val="0"/>
            <w:sz w:val="22"/>
            <w:szCs w:val="22"/>
            <w:lang w:eastAsia="es-ES"/>
          </w:rPr>
          <w:tab/>
        </w:r>
        <w:r w:rsidR="007A4A65" w:rsidRPr="00BB0D9C">
          <w:rPr>
            <w:rStyle w:val="Hyperlink"/>
            <w:rFonts w:ascii="Franklin Gothic Book" w:hAnsi="Franklin Gothic Book"/>
          </w:rPr>
          <w:t>Requisitos evaluados como satisfactorios en la 1.ª validación</w:t>
        </w:r>
        <w:r w:rsidR="007A4A65" w:rsidRPr="00BB0D9C">
          <w:rPr>
            <w:webHidden/>
          </w:rPr>
          <w:tab/>
        </w:r>
        <w:r w:rsidR="00206464" w:rsidRPr="00BB0D9C">
          <w:rPr>
            <w:webHidden/>
          </w:rPr>
          <w:fldChar w:fldCharType="begin"/>
        </w:r>
        <w:r w:rsidR="007A4A65" w:rsidRPr="00BB0D9C">
          <w:rPr>
            <w:webHidden/>
          </w:rPr>
          <w:instrText xml:space="preserve"> PAGEREF _Toc45021606 \h </w:instrText>
        </w:r>
        <w:r w:rsidR="00206464" w:rsidRPr="00BB0D9C">
          <w:rPr>
            <w:webHidden/>
          </w:rPr>
        </w:r>
        <w:r w:rsidR="00206464" w:rsidRPr="00BB0D9C">
          <w:rPr>
            <w:webHidden/>
          </w:rPr>
          <w:fldChar w:fldCharType="separate"/>
        </w:r>
        <w:r w:rsidR="007A4A65" w:rsidRPr="00BB0D9C">
          <w:rPr>
            <w:webHidden/>
          </w:rPr>
          <w:t>48</w:t>
        </w:r>
        <w:r w:rsidR="00206464" w:rsidRPr="00BB0D9C">
          <w:rPr>
            <w:webHidden/>
          </w:rPr>
          <w:fldChar w:fldCharType="end"/>
        </w:r>
      </w:hyperlink>
    </w:p>
    <w:p w14:paraId="3DBD0654" w14:textId="77777777" w:rsidR="007A4A65" w:rsidRPr="00BB0D9C" w:rsidRDefault="00801158">
      <w:pPr>
        <w:pStyle w:val="TOC2"/>
        <w:rPr>
          <w:rFonts w:asciiTheme="minorHAnsi" w:hAnsiTheme="minorHAnsi"/>
          <w:b w:val="0"/>
          <w:bCs w:val="0"/>
          <w:szCs w:val="22"/>
          <w:lang w:eastAsia="es-ES"/>
        </w:rPr>
      </w:pPr>
      <w:hyperlink w:anchor="_Toc45021607" w:history="1">
        <w:r w:rsidR="007A4A65" w:rsidRPr="00BB0D9C">
          <w:rPr>
            <w:rStyle w:val="Hyperlink"/>
            <w:lang w:bidi="en-US"/>
          </w:rPr>
          <w:t>5.1 Evaluación de la supervisión del grupo de multipartícipes (n.° 1.4)</w:t>
        </w:r>
        <w:r w:rsidR="007A4A65" w:rsidRPr="00BB0D9C">
          <w:rPr>
            <w:webHidden/>
          </w:rPr>
          <w:tab/>
        </w:r>
        <w:r w:rsidR="00206464" w:rsidRPr="00BB0D9C">
          <w:rPr>
            <w:webHidden/>
          </w:rPr>
          <w:fldChar w:fldCharType="begin"/>
        </w:r>
        <w:r w:rsidR="007A4A65" w:rsidRPr="00BB0D9C">
          <w:rPr>
            <w:webHidden/>
          </w:rPr>
          <w:instrText xml:space="preserve"> PAGEREF _Toc45021607 \h </w:instrText>
        </w:r>
        <w:r w:rsidR="00206464" w:rsidRPr="00BB0D9C">
          <w:rPr>
            <w:webHidden/>
          </w:rPr>
        </w:r>
        <w:r w:rsidR="00206464" w:rsidRPr="00BB0D9C">
          <w:rPr>
            <w:webHidden/>
          </w:rPr>
          <w:fldChar w:fldCharType="separate"/>
        </w:r>
        <w:r w:rsidR="007A4A65" w:rsidRPr="00BB0D9C">
          <w:rPr>
            <w:webHidden/>
          </w:rPr>
          <w:t>48</w:t>
        </w:r>
        <w:r w:rsidR="00206464" w:rsidRPr="00BB0D9C">
          <w:rPr>
            <w:webHidden/>
          </w:rPr>
          <w:fldChar w:fldCharType="end"/>
        </w:r>
      </w:hyperlink>
    </w:p>
    <w:p w14:paraId="17A88B1A" w14:textId="77777777" w:rsidR="007A4A65" w:rsidRPr="00BB0D9C" w:rsidRDefault="00801158">
      <w:pPr>
        <w:pStyle w:val="TOC2"/>
        <w:rPr>
          <w:rFonts w:asciiTheme="minorHAnsi" w:hAnsiTheme="minorHAnsi"/>
          <w:b w:val="0"/>
          <w:bCs w:val="0"/>
          <w:szCs w:val="22"/>
          <w:lang w:eastAsia="es-ES"/>
        </w:rPr>
      </w:pPr>
      <w:hyperlink w:anchor="_Toc45021608" w:history="1">
        <w:r w:rsidR="007A4A65" w:rsidRPr="00BB0D9C">
          <w:rPr>
            <w:rStyle w:val="Hyperlink"/>
            <w:lang w:bidi="en-US"/>
          </w:rPr>
          <w:t>5.2 Evaluación del nivel de desglose (n.° 4.7)</w:t>
        </w:r>
        <w:r w:rsidR="007A4A65" w:rsidRPr="00BB0D9C">
          <w:rPr>
            <w:webHidden/>
          </w:rPr>
          <w:tab/>
        </w:r>
        <w:r w:rsidR="00206464" w:rsidRPr="00BB0D9C">
          <w:rPr>
            <w:webHidden/>
          </w:rPr>
          <w:fldChar w:fldCharType="begin"/>
        </w:r>
        <w:r w:rsidR="007A4A65" w:rsidRPr="00BB0D9C">
          <w:rPr>
            <w:webHidden/>
          </w:rPr>
          <w:instrText xml:space="preserve"> PAGEREF _Toc45021608 \h </w:instrText>
        </w:r>
        <w:r w:rsidR="00206464" w:rsidRPr="00BB0D9C">
          <w:rPr>
            <w:webHidden/>
          </w:rPr>
        </w:r>
        <w:r w:rsidR="00206464" w:rsidRPr="00BB0D9C">
          <w:rPr>
            <w:webHidden/>
          </w:rPr>
          <w:fldChar w:fldCharType="separate"/>
        </w:r>
        <w:r w:rsidR="007A4A65" w:rsidRPr="00BB0D9C">
          <w:rPr>
            <w:webHidden/>
          </w:rPr>
          <w:t>50</w:t>
        </w:r>
        <w:r w:rsidR="00206464" w:rsidRPr="00BB0D9C">
          <w:rPr>
            <w:webHidden/>
          </w:rPr>
          <w:fldChar w:fldCharType="end"/>
        </w:r>
      </w:hyperlink>
    </w:p>
    <w:p w14:paraId="37ED1BF8" w14:textId="77777777" w:rsidR="007A4A65" w:rsidRPr="00BB0D9C" w:rsidRDefault="00801158">
      <w:pPr>
        <w:pStyle w:val="TOC1"/>
        <w:tabs>
          <w:tab w:val="left" w:pos="440"/>
        </w:tabs>
        <w:rPr>
          <w:rFonts w:asciiTheme="minorHAnsi" w:hAnsiTheme="minorHAnsi"/>
          <w:b w:val="0"/>
          <w:bCs w:val="0"/>
          <w:sz w:val="22"/>
          <w:szCs w:val="22"/>
          <w:lang w:eastAsia="es-ES"/>
        </w:rPr>
      </w:pPr>
      <w:hyperlink w:anchor="_Toc45021609" w:history="1">
        <w:r w:rsidR="007A4A65" w:rsidRPr="00BB0D9C">
          <w:rPr>
            <w:rStyle w:val="Hyperlink"/>
            <w:rFonts w:ascii="Franklin Gothic Book" w:hAnsi="Franklin Gothic Book"/>
          </w:rPr>
          <w:t>6.</w:t>
        </w:r>
        <w:r w:rsidR="007A4A65" w:rsidRPr="00BB0D9C">
          <w:rPr>
            <w:rFonts w:asciiTheme="minorHAnsi" w:hAnsiTheme="minorHAnsi"/>
            <w:b w:val="0"/>
            <w:bCs w:val="0"/>
            <w:sz w:val="22"/>
            <w:szCs w:val="22"/>
            <w:lang w:eastAsia="es-ES"/>
          </w:rPr>
          <w:tab/>
        </w:r>
        <w:r w:rsidR="007A4A65" w:rsidRPr="00BB0D9C">
          <w:rPr>
            <w:rStyle w:val="Hyperlink"/>
            <w:rFonts w:ascii="Franklin Gothic Book" w:hAnsi="Franklin Gothic Book"/>
          </w:rPr>
          <w:t>Conclusión</w:t>
        </w:r>
        <w:r w:rsidR="007A4A65" w:rsidRPr="00BB0D9C">
          <w:rPr>
            <w:webHidden/>
          </w:rPr>
          <w:tab/>
        </w:r>
        <w:r w:rsidR="00206464" w:rsidRPr="00BB0D9C">
          <w:rPr>
            <w:webHidden/>
          </w:rPr>
          <w:fldChar w:fldCharType="begin"/>
        </w:r>
        <w:r w:rsidR="007A4A65" w:rsidRPr="00BB0D9C">
          <w:rPr>
            <w:webHidden/>
          </w:rPr>
          <w:instrText xml:space="preserve"> PAGEREF _Toc45021609 \h </w:instrText>
        </w:r>
        <w:r w:rsidR="00206464" w:rsidRPr="00BB0D9C">
          <w:rPr>
            <w:webHidden/>
          </w:rPr>
        </w:r>
        <w:r w:rsidR="00206464" w:rsidRPr="00BB0D9C">
          <w:rPr>
            <w:webHidden/>
          </w:rPr>
          <w:fldChar w:fldCharType="separate"/>
        </w:r>
        <w:r w:rsidR="007A4A65" w:rsidRPr="00BB0D9C">
          <w:rPr>
            <w:webHidden/>
          </w:rPr>
          <w:t>50</w:t>
        </w:r>
        <w:r w:rsidR="00206464" w:rsidRPr="00BB0D9C">
          <w:rPr>
            <w:webHidden/>
          </w:rPr>
          <w:fldChar w:fldCharType="end"/>
        </w:r>
      </w:hyperlink>
    </w:p>
    <w:p w14:paraId="1E56C36D" w14:textId="77777777" w:rsidR="007A4A65" w:rsidRPr="00BB0D9C" w:rsidRDefault="00801158">
      <w:pPr>
        <w:pStyle w:val="TOC1"/>
        <w:rPr>
          <w:rFonts w:asciiTheme="minorHAnsi" w:hAnsiTheme="minorHAnsi"/>
          <w:b w:val="0"/>
          <w:bCs w:val="0"/>
          <w:sz w:val="22"/>
          <w:szCs w:val="22"/>
          <w:lang w:eastAsia="es-ES"/>
        </w:rPr>
      </w:pPr>
      <w:hyperlink w:anchor="_Toc45021610" w:history="1">
        <w:r w:rsidR="007A4A65" w:rsidRPr="00BB0D9C">
          <w:rPr>
            <w:rStyle w:val="Hyperlink"/>
            <w:rFonts w:ascii="Franklin Gothic Book" w:hAnsi="Franklin Gothic Book"/>
          </w:rPr>
          <w:t>Anexos</w:t>
        </w:r>
        <w:r w:rsidR="007A4A65" w:rsidRPr="00BB0D9C">
          <w:rPr>
            <w:webHidden/>
          </w:rPr>
          <w:tab/>
        </w:r>
        <w:r w:rsidR="00206464" w:rsidRPr="00BB0D9C">
          <w:rPr>
            <w:webHidden/>
          </w:rPr>
          <w:fldChar w:fldCharType="begin"/>
        </w:r>
        <w:r w:rsidR="007A4A65" w:rsidRPr="00BB0D9C">
          <w:rPr>
            <w:webHidden/>
          </w:rPr>
          <w:instrText xml:space="preserve"> PAGEREF _Toc45021610 \h </w:instrText>
        </w:r>
        <w:r w:rsidR="00206464" w:rsidRPr="00BB0D9C">
          <w:rPr>
            <w:webHidden/>
          </w:rPr>
        </w:r>
        <w:r w:rsidR="00206464" w:rsidRPr="00BB0D9C">
          <w:rPr>
            <w:webHidden/>
          </w:rPr>
          <w:fldChar w:fldCharType="separate"/>
        </w:r>
        <w:r w:rsidR="007A4A65" w:rsidRPr="00BB0D9C">
          <w:rPr>
            <w:webHidden/>
          </w:rPr>
          <w:t>51</w:t>
        </w:r>
        <w:r w:rsidR="00206464" w:rsidRPr="00BB0D9C">
          <w:rPr>
            <w:webHidden/>
          </w:rPr>
          <w:fldChar w:fldCharType="end"/>
        </w:r>
      </w:hyperlink>
    </w:p>
    <w:p w14:paraId="0193E745" w14:textId="77777777" w:rsidR="007A4A65" w:rsidRPr="00BB0D9C" w:rsidRDefault="00801158">
      <w:pPr>
        <w:pStyle w:val="TOC2"/>
        <w:rPr>
          <w:rFonts w:asciiTheme="minorHAnsi" w:hAnsiTheme="minorHAnsi"/>
          <w:b w:val="0"/>
          <w:bCs w:val="0"/>
          <w:szCs w:val="22"/>
          <w:lang w:eastAsia="es-ES"/>
        </w:rPr>
      </w:pPr>
      <w:hyperlink w:anchor="_Toc45021611" w:history="1">
        <w:r w:rsidR="007A4A65" w:rsidRPr="00BB0D9C">
          <w:rPr>
            <w:rStyle w:val="Hyperlink"/>
            <w:lang w:bidi="en-US"/>
          </w:rPr>
          <w:t>Anexo A: Comunicado enviado por el EITI el 11 de diciembre de 2018</w:t>
        </w:r>
        <w:r w:rsidR="007A4A65" w:rsidRPr="00BB0D9C">
          <w:rPr>
            <w:webHidden/>
          </w:rPr>
          <w:tab/>
        </w:r>
        <w:r w:rsidR="00206464" w:rsidRPr="00BB0D9C">
          <w:rPr>
            <w:webHidden/>
          </w:rPr>
          <w:fldChar w:fldCharType="begin"/>
        </w:r>
        <w:r w:rsidR="007A4A65" w:rsidRPr="00BB0D9C">
          <w:rPr>
            <w:webHidden/>
          </w:rPr>
          <w:instrText xml:space="preserve"> PAGEREF _Toc45021611 \h </w:instrText>
        </w:r>
        <w:r w:rsidR="00206464" w:rsidRPr="00BB0D9C">
          <w:rPr>
            <w:webHidden/>
          </w:rPr>
        </w:r>
        <w:r w:rsidR="00206464" w:rsidRPr="00BB0D9C">
          <w:rPr>
            <w:webHidden/>
          </w:rPr>
          <w:fldChar w:fldCharType="separate"/>
        </w:r>
        <w:r w:rsidR="007A4A65" w:rsidRPr="00BB0D9C">
          <w:rPr>
            <w:webHidden/>
          </w:rPr>
          <w:t>51</w:t>
        </w:r>
        <w:r w:rsidR="00206464" w:rsidRPr="00BB0D9C">
          <w:rPr>
            <w:webHidden/>
          </w:rPr>
          <w:fldChar w:fldCharType="end"/>
        </w:r>
      </w:hyperlink>
    </w:p>
    <w:p w14:paraId="221BFE29" w14:textId="77777777" w:rsidR="007A4A65" w:rsidRPr="00BB0D9C" w:rsidRDefault="00801158">
      <w:pPr>
        <w:pStyle w:val="TOC2"/>
        <w:rPr>
          <w:rFonts w:asciiTheme="minorHAnsi" w:hAnsiTheme="minorHAnsi"/>
          <w:b w:val="0"/>
          <w:bCs w:val="0"/>
          <w:szCs w:val="22"/>
          <w:lang w:eastAsia="es-ES"/>
        </w:rPr>
      </w:pPr>
      <w:hyperlink w:anchor="_Toc45021612" w:history="1">
        <w:r w:rsidR="007A4A65" w:rsidRPr="00BB0D9C">
          <w:rPr>
            <w:rStyle w:val="Hyperlink"/>
            <w:lang w:bidi="en-US"/>
          </w:rPr>
          <w:t>Anexo B: Documento publicado por la CONROA el 17 de diciembre de 2018</w:t>
        </w:r>
        <w:r w:rsidR="007A4A65" w:rsidRPr="00BB0D9C">
          <w:rPr>
            <w:webHidden/>
          </w:rPr>
          <w:tab/>
        </w:r>
        <w:r w:rsidR="00206464" w:rsidRPr="00BB0D9C">
          <w:rPr>
            <w:webHidden/>
          </w:rPr>
          <w:fldChar w:fldCharType="begin"/>
        </w:r>
        <w:r w:rsidR="007A4A65" w:rsidRPr="00BB0D9C">
          <w:rPr>
            <w:webHidden/>
          </w:rPr>
          <w:instrText xml:space="preserve"> PAGEREF _Toc45021612 \h </w:instrText>
        </w:r>
        <w:r w:rsidR="00206464" w:rsidRPr="00BB0D9C">
          <w:rPr>
            <w:webHidden/>
          </w:rPr>
        </w:r>
        <w:r w:rsidR="00206464" w:rsidRPr="00BB0D9C">
          <w:rPr>
            <w:webHidden/>
          </w:rPr>
          <w:fldChar w:fldCharType="separate"/>
        </w:r>
        <w:r w:rsidR="007A4A65" w:rsidRPr="00BB0D9C">
          <w:rPr>
            <w:webHidden/>
          </w:rPr>
          <w:t>53</w:t>
        </w:r>
        <w:r w:rsidR="00206464" w:rsidRPr="00BB0D9C">
          <w:rPr>
            <w:webHidden/>
          </w:rPr>
          <w:fldChar w:fldCharType="end"/>
        </w:r>
      </w:hyperlink>
    </w:p>
    <w:p w14:paraId="26F2384C" w14:textId="77777777" w:rsidR="007A4A65" w:rsidRPr="00BB0D9C" w:rsidRDefault="00801158">
      <w:pPr>
        <w:pStyle w:val="TOC2"/>
        <w:rPr>
          <w:rFonts w:asciiTheme="minorHAnsi" w:hAnsiTheme="minorHAnsi"/>
          <w:b w:val="0"/>
          <w:bCs w:val="0"/>
          <w:szCs w:val="22"/>
          <w:lang w:eastAsia="es-ES"/>
        </w:rPr>
      </w:pPr>
      <w:hyperlink w:anchor="_Toc45021613" w:history="1">
        <w:r w:rsidR="007A4A65" w:rsidRPr="00BB0D9C">
          <w:rPr>
            <w:rStyle w:val="Hyperlink"/>
            <w:lang w:bidi="en-US"/>
          </w:rPr>
          <w:t>Anexo C: Resumen de la asistencia a las reuniones del Secretariado Técnico</w:t>
        </w:r>
        <w:r w:rsidR="007A4A65" w:rsidRPr="00BB0D9C">
          <w:rPr>
            <w:webHidden/>
          </w:rPr>
          <w:tab/>
        </w:r>
        <w:r w:rsidR="00206464" w:rsidRPr="00BB0D9C">
          <w:rPr>
            <w:webHidden/>
          </w:rPr>
          <w:fldChar w:fldCharType="begin"/>
        </w:r>
        <w:r w:rsidR="007A4A65" w:rsidRPr="00BB0D9C">
          <w:rPr>
            <w:webHidden/>
          </w:rPr>
          <w:instrText xml:space="preserve"> PAGEREF _Toc45021613 \h </w:instrText>
        </w:r>
        <w:r w:rsidR="00206464" w:rsidRPr="00BB0D9C">
          <w:rPr>
            <w:webHidden/>
          </w:rPr>
        </w:r>
        <w:r w:rsidR="00206464" w:rsidRPr="00BB0D9C">
          <w:rPr>
            <w:webHidden/>
          </w:rPr>
          <w:fldChar w:fldCharType="separate"/>
        </w:r>
        <w:r w:rsidR="007A4A65" w:rsidRPr="00BB0D9C">
          <w:rPr>
            <w:webHidden/>
          </w:rPr>
          <w:t>55</w:t>
        </w:r>
        <w:r w:rsidR="00206464" w:rsidRPr="00BB0D9C">
          <w:rPr>
            <w:webHidden/>
          </w:rPr>
          <w:fldChar w:fldCharType="end"/>
        </w:r>
      </w:hyperlink>
    </w:p>
    <w:p w14:paraId="356692F0" w14:textId="77777777" w:rsidR="007A4A65" w:rsidRPr="00BB0D9C" w:rsidRDefault="00801158">
      <w:pPr>
        <w:pStyle w:val="TOC2"/>
        <w:rPr>
          <w:rFonts w:asciiTheme="minorHAnsi" w:hAnsiTheme="minorHAnsi"/>
          <w:b w:val="0"/>
          <w:bCs w:val="0"/>
          <w:szCs w:val="22"/>
          <w:lang w:eastAsia="es-ES"/>
        </w:rPr>
      </w:pPr>
      <w:hyperlink w:anchor="_Toc45021614" w:history="1">
        <w:r w:rsidR="007A4A65" w:rsidRPr="00BB0D9C">
          <w:rPr>
            <w:rStyle w:val="Hyperlink"/>
            <w:lang w:bidi="en-US"/>
          </w:rPr>
          <w:t>Anexo D: Correo electrónico del SAR al Secretariado Internacional, con fecha del 6 de junio de 2019</w:t>
        </w:r>
        <w:r w:rsidR="007A4A65" w:rsidRPr="00BB0D9C">
          <w:rPr>
            <w:webHidden/>
          </w:rPr>
          <w:tab/>
        </w:r>
        <w:r w:rsidR="00206464" w:rsidRPr="00BB0D9C">
          <w:rPr>
            <w:webHidden/>
          </w:rPr>
          <w:fldChar w:fldCharType="begin"/>
        </w:r>
        <w:r w:rsidR="007A4A65" w:rsidRPr="00BB0D9C">
          <w:rPr>
            <w:webHidden/>
          </w:rPr>
          <w:instrText xml:space="preserve"> PAGEREF _Toc45021614 \h </w:instrText>
        </w:r>
        <w:r w:rsidR="00206464" w:rsidRPr="00BB0D9C">
          <w:rPr>
            <w:webHidden/>
          </w:rPr>
        </w:r>
        <w:r w:rsidR="00206464" w:rsidRPr="00BB0D9C">
          <w:rPr>
            <w:webHidden/>
          </w:rPr>
          <w:fldChar w:fldCharType="separate"/>
        </w:r>
        <w:r w:rsidR="007A4A65" w:rsidRPr="00BB0D9C">
          <w:rPr>
            <w:webHidden/>
          </w:rPr>
          <w:t>56</w:t>
        </w:r>
        <w:r w:rsidR="00206464" w:rsidRPr="00BB0D9C">
          <w:rPr>
            <w:webHidden/>
          </w:rPr>
          <w:fldChar w:fldCharType="end"/>
        </w:r>
      </w:hyperlink>
    </w:p>
    <w:p w14:paraId="3B1FE2C8" w14:textId="77777777" w:rsidR="006F6114" w:rsidRPr="00BB0D9C" w:rsidRDefault="00206464" w:rsidP="007A1E78">
      <w:r w:rsidRPr="00BB0D9C">
        <w:fldChar w:fldCharType="end"/>
      </w:r>
    </w:p>
    <w:p w14:paraId="514BEFDE" w14:textId="77777777" w:rsidR="007256B1" w:rsidRPr="00BB0D9C" w:rsidRDefault="007256B1">
      <w:pPr>
        <w:spacing w:after="120"/>
        <w:rPr>
          <w:rFonts w:ascii="Franklin Gothic Demi" w:eastAsiaTheme="majorEastAsia" w:hAnsi="Franklin Gothic Demi" w:cstheme="majorHAnsi"/>
          <w:b/>
          <w:color w:val="365F91" w:themeColor="accent1" w:themeShade="BF"/>
          <w:sz w:val="32"/>
          <w:szCs w:val="28"/>
        </w:rPr>
      </w:pPr>
      <w:r w:rsidRPr="00BB0D9C">
        <w:br w:type="page"/>
      </w:r>
    </w:p>
    <w:p w14:paraId="693DEFFD" w14:textId="77777777" w:rsidR="00E43A48" w:rsidRPr="00BB0D9C" w:rsidRDefault="00E43A48">
      <w:pPr>
        <w:spacing w:after="120"/>
        <w:rPr>
          <w:rFonts w:cstheme="majorHAnsi"/>
          <w:szCs w:val="22"/>
        </w:rPr>
      </w:pPr>
    </w:p>
    <w:p w14:paraId="082C9CAC" w14:textId="77777777" w:rsidR="006E461B" w:rsidRPr="00BB0D9C" w:rsidRDefault="006E461B" w:rsidP="006E461B">
      <w:pPr>
        <w:pStyle w:val="Heading1"/>
      </w:pPr>
      <w:bookmarkStart w:id="2" w:name="_Toc45021590"/>
      <w:r w:rsidRPr="00BB0D9C">
        <w:rPr>
          <w:rFonts w:ascii="Franklin Gothic Book" w:hAnsi="Franklin Gothic Book"/>
        </w:rPr>
        <w:t>Resumen</w:t>
      </w:r>
      <w:bookmarkEnd w:id="2"/>
    </w:p>
    <w:p w14:paraId="32832B35" w14:textId="1ABC0D93" w:rsidR="006E461B" w:rsidRPr="00BB0D9C" w:rsidRDefault="006E461B" w:rsidP="006E461B">
      <w:r w:rsidRPr="00BB0D9C">
        <w:t xml:space="preserve">Honduras ha estado aplicando el Estándar EITI desde 2013. Se han publicado cuatro informes, entre ellos los correspondientes a los años fiscales 2017 y 2018, publicados el 10 de febrero de 2020. El proceso EITI ha dado lugar a </w:t>
      </w:r>
      <w:r w:rsidR="007B6FAA" w:rsidRPr="00BB0D9C">
        <w:t xml:space="preserve">algunas </w:t>
      </w:r>
      <w:r w:rsidRPr="00BB0D9C">
        <w:t xml:space="preserve">mejoras </w:t>
      </w:r>
      <w:r w:rsidR="007B6FAA" w:rsidRPr="00BB0D9C">
        <w:t xml:space="preserve">significativas </w:t>
      </w:r>
      <w:r w:rsidRPr="00BB0D9C">
        <w:t>en los sistemas gubernamentales</w:t>
      </w:r>
      <w:r w:rsidR="007B6FAA" w:rsidRPr="00BB0D9C">
        <w:t>. E</w:t>
      </w:r>
      <w:r w:rsidRPr="00BB0D9C">
        <w:t>n particular</w:t>
      </w:r>
      <w:r w:rsidR="007B6FAA" w:rsidRPr="00BB0D9C">
        <w:t>,</w:t>
      </w:r>
      <w:r w:rsidRPr="00BB0D9C">
        <w:t xml:space="preserve"> el regulador minero INHGEOMIN</w:t>
      </w:r>
      <w:r w:rsidR="007B6FAA" w:rsidRPr="00BB0D9C">
        <w:t xml:space="preserve"> ha </w:t>
      </w:r>
      <w:r w:rsidRPr="00BB0D9C">
        <w:t xml:space="preserve">mejorado la divulgación de información </w:t>
      </w:r>
      <w:r w:rsidR="007B6FAA" w:rsidRPr="00BB0D9C">
        <w:t xml:space="preserve">en áreas como </w:t>
      </w:r>
      <w:r w:rsidRPr="00BB0D9C">
        <w:t xml:space="preserve">licencias, datos de producción y exportación y pagos sociales </w:t>
      </w:r>
      <w:r w:rsidR="007B6FAA" w:rsidRPr="00BB0D9C">
        <w:t xml:space="preserve">y ambientales </w:t>
      </w:r>
      <w:r w:rsidRPr="00BB0D9C">
        <w:t>voluntarios. Los ingresos y pagos de 2012 a 2018</w:t>
      </w:r>
      <w:r w:rsidR="007B6FAA" w:rsidRPr="00BB0D9C">
        <w:t xml:space="preserve"> reflejan </w:t>
      </w:r>
      <w:r w:rsidRPr="00BB0D9C">
        <w:t xml:space="preserve">estancamiento del sector. Las industrias extractivas representan </w:t>
      </w:r>
      <w:r w:rsidR="007B6FAA" w:rsidRPr="00BB0D9C">
        <w:t>menos d</w:t>
      </w:r>
      <w:r w:rsidRPr="00BB0D9C">
        <w:t>el 0,</w:t>
      </w:r>
      <w:r w:rsidR="007B6FAA" w:rsidRPr="00BB0D9C">
        <w:t>5</w:t>
      </w:r>
      <w:r w:rsidR="006D211E">
        <w:t>%</w:t>
      </w:r>
      <w:r w:rsidRPr="00BB0D9C">
        <w:t xml:space="preserve"> del PIB. El desarrollo del sector de los hidrocarburos no se ha materializado como se esperaba en 2013 cuando se estableció la EITI-Honduras. El sector de la minería sólo ha experimentado un crecimiento modesto en el subsector no metálico tras el auge de la construcción. El sector metálico se ha estancado.</w:t>
      </w:r>
      <w:r w:rsidR="00827CAC" w:rsidRPr="00BB0D9C">
        <w:t xml:space="preserve"> </w:t>
      </w:r>
    </w:p>
    <w:p w14:paraId="6D1D56FC" w14:textId="77777777" w:rsidR="00EC5983" w:rsidRPr="00BB0D9C" w:rsidRDefault="006E461B" w:rsidP="006E461B">
      <w:r w:rsidRPr="00BB0D9C">
        <w:t>Si bien EITI</w:t>
      </w:r>
      <w:r w:rsidR="007B6FAA" w:rsidRPr="00BB0D9C">
        <w:t xml:space="preserve"> </w:t>
      </w:r>
      <w:r w:rsidRPr="00BB0D9C">
        <w:t xml:space="preserve">Honduras representó un esfuerzo por promover el diálogo entre múltiples interesados, el interés y el nivel de participación </w:t>
      </w:r>
      <w:r w:rsidR="007B6FAA" w:rsidRPr="00BB0D9C">
        <w:t>no ha sido uniforme</w:t>
      </w:r>
      <w:r w:rsidRPr="00BB0D9C">
        <w:t xml:space="preserve">. Esto se observó por primera vez cuando Honduras fue </w:t>
      </w:r>
      <w:r w:rsidR="00EB4DBE" w:rsidRPr="00BB0D9C">
        <w:t>validada</w:t>
      </w:r>
      <w:r w:rsidRPr="00BB0D9C">
        <w:t xml:space="preserve"> en 2017. El contexto más amplio también indica una disminución de la confianza</w:t>
      </w:r>
      <w:r w:rsidR="007B6FAA" w:rsidRPr="00BB0D9C">
        <w:t xml:space="preserve"> y aumento de la incertidumbre</w:t>
      </w:r>
      <w:r w:rsidRPr="00BB0D9C">
        <w:t xml:space="preserve">. </w:t>
      </w:r>
      <w:r w:rsidR="007B6FAA" w:rsidRPr="00BB0D9C">
        <w:t>En primer lugar, la atmósfera alrededor de l</w:t>
      </w:r>
      <w:r w:rsidRPr="00BB0D9C">
        <w:t>as elecciones presidenciales en noviembre de 2017</w:t>
      </w:r>
      <w:r w:rsidR="007B6FAA" w:rsidRPr="00BB0D9C">
        <w:t xml:space="preserve"> fue tensa.</w:t>
      </w:r>
      <w:r w:rsidR="00EC5983" w:rsidRPr="00BB0D9C">
        <w:t xml:space="preserve"> Hubo organizaciones internacionales que participaron en el monitoreo de las elecciones</w:t>
      </w:r>
      <w:r w:rsidRPr="00BB0D9C">
        <w:t xml:space="preserve">. </w:t>
      </w:r>
      <w:r w:rsidR="00EC5983" w:rsidRPr="00BB0D9C">
        <w:t>Aunque l</w:t>
      </w:r>
      <w:r w:rsidRPr="00BB0D9C">
        <w:t xml:space="preserve">a Organización de Estados Americanos (OEA) cuestionó la validez de </w:t>
      </w:r>
      <w:proofErr w:type="gramStart"/>
      <w:r w:rsidRPr="00BB0D9C">
        <w:t>las mismas</w:t>
      </w:r>
      <w:proofErr w:type="gramEnd"/>
      <w:r w:rsidRPr="00BB0D9C">
        <w:rPr>
          <w:rStyle w:val="FootnoteReference"/>
        </w:rPr>
        <w:footnoteReference w:id="2"/>
      </w:r>
      <w:r w:rsidRPr="00BB0D9C">
        <w:rPr>
          <w:rStyle w:val="EndnoteReference"/>
        </w:rPr>
        <w:endnoteReference w:id="2"/>
      </w:r>
      <w:r w:rsidRPr="00BB0D9C">
        <w:t xml:space="preserve">, </w:t>
      </w:r>
      <w:r w:rsidR="00EC5983" w:rsidRPr="00BB0D9C">
        <w:t>la Unión Europea reconoció el contexto polarizado, la falta de uniformidad de los recursos y llegó a la conclusión de que “el recuento de los votos en las urnas respetaba la voluntad de los votantes</w:t>
      </w:r>
      <w:r w:rsidR="00EC5983" w:rsidRPr="00BB0D9C">
        <w:rPr>
          <w:rStyle w:val="FootnoteReference"/>
        </w:rPr>
        <w:footnoteReference w:id="3"/>
      </w:r>
      <w:r w:rsidR="00EC5983" w:rsidRPr="00BB0D9C">
        <w:t xml:space="preserve">. </w:t>
      </w:r>
    </w:p>
    <w:p w14:paraId="199EED5F" w14:textId="77777777" w:rsidR="00A12D80" w:rsidRPr="00BB0D9C" w:rsidRDefault="00EC5983" w:rsidP="006E461B">
      <w:r w:rsidRPr="00BB0D9C">
        <w:t xml:space="preserve">Segundo, numerosas </w:t>
      </w:r>
      <w:r w:rsidR="006E461B" w:rsidRPr="00BB0D9C">
        <w:t xml:space="preserve">organizaciones internacionales de la sociedad civil (OSC) han expresado </w:t>
      </w:r>
      <w:r w:rsidRPr="00BB0D9C">
        <w:t xml:space="preserve">diversas </w:t>
      </w:r>
      <w:r w:rsidR="006E461B" w:rsidRPr="00BB0D9C">
        <w:t>preocupaci</w:t>
      </w:r>
      <w:r w:rsidRPr="00BB0D9C">
        <w:t>ones</w:t>
      </w:r>
      <w:r w:rsidR="006E461B" w:rsidRPr="00BB0D9C">
        <w:t xml:space="preserve"> por el espacio cívico y los derechos humanos. En 2018, la ONU visitó Honduras. En particular, en relación con los proyectos del sector extractivo en el país, Michel Forst, Relator Especial de las Naciones Unidas sobre los derechos humanos, destacó que era necesario un marco normativo que promoviera la transparencia, principalmente en lo que respecta a los permisos ambientales concedidos a las empresas extractivas</w:t>
      </w:r>
      <w:r w:rsidR="00A12D80" w:rsidRPr="00BB0D9C">
        <w:rPr>
          <w:rStyle w:val="FootnoteReference"/>
        </w:rPr>
        <w:footnoteReference w:id="4"/>
      </w:r>
      <w:r w:rsidR="006E461B" w:rsidRPr="00BB0D9C">
        <w:t xml:space="preserve">. </w:t>
      </w:r>
      <w:r w:rsidR="00A12D80" w:rsidRPr="00BB0D9C">
        <w:t>A pesar de estas dificultades, las organizaciones de la sociedad civil están participando en el proceso EITI y han logrado operar con libertad.</w:t>
      </w:r>
    </w:p>
    <w:p w14:paraId="010517AD" w14:textId="5F171C55" w:rsidR="00345A5F" w:rsidRPr="00BB0D9C" w:rsidRDefault="00A12D80" w:rsidP="006E461B">
      <w:r w:rsidRPr="00BB0D9C">
        <w:t xml:space="preserve">En tercer lugar, en </w:t>
      </w:r>
      <w:r w:rsidR="006E461B" w:rsidRPr="00BB0D9C">
        <w:t xml:space="preserve">2017 la Corte Suprema de Honduras declaró que varios artículos de la Ley General de Minería (Decreto </w:t>
      </w:r>
      <w:r w:rsidR="00392F70" w:rsidRPr="00BB0D9C">
        <w:t>N.º</w:t>
      </w:r>
      <w:r w:rsidR="006E461B" w:rsidRPr="00BB0D9C">
        <w:t xml:space="preserve"> 32-2013) eran inconstitucionales</w:t>
      </w:r>
      <w:r w:rsidRPr="00BB0D9C">
        <w:rPr>
          <w:rStyle w:val="FootnoteReference"/>
        </w:rPr>
        <w:footnoteReference w:id="5"/>
      </w:r>
      <w:r w:rsidR="006E461B" w:rsidRPr="00BB0D9C">
        <w:t xml:space="preserve">. </w:t>
      </w:r>
      <w:r w:rsidRPr="00BB0D9C">
        <w:t>Cuestiones relevantes afectadas por esta revisión fueron el marco impositivo y la emisión de permisos ambientales</w:t>
      </w:r>
      <w:r w:rsidRPr="00BB0D9C">
        <w:rPr>
          <w:vertAlign w:val="superscript"/>
        </w:rPr>
        <w:footnoteReference w:id="6"/>
      </w:r>
      <w:r w:rsidRPr="00BB0D9C">
        <w:t>. INHGEOMIN propuso a principios de 2019 reformas para abordar las cuestiones surgidas en el veredicto de la Corte Suprema</w:t>
      </w:r>
      <w:r w:rsidRPr="00BB0D9C">
        <w:rPr>
          <w:vertAlign w:val="superscript"/>
        </w:rPr>
        <w:footnoteReference w:id="7"/>
      </w:r>
      <w:r w:rsidR="000A159C" w:rsidRPr="00BB0D9C">
        <w:t xml:space="preserve">Sujeto a que el Consejo del EITI tenga en cuenta nueva información publicada después del </w:t>
      </w:r>
      <w:r w:rsidR="000A159C" w:rsidRPr="00BB0D9C">
        <w:lastRenderedPageBreak/>
        <w:t>comienzo de la validación</w:t>
      </w:r>
      <w:r w:rsidRPr="00BB0D9C">
        <w:t xml:space="preserve">. </w:t>
      </w:r>
      <w:r w:rsidR="006E461B" w:rsidRPr="00BB0D9C">
        <w:t>El</w:t>
      </w:r>
      <w:r w:rsidR="00345A5F" w:rsidRPr="00BB0D9C">
        <w:t xml:space="preserve"> Instituto para el Acceso a la Información Pública (IAIP) anuló en octubre de 2019 las restricciones sobre el acceso a la información referida a regulaciones ambientales</w:t>
      </w:r>
      <w:r w:rsidR="00345A5F" w:rsidRPr="00BB0D9C">
        <w:rPr>
          <w:vertAlign w:val="superscript"/>
        </w:rPr>
        <w:footnoteReference w:id="8"/>
      </w:r>
      <w:r w:rsidR="00345A5F" w:rsidRPr="00BB0D9C">
        <w:t xml:space="preserve">. </w:t>
      </w:r>
    </w:p>
    <w:p w14:paraId="3B6A0A3C" w14:textId="77777777" w:rsidR="00DC55D7" w:rsidRPr="00BB0D9C" w:rsidRDefault="00345A5F" w:rsidP="006E461B">
      <w:r w:rsidRPr="00BB0D9C">
        <w:t xml:space="preserve">En resumen, estas condiciones no han </w:t>
      </w:r>
      <w:r w:rsidR="00DC55D7" w:rsidRPr="00BB0D9C">
        <w:t>favorecido la inversión</w:t>
      </w:r>
      <w:r w:rsidR="00EB4DBE" w:rsidRPr="00BB0D9C">
        <w:t>, la participación de partes interesadas extractivas</w:t>
      </w:r>
      <w:r w:rsidR="00DC55D7" w:rsidRPr="00BB0D9C">
        <w:t xml:space="preserve"> y de un grupo de </w:t>
      </w:r>
      <w:proofErr w:type="spellStart"/>
      <w:r w:rsidR="00DC55D7" w:rsidRPr="00BB0D9C">
        <w:t>multipartícipes</w:t>
      </w:r>
      <w:proofErr w:type="spellEnd"/>
      <w:r w:rsidR="00DC55D7" w:rsidRPr="00BB0D9C">
        <w:t xml:space="preserve"> dinámico</w:t>
      </w:r>
      <w:r w:rsidR="006E461B" w:rsidRPr="00BB0D9C">
        <w:t xml:space="preserve">. </w:t>
      </w:r>
      <w:r w:rsidR="00DC55D7" w:rsidRPr="00BB0D9C">
        <w:t>Con una incertidumbre regulatoria permanente y la amplia oposición a la minería, el crecimiento del sector ha sido ínfimo y no se ha alcanzado su potencial para contribuir al desarrollo.</w:t>
      </w:r>
      <w:r w:rsidR="006E461B" w:rsidRPr="00BB0D9C">
        <w:t xml:space="preserve"> </w:t>
      </w:r>
    </w:p>
    <w:p w14:paraId="6E177716" w14:textId="77777777" w:rsidR="00DC55D7" w:rsidRPr="00BB0D9C" w:rsidRDefault="006E461B" w:rsidP="006E461B">
      <w:r w:rsidRPr="00BB0D9C">
        <w:t xml:space="preserve">En este contexto más amplio, </w:t>
      </w:r>
      <w:r w:rsidR="00DC55D7" w:rsidRPr="00BB0D9C">
        <w:t>el dinamismo del proceso EITI ha exigido un esfuerzo adicional de todas las partes interesadas. La participación del gobierno, la industria y la sociedad civil en el proceso EITI ha sido adecuada, a pesar de que persisten dificultades relacionadas con el modo en que el EITI puede contribuir mejor a que se avance.</w:t>
      </w:r>
    </w:p>
    <w:p w14:paraId="154083C0" w14:textId="77777777" w:rsidR="00C86AD6" w:rsidRPr="00BB0D9C" w:rsidRDefault="006E461B" w:rsidP="006E461B">
      <w:r w:rsidRPr="00BB0D9C">
        <w:t xml:space="preserve">En la segunda validación </w:t>
      </w:r>
      <w:r w:rsidR="00DC55D7" w:rsidRPr="00BB0D9C">
        <w:t xml:space="preserve">de Honduras </w:t>
      </w:r>
      <w:r w:rsidRPr="00BB0D9C">
        <w:t>se eval</w:t>
      </w:r>
      <w:r w:rsidR="00DC55D7" w:rsidRPr="00BB0D9C">
        <w:t xml:space="preserve">úa la implementación del EITI </w:t>
      </w:r>
      <w:r w:rsidRPr="00BB0D9C">
        <w:t>entre 2017 y 2019 y</w:t>
      </w:r>
      <w:r w:rsidR="00DC55D7" w:rsidRPr="00BB0D9C">
        <w:t xml:space="preserve"> </w:t>
      </w:r>
      <w:r w:rsidRPr="00BB0D9C">
        <w:t xml:space="preserve">los progresos realizados en </w:t>
      </w:r>
      <w:r w:rsidR="00DC55D7" w:rsidRPr="00BB0D9C">
        <w:t xml:space="preserve">el abordaje </w:t>
      </w:r>
      <w:r w:rsidRPr="00BB0D9C">
        <w:t xml:space="preserve">de las medidas correctivas identificadas en </w:t>
      </w:r>
      <w:r w:rsidR="00DC55D7" w:rsidRPr="00BB0D9C">
        <w:t xml:space="preserve">la primera validación del país en </w:t>
      </w:r>
      <w:r w:rsidRPr="00BB0D9C">
        <w:t xml:space="preserve">2017. </w:t>
      </w:r>
      <w:r w:rsidR="00DC55D7" w:rsidRPr="00BB0D9C">
        <w:t xml:space="preserve">Esta evaluación ha revisado </w:t>
      </w:r>
      <w:r w:rsidRPr="00BB0D9C">
        <w:t>las medidas adoptadas por Honduras para abordar las 12 medidas correctivas a partir del comienzo de su segunda validación el 25 de abril de 2019</w:t>
      </w:r>
      <w:r w:rsidR="00C86AD6" w:rsidRPr="00BB0D9C">
        <w:t>.</w:t>
      </w:r>
    </w:p>
    <w:p w14:paraId="670B20DC" w14:textId="77777777" w:rsidR="008842E6" w:rsidRPr="00BB0D9C" w:rsidRDefault="00E06B64" w:rsidP="006E461B">
      <w:r w:rsidRPr="00BB0D9C">
        <w:t xml:space="preserve">El 13 de mayo de 2020, el grupo de </w:t>
      </w:r>
      <w:proofErr w:type="spellStart"/>
      <w:r w:rsidRPr="00BB0D9C">
        <w:t>multipartícipes</w:t>
      </w:r>
      <w:proofErr w:type="spellEnd"/>
      <w:r w:rsidRPr="00BB0D9C">
        <w:t xml:space="preserve"> de Honduras proporcionó comentarios extensos sobre la evaluación en borrador enviada por el Secretariado Internacional EITI el 27 de marzo de 2020. El grupo de </w:t>
      </w:r>
      <w:proofErr w:type="spellStart"/>
      <w:r w:rsidRPr="00BB0D9C">
        <w:t>multipartícipes</w:t>
      </w:r>
      <w:proofErr w:type="spellEnd"/>
      <w:r w:rsidRPr="00BB0D9C">
        <w:t xml:space="preserve"> destacó una cantidad sustancial de información, incluso varios desarrollos posteriores al comienzo de la validación </w:t>
      </w:r>
      <w:r w:rsidR="00C1781A" w:rsidRPr="00BB0D9C">
        <w:t xml:space="preserve">que </w:t>
      </w:r>
      <w:r w:rsidR="00EB4DBE" w:rsidRPr="00BB0D9C">
        <w:t>sostenía</w:t>
      </w:r>
      <w:r w:rsidR="00C1781A" w:rsidRPr="00BB0D9C">
        <w:t xml:space="preserve"> que debían tenerse en cuenta. Esto incluía el plan de trabajo de 2019 y 2020 y el Informe EITI de Honduras de 2017 y 2018 publicado el 10 de febrero de 2020. La nueva información presentada por el grupo de </w:t>
      </w:r>
      <w:proofErr w:type="spellStart"/>
      <w:r w:rsidR="00C1781A" w:rsidRPr="00BB0D9C">
        <w:t>multipartícipes</w:t>
      </w:r>
      <w:proofErr w:type="spellEnd"/>
      <w:r w:rsidR="00C1781A" w:rsidRPr="00BB0D9C">
        <w:t xml:space="preserve"> demuestra la participación renovada de partes interesadas. Algunos organismos gubernamentales, entre ellos la autoridad fiscal (SAR), INHGEOMIN, el Banco Central, el Ministerio de Finanzas, el Ministerio para el Medio Ambiente</w:t>
      </w:r>
      <w:r w:rsidR="00C1781A" w:rsidRPr="00BB0D9C">
        <w:rPr>
          <w:vertAlign w:val="superscript"/>
        </w:rPr>
        <w:footnoteReference w:id="9"/>
      </w:r>
      <w:r w:rsidR="00C1781A" w:rsidRPr="00BB0D9C">
        <w:rPr>
          <w:vertAlign w:val="superscript"/>
        </w:rPr>
        <w:t xml:space="preserve"> </w:t>
      </w:r>
      <w:r w:rsidR="00C1781A" w:rsidRPr="00BB0D9C">
        <w:t>y el IAIP, junto con gobiernos municipales, han estado involucrados de manera activa</w:t>
      </w:r>
      <w:r w:rsidR="00C1781A" w:rsidRPr="00BB0D9C">
        <w:rPr>
          <w:vertAlign w:val="superscript"/>
        </w:rPr>
        <w:footnoteReference w:id="10"/>
      </w:r>
      <w:r w:rsidR="00C1781A" w:rsidRPr="00BB0D9C">
        <w:t>.</w:t>
      </w:r>
      <w:r w:rsidR="006E461B" w:rsidRPr="00BB0D9C">
        <w:t xml:space="preserve"> </w:t>
      </w:r>
      <w:r w:rsidR="00C1781A" w:rsidRPr="00BB0D9C">
        <w:t xml:space="preserve">La participación renovada del Gobierno ha estado acompañada por un mayor compromiso de organizaciones de la sociedad civil. Esto incluye una mayor participación en las deliberaciones del grupo de </w:t>
      </w:r>
      <w:proofErr w:type="spellStart"/>
      <w:r w:rsidR="00C1781A" w:rsidRPr="00BB0D9C">
        <w:t>multipartícipes</w:t>
      </w:r>
      <w:proofErr w:type="spellEnd"/>
      <w:r w:rsidR="00C1781A" w:rsidRPr="00BB0D9C">
        <w:t xml:space="preserve"> y en el proceso de presentación de información, el uso de datos del EITI </w:t>
      </w:r>
      <w:r w:rsidR="008842E6" w:rsidRPr="00BB0D9C">
        <w:t>en el debate nacional referido al sector extractivo</w:t>
      </w:r>
      <w:r w:rsidR="008842E6" w:rsidRPr="00BB0D9C">
        <w:rPr>
          <w:vertAlign w:val="superscript"/>
        </w:rPr>
        <w:footnoteReference w:id="11"/>
      </w:r>
      <w:r w:rsidR="008842E6" w:rsidRPr="00BB0D9C">
        <w:t xml:space="preserve"> y la vinculación del proceso del EITI con otros esfuerzos de transparencia, como el proceso de Alianza para el Gobierno Abierto (AGA)</w:t>
      </w:r>
      <w:r w:rsidR="008842E6" w:rsidRPr="00BB0D9C">
        <w:rPr>
          <w:vertAlign w:val="superscript"/>
        </w:rPr>
        <w:footnoteReference w:id="12"/>
      </w:r>
      <w:r w:rsidR="008842E6" w:rsidRPr="00BB0D9C">
        <w:t>. Además, las empresas también se han comprometido en el proceso del EITI y ha aumentado el número de empresas declarantes y hay una mayor participación en foros públicos sobre la transparencia y gobernanza del sector extractivo.</w:t>
      </w:r>
    </w:p>
    <w:p w14:paraId="30F87608" w14:textId="760A523C" w:rsidR="006E461B" w:rsidRPr="00BB0D9C" w:rsidRDefault="00E9290E" w:rsidP="006E461B">
      <w:r w:rsidRPr="00BB0D9C">
        <w:t xml:space="preserve">Sujeto a la consideración del Consejo de nueva información publicada después del comienzo de la segunda validación, </w:t>
      </w:r>
      <w:r w:rsidR="006E461B" w:rsidRPr="00BB0D9C">
        <w:t xml:space="preserve">la evaluación de la Secretaría Internacional es que </w:t>
      </w:r>
      <w:r w:rsidR="006E461B" w:rsidRPr="00782386">
        <w:rPr>
          <w:b/>
          <w:bCs/>
        </w:rPr>
        <w:t>Honduras ha abordado medidas correctivas</w:t>
      </w:r>
      <w:r w:rsidR="006E461B" w:rsidRPr="009A2F7A">
        <w:rPr>
          <w:b/>
          <w:bCs/>
        </w:rPr>
        <w:t>, con evaluaciones de "progreso satisfactorio" o "no aplicables"</w:t>
      </w:r>
      <w:r w:rsidR="006E461B" w:rsidRPr="00BB0D9C">
        <w:t xml:space="preserve"> en relación con la participación del gobierno (requisito 1.1), el plan de trabajo (requisito 1.5), la </w:t>
      </w:r>
      <w:r w:rsidR="003728DF" w:rsidRPr="00BB0D9C">
        <w:t xml:space="preserve">divulgación </w:t>
      </w:r>
      <w:r w:rsidR="006E461B" w:rsidRPr="00BB0D9C">
        <w:t>exhaustiv</w:t>
      </w:r>
      <w:r w:rsidR="003728DF" w:rsidRPr="00BB0D9C">
        <w:t>a de impuestos e ingresos</w:t>
      </w:r>
      <w:r w:rsidR="006E461B" w:rsidRPr="00BB0D9C">
        <w:t xml:space="preserve"> (requisito 4.1), los pagos subnacionales (requisito 4.6), </w:t>
      </w:r>
      <w:r w:rsidR="003728DF" w:rsidRPr="00BB0D9C">
        <w:t xml:space="preserve">los pagos sociales (requisito 6.1), la contribución económica (requisito 6.3) </w:t>
      </w:r>
      <w:r w:rsidR="006E461B" w:rsidRPr="00BB0D9C">
        <w:t xml:space="preserve">y los resultados e impactos de la </w:t>
      </w:r>
      <w:r w:rsidR="006E461B" w:rsidRPr="00BB0D9C">
        <w:lastRenderedPageBreak/>
        <w:t xml:space="preserve">implementación del EITI (requisito 7.4). </w:t>
      </w:r>
      <w:r w:rsidR="003728DF" w:rsidRPr="00BB0D9C">
        <w:t xml:space="preserve">La evaluación del Secretariado Internacional es que </w:t>
      </w:r>
      <w:r w:rsidR="003728DF" w:rsidRPr="009A2F7A">
        <w:rPr>
          <w:b/>
          <w:bCs/>
        </w:rPr>
        <w:t>Honduras ha hecho un progreso significativo al abordar las otras cinco medidas correctivas.</w:t>
      </w:r>
      <w:r w:rsidR="003728DF" w:rsidRPr="00BB0D9C">
        <w:t xml:space="preserve"> Las deficiencias sin resolver se relacionan con la participación de las </w:t>
      </w:r>
      <w:r w:rsidR="00B61C08" w:rsidRPr="00BB0D9C">
        <w:t>empresa</w:t>
      </w:r>
      <w:r w:rsidR="003728DF" w:rsidRPr="00BB0D9C">
        <w:t>s (requisito 1.2), la participación de la sociedad civil (requisito 1.3), la calidad de los datos (requisito 4.9), el debate público (requisito 7.1) y el seguimiento de las recomendaciones (requisito 7.3). Asimismo, el Secretariado Internacional ha revisado el progreso con respecto al requisito 4.7 y ha determinado que Honduras no ha logrado cumplir con él en lo que se refiere al desglose.</w:t>
      </w:r>
    </w:p>
    <w:p w14:paraId="46D4F024" w14:textId="77777777" w:rsidR="004356B3" w:rsidRPr="00BB0D9C" w:rsidRDefault="006E461B" w:rsidP="006E461B">
      <w:r w:rsidRPr="00BB0D9C">
        <w:t xml:space="preserve">Honduras se ha comprometido con el proceso EITI, pero sus esfuerzos por informar y abordar las medidas correctivas de su primera validación no han sido suficientes para abordar plenamente las medidas correctivas. </w:t>
      </w:r>
      <w:r w:rsidR="004356B3" w:rsidRPr="00BB0D9C">
        <w:t>Aunque el grupo de</w:t>
      </w:r>
      <w:r w:rsidRPr="00BB0D9C">
        <w:t xml:space="preserve"> </w:t>
      </w:r>
      <w:proofErr w:type="spellStart"/>
      <w:r w:rsidR="00EB4DBE" w:rsidRPr="00BB0D9C">
        <w:t>multipartícipes</w:t>
      </w:r>
      <w:proofErr w:type="spellEnd"/>
      <w:r w:rsidR="00EB4DBE" w:rsidRPr="00BB0D9C">
        <w:t xml:space="preserve"> ha</w:t>
      </w:r>
      <w:r w:rsidR="004356B3" w:rsidRPr="00BB0D9C">
        <w:t xml:space="preserve"> recuperado parte de su dinamismo inicial, sigue existiendo la necesidad de garantizar una participación plena, activa y efectiva en la</w:t>
      </w:r>
      <w:r w:rsidRPr="00BB0D9C">
        <w:t xml:space="preserve"> implementación </w:t>
      </w:r>
      <w:r w:rsidR="004356B3" w:rsidRPr="00BB0D9C">
        <w:t xml:space="preserve">del </w:t>
      </w:r>
      <w:r w:rsidRPr="00BB0D9C">
        <w:t>EITI</w:t>
      </w:r>
      <w:r w:rsidR="004356B3" w:rsidRPr="00BB0D9C">
        <w:t>.</w:t>
      </w:r>
      <w:r w:rsidRPr="00BB0D9C">
        <w:t xml:space="preserve"> </w:t>
      </w:r>
      <w:r w:rsidR="004356B3" w:rsidRPr="00BB0D9C">
        <w:t>También sigue habiendo deficiencias en la integridad y calidad de los datos y queda mucho por hacer en la promoción de un debate más amplio de la información del EITI y las vinculaciones con las prioridades más amplias del sector.</w:t>
      </w:r>
    </w:p>
    <w:p w14:paraId="720D69BF" w14:textId="77777777" w:rsidR="00871DEE" w:rsidRPr="00BB0D9C" w:rsidRDefault="004356B3" w:rsidP="006E461B">
      <w:r w:rsidRPr="00BB0D9C">
        <w:t xml:space="preserve">Con base en las deficiencias identificadas, la magnitud del sector extractivo en el país y el aumento del interés en el proceso del EITI manifestado por los diferentes actores representados en el grupo de </w:t>
      </w:r>
      <w:proofErr w:type="spellStart"/>
      <w:r w:rsidRPr="00BB0D9C">
        <w:t>multipartícipes</w:t>
      </w:r>
      <w:proofErr w:type="spellEnd"/>
      <w:r w:rsidRPr="00BB0D9C">
        <w:t xml:space="preserve">, el Secretariado Internacional llega a la conclusión de que Honduras debe reevaluar sus objetivos para la implementación del EITI y analizar la menor manera para alcanzarlos. El país se beneficiaría si se fortaleciera su participación en </w:t>
      </w:r>
      <w:r w:rsidR="00871DEE" w:rsidRPr="00BB0D9C">
        <w:t xml:space="preserve">la implementación del EITI y si se consolidaran los esfuerzos y recursos invertidos en ello. Honduras debe garantizar que la implementación del EITI pueda contribuir a las prioridades nacionales. Si el EITI Honduras lo considera adecuado, el grupo de </w:t>
      </w:r>
      <w:proofErr w:type="spellStart"/>
      <w:r w:rsidR="00871DEE" w:rsidRPr="00BB0D9C">
        <w:t>multipartícipes</w:t>
      </w:r>
      <w:proofErr w:type="spellEnd"/>
      <w:r w:rsidR="00871DEE" w:rsidRPr="00BB0D9C">
        <w:t xml:space="preserve"> junto con el Secretariado Internacional podrían trabajar juntos en la identificación de las cuestiones de mayor interés e importancia en las que se podrían invertir los limitados recursos disponibles. El EITI Honduras y el Secretariado Internacional podrían usar para informar las opciones disponibles en el Estándar EITI, incluso la </w:t>
      </w:r>
      <w:hyperlink r:id="rId17" w:history="1">
        <w:r w:rsidR="00871DEE" w:rsidRPr="00BB0D9C">
          <w:rPr>
            <w:rStyle w:val="Hyperlink"/>
            <w:rFonts w:ascii="Franklin Gothic Book" w:hAnsi="Franklin Gothic Book" w:cstheme="minorBidi"/>
          </w:rPr>
          <w:t>política de participación limitada</w:t>
        </w:r>
      </w:hyperlink>
      <w:r w:rsidR="00871DEE" w:rsidRPr="00BB0D9C">
        <w:rPr>
          <w:vertAlign w:val="superscript"/>
        </w:rPr>
        <w:footnoteReference w:id="13"/>
      </w:r>
      <w:r w:rsidR="00871DEE" w:rsidRPr="00BB0D9C">
        <w:t xml:space="preserve"> y solicitar la aprobación del Consejo del EITI para recalibrar la implementación del EITI en el país de una manera más eficiente y, al mismo tiempo, alinearla con los objetivos nacionales.</w:t>
      </w:r>
    </w:p>
    <w:p w14:paraId="079EA7F8" w14:textId="77777777" w:rsidR="006E461B" w:rsidRPr="00BB0D9C" w:rsidRDefault="006E461B" w:rsidP="006E461B">
      <w:r w:rsidRPr="00BB0D9C">
        <w:t xml:space="preserve">El </w:t>
      </w:r>
      <w:r w:rsidR="00871DEE" w:rsidRPr="00BB0D9C">
        <w:t xml:space="preserve">borrador </w:t>
      </w:r>
      <w:r w:rsidRPr="00BB0D9C">
        <w:t xml:space="preserve">de </w:t>
      </w:r>
      <w:r w:rsidR="00871DEE" w:rsidRPr="00BB0D9C">
        <w:t xml:space="preserve">la </w:t>
      </w:r>
      <w:r w:rsidRPr="00BB0D9C">
        <w:t xml:space="preserve">evaluación se envió al grupo </w:t>
      </w:r>
      <w:r w:rsidR="00871DEE" w:rsidRPr="00BB0D9C">
        <w:t xml:space="preserve">de </w:t>
      </w:r>
      <w:proofErr w:type="spellStart"/>
      <w:r w:rsidRPr="00BB0D9C">
        <w:t>multipartícipe</w:t>
      </w:r>
      <w:r w:rsidR="00871DEE" w:rsidRPr="00BB0D9C">
        <w:t>s</w:t>
      </w:r>
      <w:proofErr w:type="spellEnd"/>
      <w:r w:rsidRPr="00BB0D9C">
        <w:t xml:space="preserve"> de Honduras el </w:t>
      </w:r>
      <w:r w:rsidR="00871DEE" w:rsidRPr="00BB0D9C">
        <w:t xml:space="preserve">27 de marzo </w:t>
      </w:r>
      <w:r w:rsidRPr="00BB0D9C">
        <w:t xml:space="preserve">de 2020. Tras las observaciones del </w:t>
      </w:r>
      <w:r w:rsidR="00871DEE" w:rsidRPr="00BB0D9C">
        <w:t xml:space="preserve">grupo de </w:t>
      </w:r>
      <w:proofErr w:type="spellStart"/>
      <w:r w:rsidR="00871DEE" w:rsidRPr="00BB0D9C">
        <w:t>multipartícipes</w:t>
      </w:r>
      <w:proofErr w:type="spellEnd"/>
      <w:r w:rsidR="00871DEE" w:rsidRPr="00BB0D9C">
        <w:t xml:space="preserve"> recibidas </w:t>
      </w:r>
      <w:r w:rsidRPr="00BB0D9C">
        <w:t xml:space="preserve">el </w:t>
      </w:r>
      <w:r w:rsidR="00871DEE" w:rsidRPr="00BB0D9C">
        <w:t xml:space="preserve">13 de mayo de </w:t>
      </w:r>
      <w:r w:rsidRPr="00BB0D9C">
        <w:t>2020, la evaluación se finaliz</w:t>
      </w:r>
      <w:r w:rsidR="00871DEE" w:rsidRPr="00BB0D9C">
        <w:t>ó</w:t>
      </w:r>
      <w:r w:rsidRPr="00BB0D9C">
        <w:t xml:space="preserve"> para s</w:t>
      </w:r>
      <w:r w:rsidR="00871DEE" w:rsidRPr="00BB0D9C">
        <w:t>er examinada</w:t>
      </w:r>
      <w:r w:rsidRPr="00BB0D9C">
        <w:t xml:space="preserve"> por el Consejo </w:t>
      </w:r>
      <w:r w:rsidR="00871DEE" w:rsidRPr="00BB0D9C">
        <w:t xml:space="preserve">del </w:t>
      </w:r>
      <w:r w:rsidRPr="00BB0D9C">
        <w:t>EITI.</w:t>
      </w:r>
    </w:p>
    <w:p w14:paraId="6C9E9801" w14:textId="5FD850E8" w:rsidR="006E461B" w:rsidRDefault="006E461B" w:rsidP="006E461B">
      <w:pPr>
        <w:pStyle w:val="Heading1"/>
        <w:numPr>
          <w:ilvl w:val="0"/>
          <w:numId w:val="0"/>
        </w:numPr>
        <w:ind w:left="720"/>
      </w:pPr>
    </w:p>
    <w:p w14:paraId="08A4B731" w14:textId="32147D49" w:rsidR="00782386" w:rsidRDefault="00782386" w:rsidP="00782386"/>
    <w:p w14:paraId="571732FC" w14:textId="3E178B62" w:rsidR="00782386" w:rsidRDefault="00782386" w:rsidP="00782386"/>
    <w:p w14:paraId="284B0BF7" w14:textId="1A626757" w:rsidR="00782386" w:rsidRDefault="00782386" w:rsidP="00782386"/>
    <w:p w14:paraId="4C23344B" w14:textId="69137D0F" w:rsidR="00782386" w:rsidRDefault="00782386" w:rsidP="00782386"/>
    <w:p w14:paraId="2BB19BFD" w14:textId="24AC0C99" w:rsidR="00782386" w:rsidRDefault="00782386" w:rsidP="00782386"/>
    <w:p w14:paraId="776C02AD" w14:textId="77777777" w:rsidR="00782386" w:rsidRPr="009A2F7A" w:rsidRDefault="00782386" w:rsidP="009A2F7A"/>
    <w:p w14:paraId="1B3A4013" w14:textId="77777777" w:rsidR="00D94E24" w:rsidRPr="00BB0D9C" w:rsidRDefault="00D94E24" w:rsidP="00503A5C">
      <w:pPr>
        <w:pStyle w:val="Heading1"/>
        <w:rPr>
          <w:rFonts w:ascii="Franklin Gothic Book" w:hAnsi="Franklin Gothic Book"/>
        </w:rPr>
      </w:pPr>
      <w:bookmarkStart w:id="4" w:name="_Toc45021591"/>
      <w:r w:rsidRPr="00BB0D9C">
        <w:rPr>
          <w:rFonts w:ascii="Franklin Gothic Book" w:hAnsi="Franklin Gothic Book"/>
        </w:rPr>
        <w:lastRenderedPageBreak/>
        <w:t>Tarjeta de puntaje</w:t>
      </w:r>
      <w:bookmarkEnd w:id="4"/>
    </w:p>
    <w:tbl>
      <w:tblPr>
        <w:tblW w:w="9639" w:type="dxa"/>
        <w:tblInd w:w="-15" w:type="dxa"/>
        <w:tblLayout w:type="fixed"/>
        <w:tblLook w:val="04A0" w:firstRow="1" w:lastRow="0" w:firstColumn="1" w:lastColumn="0" w:noHBand="0" w:noVBand="1"/>
      </w:tblPr>
      <w:tblGrid>
        <w:gridCol w:w="1701"/>
        <w:gridCol w:w="4395"/>
        <w:gridCol w:w="490"/>
        <w:gridCol w:w="490"/>
        <w:gridCol w:w="490"/>
        <w:gridCol w:w="490"/>
        <w:gridCol w:w="490"/>
        <w:gridCol w:w="1093"/>
      </w:tblGrid>
      <w:tr w:rsidR="00FC2A8B" w:rsidRPr="00BB0D9C" w14:paraId="7FF172E4" w14:textId="77777777" w:rsidTr="000132C6">
        <w:trPr>
          <w:trHeight w:val="142"/>
        </w:trPr>
        <w:tc>
          <w:tcPr>
            <w:tcW w:w="6096" w:type="dxa"/>
            <w:gridSpan w:val="2"/>
            <w:tcBorders>
              <w:top w:val="single" w:sz="12" w:space="0" w:color="auto"/>
              <w:left w:val="single" w:sz="12" w:space="0" w:color="auto"/>
              <w:bottom w:val="single" w:sz="4" w:space="0" w:color="auto"/>
              <w:right w:val="single" w:sz="4" w:space="0" w:color="auto"/>
            </w:tcBorders>
            <w:shd w:val="clear" w:color="000000" w:fill="366092"/>
            <w:noWrap/>
            <w:vAlign w:val="bottom"/>
          </w:tcPr>
          <w:p w14:paraId="24B8C6FC" w14:textId="77777777" w:rsidR="00FC2A8B" w:rsidRPr="00BB0D9C" w:rsidRDefault="00FC2A8B" w:rsidP="000132C6">
            <w:pPr>
              <w:widowControl w:val="0"/>
              <w:suppressAutoHyphens/>
              <w:spacing w:after="0"/>
              <w:rPr>
                <w:rFonts w:eastAsia="Times New Roman" w:cs="Times New Roman"/>
                <w:b/>
                <w:bCs/>
                <w:color w:val="FFFFFF"/>
                <w:szCs w:val="22"/>
              </w:rPr>
            </w:pPr>
            <w:r w:rsidRPr="00BB0D9C">
              <w:rPr>
                <w:b/>
                <w:bCs/>
                <w:color w:val="FFFFFF"/>
                <w:szCs w:val="22"/>
              </w:rPr>
              <w:t>Requisitos EITI</w:t>
            </w:r>
          </w:p>
        </w:tc>
        <w:tc>
          <w:tcPr>
            <w:tcW w:w="2450" w:type="dxa"/>
            <w:gridSpan w:val="5"/>
            <w:tcBorders>
              <w:top w:val="single" w:sz="12" w:space="0" w:color="auto"/>
              <w:left w:val="single" w:sz="4" w:space="0" w:color="auto"/>
              <w:bottom w:val="single" w:sz="4" w:space="0" w:color="auto"/>
              <w:right w:val="single" w:sz="12" w:space="0" w:color="auto"/>
            </w:tcBorders>
            <w:shd w:val="clear" w:color="000000" w:fill="366092"/>
            <w:vAlign w:val="center"/>
          </w:tcPr>
          <w:p w14:paraId="5FB68038" w14:textId="77777777" w:rsidR="00FC2A8B" w:rsidRPr="00BB0D9C" w:rsidRDefault="00FC2A8B" w:rsidP="000132C6">
            <w:pPr>
              <w:widowControl w:val="0"/>
              <w:suppressAutoHyphens/>
              <w:spacing w:after="0"/>
              <w:jc w:val="center"/>
              <w:rPr>
                <w:rFonts w:eastAsia="Times New Roman" w:cs="Times New Roman"/>
                <w:b/>
                <w:bCs/>
                <w:color w:val="FFFFFF"/>
                <w:szCs w:val="22"/>
              </w:rPr>
            </w:pPr>
            <w:r w:rsidRPr="00BB0D9C">
              <w:rPr>
                <w:b/>
                <w:bCs/>
                <w:color w:val="FFFFFF"/>
                <w:szCs w:val="22"/>
              </w:rPr>
              <w:t>Nivel de progreso</w:t>
            </w:r>
          </w:p>
        </w:tc>
        <w:tc>
          <w:tcPr>
            <w:tcW w:w="1093" w:type="dxa"/>
            <w:tcBorders>
              <w:top w:val="single" w:sz="12" w:space="0" w:color="auto"/>
              <w:left w:val="single" w:sz="4" w:space="0" w:color="auto"/>
              <w:bottom w:val="single" w:sz="4" w:space="0" w:color="auto"/>
              <w:right w:val="single" w:sz="12" w:space="0" w:color="auto"/>
            </w:tcBorders>
            <w:shd w:val="clear" w:color="000000" w:fill="366092"/>
          </w:tcPr>
          <w:p w14:paraId="7761D9E7" w14:textId="77777777" w:rsidR="00FC2A8B" w:rsidRPr="00BB0D9C" w:rsidRDefault="00FC2A8B" w:rsidP="000132C6">
            <w:pPr>
              <w:spacing w:after="0"/>
              <w:jc w:val="center"/>
              <w:rPr>
                <w:rFonts w:cs="Times New Roman"/>
                <w:b/>
                <w:bCs/>
                <w:color w:val="FFFFFF"/>
              </w:rPr>
            </w:pPr>
          </w:p>
        </w:tc>
      </w:tr>
      <w:tr w:rsidR="00FC2A8B" w:rsidRPr="00BB0D9C" w14:paraId="254E1510" w14:textId="77777777" w:rsidTr="000132C6">
        <w:trPr>
          <w:trHeight w:val="1335"/>
        </w:trPr>
        <w:tc>
          <w:tcPr>
            <w:tcW w:w="6096" w:type="dxa"/>
            <w:gridSpan w:val="2"/>
            <w:tcBorders>
              <w:top w:val="single" w:sz="4" w:space="0" w:color="auto"/>
              <w:left w:val="single" w:sz="12" w:space="0" w:color="auto"/>
              <w:bottom w:val="nil"/>
              <w:right w:val="single" w:sz="8" w:space="0" w:color="auto"/>
            </w:tcBorders>
            <w:shd w:val="clear" w:color="000000" w:fill="F2F2F2"/>
            <w:noWrap/>
            <w:hideMark/>
          </w:tcPr>
          <w:p w14:paraId="6CD19E52" w14:textId="77777777" w:rsidR="00FC2A8B" w:rsidRPr="00BB0D9C" w:rsidRDefault="00FC2A8B" w:rsidP="000132C6">
            <w:pPr>
              <w:spacing w:after="0"/>
              <w:rPr>
                <w:rFonts w:cs="Times New Roman"/>
                <w:color w:val="000000"/>
              </w:rPr>
            </w:pPr>
            <w:r w:rsidRPr="00BB0D9C">
              <w:rPr>
                <w:rFonts w:cs="Times New Roman"/>
                <w:color w:val="000000"/>
              </w:rPr>
              <w:t> </w:t>
            </w:r>
          </w:p>
          <w:p w14:paraId="40B3959E" w14:textId="77777777" w:rsidR="00FC2A8B" w:rsidRPr="00BB0D9C" w:rsidRDefault="00FC2A8B" w:rsidP="000132C6">
            <w:pPr>
              <w:widowControl w:val="0"/>
              <w:suppressAutoHyphens/>
              <w:spacing w:after="0"/>
              <w:rPr>
                <w:rFonts w:eastAsia="Times New Roman" w:cs="Times New Roman"/>
                <w:b/>
                <w:color w:val="000000"/>
                <w:szCs w:val="22"/>
              </w:rPr>
            </w:pPr>
            <w:r w:rsidRPr="00BB0D9C">
              <w:rPr>
                <w:b/>
                <w:color w:val="000000"/>
                <w:szCs w:val="22"/>
              </w:rPr>
              <w:t>Tarjeta de puntaje de la segunda validación de Honduras</w:t>
            </w:r>
          </w:p>
          <w:p w14:paraId="447FA28B" w14:textId="77777777" w:rsidR="00FC2A8B" w:rsidRPr="00BB0D9C" w:rsidRDefault="00FC2A8B" w:rsidP="000132C6">
            <w:pPr>
              <w:spacing w:after="0"/>
              <w:rPr>
                <w:rFonts w:cs="Times New Roman"/>
                <w:color w:val="000000"/>
              </w:rPr>
            </w:pPr>
            <w:r w:rsidRPr="00BB0D9C">
              <w:rPr>
                <w:rFonts w:cs="Times New Roman"/>
                <w:color w:val="000000"/>
              </w:rPr>
              <w:t> </w:t>
            </w:r>
          </w:p>
          <w:p w14:paraId="6F8B87A8" w14:textId="77777777" w:rsidR="00FC2A8B" w:rsidRPr="00BB0D9C" w:rsidRDefault="00FC2A8B" w:rsidP="000132C6">
            <w:pPr>
              <w:spacing w:after="0"/>
              <w:rPr>
                <w:rFonts w:cs="Times New Roman"/>
                <w:b/>
                <w:bCs/>
                <w:color w:val="FFFFFF"/>
              </w:rPr>
            </w:pPr>
            <w:r w:rsidRPr="00BB0D9C">
              <w:rPr>
                <w:rFonts w:cs="Times New Roman"/>
                <w:b/>
                <w:bCs/>
                <w:color w:val="FFFFFF"/>
              </w:rPr>
              <w:t> </w:t>
            </w:r>
          </w:p>
        </w:tc>
        <w:tc>
          <w:tcPr>
            <w:tcW w:w="490" w:type="dxa"/>
            <w:tcBorders>
              <w:top w:val="single" w:sz="4" w:space="0" w:color="auto"/>
              <w:left w:val="single" w:sz="4" w:space="0" w:color="000000" w:themeColor="text1"/>
              <w:right w:val="single" w:sz="8" w:space="0" w:color="auto"/>
            </w:tcBorders>
            <w:shd w:val="clear" w:color="000000" w:fill="F2F2F2"/>
            <w:textDirection w:val="btLr"/>
          </w:tcPr>
          <w:p w14:paraId="56E03E14" w14:textId="77777777" w:rsidR="00FC2A8B" w:rsidRPr="00BB0D9C" w:rsidRDefault="00FC2A8B" w:rsidP="000132C6">
            <w:pPr>
              <w:widowControl w:val="0"/>
              <w:suppressAutoHyphens/>
              <w:spacing w:after="0"/>
              <w:rPr>
                <w:rFonts w:eastAsia="Times New Roman" w:cs="Times New Roman"/>
                <w:bCs/>
                <w:color w:val="000000"/>
                <w:szCs w:val="22"/>
              </w:rPr>
            </w:pPr>
            <w:r w:rsidRPr="00BB0D9C">
              <w:rPr>
                <w:bCs/>
                <w:color w:val="000000"/>
                <w:szCs w:val="22"/>
              </w:rPr>
              <w:t xml:space="preserve">  Sin progreso</w:t>
            </w:r>
          </w:p>
        </w:tc>
        <w:tc>
          <w:tcPr>
            <w:tcW w:w="490" w:type="dxa"/>
            <w:tcBorders>
              <w:top w:val="single" w:sz="4" w:space="0" w:color="auto"/>
              <w:left w:val="single" w:sz="8" w:space="0" w:color="auto"/>
              <w:right w:val="single" w:sz="8" w:space="0" w:color="auto"/>
            </w:tcBorders>
            <w:shd w:val="clear" w:color="000000" w:fill="F2F2F2"/>
            <w:textDirection w:val="btLr"/>
          </w:tcPr>
          <w:p w14:paraId="73BA5D74" w14:textId="77777777" w:rsidR="00FC2A8B" w:rsidRPr="00BB0D9C" w:rsidRDefault="00FC2A8B" w:rsidP="000132C6">
            <w:pPr>
              <w:widowControl w:val="0"/>
              <w:suppressAutoHyphens/>
              <w:spacing w:after="0"/>
              <w:rPr>
                <w:rFonts w:eastAsia="Times New Roman" w:cs="Times New Roman"/>
                <w:bCs/>
                <w:color w:val="000000"/>
                <w:szCs w:val="22"/>
              </w:rPr>
            </w:pPr>
            <w:r w:rsidRPr="00BB0D9C">
              <w:rPr>
                <w:bCs/>
                <w:color w:val="000000"/>
                <w:szCs w:val="22"/>
              </w:rPr>
              <w:t xml:space="preserve">  Inadecuado</w:t>
            </w:r>
          </w:p>
        </w:tc>
        <w:tc>
          <w:tcPr>
            <w:tcW w:w="490" w:type="dxa"/>
            <w:tcBorders>
              <w:top w:val="single" w:sz="4" w:space="0" w:color="auto"/>
              <w:left w:val="single" w:sz="8" w:space="0" w:color="auto"/>
              <w:right w:val="single" w:sz="8" w:space="0" w:color="auto"/>
            </w:tcBorders>
            <w:shd w:val="clear" w:color="000000" w:fill="F2F2F2"/>
            <w:textDirection w:val="btLr"/>
          </w:tcPr>
          <w:p w14:paraId="4FA02353" w14:textId="77777777" w:rsidR="00FC2A8B" w:rsidRPr="00BB0D9C" w:rsidRDefault="00FC2A8B" w:rsidP="000132C6">
            <w:pPr>
              <w:widowControl w:val="0"/>
              <w:suppressAutoHyphens/>
              <w:spacing w:after="0"/>
              <w:rPr>
                <w:rFonts w:eastAsia="Times New Roman" w:cs="Times New Roman"/>
                <w:bCs/>
                <w:color w:val="000000"/>
                <w:szCs w:val="22"/>
              </w:rPr>
            </w:pPr>
            <w:r w:rsidRPr="00BB0D9C">
              <w:rPr>
                <w:bCs/>
                <w:color w:val="000000"/>
                <w:szCs w:val="22"/>
              </w:rPr>
              <w:t xml:space="preserve">  Significativo</w:t>
            </w:r>
          </w:p>
        </w:tc>
        <w:tc>
          <w:tcPr>
            <w:tcW w:w="490" w:type="dxa"/>
            <w:tcBorders>
              <w:top w:val="single" w:sz="4" w:space="0" w:color="auto"/>
              <w:left w:val="single" w:sz="8" w:space="0" w:color="auto"/>
              <w:right w:val="single" w:sz="8" w:space="0" w:color="auto"/>
            </w:tcBorders>
            <w:shd w:val="clear" w:color="000000" w:fill="F2F2F2"/>
            <w:textDirection w:val="btLr"/>
          </w:tcPr>
          <w:p w14:paraId="4D780E7A" w14:textId="77777777" w:rsidR="00FC2A8B" w:rsidRPr="00BB0D9C" w:rsidRDefault="00FC2A8B" w:rsidP="000132C6">
            <w:pPr>
              <w:widowControl w:val="0"/>
              <w:suppressAutoHyphens/>
              <w:spacing w:after="0"/>
              <w:rPr>
                <w:rFonts w:eastAsia="Times New Roman" w:cs="Times New Roman"/>
                <w:bCs/>
                <w:color w:val="000000"/>
                <w:szCs w:val="22"/>
              </w:rPr>
            </w:pPr>
            <w:r w:rsidRPr="00BB0D9C">
              <w:rPr>
                <w:bCs/>
                <w:color w:val="000000"/>
                <w:szCs w:val="22"/>
              </w:rPr>
              <w:t xml:space="preserve">  Satisfactorio</w:t>
            </w:r>
          </w:p>
        </w:tc>
        <w:tc>
          <w:tcPr>
            <w:tcW w:w="490" w:type="dxa"/>
            <w:tcBorders>
              <w:top w:val="single" w:sz="4" w:space="0" w:color="auto"/>
              <w:left w:val="single" w:sz="8" w:space="0" w:color="auto"/>
              <w:right w:val="single" w:sz="12" w:space="0" w:color="auto"/>
            </w:tcBorders>
            <w:shd w:val="clear" w:color="000000" w:fill="F2F2F2"/>
            <w:textDirection w:val="btLr"/>
            <w:vAlign w:val="center"/>
          </w:tcPr>
          <w:p w14:paraId="11D04AAB" w14:textId="77777777" w:rsidR="00FC2A8B" w:rsidRPr="00BB0D9C" w:rsidRDefault="00FC2A8B" w:rsidP="000132C6">
            <w:pPr>
              <w:widowControl w:val="0"/>
              <w:suppressAutoHyphens/>
              <w:spacing w:after="0"/>
              <w:rPr>
                <w:rFonts w:eastAsia="Times New Roman" w:cs="Times New Roman"/>
                <w:bCs/>
                <w:color w:val="000000"/>
                <w:szCs w:val="22"/>
              </w:rPr>
            </w:pPr>
            <w:r w:rsidRPr="00BB0D9C">
              <w:rPr>
                <w:bCs/>
                <w:color w:val="000000"/>
                <w:szCs w:val="22"/>
              </w:rPr>
              <w:t xml:space="preserve">  Superior</w:t>
            </w:r>
          </w:p>
        </w:tc>
        <w:tc>
          <w:tcPr>
            <w:tcW w:w="1093" w:type="dxa"/>
            <w:vMerge w:val="restart"/>
            <w:tcBorders>
              <w:top w:val="single" w:sz="4" w:space="0" w:color="auto"/>
              <w:left w:val="single" w:sz="8" w:space="0" w:color="auto"/>
              <w:right w:val="single" w:sz="12" w:space="0" w:color="auto"/>
            </w:tcBorders>
            <w:shd w:val="clear" w:color="000000" w:fill="F2F2F2"/>
            <w:vAlign w:val="bottom"/>
          </w:tcPr>
          <w:p w14:paraId="7ECD4E9F" w14:textId="77777777" w:rsidR="00FC2A8B" w:rsidRPr="00BB0D9C" w:rsidRDefault="00FC2A8B" w:rsidP="000132C6">
            <w:pPr>
              <w:spacing w:after="0"/>
              <w:jc w:val="center"/>
              <w:rPr>
                <w:rFonts w:cs="Times New Roman"/>
                <w:b/>
                <w:color w:val="000000"/>
              </w:rPr>
            </w:pPr>
            <w:r w:rsidRPr="00BB0D9C">
              <w:rPr>
                <w:rFonts w:cs="Times New Roman"/>
                <w:b/>
                <w:color w:val="000000"/>
              </w:rPr>
              <w:t>Dirección del progreso</w:t>
            </w:r>
          </w:p>
        </w:tc>
      </w:tr>
      <w:tr w:rsidR="00FC2A8B" w:rsidRPr="00BB0D9C" w14:paraId="7F84A1A3" w14:textId="77777777" w:rsidTr="000132C6">
        <w:trPr>
          <w:trHeight w:val="283"/>
        </w:trPr>
        <w:tc>
          <w:tcPr>
            <w:tcW w:w="1701" w:type="dxa"/>
            <w:tcBorders>
              <w:left w:val="single" w:sz="12" w:space="0" w:color="auto"/>
              <w:bottom w:val="single" w:sz="12" w:space="0" w:color="000000" w:themeColor="text1"/>
            </w:tcBorders>
            <w:shd w:val="clear" w:color="000000" w:fill="F2F2F2"/>
            <w:noWrap/>
            <w:vAlign w:val="bottom"/>
            <w:hideMark/>
          </w:tcPr>
          <w:p w14:paraId="3F8ABE7C" w14:textId="77777777" w:rsidR="00FC2A8B" w:rsidRPr="00BB0D9C" w:rsidRDefault="00FC2A8B" w:rsidP="000132C6">
            <w:pPr>
              <w:widowControl w:val="0"/>
              <w:suppressAutoHyphens/>
              <w:spacing w:after="0"/>
              <w:rPr>
                <w:rFonts w:eastAsia="Times New Roman" w:cs="Times New Roman"/>
                <w:b/>
                <w:bCs/>
                <w:color w:val="000000"/>
                <w:szCs w:val="22"/>
              </w:rPr>
            </w:pPr>
            <w:r w:rsidRPr="00BB0D9C">
              <w:rPr>
                <w:b/>
                <w:bCs/>
                <w:color w:val="000000"/>
                <w:szCs w:val="22"/>
              </w:rPr>
              <w:t>Categorías</w:t>
            </w:r>
          </w:p>
        </w:tc>
        <w:tc>
          <w:tcPr>
            <w:tcW w:w="4395" w:type="dxa"/>
            <w:tcBorders>
              <w:bottom w:val="single" w:sz="12" w:space="0" w:color="000000" w:themeColor="text1"/>
              <w:right w:val="single" w:sz="8" w:space="0" w:color="auto"/>
            </w:tcBorders>
            <w:shd w:val="clear" w:color="000000" w:fill="F2F2F2"/>
            <w:noWrap/>
            <w:vAlign w:val="center"/>
            <w:hideMark/>
          </w:tcPr>
          <w:p w14:paraId="48BA7350" w14:textId="77777777" w:rsidR="00FC2A8B" w:rsidRPr="00BB0D9C" w:rsidRDefault="00FC2A8B" w:rsidP="000132C6">
            <w:pPr>
              <w:widowControl w:val="0"/>
              <w:suppressAutoHyphens/>
              <w:spacing w:after="0"/>
              <w:rPr>
                <w:rFonts w:eastAsia="Times New Roman" w:cs="Times New Roman"/>
                <w:b/>
                <w:bCs/>
                <w:color w:val="000000"/>
                <w:szCs w:val="22"/>
              </w:rPr>
            </w:pPr>
            <w:r w:rsidRPr="00BB0D9C">
              <w:rPr>
                <w:b/>
                <w:bCs/>
                <w:color w:val="000000"/>
                <w:szCs w:val="22"/>
              </w:rPr>
              <w:t>Requisitos</w:t>
            </w:r>
          </w:p>
        </w:tc>
        <w:tc>
          <w:tcPr>
            <w:tcW w:w="490" w:type="dxa"/>
            <w:tcBorders>
              <w:left w:val="single" w:sz="4" w:space="0" w:color="000000" w:themeColor="text1"/>
              <w:bottom w:val="single" w:sz="12" w:space="0" w:color="auto"/>
              <w:right w:val="single" w:sz="12" w:space="0" w:color="auto"/>
            </w:tcBorders>
            <w:shd w:val="clear" w:color="000000" w:fill="C00000"/>
          </w:tcPr>
          <w:p w14:paraId="33E69CDB" w14:textId="77777777" w:rsidR="00FC2A8B" w:rsidRPr="00BB0D9C" w:rsidRDefault="00FC2A8B" w:rsidP="000132C6">
            <w:pPr>
              <w:spacing w:after="0"/>
              <w:rPr>
                <w:rFonts w:cs="Times New Roman"/>
                <w:b/>
                <w:bCs/>
                <w:color w:val="C00000"/>
              </w:rPr>
            </w:pPr>
          </w:p>
        </w:tc>
        <w:tc>
          <w:tcPr>
            <w:tcW w:w="490" w:type="dxa"/>
            <w:tcBorders>
              <w:left w:val="single" w:sz="4" w:space="0" w:color="000000" w:themeColor="text1"/>
              <w:bottom w:val="single" w:sz="12" w:space="0" w:color="auto"/>
              <w:right w:val="single" w:sz="12" w:space="0" w:color="auto"/>
            </w:tcBorders>
            <w:shd w:val="clear" w:color="000000" w:fill="FAC433"/>
          </w:tcPr>
          <w:p w14:paraId="311C3A67" w14:textId="77777777" w:rsidR="00FC2A8B" w:rsidRPr="00BB0D9C" w:rsidRDefault="00FC2A8B" w:rsidP="000132C6">
            <w:pPr>
              <w:spacing w:after="0"/>
              <w:rPr>
                <w:rFonts w:cs="Times New Roman"/>
                <w:b/>
                <w:bCs/>
                <w:color w:val="C00000"/>
              </w:rPr>
            </w:pPr>
          </w:p>
        </w:tc>
        <w:tc>
          <w:tcPr>
            <w:tcW w:w="490" w:type="dxa"/>
            <w:tcBorders>
              <w:left w:val="single" w:sz="4" w:space="0" w:color="000000" w:themeColor="text1"/>
              <w:bottom w:val="single" w:sz="12" w:space="0" w:color="auto"/>
              <w:right w:val="single" w:sz="12" w:space="0" w:color="auto"/>
            </w:tcBorders>
            <w:shd w:val="clear" w:color="auto" w:fill="83AE44"/>
            <w:vAlign w:val="bottom"/>
          </w:tcPr>
          <w:p w14:paraId="22F947C7" w14:textId="77777777" w:rsidR="00FC2A8B" w:rsidRPr="00BB0D9C" w:rsidRDefault="00FC2A8B" w:rsidP="000132C6">
            <w:pPr>
              <w:spacing w:after="0"/>
              <w:rPr>
                <w:rFonts w:cs="Times New Roman"/>
                <w:b/>
                <w:bCs/>
                <w:color w:val="000000"/>
              </w:rPr>
            </w:pPr>
            <w:r w:rsidRPr="00BB0D9C">
              <w:rPr>
                <w:rFonts w:ascii="Calibri" w:hAnsi="Calibri" w:cs="Times New Roman"/>
                <w:color w:val="000000"/>
                <w:lang w:eastAsia="en-GB"/>
              </w:rPr>
              <w:t> </w:t>
            </w:r>
          </w:p>
        </w:tc>
        <w:tc>
          <w:tcPr>
            <w:tcW w:w="490" w:type="dxa"/>
            <w:tcBorders>
              <w:left w:val="single" w:sz="4" w:space="0" w:color="000000" w:themeColor="text1"/>
              <w:bottom w:val="single" w:sz="12" w:space="0" w:color="auto"/>
              <w:right w:val="single" w:sz="12" w:space="0" w:color="auto"/>
            </w:tcBorders>
            <w:shd w:val="clear" w:color="000000" w:fill="2D8B2A"/>
            <w:vAlign w:val="bottom"/>
          </w:tcPr>
          <w:p w14:paraId="50436646" w14:textId="77777777" w:rsidR="00FC2A8B" w:rsidRPr="00BB0D9C" w:rsidRDefault="00FC2A8B" w:rsidP="000132C6">
            <w:pPr>
              <w:spacing w:after="0"/>
              <w:rPr>
                <w:rFonts w:cs="Times New Roman"/>
                <w:b/>
                <w:bCs/>
                <w:color w:val="000000"/>
              </w:rPr>
            </w:pPr>
            <w:r w:rsidRPr="00BB0D9C">
              <w:rPr>
                <w:rFonts w:ascii="Calibri" w:hAnsi="Calibri" w:cs="Times New Roman"/>
                <w:color w:val="000000"/>
                <w:lang w:eastAsia="en-GB"/>
              </w:rPr>
              <w:t> </w:t>
            </w:r>
          </w:p>
        </w:tc>
        <w:tc>
          <w:tcPr>
            <w:tcW w:w="490" w:type="dxa"/>
            <w:tcBorders>
              <w:left w:val="single" w:sz="4" w:space="0" w:color="000000" w:themeColor="text1"/>
              <w:bottom w:val="single" w:sz="12" w:space="0" w:color="auto"/>
              <w:right w:val="single" w:sz="12" w:space="0" w:color="auto"/>
            </w:tcBorders>
            <w:shd w:val="clear" w:color="000000" w:fill="0076AF"/>
            <w:vAlign w:val="center"/>
          </w:tcPr>
          <w:p w14:paraId="44B7621F" w14:textId="77777777" w:rsidR="00FC2A8B" w:rsidRPr="00BB0D9C" w:rsidRDefault="00FC2A8B" w:rsidP="000132C6">
            <w:pPr>
              <w:spacing w:after="0"/>
              <w:rPr>
                <w:rFonts w:cs="Times New Roman"/>
                <w:b/>
                <w:bCs/>
                <w:color w:val="000000"/>
              </w:rPr>
            </w:pPr>
            <w:r w:rsidRPr="00BB0D9C">
              <w:rPr>
                <w:rFonts w:ascii="Calibri" w:hAnsi="Calibri" w:cs="Times New Roman"/>
                <w:color w:val="000000"/>
                <w:lang w:eastAsia="en-GB"/>
              </w:rPr>
              <w:t> </w:t>
            </w:r>
          </w:p>
        </w:tc>
        <w:tc>
          <w:tcPr>
            <w:tcW w:w="1093" w:type="dxa"/>
            <w:vMerge/>
            <w:tcBorders>
              <w:left w:val="single" w:sz="8" w:space="0" w:color="auto"/>
              <w:bottom w:val="single" w:sz="12" w:space="0" w:color="auto"/>
              <w:right w:val="single" w:sz="12" w:space="0" w:color="auto"/>
            </w:tcBorders>
          </w:tcPr>
          <w:p w14:paraId="4A3C1F2B" w14:textId="77777777" w:rsidR="00FC2A8B" w:rsidRPr="00BB0D9C" w:rsidRDefault="00FC2A8B" w:rsidP="000132C6">
            <w:pPr>
              <w:spacing w:after="0"/>
              <w:rPr>
                <w:rFonts w:cs="Times New Roman"/>
                <w:color w:val="000000"/>
              </w:rPr>
            </w:pPr>
          </w:p>
        </w:tc>
      </w:tr>
      <w:tr w:rsidR="00FC2A8B" w:rsidRPr="00BB0D9C" w14:paraId="44323D46" w14:textId="77777777" w:rsidTr="000132C6">
        <w:trPr>
          <w:trHeight w:val="53"/>
        </w:trPr>
        <w:tc>
          <w:tcPr>
            <w:tcW w:w="1701" w:type="dxa"/>
            <w:vMerge w:val="restart"/>
            <w:tcBorders>
              <w:top w:val="single" w:sz="12" w:space="0" w:color="000000" w:themeColor="text1"/>
              <w:left w:val="single" w:sz="12" w:space="0" w:color="auto"/>
              <w:bottom w:val="single" w:sz="8" w:space="0" w:color="000000"/>
              <w:right w:val="single" w:sz="2" w:space="0" w:color="A6A6A6" w:themeColor="background1" w:themeShade="A6"/>
            </w:tcBorders>
            <w:shd w:val="clear" w:color="000000" w:fill="BFBFBF"/>
            <w:noWrap/>
            <w:vAlign w:val="bottom"/>
            <w:hideMark/>
          </w:tcPr>
          <w:p w14:paraId="1E39F56F" w14:textId="77777777" w:rsidR="00FC2A8B" w:rsidRPr="009A2F7A" w:rsidRDefault="00FC2A8B" w:rsidP="000132C6">
            <w:pPr>
              <w:widowControl w:val="0"/>
              <w:suppressAutoHyphens/>
              <w:spacing w:after="0"/>
              <w:rPr>
                <w:rFonts w:eastAsia="Times New Roman" w:cs="Times New Roman"/>
                <w:b/>
                <w:bCs/>
                <w:color w:val="000000"/>
                <w:sz w:val="21"/>
                <w:szCs w:val="21"/>
              </w:rPr>
            </w:pPr>
            <w:r w:rsidRPr="009A2F7A">
              <w:rPr>
                <w:rFonts w:eastAsia="Times New Roman" w:cs="Times New Roman"/>
                <w:b/>
                <w:bCs/>
                <w:color w:val="000000"/>
                <w:sz w:val="21"/>
                <w:szCs w:val="21"/>
              </w:rPr>
              <w:t xml:space="preserve">Supervisión del grupo de </w:t>
            </w:r>
            <w:proofErr w:type="spellStart"/>
            <w:r w:rsidRPr="009A2F7A">
              <w:rPr>
                <w:rFonts w:eastAsia="Times New Roman" w:cs="Times New Roman"/>
                <w:b/>
                <w:bCs/>
                <w:color w:val="000000"/>
                <w:sz w:val="21"/>
                <w:szCs w:val="21"/>
              </w:rPr>
              <w:t>multipartícipes</w:t>
            </w:r>
            <w:proofErr w:type="spellEnd"/>
          </w:p>
        </w:tc>
        <w:tc>
          <w:tcPr>
            <w:tcW w:w="4395"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bottom"/>
            <w:hideMark/>
          </w:tcPr>
          <w:p w14:paraId="308969AF" w14:textId="77777777" w:rsidR="00FC2A8B" w:rsidRPr="00BB0D9C" w:rsidRDefault="00FC2A8B" w:rsidP="000132C6">
            <w:pPr>
              <w:widowControl w:val="0"/>
              <w:suppressAutoHyphens/>
              <w:spacing w:after="0"/>
              <w:rPr>
                <w:rFonts w:eastAsia="Times New Roman" w:cs="Times New Roman"/>
                <w:color w:val="000000"/>
                <w:szCs w:val="22"/>
              </w:rPr>
            </w:pPr>
            <w:r w:rsidRPr="00BB0D9C">
              <w:rPr>
                <w:color w:val="000000"/>
                <w:szCs w:val="22"/>
              </w:rPr>
              <w:t>Participación del gobierno (</w:t>
            </w:r>
            <w:proofErr w:type="spellStart"/>
            <w:r w:rsidRPr="00BB0D9C">
              <w:rPr>
                <w:color w:val="000000"/>
                <w:szCs w:val="22"/>
              </w:rPr>
              <w:t>n.°</w:t>
            </w:r>
            <w:proofErr w:type="spellEnd"/>
            <w:r w:rsidRPr="00BB0D9C">
              <w:rPr>
                <w:color w:val="000000"/>
                <w:szCs w:val="22"/>
              </w:rPr>
              <w:t> 1.1)</w:t>
            </w:r>
          </w:p>
        </w:tc>
        <w:tc>
          <w:tcPr>
            <w:tcW w:w="490" w:type="dxa"/>
            <w:tcBorders>
              <w:top w:val="single" w:sz="12" w:space="0" w:color="auto"/>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Pr>
          <w:p w14:paraId="22A8278E" w14:textId="77777777" w:rsidR="00FC2A8B" w:rsidRPr="00BB0D9C" w:rsidRDefault="00FC2A8B" w:rsidP="000132C6">
            <w:pPr>
              <w:spacing w:after="0"/>
              <w:rPr>
                <w:rFonts w:cs="Times New Roman"/>
                <w:color w:val="000000"/>
              </w:rPr>
            </w:pPr>
          </w:p>
        </w:tc>
        <w:tc>
          <w:tcPr>
            <w:tcW w:w="490" w:type="dxa"/>
            <w:tcBorders>
              <w:top w:val="single" w:sz="12" w:space="0" w:color="auto"/>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tcPr>
          <w:p w14:paraId="28024948" w14:textId="77777777" w:rsidR="00FC2A8B" w:rsidRPr="00BB0D9C" w:rsidRDefault="00FC2A8B" w:rsidP="000132C6">
            <w:pPr>
              <w:spacing w:after="0"/>
              <w:rPr>
                <w:rFonts w:cs="Times New Roman"/>
                <w:color w:val="000000"/>
              </w:rPr>
            </w:pPr>
          </w:p>
        </w:tc>
        <w:tc>
          <w:tcPr>
            <w:tcW w:w="490" w:type="dxa"/>
            <w:tcBorders>
              <w:top w:val="single" w:sz="12" w:space="0" w:color="auto"/>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tcPr>
          <w:p w14:paraId="7AC208B3" w14:textId="77777777" w:rsidR="00FC2A8B" w:rsidRPr="00BB0D9C" w:rsidRDefault="00FC2A8B" w:rsidP="000132C6">
            <w:pPr>
              <w:spacing w:after="0"/>
              <w:rPr>
                <w:rFonts w:cs="Times New Roman"/>
                <w:color w:val="000000"/>
              </w:rPr>
            </w:pPr>
            <w:r w:rsidRPr="00BB0D9C">
              <w:rPr>
                <w:rFonts w:ascii="Calibri" w:hAnsi="Calibri" w:cs="Times New Roman"/>
                <w:color w:val="000000"/>
                <w:lang w:eastAsia="en-GB"/>
              </w:rPr>
              <w:t> </w:t>
            </w:r>
          </w:p>
        </w:tc>
        <w:tc>
          <w:tcPr>
            <w:tcW w:w="490"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2C8C2D"/>
            <w:noWrap/>
            <w:vAlign w:val="bottom"/>
          </w:tcPr>
          <w:p w14:paraId="00D4A80D" w14:textId="77777777" w:rsidR="00FC2A8B" w:rsidRPr="00BB0D9C" w:rsidRDefault="00FC2A8B" w:rsidP="000132C6">
            <w:pPr>
              <w:spacing w:after="0"/>
              <w:rPr>
                <w:rFonts w:cs="Times New Roman"/>
                <w:color w:val="000000"/>
              </w:rPr>
            </w:pPr>
          </w:p>
        </w:tc>
        <w:tc>
          <w:tcPr>
            <w:tcW w:w="490" w:type="dxa"/>
            <w:tcBorders>
              <w:top w:val="single" w:sz="12" w:space="0" w:color="auto"/>
              <w:left w:val="single" w:sz="2" w:space="0" w:color="A6A6A6" w:themeColor="background1" w:themeShade="A6"/>
              <w:bottom w:val="single" w:sz="2" w:space="0" w:color="A6A6A6" w:themeColor="background1" w:themeShade="A6"/>
              <w:right w:val="single" w:sz="12" w:space="0" w:color="auto"/>
            </w:tcBorders>
            <w:shd w:val="clear" w:color="auto" w:fill="auto"/>
            <w:noWrap/>
            <w:vAlign w:val="bottom"/>
          </w:tcPr>
          <w:p w14:paraId="793FB949" w14:textId="77777777" w:rsidR="00FC2A8B" w:rsidRPr="00BB0D9C" w:rsidRDefault="00FC2A8B" w:rsidP="000132C6">
            <w:pPr>
              <w:spacing w:after="0"/>
              <w:rPr>
                <w:rFonts w:cs="Times New Roman"/>
                <w:color w:val="000000"/>
              </w:rPr>
            </w:pPr>
          </w:p>
        </w:tc>
        <w:tc>
          <w:tcPr>
            <w:tcW w:w="1093" w:type="dxa"/>
            <w:tcBorders>
              <w:top w:val="single" w:sz="12" w:space="0" w:color="auto"/>
              <w:left w:val="single" w:sz="2" w:space="0" w:color="A6A6A6" w:themeColor="background1" w:themeShade="A6"/>
              <w:bottom w:val="single" w:sz="2" w:space="0" w:color="A6A6A6" w:themeColor="background1" w:themeShade="A6"/>
              <w:right w:val="single" w:sz="12" w:space="0" w:color="auto"/>
            </w:tcBorders>
            <w:shd w:val="clear" w:color="auto" w:fill="auto"/>
          </w:tcPr>
          <w:p w14:paraId="1CB41910" w14:textId="77777777" w:rsidR="00FC2A8B" w:rsidRPr="00BB0D9C" w:rsidRDefault="00A471F8" w:rsidP="000A159C">
            <w:pPr>
              <w:spacing w:after="0"/>
              <w:jc w:val="center"/>
              <w:rPr>
                <w:rFonts w:cs="Times New Roman"/>
                <w:color w:val="000000"/>
              </w:rPr>
            </w:pPr>
            <w:commentRangeStart w:id="5"/>
            <w:commentRangeEnd w:id="5"/>
            <w:r w:rsidRPr="00BB0D9C">
              <w:rPr>
                <w:rStyle w:val="CommentReference"/>
              </w:rPr>
              <w:commentReference w:id="5"/>
            </w:r>
            <w:r w:rsidR="00FC2A8B" w:rsidRPr="00BB0D9C">
              <w:rPr>
                <w:rFonts w:cs="Times New Roman"/>
                <w:color w:val="000000"/>
              </w:rPr>
              <w:sym w:font="Symbol" w:char="F0AE"/>
            </w:r>
          </w:p>
        </w:tc>
      </w:tr>
      <w:tr w:rsidR="00FC2A8B" w:rsidRPr="00BB0D9C" w14:paraId="78809DE3" w14:textId="77777777" w:rsidTr="000132C6">
        <w:trPr>
          <w:trHeight w:val="281"/>
        </w:trPr>
        <w:tc>
          <w:tcPr>
            <w:tcW w:w="1701" w:type="dxa"/>
            <w:vMerge/>
            <w:tcBorders>
              <w:top w:val="single" w:sz="8" w:space="0" w:color="auto"/>
              <w:left w:val="single" w:sz="12" w:space="0" w:color="auto"/>
              <w:bottom w:val="single" w:sz="8" w:space="0" w:color="000000"/>
              <w:right w:val="single" w:sz="2" w:space="0" w:color="A6A6A6" w:themeColor="background1" w:themeShade="A6"/>
            </w:tcBorders>
            <w:vAlign w:val="center"/>
            <w:hideMark/>
          </w:tcPr>
          <w:p w14:paraId="566584B0" w14:textId="77777777" w:rsidR="00FC2A8B" w:rsidRPr="009A2F7A" w:rsidRDefault="00FC2A8B" w:rsidP="000132C6">
            <w:pPr>
              <w:spacing w:after="0"/>
              <w:rPr>
                <w:rFonts w:cs="Times New Roman"/>
                <w:b/>
                <w:bCs/>
                <w:color w:val="000000"/>
                <w:sz w:val="21"/>
                <w:szCs w:val="21"/>
              </w:rPr>
            </w:pPr>
          </w:p>
        </w:tc>
        <w:tc>
          <w:tcPr>
            <w:tcW w:w="439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bottom"/>
            <w:hideMark/>
          </w:tcPr>
          <w:p w14:paraId="0FA0411C" w14:textId="77777777" w:rsidR="00FC2A8B" w:rsidRPr="00BB0D9C" w:rsidRDefault="00FC2A8B" w:rsidP="000132C6">
            <w:pPr>
              <w:spacing w:after="0"/>
              <w:rPr>
                <w:rFonts w:cs="Times New Roman"/>
                <w:color w:val="000000"/>
              </w:rPr>
            </w:pPr>
            <w:r w:rsidRPr="00BB0D9C">
              <w:rPr>
                <w:rFonts w:eastAsia="Times New Roman" w:cs="Times New Roman"/>
                <w:color w:val="000000"/>
                <w:szCs w:val="22"/>
              </w:rPr>
              <w:t>Participación de la industria (</w:t>
            </w:r>
            <w:proofErr w:type="spellStart"/>
            <w:r w:rsidRPr="00BB0D9C">
              <w:rPr>
                <w:rFonts w:eastAsia="Times New Roman" w:cs="Times New Roman"/>
                <w:color w:val="000000"/>
                <w:szCs w:val="22"/>
              </w:rPr>
              <w:t>n.°</w:t>
            </w:r>
            <w:proofErr w:type="spellEnd"/>
            <w:r w:rsidRPr="00BB0D9C">
              <w:rPr>
                <w:rFonts w:eastAsia="Times New Roman" w:cs="Times New Roman"/>
                <w:color w:val="000000"/>
                <w:szCs w:val="22"/>
              </w:rPr>
              <w:t> 1.2)</w:t>
            </w:r>
            <w:commentRangeStart w:id="6"/>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Pr>
          <w:p w14:paraId="11EE9B9A" w14:textId="77777777" w:rsidR="00FC2A8B" w:rsidRPr="00BB0D9C" w:rsidRDefault="00FC2A8B" w:rsidP="000132C6">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tcPr>
          <w:p w14:paraId="09D420EA" w14:textId="77777777" w:rsidR="00FC2A8B" w:rsidRPr="00BB0D9C" w:rsidRDefault="00FC2A8B" w:rsidP="000132C6">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83AE44"/>
            <w:noWrap/>
            <w:vAlign w:val="bottom"/>
          </w:tcPr>
          <w:p w14:paraId="29FF6CCD" w14:textId="77777777" w:rsidR="00FC2A8B" w:rsidRPr="00BB0D9C" w:rsidRDefault="00FC2A8B" w:rsidP="000132C6">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FFFFF" w:themeFill="background1"/>
            <w:noWrap/>
            <w:vAlign w:val="bottom"/>
          </w:tcPr>
          <w:p w14:paraId="46FDCC5D" w14:textId="77777777" w:rsidR="00FC2A8B" w:rsidRPr="00BB0D9C" w:rsidRDefault="00FC2A8B" w:rsidP="000132C6">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auto"/>
            <w:noWrap/>
            <w:vAlign w:val="bottom"/>
          </w:tcPr>
          <w:p w14:paraId="1195E81A" w14:textId="77777777" w:rsidR="00FC2A8B" w:rsidRPr="00BB0D9C" w:rsidRDefault="00FC2A8B" w:rsidP="000132C6">
            <w:pPr>
              <w:spacing w:after="0"/>
              <w:rPr>
                <w:rFonts w:cs="Times New Roman"/>
                <w:color w:val="000000"/>
              </w:rPr>
            </w:pPr>
          </w:p>
        </w:tc>
        <w:tc>
          <w:tcPr>
            <w:tcW w:w="1093"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auto"/>
          </w:tcPr>
          <w:p w14:paraId="3EF5D888" w14:textId="77777777" w:rsidR="00FC2A8B" w:rsidRPr="00BB0D9C" w:rsidRDefault="00FC2A8B" w:rsidP="000132C6">
            <w:pPr>
              <w:spacing w:after="0"/>
              <w:jc w:val="center"/>
              <w:rPr>
                <w:rFonts w:cs="Times New Roman"/>
                <w:color w:val="000000"/>
              </w:rPr>
            </w:pPr>
            <w:r w:rsidRPr="00BB0D9C">
              <w:rPr>
                <w:rFonts w:cs="Times New Roman"/>
                <w:color w:val="000000"/>
              </w:rPr>
              <w:t>=</w:t>
            </w:r>
            <w:commentRangeEnd w:id="6"/>
            <w:r w:rsidRPr="00BB0D9C">
              <w:rPr>
                <w:rStyle w:val="CommentReference"/>
              </w:rPr>
              <w:commentReference w:id="6"/>
            </w:r>
          </w:p>
        </w:tc>
      </w:tr>
      <w:tr w:rsidR="00FC2A8B" w:rsidRPr="00BB0D9C" w14:paraId="73CA0C05" w14:textId="77777777" w:rsidTr="000132C6">
        <w:trPr>
          <w:trHeight w:val="53"/>
        </w:trPr>
        <w:tc>
          <w:tcPr>
            <w:tcW w:w="1701" w:type="dxa"/>
            <w:vMerge/>
            <w:tcBorders>
              <w:top w:val="single" w:sz="8" w:space="0" w:color="auto"/>
              <w:left w:val="single" w:sz="12" w:space="0" w:color="auto"/>
              <w:bottom w:val="single" w:sz="8" w:space="0" w:color="000000"/>
              <w:right w:val="single" w:sz="2" w:space="0" w:color="A6A6A6" w:themeColor="background1" w:themeShade="A6"/>
            </w:tcBorders>
            <w:vAlign w:val="center"/>
            <w:hideMark/>
          </w:tcPr>
          <w:p w14:paraId="79360E6A" w14:textId="77777777" w:rsidR="00FC2A8B" w:rsidRPr="009A2F7A" w:rsidRDefault="00FC2A8B" w:rsidP="000132C6">
            <w:pPr>
              <w:spacing w:after="0"/>
              <w:rPr>
                <w:rFonts w:cs="Times New Roman"/>
                <w:b/>
                <w:bCs/>
                <w:color w:val="000000"/>
                <w:sz w:val="21"/>
                <w:szCs w:val="21"/>
              </w:rPr>
            </w:pPr>
          </w:p>
        </w:tc>
        <w:tc>
          <w:tcPr>
            <w:tcW w:w="439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bottom"/>
            <w:hideMark/>
          </w:tcPr>
          <w:p w14:paraId="29D3E994" w14:textId="77777777" w:rsidR="00FC2A8B" w:rsidRPr="00BB0D9C" w:rsidRDefault="00FC2A8B" w:rsidP="000132C6">
            <w:pPr>
              <w:spacing w:after="0"/>
              <w:rPr>
                <w:rFonts w:cs="Times New Roman"/>
                <w:color w:val="000000"/>
              </w:rPr>
            </w:pPr>
            <w:r w:rsidRPr="00BB0D9C">
              <w:rPr>
                <w:color w:val="000000"/>
                <w:szCs w:val="22"/>
              </w:rPr>
              <w:t>Participación de la sociedad civil (</w:t>
            </w:r>
            <w:proofErr w:type="spellStart"/>
            <w:r w:rsidRPr="00BB0D9C">
              <w:rPr>
                <w:color w:val="000000"/>
                <w:szCs w:val="22"/>
              </w:rPr>
              <w:t>n.°</w:t>
            </w:r>
            <w:proofErr w:type="spellEnd"/>
            <w:r w:rsidRPr="00BB0D9C">
              <w:rPr>
                <w:color w:val="000000"/>
                <w:szCs w:val="22"/>
              </w:rPr>
              <w:t> 1.3)</w:t>
            </w:r>
            <w:commentRangeStart w:id="7"/>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Pr>
          <w:p w14:paraId="41B489FD" w14:textId="77777777" w:rsidR="00FC2A8B" w:rsidRPr="00BB0D9C" w:rsidRDefault="00FC2A8B" w:rsidP="000132C6">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tcPr>
          <w:p w14:paraId="461E83BB" w14:textId="77777777" w:rsidR="00FC2A8B" w:rsidRPr="00BB0D9C" w:rsidRDefault="00FC2A8B" w:rsidP="000132C6">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83AE44"/>
            <w:noWrap/>
            <w:vAlign w:val="bottom"/>
          </w:tcPr>
          <w:p w14:paraId="1BB06817" w14:textId="77777777" w:rsidR="00FC2A8B" w:rsidRPr="00BB0D9C" w:rsidRDefault="00FC2A8B" w:rsidP="000132C6">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FFFFF" w:themeFill="background1"/>
            <w:noWrap/>
            <w:vAlign w:val="bottom"/>
          </w:tcPr>
          <w:p w14:paraId="5995F4F3" w14:textId="77777777" w:rsidR="00FC2A8B" w:rsidRPr="00BB0D9C" w:rsidRDefault="00FC2A8B" w:rsidP="000132C6">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auto"/>
            <w:noWrap/>
            <w:vAlign w:val="bottom"/>
          </w:tcPr>
          <w:p w14:paraId="68E2E9C3" w14:textId="77777777" w:rsidR="00FC2A8B" w:rsidRPr="00BB0D9C" w:rsidRDefault="00FC2A8B" w:rsidP="000132C6">
            <w:pPr>
              <w:spacing w:after="0"/>
              <w:rPr>
                <w:rFonts w:cs="Times New Roman"/>
                <w:color w:val="000000"/>
              </w:rPr>
            </w:pPr>
          </w:p>
        </w:tc>
        <w:tc>
          <w:tcPr>
            <w:tcW w:w="1093"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auto"/>
          </w:tcPr>
          <w:p w14:paraId="642ED5B9" w14:textId="77777777" w:rsidR="00FC2A8B" w:rsidRPr="00BB0D9C" w:rsidRDefault="00FC2A8B" w:rsidP="000132C6">
            <w:pPr>
              <w:spacing w:after="0"/>
              <w:jc w:val="center"/>
              <w:rPr>
                <w:rFonts w:cs="Times New Roman"/>
                <w:color w:val="000000"/>
              </w:rPr>
            </w:pPr>
            <w:r w:rsidRPr="00BB0D9C">
              <w:rPr>
                <w:rFonts w:cs="Times New Roman"/>
                <w:color w:val="000000"/>
              </w:rPr>
              <w:t>=</w:t>
            </w:r>
            <w:commentRangeEnd w:id="7"/>
            <w:r w:rsidRPr="00BB0D9C">
              <w:rPr>
                <w:rStyle w:val="CommentReference"/>
              </w:rPr>
              <w:commentReference w:id="7"/>
            </w:r>
          </w:p>
        </w:tc>
      </w:tr>
      <w:tr w:rsidR="00FC2A8B" w:rsidRPr="00BB0D9C" w14:paraId="72CF8B8D" w14:textId="77777777" w:rsidTr="000132C6">
        <w:trPr>
          <w:trHeight w:val="277"/>
        </w:trPr>
        <w:tc>
          <w:tcPr>
            <w:tcW w:w="1701" w:type="dxa"/>
            <w:vMerge/>
            <w:tcBorders>
              <w:top w:val="single" w:sz="8" w:space="0" w:color="auto"/>
              <w:left w:val="single" w:sz="12" w:space="0" w:color="auto"/>
              <w:bottom w:val="single" w:sz="8" w:space="0" w:color="000000"/>
              <w:right w:val="single" w:sz="2" w:space="0" w:color="A6A6A6" w:themeColor="background1" w:themeShade="A6"/>
            </w:tcBorders>
            <w:vAlign w:val="center"/>
            <w:hideMark/>
          </w:tcPr>
          <w:p w14:paraId="293C18A6" w14:textId="77777777" w:rsidR="00FC2A8B" w:rsidRPr="009A2F7A" w:rsidRDefault="00FC2A8B" w:rsidP="000132C6">
            <w:pPr>
              <w:spacing w:after="0"/>
              <w:rPr>
                <w:rFonts w:cs="Times New Roman"/>
                <w:b/>
                <w:bCs/>
                <w:color w:val="000000"/>
                <w:sz w:val="21"/>
                <w:szCs w:val="21"/>
              </w:rPr>
            </w:pPr>
          </w:p>
        </w:tc>
        <w:tc>
          <w:tcPr>
            <w:tcW w:w="439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bottom"/>
            <w:hideMark/>
          </w:tcPr>
          <w:p w14:paraId="018A6376" w14:textId="77777777" w:rsidR="00FC2A8B" w:rsidRPr="00BB0D9C" w:rsidRDefault="00FC2A8B" w:rsidP="000132C6">
            <w:pPr>
              <w:spacing w:after="0"/>
              <w:rPr>
                <w:rFonts w:cs="Times New Roman"/>
                <w:color w:val="000000"/>
              </w:rPr>
            </w:pPr>
            <w:r w:rsidRPr="00BB0D9C">
              <w:rPr>
                <w:color w:val="000000"/>
                <w:szCs w:val="22"/>
              </w:rPr>
              <w:t xml:space="preserve">Gobernanza del grupo de </w:t>
            </w:r>
            <w:proofErr w:type="spellStart"/>
            <w:r w:rsidRPr="00BB0D9C">
              <w:rPr>
                <w:color w:val="000000"/>
                <w:szCs w:val="22"/>
              </w:rPr>
              <w:t>multipartícipes</w:t>
            </w:r>
            <w:proofErr w:type="spellEnd"/>
            <w:r w:rsidRPr="00BB0D9C">
              <w:rPr>
                <w:color w:val="000000"/>
                <w:szCs w:val="22"/>
              </w:rPr>
              <w:t xml:space="preserve"> (</w:t>
            </w:r>
            <w:proofErr w:type="spellStart"/>
            <w:r w:rsidRPr="00BB0D9C">
              <w:rPr>
                <w:color w:val="000000"/>
                <w:szCs w:val="22"/>
              </w:rPr>
              <w:t>n.°</w:t>
            </w:r>
            <w:proofErr w:type="spellEnd"/>
            <w:r w:rsidRPr="00BB0D9C">
              <w:rPr>
                <w:color w:val="000000"/>
                <w:szCs w:val="22"/>
              </w:rPr>
              <w:t> 1.4)</w:t>
            </w: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Pr>
          <w:p w14:paraId="35166076" w14:textId="77777777" w:rsidR="00FC2A8B" w:rsidRPr="00BB0D9C" w:rsidRDefault="00FC2A8B" w:rsidP="000132C6">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tcPr>
          <w:p w14:paraId="367F6A5B" w14:textId="77777777" w:rsidR="00FC2A8B" w:rsidRPr="00BB0D9C" w:rsidRDefault="00FC2A8B" w:rsidP="000132C6">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tcPr>
          <w:p w14:paraId="51200215" w14:textId="77777777" w:rsidR="00FC2A8B" w:rsidRPr="00BB0D9C" w:rsidRDefault="00FC2A8B" w:rsidP="000132C6">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2C8C2D"/>
            <w:noWrap/>
            <w:vAlign w:val="bottom"/>
          </w:tcPr>
          <w:p w14:paraId="53FCB9B1" w14:textId="77777777" w:rsidR="00FC2A8B" w:rsidRPr="00BB0D9C" w:rsidRDefault="00FC2A8B" w:rsidP="000132C6">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auto"/>
            <w:noWrap/>
            <w:vAlign w:val="bottom"/>
          </w:tcPr>
          <w:p w14:paraId="216CA1E1" w14:textId="77777777" w:rsidR="00FC2A8B" w:rsidRPr="00BB0D9C" w:rsidRDefault="00FC2A8B" w:rsidP="000132C6">
            <w:pPr>
              <w:spacing w:after="0"/>
              <w:rPr>
                <w:rFonts w:cs="Times New Roman"/>
                <w:color w:val="000000"/>
              </w:rPr>
            </w:pPr>
          </w:p>
        </w:tc>
        <w:tc>
          <w:tcPr>
            <w:tcW w:w="1093"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auto"/>
          </w:tcPr>
          <w:p w14:paraId="5F8B01C3" w14:textId="77777777" w:rsidR="00FC2A8B" w:rsidRPr="00BB0D9C" w:rsidRDefault="00FC2A8B" w:rsidP="000132C6">
            <w:pPr>
              <w:spacing w:after="0"/>
              <w:jc w:val="center"/>
              <w:rPr>
                <w:rFonts w:cs="Times New Roman"/>
                <w:color w:val="000000"/>
              </w:rPr>
            </w:pPr>
            <w:r w:rsidRPr="00BB0D9C">
              <w:rPr>
                <w:rFonts w:cs="Times New Roman"/>
                <w:color w:val="000000"/>
              </w:rPr>
              <w:t>=</w:t>
            </w:r>
          </w:p>
        </w:tc>
      </w:tr>
      <w:tr w:rsidR="00FC2A8B" w:rsidRPr="00BB0D9C" w14:paraId="6635B2D6" w14:textId="77777777" w:rsidTr="000132C6">
        <w:trPr>
          <w:trHeight w:val="53"/>
        </w:trPr>
        <w:tc>
          <w:tcPr>
            <w:tcW w:w="1701" w:type="dxa"/>
            <w:vMerge/>
            <w:tcBorders>
              <w:top w:val="single" w:sz="8" w:space="0" w:color="auto"/>
              <w:left w:val="single" w:sz="12" w:space="0" w:color="auto"/>
              <w:bottom w:val="single" w:sz="12" w:space="0" w:color="000000" w:themeColor="text1"/>
              <w:right w:val="single" w:sz="2" w:space="0" w:color="A6A6A6" w:themeColor="background1" w:themeShade="A6"/>
            </w:tcBorders>
            <w:vAlign w:val="center"/>
            <w:hideMark/>
          </w:tcPr>
          <w:p w14:paraId="1F2987C7" w14:textId="77777777" w:rsidR="00FC2A8B" w:rsidRPr="009A2F7A" w:rsidRDefault="00FC2A8B" w:rsidP="000132C6">
            <w:pPr>
              <w:spacing w:after="0"/>
              <w:rPr>
                <w:rFonts w:cs="Times New Roman"/>
                <w:b/>
                <w:bCs/>
                <w:color w:val="000000"/>
                <w:sz w:val="21"/>
                <w:szCs w:val="21"/>
              </w:rPr>
            </w:pPr>
          </w:p>
        </w:tc>
        <w:tc>
          <w:tcPr>
            <w:tcW w:w="4395"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000000" w:fill="FFFFFF"/>
            <w:noWrap/>
            <w:vAlign w:val="bottom"/>
            <w:hideMark/>
          </w:tcPr>
          <w:p w14:paraId="174A91F8" w14:textId="77777777" w:rsidR="00FC2A8B" w:rsidRPr="00BB0D9C" w:rsidRDefault="00FC2A8B" w:rsidP="000132C6">
            <w:pPr>
              <w:spacing w:after="0"/>
              <w:rPr>
                <w:rFonts w:cs="Times New Roman"/>
                <w:color w:val="000000"/>
              </w:rPr>
            </w:pPr>
            <w:r w:rsidRPr="00BB0D9C">
              <w:rPr>
                <w:color w:val="000000"/>
                <w:szCs w:val="22"/>
              </w:rPr>
              <w:t>Plan de trabajo (</w:t>
            </w:r>
            <w:proofErr w:type="spellStart"/>
            <w:r w:rsidRPr="00BB0D9C">
              <w:rPr>
                <w:color w:val="000000"/>
                <w:szCs w:val="22"/>
              </w:rPr>
              <w:t>n.°</w:t>
            </w:r>
            <w:proofErr w:type="spellEnd"/>
            <w:r w:rsidRPr="00BB0D9C">
              <w:rPr>
                <w:color w:val="000000"/>
                <w:szCs w:val="22"/>
              </w:rPr>
              <w:t> 1.5)</w:t>
            </w:r>
            <w:commentRangeStart w:id="8"/>
          </w:p>
        </w:tc>
        <w:tc>
          <w:tcPr>
            <w:tcW w:w="490"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auto" w:fill="auto"/>
          </w:tcPr>
          <w:p w14:paraId="22CEA52C" w14:textId="77777777" w:rsidR="00FC2A8B" w:rsidRPr="00BB0D9C" w:rsidRDefault="00FC2A8B" w:rsidP="000132C6">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auto" w:fill="auto"/>
            <w:noWrap/>
            <w:vAlign w:val="bottom"/>
          </w:tcPr>
          <w:p w14:paraId="6CA346CC" w14:textId="77777777" w:rsidR="00FC2A8B" w:rsidRPr="00BB0D9C" w:rsidRDefault="00FC2A8B" w:rsidP="000132C6">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auto" w:fill="auto"/>
            <w:noWrap/>
            <w:vAlign w:val="bottom"/>
          </w:tcPr>
          <w:p w14:paraId="4EDFFAB1" w14:textId="77777777" w:rsidR="00FC2A8B" w:rsidRPr="00BB0D9C" w:rsidRDefault="00FC2A8B" w:rsidP="000132C6">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auto" w:fill="2C8C2D"/>
            <w:noWrap/>
            <w:vAlign w:val="bottom"/>
          </w:tcPr>
          <w:p w14:paraId="01A13870" w14:textId="77777777" w:rsidR="00FC2A8B" w:rsidRPr="00BB0D9C" w:rsidRDefault="00FC2A8B" w:rsidP="000132C6">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12" w:space="0" w:color="000000" w:themeColor="text1"/>
              <w:right w:val="single" w:sz="12" w:space="0" w:color="auto"/>
            </w:tcBorders>
            <w:shd w:val="clear" w:color="auto" w:fill="auto"/>
            <w:noWrap/>
            <w:vAlign w:val="bottom"/>
          </w:tcPr>
          <w:p w14:paraId="20FED5E4" w14:textId="77777777" w:rsidR="00FC2A8B" w:rsidRPr="00BB0D9C" w:rsidRDefault="00FC2A8B" w:rsidP="000132C6">
            <w:pPr>
              <w:spacing w:after="0"/>
              <w:rPr>
                <w:rFonts w:cs="Times New Roman"/>
                <w:color w:val="000000"/>
              </w:rPr>
            </w:pPr>
          </w:p>
        </w:tc>
        <w:tc>
          <w:tcPr>
            <w:tcW w:w="1093" w:type="dxa"/>
            <w:tcBorders>
              <w:top w:val="single" w:sz="2" w:space="0" w:color="A6A6A6" w:themeColor="background1" w:themeShade="A6"/>
              <w:left w:val="single" w:sz="2" w:space="0" w:color="A6A6A6" w:themeColor="background1" w:themeShade="A6"/>
              <w:bottom w:val="single" w:sz="12" w:space="0" w:color="000000" w:themeColor="text1"/>
              <w:right w:val="single" w:sz="12" w:space="0" w:color="auto"/>
            </w:tcBorders>
            <w:shd w:val="clear" w:color="auto" w:fill="auto"/>
          </w:tcPr>
          <w:p w14:paraId="6B603DF4" w14:textId="77777777" w:rsidR="00FC2A8B" w:rsidRPr="00BB0D9C" w:rsidRDefault="00FC2A8B" w:rsidP="000132C6">
            <w:pPr>
              <w:spacing w:after="0"/>
              <w:jc w:val="center"/>
              <w:rPr>
                <w:rFonts w:cs="Times New Roman"/>
                <w:color w:val="000000"/>
              </w:rPr>
            </w:pPr>
            <w:r w:rsidRPr="00BB0D9C">
              <w:rPr>
                <w:rFonts w:cs="Times New Roman"/>
                <w:color w:val="000000"/>
              </w:rPr>
              <w:sym w:font="Symbol" w:char="F0AE"/>
            </w:r>
            <w:commentRangeEnd w:id="8"/>
            <w:r w:rsidRPr="00BB0D9C">
              <w:rPr>
                <w:rStyle w:val="CommentReference"/>
              </w:rPr>
              <w:commentReference w:id="8"/>
            </w:r>
          </w:p>
        </w:tc>
      </w:tr>
      <w:tr w:rsidR="00FC2A8B" w:rsidRPr="00BB0D9C" w14:paraId="29ADE7CC" w14:textId="77777777" w:rsidTr="000132C6">
        <w:trPr>
          <w:trHeight w:val="53"/>
        </w:trPr>
        <w:tc>
          <w:tcPr>
            <w:tcW w:w="1701" w:type="dxa"/>
            <w:vMerge w:val="restart"/>
            <w:tcBorders>
              <w:top w:val="single" w:sz="12" w:space="0" w:color="000000" w:themeColor="text1"/>
              <w:left w:val="single" w:sz="12" w:space="0" w:color="auto"/>
              <w:bottom w:val="single" w:sz="2" w:space="0" w:color="A6A6A6" w:themeColor="background1" w:themeShade="A6"/>
              <w:right w:val="single" w:sz="2" w:space="0" w:color="A6A6A6" w:themeColor="background1" w:themeShade="A6"/>
            </w:tcBorders>
            <w:shd w:val="clear" w:color="000000" w:fill="BFBFBF"/>
            <w:noWrap/>
            <w:vAlign w:val="center"/>
            <w:hideMark/>
          </w:tcPr>
          <w:p w14:paraId="351AA145" w14:textId="77777777" w:rsidR="00FC2A8B" w:rsidRPr="009A2F7A" w:rsidRDefault="00FC2A8B" w:rsidP="000132C6">
            <w:pPr>
              <w:widowControl w:val="0"/>
              <w:suppressAutoHyphens/>
              <w:spacing w:after="0"/>
              <w:rPr>
                <w:rFonts w:eastAsia="Times New Roman" w:cs="Times New Roman"/>
                <w:b/>
                <w:bCs/>
                <w:color w:val="000000"/>
                <w:sz w:val="21"/>
                <w:szCs w:val="21"/>
              </w:rPr>
            </w:pPr>
            <w:r w:rsidRPr="009A2F7A">
              <w:rPr>
                <w:b/>
                <w:bCs/>
                <w:color w:val="000000"/>
                <w:sz w:val="21"/>
                <w:szCs w:val="21"/>
              </w:rPr>
              <w:t>Licencias y contratos</w:t>
            </w:r>
          </w:p>
        </w:tc>
        <w:tc>
          <w:tcPr>
            <w:tcW w:w="4395"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center"/>
            <w:hideMark/>
          </w:tcPr>
          <w:p w14:paraId="59A9B2A0" w14:textId="77777777" w:rsidR="00FC2A8B" w:rsidRPr="00BB0D9C" w:rsidRDefault="00FC2A8B" w:rsidP="000132C6">
            <w:pPr>
              <w:widowControl w:val="0"/>
              <w:suppressAutoHyphens/>
              <w:spacing w:after="0"/>
              <w:rPr>
                <w:rFonts w:eastAsia="Times New Roman" w:cs="Times New Roman"/>
                <w:color w:val="000000"/>
                <w:szCs w:val="22"/>
              </w:rPr>
            </w:pPr>
            <w:r w:rsidRPr="00BB0D9C">
              <w:rPr>
                <w:color w:val="000000"/>
                <w:szCs w:val="22"/>
              </w:rPr>
              <w:t>Marco legal (</w:t>
            </w:r>
            <w:proofErr w:type="spellStart"/>
            <w:r w:rsidRPr="00BB0D9C">
              <w:rPr>
                <w:color w:val="000000"/>
                <w:szCs w:val="22"/>
              </w:rPr>
              <w:t>n.°</w:t>
            </w:r>
            <w:proofErr w:type="spellEnd"/>
            <w:r w:rsidRPr="00BB0D9C">
              <w:rPr>
                <w:color w:val="000000"/>
                <w:szCs w:val="22"/>
              </w:rPr>
              <w:t> 2.1)</w:t>
            </w:r>
          </w:p>
        </w:tc>
        <w:tc>
          <w:tcPr>
            <w:tcW w:w="490"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Pr>
          <w:p w14:paraId="5E3686CE" w14:textId="77777777" w:rsidR="00FC2A8B" w:rsidRPr="00BB0D9C" w:rsidRDefault="00FC2A8B" w:rsidP="000132C6">
            <w:pPr>
              <w:spacing w:after="0"/>
              <w:rPr>
                <w:rFonts w:cs="Times New Roman"/>
                <w:color w:val="000000"/>
              </w:rPr>
            </w:pPr>
          </w:p>
        </w:tc>
        <w:tc>
          <w:tcPr>
            <w:tcW w:w="490"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tcPr>
          <w:p w14:paraId="6CDE6F24" w14:textId="77777777" w:rsidR="00FC2A8B" w:rsidRPr="00BB0D9C" w:rsidRDefault="00FC2A8B" w:rsidP="000132C6">
            <w:pPr>
              <w:spacing w:after="0"/>
              <w:rPr>
                <w:rFonts w:cs="Times New Roman"/>
                <w:color w:val="000000"/>
              </w:rPr>
            </w:pPr>
          </w:p>
        </w:tc>
        <w:tc>
          <w:tcPr>
            <w:tcW w:w="490"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tcPr>
          <w:p w14:paraId="2C5A9DE8" w14:textId="77777777" w:rsidR="00FC2A8B" w:rsidRPr="00BB0D9C" w:rsidRDefault="00FC2A8B" w:rsidP="000132C6">
            <w:pPr>
              <w:spacing w:after="0"/>
              <w:rPr>
                <w:rFonts w:cs="Times New Roman"/>
                <w:color w:val="000000"/>
              </w:rPr>
            </w:pPr>
          </w:p>
        </w:tc>
        <w:tc>
          <w:tcPr>
            <w:tcW w:w="490"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2C8C2D"/>
            <w:noWrap/>
            <w:vAlign w:val="bottom"/>
          </w:tcPr>
          <w:p w14:paraId="2B68A16D" w14:textId="77777777" w:rsidR="00FC2A8B" w:rsidRPr="00BB0D9C" w:rsidRDefault="00FC2A8B" w:rsidP="000132C6">
            <w:pPr>
              <w:spacing w:after="0"/>
              <w:rPr>
                <w:rFonts w:cs="Times New Roman"/>
                <w:color w:val="000000"/>
              </w:rPr>
            </w:pPr>
          </w:p>
        </w:tc>
        <w:tc>
          <w:tcPr>
            <w:tcW w:w="490" w:type="dxa"/>
            <w:tcBorders>
              <w:top w:val="single" w:sz="12" w:space="0" w:color="000000" w:themeColor="text1"/>
              <w:left w:val="single" w:sz="2" w:space="0" w:color="A6A6A6" w:themeColor="background1" w:themeShade="A6"/>
              <w:bottom w:val="single" w:sz="2" w:space="0" w:color="A6A6A6" w:themeColor="background1" w:themeShade="A6"/>
              <w:right w:val="single" w:sz="12" w:space="0" w:color="auto"/>
            </w:tcBorders>
            <w:shd w:val="clear" w:color="auto" w:fill="auto"/>
            <w:noWrap/>
            <w:vAlign w:val="bottom"/>
          </w:tcPr>
          <w:p w14:paraId="6805ABC3" w14:textId="77777777" w:rsidR="00FC2A8B" w:rsidRPr="00BB0D9C" w:rsidRDefault="00FC2A8B" w:rsidP="000132C6">
            <w:pPr>
              <w:spacing w:after="0"/>
              <w:rPr>
                <w:rFonts w:cs="Times New Roman"/>
                <w:color w:val="000000"/>
              </w:rPr>
            </w:pPr>
          </w:p>
        </w:tc>
        <w:tc>
          <w:tcPr>
            <w:tcW w:w="1093" w:type="dxa"/>
            <w:tcBorders>
              <w:top w:val="single" w:sz="12" w:space="0" w:color="000000" w:themeColor="text1"/>
              <w:left w:val="single" w:sz="2" w:space="0" w:color="A6A6A6" w:themeColor="background1" w:themeShade="A6"/>
              <w:bottom w:val="single" w:sz="2" w:space="0" w:color="A6A6A6" w:themeColor="background1" w:themeShade="A6"/>
              <w:right w:val="single" w:sz="12" w:space="0" w:color="auto"/>
            </w:tcBorders>
            <w:shd w:val="clear" w:color="auto" w:fill="auto"/>
          </w:tcPr>
          <w:p w14:paraId="3C9B3786" w14:textId="77777777" w:rsidR="00FC2A8B" w:rsidRPr="00BB0D9C" w:rsidRDefault="00FC2A8B" w:rsidP="000132C6">
            <w:pPr>
              <w:spacing w:after="0"/>
              <w:jc w:val="center"/>
              <w:rPr>
                <w:rFonts w:cs="Times New Roman"/>
                <w:color w:val="000000"/>
              </w:rPr>
            </w:pPr>
            <w:r w:rsidRPr="00BB0D9C">
              <w:rPr>
                <w:rFonts w:cs="Times New Roman"/>
                <w:color w:val="000000"/>
              </w:rPr>
              <w:t>=</w:t>
            </w:r>
          </w:p>
        </w:tc>
      </w:tr>
      <w:tr w:rsidR="00FC2A8B" w:rsidRPr="00BB0D9C" w14:paraId="5EB443E2" w14:textId="77777777" w:rsidTr="000132C6">
        <w:trPr>
          <w:trHeight w:val="53"/>
        </w:trPr>
        <w:tc>
          <w:tcPr>
            <w:tcW w:w="1701" w:type="dxa"/>
            <w:vMerge/>
            <w:tcBorders>
              <w:top w:val="single" w:sz="2" w:space="0" w:color="A6A6A6" w:themeColor="background1" w:themeShade="A6"/>
              <w:left w:val="single" w:sz="12" w:space="0" w:color="auto"/>
              <w:bottom w:val="single" w:sz="2" w:space="0" w:color="A6A6A6" w:themeColor="background1" w:themeShade="A6"/>
              <w:right w:val="single" w:sz="2" w:space="0" w:color="A6A6A6" w:themeColor="background1" w:themeShade="A6"/>
            </w:tcBorders>
            <w:vAlign w:val="center"/>
            <w:hideMark/>
          </w:tcPr>
          <w:p w14:paraId="0FA247F7" w14:textId="77777777" w:rsidR="00FC2A8B" w:rsidRPr="009A2F7A" w:rsidRDefault="00FC2A8B" w:rsidP="000132C6">
            <w:pPr>
              <w:spacing w:after="0"/>
              <w:rPr>
                <w:rFonts w:cs="Times New Roman"/>
                <w:b/>
                <w:bCs/>
                <w:color w:val="000000"/>
                <w:sz w:val="21"/>
                <w:szCs w:val="21"/>
              </w:rPr>
            </w:pPr>
          </w:p>
        </w:tc>
        <w:tc>
          <w:tcPr>
            <w:tcW w:w="439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center"/>
            <w:hideMark/>
          </w:tcPr>
          <w:p w14:paraId="5FAF93D0" w14:textId="77777777" w:rsidR="00FC2A8B" w:rsidRPr="00BB0D9C" w:rsidRDefault="00FC2A8B" w:rsidP="000132C6">
            <w:pPr>
              <w:spacing w:after="0"/>
              <w:rPr>
                <w:rFonts w:cs="Times New Roman"/>
                <w:color w:val="000000"/>
              </w:rPr>
            </w:pPr>
            <w:r w:rsidRPr="00BB0D9C">
              <w:rPr>
                <w:color w:val="000000"/>
                <w:szCs w:val="22"/>
              </w:rPr>
              <w:t>Asignación de licencias (</w:t>
            </w:r>
            <w:proofErr w:type="spellStart"/>
            <w:r w:rsidRPr="00BB0D9C">
              <w:rPr>
                <w:color w:val="000000"/>
                <w:szCs w:val="22"/>
              </w:rPr>
              <w:t>n.°</w:t>
            </w:r>
            <w:proofErr w:type="spellEnd"/>
            <w:r w:rsidRPr="00BB0D9C">
              <w:rPr>
                <w:color w:val="000000"/>
                <w:szCs w:val="22"/>
              </w:rPr>
              <w:t> 2.2)</w:t>
            </w: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Pr>
          <w:p w14:paraId="6DC67E88" w14:textId="77777777" w:rsidR="00FC2A8B" w:rsidRPr="00BB0D9C" w:rsidRDefault="00FC2A8B" w:rsidP="000132C6">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tcPr>
          <w:p w14:paraId="72F11DCA" w14:textId="77777777" w:rsidR="00FC2A8B" w:rsidRPr="00BB0D9C" w:rsidRDefault="00FC2A8B" w:rsidP="000132C6">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tcPr>
          <w:p w14:paraId="2710CE4A" w14:textId="77777777" w:rsidR="00FC2A8B" w:rsidRPr="00BB0D9C" w:rsidRDefault="00FC2A8B" w:rsidP="000132C6">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2C8C2D"/>
            <w:noWrap/>
            <w:vAlign w:val="bottom"/>
          </w:tcPr>
          <w:p w14:paraId="4AC6A2C2" w14:textId="77777777" w:rsidR="00FC2A8B" w:rsidRPr="00BB0D9C" w:rsidRDefault="00FC2A8B" w:rsidP="000132C6">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auto"/>
            <w:noWrap/>
            <w:vAlign w:val="bottom"/>
          </w:tcPr>
          <w:p w14:paraId="415EB6F5" w14:textId="77777777" w:rsidR="00FC2A8B" w:rsidRPr="00BB0D9C" w:rsidRDefault="00FC2A8B" w:rsidP="000132C6">
            <w:pPr>
              <w:spacing w:after="0"/>
              <w:rPr>
                <w:rFonts w:cs="Times New Roman"/>
                <w:color w:val="000000"/>
              </w:rPr>
            </w:pPr>
          </w:p>
        </w:tc>
        <w:tc>
          <w:tcPr>
            <w:tcW w:w="1093"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auto"/>
          </w:tcPr>
          <w:p w14:paraId="699D9D9B" w14:textId="77777777" w:rsidR="00FC2A8B" w:rsidRPr="00BB0D9C" w:rsidRDefault="00FC2A8B" w:rsidP="000132C6">
            <w:pPr>
              <w:spacing w:after="0"/>
              <w:jc w:val="center"/>
              <w:rPr>
                <w:rFonts w:cs="Times New Roman"/>
                <w:color w:val="000000"/>
              </w:rPr>
            </w:pPr>
            <w:r w:rsidRPr="00BB0D9C">
              <w:rPr>
                <w:rFonts w:cs="Times New Roman"/>
                <w:color w:val="000000"/>
              </w:rPr>
              <w:t>=</w:t>
            </w:r>
          </w:p>
        </w:tc>
      </w:tr>
      <w:tr w:rsidR="00FC2A8B" w:rsidRPr="00BB0D9C" w14:paraId="37F1E5F3" w14:textId="77777777" w:rsidTr="000132C6">
        <w:trPr>
          <w:trHeight w:val="278"/>
        </w:trPr>
        <w:tc>
          <w:tcPr>
            <w:tcW w:w="1701" w:type="dxa"/>
            <w:vMerge/>
            <w:tcBorders>
              <w:top w:val="single" w:sz="2" w:space="0" w:color="A6A6A6" w:themeColor="background1" w:themeShade="A6"/>
              <w:left w:val="single" w:sz="12" w:space="0" w:color="auto"/>
              <w:bottom w:val="single" w:sz="2" w:space="0" w:color="A6A6A6" w:themeColor="background1" w:themeShade="A6"/>
              <w:right w:val="single" w:sz="2" w:space="0" w:color="A6A6A6" w:themeColor="background1" w:themeShade="A6"/>
            </w:tcBorders>
            <w:vAlign w:val="center"/>
            <w:hideMark/>
          </w:tcPr>
          <w:p w14:paraId="449D299D" w14:textId="77777777" w:rsidR="00FC2A8B" w:rsidRPr="009A2F7A" w:rsidRDefault="00FC2A8B" w:rsidP="000132C6">
            <w:pPr>
              <w:spacing w:after="0"/>
              <w:rPr>
                <w:rFonts w:cs="Times New Roman"/>
                <w:b/>
                <w:bCs/>
                <w:color w:val="000000"/>
                <w:sz w:val="21"/>
                <w:szCs w:val="21"/>
              </w:rPr>
            </w:pPr>
          </w:p>
        </w:tc>
        <w:tc>
          <w:tcPr>
            <w:tcW w:w="439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center"/>
            <w:hideMark/>
          </w:tcPr>
          <w:p w14:paraId="5C52572E" w14:textId="77777777" w:rsidR="00FC2A8B" w:rsidRPr="00BB0D9C" w:rsidRDefault="00FC2A8B" w:rsidP="000132C6">
            <w:pPr>
              <w:spacing w:after="0"/>
              <w:rPr>
                <w:rFonts w:cs="Times New Roman"/>
                <w:color w:val="000000"/>
              </w:rPr>
            </w:pPr>
            <w:r w:rsidRPr="00BB0D9C">
              <w:rPr>
                <w:color w:val="000000"/>
                <w:szCs w:val="22"/>
              </w:rPr>
              <w:t>Registro de licencias (</w:t>
            </w:r>
            <w:proofErr w:type="spellStart"/>
            <w:r w:rsidRPr="00BB0D9C">
              <w:rPr>
                <w:color w:val="000000"/>
                <w:szCs w:val="22"/>
              </w:rPr>
              <w:t>n.°</w:t>
            </w:r>
            <w:proofErr w:type="spellEnd"/>
            <w:r w:rsidRPr="00BB0D9C">
              <w:rPr>
                <w:color w:val="000000"/>
                <w:szCs w:val="22"/>
              </w:rPr>
              <w:t> 2.3)</w:t>
            </w: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Pr>
          <w:p w14:paraId="5DE7762C" w14:textId="77777777" w:rsidR="00FC2A8B" w:rsidRPr="00BB0D9C" w:rsidRDefault="00FC2A8B" w:rsidP="000132C6">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tcPr>
          <w:p w14:paraId="13AD567F" w14:textId="77777777" w:rsidR="00FC2A8B" w:rsidRPr="00BB0D9C" w:rsidRDefault="00FC2A8B" w:rsidP="000132C6">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tcPr>
          <w:p w14:paraId="7BDBF7D0" w14:textId="77777777" w:rsidR="00FC2A8B" w:rsidRPr="00BB0D9C" w:rsidRDefault="00FC2A8B" w:rsidP="000132C6">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2C8C2D"/>
            <w:noWrap/>
            <w:vAlign w:val="bottom"/>
          </w:tcPr>
          <w:p w14:paraId="40BED0D0" w14:textId="77777777" w:rsidR="00FC2A8B" w:rsidRPr="00BB0D9C" w:rsidRDefault="00FC2A8B" w:rsidP="000132C6">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auto"/>
            <w:noWrap/>
            <w:vAlign w:val="bottom"/>
          </w:tcPr>
          <w:p w14:paraId="735D84EA" w14:textId="77777777" w:rsidR="00FC2A8B" w:rsidRPr="00BB0D9C" w:rsidRDefault="00FC2A8B" w:rsidP="000132C6">
            <w:pPr>
              <w:spacing w:after="0"/>
              <w:rPr>
                <w:rFonts w:cs="Times New Roman"/>
                <w:color w:val="000000"/>
              </w:rPr>
            </w:pPr>
          </w:p>
        </w:tc>
        <w:tc>
          <w:tcPr>
            <w:tcW w:w="1093"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auto"/>
          </w:tcPr>
          <w:p w14:paraId="65C0FE8A" w14:textId="77777777" w:rsidR="00FC2A8B" w:rsidRPr="00BB0D9C" w:rsidRDefault="00FC2A8B" w:rsidP="000132C6">
            <w:pPr>
              <w:spacing w:after="0"/>
              <w:jc w:val="center"/>
              <w:rPr>
                <w:rFonts w:cs="Times New Roman"/>
                <w:color w:val="000000"/>
              </w:rPr>
            </w:pPr>
            <w:r w:rsidRPr="00BB0D9C">
              <w:rPr>
                <w:rFonts w:cs="Times New Roman"/>
                <w:color w:val="000000"/>
              </w:rPr>
              <w:t>=</w:t>
            </w:r>
          </w:p>
        </w:tc>
      </w:tr>
      <w:tr w:rsidR="00FC2A8B" w:rsidRPr="00BB0D9C" w14:paraId="1E8D61B0" w14:textId="77777777" w:rsidTr="000132C6">
        <w:trPr>
          <w:trHeight w:val="53"/>
        </w:trPr>
        <w:tc>
          <w:tcPr>
            <w:tcW w:w="1701" w:type="dxa"/>
            <w:vMerge/>
            <w:tcBorders>
              <w:top w:val="single" w:sz="2" w:space="0" w:color="A6A6A6" w:themeColor="background1" w:themeShade="A6"/>
              <w:left w:val="single" w:sz="12" w:space="0" w:color="auto"/>
              <w:bottom w:val="single" w:sz="2" w:space="0" w:color="A6A6A6" w:themeColor="background1" w:themeShade="A6"/>
              <w:right w:val="single" w:sz="2" w:space="0" w:color="A6A6A6" w:themeColor="background1" w:themeShade="A6"/>
            </w:tcBorders>
            <w:vAlign w:val="center"/>
            <w:hideMark/>
          </w:tcPr>
          <w:p w14:paraId="560F71BE" w14:textId="77777777" w:rsidR="00FC2A8B" w:rsidRPr="009A2F7A" w:rsidRDefault="00FC2A8B" w:rsidP="000132C6">
            <w:pPr>
              <w:spacing w:after="0"/>
              <w:rPr>
                <w:rFonts w:cs="Times New Roman"/>
                <w:b/>
                <w:bCs/>
                <w:color w:val="000000"/>
                <w:sz w:val="21"/>
                <w:szCs w:val="21"/>
              </w:rPr>
            </w:pPr>
          </w:p>
        </w:tc>
        <w:tc>
          <w:tcPr>
            <w:tcW w:w="439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center"/>
            <w:hideMark/>
          </w:tcPr>
          <w:p w14:paraId="298B7764" w14:textId="77777777" w:rsidR="00FC2A8B" w:rsidRPr="00BB0D9C" w:rsidRDefault="00FC2A8B" w:rsidP="000132C6">
            <w:pPr>
              <w:spacing w:after="0"/>
              <w:rPr>
                <w:rFonts w:cs="Times New Roman"/>
                <w:color w:val="000000"/>
              </w:rPr>
            </w:pPr>
            <w:r w:rsidRPr="00BB0D9C">
              <w:rPr>
                <w:color w:val="000000"/>
                <w:szCs w:val="22"/>
              </w:rPr>
              <w:t>Política sobre divulgación de contratos (</w:t>
            </w:r>
            <w:proofErr w:type="spellStart"/>
            <w:r w:rsidRPr="00BB0D9C">
              <w:rPr>
                <w:color w:val="000000"/>
                <w:szCs w:val="22"/>
              </w:rPr>
              <w:t>n.°</w:t>
            </w:r>
            <w:proofErr w:type="spellEnd"/>
            <w:r w:rsidRPr="00BB0D9C">
              <w:rPr>
                <w:color w:val="000000"/>
                <w:szCs w:val="22"/>
              </w:rPr>
              <w:t> 2.4)</w:t>
            </w: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Pr>
          <w:p w14:paraId="66700A59" w14:textId="77777777" w:rsidR="00FC2A8B" w:rsidRPr="00BB0D9C" w:rsidRDefault="00FC2A8B" w:rsidP="000132C6">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tcPr>
          <w:p w14:paraId="7349DC0F" w14:textId="77777777" w:rsidR="00FC2A8B" w:rsidRPr="00BB0D9C" w:rsidRDefault="00FC2A8B" w:rsidP="000132C6">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tcPr>
          <w:p w14:paraId="738C2295" w14:textId="77777777" w:rsidR="00FC2A8B" w:rsidRPr="00BB0D9C" w:rsidRDefault="00FC2A8B" w:rsidP="000132C6">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2C8C2D"/>
            <w:noWrap/>
            <w:vAlign w:val="bottom"/>
          </w:tcPr>
          <w:p w14:paraId="6217A723" w14:textId="77777777" w:rsidR="00FC2A8B" w:rsidRPr="00BB0D9C" w:rsidRDefault="00FC2A8B" w:rsidP="000132C6">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auto"/>
            <w:noWrap/>
            <w:vAlign w:val="bottom"/>
          </w:tcPr>
          <w:p w14:paraId="4073D10B" w14:textId="77777777" w:rsidR="00FC2A8B" w:rsidRPr="00BB0D9C" w:rsidRDefault="00FC2A8B" w:rsidP="000132C6">
            <w:pPr>
              <w:spacing w:after="0"/>
              <w:rPr>
                <w:rFonts w:cs="Times New Roman"/>
                <w:color w:val="000000"/>
              </w:rPr>
            </w:pPr>
          </w:p>
        </w:tc>
        <w:tc>
          <w:tcPr>
            <w:tcW w:w="1093"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auto"/>
          </w:tcPr>
          <w:p w14:paraId="362758FB" w14:textId="77777777" w:rsidR="00FC2A8B" w:rsidRPr="00BB0D9C" w:rsidRDefault="00FC2A8B" w:rsidP="000132C6">
            <w:pPr>
              <w:spacing w:after="0"/>
              <w:jc w:val="center"/>
              <w:rPr>
                <w:rFonts w:cs="Times New Roman"/>
                <w:color w:val="000000"/>
              </w:rPr>
            </w:pPr>
            <w:r w:rsidRPr="00BB0D9C">
              <w:rPr>
                <w:rFonts w:cs="Times New Roman"/>
                <w:color w:val="000000"/>
              </w:rPr>
              <w:t>=</w:t>
            </w:r>
          </w:p>
        </w:tc>
      </w:tr>
      <w:tr w:rsidR="00FC2A8B" w:rsidRPr="00BB0D9C" w14:paraId="0AAAA53A" w14:textId="77777777" w:rsidTr="000132C6">
        <w:trPr>
          <w:trHeight w:val="53"/>
        </w:trPr>
        <w:tc>
          <w:tcPr>
            <w:tcW w:w="1701" w:type="dxa"/>
            <w:vMerge/>
            <w:tcBorders>
              <w:top w:val="single" w:sz="2" w:space="0" w:color="A6A6A6" w:themeColor="background1" w:themeShade="A6"/>
              <w:left w:val="single" w:sz="12" w:space="0" w:color="auto"/>
              <w:bottom w:val="single" w:sz="2" w:space="0" w:color="A6A6A6" w:themeColor="background1" w:themeShade="A6"/>
              <w:right w:val="single" w:sz="2" w:space="0" w:color="A6A6A6" w:themeColor="background1" w:themeShade="A6"/>
            </w:tcBorders>
            <w:vAlign w:val="center"/>
            <w:hideMark/>
          </w:tcPr>
          <w:p w14:paraId="30E961DF" w14:textId="77777777" w:rsidR="00FC2A8B" w:rsidRPr="009A2F7A" w:rsidRDefault="00FC2A8B" w:rsidP="000132C6">
            <w:pPr>
              <w:spacing w:after="0"/>
              <w:rPr>
                <w:rFonts w:cs="Times New Roman"/>
                <w:b/>
                <w:bCs/>
                <w:color w:val="000000"/>
                <w:sz w:val="21"/>
                <w:szCs w:val="21"/>
              </w:rPr>
            </w:pPr>
          </w:p>
        </w:tc>
        <w:tc>
          <w:tcPr>
            <w:tcW w:w="439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center"/>
            <w:hideMark/>
          </w:tcPr>
          <w:p w14:paraId="045C860D" w14:textId="77777777" w:rsidR="00FC2A8B" w:rsidRPr="00BB0D9C" w:rsidRDefault="00FC2A8B" w:rsidP="000132C6">
            <w:pPr>
              <w:spacing w:after="0"/>
              <w:rPr>
                <w:rFonts w:cs="Times New Roman"/>
                <w:color w:val="000000"/>
              </w:rPr>
            </w:pPr>
            <w:r w:rsidRPr="00BB0D9C">
              <w:rPr>
                <w:color w:val="000000"/>
                <w:szCs w:val="22"/>
              </w:rPr>
              <w:t>Beneficiarios reales (</w:t>
            </w:r>
            <w:proofErr w:type="spellStart"/>
            <w:r w:rsidRPr="00BB0D9C">
              <w:rPr>
                <w:color w:val="000000"/>
                <w:szCs w:val="22"/>
              </w:rPr>
              <w:t>n.°</w:t>
            </w:r>
            <w:proofErr w:type="spellEnd"/>
            <w:r w:rsidRPr="00BB0D9C">
              <w:rPr>
                <w:color w:val="000000"/>
                <w:szCs w:val="22"/>
              </w:rPr>
              <w:t> 2.5)</w:t>
            </w: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D9D9D9" w:themeFill="background1" w:themeFillShade="D9"/>
          </w:tcPr>
          <w:p w14:paraId="6C8F529F" w14:textId="77777777" w:rsidR="00FC2A8B" w:rsidRPr="00BB0D9C" w:rsidRDefault="00FC2A8B" w:rsidP="000132C6">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D9D9D9" w:themeFill="background1" w:themeFillShade="D9"/>
            <w:noWrap/>
            <w:vAlign w:val="bottom"/>
          </w:tcPr>
          <w:p w14:paraId="51619CEA" w14:textId="77777777" w:rsidR="00FC2A8B" w:rsidRPr="00BB0D9C" w:rsidRDefault="00FC2A8B" w:rsidP="000132C6">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D9D9D9" w:themeFill="background1" w:themeFillShade="D9"/>
            <w:noWrap/>
            <w:vAlign w:val="bottom"/>
          </w:tcPr>
          <w:p w14:paraId="28CDA04A" w14:textId="77777777" w:rsidR="00FC2A8B" w:rsidRPr="00BB0D9C" w:rsidRDefault="00FC2A8B" w:rsidP="000132C6">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D9D9D9" w:themeFill="background1" w:themeFillShade="D9"/>
            <w:noWrap/>
            <w:vAlign w:val="bottom"/>
          </w:tcPr>
          <w:p w14:paraId="738B0435" w14:textId="77777777" w:rsidR="00FC2A8B" w:rsidRPr="00BB0D9C" w:rsidRDefault="00FC2A8B" w:rsidP="000132C6">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D9D9D9" w:themeFill="background1" w:themeFillShade="D9"/>
            <w:noWrap/>
            <w:vAlign w:val="bottom"/>
          </w:tcPr>
          <w:p w14:paraId="372D507A" w14:textId="77777777" w:rsidR="00FC2A8B" w:rsidRPr="00BB0D9C" w:rsidRDefault="00FC2A8B" w:rsidP="000132C6">
            <w:pPr>
              <w:spacing w:after="0"/>
              <w:rPr>
                <w:rFonts w:cs="Times New Roman"/>
                <w:color w:val="000000"/>
              </w:rPr>
            </w:pPr>
          </w:p>
        </w:tc>
        <w:tc>
          <w:tcPr>
            <w:tcW w:w="1093"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D9D9D9" w:themeFill="background1" w:themeFillShade="D9"/>
          </w:tcPr>
          <w:p w14:paraId="60752F76" w14:textId="77777777" w:rsidR="00FC2A8B" w:rsidRPr="00BB0D9C" w:rsidRDefault="00FC2A8B" w:rsidP="000132C6">
            <w:pPr>
              <w:spacing w:after="0"/>
              <w:jc w:val="center"/>
              <w:rPr>
                <w:rFonts w:cs="Times New Roman"/>
                <w:color w:val="000000"/>
              </w:rPr>
            </w:pPr>
          </w:p>
        </w:tc>
      </w:tr>
      <w:tr w:rsidR="00FC2A8B" w:rsidRPr="00BB0D9C" w14:paraId="3F714495" w14:textId="77777777" w:rsidTr="000132C6">
        <w:trPr>
          <w:trHeight w:val="310"/>
        </w:trPr>
        <w:tc>
          <w:tcPr>
            <w:tcW w:w="1701" w:type="dxa"/>
            <w:vMerge/>
            <w:tcBorders>
              <w:top w:val="single" w:sz="2" w:space="0" w:color="A6A6A6" w:themeColor="background1" w:themeShade="A6"/>
              <w:left w:val="single" w:sz="12" w:space="0" w:color="auto"/>
              <w:bottom w:val="single" w:sz="12" w:space="0" w:color="000000" w:themeColor="text1"/>
              <w:right w:val="single" w:sz="2" w:space="0" w:color="A6A6A6" w:themeColor="background1" w:themeShade="A6"/>
            </w:tcBorders>
            <w:vAlign w:val="center"/>
            <w:hideMark/>
          </w:tcPr>
          <w:p w14:paraId="4F915000" w14:textId="77777777" w:rsidR="00FC2A8B" w:rsidRPr="009A2F7A" w:rsidRDefault="00FC2A8B" w:rsidP="000132C6">
            <w:pPr>
              <w:spacing w:after="0"/>
              <w:rPr>
                <w:rFonts w:cs="Times New Roman"/>
                <w:b/>
                <w:bCs/>
                <w:color w:val="000000"/>
                <w:sz w:val="21"/>
                <w:szCs w:val="21"/>
              </w:rPr>
            </w:pPr>
          </w:p>
        </w:tc>
        <w:tc>
          <w:tcPr>
            <w:tcW w:w="4395"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000000" w:fill="FFFFFF"/>
            <w:noWrap/>
            <w:vAlign w:val="center"/>
            <w:hideMark/>
          </w:tcPr>
          <w:p w14:paraId="14B6F71B" w14:textId="77777777" w:rsidR="00FC2A8B" w:rsidRPr="00BB0D9C" w:rsidRDefault="00FC2A8B" w:rsidP="000132C6">
            <w:pPr>
              <w:spacing w:after="0"/>
              <w:rPr>
                <w:rFonts w:cs="Times New Roman"/>
                <w:color w:val="000000"/>
              </w:rPr>
            </w:pPr>
            <w:r w:rsidRPr="00BB0D9C">
              <w:rPr>
                <w:color w:val="000000"/>
                <w:szCs w:val="22"/>
              </w:rPr>
              <w:t>Participación estatal (</w:t>
            </w:r>
            <w:proofErr w:type="spellStart"/>
            <w:r w:rsidRPr="00BB0D9C">
              <w:rPr>
                <w:color w:val="000000"/>
                <w:szCs w:val="22"/>
              </w:rPr>
              <w:t>n.°</w:t>
            </w:r>
            <w:proofErr w:type="spellEnd"/>
            <w:r w:rsidRPr="00BB0D9C">
              <w:rPr>
                <w:color w:val="000000"/>
                <w:szCs w:val="22"/>
              </w:rPr>
              <w:t> 2.6)</w:t>
            </w:r>
          </w:p>
        </w:tc>
        <w:tc>
          <w:tcPr>
            <w:tcW w:w="490"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diagStripe" w:color="auto" w:fill="auto"/>
          </w:tcPr>
          <w:p w14:paraId="4A3277E3" w14:textId="77777777" w:rsidR="00FC2A8B" w:rsidRPr="00BB0D9C" w:rsidRDefault="00FC2A8B" w:rsidP="000132C6">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diagStripe" w:color="auto" w:fill="auto"/>
            <w:noWrap/>
            <w:vAlign w:val="bottom"/>
          </w:tcPr>
          <w:p w14:paraId="0D2E1855" w14:textId="77777777" w:rsidR="00FC2A8B" w:rsidRPr="00BB0D9C" w:rsidRDefault="00FC2A8B" w:rsidP="000132C6">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diagStripe" w:color="auto" w:fill="auto"/>
            <w:noWrap/>
            <w:vAlign w:val="bottom"/>
          </w:tcPr>
          <w:p w14:paraId="3C6838B1" w14:textId="77777777" w:rsidR="00FC2A8B" w:rsidRPr="00BB0D9C" w:rsidRDefault="00FC2A8B" w:rsidP="000132C6">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diagStripe" w:color="auto" w:fill="auto"/>
            <w:noWrap/>
            <w:vAlign w:val="bottom"/>
          </w:tcPr>
          <w:p w14:paraId="0553A08B" w14:textId="77777777" w:rsidR="00FC2A8B" w:rsidRPr="00BB0D9C" w:rsidRDefault="00FC2A8B" w:rsidP="000132C6">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12" w:space="0" w:color="000000" w:themeColor="text1"/>
              <w:right w:val="single" w:sz="12" w:space="0" w:color="auto"/>
            </w:tcBorders>
            <w:shd w:val="diagStripe" w:color="auto" w:fill="auto"/>
            <w:noWrap/>
            <w:vAlign w:val="bottom"/>
          </w:tcPr>
          <w:p w14:paraId="7442977C" w14:textId="77777777" w:rsidR="00FC2A8B" w:rsidRPr="00BB0D9C" w:rsidRDefault="00FC2A8B" w:rsidP="000132C6">
            <w:pPr>
              <w:spacing w:after="0"/>
              <w:rPr>
                <w:rFonts w:cs="Times New Roman"/>
                <w:color w:val="000000"/>
              </w:rPr>
            </w:pPr>
          </w:p>
        </w:tc>
        <w:tc>
          <w:tcPr>
            <w:tcW w:w="1093" w:type="dxa"/>
            <w:tcBorders>
              <w:top w:val="single" w:sz="2" w:space="0" w:color="A6A6A6" w:themeColor="background1" w:themeShade="A6"/>
              <w:left w:val="single" w:sz="2" w:space="0" w:color="A6A6A6" w:themeColor="background1" w:themeShade="A6"/>
              <w:bottom w:val="single" w:sz="12" w:space="0" w:color="000000" w:themeColor="text1"/>
              <w:right w:val="single" w:sz="12" w:space="0" w:color="auto"/>
            </w:tcBorders>
            <w:shd w:val="clear" w:color="auto" w:fill="auto"/>
          </w:tcPr>
          <w:p w14:paraId="39BA6995" w14:textId="77777777" w:rsidR="00FC2A8B" w:rsidRPr="00BB0D9C" w:rsidRDefault="00FC2A8B" w:rsidP="000132C6">
            <w:pPr>
              <w:spacing w:after="0"/>
              <w:jc w:val="center"/>
              <w:rPr>
                <w:rFonts w:cs="Times New Roman"/>
                <w:color w:val="000000"/>
              </w:rPr>
            </w:pPr>
            <w:r w:rsidRPr="00BB0D9C">
              <w:rPr>
                <w:rFonts w:cs="Times New Roman"/>
                <w:color w:val="000000"/>
              </w:rPr>
              <w:t>=</w:t>
            </w:r>
          </w:p>
        </w:tc>
      </w:tr>
      <w:tr w:rsidR="00FC2A8B" w:rsidRPr="00BB0D9C" w14:paraId="0A9A7CA6" w14:textId="77777777" w:rsidTr="000132C6">
        <w:trPr>
          <w:trHeight w:val="281"/>
        </w:trPr>
        <w:tc>
          <w:tcPr>
            <w:tcW w:w="1701" w:type="dxa"/>
            <w:vMerge w:val="restart"/>
            <w:tcBorders>
              <w:top w:val="single" w:sz="12" w:space="0" w:color="000000" w:themeColor="text1"/>
              <w:left w:val="single" w:sz="12" w:space="0" w:color="auto"/>
              <w:bottom w:val="single" w:sz="2" w:space="0" w:color="A6A6A6" w:themeColor="background1" w:themeShade="A6"/>
              <w:right w:val="single" w:sz="2" w:space="0" w:color="A6A6A6" w:themeColor="background1" w:themeShade="A6"/>
            </w:tcBorders>
            <w:shd w:val="clear" w:color="000000" w:fill="BFBFBF"/>
            <w:noWrap/>
            <w:vAlign w:val="center"/>
            <w:hideMark/>
          </w:tcPr>
          <w:p w14:paraId="7760DE98" w14:textId="77777777" w:rsidR="00FC2A8B" w:rsidRPr="009A2F7A" w:rsidRDefault="00FC2A8B" w:rsidP="000132C6">
            <w:pPr>
              <w:widowControl w:val="0"/>
              <w:suppressAutoHyphens/>
              <w:spacing w:after="0"/>
              <w:rPr>
                <w:rFonts w:eastAsia="Times New Roman" w:cs="Times New Roman"/>
                <w:b/>
                <w:bCs/>
                <w:color w:val="000000"/>
                <w:sz w:val="21"/>
                <w:szCs w:val="21"/>
              </w:rPr>
            </w:pPr>
            <w:r w:rsidRPr="009A2F7A">
              <w:rPr>
                <w:b/>
                <w:bCs/>
                <w:color w:val="000000"/>
                <w:sz w:val="21"/>
                <w:szCs w:val="21"/>
              </w:rPr>
              <w:t>Monitoreo de la producción</w:t>
            </w:r>
          </w:p>
        </w:tc>
        <w:tc>
          <w:tcPr>
            <w:tcW w:w="4395"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center"/>
            <w:hideMark/>
          </w:tcPr>
          <w:p w14:paraId="5A485E95" w14:textId="77777777" w:rsidR="00FC2A8B" w:rsidRPr="00BB0D9C" w:rsidRDefault="00FC2A8B" w:rsidP="000132C6">
            <w:pPr>
              <w:widowControl w:val="0"/>
              <w:suppressAutoHyphens/>
              <w:spacing w:after="0"/>
              <w:rPr>
                <w:rFonts w:eastAsia="Times New Roman" w:cs="Times New Roman"/>
                <w:color w:val="000000"/>
                <w:szCs w:val="22"/>
              </w:rPr>
            </w:pPr>
            <w:r w:rsidRPr="00BB0D9C">
              <w:rPr>
                <w:color w:val="000000"/>
                <w:szCs w:val="22"/>
              </w:rPr>
              <w:t>Datos sobre exploración (</w:t>
            </w:r>
            <w:proofErr w:type="spellStart"/>
            <w:r w:rsidRPr="00BB0D9C">
              <w:rPr>
                <w:color w:val="000000"/>
                <w:szCs w:val="22"/>
              </w:rPr>
              <w:t>n.°</w:t>
            </w:r>
            <w:proofErr w:type="spellEnd"/>
            <w:r w:rsidRPr="00BB0D9C">
              <w:rPr>
                <w:color w:val="000000"/>
                <w:szCs w:val="22"/>
              </w:rPr>
              <w:t> 3.1)</w:t>
            </w:r>
          </w:p>
        </w:tc>
        <w:tc>
          <w:tcPr>
            <w:tcW w:w="490"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Pr>
          <w:p w14:paraId="25617397" w14:textId="77777777" w:rsidR="00FC2A8B" w:rsidRPr="00BB0D9C" w:rsidRDefault="00FC2A8B" w:rsidP="000132C6">
            <w:pPr>
              <w:spacing w:after="0"/>
              <w:rPr>
                <w:rFonts w:cs="Times New Roman"/>
                <w:color w:val="000000"/>
              </w:rPr>
            </w:pPr>
          </w:p>
        </w:tc>
        <w:tc>
          <w:tcPr>
            <w:tcW w:w="490"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tcPr>
          <w:p w14:paraId="269C2C31" w14:textId="77777777" w:rsidR="00FC2A8B" w:rsidRPr="00BB0D9C" w:rsidRDefault="00FC2A8B" w:rsidP="000132C6">
            <w:pPr>
              <w:spacing w:after="0"/>
              <w:rPr>
                <w:rFonts w:cs="Times New Roman"/>
                <w:color w:val="000000"/>
              </w:rPr>
            </w:pPr>
          </w:p>
        </w:tc>
        <w:tc>
          <w:tcPr>
            <w:tcW w:w="490"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tcPr>
          <w:p w14:paraId="50582074" w14:textId="77777777" w:rsidR="00FC2A8B" w:rsidRPr="00BB0D9C" w:rsidRDefault="00FC2A8B" w:rsidP="000132C6">
            <w:pPr>
              <w:spacing w:after="0"/>
              <w:rPr>
                <w:rFonts w:cs="Times New Roman"/>
                <w:color w:val="000000"/>
              </w:rPr>
            </w:pPr>
          </w:p>
        </w:tc>
        <w:tc>
          <w:tcPr>
            <w:tcW w:w="490"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2C8C2D"/>
            <w:noWrap/>
            <w:vAlign w:val="bottom"/>
          </w:tcPr>
          <w:p w14:paraId="5FE1D502" w14:textId="77777777" w:rsidR="00FC2A8B" w:rsidRPr="00BB0D9C" w:rsidRDefault="00FC2A8B" w:rsidP="000132C6">
            <w:pPr>
              <w:spacing w:after="0"/>
              <w:rPr>
                <w:rFonts w:cs="Times New Roman"/>
                <w:color w:val="000000"/>
              </w:rPr>
            </w:pPr>
          </w:p>
        </w:tc>
        <w:tc>
          <w:tcPr>
            <w:tcW w:w="490" w:type="dxa"/>
            <w:tcBorders>
              <w:top w:val="single" w:sz="12" w:space="0" w:color="000000" w:themeColor="text1"/>
              <w:left w:val="single" w:sz="2" w:space="0" w:color="A6A6A6" w:themeColor="background1" w:themeShade="A6"/>
              <w:bottom w:val="single" w:sz="2" w:space="0" w:color="A6A6A6" w:themeColor="background1" w:themeShade="A6"/>
              <w:right w:val="single" w:sz="12" w:space="0" w:color="auto"/>
            </w:tcBorders>
            <w:shd w:val="clear" w:color="auto" w:fill="auto"/>
            <w:noWrap/>
            <w:vAlign w:val="bottom"/>
          </w:tcPr>
          <w:p w14:paraId="75B5A9E1" w14:textId="77777777" w:rsidR="00FC2A8B" w:rsidRPr="00BB0D9C" w:rsidRDefault="00FC2A8B" w:rsidP="000132C6">
            <w:pPr>
              <w:spacing w:after="0"/>
              <w:rPr>
                <w:rFonts w:cs="Times New Roman"/>
                <w:color w:val="000000"/>
              </w:rPr>
            </w:pPr>
          </w:p>
        </w:tc>
        <w:tc>
          <w:tcPr>
            <w:tcW w:w="1093" w:type="dxa"/>
            <w:tcBorders>
              <w:top w:val="single" w:sz="12" w:space="0" w:color="000000" w:themeColor="text1"/>
              <w:left w:val="single" w:sz="2" w:space="0" w:color="A6A6A6" w:themeColor="background1" w:themeShade="A6"/>
              <w:bottom w:val="single" w:sz="2" w:space="0" w:color="A6A6A6" w:themeColor="background1" w:themeShade="A6"/>
              <w:right w:val="single" w:sz="12" w:space="0" w:color="auto"/>
            </w:tcBorders>
            <w:shd w:val="clear" w:color="auto" w:fill="auto"/>
          </w:tcPr>
          <w:p w14:paraId="55431C1E" w14:textId="77777777" w:rsidR="00FC2A8B" w:rsidRPr="00BB0D9C" w:rsidRDefault="00FC2A8B" w:rsidP="000132C6">
            <w:pPr>
              <w:spacing w:after="0"/>
              <w:jc w:val="center"/>
              <w:rPr>
                <w:rFonts w:cs="Times New Roman"/>
                <w:color w:val="000000"/>
              </w:rPr>
            </w:pPr>
            <w:r w:rsidRPr="00BB0D9C">
              <w:rPr>
                <w:rFonts w:cs="Times New Roman"/>
                <w:color w:val="000000"/>
              </w:rPr>
              <w:t>=</w:t>
            </w:r>
          </w:p>
        </w:tc>
      </w:tr>
      <w:tr w:rsidR="00FC2A8B" w:rsidRPr="00BB0D9C" w14:paraId="5086199E" w14:textId="77777777" w:rsidTr="000132C6">
        <w:trPr>
          <w:trHeight w:val="300"/>
        </w:trPr>
        <w:tc>
          <w:tcPr>
            <w:tcW w:w="1701" w:type="dxa"/>
            <w:vMerge/>
            <w:tcBorders>
              <w:top w:val="single" w:sz="2" w:space="0" w:color="A6A6A6" w:themeColor="background1" w:themeShade="A6"/>
              <w:left w:val="single" w:sz="12" w:space="0" w:color="auto"/>
              <w:bottom w:val="single" w:sz="2" w:space="0" w:color="A6A6A6" w:themeColor="background1" w:themeShade="A6"/>
              <w:right w:val="single" w:sz="2" w:space="0" w:color="A6A6A6" w:themeColor="background1" w:themeShade="A6"/>
            </w:tcBorders>
            <w:vAlign w:val="center"/>
            <w:hideMark/>
          </w:tcPr>
          <w:p w14:paraId="63ACA64C" w14:textId="77777777" w:rsidR="00FC2A8B" w:rsidRPr="009A2F7A" w:rsidRDefault="00FC2A8B" w:rsidP="000132C6">
            <w:pPr>
              <w:spacing w:after="0"/>
              <w:rPr>
                <w:rFonts w:cs="Times New Roman"/>
                <w:b/>
                <w:bCs/>
                <w:color w:val="000000"/>
                <w:sz w:val="21"/>
                <w:szCs w:val="21"/>
              </w:rPr>
            </w:pPr>
          </w:p>
        </w:tc>
        <w:tc>
          <w:tcPr>
            <w:tcW w:w="439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center"/>
            <w:hideMark/>
          </w:tcPr>
          <w:p w14:paraId="7174A213" w14:textId="77777777" w:rsidR="00FC2A8B" w:rsidRPr="00BB0D9C" w:rsidRDefault="00FC2A8B" w:rsidP="000132C6">
            <w:pPr>
              <w:spacing w:after="0"/>
              <w:rPr>
                <w:rFonts w:cs="Times New Roman"/>
                <w:color w:val="000000"/>
              </w:rPr>
            </w:pPr>
            <w:r w:rsidRPr="00BB0D9C">
              <w:rPr>
                <w:color w:val="000000"/>
                <w:szCs w:val="22"/>
              </w:rPr>
              <w:t>Datos sobre producción (</w:t>
            </w:r>
            <w:proofErr w:type="spellStart"/>
            <w:r w:rsidRPr="00BB0D9C">
              <w:rPr>
                <w:color w:val="000000"/>
                <w:szCs w:val="22"/>
              </w:rPr>
              <w:t>n.°</w:t>
            </w:r>
            <w:proofErr w:type="spellEnd"/>
            <w:r w:rsidRPr="00BB0D9C">
              <w:rPr>
                <w:color w:val="000000"/>
                <w:szCs w:val="22"/>
              </w:rPr>
              <w:t> 3.2)</w:t>
            </w: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Pr>
          <w:p w14:paraId="227AA565" w14:textId="77777777" w:rsidR="00FC2A8B" w:rsidRPr="00BB0D9C" w:rsidRDefault="00FC2A8B" w:rsidP="000132C6">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tcPr>
          <w:p w14:paraId="5627DC25" w14:textId="77777777" w:rsidR="00FC2A8B" w:rsidRPr="00BB0D9C" w:rsidRDefault="00FC2A8B" w:rsidP="000132C6">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tcPr>
          <w:p w14:paraId="52356A15" w14:textId="77777777" w:rsidR="00FC2A8B" w:rsidRPr="00BB0D9C" w:rsidRDefault="00FC2A8B" w:rsidP="000132C6">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2C8C2D"/>
            <w:noWrap/>
            <w:vAlign w:val="bottom"/>
          </w:tcPr>
          <w:p w14:paraId="66337E05" w14:textId="77777777" w:rsidR="00FC2A8B" w:rsidRPr="00BB0D9C" w:rsidRDefault="00FC2A8B" w:rsidP="000132C6">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auto"/>
            <w:noWrap/>
            <w:vAlign w:val="bottom"/>
          </w:tcPr>
          <w:p w14:paraId="60767037" w14:textId="77777777" w:rsidR="00FC2A8B" w:rsidRPr="00BB0D9C" w:rsidRDefault="00FC2A8B" w:rsidP="000132C6">
            <w:pPr>
              <w:spacing w:after="0"/>
              <w:rPr>
                <w:rFonts w:cs="Times New Roman"/>
                <w:color w:val="000000"/>
              </w:rPr>
            </w:pPr>
          </w:p>
        </w:tc>
        <w:tc>
          <w:tcPr>
            <w:tcW w:w="1093"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auto"/>
          </w:tcPr>
          <w:p w14:paraId="3ABBC51F" w14:textId="77777777" w:rsidR="00FC2A8B" w:rsidRPr="00BB0D9C" w:rsidRDefault="00FC2A8B" w:rsidP="000132C6">
            <w:pPr>
              <w:spacing w:after="0"/>
              <w:jc w:val="center"/>
              <w:rPr>
                <w:rFonts w:cs="Times New Roman"/>
                <w:color w:val="000000"/>
              </w:rPr>
            </w:pPr>
            <w:r w:rsidRPr="00BB0D9C">
              <w:rPr>
                <w:rFonts w:cs="Times New Roman"/>
                <w:color w:val="000000"/>
              </w:rPr>
              <w:t>=</w:t>
            </w:r>
          </w:p>
        </w:tc>
      </w:tr>
      <w:tr w:rsidR="00FC2A8B" w:rsidRPr="00BB0D9C" w14:paraId="71CC11BF" w14:textId="77777777" w:rsidTr="000132C6">
        <w:trPr>
          <w:trHeight w:val="300"/>
        </w:trPr>
        <w:tc>
          <w:tcPr>
            <w:tcW w:w="1701" w:type="dxa"/>
            <w:vMerge/>
            <w:tcBorders>
              <w:top w:val="single" w:sz="2" w:space="0" w:color="A6A6A6" w:themeColor="background1" w:themeShade="A6"/>
              <w:left w:val="single" w:sz="12" w:space="0" w:color="auto"/>
              <w:bottom w:val="single" w:sz="12" w:space="0" w:color="000000" w:themeColor="text1"/>
              <w:right w:val="single" w:sz="2" w:space="0" w:color="A6A6A6" w:themeColor="background1" w:themeShade="A6"/>
            </w:tcBorders>
            <w:vAlign w:val="center"/>
            <w:hideMark/>
          </w:tcPr>
          <w:p w14:paraId="439196B1" w14:textId="77777777" w:rsidR="00FC2A8B" w:rsidRPr="009A2F7A" w:rsidRDefault="00FC2A8B" w:rsidP="000132C6">
            <w:pPr>
              <w:spacing w:after="0"/>
              <w:rPr>
                <w:rFonts w:cs="Times New Roman"/>
                <w:b/>
                <w:bCs/>
                <w:color w:val="000000"/>
                <w:sz w:val="21"/>
                <w:szCs w:val="21"/>
              </w:rPr>
            </w:pPr>
          </w:p>
        </w:tc>
        <w:tc>
          <w:tcPr>
            <w:tcW w:w="4395"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000000" w:fill="FFFFFF"/>
            <w:noWrap/>
            <w:vAlign w:val="center"/>
            <w:hideMark/>
          </w:tcPr>
          <w:p w14:paraId="434EEB67" w14:textId="77777777" w:rsidR="00FC2A8B" w:rsidRPr="00BB0D9C" w:rsidRDefault="00FC2A8B" w:rsidP="000132C6">
            <w:pPr>
              <w:spacing w:after="0"/>
              <w:rPr>
                <w:rFonts w:cs="Times New Roman"/>
                <w:color w:val="000000"/>
              </w:rPr>
            </w:pPr>
            <w:r w:rsidRPr="00BB0D9C">
              <w:rPr>
                <w:color w:val="000000"/>
                <w:szCs w:val="22"/>
              </w:rPr>
              <w:t>Datos sobre exportación (</w:t>
            </w:r>
            <w:proofErr w:type="spellStart"/>
            <w:r w:rsidRPr="00BB0D9C">
              <w:rPr>
                <w:color w:val="000000"/>
                <w:szCs w:val="22"/>
              </w:rPr>
              <w:t>n.°</w:t>
            </w:r>
            <w:proofErr w:type="spellEnd"/>
            <w:r w:rsidRPr="00BB0D9C">
              <w:rPr>
                <w:color w:val="000000"/>
                <w:szCs w:val="22"/>
              </w:rPr>
              <w:t> 3.3)</w:t>
            </w:r>
          </w:p>
        </w:tc>
        <w:tc>
          <w:tcPr>
            <w:tcW w:w="490"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auto" w:fill="auto"/>
          </w:tcPr>
          <w:p w14:paraId="45A9A5DC" w14:textId="77777777" w:rsidR="00FC2A8B" w:rsidRPr="00BB0D9C" w:rsidRDefault="00FC2A8B" w:rsidP="000132C6">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auto" w:fill="auto"/>
            <w:noWrap/>
            <w:vAlign w:val="bottom"/>
          </w:tcPr>
          <w:p w14:paraId="184CC1CA" w14:textId="77777777" w:rsidR="00FC2A8B" w:rsidRPr="00BB0D9C" w:rsidRDefault="00FC2A8B" w:rsidP="000132C6">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auto" w:fill="auto"/>
            <w:noWrap/>
            <w:vAlign w:val="bottom"/>
          </w:tcPr>
          <w:p w14:paraId="53B32631" w14:textId="77777777" w:rsidR="00FC2A8B" w:rsidRPr="00BB0D9C" w:rsidRDefault="00FC2A8B" w:rsidP="000132C6">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auto" w:fill="2C8C2D"/>
            <w:noWrap/>
            <w:vAlign w:val="bottom"/>
          </w:tcPr>
          <w:p w14:paraId="1ACD0E67" w14:textId="77777777" w:rsidR="00FC2A8B" w:rsidRPr="00BB0D9C" w:rsidRDefault="00FC2A8B" w:rsidP="000132C6">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12" w:space="0" w:color="000000" w:themeColor="text1"/>
              <w:right w:val="single" w:sz="12" w:space="0" w:color="auto"/>
            </w:tcBorders>
            <w:shd w:val="clear" w:color="auto" w:fill="auto"/>
            <w:noWrap/>
            <w:vAlign w:val="bottom"/>
          </w:tcPr>
          <w:p w14:paraId="47AE4EC6" w14:textId="77777777" w:rsidR="00FC2A8B" w:rsidRPr="00BB0D9C" w:rsidRDefault="00FC2A8B" w:rsidP="000132C6">
            <w:pPr>
              <w:spacing w:after="0"/>
              <w:rPr>
                <w:rFonts w:cs="Times New Roman"/>
                <w:color w:val="000000"/>
              </w:rPr>
            </w:pPr>
          </w:p>
        </w:tc>
        <w:tc>
          <w:tcPr>
            <w:tcW w:w="1093" w:type="dxa"/>
            <w:tcBorders>
              <w:top w:val="single" w:sz="2" w:space="0" w:color="A6A6A6" w:themeColor="background1" w:themeShade="A6"/>
              <w:left w:val="single" w:sz="2" w:space="0" w:color="A6A6A6" w:themeColor="background1" w:themeShade="A6"/>
              <w:bottom w:val="single" w:sz="12" w:space="0" w:color="000000" w:themeColor="text1"/>
              <w:right w:val="single" w:sz="12" w:space="0" w:color="auto"/>
            </w:tcBorders>
            <w:shd w:val="clear" w:color="auto" w:fill="auto"/>
          </w:tcPr>
          <w:p w14:paraId="0510D51B" w14:textId="77777777" w:rsidR="00FC2A8B" w:rsidRPr="00BB0D9C" w:rsidRDefault="00FC2A8B" w:rsidP="000132C6">
            <w:pPr>
              <w:spacing w:after="0"/>
              <w:jc w:val="center"/>
              <w:rPr>
                <w:rFonts w:cs="Times New Roman"/>
                <w:color w:val="000000"/>
              </w:rPr>
            </w:pPr>
            <w:r w:rsidRPr="00BB0D9C">
              <w:rPr>
                <w:rFonts w:cs="Times New Roman"/>
                <w:color w:val="000000"/>
              </w:rPr>
              <w:t>=</w:t>
            </w:r>
          </w:p>
        </w:tc>
      </w:tr>
      <w:tr w:rsidR="00FC2A8B" w:rsidRPr="00BB0D9C" w14:paraId="20477C18" w14:textId="77777777" w:rsidTr="000132C6">
        <w:trPr>
          <w:trHeight w:val="285"/>
        </w:trPr>
        <w:tc>
          <w:tcPr>
            <w:tcW w:w="1701" w:type="dxa"/>
            <w:vMerge w:val="restart"/>
            <w:tcBorders>
              <w:top w:val="single" w:sz="12" w:space="0" w:color="000000" w:themeColor="text1"/>
              <w:left w:val="single" w:sz="12" w:space="0" w:color="auto"/>
              <w:bottom w:val="single" w:sz="2" w:space="0" w:color="A6A6A6" w:themeColor="background1" w:themeShade="A6"/>
              <w:right w:val="single" w:sz="2" w:space="0" w:color="A6A6A6" w:themeColor="background1" w:themeShade="A6"/>
            </w:tcBorders>
            <w:shd w:val="clear" w:color="000000" w:fill="BFBFBF"/>
            <w:noWrap/>
            <w:vAlign w:val="center"/>
            <w:hideMark/>
          </w:tcPr>
          <w:p w14:paraId="3CD1BB48" w14:textId="77777777" w:rsidR="00FC2A8B" w:rsidRPr="009A2F7A" w:rsidRDefault="00FC2A8B" w:rsidP="000132C6">
            <w:pPr>
              <w:widowControl w:val="0"/>
              <w:suppressAutoHyphens/>
              <w:spacing w:after="0"/>
              <w:rPr>
                <w:rFonts w:eastAsia="Times New Roman" w:cs="Times New Roman"/>
                <w:b/>
                <w:bCs/>
                <w:color w:val="000000"/>
                <w:sz w:val="21"/>
                <w:szCs w:val="21"/>
              </w:rPr>
            </w:pPr>
            <w:r w:rsidRPr="009A2F7A">
              <w:rPr>
                <w:b/>
                <w:bCs/>
                <w:color w:val="000000"/>
                <w:sz w:val="21"/>
                <w:szCs w:val="21"/>
              </w:rPr>
              <w:t>Recaudación de ingresos</w:t>
            </w:r>
          </w:p>
        </w:tc>
        <w:tc>
          <w:tcPr>
            <w:tcW w:w="4395"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center"/>
            <w:hideMark/>
          </w:tcPr>
          <w:p w14:paraId="550A8C67" w14:textId="77777777" w:rsidR="00FC2A8B" w:rsidRPr="00BB0D9C" w:rsidRDefault="00FC2A8B" w:rsidP="000132C6">
            <w:pPr>
              <w:widowControl w:val="0"/>
              <w:suppressAutoHyphens/>
              <w:spacing w:after="0"/>
              <w:rPr>
                <w:rFonts w:eastAsia="Times New Roman" w:cs="Times New Roman"/>
                <w:color w:val="000000"/>
                <w:szCs w:val="22"/>
              </w:rPr>
            </w:pPr>
            <w:r w:rsidRPr="00BB0D9C">
              <w:rPr>
                <w:color w:val="000000"/>
                <w:szCs w:val="22"/>
              </w:rPr>
              <w:t>Exhaustividad (</w:t>
            </w:r>
            <w:proofErr w:type="spellStart"/>
            <w:r w:rsidRPr="00BB0D9C">
              <w:rPr>
                <w:color w:val="000000"/>
                <w:szCs w:val="22"/>
              </w:rPr>
              <w:t>n.°</w:t>
            </w:r>
            <w:proofErr w:type="spellEnd"/>
            <w:r w:rsidRPr="00BB0D9C">
              <w:rPr>
                <w:color w:val="000000"/>
                <w:szCs w:val="22"/>
              </w:rPr>
              <w:t> 4.1)</w:t>
            </w:r>
          </w:p>
        </w:tc>
        <w:tc>
          <w:tcPr>
            <w:tcW w:w="490"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Pr>
          <w:p w14:paraId="10B91DB1" w14:textId="77777777" w:rsidR="00FC2A8B" w:rsidRPr="00BB0D9C" w:rsidRDefault="00FC2A8B" w:rsidP="000132C6">
            <w:pPr>
              <w:spacing w:after="0"/>
              <w:rPr>
                <w:rFonts w:cs="Times New Roman"/>
                <w:color w:val="000000"/>
              </w:rPr>
            </w:pPr>
          </w:p>
        </w:tc>
        <w:tc>
          <w:tcPr>
            <w:tcW w:w="490"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tcPr>
          <w:p w14:paraId="28B4D3B6" w14:textId="77777777" w:rsidR="00FC2A8B" w:rsidRPr="00BB0D9C" w:rsidRDefault="00FC2A8B" w:rsidP="000132C6">
            <w:pPr>
              <w:spacing w:after="0"/>
              <w:rPr>
                <w:rFonts w:cs="Times New Roman"/>
                <w:color w:val="000000"/>
              </w:rPr>
            </w:pPr>
            <w:r w:rsidRPr="00BB0D9C">
              <w:rPr>
                <w:rFonts w:ascii="Calibri" w:hAnsi="Calibri" w:cs="Times New Roman"/>
                <w:color w:val="000000"/>
                <w:lang w:eastAsia="en-GB"/>
              </w:rPr>
              <w:t> </w:t>
            </w:r>
          </w:p>
        </w:tc>
        <w:tc>
          <w:tcPr>
            <w:tcW w:w="490"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FFFFF" w:themeFill="background1"/>
            <w:noWrap/>
            <w:vAlign w:val="bottom"/>
          </w:tcPr>
          <w:p w14:paraId="3C2AC0BD" w14:textId="77777777" w:rsidR="00FC2A8B" w:rsidRPr="00BB0D9C" w:rsidRDefault="00FC2A8B" w:rsidP="000132C6">
            <w:pPr>
              <w:spacing w:after="0" w:line="240" w:lineRule="auto"/>
              <w:rPr>
                <w:rFonts w:ascii="Calibri" w:eastAsia="Times New Roman" w:hAnsi="Calibri" w:cs="Times New Roman"/>
                <w:color w:val="000000"/>
                <w:szCs w:val="22"/>
                <w:lang w:eastAsia="en-GB"/>
              </w:rPr>
            </w:pPr>
            <w:r w:rsidRPr="00BB0D9C">
              <w:rPr>
                <w:rFonts w:ascii="Calibri" w:hAnsi="Calibri" w:cs="Times New Roman"/>
                <w:color w:val="000000"/>
                <w:lang w:eastAsia="en-GB"/>
              </w:rPr>
              <w:t> </w:t>
            </w:r>
          </w:p>
        </w:tc>
        <w:tc>
          <w:tcPr>
            <w:tcW w:w="490"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2C8C2D"/>
            <w:noWrap/>
            <w:vAlign w:val="bottom"/>
          </w:tcPr>
          <w:p w14:paraId="4F30E169" w14:textId="77777777" w:rsidR="00FC2A8B" w:rsidRPr="00BB0D9C" w:rsidRDefault="00FC2A8B" w:rsidP="000132C6">
            <w:pPr>
              <w:spacing w:after="0" w:line="240" w:lineRule="auto"/>
              <w:rPr>
                <w:rFonts w:ascii="Calibri" w:eastAsia="Times New Roman" w:hAnsi="Calibri" w:cs="Times New Roman"/>
                <w:color w:val="000000"/>
                <w:szCs w:val="22"/>
                <w:lang w:eastAsia="en-GB"/>
              </w:rPr>
            </w:pPr>
          </w:p>
        </w:tc>
        <w:tc>
          <w:tcPr>
            <w:tcW w:w="490" w:type="dxa"/>
            <w:tcBorders>
              <w:top w:val="single" w:sz="12" w:space="0" w:color="000000" w:themeColor="text1"/>
              <w:left w:val="single" w:sz="2" w:space="0" w:color="A6A6A6" w:themeColor="background1" w:themeShade="A6"/>
              <w:bottom w:val="single" w:sz="2" w:space="0" w:color="A6A6A6" w:themeColor="background1" w:themeShade="A6"/>
              <w:right w:val="single" w:sz="12" w:space="0" w:color="auto"/>
            </w:tcBorders>
            <w:shd w:val="clear" w:color="auto" w:fill="auto"/>
            <w:noWrap/>
            <w:vAlign w:val="bottom"/>
          </w:tcPr>
          <w:p w14:paraId="21444F50" w14:textId="77777777" w:rsidR="00FC2A8B" w:rsidRPr="00BB0D9C" w:rsidRDefault="00FC2A8B" w:rsidP="000132C6">
            <w:pPr>
              <w:spacing w:after="0"/>
              <w:rPr>
                <w:rFonts w:cs="Times New Roman"/>
                <w:color w:val="000000"/>
              </w:rPr>
            </w:pPr>
          </w:p>
        </w:tc>
        <w:tc>
          <w:tcPr>
            <w:tcW w:w="1093" w:type="dxa"/>
            <w:tcBorders>
              <w:top w:val="single" w:sz="12" w:space="0" w:color="000000" w:themeColor="text1"/>
              <w:left w:val="single" w:sz="2" w:space="0" w:color="A6A6A6" w:themeColor="background1" w:themeShade="A6"/>
              <w:bottom w:val="single" w:sz="2" w:space="0" w:color="A6A6A6" w:themeColor="background1" w:themeShade="A6"/>
              <w:right w:val="single" w:sz="12" w:space="0" w:color="auto"/>
            </w:tcBorders>
            <w:shd w:val="clear" w:color="auto" w:fill="auto"/>
          </w:tcPr>
          <w:p w14:paraId="54A3858E" w14:textId="77777777" w:rsidR="00FC2A8B" w:rsidRPr="00BB0D9C" w:rsidRDefault="00FC2A8B" w:rsidP="000132C6">
            <w:pPr>
              <w:spacing w:after="0"/>
              <w:jc w:val="center"/>
              <w:rPr>
                <w:rFonts w:cs="Times New Roman"/>
                <w:color w:val="000000"/>
              </w:rPr>
            </w:pPr>
            <w:r w:rsidRPr="00BB0D9C">
              <w:rPr>
                <w:rFonts w:cs="Times New Roman"/>
                <w:color w:val="000000"/>
              </w:rPr>
              <w:sym w:font="Symbol" w:char="F0AE"/>
            </w:r>
          </w:p>
        </w:tc>
      </w:tr>
      <w:tr w:rsidR="00FC2A8B" w:rsidRPr="00BB0D9C" w14:paraId="322530BD" w14:textId="77777777" w:rsidTr="000132C6">
        <w:trPr>
          <w:trHeight w:val="53"/>
        </w:trPr>
        <w:tc>
          <w:tcPr>
            <w:tcW w:w="1701" w:type="dxa"/>
            <w:vMerge/>
            <w:tcBorders>
              <w:top w:val="single" w:sz="2" w:space="0" w:color="A6A6A6" w:themeColor="background1" w:themeShade="A6"/>
              <w:left w:val="single" w:sz="12" w:space="0" w:color="auto"/>
              <w:bottom w:val="single" w:sz="2" w:space="0" w:color="A6A6A6" w:themeColor="background1" w:themeShade="A6"/>
              <w:right w:val="single" w:sz="2" w:space="0" w:color="A6A6A6" w:themeColor="background1" w:themeShade="A6"/>
            </w:tcBorders>
            <w:vAlign w:val="center"/>
            <w:hideMark/>
          </w:tcPr>
          <w:p w14:paraId="71706095" w14:textId="77777777" w:rsidR="00FC2A8B" w:rsidRPr="009A2F7A" w:rsidRDefault="00FC2A8B" w:rsidP="000132C6">
            <w:pPr>
              <w:spacing w:after="0"/>
              <w:rPr>
                <w:rFonts w:cs="Times New Roman"/>
                <w:b/>
                <w:bCs/>
                <w:color w:val="000000"/>
                <w:sz w:val="21"/>
                <w:szCs w:val="21"/>
              </w:rPr>
            </w:pPr>
          </w:p>
        </w:tc>
        <w:tc>
          <w:tcPr>
            <w:tcW w:w="439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center"/>
            <w:hideMark/>
          </w:tcPr>
          <w:p w14:paraId="7F363959" w14:textId="77777777" w:rsidR="00FC2A8B" w:rsidRPr="00BB0D9C" w:rsidRDefault="00FC2A8B" w:rsidP="000132C6">
            <w:pPr>
              <w:spacing w:after="0"/>
              <w:rPr>
                <w:rFonts w:cs="Times New Roman"/>
                <w:color w:val="000000"/>
              </w:rPr>
            </w:pPr>
            <w:r w:rsidRPr="00BB0D9C">
              <w:rPr>
                <w:color w:val="000000"/>
                <w:szCs w:val="22"/>
              </w:rPr>
              <w:t>Ingresos en especie (</w:t>
            </w:r>
            <w:proofErr w:type="spellStart"/>
            <w:r w:rsidRPr="00BB0D9C">
              <w:rPr>
                <w:color w:val="000000"/>
                <w:szCs w:val="22"/>
              </w:rPr>
              <w:t>n.°</w:t>
            </w:r>
            <w:proofErr w:type="spellEnd"/>
            <w:r w:rsidRPr="00BB0D9C">
              <w:rPr>
                <w:color w:val="000000"/>
                <w:szCs w:val="22"/>
              </w:rPr>
              <w:t> 4.2)</w:t>
            </w: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auto"/>
          </w:tcPr>
          <w:p w14:paraId="5E430A09" w14:textId="77777777" w:rsidR="00FC2A8B" w:rsidRPr="00BB0D9C" w:rsidRDefault="00FC2A8B" w:rsidP="000132C6">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auto"/>
            <w:noWrap/>
            <w:vAlign w:val="bottom"/>
          </w:tcPr>
          <w:p w14:paraId="4CE4DB1A" w14:textId="77777777" w:rsidR="00FC2A8B" w:rsidRPr="00BB0D9C" w:rsidRDefault="00FC2A8B" w:rsidP="000132C6">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auto"/>
            <w:noWrap/>
            <w:vAlign w:val="bottom"/>
          </w:tcPr>
          <w:p w14:paraId="02B65A80" w14:textId="77777777" w:rsidR="00FC2A8B" w:rsidRPr="00BB0D9C" w:rsidRDefault="00FC2A8B" w:rsidP="000132C6">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auto"/>
            <w:noWrap/>
            <w:vAlign w:val="bottom"/>
          </w:tcPr>
          <w:p w14:paraId="28BAA31D" w14:textId="77777777" w:rsidR="00FC2A8B" w:rsidRPr="00BB0D9C" w:rsidRDefault="00FC2A8B" w:rsidP="000132C6">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diagStripe" w:color="auto" w:fill="auto"/>
            <w:noWrap/>
            <w:vAlign w:val="bottom"/>
          </w:tcPr>
          <w:p w14:paraId="1B105560" w14:textId="77777777" w:rsidR="00FC2A8B" w:rsidRPr="00BB0D9C" w:rsidRDefault="00FC2A8B" w:rsidP="000132C6">
            <w:pPr>
              <w:spacing w:after="0"/>
              <w:rPr>
                <w:rFonts w:cs="Times New Roman"/>
                <w:color w:val="000000"/>
              </w:rPr>
            </w:pPr>
          </w:p>
        </w:tc>
        <w:tc>
          <w:tcPr>
            <w:tcW w:w="1093"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auto"/>
          </w:tcPr>
          <w:p w14:paraId="5CA7F314" w14:textId="77777777" w:rsidR="00FC2A8B" w:rsidRPr="00BB0D9C" w:rsidRDefault="00FC2A8B" w:rsidP="000132C6">
            <w:pPr>
              <w:spacing w:after="0"/>
              <w:jc w:val="center"/>
              <w:rPr>
                <w:rFonts w:cs="Times New Roman"/>
                <w:color w:val="000000"/>
              </w:rPr>
            </w:pPr>
            <w:r w:rsidRPr="00BB0D9C">
              <w:rPr>
                <w:rFonts w:cs="Times New Roman"/>
                <w:color w:val="000000"/>
              </w:rPr>
              <w:t>=</w:t>
            </w:r>
          </w:p>
        </w:tc>
      </w:tr>
      <w:tr w:rsidR="00FC2A8B" w:rsidRPr="00BB0D9C" w14:paraId="46535B67" w14:textId="77777777" w:rsidTr="000132C6">
        <w:trPr>
          <w:trHeight w:val="77"/>
        </w:trPr>
        <w:tc>
          <w:tcPr>
            <w:tcW w:w="1701" w:type="dxa"/>
            <w:vMerge/>
            <w:tcBorders>
              <w:top w:val="single" w:sz="2" w:space="0" w:color="A6A6A6" w:themeColor="background1" w:themeShade="A6"/>
              <w:left w:val="single" w:sz="12" w:space="0" w:color="auto"/>
              <w:bottom w:val="single" w:sz="2" w:space="0" w:color="A6A6A6" w:themeColor="background1" w:themeShade="A6"/>
              <w:right w:val="single" w:sz="2" w:space="0" w:color="A6A6A6" w:themeColor="background1" w:themeShade="A6"/>
            </w:tcBorders>
            <w:vAlign w:val="center"/>
            <w:hideMark/>
          </w:tcPr>
          <w:p w14:paraId="57CBA0C5" w14:textId="77777777" w:rsidR="00FC2A8B" w:rsidRPr="009A2F7A" w:rsidRDefault="00FC2A8B" w:rsidP="000132C6">
            <w:pPr>
              <w:spacing w:after="0"/>
              <w:rPr>
                <w:rFonts w:cs="Times New Roman"/>
                <w:b/>
                <w:bCs/>
                <w:color w:val="000000"/>
                <w:sz w:val="21"/>
                <w:szCs w:val="21"/>
              </w:rPr>
            </w:pPr>
          </w:p>
        </w:tc>
        <w:tc>
          <w:tcPr>
            <w:tcW w:w="439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center"/>
            <w:hideMark/>
          </w:tcPr>
          <w:p w14:paraId="39E384CD" w14:textId="77777777" w:rsidR="00FC2A8B" w:rsidRPr="00BB0D9C" w:rsidRDefault="00FC2A8B" w:rsidP="000132C6">
            <w:pPr>
              <w:spacing w:after="0"/>
              <w:rPr>
                <w:rFonts w:cs="Times New Roman"/>
                <w:color w:val="000000"/>
              </w:rPr>
            </w:pPr>
            <w:r w:rsidRPr="00BB0D9C">
              <w:rPr>
                <w:color w:val="000000"/>
                <w:szCs w:val="22"/>
              </w:rPr>
              <w:t>Acuerdos de permuta (</w:t>
            </w:r>
            <w:proofErr w:type="spellStart"/>
            <w:r w:rsidRPr="00BB0D9C">
              <w:rPr>
                <w:color w:val="000000"/>
                <w:szCs w:val="22"/>
              </w:rPr>
              <w:t>n.°</w:t>
            </w:r>
            <w:proofErr w:type="spellEnd"/>
            <w:r w:rsidRPr="00BB0D9C">
              <w:rPr>
                <w:color w:val="000000"/>
                <w:szCs w:val="22"/>
              </w:rPr>
              <w:t> 4.3)</w:t>
            </w: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auto"/>
          </w:tcPr>
          <w:p w14:paraId="686A8124" w14:textId="77777777" w:rsidR="00FC2A8B" w:rsidRPr="00BB0D9C" w:rsidRDefault="00FC2A8B" w:rsidP="000132C6">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auto"/>
            <w:noWrap/>
            <w:vAlign w:val="bottom"/>
          </w:tcPr>
          <w:p w14:paraId="58E925A8" w14:textId="77777777" w:rsidR="00FC2A8B" w:rsidRPr="00BB0D9C" w:rsidRDefault="00FC2A8B" w:rsidP="000132C6">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auto"/>
            <w:noWrap/>
            <w:vAlign w:val="bottom"/>
          </w:tcPr>
          <w:p w14:paraId="0356873C" w14:textId="77777777" w:rsidR="00FC2A8B" w:rsidRPr="00BB0D9C" w:rsidRDefault="00FC2A8B" w:rsidP="000132C6">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auto"/>
            <w:noWrap/>
            <w:vAlign w:val="bottom"/>
          </w:tcPr>
          <w:p w14:paraId="298EBD2C" w14:textId="77777777" w:rsidR="00FC2A8B" w:rsidRPr="00BB0D9C" w:rsidRDefault="00FC2A8B" w:rsidP="000132C6">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diagStripe" w:color="auto" w:fill="auto"/>
            <w:noWrap/>
            <w:vAlign w:val="bottom"/>
          </w:tcPr>
          <w:p w14:paraId="63FC198C" w14:textId="77777777" w:rsidR="00FC2A8B" w:rsidRPr="00BB0D9C" w:rsidRDefault="00FC2A8B" w:rsidP="000132C6">
            <w:pPr>
              <w:spacing w:after="0"/>
              <w:rPr>
                <w:rFonts w:cs="Times New Roman"/>
                <w:color w:val="000000"/>
              </w:rPr>
            </w:pPr>
          </w:p>
        </w:tc>
        <w:tc>
          <w:tcPr>
            <w:tcW w:w="1093"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auto"/>
          </w:tcPr>
          <w:p w14:paraId="596D0486" w14:textId="77777777" w:rsidR="00FC2A8B" w:rsidRPr="00BB0D9C" w:rsidRDefault="00FC2A8B" w:rsidP="000132C6">
            <w:pPr>
              <w:spacing w:after="0"/>
              <w:jc w:val="center"/>
              <w:rPr>
                <w:rFonts w:cs="Times New Roman"/>
                <w:color w:val="000000"/>
              </w:rPr>
            </w:pPr>
            <w:r w:rsidRPr="00BB0D9C">
              <w:rPr>
                <w:rFonts w:cs="Times New Roman"/>
                <w:color w:val="000000"/>
              </w:rPr>
              <w:t>=</w:t>
            </w:r>
          </w:p>
        </w:tc>
      </w:tr>
      <w:tr w:rsidR="00FC2A8B" w:rsidRPr="00BB0D9C" w14:paraId="753A8673" w14:textId="77777777" w:rsidTr="000132C6">
        <w:trPr>
          <w:trHeight w:val="53"/>
        </w:trPr>
        <w:tc>
          <w:tcPr>
            <w:tcW w:w="1701" w:type="dxa"/>
            <w:vMerge/>
            <w:tcBorders>
              <w:top w:val="single" w:sz="2" w:space="0" w:color="A6A6A6" w:themeColor="background1" w:themeShade="A6"/>
              <w:left w:val="single" w:sz="12" w:space="0" w:color="auto"/>
              <w:bottom w:val="single" w:sz="2" w:space="0" w:color="A6A6A6" w:themeColor="background1" w:themeShade="A6"/>
              <w:right w:val="single" w:sz="2" w:space="0" w:color="A6A6A6" w:themeColor="background1" w:themeShade="A6"/>
            </w:tcBorders>
            <w:vAlign w:val="center"/>
            <w:hideMark/>
          </w:tcPr>
          <w:p w14:paraId="06E64647" w14:textId="77777777" w:rsidR="00FC2A8B" w:rsidRPr="009A2F7A" w:rsidRDefault="00FC2A8B" w:rsidP="000132C6">
            <w:pPr>
              <w:spacing w:after="0"/>
              <w:rPr>
                <w:rFonts w:cs="Times New Roman"/>
                <w:b/>
                <w:bCs/>
                <w:color w:val="000000"/>
                <w:sz w:val="21"/>
                <w:szCs w:val="21"/>
              </w:rPr>
            </w:pPr>
          </w:p>
        </w:tc>
        <w:tc>
          <w:tcPr>
            <w:tcW w:w="439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center"/>
            <w:hideMark/>
          </w:tcPr>
          <w:p w14:paraId="4B22CCB0" w14:textId="77777777" w:rsidR="00FC2A8B" w:rsidRPr="00BB0D9C" w:rsidRDefault="00FC2A8B" w:rsidP="000132C6">
            <w:pPr>
              <w:spacing w:after="0"/>
              <w:rPr>
                <w:rFonts w:cs="Times New Roman"/>
                <w:color w:val="000000"/>
              </w:rPr>
            </w:pPr>
            <w:r w:rsidRPr="00BB0D9C">
              <w:rPr>
                <w:color w:val="000000"/>
                <w:szCs w:val="22"/>
              </w:rPr>
              <w:t>Ingresos por transporte (</w:t>
            </w:r>
            <w:proofErr w:type="spellStart"/>
            <w:r w:rsidRPr="00BB0D9C">
              <w:rPr>
                <w:color w:val="000000"/>
                <w:szCs w:val="22"/>
              </w:rPr>
              <w:t>n.°</w:t>
            </w:r>
            <w:proofErr w:type="spellEnd"/>
            <w:r w:rsidRPr="00BB0D9C">
              <w:rPr>
                <w:color w:val="000000"/>
                <w:szCs w:val="22"/>
              </w:rPr>
              <w:t> 4.4)</w:t>
            </w: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auto"/>
          </w:tcPr>
          <w:p w14:paraId="11134CF0" w14:textId="77777777" w:rsidR="00FC2A8B" w:rsidRPr="00BB0D9C" w:rsidRDefault="00FC2A8B" w:rsidP="000132C6">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auto"/>
            <w:noWrap/>
            <w:vAlign w:val="bottom"/>
          </w:tcPr>
          <w:p w14:paraId="2C7B543A" w14:textId="77777777" w:rsidR="00FC2A8B" w:rsidRPr="00BB0D9C" w:rsidRDefault="00FC2A8B" w:rsidP="000132C6">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auto"/>
            <w:noWrap/>
            <w:vAlign w:val="center"/>
          </w:tcPr>
          <w:p w14:paraId="125B0206" w14:textId="77777777" w:rsidR="00FC2A8B" w:rsidRPr="00BB0D9C" w:rsidRDefault="00FC2A8B" w:rsidP="000132C6">
            <w:pPr>
              <w:spacing w:after="0"/>
              <w:jc w:val="center"/>
              <w:rPr>
                <w:rFonts w:cs="Times New Roman"/>
                <w:color w:val="00B05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auto"/>
            <w:noWrap/>
            <w:vAlign w:val="center"/>
          </w:tcPr>
          <w:p w14:paraId="4869688F" w14:textId="77777777" w:rsidR="00FC2A8B" w:rsidRPr="00BB0D9C" w:rsidRDefault="00FC2A8B" w:rsidP="000132C6">
            <w:pPr>
              <w:spacing w:after="0"/>
              <w:jc w:val="center"/>
              <w:rPr>
                <w:rFonts w:cs="Times New Roman"/>
                <w:color w:val="00B05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diagStripe" w:color="auto" w:fill="auto"/>
            <w:noWrap/>
            <w:vAlign w:val="center"/>
          </w:tcPr>
          <w:p w14:paraId="0EDD21A0" w14:textId="77777777" w:rsidR="00FC2A8B" w:rsidRPr="00BB0D9C" w:rsidRDefault="00FC2A8B" w:rsidP="000132C6">
            <w:pPr>
              <w:spacing w:after="0"/>
              <w:jc w:val="center"/>
              <w:rPr>
                <w:rFonts w:cs="Times New Roman"/>
                <w:color w:val="00B050"/>
              </w:rPr>
            </w:pPr>
          </w:p>
        </w:tc>
        <w:tc>
          <w:tcPr>
            <w:tcW w:w="1093"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auto"/>
          </w:tcPr>
          <w:p w14:paraId="545FAB46" w14:textId="77777777" w:rsidR="00FC2A8B" w:rsidRPr="00BB0D9C" w:rsidRDefault="00FC2A8B" w:rsidP="000132C6">
            <w:pPr>
              <w:spacing w:after="0"/>
              <w:jc w:val="center"/>
              <w:rPr>
                <w:rFonts w:cs="Times New Roman"/>
                <w:color w:val="00B050"/>
              </w:rPr>
            </w:pPr>
            <w:r w:rsidRPr="00BB0D9C">
              <w:rPr>
                <w:rFonts w:cs="Times New Roman"/>
                <w:color w:val="000000" w:themeColor="text1"/>
              </w:rPr>
              <w:t>=</w:t>
            </w:r>
          </w:p>
        </w:tc>
      </w:tr>
      <w:tr w:rsidR="00FC2A8B" w:rsidRPr="00BB0D9C" w14:paraId="1F33ACA5" w14:textId="77777777" w:rsidTr="000132C6">
        <w:trPr>
          <w:trHeight w:val="53"/>
        </w:trPr>
        <w:tc>
          <w:tcPr>
            <w:tcW w:w="1701" w:type="dxa"/>
            <w:vMerge/>
            <w:tcBorders>
              <w:top w:val="single" w:sz="2" w:space="0" w:color="A6A6A6" w:themeColor="background1" w:themeShade="A6"/>
              <w:left w:val="single" w:sz="12" w:space="0" w:color="auto"/>
              <w:bottom w:val="single" w:sz="2" w:space="0" w:color="A6A6A6" w:themeColor="background1" w:themeShade="A6"/>
              <w:right w:val="single" w:sz="2" w:space="0" w:color="A6A6A6" w:themeColor="background1" w:themeShade="A6"/>
            </w:tcBorders>
            <w:vAlign w:val="center"/>
            <w:hideMark/>
          </w:tcPr>
          <w:p w14:paraId="6144EACD" w14:textId="77777777" w:rsidR="00FC2A8B" w:rsidRPr="009A2F7A" w:rsidRDefault="00FC2A8B" w:rsidP="000132C6">
            <w:pPr>
              <w:spacing w:after="0"/>
              <w:rPr>
                <w:rFonts w:cs="Times New Roman"/>
                <w:b/>
                <w:bCs/>
                <w:color w:val="000000"/>
                <w:sz w:val="21"/>
                <w:szCs w:val="21"/>
              </w:rPr>
            </w:pPr>
          </w:p>
        </w:tc>
        <w:tc>
          <w:tcPr>
            <w:tcW w:w="439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center"/>
            <w:hideMark/>
          </w:tcPr>
          <w:p w14:paraId="2BF0B296" w14:textId="77777777" w:rsidR="00FC2A8B" w:rsidRPr="00BB0D9C" w:rsidRDefault="00FC2A8B" w:rsidP="000132C6">
            <w:pPr>
              <w:spacing w:after="0"/>
              <w:rPr>
                <w:rFonts w:cs="Times New Roman"/>
                <w:color w:val="000000"/>
              </w:rPr>
            </w:pPr>
            <w:r w:rsidRPr="00BB0D9C">
              <w:rPr>
                <w:color w:val="000000"/>
                <w:szCs w:val="22"/>
              </w:rPr>
              <w:t>Transacciones relacionadas con empresas estatales (</w:t>
            </w:r>
            <w:proofErr w:type="spellStart"/>
            <w:r w:rsidRPr="00BB0D9C">
              <w:rPr>
                <w:color w:val="000000"/>
                <w:szCs w:val="22"/>
              </w:rPr>
              <w:t>n.°</w:t>
            </w:r>
            <w:proofErr w:type="spellEnd"/>
            <w:r w:rsidRPr="00BB0D9C">
              <w:rPr>
                <w:color w:val="000000"/>
                <w:szCs w:val="22"/>
              </w:rPr>
              <w:t> 4.5)</w:t>
            </w: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auto"/>
          </w:tcPr>
          <w:p w14:paraId="4BFFDE7C" w14:textId="77777777" w:rsidR="00FC2A8B" w:rsidRPr="00BB0D9C" w:rsidRDefault="00FC2A8B" w:rsidP="000132C6">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auto"/>
            <w:noWrap/>
            <w:vAlign w:val="bottom"/>
          </w:tcPr>
          <w:p w14:paraId="32072B84" w14:textId="77777777" w:rsidR="00FC2A8B" w:rsidRPr="00BB0D9C" w:rsidRDefault="00FC2A8B" w:rsidP="000132C6">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auto"/>
            <w:noWrap/>
            <w:vAlign w:val="center"/>
          </w:tcPr>
          <w:p w14:paraId="581D3314" w14:textId="77777777" w:rsidR="00FC2A8B" w:rsidRPr="00BB0D9C" w:rsidRDefault="00FC2A8B" w:rsidP="000132C6">
            <w:pPr>
              <w:spacing w:after="0"/>
              <w:jc w:val="center"/>
              <w:rPr>
                <w:rFonts w:cs="Times New Roman"/>
                <w:color w:val="00B05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auto"/>
            <w:noWrap/>
            <w:vAlign w:val="bottom"/>
          </w:tcPr>
          <w:p w14:paraId="733D7515" w14:textId="77777777" w:rsidR="00FC2A8B" w:rsidRPr="00BB0D9C" w:rsidRDefault="00FC2A8B" w:rsidP="000132C6">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diagStripe" w:color="auto" w:fill="auto"/>
            <w:noWrap/>
            <w:vAlign w:val="bottom"/>
          </w:tcPr>
          <w:p w14:paraId="17C19946" w14:textId="77777777" w:rsidR="00FC2A8B" w:rsidRPr="00BB0D9C" w:rsidRDefault="00FC2A8B" w:rsidP="000132C6">
            <w:pPr>
              <w:spacing w:after="0"/>
              <w:rPr>
                <w:rFonts w:cs="Times New Roman"/>
                <w:color w:val="000000"/>
              </w:rPr>
            </w:pPr>
          </w:p>
        </w:tc>
        <w:tc>
          <w:tcPr>
            <w:tcW w:w="1093"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auto"/>
          </w:tcPr>
          <w:p w14:paraId="7921C29B" w14:textId="77777777" w:rsidR="00FC2A8B" w:rsidRPr="00BB0D9C" w:rsidRDefault="00FC2A8B" w:rsidP="000132C6">
            <w:pPr>
              <w:spacing w:after="0"/>
              <w:jc w:val="center"/>
              <w:rPr>
                <w:rFonts w:cs="Times New Roman"/>
                <w:color w:val="000000"/>
              </w:rPr>
            </w:pPr>
            <w:r w:rsidRPr="00BB0D9C">
              <w:rPr>
                <w:rFonts w:cs="Times New Roman"/>
                <w:color w:val="000000"/>
              </w:rPr>
              <w:t>=</w:t>
            </w:r>
          </w:p>
        </w:tc>
      </w:tr>
      <w:tr w:rsidR="00FC2A8B" w:rsidRPr="00BB0D9C" w14:paraId="68020E30" w14:textId="77777777" w:rsidTr="000132C6">
        <w:trPr>
          <w:trHeight w:val="82"/>
        </w:trPr>
        <w:tc>
          <w:tcPr>
            <w:tcW w:w="1701" w:type="dxa"/>
            <w:vMerge/>
            <w:tcBorders>
              <w:top w:val="single" w:sz="2" w:space="0" w:color="A6A6A6" w:themeColor="background1" w:themeShade="A6"/>
              <w:left w:val="single" w:sz="12" w:space="0" w:color="auto"/>
              <w:bottom w:val="single" w:sz="2" w:space="0" w:color="A6A6A6" w:themeColor="background1" w:themeShade="A6"/>
              <w:right w:val="single" w:sz="2" w:space="0" w:color="A6A6A6" w:themeColor="background1" w:themeShade="A6"/>
            </w:tcBorders>
            <w:vAlign w:val="center"/>
            <w:hideMark/>
          </w:tcPr>
          <w:p w14:paraId="1C7304FE" w14:textId="77777777" w:rsidR="00FC2A8B" w:rsidRPr="009A2F7A" w:rsidRDefault="00FC2A8B" w:rsidP="000132C6">
            <w:pPr>
              <w:spacing w:after="0"/>
              <w:rPr>
                <w:rFonts w:cs="Times New Roman"/>
                <w:b/>
                <w:bCs/>
                <w:color w:val="000000"/>
                <w:sz w:val="21"/>
                <w:szCs w:val="21"/>
              </w:rPr>
            </w:pPr>
          </w:p>
        </w:tc>
        <w:tc>
          <w:tcPr>
            <w:tcW w:w="439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center"/>
            <w:hideMark/>
          </w:tcPr>
          <w:p w14:paraId="03934FF4" w14:textId="77777777" w:rsidR="00FC2A8B" w:rsidRPr="00BB0D9C" w:rsidRDefault="00FC2A8B" w:rsidP="000132C6">
            <w:pPr>
              <w:spacing w:after="0"/>
              <w:rPr>
                <w:rFonts w:cs="Times New Roman"/>
                <w:color w:val="000000"/>
              </w:rPr>
            </w:pPr>
            <w:r w:rsidRPr="00BB0D9C">
              <w:rPr>
                <w:color w:val="000000"/>
                <w:szCs w:val="22"/>
              </w:rPr>
              <w:t>Pagos subnacionales directos (</w:t>
            </w:r>
            <w:proofErr w:type="spellStart"/>
            <w:r w:rsidRPr="00BB0D9C">
              <w:rPr>
                <w:color w:val="000000"/>
                <w:szCs w:val="22"/>
              </w:rPr>
              <w:t>n.°</w:t>
            </w:r>
            <w:proofErr w:type="spellEnd"/>
            <w:r w:rsidRPr="00BB0D9C">
              <w:rPr>
                <w:color w:val="000000"/>
                <w:szCs w:val="22"/>
              </w:rPr>
              <w:t> 4.6)</w:t>
            </w: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Pr>
          <w:p w14:paraId="456F08A6" w14:textId="77777777" w:rsidR="00FC2A8B" w:rsidRPr="00BB0D9C" w:rsidRDefault="00FC2A8B" w:rsidP="000132C6">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FFFFF" w:themeFill="background1"/>
            <w:noWrap/>
            <w:vAlign w:val="bottom"/>
          </w:tcPr>
          <w:p w14:paraId="4FABAD4F" w14:textId="77777777" w:rsidR="00FC2A8B" w:rsidRPr="00BB0D9C" w:rsidRDefault="00FC2A8B" w:rsidP="000132C6">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tcPr>
          <w:p w14:paraId="082483D9" w14:textId="77777777" w:rsidR="00FC2A8B" w:rsidRPr="00BB0D9C" w:rsidRDefault="00FC2A8B" w:rsidP="000132C6">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2C8C2D"/>
            <w:noWrap/>
            <w:vAlign w:val="bottom"/>
          </w:tcPr>
          <w:p w14:paraId="7BE2CEA1" w14:textId="77777777" w:rsidR="00FC2A8B" w:rsidRPr="00BB0D9C" w:rsidRDefault="00FC2A8B" w:rsidP="000132C6">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auto"/>
            <w:noWrap/>
            <w:vAlign w:val="bottom"/>
          </w:tcPr>
          <w:p w14:paraId="471DFC89" w14:textId="77777777" w:rsidR="00FC2A8B" w:rsidRPr="00BB0D9C" w:rsidRDefault="00FC2A8B" w:rsidP="000132C6">
            <w:pPr>
              <w:spacing w:after="0"/>
              <w:rPr>
                <w:rFonts w:cs="Times New Roman"/>
                <w:color w:val="000000"/>
              </w:rPr>
            </w:pPr>
          </w:p>
        </w:tc>
        <w:tc>
          <w:tcPr>
            <w:tcW w:w="1093"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auto"/>
          </w:tcPr>
          <w:p w14:paraId="646DEBF5" w14:textId="77777777" w:rsidR="00FC2A8B" w:rsidRPr="00BB0D9C" w:rsidRDefault="00FC2A8B" w:rsidP="000132C6">
            <w:pPr>
              <w:spacing w:after="0"/>
              <w:jc w:val="center"/>
              <w:rPr>
                <w:rFonts w:cs="Times New Roman"/>
                <w:color w:val="000000"/>
              </w:rPr>
            </w:pPr>
            <w:r w:rsidRPr="00BB0D9C">
              <w:rPr>
                <w:rFonts w:cs="Times New Roman"/>
                <w:color w:val="000000"/>
              </w:rPr>
              <w:sym w:font="Symbol" w:char="F0AE"/>
            </w:r>
          </w:p>
        </w:tc>
      </w:tr>
      <w:tr w:rsidR="00FC2A8B" w:rsidRPr="00BB0D9C" w14:paraId="120DE7C8" w14:textId="77777777" w:rsidTr="000132C6">
        <w:trPr>
          <w:trHeight w:val="53"/>
        </w:trPr>
        <w:tc>
          <w:tcPr>
            <w:tcW w:w="1701" w:type="dxa"/>
            <w:vMerge/>
            <w:tcBorders>
              <w:top w:val="single" w:sz="2" w:space="0" w:color="A6A6A6" w:themeColor="background1" w:themeShade="A6"/>
              <w:left w:val="single" w:sz="12" w:space="0" w:color="auto"/>
              <w:bottom w:val="single" w:sz="2" w:space="0" w:color="A6A6A6" w:themeColor="background1" w:themeShade="A6"/>
              <w:right w:val="single" w:sz="2" w:space="0" w:color="A6A6A6" w:themeColor="background1" w:themeShade="A6"/>
            </w:tcBorders>
            <w:vAlign w:val="center"/>
            <w:hideMark/>
          </w:tcPr>
          <w:p w14:paraId="31E72EC4" w14:textId="77777777" w:rsidR="00FC2A8B" w:rsidRPr="009A2F7A" w:rsidRDefault="00FC2A8B" w:rsidP="000132C6">
            <w:pPr>
              <w:spacing w:after="0"/>
              <w:rPr>
                <w:rFonts w:cs="Times New Roman"/>
                <w:b/>
                <w:bCs/>
                <w:color w:val="000000"/>
                <w:sz w:val="21"/>
                <w:szCs w:val="21"/>
              </w:rPr>
            </w:pPr>
          </w:p>
        </w:tc>
        <w:tc>
          <w:tcPr>
            <w:tcW w:w="439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center"/>
            <w:hideMark/>
          </w:tcPr>
          <w:p w14:paraId="0CF9DB31" w14:textId="77777777" w:rsidR="00FC2A8B" w:rsidRPr="00BB0D9C" w:rsidRDefault="00FC2A8B" w:rsidP="000132C6">
            <w:pPr>
              <w:spacing w:after="0"/>
              <w:rPr>
                <w:rFonts w:cs="Times New Roman"/>
                <w:color w:val="000000"/>
              </w:rPr>
            </w:pPr>
            <w:r w:rsidRPr="00BB0D9C">
              <w:rPr>
                <w:color w:val="000000"/>
                <w:szCs w:val="22"/>
              </w:rPr>
              <w:t>Desglose (</w:t>
            </w:r>
            <w:proofErr w:type="spellStart"/>
            <w:r w:rsidRPr="00BB0D9C">
              <w:rPr>
                <w:color w:val="000000"/>
                <w:szCs w:val="22"/>
              </w:rPr>
              <w:t>n.°</w:t>
            </w:r>
            <w:proofErr w:type="spellEnd"/>
            <w:r w:rsidRPr="00BB0D9C">
              <w:rPr>
                <w:color w:val="000000"/>
                <w:szCs w:val="22"/>
              </w:rPr>
              <w:t> 4.7)</w:t>
            </w:r>
            <w:commentRangeStart w:id="9"/>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Pr>
          <w:p w14:paraId="685A8CF0" w14:textId="77777777" w:rsidR="00FC2A8B" w:rsidRPr="00BB0D9C" w:rsidRDefault="00FC2A8B" w:rsidP="000132C6">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tcPr>
          <w:p w14:paraId="74DDBE7B" w14:textId="77777777" w:rsidR="00FC2A8B" w:rsidRPr="00BB0D9C" w:rsidRDefault="00FC2A8B" w:rsidP="000132C6">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83AE44"/>
            <w:noWrap/>
            <w:vAlign w:val="bottom"/>
          </w:tcPr>
          <w:p w14:paraId="79E17914" w14:textId="77777777" w:rsidR="00FC2A8B" w:rsidRPr="00BB0D9C" w:rsidRDefault="00FC2A8B" w:rsidP="000132C6">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FFFFF" w:themeFill="background1"/>
            <w:noWrap/>
            <w:vAlign w:val="bottom"/>
          </w:tcPr>
          <w:p w14:paraId="59EEF2F8" w14:textId="77777777" w:rsidR="00FC2A8B" w:rsidRPr="00BB0D9C" w:rsidRDefault="00FC2A8B" w:rsidP="000132C6">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auto"/>
            <w:noWrap/>
            <w:vAlign w:val="bottom"/>
          </w:tcPr>
          <w:p w14:paraId="3EEBF3ED" w14:textId="77777777" w:rsidR="00FC2A8B" w:rsidRPr="00BB0D9C" w:rsidRDefault="00FC2A8B" w:rsidP="000132C6">
            <w:pPr>
              <w:spacing w:after="0"/>
              <w:rPr>
                <w:rFonts w:cs="Times New Roman"/>
                <w:color w:val="000000"/>
              </w:rPr>
            </w:pPr>
          </w:p>
        </w:tc>
        <w:tc>
          <w:tcPr>
            <w:tcW w:w="1093"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auto"/>
          </w:tcPr>
          <w:p w14:paraId="7CF9B126" w14:textId="77777777" w:rsidR="00FC2A8B" w:rsidRPr="00BB0D9C" w:rsidRDefault="00FC2A8B" w:rsidP="000132C6">
            <w:pPr>
              <w:spacing w:after="0"/>
              <w:jc w:val="center"/>
              <w:rPr>
                <w:rFonts w:cs="Times New Roman"/>
                <w:color w:val="000000"/>
              </w:rPr>
            </w:pPr>
            <w:r w:rsidRPr="00BB0D9C">
              <w:rPr>
                <w:rFonts w:cs="Times New Roman"/>
                <w:color w:val="000000"/>
              </w:rPr>
              <w:t>←</w:t>
            </w:r>
            <w:commentRangeEnd w:id="9"/>
            <w:r w:rsidRPr="00BB0D9C">
              <w:rPr>
                <w:rStyle w:val="CommentReference"/>
              </w:rPr>
              <w:commentReference w:id="9"/>
            </w:r>
          </w:p>
        </w:tc>
      </w:tr>
      <w:tr w:rsidR="00FC2A8B" w:rsidRPr="00BB0D9C" w14:paraId="23265313" w14:textId="77777777" w:rsidTr="000132C6">
        <w:trPr>
          <w:trHeight w:val="56"/>
        </w:trPr>
        <w:tc>
          <w:tcPr>
            <w:tcW w:w="1701" w:type="dxa"/>
            <w:vMerge/>
            <w:tcBorders>
              <w:top w:val="single" w:sz="2" w:space="0" w:color="A6A6A6" w:themeColor="background1" w:themeShade="A6"/>
              <w:left w:val="single" w:sz="12" w:space="0" w:color="auto"/>
              <w:bottom w:val="single" w:sz="2" w:space="0" w:color="A6A6A6" w:themeColor="background1" w:themeShade="A6"/>
              <w:right w:val="single" w:sz="2" w:space="0" w:color="A6A6A6" w:themeColor="background1" w:themeShade="A6"/>
            </w:tcBorders>
            <w:vAlign w:val="center"/>
            <w:hideMark/>
          </w:tcPr>
          <w:p w14:paraId="3A81A991" w14:textId="77777777" w:rsidR="00FC2A8B" w:rsidRPr="009A2F7A" w:rsidRDefault="00FC2A8B" w:rsidP="000132C6">
            <w:pPr>
              <w:spacing w:after="0"/>
              <w:rPr>
                <w:rFonts w:cs="Times New Roman"/>
                <w:b/>
                <w:bCs/>
                <w:color w:val="000000"/>
                <w:sz w:val="21"/>
                <w:szCs w:val="21"/>
              </w:rPr>
            </w:pPr>
          </w:p>
        </w:tc>
        <w:tc>
          <w:tcPr>
            <w:tcW w:w="439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center"/>
            <w:hideMark/>
          </w:tcPr>
          <w:p w14:paraId="1B52E536" w14:textId="77777777" w:rsidR="00FC2A8B" w:rsidRPr="00BB0D9C" w:rsidRDefault="00FC2A8B" w:rsidP="000132C6">
            <w:pPr>
              <w:spacing w:after="0"/>
              <w:rPr>
                <w:rFonts w:cs="Times New Roman"/>
                <w:color w:val="000000"/>
              </w:rPr>
            </w:pPr>
            <w:r w:rsidRPr="00BB0D9C">
              <w:rPr>
                <w:color w:val="000000"/>
                <w:szCs w:val="22"/>
              </w:rPr>
              <w:t>Puntualidad de los datos (</w:t>
            </w:r>
            <w:proofErr w:type="spellStart"/>
            <w:r w:rsidRPr="00BB0D9C">
              <w:rPr>
                <w:color w:val="000000"/>
                <w:szCs w:val="22"/>
              </w:rPr>
              <w:t>n.°</w:t>
            </w:r>
            <w:proofErr w:type="spellEnd"/>
            <w:r w:rsidRPr="00BB0D9C">
              <w:rPr>
                <w:color w:val="000000"/>
                <w:szCs w:val="22"/>
              </w:rPr>
              <w:t> 4.8)</w:t>
            </w: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Pr>
          <w:p w14:paraId="563011AC" w14:textId="77777777" w:rsidR="00FC2A8B" w:rsidRPr="00BB0D9C" w:rsidRDefault="00FC2A8B" w:rsidP="000132C6">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tcPr>
          <w:p w14:paraId="0D22D126" w14:textId="77777777" w:rsidR="00FC2A8B" w:rsidRPr="00BB0D9C" w:rsidRDefault="00FC2A8B" w:rsidP="000132C6">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tcPr>
          <w:p w14:paraId="0BBE543B" w14:textId="77777777" w:rsidR="00FC2A8B" w:rsidRPr="00BB0D9C" w:rsidRDefault="00FC2A8B" w:rsidP="000132C6">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2C8C2D"/>
            <w:noWrap/>
            <w:vAlign w:val="bottom"/>
          </w:tcPr>
          <w:p w14:paraId="1FB22278" w14:textId="77777777" w:rsidR="00FC2A8B" w:rsidRPr="00BB0D9C" w:rsidRDefault="00FC2A8B" w:rsidP="000132C6">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auto"/>
            <w:noWrap/>
            <w:vAlign w:val="bottom"/>
          </w:tcPr>
          <w:p w14:paraId="0FE11091" w14:textId="77777777" w:rsidR="00FC2A8B" w:rsidRPr="00BB0D9C" w:rsidRDefault="00FC2A8B" w:rsidP="000132C6">
            <w:pPr>
              <w:spacing w:after="0"/>
              <w:rPr>
                <w:rFonts w:cs="Times New Roman"/>
                <w:color w:val="000000"/>
              </w:rPr>
            </w:pPr>
          </w:p>
        </w:tc>
        <w:tc>
          <w:tcPr>
            <w:tcW w:w="1093"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auto"/>
          </w:tcPr>
          <w:p w14:paraId="48453C47" w14:textId="77777777" w:rsidR="00FC2A8B" w:rsidRPr="00BB0D9C" w:rsidRDefault="00FC2A8B" w:rsidP="000132C6">
            <w:pPr>
              <w:spacing w:after="0"/>
              <w:jc w:val="center"/>
              <w:rPr>
                <w:rFonts w:cs="Times New Roman"/>
                <w:color w:val="000000"/>
              </w:rPr>
            </w:pPr>
            <w:r w:rsidRPr="00BB0D9C">
              <w:rPr>
                <w:rFonts w:cs="Times New Roman"/>
                <w:color w:val="000000"/>
              </w:rPr>
              <w:t>=</w:t>
            </w:r>
          </w:p>
        </w:tc>
      </w:tr>
      <w:tr w:rsidR="00FC2A8B" w:rsidRPr="00BB0D9C" w14:paraId="2F2D1CAE" w14:textId="77777777" w:rsidTr="000132C6">
        <w:trPr>
          <w:trHeight w:val="300"/>
        </w:trPr>
        <w:tc>
          <w:tcPr>
            <w:tcW w:w="1701" w:type="dxa"/>
            <w:vMerge/>
            <w:tcBorders>
              <w:top w:val="single" w:sz="2" w:space="0" w:color="A6A6A6" w:themeColor="background1" w:themeShade="A6"/>
              <w:left w:val="single" w:sz="12" w:space="0" w:color="auto"/>
              <w:bottom w:val="single" w:sz="12" w:space="0" w:color="000000" w:themeColor="text1"/>
              <w:right w:val="single" w:sz="2" w:space="0" w:color="A6A6A6" w:themeColor="background1" w:themeShade="A6"/>
            </w:tcBorders>
            <w:vAlign w:val="center"/>
            <w:hideMark/>
          </w:tcPr>
          <w:p w14:paraId="104DCD3B" w14:textId="77777777" w:rsidR="00FC2A8B" w:rsidRPr="009A2F7A" w:rsidRDefault="00FC2A8B" w:rsidP="000132C6">
            <w:pPr>
              <w:spacing w:after="0"/>
              <w:rPr>
                <w:rFonts w:cs="Times New Roman"/>
                <w:b/>
                <w:bCs/>
                <w:color w:val="000000"/>
                <w:sz w:val="21"/>
                <w:szCs w:val="21"/>
              </w:rPr>
            </w:pPr>
          </w:p>
        </w:tc>
        <w:tc>
          <w:tcPr>
            <w:tcW w:w="4395"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000000" w:fill="FFFFFF"/>
            <w:noWrap/>
            <w:vAlign w:val="center"/>
            <w:hideMark/>
          </w:tcPr>
          <w:p w14:paraId="13C7154C" w14:textId="77777777" w:rsidR="00FC2A8B" w:rsidRPr="00BB0D9C" w:rsidRDefault="00FC2A8B" w:rsidP="000132C6">
            <w:pPr>
              <w:spacing w:after="0"/>
              <w:rPr>
                <w:rFonts w:cs="Times New Roman"/>
                <w:color w:val="000000"/>
              </w:rPr>
            </w:pPr>
            <w:r w:rsidRPr="00BB0D9C">
              <w:rPr>
                <w:color w:val="000000"/>
                <w:szCs w:val="22"/>
              </w:rPr>
              <w:t>Calidad de los datos (</w:t>
            </w:r>
            <w:proofErr w:type="spellStart"/>
            <w:r w:rsidRPr="00BB0D9C">
              <w:rPr>
                <w:color w:val="000000"/>
                <w:szCs w:val="22"/>
              </w:rPr>
              <w:t>n.°</w:t>
            </w:r>
            <w:proofErr w:type="spellEnd"/>
            <w:r w:rsidRPr="00BB0D9C">
              <w:rPr>
                <w:color w:val="000000"/>
                <w:szCs w:val="22"/>
              </w:rPr>
              <w:t> 4.9)</w:t>
            </w:r>
          </w:p>
        </w:tc>
        <w:tc>
          <w:tcPr>
            <w:tcW w:w="490" w:type="dxa"/>
            <w:tcBorders>
              <w:top w:val="single" w:sz="4" w:space="0" w:color="BFBFBF" w:themeColor="background1" w:themeShade="BF"/>
              <w:left w:val="single" w:sz="2" w:space="0" w:color="A6A6A6" w:themeColor="background1" w:themeShade="A6"/>
              <w:bottom w:val="single" w:sz="12" w:space="0" w:color="auto"/>
              <w:right w:val="single" w:sz="2" w:space="0" w:color="A6A6A6" w:themeColor="background1" w:themeShade="A6"/>
            </w:tcBorders>
            <w:shd w:val="clear" w:color="auto" w:fill="auto"/>
          </w:tcPr>
          <w:p w14:paraId="5788B550" w14:textId="77777777" w:rsidR="00FC2A8B" w:rsidRPr="00BB0D9C" w:rsidRDefault="00FC2A8B" w:rsidP="000132C6">
            <w:pPr>
              <w:spacing w:after="0"/>
              <w:rPr>
                <w:rFonts w:cs="Times New Roman"/>
                <w:color w:val="000000"/>
              </w:rPr>
            </w:pPr>
          </w:p>
        </w:tc>
        <w:tc>
          <w:tcPr>
            <w:tcW w:w="490" w:type="dxa"/>
            <w:tcBorders>
              <w:top w:val="single" w:sz="4" w:space="0" w:color="BFBFBF" w:themeColor="background1" w:themeShade="BF"/>
              <w:left w:val="single" w:sz="2" w:space="0" w:color="A6A6A6" w:themeColor="background1" w:themeShade="A6"/>
              <w:bottom w:val="single" w:sz="12" w:space="0" w:color="auto"/>
              <w:right w:val="single" w:sz="2" w:space="0" w:color="A6A6A6" w:themeColor="background1" w:themeShade="A6"/>
            </w:tcBorders>
            <w:shd w:val="clear" w:color="auto" w:fill="FFFFFF" w:themeFill="background1"/>
            <w:noWrap/>
            <w:vAlign w:val="bottom"/>
          </w:tcPr>
          <w:p w14:paraId="32A09A73" w14:textId="77777777" w:rsidR="00FC2A8B" w:rsidRPr="00BB0D9C" w:rsidRDefault="00FC2A8B" w:rsidP="000132C6">
            <w:pPr>
              <w:spacing w:after="0"/>
              <w:rPr>
                <w:rFonts w:cs="Times New Roman"/>
                <w:color w:val="000000"/>
              </w:rPr>
            </w:pPr>
            <w:r w:rsidRPr="00BB0D9C">
              <w:rPr>
                <w:rFonts w:ascii="Calibri" w:hAnsi="Calibri" w:cs="Times New Roman"/>
                <w:color w:val="000000"/>
                <w:lang w:eastAsia="en-GB"/>
              </w:rPr>
              <w:t> </w:t>
            </w:r>
          </w:p>
        </w:tc>
        <w:tc>
          <w:tcPr>
            <w:tcW w:w="490" w:type="dxa"/>
            <w:tcBorders>
              <w:top w:val="single" w:sz="4" w:space="0" w:color="BFBFBF" w:themeColor="background1" w:themeShade="BF"/>
              <w:left w:val="single" w:sz="2" w:space="0" w:color="A6A6A6" w:themeColor="background1" w:themeShade="A6"/>
              <w:bottom w:val="single" w:sz="12" w:space="0" w:color="auto"/>
              <w:right w:val="single" w:sz="2" w:space="0" w:color="A6A6A6" w:themeColor="background1" w:themeShade="A6"/>
            </w:tcBorders>
            <w:shd w:val="clear" w:color="auto" w:fill="83AE44"/>
            <w:noWrap/>
            <w:vAlign w:val="bottom"/>
          </w:tcPr>
          <w:p w14:paraId="56520631" w14:textId="77777777" w:rsidR="00FC2A8B" w:rsidRPr="00BB0D9C" w:rsidRDefault="00FC2A8B" w:rsidP="000132C6">
            <w:pPr>
              <w:spacing w:after="0"/>
              <w:rPr>
                <w:rFonts w:cs="Times New Roman"/>
                <w:color w:val="000000"/>
              </w:rPr>
            </w:pPr>
            <w:r w:rsidRPr="00BB0D9C">
              <w:rPr>
                <w:rFonts w:ascii="Calibri" w:hAnsi="Calibri" w:cs="Times New Roman"/>
                <w:color w:val="000000"/>
                <w:lang w:eastAsia="en-GB"/>
              </w:rPr>
              <w:t> </w:t>
            </w:r>
          </w:p>
        </w:tc>
        <w:tc>
          <w:tcPr>
            <w:tcW w:w="490" w:type="dxa"/>
            <w:tcBorders>
              <w:top w:val="single" w:sz="4" w:space="0" w:color="BFBFBF" w:themeColor="background1" w:themeShade="BF"/>
              <w:left w:val="single" w:sz="2" w:space="0" w:color="A6A6A6" w:themeColor="background1" w:themeShade="A6"/>
              <w:bottom w:val="single" w:sz="12" w:space="0" w:color="auto"/>
              <w:right w:val="single" w:sz="2" w:space="0" w:color="A6A6A6" w:themeColor="background1" w:themeShade="A6"/>
            </w:tcBorders>
            <w:shd w:val="clear" w:color="auto" w:fill="auto"/>
            <w:noWrap/>
            <w:vAlign w:val="bottom"/>
          </w:tcPr>
          <w:p w14:paraId="23C46C88" w14:textId="77777777" w:rsidR="00FC2A8B" w:rsidRPr="00BB0D9C" w:rsidRDefault="00FC2A8B" w:rsidP="000132C6">
            <w:pPr>
              <w:spacing w:after="0"/>
              <w:rPr>
                <w:rFonts w:cs="Times New Roman"/>
                <w:color w:val="000000"/>
              </w:rPr>
            </w:pPr>
            <w:r w:rsidRPr="00BB0D9C">
              <w:rPr>
                <w:rFonts w:ascii="Calibri" w:hAnsi="Calibri" w:cs="Times New Roman"/>
                <w:color w:val="000000"/>
                <w:lang w:eastAsia="en-GB"/>
              </w:rPr>
              <w:t> </w:t>
            </w:r>
          </w:p>
        </w:tc>
        <w:tc>
          <w:tcPr>
            <w:tcW w:w="490" w:type="dxa"/>
            <w:tcBorders>
              <w:top w:val="single" w:sz="4" w:space="0" w:color="BFBFBF" w:themeColor="background1" w:themeShade="BF"/>
              <w:left w:val="single" w:sz="2" w:space="0" w:color="A6A6A6" w:themeColor="background1" w:themeShade="A6"/>
              <w:bottom w:val="single" w:sz="12" w:space="0" w:color="auto"/>
              <w:right w:val="single" w:sz="12" w:space="0" w:color="auto"/>
            </w:tcBorders>
            <w:shd w:val="clear" w:color="auto" w:fill="auto"/>
            <w:noWrap/>
            <w:vAlign w:val="bottom"/>
          </w:tcPr>
          <w:p w14:paraId="41845202" w14:textId="77777777" w:rsidR="00FC2A8B" w:rsidRPr="00BB0D9C" w:rsidRDefault="00FC2A8B" w:rsidP="000132C6">
            <w:pPr>
              <w:spacing w:after="0"/>
              <w:rPr>
                <w:rFonts w:cs="Times New Roman"/>
                <w:color w:val="000000"/>
              </w:rPr>
            </w:pPr>
            <w:r w:rsidRPr="00BB0D9C">
              <w:rPr>
                <w:rFonts w:ascii="Calibri" w:hAnsi="Calibri" w:cs="Times New Roman"/>
                <w:color w:val="000000"/>
                <w:lang w:eastAsia="en-GB"/>
              </w:rPr>
              <w:t> </w:t>
            </w:r>
          </w:p>
        </w:tc>
        <w:tc>
          <w:tcPr>
            <w:tcW w:w="1093" w:type="dxa"/>
            <w:tcBorders>
              <w:top w:val="single" w:sz="2" w:space="0" w:color="A6A6A6" w:themeColor="background1" w:themeShade="A6"/>
              <w:left w:val="single" w:sz="2" w:space="0" w:color="A6A6A6" w:themeColor="background1" w:themeShade="A6"/>
              <w:bottom w:val="single" w:sz="12" w:space="0" w:color="000000" w:themeColor="text1"/>
              <w:right w:val="single" w:sz="12" w:space="0" w:color="auto"/>
            </w:tcBorders>
            <w:shd w:val="clear" w:color="auto" w:fill="auto"/>
          </w:tcPr>
          <w:p w14:paraId="0C4ADDD6" w14:textId="77777777" w:rsidR="00FC2A8B" w:rsidRPr="00BB0D9C" w:rsidRDefault="00FC2A8B" w:rsidP="000132C6">
            <w:pPr>
              <w:spacing w:after="0"/>
              <w:jc w:val="center"/>
              <w:rPr>
                <w:rFonts w:cs="Times New Roman"/>
                <w:color w:val="000000"/>
              </w:rPr>
            </w:pPr>
            <w:r w:rsidRPr="00BB0D9C">
              <w:rPr>
                <w:rFonts w:cs="Times New Roman"/>
                <w:color w:val="000000"/>
              </w:rPr>
              <w:sym w:font="Symbol" w:char="F0AE"/>
            </w:r>
            <w:commentRangeStart w:id="10"/>
            <w:commentRangeEnd w:id="10"/>
            <w:r w:rsidRPr="00BB0D9C">
              <w:rPr>
                <w:rStyle w:val="CommentReference"/>
              </w:rPr>
              <w:commentReference w:id="10"/>
            </w:r>
          </w:p>
        </w:tc>
      </w:tr>
      <w:tr w:rsidR="00FC2A8B" w:rsidRPr="00BB0D9C" w14:paraId="6B82DAE1" w14:textId="77777777" w:rsidTr="000132C6">
        <w:trPr>
          <w:trHeight w:val="300"/>
        </w:trPr>
        <w:tc>
          <w:tcPr>
            <w:tcW w:w="1701" w:type="dxa"/>
            <w:vMerge w:val="restart"/>
            <w:tcBorders>
              <w:top w:val="single" w:sz="12" w:space="0" w:color="000000" w:themeColor="text1"/>
              <w:left w:val="single" w:sz="12" w:space="0" w:color="auto"/>
              <w:bottom w:val="single" w:sz="2" w:space="0" w:color="A6A6A6" w:themeColor="background1" w:themeShade="A6"/>
              <w:right w:val="single" w:sz="2" w:space="0" w:color="A6A6A6" w:themeColor="background1" w:themeShade="A6"/>
            </w:tcBorders>
            <w:shd w:val="clear" w:color="000000" w:fill="BFBFBF"/>
            <w:vAlign w:val="center"/>
            <w:hideMark/>
          </w:tcPr>
          <w:p w14:paraId="70B2130E" w14:textId="77777777" w:rsidR="00FC2A8B" w:rsidRPr="009A2F7A" w:rsidRDefault="00FC2A8B" w:rsidP="000132C6">
            <w:pPr>
              <w:widowControl w:val="0"/>
              <w:suppressAutoHyphens/>
              <w:spacing w:after="0"/>
              <w:rPr>
                <w:rFonts w:eastAsia="Times New Roman" w:cs="Times New Roman"/>
                <w:b/>
                <w:bCs/>
                <w:color w:val="000000"/>
                <w:sz w:val="21"/>
                <w:szCs w:val="21"/>
              </w:rPr>
            </w:pPr>
            <w:r w:rsidRPr="009A2F7A">
              <w:rPr>
                <w:b/>
                <w:bCs/>
                <w:color w:val="000000"/>
                <w:sz w:val="21"/>
                <w:szCs w:val="21"/>
              </w:rPr>
              <w:t>Asignación de ingresos</w:t>
            </w:r>
          </w:p>
        </w:tc>
        <w:tc>
          <w:tcPr>
            <w:tcW w:w="4395"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vAlign w:val="center"/>
            <w:hideMark/>
          </w:tcPr>
          <w:p w14:paraId="7A91E3BD" w14:textId="77777777" w:rsidR="00FC2A8B" w:rsidRPr="00BB0D9C" w:rsidRDefault="00FC2A8B" w:rsidP="000132C6">
            <w:pPr>
              <w:widowControl w:val="0"/>
              <w:suppressAutoHyphens/>
              <w:spacing w:after="0"/>
              <w:rPr>
                <w:rFonts w:eastAsia="Times New Roman" w:cs="Times New Roman"/>
                <w:color w:val="000000"/>
                <w:szCs w:val="22"/>
              </w:rPr>
            </w:pPr>
            <w:r w:rsidRPr="00BB0D9C">
              <w:rPr>
                <w:color w:val="000000"/>
                <w:szCs w:val="22"/>
              </w:rPr>
              <w:t>Distribución de ingresos (</w:t>
            </w:r>
            <w:proofErr w:type="spellStart"/>
            <w:r w:rsidRPr="00BB0D9C">
              <w:rPr>
                <w:color w:val="000000"/>
                <w:szCs w:val="22"/>
              </w:rPr>
              <w:t>n.°</w:t>
            </w:r>
            <w:proofErr w:type="spellEnd"/>
            <w:r w:rsidRPr="00BB0D9C">
              <w:rPr>
                <w:color w:val="000000"/>
                <w:szCs w:val="22"/>
              </w:rPr>
              <w:t> 5.1)</w:t>
            </w:r>
          </w:p>
        </w:tc>
        <w:tc>
          <w:tcPr>
            <w:tcW w:w="490"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Pr>
          <w:p w14:paraId="49DAB9FA" w14:textId="77777777" w:rsidR="00FC2A8B" w:rsidRPr="00BB0D9C" w:rsidRDefault="00FC2A8B" w:rsidP="000132C6">
            <w:pPr>
              <w:spacing w:after="0"/>
              <w:rPr>
                <w:rFonts w:cs="Times New Roman"/>
                <w:color w:val="000000"/>
              </w:rPr>
            </w:pPr>
          </w:p>
        </w:tc>
        <w:tc>
          <w:tcPr>
            <w:tcW w:w="490"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tcPr>
          <w:p w14:paraId="671D9072" w14:textId="77777777" w:rsidR="00FC2A8B" w:rsidRPr="00BB0D9C" w:rsidRDefault="00FC2A8B" w:rsidP="000132C6">
            <w:pPr>
              <w:spacing w:after="0"/>
              <w:rPr>
                <w:rFonts w:cs="Times New Roman"/>
                <w:color w:val="000000"/>
              </w:rPr>
            </w:pPr>
          </w:p>
        </w:tc>
        <w:tc>
          <w:tcPr>
            <w:tcW w:w="490"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tcPr>
          <w:p w14:paraId="743B6371" w14:textId="77777777" w:rsidR="00FC2A8B" w:rsidRPr="00BB0D9C" w:rsidRDefault="00FC2A8B" w:rsidP="000132C6">
            <w:pPr>
              <w:spacing w:after="0"/>
              <w:rPr>
                <w:rFonts w:cs="Times New Roman"/>
                <w:color w:val="000000"/>
              </w:rPr>
            </w:pPr>
          </w:p>
        </w:tc>
        <w:tc>
          <w:tcPr>
            <w:tcW w:w="490"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2C8C2D"/>
            <w:noWrap/>
            <w:vAlign w:val="bottom"/>
          </w:tcPr>
          <w:p w14:paraId="2562D3D3" w14:textId="77777777" w:rsidR="00FC2A8B" w:rsidRPr="00BB0D9C" w:rsidRDefault="00FC2A8B" w:rsidP="000132C6">
            <w:pPr>
              <w:spacing w:after="0"/>
              <w:rPr>
                <w:rFonts w:cs="Times New Roman"/>
                <w:color w:val="000000"/>
              </w:rPr>
            </w:pPr>
          </w:p>
        </w:tc>
        <w:tc>
          <w:tcPr>
            <w:tcW w:w="490" w:type="dxa"/>
            <w:tcBorders>
              <w:top w:val="single" w:sz="12" w:space="0" w:color="000000" w:themeColor="text1"/>
              <w:left w:val="single" w:sz="2" w:space="0" w:color="A6A6A6" w:themeColor="background1" w:themeShade="A6"/>
              <w:bottom w:val="single" w:sz="2" w:space="0" w:color="A6A6A6" w:themeColor="background1" w:themeShade="A6"/>
              <w:right w:val="single" w:sz="12" w:space="0" w:color="auto"/>
            </w:tcBorders>
            <w:shd w:val="clear" w:color="auto" w:fill="auto"/>
            <w:noWrap/>
            <w:vAlign w:val="bottom"/>
          </w:tcPr>
          <w:p w14:paraId="5B64FD2C" w14:textId="77777777" w:rsidR="00FC2A8B" w:rsidRPr="00BB0D9C" w:rsidRDefault="00FC2A8B" w:rsidP="000132C6">
            <w:pPr>
              <w:spacing w:after="0"/>
              <w:rPr>
                <w:rFonts w:cs="Times New Roman"/>
                <w:color w:val="000000"/>
              </w:rPr>
            </w:pPr>
          </w:p>
        </w:tc>
        <w:tc>
          <w:tcPr>
            <w:tcW w:w="1093" w:type="dxa"/>
            <w:tcBorders>
              <w:top w:val="single" w:sz="12" w:space="0" w:color="000000" w:themeColor="text1"/>
              <w:left w:val="single" w:sz="2" w:space="0" w:color="A6A6A6" w:themeColor="background1" w:themeShade="A6"/>
              <w:bottom w:val="single" w:sz="2" w:space="0" w:color="A6A6A6" w:themeColor="background1" w:themeShade="A6"/>
              <w:right w:val="single" w:sz="12" w:space="0" w:color="auto"/>
            </w:tcBorders>
            <w:shd w:val="clear" w:color="auto" w:fill="auto"/>
          </w:tcPr>
          <w:p w14:paraId="4C5171AD" w14:textId="77777777" w:rsidR="00FC2A8B" w:rsidRPr="00BB0D9C" w:rsidRDefault="00FC2A8B" w:rsidP="000132C6">
            <w:pPr>
              <w:spacing w:after="0"/>
              <w:jc w:val="center"/>
              <w:rPr>
                <w:rFonts w:cs="Times New Roman"/>
                <w:color w:val="000000"/>
              </w:rPr>
            </w:pPr>
            <w:r w:rsidRPr="00BB0D9C">
              <w:rPr>
                <w:rFonts w:cs="Times New Roman"/>
                <w:color w:val="000000"/>
              </w:rPr>
              <w:t>=</w:t>
            </w:r>
          </w:p>
        </w:tc>
      </w:tr>
      <w:tr w:rsidR="00FC2A8B" w:rsidRPr="00BB0D9C" w14:paraId="6FCC3919" w14:textId="77777777" w:rsidTr="000132C6">
        <w:trPr>
          <w:trHeight w:val="300"/>
        </w:trPr>
        <w:tc>
          <w:tcPr>
            <w:tcW w:w="1701" w:type="dxa"/>
            <w:vMerge/>
            <w:tcBorders>
              <w:top w:val="single" w:sz="18" w:space="0" w:color="auto"/>
              <w:left w:val="single" w:sz="12" w:space="0" w:color="auto"/>
              <w:bottom w:val="single" w:sz="2" w:space="0" w:color="A6A6A6" w:themeColor="background1" w:themeShade="A6"/>
              <w:right w:val="single" w:sz="2" w:space="0" w:color="A6A6A6" w:themeColor="background1" w:themeShade="A6"/>
            </w:tcBorders>
            <w:vAlign w:val="center"/>
            <w:hideMark/>
          </w:tcPr>
          <w:p w14:paraId="1613CC32" w14:textId="77777777" w:rsidR="00FC2A8B" w:rsidRPr="009A2F7A" w:rsidRDefault="00FC2A8B" w:rsidP="000132C6">
            <w:pPr>
              <w:spacing w:after="0"/>
              <w:rPr>
                <w:rFonts w:cs="Times New Roman"/>
                <w:b/>
                <w:bCs/>
                <w:color w:val="000000"/>
                <w:sz w:val="21"/>
                <w:szCs w:val="21"/>
              </w:rPr>
            </w:pPr>
          </w:p>
        </w:tc>
        <w:tc>
          <w:tcPr>
            <w:tcW w:w="439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vAlign w:val="center"/>
            <w:hideMark/>
          </w:tcPr>
          <w:p w14:paraId="108D67B8" w14:textId="77777777" w:rsidR="00FC2A8B" w:rsidRPr="00BB0D9C" w:rsidRDefault="00FC2A8B" w:rsidP="000132C6">
            <w:pPr>
              <w:spacing w:after="0"/>
              <w:rPr>
                <w:rFonts w:cs="Times New Roman"/>
                <w:color w:val="000000"/>
              </w:rPr>
            </w:pPr>
            <w:r w:rsidRPr="00BB0D9C">
              <w:rPr>
                <w:color w:val="000000"/>
                <w:szCs w:val="22"/>
              </w:rPr>
              <w:t>Transferencias subnacionales (</w:t>
            </w:r>
            <w:proofErr w:type="spellStart"/>
            <w:r w:rsidRPr="00BB0D9C">
              <w:rPr>
                <w:color w:val="000000"/>
                <w:szCs w:val="22"/>
              </w:rPr>
              <w:t>n.°</w:t>
            </w:r>
            <w:proofErr w:type="spellEnd"/>
            <w:r w:rsidRPr="00BB0D9C">
              <w:rPr>
                <w:color w:val="000000"/>
                <w:szCs w:val="22"/>
              </w:rPr>
              <w:t> 5.2)</w:t>
            </w: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auto"/>
          </w:tcPr>
          <w:p w14:paraId="1BD0B13F" w14:textId="77777777" w:rsidR="00FC2A8B" w:rsidRPr="00BB0D9C" w:rsidRDefault="00FC2A8B" w:rsidP="000132C6">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auto"/>
            <w:noWrap/>
            <w:vAlign w:val="bottom"/>
          </w:tcPr>
          <w:p w14:paraId="302C8897" w14:textId="77777777" w:rsidR="00FC2A8B" w:rsidRPr="00BB0D9C" w:rsidRDefault="00FC2A8B" w:rsidP="000132C6">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auto"/>
            <w:noWrap/>
            <w:vAlign w:val="bottom"/>
          </w:tcPr>
          <w:p w14:paraId="3780E65E" w14:textId="77777777" w:rsidR="00FC2A8B" w:rsidRPr="00BB0D9C" w:rsidRDefault="00FC2A8B" w:rsidP="000132C6">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auto"/>
            <w:noWrap/>
            <w:vAlign w:val="bottom"/>
          </w:tcPr>
          <w:p w14:paraId="671271FF" w14:textId="77777777" w:rsidR="00FC2A8B" w:rsidRPr="00BB0D9C" w:rsidRDefault="00FC2A8B" w:rsidP="000132C6">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diagStripe" w:color="auto" w:fill="auto"/>
            <w:noWrap/>
            <w:vAlign w:val="bottom"/>
          </w:tcPr>
          <w:p w14:paraId="49AC3946" w14:textId="77777777" w:rsidR="00FC2A8B" w:rsidRPr="00BB0D9C" w:rsidRDefault="00FC2A8B" w:rsidP="000132C6">
            <w:pPr>
              <w:spacing w:after="0"/>
              <w:rPr>
                <w:rFonts w:cs="Times New Roman"/>
                <w:color w:val="000000"/>
              </w:rPr>
            </w:pPr>
          </w:p>
        </w:tc>
        <w:tc>
          <w:tcPr>
            <w:tcW w:w="1093" w:type="dxa"/>
            <w:tcBorders>
              <w:top w:val="single" w:sz="2" w:space="0" w:color="A6A6A6" w:themeColor="background1" w:themeShade="A6"/>
              <w:left w:val="single" w:sz="12" w:space="0" w:color="auto"/>
              <w:bottom w:val="single" w:sz="2" w:space="0" w:color="A6A6A6" w:themeColor="background1" w:themeShade="A6"/>
              <w:right w:val="single" w:sz="12" w:space="0" w:color="auto"/>
            </w:tcBorders>
            <w:shd w:val="clear" w:color="auto" w:fill="auto"/>
          </w:tcPr>
          <w:p w14:paraId="6F1E1302" w14:textId="77777777" w:rsidR="00FC2A8B" w:rsidRPr="00BB0D9C" w:rsidRDefault="00FC2A8B" w:rsidP="000132C6">
            <w:pPr>
              <w:spacing w:after="0"/>
              <w:jc w:val="center"/>
              <w:rPr>
                <w:rFonts w:cs="Times New Roman"/>
                <w:color w:val="000000"/>
              </w:rPr>
            </w:pPr>
            <w:r w:rsidRPr="00BB0D9C">
              <w:rPr>
                <w:rFonts w:cs="Times New Roman"/>
                <w:color w:val="000000"/>
              </w:rPr>
              <w:t>=</w:t>
            </w:r>
          </w:p>
        </w:tc>
      </w:tr>
      <w:tr w:rsidR="00FC2A8B" w:rsidRPr="00BB0D9C" w14:paraId="357D4F6D" w14:textId="77777777" w:rsidTr="000132C6">
        <w:trPr>
          <w:trHeight w:val="300"/>
        </w:trPr>
        <w:tc>
          <w:tcPr>
            <w:tcW w:w="1701" w:type="dxa"/>
            <w:vMerge/>
            <w:tcBorders>
              <w:top w:val="single" w:sz="2" w:space="0" w:color="A6A6A6" w:themeColor="background1" w:themeShade="A6"/>
              <w:left w:val="single" w:sz="12" w:space="0" w:color="auto"/>
              <w:bottom w:val="single" w:sz="12" w:space="0" w:color="000000" w:themeColor="text1"/>
              <w:right w:val="single" w:sz="2" w:space="0" w:color="A6A6A6" w:themeColor="background1" w:themeShade="A6"/>
            </w:tcBorders>
            <w:vAlign w:val="center"/>
            <w:hideMark/>
          </w:tcPr>
          <w:p w14:paraId="08B75A37" w14:textId="77777777" w:rsidR="00FC2A8B" w:rsidRPr="009A2F7A" w:rsidRDefault="00FC2A8B" w:rsidP="000132C6">
            <w:pPr>
              <w:spacing w:after="0"/>
              <w:rPr>
                <w:rFonts w:cs="Times New Roman"/>
                <w:b/>
                <w:bCs/>
                <w:color w:val="000000"/>
                <w:sz w:val="21"/>
                <w:szCs w:val="21"/>
              </w:rPr>
            </w:pPr>
          </w:p>
        </w:tc>
        <w:tc>
          <w:tcPr>
            <w:tcW w:w="4395"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000000" w:fill="FFFFFF"/>
            <w:vAlign w:val="center"/>
            <w:hideMark/>
          </w:tcPr>
          <w:p w14:paraId="7D0C9345" w14:textId="77777777" w:rsidR="00FC2A8B" w:rsidRPr="00BB0D9C" w:rsidRDefault="00FC2A8B" w:rsidP="000132C6">
            <w:pPr>
              <w:spacing w:after="0"/>
              <w:rPr>
                <w:rFonts w:cs="Times New Roman"/>
                <w:color w:val="000000"/>
              </w:rPr>
            </w:pPr>
            <w:r w:rsidRPr="00BB0D9C">
              <w:rPr>
                <w:color w:val="000000"/>
                <w:szCs w:val="22"/>
              </w:rPr>
              <w:t>Gestión de ingresos y gastos (</w:t>
            </w:r>
            <w:proofErr w:type="spellStart"/>
            <w:r w:rsidRPr="00BB0D9C">
              <w:rPr>
                <w:color w:val="000000"/>
                <w:szCs w:val="22"/>
              </w:rPr>
              <w:t>n.°</w:t>
            </w:r>
            <w:proofErr w:type="spellEnd"/>
            <w:r w:rsidRPr="00BB0D9C">
              <w:rPr>
                <w:color w:val="000000"/>
                <w:szCs w:val="22"/>
              </w:rPr>
              <w:t> 5.3)</w:t>
            </w:r>
          </w:p>
        </w:tc>
        <w:tc>
          <w:tcPr>
            <w:tcW w:w="490"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auto" w:fill="D9D9D9" w:themeFill="background1" w:themeFillShade="D9"/>
          </w:tcPr>
          <w:p w14:paraId="667AAD1C" w14:textId="77777777" w:rsidR="00FC2A8B" w:rsidRPr="00BB0D9C" w:rsidRDefault="00FC2A8B" w:rsidP="000132C6">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auto" w:fill="D9D9D9" w:themeFill="background1" w:themeFillShade="D9"/>
            <w:noWrap/>
            <w:vAlign w:val="bottom"/>
          </w:tcPr>
          <w:p w14:paraId="0B4FEC82" w14:textId="77777777" w:rsidR="00FC2A8B" w:rsidRPr="00BB0D9C" w:rsidRDefault="00FC2A8B" w:rsidP="000132C6">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auto" w:fill="D9D9D9" w:themeFill="background1" w:themeFillShade="D9"/>
            <w:noWrap/>
            <w:vAlign w:val="bottom"/>
          </w:tcPr>
          <w:p w14:paraId="1430E8D5" w14:textId="77777777" w:rsidR="00FC2A8B" w:rsidRPr="00BB0D9C" w:rsidRDefault="00FC2A8B" w:rsidP="000132C6">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auto" w:fill="D9D9D9" w:themeFill="background1" w:themeFillShade="D9"/>
            <w:noWrap/>
            <w:vAlign w:val="bottom"/>
          </w:tcPr>
          <w:p w14:paraId="3360F04C" w14:textId="77777777" w:rsidR="00FC2A8B" w:rsidRPr="00BB0D9C" w:rsidRDefault="00FC2A8B" w:rsidP="000132C6">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12" w:space="0" w:color="000000" w:themeColor="text1"/>
              <w:right w:val="single" w:sz="12" w:space="0" w:color="auto"/>
            </w:tcBorders>
            <w:shd w:val="clear" w:color="auto" w:fill="D9D9D9" w:themeFill="background1" w:themeFillShade="D9"/>
            <w:noWrap/>
            <w:vAlign w:val="bottom"/>
          </w:tcPr>
          <w:p w14:paraId="28EF60F0" w14:textId="77777777" w:rsidR="00FC2A8B" w:rsidRPr="00BB0D9C" w:rsidRDefault="00FC2A8B" w:rsidP="000132C6">
            <w:pPr>
              <w:spacing w:after="0"/>
              <w:rPr>
                <w:rFonts w:cs="Times New Roman"/>
                <w:color w:val="000000"/>
              </w:rPr>
            </w:pPr>
          </w:p>
        </w:tc>
        <w:tc>
          <w:tcPr>
            <w:tcW w:w="1093" w:type="dxa"/>
            <w:tcBorders>
              <w:top w:val="single" w:sz="2" w:space="0" w:color="A6A6A6" w:themeColor="background1" w:themeShade="A6"/>
              <w:left w:val="single" w:sz="2" w:space="0" w:color="A6A6A6" w:themeColor="background1" w:themeShade="A6"/>
              <w:bottom w:val="single" w:sz="12" w:space="0" w:color="000000" w:themeColor="text1"/>
              <w:right w:val="single" w:sz="12" w:space="0" w:color="auto"/>
            </w:tcBorders>
            <w:shd w:val="clear" w:color="auto" w:fill="D9D9D9" w:themeFill="background1" w:themeFillShade="D9"/>
          </w:tcPr>
          <w:p w14:paraId="02669C0D" w14:textId="77777777" w:rsidR="00FC2A8B" w:rsidRPr="00BB0D9C" w:rsidRDefault="00FC2A8B" w:rsidP="000132C6">
            <w:pPr>
              <w:spacing w:after="0"/>
              <w:jc w:val="center"/>
              <w:rPr>
                <w:rFonts w:cs="Times New Roman"/>
                <w:color w:val="000000"/>
              </w:rPr>
            </w:pPr>
          </w:p>
        </w:tc>
      </w:tr>
      <w:tr w:rsidR="00FC2A8B" w:rsidRPr="00BB0D9C" w14:paraId="1A3768C1" w14:textId="77777777" w:rsidTr="000132C6">
        <w:trPr>
          <w:trHeight w:val="300"/>
        </w:trPr>
        <w:tc>
          <w:tcPr>
            <w:tcW w:w="1701" w:type="dxa"/>
            <w:vMerge w:val="restart"/>
            <w:tcBorders>
              <w:top w:val="single" w:sz="12" w:space="0" w:color="000000" w:themeColor="text1"/>
              <w:left w:val="single" w:sz="12" w:space="0" w:color="auto"/>
              <w:bottom w:val="single" w:sz="2" w:space="0" w:color="A6A6A6" w:themeColor="background1" w:themeShade="A6"/>
              <w:right w:val="single" w:sz="2" w:space="0" w:color="A6A6A6" w:themeColor="background1" w:themeShade="A6"/>
            </w:tcBorders>
            <w:shd w:val="clear" w:color="000000" w:fill="BFBFBF"/>
            <w:vAlign w:val="center"/>
            <w:hideMark/>
          </w:tcPr>
          <w:p w14:paraId="235CE4FD" w14:textId="77777777" w:rsidR="00FC2A8B" w:rsidRPr="009A2F7A" w:rsidRDefault="00FC2A8B" w:rsidP="000132C6">
            <w:pPr>
              <w:widowControl w:val="0"/>
              <w:suppressAutoHyphens/>
              <w:spacing w:after="0"/>
              <w:rPr>
                <w:rFonts w:eastAsia="Times New Roman" w:cs="Times New Roman"/>
                <w:b/>
                <w:bCs/>
                <w:color w:val="000000"/>
                <w:sz w:val="21"/>
                <w:szCs w:val="21"/>
              </w:rPr>
            </w:pPr>
            <w:r w:rsidRPr="009A2F7A">
              <w:rPr>
                <w:b/>
                <w:bCs/>
                <w:color w:val="000000"/>
                <w:sz w:val="21"/>
                <w:szCs w:val="21"/>
              </w:rPr>
              <w:t>Contribución socioeconómica</w:t>
            </w:r>
          </w:p>
        </w:tc>
        <w:tc>
          <w:tcPr>
            <w:tcW w:w="4395"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vAlign w:val="center"/>
            <w:hideMark/>
          </w:tcPr>
          <w:p w14:paraId="3DC986F7" w14:textId="77777777" w:rsidR="00FC2A8B" w:rsidRPr="00BB0D9C" w:rsidRDefault="00FC2A8B" w:rsidP="000132C6">
            <w:pPr>
              <w:widowControl w:val="0"/>
              <w:suppressAutoHyphens/>
              <w:spacing w:after="0"/>
              <w:rPr>
                <w:rFonts w:eastAsia="Times New Roman" w:cs="Times New Roman"/>
                <w:color w:val="000000"/>
                <w:szCs w:val="22"/>
              </w:rPr>
            </w:pPr>
            <w:r w:rsidRPr="00BB0D9C">
              <w:rPr>
                <w:color w:val="000000"/>
                <w:szCs w:val="22"/>
              </w:rPr>
              <w:t>Gastos sociales (</w:t>
            </w:r>
            <w:proofErr w:type="spellStart"/>
            <w:r w:rsidRPr="00BB0D9C">
              <w:rPr>
                <w:color w:val="000000"/>
                <w:szCs w:val="22"/>
              </w:rPr>
              <w:t>n.°</w:t>
            </w:r>
            <w:proofErr w:type="spellEnd"/>
            <w:r w:rsidRPr="00BB0D9C">
              <w:rPr>
                <w:color w:val="000000"/>
                <w:szCs w:val="22"/>
              </w:rPr>
              <w:t> 6.1)</w:t>
            </w: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auto"/>
          </w:tcPr>
          <w:p w14:paraId="774B8F63" w14:textId="77777777" w:rsidR="00FC2A8B" w:rsidRPr="00BB0D9C" w:rsidRDefault="00FC2A8B" w:rsidP="000132C6">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auto"/>
            <w:noWrap/>
            <w:vAlign w:val="bottom"/>
          </w:tcPr>
          <w:p w14:paraId="28C8CB1E" w14:textId="77777777" w:rsidR="00FC2A8B" w:rsidRPr="00BB0D9C" w:rsidRDefault="00FC2A8B" w:rsidP="000132C6">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auto"/>
            <w:noWrap/>
            <w:vAlign w:val="bottom"/>
          </w:tcPr>
          <w:p w14:paraId="3A250502" w14:textId="77777777" w:rsidR="00FC2A8B" w:rsidRPr="00BB0D9C" w:rsidRDefault="00FC2A8B" w:rsidP="000132C6">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auto"/>
            <w:noWrap/>
            <w:vAlign w:val="bottom"/>
          </w:tcPr>
          <w:p w14:paraId="393DDFAA" w14:textId="77777777" w:rsidR="00FC2A8B" w:rsidRPr="00BB0D9C" w:rsidRDefault="00FC2A8B" w:rsidP="000132C6">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diagStripe" w:color="auto" w:fill="auto"/>
            <w:noWrap/>
            <w:vAlign w:val="bottom"/>
          </w:tcPr>
          <w:p w14:paraId="15BA509B" w14:textId="77777777" w:rsidR="00FC2A8B" w:rsidRPr="00BB0D9C" w:rsidRDefault="00FC2A8B" w:rsidP="000132C6">
            <w:pPr>
              <w:spacing w:after="0"/>
              <w:rPr>
                <w:rFonts w:cs="Times New Roman"/>
                <w:color w:val="000000"/>
              </w:rPr>
            </w:pPr>
          </w:p>
        </w:tc>
        <w:tc>
          <w:tcPr>
            <w:tcW w:w="1093" w:type="dxa"/>
            <w:tcBorders>
              <w:top w:val="single" w:sz="12" w:space="0" w:color="000000" w:themeColor="text1"/>
              <w:left w:val="single" w:sz="2" w:space="0" w:color="A6A6A6" w:themeColor="background1" w:themeShade="A6"/>
              <w:bottom w:val="single" w:sz="2" w:space="0" w:color="A6A6A6" w:themeColor="background1" w:themeShade="A6"/>
              <w:right w:val="single" w:sz="12" w:space="0" w:color="auto"/>
            </w:tcBorders>
            <w:shd w:val="clear" w:color="auto" w:fill="auto"/>
          </w:tcPr>
          <w:p w14:paraId="27B3079A" w14:textId="77777777" w:rsidR="00FC2A8B" w:rsidRPr="00BB0D9C" w:rsidRDefault="00FC2A8B" w:rsidP="000132C6">
            <w:pPr>
              <w:spacing w:after="0"/>
              <w:jc w:val="center"/>
              <w:rPr>
                <w:rFonts w:cs="Times New Roman"/>
                <w:color w:val="000000"/>
              </w:rPr>
            </w:pPr>
            <w:r w:rsidRPr="00BB0D9C">
              <w:rPr>
                <w:rFonts w:cs="Times New Roman"/>
                <w:color w:val="000000"/>
              </w:rPr>
              <w:sym w:font="Symbol" w:char="F0AE"/>
            </w:r>
          </w:p>
        </w:tc>
      </w:tr>
      <w:tr w:rsidR="00FC2A8B" w:rsidRPr="00BB0D9C" w14:paraId="67D8231F" w14:textId="77777777" w:rsidTr="000132C6">
        <w:trPr>
          <w:trHeight w:val="300"/>
        </w:trPr>
        <w:tc>
          <w:tcPr>
            <w:tcW w:w="1701" w:type="dxa"/>
            <w:vMerge/>
            <w:tcBorders>
              <w:top w:val="single" w:sz="2" w:space="0" w:color="A6A6A6" w:themeColor="background1" w:themeShade="A6"/>
              <w:left w:val="single" w:sz="12" w:space="0" w:color="auto"/>
              <w:bottom w:val="single" w:sz="2" w:space="0" w:color="A6A6A6" w:themeColor="background1" w:themeShade="A6"/>
              <w:right w:val="single" w:sz="2" w:space="0" w:color="A6A6A6" w:themeColor="background1" w:themeShade="A6"/>
            </w:tcBorders>
            <w:vAlign w:val="center"/>
          </w:tcPr>
          <w:p w14:paraId="5ABA645E" w14:textId="77777777" w:rsidR="00FC2A8B" w:rsidRPr="009A2F7A" w:rsidRDefault="00FC2A8B" w:rsidP="000132C6">
            <w:pPr>
              <w:spacing w:after="0"/>
              <w:rPr>
                <w:rFonts w:cs="Times New Roman"/>
                <w:b/>
                <w:bCs/>
                <w:color w:val="000000"/>
                <w:sz w:val="21"/>
                <w:szCs w:val="21"/>
              </w:rPr>
            </w:pPr>
          </w:p>
        </w:tc>
        <w:tc>
          <w:tcPr>
            <w:tcW w:w="439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vAlign w:val="center"/>
          </w:tcPr>
          <w:p w14:paraId="3BA94317" w14:textId="77777777" w:rsidR="00FC2A8B" w:rsidRPr="00BB0D9C" w:rsidRDefault="00FC2A8B" w:rsidP="000132C6">
            <w:pPr>
              <w:spacing w:after="0"/>
              <w:rPr>
                <w:rFonts w:cs="Times New Roman"/>
                <w:color w:val="000000"/>
              </w:rPr>
            </w:pPr>
            <w:r w:rsidRPr="00BB0D9C">
              <w:rPr>
                <w:color w:val="000000"/>
                <w:szCs w:val="22"/>
              </w:rPr>
              <w:t xml:space="preserve">Gastos </w:t>
            </w:r>
            <w:proofErr w:type="spellStart"/>
            <w:r w:rsidRPr="00BB0D9C">
              <w:rPr>
                <w:color w:val="000000"/>
                <w:szCs w:val="22"/>
              </w:rPr>
              <w:t>cuasifiscales</w:t>
            </w:r>
            <w:proofErr w:type="spellEnd"/>
            <w:r w:rsidRPr="00BB0D9C">
              <w:rPr>
                <w:color w:val="000000"/>
                <w:szCs w:val="22"/>
              </w:rPr>
              <w:t xml:space="preserve"> de empresas estatales (</w:t>
            </w:r>
            <w:proofErr w:type="spellStart"/>
            <w:r w:rsidRPr="00BB0D9C">
              <w:rPr>
                <w:color w:val="000000"/>
                <w:szCs w:val="22"/>
              </w:rPr>
              <w:t>n.°</w:t>
            </w:r>
            <w:proofErr w:type="spellEnd"/>
            <w:r w:rsidRPr="00BB0D9C">
              <w:rPr>
                <w:color w:val="000000"/>
                <w:szCs w:val="22"/>
              </w:rPr>
              <w:t> 6.2)</w:t>
            </w: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auto"/>
          </w:tcPr>
          <w:p w14:paraId="677F9422" w14:textId="77777777" w:rsidR="00FC2A8B" w:rsidRPr="00BB0D9C" w:rsidRDefault="00FC2A8B" w:rsidP="000132C6">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auto"/>
            <w:noWrap/>
            <w:vAlign w:val="bottom"/>
          </w:tcPr>
          <w:p w14:paraId="2462C0D5" w14:textId="77777777" w:rsidR="00FC2A8B" w:rsidRPr="00BB0D9C" w:rsidRDefault="00FC2A8B" w:rsidP="000132C6">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auto"/>
            <w:noWrap/>
            <w:vAlign w:val="bottom"/>
          </w:tcPr>
          <w:p w14:paraId="7B8C751B" w14:textId="77777777" w:rsidR="00FC2A8B" w:rsidRPr="00BB0D9C" w:rsidRDefault="00FC2A8B" w:rsidP="000132C6">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auto"/>
            <w:noWrap/>
            <w:vAlign w:val="bottom"/>
          </w:tcPr>
          <w:p w14:paraId="567582D2" w14:textId="77777777" w:rsidR="00FC2A8B" w:rsidRPr="00BB0D9C" w:rsidRDefault="00FC2A8B" w:rsidP="000132C6">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diagStripe" w:color="auto" w:fill="auto"/>
            <w:noWrap/>
            <w:vAlign w:val="bottom"/>
          </w:tcPr>
          <w:p w14:paraId="75288F6C" w14:textId="77777777" w:rsidR="00FC2A8B" w:rsidRPr="00BB0D9C" w:rsidRDefault="00FC2A8B" w:rsidP="000132C6">
            <w:pPr>
              <w:spacing w:after="0"/>
              <w:rPr>
                <w:rFonts w:cs="Times New Roman"/>
                <w:color w:val="000000"/>
              </w:rPr>
            </w:pPr>
          </w:p>
        </w:tc>
        <w:tc>
          <w:tcPr>
            <w:tcW w:w="1093"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auto"/>
          </w:tcPr>
          <w:p w14:paraId="301319F9" w14:textId="77777777" w:rsidR="00FC2A8B" w:rsidRPr="00BB0D9C" w:rsidRDefault="00FC2A8B" w:rsidP="000132C6">
            <w:pPr>
              <w:spacing w:after="0"/>
              <w:jc w:val="center"/>
              <w:rPr>
                <w:rFonts w:cs="Times New Roman"/>
                <w:color w:val="000000"/>
              </w:rPr>
            </w:pPr>
            <w:r w:rsidRPr="00BB0D9C">
              <w:rPr>
                <w:rFonts w:cs="Times New Roman"/>
                <w:color w:val="000000"/>
              </w:rPr>
              <w:t>=</w:t>
            </w:r>
          </w:p>
        </w:tc>
      </w:tr>
      <w:tr w:rsidR="00FC2A8B" w:rsidRPr="00BB0D9C" w14:paraId="3ABA0A08" w14:textId="77777777" w:rsidTr="000132C6">
        <w:trPr>
          <w:trHeight w:val="300"/>
        </w:trPr>
        <w:tc>
          <w:tcPr>
            <w:tcW w:w="1701" w:type="dxa"/>
            <w:vMerge/>
            <w:tcBorders>
              <w:top w:val="single" w:sz="2" w:space="0" w:color="A6A6A6" w:themeColor="background1" w:themeShade="A6"/>
              <w:left w:val="single" w:sz="12" w:space="0" w:color="auto"/>
              <w:bottom w:val="single" w:sz="12" w:space="0" w:color="auto"/>
              <w:right w:val="single" w:sz="2" w:space="0" w:color="A6A6A6" w:themeColor="background1" w:themeShade="A6"/>
            </w:tcBorders>
            <w:vAlign w:val="center"/>
            <w:hideMark/>
          </w:tcPr>
          <w:p w14:paraId="69C848E8" w14:textId="77777777" w:rsidR="00FC2A8B" w:rsidRPr="009A2F7A" w:rsidRDefault="00FC2A8B" w:rsidP="000132C6">
            <w:pPr>
              <w:spacing w:after="0"/>
              <w:rPr>
                <w:rFonts w:cs="Times New Roman"/>
                <w:b/>
                <w:bCs/>
                <w:color w:val="000000"/>
                <w:sz w:val="21"/>
                <w:szCs w:val="21"/>
              </w:rPr>
            </w:pPr>
          </w:p>
        </w:tc>
        <w:tc>
          <w:tcPr>
            <w:tcW w:w="4395" w:type="dxa"/>
            <w:tcBorders>
              <w:top w:val="single" w:sz="2" w:space="0" w:color="A6A6A6" w:themeColor="background1" w:themeShade="A6"/>
              <w:left w:val="single" w:sz="2" w:space="0" w:color="A6A6A6" w:themeColor="background1" w:themeShade="A6"/>
              <w:bottom w:val="single" w:sz="12" w:space="0" w:color="auto"/>
              <w:right w:val="single" w:sz="2" w:space="0" w:color="A6A6A6" w:themeColor="background1" w:themeShade="A6"/>
            </w:tcBorders>
            <w:shd w:val="clear" w:color="000000" w:fill="FFFFFF"/>
            <w:vAlign w:val="center"/>
            <w:hideMark/>
          </w:tcPr>
          <w:p w14:paraId="43A1D4A8" w14:textId="77777777" w:rsidR="00FC2A8B" w:rsidRPr="00BB0D9C" w:rsidRDefault="00FC2A8B" w:rsidP="000132C6">
            <w:pPr>
              <w:spacing w:after="0"/>
              <w:rPr>
                <w:rFonts w:cs="Times New Roman"/>
                <w:color w:val="000000"/>
              </w:rPr>
            </w:pPr>
            <w:r w:rsidRPr="00BB0D9C">
              <w:rPr>
                <w:color w:val="000000"/>
                <w:szCs w:val="22"/>
              </w:rPr>
              <w:t>Contribución económica (</w:t>
            </w:r>
            <w:proofErr w:type="spellStart"/>
            <w:r w:rsidRPr="00BB0D9C">
              <w:rPr>
                <w:color w:val="000000"/>
                <w:szCs w:val="22"/>
              </w:rPr>
              <w:t>n.°</w:t>
            </w:r>
            <w:proofErr w:type="spellEnd"/>
            <w:r w:rsidRPr="00BB0D9C">
              <w:rPr>
                <w:color w:val="000000"/>
                <w:szCs w:val="22"/>
              </w:rPr>
              <w:t> 6.3)</w:t>
            </w:r>
          </w:p>
        </w:tc>
        <w:tc>
          <w:tcPr>
            <w:tcW w:w="490" w:type="dxa"/>
            <w:tcBorders>
              <w:top w:val="single" w:sz="2" w:space="0" w:color="A6A6A6" w:themeColor="background1" w:themeShade="A6"/>
              <w:left w:val="single" w:sz="2" w:space="0" w:color="A6A6A6" w:themeColor="background1" w:themeShade="A6"/>
              <w:bottom w:val="single" w:sz="12" w:space="0" w:color="auto"/>
              <w:right w:val="single" w:sz="2" w:space="0" w:color="A6A6A6" w:themeColor="background1" w:themeShade="A6"/>
            </w:tcBorders>
            <w:shd w:val="clear" w:color="auto" w:fill="auto"/>
          </w:tcPr>
          <w:p w14:paraId="32680BD8" w14:textId="77777777" w:rsidR="00FC2A8B" w:rsidRPr="00BB0D9C" w:rsidRDefault="00FC2A8B" w:rsidP="000132C6">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12" w:space="0" w:color="auto"/>
              <w:right w:val="single" w:sz="2" w:space="0" w:color="A6A6A6" w:themeColor="background1" w:themeShade="A6"/>
            </w:tcBorders>
            <w:shd w:val="clear" w:color="auto" w:fill="auto"/>
            <w:noWrap/>
            <w:vAlign w:val="bottom"/>
          </w:tcPr>
          <w:p w14:paraId="5C9B3D00" w14:textId="77777777" w:rsidR="00FC2A8B" w:rsidRPr="00BB0D9C" w:rsidRDefault="00FC2A8B" w:rsidP="000132C6">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12" w:space="0" w:color="auto"/>
              <w:right w:val="single" w:sz="2" w:space="0" w:color="A6A6A6" w:themeColor="background1" w:themeShade="A6"/>
            </w:tcBorders>
            <w:shd w:val="clear" w:color="auto" w:fill="auto"/>
            <w:noWrap/>
            <w:vAlign w:val="bottom"/>
          </w:tcPr>
          <w:p w14:paraId="4A80198B" w14:textId="77777777" w:rsidR="00FC2A8B" w:rsidRPr="00BB0D9C" w:rsidRDefault="00FC2A8B" w:rsidP="000132C6">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12" w:space="0" w:color="auto"/>
              <w:right w:val="single" w:sz="2" w:space="0" w:color="A6A6A6" w:themeColor="background1" w:themeShade="A6"/>
            </w:tcBorders>
            <w:shd w:val="clear" w:color="auto" w:fill="2C8C2D"/>
            <w:noWrap/>
            <w:vAlign w:val="bottom"/>
          </w:tcPr>
          <w:p w14:paraId="2F60BC98" w14:textId="77777777" w:rsidR="00FC2A8B" w:rsidRPr="00BB0D9C" w:rsidRDefault="00FC2A8B" w:rsidP="000132C6">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12" w:space="0" w:color="auto"/>
              <w:right w:val="single" w:sz="12" w:space="0" w:color="auto"/>
            </w:tcBorders>
            <w:shd w:val="clear" w:color="auto" w:fill="auto"/>
            <w:noWrap/>
            <w:vAlign w:val="bottom"/>
          </w:tcPr>
          <w:p w14:paraId="2D2FD78E" w14:textId="77777777" w:rsidR="00FC2A8B" w:rsidRPr="00BB0D9C" w:rsidRDefault="00FC2A8B" w:rsidP="000132C6">
            <w:pPr>
              <w:spacing w:after="0"/>
              <w:rPr>
                <w:rFonts w:cs="Times New Roman"/>
                <w:color w:val="000000"/>
              </w:rPr>
            </w:pPr>
          </w:p>
        </w:tc>
        <w:tc>
          <w:tcPr>
            <w:tcW w:w="1093" w:type="dxa"/>
            <w:tcBorders>
              <w:top w:val="single" w:sz="2" w:space="0" w:color="A6A6A6" w:themeColor="background1" w:themeShade="A6"/>
              <w:left w:val="single" w:sz="2" w:space="0" w:color="A6A6A6" w:themeColor="background1" w:themeShade="A6"/>
              <w:bottom w:val="single" w:sz="12" w:space="0" w:color="auto"/>
              <w:right w:val="single" w:sz="12" w:space="0" w:color="auto"/>
            </w:tcBorders>
            <w:shd w:val="clear" w:color="auto" w:fill="auto"/>
          </w:tcPr>
          <w:p w14:paraId="1F6D2F3D" w14:textId="77777777" w:rsidR="00FC2A8B" w:rsidRPr="00BB0D9C" w:rsidRDefault="00FC2A8B" w:rsidP="000132C6">
            <w:pPr>
              <w:spacing w:after="0"/>
              <w:jc w:val="center"/>
              <w:rPr>
                <w:rFonts w:cs="Times New Roman"/>
                <w:color w:val="000000"/>
              </w:rPr>
            </w:pPr>
            <w:r w:rsidRPr="00BB0D9C">
              <w:rPr>
                <w:rFonts w:cs="Times New Roman"/>
                <w:color w:val="000000"/>
              </w:rPr>
              <w:sym w:font="Symbol" w:char="F0AE"/>
            </w:r>
          </w:p>
        </w:tc>
      </w:tr>
      <w:tr w:rsidR="00FC2A8B" w:rsidRPr="00BB0D9C" w14:paraId="6684AE91" w14:textId="77777777" w:rsidTr="000132C6">
        <w:trPr>
          <w:trHeight w:val="171"/>
        </w:trPr>
        <w:tc>
          <w:tcPr>
            <w:tcW w:w="1701" w:type="dxa"/>
            <w:vMerge w:val="restart"/>
            <w:tcBorders>
              <w:top w:val="single" w:sz="12" w:space="0" w:color="auto"/>
              <w:left w:val="single" w:sz="12" w:space="0" w:color="auto"/>
              <w:bottom w:val="single" w:sz="2" w:space="0" w:color="A6A6A6" w:themeColor="background1" w:themeShade="A6"/>
              <w:right w:val="single" w:sz="2" w:space="0" w:color="A6A6A6" w:themeColor="background1" w:themeShade="A6"/>
            </w:tcBorders>
            <w:shd w:val="clear" w:color="000000" w:fill="BFBFBF"/>
            <w:noWrap/>
            <w:vAlign w:val="center"/>
            <w:hideMark/>
          </w:tcPr>
          <w:p w14:paraId="0E1FAAB4" w14:textId="77777777" w:rsidR="00FC2A8B" w:rsidRPr="009A2F7A" w:rsidRDefault="00FC2A8B" w:rsidP="000132C6">
            <w:pPr>
              <w:widowControl w:val="0"/>
              <w:suppressAutoHyphens/>
              <w:spacing w:after="0"/>
              <w:rPr>
                <w:rFonts w:eastAsia="Times New Roman" w:cs="Times New Roman"/>
                <w:b/>
                <w:bCs/>
                <w:color w:val="000000"/>
                <w:sz w:val="21"/>
                <w:szCs w:val="21"/>
              </w:rPr>
            </w:pPr>
            <w:r w:rsidRPr="009A2F7A">
              <w:rPr>
                <w:b/>
                <w:bCs/>
                <w:color w:val="000000"/>
                <w:sz w:val="21"/>
                <w:szCs w:val="21"/>
              </w:rPr>
              <w:t>Resultados e impacto</w:t>
            </w:r>
          </w:p>
          <w:p w14:paraId="6FE46E0A" w14:textId="77777777" w:rsidR="00FC2A8B" w:rsidRPr="009A2F7A" w:rsidRDefault="00FC2A8B" w:rsidP="000132C6">
            <w:pPr>
              <w:widowControl w:val="0"/>
              <w:suppressAutoHyphens/>
              <w:spacing w:after="0"/>
              <w:rPr>
                <w:rFonts w:eastAsia="Times New Roman" w:cs="Times New Roman"/>
                <w:b/>
                <w:bCs/>
                <w:color w:val="000000"/>
                <w:sz w:val="21"/>
                <w:szCs w:val="21"/>
              </w:rPr>
            </w:pPr>
            <w:r w:rsidRPr="009A2F7A">
              <w:rPr>
                <w:rFonts w:eastAsia="Times New Roman" w:cs="Times New Roman"/>
                <w:b/>
                <w:bCs/>
                <w:color w:val="000000"/>
                <w:sz w:val="21"/>
                <w:szCs w:val="21"/>
              </w:rPr>
              <w:t xml:space="preserve">Supervisión del grupo de </w:t>
            </w:r>
            <w:proofErr w:type="spellStart"/>
            <w:r w:rsidRPr="009A2F7A">
              <w:rPr>
                <w:rFonts w:eastAsia="Times New Roman" w:cs="Times New Roman"/>
                <w:b/>
                <w:bCs/>
                <w:color w:val="000000"/>
                <w:sz w:val="21"/>
                <w:szCs w:val="21"/>
              </w:rPr>
              <w:t>multipartícipes</w:t>
            </w:r>
            <w:proofErr w:type="spellEnd"/>
          </w:p>
        </w:tc>
        <w:tc>
          <w:tcPr>
            <w:tcW w:w="4395" w:type="dxa"/>
            <w:tcBorders>
              <w:top w:val="single" w:sz="12" w:space="0" w:color="auto"/>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14:paraId="295E6DBF" w14:textId="77777777" w:rsidR="00FC2A8B" w:rsidRPr="00BB0D9C" w:rsidRDefault="00FC2A8B" w:rsidP="000132C6">
            <w:pPr>
              <w:widowControl w:val="0"/>
              <w:suppressAutoHyphens/>
              <w:spacing w:after="0"/>
              <w:rPr>
                <w:rFonts w:eastAsia="Times New Roman" w:cs="Times New Roman"/>
                <w:color w:val="000000"/>
                <w:szCs w:val="22"/>
              </w:rPr>
            </w:pPr>
            <w:r w:rsidRPr="00BB0D9C">
              <w:rPr>
                <w:color w:val="000000"/>
                <w:szCs w:val="22"/>
              </w:rPr>
              <w:t>Debate público (</w:t>
            </w:r>
            <w:proofErr w:type="spellStart"/>
            <w:r w:rsidRPr="00BB0D9C">
              <w:rPr>
                <w:color w:val="000000"/>
                <w:szCs w:val="22"/>
              </w:rPr>
              <w:t>n.°</w:t>
            </w:r>
            <w:proofErr w:type="spellEnd"/>
            <w:r w:rsidRPr="00BB0D9C">
              <w:rPr>
                <w:color w:val="000000"/>
                <w:szCs w:val="22"/>
              </w:rPr>
              <w:t> 7.1)</w:t>
            </w:r>
          </w:p>
        </w:tc>
        <w:tc>
          <w:tcPr>
            <w:tcW w:w="490" w:type="dxa"/>
            <w:tcBorders>
              <w:top w:val="single" w:sz="12" w:space="0" w:color="auto"/>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Pr>
          <w:p w14:paraId="26A4F275" w14:textId="77777777" w:rsidR="00FC2A8B" w:rsidRPr="00BB0D9C" w:rsidRDefault="00FC2A8B" w:rsidP="000132C6">
            <w:pPr>
              <w:spacing w:after="0"/>
              <w:rPr>
                <w:rFonts w:cs="Times New Roman"/>
                <w:color w:val="000000"/>
              </w:rPr>
            </w:pPr>
            <w:commentRangeStart w:id="11"/>
          </w:p>
        </w:tc>
        <w:tc>
          <w:tcPr>
            <w:tcW w:w="490" w:type="dxa"/>
            <w:tcBorders>
              <w:top w:val="single" w:sz="12" w:space="0" w:color="auto"/>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tcPr>
          <w:p w14:paraId="20F64394" w14:textId="77777777" w:rsidR="00FC2A8B" w:rsidRPr="00BB0D9C" w:rsidRDefault="00FC2A8B" w:rsidP="000132C6">
            <w:pPr>
              <w:spacing w:after="0"/>
              <w:rPr>
                <w:rFonts w:cs="Times New Roman"/>
                <w:color w:val="000000"/>
              </w:rPr>
            </w:pPr>
          </w:p>
        </w:tc>
        <w:tc>
          <w:tcPr>
            <w:tcW w:w="490" w:type="dxa"/>
            <w:tcBorders>
              <w:top w:val="single" w:sz="12" w:space="0" w:color="auto"/>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83AE44"/>
            <w:noWrap/>
            <w:vAlign w:val="bottom"/>
          </w:tcPr>
          <w:p w14:paraId="228B4CC6" w14:textId="77777777" w:rsidR="00FC2A8B" w:rsidRPr="00BB0D9C" w:rsidRDefault="00FC2A8B" w:rsidP="000132C6">
            <w:pPr>
              <w:spacing w:after="0"/>
              <w:rPr>
                <w:rFonts w:cs="Times New Roman"/>
                <w:color w:val="000000"/>
              </w:rPr>
            </w:pPr>
          </w:p>
        </w:tc>
        <w:tc>
          <w:tcPr>
            <w:tcW w:w="490" w:type="dxa"/>
            <w:tcBorders>
              <w:top w:val="single" w:sz="12" w:space="0" w:color="auto"/>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tcPr>
          <w:p w14:paraId="550D10C2" w14:textId="77777777" w:rsidR="00FC2A8B" w:rsidRPr="00BB0D9C" w:rsidRDefault="00FC2A8B" w:rsidP="000132C6">
            <w:pPr>
              <w:spacing w:after="0"/>
              <w:rPr>
                <w:rFonts w:cs="Times New Roman"/>
                <w:color w:val="000000"/>
              </w:rPr>
            </w:pPr>
          </w:p>
        </w:tc>
        <w:tc>
          <w:tcPr>
            <w:tcW w:w="490" w:type="dxa"/>
            <w:tcBorders>
              <w:top w:val="single" w:sz="12" w:space="0" w:color="auto"/>
              <w:left w:val="single" w:sz="2" w:space="0" w:color="A6A6A6" w:themeColor="background1" w:themeShade="A6"/>
              <w:bottom w:val="single" w:sz="2" w:space="0" w:color="A6A6A6" w:themeColor="background1" w:themeShade="A6"/>
              <w:right w:val="single" w:sz="12" w:space="0" w:color="auto"/>
            </w:tcBorders>
            <w:shd w:val="clear" w:color="auto" w:fill="auto"/>
            <w:noWrap/>
            <w:vAlign w:val="bottom"/>
          </w:tcPr>
          <w:p w14:paraId="7148D198" w14:textId="77777777" w:rsidR="00FC2A8B" w:rsidRPr="00BB0D9C" w:rsidRDefault="00FC2A8B" w:rsidP="000132C6">
            <w:pPr>
              <w:spacing w:after="0"/>
              <w:rPr>
                <w:rFonts w:cs="Times New Roman"/>
                <w:color w:val="000000"/>
              </w:rPr>
            </w:pPr>
          </w:p>
        </w:tc>
        <w:tc>
          <w:tcPr>
            <w:tcW w:w="1093" w:type="dxa"/>
            <w:tcBorders>
              <w:top w:val="single" w:sz="12" w:space="0" w:color="auto"/>
              <w:left w:val="single" w:sz="2" w:space="0" w:color="A6A6A6" w:themeColor="background1" w:themeShade="A6"/>
              <w:bottom w:val="single" w:sz="2" w:space="0" w:color="A6A6A6" w:themeColor="background1" w:themeShade="A6"/>
              <w:right w:val="single" w:sz="12" w:space="0" w:color="auto"/>
            </w:tcBorders>
            <w:shd w:val="clear" w:color="auto" w:fill="auto"/>
          </w:tcPr>
          <w:p w14:paraId="119D9C5F" w14:textId="77777777" w:rsidR="00FC2A8B" w:rsidRPr="00BB0D9C" w:rsidRDefault="00FC2A8B" w:rsidP="000132C6">
            <w:pPr>
              <w:spacing w:after="0"/>
              <w:jc w:val="center"/>
              <w:rPr>
                <w:rFonts w:cs="Times New Roman"/>
                <w:color w:val="000000"/>
              </w:rPr>
            </w:pPr>
            <w:r w:rsidRPr="00BB0D9C">
              <w:rPr>
                <w:rFonts w:cs="Times New Roman"/>
                <w:color w:val="000000"/>
              </w:rPr>
              <w:sym w:font="Symbol" w:char="F0AE"/>
            </w:r>
            <w:commentRangeEnd w:id="11"/>
            <w:r w:rsidRPr="00BB0D9C">
              <w:rPr>
                <w:rStyle w:val="Heading1Char"/>
              </w:rPr>
              <w:commentReference w:id="11"/>
            </w:r>
          </w:p>
        </w:tc>
      </w:tr>
      <w:tr w:rsidR="00FC2A8B" w:rsidRPr="00BB0D9C" w14:paraId="3D09CD1D" w14:textId="77777777" w:rsidTr="000132C6">
        <w:trPr>
          <w:trHeight w:val="282"/>
        </w:trPr>
        <w:tc>
          <w:tcPr>
            <w:tcW w:w="1701" w:type="dxa"/>
            <w:vMerge/>
            <w:tcBorders>
              <w:top w:val="single" w:sz="2" w:space="0" w:color="A6A6A6" w:themeColor="background1" w:themeShade="A6"/>
              <w:left w:val="single" w:sz="12" w:space="0" w:color="auto"/>
              <w:bottom w:val="single" w:sz="2" w:space="0" w:color="A6A6A6" w:themeColor="background1" w:themeShade="A6"/>
              <w:right w:val="single" w:sz="2" w:space="0" w:color="A6A6A6" w:themeColor="background1" w:themeShade="A6"/>
            </w:tcBorders>
            <w:vAlign w:val="center"/>
            <w:hideMark/>
          </w:tcPr>
          <w:p w14:paraId="0B29EA83" w14:textId="77777777" w:rsidR="00FC2A8B" w:rsidRPr="00BB0D9C" w:rsidRDefault="00FC2A8B" w:rsidP="000132C6">
            <w:pPr>
              <w:spacing w:after="0"/>
              <w:rPr>
                <w:rFonts w:cs="Times New Roman"/>
                <w:b/>
                <w:bCs/>
                <w:color w:val="000000"/>
              </w:rPr>
            </w:pPr>
          </w:p>
        </w:tc>
        <w:tc>
          <w:tcPr>
            <w:tcW w:w="439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14:paraId="62166467" w14:textId="77777777" w:rsidR="00FC2A8B" w:rsidRPr="00BB0D9C" w:rsidRDefault="00FC2A8B" w:rsidP="000132C6">
            <w:pPr>
              <w:spacing w:after="0"/>
              <w:rPr>
                <w:rFonts w:cs="Times New Roman"/>
                <w:color w:val="000000"/>
              </w:rPr>
            </w:pPr>
            <w:r w:rsidRPr="00BB0D9C">
              <w:rPr>
                <w:color w:val="000000"/>
                <w:szCs w:val="22"/>
              </w:rPr>
              <w:t>Accesibilidad de datos y datos abiertos (</w:t>
            </w:r>
            <w:proofErr w:type="spellStart"/>
            <w:r w:rsidRPr="00BB0D9C">
              <w:rPr>
                <w:color w:val="000000"/>
                <w:szCs w:val="22"/>
              </w:rPr>
              <w:t>n.°</w:t>
            </w:r>
            <w:proofErr w:type="spellEnd"/>
            <w:r w:rsidRPr="00BB0D9C">
              <w:rPr>
                <w:color w:val="000000"/>
                <w:szCs w:val="22"/>
              </w:rPr>
              <w:t> 7.2)</w:t>
            </w: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D9D9D9" w:themeFill="background1" w:themeFillShade="D9"/>
          </w:tcPr>
          <w:p w14:paraId="1016A1D5" w14:textId="77777777" w:rsidR="00FC2A8B" w:rsidRPr="00BB0D9C" w:rsidRDefault="00FC2A8B" w:rsidP="000132C6">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D9D9D9" w:themeFill="background1" w:themeFillShade="D9"/>
            <w:noWrap/>
            <w:vAlign w:val="bottom"/>
          </w:tcPr>
          <w:p w14:paraId="4F4B16C2" w14:textId="77777777" w:rsidR="00FC2A8B" w:rsidRPr="00BB0D9C" w:rsidRDefault="00FC2A8B" w:rsidP="000132C6">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D9D9D9" w:themeFill="background1" w:themeFillShade="D9"/>
            <w:noWrap/>
            <w:vAlign w:val="bottom"/>
          </w:tcPr>
          <w:p w14:paraId="0EB4FB07" w14:textId="77777777" w:rsidR="00FC2A8B" w:rsidRPr="00BB0D9C" w:rsidRDefault="00FC2A8B" w:rsidP="000132C6">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D9D9D9" w:themeFill="background1" w:themeFillShade="D9"/>
            <w:noWrap/>
            <w:vAlign w:val="bottom"/>
          </w:tcPr>
          <w:p w14:paraId="500EFA42" w14:textId="77777777" w:rsidR="00FC2A8B" w:rsidRPr="00BB0D9C" w:rsidRDefault="00FC2A8B" w:rsidP="000132C6">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D9D9D9" w:themeFill="background1" w:themeFillShade="D9"/>
            <w:noWrap/>
            <w:vAlign w:val="bottom"/>
          </w:tcPr>
          <w:p w14:paraId="69A39116" w14:textId="77777777" w:rsidR="00FC2A8B" w:rsidRPr="00BB0D9C" w:rsidRDefault="00FC2A8B" w:rsidP="000132C6">
            <w:pPr>
              <w:spacing w:after="0"/>
              <w:rPr>
                <w:rFonts w:cs="Times New Roman"/>
                <w:color w:val="000000"/>
              </w:rPr>
            </w:pPr>
          </w:p>
        </w:tc>
        <w:tc>
          <w:tcPr>
            <w:tcW w:w="1093"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D9D9D9" w:themeFill="background1" w:themeFillShade="D9"/>
          </w:tcPr>
          <w:p w14:paraId="4301F466" w14:textId="77777777" w:rsidR="00FC2A8B" w:rsidRPr="00BB0D9C" w:rsidRDefault="00FC2A8B" w:rsidP="000132C6">
            <w:pPr>
              <w:spacing w:after="0"/>
              <w:jc w:val="center"/>
              <w:rPr>
                <w:rFonts w:cs="Times New Roman"/>
                <w:color w:val="000000"/>
              </w:rPr>
            </w:pPr>
          </w:p>
        </w:tc>
      </w:tr>
      <w:tr w:rsidR="00FC2A8B" w:rsidRPr="00BB0D9C" w14:paraId="1ED6B5F4" w14:textId="77777777" w:rsidTr="000132C6">
        <w:trPr>
          <w:trHeight w:val="300"/>
        </w:trPr>
        <w:tc>
          <w:tcPr>
            <w:tcW w:w="1701" w:type="dxa"/>
            <w:vMerge/>
            <w:tcBorders>
              <w:top w:val="single" w:sz="2" w:space="0" w:color="A6A6A6" w:themeColor="background1" w:themeShade="A6"/>
              <w:left w:val="single" w:sz="12" w:space="0" w:color="auto"/>
              <w:bottom w:val="single" w:sz="2" w:space="0" w:color="A6A6A6" w:themeColor="background1" w:themeShade="A6"/>
              <w:right w:val="single" w:sz="2" w:space="0" w:color="A6A6A6" w:themeColor="background1" w:themeShade="A6"/>
            </w:tcBorders>
            <w:vAlign w:val="bottom"/>
            <w:hideMark/>
          </w:tcPr>
          <w:p w14:paraId="3C0EA621" w14:textId="77777777" w:rsidR="00FC2A8B" w:rsidRPr="00BB0D9C" w:rsidRDefault="00FC2A8B" w:rsidP="000132C6">
            <w:pPr>
              <w:spacing w:after="0"/>
              <w:rPr>
                <w:rFonts w:cs="Times New Roman"/>
                <w:b/>
                <w:bCs/>
                <w:color w:val="000000"/>
              </w:rPr>
            </w:pPr>
          </w:p>
        </w:tc>
        <w:tc>
          <w:tcPr>
            <w:tcW w:w="439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14:paraId="19081C9A" w14:textId="77777777" w:rsidR="00FC2A8B" w:rsidRPr="00BB0D9C" w:rsidRDefault="00FC2A8B" w:rsidP="000132C6">
            <w:pPr>
              <w:spacing w:after="0"/>
              <w:rPr>
                <w:rFonts w:cs="Times New Roman"/>
                <w:color w:val="000000"/>
              </w:rPr>
            </w:pPr>
            <w:r w:rsidRPr="00BB0D9C">
              <w:rPr>
                <w:color w:val="000000"/>
                <w:szCs w:val="22"/>
              </w:rPr>
              <w:t>Participación del gobierno (</w:t>
            </w:r>
            <w:proofErr w:type="spellStart"/>
            <w:r w:rsidRPr="00BB0D9C">
              <w:rPr>
                <w:color w:val="000000"/>
                <w:szCs w:val="22"/>
              </w:rPr>
              <w:t>n.°</w:t>
            </w:r>
            <w:proofErr w:type="spellEnd"/>
            <w:r w:rsidRPr="00BB0D9C">
              <w:rPr>
                <w:color w:val="000000"/>
                <w:szCs w:val="22"/>
              </w:rPr>
              <w:t> 1.1)</w:t>
            </w: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Pr>
          <w:p w14:paraId="673E06E6" w14:textId="77777777" w:rsidR="00FC2A8B" w:rsidRPr="00BB0D9C" w:rsidRDefault="00FC2A8B" w:rsidP="000132C6">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tcPr>
          <w:p w14:paraId="519BA648" w14:textId="77777777" w:rsidR="00FC2A8B" w:rsidRPr="00BB0D9C" w:rsidRDefault="00FC2A8B" w:rsidP="000132C6">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83AE44"/>
            <w:noWrap/>
            <w:vAlign w:val="bottom"/>
          </w:tcPr>
          <w:p w14:paraId="5B46F43E" w14:textId="77777777" w:rsidR="00FC2A8B" w:rsidRPr="00BB0D9C" w:rsidRDefault="00FC2A8B" w:rsidP="000132C6">
            <w:pPr>
              <w:spacing w:after="0"/>
              <w:rPr>
                <w:rFonts w:cs="Times New Roman"/>
                <w:color w:val="000000"/>
                <w:szCs w:val="22"/>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tcPr>
          <w:p w14:paraId="4C14D16E" w14:textId="77777777" w:rsidR="00FC2A8B" w:rsidRPr="00BB0D9C" w:rsidRDefault="00FC2A8B" w:rsidP="000132C6">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auto"/>
            <w:noWrap/>
            <w:vAlign w:val="bottom"/>
          </w:tcPr>
          <w:p w14:paraId="55B339CF" w14:textId="77777777" w:rsidR="00FC2A8B" w:rsidRPr="00BB0D9C" w:rsidRDefault="00FC2A8B" w:rsidP="000132C6">
            <w:pPr>
              <w:spacing w:after="0"/>
              <w:rPr>
                <w:rFonts w:cs="Times New Roman"/>
                <w:color w:val="000000"/>
              </w:rPr>
            </w:pPr>
          </w:p>
        </w:tc>
        <w:tc>
          <w:tcPr>
            <w:tcW w:w="1093"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auto"/>
          </w:tcPr>
          <w:p w14:paraId="57BD93AA" w14:textId="77777777" w:rsidR="00FC2A8B" w:rsidRPr="00BB0D9C" w:rsidRDefault="00FC2A8B" w:rsidP="000132C6">
            <w:pPr>
              <w:spacing w:after="0"/>
              <w:jc w:val="center"/>
              <w:rPr>
                <w:rFonts w:cs="Times New Roman"/>
                <w:color w:val="000000"/>
              </w:rPr>
            </w:pPr>
            <w:r w:rsidRPr="00BB0D9C">
              <w:rPr>
                <w:rFonts w:cs="Times New Roman"/>
                <w:color w:val="000000"/>
              </w:rPr>
              <w:t>=</w:t>
            </w:r>
          </w:p>
        </w:tc>
      </w:tr>
      <w:tr w:rsidR="00FC2A8B" w:rsidRPr="00BB0D9C" w14:paraId="14D9C3E9" w14:textId="77777777" w:rsidTr="000132C6">
        <w:trPr>
          <w:trHeight w:val="300"/>
        </w:trPr>
        <w:tc>
          <w:tcPr>
            <w:tcW w:w="1701" w:type="dxa"/>
            <w:vMerge/>
            <w:tcBorders>
              <w:top w:val="single" w:sz="2" w:space="0" w:color="A6A6A6" w:themeColor="background1" w:themeShade="A6"/>
              <w:left w:val="single" w:sz="12" w:space="0" w:color="auto"/>
              <w:bottom w:val="single" w:sz="4" w:space="0" w:color="auto"/>
              <w:right w:val="single" w:sz="2" w:space="0" w:color="A6A6A6" w:themeColor="background1" w:themeShade="A6"/>
            </w:tcBorders>
            <w:vAlign w:val="center"/>
            <w:hideMark/>
          </w:tcPr>
          <w:p w14:paraId="2E0F1946" w14:textId="77777777" w:rsidR="00FC2A8B" w:rsidRPr="00BB0D9C" w:rsidRDefault="00FC2A8B" w:rsidP="000132C6">
            <w:pPr>
              <w:spacing w:after="0"/>
              <w:rPr>
                <w:rFonts w:cs="Times New Roman"/>
                <w:b/>
                <w:bCs/>
                <w:color w:val="000000"/>
              </w:rPr>
            </w:pPr>
          </w:p>
        </w:tc>
        <w:tc>
          <w:tcPr>
            <w:tcW w:w="4395" w:type="dxa"/>
            <w:tcBorders>
              <w:top w:val="single" w:sz="2" w:space="0" w:color="A6A6A6" w:themeColor="background1" w:themeShade="A6"/>
              <w:left w:val="single" w:sz="2" w:space="0" w:color="A6A6A6" w:themeColor="background1" w:themeShade="A6"/>
              <w:bottom w:val="single" w:sz="4" w:space="0" w:color="auto"/>
              <w:right w:val="single" w:sz="2" w:space="0" w:color="A6A6A6" w:themeColor="background1" w:themeShade="A6"/>
            </w:tcBorders>
            <w:shd w:val="clear" w:color="auto" w:fill="auto"/>
            <w:noWrap/>
            <w:vAlign w:val="bottom"/>
            <w:hideMark/>
          </w:tcPr>
          <w:p w14:paraId="14495EC9" w14:textId="77777777" w:rsidR="00FC2A8B" w:rsidRPr="00BB0D9C" w:rsidRDefault="00FC2A8B" w:rsidP="000132C6">
            <w:pPr>
              <w:spacing w:after="0"/>
              <w:rPr>
                <w:rFonts w:cs="Times New Roman"/>
                <w:color w:val="000000"/>
              </w:rPr>
            </w:pPr>
            <w:r w:rsidRPr="00BB0D9C">
              <w:rPr>
                <w:rFonts w:eastAsia="Times New Roman" w:cs="Times New Roman"/>
                <w:color w:val="000000"/>
                <w:szCs w:val="22"/>
              </w:rPr>
              <w:t>Participación de la industria (</w:t>
            </w:r>
            <w:proofErr w:type="spellStart"/>
            <w:r w:rsidRPr="00BB0D9C">
              <w:rPr>
                <w:rFonts w:eastAsia="Times New Roman" w:cs="Times New Roman"/>
                <w:color w:val="000000"/>
                <w:szCs w:val="22"/>
              </w:rPr>
              <w:t>n.°</w:t>
            </w:r>
            <w:proofErr w:type="spellEnd"/>
            <w:r w:rsidRPr="00BB0D9C">
              <w:rPr>
                <w:rFonts w:eastAsia="Times New Roman" w:cs="Times New Roman"/>
                <w:color w:val="000000"/>
                <w:szCs w:val="22"/>
              </w:rPr>
              <w:t> 1.2)</w:t>
            </w:r>
          </w:p>
        </w:tc>
        <w:tc>
          <w:tcPr>
            <w:tcW w:w="490" w:type="dxa"/>
            <w:tcBorders>
              <w:top w:val="single" w:sz="2" w:space="0" w:color="A6A6A6" w:themeColor="background1" w:themeShade="A6"/>
              <w:left w:val="single" w:sz="2" w:space="0" w:color="A6A6A6" w:themeColor="background1" w:themeShade="A6"/>
              <w:bottom w:val="single" w:sz="4" w:space="0" w:color="auto"/>
              <w:right w:val="single" w:sz="2" w:space="0" w:color="A6A6A6" w:themeColor="background1" w:themeShade="A6"/>
            </w:tcBorders>
            <w:shd w:val="clear" w:color="auto" w:fill="auto"/>
          </w:tcPr>
          <w:p w14:paraId="5DC5FC04" w14:textId="77777777" w:rsidR="00FC2A8B" w:rsidRPr="00BB0D9C" w:rsidRDefault="00FC2A8B" w:rsidP="000132C6">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4" w:space="0" w:color="auto"/>
              <w:right w:val="single" w:sz="2" w:space="0" w:color="A6A6A6" w:themeColor="background1" w:themeShade="A6"/>
            </w:tcBorders>
            <w:shd w:val="clear" w:color="auto" w:fill="FFFFFF" w:themeFill="background1"/>
            <w:noWrap/>
            <w:vAlign w:val="bottom"/>
          </w:tcPr>
          <w:p w14:paraId="0F620BBC" w14:textId="77777777" w:rsidR="00FC2A8B" w:rsidRPr="00BB0D9C" w:rsidRDefault="00FC2A8B" w:rsidP="000132C6">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4" w:space="0" w:color="auto"/>
              <w:right w:val="single" w:sz="2" w:space="0" w:color="A6A6A6" w:themeColor="background1" w:themeShade="A6"/>
            </w:tcBorders>
            <w:shd w:val="clear" w:color="auto" w:fill="FFFFFF" w:themeFill="background1"/>
            <w:noWrap/>
            <w:vAlign w:val="bottom"/>
          </w:tcPr>
          <w:p w14:paraId="3F68DC73" w14:textId="77777777" w:rsidR="00FC2A8B" w:rsidRPr="00BB0D9C" w:rsidRDefault="00FC2A8B" w:rsidP="000132C6">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4" w:space="0" w:color="auto"/>
              <w:right w:val="single" w:sz="2" w:space="0" w:color="A6A6A6" w:themeColor="background1" w:themeShade="A6"/>
            </w:tcBorders>
            <w:shd w:val="clear" w:color="auto" w:fill="2C8C2D"/>
            <w:noWrap/>
            <w:vAlign w:val="bottom"/>
          </w:tcPr>
          <w:p w14:paraId="34DE079D" w14:textId="77777777" w:rsidR="00FC2A8B" w:rsidRPr="00BB0D9C" w:rsidRDefault="00FC2A8B" w:rsidP="000132C6">
            <w:pPr>
              <w:spacing w:after="0"/>
              <w:rPr>
                <w:rFonts w:cs="Times New Roman"/>
                <w:color w:val="000000"/>
              </w:rPr>
            </w:pPr>
          </w:p>
        </w:tc>
        <w:tc>
          <w:tcPr>
            <w:tcW w:w="490" w:type="dxa"/>
            <w:tcBorders>
              <w:top w:val="single" w:sz="2" w:space="0" w:color="A6A6A6" w:themeColor="background1" w:themeShade="A6"/>
              <w:left w:val="single" w:sz="2" w:space="0" w:color="A6A6A6" w:themeColor="background1" w:themeShade="A6"/>
              <w:bottom w:val="single" w:sz="4" w:space="0" w:color="auto"/>
              <w:right w:val="single" w:sz="12" w:space="0" w:color="auto"/>
            </w:tcBorders>
            <w:shd w:val="clear" w:color="auto" w:fill="auto"/>
            <w:noWrap/>
            <w:vAlign w:val="bottom"/>
          </w:tcPr>
          <w:p w14:paraId="44D6D1B9" w14:textId="77777777" w:rsidR="00FC2A8B" w:rsidRPr="00BB0D9C" w:rsidRDefault="00FC2A8B" w:rsidP="000132C6">
            <w:pPr>
              <w:spacing w:after="0"/>
              <w:rPr>
                <w:rFonts w:cs="Times New Roman"/>
                <w:color w:val="000000"/>
              </w:rPr>
            </w:pPr>
          </w:p>
        </w:tc>
        <w:tc>
          <w:tcPr>
            <w:tcW w:w="1093" w:type="dxa"/>
            <w:tcBorders>
              <w:top w:val="single" w:sz="2" w:space="0" w:color="A6A6A6" w:themeColor="background1" w:themeShade="A6"/>
              <w:left w:val="single" w:sz="2" w:space="0" w:color="A6A6A6" w:themeColor="background1" w:themeShade="A6"/>
              <w:bottom w:val="single" w:sz="4" w:space="0" w:color="auto"/>
              <w:right w:val="single" w:sz="12" w:space="0" w:color="auto"/>
            </w:tcBorders>
            <w:shd w:val="clear" w:color="auto" w:fill="auto"/>
          </w:tcPr>
          <w:p w14:paraId="00388F30" w14:textId="77777777" w:rsidR="00FC2A8B" w:rsidRPr="00BB0D9C" w:rsidRDefault="00FC2A8B" w:rsidP="000132C6">
            <w:pPr>
              <w:spacing w:after="0"/>
              <w:jc w:val="center"/>
              <w:rPr>
                <w:rFonts w:cs="Times New Roman"/>
                <w:color w:val="000000"/>
              </w:rPr>
            </w:pPr>
            <w:r w:rsidRPr="00BB0D9C">
              <w:rPr>
                <w:rFonts w:cs="Times New Roman"/>
                <w:color w:val="000000"/>
              </w:rPr>
              <w:sym w:font="Symbol" w:char="F0AE"/>
            </w:r>
          </w:p>
        </w:tc>
      </w:tr>
    </w:tbl>
    <w:p w14:paraId="013D8037" w14:textId="77777777" w:rsidR="00FC2A8B" w:rsidRPr="00BB0D9C" w:rsidRDefault="00FC2A8B" w:rsidP="00FC2A8B"/>
    <w:tbl>
      <w:tblPr>
        <w:tblW w:w="9639" w:type="dxa"/>
        <w:tblInd w:w="-15" w:type="dxa"/>
        <w:tblLayout w:type="fixed"/>
        <w:tblLook w:val="04A0" w:firstRow="1" w:lastRow="0" w:firstColumn="1" w:lastColumn="0" w:noHBand="0" w:noVBand="1"/>
      </w:tblPr>
      <w:tblGrid>
        <w:gridCol w:w="1050"/>
        <w:gridCol w:w="8589"/>
      </w:tblGrid>
      <w:tr w:rsidR="001D2B1E" w:rsidRPr="00BB0D9C" w14:paraId="281E7FC1" w14:textId="77777777" w:rsidTr="00FC2A8B">
        <w:trPr>
          <w:trHeight w:val="380"/>
        </w:trPr>
        <w:tc>
          <w:tcPr>
            <w:tcW w:w="9639" w:type="dxa"/>
            <w:gridSpan w:val="2"/>
            <w:tcBorders>
              <w:top w:val="single" w:sz="4" w:space="0" w:color="auto"/>
              <w:left w:val="nil"/>
              <w:bottom w:val="nil"/>
              <w:right w:val="nil"/>
            </w:tcBorders>
            <w:shd w:val="clear" w:color="auto" w:fill="auto"/>
            <w:noWrap/>
            <w:vAlign w:val="bottom"/>
            <w:hideMark/>
          </w:tcPr>
          <w:p w14:paraId="2F6C732A" w14:textId="77777777" w:rsidR="001D2B1E" w:rsidRPr="00BB0D9C" w:rsidRDefault="001D2B1E" w:rsidP="005863C5">
            <w:pPr>
              <w:spacing w:after="0"/>
              <w:rPr>
                <w:rFonts w:cs="Times New Roman"/>
                <w:i/>
                <w:color w:val="000000"/>
                <w:szCs w:val="22"/>
              </w:rPr>
            </w:pPr>
          </w:p>
          <w:p w14:paraId="6E8ACC3B" w14:textId="77777777" w:rsidR="001D2B1E" w:rsidRPr="00BB0D9C" w:rsidRDefault="001D2B1E" w:rsidP="005863C5">
            <w:pPr>
              <w:spacing w:after="0"/>
              <w:rPr>
                <w:rFonts w:cs="Times New Roman"/>
                <w:i/>
                <w:color w:val="000000"/>
                <w:szCs w:val="22"/>
              </w:rPr>
            </w:pPr>
          </w:p>
          <w:p w14:paraId="5DC9F73B" w14:textId="77777777" w:rsidR="001D2B1E" w:rsidRPr="00BB0D9C" w:rsidRDefault="001D2B1E" w:rsidP="005863C5">
            <w:pPr>
              <w:spacing w:after="0"/>
              <w:rPr>
                <w:rFonts w:cs="Times New Roman"/>
                <w:i/>
                <w:color w:val="000000"/>
                <w:szCs w:val="22"/>
              </w:rPr>
            </w:pPr>
            <w:r w:rsidRPr="00BB0D9C">
              <w:rPr>
                <w:i/>
                <w:color w:val="000000"/>
                <w:szCs w:val="22"/>
              </w:rPr>
              <w:t>Leyenda en la tarjeta de evaluación</w:t>
            </w:r>
          </w:p>
        </w:tc>
      </w:tr>
      <w:tr w:rsidR="001D2B1E" w:rsidRPr="00BB0D9C" w14:paraId="428F7DB0" w14:textId="77777777" w:rsidTr="00FC2A8B">
        <w:trPr>
          <w:trHeight w:val="160"/>
        </w:trPr>
        <w:tc>
          <w:tcPr>
            <w:tcW w:w="1050" w:type="dxa"/>
            <w:tcBorders>
              <w:top w:val="nil"/>
              <w:left w:val="nil"/>
              <w:bottom w:val="nil"/>
              <w:right w:val="nil"/>
            </w:tcBorders>
            <w:shd w:val="clear" w:color="auto" w:fill="auto"/>
            <w:noWrap/>
            <w:vAlign w:val="bottom"/>
            <w:hideMark/>
          </w:tcPr>
          <w:p w14:paraId="3517E97A" w14:textId="77777777" w:rsidR="001D2B1E" w:rsidRPr="00BB0D9C" w:rsidRDefault="001D2B1E" w:rsidP="005863C5">
            <w:pPr>
              <w:spacing w:after="0"/>
              <w:rPr>
                <w:rFonts w:cs="Times New Roman"/>
                <w:szCs w:val="22"/>
              </w:rPr>
            </w:pPr>
          </w:p>
        </w:tc>
        <w:tc>
          <w:tcPr>
            <w:tcW w:w="8589" w:type="dxa"/>
            <w:tcBorders>
              <w:top w:val="nil"/>
              <w:left w:val="nil"/>
              <w:bottom w:val="nil"/>
              <w:right w:val="nil"/>
            </w:tcBorders>
            <w:shd w:val="clear" w:color="auto" w:fill="auto"/>
            <w:noWrap/>
            <w:vAlign w:val="bottom"/>
            <w:hideMark/>
          </w:tcPr>
          <w:p w14:paraId="7164C968" w14:textId="77777777" w:rsidR="001D2B1E" w:rsidRPr="00BB0D9C" w:rsidRDefault="001D2B1E" w:rsidP="005863C5">
            <w:pPr>
              <w:spacing w:after="0"/>
              <w:rPr>
                <w:rFonts w:cs="Times New Roman"/>
                <w:szCs w:val="22"/>
              </w:rPr>
            </w:pPr>
          </w:p>
        </w:tc>
      </w:tr>
      <w:tr w:rsidR="001D2B1E" w:rsidRPr="00BB0D9C" w14:paraId="5835A33D" w14:textId="77777777" w:rsidTr="00FC2A8B">
        <w:trPr>
          <w:trHeight w:val="600"/>
        </w:trPr>
        <w:tc>
          <w:tcPr>
            <w:tcW w:w="1050" w:type="dxa"/>
            <w:tcBorders>
              <w:top w:val="nil"/>
              <w:left w:val="nil"/>
              <w:bottom w:val="nil"/>
              <w:right w:val="nil"/>
            </w:tcBorders>
            <w:shd w:val="clear" w:color="000000" w:fill="C00000"/>
            <w:noWrap/>
            <w:vAlign w:val="bottom"/>
            <w:hideMark/>
          </w:tcPr>
          <w:p w14:paraId="15D599CA" w14:textId="77777777" w:rsidR="001D2B1E" w:rsidRPr="00BB0D9C" w:rsidRDefault="001D2B1E" w:rsidP="005863C5">
            <w:pPr>
              <w:spacing w:after="0"/>
              <w:rPr>
                <w:rFonts w:cs="Times New Roman"/>
                <w:color w:val="000000"/>
                <w:szCs w:val="22"/>
              </w:rPr>
            </w:pPr>
            <w:r w:rsidRPr="00BB0D9C">
              <w:rPr>
                <w:color w:val="000000"/>
                <w:szCs w:val="22"/>
              </w:rPr>
              <w:t> </w:t>
            </w:r>
          </w:p>
        </w:tc>
        <w:tc>
          <w:tcPr>
            <w:tcW w:w="8589" w:type="dxa"/>
            <w:tcBorders>
              <w:top w:val="nil"/>
              <w:left w:val="nil"/>
              <w:bottom w:val="single" w:sz="4" w:space="0" w:color="A6A6A6"/>
              <w:right w:val="nil"/>
            </w:tcBorders>
            <w:shd w:val="clear" w:color="auto" w:fill="auto"/>
            <w:hideMark/>
          </w:tcPr>
          <w:p w14:paraId="3E798D7C" w14:textId="77777777" w:rsidR="001D2B1E" w:rsidRPr="00BB0D9C" w:rsidRDefault="001D2B1E" w:rsidP="005863C5">
            <w:pPr>
              <w:spacing w:after="0"/>
              <w:rPr>
                <w:rFonts w:cs="Times New Roman"/>
                <w:color w:val="000000"/>
                <w:szCs w:val="22"/>
              </w:rPr>
            </w:pPr>
            <w:r w:rsidRPr="00BB0D9C">
              <w:rPr>
                <w:b/>
                <w:color w:val="000000"/>
                <w:szCs w:val="22"/>
              </w:rPr>
              <w:t xml:space="preserve">Sin progreso. </w:t>
            </w:r>
            <w:r w:rsidRPr="00BB0D9C">
              <w:rPr>
                <w:color w:val="000000"/>
                <w:szCs w:val="22"/>
              </w:rPr>
              <w:t>Todos, o casi todos, los aspectos del requisito siguen pendientes, y no se cumple el objetivo más global del requisito.</w:t>
            </w:r>
          </w:p>
        </w:tc>
      </w:tr>
      <w:tr w:rsidR="001D2B1E" w:rsidRPr="00BB0D9C" w14:paraId="32006E77" w14:textId="77777777" w:rsidTr="00FC2A8B">
        <w:trPr>
          <w:trHeight w:val="600"/>
        </w:trPr>
        <w:tc>
          <w:tcPr>
            <w:tcW w:w="1050" w:type="dxa"/>
            <w:tcBorders>
              <w:top w:val="nil"/>
              <w:left w:val="nil"/>
              <w:bottom w:val="nil"/>
              <w:right w:val="nil"/>
            </w:tcBorders>
            <w:shd w:val="clear" w:color="000000" w:fill="FAC433"/>
            <w:noWrap/>
            <w:vAlign w:val="bottom"/>
            <w:hideMark/>
          </w:tcPr>
          <w:p w14:paraId="1CC44928" w14:textId="77777777" w:rsidR="001D2B1E" w:rsidRPr="00BB0D9C" w:rsidRDefault="001D2B1E" w:rsidP="005863C5">
            <w:pPr>
              <w:spacing w:after="0"/>
              <w:rPr>
                <w:rFonts w:cs="Times New Roman"/>
                <w:color w:val="000000"/>
                <w:szCs w:val="22"/>
              </w:rPr>
            </w:pPr>
            <w:r w:rsidRPr="00BB0D9C">
              <w:rPr>
                <w:color w:val="000000"/>
                <w:szCs w:val="22"/>
              </w:rPr>
              <w:t> </w:t>
            </w:r>
          </w:p>
        </w:tc>
        <w:tc>
          <w:tcPr>
            <w:tcW w:w="8589" w:type="dxa"/>
            <w:tcBorders>
              <w:top w:val="nil"/>
              <w:left w:val="nil"/>
              <w:bottom w:val="single" w:sz="4" w:space="0" w:color="A6A6A6"/>
              <w:right w:val="nil"/>
            </w:tcBorders>
            <w:shd w:val="clear" w:color="auto" w:fill="auto"/>
            <w:hideMark/>
          </w:tcPr>
          <w:p w14:paraId="31374FE2" w14:textId="77777777" w:rsidR="001D2B1E" w:rsidRPr="00BB0D9C" w:rsidRDefault="001D2B1E" w:rsidP="005863C5">
            <w:pPr>
              <w:spacing w:after="0"/>
              <w:rPr>
                <w:rFonts w:cs="Times New Roman"/>
                <w:color w:val="000000"/>
                <w:szCs w:val="22"/>
              </w:rPr>
            </w:pPr>
            <w:r w:rsidRPr="00BB0D9C">
              <w:rPr>
                <w:b/>
                <w:color w:val="000000"/>
                <w:szCs w:val="22"/>
              </w:rPr>
              <w:t xml:space="preserve">Progreso insuficiente. </w:t>
            </w:r>
            <w:r w:rsidRPr="00BB0D9C">
              <w:rPr>
                <w:color w:val="000000"/>
                <w:szCs w:val="22"/>
              </w:rPr>
              <w:t>No se han implementado aspectos significativos del requisito y está lejos de cumplirse el objetivo más global del requisito.</w:t>
            </w:r>
          </w:p>
        </w:tc>
      </w:tr>
      <w:tr w:rsidR="001D2B1E" w:rsidRPr="00BB0D9C" w14:paraId="2F6153D7" w14:textId="77777777" w:rsidTr="00FC2A8B">
        <w:trPr>
          <w:trHeight w:val="612"/>
        </w:trPr>
        <w:tc>
          <w:tcPr>
            <w:tcW w:w="1050" w:type="dxa"/>
            <w:tcBorders>
              <w:top w:val="nil"/>
              <w:left w:val="nil"/>
              <w:bottom w:val="nil"/>
              <w:right w:val="nil"/>
            </w:tcBorders>
            <w:shd w:val="clear" w:color="000000" w:fill="84AE42"/>
            <w:noWrap/>
            <w:vAlign w:val="bottom"/>
            <w:hideMark/>
          </w:tcPr>
          <w:p w14:paraId="559A8B25" w14:textId="77777777" w:rsidR="001D2B1E" w:rsidRPr="00BB0D9C" w:rsidRDefault="001D2B1E" w:rsidP="005863C5">
            <w:pPr>
              <w:spacing w:after="0"/>
              <w:rPr>
                <w:rFonts w:cs="Times New Roman"/>
                <w:color w:val="000000"/>
                <w:szCs w:val="22"/>
              </w:rPr>
            </w:pPr>
            <w:r w:rsidRPr="00BB0D9C">
              <w:rPr>
                <w:color w:val="000000"/>
                <w:szCs w:val="22"/>
              </w:rPr>
              <w:t> </w:t>
            </w:r>
          </w:p>
        </w:tc>
        <w:tc>
          <w:tcPr>
            <w:tcW w:w="8589" w:type="dxa"/>
            <w:tcBorders>
              <w:top w:val="nil"/>
              <w:left w:val="nil"/>
              <w:bottom w:val="single" w:sz="4" w:space="0" w:color="A6A6A6"/>
              <w:right w:val="nil"/>
            </w:tcBorders>
            <w:shd w:val="clear" w:color="auto" w:fill="auto"/>
            <w:hideMark/>
          </w:tcPr>
          <w:p w14:paraId="24D8E1F6" w14:textId="77777777" w:rsidR="001D2B1E" w:rsidRPr="00BB0D9C" w:rsidRDefault="001D2B1E" w:rsidP="005863C5">
            <w:pPr>
              <w:spacing w:after="0"/>
              <w:rPr>
                <w:rFonts w:cs="Times New Roman"/>
                <w:color w:val="000000"/>
                <w:szCs w:val="22"/>
              </w:rPr>
            </w:pPr>
            <w:r w:rsidRPr="00BB0D9C">
              <w:rPr>
                <w:b/>
                <w:color w:val="000000"/>
                <w:szCs w:val="22"/>
              </w:rPr>
              <w:t xml:space="preserve">Progreso significativo. </w:t>
            </w:r>
            <w:r w:rsidRPr="00BB0D9C">
              <w:rPr>
                <w:color w:val="000000"/>
                <w:szCs w:val="22"/>
              </w:rPr>
              <w:t>Se han implementado aspectos significativos del requisito y se está cumpliendo el objetivo más global del requisito.</w:t>
            </w:r>
          </w:p>
        </w:tc>
      </w:tr>
      <w:tr w:rsidR="001D2B1E" w:rsidRPr="00BB0D9C" w14:paraId="18C5910B" w14:textId="77777777" w:rsidTr="00FC2A8B">
        <w:trPr>
          <w:trHeight w:val="580"/>
        </w:trPr>
        <w:tc>
          <w:tcPr>
            <w:tcW w:w="1050" w:type="dxa"/>
            <w:tcBorders>
              <w:top w:val="nil"/>
              <w:left w:val="nil"/>
              <w:bottom w:val="nil"/>
              <w:right w:val="nil"/>
            </w:tcBorders>
            <w:shd w:val="clear" w:color="000000" w:fill="2D8B2A"/>
            <w:noWrap/>
            <w:vAlign w:val="bottom"/>
            <w:hideMark/>
          </w:tcPr>
          <w:p w14:paraId="43DA1ECB" w14:textId="77777777" w:rsidR="001D2B1E" w:rsidRPr="00BB0D9C" w:rsidRDefault="001D2B1E" w:rsidP="005863C5">
            <w:pPr>
              <w:spacing w:after="0"/>
              <w:rPr>
                <w:rFonts w:cs="Times New Roman"/>
                <w:color w:val="000000"/>
                <w:szCs w:val="22"/>
              </w:rPr>
            </w:pPr>
            <w:r w:rsidRPr="00BB0D9C">
              <w:rPr>
                <w:color w:val="000000"/>
                <w:szCs w:val="22"/>
              </w:rPr>
              <w:t> </w:t>
            </w:r>
          </w:p>
        </w:tc>
        <w:tc>
          <w:tcPr>
            <w:tcW w:w="8589" w:type="dxa"/>
            <w:tcBorders>
              <w:top w:val="nil"/>
              <w:left w:val="nil"/>
              <w:bottom w:val="single" w:sz="4" w:space="0" w:color="A6A6A6"/>
              <w:right w:val="nil"/>
            </w:tcBorders>
            <w:shd w:val="clear" w:color="auto" w:fill="auto"/>
            <w:hideMark/>
          </w:tcPr>
          <w:p w14:paraId="21DC3AB9" w14:textId="77777777" w:rsidR="001D2B1E" w:rsidRPr="00BB0D9C" w:rsidRDefault="001D2B1E" w:rsidP="005863C5">
            <w:pPr>
              <w:spacing w:after="0"/>
              <w:rPr>
                <w:rFonts w:cs="Times New Roman"/>
                <w:color w:val="000000"/>
                <w:szCs w:val="22"/>
              </w:rPr>
            </w:pPr>
            <w:r w:rsidRPr="00BB0D9C">
              <w:rPr>
                <w:b/>
                <w:color w:val="000000"/>
                <w:szCs w:val="22"/>
              </w:rPr>
              <w:t xml:space="preserve">Progreso satisfactorio. </w:t>
            </w:r>
            <w:r w:rsidRPr="00BB0D9C">
              <w:rPr>
                <w:color w:val="000000"/>
                <w:szCs w:val="22"/>
              </w:rPr>
              <w:t>Se han implementado todos los aspectos del requisito y su objetivo más amplio se ha cumplido.</w:t>
            </w:r>
          </w:p>
        </w:tc>
      </w:tr>
      <w:tr w:rsidR="001D2B1E" w:rsidRPr="00BB0D9C" w14:paraId="63472ED8" w14:textId="77777777" w:rsidTr="00FC2A8B">
        <w:trPr>
          <w:trHeight w:val="600"/>
        </w:trPr>
        <w:tc>
          <w:tcPr>
            <w:tcW w:w="1050" w:type="dxa"/>
            <w:tcBorders>
              <w:top w:val="nil"/>
              <w:left w:val="nil"/>
              <w:bottom w:val="nil"/>
              <w:right w:val="nil"/>
            </w:tcBorders>
            <w:shd w:val="clear" w:color="000000" w:fill="0076AF"/>
            <w:noWrap/>
            <w:vAlign w:val="bottom"/>
            <w:hideMark/>
          </w:tcPr>
          <w:p w14:paraId="6E5A118F" w14:textId="77777777" w:rsidR="001D2B1E" w:rsidRPr="00BB0D9C" w:rsidRDefault="001D2B1E" w:rsidP="005863C5">
            <w:pPr>
              <w:spacing w:after="0"/>
              <w:rPr>
                <w:rFonts w:cs="Times New Roman"/>
                <w:color w:val="000000"/>
                <w:szCs w:val="22"/>
              </w:rPr>
            </w:pPr>
            <w:r w:rsidRPr="00BB0D9C">
              <w:rPr>
                <w:color w:val="000000"/>
                <w:szCs w:val="22"/>
              </w:rPr>
              <w:t> </w:t>
            </w:r>
          </w:p>
        </w:tc>
        <w:tc>
          <w:tcPr>
            <w:tcW w:w="8589" w:type="dxa"/>
            <w:tcBorders>
              <w:top w:val="nil"/>
              <w:left w:val="nil"/>
              <w:bottom w:val="single" w:sz="4" w:space="0" w:color="A6A6A6"/>
              <w:right w:val="nil"/>
            </w:tcBorders>
            <w:shd w:val="clear" w:color="auto" w:fill="auto"/>
            <w:hideMark/>
          </w:tcPr>
          <w:p w14:paraId="10608E7E" w14:textId="77777777" w:rsidR="001D2B1E" w:rsidRPr="00BB0D9C" w:rsidRDefault="001D2B1E" w:rsidP="005863C5">
            <w:pPr>
              <w:spacing w:after="0"/>
              <w:rPr>
                <w:rFonts w:cs="Times New Roman"/>
                <w:color w:val="000000"/>
                <w:szCs w:val="22"/>
              </w:rPr>
            </w:pPr>
            <w:r w:rsidRPr="00BB0D9C">
              <w:rPr>
                <w:b/>
                <w:color w:val="000000"/>
                <w:szCs w:val="22"/>
              </w:rPr>
              <w:t xml:space="preserve">Progreso destacado. </w:t>
            </w:r>
            <w:r w:rsidRPr="00BB0D9C">
              <w:rPr>
                <w:color w:val="000000"/>
                <w:szCs w:val="22"/>
              </w:rPr>
              <w:t xml:space="preserve">El país ha ido más allá del requisito. </w:t>
            </w:r>
          </w:p>
        </w:tc>
      </w:tr>
      <w:tr w:rsidR="001D2B1E" w:rsidRPr="00BB0D9C" w14:paraId="246A1D96" w14:textId="77777777" w:rsidTr="00FC2A8B">
        <w:trPr>
          <w:trHeight w:val="600"/>
        </w:trPr>
        <w:tc>
          <w:tcPr>
            <w:tcW w:w="1050" w:type="dxa"/>
            <w:tcBorders>
              <w:top w:val="nil"/>
              <w:left w:val="nil"/>
              <w:right w:val="nil"/>
            </w:tcBorders>
            <w:shd w:val="clear" w:color="000000" w:fill="D9D9D9"/>
            <w:noWrap/>
            <w:vAlign w:val="bottom"/>
            <w:hideMark/>
          </w:tcPr>
          <w:p w14:paraId="3CDD01B7" w14:textId="77777777" w:rsidR="001D2B1E" w:rsidRPr="00BB0D9C" w:rsidRDefault="001D2B1E" w:rsidP="005863C5">
            <w:pPr>
              <w:spacing w:after="0"/>
              <w:jc w:val="center"/>
              <w:rPr>
                <w:rFonts w:cs="Times New Roman"/>
                <w:color w:val="000000"/>
                <w:szCs w:val="22"/>
              </w:rPr>
            </w:pPr>
            <w:r w:rsidRPr="00BB0D9C">
              <w:rPr>
                <w:color w:val="000000"/>
                <w:szCs w:val="22"/>
              </w:rPr>
              <w:t> </w:t>
            </w:r>
          </w:p>
        </w:tc>
        <w:tc>
          <w:tcPr>
            <w:tcW w:w="8589" w:type="dxa"/>
            <w:tcBorders>
              <w:top w:val="nil"/>
              <w:left w:val="nil"/>
              <w:bottom w:val="single" w:sz="4" w:space="0" w:color="A6A6A6"/>
              <w:right w:val="nil"/>
            </w:tcBorders>
            <w:shd w:val="clear" w:color="auto" w:fill="auto"/>
            <w:hideMark/>
          </w:tcPr>
          <w:p w14:paraId="05979CE1" w14:textId="77777777" w:rsidR="001D2B1E" w:rsidRPr="00BB0D9C" w:rsidRDefault="001D2B1E" w:rsidP="005863C5">
            <w:pPr>
              <w:spacing w:after="0"/>
              <w:rPr>
                <w:rFonts w:cs="Times New Roman"/>
                <w:color w:val="000000"/>
                <w:szCs w:val="22"/>
              </w:rPr>
            </w:pPr>
            <w:r w:rsidRPr="00BB0D9C">
              <w:rPr>
                <w:color w:val="000000"/>
                <w:szCs w:val="22"/>
              </w:rPr>
              <w:t>La observancia de este requisito es algo que solo se alienta o recomienda, y no debería tenerse en cuenta al evaluar el cumplimiento.</w:t>
            </w:r>
          </w:p>
        </w:tc>
      </w:tr>
      <w:tr w:rsidR="001D2B1E" w:rsidRPr="00BB0D9C" w14:paraId="3D0E48E9" w14:textId="77777777" w:rsidTr="00FC2A8B">
        <w:trPr>
          <w:trHeight w:val="560"/>
        </w:trPr>
        <w:tc>
          <w:tcPr>
            <w:tcW w:w="1050" w:type="dxa"/>
            <w:tcBorders>
              <w:top w:val="nil"/>
              <w:left w:val="nil"/>
              <w:bottom w:val="single" w:sz="4" w:space="0" w:color="A6A6A6" w:themeColor="background1" w:themeShade="A6"/>
              <w:right w:val="nil"/>
            </w:tcBorders>
            <w:shd w:val="diagStripe" w:color="7F7F7F" w:themeColor="text1" w:themeTint="80" w:fill="auto"/>
            <w:noWrap/>
            <w:vAlign w:val="bottom"/>
            <w:hideMark/>
          </w:tcPr>
          <w:p w14:paraId="15FDBFAA" w14:textId="77777777" w:rsidR="001D2B1E" w:rsidRPr="00BB0D9C" w:rsidRDefault="001D2B1E" w:rsidP="005863C5">
            <w:pPr>
              <w:spacing w:after="0"/>
              <w:rPr>
                <w:rFonts w:cs="Times New Roman"/>
                <w:color w:val="000000"/>
                <w:szCs w:val="22"/>
              </w:rPr>
            </w:pPr>
          </w:p>
        </w:tc>
        <w:tc>
          <w:tcPr>
            <w:tcW w:w="8589" w:type="dxa"/>
            <w:tcBorders>
              <w:top w:val="nil"/>
              <w:left w:val="nil"/>
              <w:bottom w:val="single" w:sz="4" w:space="0" w:color="A6A6A6" w:themeColor="background1" w:themeShade="A6"/>
              <w:right w:val="nil"/>
            </w:tcBorders>
            <w:shd w:val="clear" w:color="auto" w:fill="auto"/>
            <w:hideMark/>
          </w:tcPr>
          <w:p w14:paraId="42AE8AC4" w14:textId="77777777" w:rsidR="001D2B1E" w:rsidRPr="00BB0D9C" w:rsidRDefault="001D2B1E" w:rsidP="005863C5">
            <w:pPr>
              <w:spacing w:after="0"/>
              <w:rPr>
                <w:rFonts w:cs="Times New Roman"/>
                <w:color w:val="000000"/>
                <w:szCs w:val="22"/>
              </w:rPr>
            </w:pPr>
            <w:r w:rsidRPr="00BB0D9C">
              <w:rPr>
                <w:color w:val="000000"/>
                <w:szCs w:val="22"/>
              </w:rPr>
              <w:t xml:space="preserve">El GMP ha demostrado que este requisito no es aplicable en el país. </w:t>
            </w:r>
          </w:p>
        </w:tc>
      </w:tr>
    </w:tbl>
    <w:p w14:paraId="680FE5F6" w14:textId="77777777" w:rsidR="0072174B" w:rsidRPr="00BB0D9C" w:rsidRDefault="0072174B" w:rsidP="0072174B"/>
    <w:p w14:paraId="44F60DF8" w14:textId="77777777" w:rsidR="004B495E" w:rsidRPr="00BB0D9C" w:rsidRDefault="004B495E" w:rsidP="00B62345">
      <w:pPr>
        <w:pStyle w:val="Heading1"/>
        <w:rPr>
          <w:rFonts w:ascii="Franklin Gothic Book" w:hAnsi="Franklin Gothic Book"/>
        </w:rPr>
      </w:pPr>
      <w:bookmarkStart w:id="12" w:name="_Toc45021592"/>
      <w:r w:rsidRPr="00BB0D9C">
        <w:rPr>
          <w:rFonts w:ascii="Franklin Gothic Book" w:hAnsi="Franklin Gothic Book"/>
        </w:rPr>
        <w:t>Antecedentes</w:t>
      </w:r>
      <w:bookmarkEnd w:id="12"/>
    </w:p>
    <w:p w14:paraId="2E82C9BF" w14:textId="77777777" w:rsidR="00AB5F93" w:rsidRPr="00BB0D9C" w:rsidRDefault="006D1F3C" w:rsidP="00AB5F93">
      <w:pPr>
        <w:shd w:val="clear" w:color="auto" w:fill="FFFFFF"/>
        <w:spacing w:before="100" w:beforeAutospacing="1" w:after="100" w:afterAutospacing="1"/>
        <w:rPr>
          <w:rFonts w:cstheme="majorHAnsi"/>
          <w:szCs w:val="22"/>
        </w:rPr>
      </w:pPr>
      <w:r w:rsidRPr="00BB0D9C">
        <w:t xml:space="preserve">Honduras se unió al EITI en mayo de 2013. La primera </w:t>
      </w:r>
      <w:r w:rsidR="001D2B1E" w:rsidRPr="00BB0D9C">
        <w:t>v</w:t>
      </w:r>
      <w:r w:rsidRPr="00BB0D9C">
        <w:t xml:space="preserve">alidación de Honduras </w:t>
      </w:r>
      <w:r w:rsidR="009667FA" w:rsidRPr="00BB0D9C">
        <w:t>en función</w:t>
      </w:r>
      <w:r w:rsidR="001D2B1E" w:rsidRPr="00BB0D9C">
        <w:t xml:space="preserve"> </w:t>
      </w:r>
      <w:r w:rsidR="009667FA" w:rsidRPr="00BB0D9C">
        <w:t>d</w:t>
      </w:r>
      <w:r w:rsidRPr="00BB0D9C">
        <w:t xml:space="preserve">el Estándar EITI 2016 concluyó el 25 de octubre de 2017. El Consejo </w:t>
      </w:r>
      <w:r w:rsidR="001D2B1E" w:rsidRPr="00BB0D9C">
        <w:t xml:space="preserve">del </w:t>
      </w:r>
      <w:r w:rsidRPr="00BB0D9C">
        <w:t>EITI determinó que Honduras había logrado un “progreso significativo” en la implementación del Estándar EITI</w:t>
      </w:r>
      <w:r w:rsidR="008C4093" w:rsidRPr="00BB0D9C">
        <w:rPr>
          <w:rStyle w:val="FootnoteReference"/>
          <w:szCs w:val="22"/>
        </w:rPr>
        <w:footnoteReference w:id="14"/>
      </w:r>
      <w:r w:rsidRPr="00BB0D9C">
        <w:t xml:space="preserve"> </w:t>
      </w:r>
      <w:r w:rsidR="001D2B1E" w:rsidRPr="00BB0D9C">
        <w:t xml:space="preserve">e </w:t>
      </w:r>
      <w:r w:rsidRPr="00BB0D9C">
        <w:t>identificó doce medidas correctivas qu</w:t>
      </w:r>
      <w:r w:rsidR="001D2B1E" w:rsidRPr="00BB0D9C">
        <w:t>e se evaluarían en una segunda v</w:t>
      </w:r>
      <w:r w:rsidRPr="00BB0D9C">
        <w:t xml:space="preserve">alidación </w:t>
      </w:r>
      <w:r w:rsidR="009667FA" w:rsidRPr="00BB0D9C">
        <w:t xml:space="preserve">que </w:t>
      </w:r>
      <w:r w:rsidR="001D2B1E" w:rsidRPr="00BB0D9C">
        <w:t xml:space="preserve">se </w:t>
      </w:r>
      <w:r w:rsidR="009667FA" w:rsidRPr="00BB0D9C">
        <w:t>iniciaría</w:t>
      </w:r>
      <w:r w:rsidRPr="00BB0D9C">
        <w:t xml:space="preserve"> el 25 de abril de 2019. Esas 12 medidas correctivas tienen que ver con</w:t>
      </w:r>
      <w:r w:rsidR="001D2B1E" w:rsidRPr="00BB0D9C">
        <w:t xml:space="preserve"> lo siguiente</w:t>
      </w:r>
      <w:r w:rsidRPr="00BB0D9C">
        <w:t>:</w:t>
      </w:r>
    </w:p>
    <w:p w14:paraId="6A827861" w14:textId="77777777" w:rsidR="00AB5F93" w:rsidRPr="00BB0D9C" w:rsidRDefault="00AB5F93" w:rsidP="00AB5F93">
      <w:pPr>
        <w:pStyle w:val="ListParagraph"/>
        <w:numPr>
          <w:ilvl w:val="0"/>
          <w:numId w:val="45"/>
        </w:numPr>
        <w:spacing w:before="100" w:beforeAutospacing="1" w:after="100" w:afterAutospacing="1"/>
        <w:rPr>
          <w:rFonts w:cstheme="majorHAnsi"/>
          <w:szCs w:val="22"/>
        </w:rPr>
      </w:pPr>
      <w:r w:rsidRPr="00BB0D9C">
        <w:t>Participación del gobierno (Requisito 1.1);</w:t>
      </w:r>
    </w:p>
    <w:p w14:paraId="2A5112D5" w14:textId="77777777" w:rsidR="00AB5F93" w:rsidRPr="00BB0D9C" w:rsidRDefault="00AB5F93" w:rsidP="00AB5F93">
      <w:pPr>
        <w:pStyle w:val="ListParagraph"/>
        <w:numPr>
          <w:ilvl w:val="0"/>
          <w:numId w:val="45"/>
        </w:numPr>
        <w:spacing w:before="100" w:beforeAutospacing="1" w:after="100" w:afterAutospacing="1"/>
        <w:rPr>
          <w:rFonts w:cstheme="majorHAnsi"/>
          <w:szCs w:val="22"/>
        </w:rPr>
      </w:pPr>
      <w:r w:rsidRPr="00BB0D9C">
        <w:t>Participación de la industria (Requisito 1.2);</w:t>
      </w:r>
    </w:p>
    <w:p w14:paraId="034C36F2" w14:textId="77777777" w:rsidR="00AB5F93" w:rsidRPr="00BB0D9C" w:rsidRDefault="00AB5F93" w:rsidP="00AB5F93">
      <w:pPr>
        <w:pStyle w:val="ListParagraph"/>
        <w:numPr>
          <w:ilvl w:val="0"/>
          <w:numId w:val="45"/>
        </w:numPr>
        <w:spacing w:before="100" w:beforeAutospacing="1" w:after="100" w:afterAutospacing="1"/>
        <w:rPr>
          <w:rFonts w:cstheme="majorHAnsi"/>
          <w:szCs w:val="22"/>
        </w:rPr>
      </w:pPr>
      <w:r w:rsidRPr="00BB0D9C">
        <w:t>Participación de la sociedad civil (Requisito 1.3);</w:t>
      </w:r>
    </w:p>
    <w:p w14:paraId="1DE492EB" w14:textId="77777777" w:rsidR="00AB5F93" w:rsidRPr="00BB0D9C" w:rsidRDefault="00AB5F93" w:rsidP="00AB5F93">
      <w:pPr>
        <w:pStyle w:val="ListParagraph"/>
        <w:numPr>
          <w:ilvl w:val="0"/>
          <w:numId w:val="45"/>
        </w:numPr>
        <w:spacing w:before="100" w:beforeAutospacing="1" w:after="100" w:afterAutospacing="1"/>
        <w:rPr>
          <w:rFonts w:cstheme="majorHAnsi"/>
          <w:szCs w:val="22"/>
        </w:rPr>
      </w:pPr>
      <w:r w:rsidRPr="00BB0D9C">
        <w:t>Plan de trabajo (Requisito 1.5);</w:t>
      </w:r>
    </w:p>
    <w:p w14:paraId="64E51345" w14:textId="77777777" w:rsidR="00AB5F93" w:rsidRPr="00BB0D9C" w:rsidRDefault="00AB5F93" w:rsidP="00AB5F93">
      <w:pPr>
        <w:pStyle w:val="ListParagraph"/>
        <w:numPr>
          <w:ilvl w:val="0"/>
          <w:numId w:val="45"/>
        </w:numPr>
        <w:spacing w:before="100" w:beforeAutospacing="1" w:after="100" w:afterAutospacing="1"/>
        <w:rPr>
          <w:rFonts w:cstheme="majorHAnsi"/>
          <w:szCs w:val="22"/>
        </w:rPr>
      </w:pPr>
      <w:r w:rsidRPr="00BB0D9C">
        <w:t>Divulgación exhaustiva de impuestos e ingresos (Requisito 4.1);</w:t>
      </w:r>
    </w:p>
    <w:p w14:paraId="43211D00" w14:textId="77777777" w:rsidR="00AB5F93" w:rsidRPr="00BB0D9C" w:rsidRDefault="00AB5F93" w:rsidP="00AB5F93">
      <w:pPr>
        <w:pStyle w:val="ListParagraph"/>
        <w:numPr>
          <w:ilvl w:val="0"/>
          <w:numId w:val="45"/>
        </w:numPr>
        <w:spacing w:before="100" w:beforeAutospacing="1" w:after="100" w:afterAutospacing="1"/>
        <w:rPr>
          <w:rFonts w:cstheme="majorHAnsi"/>
          <w:szCs w:val="22"/>
        </w:rPr>
      </w:pPr>
      <w:r w:rsidRPr="00BB0D9C">
        <w:t>Pagos subnacionales (Requisito 4.6);</w:t>
      </w:r>
    </w:p>
    <w:p w14:paraId="68626828" w14:textId="77777777" w:rsidR="00AB5F93" w:rsidRPr="00BB0D9C" w:rsidRDefault="00AB5F93" w:rsidP="00AB5F93">
      <w:pPr>
        <w:pStyle w:val="ListParagraph"/>
        <w:numPr>
          <w:ilvl w:val="0"/>
          <w:numId w:val="45"/>
        </w:numPr>
        <w:spacing w:before="100" w:beforeAutospacing="1" w:after="100" w:afterAutospacing="1"/>
        <w:rPr>
          <w:rFonts w:cstheme="majorHAnsi"/>
          <w:szCs w:val="22"/>
        </w:rPr>
      </w:pPr>
      <w:r w:rsidRPr="00BB0D9C">
        <w:t>Calidad y garantía de los datos (Requisito 4.9);</w:t>
      </w:r>
    </w:p>
    <w:p w14:paraId="2242BA99" w14:textId="77777777" w:rsidR="00AB5F93" w:rsidRPr="00BB0D9C" w:rsidRDefault="00AB5F93" w:rsidP="00AB5F93">
      <w:pPr>
        <w:pStyle w:val="ListParagraph"/>
        <w:numPr>
          <w:ilvl w:val="0"/>
          <w:numId w:val="45"/>
        </w:numPr>
        <w:spacing w:before="100" w:beforeAutospacing="1" w:after="100" w:afterAutospacing="1"/>
        <w:rPr>
          <w:rFonts w:cstheme="majorHAnsi"/>
          <w:szCs w:val="22"/>
        </w:rPr>
      </w:pPr>
      <w:r w:rsidRPr="00BB0D9C">
        <w:t>Gastos sociales de las empresas extractivas (Requisito 6.1)</w:t>
      </w:r>
    </w:p>
    <w:p w14:paraId="74FD40EB" w14:textId="77777777" w:rsidR="00AB5F93" w:rsidRPr="00BB0D9C" w:rsidRDefault="00AB5F93" w:rsidP="00AB5F93">
      <w:pPr>
        <w:pStyle w:val="ListParagraph"/>
        <w:numPr>
          <w:ilvl w:val="0"/>
          <w:numId w:val="45"/>
        </w:numPr>
        <w:spacing w:before="100" w:beforeAutospacing="1" w:after="100" w:afterAutospacing="1"/>
        <w:rPr>
          <w:rFonts w:cstheme="majorHAnsi"/>
          <w:szCs w:val="22"/>
        </w:rPr>
      </w:pPr>
      <w:r w:rsidRPr="00BB0D9C">
        <w:t>La contribución del sector extractivo a la economía ((Requisito 6.3)</w:t>
      </w:r>
    </w:p>
    <w:p w14:paraId="32B06032" w14:textId="77777777" w:rsidR="00AB5F93" w:rsidRPr="00BB0D9C" w:rsidRDefault="00AB5F93" w:rsidP="00AB5F93">
      <w:pPr>
        <w:pStyle w:val="ListParagraph"/>
        <w:numPr>
          <w:ilvl w:val="0"/>
          <w:numId w:val="45"/>
        </w:numPr>
        <w:spacing w:before="100" w:beforeAutospacing="1" w:after="100" w:afterAutospacing="1"/>
        <w:rPr>
          <w:rFonts w:cstheme="majorHAnsi"/>
          <w:szCs w:val="22"/>
        </w:rPr>
      </w:pPr>
      <w:r w:rsidRPr="00BB0D9C">
        <w:t>Debate público (Requisito 7.1)</w:t>
      </w:r>
    </w:p>
    <w:p w14:paraId="33673C80" w14:textId="77777777" w:rsidR="00AB5F93" w:rsidRPr="00BB0D9C" w:rsidRDefault="00AB5F93" w:rsidP="00AB5F93">
      <w:pPr>
        <w:pStyle w:val="ListParagraph"/>
        <w:numPr>
          <w:ilvl w:val="0"/>
          <w:numId w:val="45"/>
        </w:numPr>
        <w:spacing w:before="100" w:beforeAutospacing="1" w:after="100" w:afterAutospacing="1"/>
        <w:rPr>
          <w:rFonts w:cstheme="majorHAnsi"/>
          <w:szCs w:val="22"/>
        </w:rPr>
      </w:pPr>
      <w:r w:rsidRPr="00BB0D9C">
        <w:t>Discrepancias y recomendaciones surgidas de los informes EITI (Requisito 7.3)</w:t>
      </w:r>
    </w:p>
    <w:p w14:paraId="1A88C847" w14:textId="77777777" w:rsidR="00AB5F93" w:rsidRPr="00BB0D9C" w:rsidRDefault="00AB5F93" w:rsidP="00AB5F93">
      <w:pPr>
        <w:pStyle w:val="ListParagraph"/>
        <w:numPr>
          <w:ilvl w:val="0"/>
          <w:numId w:val="45"/>
        </w:numPr>
        <w:spacing w:before="100" w:beforeAutospacing="1" w:after="100" w:afterAutospacing="1"/>
      </w:pPr>
      <w:r w:rsidRPr="00BB0D9C">
        <w:t>Revisión de los resultados y el impacto de la implementación del EITI (Requisito 7.4)</w:t>
      </w:r>
    </w:p>
    <w:p w14:paraId="0C78141A" w14:textId="77777777" w:rsidR="006F0B1B" w:rsidRPr="00BB0D9C" w:rsidRDefault="006D1F3C" w:rsidP="006F0B1B">
      <w:pPr>
        <w:shd w:val="clear" w:color="auto" w:fill="FFFFFF"/>
        <w:spacing w:before="100" w:beforeAutospacing="1" w:after="100" w:afterAutospacing="1"/>
        <w:rPr>
          <w:rFonts w:cstheme="majorHAnsi"/>
          <w:szCs w:val="22"/>
        </w:rPr>
      </w:pPr>
      <w:r w:rsidRPr="00BB0D9C">
        <w:t>Honduras ha emprendido diversas actividades para abordar estas medidas correctivas:</w:t>
      </w:r>
    </w:p>
    <w:p w14:paraId="75A7E7C8" w14:textId="77777777" w:rsidR="00A42241" w:rsidRPr="00BB0D9C" w:rsidRDefault="00A42241" w:rsidP="006F0B1B">
      <w:pPr>
        <w:numPr>
          <w:ilvl w:val="0"/>
          <w:numId w:val="23"/>
        </w:numPr>
        <w:shd w:val="clear" w:color="auto" w:fill="FFFFFF"/>
        <w:spacing w:before="100" w:beforeAutospacing="1" w:after="100" w:afterAutospacing="1"/>
        <w:rPr>
          <w:rFonts w:cstheme="majorHAnsi"/>
          <w:szCs w:val="22"/>
        </w:rPr>
      </w:pPr>
      <w:r w:rsidRPr="00BB0D9C">
        <w:t>El GMP celebró 16 reuniones entre noviembre de 2017 y marzo de 2019</w:t>
      </w:r>
      <w:r w:rsidR="00E50834" w:rsidRPr="00BB0D9C">
        <w:rPr>
          <w:rStyle w:val="FootnoteReference"/>
          <w:szCs w:val="22"/>
        </w:rPr>
        <w:footnoteReference w:id="15"/>
      </w:r>
      <w:r w:rsidR="005C074E" w:rsidRPr="00BB0D9C">
        <w:t>.</w:t>
      </w:r>
    </w:p>
    <w:p w14:paraId="4573E8A7" w14:textId="77777777" w:rsidR="00662204" w:rsidRPr="00BB0D9C" w:rsidRDefault="00662204" w:rsidP="006F0B1B">
      <w:pPr>
        <w:numPr>
          <w:ilvl w:val="0"/>
          <w:numId w:val="23"/>
        </w:numPr>
        <w:shd w:val="clear" w:color="auto" w:fill="FFFFFF"/>
        <w:spacing w:before="100" w:beforeAutospacing="1" w:after="100" w:afterAutospacing="1"/>
        <w:rPr>
          <w:rFonts w:cstheme="majorHAnsi"/>
          <w:szCs w:val="22"/>
        </w:rPr>
      </w:pPr>
      <w:r w:rsidRPr="00BB0D9C">
        <w:t>El 29 de junio de 2018, el GMP publicó el Informe EITI 2015-2016.</w:t>
      </w:r>
    </w:p>
    <w:p w14:paraId="0AB13865" w14:textId="77777777" w:rsidR="007D5BA9" w:rsidRPr="00BB0D9C" w:rsidRDefault="005A0054" w:rsidP="006F0B1B">
      <w:pPr>
        <w:numPr>
          <w:ilvl w:val="0"/>
          <w:numId w:val="23"/>
        </w:numPr>
        <w:shd w:val="clear" w:color="auto" w:fill="FFFFFF"/>
        <w:spacing w:before="100" w:beforeAutospacing="1" w:after="100" w:afterAutospacing="1"/>
        <w:rPr>
          <w:rFonts w:cstheme="majorHAnsi"/>
          <w:szCs w:val="22"/>
        </w:rPr>
      </w:pPr>
      <w:r w:rsidRPr="00BB0D9C">
        <w:t>El 31 de julio de 2019, el GMP designó al Administrador Independiente, Jorge Tovar</w:t>
      </w:r>
      <w:r w:rsidR="00E50834" w:rsidRPr="00BB0D9C">
        <w:rPr>
          <w:rStyle w:val="FootnoteReference"/>
          <w:szCs w:val="22"/>
        </w:rPr>
        <w:footnoteReference w:id="16"/>
      </w:r>
      <w:r w:rsidR="005C074E" w:rsidRPr="00BB0D9C">
        <w:t>.</w:t>
      </w:r>
    </w:p>
    <w:p w14:paraId="4BCD397B" w14:textId="77777777" w:rsidR="00204CB6" w:rsidRPr="00BB0D9C" w:rsidRDefault="005A0054" w:rsidP="006F0B1B">
      <w:pPr>
        <w:numPr>
          <w:ilvl w:val="0"/>
          <w:numId w:val="23"/>
        </w:numPr>
        <w:shd w:val="clear" w:color="auto" w:fill="FFFFFF"/>
        <w:spacing w:before="100" w:beforeAutospacing="1" w:after="100" w:afterAutospacing="1"/>
        <w:rPr>
          <w:rFonts w:cstheme="majorHAnsi"/>
          <w:szCs w:val="22"/>
        </w:rPr>
      </w:pPr>
      <w:r w:rsidRPr="00BB0D9C">
        <w:t>El 11 de febrero de 2020, el GMP publicó el Informe EITI 2017-2018 de Honduras</w:t>
      </w:r>
      <w:r w:rsidR="009C4F7E" w:rsidRPr="00BB0D9C">
        <w:rPr>
          <w:rStyle w:val="FootnoteReference"/>
          <w:szCs w:val="22"/>
        </w:rPr>
        <w:footnoteReference w:id="17"/>
      </w:r>
      <w:r w:rsidRPr="00BB0D9C">
        <w:t xml:space="preserve">. </w:t>
      </w:r>
    </w:p>
    <w:p w14:paraId="1B2305C4" w14:textId="77777777" w:rsidR="00662204" w:rsidRPr="00BB0D9C" w:rsidRDefault="00662204" w:rsidP="006F0B1B">
      <w:pPr>
        <w:numPr>
          <w:ilvl w:val="0"/>
          <w:numId w:val="23"/>
        </w:numPr>
        <w:shd w:val="clear" w:color="auto" w:fill="FFFFFF"/>
        <w:spacing w:before="100" w:beforeAutospacing="1" w:after="100" w:afterAutospacing="1"/>
        <w:rPr>
          <w:rFonts w:cstheme="majorHAnsi"/>
          <w:szCs w:val="22"/>
        </w:rPr>
      </w:pPr>
      <w:r w:rsidRPr="00BB0D9C">
        <w:t>El GMP publicó los informes anuales de progreso correspondientes a 2017 y 2018 en julio de 2018 y abril de 2019, respectivamente.</w:t>
      </w:r>
      <w:r w:rsidR="00827CAC" w:rsidRPr="00BB0D9C">
        <w:t xml:space="preserve"> </w:t>
      </w:r>
    </w:p>
    <w:p w14:paraId="29A10121" w14:textId="77777777" w:rsidR="00A42241" w:rsidRPr="00BB0D9C" w:rsidRDefault="005A0054" w:rsidP="00503A5C">
      <w:pPr>
        <w:numPr>
          <w:ilvl w:val="0"/>
          <w:numId w:val="23"/>
        </w:numPr>
        <w:shd w:val="clear" w:color="auto" w:fill="FFFFFF"/>
        <w:spacing w:before="100" w:beforeAutospacing="1" w:after="100" w:afterAutospacing="1"/>
        <w:rPr>
          <w:rFonts w:cstheme="majorHAnsi"/>
          <w:szCs w:val="22"/>
        </w:rPr>
      </w:pPr>
      <w:r w:rsidRPr="00BB0D9C">
        <w:t>El 11 de noviembre de 2017, el GMP actualizó y publicó el plan de trabajo referente al EITI para el período 2016-2018</w:t>
      </w:r>
      <w:r w:rsidR="000A5C1E" w:rsidRPr="00BB0D9C">
        <w:rPr>
          <w:rStyle w:val="FootnoteReference"/>
          <w:szCs w:val="22"/>
        </w:rPr>
        <w:footnoteReference w:id="18"/>
      </w:r>
      <w:r w:rsidRPr="00BB0D9C">
        <w:t xml:space="preserve">. </w:t>
      </w:r>
    </w:p>
    <w:p w14:paraId="20B5090F" w14:textId="77777777" w:rsidR="00636E6F" w:rsidRPr="00BB0D9C" w:rsidRDefault="00636E6F" w:rsidP="00503A5C">
      <w:pPr>
        <w:numPr>
          <w:ilvl w:val="0"/>
          <w:numId w:val="23"/>
        </w:numPr>
        <w:shd w:val="clear" w:color="auto" w:fill="FFFFFF"/>
        <w:spacing w:before="100" w:beforeAutospacing="1" w:after="100" w:afterAutospacing="1"/>
        <w:rPr>
          <w:rFonts w:cstheme="majorHAnsi"/>
          <w:szCs w:val="22"/>
        </w:rPr>
      </w:pPr>
      <w:r w:rsidRPr="00BB0D9C">
        <w:t>El 4 de julio de 2019, el GMP aprobó y publicó el plan de trabajo relativo al EITI para el período 2019-2020</w:t>
      </w:r>
      <w:r w:rsidRPr="00BB0D9C">
        <w:rPr>
          <w:rStyle w:val="FootnoteReference"/>
          <w:szCs w:val="22"/>
        </w:rPr>
        <w:footnoteReference w:id="19"/>
      </w:r>
      <w:r w:rsidRPr="00BB0D9C">
        <w:t xml:space="preserve">. </w:t>
      </w:r>
    </w:p>
    <w:p w14:paraId="5C295585" w14:textId="77777777" w:rsidR="001D2B1E" w:rsidRPr="00BB0D9C" w:rsidRDefault="001D2B1E" w:rsidP="001D6F30">
      <w:r w:rsidRPr="00BB0D9C">
        <w:t xml:space="preserve">Aunque la validación comenzó como se había planificado en abril de 2019, el Secretariado Internacional enfrentó dificultades para completar la evaluación de acuerdo con el programa estipulado en </w:t>
      </w:r>
      <w:r w:rsidR="007F6CB9" w:rsidRPr="00BB0D9C">
        <w:t xml:space="preserve">los procedimientos de validación. La partida de personal fundamental y dificultades para gestionar el atraso del trabajo de validación contribuyeron a estos retrasos. A solicitud del grupo de </w:t>
      </w:r>
      <w:proofErr w:type="spellStart"/>
      <w:r w:rsidR="007F6CB9" w:rsidRPr="00BB0D9C">
        <w:t>multipartícipes</w:t>
      </w:r>
      <w:proofErr w:type="spellEnd"/>
      <w:r w:rsidR="007F6CB9" w:rsidRPr="00BB0D9C">
        <w:t>, el Secretariado Internacional revisó de manera sustancial su evaluación final para tener en cuenta los desarrollos más recientes para someterlos al examen del Consejo.</w:t>
      </w:r>
    </w:p>
    <w:p w14:paraId="38C2BDB0" w14:textId="77777777" w:rsidR="00B35FCD" w:rsidRPr="00BB0D9C" w:rsidRDefault="006F6114" w:rsidP="001D6F30">
      <w:r w:rsidRPr="00BB0D9C">
        <w:t>La siguiente sección se ocupa del progreso exhibido con respecto a cada una de las medidas correctivas. La evaluación abarca las medidas correctivas establecidas por el Consejo y los requisitos del Estándar EITI asociados a ellas. La evaluación sigue las pautas orientadoras de la Guía para la Validación</w:t>
      </w:r>
      <w:r w:rsidRPr="00BB0D9C">
        <w:rPr>
          <w:vertAlign w:val="superscript"/>
        </w:rPr>
        <w:footnoteReference w:id="20"/>
      </w:r>
      <w:r w:rsidRPr="00BB0D9C">
        <w:t xml:space="preserve">. Durante su labor de evaluación, el Secretariado Internacional también se planteó si </w:t>
      </w:r>
      <w:proofErr w:type="gramStart"/>
      <w:r w:rsidRPr="00BB0D9C">
        <w:t>sería</w:t>
      </w:r>
      <w:proofErr w:type="gramEnd"/>
      <w:r w:rsidRPr="00BB0D9C">
        <w:t xml:space="preserve"> necesario analizar requisitos ulteriores, es decir, aquellos en los cuales se había observado un “progreso satisfactorio” o “superior” en la Validación de 2017. Si bien estos requisitos no se han evaluado exhaustivamente, el Secretariado Internacional consider</w:t>
      </w:r>
      <w:r w:rsidR="007F6CB9" w:rsidRPr="00BB0D9C">
        <w:t>ó inicialmente</w:t>
      </w:r>
      <w:r w:rsidRPr="00BB0D9C">
        <w:t xml:space="preserve"> que ha</w:t>
      </w:r>
      <w:r w:rsidR="007F6CB9" w:rsidRPr="00BB0D9C">
        <w:t>y pruebas</w:t>
      </w:r>
      <w:r w:rsidRPr="00BB0D9C">
        <w:t xml:space="preserve"> que exig</w:t>
      </w:r>
      <w:r w:rsidR="007F6CB9" w:rsidRPr="00BB0D9C">
        <w:t>en</w:t>
      </w:r>
      <w:r w:rsidRPr="00BB0D9C">
        <w:t xml:space="preserve"> analizar el nivel de progreso en cuanto a la supervisión del GMP (</w:t>
      </w:r>
      <w:r w:rsidR="007F6CB9" w:rsidRPr="00BB0D9C">
        <w:t>r</w:t>
      </w:r>
      <w:r w:rsidRPr="00BB0D9C">
        <w:t xml:space="preserve">equisito 1.4). Sin embargo, tras un detenido análisis, el Secretariado Internacional llegó a la conclusión de que las pruebas </w:t>
      </w:r>
      <w:r w:rsidR="007F6CB9" w:rsidRPr="00BB0D9C">
        <w:t xml:space="preserve">que hacían surgir preocupaciones con respecto a una posible reincidencia </w:t>
      </w:r>
      <w:r w:rsidRPr="00BB0D9C">
        <w:t xml:space="preserve">representaban un caso aislado que no justificaba bajar a “progreso significativo” la calificación respecto del </w:t>
      </w:r>
      <w:r w:rsidR="007F6CB9" w:rsidRPr="00BB0D9C">
        <w:t>r</w:t>
      </w:r>
      <w:r w:rsidRPr="00BB0D9C">
        <w:t>equisito 1.4.</w:t>
      </w:r>
    </w:p>
    <w:p w14:paraId="21C33B53" w14:textId="526DFB11" w:rsidR="00AB5F93" w:rsidRPr="00BB0D9C" w:rsidRDefault="00B67182" w:rsidP="001D6F30">
      <w:r w:rsidRPr="00BB0D9C">
        <w:t>En este documento, se citarán dos referencias principales: el Informe EITI de 2015-2016</w:t>
      </w:r>
      <w:r w:rsidRPr="00BB0D9C">
        <w:rPr>
          <w:vertAlign w:val="superscript"/>
        </w:rPr>
        <w:footnoteReference w:id="21"/>
      </w:r>
      <w:r w:rsidRPr="00BB0D9C">
        <w:t xml:space="preserve"> y el Informe de 2017-2018</w:t>
      </w:r>
      <w:r w:rsidRPr="00BB0D9C">
        <w:rPr>
          <w:vertAlign w:val="superscript"/>
        </w:rPr>
        <w:footnoteReference w:id="22"/>
      </w:r>
      <w:r w:rsidRPr="00BB0D9C">
        <w:t xml:space="preserve">. El Informe EITI de </w:t>
      </w:r>
      <w:r w:rsidRPr="00BB0D9C">
        <w:rPr>
          <w:bCs/>
        </w:rPr>
        <w:t xml:space="preserve">2017-2018 se publicó el 10 de febrero de 2020, después del comienzo de la segunda validación. Si el Consejo del </w:t>
      </w:r>
      <w:r w:rsidRPr="00BB0D9C">
        <w:t xml:space="preserve">EITI acepta ejercer su criterio y tener en cuenta el Informe de 2017-2018, existe una cuestión adicional que merece atención con respecto al desglose de los datos de acuerdo con el requisito 4.7. </w:t>
      </w:r>
      <w:r w:rsidR="00B00CE4" w:rsidRPr="00BB0D9C">
        <w:t xml:space="preserve">El desglose por proyecto </w:t>
      </w:r>
      <w:r w:rsidRPr="00BB0D9C">
        <w:rPr>
          <w:bCs/>
        </w:rPr>
        <w:t xml:space="preserve">individual </w:t>
      </w:r>
      <w:r w:rsidR="00B00CE4" w:rsidRPr="00BB0D9C">
        <w:rPr>
          <w:bCs/>
        </w:rPr>
        <w:t xml:space="preserve">era exigido por el Estándar EITI de </w:t>
      </w:r>
      <w:r w:rsidRPr="00BB0D9C">
        <w:rPr>
          <w:bCs/>
        </w:rPr>
        <w:t xml:space="preserve">2016 </w:t>
      </w:r>
      <w:r w:rsidR="00B00CE4" w:rsidRPr="00BB0D9C">
        <w:rPr>
          <w:bCs/>
        </w:rPr>
        <w:t xml:space="preserve">para los informes que abarcaran el año </w:t>
      </w:r>
      <w:r w:rsidRPr="00BB0D9C">
        <w:rPr>
          <w:bCs/>
        </w:rPr>
        <w:t>fiscal 2018</w:t>
      </w:r>
      <w:r w:rsidR="00B00CE4" w:rsidRPr="00BB0D9C">
        <w:rPr>
          <w:bCs/>
        </w:rPr>
        <w:t xml:space="preserve">, conforme la definición del grupo de </w:t>
      </w:r>
      <w:proofErr w:type="spellStart"/>
      <w:r w:rsidR="00B00CE4" w:rsidRPr="00BB0D9C">
        <w:rPr>
          <w:bCs/>
        </w:rPr>
        <w:t>multipartícipes</w:t>
      </w:r>
      <w:proofErr w:type="spellEnd"/>
      <w:r w:rsidR="00B00CE4" w:rsidRPr="00BB0D9C">
        <w:rPr>
          <w:bCs/>
        </w:rPr>
        <w:t xml:space="preserve"> de lo que constituye un proyecto individual</w:t>
      </w:r>
      <w:r w:rsidRPr="00BB0D9C">
        <w:rPr>
          <w:bCs/>
        </w:rPr>
        <w:t xml:space="preserve">. </w:t>
      </w:r>
      <w:r w:rsidR="00B00CE4" w:rsidRPr="00BB0D9C">
        <w:rPr>
          <w:bCs/>
        </w:rPr>
        <w:t>Esto no fue abordado en el Informe EITI de</w:t>
      </w:r>
      <w:r w:rsidRPr="00BB0D9C">
        <w:rPr>
          <w:bCs/>
        </w:rPr>
        <w:t xml:space="preserve"> 2017-2018.</w:t>
      </w:r>
      <w:r w:rsidR="00B00CE4" w:rsidRPr="00BB0D9C">
        <w:rPr>
          <w:bCs/>
        </w:rPr>
        <w:t xml:space="preserve"> </w:t>
      </w:r>
      <w:r w:rsidRPr="00BB0D9C">
        <w:t>S</w:t>
      </w:r>
      <w:r w:rsidR="00B00CE4" w:rsidRPr="00BB0D9C">
        <w:t>i el Consejo del</w:t>
      </w:r>
      <w:r w:rsidRPr="00BB0D9C">
        <w:t xml:space="preserve"> EITI </w:t>
      </w:r>
      <w:r w:rsidR="00B00CE4" w:rsidRPr="00BB0D9C">
        <w:t>acepta ejercer su criterio y tener en cuenta el Informe de 2017-2018</w:t>
      </w:r>
      <w:r w:rsidRPr="00BB0D9C">
        <w:t>,</w:t>
      </w:r>
      <w:r w:rsidRPr="00BB0D9C">
        <w:rPr>
          <w:bCs/>
        </w:rPr>
        <w:t xml:space="preserve"> </w:t>
      </w:r>
      <w:r w:rsidR="00B00CE4" w:rsidRPr="00BB0D9C">
        <w:rPr>
          <w:bCs/>
        </w:rPr>
        <w:t xml:space="preserve">el Secretariado Internacional recomienda que la evaluación con respecto al requisito </w:t>
      </w:r>
      <w:r w:rsidRPr="00BB0D9C">
        <w:t xml:space="preserve">4.7 </w:t>
      </w:r>
      <w:r w:rsidR="00B00CE4" w:rsidRPr="00BB0D9C">
        <w:t xml:space="preserve">descienda a </w:t>
      </w:r>
      <w:r w:rsidRPr="00BB0D9C">
        <w:t>“</w:t>
      </w:r>
      <w:r w:rsidR="00B00CE4" w:rsidRPr="00BB0D9C">
        <w:t>progreso significativo</w:t>
      </w:r>
      <w:r w:rsidRPr="00BB0D9C">
        <w:t>”.</w:t>
      </w:r>
    </w:p>
    <w:p w14:paraId="59C7A0F0" w14:textId="77777777" w:rsidR="00C66AF1" w:rsidRPr="00BB0D9C" w:rsidRDefault="004B495E" w:rsidP="00B62345">
      <w:pPr>
        <w:pStyle w:val="Heading1"/>
        <w:rPr>
          <w:rFonts w:ascii="Franklin Gothic Book" w:hAnsi="Franklin Gothic Book"/>
        </w:rPr>
      </w:pPr>
      <w:bookmarkStart w:id="13" w:name="_Toc45021593"/>
      <w:r w:rsidRPr="00BB0D9C">
        <w:rPr>
          <w:rFonts w:ascii="Franklin Gothic Book" w:hAnsi="Franklin Gothic Book"/>
        </w:rPr>
        <w:t>Análisis de las medidas correctivas</w:t>
      </w:r>
      <w:bookmarkEnd w:id="0"/>
      <w:bookmarkEnd w:id="13"/>
    </w:p>
    <w:p w14:paraId="5A760375" w14:textId="77777777" w:rsidR="00921B57" w:rsidRPr="00BB0D9C" w:rsidRDefault="00564F39" w:rsidP="00A42241">
      <w:pPr>
        <w:shd w:val="clear" w:color="auto" w:fill="FFFFFF"/>
        <w:spacing w:before="100" w:beforeAutospacing="1" w:after="100" w:afterAutospacing="1"/>
        <w:rPr>
          <w:rFonts w:cstheme="majorHAnsi"/>
          <w:szCs w:val="22"/>
        </w:rPr>
      </w:pPr>
      <w:r w:rsidRPr="00BB0D9C">
        <w:t>Tal como señala la decisión del Consejo sobre la primera Validación de Honduras, el Consejo EITI decidió establecer 12 medidas correctivas</w:t>
      </w:r>
      <w:r w:rsidR="00366132" w:rsidRPr="00BB0D9C">
        <w:rPr>
          <w:rStyle w:val="FootnoteReference"/>
          <w:szCs w:val="22"/>
        </w:rPr>
        <w:footnoteReference w:id="23"/>
      </w:r>
      <w:r w:rsidRPr="00BB0D9C">
        <w:t>. La evaluación del Secretariado que se desarrolla a continuación analiza si se abordaron suficientemente las medidas correctivas. Las evaluaciones se basan en las actas de las reuniones del GMP celebradas entre noviembre de 2017 y marzo de 2019, el Informe EITI 2015-2016 publicado el 29 de junio de 2018, las actas de la reunión entre el GMP y el Administrador Independiente del 15 de marzo de 2018, los Informes Anuales de Progreso de 2017 y 2018, la versión actualizada del plan de trabajo para el 2016-2018, aclaraciones y comentarios del GMP, correos electrónicos, y distintas consultas con partes interesadas (realizadas en persona durante la misión del Secretariado Internacional entre el 28 y el 31 de mayo de 2019, y a través de Skype), así como datos disponibles al público antes del 25 de abril de 2019.</w:t>
      </w:r>
      <w:r w:rsidR="00921B57" w:rsidRPr="00BB0D9C">
        <w:t xml:space="preserve"> Este informe final también toma nota de los comentarios ofrecidos por el grupo de </w:t>
      </w:r>
      <w:proofErr w:type="spellStart"/>
      <w:r w:rsidR="00921B57" w:rsidRPr="00BB0D9C">
        <w:t>multipartícipes</w:t>
      </w:r>
      <w:proofErr w:type="spellEnd"/>
      <w:r w:rsidR="00921B57" w:rsidRPr="00BB0D9C">
        <w:t xml:space="preserve"> de Honduras a la evaluación en borrador enviada por el Secretariado Internacional el 27 de marzo de 2019. </w:t>
      </w:r>
      <w:r w:rsidR="00921B57" w:rsidRPr="00BB0D9C">
        <w:rPr>
          <w:rFonts w:cstheme="majorHAnsi"/>
          <w:szCs w:val="22"/>
        </w:rPr>
        <w:t xml:space="preserve">Teniendo en cuenta que queda a criterio del Consejo tener en cuenta nueva información publicada después del comienzo de la segunda validación, la evaluación también destaca los desarrollos según se describen en las actas de las reuniones del grupo de </w:t>
      </w:r>
      <w:proofErr w:type="spellStart"/>
      <w:r w:rsidR="00921B57" w:rsidRPr="00BB0D9C">
        <w:rPr>
          <w:rFonts w:cstheme="majorHAnsi"/>
          <w:szCs w:val="22"/>
        </w:rPr>
        <w:t>multipartícipes</w:t>
      </w:r>
      <w:proofErr w:type="spellEnd"/>
      <w:r w:rsidR="00921B57" w:rsidRPr="00BB0D9C">
        <w:rPr>
          <w:rFonts w:cstheme="majorHAnsi"/>
          <w:szCs w:val="22"/>
        </w:rPr>
        <w:t xml:space="preserve"> desde abril de 2019, el plan de trabajo del EITI actualizado que abarca 2019 y 2020 y el Informe EITI de 2017-2018.</w:t>
      </w:r>
    </w:p>
    <w:p w14:paraId="7C6F8B66" w14:textId="77777777" w:rsidR="00F834E5" w:rsidRPr="00BB0D9C" w:rsidRDefault="003D0D43" w:rsidP="00503A5C">
      <w:pPr>
        <w:pStyle w:val="Heading2"/>
        <w:numPr>
          <w:ilvl w:val="1"/>
          <w:numId w:val="43"/>
        </w:numPr>
      </w:pPr>
      <w:bookmarkStart w:id="14" w:name="_Toc45021594"/>
      <w:r w:rsidRPr="00BB0D9C">
        <w:t>Medida correctiva 1: Participación del gobierno (</w:t>
      </w:r>
      <w:proofErr w:type="spellStart"/>
      <w:r w:rsidR="00921B57" w:rsidRPr="00BB0D9C">
        <w:t>n.°</w:t>
      </w:r>
      <w:proofErr w:type="spellEnd"/>
      <w:r w:rsidR="00921B57" w:rsidRPr="00BB0D9C">
        <w:t> </w:t>
      </w:r>
      <w:r w:rsidRPr="00BB0D9C">
        <w:t>1.1)</w:t>
      </w:r>
      <w:bookmarkEnd w:id="14"/>
    </w:p>
    <w:p w14:paraId="5E43B779" w14:textId="77777777" w:rsidR="003B4752" w:rsidRPr="00BB0D9C" w:rsidRDefault="003B4752" w:rsidP="003B4752">
      <w:pPr>
        <w:shd w:val="clear" w:color="auto" w:fill="D9D9D9"/>
        <w:spacing w:before="120" w:line="276" w:lineRule="auto"/>
        <w:rPr>
          <w:rFonts w:cstheme="majorHAnsi"/>
          <w:szCs w:val="22"/>
        </w:rPr>
      </w:pPr>
      <w:bookmarkStart w:id="15" w:name="_Toc526152781"/>
      <w:r w:rsidRPr="00BB0D9C">
        <w:t xml:space="preserve">Conforme al Requisito 1.1, el gobierno debería demostrar que participa de manera plena, activa y efectiva en el proceso EITI. El gobierno debería demostrar su compromiso dando un adecuado apoyo y financiamiento a EITI Honduras. El gobierno debería considerar la posibilidad de albergar el Secretariado Nacional dentro de un organismo gubernamental que ya </w:t>
      </w:r>
      <w:proofErr w:type="gramStart"/>
      <w:r w:rsidRPr="00BB0D9C">
        <w:t>participe</w:t>
      </w:r>
      <w:proofErr w:type="gramEnd"/>
      <w:r w:rsidRPr="00BB0D9C">
        <w:t xml:space="preserve"> en la labor del EITI. El GMP debería garantizar que el Secretariado proporcione adecuado apoyo y coordinación para cumplir el plan de trabajo acordado. Conforme al Requisito 8.3 (c) (i), se solicita al gobierno que desarrolle y divulgue un plan de acción destinado a abordar las deficiencias en su participación que se documentaron en la evaluación inicial y el informe del validador en un plazo de tres meses a partir de la decisión del Consejo, es decir, para el 25 de enero de 2018.</w:t>
      </w:r>
    </w:p>
    <w:p w14:paraId="66E27AB1" w14:textId="77777777" w:rsidR="00E77DF6" w:rsidRPr="00BB0D9C" w:rsidRDefault="00921B57" w:rsidP="00310A3A">
      <w:pPr>
        <w:pStyle w:val="Heading3"/>
      </w:pPr>
      <w:r w:rsidRPr="00BB0D9C">
        <w:t>Conclusiones de la primera v</w:t>
      </w:r>
      <w:r w:rsidR="00E77DF6" w:rsidRPr="00BB0D9C">
        <w:t>alidación</w:t>
      </w:r>
      <w:bookmarkEnd w:id="15"/>
    </w:p>
    <w:p w14:paraId="1989BB0F" w14:textId="77777777" w:rsidR="0011723F" w:rsidRPr="00BB0D9C" w:rsidRDefault="00921B57" w:rsidP="003B4752">
      <w:pPr>
        <w:rPr>
          <w:rFonts w:cstheme="majorHAnsi"/>
          <w:szCs w:val="22"/>
        </w:rPr>
      </w:pPr>
      <w:bookmarkStart w:id="16" w:name="_Hlk3758950"/>
      <w:bookmarkStart w:id="17" w:name="_Toc526152782"/>
      <w:r w:rsidRPr="00BB0D9C">
        <w:t>En la primera v</w:t>
      </w:r>
      <w:r w:rsidR="003B4752" w:rsidRPr="00BB0D9C">
        <w:t xml:space="preserve">alidación se llegó a la conclusión de que Honduras había logrado un progreso significativo en el cumplimiento de este requisito. Se señaló que el gobierno participaba en el proceso EITI, con un rol activo de sus organismos en la implementación del EITI. Había dos personas de rango superior designadas al frente de las labores del EITI, y el Ministerio de Relaciones Exteriores había transferido personal para colaborar con la coordinación diaria de las tareas concernientes al EITI. Sin embargo, la primera Validación también indicó que EITI Honduras no disponía de recursos suficientes para sostener la implementación del EITI y ejecutar el plan de trabajo acordado. </w:t>
      </w:r>
      <w:bookmarkEnd w:id="16"/>
    </w:p>
    <w:p w14:paraId="53D9F15C" w14:textId="1ABEFD28" w:rsidR="0011723F" w:rsidRPr="00BB0D9C" w:rsidRDefault="003B4752" w:rsidP="003B4752">
      <w:pPr>
        <w:rPr>
          <w:rFonts w:cstheme="majorHAnsi"/>
          <w:szCs w:val="22"/>
        </w:rPr>
      </w:pPr>
      <w:r w:rsidRPr="00BB0D9C">
        <w:t xml:space="preserve">Hasta el 2016, los fondos de EITI Honduras provenían principalmente del Fondo Fiduciario de Donantes Múltiples del Banco Mundial (WB-MDTF, por sus siglas en inglés). Desde entonces, EITI Honduras había </w:t>
      </w:r>
      <w:r w:rsidR="00C13393" w:rsidRPr="00BB0D9C">
        <w:t>sufrido</w:t>
      </w:r>
      <w:r w:rsidRPr="00BB0D9C">
        <w:t xml:space="preserve"> una importante carencia de fondos. Su </w:t>
      </w:r>
      <w:r w:rsidR="00A94D85">
        <w:t>campeón político</w:t>
      </w:r>
      <w:r w:rsidRPr="00BB0D9C">
        <w:t xml:space="preserve"> pudo movilizar ciertos recursos derivados de fondos de la Unión Europea (UE)</w:t>
      </w:r>
      <w:r w:rsidR="00E25CD7" w:rsidRPr="00BB0D9C">
        <w:t xml:space="preserve">. Sin embargo, </w:t>
      </w:r>
      <w:r w:rsidRPr="00BB0D9C">
        <w:t xml:space="preserve">no se habían destinado recursos financieros </w:t>
      </w:r>
      <w:r w:rsidR="00E25CD7" w:rsidRPr="00BB0D9C">
        <w:t xml:space="preserve">adicionales </w:t>
      </w:r>
      <w:r w:rsidRPr="00BB0D9C">
        <w:t xml:space="preserve">del presupuesto nacional para </w:t>
      </w:r>
      <w:r w:rsidR="00E25CD7" w:rsidRPr="00BB0D9C">
        <w:t>apoyar</w:t>
      </w:r>
      <w:r w:rsidRPr="00BB0D9C">
        <w:t xml:space="preserve"> la implementación del EITI. La falta de obtención de un financiamiento público </w:t>
      </w:r>
      <w:r w:rsidR="00E25CD7" w:rsidRPr="00BB0D9C">
        <w:t xml:space="preserve">adecuado </w:t>
      </w:r>
      <w:r w:rsidRPr="00BB0D9C">
        <w:t xml:space="preserve">para apoyar la implementación del EITI fue interpretada por varios actores como una señal de que el </w:t>
      </w:r>
      <w:r w:rsidR="00E25CD7" w:rsidRPr="00BB0D9C">
        <w:t>G</w:t>
      </w:r>
      <w:r w:rsidRPr="00BB0D9C">
        <w:t xml:space="preserve">obierno, en sus estratos más elevados, no </w:t>
      </w:r>
      <w:r w:rsidR="00E25CD7" w:rsidRPr="00BB0D9C">
        <w:t xml:space="preserve">le </w:t>
      </w:r>
      <w:r w:rsidRPr="00BB0D9C">
        <w:t xml:space="preserve">había otorgado prioridad al EITI. </w:t>
      </w:r>
    </w:p>
    <w:p w14:paraId="6B0D3820" w14:textId="77777777" w:rsidR="00E25CD7" w:rsidRPr="00BB0D9C" w:rsidRDefault="0011723F" w:rsidP="003B4752">
      <w:r w:rsidRPr="00BB0D9C">
        <w:t xml:space="preserve">Las partes interesadas habían observado un menor nivel de participación y apoyo de la política de alto nivel durante el 2016. Sin embargo, también elogiaron la dedicación y competencia de las autoridades de nivel intermedio y el personal técnico de los organismos gubernamentales. El secretariado del EITI había sido provisto de personal mediante un procedimiento ad-hoc, y pasó de contar con empleados dedicados a tiempo completo y remunerados con fondos de la subvención del Banco Mundial, a encontrase en la situación de tener un solo trabajador transferido </w:t>
      </w:r>
      <w:r w:rsidR="00E25CD7" w:rsidRPr="00BB0D9C">
        <w:t>por</w:t>
      </w:r>
      <w:r w:rsidRPr="00BB0D9C">
        <w:t xml:space="preserve"> el Ministerio de Relaciones Exteriores.</w:t>
      </w:r>
    </w:p>
    <w:p w14:paraId="752F1E6E" w14:textId="77777777" w:rsidR="00E77DF6" w:rsidRPr="00BB0D9C" w:rsidRDefault="00E77DF6" w:rsidP="00310A3A">
      <w:pPr>
        <w:pStyle w:val="Heading3"/>
      </w:pPr>
      <w:r w:rsidRPr="00BB0D9C">
        <w:t xml:space="preserve">Progreso desde la </w:t>
      </w:r>
      <w:r w:rsidR="00E25CD7" w:rsidRPr="00BB0D9C">
        <w:t>primera v</w:t>
      </w:r>
      <w:r w:rsidRPr="00BB0D9C">
        <w:t>alidación</w:t>
      </w:r>
      <w:bookmarkEnd w:id="17"/>
    </w:p>
    <w:p w14:paraId="2BAF5713" w14:textId="2D9B133D" w:rsidR="009E21CD" w:rsidRPr="00BB0D9C" w:rsidRDefault="00A9471E" w:rsidP="00AC25D4">
      <w:pPr>
        <w:rPr>
          <w:rFonts w:cstheme="majorHAnsi"/>
          <w:szCs w:val="22"/>
        </w:rPr>
      </w:pPr>
      <w:bookmarkStart w:id="18" w:name="_Hlk522279569"/>
      <w:r w:rsidRPr="00BB0D9C">
        <w:t xml:space="preserve">El </w:t>
      </w:r>
      <w:r w:rsidR="00A94D85">
        <w:t>campeón político</w:t>
      </w:r>
      <w:r w:rsidRPr="00BB0D9C">
        <w:t xml:space="preserve"> del EITI,</w:t>
      </w:r>
      <w:r w:rsidR="00967B7A" w:rsidRPr="00BB0D9C">
        <w:t xml:space="preserve"> Carlos López Contreras, parece</w:t>
      </w:r>
      <w:r w:rsidRPr="00BB0D9C">
        <w:t xml:space="preserve"> mantener la confianza de todas las partes interesadas, así como la autoridad y la libertad para coordinar medidas referentes al EITI entre los ministerios y organismos pertinentes. Según las actas de reunión del GMP, los representantes del grupo del gobierno han participado con regularidad. Entre los representantes del gobierno se encuentran los siguientes organismos: el Instituto de Geología y Minas (INHGEOMIN), SEFIN, la agencia tributaria (SAR), el Ministerio de Ambiente y el IAIP (véase el Anexo D). Varias partes interesadas hicieron hincapié en las dificultades de cooperación con la agencia tributaria, SAR. Hace más de dos años se propuso un acuerdo entre el INHGEOMIN y el SAR orientado a robustecer los procedimientos regulatorios, pero al momento de las consultas todavía no había sido firmado. </w:t>
      </w:r>
    </w:p>
    <w:p w14:paraId="00AC4A26" w14:textId="77777777" w:rsidR="00146FF9" w:rsidRPr="00BB0D9C" w:rsidRDefault="00AC25D4" w:rsidP="00146FF9">
      <w:pPr>
        <w:rPr>
          <w:rFonts w:cstheme="majorHAnsi"/>
          <w:szCs w:val="22"/>
        </w:rPr>
      </w:pPr>
      <w:r w:rsidRPr="00BB0D9C">
        <w:t xml:space="preserve">No obstante, las partes interesadas también manifestaron que otros integrantes del gobierno, y especialmente la Coordinadora Nacional, Elena </w:t>
      </w:r>
      <w:proofErr w:type="spellStart"/>
      <w:r w:rsidRPr="00BB0D9C">
        <w:t>Hilsaca</w:t>
      </w:r>
      <w:proofErr w:type="spellEnd"/>
      <w:r w:rsidRPr="00BB0D9C">
        <w:t xml:space="preserve">, parecen estar comprometidos con la implementación del EITI. Como ejemplo de este compromiso podría citarse la modernización de su principal herramienta de presentación de información, la Declaración Anual Consolidada (DAC), una plataforma mediante la cual las empresas presentan información al INHGEOMIN, incluidos los volúmenes y valores de la producción por producto básico y demás información sobre sus proyectos (incluidas las inversiones sociales). </w:t>
      </w:r>
    </w:p>
    <w:p w14:paraId="6CA549E7" w14:textId="77777777" w:rsidR="00146FF9" w:rsidRPr="00BB0D9C" w:rsidRDefault="005356A0" w:rsidP="009A2F7A">
      <w:pPr>
        <w:tabs>
          <w:tab w:val="left" w:pos="2250"/>
        </w:tabs>
        <w:rPr>
          <w:rFonts w:cstheme="majorHAnsi"/>
          <w:szCs w:val="22"/>
        </w:rPr>
      </w:pPr>
      <w:r w:rsidRPr="00BB0D9C">
        <w:t>Las partes interesadas a quienes se consultó destacaron los avances del gobierno en relación con el plan de trabajo de EITI Honduras. El 7 de mayo de 2018, el Director de Transparencia, Modernización y Gobierno Digital (DPTMGD) de la Secretaría de Coordinación General de Gobierno (SCGG), Renán Sagastume Fernández, emitió un comunicado aceptando los resultados de la primera Validación, en el cual explicó las actividades del gobierno para apoyar la implementación del EITI, y las iniciativas destinadas a abordar algunas de las medidas correctivas. Entre estas iniciativas se encontraban las de albergar el secretariado d</w:t>
      </w:r>
      <w:r w:rsidR="008614F3" w:rsidRPr="00BB0D9C">
        <w:t>e EITI Honduras en el INHGEOMIN</w:t>
      </w:r>
      <w:r w:rsidRPr="00BB0D9C">
        <w:t xml:space="preserve"> y el desarrollo de un acuerdo de cooperación entre el INHGEOMIN y la agencia tributaria (SAR), por ejemplo.</w:t>
      </w:r>
    </w:p>
    <w:p w14:paraId="1C11024E" w14:textId="77777777" w:rsidR="00E25CD7" w:rsidRPr="00BB0D9C" w:rsidRDefault="00AC418B" w:rsidP="00E25CD7">
      <w:r w:rsidRPr="00BB0D9C">
        <w:t xml:space="preserve">Posteriormente, el grupo de </w:t>
      </w:r>
      <w:proofErr w:type="spellStart"/>
      <w:r w:rsidRPr="00BB0D9C">
        <w:t>multipartícipes</w:t>
      </w:r>
      <w:proofErr w:type="spellEnd"/>
      <w:r w:rsidRPr="00BB0D9C">
        <w:t xml:space="preserve"> ha informado de otros desarrollos. En los comentarios recibidos el </w:t>
      </w:r>
      <w:r w:rsidR="00E25CD7" w:rsidRPr="00BB0D9C">
        <w:t>13</w:t>
      </w:r>
      <w:r w:rsidRPr="00BB0D9C">
        <w:t xml:space="preserve"> de mayo de</w:t>
      </w:r>
      <w:r w:rsidR="00E25CD7" w:rsidRPr="00BB0D9C">
        <w:t xml:space="preserve"> 2020</w:t>
      </w:r>
      <w:r w:rsidRPr="00BB0D9C">
        <w:t>,</w:t>
      </w:r>
      <w:r w:rsidR="00E25CD7" w:rsidRPr="00BB0D9C">
        <w:t xml:space="preserve"> describe</w:t>
      </w:r>
      <w:r w:rsidRPr="00BB0D9C">
        <w:t>n el Convenio de Cooperación y Asistencia Recíproca entre el</w:t>
      </w:r>
      <w:r w:rsidR="00E25CD7" w:rsidRPr="00BB0D9C">
        <w:t xml:space="preserve"> SAR </w:t>
      </w:r>
      <w:r w:rsidRPr="00BB0D9C">
        <w:t>e</w:t>
      </w:r>
      <w:r w:rsidR="00E25CD7" w:rsidRPr="00BB0D9C">
        <w:t xml:space="preserve"> INHGEOMIN </w:t>
      </w:r>
      <w:r w:rsidRPr="00BB0D9C">
        <w:t xml:space="preserve">como una de las medidas que el Gobierno de </w:t>
      </w:r>
      <w:r w:rsidR="00E25CD7" w:rsidRPr="00BB0D9C">
        <w:t>Hondura</w:t>
      </w:r>
      <w:r w:rsidRPr="00BB0D9C">
        <w:t>s está tomando para cumplir con las medidas correctivas</w:t>
      </w:r>
      <w:r w:rsidR="00E25CD7" w:rsidRPr="00BB0D9C">
        <w:t>.</w:t>
      </w:r>
      <w:r w:rsidRPr="00BB0D9C">
        <w:t xml:space="preserve"> Este Convenio permitiría que ambos organismos compartieran la información de manera más transparente y efectiva, así como que se mejorara la verificación de los datos recopilados a través de sus sistemas</w:t>
      </w:r>
      <w:r w:rsidR="00E25CD7" w:rsidRPr="00BB0D9C">
        <w:rPr>
          <w:vertAlign w:val="superscript"/>
        </w:rPr>
        <w:footnoteReference w:id="24"/>
      </w:r>
      <w:r w:rsidR="00E25CD7" w:rsidRPr="00BB0D9C">
        <w:t>.</w:t>
      </w:r>
    </w:p>
    <w:p w14:paraId="53923231" w14:textId="77777777" w:rsidR="006B49DD" w:rsidRPr="00BB0D9C" w:rsidRDefault="00BE13BF" w:rsidP="00D3118C">
      <w:r w:rsidRPr="00BB0D9C">
        <w:t xml:space="preserve">El plan de trabajo </w:t>
      </w:r>
      <w:r w:rsidR="007739D6" w:rsidRPr="00BB0D9C">
        <w:t xml:space="preserve">de </w:t>
      </w:r>
      <w:r w:rsidRPr="00BB0D9C">
        <w:t>2016-2018 revela que el gobierno no est</w:t>
      </w:r>
      <w:r w:rsidR="007739D6" w:rsidRPr="00BB0D9C">
        <w:t>aba</w:t>
      </w:r>
      <w:r w:rsidRPr="00BB0D9C">
        <w:t xml:space="preserve"> otorgando un financiamiento adecuado a EITI Honduras</w:t>
      </w:r>
      <w:r w:rsidR="007739D6" w:rsidRPr="00BB0D9C">
        <w:t xml:space="preserve"> (Resolución </w:t>
      </w:r>
      <w:proofErr w:type="spellStart"/>
      <w:r w:rsidR="007739D6" w:rsidRPr="00BB0D9C">
        <w:t>n.°</w:t>
      </w:r>
      <w:proofErr w:type="spellEnd"/>
      <w:r w:rsidR="007739D6" w:rsidRPr="00BB0D9C">
        <w:t xml:space="preserve"> 303/2018)</w:t>
      </w:r>
      <w:r w:rsidR="007739D6" w:rsidRPr="00BB0D9C">
        <w:rPr>
          <w:vertAlign w:val="superscript"/>
        </w:rPr>
        <w:footnoteReference w:id="25"/>
      </w:r>
      <w:r w:rsidRPr="00BB0D9C">
        <w:t xml:space="preserve">. </w:t>
      </w:r>
      <w:r w:rsidR="007739D6" w:rsidRPr="00BB0D9C">
        <w:t>Esta resolución estada dirigida explícitamente a cumplir con las medidas correctivas solicitadas por el Secretariado Internacional en octubre de 2017. Como resultado, desde e</w:t>
      </w:r>
      <w:r w:rsidRPr="00BB0D9C">
        <w:t xml:space="preserve">l 28 de noviembre de 2018, el INHGEOMIN </w:t>
      </w:r>
      <w:r w:rsidR="006B49DD" w:rsidRPr="00BB0D9C">
        <w:t>ha actuado como sede del secretariado nacional</w:t>
      </w:r>
      <w:r w:rsidR="006B49DD" w:rsidRPr="00BB0D9C">
        <w:rPr>
          <w:vertAlign w:val="superscript"/>
        </w:rPr>
        <w:footnoteReference w:id="26"/>
      </w:r>
      <w:r w:rsidR="006B49DD" w:rsidRPr="00BB0D9C">
        <w:t xml:space="preserve">. Ha asignado personal para que apoye la coordinación nacional del EITI Honduras con un régimen ad hoc. En 2020, la ley de presupuesto de Honduras permitió que </w:t>
      </w:r>
      <w:r w:rsidR="00EB4DBE" w:rsidRPr="00BB0D9C">
        <w:t>INHGEOMIN</w:t>
      </w:r>
      <w:r w:rsidR="006B49DD" w:rsidRPr="00BB0D9C">
        <w:t xml:space="preserve"> dedicara personal específico para apoyar la implementación del EITI.</w:t>
      </w:r>
    </w:p>
    <w:p w14:paraId="2A9C630F" w14:textId="77777777" w:rsidR="006B49DD" w:rsidRPr="00BB0D9C" w:rsidRDefault="006B49DD" w:rsidP="006B49DD">
      <w:r w:rsidRPr="00BB0D9C">
        <w:t>La falta de recursos había sido una de las cuestiones más sobresalientes mencionadas entre las partes interesadas consultadas durante la misión de validación en mayo de 2019. En esas consultas, los alcaldes de las municipalidades de La Unión, El Corpus y Los Cedros destacaron la falta de recursos para la implementación del EITI. Aunque INHGEOMIN decidió alojar al secretariado nacional del EITI, en la práctica las partes interesadas habían tomado nota después de que no había otro personal trabajando a tiempo completo en esto, fuera del Coordinador Nacional, que no estaba ubicado físicamente en oficinas de INHGEOMIN.</w:t>
      </w:r>
    </w:p>
    <w:p w14:paraId="4C910772" w14:textId="77777777" w:rsidR="006B49DD" w:rsidRPr="00BB0D9C" w:rsidRDefault="006B49DD" w:rsidP="006B49DD">
      <w:r w:rsidRPr="00BB0D9C">
        <w:t xml:space="preserve">En septiembre de 2018, el grupo de </w:t>
      </w:r>
      <w:proofErr w:type="spellStart"/>
      <w:r w:rsidRPr="00BB0D9C">
        <w:t>multipartícipes</w:t>
      </w:r>
      <w:proofErr w:type="spellEnd"/>
      <w:r w:rsidRPr="00BB0D9C">
        <w:rPr>
          <w:i/>
          <w:vertAlign w:val="superscript"/>
        </w:rPr>
        <w:footnoteReference w:id="27"/>
      </w:r>
      <w:r w:rsidRPr="00BB0D9C">
        <w:t xml:space="preserve"> le pidió a la Secretaría de Coordinación General de Gobierno (SCGG) que hiciera uso del financiamiento acordado con la UE (</w:t>
      </w:r>
      <w:r w:rsidR="00994E0D" w:rsidRPr="00BB0D9C">
        <w:t>proyecto de “</w:t>
      </w:r>
      <w:r w:rsidRPr="00BB0D9C">
        <w:t>Medidas de apoyo para el desarrollo institucional y la gestión pública</w:t>
      </w:r>
      <w:r w:rsidR="00994E0D" w:rsidRPr="00BB0D9C">
        <w:t xml:space="preserve">”, </w:t>
      </w:r>
      <w:r w:rsidRPr="00BB0D9C">
        <w:t>MADIGEP)</w:t>
      </w:r>
      <w:r w:rsidRPr="00BB0D9C">
        <w:rPr>
          <w:vertAlign w:val="superscript"/>
        </w:rPr>
        <w:footnoteReference w:id="28"/>
      </w:r>
      <w:r w:rsidRPr="00BB0D9C">
        <w:t>.</w:t>
      </w:r>
      <w:r w:rsidR="00994E0D" w:rsidRPr="00BB0D9C">
        <w:t xml:space="preserve"> Para mayo de 2019</w:t>
      </w:r>
      <w:r w:rsidRPr="00BB0D9C">
        <w:t xml:space="preserve">, </w:t>
      </w:r>
      <w:r w:rsidR="00994E0D" w:rsidRPr="00BB0D9C">
        <w:t>los tres proyectos que debían ser financiados por la UE</w:t>
      </w:r>
      <w:r w:rsidRPr="00BB0D9C">
        <w:t xml:space="preserve"> (</w:t>
      </w:r>
      <w:r w:rsidR="00994E0D" w:rsidRPr="00BB0D9C">
        <w:t>es decir, un Administrador Independiente para el Informe EITI de</w:t>
      </w:r>
      <w:r w:rsidRPr="00BB0D9C">
        <w:t xml:space="preserve"> 2017 </w:t>
      </w:r>
      <w:r w:rsidR="00994E0D" w:rsidRPr="00BB0D9C">
        <w:t>de Honduras</w:t>
      </w:r>
      <w:r w:rsidRPr="00BB0D9C">
        <w:t>,</w:t>
      </w:r>
      <w:r w:rsidR="00994E0D" w:rsidRPr="00BB0D9C">
        <w:t xml:space="preserve"> la actualización del sitio web de </w:t>
      </w:r>
      <w:r w:rsidRPr="00BB0D9C">
        <w:t>EITI</w:t>
      </w:r>
      <w:r w:rsidR="00994E0D" w:rsidRPr="00BB0D9C">
        <w:t xml:space="preserve"> </w:t>
      </w:r>
      <w:r w:rsidRPr="00BB0D9C">
        <w:t xml:space="preserve">Honduras </w:t>
      </w:r>
      <w:r w:rsidR="00994E0D" w:rsidRPr="00BB0D9C">
        <w:t>y el desarrollo del portal en línea del EITI</w:t>
      </w:r>
      <w:r w:rsidRPr="00BB0D9C">
        <w:t xml:space="preserve">) </w:t>
      </w:r>
      <w:r w:rsidR="00994E0D" w:rsidRPr="00BB0D9C">
        <w:t>no se habían completado</w:t>
      </w:r>
      <w:r w:rsidRPr="00BB0D9C">
        <w:t>.</w:t>
      </w:r>
    </w:p>
    <w:p w14:paraId="72D787D0" w14:textId="77777777" w:rsidR="00C15B0F" w:rsidRPr="00BB0D9C" w:rsidRDefault="00450084" w:rsidP="006B49DD">
      <w:r w:rsidRPr="00BB0D9C">
        <w:t xml:space="preserve">Como se documenta en los comentarios del grupo de </w:t>
      </w:r>
      <w:proofErr w:type="spellStart"/>
      <w:r w:rsidRPr="00BB0D9C">
        <w:t>multipartícipes</w:t>
      </w:r>
      <w:proofErr w:type="spellEnd"/>
      <w:r w:rsidRPr="00BB0D9C">
        <w:t xml:space="preserve"> presentados en mayo de</w:t>
      </w:r>
      <w:r w:rsidR="006B49DD" w:rsidRPr="00BB0D9C">
        <w:t xml:space="preserve"> 2020,</w:t>
      </w:r>
      <w:r w:rsidRPr="00BB0D9C">
        <w:t xml:space="preserve"> la Ley </w:t>
      </w:r>
      <w:r w:rsidR="006B49DD" w:rsidRPr="00BB0D9C">
        <w:t>de Presupuesto General de Ingresos y Egresos de la República, Ejercicio Fiscal 2020, Art</w:t>
      </w:r>
      <w:r w:rsidRPr="00BB0D9C">
        <w:t>.</w:t>
      </w:r>
      <w:r w:rsidR="006B49DD" w:rsidRPr="00BB0D9C">
        <w:t xml:space="preserve"> 274</w:t>
      </w:r>
      <w:r w:rsidRPr="00BB0D9C">
        <w:t xml:space="preserve">, estableció una asignación especial de fondos para apoyar los esfuerzos de </w:t>
      </w:r>
      <w:r w:rsidR="006B49DD" w:rsidRPr="00BB0D9C">
        <w:t xml:space="preserve">INHGEOMIN </w:t>
      </w:r>
      <w:r w:rsidRPr="00BB0D9C">
        <w:t xml:space="preserve">al ser sede del secretariado nacional. La provisión de presupuesto permite que el organismo modifique su estructura y adapte su nómina para financiar el trabajo del </w:t>
      </w:r>
      <w:r w:rsidR="006B49DD" w:rsidRPr="00BB0D9C">
        <w:t>EITI Honduras</w:t>
      </w:r>
      <w:r w:rsidR="006B49DD" w:rsidRPr="00BB0D9C">
        <w:rPr>
          <w:vertAlign w:val="superscript"/>
        </w:rPr>
        <w:footnoteReference w:id="29"/>
      </w:r>
      <w:r w:rsidR="006B49DD" w:rsidRPr="00BB0D9C">
        <w:t>.</w:t>
      </w:r>
      <w:r w:rsidRPr="00BB0D9C">
        <w:t xml:space="preserve"> Con este propósito</w:t>
      </w:r>
      <w:r w:rsidR="006B49DD" w:rsidRPr="00BB0D9C">
        <w:t xml:space="preserve">, </w:t>
      </w:r>
      <w:r w:rsidRPr="00BB0D9C">
        <w:t xml:space="preserve">el plan de trabajo </w:t>
      </w:r>
      <w:r w:rsidR="006B49DD" w:rsidRPr="00BB0D9C">
        <w:t xml:space="preserve">2019-2020 </w:t>
      </w:r>
      <w:r w:rsidRPr="00BB0D9C">
        <w:t xml:space="preserve">del EITI Honduras estipula la dotación de personal y el apoyo para el secretariado nacional en </w:t>
      </w:r>
      <w:r w:rsidR="006B49DD" w:rsidRPr="00BB0D9C">
        <w:t>INHGEOMIN</w:t>
      </w:r>
      <w:r w:rsidR="006B49DD" w:rsidRPr="00BB0D9C">
        <w:rPr>
          <w:vertAlign w:val="superscript"/>
        </w:rPr>
        <w:footnoteReference w:id="30"/>
      </w:r>
      <w:r w:rsidR="006B49DD" w:rsidRPr="00BB0D9C">
        <w:t>.</w:t>
      </w:r>
    </w:p>
    <w:p w14:paraId="518229E0" w14:textId="313DC588" w:rsidR="00C64AF2" w:rsidRPr="00BB0D9C" w:rsidRDefault="00C64AF2" w:rsidP="00C64AF2">
      <w:pPr>
        <w:rPr>
          <w:rFonts w:cstheme="majorHAnsi"/>
          <w:szCs w:val="22"/>
        </w:rPr>
      </w:pPr>
      <w:r w:rsidRPr="00BB0D9C">
        <w:rPr>
          <w:rFonts w:cstheme="majorHAnsi"/>
          <w:szCs w:val="22"/>
        </w:rPr>
        <w:t>Independientemente de las limitaciones generales, las restricciones de recursos se han abordado en parte con la participación de personal de distintos organismos gubernamentales, como INHGEOMIN, la Secretaría de Coordinación General de Gobierno, la Dirección Presidencial de Transparencia, Modernización y Gobierno Digital, la Secretaría de Recursos Naturales y Ambiente, la Secretaría de Finanzas, el Servicio de Administración de Rentas, la Secretaría de Relaciones Exteriores y Cooperación Internacional y el Banco Central</w:t>
      </w:r>
      <w:r w:rsidRPr="00BB0D9C">
        <w:rPr>
          <w:rFonts w:cstheme="majorHAnsi"/>
          <w:szCs w:val="22"/>
          <w:vertAlign w:val="superscript"/>
        </w:rPr>
        <w:footnoteReference w:id="31"/>
      </w:r>
      <w:r w:rsidRPr="00BB0D9C">
        <w:rPr>
          <w:rFonts w:cstheme="majorHAnsi"/>
          <w:szCs w:val="22"/>
        </w:rPr>
        <w:t xml:space="preserve">. Vale la pena mencionar la participación de representantes de los gobiernos locales en los debates del grupo de </w:t>
      </w:r>
      <w:proofErr w:type="spellStart"/>
      <w:r w:rsidR="00392F70" w:rsidRPr="00BB0D9C">
        <w:rPr>
          <w:rFonts w:cstheme="majorHAnsi"/>
          <w:szCs w:val="22"/>
        </w:rPr>
        <w:t>multipartícipes</w:t>
      </w:r>
      <w:proofErr w:type="spellEnd"/>
      <w:r w:rsidRPr="00BB0D9C">
        <w:rPr>
          <w:rFonts w:cstheme="majorHAnsi"/>
          <w:szCs w:val="22"/>
          <w:vertAlign w:val="superscript"/>
        </w:rPr>
        <w:footnoteReference w:id="32"/>
      </w:r>
      <w:r w:rsidRPr="00BB0D9C">
        <w:rPr>
          <w:rFonts w:cstheme="majorHAnsi"/>
          <w:szCs w:val="22"/>
        </w:rPr>
        <w:t>.</w:t>
      </w:r>
    </w:p>
    <w:p w14:paraId="098D6533" w14:textId="77777777" w:rsidR="00146FF9" w:rsidRPr="00BB0D9C" w:rsidRDefault="00146FF9" w:rsidP="00146FF9">
      <w:pPr>
        <w:rPr>
          <w:rFonts w:cstheme="majorHAnsi"/>
          <w:szCs w:val="22"/>
        </w:rPr>
      </w:pPr>
      <w:r w:rsidRPr="00BB0D9C">
        <w:t>Durante las reuniones, se subrayó en reiteradas oportunidades el cierre</w:t>
      </w:r>
      <w:r w:rsidR="0068262D" w:rsidRPr="00BB0D9C">
        <w:t xml:space="preserve"> </w:t>
      </w:r>
      <w:r w:rsidRPr="00BB0D9C">
        <w:t xml:space="preserve">del sitio web de EITI Honduras </w:t>
      </w:r>
      <w:r w:rsidR="0036788E" w:rsidRPr="00BB0D9C">
        <w:t xml:space="preserve">que se había producido tiempo antes </w:t>
      </w:r>
      <w:r w:rsidRPr="00BB0D9C">
        <w:t xml:space="preserve">debido a la falta de fondos. Varias de las partes interesadas a quienes se consultó </w:t>
      </w:r>
      <w:r w:rsidR="00F06551" w:rsidRPr="00BB0D9C">
        <w:t>hicieron hincapié en</w:t>
      </w:r>
      <w:r w:rsidRPr="00BB0D9C">
        <w:t xml:space="preserve"> la dependencia del financiamiento externo</w:t>
      </w:r>
      <w:r w:rsidR="0068262D" w:rsidRPr="00BB0D9C">
        <w:t xml:space="preserve"> y </w:t>
      </w:r>
      <w:r w:rsidRPr="00BB0D9C">
        <w:t>señalaron que el Informe EITI 2015-2016 no podría haberse publicado sin los fondos que había otorgado la UE.</w:t>
      </w:r>
      <w:r w:rsidR="0068262D" w:rsidRPr="00BB0D9C">
        <w:t xml:space="preserve"> Como está documentado en los comentarios del grupo de </w:t>
      </w:r>
      <w:proofErr w:type="spellStart"/>
      <w:r w:rsidR="0068262D" w:rsidRPr="00BB0D9C">
        <w:t>multipartícipes</w:t>
      </w:r>
      <w:proofErr w:type="spellEnd"/>
      <w:r w:rsidR="0068262D" w:rsidRPr="00BB0D9C">
        <w:t xml:space="preserve"> presentados en mayo de 2020, el sitio web del EITI de Honduras (www.eitihonduras.org) es, desde marzo de 2020, una plataforma en funcionamiento con información sobre el EITI, </w:t>
      </w:r>
      <w:r w:rsidR="0036788E" w:rsidRPr="00BB0D9C">
        <w:t>inclu</w:t>
      </w:r>
      <w:r w:rsidR="0068262D" w:rsidRPr="00BB0D9C">
        <w:t xml:space="preserve">so Informes EITI, información sobre el grupo de </w:t>
      </w:r>
      <w:proofErr w:type="spellStart"/>
      <w:r w:rsidR="0068262D" w:rsidRPr="00BB0D9C">
        <w:t>multipartícipes</w:t>
      </w:r>
      <w:proofErr w:type="spellEnd"/>
      <w:r w:rsidR="0068262D" w:rsidRPr="00BB0D9C">
        <w:t xml:space="preserve"> y sus miembros, el plan de trabajo anual del EITI </w:t>
      </w:r>
      <w:r w:rsidR="0036788E" w:rsidRPr="00BB0D9C">
        <w:t>y noticias relevantes. El sitio web también incluye datos sobre regalías y producción de las actividades extractivas</w:t>
      </w:r>
      <w:r w:rsidR="0068262D" w:rsidRPr="00BB0D9C">
        <w:t>.</w:t>
      </w:r>
      <w:r w:rsidRPr="00BB0D9C">
        <w:t xml:space="preserve"> </w:t>
      </w:r>
    </w:p>
    <w:p w14:paraId="106FFB72" w14:textId="77777777" w:rsidR="00146FF9" w:rsidRPr="00BB0D9C" w:rsidRDefault="0036788E" w:rsidP="00146FF9">
      <w:r w:rsidRPr="00BB0D9C">
        <w:t xml:space="preserve">Varias </w:t>
      </w:r>
      <w:r w:rsidR="00146FF9" w:rsidRPr="00BB0D9C">
        <w:t xml:space="preserve">de las organizaciones de la sociedad civil consultadas </w:t>
      </w:r>
      <w:r w:rsidRPr="00BB0D9C">
        <w:t xml:space="preserve">habían </w:t>
      </w:r>
      <w:r w:rsidR="00146FF9" w:rsidRPr="00BB0D9C">
        <w:t>destaca</w:t>
      </w:r>
      <w:r w:rsidRPr="00BB0D9C">
        <w:t>do</w:t>
      </w:r>
      <w:r w:rsidR="00146FF9" w:rsidRPr="00BB0D9C">
        <w:t xml:space="preserve"> que </w:t>
      </w:r>
      <w:r w:rsidRPr="00BB0D9C">
        <w:t>ciertas</w:t>
      </w:r>
      <w:r w:rsidR="00146FF9" w:rsidRPr="00BB0D9C">
        <w:t xml:space="preserve"> reformas gubernamentales recientes no </w:t>
      </w:r>
      <w:r w:rsidRPr="00BB0D9C">
        <w:t>apoyaban</w:t>
      </w:r>
      <w:r w:rsidR="00146FF9" w:rsidRPr="00BB0D9C">
        <w:t xml:space="preserve"> la transparencia en las industrias extractivas. </w:t>
      </w:r>
      <w:r w:rsidRPr="00BB0D9C">
        <w:t xml:space="preserve">Tomaban nota de </w:t>
      </w:r>
      <w:r w:rsidR="00146FF9" w:rsidRPr="00BB0D9C">
        <w:t>la falta de acceso a información pública sobre proyectos mineros clave, incluidas las licencias ambientales. El 17 de agosto de 2018, la Secretaría de Recursos Naturales y Ambiente</w:t>
      </w:r>
      <w:r w:rsidR="00146FF9" w:rsidRPr="00BB0D9C">
        <w:rPr>
          <w:rFonts w:cstheme="majorHAnsi"/>
          <w:szCs w:val="22"/>
          <w:vertAlign w:val="superscript"/>
          <w:lang w:eastAsia="nb-NO"/>
        </w:rPr>
        <w:footnoteRef/>
      </w:r>
      <w:r w:rsidR="00146FF9" w:rsidRPr="00BB0D9C">
        <w:t xml:space="preserve"> </w:t>
      </w:r>
      <w:r w:rsidRPr="00BB0D9C">
        <w:t xml:space="preserve">había </w:t>
      </w:r>
      <w:r w:rsidR="00146FF9" w:rsidRPr="00BB0D9C">
        <w:t>dict</w:t>
      </w:r>
      <w:r w:rsidRPr="00BB0D9C">
        <w:t>ado</w:t>
      </w:r>
      <w:r w:rsidR="00146FF9" w:rsidRPr="00BB0D9C">
        <w:t xml:space="preserve"> una resolución acerca de la confidencialidad de la información sobre licencias ambientales. El </w:t>
      </w:r>
      <w:r w:rsidRPr="00BB0D9C">
        <w:t>a</w:t>
      </w:r>
      <w:r w:rsidR="00146FF9" w:rsidRPr="00BB0D9C">
        <w:t xml:space="preserve">cuerdo </w:t>
      </w:r>
      <w:r w:rsidRPr="00BB0D9C">
        <w:t>m</w:t>
      </w:r>
      <w:r w:rsidR="00146FF9" w:rsidRPr="00BB0D9C">
        <w:t>inisterial 1402-2018</w:t>
      </w:r>
      <w:r w:rsidR="00753660" w:rsidRPr="00BB0D9C">
        <w:rPr>
          <w:rStyle w:val="FootnoteReference"/>
          <w:szCs w:val="22"/>
        </w:rPr>
        <w:footnoteReference w:id="33"/>
      </w:r>
      <w:r w:rsidRPr="00BB0D9C">
        <w:t xml:space="preserve"> </w:t>
      </w:r>
      <w:proofErr w:type="gramStart"/>
      <w:r w:rsidR="00146FF9" w:rsidRPr="00BB0D9C">
        <w:t>declara como</w:t>
      </w:r>
      <w:proofErr w:type="gramEnd"/>
      <w:r w:rsidR="00146FF9" w:rsidRPr="00BB0D9C">
        <w:t xml:space="preserve"> información reservada “los </w:t>
      </w:r>
      <w:r w:rsidRPr="00BB0D9C">
        <w:t>análisis</w:t>
      </w:r>
      <w:r w:rsidR="00146FF9" w:rsidRPr="00BB0D9C">
        <w:t xml:space="preserve"> de car</w:t>
      </w:r>
      <w:r w:rsidRPr="00BB0D9C">
        <w:t>acterísticas</w:t>
      </w:r>
      <w:r w:rsidR="00146FF9" w:rsidRPr="00BB0D9C">
        <w:t xml:space="preserve"> técnic</w:t>
      </w:r>
      <w:r w:rsidRPr="00BB0D9C">
        <w:t>as</w:t>
      </w:r>
      <w:r w:rsidR="00146FF9" w:rsidRPr="00BB0D9C">
        <w:t xml:space="preserve"> contenid</w:t>
      </w:r>
      <w:r w:rsidRPr="00BB0D9C">
        <w:t>a</w:t>
      </w:r>
      <w:r w:rsidR="00146FF9" w:rsidRPr="00BB0D9C">
        <w:t xml:space="preserve">s en las licencias ambientales, </w:t>
      </w:r>
      <w:r w:rsidRPr="00BB0D9C">
        <w:t xml:space="preserve">todos los demás procedimientos </w:t>
      </w:r>
      <w:r w:rsidR="00146FF9" w:rsidRPr="00BB0D9C">
        <w:t>ambientales presentados ante esta Secretaría de Estado en los Despachos de Recursos Naturales y Ambiente, así como la ubicación de l</w:t>
      </w:r>
      <w:r w:rsidR="00C87590" w:rsidRPr="00BB0D9C">
        <w:t>a</w:t>
      </w:r>
      <w:r w:rsidR="00146FF9" w:rsidRPr="00BB0D9C">
        <w:t>s mism</w:t>
      </w:r>
      <w:r w:rsidR="00C87590" w:rsidRPr="00BB0D9C">
        <w:t>a</w:t>
      </w:r>
      <w:r w:rsidR="00146FF9" w:rsidRPr="00BB0D9C">
        <w:t>s”. Además, garantiza la protección de esta información, de modo tal que limita el derecho de acceso a los datos sobre licencias ambientales.</w:t>
      </w:r>
    </w:p>
    <w:p w14:paraId="330DF472" w14:textId="77777777" w:rsidR="00C87590" w:rsidRPr="00BB0D9C" w:rsidRDefault="00F41044" w:rsidP="00C87590">
      <w:pPr>
        <w:rPr>
          <w:rFonts w:cstheme="majorHAnsi"/>
          <w:szCs w:val="22"/>
        </w:rPr>
      </w:pPr>
      <w:r w:rsidRPr="00BB0D9C">
        <w:rPr>
          <w:rFonts w:cstheme="majorHAnsi"/>
          <w:szCs w:val="22"/>
        </w:rPr>
        <w:t>Sin embargo, en octubre de</w:t>
      </w:r>
      <w:r w:rsidR="00C87590" w:rsidRPr="00BB0D9C">
        <w:rPr>
          <w:rFonts w:cstheme="majorHAnsi"/>
          <w:szCs w:val="22"/>
        </w:rPr>
        <w:t xml:space="preserve"> 2019, </w:t>
      </w:r>
      <w:r w:rsidRPr="00BB0D9C">
        <w:rPr>
          <w:rFonts w:cstheme="majorHAnsi"/>
          <w:szCs w:val="22"/>
        </w:rPr>
        <w:t xml:space="preserve">el </w:t>
      </w:r>
      <w:r w:rsidR="00C87590" w:rsidRPr="00BB0D9C">
        <w:rPr>
          <w:rFonts w:cstheme="majorHAnsi"/>
          <w:szCs w:val="22"/>
        </w:rPr>
        <w:t>IAIP</w:t>
      </w:r>
      <w:r w:rsidRPr="00BB0D9C">
        <w:rPr>
          <w:rFonts w:cstheme="majorHAnsi"/>
          <w:szCs w:val="22"/>
        </w:rPr>
        <w:t xml:space="preserve"> anuló la resolución </w:t>
      </w:r>
      <w:r w:rsidR="00C87590" w:rsidRPr="00BB0D9C">
        <w:rPr>
          <w:rFonts w:cstheme="majorHAnsi"/>
          <w:szCs w:val="22"/>
        </w:rPr>
        <w:t xml:space="preserve">ministerial </w:t>
      </w:r>
      <w:r w:rsidRPr="00BB0D9C">
        <w:rPr>
          <w:rFonts w:cstheme="majorHAnsi"/>
          <w:szCs w:val="22"/>
        </w:rPr>
        <w:t>del Ministerio de Recursos Naturales y Ambiente que había categorizado como secreta toda la información sobre licencias ambientales</w:t>
      </w:r>
      <w:r w:rsidR="00C87590" w:rsidRPr="00BB0D9C">
        <w:rPr>
          <w:rFonts w:cstheme="majorHAnsi"/>
          <w:szCs w:val="22"/>
          <w:vertAlign w:val="superscript"/>
        </w:rPr>
        <w:footnoteReference w:id="34"/>
      </w:r>
      <w:r w:rsidR="00C87590" w:rsidRPr="00BB0D9C">
        <w:rPr>
          <w:rFonts w:cstheme="majorHAnsi"/>
          <w:szCs w:val="22"/>
        </w:rPr>
        <w:t>.</w:t>
      </w:r>
      <w:r w:rsidRPr="00BB0D9C">
        <w:rPr>
          <w:rFonts w:cstheme="majorHAnsi"/>
          <w:szCs w:val="22"/>
        </w:rPr>
        <w:t xml:space="preserve"> Los comentarios del grupo de </w:t>
      </w:r>
      <w:proofErr w:type="spellStart"/>
      <w:r w:rsidRPr="00BB0D9C">
        <w:rPr>
          <w:rFonts w:cstheme="majorHAnsi"/>
          <w:szCs w:val="22"/>
        </w:rPr>
        <w:t>multipartícipes</w:t>
      </w:r>
      <w:proofErr w:type="spellEnd"/>
      <w:r w:rsidRPr="00BB0D9C">
        <w:rPr>
          <w:rFonts w:cstheme="majorHAnsi"/>
          <w:szCs w:val="22"/>
        </w:rPr>
        <w:t xml:space="preserve"> recibidos el </w:t>
      </w:r>
      <w:r w:rsidR="00C87590" w:rsidRPr="00BB0D9C">
        <w:rPr>
          <w:rFonts w:cstheme="majorHAnsi"/>
          <w:szCs w:val="22"/>
        </w:rPr>
        <w:t xml:space="preserve">13 </w:t>
      </w:r>
      <w:r w:rsidRPr="00BB0D9C">
        <w:rPr>
          <w:rFonts w:cstheme="majorHAnsi"/>
          <w:szCs w:val="22"/>
        </w:rPr>
        <w:t>de mayo de</w:t>
      </w:r>
      <w:r w:rsidR="00C87590" w:rsidRPr="00BB0D9C">
        <w:rPr>
          <w:rFonts w:cstheme="majorHAnsi"/>
          <w:szCs w:val="22"/>
        </w:rPr>
        <w:t xml:space="preserve"> 2020 </w:t>
      </w:r>
      <w:r w:rsidRPr="00BB0D9C">
        <w:rPr>
          <w:rFonts w:cstheme="majorHAnsi"/>
          <w:szCs w:val="22"/>
        </w:rPr>
        <w:t xml:space="preserve">subrayan que esta decisión del </w:t>
      </w:r>
      <w:r w:rsidR="00C87590" w:rsidRPr="00BB0D9C">
        <w:rPr>
          <w:rFonts w:cstheme="majorHAnsi"/>
          <w:szCs w:val="22"/>
        </w:rPr>
        <w:t>IAIP corr</w:t>
      </w:r>
      <w:r w:rsidRPr="00BB0D9C">
        <w:rPr>
          <w:rFonts w:cstheme="majorHAnsi"/>
          <w:szCs w:val="22"/>
        </w:rPr>
        <w:t xml:space="preserve">igió una violación de normas internacionales existentes, como el Convenio </w:t>
      </w:r>
      <w:r w:rsidR="00C87590" w:rsidRPr="00BB0D9C">
        <w:rPr>
          <w:rFonts w:cstheme="majorHAnsi"/>
          <w:szCs w:val="22"/>
        </w:rPr>
        <w:t xml:space="preserve">169 </w:t>
      </w:r>
      <w:r w:rsidRPr="00BB0D9C">
        <w:rPr>
          <w:rFonts w:cstheme="majorHAnsi"/>
          <w:szCs w:val="22"/>
        </w:rPr>
        <w:t xml:space="preserve">de la OIT sobre los derechos de los pueblos indígenas y tribales, la Convención sobre derechos humanos y la Convención interamericana contra la corrupción. El grupo de </w:t>
      </w:r>
      <w:proofErr w:type="spellStart"/>
      <w:r w:rsidRPr="00BB0D9C">
        <w:rPr>
          <w:rFonts w:cstheme="majorHAnsi"/>
          <w:szCs w:val="22"/>
        </w:rPr>
        <w:t>multipartícipes</w:t>
      </w:r>
      <w:proofErr w:type="spellEnd"/>
      <w:r w:rsidRPr="00BB0D9C">
        <w:rPr>
          <w:rFonts w:cstheme="majorHAnsi"/>
          <w:szCs w:val="22"/>
        </w:rPr>
        <w:t xml:space="preserve"> destacaba que la decisión del </w:t>
      </w:r>
      <w:r w:rsidR="00C87590" w:rsidRPr="00BB0D9C">
        <w:rPr>
          <w:rFonts w:cstheme="majorHAnsi"/>
          <w:szCs w:val="22"/>
        </w:rPr>
        <w:t>IAIP “</w:t>
      </w:r>
      <w:r w:rsidRPr="00BB0D9C">
        <w:rPr>
          <w:rFonts w:cstheme="majorHAnsi"/>
          <w:szCs w:val="22"/>
        </w:rPr>
        <w:t>hace que toda la información sobre licencias y permisos ambientales sea totalmente pública</w:t>
      </w:r>
      <w:r w:rsidR="00C87590" w:rsidRPr="00BB0D9C">
        <w:rPr>
          <w:rFonts w:cstheme="majorHAnsi"/>
          <w:szCs w:val="22"/>
        </w:rPr>
        <w:t>”</w:t>
      </w:r>
      <w:r w:rsidR="00C87590" w:rsidRPr="00BB0D9C">
        <w:rPr>
          <w:rFonts w:cstheme="majorHAnsi"/>
          <w:szCs w:val="22"/>
          <w:vertAlign w:val="superscript"/>
        </w:rPr>
        <w:footnoteReference w:id="35"/>
      </w:r>
      <w:r w:rsidR="00C87590" w:rsidRPr="00BB0D9C">
        <w:rPr>
          <w:rFonts w:cstheme="majorHAnsi"/>
          <w:szCs w:val="22"/>
        </w:rPr>
        <w:t xml:space="preserve">. </w:t>
      </w:r>
      <w:r w:rsidRPr="00BB0D9C">
        <w:rPr>
          <w:rFonts w:cstheme="majorHAnsi"/>
          <w:szCs w:val="22"/>
        </w:rPr>
        <w:t xml:space="preserve">El Ministerio de Ambiente no se opuso a la resolución del </w:t>
      </w:r>
      <w:r w:rsidR="00C87590" w:rsidRPr="00BB0D9C">
        <w:rPr>
          <w:rFonts w:cstheme="majorHAnsi"/>
          <w:szCs w:val="22"/>
        </w:rPr>
        <w:t>IAIP.</w:t>
      </w:r>
    </w:p>
    <w:p w14:paraId="39677D73" w14:textId="77777777" w:rsidR="00C87590" w:rsidRPr="00BB0D9C" w:rsidRDefault="00F41044" w:rsidP="00C87590">
      <w:pPr>
        <w:rPr>
          <w:rFonts w:cstheme="majorHAnsi"/>
          <w:szCs w:val="22"/>
        </w:rPr>
      </w:pPr>
      <w:r w:rsidRPr="00BB0D9C">
        <w:rPr>
          <w:rFonts w:cstheme="majorHAnsi"/>
          <w:szCs w:val="22"/>
        </w:rPr>
        <w:t>La primera validación de</w:t>
      </w:r>
      <w:r w:rsidR="00C87590" w:rsidRPr="00BB0D9C">
        <w:rPr>
          <w:rFonts w:cstheme="majorHAnsi"/>
          <w:szCs w:val="22"/>
        </w:rPr>
        <w:t xml:space="preserve"> Honduras </w:t>
      </w:r>
      <w:r w:rsidRPr="00BB0D9C">
        <w:rPr>
          <w:rFonts w:cstheme="majorHAnsi"/>
          <w:szCs w:val="22"/>
        </w:rPr>
        <w:t>señalaba que</w:t>
      </w:r>
      <w:r w:rsidR="00C87590" w:rsidRPr="00BB0D9C">
        <w:rPr>
          <w:rFonts w:cstheme="majorHAnsi"/>
          <w:szCs w:val="22"/>
        </w:rPr>
        <w:t xml:space="preserve"> “</w:t>
      </w:r>
      <w:r w:rsidRPr="00BB0D9C">
        <w:rPr>
          <w:rFonts w:cstheme="majorHAnsi"/>
          <w:szCs w:val="22"/>
        </w:rPr>
        <w:t xml:space="preserve">De acuerdo con el requisito </w:t>
      </w:r>
      <w:r w:rsidR="00C87590" w:rsidRPr="00BB0D9C">
        <w:rPr>
          <w:rFonts w:cstheme="majorHAnsi"/>
          <w:szCs w:val="22"/>
        </w:rPr>
        <w:t xml:space="preserve">8.3 (c) (i), </w:t>
      </w:r>
      <w:r w:rsidRPr="00BB0D9C">
        <w:rPr>
          <w:rFonts w:cstheme="majorHAnsi"/>
          <w:szCs w:val="22"/>
        </w:rPr>
        <w:t xml:space="preserve">se solicita al Gobierno que desarrolle y divulgue un plan de acción para abordar las deficiencias en la participación del </w:t>
      </w:r>
      <w:r w:rsidR="00060247" w:rsidRPr="00BB0D9C">
        <w:rPr>
          <w:rFonts w:cstheme="majorHAnsi"/>
          <w:szCs w:val="22"/>
        </w:rPr>
        <w:t xml:space="preserve">Gobierno </w:t>
      </w:r>
      <w:r w:rsidR="00C87590" w:rsidRPr="00BB0D9C">
        <w:rPr>
          <w:rFonts w:cstheme="majorHAnsi"/>
          <w:szCs w:val="22"/>
        </w:rPr>
        <w:t>document</w:t>
      </w:r>
      <w:r w:rsidR="00060247" w:rsidRPr="00BB0D9C">
        <w:rPr>
          <w:rFonts w:cstheme="majorHAnsi"/>
          <w:szCs w:val="22"/>
        </w:rPr>
        <w:t xml:space="preserve">ada en la evaluación inicial y el informe del validador en un plazo de tres meses a partir de la decisión del Consejo, es decir, antes del </w:t>
      </w:r>
      <w:r w:rsidR="00C87590" w:rsidRPr="00BB0D9C">
        <w:rPr>
          <w:rFonts w:cstheme="majorHAnsi"/>
          <w:szCs w:val="22"/>
        </w:rPr>
        <w:t>25</w:t>
      </w:r>
      <w:r w:rsidR="00060247" w:rsidRPr="00BB0D9C">
        <w:rPr>
          <w:rFonts w:cstheme="majorHAnsi"/>
          <w:szCs w:val="22"/>
        </w:rPr>
        <w:t xml:space="preserve"> de enero de</w:t>
      </w:r>
      <w:r w:rsidR="00C87590" w:rsidRPr="00BB0D9C">
        <w:rPr>
          <w:rFonts w:cstheme="majorHAnsi"/>
          <w:szCs w:val="22"/>
        </w:rPr>
        <w:t xml:space="preserve"> 2018”</w:t>
      </w:r>
      <w:r w:rsidR="00060247" w:rsidRPr="00BB0D9C">
        <w:rPr>
          <w:rFonts w:cstheme="majorHAnsi"/>
          <w:szCs w:val="22"/>
        </w:rPr>
        <w:t>.</w:t>
      </w:r>
      <w:r w:rsidR="00C87590" w:rsidRPr="00BB0D9C">
        <w:rPr>
          <w:rFonts w:cstheme="majorHAnsi"/>
          <w:szCs w:val="22"/>
        </w:rPr>
        <w:t xml:space="preserve"> </w:t>
      </w:r>
      <w:r w:rsidR="00060247" w:rsidRPr="00BB0D9C">
        <w:rPr>
          <w:rFonts w:cstheme="majorHAnsi"/>
          <w:szCs w:val="22"/>
        </w:rPr>
        <w:t xml:space="preserve">Con respecto a esto, la sección introductoria del plan del EITI de </w:t>
      </w:r>
      <w:r w:rsidR="00C87590" w:rsidRPr="00BB0D9C">
        <w:rPr>
          <w:rFonts w:cstheme="majorHAnsi"/>
          <w:szCs w:val="22"/>
        </w:rPr>
        <w:t xml:space="preserve">Honduras </w:t>
      </w:r>
      <w:r w:rsidR="00060247" w:rsidRPr="00BB0D9C">
        <w:rPr>
          <w:rFonts w:cstheme="majorHAnsi"/>
          <w:szCs w:val="22"/>
        </w:rPr>
        <w:t xml:space="preserve">para </w:t>
      </w:r>
      <w:r w:rsidR="00C87590" w:rsidRPr="00BB0D9C">
        <w:rPr>
          <w:rFonts w:cstheme="majorHAnsi"/>
          <w:szCs w:val="22"/>
        </w:rPr>
        <w:t xml:space="preserve">2019-2020 </w:t>
      </w:r>
      <w:r w:rsidR="00060247" w:rsidRPr="00BB0D9C">
        <w:rPr>
          <w:rFonts w:cstheme="majorHAnsi"/>
          <w:szCs w:val="22"/>
        </w:rPr>
        <w:t xml:space="preserve">indica que </w:t>
      </w:r>
      <w:r w:rsidR="00C87590" w:rsidRPr="00BB0D9C">
        <w:rPr>
          <w:rFonts w:cstheme="majorHAnsi"/>
          <w:szCs w:val="22"/>
        </w:rPr>
        <w:t>“represent</w:t>
      </w:r>
      <w:r w:rsidR="00060247" w:rsidRPr="00BB0D9C">
        <w:rPr>
          <w:rFonts w:cstheme="majorHAnsi"/>
          <w:szCs w:val="22"/>
        </w:rPr>
        <w:t>a el compromiso del Gobierno de Honduras</w:t>
      </w:r>
      <w:r w:rsidR="00C87590" w:rsidRPr="00BB0D9C">
        <w:rPr>
          <w:rFonts w:cstheme="majorHAnsi"/>
          <w:szCs w:val="22"/>
        </w:rPr>
        <w:t xml:space="preserve">, </w:t>
      </w:r>
      <w:r w:rsidR="00060247" w:rsidRPr="00BB0D9C">
        <w:rPr>
          <w:rFonts w:cstheme="majorHAnsi"/>
          <w:szCs w:val="22"/>
        </w:rPr>
        <w:t xml:space="preserve">la voluntad de las </w:t>
      </w:r>
      <w:r w:rsidR="00B61C08" w:rsidRPr="00BB0D9C">
        <w:rPr>
          <w:rFonts w:cstheme="majorHAnsi"/>
          <w:szCs w:val="22"/>
        </w:rPr>
        <w:t>empresa</w:t>
      </w:r>
      <w:r w:rsidR="00060247" w:rsidRPr="00BB0D9C">
        <w:rPr>
          <w:rFonts w:cstheme="majorHAnsi"/>
          <w:szCs w:val="22"/>
        </w:rPr>
        <w:t xml:space="preserve">s del </w:t>
      </w:r>
      <w:r w:rsidR="006F4166" w:rsidRPr="00BB0D9C">
        <w:rPr>
          <w:rFonts w:cstheme="majorHAnsi"/>
          <w:szCs w:val="22"/>
        </w:rPr>
        <w:t>sector</w:t>
      </w:r>
      <w:r w:rsidR="00C87590" w:rsidRPr="00BB0D9C">
        <w:rPr>
          <w:rFonts w:cstheme="majorHAnsi"/>
          <w:szCs w:val="22"/>
        </w:rPr>
        <w:t xml:space="preserve"> extractiv</w:t>
      </w:r>
      <w:r w:rsidR="006F4166" w:rsidRPr="00BB0D9C">
        <w:rPr>
          <w:rFonts w:cstheme="majorHAnsi"/>
          <w:szCs w:val="22"/>
        </w:rPr>
        <w:t xml:space="preserve">o y la participación efectiva de la sociedad </w:t>
      </w:r>
      <w:r w:rsidR="00C87590" w:rsidRPr="00BB0D9C">
        <w:rPr>
          <w:rFonts w:cstheme="majorHAnsi"/>
          <w:szCs w:val="22"/>
        </w:rPr>
        <w:t xml:space="preserve">civil </w:t>
      </w:r>
      <w:r w:rsidR="006F4166" w:rsidRPr="00BB0D9C">
        <w:rPr>
          <w:rFonts w:cstheme="majorHAnsi"/>
          <w:szCs w:val="22"/>
        </w:rPr>
        <w:t xml:space="preserve">de fortalecer la implementación de la iniciativa como una herramienta para la transparencia y rendición de cuentas en las actividades extractivas de </w:t>
      </w:r>
      <w:r w:rsidR="00C87590" w:rsidRPr="00BB0D9C">
        <w:rPr>
          <w:rFonts w:cstheme="majorHAnsi"/>
          <w:szCs w:val="22"/>
        </w:rPr>
        <w:t>Honduras”</w:t>
      </w:r>
      <w:r w:rsidR="00C87590" w:rsidRPr="00BB0D9C">
        <w:rPr>
          <w:rFonts w:cstheme="majorHAnsi"/>
          <w:szCs w:val="22"/>
          <w:vertAlign w:val="superscript"/>
        </w:rPr>
        <w:footnoteReference w:id="36"/>
      </w:r>
      <w:r w:rsidR="00C87590" w:rsidRPr="00BB0D9C">
        <w:rPr>
          <w:rFonts w:cstheme="majorHAnsi"/>
          <w:szCs w:val="22"/>
        </w:rPr>
        <w:t>.</w:t>
      </w:r>
    </w:p>
    <w:p w14:paraId="52447BEB" w14:textId="77777777" w:rsidR="003E5891" w:rsidRPr="00BB0D9C" w:rsidRDefault="003E5891" w:rsidP="00310A3A">
      <w:pPr>
        <w:pStyle w:val="Heading3"/>
      </w:pPr>
      <w:r w:rsidRPr="00BB0D9C">
        <w:t>Evaluación del Secretariado</w:t>
      </w:r>
    </w:p>
    <w:p w14:paraId="2852C9BA" w14:textId="77777777" w:rsidR="006F4166" w:rsidRPr="00BB0D9C" w:rsidRDefault="006F4166" w:rsidP="001E394C">
      <w:pPr>
        <w:spacing w:before="100" w:beforeAutospacing="1" w:after="100" w:afterAutospacing="1"/>
        <w:rPr>
          <w:szCs w:val="22"/>
        </w:rPr>
      </w:pPr>
      <w:r w:rsidRPr="00BB0D9C">
        <w:rPr>
          <w:szCs w:val="22"/>
          <w:u w:val="single"/>
        </w:rPr>
        <w:t>Al comienzo de la segunda validación, l</w:t>
      </w:r>
      <w:r w:rsidR="00EE5F75" w:rsidRPr="00BB0D9C">
        <w:rPr>
          <w:szCs w:val="22"/>
          <w:u w:val="single"/>
        </w:rPr>
        <w:t>a evaluación del Secretariado Internacional es que Honduras ha</w:t>
      </w:r>
      <w:r w:rsidRPr="00BB0D9C">
        <w:rPr>
          <w:szCs w:val="22"/>
          <w:u w:val="single"/>
        </w:rPr>
        <w:t>bía</w:t>
      </w:r>
      <w:r w:rsidR="00EE5F75" w:rsidRPr="00BB0D9C">
        <w:rPr>
          <w:szCs w:val="22"/>
          <w:u w:val="single"/>
        </w:rPr>
        <w:t xml:space="preserve"> abordado parcialmente la medida correctiva y ha</w:t>
      </w:r>
      <w:r w:rsidRPr="00BB0D9C">
        <w:rPr>
          <w:szCs w:val="22"/>
          <w:u w:val="single"/>
        </w:rPr>
        <w:t>bía</w:t>
      </w:r>
      <w:r w:rsidR="00EE5F75" w:rsidRPr="00BB0D9C">
        <w:rPr>
          <w:szCs w:val="22"/>
          <w:u w:val="single"/>
        </w:rPr>
        <w:t xml:space="preserve"> logrado un progreso significativo con </w:t>
      </w:r>
      <w:r w:rsidRPr="00BB0D9C">
        <w:rPr>
          <w:szCs w:val="22"/>
          <w:u w:val="single"/>
        </w:rPr>
        <w:t xml:space="preserve">mejoras considerables </w:t>
      </w:r>
      <w:r w:rsidR="00EE5F75" w:rsidRPr="00BB0D9C">
        <w:rPr>
          <w:szCs w:val="22"/>
          <w:u w:val="single"/>
        </w:rPr>
        <w:t xml:space="preserve">en cuanto al </w:t>
      </w:r>
      <w:r w:rsidRPr="00BB0D9C">
        <w:rPr>
          <w:szCs w:val="22"/>
          <w:u w:val="single"/>
        </w:rPr>
        <w:t>r</w:t>
      </w:r>
      <w:r w:rsidR="00EE5F75" w:rsidRPr="00BB0D9C">
        <w:rPr>
          <w:szCs w:val="22"/>
          <w:u w:val="single"/>
        </w:rPr>
        <w:t>equisito 1.1.</w:t>
      </w:r>
      <w:r w:rsidRPr="00BB0D9C">
        <w:rPr>
          <w:szCs w:val="22"/>
          <w:u w:val="single"/>
        </w:rPr>
        <w:t xml:space="preserve"> Sujeto a la consideración del Consejo de nueva información publicada después del comienzo de la segunda validación, la evaluación del Secretariado Internacional es que Honduras ha abordado plenamente la medida correctiva y </w:t>
      </w:r>
      <w:r w:rsidR="00EB4DBE" w:rsidRPr="00BB0D9C">
        <w:rPr>
          <w:szCs w:val="22"/>
          <w:u w:val="single"/>
        </w:rPr>
        <w:t>ha</w:t>
      </w:r>
      <w:r w:rsidRPr="00BB0D9C">
        <w:rPr>
          <w:szCs w:val="22"/>
          <w:u w:val="single"/>
        </w:rPr>
        <w:t xml:space="preserve"> alcanzado un progreso satisfactorio con respecto al requisito 1.1.</w:t>
      </w:r>
    </w:p>
    <w:p w14:paraId="0B11B8DE" w14:textId="77777777" w:rsidR="006F4166" w:rsidRPr="00BB0D9C" w:rsidRDefault="00F52893" w:rsidP="001E394C">
      <w:pPr>
        <w:spacing w:before="100" w:beforeAutospacing="1" w:after="100" w:afterAutospacing="1"/>
      </w:pPr>
      <w:r w:rsidRPr="00BB0D9C">
        <w:t>Hay muestras</w:t>
      </w:r>
      <w:r w:rsidR="00EE5F75" w:rsidRPr="00BB0D9C">
        <w:t xml:space="preserve"> de </w:t>
      </w:r>
      <w:r w:rsidR="006F4166" w:rsidRPr="00BB0D9C">
        <w:t xml:space="preserve">que el Gobierno ha renovado su </w:t>
      </w:r>
      <w:r w:rsidR="00EE5F75" w:rsidRPr="00BB0D9C">
        <w:t xml:space="preserve">participación en el EITI, </w:t>
      </w:r>
      <w:r w:rsidR="006F4166" w:rsidRPr="00BB0D9C">
        <w:t xml:space="preserve">lo que se </w:t>
      </w:r>
      <w:r w:rsidR="00EE5F75" w:rsidRPr="00BB0D9C">
        <w:t>manif</w:t>
      </w:r>
      <w:r w:rsidR="006F4166" w:rsidRPr="00BB0D9C">
        <w:t>iesta</w:t>
      </w:r>
      <w:r w:rsidR="00EE5F75" w:rsidRPr="00BB0D9C">
        <w:t xml:space="preserve"> en </w:t>
      </w:r>
      <w:r w:rsidR="006F4166" w:rsidRPr="00BB0D9C">
        <w:t>la participación de distintos organismos gubernamentales en el proceso, así como en la reasignación del secretariado nacional a INHGEOMIN, la asignación de fondos en la Ley de Presupuesto Nacional y el levantamiento de disposiciones sobre confidencialidad con respecto a licencias ambientales.</w:t>
      </w:r>
    </w:p>
    <w:p w14:paraId="41EDDD63" w14:textId="29CFB8FE" w:rsidR="006E72B3" w:rsidRPr="00BB0D9C" w:rsidRDefault="006F4166" w:rsidP="001E394C">
      <w:pPr>
        <w:spacing w:before="100" w:beforeAutospacing="1" w:after="100" w:afterAutospacing="1"/>
      </w:pPr>
      <w:r w:rsidRPr="00BB0D9C">
        <w:t>El</w:t>
      </w:r>
      <w:r w:rsidR="00EE5F75" w:rsidRPr="00BB0D9C">
        <w:t xml:space="preserve"> compromiso </w:t>
      </w:r>
      <w:r w:rsidRPr="00BB0D9C">
        <w:t xml:space="preserve">de ministerios y organismos relevantes ha seguido activo, en especial en términos del suministro de la información del EITI solicitada. El compromiso del Gobierno se hizo evidente en el papel desempeñado por el </w:t>
      </w:r>
      <w:r w:rsidR="000132C6">
        <w:t>campeón político</w:t>
      </w:r>
      <w:r w:rsidR="00EE5F75" w:rsidRPr="00BB0D9C">
        <w:t xml:space="preserve"> del EITI, Carlos López Contreras, quien parece gozar de la confianza de todos los grupos constituyentes. </w:t>
      </w:r>
      <w:r w:rsidR="006E72B3" w:rsidRPr="00BB0D9C">
        <w:t>Con respecto al financiamiento, después del apoyo limitado de la UE, las disposiciones en la Ley de Presupuesto Nacional de 2020 permiten la implementación de actividades fundamentales del plan de trabajo (véase el requisito 1.5).</w:t>
      </w:r>
    </w:p>
    <w:p w14:paraId="5D52F668" w14:textId="77777777" w:rsidR="006E72B3" w:rsidRPr="00BB0D9C" w:rsidRDefault="006E72B3" w:rsidP="006E72B3">
      <w:pPr>
        <w:spacing w:before="100" w:beforeAutospacing="1" w:after="100" w:afterAutospacing="1"/>
      </w:pPr>
      <w:r w:rsidRPr="00BB0D9C">
        <w:rPr>
          <w:i/>
          <w:iCs/>
        </w:rPr>
        <w:t>Si el Consejo no tiene en cuenta nueva información publicada después del comienzo de la segunda validación, Honduras deberá abordar la siguiente medida correctiva</w:t>
      </w:r>
      <w:r w:rsidRPr="00BB0D9C">
        <w:t xml:space="preserve">: de acuerdo con el requisito 1.1, el Gobierno debe demostrar que participa de manera plena, activa y efectiva en todos los aspectos de la implementación del EITI. El Gobierno debe demostrar su compromiso con el EITI a través del suministro de un apoyo y financiamiento adecuados para el EITI Honduras, incluido el financiamiento adecuado para la dotación de personal del secretariado nacional y recursos adecuados para superar obstáculos legales y regulatorios para la implementación del EITI. </w:t>
      </w:r>
    </w:p>
    <w:p w14:paraId="52C3CCA5" w14:textId="77777777" w:rsidR="006E72B3" w:rsidRPr="00BB0D9C" w:rsidRDefault="006E72B3" w:rsidP="006E72B3">
      <w:pPr>
        <w:spacing w:before="100" w:beforeAutospacing="1" w:after="100" w:afterAutospacing="1"/>
      </w:pPr>
      <w:r w:rsidRPr="00BB0D9C">
        <w:t xml:space="preserve">Para fortalecer la implementación, el Gobierno de Honduras puede considerar la posibilidad de usar mecanismos que permitan sostener el impulso ganado en su compromiso renovado a través de los distintos organismos involucrados en el proceso EITI. También se le recomienda al Gobierno que tenga en cuenta todas las opciones disponibles que puedan garantizar que la implementación del EITI sea proporcional a la magnitud y las prioridades del sector extractivo de Honduras. </w:t>
      </w:r>
    </w:p>
    <w:p w14:paraId="3C8EC01E" w14:textId="77777777" w:rsidR="00EE5F75" w:rsidRPr="00BB0D9C" w:rsidRDefault="00EE5F75" w:rsidP="00503A5C">
      <w:pPr>
        <w:pStyle w:val="Heading2"/>
        <w:numPr>
          <w:ilvl w:val="1"/>
          <w:numId w:val="43"/>
        </w:numPr>
      </w:pPr>
      <w:bookmarkStart w:id="19" w:name="_Toc45021595"/>
      <w:r w:rsidRPr="00BB0D9C">
        <w:t>Medida correctiva 2: Partic</w:t>
      </w:r>
      <w:r w:rsidR="006D341C" w:rsidRPr="00BB0D9C">
        <w:t>ipación de la industria (</w:t>
      </w:r>
      <w:proofErr w:type="spellStart"/>
      <w:r w:rsidR="006D341C" w:rsidRPr="00BB0D9C">
        <w:t>n.°</w:t>
      </w:r>
      <w:proofErr w:type="spellEnd"/>
      <w:r w:rsidR="006D341C" w:rsidRPr="00BB0D9C">
        <w:t> </w:t>
      </w:r>
      <w:r w:rsidRPr="00BB0D9C">
        <w:t>1.2)</w:t>
      </w:r>
      <w:bookmarkEnd w:id="19"/>
    </w:p>
    <w:p w14:paraId="4B6D0122" w14:textId="77777777" w:rsidR="00EE5F75" w:rsidRPr="00BB0D9C" w:rsidRDefault="00871B75" w:rsidP="00EE5F75">
      <w:pPr>
        <w:shd w:val="clear" w:color="auto" w:fill="D9D9D9" w:themeFill="background1" w:themeFillShade="D9"/>
      </w:pPr>
      <w:r w:rsidRPr="00BB0D9C">
        <w:t xml:space="preserve">Conforme al </w:t>
      </w:r>
      <w:r w:rsidR="006D341C" w:rsidRPr="00BB0D9C">
        <w:t>r</w:t>
      </w:r>
      <w:r w:rsidRPr="00BB0D9C">
        <w:t xml:space="preserve">equisito 1.2, la industria debería demostrar que participa de manera plena, activa y efectiva en el proceso EITI. El grupo de la industria debería analizar su participación en el EITI, y considerar oportunidades para trabajar más estrechamente con el GMP con vistas a garantizar que EITI Honduras debata, aborde y comunique de manera más efectiva no solo las divulgaciones exigidas por el Estándar sino también otras cuestiones de interés para el grupo de la industria. Esta evaluación debería influir y reflejarse en el plan de trabajo revisado del GMP. Conforme al requisito 8.3.c.i, se solicita a la industria que desarrolle y divulgue un plan de acción destinado a abordar las deficiencias en su participación que se documentaron en la evaluación inicial y el informe del validador en un plazo de tres meses a partir de la decisión del Consejo, es decir, para el </w:t>
      </w:r>
      <w:r w:rsidRPr="00BB0D9C">
        <w:rPr>
          <w:b/>
          <w:szCs w:val="22"/>
        </w:rPr>
        <w:t>25 de enero de 2018.</w:t>
      </w:r>
    </w:p>
    <w:p w14:paraId="2FD16512" w14:textId="77777777" w:rsidR="00EE5F75" w:rsidRPr="00BB0D9C" w:rsidRDefault="00EE5F75" w:rsidP="00EE5F75">
      <w:pPr>
        <w:pStyle w:val="Heading3"/>
      </w:pPr>
      <w:r w:rsidRPr="00BB0D9C">
        <w:t xml:space="preserve">Conclusiones de la primera </w:t>
      </w:r>
      <w:r w:rsidR="006D341C" w:rsidRPr="00BB0D9C">
        <w:t>v</w:t>
      </w:r>
      <w:r w:rsidRPr="00BB0D9C">
        <w:t>alidación</w:t>
      </w:r>
    </w:p>
    <w:p w14:paraId="0F1F36B6" w14:textId="77777777" w:rsidR="00EE5F75" w:rsidRPr="00BB0D9C" w:rsidRDefault="00871B75" w:rsidP="00EE5F75">
      <w:r w:rsidRPr="00BB0D9C">
        <w:t xml:space="preserve">En la primera </w:t>
      </w:r>
      <w:r w:rsidR="006D341C" w:rsidRPr="00BB0D9C">
        <w:t>v</w:t>
      </w:r>
      <w:r w:rsidRPr="00BB0D9C">
        <w:t xml:space="preserve">alidación se llegó a la conclusión de que Honduras había logrado un progreso significativo en el cumplimiento de este requisito. Se había observado un entorno propicio para la participación de las empresas, y la industria había participado en el proceso EITI. No obstante, podría haberse hecho más para participar de manera plena, activa y efectiva a fin de garantizar que el proceso EITI mejorara su potencial. Si bien no había obstáculos específicos a la participación de la industria, </w:t>
      </w:r>
      <w:r w:rsidR="002612CF" w:rsidRPr="00BB0D9C">
        <w:t xml:space="preserve">tener </w:t>
      </w:r>
      <w:r w:rsidRPr="00BB0D9C">
        <w:t>una mejor comprensión del modo en que las empresas participan activamente podría haber mejorado la gobernanza del sector y las alentaría a involucrarse más. La participación del grupo de la industria había estado limitada a asistir a las reuniones del GMP, y a presentar los datos requeridos para las presentaciones de información pertinente al EITI. Por consiguiente, se recomendó al sector privado que revitalizara su participación trabajando más estrechamente con otras partes interesadas.</w:t>
      </w:r>
    </w:p>
    <w:p w14:paraId="3B82AF6C" w14:textId="77777777" w:rsidR="00EE5F75" w:rsidRPr="00BB0D9C" w:rsidRDefault="00EE5F75" w:rsidP="00EE5F75">
      <w:pPr>
        <w:pStyle w:val="Heading3"/>
      </w:pPr>
      <w:r w:rsidRPr="00BB0D9C">
        <w:t xml:space="preserve">Progreso desde la </w:t>
      </w:r>
      <w:r w:rsidR="006D341C" w:rsidRPr="00BB0D9C">
        <w:t>primera v</w:t>
      </w:r>
      <w:r w:rsidRPr="00BB0D9C">
        <w:t>alidación</w:t>
      </w:r>
    </w:p>
    <w:p w14:paraId="1F908AC4" w14:textId="77777777" w:rsidR="00E62303" w:rsidRPr="00BB0D9C" w:rsidRDefault="00847A9A" w:rsidP="000B24F5">
      <w:pPr>
        <w:rPr>
          <w:rFonts w:cstheme="majorHAnsi"/>
          <w:szCs w:val="22"/>
        </w:rPr>
      </w:pPr>
      <w:r w:rsidRPr="00BB0D9C">
        <w:t>Las partes interesadas consultadas consideraron que no había obstáculos a la participación de las empresas en el proceso EITI. Explicaron que las empresas habían participado regularmente en las reuniones del GMP a través de la representación ejercida por asociaciones sectoriales (cámaras) y que habían brindado la información solicitada conforme a lo indicado.</w:t>
      </w:r>
      <w:r w:rsidR="00827CAC" w:rsidRPr="00BB0D9C">
        <w:t xml:space="preserve"> </w:t>
      </w:r>
    </w:p>
    <w:p w14:paraId="07285474" w14:textId="77777777" w:rsidR="00E62303" w:rsidRPr="00BB0D9C" w:rsidRDefault="001A7D8C" w:rsidP="000C5582">
      <w:pPr>
        <w:rPr>
          <w:rFonts w:cstheme="majorHAnsi"/>
          <w:szCs w:val="22"/>
        </w:rPr>
      </w:pPr>
      <w:r w:rsidRPr="00BB0D9C">
        <w:t>E</w:t>
      </w:r>
      <w:r w:rsidR="006D341C" w:rsidRPr="00BB0D9C">
        <w:t>n general, el grupo de la industria no había parecido ser un impulsor de la implementación del EITI en Honduras, sino estar enfocado en responder a solicitudes de recopilación de datos. Sin embargo, e</w:t>
      </w:r>
      <w:r w:rsidRPr="00BB0D9C">
        <w:t xml:space="preserve">xisten ciertas muestras de </w:t>
      </w:r>
      <w:r w:rsidR="006D341C" w:rsidRPr="00BB0D9C">
        <w:t>otra participación de</w:t>
      </w:r>
      <w:r w:rsidRPr="00BB0D9C">
        <w:t xml:space="preserve"> la industria en la implementación del EITI. En primer lugar, en lo que respecta a la </w:t>
      </w:r>
      <w:r w:rsidRPr="00BB0D9C">
        <w:rPr>
          <w:szCs w:val="22"/>
        </w:rPr>
        <w:t xml:space="preserve">participación en reuniones del </w:t>
      </w:r>
      <w:r w:rsidR="006D341C" w:rsidRPr="00BB0D9C">
        <w:rPr>
          <w:szCs w:val="22"/>
        </w:rPr>
        <w:t xml:space="preserve">grupo de </w:t>
      </w:r>
      <w:proofErr w:type="spellStart"/>
      <w:r w:rsidR="006D341C" w:rsidRPr="00BB0D9C">
        <w:rPr>
          <w:szCs w:val="22"/>
        </w:rPr>
        <w:t>multipartícipes</w:t>
      </w:r>
      <w:proofErr w:type="spellEnd"/>
      <w:r w:rsidR="006D341C" w:rsidRPr="00BB0D9C">
        <w:rPr>
          <w:szCs w:val="22"/>
        </w:rPr>
        <w:t>,</w:t>
      </w:r>
      <w:r w:rsidRPr="00BB0D9C">
        <w:t xml:space="preserve"> el informe anual de progreso de 2018</w:t>
      </w:r>
      <w:r w:rsidR="00A97F51" w:rsidRPr="00BB0D9C">
        <w:rPr>
          <w:rStyle w:val="FootnoteReference"/>
          <w:szCs w:val="22"/>
          <w:lang w:eastAsia="nb-NO"/>
        </w:rPr>
        <w:footnoteReference w:id="37"/>
      </w:r>
      <w:r w:rsidRPr="00BB0D9C">
        <w:t xml:space="preserve"> (p. 10) y las actas de reuni</w:t>
      </w:r>
      <w:r w:rsidR="006D341C" w:rsidRPr="00BB0D9C">
        <w:t>ones</w:t>
      </w:r>
      <w:r w:rsidRPr="00BB0D9C">
        <w:t xml:space="preserve"> del </w:t>
      </w:r>
      <w:r w:rsidR="006D341C" w:rsidRPr="00BB0D9C">
        <w:t xml:space="preserve">grupo de </w:t>
      </w:r>
      <w:proofErr w:type="spellStart"/>
      <w:r w:rsidR="006D341C" w:rsidRPr="00BB0D9C">
        <w:t>multipartícipes</w:t>
      </w:r>
      <w:proofErr w:type="spellEnd"/>
      <w:r w:rsidRPr="00BB0D9C">
        <w:t xml:space="preserve"> indican que el sector privado ha estado participando con regularidad en </w:t>
      </w:r>
      <w:r w:rsidR="006D341C" w:rsidRPr="00BB0D9C">
        <w:t>el proceso</w:t>
      </w:r>
      <w:r w:rsidRPr="00BB0D9C">
        <w:t xml:space="preserve">. </w:t>
      </w:r>
      <w:r w:rsidR="006D341C" w:rsidRPr="00BB0D9C">
        <w:t xml:space="preserve">Partes interesadas de la industria incluyen a la Federación de Cámaras de Comercio e Industrias de Honduras (FEDECAMARA), la Asociación Nacional de Minería Metálica de Honduras (ANAMIMH) y el Consejo Hondureño de Empresas Privadas (COHEP) (véase el anexo D). Hay representantes de la industria que participan a través de estas asociaciones industriales. </w:t>
      </w:r>
      <w:r w:rsidRPr="00BB0D9C">
        <w:t>Esto fue ratificado por las partes interesadas consultadas</w:t>
      </w:r>
      <w:r w:rsidR="006D341C" w:rsidRPr="00BB0D9C">
        <w:t xml:space="preserve"> en mayo de 2019</w:t>
      </w:r>
      <w:r w:rsidRPr="00BB0D9C">
        <w:t xml:space="preserve">, quienes confirmaron la </w:t>
      </w:r>
      <w:r w:rsidR="006D341C" w:rsidRPr="00BB0D9C">
        <w:t>ausencia</w:t>
      </w:r>
      <w:r w:rsidRPr="00BB0D9C">
        <w:t xml:space="preserve"> de obstáculos a la participación de las empresas en el EITI. </w:t>
      </w:r>
    </w:p>
    <w:p w14:paraId="313C920D" w14:textId="77777777" w:rsidR="00D145AB" w:rsidRPr="00BB0D9C" w:rsidRDefault="00906C68" w:rsidP="000B24F5">
      <w:r w:rsidRPr="00BB0D9C">
        <w:t xml:space="preserve">Con respecto a la </w:t>
      </w:r>
      <w:r w:rsidRPr="00BB0D9C">
        <w:rPr>
          <w:szCs w:val="22"/>
        </w:rPr>
        <w:t>presentación de la información solicitada</w:t>
      </w:r>
      <w:r w:rsidRPr="00BB0D9C">
        <w:t xml:space="preserve">, el Informe EITI </w:t>
      </w:r>
      <w:r w:rsidR="006D341C" w:rsidRPr="00BB0D9C">
        <w:t xml:space="preserve">de </w:t>
      </w:r>
      <w:r w:rsidRPr="00BB0D9C">
        <w:t xml:space="preserve">2015-2016 amplió de siete a nueve la cantidad de </w:t>
      </w:r>
      <w:r w:rsidR="00B61C08" w:rsidRPr="00BB0D9C">
        <w:t>empresa</w:t>
      </w:r>
      <w:r w:rsidR="006D341C" w:rsidRPr="00BB0D9C">
        <w:t>s declarantes</w:t>
      </w:r>
      <w:r w:rsidRPr="00BB0D9C">
        <w:t xml:space="preserve"> respecto del anterior Informe EITI</w:t>
      </w:r>
      <w:r w:rsidR="000B24F5" w:rsidRPr="00BB0D9C">
        <w:rPr>
          <w:rFonts w:cstheme="majorHAnsi"/>
          <w:szCs w:val="22"/>
          <w:vertAlign w:val="superscript"/>
          <w:lang w:eastAsia="nb-NO"/>
        </w:rPr>
        <w:footnoteReference w:id="38"/>
      </w:r>
      <w:r w:rsidRPr="00BB0D9C">
        <w:t xml:space="preserve">. Las dos </w:t>
      </w:r>
      <w:r w:rsidR="00B61C08" w:rsidRPr="00BB0D9C">
        <w:t>empresa</w:t>
      </w:r>
      <w:r w:rsidR="00D145AB" w:rsidRPr="00BB0D9C">
        <w:t>s</w:t>
      </w:r>
      <w:r w:rsidRPr="00BB0D9C">
        <w:t xml:space="preserve"> adicionales (Cobra Oro de Honduras, S.A. de C.V</w:t>
      </w:r>
      <w:r w:rsidR="00D3665A" w:rsidRPr="00BB0D9C">
        <w:t>.</w:t>
      </w:r>
      <w:r w:rsidRPr="00BB0D9C">
        <w:t xml:space="preserve"> e </w:t>
      </w:r>
      <w:proofErr w:type="spellStart"/>
      <w:r w:rsidRPr="00BB0D9C">
        <w:t>Incal</w:t>
      </w:r>
      <w:proofErr w:type="spellEnd"/>
      <w:r w:rsidRPr="00BB0D9C">
        <w:t>, S.A. de C.V</w:t>
      </w:r>
      <w:r w:rsidR="00D3665A" w:rsidRPr="00BB0D9C">
        <w:t>.</w:t>
      </w:r>
      <w:r w:rsidRPr="00BB0D9C">
        <w:t xml:space="preserve">) brindaron información oportuna relativa al EITI. </w:t>
      </w:r>
      <w:bookmarkStart w:id="20" w:name="_Hlk10666138"/>
      <w:r w:rsidR="00D145AB" w:rsidRPr="00BB0D9C">
        <w:t>La Federación de Cámaras de Comercio e Industria de Honduras reconoce su participación en EITI Honduras como una de sus alianzas con otros sectores para combatir la corrupción y promover la transparencia</w:t>
      </w:r>
      <w:r w:rsidR="00D145AB" w:rsidRPr="00BB0D9C">
        <w:rPr>
          <w:vertAlign w:val="superscript"/>
        </w:rPr>
        <w:footnoteReference w:id="39"/>
      </w:r>
      <w:r w:rsidR="00D145AB" w:rsidRPr="00BB0D9C">
        <w:t xml:space="preserve">. En el Informe EITI de 2017-2018, publicado en febrero de 2020, el número de </w:t>
      </w:r>
      <w:r w:rsidR="00B61C08" w:rsidRPr="00BB0D9C">
        <w:t>empresa</w:t>
      </w:r>
      <w:r w:rsidR="00D145AB" w:rsidRPr="00BB0D9C">
        <w:t xml:space="preserve">s declarantes ha aumentado a 11 con respecto a las 9 </w:t>
      </w:r>
      <w:r w:rsidR="00B61C08" w:rsidRPr="00BB0D9C">
        <w:t>empresa</w:t>
      </w:r>
      <w:r w:rsidR="00D145AB" w:rsidRPr="00BB0D9C">
        <w:t xml:space="preserve">s del informe previo. De acuerdo con este informe, estas 11 </w:t>
      </w:r>
      <w:r w:rsidR="00B61C08" w:rsidRPr="00BB0D9C">
        <w:t>empresa</w:t>
      </w:r>
      <w:r w:rsidR="00D145AB" w:rsidRPr="00BB0D9C">
        <w:t>s representan más del 98% del total del sector de minería de Honduras (metálica y no metálica) medida a partir de los pagos al estado</w:t>
      </w:r>
      <w:r w:rsidR="00D145AB" w:rsidRPr="00BB0D9C">
        <w:rPr>
          <w:vertAlign w:val="superscript"/>
        </w:rPr>
        <w:footnoteReference w:id="40"/>
      </w:r>
      <w:r w:rsidR="00D145AB" w:rsidRPr="00BB0D9C">
        <w:t>.</w:t>
      </w:r>
    </w:p>
    <w:p w14:paraId="7BBBC121" w14:textId="77777777" w:rsidR="000B24F5" w:rsidRPr="00BB0D9C" w:rsidRDefault="009249B0" w:rsidP="000B24F5">
      <w:pPr>
        <w:rPr>
          <w:rFonts w:cstheme="majorHAnsi"/>
          <w:szCs w:val="22"/>
        </w:rPr>
      </w:pPr>
      <w:r w:rsidRPr="00BB0D9C">
        <w:t xml:space="preserve">En cuanto al </w:t>
      </w:r>
      <w:r w:rsidRPr="00BB0D9C">
        <w:rPr>
          <w:szCs w:val="22"/>
        </w:rPr>
        <w:t xml:space="preserve">involucramiento </w:t>
      </w:r>
      <w:r w:rsidR="00D145AB" w:rsidRPr="00BB0D9C">
        <w:rPr>
          <w:szCs w:val="22"/>
        </w:rPr>
        <w:t xml:space="preserve">de las </w:t>
      </w:r>
      <w:r w:rsidR="00B61C08" w:rsidRPr="00BB0D9C">
        <w:rPr>
          <w:szCs w:val="22"/>
        </w:rPr>
        <w:t>empresa</w:t>
      </w:r>
      <w:r w:rsidR="00D145AB" w:rsidRPr="00BB0D9C">
        <w:rPr>
          <w:szCs w:val="22"/>
        </w:rPr>
        <w:t xml:space="preserve">s </w:t>
      </w:r>
      <w:r w:rsidRPr="00BB0D9C">
        <w:rPr>
          <w:szCs w:val="22"/>
        </w:rPr>
        <w:t xml:space="preserve">con el grupo en sentido </w:t>
      </w:r>
      <w:r w:rsidR="00D145AB" w:rsidRPr="00BB0D9C">
        <w:rPr>
          <w:szCs w:val="22"/>
        </w:rPr>
        <w:t xml:space="preserve">más </w:t>
      </w:r>
      <w:r w:rsidRPr="00BB0D9C">
        <w:rPr>
          <w:szCs w:val="22"/>
        </w:rPr>
        <w:t>amplio</w:t>
      </w:r>
      <w:r w:rsidRPr="00BB0D9C">
        <w:t xml:space="preserve">, las </w:t>
      </w:r>
      <w:r w:rsidR="00B61C08" w:rsidRPr="00BB0D9C">
        <w:t>empresa</w:t>
      </w:r>
      <w:r w:rsidRPr="00BB0D9C">
        <w:t xml:space="preserve">s extractivas se agrupan en asociaciones </w:t>
      </w:r>
      <w:r w:rsidR="00D145AB" w:rsidRPr="00BB0D9C">
        <w:t>industriales</w:t>
      </w:r>
      <w:r w:rsidRPr="00BB0D9C">
        <w:t xml:space="preserve">. </w:t>
      </w:r>
      <w:bookmarkStart w:id="21" w:name="_Hlk16090718"/>
      <w:r w:rsidRPr="00BB0D9C">
        <w:t xml:space="preserve">Esto </w:t>
      </w:r>
      <w:r w:rsidR="00D145AB" w:rsidRPr="00BB0D9C">
        <w:t xml:space="preserve">parece garantizar la llegada al grupo en sentido más amplio dado el bajo número de </w:t>
      </w:r>
      <w:r w:rsidR="00B61C08" w:rsidRPr="00BB0D9C">
        <w:t>empresa</w:t>
      </w:r>
      <w:r w:rsidR="00D145AB" w:rsidRPr="00BB0D9C">
        <w:t xml:space="preserve">s </w:t>
      </w:r>
      <w:bookmarkEnd w:id="21"/>
      <w:r w:rsidRPr="00BB0D9C">
        <w:t xml:space="preserve">que operan en el sector extractivo. Las </w:t>
      </w:r>
      <w:r w:rsidR="00B61C08" w:rsidRPr="00BB0D9C">
        <w:t>empresa</w:t>
      </w:r>
      <w:r w:rsidR="001C65FE" w:rsidRPr="00BB0D9C">
        <w:t xml:space="preserve">s </w:t>
      </w:r>
      <w:r w:rsidRPr="00BB0D9C">
        <w:t xml:space="preserve">extractivas actúan a través de la protección en el orden nacional de la asociación </w:t>
      </w:r>
      <w:r w:rsidR="001C65FE" w:rsidRPr="00BB0D9C">
        <w:t>industrial</w:t>
      </w:r>
      <w:r w:rsidRPr="00BB0D9C">
        <w:t xml:space="preserve"> y la asociación minera, que coordinan y representan al sector en el EITI y en los debates nacionales.</w:t>
      </w:r>
      <w:r w:rsidR="001C65FE" w:rsidRPr="00BB0D9C">
        <w:t xml:space="preserve"> No existen pautas específicas para la participación del grupo de la industria en el EITI a través de las asociaciones industriales. Sin embargo, los representantes de las cámaras explicaron que en la práctica hay coordinación. Para coordinar los aportes al EITI del grupo en sentido más amplio, los representantes de las cámaras se comunican con su grupo a través del correo electrónico. Esto les permite a estos representantes proporcionar actualizaciones sobre cuestiones debatidas y consultar a las </w:t>
      </w:r>
      <w:r w:rsidR="00B61C08" w:rsidRPr="00BB0D9C">
        <w:t>empresa</w:t>
      </w:r>
      <w:r w:rsidR="001C65FE" w:rsidRPr="00BB0D9C">
        <w:t xml:space="preserve">s que no están representadas de forma directa en el grupo de </w:t>
      </w:r>
      <w:proofErr w:type="spellStart"/>
      <w:r w:rsidR="001C65FE" w:rsidRPr="00BB0D9C">
        <w:t>multipartícipes</w:t>
      </w:r>
      <w:proofErr w:type="spellEnd"/>
      <w:r w:rsidR="001C65FE" w:rsidRPr="00BB0D9C">
        <w:t xml:space="preserve">. Los representantes de la industria </w:t>
      </w:r>
      <w:r w:rsidR="00EB4DBE" w:rsidRPr="00BB0D9C">
        <w:t>participan</w:t>
      </w:r>
      <w:r w:rsidR="001C65FE" w:rsidRPr="00BB0D9C">
        <w:t xml:space="preserve"> en actividades del grupo de </w:t>
      </w:r>
      <w:proofErr w:type="spellStart"/>
      <w:r w:rsidR="001C65FE" w:rsidRPr="00BB0D9C">
        <w:t>multipartícipes</w:t>
      </w:r>
      <w:proofErr w:type="spellEnd"/>
      <w:r w:rsidR="001C65FE" w:rsidRPr="00BB0D9C">
        <w:t xml:space="preserve"> como </w:t>
      </w:r>
      <w:r w:rsidR="008F785B" w:rsidRPr="00BB0D9C">
        <w:t xml:space="preserve">la preparación para presentar información, la difusión, el plan de trabajo y los debates de impacto, como puede verse en las actas del grupo de </w:t>
      </w:r>
      <w:proofErr w:type="spellStart"/>
      <w:r w:rsidR="008F785B" w:rsidRPr="00BB0D9C">
        <w:t>multipartícipes</w:t>
      </w:r>
      <w:proofErr w:type="spellEnd"/>
      <w:r w:rsidR="008F785B" w:rsidRPr="00BB0D9C">
        <w:t xml:space="preserve"> y en el Informe de Progreso de 2018 de </w:t>
      </w:r>
      <w:r w:rsidR="001C65FE" w:rsidRPr="00BB0D9C">
        <w:t>Honduras</w:t>
      </w:r>
      <w:r w:rsidR="001C65FE" w:rsidRPr="00BB0D9C">
        <w:rPr>
          <w:vertAlign w:val="superscript"/>
        </w:rPr>
        <w:footnoteReference w:id="41"/>
      </w:r>
      <w:r w:rsidR="001C65FE" w:rsidRPr="00BB0D9C">
        <w:t>.</w:t>
      </w:r>
      <w:r w:rsidR="008F785B" w:rsidRPr="00BB0D9C">
        <w:t xml:space="preserve"> Los representantes de la industria han llevado al debate del grupo de </w:t>
      </w:r>
      <w:proofErr w:type="spellStart"/>
      <w:r w:rsidR="008F785B" w:rsidRPr="00BB0D9C">
        <w:t>multipartícipes</w:t>
      </w:r>
      <w:proofErr w:type="spellEnd"/>
      <w:r w:rsidR="008F785B" w:rsidRPr="00BB0D9C">
        <w:t xml:space="preserve"> cuestiones relevantes para sus miembros</w:t>
      </w:r>
      <w:r w:rsidR="001C65FE" w:rsidRPr="00BB0D9C">
        <w:t xml:space="preserve">, </w:t>
      </w:r>
      <w:r w:rsidR="008F785B" w:rsidRPr="00BB0D9C">
        <w:t xml:space="preserve">como el incidente con la mina </w:t>
      </w:r>
      <w:r w:rsidR="0001651E" w:rsidRPr="00BB0D9C">
        <w:t xml:space="preserve">de </w:t>
      </w:r>
      <w:r w:rsidR="008F785B" w:rsidRPr="00BB0D9C">
        <w:t>MINOSA</w:t>
      </w:r>
      <w:r w:rsidR="001C65FE" w:rsidRPr="00BB0D9C">
        <w:t xml:space="preserve">, </w:t>
      </w:r>
      <w:r w:rsidR="008F785B" w:rsidRPr="00BB0D9C">
        <w:t xml:space="preserve">lo que subraya la importancia que el grupo de </w:t>
      </w:r>
      <w:proofErr w:type="spellStart"/>
      <w:r w:rsidR="008F785B" w:rsidRPr="00BB0D9C">
        <w:t>multipartícipes</w:t>
      </w:r>
      <w:proofErr w:type="spellEnd"/>
      <w:r w:rsidR="008F785B" w:rsidRPr="00BB0D9C">
        <w:t xml:space="preserve"> tiene en el abordaje de cuestiones cruciales para el grupo</w:t>
      </w:r>
      <w:r w:rsidR="001C65FE" w:rsidRPr="00BB0D9C">
        <w:t>.</w:t>
      </w:r>
    </w:p>
    <w:bookmarkEnd w:id="20"/>
    <w:p w14:paraId="6CED08F8" w14:textId="77777777" w:rsidR="00EE5F75" w:rsidRPr="00BB0D9C" w:rsidRDefault="009249B0" w:rsidP="00EE5F75">
      <w:pPr>
        <w:rPr>
          <w:rFonts w:cstheme="majorHAnsi"/>
          <w:szCs w:val="22"/>
        </w:rPr>
      </w:pPr>
      <w:r w:rsidRPr="00BB0D9C">
        <w:t xml:space="preserve">Con respecto a la </w:t>
      </w:r>
      <w:r w:rsidRPr="00BB0D9C">
        <w:rPr>
          <w:szCs w:val="22"/>
        </w:rPr>
        <w:t>participación en actividades relativas al EITI</w:t>
      </w:r>
      <w:r w:rsidRPr="00BB0D9C">
        <w:t>, existen elementos que muestran que las partes interesadas de la industria han participado en varios foros</w:t>
      </w:r>
      <w:r w:rsidR="008F785B" w:rsidRPr="00BB0D9C">
        <w:t xml:space="preserve"> referidos a la transparencia y los derechos humanos en el sector extractivo</w:t>
      </w:r>
      <w:r w:rsidR="008F785B" w:rsidRPr="00BB0D9C">
        <w:rPr>
          <w:vertAlign w:val="superscript"/>
        </w:rPr>
        <w:footnoteReference w:id="42"/>
      </w:r>
      <w:r w:rsidRPr="00BB0D9C">
        <w:t xml:space="preserve">, </w:t>
      </w:r>
      <w:r w:rsidR="008F785B" w:rsidRPr="00BB0D9C">
        <w:t xml:space="preserve">así como en eventos públicos organizados para </w:t>
      </w:r>
      <w:r w:rsidR="008F3344" w:rsidRPr="00BB0D9C">
        <w:t>difundi</w:t>
      </w:r>
      <w:r w:rsidR="008F785B" w:rsidRPr="00BB0D9C">
        <w:t xml:space="preserve">r y analizar </w:t>
      </w:r>
      <w:r w:rsidR="008F3344" w:rsidRPr="00BB0D9C">
        <w:t>los</w:t>
      </w:r>
      <w:r w:rsidR="008F785B" w:rsidRPr="00BB0D9C">
        <w:t xml:space="preserve"> </w:t>
      </w:r>
      <w:r w:rsidRPr="00BB0D9C">
        <w:t>Informes EITI</w:t>
      </w:r>
      <w:r w:rsidR="008F785B" w:rsidRPr="00BB0D9C">
        <w:t xml:space="preserve"> y debatir la transparencia en el sector extractivo de Honduras</w:t>
      </w:r>
      <w:r w:rsidR="008F785B" w:rsidRPr="00BB0D9C">
        <w:rPr>
          <w:vertAlign w:val="superscript"/>
        </w:rPr>
        <w:footnoteReference w:id="43"/>
      </w:r>
      <w:r w:rsidRPr="00BB0D9C">
        <w:t>.</w:t>
      </w:r>
    </w:p>
    <w:p w14:paraId="5C7E0735" w14:textId="77777777" w:rsidR="00EE5F75" w:rsidRPr="00BB0D9C" w:rsidRDefault="00EE5F75" w:rsidP="00EE5F75">
      <w:pPr>
        <w:pStyle w:val="Heading3"/>
      </w:pPr>
      <w:r w:rsidRPr="00BB0D9C">
        <w:t>Evaluación del Secretariado</w:t>
      </w:r>
    </w:p>
    <w:p w14:paraId="69E7527E" w14:textId="77777777" w:rsidR="00F823A8" w:rsidRPr="00BB0D9C" w:rsidRDefault="00F823A8" w:rsidP="00832843">
      <w:pPr>
        <w:spacing w:before="100" w:beforeAutospacing="1" w:after="100" w:afterAutospacing="1"/>
      </w:pPr>
      <w:r w:rsidRPr="00BB0D9C">
        <w:rPr>
          <w:szCs w:val="22"/>
          <w:u w:val="single"/>
        </w:rPr>
        <w:t>Al comienzo de l</w:t>
      </w:r>
      <w:r w:rsidR="007F1924" w:rsidRPr="00BB0D9C">
        <w:rPr>
          <w:szCs w:val="22"/>
          <w:u w:val="single"/>
        </w:rPr>
        <w:t xml:space="preserve">a </w:t>
      </w:r>
      <w:r w:rsidRPr="00BB0D9C">
        <w:rPr>
          <w:szCs w:val="22"/>
          <w:u w:val="single"/>
        </w:rPr>
        <w:t>segunda validación, la evaluación d</w:t>
      </w:r>
      <w:r w:rsidR="007F1924" w:rsidRPr="00BB0D9C">
        <w:rPr>
          <w:szCs w:val="22"/>
          <w:u w:val="single"/>
        </w:rPr>
        <w:t>el Secretariado Internacional es que Honduras ha</w:t>
      </w:r>
      <w:r w:rsidRPr="00BB0D9C">
        <w:rPr>
          <w:szCs w:val="22"/>
          <w:u w:val="single"/>
        </w:rPr>
        <w:t>bía</w:t>
      </w:r>
      <w:r w:rsidR="007F1924" w:rsidRPr="00BB0D9C">
        <w:rPr>
          <w:szCs w:val="22"/>
          <w:u w:val="single"/>
        </w:rPr>
        <w:t xml:space="preserve"> abordado </w:t>
      </w:r>
      <w:r w:rsidRPr="00BB0D9C">
        <w:rPr>
          <w:szCs w:val="22"/>
          <w:u w:val="single"/>
        </w:rPr>
        <w:t xml:space="preserve">solo </w:t>
      </w:r>
      <w:r w:rsidR="007F1924" w:rsidRPr="00BB0D9C">
        <w:rPr>
          <w:szCs w:val="22"/>
          <w:u w:val="single"/>
        </w:rPr>
        <w:t>parcialmente la medida correctiva y ha</w:t>
      </w:r>
      <w:r w:rsidRPr="00BB0D9C">
        <w:rPr>
          <w:szCs w:val="22"/>
          <w:u w:val="single"/>
        </w:rPr>
        <w:t>bía</w:t>
      </w:r>
      <w:r w:rsidR="007F1924" w:rsidRPr="00BB0D9C">
        <w:rPr>
          <w:szCs w:val="22"/>
          <w:u w:val="single"/>
        </w:rPr>
        <w:t xml:space="preserve"> logrado un progreso significativo </w:t>
      </w:r>
      <w:r w:rsidRPr="00BB0D9C">
        <w:rPr>
          <w:szCs w:val="22"/>
          <w:u w:val="single"/>
        </w:rPr>
        <w:t xml:space="preserve">sin mejoras </w:t>
      </w:r>
      <w:r w:rsidR="007F1924" w:rsidRPr="00BB0D9C">
        <w:rPr>
          <w:szCs w:val="22"/>
          <w:u w:val="single"/>
        </w:rPr>
        <w:t xml:space="preserve">en cuanto al cumplimiento del </w:t>
      </w:r>
      <w:r w:rsidRPr="00BB0D9C">
        <w:rPr>
          <w:szCs w:val="22"/>
          <w:u w:val="single"/>
        </w:rPr>
        <w:t>r</w:t>
      </w:r>
      <w:r w:rsidR="007F1924" w:rsidRPr="00BB0D9C">
        <w:rPr>
          <w:szCs w:val="22"/>
          <w:u w:val="single"/>
        </w:rPr>
        <w:t>equisito 1.2.</w:t>
      </w:r>
      <w:r w:rsidR="007F1924" w:rsidRPr="00BB0D9C">
        <w:t xml:space="preserve"> </w:t>
      </w:r>
      <w:r w:rsidRPr="00BB0D9C">
        <w:t xml:space="preserve">Sujeto a la consideración del Consejo de nueva información publicada después del comienzo de la segunda validación, la evaluación del Secretariado Internacional es que Honduras ha hecho un progreso significativo con mejoras considerables para cumplir con el requisito 1.2. </w:t>
      </w:r>
    </w:p>
    <w:p w14:paraId="6A54AE99" w14:textId="77777777" w:rsidR="007A7050" w:rsidRPr="00BB0D9C" w:rsidRDefault="007F1924" w:rsidP="00832843">
      <w:pPr>
        <w:spacing w:before="100" w:beforeAutospacing="1" w:after="100" w:afterAutospacing="1"/>
      </w:pPr>
      <w:r w:rsidRPr="00BB0D9C">
        <w:t xml:space="preserve">La participación de las empresas en la implementación del EITI ha sido activa y colaborativa. </w:t>
      </w:r>
      <w:r w:rsidR="007A7050" w:rsidRPr="00BB0D9C">
        <w:t>Han</w:t>
      </w:r>
      <w:r w:rsidRPr="00BB0D9C">
        <w:t xml:space="preserve"> cumpl</w:t>
      </w:r>
      <w:r w:rsidR="007A7050" w:rsidRPr="00BB0D9C">
        <w:t>ido con</w:t>
      </w:r>
      <w:r w:rsidRPr="00BB0D9C">
        <w:t xml:space="preserve"> los requisitos de </w:t>
      </w:r>
      <w:r w:rsidR="007A7050" w:rsidRPr="00BB0D9C">
        <w:t xml:space="preserve">información, han participado en los eventos y debates organizados por el secretariado nacional del EITI y han </w:t>
      </w:r>
      <w:r w:rsidRPr="00BB0D9C">
        <w:t>participa</w:t>
      </w:r>
      <w:r w:rsidR="007A7050" w:rsidRPr="00BB0D9C">
        <w:t xml:space="preserve">do en otros foros. La participación de las </w:t>
      </w:r>
      <w:r w:rsidR="00B61C08" w:rsidRPr="00BB0D9C">
        <w:t>empresa</w:t>
      </w:r>
      <w:r w:rsidR="007A7050" w:rsidRPr="00BB0D9C">
        <w:t xml:space="preserve">s en el grupo de </w:t>
      </w:r>
      <w:proofErr w:type="spellStart"/>
      <w:r w:rsidR="007A7050" w:rsidRPr="00BB0D9C">
        <w:t>multipartícipes</w:t>
      </w:r>
      <w:proofErr w:type="spellEnd"/>
      <w:r w:rsidR="007A7050" w:rsidRPr="00BB0D9C">
        <w:t xml:space="preserve"> ha dado lugar a la participación del grupo en sentido más amplio, así como a la incorporación de nuevas </w:t>
      </w:r>
      <w:r w:rsidR="00B61C08" w:rsidRPr="00BB0D9C">
        <w:t>empresa</w:t>
      </w:r>
      <w:r w:rsidR="007A7050" w:rsidRPr="00BB0D9C">
        <w:t xml:space="preserve">s en el Informe EITI de 2017-2018. Sin embargo, todavía no hay pruebas suficientes que demuestren que el grupo de la industria participe de manera plena en el proceso EITI, especialmente en impulsar el proceso para garantizar la implementación efectiva. </w:t>
      </w:r>
    </w:p>
    <w:p w14:paraId="4DBB02F7" w14:textId="77777777" w:rsidR="007A7050" w:rsidRPr="00BB0D9C" w:rsidRDefault="007A7050" w:rsidP="00832843">
      <w:pPr>
        <w:spacing w:before="100" w:beforeAutospacing="1" w:after="100" w:afterAutospacing="1"/>
      </w:pPr>
      <w:r w:rsidRPr="00BB0D9C">
        <w:t xml:space="preserve">De acuerdo con el requisito 1.2, la industria debe demostrar que participa de manera plena, activa y efectiva en el proceso EITI. El grupo de la industria debe revisar su participación en el EITI, considerar </w:t>
      </w:r>
      <w:r w:rsidR="0082553F" w:rsidRPr="00BB0D9C">
        <w:t xml:space="preserve">oportunidades para trabajar más estrechamente con el grupo de </w:t>
      </w:r>
      <w:proofErr w:type="spellStart"/>
      <w:r w:rsidR="0082553F" w:rsidRPr="00BB0D9C">
        <w:t>multipartícipes</w:t>
      </w:r>
      <w:proofErr w:type="spellEnd"/>
      <w:r w:rsidR="0082553F" w:rsidRPr="00BB0D9C">
        <w:t xml:space="preserve"> para garantizar que el </w:t>
      </w:r>
      <w:r w:rsidRPr="00BB0D9C">
        <w:t xml:space="preserve">EITI Honduras </w:t>
      </w:r>
      <w:r w:rsidR="0082553F" w:rsidRPr="00BB0D9C">
        <w:t>debata, aborde y comunique de manera más efectiva no solo las divulgaciones que exige el Estándar sino, además, otras cuestiones de interés para el grupo de la industria. Para fortalecer la</w:t>
      </w:r>
      <w:r w:rsidR="00827CAC" w:rsidRPr="00BB0D9C">
        <w:t xml:space="preserve"> </w:t>
      </w:r>
      <w:r w:rsidR="0082553F" w:rsidRPr="00BB0D9C">
        <w:t xml:space="preserve">implementación, se recomienda al grupo de la industria del grupo de </w:t>
      </w:r>
      <w:proofErr w:type="spellStart"/>
      <w:r w:rsidR="0082553F" w:rsidRPr="00BB0D9C">
        <w:t>multipartícipes</w:t>
      </w:r>
      <w:proofErr w:type="spellEnd"/>
      <w:r w:rsidR="0082553F" w:rsidRPr="00BB0D9C">
        <w:t xml:space="preserve"> de </w:t>
      </w:r>
      <w:r w:rsidRPr="00BB0D9C">
        <w:t>Honduras</w:t>
      </w:r>
      <w:r w:rsidR="0082553F" w:rsidRPr="00BB0D9C">
        <w:t xml:space="preserve"> que revitalice su participación en el proceso EITI y se convierta en uno de sus impulsores</w:t>
      </w:r>
      <w:r w:rsidRPr="00BB0D9C">
        <w:t xml:space="preserve">. </w:t>
      </w:r>
      <w:r w:rsidR="0082553F" w:rsidRPr="00BB0D9C">
        <w:t xml:space="preserve">Se recomienda que las </w:t>
      </w:r>
      <w:r w:rsidR="00B61C08" w:rsidRPr="00BB0D9C">
        <w:t>empresa</w:t>
      </w:r>
      <w:r w:rsidR="0082553F" w:rsidRPr="00BB0D9C">
        <w:t xml:space="preserve">s trabajen más estrechamente y, de ser posible, directamente, con el grupo de </w:t>
      </w:r>
      <w:proofErr w:type="spellStart"/>
      <w:r w:rsidR="0082553F" w:rsidRPr="00BB0D9C">
        <w:t>multipartícipes</w:t>
      </w:r>
      <w:proofErr w:type="spellEnd"/>
      <w:r w:rsidR="0082553F" w:rsidRPr="00BB0D9C">
        <w:t xml:space="preserve">, abordando (no solo informando) las solicitudes o participando en los ejercicios de difusión, así como tomando la delantera en otros aspectos de la implementación del </w:t>
      </w:r>
      <w:r w:rsidRPr="00BB0D9C">
        <w:t>EITI</w:t>
      </w:r>
      <w:r w:rsidR="0082553F" w:rsidRPr="00BB0D9C">
        <w:t>, como el diseño de planes de trabajo y la revisión de resultados e impactos</w:t>
      </w:r>
      <w:r w:rsidRPr="00BB0D9C">
        <w:t xml:space="preserve">. </w:t>
      </w:r>
      <w:r w:rsidR="0082553F" w:rsidRPr="00BB0D9C">
        <w:t xml:space="preserve">Se recomienda al grupo de la industria que destaque su participación en los </w:t>
      </w:r>
      <w:r w:rsidRPr="00BB0D9C">
        <w:t>debates</w:t>
      </w:r>
      <w:r w:rsidR="0082553F" w:rsidRPr="00BB0D9C">
        <w:t xml:space="preserve"> del grupo de </w:t>
      </w:r>
      <w:proofErr w:type="spellStart"/>
      <w:r w:rsidR="0082553F" w:rsidRPr="00BB0D9C">
        <w:t>multipartícipes</w:t>
      </w:r>
      <w:proofErr w:type="spellEnd"/>
      <w:r w:rsidR="0082553F" w:rsidRPr="00BB0D9C">
        <w:t>, ya sea tomando parte en ellos de forma directa o bosquejando pautas claras para los representantes de sus cámaras destinadas a enriquecer los debates</w:t>
      </w:r>
      <w:r w:rsidRPr="00BB0D9C">
        <w:t>.</w:t>
      </w:r>
    </w:p>
    <w:p w14:paraId="1A6DA057" w14:textId="77777777" w:rsidR="00EE5F75" w:rsidRPr="00BB0D9C" w:rsidRDefault="00EE5F75" w:rsidP="00685413">
      <w:pPr>
        <w:pStyle w:val="Heading2"/>
        <w:numPr>
          <w:ilvl w:val="1"/>
          <w:numId w:val="43"/>
        </w:numPr>
      </w:pPr>
      <w:bookmarkStart w:id="22" w:name="_Toc45021596"/>
      <w:r w:rsidRPr="00BB0D9C">
        <w:t>Medida correctiva 3: Participación de la sociedad civil (</w:t>
      </w:r>
      <w:proofErr w:type="spellStart"/>
      <w:r w:rsidR="0082553F" w:rsidRPr="00BB0D9C">
        <w:t>n.°</w:t>
      </w:r>
      <w:proofErr w:type="spellEnd"/>
      <w:r w:rsidR="0082553F" w:rsidRPr="00BB0D9C">
        <w:t> </w:t>
      </w:r>
      <w:r w:rsidRPr="00BB0D9C">
        <w:t>1.3)</w:t>
      </w:r>
      <w:bookmarkEnd w:id="22"/>
    </w:p>
    <w:p w14:paraId="7AACDE94" w14:textId="77777777" w:rsidR="00EE5F75" w:rsidRPr="00BB0D9C" w:rsidRDefault="0029569B" w:rsidP="00EE5F75">
      <w:pPr>
        <w:shd w:val="clear" w:color="auto" w:fill="D9D9D9" w:themeFill="background1" w:themeFillShade="D9"/>
      </w:pPr>
      <w:r w:rsidRPr="00BB0D9C">
        <w:t xml:space="preserve">Conforme al Requisito 1.3, la sociedad civil debería demostrar que participa de manera plena, activa y efectiva en el proceso EITI. El grupo de la sociedad civil debería revisar su participación en el EITI, clarificar los objetivos de la participación en el EITI, y estudiar opciones para asegurarse de contar con una adecuada capacidad técnica y financiera para participar plenamente en el proceso. Tal evaluación podría influir y reflejarse en el plan de trabajo revisado del GMP. Las organizaciones de la sociedad civil también podrían considerar la posibilidad de revitalizar su participación en el GMP, por ejemplo, renovando a sus representantes. Conforme al requisito 8.3 (c) (i), se solicita a la sociedad civil que desarrolle y divulgue un plan de acción destinado a abordar las deficiencias en su participación que se documentaron en la evaluación inicial y el informe del validador en un plazo de tres meses a partir de la decisión del Consejo, es decir, para el </w:t>
      </w:r>
      <w:r w:rsidRPr="00BB0D9C">
        <w:rPr>
          <w:b/>
          <w:bCs/>
        </w:rPr>
        <w:t>25 de enero de 2018</w:t>
      </w:r>
      <w:r w:rsidRPr="00BB0D9C">
        <w:t>.</w:t>
      </w:r>
    </w:p>
    <w:p w14:paraId="54E3BDB7" w14:textId="77777777" w:rsidR="00EE5F75" w:rsidRPr="00BB0D9C" w:rsidRDefault="00EE5F75" w:rsidP="00EE5F75">
      <w:pPr>
        <w:pStyle w:val="Heading3"/>
      </w:pPr>
      <w:r w:rsidRPr="00BB0D9C">
        <w:t xml:space="preserve">Conclusiones de la primera </w:t>
      </w:r>
      <w:r w:rsidR="0082553F" w:rsidRPr="00BB0D9C">
        <w:t>v</w:t>
      </w:r>
      <w:r w:rsidRPr="00BB0D9C">
        <w:t>alidación</w:t>
      </w:r>
    </w:p>
    <w:p w14:paraId="3FF1E953" w14:textId="77777777" w:rsidR="00D72079" w:rsidRPr="00BB0D9C" w:rsidRDefault="00D72079" w:rsidP="00D72079">
      <w:pPr>
        <w:spacing w:after="120"/>
        <w:rPr>
          <w:szCs w:val="22"/>
        </w:rPr>
      </w:pPr>
      <w:r w:rsidRPr="00BB0D9C">
        <w:t xml:space="preserve">En la primera </w:t>
      </w:r>
      <w:r w:rsidR="0082553F" w:rsidRPr="00BB0D9C">
        <w:t>v</w:t>
      </w:r>
      <w:r w:rsidRPr="00BB0D9C">
        <w:t xml:space="preserve">alidación se llegó a la conclusión de que Honduras había logrado un progreso significativo en el cumplimiento de este requisito. Se señaló que las organizaciones de la sociedad civil habían participado activamente en el proceso EITI, especialmente en los primeros años de la implementación del EITI. No obstante, también se observó que el involucramiento de las organizaciones de la sociedad civil más allá de la participación en el GMP había fluctuado en función de la disponibilidad de fondos. El financiamiento había sido más limitado y superficial en el 2016, último año previo a la primera Validación, circunstancia que parecería explicar la decaída participación de las organizaciones de la sociedad civil. </w:t>
      </w:r>
    </w:p>
    <w:p w14:paraId="3E90F8CF" w14:textId="77777777" w:rsidR="00D72079" w:rsidRPr="00BB0D9C" w:rsidRDefault="00D72079" w:rsidP="00D72079">
      <w:pPr>
        <w:spacing w:after="120"/>
        <w:rPr>
          <w:szCs w:val="22"/>
        </w:rPr>
      </w:pPr>
      <w:r w:rsidRPr="00BB0D9C">
        <w:t>Durante la primera validación, los representantes de las organizaciones de la sociedad civil volvieron a confirmar que su participación había pasado de ser muy activa y satisfactoria, a ser más pasiva y superficial. Si bien se habían involucrado activamente en los primeros años de la implementación del EITI, participando en el diseño de las estructuras de gobernanza, la configuración del alcance y las plantillas de la presentación de información, y las actividades de capacitación y desarrollo de capacidades, en los años siguientes su participación había sido más mecánica y superficial. Ninguna de las organizaciones consultadas asoció esta disminución en su participación al proceso EITI en sí mismo, ni a ningún obstáculo que pudiera haber menoscabado o limitado su participación.</w:t>
      </w:r>
    </w:p>
    <w:p w14:paraId="5AA5E701" w14:textId="77777777" w:rsidR="00D72079" w:rsidRPr="00BB0D9C" w:rsidRDefault="00C575F1" w:rsidP="00D72079">
      <w:pPr>
        <w:spacing w:after="120"/>
        <w:rPr>
          <w:szCs w:val="22"/>
        </w:rPr>
      </w:pPr>
      <w:r w:rsidRPr="00BB0D9C">
        <w:t xml:space="preserve">Sin embargo, las organizaciones de la sociedad civil reconocieron los enormes riesgos en términos de seguridad que enfrentan las organizaciones o activistas que trabajan en zonas donde </w:t>
      </w:r>
      <w:r w:rsidR="0069387B" w:rsidRPr="00BB0D9C">
        <w:t>el imperio del</w:t>
      </w:r>
      <w:r w:rsidR="005A7354" w:rsidRPr="00BB0D9C">
        <w:t xml:space="preserve"> estado</w:t>
      </w:r>
      <w:r w:rsidRPr="00BB0D9C">
        <w:t xml:space="preserve"> de derecho</w:t>
      </w:r>
      <w:r w:rsidR="0069387B" w:rsidRPr="00BB0D9C">
        <w:t xml:space="preserve"> es débil</w:t>
      </w:r>
      <w:r w:rsidRPr="00BB0D9C">
        <w:t xml:space="preserve">, pero no consideraron que esos riesgos hubiesen incidido en su labor relativa al EITI. </w:t>
      </w:r>
    </w:p>
    <w:p w14:paraId="299BE7FB" w14:textId="77777777" w:rsidR="00390775" w:rsidRPr="00BB0D9C" w:rsidRDefault="00EE5F75" w:rsidP="00EE5F75">
      <w:pPr>
        <w:pStyle w:val="Heading3"/>
      </w:pPr>
      <w:r w:rsidRPr="00BB0D9C">
        <w:t xml:space="preserve">Progreso desde la </w:t>
      </w:r>
      <w:r w:rsidR="0082553F" w:rsidRPr="00BB0D9C">
        <w:t>primera v</w:t>
      </w:r>
      <w:r w:rsidRPr="00BB0D9C">
        <w:t>alidación</w:t>
      </w:r>
    </w:p>
    <w:p w14:paraId="5D1F611F" w14:textId="77777777" w:rsidR="000051F5" w:rsidRPr="00BB0D9C" w:rsidRDefault="000339EA" w:rsidP="0071462E">
      <w:pPr>
        <w:pStyle w:val="Heading3"/>
      </w:pPr>
      <w:r w:rsidRPr="00BB0D9C">
        <w:rPr>
          <w:b w:val="0"/>
          <w:bCs w:val="0"/>
          <w:color w:val="auto"/>
          <w:sz w:val="22"/>
        </w:rPr>
        <w:t xml:space="preserve">En estos últimos años, distintas organizaciones de la sociedad civil </w:t>
      </w:r>
      <w:r w:rsidR="0082553F" w:rsidRPr="00BB0D9C">
        <w:rPr>
          <w:b w:val="0"/>
          <w:bCs w:val="0"/>
          <w:color w:val="auto"/>
          <w:sz w:val="22"/>
        </w:rPr>
        <w:t xml:space="preserve">internacionales </w:t>
      </w:r>
      <w:r w:rsidRPr="00BB0D9C">
        <w:rPr>
          <w:b w:val="0"/>
          <w:bCs w:val="0"/>
          <w:color w:val="auto"/>
          <w:sz w:val="22"/>
        </w:rPr>
        <w:t xml:space="preserve">han planteado inquietudes en torno al espacio cívico y los derechos civiles en general en Honduras. </w:t>
      </w:r>
    </w:p>
    <w:p w14:paraId="17DDD368" w14:textId="77777777" w:rsidR="00894EA6" w:rsidRPr="00BB0D9C" w:rsidRDefault="00894EA6" w:rsidP="000051F5">
      <w:r w:rsidRPr="00BB0D9C">
        <w:rPr>
          <w:i/>
          <w:szCs w:val="22"/>
          <w:u w:val="single"/>
        </w:rPr>
        <w:t>Expresión</w:t>
      </w:r>
      <w:r w:rsidRPr="00BB0D9C">
        <w:rPr>
          <w:i/>
          <w:szCs w:val="22"/>
        </w:rPr>
        <w:t xml:space="preserve">: </w:t>
      </w:r>
      <w:r w:rsidR="00164308" w:rsidRPr="00BB0D9C">
        <w:rPr>
          <w:i/>
          <w:szCs w:val="22"/>
        </w:rPr>
        <w:t>l</w:t>
      </w:r>
      <w:r w:rsidRPr="00BB0D9C">
        <w:rPr>
          <w:i/>
          <w:szCs w:val="22"/>
        </w:rPr>
        <w:t xml:space="preserve">os artículos 72, 73 y 74 de la Constitución garantizan la libertad de expresión y la prensa. </w:t>
      </w:r>
      <w:r w:rsidRPr="00BB0D9C">
        <w:t>El Secretariado Internacional no ha encontrado elementos que sugieran la existencia de obstáculos a la libertad de expresión en Honduras. Sin embargo, el Secretariado Internacional tampoco ha hallado muestras de que las organizaciones de la sociedad civil en Honduras estén ejerciendo esta libertad de expresión de manera plena, activa y efectiva en relación con el proceso EITI, más allá de participar en eventos de difusión relacionados con los informes EITI.</w:t>
      </w:r>
    </w:p>
    <w:p w14:paraId="3403FAE6" w14:textId="77777777" w:rsidR="00C76F20" w:rsidRPr="00BB0D9C" w:rsidRDefault="00C76F20" w:rsidP="000051F5">
      <w:pPr>
        <w:rPr>
          <w:bCs/>
        </w:rPr>
      </w:pPr>
      <w:r w:rsidRPr="00BB0D9C">
        <w:t xml:space="preserve">En febrero de 2019, Oxfam, junto con otras organizaciones de la sociedad civil (agrupadas en la CONROA - Coalición Nacional de Redes y Organizaciones Ambientales de Honduras) expresó su preocupación con respecto al espacio cívico y el EITI en Honduras (“Comunicado EITI - CONROA”). En este comunicado, explicaron que “tal como se indicó en la primera Validación, el </w:t>
      </w:r>
      <w:r w:rsidR="004E2C92" w:rsidRPr="00BB0D9C">
        <w:t>asunto</w:t>
      </w:r>
      <w:r w:rsidRPr="00BB0D9C">
        <w:t xml:space="preserve"> de las organizaciones activistas en zonas de inversión minera es una de las principales causas de conflicto social en el país”</w:t>
      </w:r>
      <w:r w:rsidR="0082553F" w:rsidRPr="00BB0D9C">
        <w:t xml:space="preserve"> (véase el Anexo B).</w:t>
      </w:r>
      <w:r w:rsidRPr="00BB0D9C">
        <w:t xml:space="preserve"> Sus inquietudes </w:t>
      </w:r>
      <w:r w:rsidR="00EA2926" w:rsidRPr="00BB0D9C">
        <w:t>estaban centradas</w:t>
      </w:r>
      <w:r w:rsidRPr="00BB0D9C">
        <w:t xml:space="preserve"> en un comunicado de prensa del GMP de diciembre de 2018 (véase el Anexo </w:t>
      </w:r>
      <w:r w:rsidR="00C56B68" w:rsidRPr="00BB0D9C">
        <w:t>A</w:t>
      </w:r>
      <w:r w:rsidRPr="00BB0D9C">
        <w:t xml:space="preserve">), que manifestaba el apoyo del GMP a las actividades extractivas y expresaba preocupación por las protestas en curso de organizaciones de la sociedad civil que estaban bloqueando caminos y/o impidiendo operaciones mineras. Este documento, publicado sin el consentimiento explícito de todos los miembros del GMP, provocó el inmediato rechazo de la CONROA, que emitió una respuesta formal el 17 de diciembre de 2018 (véase el Anexo </w:t>
      </w:r>
      <w:r w:rsidR="00C56B68" w:rsidRPr="00BB0D9C">
        <w:t>B</w:t>
      </w:r>
      <w:r w:rsidRPr="00BB0D9C">
        <w:t>) en donde aseguraba que el EITI no estaba alentando a las empresas a respetar los derechos del pueblo hondureño. En su declaración, la CONROA sostiene que EITI Honduras “se encuentra a cargo del tristemente célebre Carlos López Contreras”, cuestionando, así, la “integridad” del Secretariado Nacional del EITI</w:t>
      </w:r>
      <w:r w:rsidR="00C56B68" w:rsidRPr="00BB0D9C">
        <w:t>; también cuestionaba</w:t>
      </w:r>
      <w:r w:rsidRPr="00BB0D9C">
        <w:t xml:space="preserve"> las decisiones del Consejo Nacional del EITI “debido a que las palabras vertidas en su comunicado promueven el odio, llaman a la persecución, criminalización y probablemente hasta al asesinato de personas y organizaciones sociales a quienes afecta la actividad extractiva, entre ellas la minería metálica”. La CONROA también lamentó que EITI Honduras “no llame a las empresas extractivas a respetar los derechos fundamentales de la población hondureña, como lo es el derecho a la información pública que ha sido violentado mediante el Decreto Ministerial 1402-2018 de fecha 8 de agosto de 2018, que </w:t>
      </w:r>
      <w:proofErr w:type="gramStart"/>
      <w:r w:rsidRPr="00BB0D9C">
        <w:t>declara como</w:t>
      </w:r>
      <w:proofErr w:type="gramEnd"/>
      <w:r w:rsidRPr="00BB0D9C">
        <w:t xml:space="preserve"> información reservada lo relativo a los estudios de licencias ambientales, así como la ubicación de los proyectos mismos”. En conclusión, las principales preocupaciones resaltadas por la CONROA y replicadas por OXFAM en relación con el comunicado del EITI se centraban en el hecho de que el documento se publicó sin el aval de los miembros del GMP pertenecientes a las organizaciones de la sociedad civil, así como en las palabras empleadas en el comunicado, que fueron consideradas provocadoras. </w:t>
      </w:r>
    </w:p>
    <w:p w14:paraId="17BD1349" w14:textId="77777777" w:rsidR="0024347F" w:rsidRPr="00BB0D9C" w:rsidRDefault="0071462E" w:rsidP="0071462E">
      <w:pPr>
        <w:rPr>
          <w:bCs/>
        </w:rPr>
      </w:pPr>
      <w:r w:rsidRPr="00BB0D9C">
        <w:rPr>
          <w:i/>
          <w:u w:val="single"/>
        </w:rPr>
        <w:t>Operatividad</w:t>
      </w:r>
      <w:r w:rsidRPr="00BB0D9C">
        <w:rPr>
          <w:i/>
        </w:rPr>
        <w:t>:</w:t>
      </w:r>
      <w:r w:rsidR="00C56B68" w:rsidRPr="00BB0D9C">
        <w:rPr>
          <w:i/>
        </w:rPr>
        <w:t xml:space="preserve"> </w:t>
      </w:r>
      <w:r w:rsidR="000E7391" w:rsidRPr="00BB0D9C">
        <w:t>e</w:t>
      </w:r>
      <w:r w:rsidRPr="00BB0D9C">
        <w:t xml:space="preserve">l marco legal y operativo resulta conducente a la participación de la sociedad civil en el EITI y el debate público en sentido amplio en Honduras. No obstante, el país enfrenta importantes riesgos en cuanto al elevado nivel de criminalidad y violencia que ha prevalecido en la nación por años, y que se ha traducido en inquietudes en torno a la limitación de las libertades civiles. </w:t>
      </w:r>
    </w:p>
    <w:p w14:paraId="4B99A72B" w14:textId="77777777" w:rsidR="0071462E" w:rsidRPr="00BB0D9C" w:rsidRDefault="0071462E" w:rsidP="0071462E">
      <w:pPr>
        <w:rPr>
          <w:bCs/>
        </w:rPr>
      </w:pPr>
      <w:r w:rsidRPr="00BB0D9C">
        <w:t xml:space="preserve">Durante 2018, las Naciones Unidas visitaron Honduras para evaluar la situación de los defensores de los derechos humanos y para examinar los esfuerzos, avances y desafíos del gobierno en cuanto a garantizar su protección y propiciar su rol. El Relator Especial de la ONU sobre los Derechos Humanos, Michael Forst, publicó un Informe Especial de la ONU (A/HRC/40/60/Add.2), en donde recomienda implementar un marco regulatorio adecuado que promueva la transparencia y exige puntualmente que “se paralice la aprobación del Acuerdo Ministerial Núm. 1402-2018” (p. 19). </w:t>
      </w:r>
      <w:r w:rsidR="00C56B68" w:rsidRPr="00BB0D9C">
        <w:t>Los obstáculos para que la información ambiental estuviera públicamente disponible se levantaron en 2019.</w:t>
      </w:r>
    </w:p>
    <w:p w14:paraId="60AEF9AE" w14:textId="77777777" w:rsidR="00DB1898" w:rsidRPr="00BB0D9C" w:rsidRDefault="0071462E" w:rsidP="000051F5">
      <w:r w:rsidRPr="00BB0D9C">
        <w:rPr>
          <w:i/>
          <w:u w:val="single"/>
        </w:rPr>
        <w:t>Asociación</w:t>
      </w:r>
      <w:r w:rsidRPr="00BB0D9C">
        <w:rPr>
          <w:i/>
        </w:rPr>
        <w:t xml:space="preserve">: </w:t>
      </w:r>
      <w:r w:rsidR="00642B1C" w:rsidRPr="00BB0D9C">
        <w:t>n</w:t>
      </w:r>
      <w:r w:rsidRPr="00BB0D9C">
        <w:t>o hay elementos que sugieran la existencia de obstáculos a la libertad de asociación en Honduras. El país posee un marco legal propicio para la participación de las organizaciones de la sociedad civil en el EITI; la libertad de asociación se encuentra consagrada en los artículos 78 y 79 de la Constitución de Honduras</w:t>
      </w:r>
      <w:r w:rsidR="00DC09AA" w:rsidRPr="00BB0D9C">
        <w:rPr>
          <w:rStyle w:val="FootnoteReference"/>
        </w:rPr>
        <w:footnoteReference w:id="44"/>
      </w:r>
      <w:r w:rsidR="000D56B9" w:rsidRPr="00BB0D9C">
        <w:t>.</w:t>
      </w:r>
      <w:r w:rsidRPr="00BB0D9C">
        <w:t xml:space="preserve"> El país cuenta con una ley especial que regula las organizaciones no gubernamentales de desarrollo (Decreto </w:t>
      </w:r>
      <w:proofErr w:type="spellStart"/>
      <w:r w:rsidR="00C56B68" w:rsidRPr="00BB0D9C">
        <w:t>n.°</w:t>
      </w:r>
      <w:proofErr w:type="spellEnd"/>
      <w:r w:rsidR="00C56B68" w:rsidRPr="00BB0D9C">
        <w:t> </w:t>
      </w:r>
      <w:r w:rsidRPr="00BB0D9C">
        <w:t>32-201124)</w:t>
      </w:r>
      <w:r w:rsidR="003861AF" w:rsidRPr="00BB0D9C">
        <w:rPr>
          <w:rStyle w:val="FootnoteReference"/>
        </w:rPr>
        <w:footnoteReference w:id="45"/>
      </w:r>
      <w:r w:rsidRPr="00BB0D9C">
        <w:t xml:space="preserve">, que permite que la sociedad civil internacional </w:t>
      </w:r>
      <w:r w:rsidR="000D56B9" w:rsidRPr="00BB0D9C">
        <w:t>actúe</w:t>
      </w:r>
      <w:r w:rsidRPr="00BB0D9C">
        <w:t xml:space="preserve"> de manera independiente y asociándose con ONG locales u otras entidades públicas y privadas. El artículo 8 de la Ley de Organizaciones No Gubernamentales prevé que las ONG internacionales podrían establecer una oficina nacional de representación, y el artículo 9 dispone que también pueden firmar un acuerdo para cooperar con entidades nacionales. Este marco ha posibilitado que el grupo de las organizaciones de la sociedad civil participe de manera libre en el EITI a través de una estructura compuesta por dos “bloques”: uno que agrupa a académicos de varias universidades, y otro que tiene como eje la FOPRIDE</w:t>
      </w:r>
      <w:r w:rsidR="00642B1C" w:rsidRPr="00BB0D9C">
        <w:t>H</w:t>
      </w:r>
      <w:r w:rsidRPr="00BB0D9C">
        <w:t xml:space="preserve">, una asociación de diversas organizaciones sin fines de lucro. </w:t>
      </w:r>
    </w:p>
    <w:p w14:paraId="33AD78FB" w14:textId="77777777" w:rsidR="0071462E" w:rsidRPr="00BB0D9C" w:rsidRDefault="00DB1898" w:rsidP="000051F5">
      <w:r w:rsidRPr="00BB0D9C">
        <w:t>La antedicha regulación también ha posibilitado la reciente apertura de un diálogo por parte de las organizaciones de la sociedad civil con la ONG internacional OXFAM. Según consta en las actas de reunión del GMP de marzo de 2019</w:t>
      </w:r>
      <w:r w:rsidR="003861AF" w:rsidRPr="00BB0D9C">
        <w:rPr>
          <w:rFonts w:cs="Times New Roman"/>
          <w:szCs w:val="22"/>
          <w:vertAlign w:val="superscript"/>
        </w:rPr>
        <w:footnoteReference w:id="46"/>
      </w:r>
      <w:r w:rsidRPr="00BB0D9C">
        <w:t>, representantes de MOPAWI y FOPRIDEH recomendaron involucrarse con OXFAM, no para incorporarla al GMP en sí mismo, sino para informarl</w:t>
      </w:r>
      <w:r w:rsidR="00C56B68" w:rsidRPr="00BB0D9C">
        <w:t>e</w:t>
      </w:r>
      <w:r w:rsidRPr="00BB0D9C">
        <w:t xml:space="preserve"> de manera más general acerca de la implementación del EITI. Esto fue en respuesta a las inquietudes de OXFAM y otras organizaciones de la sociedad civil con respecto a la resolución del GMP de diciembre de 2018 que instaba a las autoridades a mantener a aquellos involucrados en las protestas como responsables de atentar “contra la iniciativa privada, la libertad de trabajo y la economía nacional, en perjuicio de la imagen de Honduras como un destino de inversión seguro”</w:t>
      </w:r>
      <w:r w:rsidR="00C56B68" w:rsidRPr="00BB0D9C">
        <w:rPr>
          <w:vertAlign w:val="superscript"/>
        </w:rPr>
        <w:footnoteReference w:id="47"/>
      </w:r>
      <w:r w:rsidRPr="00BB0D9C">
        <w:t xml:space="preserve">. </w:t>
      </w:r>
    </w:p>
    <w:p w14:paraId="2106F6D3" w14:textId="77777777" w:rsidR="007F0FDE" w:rsidRPr="00BB0D9C" w:rsidRDefault="0071462E" w:rsidP="007F0FDE">
      <w:r w:rsidRPr="00BB0D9C">
        <w:rPr>
          <w:i/>
          <w:u w:val="single"/>
        </w:rPr>
        <w:t>Participación</w:t>
      </w:r>
      <w:r w:rsidRPr="00BB0D9C">
        <w:rPr>
          <w:i/>
        </w:rPr>
        <w:t xml:space="preserve">: </w:t>
      </w:r>
      <w:bookmarkStart w:id="23" w:name="_Hlk10666737"/>
      <w:r w:rsidR="00DD396E" w:rsidRPr="00BB0D9C">
        <w:t>l</w:t>
      </w:r>
      <w:r w:rsidRPr="00BB0D9C">
        <w:t>os representantes de la sociedad civil han participado en reuniones del GMP y también han debatido</w:t>
      </w:r>
      <w:r w:rsidR="00DD396E" w:rsidRPr="00BB0D9C">
        <w:t xml:space="preserve"> sobre</w:t>
      </w:r>
      <w:r w:rsidRPr="00BB0D9C">
        <w:t xml:space="preserve"> la gobernanza en diversas reuniones con comunidades mineras, en relación con cuestiones ambientales y sociales y medidas de mitigación, entre otros temas. Cabe citar, por ejemplo:</w:t>
      </w:r>
    </w:p>
    <w:p w14:paraId="2337B4A0" w14:textId="77777777" w:rsidR="007F0FDE" w:rsidRPr="00BB0D9C" w:rsidRDefault="00D04F34" w:rsidP="007F0FDE">
      <w:pPr>
        <w:numPr>
          <w:ilvl w:val="0"/>
          <w:numId w:val="36"/>
        </w:numPr>
      </w:pPr>
      <w:r w:rsidRPr="00BB0D9C">
        <w:rPr>
          <w:i/>
        </w:rPr>
        <w:t>Un panel sobre “Cambio climático y gobernanza de la EITI en las comunidades mineras”</w:t>
      </w:r>
      <w:r w:rsidRPr="00BB0D9C">
        <w:t xml:space="preserve"> desarrollado en agosto de 2017, y organizado conjuntamente por organizaciones de la sociedad civil y la SCGG</w:t>
      </w:r>
      <w:r w:rsidR="007F0FDE" w:rsidRPr="00BB0D9C">
        <w:rPr>
          <w:vertAlign w:val="superscript"/>
        </w:rPr>
        <w:footnoteReference w:id="48"/>
      </w:r>
      <w:r w:rsidRPr="00BB0D9C">
        <w:t>. Al evento asistieron 60 organizaciones, incluidas organizaciones de la sociedad civil, empresas mineras, instituciones gubernamentales, y municipios</w:t>
      </w:r>
      <w:r w:rsidR="007F0FDE" w:rsidRPr="00BB0D9C">
        <w:rPr>
          <w:vertAlign w:val="superscript"/>
        </w:rPr>
        <w:footnoteReference w:id="49"/>
      </w:r>
      <w:r w:rsidRPr="00BB0D9C">
        <w:t xml:space="preserve">. </w:t>
      </w:r>
    </w:p>
    <w:p w14:paraId="2B192BE7" w14:textId="77777777" w:rsidR="007F0FDE" w:rsidRPr="00BB0D9C" w:rsidRDefault="00D04F34" w:rsidP="007F0FDE">
      <w:pPr>
        <w:numPr>
          <w:ilvl w:val="0"/>
          <w:numId w:val="36"/>
        </w:numPr>
      </w:pPr>
      <w:r w:rsidRPr="00BB0D9C">
        <w:rPr>
          <w:i/>
        </w:rPr>
        <w:t>Un Foro de Diálogo de la Sociedad Civil "Pasado, Presente y Expectativas de la Industria Minera",</w:t>
      </w:r>
      <w:r w:rsidRPr="00BB0D9C">
        <w:t xml:space="preserve"> desarrollado los días 29 y 30 de noviembre de 2018 y organizado por distintas organizaciones de la sociedad civil, según las actas del GMP</w:t>
      </w:r>
      <w:r w:rsidR="007F0FDE" w:rsidRPr="00BB0D9C">
        <w:rPr>
          <w:vertAlign w:val="superscript"/>
        </w:rPr>
        <w:footnoteReference w:id="50"/>
      </w:r>
      <w:r w:rsidRPr="00BB0D9C">
        <w:t>. Al evento asistieron autoridades de varios municipios, incluidos sus alcaldes.</w:t>
      </w:r>
    </w:p>
    <w:p w14:paraId="7FB60538" w14:textId="77777777" w:rsidR="007F0FDE" w:rsidRPr="00BB0D9C" w:rsidRDefault="0071462E" w:rsidP="0071462E">
      <w:r w:rsidRPr="00BB0D9C">
        <w:t>No obstante, según surge de las actas publicadas en el sitio web de Honduras</w:t>
      </w:r>
      <w:r w:rsidRPr="00BB0D9C">
        <w:rPr>
          <w:vertAlign w:val="superscript"/>
        </w:rPr>
        <w:footnoteReference w:id="51"/>
      </w:r>
      <w:r w:rsidRPr="00BB0D9C">
        <w:t xml:space="preserve">, la participación no ha sido pareja en todo el grupo constituyente. Solo dos organizaciones de la sociedad civil (MOPAWI y FOPRIDEH) han participado regularmente, mientras que las demás no han </w:t>
      </w:r>
      <w:r w:rsidR="00293DE9" w:rsidRPr="00BB0D9C">
        <w:t>asistido</w:t>
      </w:r>
      <w:r w:rsidRPr="00BB0D9C">
        <w:t xml:space="preserve"> o </w:t>
      </w:r>
      <w:r w:rsidR="00293DE9" w:rsidRPr="00BB0D9C">
        <w:t>lo han hecho</w:t>
      </w:r>
      <w:r w:rsidRPr="00BB0D9C">
        <w:t xml:space="preserve"> de manera intermitente desde octubre de 2017 (véase el Anexo C). Las partes interesadas a quienes se consultó en mayo de 2019 aclararon que no siempre ambas organizaciones habían estado presentes en las reuniones del GMP: ha habido casos en los que asistieron representantes de la MOPAWI en nombre de la FOPRIDEH. </w:t>
      </w:r>
    </w:p>
    <w:p w14:paraId="04F3406A" w14:textId="77777777" w:rsidR="0071462E" w:rsidRPr="00BB0D9C" w:rsidRDefault="005F0137" w:rsidP="000051F5">
      <w:bookmarkStart w:id="24" w:name="_Hlk30499663"/>
      <w:r w:rsidRPr="00BB0D9C">
        <w:t>Por otra parte, el comunicado que emitió el EITI en diciembre de 2018 parece revelar una comunicación deficiente en el seno del GMP y la falta de una participación plena de las organizaciones de la sociedad civil. El hecho de que algunas de las partes interesadas pertenecientes a la sociedad civil no estuvieran al tanto de esta publicación genera preocupación en cuanto a la comunicación del GMP, y el involucramiento de este grupo constituyente en el proceso EITI. Esto fue confirmado por algunas de las partes interesadas consultadas, que destacaron su descontento por el hecho de que el comunicado se publicara sin haber tenido la oportunidad de examinarlo</w:t>
      </w:r>
      <w:r w:rsidR="00C56B68" w:rsidRPr="00BB0D9C">
        <w:t xml:space="preserve">. Indicaron </w:t>
      </w:r>
      <w:r w:rsidRPr="00BB0D9C">
        <w:t>que la cuestión se planteó durante la reunión del GMP del 11 de diciembre de 2018, en la cual solo un</w:t>
      </w:r>
      <w:r w:rsidR="00605A14" w:rsidRPr="00BB0D9C">
        <w:t>a</w:t>
      </w:r>
      <w:r w:rsidRPr="00BB0D9C">
        <w:t xml:space="preserve"> de las organizaciones de la sociedad civil (FOPRIDEH) estaba presente (véase el Anexo C). En este sentido, también señalaron que no se siguió el procedimiento adecuado, y que el comunicado se hizo público pese a que no se lo había hecho circular entre quienes no habían estado presentes en la reunión del GMP. </w:t>
      </w:r>
      <w:bookmarkEnd w:id="23"/>
    </w:p>
    <w:p w14:paraId="6CA7EDF1" w14:textId="7B7DD87C" w:rsidR="00EC7521" w:rsidRPr="00BB0D9C" w:rsidRDefault="00EC7521" w:rsidP="00EC7521">
      <w:r w:rsidRPr="00BB0D9C">
        <w:t xml:space="preserve">Los comentarios del grupo de </w:t>
      </w:r>
      <w:proofErr w:type="spellStart"/>
      <w:r w:rsidRPr="00BB0D9C">
        <w:t>multipartícipes</w:t>
      </w:r>
      <w:proofErr w:type="spellEnd"/>
      <w:r w:rsidRPr="00BB0D9C">
        <w:t xml:space="preserve"> sobre la evaluación en borrador recibida en mayo de 2020 sostienen que la participación de la sociedad civil ha mejorado a partir de 2019. Esto puede verse principalmente en dos factores: su participación en el grupo de </w:t>
      </w:r>
      <w:proofErr w:type="spellStart"/>
      <w:r w:rsidRPr="00BB0D9C">
        <w:t>multipartícipes</w:t>
      </w:r>
      <w:proofErr w:type="spellEnd"/>
      <w:r w:rsidRPr="00BB0D9C">
        <w:t xml:space="preserve"> ha sido más regular, en especial a través de representantes de las dos universidades miembros (Universidad </w:t>
      </w:r>
      <w:r w:rsidR="00EB4DBE" w:rsidRPr="00BB0D9C">
        <w:t>José</w:t>
      </w:r>
      <w:r w:rsidRPr="00BB0D9C">
        <w:t xml:space="preserve"> Cecilio del Valle, UJCV, y Universidad Nacional Autónoma de Honduras, UNAH)</w:t>
      </w:r>
      <w:r w:rsidRPr="00BB0D9C">
        <w:rPr>
          <w:vertAlign w:val="superscript"/>
        </w:rPr>
        <w:footnoteReference w:id="52"/>
      </w:r>
      <w:r w:rsidRPr="00BB0D9C">
        <w:t xml:space="preserve"> y su participación en foros más amplios relacionados con el sector extractivo en Honduras. Organizaciones de la sociedad civil de Honduras han usado el EITI Honduras como una fuente </w:t>
      </w:r>
      <w:r w:rsidR="009263BC">
        <w:t xml:space="preserve">en que basar </w:t>
      </w:r>
      <w:r w:rsidRPr="00BB0D9C">
        <w:t>sus análisis. También se han involucrado más en los esfuerzos de difusión del EITI en el país; estos esfuerzos se han implementado a través de actividades relacionadas con la AGA</w:t>
      </w:r>
      <w:r w:rsidRPr="00BB0D9C">
        <w:rPr>
          <w:vertAlign w:val="superscript"/>
        </w:rPr>
        <w:footnoteReference w:id="53"/>
      </w:r>
      <w:r w:rsidRPr="00BB0D9C">
        <w:t>, a través de publicaciones centradas en las dificultades de la industria minera</w:t>
      </w:r>
      <w:r w:rsidRPr="00BB0D9C">
        <w:rPr>
          <w:vertAlign w:val="superscript"/>
        </w:rPr>
        <w:footnoteReference w:id="54"/>
      </w:r>
      <w:r w:rsidRPr="00BB0D9C">
        <w:t xml:space="preserve"> e iniciativas sobre esfuerzos de transparencia en Honduras</w:t>
      </w:r>
      <w:r w:rsidRPr="00BB0D9C">
        <w:rPr>
          <w:vertAlign w:val="superscript"/>
        </w:rPr>
        <w:footnoteReference w:id="55"/>
      </w:r>
      <w:r w:rsidRPr="00BB0D9C">
        <w:t>.</w:t>
      </w:r>
      <w:hyperlink w:history="1"/>
    </w:p>
    <w:bookmarkEnd w:id="24"/>
    <w:p w14:paraId="016014BE" w14:textId="7D171F6F" w:rsidR="00EC7521" w:rsidRPr="00BB0D9C" w:rsidRDefault="0071462E" w:rsidP="00EC7521">
      <w:r w:rsidRPr="00BB0D9C">
        <w:rPr>
          <w:i/>
          <w:u w:val="single"/>
        </w:rPr>
        <w:t>Acceso a la toma de decisiones públicas</w:t>
      </w:r>
      <w:r w:rsidRPr="00BB0D9C">
        <w:rPr>
          <w:i/>
        </w:rPr>
        <w:t>:</w:t>
      </w:r>
      <w:r w:rsidR="00EC7521" w:rsidRPr="00BB0D9C">
        <w:rPr>
          <w:i/>
        </w:rPr>
        <w:t xml:space="preserve"> </w:t>
      </w:r>
      <w:r w:rsidR="0043321C">
        <w:t>l</w:t>
      </w:r>
      <w:r w:rsidR="00EC7521" w:rsidRPr="00BB0D9C">
        <w:t xml:space="preserve">as organizaciones de la sociedad civil interactúan de forma directa con autoridades gubernamentales, mayormente dentro del marco de la </w:t>
      </w:r>
      <w:r w:rsidR="00620D18" w:rsidRPr="00BB0D9C">
        <w:t xml:space="preserve">Alianza para el Gobierno Abierto. El Plan de Acción de AGA más reciente de </w:t>
      </w:r>
      <w:r w:rsidR="00EC7521" w:rsidRPr="00BB0D9C">
        <w:t>Honduras</w:t>
      </w:r>
      <w:r w:rsidR="00620D18" w:rsidRPr="00BB0D9C">
        <w:t xml:space="preserve"> para </w:t>
      </w:r>
      <w:r w:rsidR="00EC7521" w:rsidRPr="00BB0D9C">
        <w:t>2018-2020</w:t>
      </w:r>
      <w:r w:rsidR="00620D18" w:rsidRPr="00BB0D9C">
        <w:t xml:space="preserve"> incluye transparencia en las industrias extractivas </w:t>
      </w:r>
      <w:r w:rsidR="00EC7521" w:rsidRPr="00BB0D9C">
        <w:t>(Co</w:t>
      </w:r>
      <w:r w:rsidR="00620D18" w:rsidRPr="00BB0D9C">
        <w:t>mpromiso</w:t>
      </w:r>
      <w:r w:rsidR="00EC7521" w:rsidRPr="00BB0D9C">
        <w:t xml:space="preserve"> 19)</w:t>
      </w:r>
      <w:r w:rsidR="00EC7521" w:rsidRPr="00BB0D9C">
        <w:rPr>
          <w:vertAlign w:val="superscript"/>
        </w:rPr>
        <w:footnoteReference w:id="56"/>
      </w:r>
      <w:r w:rsidR="00EC7521" w:rsidRPr="00BB0D9C">
        <w:t>.</w:t>
      </w:r>
      <w:r w:rsidR="00620D18" w:rsidRPr="00BB0D9C">
        <w:t xml:space="preserve"> En este compromiso</w:t>
      </w:r>
      <w:r w:rsidR="00EC7521" w:rsidRPr="00BB0D9C">
        <w:t>, INHGEOMIN a</w:t>
      </w:r>
      <w:r w:rsidR="00620D18" w:rsidRPr="00BB0D9C">
        <w:t>parece como responsable del monitoreo ambiental de las actividades de minería, así como de la promoción de la participación cívica y la inclusión</w:t>
      </w:r>
      <w:r w:rsidR="00EC7521" w:rsidRPr="00BB0D9C">
        <w:t xml:space="preserve">. </w:t>
      </w:r>
      <w:r w:rsidR="00620D18" w:rsidRPr="00BB0D9C">
        <w:t xml:space="preserve">El trabajo de </w:t>
      </w:r>
      <w:r w:rsidR="00EC7521" w:rsidRPr="00BB0D9C">
        <w:t>INHGEOMIN</w:t>
      </w:r>
      <w:r w:rsidR="00620D18" w:rsidRPr="00BB0D9C">
        <w:t xml:space="preserve"> también ha estado estrechamente acompañado por las Unidades Municipales Ambientales </w:t>
      </w:r>
      <w:r w:rsidR="00EC7521" w:rsidRPr="00BB0D9C">
        <w:t xml:space="preserve">(UMA) </w:t>
      </w:r>
      <w:r w:rsidR="00620D18" w:rsidRPr="00BB0D9C">
        <w:t>de</w:t>
      </w:r>
      <w:r w:rsidR="00EC7521" w:rsidRPr="00BB0D9C">
        <w:t xml:space="preserve"> La Unión, Copán, Las Vegas, Santa Bárbara</w:t>
      </w:r>
      <w:r w:rsidR="00620D18" w:rsidRPr="00BB0D9C">
        <w:t>,</w:t>
      </w:r>
      <w:r w:rsidR="00EC7521" w:rsidRPr="00BB0D9C">
        <w:t xml:space="preserve"> Corpus, Choluteca</w:t>
      </w:r>
      <w:r w:rsidR="00620D18" w:rsidRPr="00BB0D9C">
        <w:t>,</w:t>
      </w:r>
      <w:r w:rsidR="00EC7521" w:rsidRPr="00BB0D9C">
        <w:t xml:space="preserve"> Cedros, Francisco Morazán</w:t>
      </w:r>
      <w:r w:rsidR="00620D18" w:rsidRPr="00BB0D9C">
        <w:t>,</w:t>
      </w:r>
      <w:r w:rsidR="00EC7521" w:rsidRPr="00BB0D9C">
        <w:t xml:space="preserve"> El Níspero</w:t>
      </w:r>
      <w:r w:rsidR="00620D18" w:rsidRPr="00BB0D9C">
        <w:t>,</w:t>
      </w:r>
      <w:r w:rsidR="00EC7521" w:rsidRPr="00BB0D9C">
        <w:t xml:space="preserve"> Santa Bárbara</w:t>
      </w:r>
      <w:r w:rsidR="00620D18" w:rsidRPr="00BB0D9C">
        <w:t>,</w:t>
      </w:r>
      <w:r w:rsidR="00EC7521" w:rsidRPr="00BB0D9C">
        <w:t xml:space="preserve"> Tocoa, Colón</w:t>
      </w:r>
      <w:r w:rsidR="00620D18" w:rsidRPr="00BB0D9C">
        <w:t xml:space="preserve"> y</w:t>
      </w:r>
      <w:r w:rsidR="00EC7521" w:rsidRPr="00BB0D9C">
        <w:t xml:space="preserve"> </w:t>
      </w:r>
      <w:proofErr w:type="spellStart"/>
      <w:r w:rsidR="00EC7521" w:rsidRPr="00BB0D9C">
        <w:t>Gualaco</w:t>
      </w:r>
      <w:proofErr w:type="spellEnd"/>
      <w:r w:rsidR="00EC7521" w:rsidRPr="00BB0D9C">
        <w:t>, Olancho.</w:t>
      </w:r>
      <w:r w:rsidR="00620D18" w:rsidRPr="00BB0D9C">
        <w:t xml:space="preserve"> En este sentido y en línea con los objetivos de la AGA, hay pruebas de que las organizaciones de la sociedad civil abordan las </w:t>
      </w:r>
      <w:r w:rsidR="00EC7521" w:rsidRPr="00BB0D9C">
        <w:t>vulnerabili</w:t>
      </w:r>
      <w:r w:rsidR="00620D18" w:rsidRPr="00BB0D9C">
        <w:t>dad</w:t>
      </w:r>
      <w:r w:rsidR="00EC7521" w:rsidRPr="00BB0D9C">
        <w:t xml:space="preserve">es </w:t>
      </w:r>
      <w:r w:rsidR="00620D18" w:rsidRPr="00BB0D9C">
        <w:t>de las comunidades afectadas por las actividades extractivas. Esto puede verse en la Estrategia Nacional de Cambio Climático</w:t>
      </w:r>
      <w:r w:rsidR="00EC7521" w:rsidRPr="00BB0D9C">
        <w:rPr>
          <w:vertAlign w:val="superscript"/>
        </w:rPr>
        <w:footnoteReference w:id="57"/>
      </w:r>
      <w:r w:rsidR="00EC7521" w:rsidRPr="00BB0D9C">
        <w:t>.</w:t>
      </w:r>
      <w:r w:rsidR="00620D18" w:rsidRPr="00BB0D9C">
        <w:t xml:space="preserve"> No obstante, durante las consultas, varias partes interesadas destacaron</w:t>
      </w:r>
      <w:r w:rsidR="00EC7521" w:rsidRPr="00BB0D9C">
        <w:t xml:space="preserve"> </w:t>
      </w:r>
      <w:r w:rsidR="00620D18" w:rsidRPr="00BB0D9C">
        <w:t xml:space="preserve">que no tenían interés en participar en asuntos públicos y explicaron que esta falta de entusiasmo se relacionaba en parte con las </w:t>
      </w:r>
      <w:r w:rsidR="00EC7521" w:rsidRPr="00BB0D9C">
        <w:t>controversi</w:t>
      </w:r>
      <w:r w:rsidR="00620D18" w:rsidRPr="00BB0D9C">
        <w:t>as que rodeaban las elecciones presidenciales de 2017</w:t>
      </w:r>
      <w:r w:rsidR="00EC7521" w:rsidRPr="00BB0D9C">
        <w:t xml:space="preserve">. </w:t>
      </w:r>
      <w:r w:rsidR="00620D18" w:rsidRPr="00BB0D9C">
        <w:t xml:space="preserve">Las organizaciones de la sociedad civil se sentían frustradas por la falta de participación del Gobierno, aunque han dejado sentado que los funcionarios involucrados directamente con el </w:t>
      </w:r>
      <w:r w:rsidR="00EC7521" w:rsidRPr="00BB0D9C">
        <w:t xml:space="preserve">EITI </w:t>
      </w:r>
      <w:r w:rsidR="00620D18" w:rsidRPr="00BB0D9C">
        <w:t>están haciendo sus mejores esfuerzos</w:t>
      </w:r>
      <w:r w:rsidR="00EC7521" w:rsidRPr="00BB0D9C">
        <w:t xml:space="preserve">. </w:t>
      </w:r>
    </w:p>
    <w:p w14:paraId="5E086D80" w14:textId="77777777" w:rsidR="00EC7521" w:rsidRPr="00BB0D9C" w:rsidRDefault="00620D18" w:rsidP="00EC7521">
      <w:r w:rsidRPr="00BB0D9C">
        <w:t xml:space="preserve">Las organizaciones de la sociedad civil consultadas durante la misión del Secretariado Internacional a </w:t>
      </w:r>
      <w:r w:rsidR="00EC7521" w:rsidRPr="00BB0D9C">
        <w:t xml:space="preserve">Honduras </w:t>
      </w:r>
      <w:r w:rsidRPr="00BB0D9C">
        <w:t xml:space="preserve">también se refirieron al grupo de </w:t>
      </w:r>
      <w:proofErr w:type="spellStart"/>
      <w:r w:rsidRPr="00BB0D9C">
        <w:t>multipartícipes</w:t>
      </w:r>
      <w:proofErr w:type="spellEnd"/>
      <w:r w:rsidRPr="00BB0D9C">
        <w:t xml:space="preserve"> y la implementación del </w:t>
      </w:r>
      <w:r w:rsidR="00EC7521" w:rsidRPr="00BB0D9C">
        <w:t xml:space="preserve">EITI </w:t>
      </w:r>
      <w:r w:rsidRPr="00BB0D9C">
        <w:t>de manera más amplia como una plataforma útil para debatir algunas de sus preocupaciones sobre la gobernanza de las industrias extractivas. Esto puede observarse en las actas de asa</w:t>
      </w:r>
      <w:r w:rsidR="0001651E" w:rsidRPr="00BB0D9C">
        <w:t xml:space="preserve">mbleas del grupo de </w:t>
      </w:r>
      <w:proofErr w:type="spellStart"/>
      <w:r w:rsidR="0001651E" w:rsidRPr="00BB0D9C">
        <w:t>multipartícipes</w:t>
      </w:r>
      <w:proofErr w:type="spellEnd"/>
      <w:r w:rsidR="0001651E" w:rsidRPr="00BB0D9C">
        <w:t>, así como en diversas publicaciones que se basan en parte en los datos provistos por los informes EITI</w:t>
      </w:r>
      <w:r w:rsidR="00EC7521" w:rsidRPr="00BB0D9C">
        <w:rPr>
          <w:vertAlign w:val="superscript"/>
        </w:rPr>
        <w:footnoteReference w:id="58"/>
      </w:r>
      <w:r w:rsidR="00EC7521" w:rsidRPr="00BB0D9C">
        <w:t>.</w:t>
      </w:r>
    </w:p>
    <w:p w14:paraId="045DB55A" w14:textId="77777777" w:rsidR="00EC7521" w:rsidRPr="00BB0D9C" w:rsidRDefault="0001651E" w:rsidP="00EC7521">
      <w:r w:rsidRPr="00BB0D9C">
        <w:t xml:space="preserve">De acuerdo con los comentarios del grupo de </w:t>
      </w:r>
      <w:proofErr w:type="spellStart"/>
      <w:r w:rsidRPr="00BB0D9C">
        <w:t>multipartícipes</w:t>
      </w:r>
      <w:proofErr w:type="spellEnd"/>
      <w:r w:rsidRPr="00BB0D9C">
        <w:t xml:space="preserve"> presentados el </w:t>
      </w:r>
      <w:r w:rsidR="00EC7521" w:rsidRPr="00BB0D9C">
        <w:t xml:space="preserve">13 </w:t>
      </w:r>
      <w:r w:rsidRPr="00BB0D9C">
        <w:t xml:space="preserve">de mayo de </w:t>
      </w:r>
      <w:r w:rsidR="00EC7521" w:rsidRPr="00BB0D9C">
        <w:t>2020,</w:t>
      </w:r>
      <w:r w:rsidRPr="00BB0D9C">
        <w:t xml:space="preserve"> después del comunicado de diciembre de </w:t>
      </w:r>
      <w:r w:rsidR="00EC7521" w:rsidRPr="00BB0D9C">
        <w:t xml:space="preserve">2018 </w:t>
      </w:r>
      <w:r w:rsidRPr="00BB0D9C">
        <w:t>sobre la situación de MINOSA</w:t>
      </w:r>
      <w:r w:rsidR="00EC7521" w:rsidRPr="00BB0D9C">
        <w:t xml:space="preserve">, </w:t>
      </w:r>
      <w:r w:rsidRPr="00BB0D9C">
        <w:t xml:space="preserve">ha habido otros diálogos entre la </w:t>
      </w:r>
      <w:r w:rsidR="00B61C08" w:rsidRPr="00BB0D9C">
        <w:t>empresa</w:t>
      </w:r>
      <w:r w:rsidRPr="00BB0D9C">
        <w:t xml:space="preserve"> y las organizaciones de la sociedad civil involucradas en el conflicto social que gira alrededor de la mina de </w:t>
      </w:r>
      <w:r w:rsidR="00EC7521" w:rsidRPr="00BB0D9C">
        <w:t xml:space="preserve">MINOSA. </w:t>
      </w:r>
      <w:r w:rsidRPr="00BB0D9C">
        <w:t xml:space="preserve">La </w:t>
      </w:r>
      <w:r w:rsidR="00B61C08" w:rsidRPr="00BB0D9C">
        <w:t>empresa</w:t>
      </w:r>
      <w:r w:rsidRPr="00BB0D9C">
        <w:t xml:space="preserve"> firmó un convenio el </w:t>
      </w:r>
      <w:r w:rsidR="00EC7521" w:rsidRPr="00BB0D9C">
        <w:t>29</w:t>
      </w:r>
      <w:r w:rsidRPr="00BB0D9C">
        <w:t xml:space="preserve"> de julio de</w:t>
      </w:r>
      <w:r w:rsidR="00EC7521" w:rsidRPr="00BB0D9C">
        <w:t xml:space="preserve"> 2019 </w:t>
      </w:r>
      <w:r w:rsidRPr="00BB0D9C">
        <w:t xml:space="preserve">con la comunidad de </w:t>
      </w:r>
      <w:r w:rsidR="00EC7521" w:rsidRPr="00BB0D9C">
        <w:t xml:space="preserve">Azacualpa </w:t>
      </w:r>
      <w:r w:rsidRPr="00BB0D9C">
        <w:t xml:space="preserve">y el departamento de </w:t>
      </w:r>
      <w:r w:rsidR="00EC7521" w:rsidRPr="00BB0D9C">
        <w:t>Cop</w:t>
      </w:r>
      <w:r w:rsidRPr="00BB0D9C">
        <w:t>án para el pago de resarcimientos</w:t>
      </w:r>
      <w:r w:rsidR="00EC7521" w:rsidRPr="00BB0D9C">
        <w:t xml:space="preserve">. </w:t>
      </w:r>
      <w:r w:rsidRPr="00BB0D9C">
        <w:t xml:space="preserve">Las organizaciones de la sociedad civil fueron parte de la delegación de </w:t>
      </w:r>
      <w:r w:rsidR="00EC7521" w:rsidRPr="00BB0D9C">
        <w:t xml:space="preserve">Honduras </w:t>
      </w:r>
      <w:r w:rsidRPr="00BB0D9C">
        <w:t xml:space="preserve">en la Conferencia Global del EITI de </w:t>
      </w:r>
      <w:r w:rsidR="00EC7521" w:rsidRPr="00BB0D9C">
        <w:t xml:space="preserve">2019 </w:t>
      </w:r>
      <w:r w:rsidRPr="00BB0D9C">
        <w:t xml:space="preserve">en </w:t>
      </w:r>
      <w:r w:rsidR="00EC7521" w:rsidRPr="00BB0D9C">
        <w:t xml:space="preserve">Paris. </w:t>
      </w:r>
      <w:r w:rsidRPr="00BB0D9C">
        <w:t xml:space="preserve">La delegación presentó a consideración de la conferencia las mejoras en la realización de pagos subnacionales y sociales por parte de las </w:t>
      </w:r>
      <w:r w:rsidR="00B61C08" w:rsidRPr="00BB0D9C">
        <w:t>empresa</w:t>
      </w:r>
      <w:r w:rsidRPr="00BB0D9C">
        <w:t>s mineras</w:t>
      </w:r>
      <w:r w:rsidR="00EC7521" w:rsidRPr="00BB0D9C">
        <w:rPr>
          <w:vertAlign w:val="superscript"/>
        </w:rPr>
        <w:footnoteReference w:id="59"/>
      </w:r>
      <w:r w:rsidR="00EC7521" w:rsidRPr="00BB0D9C">
        <w:t xml:space="preserve">. </w:t>
      </w:r>
      <w:r w:rsidRPr="00BB0D9C">
        <w:t xml:space="preserve">Las actas de las reuniones del grupo de </w:t>
      </w:r>
      <w:proofErr w:type="spellStart"/>
      <w:r w:rsidRPr="00BB0D9C">
        <w:t>multipartícipes</w:t>
      </w:r>
      <w:proofErr w:type="spellEnd"/>
      <w:r w:rsidRPr="00BB0D9C">
        <w:t xml:space="preserve"> desde junio de </w:t>
      </w:r>
      <w:r w:rsidR="00EC7521" w:rsidRPr="00BB0D9C">
        <w:t>2019 indica</w:t>
      </w:r>
      <w:r w:rsidRPr="00BB0D9C">
        <w:t xml:space="preserve">n una mayor participación de las organizaciones de la sociedad civil en el grupo de </w:t>
      </w:r>
      <w:proofErr w:type="spellStart"/>
      <w:r w:rsidRPr="00BB0D9C">
        <w:t>multipartícipes</w:t>
      </w:r>
      <w:proofErr w:type="spellEnd"/>
      <w:r w:rsidRPr="00BB0D9C">
        <w:t xml:space="preserve">. Las organizaciones de la sociedad civil han estado usando los datos del EITI más ampliamente y, además, han aumentado la difusión del </w:t>
      </w:r>
      <w:r w:rsidR="00EC7521" w:rsidRPr="00BB0D9C">
        <w:t xml:space="preserve">EITI </w:t>
      </w:r>
      <w:r w:rsidRPr="00BB0D9C">
        <w:t>en distintas publicaciones</w:t>
      </w:r>
      <w:r w:rsidR="00EC7521" w:rsidRPr="00BB0D9C">
        <w:rPr>
          <w:vertAlign w:val="superscript"/>
        </w:rPr>
        <w:footnoteReference w:id="60"/>
      </w:r>
      <w:r w:rsidR="00EC7521" w:rsidRPr="00BB0D9C">
        <w:t>.</w:t>
      </w:r>
    </w:p>
    <w:p w14:paraId="1A02E137" w14:textId="77777777" w:rsidR="000D6FAE" w:rsidRPr="00BB0D9C" w:rsidRDefault="0001651E" w:rsidP="00EC7521">
      <w:r w:rsidRPr="00BB0D9C">
        <w:t>En el informe de</w:t>
      </w:r>
      <w:r w:rsidR="00EC7521" w:rsidRPr="00BB0D9C">
        <w:t xml:space="preserve"> 2017-2018</w:t>
      </w:r>
      <w:r w:rsidR="00EC7521" w:rsidRPr="00BB0D9C">
        <w:rPr>
          <w:vertAlign w:val="superscript"/>
        </w:rPr>
        <w:footnoteReference w:id="61"/>
      </w:r>
      <w:r w:rsidR="00EC7521" w:rsidRPr="00BB0D9C">
        <w:t xml:space="preserve">, </w:t>
      </w:r>
      <w:r w:rsidRPr="00BB0D9C">
        <w:t>las organizaciones de la sociedad civil solicitaron la futura inclusión de cuestiones como consultas libres, previas e informadas en las comunidades con actividades extractivas. También sugirieron la futura consideración de regulaciones y convenios internacionales sobre la protección de los derechos de pueblos indígenas</w:t>
      </w:r>
      <w:r w:rsidR="00EC7521" w:rsidRPr="00BB0D9C">
        <w:rPr>
          <w:vertAlign w:val="superscript"/>
        </w:rPr>
        <w:footnoteReference w:id="62"/>
      </w:r>
      <w:r w:rsidR="00EC7521" w:rsidRPr="00BB0D9C">
        <w:t>.</w:t>
      </w:r>
    </w:p>
    <w:p w14:paraId="7B86B233" w14:textId="77777777" w:rsidR="00EE5F75" w:rsidRPr="00BB0D9C" w:rsidRDefault="00EE5F75" w:rsidP="00EE5F75">
      <w:pPr>
        <w:pStyle w:val="Heading3"/>
      </w:pPr>
      <w:r w:rsidRPr="00BB0D9C">
        <w:t>Evaluación del Secretariado</w:t>
      </w:r>
    </w:p>
    <w:p w14:paraId="796F49B5" w14:textId="0501B8B8" w:rsidR="008C4EF2" w:rsidRPr="00BB0D9C" w:rsidRDefault="008C4EF2" w:rsidP="008C4EF2">
      <w:pPr>
        <w:spacing w:before="100" w:beforeAutospacing="1" w:after="100" w:afterAutospacing="1"/>
        <w:rPr>
          <w:szCs w:val="22"/>
          <w:u w:val="single"/>
        </w:rPr>
      </w:pPr>
      <w:r w:rsidRPr="00BB0D9C">
        <w:rPr>
          <w:szCs w:val="22"/>
          <w:u w:val="single"/>
        </w:rPr>
        <w:t xml:space="preserve">Al comienzo de la segunda validación, la evaluación del Secretariado Internacional es que Honduras había abordado en parte la medida correctiva y había logrado un progreso significativo sin mejoras para cumplir con el requisito 1.3. Sujeto a la consideración del Consejo de nueva información publicada antes del comienzo de la segunda validación, la evaluación del Secretariado Internacional es que Honduras ha hecho un progreso significativo </w:t>
      </w:r>
      <w:bookmarkStart w:id="25" w:name="_GoBack"/>
      <w:bookmarkEnd w:id="25"/>
      <w:r w:rsidRPr="00BB0D9C">
        <w:rPr>
          <w:szCs w:val="22"/>
          <w:u w:val="single"/>
        </w:rPr>
        <w:t xml:space="preserve">para cumplir con el requisito 1.3. </w:t>
      </w:r>
    </w:p>
    <w:p w14:paraId="3D6B9645" w14:textId="77777777" w:rsidR="008C4EF2" w:rsidRPr="00BB0D9C" w:rsidRDefault="008C4EF2" w:rsidP="008C4EF2">
      <w:pPr>
        <w:spacing w:before="100" w:beforeAutospacing="1" w:after="100" w:afterAutospacing="1"/>
        <w:rPr>
          <w:szCs w:val="22"/>
        </w:rPr>
      </w:pPr>
      <w:r w:rsidRPr="00BB0D9C">
        <w:rPr>
          <w:szCs w:val="22"/>
        </w:rPr>
        <w:t xml:space="preserve">El Secretariado considera que hay pruebas de la participación de las organizaciones de la sociedad civil en todos los aspectos de la implementación del EITI. A pesar de que su asistencia a las reuniones del grupo de </w:t>
      </w:r>
      <w:proofErr w:type="spellStart"/>
      <w:r w:rsidRPr="00BB0D9C">
        <w:rPr>
          <w:szCs w:val="22"/>
        </w:rPr>
        <w:t>multipartícipes</w:t>
      </w:r>
      <w:proofErr w:type="spellEnd"/>
      <w:r w:rsidRPr="00BB0D9C">
        <w:rPr>
          <w:szCs w:val="22"/>
        </w:rPr>
        <w:t xml:space="preserve"> disminuyó entre 2017 y 2018, la participación de las organizaciones de la sociedad civil ha aumentado a partir de junio de 2019. Esto se refleja en una asistencia más regular a las reuniones del grupo de </w:t>
      </w:r>
      <w:proofErr w:type="spellStart"/>
      <w:r w:rsidRPr="00BB0D9C">
        <w:rPr>
          <w:szCs w:val="22"/>
        </w:rPr>
        <w:t>multipartícipes</w:t>
      </w:r>
      <w:proofErr w:type="spellEnd"/>
      <w:r w:rsidRPr="00BB0D9C">
        <w:rPr>
          <w:szCs w:val="22"/>
        </w:rPr>
        <w:t xml:space="preserve"> </w:t>
      </w:r>
      <w:r w:rsidR="00946F71" w:rsidRPr="00BB0D9C">
        <w:rPr>
          <w:szCs w:val="22"/>
        </w:rPr>
        <w:t xml:space="preserve">y también en la sensibilización de otras organizaciones para que formen parte del proceso </w:t>
      </w:r>
      <w:r w:rsidRPr="00BB0D9C">
        <w:rPr>
          <w:szCs w:val="22"/>
        </w:rPr>
        <w:t>EITI (</w:t>
      </w:r>
      <w:r w:rsidR="00946F71" w:rsidRPr="00BB0D9C">
        <w:rPr>
          <w:szCs w:val="22"/>
        </w:rPr>
        <w:t xml:space="preserve">es decir, sensibilización de </w:t>
      </w:r>
      <w:r w:rsidRPr="00BB0D9C">
        <w:rPr>
          <w:szCs w:val="22"/>
        </w:rPr>
        <w:t xml:space="preserve">OXFAM </w:t>
      </w:r>
      <w:r w:rsidR="00946F71" w:rsidRPr="00BB0D9C">
        <w:rPr>
          <w:szCs w:val="22"/>
        </w:rPr>
        <w:t>después del comunicado de diciembre de</w:t>
      </w:r>
      <w:r w:rsidRPr="00BB0D9C">
        <w:rPr>
          <w:szCs w:val="22"/>
        </w:rPr>
        <w:t xml:space="preserve"> 2018 </w:t>
      </w:r>
      <w:r w:rsidR="00946F71" w:rsidRPr="00BB0D9C">
        <w:rPr>
          <w:szCs w:val="22"/>
        </w:rPr>
        <w:t>sobre la situación de MINOSA</w:t>
      </w:r>
      <w:r w:rsidRPr="00BB0D9C">
        <w:rPr>
          <w:szCs w:val="22"/>
        </w:rPr>
        <w:t>)</w:t>
      </w:r>
      <w:r w:rsidRPr="00BB0D9C">
        <w:rPr>
          <w:szCs w:val="22"/>
          <w:vertAlign w:val="superscript"/>
        </w:rPr>
        <w:footnoteReference w:id="63"/>
      </w:r>
      <w:r w:rsidRPr="00BB0D9C">
        <w:rPr>
          <w:szCs w:val="22"/>
        </w:rPr>
        <w:t xml:space="preserve">. </w:t>
      </w:r>
      <w:r w:rsidR="00946F71" w:rsidRPr="00BB0D9C">
        <w:rPr>
          <w:szCs w:val="22"/>
        </w:rPr>
        <w:t>Las organizaciones de la sociedad civil también han participado en una difusión más amplia del EITI, el uso de datos del EITI y la ampliación del alcance de los informes</w:t>
      </w:r>
      <w:r w:rsidRPr="00BB0D9C">
        <w:rPr>
          <w:szCs w:val="22"/>
        </w:rPr>
        <w:t xml:space="preserve"> EITI. </w:t>
      </w:r>
      <w:r w:rsidR="00946F71" w:rsidRPr="00BB0D9C">
        <w:rPr>
          <w:szCs w:val="22"/>
        </w:rPr>
        <w:t xml:space="preserve">En resumen, la participación de las organizaciones de la sociedad civil en el proceso </w:t>
      </w:r>
      <w:r w:rsidRPr="00BB0D9C">
        <w:rPr>
          <w:szCs w:val="22"/>
        </w:rPr>
        <w:t xml:space="preserve">EITI </w:t>
      </w:r>
      <w:r w:rsidR="00946F71" w:rsidRPr="00BB0D9C">
        <w:rPr>
          <w:szCs w:val="22"/>
        </w:rPr>
        <w:t>ha mostrado una mejora importante con respecto a la participación débil documentada en la primera validación.</w:t>
      </w:r>
      <w:r w:rsidRPr="00BB0D9C">
        <w:rPr>
          <w:szCs w:val="22"/>
        </w:rPr>
        <w:t xml:space="preserve"> A</w:t>
      </w:r>
      <w:r w:rsidR="00946F71" w:rsidRPr="00BB0D9C">
        <w:rPr>
          <w:szCs w:val="22"/>
        </w:rPr>
        <w:t>l comienzo de la segunda validación, la participación reducida de las organizaciones de la sociedad civil se explicaba por un interés y</w:t>
      </w:r>
      <w:r w:rsidRPr="00BB0D9C">
        <w:rPr>
          <w:szCs w:val="22"/>
        </w:rPr>
        <w:t xml:space="preserve"> </w:t>
      </w:r>
      <w:r w:rsidR="00946F71" w:rsidRPr="00BB0D9C">
        <w:rPr>
          <w:szCs w:val="22"/>
        </w:rPr>
        <w:t xml:space="preserve">una </w:t>
      </w:r>
      <w:r w:rsidR="00EB4DBE" w:rsidRPr="00BB0D9C">
        <w:rPr>
          <w:szCs w:val="22"/>
        </w:rPr>
        <w:t>coordinación</w:t>
      </w:r>
      <w:r w:rsidRPr="00BB0D9C">
        <w:rPr>
          <w:szCs w:val="22"/>
        </w:rPr>
        <w:t xml:space="preserve"> </w:t>
      </w:r>
      <w:r w:rsidR="00946F71" w:rsidRPr="00BB0D9C">
        <w:rPr>
          <w:szCs w:val="22"/>
        </w:rPr>
        <w:t>débiles dentro del grupo, más que debido a restricciones impuestas por el Gobierno. No hay pruebas de restricciones que limiten la participación en el proceso EITI</w:t>
      </w:r>
      <w:r w:rsidRPr="00BB0D9C">
        <w:rPr>
          <w:szCs w:val="22"/>
        </w:rPr>
        <w:t xml:space="preserve">. </w:t>
      </w:r>
    </w:p>
    <w:p w14:paraId="6370B619" w14:textId="77777777" w:rsidR="008C4EF2" w:rsidRPr="00BB0D9C" w:rsidRDefault="008C4EF2" w:rsidP="008C4EF2">
      <w:pPr>
        <w:spacing w:before="100" w:beforeAutospacing="1" w:after="100" w:afterAutospacing="1"/>
        <w:rPr>
          <w:szCs w:val="22"/>
        </w:rPr>
      </w:pPr>
      <w:r w:rsidRPr="00BB0D9C">
        <w:rPr>
          <w:szCs w:val="22"/>
        </w:rPr>
        <w:t>EITI Honduras</w:t>
      </w:r>
      <w:r w:rsidR="00946F71" w:rsidRPr="00BB0D9C">
        <w:rPr>
          <w:szCs w:val="22"/>
        </w:rPr>
        <w:t xml:space="preserve"> debe abordar la siguiente medida correctiva: de acuerdo con el requisito </w:t>
      </w:r>
      <w:r w:rsidRPr="00BB0D9C">
        <w:rPr>
          <w:szCs w:val="22"/>
        </w:rPr>
        <w:t xml:space="preserve">1.3, </w:t>
      </w:r>
      <w:r w:rsidR="00946F71" w:rsidRPr="00BB0D9C">
        <w:rPr>
          <w:szCs w:val="22"/>
        </w:rPr>
        <w:t xml:space="preserve">la sociedad </w:t>
      </w:r>
      <w:r w:rsidRPr="00BB0D9C">
        <w:rPr>
          <w:szCs w:val="22"/>
        </w:rPr>
        <w:t xml:space="preserve">civil </w:t>
      </w:r>
      <w:r w:rsidR="00946F71" w:rsidRPr="00BB0D9C">
        <w:rPr>
          <w:szCs w:val="22"/>
        </w:rPr>
        <w:t>debe demostrar que participa de manera plena, activa y efectiva en el proceso EITI</w:t>
      </w:r>
      <w:r w:rsidRPr="00BB0D9C">
        <w:rPr>
          <w:szCs w:val="22"/>
        </w:rPr>
        <w:t xml:space="preserve">. </w:t>
      </w:r>
      <w:r w:rsidR="00946F71" w:rsidRPr="00BB0D9C">
        <w:rPr>
          <w:szCs w:val="22"/>
        </w:rPr>
        <w:t>La sociedad c</w:t>
      </w:r>
      <w:r w:rsidRPr="00BB0D9C">
        <w:rPr>
          <w:szCs w:val="22"/>
        </w:rPr>
        <w:t xml:space="preserve">ivil </w:t>
      </w:r>
      <w:r w:rsidR="00946F71" w:rsidRPr="00BB0D9C">
        <w:rPr>
          <w:szCs w:val="22"/>
        </w:rPr>
        <w:t xml:space="preserve">debe clarificar sus objetivos para la participación en el </w:t>
      </w:r>
      <w:r w:rsidRPr="00BB0D9C">
        <w:rPr>
          <w:szCs w:val="22"/>
        </w:rPr>
        <w:t xml:space="preserve">EITI </w:t>
      </w:r>
      <w:r w:rsidR="00946F71" w:rsidRPr="00BB0D9C">
        <w:rPr>
          <w:szCs w:val="22"/>
        </w:rPr>
        <w:t xml:space="preserve">y garantizar que esté bien representada y capacitada </w:t>
      </w:r>
      <w:r w:rsidR="00EB4DBE" w:rsidRPr="00BB0D9C">
        <w:rPr>
          <w:szCs w:val="22"/>
        </w:rPr>
        <w:t>para</w:t>
      </w:r>
      <w:r w:rsidR="00946F71" w:rsidRPr="00BB0D9C">
        <w:rPr>
          <w:szCs w:val="22"/>
        </w:rPr>
        <w:t xml:space="preserve"> participar plenamente en el proceso. Deben trabajar de manera estrecha y directa con el grupo de </w:t>
      </w:r>
      <w:proofErr w:type="spellStart"/>
      <w:r w:rsidR="00946F71" w:rsidRPr="00BB0D9C">
        <w:rPr>
          <w:szCs w:val="22"/>
        </w:rPr>
        <w:t>multipartícipes</w:t>
      </w:r>
      <w:proofErr w:type="spellEnd"/>
      <w:r w:rsidR="00946F71" w:rsidRPr="00BB0D9C">
        <w:rPr>
          <w:szCs w:val="22"/>
        </w:rPr>
        <w:t xml:space="preserve"> en la mejora de la difusión y el </w:t>
      </w:r>
      <w:r w:rsidRPr="00BB0D9C">
        <w:rPr>
          <w:szCs w:val="22"/>
        </w:rPr>
        <w:t xml:space="preserve">debate </w:t>
      </w:r>
      <w:r w:rsidR="00946F71" w:rsidRPr="00BB0D9C">
        <w:rPr>
          <w:szCs w:val="22"/>
        </w:rPr>
        <w:t>de los datos y hallazgos del EITI</w:t>
      </w:r>
      <w:r w:rsidRPr="00BB0D9C">
        <w:rPr>
          <w:szCs w:val="22"/>
        </w:rPr>
        <w:t xml:space="preserve">. </w:t>
      </w:r>
      <w:r w:rsidR="00946F71" w:rsidRPr="00BB0D9C">
        <w:rPr>
          <w:szCs w:val="22"/>
        </w:rPr>
        <w:t xml:space="preserve">Esto podría incluir garantizar que el </w:t>
      </w:r>
      <w:r w:rsidRPr="00BB0D9C">
        <w:rPr>
          <w:szCs w:val="22"/>
        </w:rPr>
        <w:t xml:space="preserve">EITI </w:t>
      </w:r>
      <w:r w:rsidR="00946F71" w:rsidRPr="00BB0D9C">
        <w:rPr>
          <w:szCs w:val="22"/>
        </w:rPr>
        <w:t xml:space="preserve">es un mejor enlace con las prioridades nacionales. Finalmente, las organizaciones de la sociedad civil podrían considerar la posibilidad de actualizar su representación para garantizar que todos los representantes en el grupo de </w:t>
      </w:r>
      <w:proofErr w:type="spellStart"/>
      <w:r w:rsidR="00946F71" w:rsidRPr="00BB0D9C">
        <w:rPr>
          <w:szCs w:val="22"/>
        </w:rPr>
        <w:t>multipartícipes</w:t>
      </w:r>
      <w:proofErr w:type="spellEnd"/>
      <w:r w:rsidR="00946F71" w:rsidRPr="00BB0D9C">
        <w:rPr>
          <w:szCs w:val="22"/>
        </w:rPr>
        <w:t xml:space="preserve"> participen plenamente en el trabajo del EITI</w:t>
      </w:r>
      <w:r w:rsidRPr="00BB0D9C">
        <w:rPr>
          <w:szCs w:val="22"/>
        </w:rPr>
        <w:t>.</w:t>
      </w:r>
    </w:p>
    <w:p w14:paraId="7606BF89" w14:textId="77777777" w:rsidR="00B53128" w:rsidRPr="00BB0D9C" w:rsidRDefault="00B53128" w:rsidP="007F0FDE">
      <w:pPr>
        <w:spacing w:before="100" w:beforeAutospacing="1" w:after="100" w:afterAutospacing="1"/>
        <w:rPr>
          <w:rFonts w:cstheme="majorHAnsi"/>
          <w:szCs w:val="22"/>
        </w:rPr>
      </w:pPr>
    </w:p>
    <w:p w14:paraId="7BEEDE88" w14:textId="77777777" w:rsidR="00EE5F75" w:rsidRPr="00BB0D9C" w:rsidRDefault="00EE5F75" w:rsidP="00623611">
      <w:pPr>
        <w:pStyle w:val="Heading2"/>
        <w:numPr>
          <w:ilvl w:val="1"/>
          <w:numId w:val="43"/>
        </w:numPr>
      </w:pPr>
      <w:bookmarkStart w:id="26" w:name="_Toc45021597"/>
      <w:r w:rsidRPr="00BB0D9C">
        <w:t>Medida correctiva 4: Plan de trabajo (</w:t>
      </w:r>
      <w:proofErr w:type="spellStart"/>
      <w:r w:rsidR="00946F71" w:rsidRPr="00BB0D9C">
        <w:t>n.°</w:t>
      </w:r>
      <w:proofErr w:type="spellEnd"/>
      <w:r w:rsidR="00946F71" w:rsidRPr="00BB0D9C">
        <w:t> </w:t>
      </w:r>
      <w:r w:rsidRPr="00BB0D9C">
        <w:t>1.5)</w:t>
      </w:r>
      <w:bookmarkEnd w:id="26"/>
    </w:p>
    <w:p w14:paraId="15DBF9AD" w14:textId="77777777" w:rsidR="00EE5F75" w:rsidRPr="00BB0D9C" w:rsidRDefault="00D953B8" w:rsidP="00EE5F75">
      <w:pPr>
        <w:shd w:val="clear" w:color="auto" w:fill="D9D9D9" w:themeFill="background1" w:themeFillShade="D9"/>
      </w:pPr>
      <w:r w:rsidRPr="00BB0D9C">
        <w:t>Conforme al Requisito 1.5.a, el GMP debería mantener un plan de trabajo vigente que establezca objetivos para la implementación del EITI que reflejen las prioridades nacionales para las industrias extractivas. Conforme al Requisito 1.5.b, el plan de trabajo debe reflejar los resultados de las consultas con las partes interesadas clave.</w:t>
      </w:r>
    </w:p>
    <w:p w14:paraId="33061579" w14:textId="77777777" w:rsidR="00EE5F75" w:rsidRPr="00BB0D9C" w:rsidRDefault="00EE5F75" w:rsidP="00EE5F75">
      <w:pPr>
        <w:pStyle w:val="Heading3"/>
      </w:pPr>
      <w:r w:rsidRPr="00BB0D9C">
        <w:t xml:space="preserve">Conclusiones de la primera </w:t>
      </w:r>
      <w:r w:rsidR="00946F71" w:rsidRPr="00BB0D9C">
        <w:t>v</w:t>
      </w:r>
      <w:r w:rsidRPr="00BB0D9C">
        <w:t>alidación</w:t>
      </w:r>
    </w:p>
    <w:p w14:paraId="0B72A292" w14:textId="77777777" w:rsidR="00EE5F75" w:rsidRPr="00BB0D9C" w:rsidRDefault="00946F71" w:rsidP="00EE5F75">
      <w:r w:rsidRPr="00BB0D9C">
        <w:t>La primera v</w:t>
      </w:r>
      <w:r w:rsidR="00D953B8" w:rsidRPr="00BB0D9C">
        <w:t xml:space="preserve">alidación determinó que Honduras había tenido un progreso insuficiente en el cumplimiento del Requisito 1.5. Honduras comenzó la implementación del EITI con un plan de trabajo adecuado (con previsión de costos, ajustado a las prioridades nacionales y a los requisitos de presentación de información), cuyas actividades para el período comprendido (2013-2015) en su mayoría se completaron satisfactoriamente. Durante la primera Validación, no quedó claro si el GMP había aprobado el plan de trabajo para el 2016 y, en tal caso, cuándo había ocurrido ello. En ese entonces, el documento que examinó el Secretariado Internacional no cumplía los requisitos establecidos en el Estándar EITI, y había estado funcionando más como una herramienta de planificación que como un plan de trabajo específico. Además, durante la primera validación resultó evidente que no había habido ningún debate </w:t>
      </w:r>
      <w:r w:rsidR="008C24D1" w:rsidRPr="00BB0D9C">
        <w:t>del</w:t>
      </w:r>
      <w:r w:rsidR="00D953B8" w:rsidRPr="00BB0D9C">
        <w:t xml:space="preserve"> plan de trabajo de EITI Honduras para el 2017. </w:t>
      </w:r>
    </w:p>
    <w:p w14:paraId="47D365D3" w14:textId="77777777" w:rsidR="00EE5F75" w:rsidRPr="00BB0D9C" w:rsidRDefault="00EE5F75" w:rsidP="00EE5F75">
      <w:pPr>
        <w:pStyle w:val="Heading3"/>
      </w:pPr>
      <w:r w:rsidRPr="00BB0D9C">
        <w:t xml:space="preserve">Progreso desde la </w:t>
      </w:r>
      <w:r w:rsidR="00946F71" w:rsidRPr="00BB0D9C">
        <w:t>primera v</w:t>
      </w:r>
      <w:r w:rsidRPr="00BB0D9C">
        <w:t>alidación</w:t>
      </w:r>
    </w:p>
    <w:p w14:paraId="13F61EA1" w14:textId="77777777" w:rsidR="00D953B8" w:rsidRPr="00BB0D9C" w:rsidRDefault="00902769" w:rsidP="00D953B8">
      <w:pPr>
        <w:spacing w:before="120"/>
        <w:rPr>
          <w:rFonts w:cstheme="majorHAnsi"/>
          <w:szCs w:val="22"/>
        </w:rPr>
      </w:pPr>
      <w:r w:rsidRPr="00BB0D9C">
        <w:t>Cuando comenzó la segunda v</w:t>
      </w:r>
      <w:r w:rsidR="002C53ED" w:rsidRPr="00BB0D9C">
        <w:t xml:space="preserve">alidación en abril de 2019, Honduras no tenía un plan de trabajo vigente (2019) que estuviera disponible al público y que hubiese sido aprobado por el GMP. Según el informe anual de progreso de 2018 (p. 7), el Consejo Nacional del EITI estaba en proceso de aprobar el plan de trabajo para el período 2019-2020, pero hasta abril no se había logrado ningún resultado concreto. Este progreso también consta en las actas de la </w:t>
      </w:r>
      <w:bookmarkStart w:id="27" w:name="_Ref10638796"/>
      <w:r w:rsidR="002C53ED" w:rsidRPr="00BB0D9C">
        <w:t>reunión del GMP de marzo de 2019</w:t>
      </w:r>
      <w:bookmarkEnd w:id="27"/>
      <w:r w:rsidR="002C53ED" w:rsidRPr="00BB0D9C">
        <w:t>, en la cual la Secretaría de Finanzas (SEFIN) propuso crear un comité para la redacción del plan de trabajo</w:t>
      </w:r>
      <w:r w:rsidR="00D953B8" w:rsidRPr="00BB0D9C">
        <w:rPr>
          <w:rStyle w:val="FootnoteReference"/>
          <w:szCs w:val="22"/>
        </w:rPr>
        <w:footnoteReference w:id="64"/>
      </w:r>
      <w:r w:rsidR="008C24D1" w:rsidRPr="00BB0D9C">
        <w:t>.</w:t>
      </w:r>
      <w:r w:rsidRPr="00BB0D9C">
        <w:t xml:space="preserve"> </w:t>
      </w:r>
      <w:r w:rsidR="002C53ED" w:rsidRPr="00BB0D9C">
        <w:t>Posteriormente, durante la reunión del GMP de mayo de 2019, se confirmó que ya estaba redactado el plan de trabajo y que se lo examinaría con vistas a su aprobación en la reunión de junio de 2019</w:t>
      </w:r>
      <w:r w:rsidR="00D953B8" w:rsidRPr="00BB0D9C">
        <w:rPr>
          <w:rStyle w:val="FootnoteReference"/>
          <w:szCs w:val="22"/>
        </w:rPr>
        <w:footnoteReference w:id="65"/>
      </w:r>
      <w:r w:rsidR="001F4D70" w:rsidRPr="00BB0D9C">
        <w:t>.</w:t>
      </w:r>
    </w:p>
    <w:p w14:paraId="6401CB32" w14:textId="77777777" w:rsidR="00D953B8" w:rsidRPr="00BB0D9C" w:rsidRDefault="004E467D" w:rsidP="00D953B8">
      <w:pPr>
        <w:spacing w:before="120"/>
        <w:rPr>
          <w:rFonts w:cstheme="majorHAnsi"/>
          <w:szCs w:val="22"/>
        </w:rPr>
      </w:pPr>
      <w:r w:rsidRPr="00BB0D9C">
        <w:t xml:space="preserve">El último plan de trabajo de EITI Honduras disponible al público cuando comenzó la </w:t>
      </w:r>
      <w:r w:rsidR="00902769" w:rsidRPr="00BB0D9C">
        <w:t>v</w:t>
      </w:r>
      <w:r w:rsidRPr="00BB0D9C">
        <w:t>alidación abarcaba el período 2017-2018. Pese a estar disponible al público en el sitio web del IAIP de Honduras</w:t>
      </w:r>
      <w:r w:rsidR="00C75D8F" w:rsidRPr="00BB0D9C">
        <w:rPr>
          <w:rStyle w:val="FootnoteReference"/>
          <w:szCs w:val="22"/>
          <w:lang w:eastAsia="nb-NO"/>
        </w:rPr>
        <w:footnoteReference w:id="66"/>
      </w:r>
      <w:r w:rsidRPr="00BB0D9C">
        <w:t xml:space="preserve">, este plan presentaba las siguientes </w:t>
      </w:r>
      <w:r w:rsidR="00002469" w:rsidRPr="00BB0D9C">
        <w:t>deficiencias</w:t>
      </w:r>
      <w:r w:rsidRPr="00BB0D9C">
        <w:t xml:space="preserve">: </w:t>
      </w:r>
    </w:p>
    <w:p w14:paraId="33DD2CA9" w14:textId="77777777" w:rsidR="00C75D8F" w:rsidRPr="00BB0D9C" w:rsidRDefault="00D953B8" w:rsidP="00817533">
      <w:pPr>
        <w:pStyle w:val="ListParagraph"/>
        <w:numPr>
          <w:ilvl w:val="0"/>
          <w:numId w:val="38"/>
        </w:numPr>
        <w:rPr>
          <w:rFonts w:cstheme="majorHAnsi"/>
          <w:szCs w:val="22"/>
        </w:rPr>
      </w:pPr>
      <w:r w:rsidRPr="00BB0D9C">
        <w:t xml:space="preserve">El plan de trabajo </w:t>
      </w:r>
      <w:r w:rsidR="00902769" w:rsidRPr="00BB0D9C">
        <w:t xml:space="preserve">de 2017-2018 </w:t>
      </w:r>
      <w:r w:rsidRPr="00BB0D9C">
        <w:t>no parec</w:t>
      </w:r>
      <w:r w:rsidR="00902769" w:rsidRPr="00BB0D9C">
        <w:t>ía</w:t>
      </w:r>
      <w:r w:rsidRPr="00BB0D9C">
        <w:t xml:space="preserve"> ajustarse plenamente a las prioridades nacionales: de un total de 11 puntos de acción, 10 estaban relacionados de manera estrecha con la presentación de información relativa al EITI más que con las prioridades de reforma n</w:t>
      </w:r>
      <w:r w:rsidR="00002469" w:rsidRPr="00BB0D9C">
        <w:t xml:space="preserve">acionales en sentido </w:t>
      </w:r>
      <w:r w:rsidRPr="00BB0D9C">
        <w:t xml:space="preserve">amplio. </w:t>
      </w:r>
    </w:p>
    <w:p w14:paraId="47070DA9" w14:textId="77777777" w:rsidR="00C75D8F" w:rsidRPr="00BB0D9C" w:rsidRDefault="00C75D8F" w:rsidP="00124518">
      <w:pPr>
        <w:pStyle w:val="ListParagraph"/>
        <w:numPr>
          <w:ilvl w:val="0"/>
          <w:numId w:val="38"/>
        </w:numPr>
        <w:rPr>
          <w:rFonts w:cstheme="majorHAnsi"/>
          <w:szCs w:val="22"/>
        </w:rPr>
      </w:pPr>
      <w:r w:rsidRPr="00BB0D9C">
        <w:t>Carec</w:t>
      </w:r>
      <w:r w:rsidR="00902769" w:rsidRPr="00BB0D9C">
        <w:t>ía</w:t>
      </w:r>
      <w:r w:rsidRPr="00BB0D9C">
        <w:t xml:space="preserve"> de elementos que indiquen que el GMP </w:t>
      </w:r>
      <w:r w:rsidR="001233B9" w:rsidRPr="00BB0D9C">
        <w:t>había</w:t>
      </w:r>
      <w:r w:rsidRPr="00BB0D9C">
        <w:t xml:space="preserve"> analizado los resultados y el impacto de la implementación del EITI hasta la fecha y revisado los objetivos del plan de trabajo en función de ello.</w:t>
      </w:r>
    </w:p>
    <w:p w14:paraId="74A3E40F" w14:textId="77777777" w:rsidR="00D953B8" w:rsidRPr="00BB0D9C" w:rsidRDefault="00C75D8F" w:rsidP="00124518">
      <w:pPr>
        <w:pStyle w:val="ListParagraph"/>
        <w:numPr>
          <w:ilvl w:val="0"/>
          <w:numId w:val="38"/>
        </w:numPr>
        <w:rPr>
          <w:rFonts w:cstheme="majorHAnsi"/>
          <w:szCs w:val="22"/>
        </w:rPr>
      </w:pPr>
      <w:r w:rsidRPr="00BB0D9C">
        <w:t>El plan de trabajo no inclu</w:t>
      </w:r>
      <w:r w:rsidR="00902769" w:rsidRPr="00BB0D9C">
        <w:t>ía</w:t>
      </w:r>
      <w:r w:rsidRPr="00BB0D9C">
        <w:t xml:space="preserve"> un calendario. Si bien el objetivo 4 del plan de trabajo propon</w:t>
      </w:r>
      <w:r w:rsidR="00902769" w:rsidRPr="00BB0D9C">
        <w:t>ía</w:t>
      </w:r>
      <w:r w:rsidRPr="00BB0D9C">
        <w:t xml:space="preserve"> la inclusión de actividades </w:t>
      </w:r>
      <w:r w:rsidR="001233B9" w:rsidRPr="00BB0D9C">
        <w:t>medibles</w:t>
      </w:r>
      <w:r w:rsidRPr="00BB0D9C">
        <w:t xml:space="preserve"> y sujetas a plazo, muchas de las actividades que enuncia</w:t>
      </w:r>
      <w:r w:rsidR="00902769" w:rsidRPr="00BB0D9C">
        <w:t>ba carecía</w:t>
      </w:r>
      <w:r w:rsidRPr="00BB0D9C">
        <w:t>n de fechas específicas de finalización, y no ha</w:t>
      </w:r>
      <w:r w:rsidR="00902769" w:rsidRPr="00BB0D9C">
        <w:t>bía</w:t>
      </w:r>
      <w:r w:rsidRPr="00BB0D9C">
        <w:t xml:space="preserve"> un calendario general que permit</w:t>
      </w:r>
      <w:r w:rsidR="00902769" w:rsidRPr="00BB0D9C">
        <w:t xml:space="preserve">iera </w:t>
      </w:r>
      <w:r w:rsidRPr="00BB0D9C">
        <w:t>mantener un seguimiento constante del progreso.</w:t>
      </w:r>
      <w:r w:rsidR="00827CAC" w:rsidRPr="00BB0D9C">
        <w:t xml:space="preserve"> </w:t>
      </w:r>
    </w:p>
    <w:p w14:paraId="4E710138" w14:textId="77777777" w:rsidR="00C75D8F" w:rsidRPr="00BB0D9C" w:rsidRDefault="00C75D8F" w:rsidP="00124518">
      <w:pPr>
        <w:pStyle w:val="ListParagraph"/>
        <w:numPr>
          <w:ilvl w:val="0"/>
          <w:numId w:val="38"/>
        </w:numPr>
        <w:rPr>
          <w:rFonts w:cstheme="majorHAnsi"/>
          <w:szCs w:val="22"/>
        </w:rPr>
      </w:pPr>
      <w:r w:rsidRPr="00BB0D9C">
        <w:t>El objetivo 5 del plan de trabajo plantea</w:t>
      </w:r>
      <w:r w:rsidR="00902769" w:rsidRPr="00BB0D9C">
        <w:t>ba</w:t>
      </w:r>
      <w:r w:rsidRPr="00BB0D9C">
        <w:t xml:space="preserve"> el hecho de responder a las recomendaciones realizadas por el Secretariado Internacional. Sin embargo, no aborda</w:t>
      </w:r>
      <w:r w:rsidR="00902769" w:rsidRPr="00BB0D9C">
        <w:t>ba</w:t>
      </w:r>
      <w:r w:rsidRPr="00BB0D9C">
        <w:t xml:space="preserve"> ninguna de las medidas correctivas en términos específicos.</w:t>
      </w:r>
    </w:p>
    <w:p w14:paraId="60489F3A" w14:textId="77777777" w:rsidR="006208B9" w:rsidRPr="00BB0D9C" w:rsidRDefault="00C75D8F" w:rsidP="00D953B8">
      <w:pPr>
        <w:pStyle w:val="ListParagraph"/>
        <w:numPr>
          <w:ilvl w:val="0"/>
          <w:numId w:val="38"/>
        </w:numPr>
        <w:rPr>
          <w:rFonts w:cstheme="majorHAnsi"/>
          <w:szCs w:val="22"/>
        </w:rPr>
      </w:pPr>
      <w:r w:rsidRPr="00BB0D9C">
        <w:t>En lo que respecta al financiamiento, el plan de trabajo no c</w:t>
      </w:r>
      <w:r w:rsidR="00902769" w:rsidRPr="00BB0D9C">
        <w:t>ontaba</w:t>
      </w:r>
      <w:r w:rsidRPr="00BB0D9C">
        <w:t xml:space="preserve"> con una previsión total de costos, y algunas de sus actividades aparec</w:t>
      </w:r>
      <w:r w:rsidR="00902769" w:rsidRPr="00BB0D9C">
        <w:t>ían</w:t>
      </w:r>
      <w:r w:rsidRPr="00BB0D9C">
        <w:t xml:space="preserve"> sin ninguna referencia a posibles fuentes de financiamiento.</w:t>
      </w:r>
    </w:p>
    <w:p w14:paraId="5D1164C3" w14:textId="460F3160" w:rsidR="00D953B8" w:rsidRPr="00BB0D9C" w:rsidRDefault="00C75D8F" w:rsidP="00D953B8">
      <w:pPr>
        <w:pStyle w:val="ListParagraph"/>
        <w:numPr>
          <w:ilvl w:val="0"/>
          <w:numId w:val="38"/>
        </w:numPr>
        <w:rPr>
          <w:rFonts w:cstheme="majorHAnsi"/>
          <w:szCs w:val="22"/>
        </w:rPr>
      </w:pPr>
      <w:r w:rsidRPr="00BB0D9C">
        <w:t>Las actividades relacionadas con el alcance de las presentaciones de información pertinente al EITI no figura</w:t>
      </w:r>
      <w:r w:rsidR="00902769" w:rsidRPr="00BB0D9C">
        <w:t>ba</w:t>
      </w:r>
      <w:r w:rsidRPr="00BB0D9C">
        <w:t>n de manera expresa en el plan de trabajo. Pese a ello, sí aparec</w:t>
      </w:r>
      <w:r w:rsidR="00902769" w:rsidRPr="00BB0D9C">
        <w:t>ía</w:t>
      </w:r>
      <w:r w:rsidRPr="00BB0D9C">
        <w:t>n mencionadas en las actas de la re</w:t>
      </w:r>
      <w:r w:rsidR="001233B9" w:rsidRPr="00BB0D9C">
        <w:t xml:space="preserve">unión con el </w:t>
      </w:r>
      <w:r w:rsidR="00F25D44">
        <w:t>Administrador Independiente</w:t>
      </w:r>
      <w:r w:rsidRPr="00BB0D9C">
        <w:t xml:space="preserve"> (AI) celebrada en marzo de 2018, cuando se debatió el alcance del Informe EITI 2015-2016</w:t>
      </w:r>
      <w:r w:rsidR="006208B9" w:rsidRPr="00BB0D9C">
        <w:rPr>
          <w:rStyle w:val="FootnoteReference"/>
          <w:szCs w:val="22"/>
          <w:lang w:eastAsia="nb-NO"/>
        </w:rPr>
        <w:footnoteReference w:id="67"/>
      </w:r>
      <w:r w:rsidR="00A851F6" w:rsidRPr="00BB0D9C">
        <w:t>.</w:t>
      </w:r>
    </w:p>
    <w:p w14:paraId="7F536DDE" w14:textId="77777777" w:rsidR="00D953B8" w:rsidRPr="00BB0D9C" w:rsidRDefault="006208B9" w:rsidP="006208B9">
      <w:pPr>
        <w:pStyle w:val="ListParagraph"/>
        <w:numPr>
          <w:ilvl w:val="0"/>
          <w:numId w:val="38"/>
        </w:numPr>
        <w:rPr>
          <w:rFonts w:cstheme="majorHAnsi"/>
          <w:szCs w:val="22"/>
        </w:rPr>
      </w:pPr>
      <w:r w:rsidRPr="00BB0D9C">
        <w:t>En cuanto a las actividades destinadas a abordar los obstáculos de naturaleza legal o regulatoria, el plan de trabajo se centra</w:t>
      </w:r>
      <w:r w:rsidR="00902769" w:rsidRPr="00BB0D9C">
        <w:t>ba</w:t>
      </w:r>
      <w:r w:rsidRPr="00BB0D9C">
        <w:t xml:space="preserve"> en los artículos de la Ley General de Minería que el Tribunal Constitucional declaró inconstitucionales en 2017, y subraya</w:t>
      </w:r>
      <w:r w:rsidR="00902769" w:rsidRPr="00BB0D9C">
        <w:t>ba</w:t>
      </w:r>
      <w:r w:rsidRPr="00BB0D9C">
        <w:t xml:space="preserve"> que éstos incid</w:t>
      </w:r>
      <w:r w:rsidR="00902769" w:rsidRPr="00BB0D9C">
        <w:t>ía</w:t>
      </w:r>
      <w:r w:rsidRPr="00BB0D9C">
        <w:t>n de manera directa en el desarrollo del sector minero</w:t>
      </w:r>
      <w:r w:rsidRPr="00BB0D9C">
        <w:rPr>
          <w:rStyle w:val="FootnoteReference"/>
          <w:szCs w:val="22"/>
          <w:lang w:eastAsia="nb-NO"/>
        </w:rPr>
        <w:footnoteReference w:id="68"/>
      </w:r>
      <w:r w:rsidR="00B8096D" w:rsidRPr="00BB0D9C">
        <w:t>.</w:t>
      </w:r>
      <w:r w:rsidRPr="00BB0D9C">
        <w:t xml:space="preserve"> En este sentido, ofrec</w:t>
      </w:r>
      <w:r w:rsidR="00902769" w:rsidRPr="00BB0D9C">
        <w:t>ía</w:t>
      </w:r>
      <w:r w:rsidRPr="00BB0D9C">
        <w:t xml:space="preserve"> un plan general para enfrentar estas dificultades exigiendo a los funcionarios gubernamentales de alto nivel y a los integrantes del poder legislativo que reali</w:t>
      </w:r>
      <w:r w:rsidR="00902769" w:rsidRPr="00BB0D9C">
        <w:t>zara</w:t>
      </w:r>
      <w:r w:rsidRPr="00BB0D9C">
        <w:t>n las modificaciones correspondientes para que la autoridad minera pu</w:t>
      </w:r>
      <w:r w:rsidR="00902769" w:rsidRPr="00BB0D9C">
        <w:t>diera</w:t>
      </w:r>
      <w:r w:rsidRPr="00BB0D9C">
        <w:t xml:space="preserve"> expandir el sector extractivo. </w:t>
      </w:r>
    </w:p>
    <w:p w14:paraId="3EAAE678" w14:textId="77777777" w:rsidR="00902769" w:rsidRPr="00BB0D9C" w:rsidRDefault="00124518" w:rsidP="00D21A30">
      <w:pPr>
        <w:pStyle w:val="CommentText"/>
      </w:pPr>
      <w:r w:rsidRPr="00BB0D9C">
        <w:t xml:space="preserve">Durante las consultas con partes interesadas efectuadas en mayo de 2019, se interrogó al GMP y al Secretariado Nacional acerca del plan de trabajo correspondiente a los años 2019-2020. </w:t>
      </w:r>
      <w:r w:rsidR="0036129E" w:rsidRPr="00BB0D9C">
        <w:t>Aunque</w:t>
      </w:r>
      <w:r w:rsidRPr="00BB0D9C">
        <w:t xml:space="preserve"> se solicitó el documento, éste no fue presentado, y el Secretariado Nacional explicó que estaban en la etapa de conclusión del plan de trabajo para el período 2019-2020. </w:t>
      </w:r>
    </w:p>
    <w:p w14:paraId="3D585725" w14:textId="77777777" w:rsidR="00902769" w:rsidRPr="00BB0D9C" w:rsidRDefault="00902769" w:rsidP="00D21A30">
      <w:pPr>
        <w:pStyle w:val="CommentText"/>
      </w:pPr>
      <w:r w:rsidRPr="00BB0D9C">
        <w:t xml:space="preserve">El plan de trabajo del EITI para </w:t>
      </w:r>
      <w:r w:rsidR="00124518" w:rsidRPr="00BB0D9C">
        <w:t>2019</w:t>
      </w:r>
      <w:r w:rsidRPr="00BB0D9C">
        <w:t xml:space="preserve">-2020 sin embargo </w:t>
      </w:r>
      <w:r w:rsidR="00124518" w:rsidRPr="00BB0D9C">
        <w:t>se publicó en el sitio web del IAIP</w:t>
      </w:r>
      <w:r w:rsidR="000F5A6E" w:rsidRPr="00BB0D9C">
        <w:rPr>
          <w:rStyle w:val="FootnoteReference"/>
          <w:szCs w:val="22"/>
        </w:rPr>
        <w:footnoteReference w:id="69"/>
      </w:r>
      <w:r w:rsidRPr="00BB0D9C">
        <w:t xml:space="preserve"> más adelante, el 19 de julio de 2019</w:t>
      </w:r>
      <w:r w:rsidR="00124518" w:rsidRPr="00BB0D9C">
        <w:t xml:space="preserve">. </w:t>
      </w:r>
    </w:p>
    <w:p w14:paraId="01140036" w14:textId="77777777" w:rsidR="00902769" w:rsidRPr="00BB0D9C" w:rsidRDefault="00902769" w:rsidP="00902769">
      <w:pPr>
        <w:pStyle w:val="CommentText"/>
      </w:pPr>
      <w:r w:rsidRPr="00BB0D9C">
        <w:t xml:space="preserve">El plan de trabajo para 2019-2020 menciona en el preámbulo la situación problemática más amplia del sector, incluso incertidumbres legales y operaciones afectadas por conflictos sociales. También establece varios objetivos específicos, como mejorar la comprensión ciudadana de los ingresos del sector, </w:t>
      </w:r>
      <w:r w:rsidR="003C2C3A" w:rsidRPr="00BB0D9C">
        <w:t xml:space="preserve">hacer surgir consciencia sobre los datos del </w:t>
      </w:r>
      <w:r w:rsidRPr="00BB0D9C">
        <w:t xml:space="preserve">EITI, </w:t>
      </w:r>
      <w:r w:rsidR="003C2C3A" w:rsidRPr="00BB0D9C">
        <w:t>apoyar el monitoreo ambiental, la participación de la comunidad a través de los informes y mejorar la cooperación entre organismos</w:t>
      </w:r>
      <w:r w:rsidRPr="00BB0D9C">
        <w:t xml:space="preserve">. </w:t>
      </w:r>
      <w:r w:rsidR="003C2C3A" w:rsidRPr="00BB0D9C">
        <w:t xml:space="preserve">En términos de su marco, el plan de trabajo de </w:t>
      </w:r>
      <w:r w:rsidRPr="00BB0D9C">
        <w:t xml:space="preserve">2019-2020 </w:t>
      </w:r>
      <w:r w:rsidR="003C2C3A" w:rsidRPr="00BB0D9C">
        <w:t xml:space="preserve">establece fechas claras para la realización de las actividades que se enumeran y </w:t>
      </w:r>
      <w:r w:rsidRPr="00BB0D9C">
        <w:t>priori</w:t>
      </w:r>
      <w:r w:rsidR="003C2C3A" w:rsidRPr="00BB0D9C">
        <w:t xml:space="preserve">za el desarrollo de capacidades de los miembros del grupo de </w:t>
      </w:r>
      <w:proofErr w:type="spellStart"/>
      <w:r w:rsidR="003C2C3A" w:rsidRPr="00BB0D9C">
        <w:t>multipartícipes</w:t>
      </w:r>
      <w:proofErr w:type="spellEnd"/>
      <w:r w:rsidR="003C2C3A" w:rsidRPr="00BB0D9C">
        <w:t>, así como la búsqueda de nuevas fuentes de financiamiento que puedan apoyar y complementar los fondos provistos por el Gobierno hondureño</w:t>
      </w:r>
      <w:r w:rsidRPr="00BB0D9C">
        <w:t xml:space="preserve">. </w:t>
      </w:r>
      <w:r w:rsidR="003C2C3A" w:rsidRPr="00BB0D9C">
        <w:t>El plan de trabajo fue acordado por partes interesadas clave como el regulador de la minería</w:t>
      </w:r>
      <w:r w:rsidRPr="00BB0D9C">
        <w:t xml:space="preserve"> </w:t>
      </w:r>
      <w:r w:rsidR="00EB4DBE" w:rsidRPr="00BB0D9C">
        <w:t>INHGEOMIN</w:t>
      </w:r>
      <w:r w:rsidRPr="00BB0D9C">
        <w:t xml:space="preserve">, </w:t>
      </w:r>
      <w:r w:rsidR="003C2C3A" w:rsidRPr="00BB0D9C">
        <w:t>la oficina fiscal</w:t>
      </w:r>
      <w:r w:rsidRPr="00BB0D9C">
        <w:t xml:space="preserve">, </w:t>
      </w:r>
      <w:r w:rsidR="003C2C3A" w:rsidRPr="00BB0D9C">
        <w:t xml:space="preserve">el </w:t>
      </w:r>
      <w:r w:rsidRPr="00BB0D9C">
        <w:t xml:space="preserve">IAIP, </w:t>
      </w:r>
      <w:r w:rsidR="003C2C3A" w:rsidRPr="00BB0D9C">
        <w:t xml:space="preserve">la </w:t>
      </w:r>
      <w:r w:rsidRPr="00BB0D9C">
        <w:t>Secretar</w:t>
      </w:r>
      <w:r w:rsidR="003C2C3A" w:rsidRPr="00BB0D9C">
        <w:t xml:space="preserve">ía de Gobierno y el Ministerio de Recursos Naturales, asociaciones industriales y las asociaciones del sector privado más amplio </w:t>
      </w:r>
      <w:proofErr w:type="spellStart"/>
      <w:r w:rsidRPr="00BB0D9C">
        <w:t>Fedecamara</w:t>
      </w:r>
      <w:proofErr w:type="spellEnd"/>
      <w:r w:rsidRPr="00BB0D9C">
        <w:t xml:space="preserve"> </w:t>
      </w:r>
      <w:r w:rsidR="003C2C3A" w:rsidRPr="00BB0D9C">
        <w:t>y</w:t>
      </w:r>
      <w:r w:rsidRPr="00BB0D9C">
        <w:t xml:space="preserve"> ANDI, a</w:t>
      </w:r>
      <w:r w:rsidR="003C2C3A" w:rsidRPr="00BB0D9C">
        <w:t>sí como o</w:t>
      </w:r>
      <w:r w:rsidR="00BE7B94" w:rsidRPr="00BB0D9C">
        <w:t>r</w:t>
      </w:r>
      <w:r w:rsidR="003C2C3A" w:rsidRPr="00BB0D9C">
        <w:t xml:space="preserve">ganizaciones de la sociedad civil, incluso las agrupadas bajo </w:t>
      </w:r>
      <w:r w:rsidRPr="00BB0D9C">
        <w:t xml:space="preserve">FOPRIDEH </w:t>
      </w:r>
      <w:r w:rsidR="003C2C3A" w:rsidRPr="00BB0D9C">
        <w:t xml:space="preserve">y </w:t>
      </w:r>
      <w:r w:rsidRPr="00BB0D9C">
        <w:t>FONAC. FOPRIDEH inclu</w:t>
      </w:r>
      <w:r w:rsidR="003C2C3A" w:rsidRPr="00BB0D9C">
        <w:t>ye organizaciones de pueblos indígenas</w:t>
      </w:r>
      <w:r w:rsidRPr="00BB0D9C">
        <w:rPr>
          <w:rStyle w:val="FootnoteReference"/>
        </w:rPr>
        <w:footnoteReference w:id="70"/>
      </w:r>
      <w:r w:rsidRPr="00BB0D9C">
        <w:t xml:space="preserve">. </w:t>
      </w:r>
      <w:r w:rsidR="003C2C3A" w:rsidRPr="00BB0D9C">
        <w:t xml:space="preserve">El plan de trabajo incluye la extensión del </w:t>
      </w:r>
      <w:r w:rsidRPr="00BB0D9C">
        <w:t xml:space="preserve">EITI </w:t>
      </w:r>
      <w:r w:rsidR="003C2C3A" w:rsidRPr="00BB0D9C">
        <w:t xml:space="preserve">para abarcar la automatización de los datos de producción (sección </w:t>
      </w:r>
      <w:r w:rsidRPr="00BB0D9C">
        <w:t xml:space="preserve">10), </w:t>
      </w:r>
      <w:r w:rsidR="003C2C3A" w:rsidRPr="00BB0D9C">
        <w:t>el monitoreo ambiental</w:t>
      </w:r>
      <w:r w:rsidRPr="00BB0D9C">
        <w:t xml:space="preserve"> (sec</w:t>
      </w:r>
      <w:r w:rsidR="003C2C3A" w:rsidRPr="00BB0D9C">
        <w:t>ción</w:t>
      </w:r>
      <w:r w:rsidRPr="00BB0D9C">
        <w:t xml:space="preserve"> 12) </w:t>
      </w:r>
      <w:r w:rsidR="003C2C3A" w:rsidRPr="00BB0D9C">
        <w:t xml:space="preserve">y el establecimiento de una clasificación unívoca de las industrias </w:t>
      </w:r>
      <w:r w:rsidRPr="00BB0D9C">
        <w:t xml:space="preserve">a </w:t>
      </w:r>
      <w:r w:rsidR="003C2C3A" w:rsidRPr="00BB0D9C">
        <w:t>los fines impositivos</w:t>
      </w:r>
      <w:r w:rsidRPr="00BB0D9C">
        <w:t xml:space="preserve"> (obje</w:t>
      </w:r>
      <w:r w:rsidR="003C2C3A" w:rsidRPr="00BB0D9C">
        <w:t>tivo</w:t>
      </w:r>
      <w:r w:rsidRPr="00BB0D9C">
        <w:t xml:space="preserve"> 13). Final</w:t>
      </w:r>
      <w:r w:rsidR="003C2C3A" w:rsidRPr="00BB0D9C">
        <w:t xml:space="preserve">mente, las secciones </w:t>
      </w:r>
      <w:r w:rsidRPr="00BB0D9C">
        <w:t>2,</w:t>
      </w:r>
      <w:r w:rsidR="003C2C3A" w:rsidRPr="00BB0D9C">
        <w:t xml:space="preserve"> </w:t>
      </w:r>
      <w:r w:rsidRPr="00BB0D9C">
        <w:t>3,</w:t>
      </w:r>
      <w:r w:rsidR="003C2C3A" w:rsidRPr="00BB0D9C">
        <w:t xml:space="preserve"> </w:t>
      </w:r>
      <w:r w:rsidRPr="00BB0D9C">
        <w:t>4,</w:t>
      </w:r>
      <w:r w:rsidR="003C2C3A" w:rsidRPr="00BB0D9C">
        <w:t xml:space="preserve"> </w:t>
      </w:r>
      <w:r w:rsidRPr="00BB0D9C">
        <w:t xml:space="preserve">5 </w:t>
      </w:r>
      <w:r w:rsidR="003C2C3A" w:rsidRPr="00BB0D9C">
        <w:t xml:space="preserve">del plan de trabajo se alinean con la presentación de información relativa al </w:t>
      </w:r>
      <w:r w:rsidRPr="00BB0D9C">
        <w:t xml:space="preserve">EITI </w:t>
      </w:r>
      <w:r w:rsidR="003C2C3A" w:rsidRPr="00BB0D9C">
        <w:t>y el objetivo</w:t>
      </w:r>
      <w:r w:rsidRPr="00BB0D9C">
        <w:t xml:space="preserve"> 8 </w:t>
      </w:r>
      <w:r w:rsidR="003C2C3A" w:rsidRPr="00BB0D9C">
        <w:t>con las fechas de vencimiento de las validaciones</w:t>
      </w:r>
      <w:r w:rsidRPr="00BB0D9C">
        <w:rPr>
          <w:rStyle w:val="FootnoteReference"/>
        </w:rPr>
        <w:footnoteReference w:id="71"/>
      </w:r>
      <w:r w:rsidRPr="00BB0D9C">
        <w:t>.</w:t>
      </w:r>
    </w:p>
    <w:p w14:paraId="7758BBF4" w14:textId="77777777" w:rsidR="00EE5F75" w:rsidRPr="00BB0D9C" w:rsidRDefault="00EE5F75" w:rsidP="00EE5F75">
      <w:pPr>
        <w:pStyle w:val="Heading3"/>
      </w:pPr>
      <w:r w:rsidRPr="00BB0D9C">
        <w:t>Evaluación del Secretariado</w:t>
      </w:r>
    </w:p>
    <w:p w14:paraId="222F8385" w14:textId="77777777" w:rsidR="00DE36A0" w:rsidRPr="00BB0D9C" w:rsidRDefault="00DE36A0" w:rsidP="00DE36A0">
      <w:pPr>
        <w:spacing w:before="100" w:beforeAutospacing="1" w:after="100" w:afterAutospacing="1"/>
        <w:rPr>
          <w:u w:val="single"/>
        </w:rPr>
      </w:pPr>
      <w:r w:rsidRPr="00BB0D9C">
        <w:rPr>
          <w:u w:val="single"/>
        </w:rPr>
        <w:t>Al comienzo de la segunda validación, la evaluación del Secretariado Internacional es que Honduras no había abordado la medida correctiva relacionada con el plan de trabajo y no ha hecho un progreso satisfactorio hacia el cumplimiento del requisito 1.5. Sujeto a la consideración del Consejo de nueva información publicada después del comienzo de la segunda validación, la evaluación del Secretariado Internacional es que Honduras ha abordado la medida correctiva relacionada con el plan de trabajo y ha hecho un progreso satisfactorio hacia el cumplimiento del requisito 1.5.</w:t>
      </w:r>
    </w:p>
    <w:p w14:paraId="13D53858" w14:textId="77777777" w:rsidR="00DE36A0" w:rsidRPr="00BB0D9C" w:rsidRDefault="00DE36A0" w:rsidP="00DE36A0">
      <w:pPr>
        <w:spacing w:before="100" w:beforeAutospacing="1" w:after="100" w:afterAutospacing="1"/>
      </w:pPr>
      <w:r w:rsidRPr="00BB0D9C">
        <w:t>Al inicio de la segunda validación de Honduras en abril de 2019, la ausencia de un plan de trabajo era problemática. El plan de trabajo para 2019-2020 publicado en julio de 2019 corrige esta omisión y aborda las deficiencias identificadas en la versión anterior.</w:t>
      </w:r>
    </w:p>
    <w:p w14:paraId="75DF5631" w14:textId="77777777" w:rsidR="00DE36A0" w:rsidRPr="00BB0D9C" w:rsidRDefault="00DE36A0" w:rsidP="00DE36A0">
      <w:pPr>
        <w:spacing w:before="100" w:beforeAutospacing="1" w:after="100" w:afterAutospacing="1"/>
      </w:pPr>
      <w:r w:rsidRPr="00BB0D9C">
        <w:t xml:space="preserve">Si el Consejo del EITI acepta tener en cuenta el plan de trabajo actual, se puede llegar a la conclusión de que el grupo de </w:t>
      </w:r>
      <w:proofErr w:type="spellStart"/>
      <w:r w:rsidRPr="00BB0D9C">
        <w:t>multipartícipes</w:t>
      </w:r>
      <w:proofErr w:type="spellEnd"/>
      <w:r w:rsidRPr="00BB0D9C">
        <w:t xml:space="preserve"> de Honduras ha cumplido con el requisito 1.5 al contar con un plan de trabajo del EITI actualizado. Este plan se presentó de manera oportuna e incluye las actividades de 2019-2020 con objetivos específicos alineados con las prioridades nacionales para el sector extractivo; establece actividades con plazos temporales e identifica fuentes de financiamiento necesarias. </w:t>
      </w:r>
      <w:r w:rsidR="00AA46FD" w:rsidRPr="00BB0D9C">
        <w:t xml:space="preserve">También establece la sensibilización a distintos donantes como un medio para fortalecer la implementación del </w:t>
      </w:r>
      <w:r w:rsidRPr="00BB0D9C">
        <w:t xml:space="preserve">EITI </w:t>
      </w:r>
      <w:r w:rsidR="00AA46FD" w:rsidRPr="00BB0D9C">
        <w:t>e</w:t>
      </w:r>
      <w:r w:rsidRPr="00BB0D9C">
        <w:t>n Honduras.</w:t>
      </w:r>
    </w:p>
    <w:p w14:paraId="13FA87EB" w14:textId="77777777" w:rsidR="00DE36A0" w:rsidRPr="00BB0D9C" w:rsidRDefault="00AA46FD" w:rsidP="00DE36A0">
      <w:pPr>
        <w:spacing w:before="100" w:beforeAutospacing="1" w:after="100" w:afterAutospacing="1"/>
        <w:rPr>
          <w:iCs/>
        </w:rPr>
      </w:pPr>
      <w:r w:rsidRPr="00BB0D9C">
        <w:rPr>
          <w:i/>
          <w:iCs/>
        </w:rPr>
        <w:t>Si el Consejo no tiene en cuenta la nueva información publicada después del comienzo de la segunda validación</w:t>
      </w:r>
      <w:r w:rsidR="00DE36A0" w:rsidRPr="00BB0D9C">
        <w:rPr>
          <w:i/>
          <w:iCs/>
        </w:rPr>
        <w:t xml:space="preserve">, Honduras </w:t>
      </w:r>
      <w:r w:rsidRPr="00BB0D9C">
        <w:rPr>
          <w:i/>
          <w:iCs/>
        </w:rPr>
        <w:t>deberá abordar la siguiente medida correctiva</w:t>
      </w:r>
      <w:r w:rsidR="00DE36A0" w:rsidRPr="00BB0D9C">
        <w:rPr>
          <w:i/>
          <w:iCs/>
        </w:rPr>
        <w:t xml:space="preserve">: </w:t>
      </w:r>
      <w:r w:rsidRPr="00BB0D9C">
        <w:rPr>
          <w:iCs/>
        </w:rPr>
        <w:t xml:space="preserve">de acuerdo con el requisito </w:t>
      </w:r>
      <w:r w:rsidR="00DE36A0" w:rsidRPr="00BB0D9C">
        <w:rPr>
          <w:iCs/>
        </w:rPr>
        <w:t xml:space="preserve">1.5 a, </w:t>
      </w:r>
      <w:r w:rsidRPr="00BB0D9C">
        <w:rPr>
          <w:iCs/>
        </w:rPr>
        <w:t xml:space="preserve">el grupo de </w:t>
      </w:r>
      <w:proofErr w:type="spellStart"/>
      <w:r w:rsidRPr="00BB0D9C">
        <w:rPr>
          <w:iCs/>
        </w:rPr>
        <w:t>multipartícipes</w:t>
      </w:r>
      <w:proofErr w:type="spellEnd"/>
      <w:r w:rsidRPr="00BB0D9C">
        <w:rPr>
          <w:iCs/>
        </w:rPr>
        <w:t xml:space="preserve"> debe mantener un plan de trabajo vigente que establezca objetivos para la implementación del </w:t>
      </w:r>
      <w:r w:rsidR="00DE36A0" w:rsidRPr="00BB0D9C">
        <w:rPr>
          <w:iCs/>
        </w:rPr>
        <w:t xml:space="preserve">EITI </w:t>
      </w:r>
      <w:r w:rsidRPr="00BB0D9C">
        <w:rPr>
          <w:iCs/>
        </w:rPr>
        <w:t xml:space="preserve">que reflejen prioridades nacionales para las industrias extractivas. De acuerdo con el requisito </w:t>
      </w:r>
      <w:r w:rsidR="00DE36A0" w:rsidRPr="00BB0D9C">
        <w:rPr>
          <w:iCs/>
        </w:rPr>
        <w:t xml:space="preserve">1.5b, </w:t>
      </w:r>
      <w:r w:rsidRPr="00BB0D9C">
        <w:rPr>
          <w:iCs/>
        </w:rPr>
        <w:t>el plan de trabajo debe reflejar los resultados de consultas con partes interesadas clave</w:t>
      </w:r>
      <w:r w:rsidR="00DE36A0" w:rsidRPr="00BB0D9C">
        <w:rPr>
          <w:iCs/>
        </w:rPr>
        <w:t xml:space="preserve">. </w:t>
      </w:r>
    </w:p>
    <w:p w14:paraId="7A5F2D15" w14:textId="2CAC19B9" w:rsidR="004171F4" w:rsidRPr="000D76E2" w:rsidRDefault="00AA46FD" w:rsidP="009E57BC">
      <w:pPr>
        <w:spacing w:before="100" w:beforeAutospacing="1" w:after="100" w:afterAutospacing="1"/>
      </w:pPr>
      <w:r w:rsidRPr="00BB0D9C">
        <w:t xml:space="preserve">Para fortalecer la implementación, se recomienda que el grupo de </w:t>
      </w:r>
      <w:proofErr w:type="spellStart"/>
      <w:r w:rsidRPr="00BB0D9C">
        <w:t>multipartícipes</w:t>
      </w:r>
      <w:proofErr w:type="spellEnd"/>
      <w:r w:rsidRPr="00BB0D9C">
        <w:t xml:space="preserve"> tenga planes de trabajo detallados y oportunos que especifiquen las necesidades financieras, de logística y de personal para el proceso </w:t>
      </w:r>
      <w:r w:rsidR="00DE36A0" w:rsidRPr="00BB0D9C">
        <w:t xml:space="preserve">EITI </w:t>
      </w:r>
      <w:r w:rsidRPr="00BB0D9C">
        <w:t xml:space="preserve">en </w:t>
      </w:r>
      <w:r w:rsidR="00DE36A0" w:rsidRPr="00BB0D9C">
        <w:t xml:space="preserve">Honduras. </w:t>
      </w:r>
      <w:r w:rsidRPr="00BB0D9C">
        <w:t xml:space="preserve">Esos planes deben generarse a partir de los </w:t>
      </w:r>
      <w:r w:rsidR="00DE36A0" w:rsidRPr="00BB0D9C">
        <w:t xml:space="preserve">debates </w:t>
      </w:r>
      <w:r w:rsidRPr="00BB0D9C">
        <w:t xml:space="preserve">de los tres grupos y proponer medidas detalladas y con plazos específicos destinadas a abordar las deficiencias y los nuevos aspectos de las implementaciones del </w:t>
      </w:r>
      <w:r w:rsidR="00DE36A0" w:rsidRPr="00BB0D9C">
        <w:t xml:space="preserve">EITI, </w:t>
      </w:r>
      <w:r w:rsidRPr="00BB0D9C">
        <w:t xml:space="preserve">como la presentación de información a nivel de proyectos, la divulgación de beneficiarios reales y la transparencia de los contratos. Se alienta al grupo de </w:t>
      </w:r>
      <w:proofErr w:type="spellStart"/>
      <w:r w:rsidRPr="00BB0D9C">
        <w:t>multipartícipes</w:t>
      </w:r>
      <w:proofErr w:type="spellEnd"/>
      <w:r w:rsidRPr="00BB0D9C">
        <w:t xml:space="preserve"> a desarrollar un plan de trabajo que se centre en un enfoque hacia la implementación del </w:t>
      </w:r>
      <w:r w:rsidR="00DE36A0" w:rsidRPr="00BB0D9C">
        <w:t xml:space="preserve">EITI </w:t>
      </w:r>
      <w:r w:rsidRPr="00BB0D9C">
        <w:t>que sea proporcional a la magnitud y las prioridades del sector extractivo de</w:t>
      </w:r>
      <w:r w:rsidR="00DE36A0" w:rsidRPr="00BB0D9C">
        <w:t xml:space="preserve"> Honduras.</w:t>
      </w:r>
    </w:p>
    <w:p w14:paraId="30517564" w14:textId="77777777" w:rsidR="004171F4" w:rsidRPr="00BB0D9C" w:rsidRDefault="004171F4" w:rsidP="00A33242">
      <w:pPr>
        <w:pStyle w:val="Heading2"/>
        <w:numPr>
          <w:ilvl w:val="1"/>
          <w:numId w:val="43"/>
        </w:numPr>
      </w:pPr>
      <w:bookmarkStart w:id="29" w:name="_Toc45021598"/>
      <w:r w:rsidRPr="00BB0D9C">
        <w:t>Medida correctiva 5: Exhaustividad (</w:t>
      </w:r>
      <w:proofErr w:type="spellStart"/>
      <w:r w:rsidR="00AA46FD" w:rsidRPr="00BB0D9C">
        <w:t>n.°</w:t>
      </w:r>
      <w:proofErr w:type="spellEnd"/>
      <w:r w:rsidR="00AA46FD" w:rsidRPr="00BB0D9C">
        <w:t> </w:t>
      </w:r>
      <w:r w:rsidRPr="00BB0D9C">
        <w:t>4.1)</w:t>
      </w:r>
      <w:bookmarkEnd w:id="29"/>
    </w:p>
    <w:p w14:paraId="4011536C" w14:textId="77777777" w:rsidR="004171F4" w:rsidRPr="00BB0D9C" w:rsidRDefault="004171F4" w:rsidP="004171F4">
      <w:pPr>
        <w:shd w:val="clear" w:color="auto" w:fill="D9D9D9" w:themeFill="background1" w:themeFillShade="D9"/>
      </w:pPr>
      <w:r w:rsidRPr="00BB0D9C">
        <w:t>Conforme al Requisito 4.1, el GMP debería garantizar que las futuras presentaciones de información respeten los términos de referencia estándar aprobados por el Consejo EITI. En particular, el GMP debería adoptar una definición de importancia relativa que garantice que el alcance del proceso de presentación de información sea exhaustivo y que todas las empresas de importancia relativa participen. Se alienta al GMP a trabajar con las autoridades gubernamentales, incluidos el INH</w:t>
      </w:r>
      <w:r w:rsidR="006359E0" w:rsidRPr="00BB0D9C">
        <w:t>G</w:t>
      </w:r>
      <w:r w:rsidRPr="00BB0D9C">
        <w:t>EOMIN y el SAR, con vistas a desarrollar un protocolo de clasificación que garantice la clara identificación del universo de empresas mineras.</w:t>
      </w:r>
    </w:p>
    <w:p w14:paraId="73BA24C2" w14:textId="77777777" w:rsidR="004171F4" w:rsidRPr="00BB0D9C" w:rsidRDefault="004171F4" w:rsidP="004171F4">
      <w:pPr>
        <w:pStyle w:val="Heading3"/>
      </w:pPr>
      <w:r w:rsidRPr="00BB0D9C">
        <w:t xml:space="preserve">Conclusiones de la primera </w:t>
      </w:r>
      <w:r w:rsidR="006359E0" w:rsidRPr="00BB0D9C">
        <w:t>v</w:t>
      </w:r>
      <w:r w:rsidRPr="00BB0D9C">
        <w:t>alidación</w:t>
      </w:r>
    </w:p>
    <w:p w14:paraId="47210E1A" w14:textId="77777777" w:rsidR="00141C9A" w:rsidRPr="00BB0D9C" w:rsidRDefault="004171F4" w:rsidP="00141C9A">
      <w:r w:rsidRPr="00BB0D9C">
        <w:t xml:space="preserve">En la primera </w:t>
      </w:r>
      <w:r w:rsidR="006359E0" w:rsidRPr="00BB0D9C">
        <w:t>v</w:t>
      </w:r>
      <w:r w:rsidRPr="00BB0D9C">
        <w:t xml:space="preserve">alidación se llegó a la conclusión de que Honduras había logrado un progreso significativo en el cumplimiento del requisito 4.1. En ese entonces, EITI Honduras había adoptado una definición de importancia relativa antes de encomendar el Informe EITI 2014, y guiándose por los debates sobre importancia relativa y las enseñanzas obtenidas del Informe EITI 2012-2013. Se solicitó al Administrador Independiente que comentara la propuesta de definición (INVEST-Honduras, 2015), y finalmente se estableció la importancia relativa como una meta de cobertura (expresada como un porcentaje) sobre la base del valor de la producción. Esto terminó siendo bastante problemático, ya que la definición de importancia relativa que se adoptó no establecía con claridad qué constituía un pago de importancia relativa. En los hechos, esto implicó, por ejemplo, que una empresa que era responsable por el 8,25% del valor total de la producción quedara fuera del proceso de presentación de información. Si bien el universo de flujos de ingresos comprendidos parecía ser exhaustivo, algunos flujos que parecían carecer de importancia relativa se incluyeron en las plantillas para la presentación de información. </w:t>
      </w:r>
    </w:p>
    <w:p w14:paraId="5A26DD60" w14:textId="77777777" w:rsidR="009E3025" w:rsidRPr="00BB0D9C" w:rsidRDefault="00141C9A" w:rsidP="00141C9A">
      <w:r w:rsidRPr="00BB0D9C">
        <w:t xml:space="preserve">Esto sugería fallas en el análisis que había conducido al acuerdo respecto de qué ingresos debían </w:t>
      </w:r>
      <w:r w:rsidR="00BE06D6" w:rsidRPr="00BB0D9C">
        <w:t xml:space="preserve">incluirse. </w:t>
      </w:r>
      <w:r w:rsidRPr="00BB0D9C">
        <w:t>El AI confirmó que una cantidad significativa de municipios no había presentado información</w:t>
      </w:r>
      <w:r w:rsidR="00860FBF" w:rsidRPr="00BB0D9C">
        <w:t>;</w:t>
      </w:r>
      <w:r w:rsidRPr="00BB0D9C">
        <w:t xml:space="preserve"> también explicó que se le había solicitado que conciliara la lista de </w:t>
      </w:r>
      <w:r w:rsidR="00860FBF" w:rsidRPr="00BB0D9C">
        <w:t>siete</w:t>
      </w:r>
      <w:r w:rsidRPr="00BB0D9C">
        <w:t xml:space="preserve"> empresas (de minería metálica y no metálica) que había recibido. Debido al poco tiempo disponible para elaborar el informe (tres semanas a finales de 2015), el AI explicó que no había podido confirmar su exhaustividad (si bien esto constituía un requisito de sus términos de referencia). </w:t>
      </w:r>
    </w:p>
    <w:p w14:paraId="2007953A" w14:textId="77777777" w:rsidR="004171F4" w:rsidRPr="00BB0D9C" w:rsidRDefault="00141C9A" w:rsidP="00141C9A">
      <w:r w:rsidRPr="00BB0D9C">
        <w:t>La falta de una clasificación adecuada de las empresas extractivas en la agencia tributaria obstaculizó la identificación del universo completo de empresas mineras que pagaban impuestos y, por consiguiente, la divulgación del total de ingresos recibidos por el SAR (</w:t>
      </w:r>
      <w:r w:rsidR="00860FBF" w:rsidRPr="00BB0D9C">
        <w:t>el organismo</w:t>
      </w:r>
      <w:r w:rsidRPr="00BB0D9C">
        <w:t xml:space="preserve"> </w:t>
      </w:r>
      <w:r w:rsidR="00860FBF" w:rsidRPr="00BB0D9C">
        <w:t>fiscal</w:t>
      </w:r>
      <w:r w:rsidR="00BA0838" w:rsidRPr="00BB0D9C">
        <w:t>). El SAR confirmó que no tenía</w:t>
      </w:r>
      <w:r w:rsidRPr="00BB0D9C">
        <w:t xml:space="preserve"> un sistema de clasificación de empresas que le permitiera conocer con exactitud el universo total de empresas extractivas. En este sentido, explicó que, a fin de calcular ese universo, recurrió al INHGEOMIN para saber qué empresas tenían licencias activas de explotación en ese momento. En relación con esto, el INHGEOMIN confirmó que se basaba en la información catastral y en la información de la oficina de aduanas para calcular qué empresas estaban produciendo (sobre la base de los datos sobre exportación). </w:t>
      </w:r>
    </w:p>
    <w:p w14:paraId="5DF49461" w14:textId="77777777" w:rsidR="004171F4" w:rsidRPr="00BB0D9C" w:rsidRDefault="004171F4" w:rsidP="004171F4">
      <w:pPr>
        <w:pStyle w:val="Heading3"/>
      </w:pPr>
      <w:r w:rsidRPr="00BB0D9C">
        <w:t xml:space="preserve">Progreso desde la </w:t>
      </w:r>
      <w:r w:rsidR="00860FBF" w:rsidRPr="00BB0D9C">
        <w:t>primera v</w:t>
      </w:r>
      <w:r w:rsidRPr="00BB0D9C">
        <w:t>alidación</w:t>
      </w:r>
    </w:p>
    <w:p w14:paraId="0AED43EE" w14:textId="77777777" w:rsidR="009E3025" w:rsidRPr="00BB0D9C" w:rsidRDefault="00697776" w:rsidP="009E3025">
      <w:pPr>
        <w:pStyle w:val="NormalWeb"/>
        <w:spacing w:line="276" w:lineRule="auto"/>
        <w:rPr>
          <w:rFonts w:eastAsiaTheme="minorEastAsia" w:cstheme="minorBidi"/>
          <w:sz w:val="22"/>
          <w:szCs w:val="22"/>
        </w:rPr>
      </w:pPr>
      <w:r w:rsidRPr="00BB0D9C">
        <w:rPr>
          <w:sz w:val="22"/>
          <w:szCs w:val="22"/>
        </w:rPr>
        <w:t xml:space="preserve">Desde la primera </w:t>
      </w:r>
      <w:r w:rsidR="00860FBF" w:rsidRPr="00BB0D9C">
        <w:rPr>
          <w:sz w:val="22"/>
          <w:szCs w:val="22"/>
        </w:rPr>
        <w:t>v</w:t>
      </w:r>
      <w:r w:rsidRPr="00BB0D9C">
        <w:rPr>
          <w:sz w:val="22"/>
          <w:szCs w:val="22"/>
        </w:rPr>
        <w:t xml:space="preserve">alidación, el GMP ha llevado a cabo iniciativas para desarrollar un protocolo de clasificación que garantice la clara identificación del universo de empresas mineras con vistas a las futuras presentaciones de información. En ese sentido, EITI Honduras ha redactado un borrador de plan de colaboración entre el INHGEOMIN y el SAR destinado a fortalecer los procedimientos regulatorios para la clasificación e identificación de las empresas del sector extractivo, como se destaca en el Informe EITI </w:t>
      </w:r>
      <w:r w:rsidR="00860FBF" w:rsidRPr="00BB0D9C">
        <w:rPr>
          <w:sz w:val="22"/>
          <w:szCs w:val="22"/>
        </w:rPr>
        <w:t xml:space="preserve">de 2015-2016 </w:t>
      </w:r>
      <w:r w:rsidRPr="00BB0D9C">
        <w:rPr>
          <w:sz w:val="22"/>
          <w:szCs w:val="22"/>
        </w:rPr>
        <w:t xml:space="preserve">(pp. 104-106). </w:t>
      </w:r>
      <w:r w:rsidR="00860FBF" w:rsidRPr="00BB0D9C">
        <w:rPr>
          <w:sz w:val="22"/>
          <w:szCs w:val="22"/>
        </w:rPr>
        <w:t>Este convenio se firmó el 10 de junio de 2019 entre INHGEOMIN y SAR</w:t>
      </w:r>
      <w:r w:rsidRPr="00BB0D9C">
        <w:rPr>
          <w:sz w:val="22"/>
          <w:szCs w:val="22"/>
        </w:rPr>
        <w:t>.</w:t>
      </w:r>
      <w:r w:rsidR="00827CAC" w:rsidRPr="00BB0D9C">
        <w:rPr>
          <w:sz w:val="22"/>
          <w:szCs w:val="22"/>
        </w:rPr>
        <w:t xml:space="preserve"> </w:t>
      </w:r>
    </w:p>
    <w:p w14:paraId="4B53AA26" w14:textId="77777777" w:rsidR="00ED1CD9" w:rsidRPr="00BB0D9C" w:rsidRDefault="00E16BAD" w:rsidP="00A33242">
      <w:pPr>
        <w:pStyle w:val="NormalWeb"/>
        <w:spacing w:line="276" w:lineRule="auto"/>
        <w:rPr>
          <w:sz w:val="22"/>
          <w:szCs w:val="22"/>
        </w:rPr>
      </w:pPr>
      <w:r w:rsidRPr="00BB0D9C">
        <w:rPr>
          <w:i/>
          <w:sz w:val="22"/>
          <w:szCs w:val="22"/>
          <w:u w:val="single"/>
        </w:rPr>
        <w:t>Umbral de importancia relativa para los flujo</w:t>
      </w:r>
      <w:r w:rsidR="00860FBF" w:rsidRPr="00BB0D9C">
        <w:rPr>
          <w:i/>
          <w:sz w:val="22"/>
          <w:szCs w:val="22"/>
          <w:u w:val="single"/>
        </w:rPr>
        <w:t>s</w:t>
      </w:r>
      <w:r w:rsidRPr="00BB0D9C">
        <w:rPr>
          <w:i/>
          <w:sz w:val="22"/>
          <w:szCs w:val="22"/>
          <w:u w:val="single"/>
        </w:rPr>
        <w:t xml:space="preserve"> de ingresos:</w:t>
      </w:r>
      <w:bookmarkStart w:id="30" w:name="_Hlk8923756"/>
      <w:r w:rsidR="00860FBF" w:rsidRPr="00BB0D9C">
        <w:rPr>
          <w:i/>
          <w:sz w:val="22"/>
          <w:szCs w:val="22"/>
          <w:u w:val="single"/>
        </w:rPr>
        <w:t xml:space="preserve"> </w:t>
      </w:r>
      <w:r w:rsidR="00450D0B" w:rsidRPr="00BB0D9C">
        <w:rPr>
          <w:sz w:val="22"/>
          <w:szCs w:val="22"/>
        </w:rPr>
        <w:t>e</w:t>
      </w:r>
      <w:r w:rsidRPr="00BB0D9C">
        <w:rPr>
          <w:sz w:val="22"/>
          <w:szCs w:val="22"/>
        </w:rPr>
        <w:t xml:space="preserve">l Informe EITI 2015-2016 no contiene elementos que indiquen la existencia de un enfoque claro para establecer un umbral de importancia relativa. El informe no hace referencia a una decisión explícita del GMP que establezca un umbral de importancia relativa claro para seleccionar los flujos de ingresos a conciliar. </w:t>
      </w:r>
      <w:bookmarkEnd w:id="30"/>
    </w:p>
    <w:p w14:paraId="63B33F7B" w14:textId="4FE60452" w:rsidR="00ED1CD9" w:rsidRPr="00BB0D9C" w:rsidRDefault="00ED1CD9" w:rsidP="00ED1CD9">
      <w:pPr>
        <w:spacing w:before="120"/>
        <w:rPr>
          <w:bCs/>
          <w:szCs w:val="22"/>
          <w:highlight w:val="yellow"/>
        </w:rPr>
      </w:pPr>
      <w:r w:rsidRPr="00BB0D9C">
        <w:t xml:space="preserve">El abordaje del GMP consistía en incluir 15 flujos de ingresos (reunión del GMP </w:t>
      </w:r>
      <w:bookmarkStart w:id="31" w:name="_Ref10707805"/>
      <w:r w:rsidRPr="00BB0D9C">
        <w:t>con las actas del AI, p</w:t>
      </w:r>
      <w:r w:rsidR="00690D9B" w:rsidRPr="00BB0D9C">
        <w:t>.</w:t>
      </w:r>
      <w:r w:rsidR="00690D9B">
        <w:t> </w:t>
      </w:r>
      <w:r w:rsidRPr="00BB0D9C">
        <w:t>3)</w:t>
      </w:r>
      <w:bookmarkEnd w:id="31"/>
      <w:r w:rsidRPr="00BB0D9C">
        <w:t xml:space="preserve"> y encomendarle al AI que corroborase su decisión</w:t>
      </w:r>
      <w:r w:rsidRPr="00BB0D9C">
        <w:rPr>
          <w:rStyle w:val="FootnoteReference"/>
          <w:szCs w:val="22"/>
        </w:rPr>
        <w:footnoteReference w:id="72"/>
      </w:r>
      <w:r w:rsidRPr="00BB0D9C">
        <w:t xml:space="preserve">, aunque no queda claro el criterio para la selección por parte del GMP de esos 15 flujos de ingresos. Sin embargo, el Informe EITI </w:t>
      </w:r>
      <w:r w:rsidR="00860FBF" w:rsidRPr="00BB0D9C">
        <w:t xml:space="preserve">de 2015-2016 </w:t>
      </w:r>
      <w:r w:rsidRPr="00BB0D9C">
        <w:t xml:space="preserve">finalmente incluyó 19 flujos de ingresos dentro del alcance de la conciliación (p. 59). Pese a eso, el Informe EITI </w:t>
      </w:r>
      <w:r w:rsidR="00860FBF" w:rsidRPr="00BB0D9C">
        <w:t xml:space="preserve">de 2015-2016 </w:t>
      </w:r>
      <w:r w:rsidRPr="00BB0D9C">
        <w:t xml:space="preserve">demuestra que no se recaudó ningún ingreso en el período </w:t>
      </w:r>
      <w:r w:rsidR="00860FBF" w:rsidRPr="00BB0D9C">
        <w:t>bajo revisión</w:t>
      </w:r>
      <w:r w:rsidRPr="00BB0D9C">
        <w:t xml:space="preserve"> bajo varios de los flujos de ingresos seleccionados para la conciliación (pp. 70-87), lo cual genera bastante preocupación en cuanto a la exhaustividad del abordaje del GMP para seleccionar los flujos de ingresos de importancia relativa. </w:t>
      </w:r>
    </w:p>
    <w:p w14:paraId="6E973D0E" w14:textId="77777777" w:rsidR="00860FBF" w:rsidRPr="00BB0D9C" w:rsidRDefault="00ED1CD9" w:rsidP="00ED1CD9">
      <w:pPr>
        <w:spacing w:before="120"/>
      </w:pPr>
      <w:r w:rsidRPr="00BB0D9C">
        <w:t>Las actas de reunión del GMP antes mencionadas contienen un mapeo de todos los flujos de ingresos recibidos por el INHGEOMIN y sus valores en el período 2015-2016 (en términos porcentuales)</w:t>
      </w:r>
      <w:r w:rsidRPr="00BB0D9C">
        <w:rPr>
          <w:rStyle w:val="FootnoteReference"/>
          <w:szCs w:val="22"/>
        </w:rPr>
        <w:footnoteReference w:id="73"/>
      </w:r>
      <w:r w:rsidR="004F3271" w:rsidRPr="00BB0D9C">
        <w:t>.</w:t>
      </w:r>
      <w:r w:rsidRPr="00BB0D9C">
        <w:t xml:space="preserve"> </w:t>
      </w:r>
      <w:r w:rsidR="00860FBF" w:rsidRPr="00BB0D9C">
        <w:t>Con</w:t>
      </w:r>
      <w:r w:rsidRPr="00BB0D9C">
        <w:t xml:space="preserve"> base </w:t>
      </w:r>
      <w:r w:rsidR="00860FBF" w:rsidRPr="00BB0D9C">
        <w:t>en</w:t>
      </w:r>
      <w:r w:rsidRPr="00BB0D9C">
        <w:t xml:space="preserve"> la información facilitada, el GMP y el AI concluyeron que los flujos de ingresos recibidos por el INHGEOMIN que habían quedado fuera del alcance de las presentaciones de información relativa al EITI eran apenas marginales y que su omisión no parecía afectar la exhaustividad del </w:t>
      </w:r>
      <w:r w:rsidR="00860FBF" w:rsidRPr="00BB0D9C">
        <w:t>I</w:t>
      </w:r>
      <w:r w:rsidRPr="00BB0D9C">
        <w:t>nforme</w:t>
      </w:r>
      <w:r w:rsidR="00860FBF" w:rsidRPr="00BB0D9C">
        <w:t xml:space="preserve"> EITI de 2015-2016 (p. 59)</w:t>
      </w:r>
      <w:r w:rsidR="002D19D4" w:rsidRPr="00BB0D9C">
        <w:rPr>
          <w:rStyle w:val="FootnoteReference"/>
          <w:bCs/>
          <w:szCs w:val="22"/>
        </w:rPr>
        <w:footnoteReference w:id="74"/>
      </w:r>
      <w:r w:rsidRPr="00BB0D9C">
        <w:t xml:space="preserve">. Sin embargo, el Informe EITI </w:t>
      </w:r>
      <w:r w:rsidR="00860FBF" w:rsidRPr="00BB0D9C">
        <w:t xml:space="preserve">de 2015-2016 </w:t>
      </w:r>
      <w:r w:rsidRPr="00BB0D9C">
        <w:t>confirma que los flujos de ingresos que no se consideraron de importancia relativa representaban, sumados entre sí, un aporte de aproximadamente un 15% de los ingresos gubernamentales de origen extractivo que había recaudado el INHGEOMIN en el período 2015-2016. Las actas de reunión del GMP, empero, resaltaban que el SAR no había podido facilitar datos similares. El SAR divulgó el total de ingresos obtenidos por las empresas informantes y el total de ingresos gubernamentales percibidos por el universo de empresas, sin realizar ningún desglose por flujo de ingresos.</w:t>
      </w:r>
    </w:p>
    <w:p w14:paraId="3B0E2717" w14:textId="77777777" w:rsidR="00860FBF" w:rsidRPr="00BB0D9C" w:rsidRDefault="00860FBF" w:rsidP="00860FBF">
      <w:pPr>
        <w:spacing w:before="120"/>
        <w:rPr>
          <w:bCs/>
        </w:rPr>
      </w:pPr>
      <w:r w:rsidRPr="00BB0D9C">
        <w:rPr>
          <w:bCs/>
        </w:rPr>
        <w:t xml:space="preserve">Después del comienzo de la segunda validación, Honduras publicó su Informe EITI de 2017-2018 el 10 de febrero de 2020. El informe documenta la decisión del grupo de </w:t>
      </w:r>
      <w:proofErr w:type="spellStart"/>
      <w:r w:rsidRPr="00BB0D9C">
        <w:rPr>
          <w:bCs/>
        </w:rPr>
        <w:t>multipartícipes</w:t>
      </w:r>
      <w:proofErr w:type="spellEnd"/>
      <w:r w:rsidRPr="00BB0D9C">
        <w:rPr>
          <w:bCs/>
        </w:rPr>
        <w:t xml:space="preserve"> del 19 de agosto de 2019 con respecto a la definición de importancia relativa para el Informe EITI de 2017-</w:t>
      </w:r>
      <w:r w:rsidR="00EB4DBE" w:rsidRPr="00BB0D9C">
        <w:rPr>
          <w:bCs/>
        </w:rPr>
        <w:t xml:space="preserve">2018. </w:t>
      </w:r>
      <w:r w:rsidRPr="00BB0D9C">
        <w:rPr>
          <w:bCs/>
        </w:rPr>
        <w:t>La definición se basa en los datos de exportaciones y comprend</w:t>
      </w:r>
      <w:r w:rsidR="00B96E35" w:rsidRPr="00BB0D9C">
        <w:rPr>
          <w:bCs/>
        </w:rPr>
        <w:t>i</w:t>
      </w:r>
      <w:r w:rsidRPr="00BB0D9C">
        <w:rPr>
          <w:bCs/>
        </w:rPr>
        <w:t xml:space="preserve">ó una cobertura objetivo del 85% </w:t>
      </w:r>
      <w:r w:rsidR="00B96E35" w:rsidRPr="00BB0D9C">
        <w:rPr>
          <w:bCs/>
        </w:rPr>
        <w:t xml:space="preserve">del </w:t>
      </w:r>
      <w:r w:rsidRPr="00BB0D9C">
        <w:rPr>
          <w:bCs/>
        </w:rPr>
        <w:t xml:space="preserve">total </w:t>
      </w:r>
      <w:r w:rsidR="00B96E35" w:rsidRPr="00BB0D9C">
        <w:rPr>
          <w:bCs/>
        </w:rPr>
        <w:t xml:space="preserve">de flujos de ingresos </w:t>
      </w:r>
      <w:r w:rsidRPr="00BB0D9C">
        <w:rPr>
          <w:bCs/>
        </w:rPr>
        <w:t xml:space="preserve">(p. 90). </w:t>
      </w:r>
      <w:r w:rsidR="00B96E35" w:rsidRPr="00BB0D9C">
        <w:rPr>
          <w:bCs/>
        </w:rPr>
        <w:t>La definición no establecía un umbral en moneda local</w:t>
      </w:r>
      <w:r w:rsidRPr="00BB0D9C">
        <w:rPr>
          <w:bCs/>
        </w:rPr>
        <w:t xml:space="preserve"> (Lempiras) o</w:t>
      </w:r>
      <w:r w:rsidR="00B96E35" w:rsidRPr="00BB0D9C">
        <w:rPr>
          <w:bCs/>
        </w:rPr>
        <w:t xml:space="preserve"> dólares estadounidenses. El informe incluye </w:t>
      </w:r>
      <w:r w:rsidRPr="00BB0D9C">
        <w:rPr>
          <w:bCs/>
        </w:rPr>
        <w:t xml:space="preserve">16 </w:t>
      </w:r>
      <w:r w:rsidR="00B96E35" w:rsidRPr="00BB0D9C">
        <w:rPr>
          <w:bCs/>
        </w:rPr>
        <w:t>flujos de ingresos en los ámbitos nacional y locales</w:t>
      </w:r>
      <w:r w:rsidRPr="00BB0D9C">
        <w:rPr>
          <w:bCs/>
        </w:rPr>
        <w:t>.</w:t>
      </w:r>
    </w:p>
    <w:p w14:paraId="28FE7180" w14:textId="77777777" w:rsidR="00ED1CD9" w:rsidRPr="00BB0D9C" w:rsidRDefault="00E16BAD" w:rsidP="00BB4455">
      <w:pPr>
        <w:pStyle w:val="NormalWeb"/>
        <w:spacing w:line="276" w:lineRule="auto"/>
        <w:rPr>
          <w:rFonts w:cstheme="majorHAnsi"/>
          <w:sz w:val="22"/>
          <w:szCs w:val="22"/>
        </w:rPr>
      </w:pPr>
      <w:r w:rsidRPr="00BB0D9C">
        <w:rPr>
          <w:i/>
          <w:sz w:val="22"/>
          <w:szCs w:val="22"/>
          <w:u w:val="single"/>
        </w:rPr>
        <w:t>Descripción de los flujos de ingresos de importancia relativa:</w:t>
      </w:r>
      <w:r w:rsidR="00B96E35" w:rsidRPr="00BB0D9C">
        <w:rPr>
          <w:i/>
          <w:sz w:val="22"/>
          <w:szCs w:val="22"/>
          <w:u w:val="single"/>
        </w:rPr>
        <w:t xml:space="preserve"> </w:t>
      </w:r>
      <w:r w:rsidR="00A95B7A" w:rsidRPr="00BB0D9C">
        <w:rPr>
          <w:sz w:val="22"/>
          <w:szCs w:val="22"/>
        </w:rPr>
        <w:t>e</w:t>
      </w:r>
      <w:r w:rsidRPr="00BB0D9C">
        <w:rPr>
          <w:sz w:val="22"/>
          <w:szCs w:val="22"/>
        </w:rPr>
        <w:t xml:space="preserve">l Informe EITI </w:t>
      </w:r>
      <w:r w:rsidR="00B96E35" w:rsidRPr="00BB0D9C">
        <w:rPr>
          <w:sz w:val="22"/>
          <w:szCs w:val="22"/>
        </w:rPr>
        <w:t xml:space="preserve">de 2015-2016 </w:t>
      </w:r>
      <w:r w:rsidRPr="00BB0D9C">
        <w:rPr>
          <w:sz w:val="22"/>
          <w:szCs w:val="22"/>
        </w:rPr>
        <w:t xml:space="preserve">(pp. 38-45) </w:t>
      </w:r>
      <w:r w:rsidRPr="00BB0D9C">
        <w:rPr>
          <w:bCs/>
          <w:sz w:val="22"/>
          <w:szCs w:val="22"/>
        </w:rPr>
        <w:t>y las actas de la reunión entre el AI y el GMP (pp. 3-6)</w:t>
      </w:r>
      <w:r w:rsidRPr="00BB0D9C">
        <w:rPr>
          <w:sz w:val="22"/>
          <w:szCs w:val="22"/>
        </w:rPr>
        <w:t xml:space="preserve"> describen los flujos de ingresos de importancia relativa.</w:t>
      </w:r>
      <w:r w:rsidR="00B96E35" w:rsidRPr="00BB0D9C">
        <w:rPr>
          <w:sz w:val="22"/>
          <w:szCs w:val="22"/>
        </w:rPr>
        <w:t xml:space="preserve"> Esto también sucede en el Informe EITI de 2017-2018 (p. 58), de acuerdo con las actas de las reuniones del grupo de </w:t>
      </w:r>
      <w:proofErr w:type="spellStart"/>
      <w:r w:rsidR="00B96E35" w:rsidRPr="00BB0D9C">
        <w:rPr>
          <w:sz w:val="22"/>
          <w:szCs w:val="22"/>
        </w:rPr>
        <w:t>multipartícipes</w:t>
      </w:r>
      <w:proofErr w:type="spellEnd"/>
      <w:r w:rsidR="00B96E35" w:rsidRPr="00BB0D9C">
        <w:rPr>
          <w:sz w:val="22"/>
          <w:szCs w:val="22"/>
        </w:rPr>
        <w:t xml:space="preserve"> en preparación para el informe</w:t>
      </w:r>
      <w:r w:rsidR="00B96E35" w:rsidRPr="00BB0D9C">
        <w:rPr>
          <w:sz w:val="22"/>
          <w:szCs w:val="22"/>
          <w:vertAlign w:val="superscript"/>
        </w:rPr>
        <w:footnoteReference w:id="75"/>
      </w:r>
      <w:r w:rsidR="00B96E35" w:rsidRPr="00BB0D9C">
        <w:rPr>
          <w:sz w:val="22"/>
          <w:szCs w:val="22"/>
        </w:rPr>
        <w:t>.</w:t>
      </w:r>
    </w:p>
    <w:p w14:paraId="445514AA" w14:textId="77777777" w:rsidR="003D0959" w:rsidRPr="00BB0D9C" w:rsidRDefault="00E16BAD" w:rsidP="00A5411E">
      <w:pPr>
        <w:pStyle w:val="NormalWeb"/>
        <w:spacing w:line="276" w:lineRule="auto"/>
        <w:rPr>
          <w:rFonts w:cstheme="majorHAnsi"/>
          <w:sz w:val="22"/>
          <w:szCs w:val="22"/>
        </w:rPr>
      </w:pPr>
      <w:r w:rsidRPr="00BB0D9C">
        <w:rPr>
          <w:i/>
          <w:sz w:val="22"/>
          <w:szCs w:val="22"/>
          <w:u w:val="single"/>
        </w:rPr>
        <w:t>Umbral de importancia relativa para las empresas:</w:t>
      </w:r>
      <w:r w:rsidR="00872BBF" w:rsidRPr="00BB0D9C">
        <w:rPr>
          <w:i/>
          <w:sz w:val="22"/>
          <w:szCs w:val="22"/>
          <w:u w:val="single"/>
        </w:rPr>
        <w:t xml:space="preserve"> </w:t>
      </w:r>
      <w:r w:rsidR="003919F2" w:rsidRPr="00BB0D9C">
        <w:rPr>
          <w:sz w:val="22"/>
          <w:szCs w:val="22"/>
        </w:rPr>
        <w:t>n</w:t>
      </w:r>
      <w:r w:rsidRPr="00BB0D9C">
        <w:rPr>
          <w:sz w:val="22"/>
          <w:szCs w:val="22"/>
        </w:rPr>
        <w:t>o ha</w:t>
      </w:r>
      <w:r w:rsidR="00872BBF" w:rsidRPr="00BB0D9C">
        <w:rPr>
          <w:sz w:val="22"/>
          <w:szCs w:val="22"/>
        </w:rPr>
        <w:t>bía</w:t>
      </w:r>
      <w:r w:rsidRPr="00BB0D9C">
        <w:rPr>
          <w:sz w:val="22"/>
          <w:szCs w:val="22"/>
        </w:rPr>
        <w:t xml:space="preserve"> elementos que dem</w:t>
      </w:r>
      <w:r w:rsidR="00872BBF" w:rsidRPr="00BB0D9C">
        <w:rPr>
          <w:sz w:val="22"/>
          <w:szCs w:val="22"/>
        </w:rPr>
        <w:t>ostraran</w:t>
      </w:r>
      <w:r w:rsidRPr="00BB0D9C">
        <w:rPr>
          <w:sz w:val="22"/>
          <w:szCs w:val="22"/>
        </w:rPr>
        <w:t xml:space="preserve"> la existencia de un enfoque claro orientado a establecer un umbral de importancia relativa para seleccionar las empresas comprendidas dentro del alcance de la conciliación</w:t>
      </w:r>
      <w:r w:rsidR="00872BBF" w:rsidRPr="00BB0D9C">
        <w:rPr>
          <w:sz w:val="22"/>
          <w:szCs w:val="22"/>
        </w:rPr>
        <w:t xml:space="preserve"> para el Informe EITI de 2015-2016</w:t>
      </w:r>
      <w:r w:rsidRPr="00BB0D9C">
        <w:rPr>
          <w:sz w:val="22"/>
          <w:szCs w:val="22"/>
        </w:rPr>
        <w:t xml:space="preserve">. Debido a las disposiciones sobre secreto tributario </w:t>
      </w:r>
      <w:r w:rsidR="00872BBF" w:rsidRPr="00BB0D9C">
        <w:rPr>
          <w:sz w:val="22"/>
          <w:szCs w:val="22"/>
        </w:rPr>
        <w:t>correspondientes d</w:t>
      </w:r>
      <w:r w:rsidRPr="00BB0D9C">
        <w:rPr>
          <w:sz w:val="22"/>
          <w:szCs w:val="22"/>
        </w:rPr>
        <w:t xml:space="preserve">el Código Tributario de Honduras, las decisiones sobre la importancia relativa de las empresas estaban basadas en los valores de las exportaciones del sector extractivo y los ingresos no tributarios recaudados por el INHGEOMIN. </w:t>
      </w:r>
      <w:r w:rsidRPr="00BB0D9C">
        <w:rPr>
          <w:bCs/>
          <w:sz w:val="22"/>
          <w:szCs w:val="22"/>
        </w:rPr>
        <w:t>Las regalías se utilizaron como el criterio para calcular la importancia relativa.</w:t>
      </w:r>
      <w:r w:rsidRPr="00BB0D9C">
        <w:rPr>
          <w:sz w:val="22"/>
          <w:szCs w:val="22"/>
        </w:rPr>
        <w:t xml:space="preserve"> Además de identificar a las empresas de importancia relativa con este enfoque, el AI también invitó a otras empresas a presentar información voluntariamente, </w:t>
      </w:r>
      <w:r w:rsidR="00872BBF" w:rsidRPr="00BB0D9C">
        <w:rPr>
          <w:sz w:val="22"/>
          <w:szCs w:val="22"/>
        </w:rPr>
        <w:t>con base en</w:t>
      </w:r>
      <w:r w:rsidRPr="00BB0D9C">
        <w:rPr>
          <w:sz w:val="22"/>
          <w:szCs w:val="22"/>
        </w:rPr>
        <w:t xml:space="preserve"> su participación en los últimos dos Informes EITI. En respuesta a ello, nueve empresas aceptaron presentar información (pp. 60-61)</w:t>
      </w:r>
      <w:r w:rsidR="00872BBF" w:rsidRPr="00BB0D9C">
        <w:rPr>
          <w:sz w:val="22"/>
          <w:szCs w:val="22"/>
        </w:rPr>
        <w:t xml:space="preserve">; en el Informe EITI de 2017-2018 participaron once </w:t>
      </w:r>
      <w:r w:rsidR="00B61C08" w:rsidRPr="00BB0D9C">
        <w:rPr>
          <w:sz w:val="22"/>
          <w:szCs w:val="22"/>
        </w:rPr>
        <w:t>empresa</w:t>
      </w:r>
      <w:r w:rsidR="00872BBF" w:rsidRPr="00BB0D9C">
        <w:rPr>
          <w:sz w:val="22"/>
          <w:szCs w:val="22"/>
        </w:rPr>
        <w:t>s</w:t>
      </w:r>
      <w:r w:rsidRPr="00BB0D9C">
        <w:rPr>
          <w:sz w:val="22"/>
          <w:szCs w:val="22"/>
        </w:rPr>
        <w:t xml:space="preserve">. </w:t>
      </w:r>
    </w:p>
    <w:p w14:paraId="0F069D72" w14:textId="46408C77" w:rsidR="006E2C83" w:rsidRPr="00BB0D9C" w:rsidRDefault="00872BBF" w:rsidP="003D0959">
      <w:pPr>
        <w:spacing w:before="120"/>
        <w:rPr>
          <w:bCs/>
          <w:szCs w:val="22"/>
        </w:rPr>
      </w:pPr>
      <w:r w:rsidRPr="00BB0D9C">
        <w:t>Para el Informe EITI de Informe EITI de 2015-2016 y con base en</w:t>
      </w:r>
      <w:r w:rsidR="003D0959" w:rsidRPr="00BB0D9C">
        <w:t xml:space="preserve"> esta lista de nueve empresas, la meta de conciliación del GMP fue del 90% de los valores de exportaci</w:t>
      </w:r>
      <w:r w:rsidRPr="00BB0D9C">
        <w:t>ones</w:t>
      </w:r>
      <w:r w:rsidR="003D0959" w:rsidRPr="00BB0D9C">
        <w:t xml:space="preserve"> y </w:t>
      </w:r>
      <w:r w:rsidRPr="00BB0D9C">
        <w:t xml:space="preserve">el </w:t>
      </w:r>
      <w:r w:rsidR="003D0959" w:rsidRPr="00BB0D9C">
        <w:t>85% de los ingresos no tributarios recibidos por el INHGEOMIN en 2015 y 2016. En el alcance de las presentaciones de información se incluyó a empresas de minería metálica y no metálica (pp. 4</w:t>
      </w:r>
      <w:r w:rsidR="00CD134A" w:rsidRPr="00BB0D9C">
        <w:t>,</w:t>
      </w:r>
      <w:r w:rsidR="00CD134A">
        <w:t> </w:t>
      </w:r>
      <w:r w:rsidR="003D0959" w:rsidRPr="00BB0D9C">
        <w:t xml:space="preserve">88). No obstante, el informe no garantizaba que el alcance de la conciliación </w:t>
      </w:r>
      <w:r w:rsidRPr="00BB0D9C">
        <w:t xml:space="preserve">no </w:t>
      </w:r>
      <w:r w:rsidR="003D0959" w:rsidRPr="00BB0D9C">
        <w:t xml:space="preserve">hubiese excluido a </w:t>
      </w:r>
      <w:r w:rsidRPr="00BB0D9C">
        <w:t>al</w:t>
      </w:r>
      <w:r w:rsidR="00FF0F61" w:rsidRPr="00BB0D9C">
        <w:t xml:space="preserve">guna empresa que representara por sí sola </w:t>
      </w:r>
      <w:r w:rsidR="003D0959" w:rsidRPr="00BB0D9C">
        <w:t xml:space="preserve">una porción significativa del 15% de los ingresos no tributarios. </w:t>
      </w:r>
    </w:p>
    <w:p w14:paraId="0BD2D02C" w14:textId="77777777" w:rsidR="003D0959" w:rsidRPr="00BB0D9C" w:rsidRDefault="006E2C83" w:rsidP="003D0959">
      <w:pPr>
        <w:spacing w:before="120"/>
        <w:rPr>
          <w:rFonts w:cstheme="majorHAnsi"/>
          <w:bCs/>
          <w:szCs w:val="22"/>
        </w:rPr>
      </w:pPr>
      <w:r w:rsidRPr="00BB0D9C">
        <w:t xml:space="preserve">El AI recibió datos sobre los ingresos de origen extractivo percibidos por la agencia tributaria, el SAR, pero ello recién ocurrió una vez que la recopilación de datos ya había concluido. El GMP procuró confirmar ulteriormente el nivel de cobertura de los ingresos tributarios de origen extractivo, para lo cual </w:t>
      </w:r>
      <w:r w:rsidR="00872BBF" w:rsidRPr="00BB0D9C">
        <w:t xml:space="preserve">le </w:t>
      </w:r>
      <w:r w:rsidRPr="00BB0D9C">
        <w:t>pidió al SAR que corroborase que la lista de empresas de importancia re</w:t>
      </w:r>
      <w:r w:rsidR="00872BBF" w:rsidRPr="00BB0D9C">
        <w:t>lativa seleccionadas representab</w:t>
      </w:r>
      <w:r w:rsidRPr="00BB0D9C">
        <w:t xml:space="preserve">a una cobertura de más del 85% de los ingresos tributarios provenientes de empresas extractivas, tal como </w:t>
      </w:r>
      <w:r w:rsidR="00872BBF" w:rsidRPr="00BB0D9C">
        <w:t xml:space="preserve">se </w:t>
      </w:r>
      <w:r w:rsidRPr="00BB0D9C">
        <w:t xml:space="preserve">confirma </w:t>
      </w:r>
      <w:r w:rsidR="00872BBF" w:rsidRPr="00BB0D9C">
        <w:t xml:space="preserve">en </w:t>
      </w:r>
      <w:r w:rsidRPr="00BB0D9C">
        <w:t xml:space="preserve">el </w:t>
      </w:r>
      <w:r w:rsidR="00872BBF" w:rsidRPr="00BB0D9C">
        <w:t xml:space="preserve">Informe EITI de 2015-2016 </w:t>
      </w:r>
      <w:r w:rsidRPr="00BB0D9C">
        <w:t xml:space="preserve">(p. 59). </w:t>
      </w:r>
      <w:r w:rsidR="007B6B8F" w:rsidRPr="00BB0D9C">
        <w:t>E</w:t>
      </w:r>
      <w:r w:rsidRPr="00BB0D9C">
        <w:t xml:space="preserve">l SAR no confirmó expresamente que el nivel de cobertura de la conciliación derivado del enfoque adoptado respecto de la importancia relativa efectivamente abarcara el 85% de los ingresos tributarios procedentes de empresas extractivas. </w:t>
      </w:r>
    </w:p>
    <w:p w14:paraId="3188CC7A" w14:textId="77777777" w:rsidR="003D0959" w:rsidRPr="00BB0D9C" w:rsidRDefault="003D0959" w:rsidP="003D0959">
      <w:pPr>
        <w:spacing w:before="120"/>
        <w:rPr>
          <w:rFonts w:cstheme="majorHAnsi"/>
          <w:szCs w:val="22"/>
        </w:rPr>
      </w:pPr>
      <w:r w:rsidRPr="00BB0D9C">
        <w:t>El “ejercicio de importancia relativa” que llevó a cabo el GMP revela que, de acuerdo con los ingresos recaudados por la entidad reguladora INHGEOMIN, el SAR y l</w:t>
      </w:r>
      <w:r w:rsidR="007B6B8F" w:rsidRPr="00BB0D9C">
        <w:t>as municipalidades</w:t>
      </w:r>
      <w:r w:rsidRPr="00BB0D9C">
        <w:t xml:space="preserve">, estas nueve empresas </w:t>
      </w:r>
      <w:r w:rsidR="007B6B8F" w:rsidRPr="00BB0D9C">
        <w:t>declarantes</w:t>
      </w:r>
      <w:r w:rsidRPr="00BB0D9C">
        <w:t xml:space="preserve"> representaban un 89,13% y 95,10% del total de </w:t>
      </w:r>
      <w:r w:rsidR="007B6B8F" w:rsidRPr="00BB0D9C">
        <w:t xml:space="preserve">las </w:t>
      </w:r>
      <w:r w:rsidRPr="00BB0D9C">
        <w:t xml:space="preserve">regalías pagadas al gobierno en 2015 y 2016. </w:t>
      </w:r>
    </w:p>
    <w:p w14:paraId="68192967" w14:textId="77777777" w:rsidR="00993527" w:rsidRPr="00BB0D9C" w:rsidRDefault="00993527" w:rsidP="00993527">
      <w:pPr>
        <w:spacing w:before="120"/>
        <w:rPr>
          <w:rFonts w:cstheme="majorHAnsi"/>
          <w:szCs w:val="22"/>
        </w:rPr>
      </w:pPr>
      <w:r w:rsidRPr="00BB0D9C">
        <w:rPr>
          <w:rFonts w:cstheme="majorHAnsi"/>
          <w:szCs w:val="22"/>
        </w:rPr>
        <w:t xml:space="preserve">El Informe EITI de 2017-2018 siguió un enfoque similar; incluye </w:t>
      </w:r>
      <w:r w:rsidR="00B61C08" w:rsidRPr="00BB0D9C">
        <w:rPr>
          <w:rFonts w:cstheme="majorHAnsi"/>
          <w:szCs w:val="22"/>
        </w:rPr>
        <w:t>empresa</w:t>
      </w:r>
      <w:r w:rsidRPr="00BB0D9C">
        <w:rPr>
          <w:rFonts w:cstheme="majorHAnsi"/>
          <w:szCs w:val="22"/>
        </w:rPr>
        <w:t xml:space="preserve">s que han exportado con base en información de la Oficina Nacional de Estadísticas y el Banco Central. El grupo de </w:t>
      </w:r>
      <w:proofErr w:type="spellStart"/>
      <w:r w:rsidRPr="00BB0D9C">
        <w:rPr>
          <w:rFonts w:cstheme="majorHAnsi"/>
          <w:szCs w:val="22"/>
        </w:rPr>
        <w:t>multipartícipes</w:t>
      </w:r>
      <w:proofErr w:type="spellEnd"/>
      <w:r w:rsidRPr="00BB0D9C">
        <w:rPr>
          <w:rFonts w:cstheme="majorHAnsi"/>
          <w:szCs w:val="22"/>
        </w:rPr>
        <w:t xml:space="preserve"> consideró que el informe era de importancia relativa si las </w:t>
      </w:r>
      <w:r w:rsidR="00B61C08" w:rsidRPr="00BB0D9C">
        <w:rPr>
          <w:rFonts w:cstheme="majorHAnsi"/>
          <w:szCs w:val="22"/>
        </w:rPr>
        <w:t>empresa</w:t>
      </w:r>
      <w:r w:rsidRPr="00BB0D9C">
        <w:rPr>
          <w:rFonts w:cstheme="majorHAnsi"/>
          <w:szCs w:val="22"/>
        </w:rPr>
        <w:t>s que representaban al menos un 85% del total de los ingresos recibidos por el Gobierno presentaban información (</w:t>
      </w:r>
      <w:r w:rsidR="00EB4DBE" w:rsidRPr="00BB0D9C">
        <w:rPr>
          <w:rFonts w:cstheme="majorHAnsi"/>
          <w:szCs w:val="22"/>
        </w:rPr>
        <w:t>p. 90</w:t>
      </w:r>
      <w:r w:rsidRPr="00BB0D9C">
        <w:rPr>
          <w:rFonts w:cstheme="majorHAnsi"/>
          <w:szCs w:val="22"/>
        </w:rPr>
        <w:t>).</w:t>
      </w:r>
    </w:p>
    <w:p w14:paraId="28564064" w14:textId="77777777" w:rsidR="00E16BAD" w:rsidRPr="00BB0D9C" w:rsidRDefault="006E2C83" w:rsidP="000F04BF">
      <w:pPr>
        <w:pStyle w:val="NormalWeb"/>
        <w:spacing w:line="276" w:lineRule="auto"/>
        <w:rPr>
          <w:sz w:val="22"/>
          <w:szCs w:val="22"/>
        </w:rPr>
      </w:pPr>
      <w:r w:rsidRPr="00BB0D9C">
        <w:rPr>
          <w:i/>
          <w:sz w:val="22"/>
          <w:szCs w:val="22"/>
          <w:u w:val="single"/>
        </w:rPr>
        <w:t>Entidades gubernamentales de importancia relativa</w:t>
      </w:r>
      <w:r w:rsidRPr="00BB0D9C">
        <w:rPr>
          <w:sz w:val="22"/>
          <w:szCs w:val="22"/>
        </w:rPr>
        <w:t xml:space="preserve">: </w:t>
      </w:r>
      <w:r w:rsidR="005F11BF" w:rsidRPr="00BB0D9C">
        <w:rPr>
          <w:sz w:val="22"/>
          <w:szCs w:val="22"/>
        </w:rPr>
        <w:t xml:space="preserve">el </w:t>
      </w:r>
      <w:r w:rsidR="00993527" w:rsidRPr="00BB0D9C">
        <w:rPr>
          <w:sz w:val="22"/>
          <w:szCs w:val="22"/>
        </w:rPr>
        <w:t>I</w:t>
      </w:r>
      <w:r w:rsidR="005F11BF" w:rsidRPr="00BB0D9C">
        <w:rPr>
          <w:sz w:val="22"/>
          <w:szCs w:val="22"/>
        </w:rPr>
        <w:t xml:space="preserve">nforme EITI </w:t>
      </w:r>
      <w:r w:rsidR="00993527" w:rsidRPr="00BB0D9C">
        <w:rPr>
          <w:sz w:val="22"/>
          <w:szCs w:val="22"/>
        </w:rPr>
        <w:t xml:space="preserve">de 2015-2016 </w:t>
      </w:r>
      <w:r w:rsidR="005F11BF" w:rsidRPr="00BB0D9C">
        <w:rPr>
          <w:sz w:val="22"/>
          <w:szCs w:val="22"/>
        </w:rPr>
        <w:t>enumera</w:t>
      </w:r>
      <w:r w:rsidR="00993527" w:rsidRPr="00BB0D9C">
        <w:rPr>
          <w:sz w:val="22"/>
          <w:szCs w:val="22"/>
        </w:rPr>
        <w:t>ba</w:t>
      </w:r>
      <w:r w:rsidR="005F11BF" w:rsidRPr="00BB0D9C">
        <w:rPr>
          <w:sz w:val="22"/>
          <w:szCs w:val="22"/>
        </w:rPr>
        <w:t xml:space="preserve"> las ocho</w:t>
      </w:r>
      <w:r w:rsidRPr="00BB0D9C">
        <w:rPr>
          <w:sz w:val="22"/>
          <w:szCs w:val="22"/>
        </w:rPr>
        <w:t xml:space="preserve"> entidades gubernamentales y los flujos de ingresos de importancia relativa que recaudó cada una (p. 61). Esta lista inclu</w:t>
      </w:r>
      <w:r w:rsidR="00993527" w:rsidRPr="00BB0D9C">
        <w:rPr>
          <w:sz w:val="22"/>
          <w:szCs w:val="22"/>
        </w:rPr>
        <w:t>ía</w:t>
      </w:r>
      <w:r w:rsidRPr="00BB0D9C">
        <w:rPr>
          <w:sz w:val="22"/>
          <w:szCs w:val="22"/>
        </w:rPr>
        <w:t xml:space="preserve"> un grupo denominado “Alcaldía Municipal” que involucra</w:t>
      </w:r>
      <w:r w:rsidR="00993527" w:rsidRPr="00BB0D9C">
        <w:rPr>
          <w:sz w:val="22"/>
          <w:szCs w:val="22"/>
        </w:rPr>
        <w:t>ba</w:t>
      </w:r>
      <w:r w:rsidRPr="00BB0D9C">
        <w:rPr>
          <w:sz w:val="22"/>
          <w:szCs w:val="22"/>
        </w:rPr>
        <w:t xml:space="preserve"> a ocho municip</w:t>
      </w:r>
      <w:r w:rsidR="00993527" w:rsidRPr="00BB0D9C">
        <w:rPr>
          <w:sz w:val="22"/>
          <w:szCs w:val="22"/>
        </w:rPr>
        <w:t>alidades</w:t>
      </w:r>
      <w:r w:rsidRPr="00BB0D9C">
        <w:rPr>
          <w:sz w:val="22"/>
          <w:szCs w:val="22"/>
        </w:rPr>
        <w:t>. Todas las entidades gubernamentales, excepto el SAR</w:t>
      </w:r>
      <w:r w:rsidR="000C5088" w:rsidRPr="00BB0D9C">
        <w:rPr>
          <w:rStyle w:val="FootnoteReference"/>
          <w:sz w:val="22"/>
          <w:szCs w:val="22"/>
        </w:rPr>
        <w:footnoteReference w:id="76"/>
      </w:r>
      <w:r w:rsidRPr="00BB0D9C">
        <w:rPr>
          <w:sz w:val="22"/>
          <w:szCs w:val="22"/>
        </w:rPr>
        <w:t>, presentaron los datos solicitados desglosándolos por flujo de ingresos. El SAR solo brindó cifras totales de los ingreso</w:t>
      </w:r>
      <w:r w:rsidR="00993527" w:rsidRPr="00BB0D9C">
        <w:rPr>
          <w:sz w:val="22"/>
          <w:szCs w:val="22"/>
        </w:rPr>
        <w:t>s recaudados del sector minero.</w:t>
      </w:r>
    </w:p>
    <w:p w14:paraId="0FF10C5B" w14:textId="77777777" w:rsidR="00993527" w:rsidRPr="00BB0D9C" w:rsidRDefault="00993527" w:rsidP="000F04BF">
      <w:pPr>
        <w:pStyle w:val="NormalWeb"/>
        <w:spacing w:line="276" w:lineRule="auto"/>
        <w:rPr>
          <w:rFonts w:cstheme="majorHAnsi"/>
          <w:sz w:val="22"/>
          <w:szCs w:val="22"/>
        </w:rPr>
      </w:pPr>
      <w:r w:rsidRPr="00BB0D9C">
        <w:rPr>
          <w:sz w:val="22"/>
          <w:szCs w:val="22"/>
        </w:rPr>
        <w:t>El Informe EITI de 2017-2018 enumera siete entidades gubernamentales que participan en el informe, así como nueve municipalidades de cinco departamentos (p. 93).</w:t>
      </w:r>
    </w:p>
    <w:p w14:paraId="2D73B23C" w14:textId="77777777" w:rsidR="008F0F4E" w:rsidRPr="00BB0D9C" w:rsidRDefault="006E2C83" w:rsidP="00494ECC">
      <w:pPr>
        <w:pStyle w:val="NormalWeb"/>
        <w:spacing w:line="276" w:lineRule="auto"/>
        <w:rPr>
          <w:rFonts w:cstheme="majorHAnsi"/>
          <w:sz w:val="22"/>
          <w:szCs w:val="22"/>
        </w:rPr>
      </w:pPr>
      <w:r w:rsidRPr="00BB0D9C">
        <w:rPr>
          <w:i/>
          <w:sz w:val="22"/>
          <w:szCs w:val="22"/>
          <w:u w:val="single"/>
        </w:rPr>
        <w:t>Exhaustividad:</w:t>
      </w:r>
      <w:r w:rsidR="00993527" w:rsidRPr="00BB0D9C">
        <w:rPr>
          <w:i/>
          <w:sz w:val="22"/>
          <w:szCs w:val="22"/>
          <w:u w:val="single"/>
        </w:rPr>
        <w:t xml:space="preserve"> </w:t>
      </w:r>
      <w:r w:rsidR="005F11BF" w:rsidRPr="00BB0D9C">
        <w:rPr>
          <w:sz w:val="22"/>
          <w:szCs w:val="22"/>
        </w:rPr>
        <w:t>l</w:t>
      </w:r>
      <w:r w:rsidRPr="00BB0D9C">
        <w:rPr>
          <w:sz w:val="22"/>
          <w:szCs w:val="22"/>
        </w:rPr>
        <w:t xml:space="preserve">a conciliación </w:t>
      </w:r>
      <w:r w:rsidR="00993527" w:rsidRPr="00BB0D9C">
        <w:rPr>
          <w:sz w:val="22"/>
          <w:szCs w:val="22"/>
        </w:rPr>
        <w:t xml:space="preserve">correspondiente al Informe EITI de 2015-2016 </w:t>
      </w:r>
      <w:r w:rsidRPr="00BB0D9C">
        <w:rPr>
          <w:sz w:val="22"/>
          <w:szCs w:val="22"/>
        </w:rPr>
        <w:t xml:space="preserve">abarcó un 89,13% y un 95,10% de todos los ingresos gubernamentales de origen extractivo en 2015 y 2016 respectivamente. Por ende, el nivel de cobertura de la conciliación supera la meta del 85% que había establecido el GMP, </w:t>
      </w:r>
      <w:bookmarkStart w:id="32" w:name="_Hlk30168917"/>
      <w:r w:rsidRPr="00BB0D9C">
        <w:rPr>
          <w:sz w:val="22"/>
          <w:szCs w:val="22"/>
        </w:rPr>
        <w:t>aunque no hay elementos que demuestren la existencia de un enfoque claro para establecer un umbral de importancia relativa.</w:t>
      </w:r>
      <w:bookmarkEnd w:id="32"/>
      <w:r w:rsidRPr="00BB0D9C">
        <w:rPr>
          <w:sz w:val="22"/>
          <w:szCs w:val="22"/>
        </w:rPr>
        <w:t xml:space="preserve"> De hecho, el ejercicio de conciliación no evaluó su exhaustividad, y el Secretariado Internacional no encontró muestras de que la conciliación hubiese abarcado todos los flujos de ingresos de importancia relativa. El Informe EITI carece de una lista de aquellas empresas y entidades gubernamentales que no presentaron información, y tampoco evalúa la importancia relativa de sus pagos en los años analizados. </w:t>
      </w:r>
    </w:p>
    <w:p w14:paraId="4A8983F5" w14:textId="77777777" w:rsidR="00FB253D" w:rsidRPr="00BB0D9C" w:rsidRDefault="00D57CC8" w:rsidP="001D078E">
      <w:pPr>
        <w:pStyle w:val="NormalWeb"/>
        <w:spacing w:line="276" w:lineRule="auto"/>
        <w:rPr>
          <w:sz w:val="22"/>
          <w:szCs w:val="22"/>
        </w:rPr>
      </w:pPr>
      <w:r w:rsidRPr="00BB0D9C">
        <w:rPr>
          <w:sz w:val="22"/>
          <w:szCs w:val="22"/>
        </w:rPr>
        <w:t xml:space="preserve">Las partes interesadas consultadas dijeron que no hay elementos que indiquen que el GMP haya adoptado un umbral de importancia relativa cuantitativo orientado a seleccionar los flujos de ingresos o las empresas para la conciliación. Basándose en el estudio de alcance efectuado por el AI, no es posible confirmar si existen flujos de ingresos o empresas de importancia relativa que quedaron excluidos. En las actas de reunión del GMP tampoco hay nada que indique que se haya acordado un umbral de importancia relativa claro. </w:t>
      </w:r>
    </w:p>
    <w:p w14:paraId="189837E1" w14:textId="77777777" w:rsidR="00FB253D" w:rsidRPr="00BB0D9C" w:rsidRDefault="007665A3" w:rsidP="00FB253D">
      <w:pPr>
        <w:pStyle w:val="CommentText"/>
      </w:pPr>
      <w:r w:rsidRPr="00BB0D9C">
        <w:t>Luego de las consultas con partes interesadas, funcionarios del SAR formularon comentarios por escrito al Secretariado Internacional (véase el Anexo D). Según estos comentarios, solo una de las empresas excluidas de la conciliación del período 2015-2016 representaba un 3,92% de los pagos de impuestos de empresas extractivas en 2015 y 1,78% en 2016. En los comentarios también se explicaba que la considerable diferencia en los ingresos informados por el SAR entre 2015 y 2016 se debe al hecho de que el mayor contribuyente, Minerales de Occidente, había omitido presentar su declaración tributaria correspondiente a 2014 y terminó presentando ambas declaraciones (la de 2014 y la de 2015) en el 2016. Esta empresa representa el 89,95% del total de impuesto a las gananci</w:t>
      </w:r>
      <w:r w:rsidR="00993527" w:rsidRPr="00BB0D9C">
        <w:t>as que genera el sector minero.</w:t>
      </w:r>
    </w:p>
    <w:p w14:paraId="22A47F78" w14:textId="77777777" w:rsidR="00993527" w:rsidRPr="00BB0D9C" w:rsidRDefault="00993527" w:rsidP="00FB253D">
      <w:pPr>
        <w:pStyle w:val="CommentText"/>
        <w:rPr>
          <w:rFonts w:cstheme="majorHAnsi"/>
          <w:szCs w:val="22"/>
        </w:rPr>
      </w:pPr>
      <w:r w:rsidRPr="00BB0D9C">
        <w:rPr>
          <w:rFonts w:cstheme="majorHAnsi"/>
          <w:szCs w:val="22"/>
        </w:rPr>
        <w:t xml:space="preserve">Para el Informe EITI de 2017-2018, las 11 </w:t>
      </w:r>
      <w:r w:rsidR="00B61C08" w:rsidRPr="00BB0D9C">
        <w:rPr>
          <w:rFonts w:cstheme="majorHAnsi"/>
          <w:szCs w:val="22"/>
        </w:rPr>
        <w:t>empresa</w:t>
      </w:r>
      <w:r w:rsidRPr="00BB0D9C">
        <w:rPr>
          <w:rFonts w:cstheme="majorHAnsi"/>
          <w:szCs w:val="22"/>
        </w:rPr>
        <w:t>s participantes representaban el 98,7% y el 99% del total de los ingresos recaudados por el Gobierno del sector extractivo en 2017 y 2018 respectivamente (p. 92)</w:t>
      </w:r>
    </w:p>
    <w:p w14:paraId="1BBAD212" w14:textId="77777777" w:rsidR="00EB7076" w:rsidRPr="00BB0D9C" w:rsidRDefault="009464C5" w:rsidP="00EB7076">
      <w:pPr>
        <w:pStyle w:val="NormalWeb"/>
        <w:spacing w:line="276" w:lineRule="auto"/>
        <w:rPr>
          <w:rFonts w:cstheme="majorHAnsi"/>
          <w:sz w:val="22"/>
          <w:szCs w:val="22"/>
        </w:rPr>
      </w:pPr>
      <w:r w:rsidRPr="00BB0D9C">
        <w:rPr>
          <w:i/>
          <w:sz w:val="22"/>
          <w:szCs w:val="22"/>
          <w:u w:val="single"/>
        </w:rPr>
        <w:t>Divulgación gubernamental plena:</w:t>
      </w:r>
      <w:r w:rsidR="00993527" w:rsidRPr="00BB0D9C">
        <w:rPr>
          <w:i/>
          <w:sz w:val="22"/>
          <w:szCs w:val="22"/>
          <w:u w:val="single"/>
        </w:rPr>
        <w:t xml:space="preserve"> </w:t>
      </w:r>
      <w:r w:rsidR="00445C27" w:rsidRPr="00BB0D9C">
        <w:rPr>
          <w:sz w:val="22"/>
          <w:szCs w:val="22"/>
        </w:rPr>
        <w:t>e</w:t>
      </w:r>
      <w:r w:rsidR="00EC65D2" w:rsidRPr="00BB0D9C">
        <w:rPr>
          <w:sz w:val="22"/>
          <w:szCs w:val="22"/>
        </w:rPr>
        <w:t>l I</w:t>
      </w:r>
      <w:r w:rsidRPr="00BB0D9C">
        <w:rPr>
          <w:sz w:val="22"/>
          <w:szCs w:val="22"/>
        </w:rPr>
        <w:t>nforme EITI señala</w:t>
      </w:r>
      <w:r w:rsidR="00EC65D2" w:rsidRPr="00BB0D9C">
        <w:rPr>
          <w:sz w:val="22"/>
          <w:szCs w:val="22"/>
        </w:rPr>
        <w:t>ba</w:t>
      </w:r>
      <w:r w:rsidRPr="00BB0D9C">
        <w:rPr>
          <w:sz w:val="22"/>
          <w:szCs w:val="22"/>
        </w:rPr>
        <w:t xml:space="preserve"> que el total de ingresos gubernamentales procedentes del sector extractivo fue de HNL 208 millones, cifra equivalente a unos USD 28 millones en 2015, y HNL</w:t>
      </w:r>
      <w:r w:rsidRPr="00BB0D9C">
        <w:rPr>
          <w:rStyle w:val="FootnoteReference"/>
          <w:sz w:val="22"/>
          <w:szCs w:val="22"/>
        </w:rPr>
        <w:footnoteReference w:id="77"/>
      </w:r>
      <w:r w:rsidRPr="00BB0D9C">
        <w:rPr>
          <w:sz w:val="22"/>
          <w:szCs w:val="22"/>
        </w:rPr>
        <w:t xml:space="preserve"> 551 millones, equivalentes a aproximadamente USD 74 millones en 2016. El informe también inclu</w:t>
      </w:r>
      <w:r w:rsidR="00EC65D2" w:rsidRPr="00BB0D9C">
        <w:rPr>
          <w:sz w:val="22"/>
          <w:szCs w:val="22"/>
        </w:rPr>
        <w:t>ía</w:t>
      </w:r>
      <w:r w:rsidRPr="00BB0D9C">
        <w:rPr>
          <w:sz w:val="22"/>
          <w:szCs w:val="22"/>
        </w:rPr>
        <w:t xml:space="preserve"> una tabla con el total de ingresos gubernamentales percibidos por los organismos gubernamentales (INHGEOMIN, SAR y Municipios), pero no desglosa</w:t>
      </w:r>
      <w:r w:rsidR="00EC65D2" w:rsidRPr="00BB0D9C">
        <w:rPr>
          <w:sz w:val="22"/>
          <w:szCs w:val="22"/>
        </w:rPr>
        <w:t>ba</w:t>
      </w:r>
      <w:r w:rsidRPr="00BB0D9C">
        <w:rPr>
          <w:sz w:val="22"/>
          <w:szCs w:val="22"/>
        </w:rPr>
        <w:t xml:space="preserve"> estas cifras por c</w:t>
      </w:r>
      <w:r w:rsidR="00EC65D2" w:rsidRPr="00BB0D9C">
        <w:rPr>
          <w:sz w:val="22"/>
          <w:szCs w:val="22"/>
        </w:rPr>
        <w:t>ada flujo de ingresos (p. 60). En lo que se refiere al Informe EITI de 2017-2018, el informe indicaba que el total de ingresos del Gobierno del sector extractivo fue de 875 HNL, lo que aproximadamente era equivalente a USD 37 millones en 2017, y 1 mil millones de HNL, equivalentes a unos USD 42 millones en 2018</w:t>
      </w:r>
      <w:r w:rsidR="00EC65D2" w:rsidRPr="00BB0D9C">
        <w:rPr>
          <w:sz w:val="22"/>
          <w:szCs w:val="22"/>
          <w:vertAlign w:val="superscript"/>
        </w:rPr>
        <w:footnoteReference w:id="78"/>
      </w:r>
      <w:r w:rsidR="00EC65D2" w:rsidRPr="00BB0D9C">
        <w:rPr>
          <w:sz w:val="22"/>
          <w:szCs w:val="22"/>
        </w:rPr>
        <w:t>.</w:t>
      </w:r>
    </w:p>
    <w:p w14:paraId="6919CE35" w14:textId="77777777" w:rsidR="001C3958" w:rsidRPr="00BB0D9C" w:rsidRDefault="004A27F7" w:rsidP="0075227D">
      <w:pPr>
        <w:pStyle w:val="NormalWeb"/>
        <w:spacing w:line="276" w:lineRule="auto"/>
        <w:rPr>
          <w:sz w:val="22"/>
          <w:szCs w:val="22"/>
        </w:rPr>
      </w:pPr>
      <w:r w:rsidRPr="00BB0D9C">
        <w:rPr>
          <w:i/>
          <w:iCs/>
          <w:sz w:val="22"/>
          <w:szCs w:val="22"/>
          <w:u w:val="single"/>
        </w:rPr>
        <w:t>Discrepancias</w:t>
      </w:r>
      <w:r w:rsidRPr="00BB0D9C">
        <w:rPr>
          <w:sz w:val="22"/>
          <w:szCs w:val="22"/>
        </w:rPr>
        <w:t xml:space="preserve">: </w:t>
      </w:r>
      <w:r w:rsidR="00445C27" w:rsidRPr="00BB0D9C">
        <w:rPr>
          <w:sz w:val="22"/>
          <w:szCs w:val="22"/>
        </w:rPr>
        <w:t>e</w:t>
      </w:r>
      <w:r w:rsidRPr="00BB0D9C">
        <w:rPr>
          <w:sz w:val="22"/>
          <w:szCs w:val="22"/>
        </w:rPr>
        <w:t xml:space="preserve">l </w:t>
      </w:r>
      <w:r w:rsidR="00EC65D2" w:rsidRPr="00BB0D9C">
        <w:rPr>
          <w:sz w:val="22"/>
          <w:szCs w:val="22"/>
        </w:rPr>
        <w:t xml:space="preserve">Informe EITI de 2015-2016 </w:t>
      </w:r>
      <w:r w:rsidRPr="00BB0D9C">
        <w:rPr>
          <w:sz w:val="22"/>
          <w:szCs w:val="22"/>
        </w:rPr>
        <w:t>inclu</w:t>
      </w:r>
      <w:r w:rsidR="00EC65D2" w:rsidRPr="00BB0D9C">
        <w:rPr>
          <w:sz w:val="22"/>
          <w:szCs w:val="22"/>
        </w:rPr>
        <w:t>ía</w:t>
      </w:r>
      <w:r w:rsidRPr="00BB0D9C">
        <w:rPr>
          <w:sz w:val="22"/>
          <w:szCs w:val="22"/>
        </w:rPr>
        <w:t xml:space="preserve"> las tablas de conciliación (pp. 70-87) que </w:t>
      </w:r>
      <w:r w:rsidR="00445C27" w:rsidRPr="00BB0D9C">
        <w:rPr>
          <w:sz w:val="22"/>
          <w:szCs w:val="22"/>
        </w:rPr>
        <w:t>revelan</w:t>
      </w:r>
      <w:r w:rsidRPr="00BB0D9C">
        <w:rPr>
          <w:sz w:val="22"/>
          <w:szCs w:val="22"/>
        </w:rPr>
        <w:t xml:space="preserve"> discrepancias. Muchas de estas discrepancias entre los ingresos declarados por las entidades gubernamentales y los pagos realizados por las empresas pueden explicarse por las diferencias en los tipos de cambio y otras diferencias técnicas en las presentaciones de información. La</w:t>
      </w:r>
      <w:r w:rsidR="004C4A05" w:rsidRPr="00BB0D9C">
        <w:rPr>
          <w:sz w:val="22"/>
          <w:szCs w:val="22"/>
        </w:rPr>
        <w:t>s</w:t>
      </w:r>
      <w:r w:rsidRPr="00BB0D9C">
        <w:rPr>
          <w:sz w:val="22"/>
          <w:szCs w:val="22"/>
        </w:rPr>
        <w:t xml:space="preserve"> discrepancias se </w:t>
      </w:r>
      <w:r w:rsidR="004C4A05" w:rsidRPr="00BB0D9C">
        <w:rPr>
          <w:sz w:val="22"/>
          <w:szCs w:val="22"/>
        </w:rPr>
        <w:t>explican</w:t>
      </w:r>
      <w:r w:rsidRPr="00BB0D9C">
        <w:rPr>
          <w:sz w:val="22"/>
          <w:szCs w:val="22"/>
        </w:rPr>
        <w:t xml:space="preserve"> en el </w:t>
      </w:r>
      <w:r w:rsidR="00EC65D2" w:rsidRPr="00BB0D9C">
        <w:rPr>
          <w:sz w:val="22"/>
          <w:szCs w:val="22"/>
        </w:rPr>
        <w:t xml:space="preserve">Informe EITI de 2015-2016 </w:t>
      </w:r>
      <w:r w:rsidRPr="00BB0D9C">
        <w:rPr>
          <w:sz w:val="22"/>
          <w:szCs w:val="22"/>
        </w:rPr>
        <w:t xml:space="preserve">(pp. 70-87). Pese a ello, sigue habiendo algunas que no se han abordado, como aquellas vinculadas a la Tasa de Seguridad Poblacional, que es una contribución exclusiva del sector minero. Las empresas presentaron información sobre esta tasa, pero no así el SAR, que no incluye este ingreso en sus registros de 2015 y 2016. En el Informe EITI </w:t>
      </w:r>
      <w:r w:rsidR="00EC65D2" w:rsidRPr="00BB0D9C">
        <w:rPr>
          <w:sz w:val="22"/>
          <w:szCs w:val="22"/>
        </w:rPr>
        <w:t xml:space="preserve">de 2015-2016 </w:t>
      </w:r>
      <w:r w:rsidRPr="00BB0D9C">
        <w:rPr>
          <w:sz w:val="22"/>
          <w:szCs w:val="22"/>
        </w:rPr>
        <w:t>se recomenda</w:t>
      </w:r>
      <w:r w:rsidR="00EC65D2" w:rsidRPr="00BB0D9C">
        <w:rPr>
          <w:sz w:val="22"/>
          <w:szCs w:val="22"/>
        </w:rPr>
        <w:t>ba</w:t>
      </w:r>
      <w:r w:rsidRPr="00BB0D9C">
        <w:rPr>
          <w:sz w:val="22"/>
          <w:szCs w:val="22"/>
        </w:rPr>
        <w:t xml:space="preserve"> que el GMP adopt</w:t>
      </w:r>
      <w:r w:rsidR="00EC65D2" w:rsidRPr="00BB0D9C">
        <w:rPr>
          <w:sz w:val="22"/>
          <w:szCs w:val="22"/>
        </w:rPr>
        <w:t>ara</w:t>
      </w:r>
      <w:r w:rsidRPr="00BB0D9C">
        <w:rPr>
          <w:sz w:val="22"/>
          <w:szCs w:val="22"/>
        </w:rPr>
        <w:t xml:space="preserve"> medidas para acceder a información más completa de los ingresos gubernamentales, a fin de poder procesar mejor la con</w:t>
      </w:r>
      <w:r w:rsidR="00EC65D2" w:rsidRPr="00BB0D9C">
        <w:rPr>
          <w:sz w:val="22"/>
          <w:szCs w:val="22"/>
        </w:rPr>
        <w:t>ciliación de los pagos (p. 89).</w:t>
      </w:r>
    </w:p>
    <w:p w14:paraId="1E08C702" w14:textId="77777777" w:rsidR="00EC65D2" w:rsidRPr="00BB0D9C" w:rsidRDefault="00EC65D2" w:rsidP="00EC65D2">
      <w:pPr>
        <w:pStyle w:val="NormalWeb"/>
        <w:rPr>
          <w:sz w:val="22"/>
          <w:szCs w:val="22"/>
        </w:rPr>
      </w:pPr>
      <w:r w:rsidRPr="00BB0D9C">
        <w:rPr>
          <w:sz w:val="22"/>
          <w:szCs w:val="22"/>
        </w:rPr>
        <w:t xml:space="preserve">En lo que se refiere al Informe EITI de 2017-2018, las tablas de conciliación (pp. 109-125) muestran discrepancias. Eran ínfimas y, en los casos excepcionales en que no lo eran, se explican en el informe. </w:t>
      </w:r>
    </w:p>
    <w:p w14:paraId="51C765F3" w14:textId="77777777" w:rsidR="004171F4" w:rsidRPr="00BB0D9C" w:rsidRDefault="004171F4" w:rsidP="004171F4">
      <w:pPr>
        <w:pStyle w:val="Heading3"/>
      </w:pPr>
      <w:r w:rsidRPr="00BB0D9C">
        <w:t>Evaluación del Secretariado</w:t>
      </w:r>
    </w:p>
    <w:p w14:paraId="699F0D64" w14:textId="77777777" w:rsidR="00DB2457" w:rsidRPr="00BB0D9C" w:rsidRDefault="00EC65D2" w:rsidP="0079453B">
      <w:pPr>
        <w:spacing w:before="120"/>
      </w:pPr>
      <w:r w:rsidRPr="00BB0D9C">
        <w:rPr>
          <w:szCs w:val="22"/>
          <w:u w:val="single"/>
        </w:rPr>
        <w:t>Al comienzo de la segunda validación, la evaluación de</w:t>
      </w:r>
      <w:r w:rsidR="004171F4" w:rsidRPr="00BB0D9C">
        <w:rPr>
          <w:szCs w:val="22"/>
          <w:u w:val="single"/>
        </w:rPr>
        <w:t>l Secretariado Internacional es que Honduras no ha</w:t>
      </w:r>
      <w:r w:rsidRPr="00BB0D9C">
        <w:rPr>
          <w:szCs w:val="22"/>
          <w:u w:val="single"/>
        </w:rPr>
        <w:t>bía</w:t>
      </w:r>
      <w:r w:rsidR="004171F4" w:rsidRPr="00BB0D9C">
        <w:rPr>
          <w:szCs w:val="22"/>
          <w:u w:val="single"/>
        </w:rPr>
        <w:t xml:space="preserve"> abordado la medida correctiva referente a la exhaustividad y que ha</w:t>
      </w:r>
      <w:r w:rsidRPr="00BB0D9C">
        <w:rPr>
          <w:szCs w:val="22"/>
          <w:u w:val="single"/>
        </w:rPr>
        <w:t>bía</w:t>
      </w:r>
      <w:r w:rsidR="004171F4" w:rsidRPr="00BB0D9C">
        <w:rPr>
          <w:szCs w:val="22"/>
          <w:u w:val="single"/>
        </w:rPr>
        <w:t xml:space="preserve"> logrado un progreso significativo sin mejoras considerables </w:t>
      </w:r>
      <w:r w:rsidRPr="00BB0D9C">
        <w:rPr>
          <w:szCs w:val="22"/>
          <w:u w:val="single"/>
        </w:rPr>
        <w:t>hacia</w:t>
      </w:r>
      <w:r w:rsidR="004171F4" w:rsidRPr="00BB0D9C">
        <w:rPr>
          <w:szCs w:val="22"/>
          <w:u w:val="single"/>
        </w:rPr>
        <w:t xml:space="preserve"> el cumplimiento del </w:t>
      </w:r>
      <w:r w:rsidRPr="00BB0D9C">
        <w:rPr>
          <w:szCs w:val="22"/>
          <w:u w:val="single"/>
        </w:rPr>
        <w:t>r</w:t>
      </w:r>
      <w:r w:rsidR="004171F4" w:rsidRPr="00BB0D9C">
        <w:rPr>
          <w:szCs w:val="22"/>
          <w:u w:val="single"/>
        </w:rPr>
        <w:t>equisito 4.1.</w:t>
      </w:r>
      <w:r w:rsidR="004171F4" w:rsidRPr="00BB0D9C">
        <w:t xml:space="preserve"> </w:t>
      </w:r>
    </w:p>
    <w:p w14:paraId="15D1A7AC" w14:textId="77777777" w:rsidR="005A5A0F" w:rsidRPr="00BB0D9C" w:rsidRDefault="00DB2457" w:rsidP="0079453B">
      <w:pPr>
        <w:spacing w:before="120"/>
        <w:rPr>
          <w:rFonts w:cstheme="majorHAnsi"/>
          <w:szCs w:val="22"/>
        </w:rPr>
      </w:pPr>
      <w:r w:rsidRPr="00BB0D9C">
        <w:t>De acuerdo con el requisito 4.1,</w:t>
      </w:r>
      <w:r w:rsidR="004171F4" w:rsidRPr="00BB0D9C">
        <w:t xml:space="preserve"> “se requiere que el </w:t>
      </w:r>
      <w:r w:rsidRPr="00BB0D9C">
        <w:t xml:space="preserve">grupo de </w:t>
      </w:r>
      <w:proofErr w:type="spellStart"/>
      <w:r w:rsidRPr="00BB0D9C">
        <w:t>multipartícipes</w:t>
      </w:r>
      <w:proofErr w:type="spellEnd"/>
      <w:r w:rsidRPr="00BB0D9C">
        <w:t xml:space="preserve"> acuerde </w:t>
      </w:r>
      <w:r w:rsidR="004171F4" w:rsidRPr="00BB0D9C">
        <w:t>determine qué pagos e ingresos son de importancia relativa y, por lo tanto, deben divulgarse con umbrales y definiciones adecuad</w:t>
      </w:r>
      <w:r w:rsidR="00FB4B88" w:rsidRPr="00BB0D9C">
        <w:t>o</w:t>
      </w:r>
      <w:r w:rsidR="004171F4" w:rsidRPr="00BB0D9C">
        <w:t xml:space="preserve">s de importancia relativa”. El Informe EITI </w:t>
      </w:r>
      <w:r w:rsidRPr="00BB0D9C">
        <w:t xml:space="preserve">de </w:t>
      </w:r>
      <w:r w:rsidR="004171F4" w:rsidRPr="00BB0D9C">
        <w:t xml:space="preserve">2015-2016 menciona los resultados finales en términos de cobertura de la conciliación, pero no explica los umbrales de importancia relativa adoptados ni tampoco confirma que no se haya excluido del alcance de la conciliación ningún flujo de ingresos </w:t>
      </w:r>
      <w:r w:rsidRPr="00BB0D9C">
        <w:t xml:space="preserve">o empresa </w:t>
      </w:r>
      <w:r w:rsidR="004171F4" w:rsidRPr="00BB0D9C">
        <w:t>de importancia relativa que haya realizado pagos de importancia relativa al gobierno. Las actas de reunión del GMP confirman que la importancia relativa se definió en términos de nivel de cobertura combinado de la conciliación, y no en cuanto a cada uno de los flujos de ingresos y la porción correspondiente a la empresa dentro del total de ingresos gubernamentales de origen extractivo. El enfoque de la importancia relativa está basado en los valores de producción y exportación y en los ingresos no tributarios recaudados por el IN</w:t>
      </w:r>
      <w:r w:rsidRPr="00BB0D9C">
        <w:t>H</w:t>
      </w:r>
      <w:r w:rsidR="004171F4" w:rsidRPr="00BB0D9C">
        <w:t xml:space="preserve">GEOMIN, y no en términos del total de ingresos (tributarios y no tributarios) del gobierno durante el año en estudio. </w:t>
      </w:r>
    </w:p>
    <w:p w14:paraId="271A2C01" w14:textId="77777777" w:rsidR="00F960DF" w:rsidRPr="00BB0D9C" w:rsidRDefault="00231097" w:rsidP="005A5A0F">
      <w:pPr>
        <w:spacing w:before="120"/>
        <w:rPr>
          <w:rFonts w:cstheme="majorHAnsi"/>
          <w:szCs w:val="22"/>
        </w:rPr>
      </w:pPr>
      <w:r w:rsidRPr="00BB0D9C">
        <w:t xml:space="preserve">Si bien el GMP solicitó una confirmación ulterior de la exhaustividad a la agencia tributaria (SAR), solo se confirmó que la cobertura final de la conciliación era congruente con el objetivo de conciliación del 85% de los ingresos de origen extractivo, lo cual no garantiza que la conciliación haya abarcado todos los flujos de ingresos y empresas de importancia relativa. Los comentarios que el SAR formuló por escrito como parte de la Validación confirmaron que el mayor pago de origen extractivo que había recibido durante el año en estudio provino de una empresa que no había sido seleccionada entre aquellas de importancia relativa y que, sin embargo, representaba el 3,92% de los ingresos tributarios en 2015 y el 1,78% en 2016. </w:t>
      </w:r>
    </w:p>
    <w:p w14:paraId="3216F6E2" w14:textId="77777777" w:rsidR="00DB2457" w:rsidRPr="00BB0D9C" w:rsidRDefault="00DB2457" w:rsidP="00DB2457">
      <w:pPr>
        <w:spacing w:before="120"/>
      </w:pPr>
      <w:r w:rsidRPr="00BB0D9C">
        <w:rPr>
          <w:u w:val="single"/>
        </w:rPr>
        <w:t>Su</w:t>
      </w:r>
      <w:r w:rsidR="002B7125" w:rsidRPr="00BB0D9C">
        <w:rPr>
          <w:u w:val="single"/>
        </w:rPr>
        <w:t xml:space="preserve">jeto a que el Consejo tenga en cuenta nueva información publicada después del comienzo de la segunda validación, la evaluación del Secretariado Internacional es que </w:t>
      </w:r>
      <w:r w:rsidRPr="00BB0D9C">
        <w:rPr>
          <w:u w:val="single"/>
        </w:rPr>
        <w:t>Honduras ha</w:t>
      </w:r>
      <w:r w:rsidR="002B7125" w:rsidRPr="00BB0D9C">
        <w:rPr>
          <w:u w:val="single"/>
        </w:rPr>
        <w:t xml:space="preserve"> abordado la medida correctiva y ha hecho un progreso satisfactorio hacia cumplir el requisito </w:t>
      </w:r>
      <w:r w:rsidRPr="00BB0D9C">
        <w:rPr>
          <w:u w:val="single"/>
        </w:rPr>
        <w:t>4.1.</w:t>
      </w:r>
    </w:p>
    <w:p w14:paraId="360A11BF" w14:textId="77777777" w:rsidR="00F67F4A" w:rsidRPr="00BB0D9C" w:rsidRDefault="002B7125" w:rsidP="00DB2457">
      <w:pPr>
        <w:spacing w:before="120"/>
        <w:rPr>
          <w:rFonts w:cstheme="majorHAnsi"/>
          <w:szCs w:val="22"/>
        </w:rPr>
      </w:pPr>
      <w:r w:rsidRPr="00BB0D9C">
        <w:t xml:space="preserve">El Secretariado Internacional indica </w:t>
      </w:r>
      <w:proofErr w:type="gramStart"/>
      <w:r w:rsidRPr="00BB0D9C">
        <w:t>que</w:t>
      </w:r>
      <w:proofErr w:type="gramEnd"/>
      <w:r w:rsidRPr="00BB0D9C">
        <w:t xml:space="preserve"> </w:t>
      </w:r>
      <w:r w:rsidR="00BE7B94" w:rsidRPr="00BB0D9C">
        <w:t>aunque</w:t>
      </w:r>
      <w:r w:rsidRPr="00BB0D9C">
        <w:t xml:space="preserve"> el grupo de </w:t>
      </w:r>
      <w:proofErr w:type="spellStart"/>
      <w:r w:rsidRPr="00BB0D9C">
        <w:t>multipartícipes</w:t>
      </w:r>
      <w:proofErr w:type="spellEnd"/>
      <w:r w:rsidRPr="00BB0D9C">
        <w:t xml:space="preserve"> no acordó explícitamente qué pagos e ingresos eran de importancia relativa, incluyendo umbrales de importancia relativa adecuados, el ejercicio de conciliación cubrió el </w:t>
      </w:r>
      <w:r w:rsidR="00DB2457" w:rsidRPr="00BB0D9C">
        <w:t>98.7</w:t>
      </w:r>
      <w:r w:rsidRPr="00BB0D9C">
        <w:t>% y el</w:t>
      </w:r>
      <w:r w:rsidR="00DB2457" w:rsidRPr="00BB0D9C">
        <w:t xml:space="preserve"> 99% </w:t>
      </w:r>
      <w:r w:rsidRPr="00BB0D9C">
        <w:t xml:space="preserve">de todos los ingresos recibidos por el Gobierno del sector extractivo. El informe también divulgaba todos los ingresos recibidos por todas las entidades gubernamentales de acuerdo con el alcance acordado. Aunque el Administrador Independiente no enumeraba las </w:t>
      </w:r>
      <w:r w:rsidR="00B61C08" w:rsidRPr="00BB0D9C">
        <w:t>empresa</w:t>
      </w:r>
      <w:r w:rsidRPr="00BB0D9C">
        <w:t xml:space="preserve">s no declarantes en el Informe </w:t>
      </w:r>
      <w:bookmarkStart w:id="33" w:name="_Hlk43136107"/>
      <w:r w:rsidR="00DB2457" w:rsidRPr="00BB0D9C">
        <w:t>EITI (</w:t>
      </w:r>
      <w:r w:rsidRPr="00BB0D9C">
        <w:t>véase el requisito</w:t>
      </w:r>
      <w:r w:rsidR="00DB2457" w:rsidRPr="00BB0D9C">
        <w:t xml:space="preserve"> 4.9, </w:t>
      </w:r>
      <w:r w:rsidRPr="00BB0D9C">
        <w:t>a continuación</w:t>
      </w:r>
      <w:r w:rsidR="00DB2457" w:rsidRPr="00BB0D9C">
        <w:t xml:space="preserve">), </w:t>
      </w:r>
      <w:r w:rsidRPr="00BB0D9C">
        <w:t xml:space="preserve">es razonable concluir que el objetivo general de este requisito (es decir, la divulgación exhaustiva de pagos de </w:t>
      </w:r>
      <w:r w:rsidR="00B61C08" w:rsidRPr="00BB0D9C">
        <w:t>empresa</w:t>
      </w:r>
      <w:r w:rsidRPr="00BB0D9C">
        <w:t>s e ingresos del Gobierno de las industrias extractivas</w:t>
      </w:r>
      <w:r w:rsidR="00DB2457" w:rsidRPr="00BB0D9C">
        <w:t xml:space="preserve">) </w:t>
      </w:r>
      <w:r w:rsidR="009E0BB4" w:rsidRPr="00BB0D9C">
        <w:t>se ha alcanzado</w:t>
      </w:r>
      <w:bookmarkEnd w:id="33"/>
      <w:r w:rsidR="00DB2457" w:rsidRPr="00BB0D9C">
        <w:t xml:space="preserve">. </w:t>
      </w:r>
      <w:r w:rsidR="009E0BB4" w:rsidRPr="00BB0D9C">
        <w:t>Si se tiene en cuenta el Informe EITI de</w:t>
      </w:r>
      <w:r w:rsidR="00DB2457" w:rsidRPr="00BB0D9C">
        <w:t xml:space="preserve"> 2017-2018, </w:t>
      </w:r>
      <w:r w:rsidR="009E0BB4" w:rsidRPr="00BB0D9C">
        <w:t xml:space="preserve">la evaluación del Secretariado Internacional es que </w:t>
      </w:r>
      <w:r w:rsidR="00DB2457" w:rsidRPr="00BB0D9C">
        <w:t xml:space="preserve">Honduras </w:t>
      </w:r>
      <w:r w:rsidR="009E0BB4" w:rsidRPr="00BB0D9C">
        <w:t xml:space="preserve">hizo un progreso satisfactorio con el requisito </w:t>
      </w:r>
      <w:r w:rsidR="00DB2457" w:rsidRPr="00BB0D9C">
        <w:t>4.1.</w:t>
      </w:r>
    </w:p>
    <w:p w14:paraId="3B579777" w14:textId="77777777" w:rsidR="00671545" w:rsidRPr="00BB0D9C" w:rsidRDefault="00671545" w:rsidP="00671545">
      <w:pPr>
        <w:spacing w:before="120"/>
        <w:rPr>
          <w:rFonts w:cstheme="majorHAnsi"/>
          <w:szCs w:val="22"/>
        </w:rPr>
      </w:pPr>
      <w:bookmarkStart w:id="34" w:name="_Hlk40777421"/>
      <w:r w:rsidRPr="00BB0D9C">
        <w:rPr>
          <w:rFonts w:cstheme="majorHAnsi"/>
          <w:i/>
          <w:iCs/>
          <w:szCs w:val="22"/>
        </w:rPr>
        <w:t xml:space="preserve">Si el Consejo no tiene en cuenta nueva información publicada después del comienzo de la segunda validación, Honduras debería abordar la siguiente medida correctiva: </w:t>
      </w:r>
      <w:r w:rsidRPr="00BB0D9C">
        <w:rPr>
          <w:rFonts w:cstheme="majorHAnsi"/>
          <w:szCs w:val="22"/>
        </w:rPr>
        <w:t xml:space="preserve">de acuerdo con el requisito 4.1, el grupo de </w:t>
      </w:r>
      <w:proofErr w:type="spellStart"/>
      <w:r w:rsidRPr="00BB0D9C">
        <w:rPr>
          <w:rFonts w:cstheme="majorHAnsi"/>
          <w:szCs w:val="22"/>
        </w:rPr>
        <w:t>multipartícipes</w:t>
      </w:r>
      <w:proofErr w:type="spellEnd"/>
      <w:r w:rsidRPr="00BB0D9C">
        <w:rPr>
          <w:rFonts w:cstheme="majorHAnsi"/>
          <w:szCs w:val="22"/>
        </w:rPr>
        <w:t xml:space="preserve"> debe garantizar que la futura presentación de información cumpla con los términos de referencia estándar aprobados por el Consejo del EITI. En particular, el grupo de </w:t>
      </w:r>
      <w:proofErr w:type="spellStart"/>
      <w:r w:rsidRPr="00BB0D9C">
        <w:rPr>
          <w:rFonts w:cstheme="majorHAnsi"/>
          <w:szCs w:val="22"/>
        </w:rPr>
        <w:t>multipartícipes</w:t>
      </w:r>
      <w:proofErr w:type="spellEnd"/>
      <w:r w:rsidRPr="00BB0D9C">
        <w:rPr>
          <w:rFonts w:cstheme="majorHAnsi"/>
          <w:szCs w:val="22"/>
        </w:rPr>
        <w:t xml:space="preserve"> debe adoptar una definición de importancia relativa que garantice que el alcance del proceso de presentación de información sea exhaustivo y que participen todas las </w:t>
      </w:r>
      <w:r w:rsidR="00B61C08" w:rsidRPr="00BB0D9C">
        <w:rPr>
          <w:rFonts w:cstheme="majorHAnsi"/>
          <w:szCs w:val="22"/>
        </w:rPr>
        <w:t>empresa</w:t>
      </w:r>
      <w:r w:rsidRPr="00BB0D9C">
        <w:rPr>
          <w:rFonts w:cstheme="majorHAnsi"/>
          <w:szCs w:val="22"/>
        </w:rPr>
        <w:t xml:space="preserve">s de importancia relativa. </w:t>
      </w:r>
    </w:p>
    <w:p w14:paraId="2A5A8A39" w14:textId="77777777" w:rsidR="00671545" w:rsidRPr="00BB0D9C" w:rsidRDefault="00671545" w:rsidP="00671545">
      <w:pPr>
        <w:spacing w:before="120"/>
        <w:rPr>
          <w:rFonts w:cstheme="majorHAnsi"/>
          <w:szCs w:val="22"/>
        </w:rPr>
      </w:pPr>
      <w:r w:rsidRPr="00BB0D9C">
        <w:rPr>
          <w:rFonts w:cstheme="majorHAnsi"/>
          <w:szCs w:val="22"/>
        </w:rPr>
        <w:t xml:space="preserve">Para fortalecer la implementación, se alienta firmemente a Honduras para que garantice que las futuras presentaciones de información cumplan con los términos de referencia estándar para Administradores Independientes aprobados por el Consejo del EITI. En particular, que la definición de importancia relativa que se adopte en el futuro se establezca de acuerdo con el Estándar y garantice que el próximo Informe EITI incluya una lista de las entidades no declarantes y evalúe la importancia relativa de sus pagos o ingresos. De manera similar, el grupo de </w:t>
      </w:r>
      <w:proofErr w:type="spellStart"/>
      <w:r w:rsidRPr="00BB0D9C">
        <w:rPr>
          <w:rFonts w:cstheme="majorHAnsi"/>
          <w:szCs w:val="22"/>
        </w:rPr>
        <w:t>multipartícipes</w:t>
      </w:r>
      <w:proofErr w:type="spellEnd"/>
      <w:r w:rsidRPr="00BB0D9C">
        <w:rPr>
          <w:rFonts w:cstheme="majorHAnsi"/>
          <w:szCs w:val="22"/>
        </w:rPr>
        <w:t xml:space="preserve"> debe revisar el alcance de los flujos de ingresos tanto a nivel nacional como local para garantizar que los flujos de ingresos se consideren de importancia relativa de acuerdo con la parte 4.1.b de este requisito.</w:t>
      </w:r>
    </w:p>
    <w:bookmarkEnd w:id="34"/>
    <w:p w14:paraId="6E7565F3" w14:textId="77777777" w:rsidR="00177F58" w:rsidRPr="00BB0D9C" w:rsidRDefault="00177F58" w:rsidP="00F960DF">
      <w:pPr>
        <w:spacing w:before="120"/>
        <w:rPr>
          <w:rFonts w:cstheme="majorHAnsi"/>
          <w:szCs w:val="22"/>
        </w:rPr>
      </w:pPr>
    </w:p>
    <w:p w14:paraId="28D512CA" w14:textId="77777777" w:rsidR="004171F4" w:rsidRPr="00BB0D9C" w:rsidRDefault="004171F4" w:rsidP="00F67F4A">
      <w:pPr>
        <w:pStyle w:val="Heading2"/>
        <w:numPr>
          <w:ilvl w:val="1"/>
          <w:numId w:val="43"/>
        </w:numPr>
      </w:pPr>
      <w:bookmarkStart w:id="35" w:name="_Toc45021599"/>
      <w:r w:rsidRPr="00BB0D9C">
        <w:t>Medida correctiva 6: Pagos subnacionales (</w:t>
      </w:r>
      <w:proofErr w:type="spellStart"/>
      <w:r w:rsidR="00671545" w:rsidRPr="00BB0D9C">
        <w:t>n.°</w:t>
      </w:r>
      <w:proofErr w:type="spellEnd"/>
      <w:r w:rsidR="00671545" w:rsidRPr="00BB0D9C">
        <w:t> </w:t>
      </w:r>
      <w:r w:rsidRPr="00BB0D9C">
        <w:t>4.6)</w:t>
      </w:r>
      <w:bookmarkEnd w:id="35"/>
    </w:p>
    <w:p w14:paraId="113E9E6F" w14:textId="77777777" w:rsidR="004171F4" w:rsidRPr="00BB0D9C" w:rsidRDefault="004171F4" w:rsidP="004171F4">
      <w:pPr>
        <w:shd w:val="clear" w:color="auto" w:fill="D9D9D9" w:themeFill="background1" w:themeFillShade="D9"/>
      </w:pPr>
      <w:r w:rsidRPr="00BB0D9C">
        <w:t>Conforme al Requisito 4.6, el GMP debería establecer claramente si son de importancia relativa aquellos pagos directos, dentro del alcance de los flujos de beneficios acordados, que las empresas realizan a los municipios. En caso de que lo sean, el GMP debería garantizar que los pagos de las empresas a los municipios y la percepción de estos pagos se divulguen y concilien en el Informe EITI. Se alienta al GMP a considerar la posibilidad de colaborar con los municipios de zonas mineras con vistas a mejorar su capacidad de recaudar, registrar y administrar los ingresos provenientes de las industrias extractivas.</w:t>
      </w:r>
    </w:p>
    <w:p w14:paraId="2A50D401" w14:textId="77777777" w:rsidR="004171F4" w:rsidRPr="00BB0D9C" w:rsidRDefault="004171F4" w:rsidP="004171F4">
      <w:pPr>
        <w:pStyle w:val="Heading3"/>
      </w:pPr>
      <w:r w:rsidRPr="00BB0D9C">
        <w:t>Conclusiones de la prime</w:t>
      </w:r>
      <w:r w:rsidR="00671545" w:rsidRPr="00BB0D9C">
        <w:t>ra v</w:t>
      </w:r>
      <w:r w:rsidRPr="00BB0D9C">
        <w:t>alidación</w:t>
      </w:r>
    </w:p>
    <w:p w14:paraId="79E1EF5E" w14:textId="77777777" w:rsidR="00A407FC" w:rsidRPr="00BB0D9C" w:rsidRDefault="004171F4" w:rsidP="004171F4">
      <w:r w:rsidRPr="00BB0D9C">
        <w:t xml:space="preserve">En la primera Validación se llegó a la conclusión de que Honduras había tenido un progreso insuficiente en el cumplimiento de este requisito. El Informe EITI </w:t>
      </w:r>
      <w:r w:rsidR="00671545" w:rsidRPr="00BB0D9C">
        <w:t xml:space="preserve">de </w:t>
      </w:r>
      <w:r w:rsidRPr="00BB0D9C">
        <w:t>2014 incluía pagos subnacionales directos: se pidió a seis municipios y a siete empresas de importancia relativa que informaran sobre ellos. El informe divulgó información sobre los cuatro flujos de ingresos a nivel de municipios que se consideraban de importancia relativa, y el Administrador Ind</w:t>
      </w:r>
      <w:r w:rsidR="00AA15E2" w:rsidRPr="00BB0D9C">
        <w:t>ependiente concilió sus cifras.</w:t>
      </w:r>
      <w:r w:rsidRPr="00BB0D9C">
        <w:t xml:space="preserve"> La conciliación arrojó importantes discrepancias. </w:t>
      </w:r>
    </w:p>
    <w:p w14:paraId="6BA8F483" w14:textId="77777777" w:rsidR="004171F4" w:rsidRPr="00BB0D9C" w:rsidRDefault="00E01E90" w:rsidP="004171F4">
      <w:r w:rsidRPr="00BB0D9C">
        <w:t>Estas discrepancias eran consecuencia de presentaciones de información incompletas por parte de los municipios; por ejemplo, uno de ellos (Juticalpa) directamente no había presentado información. Al margen de la falta de información completa, el informe tampoco decía nada sobre la calidad de los datos municipales presentados. Si bien después se confirmó que cinco municipios habían proporcionado plantillas certificadas para la presentación de información, no quedó del todo claro cuáles eran las garantías de calidad ofrecidas. El Secretariado Internacional llegó a la conclusión de que la conciliación de pagos subnacionales sugería la existencia de importantes deficiencias en la capacidad de los municipios de recaudar e informar ingresos.</w:t>
      </w:r>
    </w:p>
    <w:p w14:paraId="4BB94019" w14:textId="77777777" w:rsidR="004171F4" w:rsidRPr="00BB0D9C" w:rsidRDefault="00671545" w:rsidP="004171F4">
      <w:pPr>
        <w:pStyle w:val="Heading3"/>
      </w:pPr>
      <w:r w:rsidRPr="00BB0D9C">
        <w:t>Progreso desde la primera v</w:t>
      </w:r>
      <w:r w:rsidR="004171F4" w:rsidRPr="00BB0D9C">
        <w:t>alidación</w:t>
      </w:r>
    </w:p>
    <w:p w14:paraId="1CDCD853" w14:textId="77777777" w:rsidR="00F72161" w:rsidRPr="00BB0D9C" w:rsidRDefault="00F72161" w:rsidP="00F72161">
      <w:r w:rsidRPr="00BB0D9C">
        <w:t>El GMP no estableció con claridad un umbral de importancia relativa para seleccionar los pagos subnacionales directos. Sin embargo, según revela el informe, esos pagos representaban un 40% y 12% del total de ingresos del sector en 2015 y 2016, respectivamente. Los ingresos percibidos por los municipios durante 2015 representaron HNL 83 millones del total de pagos que las industrias extractivas realizaron al gobierno, consistente en HNL 208 millones, mientras que en 2016 representaron HNL 61 millones de los HNL 551 millones a los que ascendía el total de pagos de la industria (p. 60).</w:t>
      </w:r>
    </w:p>
    <w:p w14:paraId="5F63A870" w14:textId="77777777" w:rsidR="00F72161" w:rsidRPr="00BB0D9C" w:rsidRDefault="00F72161" w:rsidP="00F72161">
      <w:r w:rsidRPr="00BB0D9C">
        <w:t xml:space="preserve">El Informe EITI </w:t>
      </w:r>
      <w:r w:rsidR="007E5F39" w:rsidRPr="00BB0D9C">
        <w:t xml:space="preserve">de 2015-2016 </w:t>
      </w:r>
      <w:r w:rsidRPr="00BB0D9C">
        <w:t>(p. 58) enumera</w:t>
      </w:r>
      <w:r w:rsidR="007E5F39" w:rsidRPr="00BB0D9C">
        <w:t>ba</w:t>
      </w:r>
      <w:r w:rsidRPr="00BB0D9C">
        <w:t xml:space="preserve"> los siguientes pagos subnacionales establecidos por la Ley de Municipalidades y la Ley de Minería: Impuesto sobre bienes, Impuesto municipal sobre actividades mineras, Impuesto por permisos de operación, e Impuesto sobre la extracción y explotación de recursos. Pese a enumerar estos impuestos, el informe no explica</w:t>
      </w:r>
      <w:r w:rsidR="007E5F39" w:rsidRPr="00BB0D9C">
        <w:t>ba</w:t>
      </w:r>
      <w:r w:rsidRPr="00BB0D9C">
        <w:t xml:space="preserve"> los tipos específicos de pagos efectivamente realizados por las empresas extractivas durante los años en estudio, pero sí confirma</w:t>
      </w:r>
      <w:r w:rsidR="007E5F39" w:rsidRPr="00BB0D9C">
        <w:t>ba</w:t>
      </w:r>
      <w:r w:rsidRPr="00BB0D9C">
        <w:t xml:space="preserve"> que los municipios </w:t>
      </w:r>
      <w:r w:rsidR="007E5F39" w:rsidRPr="00BB0D9C">
        <w:t xml:space="preserve">habían </w:t>
      </w:r>
      <w:r w:rsidRPr="00BB0D9C">
        <w:t>presenta</w:t>
      </w:r>
      <w:r w:rsidR="007E5F39" w:rsidRPr="00BB0D9C">
        <w:t>do</w:t>
      </w:r>
      <w:r w:rsidRPr="00BB0D9C">
        <w:t xml:space="preserve"> certificados de los pagos percibidos en relación con el “Impuesto municipal sobre actividades mineras” (Ley General de Minería – Art. 76). El hecho de que el informe haga referencia a certificados solo respecto de este tipo de contribución tributaria sugiere que estos fueron los únicos pagos percibidos por los municipios, si bien esto no se indica</w:t>
      </w:r>
      <w:r w:rsidR="007E5F39" w:rsidRPr="00BB0D9C">
        <w:t>ba</w:t>
      </w:r>
      <w:r w:rsidRPr="00BB0D9C">
        <w:t xml:space="preserve"> de manera explícita en el informe. </w:t>
      </w:r>
    </w:p>
    <w:p w14:paraId="0D41CB0C" w14:textId="77777777" w:rsidR="00F72161" w:rsidRPr="00BB0D9C" w:rsidRDefault="00F72161" w:rsidP="00F72161">
      <w:r w:rsidRPr="00BB0D9C">
        <w:t>El “Impuesto municip</w:t>
      </w:r>
      <w:r w:rsidR="007E5F39" w:rsidRPr="00BB0D9C">
        <w:t>al sobre actividades mineras” era</w:t>
      </w:r>
      <w:r w:rsidRPr="00BB0D9C">
        <w:t xml:space="preserve"> el único pago subnacional divulgado en el informe. Este impuesto solía aplicarse a la minería y se calculaba como un 1% del valor total mensual de las ventas o exportaciones. Los pagos correspondientes a este impuesto se conciliaron en el Informe EITI </w:t>
      </w:r>
      <w:r w:rsidR="007E5F39" w:rsidRPr="00BB0D9C">
        <w:t xml:space="preserve">de 2015-2016 </w:t>
      </w:r>
      <w:r w:rsidRPr="00BB0D9C">
        <w:t>(pp. 87-97). Sin embargo, no se evaluó su importancia relativa respecto del total de ingresos del gobierno, ni tampoco se explicaron las importantes discrepancias identificadas en relación con ocho de las nueve empresas informantes.</w:t>
      </w:r>
    </w:p>
    <w:p w14:paraId="30175697" w14:textId="77777777" w:rsidR="00F72161" w:rsidRPr="00BB0D9C" w:rsidRDefault="003B0BC2" w:rsidP="00F72161">
      <w:r w:rsidRPr="00BB0D9C">
        <w:t>En agosto de 2017, un pronunciamiento del Tribunal Superior declaró inconstitucional el “Impuesto sobre actividades mineras”, lo cual hizo necesario revisar el criterio para su cálculo. En este sentido, el Tribunal Superior explicó que se trataba de un asunto de interés público, en virtud del cual los legisladores deberían revisar el valor del impuesto y ajustarlo a los estándares internacionales, para así garantizar su adecuación al objetivo de alcanzar el desarrollo económico.</w:t>
      </w:r>
    </w:p>
    <w:p w14:paraId="0A61A06C" w14:textId="77777777" w:rsidR="00F72161" w:rsidRPr="00BB0D9C" w:rsidRDefault="000042D4" w:rsidP="00F72161">
      <w:r w:rsidRPr="00BB0D9C">
        <w:t xml:space="preserve">Varias de las partes interesadas consultadas explicaron que su principal preocupación era la falta de reglamentación de las actividades mineras y el hecho de que las tasas que pagaban las empresas mineras en Honduras eran consideradas bajas de acuerdo con los estándares internacionales. Tras esta declaración de </w:t>
      </w:r>
      <w:r w:rsidR="00BE06D6" w:rsidRPr="00BB0D9C">
        <w:t>inconstitucionalidad</w:t>
      </w:r>
      <w:r w:rsidRPr="00BB0D9C">
        <w:t xml:space="preserve"> en el 2017, no se estableció formalmente ninguna nueva tasa para el Impuesto Municipal del 1%. Pese a ello, los alcaldes de las ciudades a quienes se consultó explicaron que cada Municipio tiene sus propios arreglos informales con las empresas mineras que operan en sus áreas. La naturaleza, el alcance y la configuración de estos arreglos fueron explicados por las partes interesadas del gobierno consultadas. Algunas sugirieron que</w:t>
      </w:r>
      <w:r w:rsidR="00A1035B" w:rsidRPr="00BB0D9C">
        <w:t>,</w:t>
      </w:r>
      <w:r w:rsidRPr="00BB0D9C">
        <w:t xml:space="preserve"> como los municipios percibían ingresos derivados de estos arreglos informales, la contribución al tesoro nacional resultaba menor, lo cual explicaba por qué el aporte de la industria minera a los ingresos del gobierno central </w:t>
      </w:r>
      <w:r w:rsidR="007E5F39" w:rsidRPr="00BB0D9C">
        <w:t>había disminuido con el tiempo.</w:t>
      </w:r>
    </w:p>
    <w:p w14:paraId="5E54003C" w14:textId="77777777" w:rsidR="007E5F39" w:rsidRPr="00BB0D9C" w:rsidRDefault="007E5F39" w:rsidP="007E5F39">
      <w:r w:rsidRPr="00BB0D9C">
        <w:t xml:space="preserve">Después del comienzo de la segunda validación, Honduras publicó el Informe EITI de 2017-2018, que incluye la divulgación de los siete flujos de ingresos municipales siguientes: impuesto a la actividad minera, impuesto industrial y comercial, impuesto a los bienes, impuesto municipal, permisos de operación, tarifa de inspección y tarifa ambiental. Todos son impuestos y tarifas establecidos por ley (Ley de Municipalidades y Ley de Minería) (p. 87). El grupo de </w:t>
      </w:r>
      <w:proofErr w:type="spellStart"/>
      <w:r w:rsidRPr="00BB0D9C">
        <w:t>multipartícipes</w:t>
      </w:r>
      <w:proofErr w:type="spellEnd"/>
      <w:r w:rsidRPr="00BB0D9C">
        <w:t xml:space="preserve"> no establecía un umbral de importancia relativa. Por lo tanto, todos estos ingresos se consideraron de importancia relativa. Estos ingresos subnacionales representaron el 9,9% y el 7,1% del total de ingresos (nacionales y subnacionales) recaudados por el Gobierno. El Informe EITI de 2017-2018 incluye la conciliación de estos siete flujos de ingresos por </w:t>
      </w:r>
      <w:r w:rsidR="00B61C08" w:rsidRPr="00BB0D9C">
        <w:t>empresa</w:t>
      </w:r>
      <w:r w:rsidRPr="00BB0D9C">
        <w:t xml:space="preserve"> (pp. 121-125). Cada </w:t>
      </w:r>
      <w:r w:rsidR="00B61C08" w:rsidRPr="00BB0D9C">
        <w:t>empresa</w:t>
      </w:r>
      <w:r w:rsidRPr="00BB0D9C">
        <w:t xml:space="preserve"> opera en una sola municipalidad</w:t>
      </w:r>
      <w:r w:rsidRPr="00BB0D9C">
        <w:rPr>
          <w:vertAlign w:val="superscript"/>
        </w:rPr>
        <w:footnoteReference w:id="79"/>
      </w:r>
      <w:r w:rsidRPr="00BB0D9C">
        <w:t xml:space="preserve">. Algunas discrepancias no se explicaron. El informe explicaba que la calidad de los datos estaba garantizada por el hecho de que todas las municipalidades son monitoreadas y auditadas por el Auditor Supremo (Tribunal Superior de Cuentas). El Auditor Supremo le dio fe de las cuentas por correspondencia al Referente del EITI </w:t>
      </w:r>
      <w:r w:rsidR="006F7427" w:rsidRPr="00BB0D9C">
        <w:t>el 29 de agosto y el 25 de noviembre de</w:t>
      </w:r>
      <w:r w:rsidRPr="00BB0D9C">
        <w:t xml:space="preserve"> 2020 (</w:t>
      </w:r>
      <w:r w:rsidR="00EB4DBE" w:rsidRPr="00BB0D9C">
        <w:t>pp. 87</w:t>
      </w:r>
      <w:r w:rsidRPr="00BB0D9C">
        <w:t xml:space="preserve"> </w:t>
      </w:r>
      <w:r w:rsidR="006F7427" w:rsidRPr="00BB0D9C">
        <w:t>y</w:t>
      </w:r>
      <w:r w:rsidRPr="00BB0D9C">
        <w:t xml:space="preserve"> 137-138).</w:t>
      </w:r>
    </w:p>
    <w:p w14:paraId="5799F60E" w14:textId="77777777" w:rsidR="004171F4" w:rsidRPr="00BB0D9C" w:rsidRDefault="004171F4" w:rsidP="00A407FC">
      <w:pPr>
        <w:pStyle w:val="Heading3"/>
      </w:pPr>
      <w:r w:rsidRPr="00BB0D9C">
        <w:t>Evaluación del Secretariado</w:t>
      </w:r>
    </w:p>
    <w:p w14:paraId="48816561" w14:textId="77777777" w:rsidR="006F7427" w:rsidRPr="00BB0D9C" w:rsidRDefault="006F7427" w:rsidP="006F7427">
      <w:pPr>
        <w:spacing w:before="100" w:beforeAutospacing="1" w:after="100" w:afterAutospacing="1"/>
        <w:rPr>
          <w:szCs w:val="22"/>
          <w:u w:val="single"/>
        </w:rPr>
      </w:pPr>
      <w:r w:rsidRPr="00BB0D9C">
        <w:rPr>
          <w:szCs w:val="22"/>
          <w:u w:val="single"/>
        </w:rPr>
        <w:t xml:space="preserve">Al comienzo de la segunda validación, la evaluación del Secretariado Internacional es que Honduras no había abordado la medida correctiva referida a los pagos subnacionales directos y había hecho un progreso inadecuado sin mejoras hacia el cumplimiento del requisito 4.6. Sujeto a que el Consejo tenga en cuenta nueva información publicada después del comienzo de la segunda validación, la evaluación del Secretariado Internacional es que Honduras ha abordado la medida correctiva referida a los pagos subnacionales y ha hecho un progreso satisfactorio hacia el cumplimiento del requisito 4.6. </w:t>
      </w:r>
    </w:p>
    <w:p w14:paraId="271B2277" w14:textId="77777777" w:rsidR="006F7427" w:rsidRPr="00BB0D9C" w:rsidRDefault="006F7427" w:rsidP="006F7427">
      <w:pPr>
        <w:spacing w:before="100" w:beforeAutospacing="1" w:after="100" w:afterAutospacing="1"/>
        <w:rPr>
          <w:szCs w:val="22"/>
          <w:u w:val="single"/>
        </w:rPr>
      </w:pPr>
      <w:r w:rsidRPr="00BB0D9C">
        <w:rPr>
          <w:szCs w:val="22"/>
          <w:u w:val="single"/>
        </w:rPr>
        <w:t xml:space="preserve">El Informe EITI de 2017-2018 de Honduras divulga todos los pagos de importancia relativa realizados por </w:t>
      </w:r>
      <w:r w:rsidR="00B61C08" w:rsidRPr="00BB0D9C">
        <w:rPr>
          <w:szCs w:val="22"/>
          <w:u w:val="single"/>
        </w:rPr>
        <w:t>empresa</w:t>
      </w:r>
      <w:r w:rsidRPr="00BB0D9C">
        <w:rPr>
          <w:szCs w:val="22"/>
          <w:u w:val="single"/>
        </w:rPr>
        <w:t xml:space="preserve">s declarantes durante los años bajo revisión. El informe también incluye una conciliación de esos ingresos por </w:t>
      </w:r>
      <w:r w:rsidR="00B61C08" w:rsidRPr="00BB0D9C">
        <w:rPr>
          <w:szCs w:val="22"/>
          <w:u w:val="single"/>
        </w:rPr>
        <w:t>empresa</w:t>
      </w:r>
      <w:r w:rsidRPr="00BB0D9C">
        <w:rPr>
          <w:szCs w:val="22"/>
          <w:u w:val="single"/>
        </w:rPr>
        <w:t xml:space="preserve"> con discrepancias ínfimas. Las únicas discrepancias por encima del umbral aprobado por el grupo de </w:t>
      </w:r>
      <w:proofErr w:type="spellStart"/>
      <w:r w:rsidRPr="00BB0D9C">
        <w:rPr>
          <w:szCs w:val="22"/>
          <w:u w:val="single"/>
        </w:rPr>
        <w:t>multipartícipes</w:t>
      </w:r>
      <w:proofErr w:type="spellEnd"/>
      <w:r w:rsidRPr="00BB0D9C">
        <w:rPr>
          <w:szCs w:val="22"/>
          <w:u w:val="single"/>
        </w:rPr>
        <w:t xml:space="preserve"> se </w:t>
      </w:r>
      <w:r w:rsidR="00EB4DBE" w:rsidRPr="00BB0D9C">
        <w:rPr>
          <w:szCs w:val="22"/>
          <w:u w:val="single"/>
        </w:rPr>
        <w:t>relacionaban</w:t>
      </w:r>
      <w:r w:rsidRPr="00BB0D9C">
        <w:rPr>
          <w:szCs w:val="22"/>
          <w:u w:val="single"/>
        </w:rPr>
        <w:t xml:space="preserve"> con el impuesto a los bienes inmuebles. Sin embargo, este flujo de ingresos representa apenas un 1,8% y un 2,5% del total de los ingresos subnacionales y solo un 0,17% y un 0,16% del total de los ingresos de 2017 y de 2018 respectivamente. Por lo tanto, es razonable concluir que estas desviaciones no ponen en riesgo la integridad de la conciliación de ingresos subnacionales en el Informe EITI de 2017-2018.</w:t>
      </w:r>
    </w:p>
    <w:p w14:paraId="5705FC1B" w14:textId="77777777" w:rsidR="006F7427" w:rsidRPr="00BB0D9C" w:rsidRDefault="006F7427" w:rsidP="006F7427">
      <w:pPr>
        <w:spacing w:before="100" w:beforeAutospacing="1" w:after="100" w:afterAutospacing="1"/>
        <w:rPr>
          <w:szCs w:val="22"/>
          <w:u w:val="single"/>
        </w:rPr>
      </w:pPr>
      <w:r w:rsidRPr="00BB0D9C">
        <w:rPr>
          <w:i/>
          <w:iCs/>
          <w:szCs w:val="22"/>
          <w:u w:val="single"/>
        </w:rPr>
        <w:t>Si el Consejo no tiene en cuenta nueva información publicada después del comienzo de la segunda validación, Honduras deberá abordar la siguiente medida correctiva</w:t>
      </w:r>
      <w:r w:rsidRPr="00BB0D9C">
        <w:rPr>
          <w:szCs w:val="22"/>
          <w:u w:val="single"/>
        </w:rPr>
        <w:t xml:space="preserve">: de acuerdo con el requisito 4.6, Honduras debe confirmar si los pagos directos, dentro del alcance de los flujos de beneficios acordados, de las </w:t>
      </w:r>
      <w:r w:rsidR="00B61C08" w:rsidRPr="00BB0D9C">
        <w:rPr>
          <w:szCs w:val="22"/>
          <w:u w:val="single"/>
        </w:rPr>
        <w:t>empresa</w:t>
      </w:r>
      <w:r w:rsidRPr="00BB0D9C">
        <w:rPr>
          <w:szCs w:val="22"/>
          <w:u w:val="single"/>
        </w:rPr>
        <w:t xml:space="preserve">s a las municipalidades tienen importancia relativa. </w:t>
      </w:r>
      <w:r w:rsidR="00C11C29" w:rsidRPr="00BB0D9C">
        <w:rPr>
          <w:szCs w:val="22"/>
          <w:u w:val="single"/>
        </w:rPr>
        <w:t xml:space="preserve">Cuando haya pagos subnacionales directos de importancia relativa de </w:t>
      </w:r>
      <w:r w:rsidR="00B61C08" w:rsidRPr="00BB0D9C">
        <w:rPr>
          <w:szCs w:val="22"/>
          <w:u w:val="single"/>
        </w:rPr>
        <w:t>empresa</w:t>
      </w:r>
      <w:r w:rsidR="00C11C29" w:rsidRPr="00BB0D9C">
        <w:rPr>
          <w:szCs w:val="22"/>
          <w:u w:val="single"/>
        </w:rPr>
        <w:t xml:space="preserve">s a </w:t>
      </w:r>
      <w:r w:rsidRPr="00BB0D9C">
        <w:rPr>
          <w:szCs w:val="22"/>
          <w:u w:val="single"/>
        </w:rPr>
        <w:t>municipali</w:t>
      </w:r>
      <w:r w:rsidR="00C11C29" w:rsidRPr="00BB0D9C">
        <w:rPr>
          <w:szCs w:val="22"/>
          <w:u w:val="single"/>
        </w:rPr>
        <w:t>dad</w:t>
      </w:r>
      <w:r w:rsidRPr="00BB0D9C">
        <w:rPr>
          <w:szCs w:val="22"/>
          <w:u w:val="single"/>
        </w:rPr>
        <w:t xml:space="preserve">es </w:t>
      </w:r>
      <w:r w:rsidR="00C11C29" w:rsidRPr="00BB0D9C">
        <w:rPr>
          <w:szCs w:val="22"/>
          <w:u w:val="single"/>
        </w:rPr>
        <w:t xml:space="preserve">deberán conciliarse con los ingresos de las </w:t>
      </w:r>
      <w:r w:rsidRPr="00BB0D9C">
        <w:rPr>
          <w:szCs w:val="22"/>
          <w:u w:val="single"/>
        </w:rPr>
        <w:t>municipali</w:t>
      </w:r>
      <w:r w:rsidR="00C11C29" w:rsidRPr="00BB0D9C">
        <w:rPr>
          <w:szCs w:val="22"/>
          <w:u w:val="single"/>
        </w:rPr>
        <w:t>dad</w:t>
      </w:r>
      <w:r w:rsidRPr="00BB0D9C">
        <w:rPr>
          <w:szCs w:val="22"/>
          <w:u w:val="single"/>
        </w:rPr>
        <w:t>es</w:t>
      </w:r>
      <w:r w:rsidR="00C11C29" w:rsidRPr="00BB0D9C">
        <w:rPr>
          <w:szCs w:val="22"/>
          <w:u w:val="single"/>
        </w:rPr>
        <w:t xml:space="preserve"> y divulgarse públicamente</w:t>
      </w:r>
      <w:r w:rsidRPr="00BB0D9C">
        <w:rPr>
          <w:szCs w:val="22"/>
          <w:u w:val="single"/>
        </w:rPr>
        <w:t xml:space="preserve">. </w:t>
      </w:r>
    </w:p>
    <w:p w14:paraId="1BA57F96" w14:textId="77777777" w:rsidR="006F7427" w:rsidRPr="00BB0D9C" w:rsidRDefault="00C11C29" w:rsidP="006F7427">
      <w:pPr>
        <w:spacing w:before="100" w:beforeAutospacing="1" w:after="100" w:afterAutospacing="1"/>
        <w:rPr>
          <w:szCs w:val="22"/>
          <w:u w:val="single"/>
        </w:rPr>
      </w:pPr>
      <w:r w:rsidRPr="00BB0D9C">
        <w:rPr>
          <w:szCs w:val="22"/>
          <w:u w:val="single"/>
        </w:rPr>
        <w:t xml:space="preserve">Para fortalecer la implementación, se alienta al grupo de </w:t>
      </w:r>
      <w:proofErr w:type="spellStart"/>
      <w:r w:rsidRPr="00BB0D9C">
        <w:rPr>
          <w:szCs w:val="22"/>
          <w:u w:val="single"/>
        </w:rPr>
        <w:t>multipartícipes</w:t>
      </w:r>
      <w:proofErr w:type="spellEnd"/>
      <w:r w:rsidRPr="00BB0D9C">
        <w:rPr>
          <w:szCs w:val="22"/>
          <w:u w:val="single"/>
        </w:rPr>
        <w:t xml:space="preserve"> a que reevalúe la importancia relativa de los flujos de ingresos para garantizar que el enfoque para presentar información de estos pagos sea proporcional a la magnitud de los flujos de ingresos con respecto al total de ingresos</w:t>
      </w:r>
      <w:r w:rsidR="006F7427" w:rsidRPr="00BB0D9C">
        <w:rPr>
          <w:szCs w:val="22"/>
          <w:u w:val="single"/>
        </w:rPr>
        <w:t xml:space="preserve">. </w:t>
      </w:r>
    </w:p>
    <w:p w14:paraId="371C66EC" w14:textId="77777777" w:rsidR="004171F4" w:rsidRPr="00BB0D9C" w:rsidRDefault="004171F4" w:rsidP="005901B9">
      <w:pPr>
        <w:pStyle w:val="Heading2"/>
        <w:numPr>
          <w:ilvl w:val="1"/>
          <w:numId w:val="43"/>
        </w:numPr>
      </w:pPr>
      <w:bookmarkStart w:id="36" w:name="_Toc45021600"/>
      <w:r w:rsidRPr="00BB0D9C">
        <w:t>Medida correctiva 7: Calidad y garantía de los datos (</w:t>
      </w:r>
      <w:proofErr w:type="spellStart"/>
      <w:r w:rsidR="00C11C29" w:rsidRPr="00BB0D9C">
        <w:t>n.°</w:t>
      </w:r>
      <w:proofErr w:type="spellEnd"/>
      <w:r w:rsidR="00C11C29" w:rsidRPr="00BB0D9C">
        <w:t> </w:t>
      </w:r>
      <w:r w:rsidRPr="00BB0D9C">
        <w:t>4.9)</w:t>
      </w:r>
      <w:bookmarkEnd w:id="36"/>
    </w:p>
    <w:p w14:paraId="57A545DF" w14:textId="77777777" w:rsidR="004171F4" w:rsidRPr="00BB0D9C" w:rsidRDefault="004171F4" w:rsidP="004171F4">
      <w:pPr>
        <w:shd w:val="clear" w:color="auto" w:fill="D9D9D9" w:themeFill="background1" w:themeFillShade="D9"/>
      </w:pPr>
      <w:r w:rsidRPr="00BB0D9C">
        <w:t xml:space="preserve">Conforme al Requisito 4.9 y los términos de referencia estándar, el GMP debería garantizar que el Administrador Independiente ofrezca una evaluación </w:t>
      </w:r>
      <w:r w:rsidR="00074256" w:rsidRPr="00BB0D9C">
        <w:t>acerca</w:t>
      </w:r>
      <w:r w:rsidRPr="00BB0D9C">
        <w:t xml:space="preserve"> de si todas las empresas y entidades gubernamentales comprendidas en el alcance convenido del proceso de presentación de información relativa al EITI facilitaron la información requerida. El Informe EITI debe divulgar toda omisión o deficiencia en la información presentada al Administrador Independiente, incluido el nombre de cualesquiera entidades que hayan omitido cumplir con los procedimientos acordados, así como una evaluación respecto de la probabilidad de que ello haya tenido un impacto sustancial en la exhaustividad del informe. Por otra parte, el Administrador Independiente debería brindar una evaluación de la exhaustividad y fiabilidad de los datos (financieros) presentados, especificando claramente la cobertura del ejercicio de conciliación sobre la base de la divulgación por parte del gobierno del total de ingresos.</w:t>
      </w:r>
    </w:p>
    <w:p w14:paraId="7A76698E" w14:textId="77777777" w:rsidR="004171F4" w:rsidRPr="00BB0D9C" w:rsidRDefault="004171F4" w:rsidP="004171F4">
      <w:pPr>
        <w:pStyle w:val="Heading3"/>
      </w:pPr>
      <w:r w:rsidRPr="00BB0D9C">
        <w:t xml:space="preserve">Conclusiones de la primera </w:t>
      </w:r>
      <w:r w:rsidR="00C11C29" w:rsidRPr="00BB0D9C">
        <w:t>v</w:t>
      </w:r>
      <w:r w:rsidRPr="00BB0D9C">
        <w:t>alidación</w:t>
      </w:r>
    </w:p>
    <w:p w14:paraId="2BBC5BDB" w14:textId="77777777" w:rsidR="004171F4" w:rsidRPr="00BB0D9C" w:rsidRDefault="00AB6485" w:rsidP="004171F4">
      <w:pPr>
        <w:rPr>
          <w:szCs w:val="22"/>
        </w:rPr>
      </w:pPr>
      <w:r w:rsidRPr="00BB0D9C">
        <w:t xml:space="preserve">En la primera </w:t>
      </w:r>
      <w:r w:rsidR="00C11C29" w:rsidRPr="00BB0D9C">
        <w:t>v</w:t>
      </w:r>
      <w:r w:rsidRPr="00BB0D9C">
        <w:t xml:space="preserve">alidación se llegó a la conclusión de que Honduras había logrado un progreso significativo en el cumplimiento de este requisito. La evaluación inicial confirmó que un Administrador Independiente creíble, haciendo uso de estándares de auditoría internacionales, había conciliado los pagos e ingresos de las empresas extractivas operativas durante el ejercicio fiscal 2014. Los términos de referencia del AI se ajustaban a los términos de referencia aprobados por el Consejo EITI para los AI. Sin embargo, en la práctica, hubo algunas desviaciones sustanciales respecto de estos últimos. En primer lugar, si bien el Administrador Independiente estaba satisfecho con el alcance de la presentación de información y la definición de importancia relativa, no emitió comentarios formales respecto de la exhaustividad de este enfoque y los datos presentados. En segundo lugar, si bien se identificaron y abordaron discrepancias conforme a lo indicado en los términos de referencia, el AI no ofreció una evaluación de cómo habían incidido en la exhaustividad del ejercicio de conciliación las discrepancias no resueltas. Por último, si bien el AI describió los mecanismos de garantía en consonancia con los términos de referencia, no ofreció una evaluación de la fiabilidad de los datos (financieros) presentados. Si bien el AI respetó mayormente los términos de referencia estándar, la existencia de desviaciones significativas respecto del procedimiento requerido y, en general, la inadecuada atención a cuestiones concernientes a la calidad de los datos, impidieron que Honduras cumpliera este requisito. </w:t>
      </w:r>
    </w:p>
    <w:p w14:paraId="741CB05B" w14:textId="77777777" w:rsidR="004171F4" w:rsidRPr="00BB0D9C" w:rsidRDefault="00C11C29" w:rsidP="004171F4">
      <w:pPr>
        <w:pStyle w:val="Heading3"/>
      </w:pPr>
      <w:r w:rsidRPr="00BB0D9C">
        <w:t>Progreso desde la primera v</w:t>
      </w:r>
      <w:r w:rsidR="004171F4" w:rsidRPr="00BB0D9C">
        <w:t>alidación</w:t>
      </w:r>
    </w:p>
    <w:p w14:paraId="0BA67E0F" w14:textId="77777777" w:rsidR="004779C4" w:rsidRPr="00BB0D9C" w:rsidRDefault="00697776" w:rsidP="00A45DEA">
      <w:pPr>
        <w:pStyle w:val="CommentText"/>
        <w:rPr>
          <w:rFonts w:cstheme="majorHAnsi"/>
          <w:szCs w:val="22"/>
        </w:rPr>
      </w:pPr>
      <w:r w:rsidRPr="00BB0D9C">
        <w:t xml:space="preserve">Desde la primera </w:t>
      </w:r>
      <w:r w:rsidR="00573B2C" w:rsidRPr="00BB0D9C">
        <w:t>v</w:t>
      </w:r>
      <w:r w:rsidRPr="00BB0D9C">
        <w:t>alidación, el GMP ha trabajado para garantizar que los Términos de Referencia (</w:t>
      </w:r>
      <w:proofErr w:type="spellStart"/>
      <w:r w:rsidRPr="00BB0D9C">
        <w:t>TdR</w:t>
      </w:r>
      <w:proofErr w:type="spellEnd"/>
      <w:r w:rsidRPr="00BB0D9C">
        <w:t xml:space="preserve">) para los AI respeten los </w:t>
      </w:r>
      <w:proofErr w:type="spellStart"/>
      <w:r w:rsidRPr="00BB0D9C">
        <w:t>TdR</w:t>
      </w:r>
      <w:proofErr w:type="spellEnd"/>
      <w:r w:rsidRPr="00BB0D9C">
        <w:t xml:space="preserve"> estándar. Honduras publicó su Informe EITI 2015-2016 en junio de 2018. Si bien el informe describe algunos mecanismos de garantía en consonancia con los términos de referencia (pp. 63-67), no ofrece una evaluación concreta de la fiabilidad de los datos financieros presentados, ni tampoco confirma que en la práctica se hayan respetado las garantías de calidad de los datos acordadas. Las consultas con partes interesadas confirmaron la existencia de ciertas limitaciones e inquietudes en cuanto a la calidad de los datos. </w:t>
      </w:r>
    </w:p>
    <w:p w14:paraId="0D3EC79D" w14:textId="77777777" w:rsidR="00D32629" w:rsidRPr="00BB0D9C" w:rsidRDefault="00D32629" w:rsidP="00A45DEA">
      <w:pPr>
        <w:spacing w:before="120"/>
        <w:rPr>
          <w:rFonts w:cstheme="majorHAnsi"/>
          <w:szCs w:val="22"/>
        </w:rPr>
      </w:pPr>
      <w:r w:rsidRPr="00BB0D9C">
        <w:rPr>
          <w:szCs w:val="22"/>
          <w:u w:val="single"/>
        </w:rPr>
        <w:t>Análisis de las prácticas de auditoría</w:t>
      </w:r>
      <w:r w:rsidRPr="00BB0D9C">
        <w:t xml:space="preserve">: </w:t>
      </w:r>
      <w:r w:rsidR="00DC121F" w:rsidRPr="00BB0D9C">
        <w:t>e</w:t>
      </w:r>
      <w:r w:rsidRPr="00BB0D9C">
        <w:t xml:space="preserve">l Informe EITI </w:t>
      </w:r>
      <w:r w:rsidR="00573B2C" w:rsidRPr="00BB0D9C">
        <w:t xml:space="preserve">de 2015-2016 </w:t>
      </w:r>
      <w:r w:rsidRPr="00BB0D9C">
        <w:t xml:space="preserve">describe las disposiciones legislativas relativas a las auditorías y garantías en el sector público, pero no contiene ninguna referencia a normas que se ocupen de los procedimientos de auditoría para las empresas extractivas. </w:t>
      </w:r>
    </w:p>
    <w:p w14:paraId="3C7C946C" w14:textId="77777777" w:rsidR="00D32629" w:rsidRPr="00BB0D9C" w:rsidRDefault="00EB4DBE" w:rsidP="004171F4">
      <w:pPr>
        <w:spacing w:before="120"/>
      </w:pPr>
      <w:r w:rsidRPr="00BB0D9C">
        <w:t>El Informe EITI de 2015-2016 describe las disposiciones legislativas referentes a las auditorías en el sector público, y confirma que las auditorías de las entidades gubernamentales se publican en el sitio web del Tribunal Superior de Cuentas (TSC)</w:t>
      </w:r>
      <w:r w:rsidRPr="00BB0D9C">
        <w:rPr>
          <w:rStyle w:val="FootnoteReference"/>
          <w:szCs w:val="22"/>
        </w:rPr>
        <w:footnoteReference w:id="80"/>
      </w:r>
      <w:r w:rsidRPr="00BB0D9C">
        <w:t xml:space="preserve"> (p. 63). </w:t>
      </w:r>
      <w:r w:rsidR="0084586B" w:rsidRPr="00BB0D9C">
        <w:t xml:space="preserve">El informe confirma que las auditorías del TSC están disponibles al público en el sitio web del TSC. </w:t>
      </w:r>
      <w:r w:rsidR="00573B2C" w:rsidRPr="00BB0D9C">
        <w:t>T</w:t>
      </w:r>
      <w:r w:rsidR="0084586B" w:rsidRPr="00BB0D9C">
        <w:t>ambién explica que l</w:t>
      </w:r>
      <w:r w:rsidR="00573B2C" w:rsidRPr="00BB0D9C">
        <w:t>as municipalidades</w:t>
      </w:r>
      <w:r w:rsidR="0084586B" w:rsidRPr="00BB0D9C">
        <w:t xml:space="preserve"> de Honduras informan periódicamente al TSC (p. 13), y el </w:t>
      </w:r>
      <w:r w:rsidR="00BD19F3" w:rsidRPr="00BB0D9C">
        <w:t xml:space="preserve">informe anual de progreso </w:t>
      </w:r>
      <w:r w:rsidR="00573B2C" w:rsidRPr="00BB0D9C">
        <w:t>de</w:t>
      </w:r>
      <w:r w:rsidR="0084586B" w:rsidRPr="00BB0D9C">
        <w:t xml:space="preserve"> 2018 agrega que el TSC ha otorgado registros de las auditorías a aquell</w:t>
      </w:r>
      <w:r w:rsidR="00573B2C" w:rsidRPr="00BB0D9C">
        <w:t>as</w:t>
      </w:r>
      <w:r w:rsidR="0084586B" w:rsidRPr="00BB0D9C">
        <w:t xml:space="preserve"> municip</w:t>
      </w:r>
      <w:r w:rsidR="00573B2C" w:rsidRPr="00BB0D9C">
        <w:t>alidades</w:t>
      </w:r>
      <w:r w:rsidR="0084586B" w:rsidRPr="00BB0D9C">
        <w:t xml:space="preserve"> que han estado sujet</w:t>
      </w:r>
      <w:r w:rsidR="00573B2C" w:rsidRPr="00BB0D9C">
        <w:t>a</w:t>
      </w:r>
      <w:r w:rsidR="0084586B" w:rsidRPr="00BB0D9C">
        <w:t>s a una</w:t>
      </w:r>
      <w:r w:rsidR="00573B2C" w:rsidRPr="00BB0D9C">
        <w:t xml:space="preserve"> auditoría</w:t>
      </w:r>
      <w:r w:rsidR="00D32629" w:rsidRPr="00BB0D9C">
        <w:rPr>
          <w:rStyle w:val="FootnoteReference"/>
          <w:szCs w:val="22"/>
        </w:rPr>
        <w:footnoteReference w:id="81"/>
      </w:r>
      <w:r w:rsidR="00DC121F" w:rsidRPr="00BB0D9C">
        <w:t>.</w:t>
      </w:r>
      <w:r w:rsidR="0084586B" w:rsidRPr="00BB0D9C">
        <w:t xml:space="preserve"> </w:t>
      </w:r>
      <w:r w:rsidRPr="00BB0D9C">
        <w:t xml:space="preserve">En relación con esto, el Informe EITI de 2015-2016 explica que la SEFIN ha estado implementando el Sistema de Administración Municipal Integrado (SAMI), que procura establecer mecanismos superiores para mejorar la efectividad y la transparencia del uso de los recursos públicos (p. 13). </w:t>
      </w:r>
      <w:r w:rsidR="0084586B" w:rsidRPr="00BB0D9C">
        <w:t>La implementación del SAMI comenzó en 2012 con 10 municipios y ha ido incorporando nuevos municipios a través de los años; en 2018, eran 163 l</w:t>
      </w:r>
      <w:r w:rsidR="00573B2C" w:rsidRPr="00BB0D9C">
        <w:t>a</w:t>
      </w:r>
      <w:r w:rsidR="0084586B" w:rsidRPr="00BB0D9C">
        <w:t>s municip</w:t>
      </w:r>
      <w:r w:rsidR="00573B2C" w:rsidRPr="00BB0D9C">
        <w:t>alidades</w:t>
      </w:r>
      <w:r w:rsidR="0084586B" w:rsidRPr="00BB0D9C">
        <w:t xml:space="preserve"> que habían implementado SAMI (v</w:t>
      </w:r>
      <w:r w:rsidR="00573B2C" w:rsidRPr="00BB0D9C">
        <w:t>éase el Anexo III y la p. 101).</w:t>
      </w:r>
    </w:p>
    <w:p w14:paraId="1256CA87" w14:textId="77777777" w:rsidR="00573B2C" w:rsidRPr="00BB0D9C" w:rsidRDefault="00BE7B94" w:rsidP="004171F4">
      <w:pPr>
        <w:spacing w:before="120"/>
        <w:rPr>
          <w:rFonts w:cstheme="majorHAnsi"/>
          <w:szCs w:val="22"/>
        </w:rPr>
      </w:pPr>
      <w:r w:rsidRPr="00BB0D9C">
        <w:rPr>
          <w:rFonts w:cstheme="majorHAnsi"/>
          <w:szCs w:val="22"/>
        </w:rPr>
        <w:t>Después del comienzo de la segunda validación</w:t>
      </w:r>
      <w:r w:rsidR="00573B2C" w:rsidRPr="00BB0D9C">
        <w:rPr>
          <w:rFonts w:cstheme="majorHAnsi"/>
          <w:szCs w:val="22"/>
        </w:rPr>
        <w:t>, Honduras publi</w:t>
      </w:r>
      <w:r w:rsidRPr="00BB0D9C">
        <w:rPr>
          <w:rFonts w:cstheme="majorHAnsi"/>
          <w:szCs w:val="22"/>
        </w:rPr>
        <w:t>có el Informe EITI de</w:t>
      </w:r>
      <w:r w:rsidR="00573B2C" w:rsidRPr="00BB0D9C">
        <w:rPr>
          <w:rFonts w:cstheme="majorHAnsi"/>
          <w:szCs w:val="22"/>
        </w:rPr>
        <w:t xml:space="preserve"> 2017-2018</w:t>
      </w:r>
      <w:r w:rsidRPr="00BB0D9C">
        <w:rPr>
          <w:rFonts w:cstheme="majorHAnsi"/>
          <w:szCs w:val="22"/>
        </w:rPr>
        <w:t xml:space="preserve">, que explicaba de manera similar las prácticas de auditoría para los organismos gubernamentales, incluidas las </w:t>
      </w:r>
      <w:r w:rsidR="00573B2C" w:rsidRPr="00BB0D9C">
        <w:rPr>
          <w:rFonts w:cstheme="majorHAnsi"/>
          <w:szCs w:val="22"/>
        </w:rPr>
        <w:t>municipali</w:t>
      </w:r>
      <w:r w:rsidRPr="00BB0D9C">
        <w:rPr>
          <w:rFonts w:cstheme="majorHAnsi"/>
          <w:szCs w:val="22"/>
        </w:rPr>
        <w:t>dad</w:t>
      </w:r>
      <w:r w:rsidR="00573B2C" w:rsidRPr="00BB0D9C">
        <w:rPr>
          <w:rFonts w:cstheme="majorHAnsi"/>
          <w:szCs w:val="22"/>
        </w:rPr>
        <w:t>es (p. 97).</w:t>
      </w:r>
      <w:r w:rsidRPr="00BB0D9C">
        <w:rPr>
          <w:rFonts w:cstheme="majorHAnsi"/>
          <w:szCs w:val="22"/>
        </w:rPr>
        <w:t xml:space="preserve"> De manera s</w:t>
      </w:r>
      <w:r w:rsidR="00573B2C" w:rsidRPr="00BB0D9C">
        <w:rPr>
          <w:rFonts w:cstheme="majorHAnsi"/>
          <w:szCs w:val="22"/>
        </w:rPr>
        <w:t xml:space="preserve">imilar </w:t>
      </w:r>
      <w:r w:rsidRPr="00BB0D9C">
        <w:rPr>
          <w:rFonts w:cstheme="majorHAnsi"/>
          <w:szCs w:val="22"/>
        </w:rPr>
        <w:t xml:space="preserve">al informe previo, no incluye las reglas referidas a los procedimientos de auditoría para las </w:t>
      </w:r>
      <w:r w:rsidR="00B61C08" w:rsidRPr="00BB0D9C">
        <w:rPr>
          <w:rFonts w:cstheme="majorHAnsi"/>
          <w:szCs w:val="22"/>
        </w:rPr>
        <w:t>empresa</w:t>
      </w:r>
      <w:r w:rsidRPr="00BB0D9C">
        <w:rPr>
          <w:rFonts w:cstheme="majorHAnsi"/>
          <w:szCs w:val="22"/>
        </w:rPr>
        <w:t>s extractivas. En sus recomendaciones, sin embargo, el Administrador Independiente sugiere una evaluación de</w:t>
      </w:r>
      <w:r w:rsidR="00F42E68" w:rsidRPr="00BB0D9C">
        <w:rPr>
          <w:rFonts w:cstheme="majorHAnsi"/>
          <w:szCs w:val="22"/>
        </w:rPr>
        <w:t>l aseguramiento de la calidad de los datos en informes futuros</w:t>
      </w:r>
      <w:r w:rsidR="00573B2C" w:rsidRPr="00BB0D9C">
        <w:rPr>
          <w:rFonts w:cstheme="majorHAnsi"/>
          <w:szCs w:val="22"/>
        </w:rPr>
        <w:t xml:space="preserve"> (p. 130).</w:t>
      </w:r>
    </w:p>
    <w:p w14:paraId="26A467F9" w14:textId="77777777" w:rsidR="007011BD" w:rsidRPr="00BB0D9C" w:rsidRDefault="00D32629" w:rsidP="008C178C">
      <w:pPr>
        <w:spacing w:before="120"/>
      </w:pPr>
      <w:r w:rsidRPr="00BB0D9C">
        <w:rPr>
          <w:szCs w:val="22"/>
          <w:u w:val="single"/>
        </w:rPr>
        <w:t>Método de aseguramiento</w:t>
      </w:r>
      <w:r w:rsidRPr="00BB0D9C">
        <w:t xml:space="preserve">: </w:t>
      </w:r>
      <w:r w:rsidR="00637636" w:rsidRPr="00BB0D9C">
        <w:t>e</w:t>
      </w:r>
      <w:r w:rsidRPr="00BB0D9C">
        <w:t>l Informe EITI 2015-2016 describe las garantías de calidad para las presentaciones de información relativa</w:t>
      </w:r>
      <w:r w:rsidR="00265AF2" w:rsidRPr="00BB0D9C">
        <w:t>s</w:t>
      </w:r>
      <w:r w:rsidRPr="00BB0D9C">
        <w:t xml:space="preserve"> al EITI adoptadas por el GMP (p. 63). Las garantías de calidad exigidas a las empresas y entidades gubernamentales incluían una carta de certificación de un administrador de rango superior de la empresa o un representante de alto rango de la entidad gubernamental, que hacía referencia a la exactitud e integridad de los datos informados. En los casos en que la ley exige una auditoría externa de la empresa, la certificación del administrador </w:t>
      </w:r>
      <w:r w:rsidR="00343AF8" w:rsidRPr="00BB0D9C">
        <w:t>mencionaba</w:t>
      </w:r>
      <w:r w:rsidRPr="00BB0D9C">
        <w:t xml:space="preserve"> que las plantillas de presentación de información eran congruentes con los estados financieros auditados (p. 66). </w:t>
      </w:r>
    </w:p>
    <w:p w14:paraId="0C358783" w14:textId="77777777" w:rsidR="00F42E68" w:rsidRPr="00BB0D9C" w:rsidRDefault="00F42E68" w:rsidP="008C178C">
      <w:pPr>
        <w:spacing w:before="120"/>
        <w:rPr>
          <w:rFonts w:cstheme="majorHAnsi"/>
          <w:szCs w:val="22"/>
        </w:rPr>
      </w:pPr>
      <w:r w:rsidRPr="00BB0D9C">
        <w:rPr>
          <w:rFonts w:cstheme="majorHAnsi"/>
          <w:szCs w:val="22"/>
        </w:rPr>
        <w:t xml:space="preserve">De manera similar, el Informe EITI de 2017-2018 describe los aseguramientos de la calidad para la presentación de información del EITI acordada por el grupo de </w:t>
      </w:r>
      <w:proofErr w:type="spellStart"/>
      <w:r w:rsidRPr="00BB0D9C">
        <w:rPr>
          <w:rFonts w:cstheme="majorHAnsi"/>
          <w:szCs w:val="22"/>
        </w:rPr>
        <w:t>multipartícipes</w:t>
      </w:r>
      <w:proofErr w:type="spellEnd"/>
      <w:r w:rsidRPr="00BB0D9C">
        <w:rPr>
          <w:rFonts w:cstheme="majorHAnsi"/>
          <w:szCs w:val="22"/>
        </w:rPr>
        <w:t xml:space="preserve"> (p. 97): una carta de certificación de funcionarios de nivel superior confirmando la integridad de los datos, la carta autorizando a la oficina tributaria SAR para liberar información confidencial y las plantillas para la presentación de información firmadas. </w:t>
      </w:r>
    </w:p>
    <w:p w14:paraId="7C9C6E13" w14:textId="77777777" w:rsidR="00A56B5F" w:rsidRPr="00BB0D9C" w:rsidRDefault="00D32629" w:rsidP="00BE2DA8">
      <w:pPr>
        <w:spacing w:before="120"/>
        <w:rPr>
          <w:szCs w:val="22"/>
        </w:rPr>
      </w:pPr>
      <w:r w:rsidRPr="00BB0D9C">
        <w:rPr>
          <w:szCs w:val="22"/>
          <w:u w:val="single"/>
        </w:rPr>
        <w:t>Cobertura de la conciliación</w:t>
      </w:r>
      <w:r w:rsidRPr="00BB0D9C">
        <w:t xml:space="preserve">: </w:t>
      </w:r>
      <w:bookmarkStart w:id="37" w:name="_Hlk30418423"/>
      <w:r w:rsidR="00343AF8" w:rsidRPr="00BB0D9C">
        <w:t>e</w:t>
      </w:r>
      <w:r w:rsidRPr="00BB0D9C">
        <w:t>n el informe, la conciliación abarcó un 89,13% y 95,10% de todos los ingresos gubernamentales de origen extractivo correspondientes a 2015 y 2016, respectivamente.</w:t>
      </w:r>
      <w:r w:rsidR="00827CAC" w:rsidRPr="00BB0D9C">
        <w:t xml:space="preserve"> </w:t>
      </w:r>
      <w:r w:rsidRPr="00BB0D9C">
        <w:t xml:space="preserve">Si bien el nivel de cobertura de la conciliación superó la meta del 85% establecida por el GMP, el </w:t>
      </w:r>
      <w:r w:rsidR="00F42E68" w:rsidRPr="00BB0D9C">
        <w:rPr>
          <w:rFonts w:cstheme="majorHAnsi"/>
          <w:szCs w:val="22"/>
        </w:rPr>
        <w:t xml:space="preserve">Informe EITI de 2015-2016 </w:t>
      </w:r>
      <w:r w:rsidRPr="00BB0D9C">
        <w:t xml:space="preserve">no contiene elementos que demuestren la existencia de un enfoque claro para establecer el umbral de importancia relativa utilizado. </w:t>
      </w:r>
    </w:p>
    <w:p w14:paraId="1837C5AB" w14:textId="77777777" w:rsidR="007011BD" w:rsidRPr="00BB0D9C" w:rsidRDefault="00A56B5F" w:rsidP="00BE2DA8">
      <w:pPr>
        <w:spacing w:before="120"/>
      </w:pPr>
      <w:r w:rsidRPr="00BB0D9C">
        <w:t>En relación con esto, el informe menciona que “todas las empresas han brindado la información solicitada” (p.</w:t>
      </w:r>
      <w:r w:rsidR="00C64835" w:rsidRPr="00BB0D9C">
        <w:t xml:space="preserve"> </w:t>
      </w:r>
      <w:r w:rsidRPr="00BB0D9C">
        <w:t xml:space="preserve">96). No obstante, esta declaración se presta a confusión, ya que podría entenderse que se refiere a todas las empresas del sector, </w:t>
      </w:r>
      <w:r w:rsidR="00DE363F" w:rsidRPr="00BB0D9C">
        <w:t>si bien</w:t>
      </w:r>
      <w:r w:rsidRPr="00BB0D9C">
        <w:t xml:space="preserve"> en realidad parece apuntar a las nueve empresas que aceptaron la invitación a participar en el informe</w:t>
      </w:r>
      <w:r w:rsidR="007011BD" w:rsidRPr="00BB0D9C">
        <w:rPr>
          <w:rStyle w:val="FootnoteReference"/>
          <w:szCs w:val="22"/>
        </w:rPr>
        <w:footnoteReference w:id="82"/>
      </w:r>
      <w:r w:rsidRPr="00BB0D9C">
        <w:t>. En lo que respecta a entidades gubernamentales, el informe explica que todas aquellas que fueron contactadas, salvo el municipio de Juticalpa, Olancho, presentaron la información solicitada.</w:t>
      </w:r>
    </w:p>
    <w:p w14:paraId="2EA6E0DA" w14:textId="3559806E" w:rsidR="004779C4" w:rsidRPr="00BB0D9C" w:rsidRDefault="004779C4" w:rsidP="007011BD">
      <w:pPr>
        <w:pStyle w:val="CommentText"/>
      </w:pPr>
      <w:r w:rsidRPr="00BB0D9C">
        <w:t>Algunas de las partes interesadas consultadas expresaron su preocupación en relación con los municipios que habían omitido informar o que simplemente citaron la información contenida en las copias de los comprobantes de pago correspondientes a los importes abonados por las empresas. Asimismo, apuntaron a los malentendidos entre el gobierno y la industria, que no parecen interpretar del mismo modo todos los flujos de ingresos (</w:t>
      </w:r>
      <w:r w:rsidR="00AB0F36">
        <w:t>p. ej.,</w:t>
      </w:r>
      <w:r w:rsidRPr="00BB0D9C">
        <w:t xml:space="preserve"> las empresas informan la Tasa de Seguridad Poblacional, pero el SAR no).</w:t>
      </w:r>
    </w:p>
    <w:p w14:paraId="530CD9B8" w14:textId="77777777" w:rsidR="00F42E68" w:rsidRPr="00BB0D9C" w:rsidRDefault="00F42E68" w:rsidP="007011BD">
      <w:pPr>
        <w:pStyle w:val="CommentText"/>
        <w:rPr>
          <w:szCs w:val="22"/>
        </w:rPr>
      </w:pPr>
      <w:r w:rsidRPr="00BB0D9C">
        <w:rPr>
          <w:rFonts w:cstheme="majorHAnsi"/>
          <w:szCs w:val="22"/>
        </w:rPr>
        <w:t>Para el Informe EITI de 2017-2018, el ejercicio de conciliación abarcó un 99,7% y un 99% de todos los ingresos del Gobierno por las actividades extractivas correspondientes a 2017 y 2018 respectivamente. El Administrador Independiente aclaró que en el caso de la “</w:t>
      </w:r>
      <w:r w:rsidR="0075583F" w:rsidRPr="00BB0D9C">
        <w:t>Tasa de Seguridad Poblacional</w:t>
      </w:r>
      <w:r w:rsidRPr="00BB0D9C">
        <w:rPr>
          <w:rFonts w:cstheme="majorHAnsi"/>
          <w:szCs w:val="22"/>
        </w:rPr>
        <w:t>”</w:t>
      </w:r>
      <w:r w:rsidR="0075583F" w:rsidRPr="00BB0D9C">
        <w:rPr>
          <w:rFonts w:cstheme="majorHAnsi"/>
          <w:szCs w:val="22"/>
        </w:rPr>
        <w:t>, fue divulgada de forma unilateral</w:t>
      </w:r>
      <w:r w:rsidRPr="00BB0D9C">
        <w:rPr>
          <w:rFonts w:cstheme="majorHAnsi"/>
          <w:szCs w:val="22"/>
        </w:rPr>
        <w:t xml:space="preserve"> </w:t>
      </w:r>
      <w:r w:rsidR="0075583F" w:rsidRPr="00BB0D9C">
        <w:rPr>
          <w:rFonts w:cstheme="majorHAnsi"/>
          <w:szCs w:val="22"/>
        </w:rPr>
        <w:t xml:space="preserve">por las </w:t>
      </w:r>
      <w:r w:rsidR="00B61C08" w:rsidRPr="00BB0D9C">
        <w:rPr>
          <w:rFonts w:cstheme="majorHAnsi"/>
          <w:szCs w:val="22"/>
        </w:rPr>
        <w:t>empresa</w:t>
      </w:r>
      <w:r w:rsidR="0075583F" w:rsidRPr="00BB0D9C">
        <w:rPr>
          <w:rFonts w:cstheme="majorHAnsi"/>
          <w:szCs w:val="22"/>
        </w:rPr>
        <w:t xml:space="preserve">s, ya que la oficina tributaria </w:t>
      </w:r>
      <w:r w:rsidRPr="00BB0D9C">
        <w:rPr>
          <w:rFonts w:cstheme="majorHAnsi"/>
          <w:szCs w:val="22"/>
        </w:rPr>
        <w:t xml:space="preserve">SAR </w:t>
      </w:r>
      <w:r w:rsidR="0075583F" w:rsidRPr="00BB0D9C">
        <w:rPr>
          <w:rFonts w:cstheme="majorHAnsi"/>
          <w:szCs w:val="22"/>
        </w:rPr>
        <w:t xml:space="preserve">no puede divulgar este flujo de ingresos porque no puede atribuirse a una </w:t>
      </w:r>
      <w:r w:rsidR="00B61C08" w:rsidRPr="00BB0D9C">
        <w:rPr>
          <w:rFonts w:cstheme="majorHAnsi"/>
          <w:szCs w:val="22"/>
        </w:rPr>
        <w:t>empresa</w:t>
      </w:r>
      <w:r w:rsidR="0075583F" w:rsidRPr="00BB0D9C">
        <w:rPr>
          <w:rFonts w:cstheme="majorHAnsi"/>
          <w:szCs w:val="22"/>
        </w:rPr>
        <w:t xml:space="preserve"> en particular</w:t>
      </w:r>
      <w:r w:rsidRPr="00BB0D9C">
        <w:rPr>
          <w:rFonts w:cstheme="majorHAnsi"/>
          <w:szCs w:val="22"/>
        </w:rPr>
        <w:t xml:space="preserve"> (</w:t>
      </w:r>
      <w:r w:rsidR="0075583F" w:rsidRPr="00BB0D9C">
        <w:rPr>
          <w:rFonts w:cstheme="majorHAnsi"/>
          <w:szCs w:val="22"/>
        </w:rPr>
        <w:t xml:space="preserve">es decir, este impuesto es recaudado por bancos comerciales e informado a </w:t>
      </w:r>
      <w:r w:rsidRPr="00BB0D9C">
        <w:rPr>
          <w:rFonts w:cstheme="majorHAnsi"/>
          <w:szCs w:val="22"/>
        </w:rPr>
        <w:t xml:space="preserve">SAR </w:t>
      </w:r>
      <w:r w:rsidR="0075583F" w:rsidRPr="00BB0D9C">
        <w:rPr>
          <w:rFonts w:cstheme="majorHAnsi"/>
          <w:szCs w:val="22"/>
        </w:rPr>
        <w:t>de forma agregada</w:t>
      </w:r>
      <w:r w:rsidRPr="00BB0D9C">
        <w:rPr>
          <w:rFonts w:cstheme="majorHAnsi"/>
          <w:szCs w:val="22"/>
        </w:rPr>
        <w:t xml:space="preserve">. </w:t>
      </w:r>
      <w:r w:rsidR="0075583F" w:rsidRPr="00BB0D9C">
        <w:rPr>
          <w:rFonts w:cstheme="majorHAnsi"/>
          <w:szCs w:val="22"/>
        </w:rPr>
        <w:t>Esto puede deducirse del impuesto a las ganancias</w:t>
      </w:r>
      <w:r w:rsidRPr="00BB0D9C">
        <w:rPr>
          <w:rFonts w:cstheme="majorHAnsi"/>
          <w:szCs w:val="22"/>
        </w:rPr>
        <w:t>) (p. 127)</w:t>
      </w:r>
    </w:p>
    <w:bookmarkEnd w:id="37"/>
    <w:p w14:paraId="2F094F79" w14:textId="77777777" w:rsidR="00FB253D" w:rsidRPr="00BB0D9C" w:rsidRDefault="00D32629" w:rsidP="000E3F40">
      <w:pPr>
        <w:spacing w:before="120"/>
      </w:pPr>
      <w:r w:rsidRPr="00BB0D9C">
        <w:rPr>
          <w:szCs w:val="22"/>
          <w:u w:val="single"/>
        </w:rPr>
        <w:t>Omisiones de garantías</w:t>
      </w:r>
      <w:r w:rsidRPr="00BB0D9C">
        <w:t xml:space="preserve">: </w:t>
      </w:r>
      <w:r w:rsidR="000526B8" w:rsidRPr="00BB0D9C">
        <w:t>e</w:t>
      </w:r>
      <w:r w:rsidRPr="00BB0D9C">
        <w:t xml:space="preserve">l </w:t>
      </w:r>
      <w:r w:rsidR="0075583F" w:rsidRPr="00BB0D9C">
        <w:rPr>
          <w:rFonts w:cstheme="majorHAnsi"/>
          <w:szCs w:val="22"/>
        </w:rPr>
        <w:t xml:space="preserve">Informe EITI de 2015-2016 </w:t>
      </w:r>
      <w:r w:rsidRPr="00BB0D9C">
        <w:t xml:space="preserve">no hace ninguna referencia a las omisiones de garantías, ni por parte de las empresas ni del gobierno. Simplemente describe los mecanismos de garantía, pero en ningún momento especifica si efectivamente se respetaron. No se indica si los procesos explicados (las plantillas adoptadas, la firma de un representante, la declaración jurada, etc.) fueron efectivamente observados por cada empresa y entidad gubernamental. Muy por el contrario, algunas de las partes interesadas a quienes se consultó dijeron que las empresas mineras no hacían referencia a sus estados financieros auditados. El informe confirma que </w:t>
      </w:r>
      <w:r w:rsidR="00BE06D6" w:rsidRPr="00BB0D9C">
        <w:t>estos</w:t>
      </w:r>
      <w:r w:rsidRPr="00BB0D9C">
        <w:t xml:space="preserve"> estados financieros no se encuentran disponibles al público.</w:t>
      </w:r>
    </w:p>
    <w:p w14:paraId="133A9074" w14:textId="77777777" w:rsidR="0075583F" w:rsidRPr="00BB0D9C" w:rsidRDefault="0075583F" w:rsidP="000E3F40">
      <w:pPr>
        <w:spacing w:before="120"/>
      </w:pPr>
      <w:r w:rsidRPr="00BB0D9C">
        <w:rPr>
          <w:rFonts w:cstheme="majorHAnsi"/>
          <w:szCs w:val="22"/>
        </w:rPr>
        <w:t>El Informe EITI de 2017-2018 incluía los aseguramientos de la calidad recibidos del Auditor Supremo para los organismos gubernamentales declarantes, incluidas las municipalidades (con el agregado de vínculos al repositorio de auditorías gubernamentales del Auditor Supremo) (</w:t>
      </w:r>
      <w:r w:rsidRPr="00BB0D9C">
        <w:t>pp. 97, 127 y Anexo 9)</w:t>
      </w:r>
      <w:r w:rsidRPr="00BB0D9C">
        <w:rPr>
          <w:rFonts w:cstheme="majorHAnsi"/>
          <w:szCs w:val="22"/>
        </w:rPr>
        <w:t xml:space="preserve">. Sin embargo, el informe no explica la conformidad con los mecanismos de aseguramiento de la calidad acordados para las </w:t>
      </w:r>
      <w:r w:rsidR="00B61C08" w:rsidRPr="00BB0D9C">
        <w:rPr>
          <w:rFonts w:cstheme="majorHAnsi"/>
          <w:szCs w:val="22"/>
        </w:rPr>
        <w:t>empresa</w:t>
      </w:r>
      <w:r w:rsidRPr="00BB0D9C">
        <w:rPr>
          <w:rFonts w:cstheme="majorHAnsi"/>
          <w:szCs w:val="22"/>
        </w:rPr>
        <w:t xml:space="preserve">s declarantes; además, el Administrador Independiente comentó en sus recomendaciones que las </w:t>
      </w:r>
      <w:r w:rsidR="00B61C08" w:rsidRPr="00BB0D9C">
        <w:rPr>
          <w:rFonts w:cstheme="majorHAnsi"/>
          <w:szCs w:val="22"/>
        </w:rPr>
        <w:t>empresa</w:t>
      </w:r>
      <w:r w:rsidRPr="00BB0D9C">
        <w:rPr>
          <w:rFonts w:cstheme="majorHAnsi"/>
          <w:szCs w:val="22"/>
        </w:rPr>
        <w:t>s no habían sido coherentes en la presentación de la carta de certificación y recomendó incluir declaraciones financieras auditadas en informes futuros</w:t>
      </w:r>
      <w:r w:rsidRPr="00BB0D9C">
        <w:t xml:space="preserve"> (p. 130).</w:t>
      </w:r>
    </w:p>
    <w:p w14:paraId="48C46E28" w14:textId="77777777" w:rsidR="00A80F24" w:rsidRPr="00BB0D9C" w:rsidRDefault="00D32629" w:rsidP="00A56B5F">
      <w:pPr>
        <w:spacing w:before="120"/>
      </w:pPr>
      <w:r w:rsidRPr="00BB0D9C">
        <w:rPr>
          <w:szCs w:val="22"/>
          <w:u w:val="single"/>
        </w:rPr>
        <w:t>Evaluación de la fiabilidad y exhaustividad de los datos</w:t>
      </w:r>
      <w:r w:rsidRPr="00BB0D9C">
        <w:t xml:space="preserve">: </w:t>
      </w:r>
      <w:r w:rsidR="00ED785B" w:rsidRPr="00BB0D9C">
        <w:t>e</w:t>
      </w:r>
      <w:r w:rsidRPr="00BB0D9C">
        <w:t xml:space="preserve">l </w:t>
      </w:r>
      <w:r w:rsidR="0075583F" w:rsidRPr="00BB0D9C">
        <w:t>I</w:t>
      </w:r>
      <w:r w:rsidRPr="00BB0D9C">
        <w:t xml:space="preserve">nforme </w:t>
      </w:r>
      <w:r w:rsidR="0075583F" w:rsidRPr="00BB0D9C">
        <w:t xml:space="preserve">EITI de 2015-2016 </w:t>
      </w:r>
      <w:r w:rsidRPr="00BB0D9C">
        <w:t>no cont</w:t>
      </w:r>
      <w:r w:rsidR="0075583F" w:rsidRPr="00BB0D9C">
        <w:t>enía</w:t>
      </w:r>
      <w:r w:rsidRPr="00BB0D9C">
        <w:t xml:space="preserve"> una declaración del AI acerca de la exhaustividad y la fiabilidad de los datos financieros conciliados en el Informe EITI.</w:t>
      </w:r>
    </w:p>
    <w:p w14:paraId="32C2E154" w14:textId="77777777" w:rsidR="0075583F" w:rsidRPr="00BB0D9C" w:rsidRDefault="0075583F" w:rsidP="00A56B5F">
      <w:pPr>
        <w:spacing w:before="120"/>
      </w:pPr>
      <w:r w:rsidRPr="00BB0D9C">
        <w:t xml:space="preserve">En el Informe EITI de 2017-2018 de Honduras, el Administrador Independiente </w:t>
      </w:r>
      <w:r w:rsidR="005F51BF" w:rsidRPr="00BB0D9C">
        <w:t>hizo comentarios sobre la integridad y fiabilidad de los datos financieros conciliados. Aunque</w:t>
      </w:r>
      <w:r w:rsidRPr="00BB0D9C">
        <w:t xml:space="preserve"> pro</w:t>
      </w:r>
      <w:r w:rsidR="005F51BF" w:rsidRPr="00BB0D9C">
        <w:t xml:space="preserve">porcionó una evaluación de la integridad y fiabilidad de las divulgaciones del Gobierno y las municipalidades, omitió incluir una evaluación </w:t>
      </w:r>
      <w:r w:rsidRPr="00BB0D9C">
        <w:t xml:space="preserve">similar </w:t>
      </w:r>
      <w:r w:rsidR="005F51BF" w:rsidRPr="00BB0D9C">
        <w:t xml:space="preserve">para las </w:t>
      </w:r>
      <w:r w:rsidR="00B61C08" w:rsidRPr="00BB0D9C">
        <w:t>empresa</w:t>
      </w:r>
      <w:r w:rsidR="005F51BF" w:rsidRPr="00BB0D9C">
        <w:t>s</w:t>
      </w:r>
      <w:r w:rsidRPr="00BB0D9C">
        <w:t xml:space="preserve">. </w:t>
      </w:r>
      <w:r w:rsidR="005F51BF" w:rsidRPr="00BB0D9C">
        <w:t xml:space="preserve">Además, hizo recomendaciones para mejorar la calidad de los datos en informes futuros referidas a los aseguramientos de las </w:t>
      </w:r>
      <w:r w:rsidR="00B61C08" w:rsidRPr="00BB0D9C">
        <w:t>empresa</w:t>
      </w:r>
      <w:r w:rsidR="005F51BF" w:rsidRPr="00BB0D9C">
        <w:t xml:space="preserve">s, como la obligación de que un funcionario de alto rango autorizado firmara las plantillas para la presentación de información y la inclusión de cuentas financieras auditadas </w:t>
      </w:r>
      <w:r w:rsidRPr="00BB0D9C">
        <w:t>(pp. 91-92, p.</w:t>
      </w:r>
      <w:r w:rsidR="005F51BF" w:rsidRPr="00BB0D9C">
        <w:t xml:space="preserve"> </w:t>
      </w:r>
      <w:r w:rsidRPr="00BB0D9C">
        <w:t>97, p.</w:t>
      </w:r>
      <w:r w:rsidR="005F51BF" w:rsidRPr="00BB0D9C">
        <w:t xml:space="preserve"> </w:t>
      </w:r>
      <w:r w:rsidRPr="00BB0D9C">
        <w:t>130).</w:t>
      </w:r>
    </w:p>
    <w:p w14:paraId="794B2376" w14:textId="77777777" w:rsidR="00A80F24" w:rsidRPr="00BB0D9C" w:rsidRDefault="00A80F24" w:rsidP="00A80F24">
      <w:pPr>
        <w:pStyle w:val="Heading3"/>
      </w:pPr>
      <w:r w:rsidRPr="00BB0D9C">
        <w:t>Evaluación del Secretariado</w:t>
      </w:r>
    </w:p>
    <w:p w14:paraId="529C5ECD" w14:textId="77777777" w:rsidR="005F51BF" w:rsidRPr="00BB0D9C" w:rsidRDefault="005F51BF" w:rsidP="00014C8C">
      <w:pPr>
        <w:spacing w:before="100" w:beforeAutospacing="1" w:after="100" w:afterAutospacing="1"/>
        <w:rPr>
          <w:rFonts w:cstheme="majorHAnsi"/>
          <w:szCs w:val="22"/>
          <w:u w:val="single"/>
        </w:rPr>
      </w:pPr>
      <w:r w:rsidRPr="00BB0D9C">
        <w:rPr>
          <w:szCs w:val="22"/>
          <w:u w:val="single"/>
        </w:rPr>
        <w:t>Al comienzo de la segunda validación, l</w:t>
      </w:r>
      <w:r w:rsidR="004171F4" w:rsidRPr="00BB0D9C">
        <w:rPr>
          <w:szCs w:val="22"/>
          <w:u w:val="single"/>
        </w:rPr>
        <w:t>a evaluación del Secretariado Internacional es que Honduras no ha</w:t>
      </w:r>
      <w:r w:rsidRPr="00BB0D9C">
        <w:rPr>
          <w:szCs w:val="22"/>
          <w:u w:val="single"/>
        </w:rPr>
        <w:t>bía</w:t>
      </w:r>
      <w:r w:rsidR="004171F4" w:rsidRPr="00BB0D9C">
        <w:rPr>
          <w:szCs w:val="22"/>
          <w:u w:val="single"/>
        </w:rPr>
        <w:t xml:space="preserve"> abordado la medida correctiva referente a la fiabilidad de los datos y que ha</w:t>
      </w:r>
      <w:r w:rsidRPr="00BB0D9C">
        <w:rPr>
          <w:szCs w:val="22"/>
          <w:u w:val="single"/>
        </w:rPr>
        <w:t>bía</w:t>
      </w:r>
      <w:r w:rsidR="004171F4" w:rsidRPr="00BB0D9C">
        <w:rPr>
          <w:szCs w:val="22"/>
          <w:u w:val="single"/>
        </w:rPr>
        <w:t xml:space="preserve"> logrado un progreso significativo</w:t>
      </w:r>
      <w:r w:rsidRPr="00BB0D9C">
        <w:rPr>
          <w:szCs w:val="22"/>
          <w:u w:val="single"/>
        </w:rPr>
        <w:t xml:space="preserve"> con</w:t>
      </w:r>
      <w:r w:rsidR="004171F4" w:rsidRPr="00BB0D9C">
        <w:rPr>
          <w:szCs w:val="22"/>
          <w:u w:val="single"/>
        </w:rPr>
        <w:t xml:space="preserve"> mejoras en lo que respecta al cum</w:t>
      </w:r>
      <w:r w:rsidRPr="00BB0D9C">
        <w:rPr>
          <w:szCs w:val="22"/>
          <w:u w:val="single"/>
        </w:rPr>
        <w:t>plimiento del r</w:t>
      </w:r>
      <w:r w:rsidR="004171F4" w:rsidRPr="00BB0D9C">
        <w:rPr>
          <w:szCs w:val="22"/>
          <w:u w:val="single"/>
        </w:rPr>
        <w:t>equisito 4.9.</w:t>
      </w:r>
      <w:r w:rsidR="004171F4" w:rsidRPr="00BB0D9C">
        <w:t xml:space="preserve"> </w:t>
      </w:r>
      <w:r w:rsidRPr="00BB0D9C">
        <w:rPr>
          <w:u w:val="single"/>
        </w:rPr>
        <w:t xml:space="preserve">Sujeto a que el Consejo tenga en cuenta nueva información publicada después del comienzo de la segunda validación, la evaluación del Secretariado Internacional es que Honduras ha abordado parcialmente la medida correctiva referida a la fiabilidad de los datos y ha hecho un progreso significativo con una mejora considerable hacia el cumplimiento del requisito </w:t>
      </w:r>
      <w:r w:rsidRPr="00BB0D9C">
        <w:rPr>
          <w:rFonts w:cstheme="majorHAnsi"/>
          <w:szCs w:val="22"/>
          <w:u w:val="single"/>
        </w:rPr>
        <w:t>4.9.</w:t>
      </w:r>
    </w:p>
    <w:p w14:paraId="53EDBEE8" w14:textId="77777777" w:rsidR="003E6B05" w:rsidRPr="00BB0D9C" w:rsidRDefault="004171F4" w:rsidP="00014C8C">
      <w:pPr>
        <w:spacing w:before="100" w:beforeAutospacing="1" w:after="100" w:afterAutospacing="1"/>
        <w:rPr>
          <w:rFonts w:cstheme="majorHAnsi"/>
          <w:szCs w:val="22"/>
        </w:rPr>
      </w:pPr>
      <w:r w:rsidRPr="00BB0D9C">
        <w:t xml:space="preserve">Si bien los pagos e ingresos fueron conciliados por un AI creíble, en consonancia con el </w:t>
      </w:r>
      <w:r w:rsidR="005F51BF" w:rsidRPr="00BB0D9C">
        <w:t>r</w:t>
      </w:r>
      <w:r w:rsidRPr="00BB0D9C">
        <w:t xml:space="preserve">equisito 4.9.b, el AI </w:t>
      </w:r>
      <w:r w:rsidR="005F51BF" w:rsidRPr="00BB0D9C">
        <w:t xml:space="preserve">para el Informe EITI de 2015-2016 </w:t>
      </w:r>
      <w:r w:rsidRPr="00BB0D9C">
        <w:t xml:space="preserve">no evaluó la exhaustividad y fiabilidad de los datos financieros conciliados, ni tampoco brindó una evaluación respecto de si se habían respetado las garantías de calidad convenidas para la presentación de información relativa al EITI. </w:t>
      </w:r>
      <w:r w:rsidR="007312F8" w:rsidRPr="00BB0D9C">
        <w:t>Para el Informe EITI de</w:t>
      </w:r>
      <w:r w:rsidR="005F51BF" w:rsidRPr="00BB0D9C">
        <w:rPr>
          <w:rFonts w:eastAsia="Times New Roman"/>
        </w:rPr>
        <w:t xml:space="preserve"> 2017-2018</w:t>
      </w:r>
      <w:r w:rsidR="007312F8" w:rsidRPr="00BB0D9C">
        <w:rPr>
          <w:rFonts w:eastAsia="Times New Roman"/>
        </w:rPr>
        <w:t xml:space="preserve">, el Administrador Independiente brindó una evaluación incompleta de la integridad y fiabilidad de los datos financieros conciliados; proporcionó una evaluación de datos del Gobierno y municipalidades, pero no hizo comentarios sobre la fiabilidad de las </w:t>
      </w:r>
      <w:r w:rsidR="00B61C08" w:rsidRPr="00BB0D9C">
        <w:rPr>
          <w:rFonts w:eastAsia="Times New Roman"/>
        </w:rPr>
        <w:t>empresa</w:t>
      </w:r>
      <w:r w:rsidR="007312F8" w:rsidRPr="00BB0D9C">
        <w:rPr>
          <w:rFonts w:eastAsia="Times New Roman"/>
        </w:rPr>
        <w:t xml:space="preserve">s ni abordó la cuestión de ninguna de las </w:t>
      </w:r>
      <w:r w:rsidR="00B61C08" w:rsidRPr="00BB0D9C">
        <w:rPr>
          <w:rFonts w:eastAsia="Times New Roman"/>
        </w:rPr>
        <w:t>empresa</w:t>
      </w:r>
      <w:r w:rsidR="007312F8" w:rsidRPr="00BB0D9C">
        <w:rPr>
          <w:rFonts w:eastAsia="Times New Roman"/>
        </w:rPr>
        <w:t>s no declarantes</w:t>
      </w:r>
      <w:r w:rsidR="005F51BF" w:rsidRPr="00BB0D9C">
        <w:rPr>
          <w:rFonts w:eastAsia="Times New Roman"/>
        </w:rPr>
        <w:t xml:space="preserve">. </w:t>
      </w:r>
      <w:r w:rsidR="007312F8" w:rsidRPr="00BB0D9C">
        <w:rPr>
          <w:rFonts w:eastAsia="Times New Roman"/>
        </w:rPr>
        <w:t xml:space="preserve">Ambos informes carecen de </w:t>
      </w:r>
      <w:r w:rsidRPr="00BB0D9C">
        <w:t xml:space="preserve">una enumeración clara de las entidades informantes que no prestaron las garantías de calidad requeridas, ni tampoco una evaluación de la importancia relativa de los pagos o ingresos de dichas entidades. </w:t>
      </w:r>
    </w:p>
    <w:p w14:paraId="62C19B5A" w14:textId="77777777" w:rsidR="00055557" w:rsidRPr="00BB0D9C" w:rsidRDefault="00055557" w:rsidP="00014C8C">
      <w:pPr>
        <w:spacing w:before="100" w:beforeAutospacing="1" w:after="100" w:afterAutospacing="1"/>
        <w:rPr>
          <w:rFonts w:cstheme="majorHAnsi"/>
          <w:szCs w:val="22"/>
        </w:rPr>
      </w:pPr>
      <w:r w:rsidRPr="00BB0D9C">
        <w:t xml:space="preserve">Conforme al Requisito 4.9 y a los términos de referencia estándar para el Administrador Independiente, el GMP debería garantizar que el Administrador Independiente ofrezca una evaluación </w:t>
      </w:r>
      <w:r w:rsidR="00ED785B" w:rsidRPr="00BB0D9C">
        <w:t>acerca</w:t>
      </w:r>
      <w:r w:rsidRPr="00BB0D9C">
        <w:t xml:space="preserve"> de si todas las empresas y entidades gubernamentales comprendidas en el alcance convenido del proceso de presentación de información relativa al EITI respetan el mecanismo de aseguramiento de la calidad </w:t>
      </w:r>
      <w:r w:rsidR="00EC5A5C" w:rsidRPr="00BB0D9C">
        <w:t>acordado</w:t>
      </w:r>
      <w:r w:rsidRPr="00BB0D9C">
        <w:t xml:space="preserve"> en las futuras presentaciones de información concerniente al EITI. El Administrador Independiente debería señalar en el Informe EITI toda omisión o deficiencia en la facilitación de esta información junto con una evaluación que indique si es probable que ello haya tenido un impacto sustancial en la fiabilidad de los datos financieros presentados.</w:t>
      </w:r>
    </w:p>
    <w:p w14:paraId="3871BA11" w14:textId="77777777" w:rsidR="004171F4" w:rsidRPr="00BB0D9C" w:rsidRDefault="004171F4" w:rsidP="006E3763">
      <w:pPr>
        <w:pStyle w:val="Heading2"/>
        <w:numPr>
          <w:ilvl w:val="1"/>
          <w:numId w:val="43"/>
        </w:numPr>
      </w:pPr>
      <w:bookmarkStart w:id="38" w:name="_Toc45021601"/>
      <w:r w:rsidRPr="00BB0D9C">
        <w:t>Medida correctiva 8: Gastos sociales (</w:t>
      </w:r>
      <w:proofErr w:type="spellStart"/>
      <w:r w:rsidR="007312F8" w:rsidRPr="00BB0D9C">
        <w:t>n.°</w:t>
      </w:r>
      <w:proofErr w:type="spellEnd"/>
      <w:r w:rsidR="007312F8" w:rsidRPr="00BB0D9C">
        <w:t> </w:t>
      </w:r>
      <w:r w:rsidRPr="00BB0D9C">
        <w:t>6.1)</w:t>
      </w:r>
      <w:bookmarkEnd w:id="38"/>
    </w:p>
    <w:p w14:paraId="7DFBE701" w14:textId="77777777" w:rsidR="004171F4" w:rsidRPr="00BB0D9C" w:rsidRDefault="004171F4" w:rsidP="004171F4">
      <w:pPr>
        <w:shd w:val="clear" w:color="auto" w:fill="D9D9D9" w:themeFill="background1" w:themeFillShade="D9"/>
      </w:pPr>
      <w:r w:rsidRPr="00BB0D9C">
        <w:t>Conforme al Requisito 6.1, el GMP debería garantizar que las declaraciones de gastos sociales que exige la Ley de Minería de Honduras sean exhaustivas. Cuando el beneficiario del gasto social obligatorio es un tercero, es decir, no un organismo gubernamental, se debe divulgar el nombre y la función del beneficiario.</w:t>
      </w:r>
    </w:p>
    <w:p w14:paraId="43DA007B" w14:textId="77777777" w:rsidR="004171F4" w:rsidRPr="00BB0D9C" w:rsidRDefault="00FE1FD5" w:rsidP="004171F4">
      <w:pPr>
        <w:pStyle w:val="Heading3"/>
      </w:pPr>
      <w:r w:rsidRPr="00BB0D9C">
        <w:t>Conclusiones de la primera v</w:t>
      </w:r>
      <w:r w:rsidR="004171F4" w:rsidRPr="00BB0D9C">
        <w:t>alidación</w:t>
      </w:r>
    </w:p>
    <w:p w14:paraId="1D5156E9" w14:textId="77777777" w:rsidR="004171F4" w:rsidRPr="00BB0D9C" w:rsidRDefault="00FE1FD5" w:rsidP="004171F4">
      <w:r w:rsidRPr="00BB0D9C">
        <w:t>En la primera v</w:t>
      </w:r>
      <w:r w:rsidR="004171F4" w:rsidRPr="00BB0D9C">
        <w:t xml:space="preserve">alidación se determinó que Honduras había logrado un progreso significativo en el cumplimiento de este requisito. La Ley de Minería de Honduras imponía pagos que el Secretariado Internacional consideraba “gastos sociales importantes por parte de empresas que son obligatorios por ley” en virtud del Requisito 6.1 del Estándar EITI. El Informe EITI de 2014 incluía la divulgación unilateral </w:t>
      </w:r>
      <w:r w:rsidR="00AD4395" w:rsidRPr="00BB0D9C">
        <w:t>de la suma</w:t>
      </w:r>
      <w:r w:rsidR="004171F4" w:rsidRPr="00BB0D9C">
        <w:t xml:space="preserve"> de pagos sociales realizados por las empresas, pero no brindaba información sobre los beneficiarios de dichas contribuciones. Dado que los destinatarios de éstas no eran entidades gubernamentales, la falta de información sobre los beneficiarios se consideró </w:t>
      </w:r>
      <w:r w:rsidR="00AD4395" w:rsidRPr="00BB0D9C">
        <w:t>un aspecto</w:t>
      </w:r>
      <w:r w:rsidR="004171F4" w:rsidRPr="00BB0D9C">
        <w:t xml:space="preserve"> problemático. </w:t>
      </w:r>
    </w:p>
    <w:p w14:paraId="547FF585" w14:textId="77777777" w:rsidR="004171F4" w:rsidRPr="00BB0D9C" w:rsidRDefault="00FE1FD5" w:rsidP="004171F4">
      <w:pPr>
        <w:pStyle w:val="Heading3"/>
      </w:pPr>
      <w:r w:rsidRPr="00BB0D9C">
        <w:t>Progreso desde la primera v</w:t>
      </w:r>
      <w:r w:rsidR="004171F4" w:rsidRPr="00BB0D9C">
        <w:t>alidación</w:t>
      </w:r>
    </w:p>
    <w:p w14:paraId="4BFAD717" w14:textId="77777777" w:rsidR="006C2DAE" w:rsidRPr="00BB0D9C" w:rsidRDefault="00420E96" w:rsidP="006C2DAE">
      <w:pPr>
        <w:spacing w:before="120"/>
        <w:rPr>
          <w:rFonts w:cstheme="majorHAnsi"/>
          <w:szCs w:val="22"/>
        </w:rPr>
      </w:pPr>
      <w:r w:rsidRPr="00BB0D9C">
        <w:t>El Informe EITI 2015-2016 explica que todas las empresas participantes realizan aportes sociales a las comunidades ubicadas cerca de la zona de producción (</w:t>
      </w:r>
      <w:r w:rsidR="00EB4DBE" w:rsidRPr="00BB0D9C">
        <w:t>p. 66</w:t>
      </w:r>
      <w:r w:rsidRPr="00BB0D9C">
        <w:t>). Sin embargo, estas contribuciones no surgen de la ley, sino que son voluntarias, ya sea como parte de programas de responsabilidad social o de arreglos preestablecidos entre el municipio y la empresa operante. El informe presenta los pagos sociales voluntarios divulgados por las empresas, aunque con ciertas deficiencias en cuanto al detalle de estos gastos.</w:t>
      </w:r>
    </w:p>
    <w:p w14:paraId="711A7D25" w14:textId="77777777" w:rsidR="006C2DAE" w:rsidRPr="00BB0D9C" w:rsidRDefault="006C2DAE" w:rsidP="006C2DAE">
      <w:pPr>
        <w:spacing w:before="120"/>
        <w:rPr>
          <w:rFonts w:cstheme="majorHAnsi"/>
          <w:szCs w:val="22"/>
        </w:rPr>
      </w:pPr>
      <w:r w:rsidRPr="00BB0D9C">
        <w:t>El Secretariado Internacional analizó y confirmó que la Ley de Minería de Honduras</w:t>
      </w:r>
      <w:r w:rsidRPr="00BB0D9C">
        <w:rPr>
          <w:rStyle w:val="FootnoteReference"/>
          <w:szCs w:val="22"/>
        </w:rPr>
        <w:footnoteReference w:id="83"/>
      </w:r>
      <w:r w:rsidRPr="00BB0D9C">
        <w:t xml:space="preserve"> hace referencia a las obligaciones de las empresas de “apoyar los programas de información, la capacitación y la concienciación ambiental del personal, los municipios y los pobladores de las áreas de influencia para incentivar acciones que minimicen el deterioro ambiental y protejan la flora y fauna de las áreas de influencia”, pero no establece ningún pago social en particular. La ley dice que la “planificación y ejecución de dichos programas debe ser comunicada anualmente en la declaración ante la autoridad minera” (art. 54, párrafo c), pero no especifica el nivel de desglose de dicha comunicación. </w:t>
      </w:r>
    </w:p>
    <w:p w14:paraId="203FF4F2" w14:textId="77777777" w:rsidR="00F43EDB" w:rsidRPr="00BB0D9C" w:rsidRDefault="00420E96" w:rsidP="00F43EDB">
      <w:pPr>
        <w:spacing w:before="120"/>
        <w:rPr>
          <w:rFonts w:cstheme="majorHAnsi"/>
          <w:szCs w:val="22"/>
        </w:rPr>
      </w:pPr>
      <w:r w:rsidRPr="00BB0D9C">
        <w:t xml:space="preserve">Esta apreciación fue confirmada a través de consultas con partes interesadas, quienes corroboraron que no existían pagos sociales obligatorios en los años comprendidos en el informe, ni en virtud de la ley ni de ningún contrato que rigiera la extracción de recursos. En cuanto a la minería, aclararon que los contratos estaban estandarizados y se regían por la ley específica </w:t>
      </w:r>
      <w:r w:rsidR="00204B8C" w:rsidRPr="00BB0D9C">
        <w:t>antes mencionada</w:t>
      </w:r>
      <w:r w:rsidRPr="00BB0D9C">
        <w:t xml:space="preserve">, lo cual implicaba que ninguno de los contratos de minería podía incluir cláusulas a medida que obligaran a realizar pagos sociales. Durante las consultas, también explicaron que, pese a no ser obligatorio, había empresas que sí contribuían con pagos sociales realizados voluntariamente. Esto se refleja en el </w:t>
      </w:r>
      <w:r w:rsidR="00FE1FD5" w:rsidRPr="00BB0D9C">
        <w:t>Informe EITI de 2015-2016</w:t>
      </w:r>
      <w:r w:rsidRPr="00BB0D9C">
        <w:t xml:space="preserve">, que revela las contribuciones sociales efectuadas en 2015 y 2016, detallando los montos que pagó cada empresa informante (p. 67). De modo similar a lo planteado en la primera Validación, estas divulgaciones sobre pagos sociales voluntarios no brindan información específica sobre los destinatarios de los pagos. Estas contribuciones se pagan a las comunidades </w:t>
      </w:r>
      <w:r w:rsidR="009F2287" w:rsidRPr="00BB0D9C">
        <w:t>de las áreas</w:t>
      </w:r>
      <w:r w:rsidRPr="00BB0D9C">
        <w:t xml:space="preserve"> mineras, sobre la base de acuerdos específicos con los municipios correspondientes o bien con organizaciones de la sociedad civil que funcionan en la zona. El informe menciona algunos de los proyectos financiados con esos pagos, centrados especialmente en la educación (la construcción y mantenimiento de escuelas rurales). </w:t>
      </w:r>
    </w:p>
    <w:p w14:paraId="50A4AF2C" w14:textId="77777777" w:rsidR="00F43EDB" w:rsidRPr="00BB0D9C" w:rsidRDefault="00F43EDB" w:rsidP="00420E96">
      <w:pPr>
        <w:spacing w:before="120"/>
      </w:pPr>
      <w:r w:rsidRPr="00BB0D9C">
        <w:t xml:space="preserve">En lo que respecta a los pagos sociales del sector de los hidrocarburos, el </w:t>
      </w:r>
      <w:r w:rsidR="00FE1FD5" w:rsidRPr="00BB0D9C">
        <w:t xml:space="preserve">Informe EITI de 2015-2016 </w:t>
      </w:r>
      <w:r w:rsidRPr="00BB0D9C">
        <w:t>menciona que había solo un contrato de exploración en el período estudiado. Este contrato era con BG (hoy Shell) y preveía pagos sociales obligatorios (p. 54). No obstante, el informe agrega que la empresa llevó a cabo algunas actividades de exploración que no aportaron ingresos (p. 23-24); esta situación fue corroborada por la agencia ambiental (SERNA/</w:t>
      </w:r>
      <w:proofErr w:type="spellStart"/>
      <w:r w:rsidRPr="00BB0D9C">
        <w:t>MiAmbiente</w:t>
      </w:r>
      <w:proofErr w:type="spellEnd"/>
      <w:r w:rsidRPr="00BB0D9C">
        <w:t xml:space="preserve">) y las partes interesadas consultadas. Según surge del informe, BG no era una empresa de importancia relativa en los años analizados. La apreciación del Secretariado Internacional, confirmada por las partes interesadas, es que las actividades del contrato en cuestión estaban suspendidas, y que las obligaciones derivadas de aquel no habían </w:t>
      </w:r>
      <w:proofErr w:type="gramStart"/>
      <w:r w:rsidRPr="00BB0D9C">
        <w:t>entrado en vigencia</w:t>
      </w:r>
      <w:proofErr w:type="gramEnd"/>
      <w:r w:rsidRPr="00BB0D9C">
        <w:t>, por lo cual los pagos sociales no resultaban aplicables. Desde entonces no se han adjudicado nuevos contratos de exploración y producción de petróleo.</w:t>
      </w:r>
    </w:p>
    <w:p w14:paraId="58E0FADB" w14:textId="77777777" w:rsidR="00FE1FD5" w:rsidRPr="00BB0D9C" w:rsidRDefault="00FE1FD5" w:rsidP="00420E96">
      <w:pPr>
        <w:spacing w:before="120"/>
        <w:rPr>
          <w:rFonts w:cstheme="majorHAnsi"/>
          <w:szCs w:val="22"/>
        </w:rPr>
      </w:pPr>
      <w:r w:rsidRPr="00BB0D9C">
        <w:rPr>
          <w:rFonts w:cstheme="majorHAnsi"/>
          <w:szCs w:val="22"/>
        </w:rPr>
        <w:t>Después del comienzo de la segunda validación de Honduras, se publicó el Informe EITI de 2017-2018, que también incluye pagos sociales voluntarios según se informan en la declaración anual a las autoridades de minería (p. 101). E</w:t>
      </w:r>
      <w:r w:rsidR="00297741" w:rsidRPr="00BB0D9C">
        <w:rPr>
          <w:rFonts w:cstheme="majorHAnsi"/>
          <w:szCs w:val="22"/>
        </w:rPr>
        <w:t xml:space="preserve">se informe también incluye contribuciones voluntarias de las </w:t>
      </w:r>
      <w:r w:rsidR="00B61C08" w:rsidRPr="00BB0D9C">
        <w:rPr>
          <w:rFonts w:cstheme="majorHAnsi"/>
          <w:szCs w:val="22"/>
        </w:rPr>
        <w:t>empresa</w:t>
      </w:r>
      <w:r w:rsidR="00297741" w:rsidRPr="00BB0D9C">
        <w:rPr>
          <w:rFonts w:cstheme="majorHAnsi"/>
          <w:szCs w:val="22"/>
        </w:rPr>
        <w:t xml:space="preserve">s con fines ambientales </w:t>
      </w:r>
      <w:r w:rsidRPr="00BB0D9C">
        <w:rPr>
          <w:rFonts w:cstheme="majorHAnsi"/>
          <w:szCs w:val="22"/>
        </w:rPr>
        <w:t>(</w:t>
      </w:r>
      <w:r w:rsidR="00297741" w:rsidRPr="00BB0D9C">
        <w:rPr>
          <w:rFonts w:cstheme="majorHAnsi"/>
          <w:szCs w:val="22"/>
        </w:rPr>
        <w:t xml:space="preserve">proyectos </w:t>
      </w:r>
      <w:r w:rsidRPr="00BB0D9C">
        <w:rPr>
          <w:rFonts w:cstheme="majorHAnsi"/>
          <w:szCs w:val="22"/>
        </w:rPr>
        <w:t>forest</w:t>
      </w:r>
      <w:r w:rsidR="00297741" w:rsidRPr="00BB0D9C">
        <w:rPr>
          <w:rFonts w:cstheme="majorHAnsi"/>
          <w:szCs w:val="22"/>
        </w:rPr>
        <w:t>ales, calidad del agua, viveros comunales</w:t>
      </w:r>
      <w:r w:rsidRPr="00BB0D9C">
        <w:rPr>
          <w:rFonts w:cstheme="majorHAnsi"/>
          <w:szCs w:val="22"/>
        </w:rPr>
        <w:t>, etc.)</w:t>
      </w:r>
      <w:r w:rsidR="00297741" w:rsidRPr="00BB0D9C">
        <w:rPr>
          <w:rFonts w:cstheme="majorHAnsi"/>
          <w:szCs w:val="22"/>
        </w:rPr>
        <w:t xml:space="preserve"> </w:t>
      </w:r>
      <w:r w:rsidRPr="00BB0D9C">
        <w:rPr>
          <w:rFonts w:cstheme="majorHAnsi"/>
          <w:szCs w:val="22"/>
        </w:rPr>
        <w:t xml:space="preserve">(p. 103). </w:t>
      </w:r>
    </w:p>
    <w:p w14:paraId="4A049586" w14:textId="77777777" w:rsidR="004171F4" w:rsidRPr="00BB0D9C" w:rsidRDefault="004171F4" w:rsidP="004171F4">
      <w:pPr>
        <w:pStyle w:val="Heading3"/>
      </w:pPr>
      <w:r w:rsidRPr="00BB0D9C">
        <w:t>Evaluación del Secretariado</w:t>
      </w:r>
    </w:p>
    <w:p w14:paraId="2CE91A16" w14:textId="77777777" w:rsidR="00AE3C21" w:rsidRPr="00BB0D9C" w:rsidRDefault="004171F4" w:rsidP="00FA1ADF">
      <w:pPr>
        <w:spacing w:before="100" w:beforeAutospacing="1" w:after="100" w:afterAutospacing="1"/>
        <w:rPr>
          <w:rFonts w:cstheme="majorHAnsi"/>
          <w:szCs w:val="22"/>
          <w:u w:val="single"/>
        </w:rPr>
      </w:pPr>
      <w:r w:rsidRPr="00BB0D9C">
        <w:rPr>
          <w:szCs w:val="22"/>
          <w:u w:val="single"/>
        </w:rPr>
        <w:t>La evaluación del Secretariado Internacional es que Honduras ha abordado plenamente la medida correctiva referente a los gastos sociales y que el Requisito 6.1 no resultaba aplicable a Honduras en el año en estudio.</w:t>
      </w:r>
      <w:r w:rsidRPr="00BB0D9C">
        <w:t xml:space="preserve"> El Informe EITI 2015-2016 indica claramente </w:t>
      </w:r>
      <w:bookmarkStart w:id="39" w:name="_Hlk16106026"/>
      <w:r w:rsidRPr="00BB0D9C">
        <w:t>que no hay gastos sociales establecidos en ninguna ley ni contrato que rija la extracción de recursos. Asimismo, todas las partes interesadas a quienes se consultó confirmaron que los pagos sociales son voluntarios y no obligatorios en Honduras.</w:t>
      </w:r>
      <w:r w:rsidR="00297741" w:rsidRPr="00BB0D9C">
        <w:t xml:space="preserve"> Esto también se confirmó en el </w:t>
      </w:r>
      <w:r w:rsidR="00297741" w:rsidRPr="00BB0D9C">
        <w:rPr>
          <w:rFonts w:cstheme="majorHAnsi"/>
          <w:szCs w:val="22"/>
        </w:rPr>
        <w:t>Informe EITI de 2017-2018.</w:t>
      </w:r>
    </w:p>
    <w:bookmarkEnd w:id="39"/>
    <w:p w14:paraId="134A3FE3" w14:textId="45A0D593" w:rsidR="004171F4" w:rsidRPr="00BB0D9C" w:rsidRDefault="00111B8C" w:rsidP="00C41432">
      <w:pPr>
        <w:spacing w:before="100" w:beforeAutospacing="1" w:after="100" w:afterAutospacing="1"/>
        <w:rPr>
          <w:rFonts w:cstheme="majorHAnsi"/>
          <w:szCs w:val="22"/>
        </w:rPr>
      </w:pPr>
      <w:r w:rsidRPr="00BB0D9C">
        <w:t>Para fortalecer la implementación, s</w:t>
      </w:r>
      <w:r w:rsidR="00F43EDB" w:rsidRPr="00BB0D9C">
        <w:t xml:space="preserve">e alienta a las empresas del sector extractivo de Honduras a </w:t>
      </w:r>
      <w:r w:rsidR="00DB2E62" w:rsidRPr="00BB0D9C">
        <w:t>realizar un mayor desglose de</w:t>
      </w:r>
      <w:r w:rsidR="00F43EDB" w:rsidRPr="00BB0D9C">
        <w:t xml:space="preserve"> los datos que presentan sobre sus pagos </w:t>
      </w:r>
      <w:r w:rsidRPr="00BB0D9C">
        <w:t xml:space="preserve">ambientales </w:t>
      </w:r>
      <w:r w:rsidR="00F43EDB" w:rsidRPr="00BB0D9C">
        <w:t>sociales voluntarios. Por otra parte, se alienta al GMP a solicitar la divulgación de más información con respecto a las contribuciones voluntarias que las empresas pagan a las comunidades en las zonas mineras, incluidos los términos de sus acuerdos específicos con los municipios y otros destinatarios locales.</w:t>
      </w:r>
    </w:p>
    <w:p w14:paraId="22819DCA" w14:textId="77777777" w:rsidR="004171F4" w:rsidRPr="00BB0D9C" w:rsidRDefault="004171F4" w:rsidP="006E3763">
      <w:pPr>
        <w:pStyle w:val="Heading2"/>
        <w:numPr>
          <w:ilvl w:val="1"/>
          <w:numId w:val="43"/>
        </w:numPr>
      </w:pPr>
      <w:bookmarkStart w:id="40" w:name="_Toc45021602"/>
      <w:r w:rsidRPr="00BB0D9C">
        <w:t>Medida correctiva 9: Contribución económica (</w:t>
      </w:r>
      <w:proofErr w:type="spellStart"/>
      <w:r w:rsidR="00111B8C" w:rsidRPr="00BB0D9C">
        <w:t>n.°</w:t>
      </w:r>
      <w:proofErr w:type="spellEnd"/>
      <w:r w:rsidR="00111B8C" w:rsidRPr="00BB0D9C">
        <w:t> </w:t>
      </w:r>
      <w:r w:rsidRPr="00BB0D9C">
        <w:t>6.3)</w:t>
      </w:r>
      <w:bookmarkEnd w:id="40"/>
    </w:p>
    <w:p w14:paraId="618F1C4E" w14:textId="77777777" w:rsidR="004171F4" w:rsidRPr="00BB0D9C" w:rsidRDefault="004171F4" w:rsidP="00894518">
      <w:pPr>
        <w:shd w:val="clear" w:color="auto" w:fill="D9D9D9" w:themeFill="background1" w:themeFillShade="D9"/>
      </w:pPr>
      <w:r w:rsidRPr="00BB0D9C">
        <w:t>Conforme al Requisito 6.3, el GMP debería garantizar que las futuras presentaciones de información relativa al EITI incluyan el total de ingresos del gobierno.</w:t>
      </w:r>
    </w:p>
    <w:p w14:paraId="4A3DD8F1" w14:textId="77777777" w:rsidR="004171F4" w:rsidRPr="00BB0D9C" w:rsidRDefault="00111B8C" w:rsidP="004171F4">
      <w:pPr>
        <w:pStyle w:val="Heading3"/>
      </w:pPr>
      <w:r w:rsidRPr="00BB0D9C">
        <w:t>Conclusiones de la primera v</w:t>
      </w:r>
      <w:r w:rsidR="004171F4" w:rsidRPr="00BB0D9C">
        <w:t>alidación</w:t>
      </w:r>
    </w:p>
    <w:p w14:paraId="41B87203" w14:textId="77777777" w:rsidR="004171F4" w:rsidRPr="00BB0D9C" w:rsidRDefault="00111B8C" w:rsidP="004171F4">
      <w:r w:rsidRPr="00BB0D9C">
        <w:t>En la primera v</w:t>
      </w:r>
      <w:r w:rsidR="00894518" w:rsidRPr="00BB0D9C">
        <w:t xml:space="preserve">alidación se llegó a la conclusión de que Honduras había logrado un progreso significativo en el cumplimiento de este requisito. Puntualmente, Honduras había progresado en cuanto a la divulgación de parte de la información requerida, como la porción del PBI, las exportaciones y el empleo, pero le faltaban los datos de los ingresos del gobierno generados por las industrias extractivas, en términos absolutos y como porcentaje. Al momento de la primera validación, las partes interesadas no habían expresado ninguna opinión en particular respecto del aporte del sector extractivo a la economía. La Evaluación Inicial estableció que el GMP debería garantizar que las futuras presentaciones de información relativa al EITI incluyeran el total de ingresos del gobierno. </w:t>
      </w:r>
    </w:p>
    <w:p w14:paraId="5BFABC79" w14:textId="77777777" w:rsidR="004171F4" w:rsidRPr="00BB0D9C" w:rsidRDefault="004171F4" w:rsidP="004171F4">
      <w:pPr>
        <w:pStyle w:val="Heading3"/>
      </w:pPr>
      <w:r w:rsidRPr="00BB0D9C">
        <w:t xml:space="preserve">Progreso desde la </w:t>
      </w:r>
      <w:r w:rsidR="00111B8C" w:rsidRPr="00BB0D9C">
        <w:t>primera v</w:t>
      </w:r>
      <w:r w:rsidRPr="00BB0D9C">
        <w:t>alidación</w:t>
      </w:r>
    </w:p>
    <w:p w14:paraId="3D1D5090" w14:textId="77777777" w:rsidR="00A47077" w:rsidRPr="00BB0D9C" w:rsidRDefault="000D6257" w:rsidP="00A47077">
      <w:pPr>
        <w:shd w:val="clear" w:color="auto" w:fill="FFFFFF" w:themeFill="background1"/>
        <w:spacing w:line="276" w:lineRule="auto"/>
        <w:rPr>
          <w:sz w:val="20"/>
        </w:rPr>
      </w:pPr>
      <w:r w:rsidRPr="00BB0D9C">
        <w:rPr>
          <w:i/>
          <w:iCs/>
          <w:szCs w:val="22"/>
          <w:u w:val="single"/>
        </w:rPr>
        <w:t>Porción del PBI</w:t>
      </w:r>
      <w:r w:rsidRPr="00BB0D9C">
        <w:t xml:space="preserve">: </w:t>
      </w:r>
      <w:r w:rsidR="00702685" w:rsidRPr="00BB0D9C">
        <w:t>e</w:t>
      </w:r>
      <w:r w:rsidRPr="00BB0D9C">
        <w:t>l Informe EITI 2015-2016 indica</w:t>
      </w:r>
      <w:r w:rsidR="00F60F20" w:rsidRPr="00BB0D9C">
        <w:t>ba</w:t>
      </w:r>
      <w:r w:rsidRPr="00BB0D9C">
        <w:t xml:space="preserve"> el tamaño de las industrias extractivas en términos absolutos y cómo porcentaje del PBI (p. 27). La tabla 2 revela el aporte de las industrias extractivas al PBI, señalando que, </w:t>
      </w:r>
      <w:r w:rsidRPr="00BB0D9C">
        <w:rPr>
          <w:sz w:val="20"/>
        </w:rPr>
        <w:t>en términos absolutos, su aporte fue de 334 millones de lempiras y 346 millones de lempiras en 2015 y 2016, respectivamente. El informe también m</w:t>
      </w:r>
      <w:r w:rsidR="00F60F20" w:rsidRPr="00BB0D9C">
        <w:rPr>
          <w:sz w:val="20"/>
        </w:rPr>
        <w:t>ostraba</w:t>
      </w:r>
      <w:r w:rsidRPr="00BB0D9C">
        <w:rPr>
          <w:sz w:val="20"/>
        </w:rPr>
        <w:t xml:space="preserve"> que </w:t>
      </w:r>
      <w:r w:rsidRPr="00BB0D9C">
        <w:t>el sector extractivo representa</w:t>
      </w:r>
      <w:r w:rsidR="00F60F20" w:rsidRPr="00BB0D9C">
        <w:t>ba</w:t>
      </w:r>
      <w:r w:rsidRPr="00BB0D9C">
        <w:t xml:space="preserve"> aproximadamente el 0,5% del PBI total anual de Honduras. </w:t>
      </w:r>
      <w:r w:rsidRPr="00BB0D9C">
        <w:rPr>
          <w:sz w:val="20"/>
        </w:rPr>
        <w:t xml:space="preserve">El </w:t>
      </w:r>
      <w:r w:rsidR="00F60F20" w:rsidRPr="00BB0D9C">
        <w:rPr>
          <w:sz w:val="20"/>
        </w:rPr>
        <w:t>i</w:t>
      </w:r>
      <w:r w:rsidRPr="00BB0D9C">
        <w:rPr>
          <w:sz w:val="20"/>
        </w:rPr>
        <w:t>nforme no cont</w:t>
      </w:r>
      <w:r w:rsidR="00F60F20" w:rsidRPr="00BB0D9C">
        <w:rPr>
          <w:sz w:val="20"/>
        </w:rPr>
        <w:t>enía</w:t>
      </w:r>
      <w:r w:rsidRPr="00BB0D9C">
        <w:rPr>
          <w:sz w:val="20"/>
        </w:rPr>
        <w:t xml:space="preserve"> ninguna estimación de la actividad informal en el sector. </w:t>
      </w:r>
    </w:p>
    <w:p w14:paraId="28A87FA7" w14:textId="77777777" w:rsidR="00F60F20" w:rsidRPr="00BB0D9C" w:rsidRDefault="00F60F20" w:rsidP="00A47077">
      <w:pPr>
        <w:shd w:val="clear" w:color="auto" w:fill="FFFFFF" w:themeFill="background1"/>
        <w:spacing w:line="276" w:lineRule="auto"/>
        <w:rPr>
          <w:sz w:val="20"/>
        </w:rPr>
      </w:pPr>
      <w:r w:rsidRPr="00BB0D9C">
        <w:rPr>
          <w:rFonts w:cstheme="majorHAnsi"/>
          <w:szCs w:val="22"/>
        </w:rPr>
        <w:t xml:space="preserve">El Informe EITI de 2017-2018 incluye el tamaño de las industrias extractivas en términos absolutos y como un porcentaje del PIB (p. 48). En la tabla 6.1.1 se divulga la contribución de las industrias extractivas al PIB y se indica que, en términos absolutos, su contribución fue de </w:t>
      </w:r>
      <w:r w:rsidRPr="00BB0D9C">
        <w:t>402 millones de lempiras y 429 millones de lempiras para 2017 y 2018, respectivamente. El informe también muestra que el sector extractivo representa aproximadamente un 0,2% del PIB total de Honduras cada año; no se menciona un estimado de la actividad del sector informal en el Informe EITI de 2017-2018.</w:t>
      </w:r>
    </w:p>
    <w:p w14:paraId="6335ED40" w14:textId="77777777" w:rsidR="00D81DE7" w:rsidRPr="00BB0D9C" w:rsidRDefault="000D6257" w:rsidP="009F1B0D">
      <w:pPr>
        <w:pStyle w:val="CommentText"/>
      </w:pPr>
      <w:r w:rsidRPr="00BB0D9C">
        <w:rPr>
          <w:i/>
          <w:iCs/>
          <w:szCs w:val="22"/>
          <w:u w:val="single"/>
        </w:rPr>
        <w:t>Ingresos gubernamentales</w:t>
      </w:r>
      <w:r w:rsidRPr="00BB0D9C">
        <w:t xml:space="preserve">: </w:t>
      </w:r>
      <w:r w:rsidR="00BF6F1F" w:rsidRPr="00BB0D9C">
        <w:t>e</w:t>
      </w:r>
      <w:r w:rsidRPr="00BB0D9C">
        <w:t xml:space="preserve">l </w:t>
      </w:r>
      <w:r w:rsidR="007C6146" w:rsidRPr="00BB0D9C">
        <w:t>Informe EITI de 2015-2016</w:t>
      </w:r>
      <w:r w:rsidR="00827CAC" w:rsidRPr="00BB0D9C">
        <w:t xml:space="preserve"> </w:t>
      </w:r>
      <w:r w:rsidRPr="00BB0D9C">
        <w:t>revela</w:t>
      </w:r>
      <w:r w:rsidR="007C6146" w:rsidRPr="00BB0D9C">
        <w:t>ba</w:t>
      </w:r>
      <w:r w:rsidRPr="00BB0D9C">
        <w:t xml:space="preserve"> el total de ingresos gubernamentales generados por el sector extractivo en términos absolutos, pero no presenta</w:t>
      </w:r>
      <w:r w:rsidR="007C6146" w:rsidRPr="00BB0D9C">
        <w:t>ba</w:t>
      </w:r>
      <w:r w:rsidRPr="00BB0D9C">
        <w:t xml:space="preserve"> ese dato como un porcentaje del total de ingresos del gobierno, ya que esto último </w:t>
      </w:r>
      <w:r w:rsidR="007C6146" w:rsidRPr="00BB0D9C">
        <w:t xml:space="preserve">no está informado </w:t>
      </w:r>
      <w:r w:rsidRPr="00BB0D9C">
        <w:t xml:space="preserve">(p. 60). Sin embargo, las consultas con las partes interesadas confirmaron que el público puede ver al valor total de los ingresos gubernamentales en el sitio web de la Secretaría de Finanzas (SEFIN). </w:t>
      </w:r>
      <w:r w:rsidR="00EB4DBE" w:rsidRPr="00BB0D9C">
        <w:t>El total de ingresos del gobierno en el ejercicio fiscal 2015 fue HNL 105.011.369.978</w:t>
      </w:r>
      <w:r w:rsidR="00EB4DBE" w:rsidRPr="00BB0D9C">
        <w:rPr>
          <w:rStyle w:val="FootnoteReference"/>
        </w:rPr>
        <w:footnoteReference w:id="84"/>
      </w:r>
      <w:r w:rsidR="00EB4DBE" w:rsidRPr="00BB0D9C">
        <w:t>, y en el ejercicio fiscal 2016 fue HNL 123.275.615.139</w:t>
      </w:r>
      <w:r w:rsidR="00EB4DBE" w:rsidRPr="00BB0D9C">
        <w:rPr>
          <w:rStyle w:val="FootnoteReference"/>
        </w:rPr>
        <w:footnoteReference w:id="85"/>
      </w:r>
      <w:r w:rsidR="00EB4DBE" w:rsidRPr="00BB0D9C">
        <w:t xml:space="preserve">. </w:t>
      </w:r>
      <w:r w:rsidRPr="00BB0D9C">
        <w:t xml:space="preserve">Esto significa que el sector extractivo contribuyó en un 0,2% a los ingresos totales del gobierno en 2015 y en un 0,45% en 2016. </w:t>
      </w:r>
    </w:p>
    <w:p w14:paraId="26DBAA4F" w14:textId="77777777" w:rsidR="007C6146" w:rsidRPr="00BB0D9C" w:rsidRDefault="007C6146" w:rsidP="009F1B0D">
      <w:pPr>
        <w:pStyle w:val="CommentText"/>
      </w:pPr>
      <w:r w:rsidRPr="00BB0D9C">
        <w:rPr>
          <w:rFonts w:cstheme="majorHAnsi"/>
          <w:szCs w:val="22"/>
        </w:rPr>
        <w:t xml:space="preserve">El informe de 2017-2018 siguió el mismo enfoque y proporcionó el total de los ingresos del gobierno provenientes del sector extractivo </w:t>
      </w:r>
      <w:r w:rsidRPr="00BB0D9C">
        <w:rPr>
          <w:szCs w:val="22"/>
        </w:rPr>
        <w:t>(p. 92)</w:t>
      </w:r>
      <w:r w:rsidRPr="00BB0D9C">
        <w:rPr>
          <w:rFonts w:cstheme="majorHAnsi"/>
          <w:szCs w:val="22"/>
        </w:rPr>
        <w:t>. Los ingresos totales del gobierno se encontraban en el sitio web del Ministerio de Finanzas</w:t>
      </w:r>
      <w:r w:rsidRPr="00BB0D9C">
        <w:rPr>
          <w:rStyle w:val="FootnoteReference"/>
          <w:szCs w:val="22"/>
        </w:rPr>
        <w:footnoteReference w:id="86"/>
      </w:r>
      <w:r w:rsidRPr="00BB0D9C">
        <w:rPr>
          <w:rFonts w:cstheme="majorHAnsi"/>
          <w:szCs w:val="22"/>
        </w:rPr>
        <w:t>. El sector extractivo contribuyó un 0,5 % del total de los ingresos del gobierno en 2017 y un 0,6% en 2018.</w:t>
      </w:r>
    </w:p>
    <w:p w14:paraId="54216E6B" w14:textId="77777777" w:rsidR="000D6257" w:rsidRPr="00BB0D9C" w:rsidRDefault="000D6257" w:rsidP="000D6257">
      <w:pPr>
        <w:spacing w:before="120"/>
      </w:pPr>
      <w:r w:rsidRPr="00BB0D9C">
        <w:rPr>
          <w:i/>
          <w:iCs/>
          <w:szCs w:val="22"/>
          <w:u w:val="single"/>
        </w:rPr>
        <w:t>Exportaciones</w:t>
      </w:r>
      <w:r w:rsidRPr="00BB0D9C">
        <w:t xml:space="preserve">: </w:t>
      </w:r>
      <w:r w:rsidR="00AC0E37" w:rsidRPr="00BB0D9C">
        <w:t>e</w:t>
      </w:r>
      <w:r w:rsidRPr="00BB0D9C">
        <w:t>n el informe se indica el valor en términos absolutos de las exportaciones del sector extractivo en 2015 y 2016, expresado como volumen de ventas y en USD. La tabla 4 lo presenta en términos relativos, mostrando que estas exportaciones representan solo un 4% del total de exportaciones del pa</w:t>
      </w:r>
      <w:r w:rsidR="007C6146" w:rsidRPr="00BB0D9C">
        <w:t>ís en ambos años.</w:t>
      </w:r>
    </w:p>
    <w:p w14:paraId="2195D0EB" w14:textId="77777777" w:rsidR="007C6146" w:rsidRPr="00BB0D9C" w:rsidRDefault="007C6146" w:rsidP="000D6257">
      <w:pPr>
        <w:spacing w:before="120"/>
        <w:rPr>
          <w:rFonts w:cstheme="majorHAnsi"/>
          <w:szCs w:val="22"/>
        </w:rPr>
      </w:pPr>
      <w:r w:rsidRPr="00BB0D9C">
        <w:rPr>
          <w:rFonts w:cstheme="majorHAnsi"/>
          <w:szCs w:val="22"/>
        </w:rPr>
        <w:t>El Informe EITI de 2017-2018 de Honduras indica que las exportaciones del sector extractivo sumaron en total USD 181 millones y USD 199 millones en 2017 y 2018 respectivamente. Estas cifras representan el 4% y el 4,6% del total de las exportaciones en 2017 y 2018.</w:t>
      </w:r>
    </w:p>
    <w:p w14:paraId="0B7C9D3E" w14:textId="77777777" w:rsidR="000D6257" w:rsidRPr="00BB0D9C" w:rsidRDefault="000D6257" w:rsidP="000D6257">
      <w:pPr>
        <w:shd w:val="clear" w:color="auto" w:fill="FFFFFF" w:themeFill="background1"/>
        <w:spacing w:line="276" w:lineRule="auto"/>
      </w:pPr>
      <w:r w:rsidRPr="00BB0D9C">
        <w:rPr>
          <w:i/>
          <w:iCs/>
          <w:szCs w:val="22"/>
          <w:u w:val="single"/>
        </w:rPr>
        <w:t>Empleo</w:t>
      </w:r>
      <w:r w:rsidRPr="00BB0D9C">
        <w:rPr>
          <w:i/>
          <w:iCs/>
          <w:szCs w:val="22"/>
        </w:rPr>
        <w:t>:</w:t>
      </w:r>
      <w:r w:rsidR="007C6146" w:rsidRPr="00BB0D9C">
        <w:rPr>
          <w:i/>
          <w:iCs/>
          <w:szCs w:val="22"/>
        </w:rPr>
        <w:t xml:space="preserve"> </w:t>
      </w:r>
      <w:r w:rsidR="00AC0E37" w:rsidRPr="00BB0D9C">
        <w:t>e</w:t>
      </w:r>
      <w:r w:rsidRPr="00BB0D9C">
        <w:t xml:space="preserve">l </w:t>
      </w:r>
      <w:r w:rsidR="007C6146" w:rsidRPr="00BB0D9C">
        <w:t>Informe EITI de 2015-2016</w:t>
      </w:r>
      <w:r w:rsidRPr="00BB0D9C">
        <w:t xml:space="preserve"> revela el nivel de empleo en las industrias extractivas en términos absolutos y como porción del empleo total (p. 32).</w:t>
      </w:r>
      <w:r w:rsidR="007C6146" w:rsidRPr="00BB0D9C">
        <w:t xml:space="preserve"> En el informe de</w:t>
      </w:r>
      <w:r w:rsidR="007C6146" w:rsidRPr="00BB0D9C">
        <w:rPr>
          <w:rFonts w:cstheme="majorHAnsi"/>
          <w:szCs w:val="22"/>
        </w:rPr>
        <w:t xml:space="preserve"> 2017-2018, el empleo se informa de igual manera en términos absolutos y como una parte del total de empleo (p. 53). El Informe EITI de 2017-2018 también incluyó el empleo en el sector de minería desglosado por género (p. 104).</w:t>
      </w:r>
    </w:p>
    <w:p w14:paraId="46A90D25" w14:textId="77777777" w:rsidR="00D90F2E" w:rsidRPr="00BB0D9C" w:rsidRDefault="000D6257" w:rsidP="00747C7F">
      <w:pPr>
        <w:pStyle w:val="ListParagraph"/>
        <w:shd w:val="clear" w:color="auto" w:fill="FFFFFF" w:themeFill="background1"/>
        <w:ind w:left="0"/>
        <w:rPr>
          <w:rFonts w:cstheme="majorHAnsi"/>
          <w:szCs w:val="22"/>
        </w:rPr>
      </w:pPr>
      <w:r w:rsidRPr="00BB0D9C">
        <w:rPr>
          <w:i/>
          <w:iCs/>
          <w:szCs w:val="22"/>
          <w:u w:val="single"/>
        </w:rPr>
        <w:t>Ubicación</w:t>
      </w:r>
      <w:r w:rsidRPr="00BB0D9C">
        <w:rPr>
          <w:i/>
          <w:iCs/>
          <w:szCs w:val="22"/>
        </w:rPr>
        <w:t>:</w:t>
      </w:r>
      <w:r w:rsidR="004B575C" w:rsidRPr="00BB0D9C">
        <w:rPr>
          <w:i/>
          <w:iCs/>
          <w:szCs w:val="22"/>
        </w:rPr>
        <w:t xml:space="preserve"> </w:t>
      </w:r>
      <w:r w:rsidR="00AC0E37" w:rsidRPr="00BB0D9C">
        <w:t>e</w:t>
      </w:r>
      <w:r w:rsidRPr="00BB0D9C">
        <w:t xml:space="preserve">l </w:t>
      </w:r>
      <w:r w:rsidR="004B575C" w:rsidRPr="00BB0D9C">
        <w:t xml:space="preserve">Informe EITI de 2015-2016 </w:t>
      </w:r>
      <w:r w:rsidRPr="00BB0D9C">
        <w:t>menciona</w:t>
      </w:r>
      <w:r w:rsidR="004B575C" w:rsidRPr="00BB0D9C">
        <w:t>ba</w:t>
      </w:r>
      <w:r w:rsidRPr="00BB0D9C">
        <w:t xml:space="preserve"> que las zonas clave de producción son los departamentos de Santa B</w:t>
      </w:r>
      <w:r w:rsidR="004B575C" w:rsidRPr="00BB0D9C">
        <w:t>á</w:t>
      </w:r>
      <w:r w:rsidRPr="00BB0D9C">
        <w:t>rbara y Olancho (p.</w:t>
      </w:r>
      <w:r w:rsidR="004B575C" w:rsidRPr="00BB0D9C">
        <w:t xml:space="preserve"> </w:t>
      </w:r>
      <w:r w:rsidRPr="00BB0D9C">
        <w:t>32).</w:t>
      </w:r>
      <w:r w:rsidR="004B575C" w:rsidRPr="00BB0D9C">
        <w:t xml:space="preserve"> El Informe EITI de 2017-2018 indica las dos áreas donde se concentra la minería (oro y plata) (p. 53). </w:t>
      </w:r>
    </w:p>
    <w:p w14:paraId="5E6A1211" w14:textId="77777777" w:rsidR="004171F4" w:rsidRPr="00BB0D9C" w:rsidRDefault="004171F4" w:rsidP="004171F4">
      <w:pPr>
        <w:pStyle w:val="Heading3"/>
      </w:pPr>
      <w:r w:rsidRPr="00BB0D9C">
        <w:t>Evaluación del Secretariado</w:t>
      </w:r>
    </w:p>
    <w:p w14:paraId="2643F6E9" w14:textId="77777777" w:rsidR="00A40267" w:rsidRPr="00BB0D9C" w:rsidRDefault="004171F4" w:rsidP="006D6645">
      <w:pPr>
        <w:spacing w:before="100" w:beforeAutospacing="1" w:after="100" w:afterAutospacing="1"/>
        <w:rPr>
          <w:rFonts w:cstheme="majorHAnsi"/>
          <w:szCs w:val="22"/>
        </w:rPr>
      </w:pPr>
      <w:r w:rsidRPr="00BB0D9C">
        <w:rPr>
          <w:szCs w:val="22"/>
          <w:u w:val="single"/>
        </w:rPr>
        <w:t>La evaluación del Secretariado Internacional es que Honduras ha abordado la medida correctiva referente a la contribución de las industrias extractivas a la economía y que ha logrado un progreso satisfactorio en lo que respecta al cumplimiento del Requisito 6.3.</w:t>
      </w:r>
      <w:r w:rsidRPr="00BB0D9C">
        <w:t xml:space="preserve"> </w:t>
      </w:r>
      <w:r w:rsidR="004B575C" w:rsidRPr="00BB0D9C">
        <w:t>Los</w:t>
      </w:r>
      <w:r w:rsidRPr="00BB0D9C">
        <w:t xml:space="preserve"> informe</w:t>
      </w:r>
      <w:r w:rsidR="004B575C" w:rsidRPr="00BB0D9C">
        <w:t>s</w:t>
      </w:r>
      <w:r w:rsidRPr="00BB0D9C">
        <w:t xml:space="preserve"> divulga</w:t>
      </w:r>
      <w:r w:rsidR="004B575C" w:rsidRPr="00BB0D9C">
        <w:t>n</w:t>
      </w:r>
      <w:r w:rsidRPr="00BB0D9C">
        <w:t xml:space="preserve"> información completa, tanto en términos absolutos como relativos, acerca del tamaño de las industrias extractivas, sus exportaciones, nivel de empleo y áreas clave, por lo cual se cumple el Requisito 6.3 (a)(c)(d)(e). Si bien el informe solo ofrece el valor de los ingresos gubernamentales de origen extractivo en términos absolutos, y no como una parte del total de ingresos del gobierno, es posible calcular la contribución relativa de los ingresos de origen extractivo basándose en las cifras del total de ingresos gubernamentales disponibles en fuentes gubernamentales oficiales, de modo tal que se satisface el Requisito 6.3.b. </w:t>
      </w:r>
    </w:p>
    <w:p w14:paraId="18640F3B" w14:textId="77777777" w:rsidR="00A63CDE" w:rsidRPr="00BB0D9C" w:rsidRDefault="004B575C" w:rsidP="000B1FBB">
      <w:pPr>
        <w:spacing w:before="100" w:beforeAutospacing="1" w:after="100" w:afterAutospacing="1"/>
        <w:rPr>
          <w:rFonts w:cstheme="majorHAnsi"/>
          <w:szCs w:val="22"/>
        </w:rPr>
      </w:pPr>
      <w:r w:rsidRPr="00BB0D9C">
        <w:t>Para fortalecer la implementación, s</w:t>
      </w:r>
      <w:r w:rsidR="00A63CDE" w:rsidRPr="00BB0D9C">
        <w:t>e alienta al GMP a indicar las fuentes de las cifras del total de ingresos gubernamentales que figuran en el informe de ejecución presupuestaria, y a garantizar que éstas se divulguen sistemáticamente, junto con otras cifras vinculadas al Requisito 6.3. Esto simplificaría la divulgación, en términos absolutos y relativos, de los datos referentes al aporte de las industrias extractivas a los ingresos del gobierno.</w:t>
      </w:r>
    </w:p>
    <w:p w14:paraId="51A901F4" w14:textId="77777777" w:rsidR="004171F4" w:rsidRPr="00BB0D9C" w:rsidRDefault="004171F4" w:rsidP="006E3763">
      <w:pPr>
        <w:pStyle w:val="Heading2"/>
        <w:numPr>
          <w:ilvl w:val="1"/>
          <w:numId w:val="43"/>
        </w:numPr>
      </w:pPr>
      <w:bookmarkStart w:id="41" w:name="_Toc45021603"/>
      <w:r w:rsidRPr="00BB0D9C">
        <w:t>Medida correctiva 10: Debate público (</w:t>
      </w:r>
      <w:proofErr w:type="spellStart"/>
      <w:r w:rsidR="004B575C" w:rsidRPr="00BB0D9C">
        <w:t>n.°</w:t>
      </w:r>
      <w:proofErr w:type="spellEnd"/>
      <w:r w:rsidR="004B575C" w:rsidRPr="00BB0D9C">
        <w:t> </w:t>
      </w:r>
      <w:r w:rsidRPr="00BB0D9C">
        <w:t>7.1)</w:t>
      </w:r>
      <w:bookmarkEnd w:id="41"/>
    </w:p>
    <w:p w14:paraId="5BBCDE55" w14:textId="77777777" w:rsidR="004171F4" w:rsidRPr="00BB0D9C" w:rsidRDefault="004171F4" w:rsidP="004171F4">
      <w:pPr>
        <w:shd w:val="clear" w:color="auto" w:fill="D9D9D9" w:themeFill="background1" w:themeFillShade="D9"/>
      </w:pPr>
      <w:r w:rsidRPr="00BB0D9C">
        <w:t xml:space="preserve">Conforme al Requisito 7.1, se alienta al GMP a considerar la posibilidad de desarrollar una estrategia de comunicación tendiente a garantizar que las divulgaciones y conclusiones relativas al EITI se comuniquen de manera más efectiva y contribuyan al debate público. Esto podría incluir </w:t>
      </w:r>
      <w:r w:rsidR="00E200C0" w:rsidRPr="00BB0D9C">
        <w:t>mayor trabajo analítico, una mejor</w:t>
      </w:r>
      <w:r w:rsidR="004B575C" w:rsidRPr="00BB0D9C">
        <w:t xml:space="preserve"> </w:t>
      </w:r>
      <w:r w:rsidR="00E200C0" w:rsidRPr="00BB0D9C">
        <w:t>vinculación</w:t>
      </w:r>
      <w:r w:rsidRPr="00BB0D9C">
        <w:t xml:space="preserve"> con el trabajo desarrollado por otras organizaciones, y el abordaje de otras cuestiones </w:t>
      </w:r>
      <w:r w:rsidR="00E200C0" w:rsidRPr="00BB0D9C">
        <w:t xml:space="preserve">tales </w:t>
      </w:r>
      <w:r w:rsidRPr="00BB0D9C">
        <w:t>como las estructuras de costos de la industria.</w:t>
      </w:r>
    </w:p>
    <w:p w14:paraId="77AA43E8" w14:textId="77777777" w:rsidR="004171F4" w:rsidRPr="00BB0D9C" w:rsidRDefault="004171F4" w:rsidP="004171F4">
      <w:pPr>
        <w:pStyle w:val="Heading3"/>
      </w:pPr>
      <w:r w:rsidRPr="00BB0D9C">
        <w:t xml:space="preserve">Conclusiones de la primera </w:t>
      </w:r>
      <w:r w:rsidR="004B575C" w:rsidRPr="00BB0D9C">
        <w:t>v</w:t>
      </w:r>
      <w:r w:rsidRPr="00BB0D9C">
        <w:t>alidación</w:t>
      </w:r>
    </w:p>
    <w:p w14:paraId="59FC2419" w14:textId="77777777" w:rsidR="004171F4" w:rsidRPr="00BB0D9C" w:rsidRDefault="004171F4" w:rsidP="004171F4">
      <w:r w:rsidRPr="00BB0D9C">
        <w:t xml:space="preserve">En la primera </w:t>
      </w:r>
      <w:r w:rsidR="004B575C" w:rsidRPr="00BB0D9C">
        <w:t>v</w:t>
      </w:r>
      <w:r w:rsidRPr="00BB0D9C">
        <w:t>alidación se llegó a la conclusión de que Honduras había tenido un progreso insuficiente en el cumplimiento de este requisito. Honduras llevó a cabo una cantidad razonable de iniciativas de comunicación y sensibilización, especialmente en 2014 y 2015. Sin embargo, estos esfuerzos se redujeron drásticamente en 2016. Todas las actividades de comunicación y sensibilización realizadas en 2016 habían sido financiadas por socios, en su mayoría con contribuciones en especie. El Informe EITI 2014</w:t>
      </w:r>
      <w:r w:rsidR="00491859" w:rsidRPr="00BB0D9C">
        <w:rPr>
          <w:rStyle w:val="FootnoteReference"/>
          <w:color w:val="000000" w:themeColor="text1"/>
          <w:szCs w:val="22"/>
        </w:rPr>
        <w:footnoteReference w:id="87"/>
      </w:r>
      <w:r w:rsidRPr="00BB0D9C">
        <w:t xml:space="preserve"> fue objeto de escasa difusión y debate.</w:t>
      </w:r>
    </w:p>
    <w:p w14:paraId="3901C6FF" w14:textId="77777777" w:rsidR="004171F4" w:rsidRPr="00BB0D9C" w:rsidRDefault="004171F4" w:rsidP="004171F4">
      <w:pPr>
        <w:pStyle w:val="Heading3"/>
      </w:pPr>
      <w:r w:rsidRPr="00BB0D9C">
        <w:t xml:space="preserve">Progreso desde la </w:t>
      </w:r>
      <w:r w:rsidR="004B575C" w:rsidRPr="00BB0D9C">
        <w:t>primera v</w:t>
      </w:r>
      <w:r w:rsidRPr="00BB0D9C">
        <w:t>alidación</w:t>
      </w:r>
    </w:p>
    <w:p w14:paraId="143BFE67" w14:textId="77777777" w:rsidR="00535A4F" w:rsidRPr="00BB0D9C" w:rsidRDefault="00491859" w:rsidP="00491859">
      <w:pPr>
        <w:spacing w:before="120"/>
        <w:rPr>
          <w:rFonts w:cstheme="majorHAnsi"/>
          <w:szCs w:val="22"/>
        </w:rPr>
      </w:pPr>
      <w:r w:rsidRPr="00BB0D9C">
        <w:t xml:space="preserve">El </w:t>
      </w:r>
      <w:r w:rsidR="00BD19F3" w:rsidRPr="00BB0D9C">
        <w:t xml:space="preserve">informe anual de progreso </w:t>
      </w:r>
      <w:r w:rsidRPr="00BB0D9C">
        <w:t xml:space="preserve">2018 documenta la labor del GMP orientada a desarrollar una estrategia de comunicación para difundir las conclusiones pertinentes al EITI, mantener una comunicación efectiva, y contribuir al debate público. Las siguientes fueron algunas de las actividades del GMP para mejorar sus iniciativas de comunicación en el período 2018-2019: </w:t>
      </w:r>
    </w:p>
    <w:p w14:paraId="5C9B801F" w14:textId="77777777" w:rsidR="00882FCF" w:rsidRPr="00BB0D9C" w:rsidRDefault="00535A4F" w:rsidP="00C6334E">
      <w:pPr>
        <w:pStyle w:val="ListParagraph"/>
        <w:numPr>
          <w:ilvl w:val="0"/>
          <w:numId w:val="39"/>
        </w:numPr>
        <w:spacing w:before="120" w:after="120"/>
        <w:rPr>
          <w:rFonts w:cstheme="majorHAnsi"/>
          <w:szCs w:val="22"/>
        </w:rPr>
      </w:pPr>
      <w:r w:rsidRPr="00BB0D9C">
        <w:t>Entre el 11 y 18 de marzo de 2018, durante la celebración de la semana de gobierno abierto en la Universidad Nacional Autónoma (UNAH), EITI Honduras coordinó un panel sobre “Claridad y transparencia” en el que participaron representantes de los tres grupos constituyentes. El foro contó con la asistencia de un gran número de estudiantes de las universidades UNAH y UJCV.</w:t>
      </w:r>
    </w:p>
    <w:p w14:paraId="548F02C5" w14:textId="462E4B88" w:rsidR="00A47077" w:rsidRPr="00BB0D9C" w:rsidRDefault="00A26CEA" w:rsidP="00C6334E">
      <w:pPr>
        <w:pStyle w:val="ListParagraph"/>
        <w:numPr>
          <w:ilvl w:val="0"/>
          <w:numId w:val="39"/>
        </w:numPr>
        <w:spacing w:before="120" w:after="120"/>
        <w:rPr>
          <w:rFonts w:cstheme="majorHAnsi"/>
          <w:szCs w:val="22"/>
        </w:rPr>
      </w:pPr>
      <w:r w:rsidRPr="00BB0D9C">
        <w:t xml:space="preserve">El 19 de julio de 2018, durante el 4.º Congreso Internacional de Minería y Geología en Honduras, el </w:t>
      </w:r>
      <w:r w:rsidR="000132C6">
        <w:t>campeón político</w:t>
      </w:r>
      <w:r w:rsidRPr="00BB0D9C">
        <w:t xml:space="preserve"> del EITI, López Contreras, participó en dos eventos para la difusión de datos de los informes EITI</w:t>
      </w:r>
      <w:r w:rsidRPr="00BB0D9C">
        <w:rPr>
          <w:rStyle w:val="FootnoteReference"/>
          <w:szCs w:val="22"/>
        </w:rPr>
        <w:footnoteReference w:id="88"/>
      </w:r>
      <w:r w:rsidR="00862B53" w:rsidRPr="00BB0D9C">
        <w:t>.</w:t>
      </w:r>
    </w:p>
    <w:p w14:paraId="0D6A33C9" w14:textId="77777777" w:rsidR="00535A4F" w:rsidRPr="00BB0D9C" w:rsidRDefault="00535A4F" w:rsidP="00C6334E">
      <w:pPr>
        <w:pStyle w:val="ListParagraph"/>
        <w:numPr>
          <w:ilvl w:val="0"/>
          <w:numId w:val="39"/>
        </w:numPr>
        <w:spacing w:before="120" w:after="120"/>
        <w:rPr>
          <w:rFonts w:cstheme="majorHAnsi"/>
          <w:szCs w:val="22"/>
        </w:rPr>
      </w:pPr>
      <w:r w:rsidRPr="00BB0D9C">
        <w:t>Los días 29 y 30 de noviembre de 2018, el GMP, en consonancia con su plan de trabajo, llevó a cabo un congreso nacional para la socialización del Informe EITI 2015-2016 y un diálogo de la sociedad civil acerca del sector extractivo. La Conferencia Nacional EITI contó con la participación de representantes del INHGEOMIN, el Ministerio de Ambiente, el SAR, distintos municipios, organizaciones de la sociedad civil, la ANAMIMH y el Secretariado Nacional. El evento de las organizaciones de la sociedad civil incluyó una serie de conferencias relacionadas con las actividades de minería metálica y no metálica, su condición legal y otras cuestiones asociadas</w:t>
      </w:r>
      <w:r w:rsidR="00A61F01" w:rsidRPr="00BB0D9C">
        <w:rPr>
          <w:rStyle w:val="FootnoteReference"/>
          <w:szCs w:val="22"/>
        </w:rPr>
        <w:footnoteReference w:id="89"/>
      </w:r>
      <w:r w:rsidR="00A3610E" w:rsidRPr="00BB0D9C">
        <w:t>.</w:t>
      </w:r>
    </w:p>
    <w:p w14:paraId="3E514EEE" w14:textId="77777777" w:rsidR="00535A4F" w:rsidRPr="00BB0D9C" w:rsidRDefault="00C83255" w:rsidP="00535A4F">
      <w:pPr>
        <w:pStyle w:val="ListParagraph"/>
        <w:numPr>
          <w:ilvl w:val="0"/>
          <w:numId w:val="39"/>
        </w:numPr>
        <w:spacing w:before="120" w:after="120"/>
        <w:rPr>
          <w:rFonts w:cstheme="majorHAnsi"/>
          <w:szCs w:val="22"/>
        </w:rPr>
      </w:pPr>
      <w:r w:rsidRPr="00BB0D9C">
        <w:t xml:space="preserve">Actividades de comunicación y coordinación dirigidas a las autoridades municipales de las principales comunidades mineras de Honduras, en el marco de la Asociación de Municipios de Honduras (AMHON). La participación de 17 alcaldes municipales ayudó a difundir el Informe EITI. </w:t>
      </w:r>
    </w:p>
    <w:p w14:paraId="504DE10B" w14:textId="77777777" w:rsidR="004B575C" w:rsidRPr="00BB0D9C" w:rsidRDefault="004B575C" w:rsidP="004B575C">
      <w:pPr>
        <w:pStyle w:val="ListParagraph"/>
        <w:numPr>
          <w:ilvl w:val="0"/>
          <w:numId w:val="39"/>
        </w:numPr>
        <w:spacing w:before="120" w:after="120"/>
        <w:rPr>
          <w:rFonts w:cstheme="majorHAnsi"/>
          <w:szCs w:val="22"/>
        </w:rPr>
      </w:pPr>
      <w:r w:rsidRPr="00BB0D9C">
        <w:rPr>
          <w:rFonts w:cstheme="majorHAnsi"/>
          <w:szCs w:val="22"/>
        </w:rPr>
        <w:t xml:space="preserve">Tanto durante el Congreso Nacional para el debate del Informe EITI de 2015-2016 como en el Diálogo de la Sociedad Civil sobre Minería en Honduras, los participantes recibieron una copia digital del informe y otros documentos del EITI impresos. </w:t>
      </w:r>
    </w:p>
    <w:p w14:paraId="56BF4201" w14:textId="77777777" w:rsidR="004B575C" w:rsidRPr="00BB0D9C" w:rsidRDefault="004B575C" w:rsidP="004B575C">
      <w:pPr>
        <w:pStyle w:val="ListParagraph"/>
        <w:numPr>
          <w:ilvl w:val="0"/>
          <w:numId w:val="39"/>
        </w:numPr>
        <w:spacing w:before="120" w:after="120"/>
        <w:rPr>
          <w:rFonts w:cstheme="majorHAnsi"/>
          <w:szCs w:val="22"/>
        </w:rPr>
      </w:pPr>
      <w:r w:rsidRPr="00BB0D9C">
        <w:rPr>
          <w:rFonts w:cstheme="majorHAnsi"/>
          <w:szCs w:val="22"/>
        </w:rPr>
        <w:t xml:space="preserve">El trabajo del grupo de </w:t>
      </w:r>
      <w:proofErr w:type="spellStart"/>
      <w:r w:rsidRPr="00BB0D9C">
        <w:rPr>
          <w:rFonts w:cstheme="majorHAnsi"/>
          <w:szCs w:val="22"/>
        </w:rPr>
        <w:t>multipartícipes</w:t>
      </w:r>
      <w:proofErr w:type="spellEnd"/>
      <w:r w:rsidRPr="00BB0D9C">
        <w:rPr>
          <w:rFonts w:cstheme="majorHAnsi"/>
          <w:szCs w:val="22"/>
        </w:rPr>
        <w:t xml:space="preserve"> en términos de comunicaciones había estado centrado en medidas referidas a elementos específicos de difusión hasta la fecha, que en su mayoría </w:t>
      </w:r>
      <w:r w:rsidR="00D015A1" w:rsidRPr="00BB0D9C">
        <w:rPr>
          <w:rFonts w:cstheme="majorHAnsi"/>
          <w:szCs w:val="22"/>
        </w:rPr>
        <w:t>presentaban</w:t>
      </w:r>
      <w:r w:rsidRPr="00BB0D9C">
        <w:rPr>
          <w:rFonts w:cstheme="majorHAnsi"/>
          <w:szCs w:val="22"/>
        </w:rPr>
        <w:t xml:space="preserve"> el informe en eventos específicos y acompañando estos lanzamientos con discursos de distintos miembros del grupo de </w:t>
      </w:r>
      <w:proofErr w:type="spellStart"/>
      <w:r w:rsidRPr="00BB0D9C">
        <w:rPr>
          <w:rFonts w:cstheme="majorHAnsi"/>
          <w:szCs w:val="22"/>
        </w:rPr>
        <w:t>multipartícipes</w:t>
      </w:r>
      <w:proofErr w:type="spellEnd"/>
      <w:r w:rsidRPr="00BB0D9C">
        <w:rPr>
          <w:rFonts w:cstheme="majorHAnsi"/>
          <w:szCs w:val="22"/>
        </w:rPr>
        <w:t>.</w:t>
      </w:r>
    </w:p>
    <w:p w14:paraId="0254067F" w14:textId="77777777" w:rsidR="00535A4F" w:rsidRPr="00BB0D9C" w:rsidRDefault="00491859" w:rsidP="00535A4F">
      <w:pPr>
        <w:spacing w:before="120"/>
        <w:rPr>
          <w:rFonts w:cstheme="majorHAnsi"/>
          <w:szCs w:val="22"/>
        </w:rPr>
      </w:pPr>
      <w:r w:rsidRPr="00BB0D9C">
        <w:t xml:space="preserve">Con respecto al Informe EITI 2015-2016, el GMP omitió publicarlo formalmente en el sitio web de EITI Honduras. </w:t>
      </w:r>
      <w:r w:rsidR="00B01E2E" w:rsidRPr="00BB0D9C">
        <w:t>E</w:t>
      </w:r>
      <w:r w:rsidRPr="00BB0D9C">
        <w:t>sto tiene su origen en el hecho de que, si bien la Unión Europea (UE) había aprobado un servicio de consultoría para desarrollar un nuevo sitio web y plataforma de EITI Honduras, el acuerdo todavía no se había implementado cuando comenzó la Validación. Como solución provisoria, el GMP se aseguró de que el informe se publicara en los sitios web de sus socios, entre ellos, el Instituto de Acceso a la Información Pública (IAIP), la Secretaría de Coordinación General de Gobierno (SCGG), el Instituto Hondureño de Geología y Minas (INHGEOMIN), la Federación de Organizaciones No Gubernamentales para el Desarrollo de Honduras (FOPRIDEH), la Universidad José Cecilio del Valle (UJCV), el Consejo Hondureño de la Empresa Privada (COHEP) y la Asociación Nacional de Minería Metálica de Honduras (ANAMIMH).</w:t>
      </w:r>
    </w:p>
    <w:p w14:paraId="6C89D95A" w14:textId="77777777" w:rsidR="00491859" w:rsidRPr="00BB0D9C" w:rsidRDefault="00491859" w:rsidP="00535A4F">
      <w:pPr>
        <w:spacing w:before="120"/>
        <w:rPr>
          <w:rFonts w:cstheme="majorHAnsi"/>
          <w:szCs w:val="22"/>
        </w:rPr>
      </w:pPr>
      <w:r w:rsidRPr="00BB0D9C">
        <w:t>Cuando comenzó la Validación, el sitio web de EITI Honduras no estaba en funcionamiento, y muchos de los documentos generados por EITI Honduras solo se habían publicado en el sitio web del IAIP. Dada la amplia variedad de información y documentos disponibles en el portal del IAIP</w:t>
      </w:r>
      <w:r w:rsidRPr="00BB0D9C">
        <w:rPr>
          <w:rStyle w:val="FootnoteReference"/>
          <w:szCs w:val="22"/>
        </w:rPr>
        <w:footnoteReference w:id="90"/>
      </w:r>
      <w:r w:rsidRPr="00BB0D9C">
        <w:t xml:space="preserve">, los documentos relativos al EITI no parecen ser de fácil acceso para el usuario y hace falta utilizar filtros específicos en la función de búsqueda. Por otra parte, ocasionalmente la función de búsqueda del sitio web del IAIP ha presentado problemas técnicos, lo cual ha dificultado el acceso a los documentos relativos al EITI y su consulta. </w:t>
      </w:r>
    </w:p>
    <w:p w14:paraId="7F6439C5" w14:textId="77777777" w:rsidR="0015495E" w:rsidRPr="00BB0D9C" w:rsidRDefault="00491859" w:rsidP="0015495E">
      <w:pPr>
        <w:spacing w:before="120"/>
        <w:rPr>
          <w:rFonts w:cstheme="majorHAnsi"/>
          <w:szCs w:val="22"/>
        </w:rPr>
      </w:pPr>
      <w:r w:rsidRPr="00BB0D9C">
        <w:t xml:space="preserve">Como consta en las actas de reunión del </w:t>
      </w:r>
      <w:r w:rsidR="0015495E" w:rsidRPr="00BB0D9C">
        <w:t xml:space="preserve">grupo de </w:t>
      </w:r>
      <w:proofErr w:type="spellStart"/>
      <w:r w:rsidR="0015495E" w:rsidRPr="00BB0D9C">
        <w:t>multipartícipes</w:t>
      </w:r>
      <w:proofErr w:type="spellEnd"/>
      <w:r w:rsidRPr="00BB0D9C">
        <w:t xml:space="preserve"> de septiembre de 2018, la SCGG acordó con la UE la contratación de </w:t>
      </w:r>
      <w:r w:rsidR="0015495E" w:rsidRPr="00BB0D9C">
        <w:t>contratistas para varias tareas</w:t>
      </w:r>
      <w:r w:rsidRPr="00BB0D9C">
        <w:t xml:space="preserve">, incluida la asistencia en el diseño, construcción y lanzamiento del sitio web de EITI Honduras. </w:t>
      </w:r>
      <w:r w:rsidR="0015495E" w:rsidRPr="00BB0D9C">
        <w:t>La página web del</w:t>
      </w:r>
      <w:r w:rsidR="0015495E" w:rsidRPr="00BB0D9C">
        <w:rPr>
          <w:rFonts w:cstheme="majorHAnsi"/>
          <w:szCs w:val="22"/>
        </w:rPr>
        <w:t xml:space="preserve"> EITI, que finalmente se completó a principios de 2020, permite acceder a información sobre regalías, impuestos y producción, así como miembros del grupo de </w:t>
      </w:r>
      <w:proofErr w:type="spellStart"/>
      <w:r w:rsidR="0015495E" w:rsidRPr="00BB0D9C">
        <w:rPr>
          <w:rFonts w:cstheme="majorHAnsi"/>
          <w:szCs w:val="22"/>
        </w:rPr>
        <w:t>multipartícipes</w:t>
      </w:r>
      <w:proofErr w:type="spellEnd"/>
      <w:r w:rsidR="0015495E" w:rsidRPr="00BB0D9C">
        <w:rPr>
          <w:rFonts w:cstheme="majorHAnsi"/>
          <w:szCs w:val="22"/>
        </w:rPr>
        <w:t>, Informes EITI y noticias relevantes sobre el sector extractivo</w:t>
      </w:r>
      <w:r w:rsidR="0015495E" w:rsidRPr="00BB0D9C">
        <w:rPr>
          <w:rStyle w:val="FootnoteReference"/>
          <w:szCs w:val="22"/>
        </w:rPr>
        <w:footnoteReference w:id="91"/>
      </w:r>
      <w:r w:rsidR="0015495E" w:rsidRPr="00BB0D9C">
        <w:rPr>
          <w:rFonts w:cstheme="majorHAnsi"/>
          <w:szCs w:val="22"/>
        </w:rPr>
        <w:t>.</w:t>
      </w:r>
    </w:p>
    <w:p w14:paraId="430936DF" w14:textId="77777777" w:rsidR="0015495E" w:rsidRPr="00BB0D9C" w:rsidRDefault="0015495E" w:rsidP="0015495E">
      <w:pPr>
        <w:spacing w:before="120"/>
        <w:rPr>
          <w:rFonts w:cstheme="majorHAnsi"/>
          <w:szCs w:val="22"/>
        </w:rPr>
      </w:pPr>
      <w:r w:rsidRPr="00BB0D9C">
        <w:rPr>
          <w:rFonts w:cstheme="majorHAnsi"/>
          <w:szCs w:val="22"/>
        </w:rPr>
        <w:t>Después del comienzo de la segunda validación, Honduras publicó el Informe EITI de 2017-2018, que indica que la política de datos abiertos del EITI sigue la política abierta general aplicada por el IAIP (p. 96).</w:t>
      </w:r>
    </w:p>
    <w:p w14:paraId="538AF00A" w14:textId="77777777" w:rsidR="0015495E" w:rsidRPr="00BB0D9C" w:rsidRDefault="0015495E" w:rsidP="0015495E">
      <w:pPr>
        <w:spacing w:before="120" w:line="276" w:lineRule="auto"/>
        <w:rPr>
          <w:rFonts w:cstheme="majorHAnsi"/>
          <w:szCs w:val="22"/>
        </w:rPr>
      </w:pPr>
      <w:r w:rsidRPr="00BB0D9C">
        <w:rPr>
          <w:rFonts w:cstheme="majorHAnsi"/>
          <w:szCs w:val="22"/>
        </w:rPr>
        <w:t xml:space="preserve">Hay pruebas del uso de datos del </w:t>
      </w:r>
      <w:r w:rsidRPr="00BB0D9C">
        <w:t xml:space="preserve">EITI por parte de distintas partes interesadas y de la contribución de los datos del EITI al debate público. El EITI ha servido como un foro para hacer surgir consciencia en organismos gubernamentales con respecto, por ejemplo, al conflicto de la mina de MINOSA con la comunidad de Azacaya. El EITI Honduras ha coordinado con AGA Honduras para abordar cuestiones como las vulnerabilidades en el ámbito local en las comunidades extractivas. </w:t>
      </w:r>
      <w:r w:rsidR="00374544" w:rsidRPr="00BB0D9C">
        <w:t xml:space="preserve">Por ejemplo, estas cuestiones </w:t>
      </w:r>
      <w:r w:rsidR="00EB4DBE" w:rsidRPr="00BB0D9C">
        <w:t>se</w:t>
      </w:r>
      <w:r w:rsidR="00374544" w:rsidRPr="00BB0D9C">
        <w:t xml:space="preserve"> han incluido en el Plan Nacional de Cambio Climático y el Plan de Acción de Gobierno Abierto</w:t>
      </w:r>
      <w:r w:rsidRPr="00BB0D9C">
        <w:t xml:space="preserve"> (PAGAH) 2016-2018</w:t>
      </w:r>
      <w:r w:rsidRPr="00BB0D9C">
        <w:rPr>
          <w:rStyle w:val="FootnoteReference"/>
        </w:rPr>
        <w:footnoteReference w:id="92"/>
      </w:r>
      <w:r w:rsidRPr="00BB0D9C">
        <w:t xml:space="preserve">. </w:t>
      </w:r>
      <w:r w:rsidR="00374544" w:rsidRPr="00BB0D9C">
        <w:t>Se prepararon datos resumidos del Informe EITI de</w:t>
      </w:r>
      <w:r w:rsidRPr="00BB0D9C">
        <w:rPr>
          <w:rFonts w:cstheme="majorHAnsi"/>
          <w:szCs w:val="22"/>
        </w:rPr>
        <w:t xml:space="preserve"> 2015-2016 </w:t>
      </w:r>
      <w:r w:rsidR="00374544" w:rsidRPr="00BB0D9C">
        <w:rPr>
          <w:rFonts w:cstheme="majorHAnsi"/>
          <w:szCs w:val="22"/>
        </w:rPr>
        <w:t xml:space="preserve">en formato de datos abiertos y se presentó al Secretariado Internacional en febrero de </w:t>
      </w:r>
      <w:r w:rsidRPr="00BB0D9C">
        <w:rPr>
          <w:rFonts w:cstheme="majorHAnsi"/>
          <w:szCs w:val="22"/>
        </w:rPr>
        <w:t>2019, a</w:t>
      </w:r>
      <w:r w:rsidR="00374544" w:rsidRPr="00BB0D9C">
        <w:rPr>
          <w:rFonts w:cstheme="majorHAnsi"/>
          <w:szCs w:val="22"/>
        </w:rPr>
        <w:t xml:space="preserve"> pesar de que todavía no se han publicado en línea</w:t>
      </w:r>
      <w:r w:rsidRPr="00BB0D9C">
        <w:rPr>
          <w:rFonts w:cstheme="majorHAnsi"/>
          <w:szCs w:val="22"/>
        </w:rPr>
        <w:t xml:space="preserve">. </w:t>
      </w:r>
      <w:r w:rsidR="00374544" w:rsidRPr="00BB0D9C">
        <w:rPr>
          <w:rFonts w:cstheme="majorHAnsi"/>
          <w:szCs w:val="22"/>
        </w:rPr>
        <w:t xml:space="preserve">Las solicitudes de aclaraciones del Secretariado Internacional con respecto a los datos resumidos en borrador no han sido abordadas por </w:t>
      </w:r>
      <w:r w:rsidRPr="00BB0D9C">
        <w:rPr>
          <w:rFonts w:cstheme="majorHAnsi"/>
          <w:szCs w:val="22"/>
        </w:rPr>
        <w:t xml:space="preserve">EITI Honduras </w:t>
      </w:r>
      <w:r w:rsidR="00374544" w:rsidRPr="00BB0D9C">
        <w:rPr>
          <w:rFonts w:cstheme="majorHAnsi"/>
          <w:szCs w:val="22"/>
        </w:rPr>
        <w:t>hasta la fecha</w:t>
      </w:r>
      <w:r w:rsidRPr="00BB0D9C">
        <w:rPr>
          <w:rFonts w:cstheme="majorHAnsi"/>
          <w:szCs w:val="22"/>
        </w:rPr>
        <w:t xml:space="preserve">. </w:t>
      </w:r>
    </w:p>
    <w:p w14:paraId="1427801C" w14:textId="77777777" w:rsidR="0015495E" w:rsidRPr="00BB0D9C" w:rsidRDefault="0015495E" w:rsidP="0015495E">
      <w:pPr>
        <w:spacing w:before="120" w:line="276" w:lineRule="auto"/>
        <w:rPr>
          <w:rFonts w:cstheme="majorHAnsi"/>
          <w:szCs w:val="22"/>
        </w:rPr>
      </w:pPr>
      <w:r w:rsidRPr="00BB0D9C">
        <w:rPr>
          <w:rFonts w:cstheme="majorHAnsi"/>
          <w:szCs w:val="22"/>
        </w:rPr>
        <w:t>Dur</w:t>
      </w:r>
      <w:r w:rsidR="00374544" w:rsidRPr="00BB0D9C">
        <w:rPr>
          <w:rFonts w:cstheme="majorHAnsi"/>
          <w:szCs w:val="22"/>
        </w:rPr>
        <w:t>ante</w:t>
      </w:r>
      <w:r w:rsidRPr="00BB0D9C">
        <w:rPr>
          <w:rFonts w:cstheme="majorHAnsi"/>
          <w:szCs w:val="22"/>
        </w:rPr>
        <w:t xml:space="preserve"> 2019, </w:t>
      </w:r>
      <w:r w:rsidR="00B20189" w:rsidRPr="00BB0D9C">
        <w:rPr>
          <w:rFonts w:cstheme="majorHAnsi"/>
          <w:szCs w:val="22"/>
        </w:rPr>
        <w:t xml:space="preserve">organizaciones de la sociedad civil como OXFAM, FOSDEH y la Universidad Autónoma de Honduras publicaron dos informes que extraen datos del </w:t>
      </w:r>
      <w:r w:rsidRPr="00BB0D9C">
        <w:rPr>
          <w:rFonts w:cstheme="majorHAnsi"/>
          <w:szCs w:val="22"/>
        </w:rPr>
        <w:t xml:space="preserve">EITI. </w:t>
      </w:r>
      <w:r w:rsidR="00B20189" w:rsidRPr="00BB0D9C">
        <w:rPr>
          <w:rFonts w:cstheme="majorHAnsi"/>
          <w:szCs w:val="22"/>
        </w:rPr>
        <w:t xml:space="preserve">Estas publicaciones usan no solo datos reunidos a través del </w:t>
      </w:r>
      <w:r w:rsidRPr="00BB0D9C">
        <w:rPr>
          <w:rFonts w:cstheme="majorHAnsi"/>
          <w:szCs w:val="22"/>
        </w:rPr>
        <w:t>EITI</w:t>
      </w:r>
      <w:r w:rsidR="00B20189" w:rsidRPr="00BB0D9C">
        <w:rPr>
          <w:rFonts w:cstheme="majorHAnsi"/>
          <w:szCs w:val="22"/>
        </w:rPr>
        <w:t xml:space="preserve"> sino, además, la función del </w:t>
      </w:r>
      <w:r w:rsidRPr="00BB0D9C">
        <w:rPr>
          <w:rFonts w:cstheme="majorHAnsi"/>
          <w:szCs w:val="22"/>
        </w:rPr>
        <w:t xml:space="preserve">EITI </w:t>
      </w:r>
      <w:r w:rsidR="00B20189" w:rsidRPr="00BB0D9C">
        <w:rPr>
          <w:rFonts w:cstheme="majorHAnsi"/>
          <w:szCs w:val="22"/>
        </w:rPr>
        <w:t>en el fortalecimiento de la transparencia en las industrias extractivas de</w:t>
      </w:r>
      <w:r w:rsidRPr="00BB0D9C">
        <w:rPr>
          <w:rFonts w:cstheme="majorHAnsi"/>
          <w:szCs w:val="22"/>
        </w:rPr>
        <w:t xml:space="preserve"> Honduras</w:t>
      </w:r>
      <w:r w:rsidRPr="00BB0D9C">
        <w:rPr>
          <w:rStyle w:val="FootnoteReference"/>
          <w:szCs w:val="22"/>
        </w:rPr>
        <w:footnoteReference w:id="93"/>
      </w:r>
      <w:r w:rsidR="00B20189" w:rsidRPr="00BB0D9C">
        <w:rPr>
          <w:rFonts w:cstheme="majorHAnsi"/>
          <w:szCs w:val="22"/>
        </w:rPr>
        <w:t xml:space="preserve">. </w:t>
      </w:r>
      <w:r w:rsidRPr="00BB0D9C">
        <w:rPr>
          <w:rFonts w:cstheme="majorHAnsi"/>
          <w:szCs w:val="22"/>
        </w:rPr>
        <w:t>T</w:t>
      </w:r>
      <w:r w:rsidR="00B20189" w:rsidRPr="00BB0D9C">
        <w:rPr>
          <w:rFonts w:cstheme="majorHAnsi"/>
          <w:szCs w:val="22"/>
        </w:rPr>
        <w:t>ambién abordan dificultades que está enfrentando el sector en el país</w:t>
      </w:r>
      <w:r w:rsidRPr="00BB0D9C">
        <w:rPr>
          <w:rStyle w:val="FootnoteReference"/>
          <w:szCs w:val="22"/>
        </w:rPr>
        <w:footnoteReference w:id="94"/>
      </w:r>
      <w:r w:rsidR="000E63AC" w:rsidRPr="00BB0D9C">
        <w:rPr>
          <w:rFonts w:cstheme="majorHAnsi"/>
          <w:szCs w:val="22"/>
        </w:rPr>
        <w:t>.</w:t>
      </w:r>
    </w:p>
    <w:p w14:paraId="4A6A68CB" w14:textId="77777777" w:rsidR="00C83255" w:rsidRPr="00BB0D9C" w:rsidRDefault="000E63AC" w:rsidP="0015495E">
      <w:pPr>
        <w:spacing w:before="120" w:line="276" w:lineRule="auto"/>
        <w:rPr>
          <w:b/>
          <w:color w:val="1F497D" w:themeColor="text2"/>
          <w:szCs w:val="22"/>
        </w:rPr>
      </w:pPr>
      <w:r w:rsidRPr="00BB0D9C">
        <w:rPr>
          <w:rFonts w:cstheme="majorHAnsi"/>
          <w:szCs w:val="22"/>
        </w:rPr>
        <w:t xml:space="preserve">Las organizaciones de la sociedad civil consultadas que no forman parte del proceso </w:t>
      </w:r>
      <w:proofErr w:type="gramStart"/>
      <w:r w:rsidR="0015495E" w:rsidRPr="00BB0D9C">
        <w:rPr>
          <w:rFonts w:cstheme="majorHAnsi"/>
          <w:szCs w:val="22"/>
        </w:rPr>
        <w:t>EITI</w:t>
      </w:r>
      <w:proofErr w:type="gramEnd"/>
      <w:r w:rsidR="0015495E" w:rsidRPr="00BB0D9C">
        <w:rPr>
          <w:rFonts w:cstheme="majorHAnsi"/>
          <w:szCs w:val="22"/>
        </w:rPr>
        <w:t xml:space="preserve"> </w:t>
      </w:r>
      <w:r w:rsidRPr="00BB0D9C">
        <w:rPr>
          <w:rFonts w:cstheme="majorHAnsi"/>
          <w:szCs w:val="22"/>
        </w:rPr>
        <w:t xml:space="preserve">pero trabajan con cuestiones relacionadas con la minería expresaron ciertas preocupaciones respecto de la falta de comunicación con el </w:t>
      </w:r>
      <w:r w:rsidR="0015495E" w:rsidRPr="00BB0D9C">
        <w:rPr>
          <w:rFonts w:cstheme="majorHAnsi"/>
          <w:szCs w:val="22"/>
        </w:rPr>
        <w:t xml:space="preserve">EITI </w:t>
      </w:r>
      <w:r w:rsidRPr="00BB0D9C">
        <w:rPr>
          <w:rFonts w:cstheme="majorHAnsi"/>
          <w:szCs w:val="22"/>
        </w:rPr>
        <w:t>en las áreas donde están ubicados los proyectos</w:t>
      </w:r>
      <w:r w:rsidR="0015495E" w:rsidRPr="00BB0D9C">
        <w:rPr>
          <w:rFonts w:cstheme="majorHAnsi"/>
          <w:szCs w:val="22"/>
        </w:rPr>
        <w:t>.</w:t>
      </w:r>
      <w:r w:rsidRPr="00BB0D9C">
        <w:rPr>
          <w:rFonts w:cstheme="majorHAnsi"/>
          <w:szCs w:val="22"/>
        </w:rPr>
        <w:t xml:space="preserve"> La mayoría de las partes interesadas destacó que una estrategia de comunicación más sólida, que incluya un trabajo analítico y mejores vinculaciones con estudios de otras </w:t>
      </w:r>
      <w:r w:rsidR="0015495E" w:rsidRPr="00BB0D9C">
        <w:rPr>
          <w:rFonts w:cstheme="majorHAnsi"/>
          <w:szCs w:val="22"/>
        </w:rPr>
        <w:t>organi</w:t>
      </w:r>
      <w:r w:rsidRPr="00BB0D9C">
        <w:rPr>
          <w:rFonts w:cstheme="majorHAnsi"/>
          <w:szCs w:val="22"/>
        </w:rPr>
        <w:t>zaciones, requeriría</w:t>
      </w:r>
      <w:r w:rsidR="0015495E" w:rsidRPr="00BB0D9C">
        <w:rPr>
          <w:rFonts w:cstheme="majorHAnsi"/>
          <w:szCs w:val="22"/>
        </w:rPr>
        <w:t xml:space="preserve"> m</w:t>
      </w:r>
      <w:r w:rsidRPr="00BB0D9C">
        <w:rPr>
          <w:rFonts w:cstheme="majorHAnsi"/>
          <w:szCs w:val="22"/>
        </w:rPr>
        <w:t>ás</w:t>
      </w:r>
      <w:r w:rsidR="0015495E" w:rsidRPr="00BB0D9C">
        <w:rPr>
          <w:rFonts w:cstheme="majorHAnsi"/>
          <w:szCs w:val="22"/>
        </w:rPr>
        <w:t xml:space="preserve"> re</w:t>
      </w:r>
      <w:r w:rsidRPr="00BB0D9C">
        <w:rPr>
          <w:rFonts w:cstheme="majorHAnsi"/>
          <w:szCs w:val="22"/>
        </w:rPr>
        <w:t>cursos para la implementación del EITI</w:t>
      </w:r>
      <w:r w:rsidR="0015495E" w:rsidRPr="00BB0D9C">
        <w:rPr>
          <w:rFonts w:cstheme="majorHAnsi"/>
          <w:szCs w:val="22"/>
        </w:rPr>
        <w:t>.</w:t>
      </w:r>
    </w:p>
    <w:p w14:paraId="6F431D8B" w14:textId="77777777" w:rsidR="004171F4" w:rsidRPr="00BB0D9C" w:rsidRDefault="004171F4" w:rsidP="004171F4">
      <w:pPr>
        <w:pStyle w:val="Heading3"/>
      </w:pPr>
      <w:r w:rsidRPr="00BB0D9C">
        <w:t>Evaluación del Secretariado</w:t>
      </w:r>
    </w:p>
    <w:p w14:paraId="7CD1499D" w14:textId="77777777" w:rsidR="000E63AC" w:rsidRPr="00BB0D9C" w:rsidRDefault="000E63AC" w:rsidP="008A3A33">
      <w:pPr>
        <w:spacing w:before="100" w:beforeAutospacing="1" w:after="100" w:afterAutospacing="1"/>
      </w:pPr>
      <w:r w:rsidRPr="00BB0D9C">
        <w:rPr>
          <w:szCs w:val="22"/>
          <w:u w:val="single"/>
        </w:rPr>
        <w:t>Al comienzo de la segunda validación, la</w:t>
      </w:r>
      <w:r w:rsidR="004171F4" w:rsidRPr="00BB0D9C">
        <w:rPr>
          <w:szCs w:val="22"/>
          <w:u w:val="single"/>
        </w:rPr>
        <w:t xml:space="preserve"> evaluación del Secretariado Internacional es que Honduras no ha</w:t>
      </w:r>
      <w:r w:rsidRPr="00BB0D9C">
        <w:rPr>
          <w:szCs w:val="22"/>
          <w:u w:val="single"/>
        </w:rPr>
        <w:t>bía</w:t>
      </w:r>
      <w:r w:rsidR="004171F4" w:rsidRPr="00BB0D9C">
        <w:rPr>
          <w:szCs w:val="22"/>
          <w:u w:val="single"/>
        </w:rPr>
        <w:t xml:space="preserve"> abordado la medida correctiva y ha</w:t>
      </w:r>
      <w:r w:rsidRPr="00BB0D9C">
        <w:rPr>
          <w:szCs w:val="22"/>
          <w:u w:val="single"/>
        </w:rPr>
        <w:t>bía</w:t>
      </w:r>
      <w:r w:rsidR="004171F4" w:rsidRPr="00BB0D9C">
        <w:rPr>
          <w:szCs w:val="22"/>
          <w:u w:val="single"/>
        </w:rPr>
        <w:t xml:space="preserve"> tenido un progreso in</w:t>
      </w:r>
      <w:r w:rsidRPr="00BB0D9C">
        <w:rPr>
          <w:szCs w:val="22"/>
          <w:u w:val="single"/>
        </w:rPr>
        <w:t>adecuado</w:t>
      </w:r>
      <w:r w:rsidR="004171F4" w:rsidRPr="00BB0D9C">
        <w:rPr>
          <w:szCs w:val="22"/>
          <w:u w:val="single"/>
        </w:rPr>
        <w:t xml:space="preserve"> en lo que respecta al </w:t>
      </w:r>
      <w:r w:rsidRPr="00BB0D9C">
        <w:rPr>
          <w:szCs w:val="22"/>
          <w:u w:val="single"/>
        </w:rPr>
        <w:t>r</w:t>
      </w:r>
      <w:r w:rsidR="004171F4" w:rsidRPr="00BB0D9C">
        <w:rPr>
          <w:szCs w:val="22"/>
          <w:u w:val="single"/>
        </w:rPr>
        <w:t>equisito 7.1</w:t>
      </w:r>
      <w:r w:rsidRPr="00BB0D9C">
        <w:rPr>
          <w:szCs w:val="22"/>
          <w:u w:val="single"/>
        </w:rPr>
        <w:t>. Sujeto a que el Consejo tenga en cuenta nueva información publicada después del comienzo de la segunda validación, la evaluación del Secretariado es que Honduras ha abordado parcialmente la medida correctiva referida al debate público y ha hecho un progreso significativo hacia el cumplimiento del requisito 7.1</w:t>
      </w:r>
      <w:r w:rsidR="004171F4" w:rsidRPr="00BB0D9C">
        <w:rPr>
          <w:szCs w:val="22"/>
          <w:u w:val="single"/>
        </w:rPr>
        <w:t>.</w:t>
      </w:r>
      <w:r w:rsidR="004171F4" w:rsidRPr="00BB0D9C">
        <w:t xml:space="preserve"> </w:t>
      </w:r>
    </w:p>
    <w:p w14:paraId="04021070" w14:textId="77777777" w:rsidR="004171F4" w:rsidRPr="00BB0D9C" w:rsidRDefault="000E63AC" w:rsidP="008A3A33">
      <w:pPr>
        <w:spacing w:before="100" w:beforeAutospacing="1" w:after="100" w:afterAutospacing="1"/>
        <w:rPr>
          <w:rFonts w:cstheme="majorHAnsi"/>
          <w:szCs w:val="22"/>
        </w:rPr>
      </w:pPr>
      <w:r w:rsidRPr="00BB0D9C">
        <w:t xml:space="preserve">Antes del comienzo de la segunda evaluación, el grupo de </w:t>
      </w:r>
      <w:proofErr w:type="spellStart"/>
      <w:r w:rsidRPr="00BB0D9C">
        <w:t>multipartícipes</w:t>
      </w:r>
      <w:proofErr w:type="spellEnd"/>
      <w:r w:rsidRPr="00BB0D9C">
        <w:t xml:space="preserve"> había emprendido actividades de </w:t>
      </w:r>
      <w:r w:rsidR="004171F4" w:rsidRPr="00BB0D9C">
        <w:t>sensibilización para generar con</w:t>
      </w:r>
      <w:r w:rsidRPr="00BB0D9C">
        <w:t>s</w:t>
      </w:r>
      <w:r w:rsidR="004171F4" w:rsidRPr="00BB0D9C">
        <w:t>ciencia acerca de la implementación del EITI</w:t>
      </w:r>
      <w:r w:rsidRPr="00BB0D9C">
        <w:t xml:space="preserve"> que </w:t>
      </w:r>
      <w:r w:rsidR="004171F4" w:rsidRPr="00BB0D9C">
        <w:t xml:space="preserve">no </w:t>
      </w:r>
      <w:r w:rsidRPr="00BB0D9C">
        <w:t xml:space="preserve">habían sido </w:t>
      </w:r>
      <w:r w:rsidR="004171F4" w:rsidRPr="00BB0D9C">
        <w:t>suficiente</w:t>
      </w:r>
      <w:r w:rsidRPr="00BB0D9C">
        <w:t>s</w:t>
      </w:r>
      <w:r w:rsidR="004171F4" w:rsidRPr="00BB0D9C">
        <w:t xml:space="preserve"> para garantizar que las divulgaciones y conclusiones pertinentes al EITI se comunicaran de manera efectiva ni para que contribuyeran al debate público. </w:t>
      </w:r>
      <w:r w:rsidR="008F1961" w:rsidRPr="00BB0D9C">
        <w:t xml:space="preserve">Sin embargo, la finalización del sitio web del EITI Honduras representa una mejora en este sentido ya que permite que los datos del EITI estén disponibles para el público y. además, ofrece una presentación más fácil de usar. Asimismo, el uso de la plataforma del EITI para debatir el conflicto con MINOSA, la inclusión de cuestiones identificadas por el EITI sobre el compromiso con partes interesadas locales incluidas en los planes de acción de Cambio Nacional Climático y AGA y el uso de datos del EITI en informes independientes producidos por organizaciones de la sociedad civil constituyó una mejora en la contribución del </w:t>
      </w:r>
      <w:r w:rsidR="004171F4" w:rsidRPr="00BB0D9C">
        <w:t>EITI</w:t>
      </w:r>
      <w:r w:rsidR="008F1961" w:rsidRPr="00BB0D9C">
        <w:t xml:space="preserve"> al debate público</w:t>
      </w:r>
      <w:r w:rsidR="004171F4" w:rsidRPr="00BB0D9C">
        <w:t xml:space="preserve">. </w:t>
      </w:r>
    </w:p>
    <w:p w14:paraId="5E3D4AAA" w14:textId="77777777" w:rsidR="001644D4" w:rsidRPr="00BB0D9C" w:rsidRDefault="001644D4" w:rsidP="00115C16">
      <w:pPr>
        <w:spacing w:before="100" w:beforeAutospacing="1" w:after="100" w:afterAutospacing="1"/>
        <w:rPr>
          <w:rFonts w:cstheme="majorHAnsi"/>
          <w:szCs w:val="22"/>
        </w:rPr>
      </w:pPr>
      <w:r w:rsidRPr="00BB0D9C">
        <w:t xml:space="preserve">Conforme al Requisito 7.1, Honduras debería garantizar que los futuros Informes EITI se difundan activamente, se promocionen y contribuyan al debate público, </w:t>
      </w:r>
      <w:r w:rsidR="008F1961" w:rsidRPr="00BB0D9C">
        <w:t>combinando esto</w:t>
      </w:r>
      <w:r w:rsidRPr="00BB0D9C">
        <w:t xml:space="preserve"> con actividades efectivas de sensibilización. Se alienta a Honduras a hacer uso de los fondos disponibles para actividades de difusión y comunicación.</w:t>
      </w:r>
    </w:p>
    <w:p w14:paraId="70663B83" w14:textId="77777777" w:rsidR="004171F4" w:rsidRPr="00BB0D9C" w:rsidRDefault="004171F4" w:rsidP="00247610">
      <w:pPr>
        <w:pStyle w:val="Heading2"/>
        <w:numPr>
          <w:ilvl w:val="1"/>
          <w:numId w:val="43"/>
        </w:numPr>
      </w:pPr>
      <w:bookmarkStart w:id="42" w:name="_Toc45021604"/>
      <w:r w:rsidRPr="00BB0D9C">
        <w:t>Medida correctiva 11: Seguimiento de las recomendaciones (</w:t>
      </w:r>
      <w:proofErr w:type="spellStart"/>
      <w:r w:rsidR="008F1961" w:rsidRPr="00BB0D9C">
        <w:t>n.°</w:t>
      </w:r>
      <w:proofErr w:type="spellEnd"/>
      <w:r w:rsidR="008F1961" w:rsidRPr="00BB0D9C">
        <w:t> </w:t>
      </w:r>
      <w:r w:rsidRPr="00BB0D9C">
        <w:t>7.3)</w:t>
      </w:r>
      <w:bookmarkEnd w:id="42"/>
    </w:p>
    <w:p w14:paraId="1D06160A" w14:textId="77777777" w:rsidR="004171F4" w:rsidRPr="00BB0D9C" w:rsidRDefault="004171F4" w:rsidP="004171F4">
      <w:pPr>
        <w:shd w:val="clear" w:color="auto" w:fill="D9D9D9" w:themeFill="background1" w:themeFillShade="D9"/>
      </w:pPr>
      <w:r w:rsidRPr="00BB0D9C">
        <w:t>Conforme al Requisito 7.3, se alienta al GMP a adoptar un rol más activo en el desarrollo de recomendaciones a partir de los Informes EITI, así como a controlar los avances en la implementación de dichas recomendaciones.</w:t>
      </w:r>
    </w:p>
    <w:p w14:paraId="0D884472" w14:textId="77777777" w:rsidR="004171F4" w:rsidRPr="00BB0D9C" w:rsidRDefault="004171F4" w:rsidP="004171F4">
      <w:pPr>
        <w:pStyle w:val="Heading3"/>
      </w:pPr>
      <w:r w:rsidRPr="00BB0D9C">
        <w:t xml:space="preserve">Conclusiones de la primera </w:t>
      </w:r>
      <w:r w:rsidR="008F1961" w:rsidRPr="00BB0D9C">
        <w:t>v</w:t>
      </w:r>
      <w:r w:rsidRPr="00BB0D9C">
        <w:t>alidación</w:t>
      </w:r>
    </w:p>
    <w:p w14:paraId="3FB66F7A" w14:textId="77777777" w:rsidR="005E7911" w:rsidRPr="00BB0D9C" w:rsidRDefault="008F1961" w:rsidP="005E7911">
      <w:pPr>
        <w:spacing w:before="120"/>
        <w:rPr>
          <w:rFonts w:cstheme="majorHAnsi"/>
          <w:color w:val="000000" w:themeColor="text1"/>
          <w:szCs w:val="22"/>
        </w:rPr>
      </w:pPr>
      <w:r w:rsidRPr="00BB0D9C">
        <w:t>La primera v</w:t>
      </w:r>
      <w:r w:rsidR="004171F4" w:rsidRPr="00BB0D9C">
        <w:t xml:space="preserve">alidación determinó que Honduras había logrado un progreso significativo en el cumplimiento de este requisito. </w:t>
      </w:r>
      <w:r w:rsidR="004171F4" w:rsidRPr="00BB0D9C">
        <w:rPr>
          <w:color w:val="000000" w:themeColor="text1"/>
          <w:szCs w:val="22"/>
        </w:rPr>
        <w:t xml:space="preserve">EITI Honduras había abordado las discrepancias de sus ejercicios de conciliación e identificado omisiones. Algunos organismos gubernamentales, como el INHGEOMIN, habían incorporado enseñanzas derivadas la implementación del EITI y habían integrado algunos de estos requisitos en sus sistemas. Otros organismos identificaron el potencial de utilizar el EITI para profundizar el desarrollo de sus sistemas y procedimientos. El GMP había hecho un balance de lo logrado y de las oportunidades para seguir mejorando sobre la base de los requisitos y sugerencias del Estándar. Sin embargo, el </w:t>
      </w:r>
      <w:bookmarkStart w:id="43" w:name="_Hlk16153305"/>
      <w:r w:rsidR="004171F4" w:rsidRPr="00BB0D9C">
        <w:rPr>
          <w:color w:val="000000" w:themeColor="text1"/>
          <w:szCs w:val="22"/>
        </w:rPr>
        <w:t>GMP no avanzó lo suficiente en el desarrollo de un conjunto claro de recomendaciones que pudieran comunicarse a otras partes interesadas, incluidos los organismos gubernamentales</w:t>
      </w:r>
      <w:r w:rsidR="0055692A" w:rsidRPr="00BB0D9C">
        <w:rPr>
          <w:color w:val="000000" w:themeColor="text1"/>
          <w:szCs w:val="22"/>
        </w:rPr>
        <w:t>.</w:t>
      </w:r>
      <w:r w:rsidR="004171F4" w:rsidRPr="00BB0D9C">
        <w:rPr>
          <w:color w:val="000000" w:themeColor="text1"/>
          <w:szCs w:val="22"/>
        </w:rPr>
        <w:t xml:space="preserve"> En consonancia con ello, se mencionó que los futuros informes podrían incluir un conjunto más claro de recomendaciones a seguir y debatir. La implementación de estas recomendaciones parecía ser clave para garantizar que el EITI pueda contribuir a los objetivos planteados para EITI Honduras. </w:t>
      </w:r>
      <w:bookmarkEnd w:id="43"/>
    </w:p>
    <w:p w14:paraId="54DF7FA6" w14:textId="77777777" w:rsidR="004171F4" w:rsidRPr="00BB0D9C" w:rsidRDefault="004171F4" w:rsidP="004171F4">
      <w:pPr>
        <w:pStyle w:val="Heading3"/>
      </w:pPr>
      <w:r w:rsidRPr="00BB0D9C">
        <w:t xml:space="preserve">Progreso desde la </w:t>
      </w:r>
      <w:r w:rsidR="008F1961" w:rsidRPr="00BB0D9C">
        <w:t>primera v</w:t>
      </w:r>
      <w:r w:rsidRPr="00BB0D9C">
        <w:t>alidación</w:t>
      </w:r>
    </w:p>
    <w:p w14:paraId="1D30E577" w14:textId="77777777" w:rsidR="00800D06" w:rsidRPr="00BB0D9C" w:rsidRDefault="00800D06" w:rsidP="00800D06">
      <w:pPr>
        <w:spacing w:before="120"/>
        <w:rPr>
          <w:rFonts w:cstheme="majorHAnsi"/>
          <w:szCs w:val="22"/>
        </w:rPr>
      </w:pPr>
      <w:r w:rsidRPr="00BB0D9C">
        <w:t>De acuerdo con las actas de reunión del GMP, ha habido debates sobre el control del progreso en cuanto a las medidas correctivas de la primera validación</w:t>
      </w:r>
      <w:r w:rsidR="00692828" w:rsidRPr="00BB0D9C">
        <w:t>, en particular en lo que respecta a la</w:t>
      </w:r>
      <w:r w:rsidR="004277B6" w:rsidRPr="00BB0D9C">
        <w:t xml:space="preserve"> </w:t>
      </w:r>
      <w:r w:rsidR="00692828" w:rsidRPr="00BB0D9C">
        <w:t>contratación del Administrador Independient</w:t>
      </w:r>
      <w:r w:rsidR="004277B6" w:rsidRPr="00BB0D9C">
        <w:t>e</w:t>
      </w:r>
      <w:r w:rsidR="00692828" w:rsidRPr="00BB0D9C">
        <w:t xml:space="preserve"> y los </w:t>
      </w:r>
      <w:proofErr w:type="spellStart"/>
      <w:r w:rsidR="00692828" w:rsidRPr="00BB0D9C">
        <w:t>TdR</w:t>
      </w:r>
      <w:proofErr w:type="spellEnd"/>
      <w:r w:rsidR="00692828" w:rsidRPr="00BB0D9C">
        <w:t xml:space="preserve"> para el </w:t>
      </w:r>
      <w:r w:rsidR="0025482D" w:rsidRPr="00BB0D9C">
        <w:t>diseño del sitio web del EITI</w:t>
      </w:r>
      <w:r w:rsidRPr="00BB0D9C">
        <w:rPr>
          <w:rStyle w:val="FootnoteReference"/>
          <w:szCs w:val="22"/>
        </w:rPr>
        <w:footnoteReference w:id="95"/>
      </w:r>
      <w:r w:rsidR="00FA6217" w:rsidRPr="00BB0D9C">
        <w:t>.</w:t>
      </w:r>
      <w:r w:rsidRPr="00BB0D9C">
        <w:t xml:space="preserve"> Pese a ello, ni el </w:t>
      </w:r>
      <w:r w:rsidR="00BD19F3" w:rsidRPr="00BB0D9C">
        <w:t xml:space="preserve">informe anual de progreso </w:t>
      </w:r>
      <w:r w:rsidRPr="00BB0D9C">
        <w:t>2018 ni el plan de trabajo relativo al EITI para el 2017-2018 abordan las medidas para mantener un seguimiento de las recomendaciones derivadas de anteriores presentaciones de información relativa al EITI.</w:t>
      </w:r>
    </w:p>
    <w:p w14:paraId="77DFB7C1" w14:textId="77777777" w:rsidR="00800D06" w:rsidRPr="00BB0D9C" w:rsidRDefault="00800D06" w:rsidP="00800D06">
      <w:pPr>
        <w:spacing w:before="120"/>
        <w:rPr>
          <w:rFonts w:cstheme="majorHAnsi"/>
          <w:szCs w:val="22"/>
        </w:rPr>
      </w:pPr>
      <w:r w:rsidRPr="00BB0D9C">
        <w:t xml:space="preserve">De las seis recomendaciones enumeradas en el Informe EITI 2015-2016 (p. 89), tres eran idénticas a las incluidas en el Informe EITI 2014; en este sentido, son pocas las muestras de que se haya llevado a cabo un seguimiento (p. 90). Las recomendaciones reiteradas en ambos informes se refieren a: </w:t>
      </w:r>
    </w:p>
    <w:p w14:paraId="5C9969C9" w14:textId="77777777" w:rsidR="00800D06" w:rsidRPr="00BB0D9C" w:rsidRDefault="00800D06" w:rsidP="00247610">
      <w:pPr>
        <w:pStyle w:val="ListParagraph"/>
        <w:numPr>
          <w:ilvl w:val="0"/>
          <w:numId w:val="41"/>
        </w:numPr>
        <w:spacing w:before="120" w:after="120"/>
        <w:rPr>
          <w:rFonts w:cstheme="majorHAnsi"/>
          <w:i/>
          <w:iCs/>
          <w:szCs w:val="22"/>
          <w:u w:val="single"/>
        </w:rPr>
      </w:pPr>
      <w:r w:rsidRPr="00BB0D9C">
        <w:rPr>
          <w:i/>
          <w:iCs/>
          <w:szCs w:val="22"/>
          <w:u w:val="single"/>
        </w:rPr>
        <w:t>Clasificación uniforme de los ingresos del sector extractivo:</w:t>
      </w:r>
      <w:r w:rsidR="0025482D" w:rsidRPr="00BB0D9C">
        <w:rPr>
          <w:i/>
          <w:iCs/>
          <w:szCs w:val="22"/>
          <w:u w:val="single"/>
        </w:rPr>
        <w:t xml:space="preserve"> </w:t>
      </w:r>
      <w:r w:rsidR="00FA6217" w:rsidRPr="00BB0D9C">
        <w:t>e</w:t>
      </w:r>
      <w:r w:rsidRPr="00BB0D9C">
        <w:t xml:space="preserve">ste tema se debatió en las reuniones del Secretariado Nacional y el GMP celebradas en agosto y septiembre de 2018 con representantes del INHGEOMIN, el SAR y la SCGG. Se revisaron y analizaron rigurosamente las regulaciones legales de Honduras a fin de facilitar la firma del Convenio de Colaboración Interinstitucional entre el INHGEOMIN y el SAR. Los representantes del SAR se comprometieron a enviar el borrador del documento con las nuevas observaciones al Secretariado Técnico del EITI; sin embargo, no hay muestras ulteriores de que se hayan llevado a cabo iniciativas para implementar esta recomendación en la práctica. </w:t>
      </w:r>
    </w:p>
    <w:p w14:paraId="047C3BD5" w14:textId="77777777" w:rsidR="005212B6" w:rsidRPr="00BB0D9C" w:rsidRDefault="005212B6" w:rsidP="00800D06">
      <w:pPr>
        <w:pStyle w:val="ListParagraph"/>
        <w:numPr>
          <w:ilvl w:val="0"/>
          <w:numId w:val="41"/>
        </w:numPr>
        <w:spacing w:before="120" w:after="120"/>
        <w:rPr>
          <w:rFonts w:cstheme="majorHAnsi"/>
          <w:szCs w:val="22"/>
        </w:rPr>
      </w:pPr>
      <w:r w:rsidRPr="00BB0D9C">
        <w:rPr>
          <w:i/>
          <w:iCs/>
          <w:szCs w:val="22"/>
          <w:u w:val="single"/>
        </w:rPr>
        <w:t>Datos facilitados</w:t>
      </w:r>
      <w:r w:rsidR="00D87BA8" w:rsidRPr="00BB0D9C">
        <w:t>: e</w:t>
      </w:r>
      <w:r w:rsidRPr="00BB0D9C">
        <w:t xml:space="preserve">l Informe EITI 2015-2016 recurrió una vez más a los datos sobre exportaciones para definir la importancia relativa (véase la medida correctiva 5). Esto revela la falta de un seguimiento </w:t>
      </w:r>
      <w:r w:rsidR="00D87BA8" w:rsidRPr="00BB0D9C">
        <w:t xml:space="preserve">respecto </w:t>
      </w:r>
      <w:r w:rsidRPr="00BB0D9C">
        <w:t>de esta recomendación, puesto que no hay elementos que indiquen que el GMP haya contemplado otros métodos para definir el umbral de importancia relativa a partir de</w:t>
      </w:r>
      <w:r w:rsidR="00EF06AC" w:rsidRPr="00BB0D9C">
        <w:t>l</w:t>
      </w:r>
      <w:r w:rsidRPr="00BB0D9C">
        <w:t xml:space="preserve"> cual seleccionar a las empresas para la presentación de información relativa al EITI. Se trata de un elemento clave </w:t>
      </w:r>
      <w:r w:rsidR="00EF06AC" w:rsidRPr="00BB0D9C">
        <w:t>a abordar con miras a</w:t>
      </w:r>
      <w:r w:rsidRPr="00BB0D9C">
        <w:t xml:space="preserve"> futuros informes, a fin de garantizar que las divulgaciones efectivamente abarquen a todas las empresas y flujos de ingresos de importancia relativa. </w:t>
      </w:r>
    </w:p>
    <w:p w14:paraId="2D101EDD" w14:textId="77777777" w:rsidR="00800D06" w:rsidRPr="00BB0D9C" w:rsidRDefault="00800D06" w:rsidP="00800D06">
      <w:pPr>
        <w:pStyle w:val="ListParagraph"/>
        <w:numPr>
          <w:ilvl w:val="0"/>
          <w:numId w:val="41"/>
        </w:numPr>
        <w:spacing w:before="120" w:after="120"/>
        <w:rPr>
          <w:rFonts w:cstheme="majorHAnsi"/>
          <w:szCs w:val="22"/>
        </w:rPr>
      </w:pPr>
      <w:r w:rsidRPr="00BB0D9C">
        <w:rPr>
          <w:i/>
          <w:iCs/>
          <w:szCs w:val="22"/>
          <w:u w:val="single"/>
        </w:rPr>
        <w:t xml:space="preserve">Empresas </w:t>
      </w:r>
      <w:r w:rsidR="0025482D" w:rsidRPr="00BB0D9C">
        <w:rPr>
          <w:i/>
          <w:iCs/>
          <w:szCs w:val="22"/>
          <w:u w:val="single"/>
        </w:rPr>
        <w:t>declarantes</w:t>
      </w:r>
      <w:r w:rsidR="003530DF" w:rsidRPr="00BB0D9C">
        <w:t>: s</w:t>
      </w:r>
      <w:r w:rsidRPr="00BB0D9C">
        <w:t>e sugirió a EITI Honduras que trabajara para fomentar la participación de otras empresas más pequeñas en el proceso de conciliación y, por ende, para mejorar la transparencia del sector. El Informe EITI 2014 incluyó siete empresas informantes, de las cuales seis estaban involucradas en la minería de metales y solo una en la minería no metálica. El Informe EITI 2014 recomendaba la inclusión de más empresas dentro del alcance de la presentación de información relativa el EITI, puntualmente del sector no metálico. Observando parcialmente esta recomendación, el Informe EITI 2015-2016 incluyó dos empresas adicionales, si bien solo una de ellas representa a la minería no metálica (</w:t>
      </w:r>
      <w:proofErr w:type="spellStart"/>
      <w:r w:rsidRPr="00BB0D9C">
        <w:t>Incal</w:t>
      </w:r>
      <w:proofErr w:type="spellEnd"/>
      <w:r w:rsidRPr="00BB0D9C">
        <w:t xml:space="preserve">, S.A. de C.V.). Esto revela que el GMP ha tenido en cuenta esta recomendación previa y ha actuado en consecuencia procurando incrementar el número de empresas </w:t>
      </w:r>
      <w:r w:rsidR="0025482D" w:rsidRPr="00BB0D9C">
        <w:t>declarantes</w:t>
      </w:r>
      <w:r w:rsidRPr="00BB0D9C">
        <w:t xml:space="preserve"> en Honduras. </w:t>
      </w:r>
      <w:r w:rsidR="0025482D" w:rsidRPr="00BB0D9C">
        <w:t xml:space="preserve">Por ejemplo, </w:t>
      </w:r>
      <w:r w:rsidR="0025482D" w:rsidRPr="00BB0D9C">
        <w:rPr>
          <w:rFonts w:cstheme="majorHAnsi"/>
          <w:szCs w:val="22"/>
        </w:rPr>
        <w:t xml:space="preserve">el Informe EITI más reciente de 2017-2018 publicado en julio de 2020 (que abarca el año </w:t>
      </w:r>
      <w:r w:rsidR="00EB4DBE" w:rsidRPr="00BB0D9C">
        <w:rPr>
          <w:rFonts w:cstheme="majorHAnsi"/>
          <w:szCs w:val="22"/>
        </w:rPr>
        <w:t>fiscal</w:t>
      </w:r>
      <w:r w:rsidR="0025482D" w:rsidRPr="00BB0D9C">
        <w:rPr>
          <w:rFonts w:cstheme="majorHAnsi"/>
          <w:szCs w:val="22"/>
        </w:rPr>
        <w:t xml:space="preserve"> 2017-2018) muestra que el número de </w:t>
      </w:r>
      <w:r w:rsidR="00B61C08" w:rsidRPr="00BB0D9C">
        <w:rPr>
          <w:rFonts w:cstheme="majorHAnsi"/>
          <w:szCs w:val="22"/>
        </w:rPr>
        <w:t>empresa</w:t>
      </w:r>
      <w:r w:rsidR="0025482D" w:rsidRPr="00BB0D9C">
        <w:rPr>
          <w:rFonts w:cstheme="majorHAnsi"/>
          <w:szCs w:val="22"/>
        </w:rPr>
        <w:t xml:space="preserve">s declarantes aumentó una vez más, sumando dos nuevas </w:t>
      </w:r>
      <w:r w:rsidR="00B61C08" w:rsidRPr="00BB0D9C">
        <w:rPr>
          <w:rFonts w:cstheme="majorHAnsi"/>
          <w:szCs w:val="22"/>
        </w:rPr>
        <w:t>empresa</w:t>
      </w:r>
      <w:r w:rsidR="0025482D" w:rsidRPr="00BB0D9C">
        <w:rPr>
          <w:rFonts w:cstheme="majorHAnsi"/>
          <w:szCs w:val="22"/>
        </w:rPr>
        <w:t xml:space="preserve">s. </w:t>
      </w:r>
    </w:p>
    <w:p w14:paraId="5E7CDEDF" w14:textId="77777777" w:rsidR="00F54A80" w:rsidRPr="00BB0D9C" w:rsidRDefault="00F54A80" w:rsidP="001569A6">
      <w:pPr>
        <w:spacing w:before="120" w:after="120"/>
        <w:rPr>
          <w:rFonts w:cstheme="majorHAnsi"/>
          <w:szCs w:val="22"/>
        </w:rPr>
      </w:pPr>
      <w:r w:rsidRPr="00BB0D9C">
        <w:t xml:space="preserve">Más allá de estas tres recomendaciones reiteradas, el Informe EITI 2015-2016 hace referencia a otras tres recomendaciones vinculadas a la automatización de los datos, el comienzo anticipado de la conciliación correspondiente al ejercicio fiscal 2017 y la necesidad de conocer mejor los ingresos totales por los pagos en concepto de obligaciones tributarias y no tributarias que las instituciones gubernamentales reciben de la industria extractiva. El Secretariado Internacional no está al tanto de ningún elemento que indique que el GMP haya efectuado un seguimiento de estas recomendaciones. Estos temas no parecen haberse tratado en las reuniones del GMP luego de la publicación del informe EITI, ni tampoco en las tareas de preparación para el siguiente ejercicio de presentación de información. </w:t>
      </w:r>
    </w:p>
    <w:p w14:paraId="777F0200" w14:textId="77777777" w:rsidR="001569A6" w:rsidRPr="00BB0D9C" w:rsidRDefault="001569A6" w:rsidP="001569A6">
      <w:pPr>
        <w:spacing w:before="120"/>
        <w:rPr>
          <w:rFonts w:cstheme="majorHAnsi"/>
          <w:szCs w:val="22"/>
        </w:rPr>
      </w:pPr>
      <w:r w:rsidRPr="00BB0D9C">
        <w:t xml:space="preserve">Por otra parte, las conclusiones generales del Informe EITI </w:t>
      </w:r>
      <w:r w:rsidR="00B23EAC" w:rsidRPr="00BB0D9C">
        <w:t xml:space="preserve">de 2015-2016 </w:t>
      </w:r>
      <w:r w:rsidR="0098477A" w:rsidRPr="00BB0D9C">
        <w:t>subrayan</w:t>
      </w:r>
      <w:r w:rsidRPr="00BB0D9C">
        <w:t xml:space="preserve"> discrepancias en la conciliación de pagos e ingresos (p. 88). </w:t>
      </w:r>
      <w:r w:rsidR="00B23EAC" w:rsidRPr="00BB0D9C">
        <w:t xml:space="preserve">Se toma nota de </w:t>
      </w:r>
      <w:r w:rsidRPr="00BB0D9C">
        <w:t xml:space="preserve">que hay </w:t>
      </w:r>
      <w:r w:rsidR="00B23EAC" w:rsidRPr="00BB0D9C">
        <w:t>algunas</w:t>
      </w:r>
      <w:r w:rsidRPr="00BB0D9C">
        <w:t xml:space="preserve"> que todavía deben resolverse, como ocurre con el caso de los pagos efectuados por las empresas mineras en concepto de Tasa de Seguridad Poblacional. Pese a que las empresas han brindado información sobre sus pagos de esta tasa, el SAR no reconoció este impuesto en sus ingresos de 2015 y 2016, lo cual generó importantes </w:t>
      </w:r>
      <w:r w:rsidR="009F2287" w:rsidRPr="00BB0D9C">
        <w:t>discrepancias (</w:t>
      </w:r>
      <w:r w:rsidRPr="00BB0D9C">
        <w:rPr>
          <w:i/>
          <w:iCs/>
          <w:szCs w:val="22"/>
        </w:rPr>
        <w:t>véase el Requisito 4.1).</w:t>
      </w:r>
      <w:r w:rsidRPr="00BB0D9C">
        <w:t xml:space="preserve"> Esta cuestión está directamente vinculada con lo que el informe señala como una falta de terminología homogénea para los conceptos impositivos (p. 45). A pesar de que el informe </w:t>
      </w:r>
      <w:r w:rsidR="004F563B" w:rsidRPr="00BB0D9C">
        <w:t>pone de relieve</w:t>
      </w:r>
      <w:r w:rsidRPr="00BB0D9C">
        <w:t xml:space="preserve"> estas cuestiones, el GMP no parece haberse centrado en ellas ni en posibles modos de superarlas. No hay elementos que indiquen que el GMP haya debatido las causas de estas discrepancias, ni </w:t>
      </w:r>
      <w:r w:rsidR="009F2287" w:rsidRPr="00BB0D9C">
        <w:t xml:space="preserve">posibles mecanismos </w:t>
      </w:r>
      <w:r w:rsidR="00B23EAC" w:rsidRPr="00BB0D9C">
        <w:t>para abordarlas</w:t>
      </w:r>
      <w:r w:rsidRPr="00BB0D9C">
        <w:t xml:space="preserve"> en futuros ejercicios de presentación de información. </w:t>
      </w:r>
    </w:p>
    <w:p w14:paraId="5E7CB6E7" w14:textId="77777777" w:rsidR="00B23EAC" w:rsidRPr="00BB0D9C" w:rsidRDefault="00B23EAC" w:rsidP="00B23EAC">
      <w:pPr>
        <w:spacing w:before="120"/>
        <w:rPr>
          <w:rFonts w:cstheme="majorHAnsi"/>
          <w:szCs w:val="22"/>
        </w:rPr>
      </w:pPr>
      <w:r w:rsidRPr="00BB0D9C">
        <w:rPr>
          <w:bCs/>
          <w:szCs w:val="22"/>
        </w:rPr>
        <w:t>Después del</w:t>
      </w:r>
      <w:r w:rsidR="00827CAC" w:rsidRPr="00BB0D9C">
        <w:rPr>
          <w:bCs/>
          <w:szCs w:val="22"/>
        </w:rPr>
        <w:t xml:space="preserve"> </w:t>
      </w:r>
      <w:r w:rsidRPr="00BB0D9C">
        <w:rPr>
          <w:bCs/>
          <w:szCs w:val="22"/>
        </w:rPr>
        <w:t xml:space="preserve">comienzo de la segunda validación, Honduras publicó su Informe EITI de 2017-2018 el 10 de febrero de 2020. El informe determinaba también discrepancias en la divulgación de la Tasa de Seguridad Poblacional. Explica que la oficina tributaria SAR no registra el pago de esta tasa por </w:t>
      </w:r>
      <w:r w:rsidR="00B61C08" w:rsidRPr="00BB0D9C">
        <w:rPr>
          <w:bCs/>
          <w:szCs w:val="22"/>
        </w:rPr>
        <w:t>empresa</w:t>
      </w:r>
      <w:r w:rsidRPr="00BB0D9C">
        <w:rPr>
          <w:bCs/>
          <w:szCs w:val="22"/>
        </w:rPr>
        <w:t xml:space="preserve"> individual. Las </w:t>
      </w:r>
      <w:r w:rsidR="00B61C08" w:rsidRPr="00BB0D9C">
        <w:rPr>
          <w:bCs/>
          <w:szCs w:val="22"/>
        </w:rPr>
        <w:t>empresa</w:t>
      </w:r>
      <w:r w:rsidR="00623A7E" w:rsidRPr="00BB0D9C">
        <w:rPr>
          <w:bCs/>
          <w:szCs w:val="22"/>
        </w:rPr>
        <w:t>s</w:t>
      </w:r>
      <w:r w:rsidRPr="00BB0D9C">
        <w:rPr>
          <w:bCs/>
          <w:szCs w:val="22"/>
        </w:rPr>
        <w:t xml:space="preserve"> pagan la tasa a través de bancos comerciales que, a su vez, informan los pagos agregados al SAR. Esto hace que al SAR le resulte imposible informar estos pagos de forma individual. El Informe EITI de 2017-2018 </w:t>
      </w:r>
      <w:r w:rsidR="00EB4DBE" w:rsidRPr="00BB0D9C">
        <w:rPr>
          <w:bCs/>
          <w:szCs w:val="22"/>
        </w:rPr>
        <w:t>también</w:t>
      </w:r>
      <w:r w:rsidRPr="00BB0D9C">
        <w:rPr>
          <w:bCs/>
          <w:szCs w:val="22"/>
        </w:rPr>
        <w:t xml:space="preserve"> incluye un conjunto de recomendaciones del Administrador Independiente (p. 123).</w:t>
      </w:r>
    </w:p>
    <w:p w14:paraId="7181B453" w14:textId="77777777" w:rsidR="00B23EAC" w:rsidRPr="00BB0D9C" w:rsidRDefault="00B23EAC" w:rsidP="00B23EAC">
      <w:pPr>
        <w:spacing w:before="120"/>
        <w:rPr>
          <w:rFonts w:cstheme="majorHAnsi"/>
          <w:szCs w:val="22"/>
        </w:rPr>
      </w:pPr>
      <w:r w:rsidRPr="00BB0D9C">
        <w:rPr>
          <w:rFonts w:cstheme="majorHAnsi"/>
          <w:szCs w:val="22"/>
        </w:rPr>
        <w:t>El 10 de junio de 2019,</w:t>
      </w:r>
      <w:r w:rsidR="00827CAC" w:rsidRPr="00BB0D9C">
        <w:rPr>
          <w:rFonts w:cstheme="majorHAnsi"/>
          <w:szCs w:val="22"/>
        </w:rPr>
        <w:t xml:space="preserve"> </w:t>
      </w:r>
      <w:r w:rsidRPr="00BB0D9C">
        <w:rPr>
          <w:rFonts w:cstheme="majorHAnsi"/>
          <w:szCs w:val="22"/>
        </w:rPr>
        <w:t xml:space="preserve">INHGEOMIN y SAR firmaron un convenio de cooperación y </w:t>
      </w:r>
      <w:r w:rsidR="00E86583" w:rsidRPr="00BB0D9C">
        <w:rPr>
          <w:rFonts w:cstheme="majorHAnsi"/>
          <w:szCs w:val="22"/>
        </w:rPr>
        <w:t xml:space="preserve">asistencia </w:t>
      </w:r>
      <w:r w:rsidRPr="00BB0D9C">
        <w:rPr>
          <w:rFonts w:cstheme="majorHAnsi"/>
          <w:szCs w:val="22"/>
        </w:rPr>
        <w:t>rec</w:t>
      </w:r>
      <w:r w:rsidR="00E86583" w:rsidRPr="00BB0D9C">
        <w:rPr>
          <w:rFonts w:cstheme="majorHAnsi"/>
          <w:szCs w:val="22"/>
        </w:rPr>
        <w:t>íproca con el objetivo de mejorar la manera de compartir y hacer verificación cruzada de la información de una forma más transparente y efectiva</w:t>
      </w:r>
      <w:r w:rsidRPr="00BB0D9C">
        <w:rPr>
          <w:rFonts w:cstheme="majorHAnsi"/>
          <w:szCs w:val="22"/>
        </w:rPr>
        <w:t xml:space="preserve">. </w:t>
      </w:r>
      <w:r w:rsidR="00E86583" w:rsidRPr="00BB0D9C">
        <w:rPr>
          <w:rFonts w:cstheme="majorHAnsi"/>
          <w:szCs w:val="22"/>
        </w:rPr>
        <w:t xml:space="preserve">El convenio también permite que organismos gubernamentales definan los mecanismos para recopilar información de las </w:t>
      </w:r>
      <w:r w:rsidR="00B61C08" w:rsidRPr="00BB0D9C">
        <w:rPr>
          <w:rFonts w:cstheme="majorHAnsi"/>
          <w:szCs w:val="22"/>
        </w:rPr>
        <w:t>empresa</w:t>
      </w:r>
      <w:r w:rsidR="00E86583" w:rsidRPr="00BB0D9C">
        <w:rPr>
          <w:rFonts w:cstheme="majorHAnsi"/>
          <w:szCs w:val="22"/>
        </w:rPr>
        <w:t xml:space="preserve">s y asegurarse de que sus conjuntos de datos sean </w:t>
      </w:r>
      <w:r w:rsidRPr="00BB0D9C">
        <w:rPr>
          <w:rFonts w:cstheme="majorHAnsi"/>
          <w:szCs w:val="22"/>
        </w:rPr>
        <w:t>compatible</w:t>
      </w:r>
      <w:r w:rsidR="00E86583" w:rsidRPr="00BB0D9C">
        <w:rPr>
          <w:rFonts w:cstheme="majorHAnsi"/>
          <w:szCs w:val="22"/>
        </w:rPr>
        <w:t>s entre sí</w:t>
      </w:r>
      <w:r w:rsidRPr="00BB0D9C">
        <w:rPr>
          <w:rFonts w:cstheme="majorHAnsi"/>
          <w:szCs w:val="22"/>
        </w:rPr>
        <w:t>.</w:t>
      </w:r>
      <w:r w:rsidR="00E86583" w:rsidRPr="00BB0D9C">
        <w:rPr>
          <w:rFonts w:cstheme="majorHAnsi"/>
          <w:szCs w:val="22"/>
        </w:rPr>
        <w:t xml:space="preserve"> El Informe EITI de</w:t>
      </w:r>
      <w:r w:rsidRPr="00BB0D9C">
        <w:rPr>
          <w:rFonts w:cstheme="majorHAnsi"/>
          <w:szCs w:val="22"/>
        </w:rPr>
        <w:t xml:space="preserve"> 2017-2018 </w:t>
      </w:r>
      <w:r w:rsidR="00E86583" w:rsidRPr="00BB0D9C">
        <w:rPr>
          <w:rFonts w:cstheme="majorHAnsi"/>
          <w:szCs w:val="22"/>
        </w:rPr>
        <w:t xml:space="preserve">toma nota de que </w:t>
      </w:r>
      <w:r w:rsidRPr="00BB0D9C">
        <w:rPr>
          <w:rFonts w:cstheme="majorHAnsi"/>
          <w:szCs w:val="22"/>
        </w:rPr>
        <w:t>INHGEOMIN ha</w:t>
      </w:r>
      <w:r w:rsidR="00E86583" w:rsidRPr="00BB0D9C">
        <w:rPr>
          <w:rFonts w:cstheme="majorHAnsi"/>
          <w:szCs w:val="22"/>
        </w:rPr>
        <w:t xml:space="preserve"> comenzado a </w:t>
      </w:r>
      <w:r w:rsidRPr="00BB0D9C">
        <w:rPr>
          <w:rFonts w:cstheme="majorHAnsi"/>
          <w:szCs w:val="22"/>
        </w:rPr>
        <w:t>consolida</w:t>
      </w:r>
      <w:r w:rsidR="00E86583" w:rsidRPr="00BB0D9C">
        <w:rPr>
          <w:rFonts w:cstheme="majorHAnsi"/>
          <w:szCs w:val="22"/>
        </w:rPr>
        <w:t xml:space="preserve">r información sobre gastos sociales, económicos y ambientales en la declaración fiscal anual de las </w:t>
      </w:r>
      <w:r w:rsidR="00B61C08" w:rsidRPr="00BB0D9C">
        <w:rPr>
          <w:rFonts w:cstheme="majorHAnsi"/>
          <w:szCs w:val="22"/>
        </w:rPr>
        <w:t>empresa</w:t>
      </w:r>
      <w:r w:rsidR="00E86583" w:rsidRPr="00BB0D9C">
        <w:rPr>
          <w:rFonts w:cstheme="majorHAnsi"/>
          <w:szCs w:val="22"/>
        </w:rPr>
        <w:t xml:space="preserve">s </w:t>
      </w:r>
      <w:r w:rsidRPr="00BB0D9C">
        <w:rPr>
          <w:rFonts w:cstheme="majorHAnsi"/>
          <w:szCs w:val="22"/>
        </w:rPr>
        <w:t>(Declaración</w:t>
      </w:r>
      <w:r w:rsidR="00E86583" w:rsidRPr="00BB0D9C">
        <w:rPr>
          <w:rFonts w:cstheme="majorHAnsi"/>
          <w:szCs w:val="22"/>
        </w:rPr>
        <w:t xml:space="preserve"> </w:t>
      </w:r>
      <w:r w:rsidRPr="00BB0D9C">
        <w:rPr>
          <w:rFonts w:cstheme="majorHAnsi"/>
          <w:szCs w:val="22"/>
        </w:rPr>
        <w:t>Anual</w:t>
      </w:r>
      <w:r w:rsidR="00E86583" w:rsidRPr="00BB0D9C">
        <w:rPr>
          <w:rFonts w:cstheme="majorHAnsi"/>
          <w:szCs w:val="22"/>
        </w:rPr>
        <w:t xml:space="preserve"> </w:t>
      </w:r>
      <w:r w:rsidRPr="00BB0D9C">
        <w:rPr>
          <w:rFonts w:cstheme="majorHAnsi"/>
          <w:szCs w:val="22"/>
        </w:rPr>
        <w:t>Consolidada) (p</w:t>
      </w:r>
      <w:r w:rsidR="00E86583" w:rsidRPr="00BB0D9C">
        <w:rPr>
          <w:rFonts w:cstheme="majorHAnsi"/>
          <w:szCs w:val="22"/>
        </w:rPr>
        <w:t>p</w:t>
      </w:r>
      <w:r w:rsidRPr="00BB0D9C">
        <w:rPr>
          <w:rFonts w:cstheme="majorHAnsi"/>
          <w:szCs w:val="22"/>
        </w:rPr>
        <w:t>. 24-25)</w:t>
      </w:r>
      <w:r w:rsidRPr="00BB0D9C">
        <w:rPr>
          <w:szCs w:val="22"/>
        </w:rPr>
        <w:t>.</w:t>
      </w:r>
    </w:p>
    <w:p w14:paraId="17EFD063" w14:textId="77777777" w:rsidR="004171F4" w:rsidRPr="00BB0D9C" w:rsidRDefault="004171F4" w:rsidP="004171F4">
      <w:pPr>
        <w:pStyle w:val="Heading3"/>
      </w:pPr>
      <w:r w:rsidRPr="00BB0D9C">
        <w:t>Evaluación del Secretariado</w:t>
      </w:r>
    </w:p>
    <w:p w14:paraId="661A1FBC" w14:textId="77777777" w:rsidR="00E86583" w:rsidRPr="00BB0D9C" w:rsidRDefault="00E86583" w:rsidP="00E86583">
      <w:pPr>
        <w:spacing w:before="120"/>
        <w:rPr>
          <w:rFonts w:cstheme="majorHAnsi"/>
          <w:szCs w:val="22"/>
        </w:rPr>
      </w:pPr>
      <w:r w:rsidRPr="00BB0D9C">
        <w:rPr>
          <w:szCs w:val="22"/>
          <w:u w:val="single"/>
        </w:rPr>
        <w:t>Al comienzo de la segunda validación</w:t>
      </w:r>
      <w:r w:rsidR="00EB4DBE" w:rsidRPr="00BB0D9C">
        <w:rPr>
          <w:szCs w:val="22"/>
          <w:u w:val="single"/>
        </w:rPr>
        <w:t>,</w:t>
      </w:r>
      <w:r w:rsidRPr="00BB0D9C">
        <w:rPr>
          <w:szCs w:val="22"/>
          <w:u w:val="single"/>
        </w:rPr>
        <w:t xml:space="preserve"> l</w:t>
      </w:r>
      <w:r w:rsidR="004171F4" w:rsidRPr="00BB0D9C">
        <w:rPr>
          <w:szCs w:val="22"/>
          <w:u w:val="single"/>
        </w:rPr>
        <w:t>a evaluación del Secretariado Internacional es que Honduras no ha</w:t>
      </w:r>
      <w:r w:rsidRPr="00BB0D9C">
        <w:rPr>
          <w:szCs w:val="22"/>
          <w:u w:val="single"/>
        </w:rPr>
        <w:t>bía</w:t>
      </w:r>
      <w:r w:rsidR="004171F4" w:rsidRPr="00BB0D9C">
        <w:rPr>
          <w:szCs w:val="22"/>
          <w:u w:val="single"/>
        </w:rPr>
        <w:t xml:space="preserve"> abordado la medida correctiva y que ha</w:t>
      </w:r>
      <w:r w:rsidRPr="00BB0D9C">
        <w:rPr>
          <w:szCs w:val="22"/>
          <w:u w:val="single"/>
        </w:rPr>
        <w:t>bía</w:t>
      </w:r>
      <w:r w:rsidR="004171F4" w:rsidRPr="00BB0D9C">
        <w:rPr>
          <w:szCs w:val="22"/>
          <w:u w:val="single"/>
        </w:rPr>
        <w:t xml:space="preserve"> logrado un progreso significativo sin mejoras en lo que respecta al cumplimiento del Requisito 7.3.</w:t>
      </w:r>
      <w:r w:rsidR="004171F4" w:rsidRPr="00BB0D9C">
        <w:t xml:space="preserve"> </w:t>
      </w:r>
      <w:r w:rsidRPr="00BB0D9C">
        <w:rPr>
          <w:rFonts w:cstheme="majorHAnsi"/>
          <w:szCs w:val="22"/>
          <w:u w:val="single"/>
        </w:rPr>
        <w:t>Sujeto a que el Consejo tenga en cuenta nueva información publicada después del comienzo de la segunda validación, la evaluación del Secretariado Internacional es que Honduras ha abordado parcialmente la medida correctiva referida al seguimiento de las recomendaciones del EITI y ha hecho un progreso significativo con una mejora considerable hacia el cumplimiento del requisito 7.3</w:t>
      </w:r>
      <w:r w:rsidRPr="00BB0D9C">
        <w:rPr>
          <w:rFonts w:cstheme="majorHAnsi"/>
          <w:szCs w:val="22"/>
        </w:rPr>
        <w:t>.</w:t>
      </w:r>
    </w:p>
    <w:p w14:paraId="13404ADD" w14:textId="77777777" w:rsidR="003D4F11" w:rsidRPr="00BB0D9C" w:rsidRDefault="00E86583" w:rsidP="00E86583">
      <w:pPr>
        <w:spacing w:before="100" w:beforeAutospacing="1" w:after="100" w:afterAutospacing="1"/>
        <w:rPr>
          <w:rFonts w:cstheme="majorHAnsi"/>
          <w:szCs w:val="22"/>
        </w:rPr>
      </w:pPr>
      <w:r w:rsidRPr="00BB0D9C">
        <w:rPr>
          <w:rFonts w:cstheme="majorHAnsi"/>
          <w:szCs w:val="22"/>
        </w:rPr>
        <w:t xml:space="preserve">En la primera validación se indicaba que el grupo de </w:t>
      </w:r>
      <w:proofErr w:type="spellStart"/>
      <w:r w:rsidRPr="00BB0D9C">
        <w:rPr>
          <w:rFonts w:cstheme="majorHAnsi"/>
          <w:szCs w:val="22"/>
        </w:rPr>
        <w:t>multipartícipes</w:t>
      </w:r>
      <w:proofErr w:type="spellEnd"/>
      <w:r w:rsidRPr="00BB0D9C">
        <w:rPr>
          <w:rFonts w:cstheme="majorHAnsi"/>
          <w:szCs w:val="22"/>
        </w:rPr>
        <w:t xml:space="preserve"> hondureño había hecho algunos esfuerzos para abordar recomendaciones de informes EITI. El </w:t>
      </w:r>
      <w:r w:rsidR="00E62D88" w:rsidRPr="00BB0D9C">
        <w:rPr>
          <w:rFonts w:cstheme="majorHAnsi"/>
          <w:szCs w:val="22"/>
        </w:rPr>
        <w:t xml:space="preserve">informe anual de progreso </w:t>
      </w:r>
      <w:r w:rsidRPr="00BB0D9C">
        <w:rPr>
          <w:rFonts w:cstheme="majorHAnsi"/>
          <w:szCs w:val="22"/>
        </w:rPr>
        <w:t xml:space="preserve">de 2018 aportó pruebas de los debates del grupo de </w:t>
      </w:r>
      <w:proofErr w:type="spellStart"/>
      <w:r w:rsidRPr="00BB0D9C">
        <w:rPr>
          <w:rFonts w:cstheme="majorHAnsi"/>
          <w:szCs w:val="22"/>
        </w:rPr>
        <w:t>multipartícipes</w:t>
      </w:r>
      <w:proofErr w:type="spellEnd"/>
      <w:r w:rsidRPr="00BB0D9C">
        <w:rPr>
          <w:rFonts w:cstheme="majorHAnsi"/>
          <w:szCs w:val="22"/>
        </w:rPr>
        <w:t xml:space="preserve"> y el seguimiento de las recomendaciones del EITI principalmente a través de la presentación de información al EITI. Por ejemplo, eso podía verse en los debates que había tenido el grupo de </w:t>
      </w:r>
      <w:proofErr w:type="spellStart"/>
      <w:r w:rsidRPr="00BB0D9C">
        <w:rPr>
          <w:rFonts w:cstheme="majorHAnsi"/>
          <w:szCs w:val="22"/>
        </w:rPr>
        <w:t>multipartícipes</w:t>
      </w:r>
      <w:proofErr w:type="spellEnd"/>
      <w:r w:rsidRPr="00BB0D9C">
        <w:rPr>
          <w:rFonts w:cstheme="majorHAnsi"/>
          <w:szCs w:val="22"/>
        </w:rPr>
        <w:t xml:space="preserve"> con respecto a la contratación de</w:t>
      </w:r>
      <w:r w:rsidR="00623A7E" w:rsidRPr="00BB0D9C">
        <w:rPr>
          <w:rFonts w:cstheme="majorHAnsi"/>
          <w:szCs w:val="22"/>
        </w:rPr>
        <w:t>l Ad</w:t>
      </w:r>
      <w:r w:rsidRPr="00BB0D9C">
        <w:rPr>
          <w:rFonts w:cstheme="majorHAnsi"/>
          <w:szCs w:val="22"/>
        </w:rPr>
        <w:t>ministrador Independiente y en la consulta realizada para mejorar la nueva página web del EITI</w:t>
      </w:r>
      <w:r w:rsidRPr="00BB0D9C">
        <w:rPr>
          <w:rStyle w:val="FootnoteReference"/>
          <w:szCs w:val="22"/>
        </w:rPr>
        <w:footnoteReference w:id="96"/>
      </w:r>
      <w:r w:rsidR="00623A7E" w:rsidRPr="00BB0D9C">
        <w:rPr>
          <w:rFonts w:cstheme="majorHAnsi"/>
          <w:szCs w:val="22"/>
        </w:rPr>
        <w:t>, así como en la culminación del convenio entre</w:t>
      </w:r>
      <w:r w:rsidRPr="00BB0D9C">
        <w:rPr>
          <w:rFonts w:cstheme="majorHAnsi"/>
          <w:szCs w:val="22"/>
        </w:rPr>
        <w:t xml:space="preserve"> SAR</w:t>
      </w:r>
      <w:r w:rsidR="00623A7E" w:rsidRPr="00BB0D9C">
        <w:rPr>
          <w:rFonts w:cstheme="majorHAnsi"/>
          <w:szCs w:val="22"/>
        </w:rPr>
        <w:t xml:space="preserve"> e </w:t>
      </w:r>
      <w:r w:rsidRPr="00BB0D9C">
        <w:rPr>
          <w:rFonts w:cstheme="majorHAnsi"/>
          <w:szCs w:val="22"/>
        </w:rPr>
        <w:t xml:space="preserve">INHGEOMIN </w:t>
      </w:r>
      <w:r w:rsidR="00623A7E" w:rsidRPr="00BB0D9C">
        <w:rPr>
          <w:rFonts w:cstheme="majorHAnsi"/>
          <w:szCs w:val="22"/>
        </w:rPr>
        <w:t>comentado antes en esta evaluación</w:t>
      </w:r>
      <w:r w:rsidRPr="00BB0D9C">
        <w:rPr>
          <w:rFonts w:cstheme="majorHAnsi"/>
          <w:szCs w:val="22"/>
        </w:rPr>
        <w:t>. Su</w:t>
      </w:r>
      <w:r w:rsidR="00623A7E" w:rsidRPr="00BB0D9C">
        <w:rPr>
          <w:rFonts w:cstheme="majorHAnsi"/>
          <w:szCs w:val="22"/>
        </w:rPr>
        <w:t>jeto a que el Consejo tenga en cuenta nueva información publicada después del</w:t>
      </w:r>
      <w:r w:rsidR="00827CAC" w:rsidRPr="00BB0D9C">
        <w:rPr>
          <w:rFonts w:cstheme="majorHAnsi"/>
          <w:szCs w:val="22"/>
        </w:rPr>
        <w:t xml:space="preserve"> </w:t>
      </w:r>
      <w:r w:rsidR="00623A7E" w:rsidRPr="00BB0D9C">
        <w:rPr>
          <w:rFonts w:cstheme="majorHAnsi"/>
          <w:szCs w:val="22"/>
        </w:rPr>
        <w:t>comienzo de la segunda validación, el Informe EITI de</w:t>
      </w:r>
      <w:r w:rsidRPr="00BB0D9C">
        <w:rPr>
          <w:rFonts w:cstheme="majorHAnsi"/>
          <w:szCs w:val="22"/>
        </w:rPr>
        <w:t xml:space="preserve"> 2017-2018 </w:t>
      </w:r>
      <w:r w:rsidR="00623A7E" w:rsidRPr="00BB0D9C">
        <w:rPr>
          <w:rFonts w:cstheme="majorHAnsi"/>
          <w:szCs w:val="22"/>
        </w:rPr>
        <w:t xml:space="preserve">incluyó explicaciones de las dificultades para informar datos del Gobierno desglosados sobre la Tasa Poblacional, la cooperación entre la oficina tributaria </w:t>
      </w:r>
      <w:r w:rsidRPr="00BB0D9C">
        <w:rPr>
          <w:rFonts w:cstheme="majorHAnsi"/>
          <w:szCs w:val="22"/>
        </w:rPr>
        <w:t xml:space="preserve">SAR </w:t>
      </w:r>
      <w:r w:rsidR="00623A7E" w:rsidRPr="00BB0D9C">
        <w:rPr>
          <w:rFonts w:cstheme="majorHAnsi"/>
          <w:szCs w:val="22"/>
        </w:rPr>
        <w:t>e</w:t>
      </w:r>
      <w:r w:rsidRPr="00BB0D9C">
        <w:rPr>
          <w:rFonts w:cstheme="majorHAnsi"/>
          <w:szCs w:val="22"/>
        </w:rPr>
        <w:t xml:space="preserve"> </w:t>
      </w:r>
      <w:r w:rsidR="00827CAC" w:rsidRPr="00BB0D9C">
        <w:rPr>
          <w:rFonts w:cstheme="majorHAnsi"/>
          <w:szCs w:val="22"/>
        </w:rPr>
        <w:t>INHGEOMIN</w:t>
      </w:r>
      <w:r w:rsidRPr="00BB0D9C">
        <w:rPr>
          <w:rFonts w:cstheme="majorHAnsi"/>
          <w:szCs w:val="22"/>
        </w:rPr>
        <w:t xml:space="preserve"> </w:t>
      </w:r>
      <w:r w:rsidR="00623A7E" w:rsidRPr="00BB0D9C">
        <w:rPr>
          <w:rFonts w:cstheme="majorHAnsi"/>
          <w:szCs w:val="22"/>
        </w:rPr>
        <w:t xml:space="preserve">y la consolidación de datos informados por las </w:t>
      </w:r>
      <w:r w:rsidR="00B61C08" w:rsidRPr="00BB0D9C">
        <w:rPr>
          <w:rFonts w:cstheme="majorHAnsi"/>
          <w:szCs w:val="22"/>
        </w:rPr>
        <w:t>empresa</w:t>
      </w:r>
      <w:r w:rsidR="00623A7E" w:rsidRPr="00BB0D9C">
        <w:rPr>
          <w:rFonts w:cstheme="majorHAnsi"/>
          <w:szCs w:val="22"/>
        </w:rPr>
        <w:t xml:space="preserve">s en la declaración anual de </w:t>
      </w:r>
      <w:r w:rsidR="00827CAC" w:rsidRPr="00BB0D9C">
        <w:rPr>
          <w:rFonts w:cstheme="majorHAnsi"/>
          <w:szCs w:val="22"/>
        </w:rPr>
        <w:t>INHGEOMIN</w:t>
      </w:r>
      <w:r w:rsidRPr="00BB0D9C">
        <w:rPr>
          <w:rFonts w:cstheme="majorHAnsi"/>
          <w:szCs w:val="22"/>
        </w:rPr>
        <w:t xml:space="preserve">. </w:t>
      </w:r>
      <w:r w:rsidR="00623A7E" w:rsidRPr="00BB0D9C">
        <w:rPr>
          <w:rFonts w:cstheme="majorHAnsi"/>
          <w:szCs w:val="22"/>
        </w:rPr>
        <w:t xml:space="preserve">Estas deficiencias fueron identificadas previamente en el proceso </w:t>
      </w:r>
      <w:r w:rsidRPr="00BB0D9C">
        <w:rPr>
          <w:rFonts w:cstheme="majorHAnsi"/>
          <w:szCs w:val="22"/>
        </w:rPr>
        <w:t>EITI</w:t>
      </w:r>
      <w:r w:rsidR="00623A7E" w:rsidRPr="00BB0D9C">
        <w:rPr>
          <w:rFonts w:cstheme="majorHAnsi"/>
          <w:szCs w:val="22"/>
        </w:rPr>
        <w:t xml:space="preserve">; sin embargo, el grupo de </w:t>
      </w:r>
      <w:proofErr w:type="spellStart"/>
      <w:r w:rsidR="00623A7E" w:rsidRPr="00BB0D9C">
        <w:rPr>
          <w:rFonts w:cstheme="majorHAnsi"/>
          <w:szCs w:val="22"/>
        </w:rPr>
        <w:t>multipartícipes</w:t>
      </w:r>
      <w:proofErr w:type="spellEnd"/>
      <w:r w:rsidR="00623A7E" w:rsidRPr="00BB0D9C">
        <w:rPr>
          <w:rFonts w:cstheme="majorHAnsi"/>
          <w:szCs w:val="22"/>
        </w:rPr>
        <w:t xml:space="preserve"> carece de un enfoque sistemático para enumerar y monitorear las recomendaciones que surgen de la implementación del EITI</w:t>
      </w:r>
      <w:r w:rsidRPr="00BB0D9C">
        <w:rPr>
          <w:rFonts w:cstheme="majorHAnsi"/>
          <w:szCs w:val="22"/>
        </w:rPr>
        <w:t>.</w:t>
      </w:r>
      <w:r w:rsidR="004171F4" w:rsidRPr="00BB0D9C">
        <w:t xml:space="preserve"> </w:t>
      </w:r>
    </w:p>
    <w:p w14:paraId="2484B26A" w14:textId="77777777" w:rsidR="00C21E37" w:rsidRPr="00BB0D9C" w:rsidRDefault="003D4F11" w:rsidP="00247610">
      <w:pPr>
        <w:spacing w:before="120"/>
        <w:rPr>
          <w:rFonts w:cstheme="majorHAnsi"/>
          <w:szCs w:val="22"/>
        </w:rPr>
      </w:pPr>
      <w:r w:rsidRPr="00BB0D9C">
        <w:t xml:space="preserve">Conforme al Requisito 7.3, Honduras debería tomar medidas para debatir y, cuando se estime pertinente, poner en práctica las enseñanzas derivadas de la presentación de información relativa al EITI. Asimismo, se </w:t>
      </w:r>
      <w:r w:rsidR="00197F3A" w:rsidRPr="00BB0D9C">
        <w:t>le exige</w:t>
      </w:r>
      <w:r w:rsidRPr="00BB0D9C">
        <w:t xml:space="preserve"> al GMP </w:t>
      </w:r>
      <w:r w:rsidR="00197F3A" w:rsidRPr="00BB0D9C">
        <w:t>que</w:t>
      </w:r>
      <w:r w:rsidRPr="00BB0D9C">
        <w:t xml:space="preserve"> </w:t>
      </w:r>
      <w:r w:rsidR="00827CAC" w:rsidRPr="00BB0D9C">
        <w:t>fortalezca</w:t>
      </w:r>
      <w:r w:rsidR="00197F3A" w:rsidRPr="00BB0D9C">
        <w:t xml:space="preserve"> los</w:t>
      </w:r>
      <w:r w:rsidRPr="00BB0D9C">
        <w:t xml:space="preserve"> mecanismo</w:t>
      </w:r>
      <w:r w:rsidR="00197F3A" w:rsidRPr="00BB0D9C">
        <w:t xml:space="preserve">s, más allá de los debates del grupo de </w:t>
      </w:r>
      <w:proofErr w:type="spellStart"/>
      <w:r w:rsidR="00197F3A" w:rsidRPr="00BB0D9C">
        <w:t>multipartícipes</w:t>
      </w:r>
      <w:proofErr w:type="spellEnd"/>
      <w:r w:rsidR="00197F3A" w:rsidRPr="00BB0D9C">
        <w:t xml:space="preserve">, para la enumeración y los seguimientos </w:t>
      </w:r>
      <w:r w:rsidRPr="00BB0D9C">
        <w:t xml:space="preserve">de las recomendaciones derivadas de ejercicios de presentación de información previos. </w:t>
      </w:r>
    </w:p>
    <w:p w14:paraId="11BD53D8" w14:textId="77777777" w:rsidR="004171F4" w:rsidRPr="00BB0D9C" w:rsidRDefault="004171F4" w:rsidP="00164BDC">
      <w:pPr>
        <w:pStyle w:val="Heading2"/>
        <w:numPr>
          <w:ilvl w:val="1"/>
          <w:numId w:val="43"/>
        </w:numPr>
      </w:pPr>
      <w:bookmarkStart w:id="44" w:name="_Toc45021605"/>
      <w:r w:rsidRPr="00BB0D9C">
        <w:t xml:space="preserve">Medida correctiva 12: </w:t>
      </w:r>
      <w:bookmarkStart w:id="45" w:name="_Hlk30506796"/>
      <w:r w:rsidRPr="00BB0D9C">
        <w:t xml:space="preserve">Resultados e impacto de la implementación del EITI </w:t>
      </w:r>
      <w:bookmarkEnd w:id="45"/>
      <w:r w:rsidRPr="00BB0D9C">
        <w:t>(</w:t>
      </w:r>
      <w:proofErr w:type="spellStart"/>
      <w:r w:rsidR="00BD19F3" w:rsidRPr="00BB0D9C">
        <w:t>n.°</w:t>
      </w:r>
      <w:proofErr w:type="spellEnd"/>
      <w:r w:rsidR="00BD19F3" w:rsidRPr="00BB0D9C">
        <w:t> </w:t>
      </w:r>
      <w:r w:rsidRPr="00BB0D9C">
        <w:t>7.4)</w:t>
      </w:r>
      <w:bookmarkEnd w:id="44"/>
    </w:p>
    <w:p w14:paraId="274635F3" w14:textId="77777777" w:rsidR="004171F4" w:rsidRPr="00BB0D9C" w:rsidRDefault="004171F4" w:rsidP="004171F4">
      <w:pPr>
        <w:shd w:val="clear" w:color="auto" w:fill="D9D9D9" w:themeFill="background1" w:themeFillShade="D9"/>
      </w:pPr>
      <w:r w:rsidRPr="00BB0D9C">
        <w:t xml:space="preserve">Conforme al Requisito 7.4, y tal como sugiere la recomendación 5 (Requisito 1.5), el GMP podría desear </w:t>
      </w:r>
      <w:r w:rsidR="006C400C" w:rsidRPr="00BB0D9C">
        <w:t>revisar</w:t>
      </w:r>
      <w:r w:rsidRPr="00BB0D9C">
        <w:t xml:space="preserve"> los resultados e impacto de la implementación del EITI con vistas a influenciar el debate y la elaboración del próximo plan de trabajo, incluido el establecimiento de objetivos de implementación específicos que reflejen las prioridades nacionales actuales para la industria extractiva.</w:t>
      </w:r>
    </w:p>
    <w:p w14:paraId="4B9072C2" w14:textId="77777777" w:rsidR="004171F4" w:rsidRPr="00BB0D9C" w:rsidRDefault="004171F4" w:rsidP="004171F4">
      <w:pPr>
        <w:pStyle w:val="Heading3"/>
      </w:pPr>
      <w:r w:rsidRPr="00BB0D9C">
        <w:t xml:space="preserve">Conclusiones de la primera </w:t>
      </w:r>
      <w:r w:rsidR="00C97170" w:rsidRPr="00BB0D9C">
        <w:t>v</w:t>
      </w:r>
      <w:r w:rsidRPr="00BB0D9C">
        <w:t>alidación</w:t>
      </w:r>
    </w:p>
    <w:p w14:paraId="7F8F6140" w14:textId="77777777" w:rsidR="003D4F11" w:rsidRPr="00BB0D9C" w:rsidRDefault="003D4F11" w:rsidP="003D4F11">
      <w:pPr>
        <w:spacing w:before="120"/>
        <w:rPr>
          <w:rFonts w:cstheme="majorHAnsi"/>
          <w:color w:val="000000" w:themeColor="text1"/>
          <w:szCs w:val="22"/>
        </w:rPr>
      </w:pPr>
      <w:r w:rsidRPr="00BB0D9C">
        <w:t xml:space="preserve">En la primera </w:t>
      </w:r>
      <w:r w:rsidR="00C97170" w:rsidRPr="00BB0D9C">
        <w:t>v</w:t>
      </w:r>
      <w:r w:rsidRPr="00BB0D9C">
        <w:t xml:space="preserve">alidación se llegó a la conclusión de que Honduras había logrado un progreso significativo en el cumplimiento de este requisito. </w:t>
      </w:r>
      <w:r w:rsidRPr="00BB0D9C">
        <w:rPr>
          <w:color w:val="000000" w:themeColor="text1"/>
          <w:szCs w:val="22"/>
        </w:rPr>
        <w:t xml:space="preserve">El GMP había analizado y debatido los resultados y el impacto de la implementación del EITI en la elaboración del </w:t>
      </w:r>
      <w:r w:rsidR="00E62D88" w:rsidRPr="00BB0D9C">
        <w:rPr>
          <w:color w:val="000000" w:themeColor="text1"/>
          <w:szCs w:val="22"/>
        </w:rPr>
        <w:t>informe anual de progreso</w:t>
      </w:r>
      <w:r w:rsidRPr="00BB0D9C">
        <w:rPr>
          <w:color w:val="000000" w:themeColor="text1"/>
          <w:szCs w:val="22"/>
        </w:rPr>
        <w:t xml:space="preserve">. Teniendo en cuenta los reducidos recursos disponibles para EITI Honduras, el Secretariado Internacional consideró entendible que este ejercicio fuera limitado y no arrojara una lista clara de recomendaciones y medidas para fortalecer el impacto de la implementación del EITI. Si bien Honduras había abordado los elementos enumerados en este requisito, no hizo lo suficiente para lograr cabalmente el objetivo más global del requisito. </w:t>
      </w:r>
      <w:r w:rsidRPr="00BB0D9C">
        <w:t xml:space="preserve">El Secretariado Internacional concluyó que el GMP debería revisar los resultados y el impacto de la implementación del EITI antes de adoptar un nuevo plan de trabajo, así como llevar a cabo, consultando a los otros grupos constituyentes, una evaluación del impacto con el propósito de identificar oportunidades para generar un impacto mayor. Se alentó al GMP a estudiar opciones para ampliar la implementación del EITI, a fin de abordar temas que podrían contribuir a los esfuerzos de modernización de Honduras. </w:t>
      </w:r>
    </w:p>
    <w:p w14:paraId="3A92E037" w14:textId="77777777" w:rsidR="004171F4" w:rsidRPr="00BB0D9C" w:rsidRDefault="004171F4" w:rsidP="004171F4">
      <w:pPr>
        <w:pStyle w:val="Heading3"/>
      </w:pPr>
      <w:r w:rsidRPr="00BB0D9C">
        <w:t xml:space="preserve">Progreso desde la </w:t>
      </w:r>
      <w:r w:rsidR="00C97170" w:rsidRPr="00BB0D9C">
        <w:t>primera v</w:t>
      </w:r>
      <w:r w:rsidRPr="00BB0D9C">
        <w:t>alidación</w:t>
      </w:r>
    </w:p>
    <w:p w14:paraId="2FB08382" w14:textId="77777777" w:rsidR="007B2D50" w:rsidRPr="00BB0D9C" w:rsidRDefault="007B2D50" w:rsidP="007B2D50">
      <w:pPr>
        <w:spacing w:before="120"/>
        <w:rPr>
          <w:rFonts w:cstheme="majorHAnsi"/>
          <w:szCs w:val="22"/>
        </w:rPr>
      </w:pPr>
      <w:r w:rsidRPr="00BB0D9C">
        <w:t xml:space="preserve">El GMP publicó el </w:t>
      </w:r>
      <w:r w:rsidR="00E62D88" w:rsidRPr="00BB0D9C">
        <w:t>informe anual de progreso</w:t>
      </w:r>
      <w:r w:rsidRPr="00BB0D9C">
        <w:t xml:space="preserve"> 2018 (</w:t>
      </w:r>
      <w:r w:rsidR="00827CAC" w:rsidRPr="00BB0D9C">
        <w:t>ISP</w:t>
      </w:r>
      <w:r w:rsidRPr="00BB0D9C">
        <w:t xml:space="preserve">) el 24 de abril de 2019. Más allá de eso, hay otras </w:t>
      </w:r>
      <w:r w:rsidR="00C97170" w:rsidRPr="00BB0D9C">
        <w:t xml:space="preserve">pruebas en actas de reuniones del grupo de </w:t>
      </w:r>
      <w:proofErr w:type="spellStart"/>
      <w:r w:rsidR="00C97170" w:rsidRPr="00BB0D9C">
        <w:t>multipartícipes</w:t>
      </w:r>
      <w:proofErr w:type="spellEnd"/>
      <w:r w:rsidR="00C97170" w:rsidRPr="00BB0D9C">
        <w:t xml:space="preserve"> con respecto a los debates sobre </w:t>
      </w:r>
      <w:r w:rsidRPr="00BB0D9C">
        <w:t xml:space="preserve">los resultados y el impacto de la implementación del EITI en la gobernanza de los recursos naturales. El </w:t>
      </w:r>
      <w:r w:rsidR="00C97170" w:rsidRPr="00BB0D9C">
        <w:t xml:space="preserve">informe anual de progreso </w:t>
      </w:r>
      <w:r w:rsidRPr="00BB0D9C">
        <w:t xml:space="preserve">no aborda en detalle las recomendaciones de anteriores presentaciones de información, </w:t>
      </w:r>
      <w:r w:rsidR="00C97170" w:rsidRPr="00BB0D9C">
        <w:t xml:space="preserve">pruebas de </w:t>
      </w:r>
      <w:r w:rsidRPr="00BB0D9C">
        <w:t>que las partes interesadas participa</w:t>
      </w:r>
      <w:r w:rsidR="00C97170" w:rsidRPr="00BB0D9C">
        <w:t>ron</w:t>
      </w:r>
      <w:r w:rsidRPr="00BB0D9C">
        <w:t xml:space="preserve"> efectivamente en la elaboración de este documento</w:t>
      </w:r>
      <w:r w:rsidR="00C97170" w:rsidRPr="00BB0D9C">
        <w:t xml:space="preserve"> y debatieron los resultados y el impacto de la implementación del EITI</w:t>
      </w:r>
      <w:r w:rsidRPr="00BB0D9C">
        <w:t>.</w:t>
      </w:r>
    </w:p>
    <w:p w14:paraId="21B1F0CA" w14:textId="77777777" w:rsidR="00C97170" w:rsidRPr="00BB0D9C" w:rsidRDefault="00B22025" w:rsidP="007B2D50">
      <w:pPr>
        <w:spacing w:before="120" w:line="276" w:lineRule="auto"/>
      </w:pPr>
      <w:r w:rsidRPr="00BB0D9C">
        <w:t xml:space="preserve">Las consultas con partes interesadas confirmaron la falta de esfuerzos sistemáticos destinados a revisar </w:t>
      </w:r>
      <w:r w:rsidR="00C97170" w:rsidRPr="00BB0D9C">
        <w:t>estas cuestiones</w:t>
      </w:r>
      <w:r w:rsidRPr="00BB0D9C">
        <w:t xml:space="preserve">. </w:t>
      </w:r>
      <w:r w:rsidR="00C97170" w:rsidRPr="00BB0D9C">
        <w:t xml:space="preserve">No obstante, el grupo de </w:t>
      </w:r>
      <w:proofErr w:type="spellStart"/>
      <w:r w:rsidR="00C97170" w:rsidRPr="00BB0D9C">
        <w:t>multipartícipes</w:t>
      </w:r>
      <w:proofErr w:type="spellEnd"/>
      <w:r w:rsidR="00C97170" w:rsidRPr="00BB0D9C">
        <w:t xml:space="preserve"> ha debatido estos asuntos, como se refleja en las actas de </w:t>
      </w:r>
      <w:r w:rsidRPr="00BB0D9C">
        <w:t xml:space="preserve">reuniones del </w:t>
      </w:r>
      <w:r w:rsidR="00C97170" w:rsidRPr="00BB0D9C">
        <w:t xml:space="preserve">grupo de </w:t>
      </w:r>
      <w:proofErr w:type="spellStart"/>
      <w:r w:rsidR="00C97170" w:rsidRPr="00BB0D9C">
        <w:t>multipartícipes</w:t>
      </w:r>
      <w:proofErr w:type="spellEnd"/>
      <w:r w:rsidRPr="00BB0D9C">
        <w:t>.</w:t>
      </w:r>
    </w:p>
    <w:p w14:paraId="426F31B3" w14:textId="77777777" w:rsidR="00C97170" w:rsidRPr="00BB0D9C" w:rsidRDefault="00C97170" w:rsidP="00C97170">
      <w:pPr>
        <w:spacing w:before="120" w:line="276" w:lineRule="auto"/>
        <w:rPr>
          <w:szCs w:val="22"/>
        </w:rPr>
      </w:pPr>
      <w:r w:rsidRPr="00BB0D9C">
        <w:rPr>
          <w:bCs/>
          <w:szCs w:val="22"/>
        </w:rPr>
        <w:t xml:space="preserve">Después del comienzo de la segunda validación, Honduras publicó su Informe EITI de 2017-2018 el 10 de febrero de 2020. </w:t>
      </w:r>
      <w:r w:rsidR="00827CAC" w:rsidRPr="00BB0D9C">
        <w:rPr>
          <w:bCs/>
          <w:szCs w:val="22"/>
        </w:rPr>
        <w:t xml:space="preserve">Allí se incluye una sección sobre el debate del impacto de la implementación del </w:t>
      </w:r>
      <w:r w:rsidR="00827CAC" w:rsidRPr="00BB0D9C">
        <w:rPr>
          <w:szCs w:val="22"/>
        </w:rPr>
        <w:t xml:space="preserve">EITI en Honduras (p. 45) y se identifican varios aspectos de la implementación del EITI en Honduras que han tenido un impacto relevante en la gobernanza del sector extractivo. </w:t>
      </w:r>
      <w:r w:rsidRPr="00BB0D9C">
        <w:rPr>
          <w:szCs w:val="22"/>
        </w:rPr>
        <w:t xml:space="preserve">El informe toma nota de que el EITI ha ayudado a reunir apoyo político para reformas destinadas a mejorar el catastro de minería, así como cambios en los procesos internos de INHGEOMIN. De acuerdo con el informe, el EITI también ha ayudado a “municipalidades con actividades de minería en la identificación de oportunidades para fortalecer la gestión de los recursos que reciben de las </w:t>
      </w:r>
      <w:r w:rsidR="00B61C08" w:rsidRPr="00BB0D9C">
        <w:rPr>
          <w:szCs w:val="22"/>
        </w:rPr>
        <w:t>empresa</w:t>
      </w:r>
      <w:r w:rsidRPr="00BB0D9C">
        <w:rPr>
          <w:szCs w:val="22"/>
        </w:rPr>
        <w:t>s mineras” (p. 45).</w:t>
      </w:r>
    </w:p>
    <w:p w14:paraId="2CDEDCB5" w14:textId="236B9FFF" w:rsidR="007B2D50" w:rsidRPr="00BB0D9C" w:rsidRDefault="00C97170" w:rsidP="007B2D50">
      <w:pPr>
        <w:spacing w:before="120" w:line="276" w:lineRule="auto"/>
        <w:rPr>
          <w:szCs w:val="22"/>
        </w:rPr>
      </w:pPr>
      <w:r w:rsidRPr="00BB0D9C">
        <w:rPr>
          <w:szCs w:val="22"/>
        </w:rPr>
        <w:t xml:space="preserve">El informe asimismo enumera otros impactos de la implementación del EITI en Honduras, como una interoperabilidad más sólida de bases de datos públicas con información de actividades de minería (incluido el monitoreo ambiental), la operación de un registro público de </w:t>
      </w:r>
      <w:r w:rsidR="00CD6F50" w:rsidRPr="00BB0D9C">
        <w:rPr>
          <w:szCs w:val="22"/>
        </w:rPr>
        <w:t>las distintas licencias de minería en el país y la modernización de procedimientos administrativos asociados con la información del impuesto anual y los informes de producción</w:t>
      </w:r>
      <w:r w:rsidRPr="00BB0D9C">
        <w:rPr>
          <w:szCs w:val="22"/>
        </w:rPr>
        <w:t xml:space="preserve">. </w:t>
      </w:r>
      <w:r w:rsidR="00CD6F50" w:rsidRPr="00BB0D9C">
        <w:rPr>
          <w:szCs w:val="22"/>
        </w:rPr>
        <w:t xml:space="preserve">Hay una Unidad de Género en </w:t>
      </w:r>
      <w:r w:rsidRPr="00BB0D9C">
        <w:rPr>
          <w:szCs w:val="22"/>
        </w:rPr>
        <w:t xml:space="preserve">INHGEOMIN </w:t>
      </w:r>
      <w:r w:rsidR="00CD6F50" w:rsidRPr="00BB0D9C">
        <w:rPr>
          <w:szCs w:val="22"/>
        </w:rPr>
        <w:t>que</w:t>
      </w:r>
      <w:r w:rsidRPr="00BB0D9C">
        <w:rPr>
          <w:szCs w:val="22"/>
        </w:rPr>
        <w:t xml:space="preserve"> produce</w:t>
      </w:r>
      <w:r w:rsidR="00CD6F50" w:rsidRPr="00BB0D9C">
        <w:rPr>
          <w:szCs w:val="22"/>
        </w:rPr>
        <w:t xml:space="preserve"> información del sector minero con una perspectiva de género</w:t>
      </w:r>
      <w:r w:rsidRPr="00BB0D9C">
        <w:rPr>
          <w:szCs w:val="22"/>
        </w:rPr>
        <w:t xml:space="preserve">, </w:t>
      </w:r>
      <w:r w:rsidR="00CD6F50" w:rsidRPr="00BB0D9C">
        <w:rPr>
          <w:szCs w:val="22"/>
        </w:rPr>
        <w:t xml:space="preserve">junto con las reformas que fortalecen el proceso para compartir información entre </w:t>
      </w:r>
      <w:r w:rsidRPr="00BB0D9C">
        <w:rPr>
          <w:szCs w:val="22"/>
        </w:rPr>
        <w:t xml:space="preserve">INHGEOMIN </w:t>
      </w:r>
      <w:r w:rsidR="00CD6F50" w:rsidRPr="00BB0D9C">
        <w:rPr>
          <w:szCs w:val="22"/>
        </w:rPr>
        <w:t>y</w:t>
      </w:r>
      <w:r w:rsidRPr="00BB0D9C">
        <w:rPr>
          <w:szCs w:val="22"/>
        </w:rPr>
        <w:t xml:space="preserve"> SAR.</w:t>
      </w:r>
    </w:p>
    <w:p w14:paraId="7CC5DFD2" w14:textId="77777777" w:rsidR="004171F4" w:rsidRPr="00BB0D9C" w:rsidRDefault="004171F4" w:rsidP="004171F4">
      <w:pPr>
        <w:pStyle w:val="Heading3"/>
      </w:pPr>
      <w:r w:rsidRPr="00BB0D9C">
        <w:t>Evaluación del Secretariado</w:t>
      </w:r>
    </w:p>
    <w:p w14:paraId="4E2873D9" w14:textId="77777777" w:rsidR="00870B72" w:rsidRPr="00BB0D9C" w:rsidRDefault="00CD6F50" w:rsidP="001F1C0D">
      <w:pPr>
        <w:spacing w:before="100" w:beforeAutospacing="1" w:after="100" w:afterAutospacing="1"/>
        <w:rPr>
          <w:rFonts w:cstheme="majorHAnsi"/>
          <w:szCs w:val="22"/>
        </w:rPr>
      </w:pPr>
      <w:r w:rsidRPr="00BB0D9C">
        <w:rPr>
          <w:szCs w:val="22"/>
          <w:u w:val="single"/>
        </w:rPr>
        <w:t>Al comienzo de la segunda validación, l</w:t>
      </w:r>
      <w:r w:rsidR="004171F4" w:rsidRPr="00BB0D9C">
        <w:rPr>
          <w:szCs w:val="22"/>
          <w:u w:val="single"/>
        </w:rPr>
        <w:t>a evaluación del Secretariado Internacional es que Honduras no ha</w:t>
      </w:r>
      <w:r w:rsidRPr="00BB0D9C">
        <w:rPr>
          <w:szCs w:val="22"/>
          <w:u w:val="single"/>
        </w:rPr>
        <w:t>bía</w:t>
      </w:r>
      <w:r w:rsidR="004171F4" w:rsidRPr="00BB0D9C">
        <w:rPr>
          <w:szCs w:val="22"/>
          <w:u w:val="single"/>
        </w:rPr>
        <w:t xml:space="preserve"> abordado la medida correctiva y que ha</w:t>
      </w:r>
      <w:r w:rsidRPr="00BB0D9C">
        <w:rPr>
          <w:szCs w:val="22"/>
          <w:u w:val="single"/>
        </w:rPr>
        <w:t>bía logrado</w:t>
      </w:r>
      <w:r w:rsidR="004171F4" w:rsidRPr="00BB0D9C">
        <w:rPr>
          <w:szCs w:val="22"/>
          <w:u w:val="single"/>
        </w:rPr>
        <w:t xml:space="preserve"> un progreso significativo sin mejoras en lo que respecta al cumplimiento del </w:t>
      </w:r>
      <w:r w:rsidRPr="00BB0D9C">
        <w:rPr>
          <w:szCs w:val="22"/>
          <w:u w:val="single"/>
        </w:rPr>
        <w:t>r</w:t>
      </w:r>
      <w:r w:rsidR="004171F4" w:rsidRPr="00BB0D9C">
        <w:rPr>
          <w:szCs w:val="22"/>
          <w:u w:val="single"/>
        </w:rPr>
        <w:t>equisito 7.4</w:t>
      </w:r>
      <w:r w:rsidRPr="00BB0D9C">
        <w:rPr>
          <w:szCs w:val="22"/>
          <w:u w:val="single"/>
        </w:rPr>
        <w:t>. Sujeto a que el Consejo tenga en cuenta nueva información publicada después del comienzo de la segunda validación, la evaluación del Secretariado internacional es que Honduras ha abordado plenamente la medida correctiva referida a la revisión de los resultados y el impacto de la implementación del EITI y ha hecho un progreso satisfactorio hacia el cumplimiento del requisito 7.4.</w:t>
      </w:r>
      <w:r w:rsidR="004171F4" w:rsidRPr="00BB0D9C">
        <w:t xml:space="preserve"> </w:t>
      </w:r>
    </w:p>
    <w:p w14:paraId="00F12FB7" w14:textId="72E5D007" w:rsidR="00A86728" w:rsidRPr="00BB0D9C" w:rsidRDefault="00A86728" w:rsidP="00A86728">
      <w:pPr>
        <w:spacing w:before="120"/>
        <w:rPr>
          <w:rFonts w:cstheme="majorHAnsi"/>
          <w:szCs w:val="22"/>
        </w:rPr>
      </w:pPr>
      <w:r w:rsidRPr="00BB0D9C">
        <w:rPr>
          <w:rFonts w:cstheme="majorHAnsi"/>
          <w:szCs w:val="22"/>
        </w:rPr>
        <w:t xml:space="preserve">La primera validación tomó nota de que el grupo de </w:t>
      </w:r>
      <w:proofErr w:type="spellStart"/>
      <w:r w:rsidRPr="00BB0D9C">
        <w:rPr>
          <w:rFonts w:cstheme="majorHAnsi"/>
          <w:szCs w:val="22"/>
        </w:rPr>
        <w:t>multipartícipes</w:t>
      </w:r>
      <w:proofErr w:type="spellEnd"/>
      <w:r w:rsidRPr="00BB0D9C">
        <w:rPr>
          <w:rFonts w:cstheme="majorHAnsi"/>
          <w:szCs w:val="22"/>
        </w:rPr>
        <w:t xml:space="preserve"> hizo algunos esfuerzos de revisión de los resultados y el impacto de la implementación del EITI</w:t>
      </w:r>
      <w:r w:rsidRPr="00BB0D9C" w:rsidDel="006A237B">
        <w:rPr>
          <w:rFonts w:cstheme="majorHAnsi"/>
          <w:szCs w:val="22"/>
        </w:rPr>
        <w:t xml:space="preserve">. </w:t>
      </w:r>
      <w:r w:rsidRPr="00BB0D9C">
        <w:rPr>
          <w:rFonts w:cstheme="majorHAnsi"/>
          <w:szCs w:val="22"/>
        </w:rPr>
        <w:t xml:space="preserve">El </w:t>
      </w:r>
      <w:r w:rsidR="003E2F0A" w:rsidRPr="00BB0D9C">
        <w:rPr>
          <w:rFonts w:cstheme="majorHAnsi"/>
          <w:szCs w:val="22"/>
        </w:rPr>
        <w:t>inform</w:t>
      </w:r>
      <w:r w:rsidR="003E2F0A">
        <w:rPr>
          <w:rFonts w:cstheme="majorHAnsi"/>
          <w:szCs w:val="22"/>
        </w:rPr>
        <w:t>e</w:t>
      </w:r>
      <w:r w:rsidR="003E2F0A" w:rsidRPr="00BB0D9C">
        <w:rPr>
          <w:rFonts w:cstheme="majorHAnsi"/>
          <w:szCs w:val="22"/>
        </w:rPr>
        <w:t xml:space="preserve"> </w:t>
      </w:r>
      <w:r w:rsidRPr="00BB0D9C">
        <w:rPr>
          <w:rFonts w:cstheme="majorHAnsi"/>
          <w:szCs w:val="22"/>
        </w:rPr>
        <w:t xml:space="preserve">anual de progreso de 2018 se había centrado más en las actividades que en el impacto. Aunque el grupo de </w:t>
      </w:r>
      <w:proofErr w:type="spellStart"/>
      <w:r w:rsidRPr="00BB0D9C">
        <w:rPr>
          <w:rFonts w:cstheme="majorHAnsi"/>
          <w:szCs w:val="22"/>
        </w:rPr>
        <w:t>multipartícipes</w:t>
      </w:r>
      <w:proofErr w:type="spellEnd"/>
      <w:r w:rsidRPr="00BB0D9C">
        <w:rPr>
          <w:rFonts w:cstheme="majorHAnsi"/>
          <w:szCs w:val="22"/>
        </w:rPr>
        <w:t xml:space="preserve"> carece de un enfoque sistemático para revisar resultados e impacto, los debates registrados han incluido cierto enfoque en esos asuntos. Sin embargo, el Informe EITI de 2017-2018 documenta e informa sobre el debate de partes interesadas y la identificación de áreas de impacto (pp. 45-46). </w:t>
      </w:r>
      <w:r w:rsidR="0009556F" w:rsidRPr="00BB0D9C">
        <w:rPr>
          <w:rFonts w:cstheme="majorHAnsi"/>
          <w:szCs w:val="22"/>
        </w:rPr>
        <w:t xml:space="preserve">La evaluación del impacto estuvo avalada por el grupo de </w:t>
      </w:r>
      <w:proofErr w:type="spellStart"/>
      <w:r w:rsidR="0009556F" w:rsidRPr="00BB0D9C">
        <w:rPr>
          <w:rFonts w:cstheme="majorHAnsi"/>
          <w:szCs w:val="22"/>
        </w:rPr>
        <w:t>multipartícipes</w:t>
      </w:r>
      <w:proofErr w:type="spellEnd"/>
      <w:r w:rsidR="0009556F" w:rsidRPr="00BB0D9C">
        <w:rPr>
          <w:rFonts w:cstheme="majorHAnsi"/>
          <w:szCs w:val="22"/>
        </w:rPr>
        <w:t xml:space="preserve"> y está públicamente disponible a través del informe</w:t>
      </w:r>
      <w:r w:rsidRPr="00BB0D9C">
        <w:rPr>
          <w:rFonts w:cstheme="majorHAnsi"/>
          <w:szCs w:val="22"/>
        </w:rPr>
        <w:t>.</w:t>
      </w:r>
    </w:p>
    <w:p w14:paraId="3FC037D4" w14:textId="77777777" w:rsidR="00FB770C" w:rsidRPr="00BB0D9C" w:rsidRDefault="0009556F" w:rsidP="00A86728">
      <w:pPr>
        <w:spacing w:before="100" w:beforeAutospacing="1" w:after="100" w:afterAutospacing="1"/>
        <w:rPr>
          <w:rFonts w:cstheme="majorHAnsi"/>
          <w:szCs w:val="22"/>
        </w:rPr>
      </w:pPr>
      <w:r w:rsidRPr="00BB0D9C">
        <w:rPr>
          <w:rFonts w:cstheme="majorHAnsi"/>
          <w:i/>
          <w:iCs/>
          <w:szCs w:val="22"/>
        </w:rPr>
        <w:t>Si el Consejo no tiene en cuenta nueva información publicada después del comienzo de la segunda validación</w:t>
      </w:r>
      <w:r w:rsidR="00A86728" w:rsidRPr="00BB0D9C">
        <w:rPr>
          <w:rFonts w:cstheme="majorHAnsi"/>
          <w:i/>
          <w:iCs/>
          <w:szCs w:val="22"/>
        </w:rPr>
        <w:t xml:space="preserve">, Honduras </w:t>
      </w:r>
      <w:r w:rsidRPr="00BB0D9C">
        <w:rPr>
          <w:rFonts w:cstheme="majorHAnsi"/>
          <w:i/>
          <w:iCs/>
          <w:szCs w:val="22"/>
        </w:rPr>
        <w:t>deberá abordar la siguiente medida correctiva</w:t>
      </w:r>
      <w:r w:rsidR="00A86728" w:rsidRPr="00BB0D9C">
        <w:rPr>
          <w:rFonts w:cstheme="majorHAnsi"/>
          <w:szCs w:val="22"/>
        </w:rPr>
        <w:t xml:space="preserve">: </w:t>
      </w:r>
      <w:r w:rsidRPr="00BB0D9C">
        <w:rPr>
          <w:rFonts w:cstheme="majorHAnsi"/>
          <w:szCs w:val="22"/>
        </w:rPr>
        <w:t xml:space="preserve">de acuerdo con el requisito 7.4, el grupo de </w:t>
      </w:r>
      <w:proofErr w:type="spellStart"/>
      <w:r w:rsidRPr="00BB0D9C">
        <w:rPr>
          <w:rFonts w:cstheme="majorHAnsi"/>
          <w:szCs w:val="22"/>
        </w:rPr>
        <w:t>multipartícipes</w:t>
      </w:r>
      <w:proofErr w:type="spellEnd"/>
      <w:r w:rsidRPr="00BB0D9C">
        <w:rPr>
          <w:rFonts w:cstheme="majorHAnsi"/>
          <w:szCs w:val="22"/>
        </w:rPr>
        <w:t xml:space="preserve"> debe revisar los resultados y el impacto de la implementación del </w:t>
      </w:r>
      <w:r w:rsidR="00A86728" w:rsidRPr="00BB0D9C">
        <w:rPr>
          <w:rFonts w:cstheme="majorHAnsi"/>
          <w:szCs w:val="22"/>
        </w:rPr>
        <w:t xml:space="preserve">EITI </w:t>
      </w:r>
      <w:r w:rsidRPr="00BB0D9C">
        <w:rPr>
          <w:rFonts w:cstheme="majorHAnsi"/>
          <w:szCs w:val="22"/>
        </w:rPr>
        <w:t xml:space="preserve">sobre la gobernanza de los recursos naturales y documentarlos en un informe anual de progreso o a través de otros medios acordados por el grupo de </w:t>
      </w:r>
      <w:proofErr w:type="spellStart"/>
      <w:r w:rsidRPr="00BB0D9C">
        <w:rPr>
          <w:rFonts w:cstheme="majorHAnsi"/>
          <w:szCs w:val="22"/>
        </w:rPr>
        <w:t>multipartícipes</w:t>
      </w:r>
      <w:proofErr w:type="spellEnd"/>
      <w:r w:rsidR="00A86728" w:rsidRPr="00BB0D9C">
        <w:rPr>
          <w:rFonts w:cstheme="majorHAnsi"/>
          <w:szCs w:val="22"/>
        </w:rPr>
        <w:t xml:space="preserve">. </w:t>
      </w:r>
      <w:r w:rsidRPr="00BB0D9C">
        <w:rPr>
          <w:rFonts w:cstheme="majorHAnsi"/>
          <w:szCs w:val="22"/>
        </w:rPr>
        <w:t xml:space="preserve">Esto debe incluir toda acción emprendida para abordar cuestiones que el grupo de </w:t>
      </w:r>
      <w:proofErr w:type="spellStart"/>
      <w:r w:rsidRPr="00BB0D9C">
        <w:rPr>
          <w:rFonts w:cstheme="majorHAnsi"/>
          <w:szCs w:val="22"/>
        </w:rPr>
        <w:t>multipartícipes</w:t>
      </w:r>
      <w:proofErr w:type="spellEnd"/>
      <w:r w:rsidRPr="00BB0D9C">
        <w:rPr>
          <w:rFonts w:cstheme="majorHAnsi"/>
          <w:szCs w:val="22"/>
        </w:rPr>
        <w:t xml:space="preserve"> haya identificado como prioridades para la implementación del EITI</w:t>
      </w:r>
      <w:r w:rsidR="00A86728" w:rsidRPr="00BB0D9C">
        <w:rPr>
          <w:rFonts w:cstheme="majorHAnsi"/>
          <w:szCs w:val="22"/>
        </w:rPr>
        <w:t>.</w:t>
      </w:r>
    </w:p>
    <w:p w14:paraId="4C2A8A45" w14:textId="77777777" w:rsidR="005F5A9B" w:rsidRPr="00BB0D9C" w:rsidRDefault="005F5A9B" w:rsidP="009421A4">
      <w:pPr>
        <w:spacing w:before="100" w:beforeAutospacing="1" w:after="100" w:afterAutospacing="1"/>
        <w:rPr>
          <w:rFonts w:cstheme="majorHAnsi"/>
          <w:szCs w:val="22"/>
        </w:rPr>
      </w:pPr>
    </w:p>
    <w:p w14:paraId="17075E99" w14:textId="77777777" w:rsidR="00A95B1F" w:rsidRPr="00BB0D9C" w:rsidRDefault="00F279B5" w:rsidP="00B62345">
      <w:pPr>
        <w:pStyle w:val="Heading1"/>
        <w:rPr>
          <w:rFonts w:ascii="Franklin Gothic Book" w:hAnsi="Franklin Gothic Book"/>
        </w:rPr>
      </w:pPr>
      <w:bookmarkStart w:id="46" w:name="_Toc45021606"/>
      <w:bookmarkEnd w:id="18"/>
      <w:r w:rsidRPr="00BB0D9C">
        <w:rPr>
          <w:rFonts w:ascii="Franklin Gothic Book" w:hAnsi="Franklin Gothic Book"/>
        </w:rPr>
        <w:t xml:space="preserve">Requisitos evaluados como satisfactorios en la 1.ª </w:t>
      </w:r>
      <w:r w:rsidR="0009556F" w:rsidRPr="00BB0D9C">
        <w:rPr>
          <w:rFonts w:ascii="Franklin Gothic Book" w:hAnsi="Franklin Gothic Book"/>
        </w:rPr>
        <w:t>v</w:t>
      </w:r>
      <w:r w:rsidRPr="00BB0D9C">
        <w:rPr>
          <w:rFonts w:ascii="Franklin Gothic Book" w:hAnsi="Franklin Gothic Book"/>
        </w:rPr>
        <w:t>alidación</w:t>
      </w:r>
      <w:bookmarkEnd w:id="46"/>
    </w:p>
    <w:p w14:paraId="10C4CBC8" w14:textId="77777777" w:rsidR="0009065C" w:rsidRPr="00BB0D9C" w:rsidRDefault="0009065C" w:rsidP="00A95B1F">
      <w:r w:rsidRPr="00BB0D9C">
        <w:t xml:space="preserve">Durante su labor de evaluación, el Secretariado Internacional también se planteó si </w:t>
      </w:r>
      <w:proofErr w:type="gramStart"/>
      <w:r w:rsidRPr="00BB0D9C">
        <w:t>sería</w:t>
      </w:r>
      <w:proofErr w:type="gramEnd"/>
      <w:r w:rsidRPr="00BB0D9C">
        <w:t xml:space="preserve"> necesario analizar requisitos ulteriores, es decir, aquellos en los cuales se había observado un “progreso satisfactorio” o “superior” en la primera Validación. En particular, el Secretariado </w:t>
      </w:r>
      <w:r w:rsidR="00E95DE8" w:rsidRPr="00BB0D9C">
        <w:t xml:space="preserve">consideró la posibilidad de </w:t>
      </w:r>
      <w:r w:rsidRPr="00BB0D9C">
        <w:t xml:space="preserve">un retroceso </w:t>
      </w:r>
      <w:r w:rsidR="00E95DE8" w:rsidRPr="00BB0D9C">
        <w:t>con respecto al r</w:t>
      </w:r>
      <w:r w:rsidRPr="00BB0D9C">
        <w:t>equisito 1.4 sobre la supervisión del GMP</w:t>
      </w:r>
      <w:r w:rsidR="00E95DE8" w:rsidRPr="00BB0D9C">
        <w:t xml:space="preserve"> y el nivel de desglose (requisito 4.7)</w:t>
      </w:r>
      <w:r w:rsidRPr="00BB0D9C">
        <w:t xml:space="preserve">. La opinión del Secretariado Internacional es que no hay muestras suficientes que sugieran que el nivel de progreso ha caído por debajo del estándar requerido en el </w:t>
      </w:r>
      <w:r w:rsidR="00E95DE8" w:rsidRPr="00BB0D9C">
        <w:t>r</w:t>
      </w:r>
      <w:r w:rsidRPr="00BB0D9C">
        <w:t>equisito 1.4</w:t>
      </w:r>
      <w:r w:rsidR="00E95DE8" w:rsidRPr="00BB0D9C">
        <w:t>, pero determinó que ya no se cumple el requisito 4.7</w:t>
      </w:r>
      <w:r w:rsidRPr="00BB0D9C">
        <w:t>.</w:t>
      </w:r>
    </w:p>
    <w:p w14:paraId="68CA73F9" w14:textId="77777777" w:rsidR="00F11E42" w:rsidRPr="00BB0D9C" w:rsidRDefault="00F11E42" w:rsidP="00A95B1F"/>
    <w:p w14:paraId="39CFF9C3" w14:textId="77777777" w:rsidR="009B6240" w:rsidRPr="00BB0D9C" w:rsidRDefault="001C126E" w:rsidP="0043033B">
      <w:pPr>
        <w:pStyle w:val="Heading2"/>
        <w:numPr>
          <w:ilvl w:val="0"/>
          <w:numId w:val="0"/>
        </w:numPr>
        <w:ind w:left="360"/>
      </w:pPr>
      <w:bookmarkStart w:id="47" w:name="_Toc45021607"/>
      <w:r w:rsidRPr="00BB0D9C">
        <w:t xml:space="preserve">5.1 Evaluación de la supervisión del </w:t>
      </w:r>
      <w:r w:rsidR="002F4B91" w:rsidRPr="00BB0D9C">
        <w:t xml:space="preserve">grupo de </w:t>
      </w:r>
      <w:proofErr w:type="spellStart"/>
      <w:r w:rsidR="002F4B91" w:rsidRPr="00BB0D9C">
        <w:t>multipartícipes</w:t>
      </w:r>
      <w:proofErr w:type="spellEnd"/>
      <w:r w:rsidRPr="00BB0D9C">
        <w:t xml:space="preserve"> (</w:t>
      </w:r>
      <w:proofErr w:type="spellStart"/>
      <w:r w:rsidR="002F4B91" w:rsidRPr="00BB0D9C">
        <w:t>n.°</w:t>
      </w:r>
      <w:proofErr w:type="spellEnd"/>
      <w:r w:rsidR="002F4B91" w:rsidRPr="00BB0D9C">
        <w:t> </w:t>
      </w:r>
      <w:r w:rsidRPr="00BB0D9C">
        <w:t>1.4)</w:t>
      </w:r>
      <w:bookmarkEnd w:id="47"/>
    </w:p>
    <w:p w14:paraId="7AAD93AA" w14:textId="77777777" w:rsidR="009B6240" w:rsidRPr="00BB0D9C" w:rsidRDefault="009B6240" w:rsidP="00310A3A">
      <w:pPr>
        <w:pStyle w:val="Heading3"/>
      </w:pPr>
      <w:r w:rsidRPr="00BB0D9C">
        <w:t xml:space="preserve">Conclusiones de la primera </w:t>
      </w:r>
      <w:r w:rsidR="002F4B91" w:rsidRPr="00BB0D9C">
        <w:t>v</w:t>
      </w:r>
      <w:r w:rsidRPr="00BB0D9C">
        <w:t>alidación</w:t>
      </w:r>
    </w:p>
    <w:p w14:paraId="7006DB30" w14:textId="77777777" w:rsidR="001334CF" w:rsidRPr="00BB0D9C" w:rsidRDefault="001334CF" w:rsidP="001334CF">
      <w:r w:rsidRPr="00BB0D9C">
        <w:t xml:space="preserve">En la primera Validación se llegó a la conclusión de que Honduras había tenido un progreso satisfactorio en el cumplimiento de este requisito. En ese momento, había un grupo </w:t>
      </w:r>
      <w:proofErr w:type="spellStart"/>
      <w:r w:rsidRPr="00BB0D9C">
        <w:t>multipartícipe</w:t>
      </w:r>
      <w:proofErr w:type="spellEnd"/>
      <w:r w:rsidRPr="00BB0D9C">
        <w:t xml:space="preserve"> del EITI que se había mostrado activo e involucrado durante la mayor parte de los tres años y medio de implementación del EITI. La composición, el mandato y la gobernanza del GMP parecían ser adecuados, y sus tres grupos constituyentes estaban involucrados en el proceso. En particular, el gobierno estaba comprometido a trabajar con la sociedad civil y las empresas. Si bien la falta de un secretariado nacional con recursos adecuados había afectado la capacidad de funcionamiento del GMP, se consideró que Honduras había cumplido el objetivo más global de este requisito. La falta de recursos suficientes para EITI Honduras ya </w:t>
      </w:r>
      <w:r w:rsidR="002F4B91" w:rsidRPr="00BB0D9C">
        <w:t>se había tratado en la primera v</w:t>
      </w:r>
      <w:r w:rsidRPr="00BB0D9C">
        <w:t xml:space="preserve">alidación como parte del </w:t>
      </w:r>
      <w:r w:rsidR="002F4B91" w:rsidRPr="00BB0D9C">
        <w:t>r</w:t>
      </w:r>
      <w:r w:rsidRPr="00BB0D9C">
        <w:t>equisito 1.1.</w:t>
      </w:r>
    </w:p>
    <w:p w14:paraId="5213B925" w14:textId="77777777" w:rsidR="00EE5F75" w:rsidRPr="00BB0D9C" w:rsidRDefault="00EE5F75" w:rsidP="00EE5F75">
      <w:pPr>
        <w:pStyle w:val="Heading3"/>
      </w:pPr>
      <w:r w:rsidRPr="00BB0D9C">
        <w:t xml:space="preserve">Progreso desde la </w:t>
      </w:r>
      <w:r w:rsidR="002F4B91" w:rsidRPr="00BB0D9C">
        <w:t>primera v</w:t>
      </w:r>
      <w:r w:rsidRPr="00BB0D9C">
        <w:t>alidación</w:t>
      </w:r>
    </w:p>
    <w:p w14:paraId="59B2B242" w14:textId="77777777" w:rsidR="006F1927" w:rsidRPr="00BB0D9C" w:rsidRDefault="006F1927" w:rsidP="006F1927">
      <w:pPr>
        <w:rPr>
          <w:bCs/>
        </w:rPr>
      </w:pPr>
      <w:r w:rsidRPr="00BB0D9C">
        <w:t>El incidente con el comunicado del GMP en diciembre de 2018 y la consecuente respuesta de la coalición de la sociedad civil CONROA han generado preocupación en cuanto al funcionamiento del GMP en Honduras, y la participación de sus grupos constituyentes. El comunicado de prensa del GMP de diciembre de 2018 (Anexo A), que</w:t>
      </w:r>
      <w:r w:rsidR="009B24F2" w:rsidRPr="00BB0D9C">
        <w:t xml:space="preserve"> es el núcleo</w:t>
      </w:r>
      <w:r w:rsidRPr="00BB0D9C">
        <w:t xml:space="preserve"> de este incidente, expresaba apoyo a proyectos de minería específicos y criticaba la oposición a ellos por parte de organizaciones de la sociedad civil, lo cual generó preocupación respecto de las actividades y protestas de la sociedad civil en curso. El comunicado se publicó sin que todos los miembros del GMP estuvieran al tanto, y provocó el inmediato rechazo de la CONROA, que emitió una respuesta formal el 17 de diciembre de 2018 (Anexo B) en la cual enfatizó, entre otras cuestiones, que el documento se había publicado sin el aval de todas las organizaciones de la sociedad civil que integran el GMP. </w:t>
      </w:r>
    </w:p>
    <w:p w14:paraId="376D6472" w14:textId="77777777" w:rsidR="00CD050A" w:rsidRPr="00BB0D9C" w:rsidRDefault="006F1927" w:rsidP="00CD050A">
      <w:pPr>
        <w:autoSpaceDE w:val="0"/>
        <w:autoSpaceDN w:val="0"/>
        <w:adjustRightInd w:val="0"/>
        <w:spacing w:after="0" w:line="240" w:lineRule="auto"/>
      </w:pPr>
      <w:r w:rsidRPr="00BB0D9C">
        <w:t xml:space="preserve">Esto puede interpretarse como una señal de participación deficiente por parte de las organizaciones de la sociedad civil. La mayoría de las organizaciones de la sociedad civil consultadas confirmó que esto era un inconveniente, y subrayó el hecho de que el comunicado se había adoptado sin escuchar a varios miembros del GMP. Explicaron que esto ocurrió porque el tema se había planteado durante la reunión del GMP del 11 de diciembre de 2018, a la cual había asistido solo una organización de la sociedad civil (FOPRIDEH) (véase el Anexo C). Asimismo, agregaron que no se había seguido el procedimiento adecuado para la emisión de este tipo de comunicaciones, y que el comunicado se había hecho público pese a que no se lo había hecho circular antes de la reunión para que los ausentes pudieran conocer su contenido y ofrecer sus comentarios al respecto. </w:t>
      </w:r>
    </w:p>
    <w:p w14:paraId="7AB3346A" w14:textId="77777777" w:rsidR="00CD050A" w:rsidRPr="00BB0D9C" w:rsidRDefault="00CD050A" w:rsidP="00CD050A">
      <w:pPr>
        <w:autoSpaceDE w:val="0"/>
        <w:autoSpaceDN w:val="0"/>
        <w:adjustRightInd w:val="0"/>
        <w:spacing w:after="0" w:line="240" w:lineRule="auto"/>
      </w:pPr>
    </w:p>
    <w:p w14:paraId="47EEBFE4" w14:textId="77777777" w:rsidR="00CD050A" w:rsidRPr="00BB0D9C" w:rsidRDefault="00CD050A" w:rsidP="00CD050A">
      <w:pPr>
        <w:autoSpaceDE w:val="0"/>
        <w:autoSpaceDN w:val="0"/>
        <w:adjustRightInd w:val="0"/>
        <w:spacing w:after="0" w:line="240" w:lineRule="auto"/>
        <w:rPr>
          <w:rFonts w:cstheme="majorHAnsi"/>
          <w:szCs w:val="22"/>
        </w:rPr>
      </w:pPr>
      <w:r w:rsidRPr="00BB0D9C">
        <w:t xml:space="preserve">Los </w:t>
      </w:r>
      <w:proofErr w:type="spellStart"/>
      <w:r w:rsidRPr="00BB0D9C">
        <w:t>TdR</w:t>
      </w:r>
      <w:proofErr w:type="spellEnd"/>
      <w:r w:rsidRPr="00BB0D9C">
        <w:t xml:space="preserve"> del GMP establecen un quorum mínimo de dos participantes por cada grupo constituyente (Art. 13 h.), condición que no se cumplió en la reunión del 11 de diciembre de 2018, dado que solo un representante de la sociedad civil estuvo presente. Los </w:t>
      </w:r>
      <w:proofErr w:type="spellStart"/>
      <w:r w:rsidRPr="00BB0D9C">
        <w:t>TdR</w:t>
      </w:r>
      <w:proofErr w:type="spellEnd"/>
      <w:r w:rsidRPr="00BB0D9C">
        <w:t xml:space="preserve"> también exigen que se difundan las actas y que se otorguen 48 horas para que cualquier miembro pueda formular comentarios u observaciones (Art. 13. h), otra condición que, según las partes interesadas consultadas, no se respetó.</w:t>
      </w:r>
      <w:r w:rsidR="00827CAC" w:rsidRPr="00BB0D9C">
        <w:t xml:space="preserve"> </w:t>
      </w:r>
      <w:r w:rsidR="002F4B91" w:rsidRPr="00BB0D9C">
        <w:t>L</w:t>
      </w:r>
      <w:r w:rsidRPr="00BB0D9C">
        <w:t xml:space="preserve">os </w:t>
      </w:r>
      <w:proofErr w:type="spellStart"/>
      <w:r w:rsidRPr="00BB0D9C">
        <w:t>TdR</w:t>
      </w:r>
      <w:proofErr w:type="spellEnd"/>
      <w:r w:rsidRPr="00BB0D9C">
        <w:t xml:space="preserve"> </w:t>
      </w:r>
      <w:r w:rsidR="002F4B91" w:rsidRPr="00BB0D9C">
        <w:t xml:space="preserve">también </w:t>
      </w:r>
      <w:r w:rsidRPr="00BB0D9C">
        <w:t>disponen que las actas deben firmarse en la reunión subsiguiente (Art. 13. H), lo cual tampoco ocurrió en el caso del 11 de diciembre de 2018.</w:t>
      </w:r>
      <w:r w:rsidR="00827CAC" w:rsidRPr="00BB0D9C">
        <w:t xml:space="preserve"> </w:t>
      </w:r>
    </w:p>
    <w:p w14:paraId="2D44718F" w14:textId="77777777" w:rsidR="006F1927" w:rsidRPr="00BB0D9C" w:rsidRDefault="006F1927" w:rsidP="006F1927"/>
    <w:p w14:paraId="35C54BB9" w14:textId="77777777" w:rsidR="006F1927" w:rsidRPr="00BB0D9C" w:rsidRDefault="00027EAC" w:rsidP="006F1927">
      <w:r w:rsidRPr="00BB0D9C">
        <w:t xml:space="preserve">Por último, según pudo averiguar el Secretariado Internacional, la mayoría de las organizaciones de la sociedad civil del GMP no estaba al tanto de este comunicado, ni de la consecuente reacción de la CONROA. Recién se enteraron cuando el Secretariado Internacional se puso en contacto con ellas en febrero de 2019 para tratar el tema. Según surge de las consultas, el GMP posteriormente recibió una carta de protesta de una de las organizaciones de la sociedad civil por el modo en que se había manejado el asunto. </w:t>
      </w:r>
    </w:p>
    <w:p w14:paraId="6CF6CAB3" w14:textId="77777777" w:rsidR="009B6240" w:rsidRPr="00BB0D9C" w:rsidRDefault="009B6240" w:rsidP="00310A3A">
      <w:pPr>
        <w:pStyle w:val="Heading3"/>
      </w:pPr>
      <w:r w:rsidRPr="00BB0D9C">
        <w:t>Evaluación del Secretariado</w:t>
      </w:r>
    </w:p>
    <w:p w14:paraId="52CB34B4" w14:textId="77777777" w:rsidR="001F6E31" w:rsidRPr="00BB0D9C" w:rsidRDefault="007D7905" w:rsidP="001F6E31">
      <w:pPr>
        <w:spacing w:before="100" w:beforeAutospacing="1" w:after="100" w:afterAutospacing="1"/>
        <w:rPr>
          <w:rFonts w:cstheme="majorHAnsi"/>
          <w:szCs w:val="22"/>
        </w:rPr>
      </w:pPr>
      <w:r w:rsidRPr="00BB0D9C">
        <w:rPr>
          <w:szCs w:val="22"/>
          <w:u w:val="single"/>
        </w:rPr>
        <w:t>El Secretariado Internacional considera que Honduras ha tenido un progreso satisfactorio con respecto al Requisito 1.4</w:t>
      </w:r>
      <w:r w:rsidRPr="00BB0D9C">
        <w:t xml:space="preserve">. Tras considerar el asunto, el Secretariado Internacional llegó a la conclusión de que el GMP supervisó la implementación del EITI en el período 2017-2019, y que el incidente con el comunicado del GMP de diciembre de 2018 era un hecho aislado, </w:t>
      </w:r>
      <w:r w:rsidR="0091544D" w:rsidRPr="00BB0D9C">
        <w:t>que</w:t>
      </w:r>
      <w:r w:rsidRPr="00BB0D9C">
        <w:t xml:space="preserve"> no constituye un elemento de convicción suficiente para baja la calificación del progreso de Honduras con respecto a este requisito.</w:t>
      </w:r>
      <w:r w:rsidR="00827CAC" w:rsidRPr="00BB0D9C">
        <w:t xml:space="preserve"> </w:t>
      </w:r>
      <w:r w:rsidRPr="00BB0D9C">
        <w:t>El Secretariado Internacional también observa que, tratándose de un hecho aislado, el manejo del comunicado del GMP de diciembre de 2018 constituye un incumplimiento del Requisito 1.4 (b) (vi) y (</w:t>
      </w:r>
      <w:proofErr w:type="spellStart"/>
      <w:r w:rsidRPr="00BB0D9C">
        <w:t>vii</w:t>
      </w:r>
      <w:proofErr w:type="spellEnd"/>
      <w:r w:rsidRPr="00BB0D9C">
        <w:t xml:space="preserve">), por cuanto no se hicieron circular oportunamente los documentos para debatirlos, y porque no se respetaron los procedimientos previstos en los </w:t>
      </w:r>
      <w:proofErr w:type="spellStart"/>
      <w:r w:rsidRPr="00BB0D9C">
        <w:t>TdR</w:t>
      </w:r>
      <w:proofErr w:type="spellEnd"/>
      <w:r w:rsidRPr="00BB0D9C">
        <w:t xml:space="preserve"> del GMP. </w:t>
      </w:r>
    </w:p>
    <w:p w14:paraId="58B1CB02" w14:textId="77777777" w:rsidR="00B117C7" w:rsidRPr="00BB0D9C" w:rsidRDefault="002F4B91" w:rsidP="00A92005">
      <w:pPr>
        <w:spacing w:before="100" w:beforeAutospacing="1" w:after="100" w:afterAutospacing="1"/>
      </w:pPr>
      <w:r w:rsidRPr="00BB0D9C">
        <w:t>Con el fin de fortalecer la implementación, s</w:t>
      </w:r>
      <w:r w:rsidR="001F6E31" w:rsidRPr="00BB0D9C">
        <w:t>e alienta al GMP a registrar toda desviación práctica respecto de sus Términos de Referencia</w:t>
      </w:r>
      <w:r w:rsidR="004C36A8" w:rsidRPr="00BB0D9C">
        <w:t>, así como a</w:t>
      </w:r>
      <w:r w:rsidR="001F6E31" w:rsidRPr="00BB0D9C">
        <w:t xml:space="preserve"> garantizar que las reuniones se notifiquen con suficiente antelación y que se hagan circular oportunamente </w:t>
      </w:r>
      <w:r w:rsidR="009F2287" w:rsidRPr="00BB0D9C">
        <w:t>los documentos</w:t>
      </w:r>
      <w:r w:rsidR="001F6E31" w:rsidRPr="00BB0D9C">
        <w:t xml:space="preserve"> antes de debatirlos y proponer su adopción, a fin de evitar incidentes similares al del comunicad</w:t>
      </w:r>
      <w:r w:rsidRPr="00BB0D9C">
        <w:t>o del GMP de diciembre de 2018.</w:t>
      </w:r>
    </w:p>
    <w:p w14:paraId="37C601F7" w14:textId="77777777" w:rsidR="002F4B91" w:rsidRPr="00BB0D9C" w:rsidRDefault="002F4B91" w:rsidP="002F4B91">
      <w:pPr>
        <w:pStyle w:val="Heading2"/>
        <w:numPr>
          <w:ilvl w:val="0"/>
          <w:numId w:val="0"/>
        </w:numPr>
        <w:ind w:left="360"/>
      </w:pPr>
      <w:bookmarkStart w:id="48" w:name="_Toc42458648"/>
      <w:bookmarkStart w:id="49" w:name="_Toc45021608"/>
      <w:r w:rsidRPr="00BB0D9C">
        <w:t>5.2 Evaluación del nivel de desglose (</w:t>
      </w:r>
      <w:proofErr w:type="spellStart"/>
      <w:r w:rsidRPr="00BB0D9C">
        <w:t>n.°</w:t>
      </w:r>
      <w:proofErr w:type="spellEnd"/>
      <w:r w:rsidRPr="00BB0D9C">
        <w:t> 4.7)</w:t>
      </w:r>
      <w:bookmarkEnd w:id="48"/>
      <w:bookmarkEnd w:id="49"/>
    </w:p>
    <w:p w14:paraId="42462C55" w14:textId="77777777" w:rsidR="002F4B91" w:rsidRPr="00BB0D9C" w:rsidRDefault="002F4B91" w:rsidP="002F4B91">
      <w:pPr>
        <w:pStyle w:val="Heading3"/>
      </w:pPr>
      <w:r w:rsidRPr="00BB0D9C">
        <w:t>Conclusiones de la primera validación</w:t>
      </w:r>
    </w:p>
    <w:p w14:paraId="191F9D49" w14:textId="77777777" w:rsidR="002F4B91" w:rsidRPr="00BB0D9C" w:rsidRDefault="002F4B91" w:rsidP="002F4B91">
      <w:r w:rsidRPr="00BB0D9C">
        <w:rPr>
          <w:rFonts w:cstheme="majorHAnsi"/>
          <w:szCs w:val="22"/>
        </w:rPr>
        <w:t>La primera validación llegó a la conclusión de que Honduras había hecho un progreso satisfactorio en el cumplimiento de este requisito. Los datos de</w:t>
      </w:r>
      <w:r w:rsidR="00504A21" w:rsidRPr="00BB0D9C">
        <w:rPr>
          <w:rFonts w:cstheme="majorHAnsi"/>
          <w:szCs w:val="22"/>
        </w:rPr>
        <w:t>l Informe EITI de</w:t>
      </w:r>
      <w:r w:rsidRPr="00BB0D9C">
        <w:rPr>
          <w:rFonts w:cstheme="majorHAnsi"/>
          <w:szCs w:val="22"/>
        </w:rPr>
        <w:t xml:space="preserve"> 2014 </w:t>
      </w:r>
      <w:r w:rsidR="00504A21" w:rsidRPr="00BB0D9C">
        <w:rPr>
          <w:rFonts w:cstheme="majorHAnsi"/>
          <w:szCs w:val="22"/>
        </w:rPr>
        <w:t xml:space="preserve">estaban desglosados por </w:t>
      </w:r>
      <w:r w:rsidR="00B61C08" w:rsidRPr="00BB0D9C">
        <w:rPr>
          <w:rFonts w:cstheme="majorHAnsi"/>
          <w:szCs w:val="22"/>
        </w:rPr>
        <w:t>empresa</w:t>
      </w:r>
      <w:r w:rsidRPr="00BB0D9C">
        <w:rPr>
          <w:rFonts w:cstheme="majorHAnsi"/>
          <w:szCs w:val="22"/>
        </w:rPr>
        <w:t xml:space="preserve">, </w:t>
      </w:r>
      <w:r w:rsidR="00504A21" w:rsidRPr="00BB0D9C">
        <w:rPr>
          <w:rFonts w:cstheme="majorHAnsi"/>
          <w:szCs w:val="22"/>
        </w:rPr>
        <w:t>entidad gubernamental y flujo de ingresos individual</w:t>
      </w:r>
      <w:r w:rsidRPr="00BB0D9C">
        <w:rPr>
          <w:rFonts w:cstheme="majorHAnsi"/>
          <w:szCs w:val="22"/>
        </w:rPr>
        <w:t xml:space="preserve">. </w:t>
      </w:r>
      <w:r w:rsidR="00504A21" w:rsidRPr="00BB0D9C">
        <w:rPr>
          <w:rFonts w:cstheme="majorHAnsi"/>
          <w:szCs w:val="22"/>
        </w:rPr>
        <w:t xml:space="preserve">Debido a que cada una de </w:t>
      </w:r>
      <w:r w:rsidR="00B61C08" w:rsidRPr="00BB0D9C">
        <w:rPr>
          <w:rFonts w:cstheme="majorHAnsi"/>
          <w:szCs w:val="22"/>
        </w:rPr>
        <w:t>empresa</w:t>
      </w:r>
      <w:r w:rsidR="00504A21" w:rsidRPr="00BB0D9C">
        <w:rPr>
          <w:rFonts w:cstheme="majorHAnsi"/>
          <w:szCs w:val="22"/>
        </w:rPr>
        <w:t xml:space="preserve">s declarantes solo le pagaba impuestos subnacionales a una </w:t>
      </w:r>
      <w:r w:rsidRPr="00BB0D9C">
        <w:rPr>
          <w:rFonts w:cstheme="majorHAnsi"/>
          <w:szCs w:val="22"/>
        </w:rPr>
        <w:t>municipali</w:t>
      </w:r>
      <w:r w:rsidR="00504A21" w:rsidRPr="00BB0D9C">
        <w:rPr>
          <w:rFonts w:cstheme="majorHAnsi"/>
          <w:szCs w:val="22"/>
        </w:rPr>
        <w:t>dad</w:t>
      </w:r>
      <w:r w:rsidRPr="00BB0D9C">
        <w:rPr>
          <w:rFonts w:cstheme="majorHAnsi"/>
          <w:szCs w:val="22"/>
        </w:rPr>
        <w:t xml:space="preserve">, </w:t>
      </w:r>
      <w:r w:rsidR="00504A21" w:rsidRPr="00BB0D9C">
        <w:rPr>
          <w:rFonts w:cstheme="majorHAnsi"/>
          <w:szCs w:val="22"/>
        </w:rPr>
        <w:t xml:space="preserve">los flujos de ingresos municipales están efectivamente desglosados por </w:t>
      </w:r>
      <w:r w:rsidR="00B61C08" w:rsidRPr="00BB0D9C">
        <w:rPr>
          <w:rFonts w:cstheme="majorHAnsi"/>
          <w:szCs w:val="22"/>
        </w:rPr>
        <w:t>empresa</w:t>
      </w:r>
      <w:r w:rsidR="00504A21" w:rsidRPr="00BB0D9C">
        <w:rPr>
          <w:rFonts w:cstheme="majorHAnsi"/>
          <w:szCs w:val="22"/>
        </w:rPr>
        <w:t xml:space="preserve"> y municipalidad</w:t>
      </w:r>
      <w:r w:rsidRPr="00BB0D9C">
        <w:rPr>
          <w:rFonts w:cstheme="majorHAnsi"/>
          <w:szCs w:val="22"/>
        </w:rPr>
        <w:t>.</w:t>
      </w:r>
    </w:p>
    <w:p w14:paraId="6CE1BC47" w14:textId="77777777" w:rsidR="002F4B91" w:rsidRPr="00BB0D9C" w:rsidRDefault="002F4B91" w:rsidP="002F4B91">
      <w:pPr>
        <w:pStyle w:val="Heading3"/>
      </w:pPr>
      <w:r w:rsidRPr="00BB0D9C">
        <w:t>Progres</w:t>
      </w:r>
      <w:r w:rsidR="00504A21" w:rsidRPr="00BB0D9C">
        <w:t>o desde la primera validación</w:t>
      </w:r>
    </w:p>
    <w:p w14:paraId="2B00E9ED" w14:textId="77777777" w:rsidR="002F4B91" w:rsidRPr="00BB0D9C" w:rsidRDefault="00504A21" w:rsidP="002F4B91">
      <w:r w:rsidRPr="00BB0D9C">
        <w:t>El Informe EITI de</w:t>
      </w:r>
      <w:r w:rsidR="002F4B91" w:rsidRPr="00BB0D9C">
        <w:t xml:space="preserve"> 2015-2016 </w:t>
      </w:r>
      <w:r w:rsidRPr="00BB0D9C">
        <w:t xml:space="preserve">está desglosado por </w:t>
      </w:r>
      <w:r w:rsidR="00B61C08" w:rsidRPr="00BB0D9C">
        <w:t>empresa</w:t>
      </w:r>
      <w:r w:rsidR="002F4B91" w:rsidRPr="00BB0D9C">
        <w:rPr>
          <w:rFonts w:cstheme="majorHAnsi"/>
          <w:szCs w:val="22"/>
        </w:rPr>
        <w:t xml:space="preserve">, </w:t>
      </w:r>
      <w:r w:rsidRPr="00BB0D9C">
        <w:rPr>
          <w:rFonts w:cstheme="majorHAnsi"/>
          <w:szCs w:val="22"/>
        </w:rPr>
        <w:t>entidad gubernamental y flujo de ingresos</w:t>
      </w:r>
      <w:r w:rsidRPr="00BB0D9C">
        <w:t xml:space="preserve"> </w:t>
      </w:r>
      <w:r w:rsidRPr="00BB0D9C">
        <w:rPr>
          <w:rFonts w:cstheme="majorHAnsi"/>
          <w:szCs w:val="22"/>
        </w:rPr>
        <w:t>individual</w:t>
      </w:r>
      <w:r w:rsidR="002F4B91" w:rsidRPr="00BB0D9C">
        <w:rPr>
          <w:rFonts w:cstheme="majorHAnsi"/>
          <w:szCs w:val="22"/>
        </w:rPr>
        <w:t>.</w:t>
      </w:r>
      <w:r w:rsidRPr="00BB0D9C">
        <w:rPr>
          <w:rFonts w:cstheme="majorHAnsi"/>
          <w:szCs w:val="22"/>
        </w:rPr>
        <w:t xml:space="preserve"> Después del comienzo de la segunda validación</w:t>
      </w:r>
      <w:r w:rsidR="002F4B91" w:rsidRPr="00BB0D9C">
        <w:rPr>
          <w:bCs/>
          <w:szCs w:val="22"/>
        </w:rPr>
        <w:t>, Honduras publi</w:t>
      </w:r>
      <w:r w:rsidRPr="00BB0D9C">
        <w:rPr>
          <w:bCs/>
          <w:szCs w:val="22"/>
        </w:rPr>
        <w:t>có su Informe EITI de</w:t>
      </w:r>
      <w:r w:rsidR="002F4B91" w:rsidRPr="00BB0D9C">
        <w:rPr>
          <w:bCs/>
          <w:szCs w:val="22"/>
        </w:rPr>
        <w:t xml:space="preserve"> 2017-2018 </w:t>
      </w:r>
      <w:r w:rsidRPr="00BB0D9C">
        <w:rPr>
          <w:bCs/>
          <w:szCs w:val="22"/>
        </w:rPr>
        <w:t xml:space="preserve">el </w:t>
      </w:r>
      <w:r w:rsidR="002F4B91" w:rsidRPr="00BB0D9C">
        <w:rPr>
          <w:bCs/>
          <w:szCs w:val="22"/>
        </w:rPr>
        <w:t>10</w:t>
      </w:r>
      <w:r w:rsidRPr="00BB0D9C">
        <w:rPr>
          <w:bCs/>
          <w:szCs w:val="22"/>
        </w:rPr>
        <w:t xml:space="preserve"> de febrero de</w:t>
      </w:r>
      <w:r w:rsidR="002F4B91" w:rsidRPr="00BB0D9C">
        <w:rPr>
          <w:bCs/>
          <w:szCs w:val="22"/>
        </w:rPr>
        <w:t xml:space="preserve"> 2020</w:t>
      </w:r>
      <w:r w:rsidRPr="00BB0D9C">
        <w:rPr>
          <w:bCs/>
          <w:szCs w:val="22"/>
        </w:rPr>
        <w:t xml:space="preserve">, que abarca el año </w:t>
      </w:r>
      <w:r w:rsidR="002F4B91" w:rsidRPr="00BB0D9C">
        <w:rPr>
          <w:bCs/>
          <w:szCs w:val="22"/>
        </w:rPr>
        <w:t xml:space="preserve">fiscal 2018. </w:t>
      </w:r>
      <w:r w:rsidRPr="00BB0D9C">
        <w:rPr>
          <w:bCs/>
          <w:szCs w:val="22"/>
        </w:rPr>
        <w:t xml:space="preserve">El requisito </w:t>
      </w:r>
      <w:r w:rsidR="002F4B91" w:rsidRPr="00BB0D9C">
        <w:rPr>
          <w:bCs/>
          <w:szCs w:val="22"/>
        </w:rPr>
        <w:t xml:space="preserve">4.7 </w:t>
      </w:r>
      <w:r w:rsidRPr="00BB0D9C">
        <w:rPr>
          <w:bCs/>
          <w:szCs w:val="22"/>
        </w:rPr>
        <w:t xml:space="preserve">exige que los datos del </w:t>
      </w:r>
      <w:r w:rsidR="002F4B91" w:rsidRPr="00BB0D9C">
        <w:rPr>
          <w:bCs/>
          <w:szCs w:val="22"/>
        </w:rPr>
        <w:t xml:space="preserve">EITI </w:t>
      </w:r>
      <w:r w:rsidRPr="00BB0D9C">
        <w:rPr>
          <w:bCs/>
          <w:szCs w:val="22"/>
        </w:rPr>
        <w:t>se desglosen por cada proyecto individual</w:t>
      </w:r>
      <w:r w:rsidR="002F4B91" w:rsidRPr="00BB0D9C">
        <w:rPr>
          <w:bCs/>
          <w:szCs w:val="22"/>
        </w:rPr>
        <w:t xml:space="preserve">. </w:t>
      </w:r>
      <w:r w:rsidRPr="00BB0D9C">
        <w:rPr>
          <w:bCs/>
          <w:szCs w:val="22"/>
        </w:rPr>
        <w:t>El Informe EITI de</w:t>
      </w:r>
      <w:r w:rsidR="002F4B91" w:rsidRPr="00BB0D9C">
        <w:rPr>
          <w:bCs/>
          <w:szCs w:val="22"/>
        </w:rPr>
        <w:t xml:space="preserve"> 2017-2018 no</w:t>
      </w:r>
      <w:r w:rsidRPr="00BB0D9C">
        <w:rPr>
          <w:bCs/>
          <w:szCs w:val="22"/>
        </w:rPr>
        <w:t xml:space="preserve"> incluyó ninguna consideración del grupo de </w:t>
      </w:r>
      <w:proofErr w:type="spellStart"/>
      <w:r w:rsidRPr="00BB0D9C">
        <w:rPr>
          <w:bCs/>
          <w:szCs w:val="22"/>
        </w:rPr>
        <w:t>multipartícipes</w:t>
      </w:r>
      <w:proofErr w:type="spellEnd"/>
      <w:r w:rsidRPr="00BB0D9C">
        <w:rPr>
          <w:bCs/>
          <w:szCs w:val="22"/>
        </w:rPr>
        <w:t xml:space="preserve"> con respecto a qué casos se consideran un proyecto individual. El Estándar EITI de 2016 exigía el desglose por proyecto individual para los informes que abarcaran el año fiscal </w:t>
      </w:r>
      <w:r w:rsidR="002F4B91" w:rsidRPr="00BB0D9C">
        <w:rPr>
          <w:bCs/>
          <w:szCs w:val="22"/>
        </w:rPr>
        <w:t xml:space="preserve">2018 </w:t>
      </w:r>
      <w:r w:rsidRPr="00BB0D9C">
        <w:rPr>
          <w:bCs/>
          <w:szCs w:val="22"/>
        </w:rPr>
        <w:t xml:space="preserve">conforme con la definición del grupo de </w:t>
      </w:r>
      <w:proofErr w:type="spellStart"/>
      <w:r w:rsidRPr="00BB0D9C">
        <w:rPr>
          <w:bCs/>
          <w:szCs w:val="22"/>
        </w:rPr>
        <w:t>multipartícipes</w:t>
      </w:r>
      <w:proofErr w:type="spellEnd"/>
      <w:r w:rsidRPr="00BB0D9C">
        <w:rPr>
          <w:bCs/>
          <w:szCs w:val="22"/>
        </w:rPr>
        <w:t xml:space="preserve"> de qué constituye un proyecto individual. Esto no se abordó en el Informe EITI de</w:t>
      </w:r>
      <w:r w:rsidR="002F4B91" w:rsidRPr="00BB0D9C">
        <w:rPr>
          <w:bCs/>
          <w:szCs w:val="22"/>
        </w:rPr>
        <w:t xml:space="preserve"> 2017-2018.</w:t>
      </w:r>
    </w:p>
    <w:p w14:paraId="5D1B05EF" w14:textId="77777777" w:rsidR="002F4B91" w:rsidRPr="00BB0D9C" w:rsidRDefault="00504A21" w:rsidP="002F4B91">
      <w:pPr>
        <w:pStyle w:val="Heading3"/>
      </w:pPr>
      <w:r w:rsidRPr="00BB0D9C">
        <w:t xml:space="preserve">Evaluación del </w:t>
      </w:r>
      <w:r w:rsidR="002F4B91" w:rsidRPr="00BB0D9C">
        <w:t>Secretaria</w:t>
      </w:r>
      <w:r w:rsidRPr="00BB0D9C">
        <w:t>do</w:t>
      </w:r>
    </w:p>
    <w:p w14:paraId="70BF7DAF" w14:textId="77777777" w:rsidR="002F4B91" w:rsidRPr="00BB0D9C" w:rsidRDefault="002F4B91" w:rsidP="002F4B91">
      <w:pPr>
        <w:spacing w:before="100" w:beforeAutospacing="1" w:after="100" w:afterAutospacing="1"/>
        <w:rPr>
          <w:rFonts w:cstheme="majorHAnsi"/>
          <w:szCs w:val="22"/>
        </w:rPr>
      </w:pPr>
      <w:r w:rsidRPr="00BB0D9C">
        <w:rPr>
          <w:rFonts w:cstheme="majorHAnsi"/>
          <w:szCs w:val="22"/>
          <w:u w:val="single"/>
        </w:rPr>
        <w:t>Su</w:t>
      </w:r>
      <w:r w:rsidR="00504A21" w:rsidRPr="00BB0D9C">
        <w:rPr>
          <w:rFonts w:cstheme="majorHAnsi"/>
          <w:szCs w:val="22"/>
          <w:u w:val="single"/>
        </w:rPr>
        <w:t xml:space="preserve">jeto a que el Consejo tenga en cuenta nueva información publicada después del comienzo de la segunda validación, la evaluación del Secretariado Internacional es que </w:t>
      </w:r>
      <w:r w:rsidRPr="00BB0D9C">
        <w:rPr>
          <w:rFonts w:cstheme="majorHAnsi"/>
          <w:szCs w:val="22"/>
          <w:u w:val="single"/>
        </w:rPr>
        <w:t xml:space="preserve">Honduras </w:t>
      </w:r>
      <w:r w:rsidR="00504A21" w:rsidRPr="00BB0D9C">
        <w:rPr>
          <w:rFonts w:cstheme="majorHAnsi"/>
          <w:szCs w:val="22"/>
          <w:u w:val="single"/>
        </w:rPr>
        <w:t>no ha logrado mantener el cumplimiento del requisito</w:t>
      </w:r>
      <w:r w:rsidRPr="00BB0D9C">
        <w:rPr>
          <w:rFonts w:cstheme="majorHAnsi"/>
          <w:szCs w:val="22"/>
          <w:u w:val="single"/>
        </w:rPr>
        <w:t xml:space="preserve"> 4.7</w:t>
      </w:r>
      <w:r w:rsidRPr="00BB0D9C">
        <w:rPr>
          <w:rFonts w:cstheme="majorHAnsi"/>
          <w:szCs w:val="22"/>
        </w:rPr>
        <w:t xml:space="preserve">. </w:t>
      </w:r>
      <w:r w:rsidR="00504A21" w:rsidRPr="00BB0D9C">
        <w:rPr>
          <w:rFonts w:cstheme="majorHAnsi"/>
          <w:szCs w:val="22"/>
        </w:rPr>
        <w:t xml:space="preserve">De acuerdo con este requisito, </w:t>
      </w:r>
      <w:r w:rsidRPr="00BB0D9C">
        <w:rPr>
          <w:rFonts w:cstheme="majorHAnsi"/>
          <w:szCs w:val="22"/>
        </w:rPr>
        <w:t xml:space="preserve">Honduras </w:t>
      </w:r>
      <w:r w:rsidR="00504A21" w:rsidRPr="00BB0D9C">
        <w:rPr>
          <w:rFonts w:cstheme="majorHAnsi"/>
          <w:szCs w:val="22"/>
        </w:rPr>
        <w:t>debe garantizar que los datos del</w:t>
      </w:r>
      <w:r w:rsidRPr="00BB0D9C">
        <w:rPr>
          <w:rFonts w:cstheme="majorHAnsi"/>
          <w:szCs w:val="22"/>
        </w:rPr>
        <w:t xml:space="preserve"> EITI </w:t>
      </w:r>
      <w:r w:rsidR="00504A21" w:rsidRPr="00BB0D9C">
        <w:rPr>
          <w:rFonts w:cstheme="majorHAnsi"/>
          <w:szCs w:val="22"/>
        </w:rPr>
        <w:t xml:space="preserve">estén desglosados por cada proyecto, </w:t>
      </w:r>
      <w:r w:rsidR="00B61C08" w:rsidRPr="00BB0D9C">
        <w:rPr>
          <w:rFonts w:cstheme="majorHAnsi"/>
          <w:szCs w:val="22"/>
        </w:rPr>
        <w:t>empresa</w:t>
      </w:r>
      <w:r w:rsidR="00504A21" w:rsidRPr="00BB0D9C">
        <w:rPr>
          <w:rFonts w:cstheme="majorHAnsi"/>
          <w:szCs w:val="22"/>
        </w:rPr>
        <w:t>, entidad gubernamental y flujo de ingresos individual</w:t>
      </w:r>
      <w:r w:rsidRPr="00BB0D9C">
        <w:rPr>
          <w:rFonts w:cstheme="majorHAnsi"/>
          <w:szCs w:val="22"/>
        </w:rPr>
        <w:t>.</w:t>
      </w:r>
    </w:p>
    <w:p w14:paraId="7D4596EF" w14:textId="77777777" w:rsidR="00C66AF1" w:rsidRPr="00BB0D9C" w:rsidRDefault="00C66AF1" w:rsidP="00B62345">
      <w:pPr>
        <w:pStyle w:val="Heading1"/>
        <w:rPr>
          <w:rFonts w:ascii="Franklin Gothic Book" w:hAnsi="Franklin Gothic Book"/>
        </w:rPr>
      </w:pPr>
      <w:bookmarkStart w:id="50" w:name="_Toc503446317"/>
      <w:bookmarkStart w:id="51" w:name="_Toc45021609"/>
      <w:r w:rsidRPr="00BB0D9C">
        <w:rPr>
          <w:rFonts w:ascii="Franklin Gothic Book" w:hAnsi="Franklin Gothic Book"/>
        </w:rPr>
        <w:t>Conclusión</w:t>
      </w:r>
      <w:bookmarkEnd w:id="50"/>
      <w:bookmarkEnd w:id="51"/>
    </w:p>
    <w:p w14:paraId="71BC5278" w14:textId="77777777" w:rsidR="0084043F" w:rsidRPr="00BB0D9C" w:rsidRDefault="00EE5F75" w:rsidP="0084043F">
      <w:pPr>
        <w:spacing w:before="100" w:beforeAutospacing="1" w:after="100" w:afterAutospacing="1"/>
      </w:pPr>
      <w:bookmarkStart w:id="52" w:name="_Hlk30507497"/>
      <w:bookmarkEnd w:id="1"/>
      <w:r w:rsidRPr="00BB0D9C">
        <w:t xml:space="preserve">Tras haber examinado los pasos dados por Honduras para abordar las 12 medidas correctivas que había solicitado el Consejo EITI al comienzo de su segunda </w:t>
      </w:r>
      <w:r w:rsidR="00504A21" w:rsidRPr="00BB0D9C">
        <w:t>v</w:t>
      </w:r>
      <w:r w:rsidRPr="00BB0D9C">
        <w:t xml:space="preserve">alidación (25 de abril de 2019), es razonable concluir que </w:t>
      </w:r>
      <w:r w:rsidR="001201F9" w:rsidRPr="00BB0D9C">
        <w:t xml:space="preserve">siete </w:t>
      </w:r>
      <w:r w:rsidRPr="00BB0D9C">
        <w:t xml:space="preserve">de las 12 medidas correctivas se han abordado de forma plena y que Honduras ha </w:t>
      </w:r>
      <w:r w:rsidR="001201F9" w:rsidRPr="00BB0D9C">
        <w:t>hecho</w:t>
      </w:r>
      <w:r w:rsidRPr="00BB0D9C">
        <w:t xml:space="preserve"> un progreso significativo en lo que respecta a las otras </w:t>
      </w:r>
      <w:r w:rsidR="001201F9" w:rsidRPr="00BB0D9C">
        <w:t>cinco</w:t>
      </w:r>
      <w:r w:rsidRPr="00BB0D9C">
        <w:t xml:space="preserve"> medidas correctivas. La</w:t>
      </w:r>
      <w:r w:rsidR="001201F9" w:rsidRPr="00BB0D9C">
        <w:t>s</w:t>
      </w:r>
      <w:r w:rsidRPr="00BB0D9C">
        <w:t xml:space="preserve"> medida</w:t>
      </w:r>
      <w:r w:rsidR="001201F9" w:rsidRPr="00BB0D9C">
        <w:t>s</w:t>
      </w:r>
      <w:r w:rsidRPr="00BB0D9C">
        <w:t xml:space="preserve"> correctiva</w:t>
      </w:r>
      <w:r w:rsidR="001201F9" w:rsidRPr="00BB0D9C">
        <w:t>s</w:t>
      </w:r>
      <w:r w:rsidRPr="00BB0D9C">
        <w:t xml:space="preserve"> </w:t>
      </w:r>
      <w:r w:rsidR="001201F9" w:rsidRPr="00BB0D9C">
        <w:t xml:space="preserve">con evaluaciones de “progreso satisfactorio” o “no aplicable” se refieren a la participación del gobierno </w:t>
      </w:r>
      <w:r w:rsidRPr="00BB0D9C">
        <w:t>(</w:t>
      </w:r>
      <w:r w:rsidR="001201F9" w:rsidRPr="00BB0D9C">
        <w:t>r</w:t>
      </w:r>
      <w:r w:rsidRPr="00BB0D9C">
        <w:t xml:space="preserve">equisito </w:t>
      </w:r>
      <w:r w:rsidR="001201F9" w:rsidRPr="00BB0D9C">
        <w:t>1</w:t>
      </w:r>
      <w:r w:rsidRPr="00BB0D9C">
        <w:t>.</w:t>
      </w:r>
      <w:r w:rsidR="001201F9" w:rsidRPr="00BB0D9C">
        <w:t>1</w:t>
      </w:r>
      <w:r w:rsidRPr="00BB0D9C">
        <w:t>)</w:t>
      </w:r>
      <w:r w:rsidR="001201F9" w:rsidRPr="00BB0D9C">
        <w:t>, el plan de trabajo (requisito 1.5), la exhaustividad (requisito 4.1), los pagos subnacionales (requisito 4.6),</w:t>
      </w:r>
      <w:r w:rsidRPr="00BB0D9C">
        <w:t xml:space="preserve"> los </w:t>
      </w:r>
      <w:r w:rsidR="001201F9" w:rsidRPr="00BB0D9C">
        <w:t>pagos</w:t>
      </w:r>
      <w:r w:rsidRPr="00BB0D9C">
        <w:t xml:space="preserve"> sociales (</w:t>
      </w:r>
      <w:r w:rsidR="001201F9" w:rsidRPr="00BB0D9C">
        <w:t>r</w:t>
      </w:r>
      <w:r w:rsidRPr="00BB0D9C">
        <w:t xml:space="preserve">equisito 6.1), </w:t>
      </w:r>
      <w:r w:rsidR="001201F9" w:rsidRPr="00BB0D9C">
        <w:t>la contribución económica (requisito 6.3) y los resultados y el impacto de la implementación del EITI (requisito 7.4)</w:t>
      </w:r>
      <w:r w:rsidRPr="00BB0D9C">
        <w:t>.</w:t>
      </w:r>
      <w:r w:rsidR="00827CAC" w:rsidRPr="00BB0D9C">
        <w:t xml:space="preserve"> </w:t>
      </w:r>
      <w:r w:rsidRPr="00BB0D9C">
        <w:t xml:space="preserve">De las </w:t>
      </w:r>
      <w:r w:rsidR="001201F9" w:rsidRPr="00BB0D9C">
        <w:t>cinco</w:t>
      </w:r>
      <w:r w:rsidRPr="00BB0D9C">
        <w:t xml:space="preserve"> medidas correctivas pendientes, la evaluación del Secretariado Internacional es que no ha habido una regresión en el nivel de progreso y que tienen que ver con la participación de la industria (</w:t>
      </w:r>
      <w:r w:rsidR="001201F9" w:rsidRPr="00BB0D9C">
        <w:t>r</w:t>
      </w:r>
      <w:r w:rsidRPr="00BB0D9C">
        <w:t>equisito 1.2), la participación de la sociedad civil (</w:t>
      </w:r>
      <w:r w:rsidR="001201F9" w:rsidRPr="00BB0D9C">
        <w:t>r</w:t>
      </w:r>
      <w:r w:rsidRPr="00BB0D9C">
        <w:t xml:space="preserve">equisito 1.3), </w:t>
      </w:r>
      <w:r w:rsidR="001201F9" w:rsidRPr="00BB0D9C">
        <w:t>la calidad de los datos (requisito 4.9), el debate público (requisito 7.1) y el seguimiento de las recomendaciones (requisito 7.3). Asimismo, el Secretariado Internacional ha revisado el r</w:t>
      </w:r>
      <w:r w:rsidRPr="00BB0D9C">
        <w:t xml:space="preserve">equisito </w:t>
      </w:r>
      <w:r w:rsidR="001201F9" w:rsidRPr="00BB0D9C">
        <w:t>4.7 y ha determinado que Honduras ha tenido una regresión en el cumplimiento del req</w:t>
      </w:r>
      <w:r w:rsidRPr="00BB0D9C">
        <w:t xml:space="preserve">uisito </w:t>
      </w:r>
      <w:r w:rsidR="001201F9" w:rsidRPr="00BB0D9C">
        <w:t>4.7 con respecto al nivel de desglose</w:t>
      </w:r>
      <w:r w:rsidRPr="00BB0D9C">
        <w:t xml:space="preserve">. </w:t>
      </w:r>
    </w:p>
    <w:p w14:paraId="60B4CB57" w14:textId="77777777" w:rsidR="00EC60B3" w:rsidRPr="00BB0D9C" w:rsidRDefault="00EC60B3" w:rsidP="00C4474C">
      <w:pPr>
        <w:pStyle w:val="Heading1"/>
        <w:numPr>
          <w:ilvl w:val="0"/>
          <w:numId w:val="0"/>
        </w:numPr>
        <w:rPr>
          <w:rFonts w:ascii="Franklin Gothic Book" w:hAnsi="Franklin Gothic Book"/>
        </w:rPr>
      </w:pPr>
      <w:bookmarkStart w:id="53" w:name="_Toc45021610"/>
      <w:bookmarkEnd w:id="52"/>
      <w:r w:rsidRPr="00BB0D9C">
        <w:rPr>
          <w:rFonts w:ascii="Franklin Gothic Book" w:hAnsi="Franklin Gothic Book"/>
        </w:rPr>
        <w:t>Anexos</w:t>
      </w:r>
      <w:bookmarkEnd w:id="53"/>
    </w:p>
    <w:p w14:paraId="12E9AB4A" w14:textId="77777777" w:rsidR="00D77D0E" w:rsidRPr="00BB0D9C" w:rsidRDefault="007610CD" w:rsidP="00D77D0E">
      <w:pPr>
        <w:pStyle w:val="Heading2"/>
        <w:numPr>
          <w:ilvl w:val="0"/>
          <w:numId w:val="0"/>
        </w:numPr>
      </w:pPr>
      <w:bookmarkStart w:id="54" w:name="_Toc45021611"/>
      <w:r w:rsidRPr="00BB0D9C">
        <w:t>Anexo A: Comunicado enviado por el EITI el 11 de diciembre de 2018</w:t>
      </w:r>
      <w:bookmarkEnd w:id="54"/>
    </w:p>
    <w:p w14:paraId="295CF1D4" w14:textId="77777777" w:rsidR="00D77D0E" w:rsidRPr="00BB0D9C" w:rsidRDefault="00D77D0E" w:rsidP="00D77D0E">
      <w:r w:rsidRPr="00BB0D9C">
        <w:rPr>
          <w:noProof/>
          <w:lang w:val="en-GB" w:eastAsia="en-GB"/>
        </w:rPr>
        <w:drawing>
          <wp:anchor distT="0" distB="0" distL="114300" distR="114300" simplePos="0" relativeHeight="251655680" behindDoc="0" locked="0" layoutInCell="1" allowOverlap="1" wp14:anchorId="11C441AD" wp14:editId="31184903">
            <wp:simplePos x="0" y="0"/>
            <wp:positionH relativeFrom="column">
              <wp:posOffset>70485</wp:posOffset>
            </wp:positionH>
            <wp:positionV relativeFrom="paragraph">
              <wp:posOffset>254635</wp:posOffset>
            </wp:positionV>
            <wp:extent cx="6700520" cy="7077075"/>
            <wp:effectExtent l="0" t="0" r="5080"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5734" t="13815" r="31723" b="9855"/>
                    <a:stretch/>
                  </pic:blipFill>
                  <pic:spPr bwMode="auto">
                    <a:xfrm>
                      <a:off x="0" y="0"/>
                      <a:ext cx="6700520" cy="7077075"/>
                    </a:xfrm>
                    <a:prstGeom prst="rect">
                      <a:avLst/>
                    </a:prstGeom>
                    <a:ln>
                      <a:noFill/>
                    </a:ln>
                    <a:extLst>
                      <a:ext uri="{53640926-AAD7-44D8-BBD7-CCE9431645EC}">
                        <a14:shadowObscured xmlns:a14="http://schemas.microsoft.com/office/drawing/2010/main"/>
                      </a:ext>
                    </a:extLst>
                  </pic:spPr>
                </pic:pic>
              </a:graphicData>
            </a:graphic>
          </wp:anchor>
        </w:drawing>
      </w:r>
    </w:p>
    <w:p w14:paraId="6DB6117A" w14:textId="77777777" w:rsidR="00C4474C" w:rsidRPr="00BB0D9C" w:rsidRDefault="00C4474C" w:rsidP="00C4474C">
      <w:pPr>
        <w:rPr>
          <w:lang w:bidi="en-US"/>
        </w:rPr>
      </w:pPr>
    </w:p>
    <w:p w14:paraId="7CC96FC0" w14:textId="77777777" w:rsidR="00C4474C" w:rsidRPr="00BB0D9C" w:rsidRDefault="00C4474C" w:rsidP="00C4474C">
      <w:pPr>
        <w:rPr>
          <w:lang w:bidi="en-US"/>
        </w:rPr>
      </w:pPr>
    </w:p>
    <w:p w14:paraId="56D11175" w14:textId="77777777" w:rsidR="00D77D0E" w:rsidRPr="00BB0D9C" w:rsidRDefault="00D77D0E" w:rsidP="00D77D0E">
      <w:pPr>
        <w:pStyle w:val="Heading2"/>
        <w:numPr>
          <w:ilvl w:val="0"/>
          <w:numId w:val="0"/>
        </w:numPr>
      </w:pPr>
    </w:p>
    <w:p w14:paraId="2D97A752" w14:textId="77777777" w:rsidR="00D77D0E" w:rsidRPr="00BB0D9C" w:rsidRDefault="00D77D0E" w:rsidP="00D77D0E">
      <w:pPr>
        <w:pStyle w:val="Heading2"/>
        <w:numPr>
          <w:ilvl w:val="0"/>
          <w:numId w:val="0"/>
        </w:numPr>
      </w:pPr>
      <w:bookmarkStart w:id="55" w:name="_Toc45021612"/>
      <w:r w:rsidRPr="00BB0D9C">
        <w:t>Anexo B: Documento publicado por la CONROA el 17 de diciembre de 2018</w:t>
      </w:r>
      <w:bookmarkEnd w:id="55"/>
    </w:p>
    <w:p w14:paraId="2DFACB42" w14:textId="77777777" w:rsidR="0043033B" w:rsidRPr="00BB0D9C" w:rsidRDefault="0043033B" w:rsidP="00D77D0E"/>
    <w:p w14:paraId="09546DFC" w14:textId="77777777" w:rsidR="00D77D0E" w:rsidRPr="00BB0D9C" w:rsidRDefault="0043033B" w:rsidP="00D77D0E">
      <w:r w:rsidRPr="00BB0D9C">
        <w:rPr>
          <w:noProof/>
          <w:lang w:val="en-GB" w:eastAsia="en-GB"/>
        </w:rPr>
        <w:drawing>
          <wp:anchor distT="0" distB="0" distL="114300" distR="114300" simplePos="0" relativeHeight="251656704" behindDoc="0" locked="0" layoutInCell="1" allowOverlap="1" wp14:anchorId="0BB5D6A7" wp14:editId="59F880FC">
            <wp:simplePos x="0" y="0"/>
            <wp:positionH relativeFrom="column">
              <wp:posOffset>459740</wp:posOffset>
            </wp:positionH>
            <wp:positionV relativeFrom="paragraph">
              <wp:posOffset>48895</wp:posOffset>
            </wp:positionV>
            <wp:extent cx="5497830" cy="7134225"/>
            <wp:effectExtent l="0" t="0" r="7620" b="9525"/>
            <wp:wrapSquare wrapText="bothSides"/>
            <wp:docPr id="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1614" t="13725" r="34129" b="7217"/>
                    <a:stretch/>
                  </pic:blipFill>
                  <pic:spPr bwMode="auto">
                    <a:xfrm>
                      <a:off x="0" y="0"/>
                      <a:ext cx="5497830" cy="7134225"/>
                    </a:xfrm>
                    <a:prstGeom prst="rect">
                      <a:avLst/>
                    </a:prstGeom>
                    <a:ln>
                      <a:noFill/>
                    </a:ln>
                    <a:extLst>
                      <a:ext uri="{53640926-AAD7-44D8-BBD7-CCE9431645EC}">
                        <a14:shadowObscured xmlns:a14="http://schemas.microsoft.com/office/drawing/2010/main"/>
                      </a:ext>
                    </a:extLst>
                  </pic:spPr>
                </pic:pic>
              </a:graphicData>
            </a:graphic>
          </wp:anchor>
        </w:drawing>
      </w:r>
    </w:p>
    <w:p w14:paraId="070C0935" w14:textId="77777777" w:rsidR="00C4474C" w:rsidRPr="00BB0D9C" w:rsidRDefault="00C4474C" w:rsidP="00C4474C">
      <w:pPr>
        <w:rPr>
          <w:lang w:bidi="en-US"/>
        </w:rPr>
      </w:pPr>
    </w:p>
    <w:p w14:paraId="73C9F39E" w14:textId="77777777" w:rsidR="00C4474C" w:rsidRPr="00BB0D9C" w:rsidRDefault="00C4474C" w:rsidP="00C4474C">
      <w:pPr>
        <w:rPr>
          <w:lang w:bidi="en-US"/>
        </w:rPr>
      </w:pPr>
    </w:p>
    <w:p w14:paraId="2593EB89" w14:textId="77777777" w:rsidR="00C4474C" w:rsidRPr="00BB0D9C" w:rsidRDefault="00C4474C" w:rsidP="00C4474C">
      <w:pPr>
        <w:rPr>
          <w:lang w:bidi="en-US"/>
        </w:rPr>
      </w:pPr>
    </w:p>
    <w:p w14:paraId="36BFB96B" w14:textId="77777777" w:rsidR="00C4474C" w:rsidRPr="00BB0D9C" w:rsidRDefault="00C4474C" w:rsidP="00C4474C">
      <w:pPr>
        <w:rPr>
          <w:lang w:bidi="en-US"/>
        </w:rPr>
      </w:pPr>
    </w:p>
    <w:p w14:paraId="7438FEC2" w14:textId="77777777" w:rsidR="0043033B" w:rsidRPr="00BB0D9C" w:rsidRDefault="0043033B" w:rsidP="00C4474C">
      <w:pPr>
        <w:rPr>
          <w:lang w:bidi="en-US"/>
        </w:rPr>
      </w:pPr>
    </w:p>
    <w:p w14:paraId="49923DDB" w14:textId="77777777" w:rsidR="0043033B" w:rsidRPr="00BB0D9C" w:rsidRDefault="0043033B" w:rsidP="00C4474C">
      <w:pPr>
        <w:rPr>
          <w:lang w:bidi="en-US"/>
        </w:rPr>
      </w:pPr>
    </w:p>
    <w:p w14:paraId="0A5BCB43" w14:textId="77777777" w:rsidR="0043033B" w:rsidRPr="00BB0D9C" w:rsidRDefault="0043033B" w:rsidP="00C4474C">
      <w:pPr>
        <w:rPr>
          <w:lang w:bidi="en-US"/>
        </w:rPr>
      </w:pPr>
    </w:p>
    <w:p w14:paraId="7E916E80" w14:textId="77777777" w:rsidR="0043033B" w:rsidRPr="00BB0D9C" w:rsidRDefault="0043033B" w:rsidP="00C4474C">
      <w:pPr>
        <w:rPr>
          <w:lang w:bidi="en-US"/>
        </w:rPr>
      </w:pPr>
    </w:p>
    <w:p w14:paraId="2C49284D" w14:textId="77777777" w:rsidR="0043033B" w:rsidRPr="00BB0D9C" w:rsidRDefault="0043033B" w:rsidP="00C4474C">
      <w:pPr>
        <w:rPr>
          <w:lang w:bidi="en-US"/>
        </w:rPr>
      </w:pPr>
    </w:p>
    <w:p w14:paraId="0D9BD8EF" w14:textId="77777777" w:rsidR="0043033B" w:rsidRPr="00BB0D9C" w:rsidRDefault="0043033B" w:rsidP="00C4474C">
      <w:pPr>
        <w:rPr>
          <w:lang w:bidi="en-US"/>
        </w:rPr>
      </w:pPr>
    </w:p>
    <w:p w14:paraId="2EDDFCD3" w14:textId="77777777" w:rsidR="0043033B" w:rsidRPr="00BB0D9C" w:rsidRDefault="0043033B" w:rsidP="00C4474C">
      <w:pPr>
        <w:rPr>
          <w:lang w:bidi="en-US"/>
        </w:rPr>
      </w:pPr>
    </w:p>
    <w:p w14:paraId="153906BE" w14:textId="77777777" w:rsidR="0043033B" w:rsidRPr="00BB0D9C" w:rsidRDefault="0043033B" w:rsidP="00C4474C">
      <w:pPr>
        <w:rPr>
          <w:lang w:bidi="en-US"/>
        </w:rPr>
      </w:pPr>
    </w:p>
    <w:p w14:paraId="47C46391" w14:textId="77777777" w:rsidR="0043033B" w:rsidRPr="00BB0D9C" w:rsidRDefault="0043033B" w:rsidP="00C4474C">
      <w:pPr>
        <w:rPr>
          <w:lang w:bidi="en-US"/>
        </w:rPr>
      </w:pPr>
    </w:p>
    <w:p w14:paraId="542C8286" w14:textId="77777777" w:rsidR="0043033B" w:rsidRPr="00BB0D9C" w:rsidRDefault="0043033B" w:rsidP="00C4474C">
      <w:pPr>
        <w:rPr>
          <w:lang w:bidi="en-US"/>
        </w:rPr>
      </w:pPr>
    </w:p>
    <w:p w14:paraId="4A982825" w14:textId="77777777" w:rsidR="0043033B" w:rsidRPr="00BB0D9C" w:rsidRDefault="0043033B" w:rsidP="00C4474C">
      <w:pPr>
        <w:rPr>
          <w:lang w:bidi="en-US"/>
        </w:rPr>
      </w:pPr>
    </w:p>
    <w:p w14:paraId="4A48E8A2" w14:textId="77777777" w:rsidR="0043033B" w:rsidRPr="00BB0D9C" w:rsidRDefault="0043033B" w:rsidP="00C4474C">
      <w:pPr>
        <w:rPr>
          <w:lang w:bidi="en-US"/>
        </w:rPr>
      </w:pPr>
    </w:p>
    <w:p w14:paraId="6A117CD8" w14:textId="77777777" w:rsidR="0043033B" w:rsidRPr="00BB0D9C" w:rsidRDefault="0043033B" w:rsidP="00C4474C">
      <w:pPr>
        <w:rPr>
          <w:lang w:bidi="en-US"/>
        </w:rPr>
      </w:pPr>
    </w:p>
    <w:p w14:paraId="3BEF5D2F" w14:textId="77777777" w:rsidR="0043033B" w:rsidRPr="00BB0D9C" w:rsidRDefault="0043033B" w:rsidP="00C4474C">
      <w:pPr>
        <w:rPr>
          <w:lang w:bidi="en-US"/>
        </w:rPr>
      </w:pPr>
    </w:p>
    <w:p w14:paraId="68D6B16F" w14:textId="77777777" w:rsidR="0043033B" w:rsidRPr="00BB0D9C" w:rsidRDefault="0043033B" w:rsidP="00C4474C">
      <w:pPr>
        <w:rPr>
          <w:lang w:bidi="en-US"/>
        </w:rPr>
      </w:pPr>
    </w:p>
    <w:p w14:paraId="0F61D59B" w14:textId="77777777" w:rsidR="0043033B" w:rsidRPr="00BB0D9C" w:rsidRDefault="0043033B" w:rsidP="00C4474C">
      <w:pPr>
        <w:rPr>
          <w:lang w:bidi="en-US"/>
        </w:rPr>
      </w:pPr>
    </w:p>
    <w:p w14:paraId="374C4C76" w14:textId="77777777" w:rsidR="0043033B" w:rsidRPr="00BB0D9C" w:rsidRDefault="0043033B" w:rsidP="00C4474C">
      <w:pPr>
        <w:rPr>
          <w:lang w:bidi="en-US"/>
        </w:rPr>
      </w:pPr>
    </w:p>
    <w:p w14:paraId="051E2AB4" w14:textId="77777777" w:rsidR="0043033B" w:rsidRPr="00BB0D9C" w:rsidRDefault="0043033B" w:rsidP="00C4474C">
      <w:pPr>
        <w:rPr>
          <w:lang w:bidi="en-US"/>
        </w:rPr>
      </w:pPr>
    </w:p>
    <w:p w14:paraId="7158FB14" w14:textId="77777777" w:rsidR="0043033B" w:rsidRPr="00BB0D9C" w:rsidRDefault="0043033B" w:rsidP="00C4474C">
      <w:pPr>
        <w:rPr>
          <w:lang w:bidi="en-US"/>
        </w:rPr>
      </w:pPr>
    </w:p>
    <w:p w14:paraId="7DA5173D" w14:textId="77777777" w:rsidR="0043033B" w:rsidRPr="00BB0D9C" w:rsidRDefault="0043033B" w:rsidP="00C4474C">
      <w:pPr>
        <w:rPr>
          <w:lang w:bidi="en-US"/>
        </w:rPr>
      </w:pPr>
    </w:p>
    <w:p w14:paraId="41796B6F" w14:textId="77777777" w:rsidR="0043033B" w:rsidRPr="00BB0D9C" w:rsidRDefault="0043033B" w:rsidP="00C4474C">
      <w:pPr>
        <w:rPr>
          <w:lang w:bidi="en-US"/>
        </w:rPr>
      </w:pPr>
    </w:p>
    <w:p w14:paraId="6A1B46EE" w14:textId="77777777" w:rsidR="0043033B" w:rsidRPr="00BB0D9C" w:rsidRDefault="0043033B" w:rsidP="00C4474C">
      <w:r w:rsidRPr="00BB0D9C">
        <w:rPr>
          <w:noProof/>
          <w:lang w:val="en-GB" w:eastAsia="en-GB"/>
        </w:rPr>
        <w:drawing>
          <wp:anchor distT="0" distB="0" distL="114300" distR="114300" simplePos="0" relativeHeight="251658752" behindDoc="0" locked="0" layoutInCell="1" allowOverlap="1" wp14:anchorId="2D7925DB" wp14:editId="1BAE0207">
            <wp:simplePos x="0" y="0"/>
            <wp:positionH relativeFrom="column">
              <wp:posOffset>986155</wp:posOffset>
            </wp:positionH>
            <wp:positionV relativeFrom="paragraph">
              <wp:posOffset>6968490</wp:posOffset>
            </wp:positionV>
            <wp:extent cx="4521200" cy="838200"/>
            <wp:effectExtent l="0" t="0" r="0" b="0"/>
            <wp:wrapSquare wrapText="bothSides"/>
            <wp:docPr id="1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7767" t="47285" r="39670" b="41983"/>
                    <a:stretch/>
                  </pic:blipFill>
                  <pic:spPr bwMode="auto">
                    <a:xfrm>
                      <a:off x="0" y="0"/>
                      <a:ext cx="4521200" cy="838200"/>
                    </a:xfrm>
                    <a:prstGeom prst="rect">
                      <a:avLst/>
                    </a:prstGeom>
                    <a:ln>
                      <a:noFill/>
                    </a:ln>
                    <a:extLst>
                      <a:ext uri="{53640926-AAD7-44D8-BBD7-CCE9431645EC}">
                        <a14:shadowObscured xmlns:a14="http://schemas.microsoft.com/office/drawing/2010/main"/>
                      </a:ext>
                    </a:extLst>
                  </pic:spPr>
                </pic:pic>
              </a:graphicData>
            </a:graphic>
          </wp:anchor>
        </w:drawing>
      </w:r>
      <w:r w:rsidRPr="00BB0D9C">
        <w:rPr>
          <w:noProof/>
          <w:lang w:val="en-GB" w:eastAsia="en-GB"/>
        </w:rPr>
        <w:drawing>
          <wp:anchor distT="0" distB="0" distL="114300" distR="114300" simplePos="0" relativeHeight="251657728" behindDoc="0" locked="0" layoutInCell="1" allowOverlap="1" wp14:anchorId="7D90743F" wp14:editId="29C88D73">
            <wp:simplePos x="0" y="0"/>
            <wp:positionH relativeFrom="margin">
              <wp:posOffset>251460</wp:posOffset>
            </wp:positionH>
            <wp:positionV relativeFrom="paragraph">
              <wp:posOffset>174625</wp:posOffset>
            </wp:positionV>
            <wp:extent cx="5972400" cy="6886800"/>
            <wp:effectExtent l="0" t="0" r="9525" b="0"/>
            <wp:wrapSquare wrapText="bothSides"/>
            <wp:docPr id="1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9047" t="12234" r="33483" b="10950"/>
                    <a:stretch/>
                  </pic:blipFill>
                  <pic:spPr bwMode="auto">
                    <a:xfrm>
                      <a:off x="0" y="0"/>
                      <a:ext cx="5972400" cy="6886800"/>
                    </a:xfrm>
                    <a:prstGeom prst="rect">
                      <a:avLst/>
                    </a:prstGeom>
                    <a:ln>
                      <a:noFill/>
                    </a:ln>
                    <a:extLst>
                      <a:ext uri="{53640926-AAD7-44D8-BBD7-CCE9431645EC}">
                        <a14:shadowObscured xmlns:a14="http://schemas.microsoft.com/office/drawing/2010/main"/>
                      </a:ext>
                    </a:extLst>
                  </pic:spPr>
                </pic:pic>
              </a:graphicData>
            </a:graphic>
          </wp:anchor>
        </w:drawing>
      </w:r>
    </w:p>
    <w:p w14:paraId="337D0ED9" w14:textId="77777777" w:rsidR="0043033B" w:rsidRPr="00BB0D9C" w:rsidRDefault="0043033B" w:rsidP="00C4474C">
      <w:pPr>
        <w:rPr>
          <w:lang w:bidi="en-US"/>
        </w:rPr>
      </w:pPr>
    </w:p>
    <w:p w14:paraId="5FAF745F" w14:textId="77777777" w:rsidR="0043033B" w:rsidRPr="00BB0D9C" w:rsidRDefault="0043033B" w:rsidP="00C4474C">
      <w:pPr>
        <w:rPr>
          <w:lang w:bidi="en-US"/>
        </w:rPr>
      </w:pPr>
    </w:p>
    <w:p w14:paraId="69103CAC" w14:textId="77777777" w:rsidR="0043033B" w:rsidRPr="00BB0D9C" w:rsidRDefault="0043033B" w:rsidP="00C4474C">
      <w:pPr>
        <w:rPr>
          <w:lang w:bidi="en-US"/>
        </w:rPr>
      </w:pPr>
    </w:p>
    <w:p w14:paraId="2EF47C5C" w14:textId="77777777" w:rsidR="0043033B" w:rsidRPr="00BB0D9C" w:rsidRDefault="0043033B" w:rsidP="00C4474C">
      <w:pPr>
        <w:rPr>
          <w:lang w:bidi="en-US"/>
        </w:rPr>
      </w:pPr>
    </w:p>
    <w:p w14:paraId="7453A225" w14:textId="77777777" w:rsidR="0043033B" w:rsidRPr="00BB0D9C" w:rsidRDefault="0043033B" w:rsidP="00C4474C">
      <w:pPr>
        <w:rPr>
          <w:lang w:bidi="en-US"/>
        </w:rPr>
      </w:pPr>
    </w:p>
    <w:p w14:paraId="478065A5" w14:textId="77777777" w:rsidR="0043033B" w:rsidRPr="00BB0D9C" w:rsidRDefault="0043033B" w:rsidP="00C4474C">
      <w:pPr>
        <w:rPr>
          <w:lang w:bidi="en-US"/>
        </w:rPr>
      </w:pPr>
    </w:p>
    <w:p w14:paraId="23C83CB1" w14:textId="77777777" w:rsidR="0043033B" w:rsidRPr="00BB0D9C" w:rsidRDefault="0043033B" w:rsidP="0043033B">
      <w:pPr>
        <w:pStyle w:val="Heading2"/>
        <w:numPr>
          <w:ilvl w:val="0"/>
          <w:numId w:val="0"/>
        </w:numPr>
      </w:pPr>
      <w:bookmarkStart w:id="56" w:name="_Toc45021613"/>
      <w:r w:rsidRPr="00BB0D9C">
        <w:t xml:space="preserve">Anexo C: Resumen de la asistencia a las </w:t>
      </w:r>
      <w:r w:rsidR="001201F9" w:rsidRPr="00BB0D9C">
        <w:t>r</w:t>
      </w:r>
      <w:r w:rsidRPr="00BB0D9C">
        <w:t>euniones del Secretariado Técnico</w:t>
      </w:r>
      <w:bookmarkEnd w:id="56"/>
    </w:p>
    <w:p w14:paraId="53CD0C4B" w14:textId="77777777" w:rsidR="0043033B" w:rsidRPr="00BB0D9C" w:rsidRDefault="0043033B" w:rsidP="00C4474C">
      <w:r w:rsidRPr="00BB0D9C">
        <w:rPr>
          <w:noProof/>
          <w:lang w:val="en-GB" w:eastAsia="en-GB"/>
        </w:rPr>
        <w:drawing>
          <wp:anchor distT="0" distB="0" distL="114300" distR="114300" simplePos="0" relativeHeight="251659776" behindDoc="0" locked="0" layoutInCell="1" allowOverlap="1" wp14:anchorId="0DE7324C" wp14:editId="798145F4">
            <wp:simplePos x="0" y="0"/>
            <wp:positionH relativeFrom="page">
              <wp:posOffset>190500</wp:posOffset>
            </wp:positionH>
            <wp:positionV relativeFrom="paragraph">
              <wp:posOffset>283210</wp:posOffset>
            </wp:positionV>
            <wp:extent cx="7248525" cy="3181350"/>
            <wp:effectExtent l="0" t="0" r="9525" b="0"/>
            <wp:wrapThrough wrapText="bothSides">
              <wp:wrapPolygon edited="0">
                <wp:start x="0" y="0"/>
                <wp:lineTo x="0" y="21471"/>
                <wp:lineTo x="21572" y="21471"/>
                <wp:lineTo x="21572" y="0"/>
                <wp:lineTo x="0" y="0"/>
              </wp:wrapPolygon>
            </wp:wrapThrough>
            <wp:docPr id="1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a:stretch/>
                  </pic:blipFill>
                  <pic:spPr bwMode="auto">
                    <a:xfrm>
                      <a:off x="0" y="0"/>
                      <a:ext cx="7248525" cy="3181350"/>
                    </a:xfrm>
                    <a:prstGeom prst="rect">
                      <a:avLst/>
                    </a:prstGeom>
                    <a:ln>
                      <a:noFill/>
                    </a:ln>
                    <a:extLst>
                      <a:ext uri="{53640926-AAD7-44D8-BBD7-CCE9431645EC}">
                        <a14:shadowObscured xmlns:a14="http://schemas.microsoft.com/office/drawing/2010/main"/>
                      </a:ext>
                    </a:extLst>
                  </pic:spPr>
                </pic:pic>
              </a:graphicData>
            </a:graphic>
          </wp:anchor>
        </w:drawing>
      </w:r>
    </w:p>
    <w:p w14:paraId="7C5D89B6" w14:textId="77777777" w:rsidR="0043033B" w:rsidRPr="00BB0D9C" w:rsidRDefault="0043033B" w:rsidP="00C4474C">
      <w:pPr>
        <w:rPr>
          <w:lang w:bidi="en-US"/>
        </w:rPr>
      </w:pPr>
    </w:p>
    <w:p w14:paraId="2B78FD9C" w14:textId="77777777" w:rsidR="0043033B" w:rsidRPr="00BB0D9C" w:rsidRDefault="0043033B" w:rsidP="00C4474C"/>
    <w:p w14:paraId="5BA61220" w14:textId="77777777" w:rsidR="0043033B" w:rsidRPr="00BB0D9C" w:rsidRDefault="0043033B" w:rsidP="00C4474C">
      <w:pPr>
        <w:rPr>
          <w:lang w:bidi="en-US"/>
        </w:rPr>
      </w:pPr>
    </w:p>
    <w:p w14:paraId="0D124845" w14:textId="77777777" w:rsidR="0043033B" w:rsidRPr="00BB0D9C" w:rsidRDefault="0043033B" w:rsidP="00C4474C">
      <w:pPr>
        <w:rPr>
          <w:lang w:bidi="en-US"/>
        </w:rPr>
      </w:pPr>
    </w:p>
    <w:p w14:paraId="116B2F19" w14:textId="77777777" w:rsidR="0043033B" w:rsidRPr="00BB0D9C" w:rsidRDefault="0043033B" w:rsidP="00C4474C">
      <w:pPr>
        <w:rPr>
          <w:lang w:bidi="en-US"/>
        </w:rPr>
      </w:pPr>
    </w:p>
    <w:p w14:paraId="57FA961E" w14:textId="77777777" w:rsidR="0043033B" w:rsidRPr="00BB0D9C" w:rsidRDefault="0043033B" w:rsidP="00C4474C">
      <w:pPr>
        <w:rPr>
          <w:lang w:bidi="en-US"/>
        </w:rPr>
      </w:pPr>
    </w:p>
    <w:p w14:paraId="435DD40A" w14:textId="77777777" w:rsidR="0043033B" w:rsidRPr="00BB0D9C" w:rsidRDefault="0043033B" w:rsidP="00C4474C">
      <w:pPr>
        <w:rPr>
          <w:lang w:bidi="en-US"/>
        </w:rPr>
      </w:pPr>
    </w:p>
    <w:p w14:paraId="019C66FE" w14:textId="77777777" w:rsidR="0043033B" w:rsidRPr="00BB0D9C" w:rsidRDefault="0043033B" w:rsidP="00C4474C">
      <w:pPr>
        <w:rPr>
          <w:lang w:bidi="en-US"/>
        </w:rPr>
      </w:pPr>
    </w:p>
    <w:p w14:paraId="6827CC34" w14:textId="77777777" w:rsidR="0043033B" w:rsidRPr="00BB0D9C" w:rsidRDefault="0043033B" w:rsidP="00C4474C">
      <w:pPr>
        <w:rPr>
          <w:lang w:bidi="en-US"/>
        </w:rPr>
      </w:pPr>
    </w:p>
    <w:p w14:paraId="59D1CDFE" w14:textId="77777777" w:rsidR="0043033B" w:rsidRPr="00BB0D9C" w:rsidRDefault="0043033B" w:rsidP="00C4474C">
      <w:pPr>
        <w:rPr>
          <w:lang w:bidi="en-US"/>
        </w:rPr>
      </w:pPr>
    </w:p>
    <w:p w14:paraId="60D86C2D" w14:textId="77777777" w:rsidR="0043033B" w:rsidRPr="00BB0D9C" w:rsidRDefault="0043033B" w:rsidP="00C4474C">
      <w:pPr>
        <w:rPr>
          <w:lang w:bidi="en-US"/>
        </w:rPr>
      </w:pPr>
    </w:p>
    <w:p w14:paraId="69BAF18E" w14:textId="77777777" w:rsidR="0043033B" w:rsidRPr="00BB0D9C" w:rsidRDefault="0043033B" w:rsidP="00C4474C">
      <w:pPr>
        <w:rPr>
          <w:lang w:bidi="en-US"/>
        </w:rPr>
      </w:pPr>
    </w:p>
    <w:p w14:paraId="43D1D46A" w14:textId="77777777" w:rsidR="0043033B" w:rsidRPr="00BB0D9C" w:rsidRDefault="0043033B" w:rsidP="00C4474C">
      <w:pPr>
        <w:rPr>
          <w:lang w:bidi="en-US"/>
        </w:rPr>
      </w:pPr>
    </w:p>
    <w:p w14:paraId="63CEBBB3" w14:textId="77777777" w:rsidR="0043033B" w:rsidRPr="00BB0D9C" w:rsidRDefault="0043033B" w:rsidP="00C4474C">
      <w:pPr>
        <w:rPr>
          <w:lang w:bidi="en-US"/>
        </w:rPr>
      </w:pPr>
    </w:p>
    <w:p w14:paraId="0D03B007" w14:textId="77777777" w:rsidR="0043033B" w:rsidRPr="00BB0D9C" w:rsidRDefault="0043033B" w:rsidP="00C4474C">
      <w:pPr>
        <w:rPr>
          <w:lang w:bidi="en-US"/>
        </w:rPr>
      </w:pPr>
    </w:p>
    <w:p w14:paraId="6184A288" w14:textId="77777777" w:rsidR="0043033B" w:rsidRPr="00BB0D9C" w:rsidRDefault="0043033B" w:rsidP="00C4474C">
      <w:pPr>
        <w:rPr>
          <w:lang w:bidi="en-US"/>
        </w:rPr>
      </w:pPr>
    </w:p>
    <w:p w14:paraId="385C18C5" w14:textId="77777777" w:rsidR="0043033B" w:rsidRPr="00BB0D9C" w:rsidRDefault="0043033B" w:rsidP="00C4474C">
      <w:pPr>
        <w:rPr>
          <w:lang w:bidi="en-US"/>
        </w:rPr>
      </w:pPr>
    </w:p>
    <w:p w14:paraId="402EFD7B" w14:textId="77777777" w:rsidR="0043033B" w:rsidRPr="00BB0D9C" w:rsidRDefault="0043033B" w:rsidP="0043033B">
      <w:pPr>
        <w:pStyle w:val="Heading2"/>
        <w:numPr>
          <w:ilvl w:val="0"/>
          <w:numId w:val="0"/>
        </w:numPr>
      </w:pPr>
      <w:bookmarkStart w:id="57" w:name="_Toc45021614"/>
      <w:r w:rsidRPr="00BB0D9C">
        <w:t xml:space="preserve">Anexo D: Correo electrónico del SAR al Secretariado Internacional, con fecha </w:t>
      </w:r>
      <w:r w:rsidR="00B61C08" w:rsidRPr="00BB0D9C">
        <w:t xml:space="preserve">del </w:t>
      </w:r>
      <w:r w:rsidRPr="00BB0D9C">
        <w:t>6 de junio de 2019</w:t>
      </w:r>
      <w:bookmarkEnd w:id="57"/>
    </w:p>
    <w:p w14:paraId="65BF2F33" w14:textId="77777777" w:rsidR="0043033B" w:rsidRPr="00BB0D9C" w:rsidRDefault="0043033B" w:rsidP="0043033B">
      <w:pPr>
        <w:shd w:val="clear" w:color="auto" w:fill="FFFFFF"/>
        <w:spacing w:after="0" w:line="240" w:lineRule="auto"/>
        <w:rPr>
          <w:rFonts w:eastAsia="Times New Roman" w:cs="Arial"/>
          <w:b/>
          <w:bCs/>
          <w:color w:val="222222"/>
          <w:sz w:val="20"/>
          <w:lang w:eastAsia="es-AR"/>
        </w:rPr>
      </w:pPr>
    </w:p>
    <w:p w14:paraId="7282975C" w14:textId="77777777" w:rsidR="0043033B" w:rsidRPr="00BB0D9C" w:rsidRDefault="00B61C08" w:rsidP="0043033B">
      <w:pPr>
        <w:shd w:val="clear" w:color="auto" w:fill="FFFFFF"/>
        <w:spacing w:after="0" w:line="240" w:lineRule="auto"/>
        <w:rPr>
          <w:rFonts w:eastAsia="Times New Roman" w:cs="Arial"/>
          <w:color w:val="222222"/>
          <w:sz w:val="20"/>
        </w:rPr>
      </w:pPr>
      <w:r w:rsidRPr="00BB0D9C">
        <w:rPr>
          <w:b/>
          <w:bCs/>
          <w:color w:val="222222"/>
          <w:sz w:val="20"/>
        </w:rPr>
        <w:t>De</w:t>
      </w:r>
      <w:r w:rsidR="0043033B" w:rsidRPr="00BB0D9C">
        <w:rPr>
          <w:b/>
          <w:bCs/>
          <w:color w:val="222222"/>
          <w:sz w:val="20"/>
        </w:rPr>
        <w:t>:</w:t>
      </w:r>
      <w:r w:rsidR="0043033B" w:rsidRPr="00BB0D9C">
        <w:rPr>
          <w:color w:val="222222"/>
          <w:sz w:val="20"/>
        </w:rPr>
        <w:t> Cristian Erazo Delgado &lt;</w:t>
      </w:r>
      <w:hyperlink r:id="rId26" w:tgtFrame="_blank" w:history="1">
        <w:r w:rsidR="0043033B" w:rsidRPr="00BB0D9C">
          <w:rPr>
            <w:color w:val="1155CC"/>
            <w:sz w:val="20"/>
            <w:u w:val="single"/>
          </w:rPr>
          <w:t>cedelgado@sar.gob.hn</w:t>
        </w:r>
      </w:hyperlink>
      <w:r w:rsidR="0043033B" w:rsidRPr="00BB0D9C">
        <w:rPr>
          <w:color w:val="222222"/>
          <w:sz w:val="20"/>
        </w:rPr>
        <w:t>&gt; </w:t>
      </w:r>
      <w:r w:rsidR="0043033B" w:rsidRPr="00BB0D9C">
        <w:rPr>
          <w:color w:val="222222"/>
          <w:sz w:val="20"/>
        </w:rPr>
        <w:br/>
      </w:r>
      <w:r w:rsidRPr="00BB0D9C">
        <w:rPr>
          <w:b/>
          <w:bCs/>
          <w:color w:val="222222"/>
          <w:sz w:val="20"/>
        </w:rPr>
        <w:t>Enviado el</w:t>
      </w:r>
      <w:r w:rsidR="0043033B" w:rsidRPr="00BB0D9C">
        <w:rPr>
          <w:b/>
          <w:bCs/>
          <w:color w:val="222222"/>
          <w:sz w:val="20"/>
        </w:rPr>
        <w:t>:</w:t>
      </w:r>
      <w:r w:rsidR="0043033B" w:rsidRPr="00BB0D9C">
        <w:rPr>
          <w:color w:val="222222"/>
          <w:sz w:val="20"/>
        </w:rPr>
        <w:t> </w:t>
      </w:r>
      <w:proofErr w:type="spellStart"/>
      <w:r w:rsidR="0043033B" w:rsidRPr="00BB0D9C">
        <w:rPr>
          <w:color w:val="222222"/>
          <w:sz w:val="20"/>
        </w:rPr>
        <w:t>torsdag</w:t>
      </w:r>
      <w:proofErr w:type="spellEnd"/>
      <w:r w:rsidR="0043033B" w:rsidRPr="00BB0D9C">
        <w:rPr>
          <w:color w:val="222222"/>
          <w:sz w:val="20"/>
        </w:rPr>
        <w:t xml:space="preserve"> 6. </w:t>
      </w:r>
      <w:proofErr w:type="spellStart"/>
      <w:r w:rsidR="0043033B" w:rsidRPr="00BB0D9C">
        <w:rPr>
          <w:color w:val="222222"/>
          <w:sz w:val="20"/>
        </w:rPr>
        <w:t>juni</w:t>
      </w:r>
      <w:proofErr w:type="spellEnd"/>
      <w:r w:rsidR="0043033B" w:rsidRPr="00BB0D9C">
        <w:rPr>
          <w:color w:val="222222"/>
          <w:sz w:val="20"/>
        </w:rPr>
        <w:t xml:space="preserve"> 2019 11.57</w:t>
      </w:r>
      <w:r w:rsidR="0043033B" w:rsidRPr="00BB0D9C">
        <w:rPr>
          <w:color w:val="222222"/>
          <w:sz w:val="20"/>
        </w:rPr>
        <w:br/>
      </w:r>
      <w:r w:rsidRPr="00BB0D9C">
        <w:rPr>
          <w:b/>
          <w:bCs/>
          <w:color w:val="222222"/>
          <w:sz w:val="20"/>
        </w:rPr>
        <w:t>Para</w:t>
      </w:r>
      <w:r w:rsidR="0043033B" w:rsidRPr="00BB0D9C">
        <w:rPr>
          <w:b/>
          <w:bCs/>
          <w:color w:val="222222"/>
          <w:sz w:val="20"/>
        </w:rPr>
        <w:t>:</w:t>
      </w:r>
      <w:r w:rsidR="0043033B" w:rsidRPr="00BB0D9C">
        <w:rPr>
          <w:color w:val="222222"/>
          <w:sz w:val="20"/>
        </w:rPr>
        <w:t xml:space="preserve"> Santiago </w:t>
      </w:r>
      <w:proofErr w:type="spellStart"/>
      <w:r w:rsidR="0043033B" w:rsidRPr="00BB0D9C">
        <w:rPr>
          <w:color w:val="222222"/>
          <w:sz w:val="20"/>
        </w:rPr>
        <w:t>Dondo</w:t>
      </w:r>
      <w:proofErr w:type="spellEnd"/>
      <w:r w:rsidR="0043033B" w:rsidRPr="00BB0D9C">
        <w:rPr>
          <w:color w:val="222222"/>
          <w:sz w:val="20"/>
        </w:rPr>
        <w:t xml:space="preserve"> &lt;</w:t>
      </w:r>
      <w:hyperlink r:id="rId27" w:tgtFrame="_blank" w:history="1">
        <w:r w:rsidR="0043033B" w:rsidRPr="00BB0D9C">
          <w:rPr>
            <w:color w:val="1155CC"/>
            <w:sz w:val="20"/>
            <w:u w:val="single"/>
          </w:rPr>
          <w:t>SDondo@eiti.org</w:t>
        </w:r>
      </w:hyperlink>
      <w:r w:rsidR="0043033B" w:rsidRPr="00BB0D9C">
        <w:rPr>
          <w:color w:val="222222"/>
          <w:sz w:val="20"/>
        </w:rPr>
        <w:t>&gt;</w:t>
      </w:r>
      <w:r w:rsidR="0043033B" w:rsidRPr="00BB0D9C">
        <w:rPr>
          <w:color w:val="222222"/>
          <w:sz w:val="20"/>
        </w:rPr>
        <w:br/>
      </w:r>
      <w:r w:rsidRPr="00BB0D9C">
        <w:rPr>
          <w:b/>
          <w:bCs/>
          <w:color w:val="222222"/>
          <w:sz w:val="20"/>
        </w:rPr>
        <w:t>Asunto</w:t>
      </w:r>
      <w:r w:rsidR="0043033B" w:rsidRPr="00BB0D9C">
        <w:rPr>
          <w:b/>
          <w:bCs/>
          <w:color w:val="222222"/>
          <w:sz w:val="20"/>
        </w:rPr>
        <w:t>:</w:t>
      </w:r>
      <w:r w:rsidR="0043033B" w:rsidRPr="00BB0D9C">
        <w:rPr>
          <w:color w:val="222222"/>
          <w:sz w:val="20"/>
        </w:rPr>
        <w:t> RV: Respuesta a consulta de Información EITI-HD</w:t>
      </w:r>
    </w:p>
    <w:p w14:paraId="16F58A7A" w14:textId="77777777" w:rsidR="0043033B" w:rsidRPr="00BB0D9C" w:rsidRDefault="0043033B" w:rsidP="0043033B">
      <w:pPr>
        <w:shd w:val="clear" w:color="auto" w:fill="FFFFFF"/>
        <w:spacing w:after="0" w:line="240" w:lineRule="auto"/>
        <w:rPr>
          <w:rFonts w:eastAsia="Times New Roman" w:cs="Arial"/>
          <w:color w:val="222222"/>
          <w:sz w:val="20"/>
        </w:rPr>
      </w:pPr>
      <w:r w:rsidRPr="00BB0D9C">
        <w:rPr>
          <w:color w:val="222222"/>
          <w:sz w:val="20"/>
        </w:rPr>
        <w:t> </w:t>
      </w:r>
    </w:p>
    <w:p w14:paraId="64CE2D14" w14:textId="77777777" w:rsidR="0043033B" w:rsidRPr="00BB0D9C" w:rsidRDefault="0043033B" w:rsidP="0043033B">
      <w:pPr>
        <w:shd w:val="clear" w:color="auto" w:fill="FFFFFF"/>
        <w:spacing w:after="0" w:line="240" w:lineRule="auto"/>
        <w:rPr>
          <w:rFonts w:eastAsia="Times New Roman" w:cs="Arial"/>
          <w:color w:val="222222"/>
          <w:sz w:val="20"/>
        </w:rPr>
      </w:pPr>
      <w:r w:rsidRPr="00BB0D9C">
        <w:rPr>
          <w:color w:val="222222"/>
          <w:sz w:val="20"/>
        </w:rPr>
        <w:t xml:space="preserve">Saludos Santiago…te </w:t>
      </w:r>
      <w:r w:rsidR="00B61C08" w:rsidRPr="00BB0D9C">
        <w:rPr>
          <w:color w:val="222222"/>
          <w:sz w:val="20"/>
        </w:rPr>
        <w:t>reenvío</w:t>
      </w:r>
      <w:r w:rsidRPr="00BB0D9C">
        <w:rPr>
          <w:color w:val="222222"/>
          <w:sz w:val="20"/>
        </w:rPr>
        <w:t xml:space="preserve"> la información recopilada</w:t>
      </w:r>
    </w:p>
    <w:p w14:paraId="54A45266" w14:textId="77777777" w:rsidR="0043033B" w:rsidRPr="00BB0D9C" w:rsidRDefault="0043033B" w:rsidP="0043033B">
      <w:pPr>
        <w:shd w:val="clear" w:color="auto" w:fill="FFFFFF"/>
        <w:spacing w:after="0" w:line="240" w:lineRule="auto"/>
        <w:rPr>
          <w:rFonts w:eastAsia="Times New Roman" w:cs="Arial"/>
          <w:color w:val="222222"/>
          <w:sz w:val="20"/>
        </w:rPr>
      </w:pPr>
      <w:r w:rsidRPr="00BB0D9C">
        <w:rPr>
          <w:color w:val="222222"/>
          <w:sz w:val="20"/>
        </w:rPr>
        <w:t> </w:t>
      </w:r>
    </w:p>
    <w:p w14:paraId="3EF9EFBE" w14:textId="77777777" w:rsidR="0043033B" w:rsidRPr="00BB0D9C" w:rsidRDefault="0043033B" w:rsidP="0043033B">
      <w:pPr>
        <w:shd w:val="clear" w:color="auto" w:fill="FFFFFF"/>
        <w:spacing w:after="0" w:line="240" w:lineRule="auto"/>
        <w:rPr>
          <w:rFonts w:eastAsia="Times New Roman" w:cs="Arial"/>
          <w:color w:val="222222"/>
          <w:sz w:val="20"/>
        </w:rPr>
      </w:pPr>
      <w:r w:rsidRPr="00BB0D9C">
        <w:rPr>
          <w:color w:val="222222"/>
          <w:sz w:val="20"/>
        </w:rPr>
        <w:t>Espero te sea de utilidad, cualquier consulta me lo haces saber</w:t>
      </w:r>
    </w:p>
    <w:p w14:paraId="156F19F4" w14:textId="77777777" w:rsidR="0043033B" w:rsidRPr="00BB0D9C" w:rsidRDefault="0043033B" w:rsidP="0043033B">
      <w:pPr>
        <w:shd w:val="clear" w:color="auto" w:fill="FFFFFF"/>
        <w:spacing w:after="0" w:line="240" w:lineRule="auto"/>
        <w:rPr>
          <w:rFonts w:eastAsia="Times New Roman" w:cs="Arial"/>
          <w:color w:val="222222"/>
          <w:sz w:val="20"/>
        </w:rPr>
      </w:pPr>
      <w:r w:rsidRPr="00BB0D9C">
        <w:rPr>
          <w:color w:val="222222"/>
          <w:sz w:val="20"/>
        </w:rPr>
        <w:t> </w:t>
      </w:r>
    </w:p>
    <w:p w14:paraId="62435585" w14:textId="77777777" w:rsidR="0043033B" w:rsidRPr="00BB0D9C" w:rsidRDefault="0043033B" w:rsidP="0043033B">
      <w:pPr>
        <w:shd w:val="clear" w:color="auto" w:fill="FFFFFF"/>
        <w:spacing w:after="0" w:line="240" w:lineRule="auto"/>
        <w:rPr>
          <w:rFonts w:eastAsia="Times New Roman" w:cs="Arial"/>
          <w:color w:val="222222"/>
          <w:sz w:val="20"/>
        </w:rPr>
      </w:pPr>
      <w:proofErr w:type="spellStart"/>
      <w:r w:rsidRPr="00BB0D9C">
        <w:rPr>
          <w:color w:val="222222"/>
          <w:sz w:val="20"/>
        </w:rPr>
        <w:t>Msc</w:t>
      </w:r>
      <w:proofErr w:type="spellEnd"/>
      <w:r w:rsidRPr="00BB0D9C">
        <w:rPr>
          <w:color w:val="222222"/>
          <w:sz w:val="20"/>
        </w:rPr>
        <w:t>. Cristian Erazo Delgado</w:t>
      </w:r>
    </w:p>
    <w:p w14:paraId="4C34ABC7" w14:textId="77777777" w:rsidR="0043033B" w:rsidRPr="00BB0D9C" w:rsidRDefault="0043033B" w:rsidP="0043033B">
      <w:pPr>
        <w:shd w:val="clear" w:color="auto" w:fill="FFFFFF"/>
        <w:spacing w:after="0" w:line="240" w:lineRule="auto"/>
        <w:rPr>
          <w:rFonts w:eastAsia="Times New Roman" w:cs="Arial"/>
          <w:color w:val="222222"/>
          <w:sz w:val="20"/>
        </w:rPr>
      </w:pPr>
      <w:r w:rsidRPr="00BB0D9C">
        <w:rPr>
          <w:b/>
          <w:bCs/>
          <w:i/>
          <w:iCs/>
          <w:color w:val="222222"/>
          <w:sz w:val="20"/>
        </w:rPr>
        <w:t xml:space="preserve">Director Nacional </w:t>
      </w:r>
      <w:r w:rsidR="00B61C08" w:rsidRPr="00BB0D9C">
        <w:rPr>
          <w:b/>
          <w:bCs/>
          <w:i/>
          <w:iCs/>
          <w:color w:val="222222"/>
          <w:sz w:val="20"/>
        </w:rPr>
        <w:t>Jurídico</w:t>
      </w:r>
    </w:p>
    <w:p w14:paraId="1BAED0AE" w14:textId="77777777" w:rsidR="0043033B" w:rsidRPr="00BB0D9C" w:rsidRDefault="0043033B" w:rsidP="0043033B">
      <w:pPr>
        <w:shd w:val="clear" w:color="auto" w:fill="FFFFFF"/>
        <w:spacing w:after="0" w:line="240" w:lineRule="auto"/>
        <w:rPr>
          <w:rFonts w:eastAsia="Times New Roman" w:cs="Arial"/>
          <w:color w:val="222222"/>
          <w:sz w:val="20"/>
        </w:rPr>
      </w:pPr>
      <w:r w:rsidRPr="00BB0D9C">
        <w:rPr>
          <w:color w:val="222222"/>
          <w:sz w:val="20"/>
        </w:rPr>
        <w:t> </w:t>
      </w:r>
    </w:p>
    <w:p w14:paraId="1C885F75" w14:textId="77777777" w:rsidR="0043033B" w:rsidRPr="00BB0D9C" w:rsidRDefault="0043033B" w:rsidP="0043033B">
      <w:pPr>
        <w:shd w:val="clear" w:color="auto" w:fill="FFFFFF"/>
        <w:spacing w:after="0" w:line="240" w:lineRule="auto"/>
        <w:rPr>
          <w:rFonts w:eastAsia="Times New Roman" w:cs="Arial"/>
          <w:color w:val="222222"/>
          <w:sz w:val="20"/>
        </w:rPr>
      </w:pPr>
    </w:p>
    <w:p w14:paraId="36C2C07B" w14:textId="77777777" w:rsidR="0043033B" w:rsidRPr="00BB0D9C" w:rsidRDefault="0043033B" w:rsidP="0043033B">
      <w:pPr>
        <w:shd w:val="clear" w:color="auto" w:fill="FFFFFF"/>
        <w:spacing w:after="0" w:line="240" w:lineRule="auto"/>
        <w:rPr>
          <w:rFonts w:eastAsia="Times New Roman" w:cs="Arial"/>
          <w:color w:val="222222"/>
          <w:sz w:val="20"/>
        </w:rPr>
      </w:pPr>
      <w:r w:rsidRPr="00BB0D9C">
        <w:rPr>
          <w:color w:val="222222"/>
          <w:sz w:val="20"/>
        </w:rPr>
        <w:t> </w:t>
      </w:r>
    </w:p>
    <w:p w14:paraId="685EF244" w14:textId="77777777" w:rsidR="0043033B" w:rsidRPr="00BB0D9C" w:rsidRDefault="0043033B" w:rsidP="0043033B">
      <w:pPr>
        <w:shd w:val="clear" w:color="auto" w:fill="FFFFFF"/>
        <w:spacing w:after="0" w:line="240" w:lineRule="auto"/>
        <w:rPr>
          <w:rFonts w:eastAsia="Times New Roman" w:cs="Arial"/>
          <w:color w:val="222222"/>
          <w:sz w:val="20"/>
        </w:rPr>
      </w:pPr>
      <w:r w:rsidRPr="00BB0D9C">
        <w:rPr>
          <w:b/>
          <w:bCs/>
          <w:color w:val="222222"/>
          <w:sz w:val="20"/>
        </w:rPr>
        <w:t>De:</w:t>
      </w:r>
      <w:r w:rsidRPr="00BB0D9C">
        <w:rPr>
          <w:color w:val="222222"/>
          <w:sz w:val="20"/>
        </w:rPr>
        <w:t> Alejandra Yaneth Figueroa Aguilar &lt;</w:t>
      </w:r>
      <w:hyperlink r:id="rId28" w:tgtFrame="_blank" w:history="1">
        <w:r w:rsidRPr="00BB0D9C">
          <w:rPr>
            <w:color w:val="1155CC"/>
            <w:sz w:val="20"/>
            <w:u w:val="single"/>
          </w:rPr>
          <w:t>afigueroa@sar.gob.hn</w:t>
        </w:r>
      </w:hyperlink>
      <w:r w:rsidRPr="00BB0D9C">
        <w:rPr>
          <w:color w:val="222222"/>
          <w:sz w:val="20"/>
        </w:rPr>
        <w:t>&gt; </w:t>
      </w:r>
      <w:r w:rsidRPr="00BB0D9C">
        <w:rPr>
          <w:color w:val="222222"/>
          <w:sz w:val="20"/>
        </w:rPr>
        <w:br/>
      </w:r>
      <w:r w:rsidRPr="00BB0D9C">
        <w:rPr>
          <w:b/>
          <w:bCs/>
          <w:color w:val="222222"/>
          <w:sz w:val="20"/>
        </w:rPr>
        <w:t>Enviado el:</w:t>
      </w:r>
      <w:r w:rsidRPr="00BB0D9C">
        <w:rPr>
          <w:color w:val="222222"/>
          <w:sz w:val="20"/>
        </w:rPr>
        <w:t> miércoles 05 de junio de 2019 15:42</w:t>
      </w:r>
      <w:r w:rsidRPr="00BB0D9C">
        <w:rPr>
          <w:color w:val="222222"/>
          <w:sz w:val="20"/>
        </w:rPr>
        <w:br/>
      </w:r>
      <w:r w:rsidRPr="00BB0D9C">
        <w:rPr>
          <w:b/>
          <w:bCs/>
          <w:color w:val="222222"/>
          <w:sz w:val="20"/>
        </w:rPr>
        <w:t>Para:</w:t>
      </w:r>
      <w:r w:rsidRPr="00BB0D9C">
        <w:rPr>
          <w:color w:val="222222"/>
          <w:sz w:val="20"/>
        </w:rPr>
        <w:t> Cristian Erazo Delgado &lt;</w:t>
      </w:r>
      <w:hyperlink r:id="rId29" w:tgtFrame="_blank" w:history="1">
        <w:r w:rsidRPr="00BB0D9C">
          <w:rPr>
            <w:color w:val="1155CC"/>
            <w:sz w:val="20"/>
            <w:u w:val="single"/>
          </w:rPr>
          <w:t>cedelgado@sar.gob.hn</w:t>
        </w:r>
      </w:hyperlink>
      <w:r w:rsidRPr="00BB0D9C">
        <w:rPr>
          <w:color w:val="222222"/>
          <w:sz w:val="20"/>
        </w:rPr>
        <w:t>&gt;</w:t>
      </w:r>
      <w:r w:rsidRPr="00BB0D9C">
        <w:rPr>
          <w:color w:val="222222"/>
          <w:sz w:val="20"/>
        </w:rPr>
        <w:br/>
      </w:r>
      <w:r w:rsidRPr="00BB0D9C">
        <w:rPr>
          <w:b/>
          <w:bCs/>
          <w:color w:val="222222"/>
          <w:sz w:val="20"/>
        </w:rPr>
        <w:t>Asunto:</w:t>
      </w:r>
      <w:r w:rsidRPr="00BB0D9C">
        <w:rPr>
          <w:color w:val="222222"/>
          <w:sz w:val="20"/>
        </w:rPr>
        <w:t> Respuesta a consulta de Información EITI-HD</w:t>
      </w:r>
    </w:p>
    <w:p w14:paraId="1D8114C4" w14:textId="77777777" w:rsidR="0043033B" w:rsidRPr="00BB0D9C" w:rsidRDefault="0043033B" w:rsidP="0043033B">
      <w:pPr>
        <w:shd w:val="clear" w:color="auto" w:fill="FFFFFF"/>
        <w:spacing w:after="0" w:line="240" w:lineRule="auto"/>
        <w:rPr>
          <w:rFonts w:eastAsia="Times New Roman" w:cs="Arial"/>
          <w:color w:val="222222"/>
          <w:sz w:val="20"/>
        </w:rPr>
      </w:pPr>
      <w:r w:rsidRPr="00BB0D9C">
        <w:rPr>
          <w:color w:val="222222"/>
          <w:sz w:val="20"/>
        </w:rPr>
        <w:t> </w:t>
      </w:r>
    </w:p>
    <w:p w14:paraId="7C06528E" w14:textId="77777777" w:rsidR="0043033B" w:rsidRPr="00BB0D9C" w:rsidRDefault="0043033B" w:rsidP="0043033B">
      <w:pPr>
        <w:shd w:val="clear" w:color="auto" w:fill="FFFFFF"/>
        <w:spacing w:before="100" w:beforeAutospacing="1" w:after="100" w:afterAutospacing="1" w:line="240" w:lineRule="auto"/>
        <w:rPr>
          <w:rFonts w:eastAsia="Times New Roman" w:cs="Arial"/>
          <w:color w:val="222222"/>
          <w:sz w:val="20"/>
        </w:rPr>
      </w:pPr>
      <w:r w:rsidRPr="00BB0D9C">
        <w:rPr>
          <w:color w:val="000000"/>
          <w:sz w:val="20"/>
        </w:rPr>
        <w:t>Buenas tardes Abogado </w:t>
      </w:r>
    </w:p>
    <w:p w14:paraId="199A0A00" w14:textId="77777777" w:rsidR="0043033B" w:rsidRPr="00BB0D9C" w:rsidRDefault="0043033B" w:rsidP="0043033B">
      <w:pPr>
        <w:shd w:val="clear" w:color="auto" w:fill="FFFFFF"/>
        <w:spacing w:before="100" w:beforeAutospacing="1" w:after="100" w:afterAutospacing="1" w:line="240" w:lineRule="auto"/>
        <w:rPr>
          <w:rFonts w:eastAsia="Times New Roman" w:cs="Arial"/>
          <w:color w:val="222222"/>
          <w:sz w:val="20"/>
        </w:rPr>
      </w:pPr>
      <w:r w:rsidRPr="00BB0D9C">
        <w:rPr>
          <w:color w:val="000000"/>
          <w:sz w:val="20"/>
        </w:rPr>
        <w:t xml:space="preserve"> Para dar respuesta a las preguntas planteadas por el Señor Santiago </w:t>
      </w:r>
      <w:proofErr w:type="spellStart"/>
      <w:r w:rsidRPr="00BB0D9C">
        <w:rPr>
          <w:color w:val="000000"/>
          <w:sz w:val="20"/>
        </w:rPr>
        <w:t>Dondo</w:t>
      </w:r>
      <w:proofErr w:type="spellEnd"/>
      <w:r w:rsidRPr="00BB0D9C">
        <w:rPr>
          <w:color w:val="000000"/>
          <w:sz w:val="20"/>
        </w:rPr>
        <w:t>, y según la información obtenida por el Departamento de Recaudación e Inteligencia Fiscal, las respuestas son las siguientes:</w:t>
      </w:r>
    </w:p>
    <w:p w14:paraId="457E5194" w14:textId="77777777" w:rsidR="0043033B" w:rsidRPr="00BB0D9C" w:rsidRDefault="0043033B" w:rsidP="0043033B">
      <w:pPr>
        <w:shd w:val="clear" w:color="auto" w:fill="FFFFFF"/>
        <w:spacing w:after="0" w:line="240" w:lineRule="auto"/>
        <w:rPr>
          <w:rFonts w:eastAsia="Times New Roman" w:cs="Arial"/>
          <w:color w:val="222222"/>
          <w:sz w:val="20"/>
        </w:rPr>
      </w:pPr>
      <w:r w:rsidRPr="00BB0D9C">
        <w:rPr>
          <w:color w:val="000000"/>
          <w:sz w:val="20"/>
        </w:rPr>
        <w:t> </w:t>
      </w:r>
      <w:r w:rsidRPr="00BB0D9C">
        <w:rPr>
          <w:b/>
          <w:bCs/>
          <w:color w:val="000000"/>
          <w:sz w:val="20"/>
          <w:shd w:val="clear" w:color="auto" w:fill="FFFFFF"/>
        </w:rPr>
        <w:t>1.-</w:t>
      </w:r>
      <w:r w:rsidRPr="00BB0D9C">
        <w:rPr>
          <w:color w:val="000000"/>
          <w:sz w:val="20"/>
          <w:shd w:val="clear" w:color="auto" w:fill="FFFFFF"/>
        </w:rPr>
        <w:t> </w:t>
      </w:r>
      <w:r w:rsidRPr="00BB0D9C">
        <w:rPr>
          <w:b/>
          <w:bCs/>
          <w:color w:val="000000"/>
          <w:sz w:val="20"/>
          <w:shd w:val="clear" w:color="auto" w:fill="FFFFFF"/>
        </w:rPr>
        <w:t>Dato del total recaudado a nivel país (no sólo de actividad minera, sino total absoluto) para años 2015 y 2016</w:t>
      </w:r>
      <w:r w:rsidRPr="00BB0D9C">
        <w:rPr>
          <w:color w:val="000000"/>
          <w:sz w:val="20"/>
          <w:shd w:val="clear" w:color="auto" w:fill="FFFFFF"/>
        </w:rPr>
        <w:t>.</w:t>
      </w:r>
    </w:p>
    <w:p w14:paraId="1A0C81B8" w14:textId="77777777" w:rsidR="0043033B" w:rsidRPr="00BB0D9C" w:rsidRDefault="0043033B" w:rsidP="0043033B">
      <w:pPr>
        <w:shd w:val="clear" w:color="auto" w:fill="FFFFFF"/>
        <w:spacing w:after="0" w:line="240" w:lineRule="auto"/>
        <w:rPr>
          <w:rFonts w:eastAsia="Times New Roman" w:cs="Arial"/>
          <w:color w:val="222222"/>
          <w:sz w:val="20"/>
        </w:rPr>
      </w:pPr>
      <w:r w:rsidRPr="00BB0D9C">
        <w:rPr>
          <w:b/>
          <w:bCs/>
          <w:color w:val="000000"/>
          <w:sz w:val="20"/>
          <w:shd w:val="clear" w:color="auto" w:fill="FFFFFF"/>
        </w:rPr>
        <w:t>Respuesta:</w:t>
      </w:r>
    </w:p>
    <w:p w14:paraId="6CD93959" w14:textId="77777777" w:rsidR="0043033B" w:rsidRPr="00BB0D9C" w:rsidRDefault="0043033B" w:rsidP="0043033B">
      <w:pPr>
        <w:shd w:val="clear" w:color="auto" w:fill="FFFFFF"/>
        <w:spacing w:after="0" w:line="240" w:lineRule="auto"/>
        <w:rPr>
          <w:rFonts w:eastAsia="Times New Roman" w:cs="Arial"/>
          <w:color w:val="222222"/>
          <w:sz w:val="20"/>
        </w:rPr>
      </w:pPr>
      <w:r w:rsidRPr="00BB0D9C">
        <w:rPr>
          <w:color w:val="000000"/>
          <w:sz w:val="20"/>
        </w:rPr>
        <w:t>Para el año 2015 la recaudación fue de</w:t>
      </w:r>
      <w:r w:rsidR="00827CAC" w:rsidRPr="00BB0D9C">
        <w:rPr>
          <w:color w:val="000000"/>
          <w:sz w:val="20"/>
        </w:rPr>
        <w:t xml:space="preserve"> </w:t>
      </w:r>
      <w:r w:rsidRPr="00BB0D9C">
        <w:rPr>
          <w:b/>
          <w:bCs/>
          <w:color w:val="000000"/>
          <w:sz w:val="20"/>
        </w:rPr>
        <w:t>L. 77,646,451,110.99</w:t>
      </w:r>
    </w:p>
    <w:p w14:paraId="6479EC70" w14:textId="77777777" w:rsidR="0043033B" w:rsidRPr="00BB0D9C" w:rsidRDefault="0043033B" w:rsidP="0043033B">
      <w:pPr>
        <w:shd w:val="clear" w:color="auto" w:fill="FFFFFF"/>
        <w:spacing w:after="0" w:line="240" w:lineRule="auto"/>
        <w:rPr>
          <w:rFonts w:eastAsia="Times New Roman" w:cs="Arial"/>
          <w:color w:val="222222"/>
          <w:sz w:val="20"/>
        </w:rPr>
      </w:pPr>
      <w:r w:rsidRPr="00BB0D9C">
        <w:rPr>
          <w:color w:val="000000"/>
          <w:sz w:val="20"/>
        </w:rPr>
        <w:t>Para el año 2016 la recaudación fue de</w:t>
      </w:r>
      <w:r w:rsidR="00827CAC" w:rsidRPr="00BB0D9C">
        <w:rPr>
          <w:color w:val="000000"/>
          <w:sz w:val="20"/>
        </w:rPr>
        <w:t xml:space="preserve"> </w:t>
      </w:r>
      <w:r w:rsidRPr="00BB0D9C">
        <w:rPr>
          <w:b/>
          <w:bCs/>
          <w:color w:val="000000"/>
          <w:sz w:val="20"/>
        </w:rPr>
        <w:t>L. 88,762,221,226.11</w:t>
      </w:r>
    </w:p>
    <w:p w14:paraId="34706E1D" w14:textId="77777777" w:rsidR="0043033B" w:rsidRPr="00BB0D9C" w:rsidRDefault="0043033B" w:rsidP="0043033B">
      <w:pPr>
        <w:shd w:val="clear" w:color="auto" w:fill="FFFFFF"/>
        <w:spacing w:after="0" w:line="240" w:lineRule="auto"/>
        <w:rPr>
          <w:rFonts w:eastAsia="Times New Roman" w:cs="Arial"/>
          <w:color w:val="222222"/>
          <w:sz w:val="20"/>
        </w:rPr>
      </w:pPr>
      <w:r w:rsidRPr="00BB0D9C">
        <w:rPr>
          <w:color w:val="000000"/>
          <w:sz w:val="20"/>
        </w:rPr>
        <w:t> </w:t>
      </w:r>
    </w:p>
    <w:p w14:paraId="583D17D0" w14:textId="77777777" w:rsidR="0043033B" w:rsidRPr="00BB0D9C" w:rsidRDefault="0043033B" w:rsidP="0043033B">
      <w:pPr>
        <w:shd w:val="clear" w:color="auto" w:fill="FFFFFF"/>
        <w:spacing w:after="0" w:line="240" w:lineRule="auto"/>
        <w:rPr>
          <w:rFonts w:eastAsia="Times New Roman" w:cs="Arial"/>
          <w:color w:val="222222"/>
          <w:sz w:val="20"/>
        </w:rPr>
      </w:pPr>
      <w:r w:rsidRPr="00BB0D9C">
        <w:rPr>
          <w:b/>
          <w:bCs/>
          <w:color w:val="000000"/>
          <w:sz w:val="20"/>
          <w:shd w:val="clear" w:color="auto" w:fill="FFFFFF"/>
        </w:rPr>
        <w:t>2.-</w:t>
      </w:r>
      <w:r w:rsidRPr="00BB0D9C">
        <w:rPr>
          <w:color w:val="000000"/>
          <w:sz w:val="20"/>
          <w:shd w:val="clear" w:color="auto" w:fill="FFFFFF"/>
        </w:rPr>
        <w:t> </w:t>
      </w:r>
      <w:r w:rsidRPr="00BB0D9C">
        <w:rPr>
          <w:b/>
          <w:bCs/>
          <w:color w:val="000000"/>
          <w:sz w:val="20"/>
          <w:shd w:val="clear" w:color="auto" w:fill="FFFFFF"/>
        </w:rPr>
        <w:t>Asumiendo las siguientes definiciones: (A) es el total recaudado por SAR de parte de actividad minera; (B) la empresa minera, NO incluida en el reporte EITI 2015-2016, que más dinero pagó a SAR en esos años. Necesitaríamos que, sin dar nombres ni montos, nos puedan responder/informar lo siguiente: ¿Qué porcentaje de (A) representó el pago de (B), tanto en año 2015 como en año 2016? </w:t>
      </w:r>
    </w:p>
    <w:p w14:paraId="3AC77921" w14:textId="77777777" w:rsidR="0043033B" w:rsidRPr="00BB0D9C" w:rsidRDefault="0043033B" w:rsidP="0043033B">
      <w:pPr>
        <w:shd w:val="clear" w:color="auto" w:fill="FFFFFF"/>
        <w:spacing w:after="0" w:line="240" w:lineRule="auto"/>
        <w:rPr>
          <w:rFonts w:eastAsia="Times New Roman" w:cs="Arial"/>
          <w:color w:val="222222"/>
          <w:sz w:val="20"/>
        </w:rPr>
      </w:pPr>
      <w:r w:rsidRPr="00BB0D9C">
        <w:rPr>
          <w:b/>
          <w:bCs/>
          <w:color w:val="000000"/>
          <w:sz w:val="20"/>
        </w:rPr>
        <w:t>Respuesta:</w:t>
      </w:r>
    </w:p>
    <w:p w14:paraId="117EB66A" w14:textId="77777777" w:rsidR="0043033B" w:rsidRPr="00BB0D9C" w:rsidRDefault="0043033B" w:rsidP="0043033B">
      <w:pPr>
        <w:shd w:val="clear" w:color="auto" w:fill="FFFFFF"/>
        <w:spacing w:after="0" w:line="240" w:lineRule="auto"/>
        <w:rPr>
          <w:rFonts w:eastAsia="Times New Roman" w:cs="Arial"/>
          <w:color w:val="222222"/>
          <w:sz w:val="20"/>
        </w:rPr>
      </w:pPr>
      <w:r w:rsidRPr="00BB0D9C">
        <w:rPr>
          <w:color w:val="000000"/>
          <w:sz w:val="20"/>
        </w:rPr>
        <w:t>Recaudación sector minero 2015 L. 73,867,706.00/ 2,894,958.00 (Empresa no incluida que más pagó) </w:t>
      </w:r>
    </w:p>
    <w:p w14:paraId="4528C8AA" w14:textId="77777777" w:rsidR="0043033B" w:rsidRPr="00BB0D9C" w:rsidRDefault="0043033B" w:rsidP="0043033B">
      <w:pPr>
        <w:shd w:val="clear" w:color="auto" w:fill="FFFFFF"/>
        <w:spacing w:after="0" w:line="240" w:lineRule="auto"/>
        <w:rPr>
          <w:rFonts w:eastAsia="Times New Roman" w:cs="Arial"/>
          <w:color w:val="222222"/>
          <w:sz w:val="20"/>
        </w:rPr>
      </w:pPr>
      <w:r w:rsidRPr="00BB0D9C">
        <w:rPr>
          <w:color w:val="000000"/>
          <w:sz w:val="20"/>
        </w:rPr>
        <w:t>Recaudación sector minero 2016 L. 448,034,950.20/7,970,100.26</w:t>
      </w:r>
      <w:r w:rsidR="00B61C08" w:rsidRPr="00BB0D9C">
        <w:rPr>
          <w:color w:val="000000"/>
          <w:sz w:val="20"/>
        </w:rPr>
        <w:t xml:space="preserve"> </w:t>
      </w:r>
      <w:r w:rsidRPr="00BB0D9C">
        <w:rPr>
          <w:color w:val="000000"/>
          <w:sz w:val="20"/>
        </w:rPr>
        <w:t>(Empresa no incluida que más pagó)</w:t>
      </w:r>
    </w:p>
    <w:p w14:paraId="48A6F886" w14:textId="77777777" w:rsidR="0043033B" w:rsidRPr="00BB0D9C" w:rsidRDefault="0043033B" w:rsidP="0043033B">
      <w:pPr>
        <w:shd w:val="clear" w:color="auto" w:fill="FFFFFF"/>
        <w:spacing w:after="0" w:line="240" w:lineRule="auto"/>
        <w:rPr>
          <w:rFonts w:eastAsia="Times New Roman" w:cs="Arial"/>
          <w:color w:val="222222"/>
          <w:sz w:val="20"/>
        </w:rPr>
      </w:pPr>
      <w:r w:rsidRPr="00BB0D9C">
        <w:rPr>
          <w:color w:val="000000"/>
          <w:sz w:val="20"/>
          <w:shd w:val="clear" w:color="auto" w:fill="FFFFFF"/>
        </w:rPr>
        <w:t xml:space="preserve">La Empresa minera no incluida en el reporte EITI 2015-2016, que </w:t>
      </w:r>
      <w:r w:rsidR="00B61C08" w:rsidRPr="00BB0D9C">
        <w:rPr>
          <w:color w:val="000000"/>
          <w:sz w:val="20"/>
          <w:shd w:val="clear" w:color="auto" w:fill="FFFFFF"/>
        </w:rPr>
        <w:t>más</w:t>
      </w:r>
      <w:r w:rsidRPr="00BB0D9C">
        <w:rPr>
          <w:color w:val="000000"/>
          <w:sz w:val="20"/>
          <w:shd w:val="clear" w:color="auto" w:fill="FFFFFF"/>
        </w:rPr>
        <w:t xml:space="preserve"> dinero pagó a la Administración Tributaria representó el siguiente porcentaje: </w:t>
      </w:r>
    </w:p>
    <w:p w14:paraId="4899138E" w14:textId="77777777" w:rsidR="0043033B" w:rsidRPr="00BB0D9C" w:rsidRDefault="0043033B" w:rsidP="0043033B">
      <w:pPr>
        <w:shd w:val="clear" w:color="auto" w:fill="FFFFFF"/>
        <w:spacing w:after="0" w:line="240" w:lineRule="auto"/>
        <w:rPr>
          <w:rFonts w:eastAsia="Times New Roman" w:cs="Arial"/>
          <w:color w:val="222222"/>
          <w:sz w:val="20"/>
        </w:rPr>
      </w:pPr>
      <w:r w:rsidRPr="00BB0D9C">
        <w:rPr>
          <w:color w:val="000000"/>
          <w:sz w:val="20"/>
        </w:rPr>
        <w:t> </w:t>
      </w:r>
    </w:p>
    <w:p w14:paraId="3390177D" w14:textId="77777777" w:rsidR="0043033B" w:rsidRPr="00BB0D9C" w:rsidRDefault="0043033B" w:rsidP="0043033B">
      <w:pPr>
        <w:shd w:val="clear" w:color="auto" w:fill="FFFFFF"/>
        <w:spacing w:after="0" w:line="240" w:lineRule="auto"/>
        <w:rPr>
          <w:rFonts w:eastAsia="Times New Roman" w:cs="Arial"/>
          <w:color w:val="222222"/>
          <w:sz w:val="20"/>
        </w:rPr>
      </w:pPr>
      <w:r w:rsidRPr="00BB0D9C">
        <w:rPr>
          <w:color w:val="000000"/>
          <w:sz w:val="20"/>
          <w:shd w:val="clear" w:color="auto" w:fill="FFFFFF"/>
        </w:rPr>
        <w:t>para el año 2015 fue del 3.92%</w:t>
      </w:r>
    </w:p>
    <w:p w14:paraId="39E1D547" w14:textId="77777777" w:rsidR="0043033B" w:rsidRPr="00BB0D9C" w:rsidRDefault="0043033B" w:rsidP="0043033B">
      <w:pPr>
        <w:shd w:val="clear" w:color="auto" w:fill="FFFFFF"/>
        <w:spacing w:after="0" w:line="240" w:lineRule="auto"/>
        <w:rPr>
          <w:rFonts w:eastAsia="Times New Roman" w:cs="Arial"/>
          <w:color w:val="222222"/>
          <w:sz w:val="20"/>
        </w:rPr>
      </w:pPr>
      <w:r w:rsidRPr="00BB0D9C">
        <w:rPr>
          <w:color w:val="000000"/>
          <w:sz w:val="20"/>
        </w:rPr>
        <w:t> </w:t>
      </w:r>
    </w:p>
    <w:p w14:paraId="27BFC77B" w14:textId="77777777" w:rsidR="0043033B" w:rsidRPr="00BB0D9C" w:rsidRDefault="0043033B" w:rsidP="0043033B">
      <w:pPr>
        <w:shd w:val="clear" w:color="auto" w:fill="FFFFFF"/>
        <w:spacing w:after="0" w:line="240" w:lineRule="auto"/>
        <w:rPr>
          <w:rFonts w:eastAsia="Times New Roman" w:cs="Arial"/>
          <w:color w:val="222222"/>
          <w:sz w:val="20"/>
        </w:rPr>
      </w:pPr>
      <w:r w:rsidRPr="00BB0D9C">
        <w:rPr>
          <w:color w:val="000000"/>
          <w:sz w:val="20"/>
          <w:shd w:val="clear" w:color="auto" w:fill="FFFFFF"/>
        </w:rPr>
        <w:t>Para el año 2016 fue del 1.78%</w:t>
      </w:r>
    </w:p>
    <w:p w14:paraId="0354867D" w14:textId="77777777" w:rsidR="0043033B" w:rsidRPr="00BB0D9C" w:rsidRDefault="0043033B" w:rsidP="0043033B">
      <w:pPr>
        <w:shd w:val="clear" w:color="auto" w:fill="FFFFFF"/>
        <w:spacing w:after="0" w:line="240" w:lineRule="auto"/>
        <w:rPr>
          <w:rFonts w:eastAsia="Times New Roman" w:cs="Arial"/>
          <w:color w:val="222222"/>
          <w:sz w:val="20"/>
        </w:rPr>
      </w:pPr>
      <w:r w:rsidRPr="00BB0D9C">
        <w:rPr>
          <w:color w:val="000000"/>
          <w:sz w:val="20"/>
        </w:rPr>
        <w:t> </w:t>
      </w:r>
    </w:p>
    <w:p w14:paraId="5CB823DA" w14:textId="77777777" w:rsidR="0043033B" w:rsidRPr="00BB0D9C" w:rsidRDefault="0043033B" w:rsidP="0043033B">
      <w:pPr>
        <w:shd w:val="clear" w:color="auto" w:fill="FFFFFF"/>
        <w:spacing w:after="0" w:line="240" w:lineRule="auto"/>
        <w:rPr>
          <w:rFonts w:eastAsia="Times New Roman" w:cs="Arial"/>
          <w:color w:val="222222"/>
          <w:sz w:val="20"/>
        </w:rPr>
      </w:pPr>
      <w:r w:rsidRPr="00BB0D9C">
        <w:rPr>
          <w:color w:val="000000"/>
          <w:sz w:val="20"/>
        </w:rPr>
        <w:t> </w:t>
      </w:r>
    </w:p>
    <w:p w14:paraId="1F44561D" w14:textId="77777777" w:rsidR="0043033B" w:rsidRPr="00BB0D9C" w:rsidRDefault="0043033B" w:rsidP="0043033B">
      <w:pPr>
        <w:shd w:val="clear" w:color="auto" w:fill="FFFFFF"/>
        <w:spacing w:after="0" w:line="240" w:lineRule="auto"/>
        <w:rPr>
          <w:rFonts w:eastAsia="Times New Roman" w:cs="Arial"/>
          <w:color w:val="222222"/>
          <w:sz w:val="20"/>
        </w:rPr>
      </w:pPr>
      <w:r w:rsidRPr="00BB0D9C">
        <w:rPr>
          <w:b/>
          <w:bCs/>
          <w:color w:val="000000"/>
          <w:sz w:val="20"/>
        </w:rPr>
        <w:t>3.-</w:t>
      </w:r>
      <w:r w:rsidRPr="00BB0D9C">
        <w:rPr>
          <w:color w:val="000000"/>
          <w:sz w:val="20"/>
        </w:rPr>
        <w:t> </w:t>
      </w:r>
      <w:r w:rsidRPr="00BB0D9C">
        <w:rPr>
          <w:b/>
          <w:bCs/>
          <w:color w:val="000000"/>
          <w:sz w:val="20"/>
        </w:rPr>
        <w:t>En cuanto a la diferencia </w:t>
      </w:r>
      <w:r w:rsidRPr="00BB0D9C">
        <w:rPr>
          <w:b/>
          <w:bCs/>
          <w:color w:val="000000"/>
          <w:sz w:val="20"/>
          <w:shd w:val="clear" w:color="auto" w:fill="FFFFFF"/>
        </w:rPr>
        <w:t>en recaudación SAR a mineras entre 2015 y 2016,</w:t>
      </w:r>
    </w:p>
    <w:p w14:paraId="1BA860F1" w14:textId="77777777" w:rsidR="0043033B" w:rsidRPr="00BB0D9C" w:rsidRDefault="0043033B" w:rsidP="0043033B">
      <w:pPr>
        <w:shd w:val="clear" w:color="auto" w:fill="FFFFFF"/>
        <w:spacing w:after="0" w:line="240" w:lineRule="auto"/>
        <w:rPr>
          <w:rFonts w:eastAsia="Times New Roman" w:cs="Arial"/>
          <w:color w:val="222222"/>
          <w:sz w:val="20"/>
        </w:rPr>
      </w:pPr>
      <w:r w:rsidRPr="00BB0D9C">
        <w:rPr>
          <w:b/>
          <w:bCs/>
          <w:color w:val="000000"/>
          <w:sz w:val="20"/>
          <w:u w:val="single"/>
        </w:rPr>
        <w:t>Respuesta:</w:t>
      </w:r>
    </w:p>
    <w:p w14:paraId="259BBF31" w14:textId="77777777" w:rsidR="0043033B" w:rsidRPr="00BB0D9C" w:rsidRDefault="0043033B" w:rsidP="0043033B">
      <w:pPr>
        <w:shd w:val="clear" w:color="auto" w:fill="FFFFFF"/>
        <w:spacing w:after="0" w:line="240" w:lineRule="auto"/>
        <w:jc w:val="both"/>
        <w:rPr>
          <w:rFonts w:eastAsia="Times New Roman" w:cs="Arial"/>
          <w:color w:val="222222"/>
          <w:sz w:val="20"/>
        </w:rPr>
      </w:pPr>
      <w:r w:rsidRPr="00BB0D9C">
        <w:rPr>
          <w:color w:val="000000"/>
          <w:sz w:val="20"/>
        </w:rPr>
        <w:t xml:space="preserve">La diferencia significativa es porque la Empresa Minerales de Oriente </w:t>
      </w:r>
      <w:r w:rsidR="00827CAC" w:rsidRPr="00BB0D9C">
        <w:rPr>
          <w:color w:val="000000"/>
          <w:sz w:val="20"/>
        </w:rPr>
        <w:t>S.A.</w:t>
      </w:r>
      <w:r w:rsidRPr="00BB0D9C">
        <w:rPr>
          <w:color w:val="000000"/>
          <w:sz w:val="20"/>
        </w:rPr>
        <w:t xml:space="preserve"> de C.V., presentó las declaraciones en el año 2016, (la declaración del 2014 estaba omisa y ambas declaraciones 2014 y 2015 las presento en el año 2016). </w:t>
      </w:r>
    </w:p>
    <w:p w14:paraId="630272C5" w14:textId="77777777" w:rsidR="0043033B" w:rsidRPr="00BB0D9C" w:rsidRDefault="0043033B" w:rsidP="006E461B">
      <w:pPr>
        <w:shd w:val="clear" w:color="auto" w:fill="FFFFFF"/>
        <w:spacing w:after="0" w:line="240" w:lineRule="auto"/>
        <w:rPr>
          <w:lang w:bidi="en-US"/>
        </w:rPr>
      </w:pPr>
      <w:r w:rsidRPr="00BB0D9C">
        <w:rPr>
          <w:color w:val="000000"/>
          <w:sz w:val="20"/>
        </w:rPr>
        <w:t>Cabe destacar que esta empresa (Minerales de Occidente) representa el 89.95% de total de los Impuesto sobre la renta generado de L 410,583,918.13 por este sector.</w:t>
      </w:r>
    </w:p>
    <w:sectPr w:rsidR="0043033B" w:rsidRPr="00BB0D9C" w:rsidSect="00D77D0E">
      <w:headerReference w:type="even" r:id="rId30"/>
      <w:headerReference w:type="default" r:id="rId31"/>
      <w:footerReference w:type="even" r:id="rId32"/>
      <w:footerReference w:type="default" r:id="rId33"/>
      <w:headerReference w:type="first" r:id="rId34"/>
      <w:footerReference w:type="first" r:id="rId35"/>
      <w:pgSz w:w="11905" w:h="16837"/>
      <w:pgMar w:top="1418" w:right="1276" w:bottom="1024" w:left="1134" w:header="624" w:footer="616" w:gutter="0"/>
      <w:cols w:space="708"/>
      <w:titlePg/>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5" w:author="Author" w:initials="A">
    <w:p w14:paraId="26A8C81E" w14:textId="77777777" w:rsidR="000132C6" w:rsidRDefault="000132C6">
      <w:pPr>
        <w:pStyle w:val="CommentText"/>
      </w:pPr>
      <w:r>
        <w:rPr>
          <w:rStyle w:val="CommentReference"/>
        </w:rPr>
        <w:annotationRef/>
      </w:r>
      <w:r w:rsidRPr="00A471F8">
        <w:t>Sujeto a que el Consejo del EITI tenga en cuenta nueva información publicada después del comienzo de la validación</w:t>
      </w:r>
    </w:p>
  </w:comment>
  <w:comment w:id="6" w:author="Author" w:initials="A">
    <w:p w14:paraId="3411EE28" w14:textId="77777777" w:rsidR="000132C6" w:rsidRPr="000A159C" w:rsidRDefault="000132C6" w:rsidP="00FC2A8B">
      <w:pPr>
        <w:pStyle w:val="CommentText"/>
      </w:pPr>
      <w:r w:rsidRPr="000A159C">
        <w:t>Sujeto a que el Consejo del EITI tenga en cuenta nueva información publi</w:t>
      </w:r>
      <w:r>
        <w:t>cada después del comienzo de la validación</w:t>
      </w:r>
      <w:r w:rsidRPr="000A159C">
        <w:t>.</w:t>
      </w:r>
    </w:p>
  </w:comment>
  <w:comment w:id="7" w:author="Author" w:initials="A">
    <w:p w14:paraId="2EEA4468" w14:textId="77777777" w:rsidR="000132C6" w:rsidRPr="000A159C" w:rsidRDefault="000132C6" w:rsidP="00FC2A8B">
      <w:pPr>
        <w:pStyle w:val="CommentText"/>
      </w:pPr>
      <w:r>
        <w:rPr>
          <w:rStyle w:val="CommentReference"/>
        </w:rPr>
        <w:annotationRef/>
      </w:r>
      <w:r w:rsidRPr="000A159C">
        <w:t>Sujeto a que el Consejo del EITI tenga en cuenta nueva información publicada después del comienzo de la validación.</w:t>
      </w:r>
    </w:p>
  </w:comment>
  <w:comment w:id="8" w:author="Author" w:initials="A">
    <w:p w14:paraId="6C4F1562" w14:textId="77777777" w:rsidR="000132C6" w:rsidRPr="00A471F8" w:rsidRDefault="000132C6" w:rsidP="00FC2A8B">
      <w:pPr>
        <w:pStyle w:val="CommentText"/>
      </w:pPr>
      <w:r>
        <w:rPr>
          <w:rStyle w:val="CommentReference"/>
        </w:rPr>
        <w:annotationRef/>
      </w:r>
      <w:r w:rsidRPr="00A471F8">
        <w:t>Sujeto a que el Consejo del EITI tenga en cuenta nueva información publicada después del comienzo de la validación.</w:t>
      </w:r>
    </w:p>
  </w:comment>
  <w:comment w:id="9" w:author="Author" w:initials="A">
    <w:p w14:paraId="30F43502" w14:textId="77777777" w:rsidR="000132C6" w:rsidRPr="00A471F8" w:rsidRDefault="000132C6" w:rsidP="00FC2A8B">
      <w:pPr>
        <w:pStyle w:val="CommentText"/>
      </w:pPr>
      <w:r>
        <w:rPr>
          <w:rStyle w:val="CommentReference"/>
        </w:rPr>
        <w:annotationRef/>
      </w:r>
    </w:p>
  </w:comment>
  <w:comment w:id="10" w:author="Author" w:initials="A">
    <w:p w14:paraId="23A2507D" w14:textId="77777777" w:rsidR="000132C6" w:rsidRPr="00A471F8" w:rsidRDefault="000132C6" w:rsidP="00FC2A8B">
      <w:pPr>
        <w:pStyle w:val="CommentText"/>
      </w:pPr>
      <w:r>
        <w:rPr>
          <w:rStyle w:val="CommentReference"/>
        </w:rPr>
        <w:annotationRef/>
      </w:r>
      <w:r w:rsidRPr="00A471F8">
        <w:t>Sujeto a que el Consejo del EITI tenga en cuenta nueva información publicada después del comienzo de la validación.</w:t>
      </w:r>
    </w:p>
  </w:comment>
  <w:comment w:id="11" w:author="Author" w:initials="A">
    <w:p w14:paraId="24F69F2F" w14:textId="77777777" w:rsidR="000132C6" w:rsidRPr="00A471F8" w:rsidRDefault="000132C6" w:rsidP="00FC2A8B">
      <w:pPr>
        <w:pStyle w:val="CommentText"/>
      </w:pPr>
      <w:r>
        <w:rPr>
          <w:rStyle w:val="Heading1Char"/>
        </w:rPr>
        <w:annotationRef/>
      </w:r>
      <w:r w:rsidRPr="00A471F8">
        <w:t>Sujeto a que el Consejo del EITI tenga en cuenta nueva información publicada después del comienzo de la validación.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6A8C81E" w15:done="0"/>
  <w15:commentEx w15:paraId="3411EE28" w15:done="0"/>
  <w15:commentEx w15:paraId="2EEA4468" w15:done="0"/>
  <w15:commentEx w15:paraId="6C4F1562" w15:done="0"/>
  <w15:commentEx w15:paraId="30F43502" w15:done="0"/>
  <w15:commentEx w15:paraId="23A2507D" w15:done="0"/>
  <w15:commentEx w15:paraId="24F69F2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6A8C81E" w16cid:durableId="22B0545C"/>
  <w16cid:commentId w16cid:paraId="3411EE28" w16cid:durableId="22B0545D"/>
  <w16cid:commentId w16cid:paraId="2EEA4468" w16cid:durableId="22B0545E"/>
  <w16cid:commentId w16cid:paraId="6C4F1562" w16cid:durableId="22B0545F"/>
  <w16cid:commentId w16cid:paraId="30F43502" w16cid:durableId="22B05460"/>
  <w16cid:commentId w16cid:paraId="23A2507D" w16cid:durableId="22B05461"/>
  <w16cid:commentId w16cid:paraId="24F69F2F" w16cid:durableId="22B0546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3C7B1B" w14:textId="77777777" w:rsidR="008575D1" w:rsidRDefault="008575D1">
      <w:pPr>
        <w:spacing w:after="0" w:line="240" w:lineRule="auto"/>
      </w:pPr>
      <w:r>
        <w:separator/>
      </w:r>
    </w:p>
    <w:p w14:paraId="524B89C8" w14:textId="77777777" w:rsidR="008575D1" w:rsidRDefault="008575D1"/>
    <w:p w14:paraId="36F1A8BB" w14:textId="77777777" w:rsidR="008575D1" w:rsidRDefault="008575D1"/>
  </w:endnote>
  <w:endnote w:type="continuationSeparator" w:id="0">
    <w:p w14:paraId="6C616570" w14:textId="77777777" w:rsidR="008575D1" w:rsidRDefault="008575D1">
      <w:pPr>
        <w:spacing w:after="0" w:line="240" w:lineRule="auto"/>
      </w:pPr>
      <w:r>
        <w:continuationSeparator/>
      </w:r>
    </w:p>
    <w:p w14:paraId="6F7D77CA" w14:textId="77777777" w:rsidR="008575D1" w:rsidRDefault="008575D1"/>
    <w:p w14:paraId="3B697532" w14:textId="77777777" w:rsidR="008575D1" w:rsidRDefault="008575D1"/>
  </w:endnote>
  <w:endnote w:type="continuationNotice" w:id="1">
    <w:p w14:paraId="43B74123" w14:textId="77777777" w:rsidR="008575D1" w:rsidRDefault="008575D1">
      <w:pPr>
        <w:spacing w:after="0" w:line="240" w:lineRule="auto"/>
      </w:pPr>
    </w:p>
    <w:p w14:paraId="684AB999" w14:textId="77777777" w:rsidR="008575D1" w:rsidRDefault="008575D1"/>
    <w:p w14:paraId="15BF1347" w14:textId="77777777" w:rsidR="008575D1" w:rsidRDefault="008575D1"/>
  </w:endnote>
  <w:endnote w:id="2">
    <w:p w14:paraId="7E9A816C" w14:textId="77777777" w:rsidR="000132C6" w:rsidRPr="00B61C08" w:rsidRDefault="000132C6" w:rsidP="00B61C08">
      <w:pPr>
        <w:pStyle w:val="Heading2"/>
        <w:numPr>
          <w:ilvl w:val="0"/>
          <w:numId w:val="0"/>
        </w:numPr>
      </w:pPr>
      <w:bookmarkStart w:id="3" w:name="_Toc42458656"/>
      <w:r w:rsidRPr="00B61C08">
        <w:t xml:space="preserve">Anexo E: Municipalidades donde operan </w:t>
      </w:r>
      <w:r>
        <w:t>empresas extractivas</w:t>
      </w:r>
      <w:bookmarkEnd w:id="3"/>
    </w:p>
    <w:p w14:paraId="08640B3E" w14:textId="77777777" w:rsidR="000132C6" w:rsidRPr="00B61C08" w:rsidRDefault="000132C6" w:rsidP="00B61C08">
      <w:pPr>
        <w:rPr>
          <w:lang w:bidi="en-US"/>
        </w:rPr>
      </w:pPr>
    </w:p>
    <w:tbl>
      <w:tblPr>
        <w:tblStyle w:val="TableGrid"/>
        <w:tblW w:w="0" w:type="auto"/>
        <w:tblLook w:val="04A0" w:firstRow="1" w:lastRow="0" w:firstColumn="1" w:lastColumn="0" w:noHBand="0" w:noVBand="1"/>
      </w:tblPr>
      <w:tblGrid>
        <w:gridCol w:w="2024"/>
        <w:gridCol w:w="1373"/>
        <w:gridCol w:w="2268"/>
        <w:gridCol w:w="3544"/>
      </w:tblGrid>
      <w:tr w:rsidR="000132C6" w:rsidRPr="000B73A3" w14:paraId="63AA606F" w14:textId="77777777" w:rsidTr="007A4A65">
        <w:trPr>
          <w:trHeight w:val="559"/>
        </w:trPr>
        <w:tc>
          <w:tcPr>
            <w:tcW w:w="2024" w:type="dxa"/>
            <w:vMerge w:val="restart"/>
            <w:noWrap/>
            <w:hideMark/>
          </w:tcPr>
          <w:p w14:paraId="010FF882" w14:textId="77777777" w:rsidR="000132C6" w:rsidRPr="000B73A3" w:rsidRDefault="000132C6" w:rsidP="00B61C08">
            <w:pPr>
              <w:rPr>
                <w:b/>
                <w:bCs/>
                <w:sz w:val="20"/>
                <w:lang w:val="en-GB" w:bidi="en-US"/>
              </w:rPr>
            </w:pPr>
            <w:r>
              <w:rPr>
                <w:b/>
                <w:bCs/>
                <w:sz w:val="20"/>
                <w:lang w:val="en-GB" w:bidi="en-US"/>
              </w:rPr>
              <w:t>Empresa</w:t>
            </w:r>
          </w:p>
        </w:tc>
        <w:tc>
          <w:tcPr>
            <w:tcW w:w="7185" w:type="dxa"/>
            <w:gridSpan w:val="3"/>
            <w:noWrap/>
            <w:hideMark/>
          </w:tcPr>
          <w:p w14:paraId="5CBD426E" w14:textId="77777777" w:rsidR="000132C6" w:rsidRPr="000B73A3" w:rsidRDefault="000132C6" w:rsidP="00B61C08">
            <w:pPr>
              <w:rPr>
                <w:b/>
                <w:bCs/>
                <w:sz w:val="20"/>
                <w:lang w:val="en-GB" w:bidi="en-US"/>
              </w:rPr>
            </w:pPr>
            <w:r>
              <w:rPr>
                <w:b/>
                <w:bCs/>
                <w:sz w:val="20"/>
                <w:lang w:val="en-GB" w:bidi="en-US"/>
              </w:rPr>
              <w:t>Información</w:t>
            </w:r>
          </w:p>
        </w:tc>
      </w:tr>
      <w:tr w:rsidR="000132C6" w:rsidRPr="000B73A3" w14:paraId="3DC72A04" w14:textId="77777777" w:rsidTr="007A4A65">
        <w:trPr>
          <w:trHeight w:val="555"/>
        </w:trPr>
        <w:tc>
          <w:tcPr>
            <w:tcW w:w="2024" w:type="dxa"/>
            <w:vMerge/>
            <w:hideMark/>
          </w:tcPr>
          <w:p w14:paraId="1A426BE7" w14:textId="77777777" w:rsidR="000132C6" w:rsidRPr="000B73A3" w:rsidRDefault="000132C6" w:rsidP="007A4A65">
            <w:pPr>
              <w:rPr>
                <w:b/>
                <w:bCs/>
                <w:sz w:val="20"/>
                <w:lang w:val="en-GB" w:bidi="en-US"/>
              </w:rPr>
            </w:pPr>
          </w:p>
        </w:tc>
        <w:tc>
          <w:tcPr>
            <w:tcW w:w="1373" w:type="dxa"/>
            <w:noWrap/>
            <w:hideMark/>
          </w:tcPr>
          <w:p w14:paraId="01322DC6" w14:textId="77777777" w:rsidR="000132C6" w:rsidRPr="000B73A3" w:rsidRDefault="000132C6" w:rsidP="00B61C08">
            <w:pPr>
              <w:rPr>
                <w:b/>
                <w:bCs/>
                <w:sz w:val="20"/>
                <w:lang w:val="en-GB" w:bidi="en-US"/>
              </w:rPr>
            </w:pPr>
            <w:r>
              <w:rPr>
                <w:b/>
                <w:bCs/>
                <w:sz w:val="20"/>
                <w:lang w:val="en-GB" w:bidi="en-US"/>
              </w:rPr>
              <w:t>Persona de contacto</w:t>
            </w:r>
          </w:p>
        </w:tc>
        <w:tc>
          <w:tcPr>
            <w:tcW w:w="2268" w:type="dxa"/>
            <w:noWrap/>
            <w:hideMark/>
          </w:tcPr>
          <w:p w14:paraId="7D12C8E3" w14:textId="77777777" w:rsidR="000132C6" w:rsidRPr="000B73A3" w:rsidRDefault="000132C6" w:rsidP="007A4A65">
            <w:pPr>
              <w:rPr>
                <w:b/>
                <w:bCs/>
                <w:sz w:val="20"/>
                <w:lang w:val="en-GB" w:bidi="en-US"/>
              </w:rPr>
            </w:pPr>
            <w:r w:rsidRPr="00CB1C43">
              <w:rPr>
                <w:b/>
                <w:bCs/>
                <w:sz w:val="20"/>
                <w:lang w:bidi="en-US"/>
              </w:rPr>
              <w:t>Depart</w:t>
            </w:r>
            <w:r>
              <w:rPr>
                <w:b/>
                <w:bCs/>
                <w:sz w:val="20"/>
                <w:lang w:bidi="en-US"/>
              </w:rPr>
              <w:t>a</w:t>
            </w:r>
            <w:r>
              <w:rPr>
                <w:b/>
                <w:bCs/>
                <w:sz w:val="20"/>
                <w:lang w:val="en-GB" w:bidi="en-US"/>
              </w:rPr>
              <w:t>mento</w:t>
            </w:r>
          </w:p>
        </w:tc>
        <w:tc>
          <w:tcPr>
            <w:tcW w:w="3544" w:type="dxa"/>
            <w:noWrap/>
            <w:hideMark/>
          </w:tcPr>
          <w:p w14:paraId="54B1A300" w14:textId="77777777" w:rsidR="000132C6" w:rsidRPr="000B73A3" w:rsidRDefault="000132C6" w:rsidP="00B61C08">
            <w:pPr>
              <w:rPr>
                <w:b/>
                <w:bCs/>
                <w:sz w:val="20"/>
                <w:lang w:val="en-GB" w:bidi="en-US"/>
              </w:rPr>
            </w:pPr>
            <w:r w:rsidRPr="00CB1C43">
              <w:rPr>
                <w:b/>
                <w:bCs/>
                <w:sz w:val="20"/>
                <w:lang w:bidi="en-US"/>
              </w:rPr>
              <w:t>Munic</w:t>
            </w:r>
            <w:r>
              <w:rPr>
                <w:b/>
                <w:bCs/>
                <w:sz w:val="20"/>
                <w:lang w:val="en-GB" w:bidi="en-US"/>
              </w:rPr>
              <w:t>ipalidad</w:t>
            </w:r>
          </w:p>
        </w:tc>
      </w:tr>
      <w:tr w:rsidR="000132C6" w:rsidRPr="000B73A3" w14:paraId="4E5E409C" w14:textId="77777777" w:rsidTr="007A4A65">
        <w:trPr>
          <w:trHeight w:val="559"/>
        </w:trPr>
        <w:tc>
          <w:tcPr>
            <w:tcW w:w="2024" w:type="dxa"/>
            <w:vMerge w:val="restart"/>
            <w:hideMark/>
          </w:tcPr>
          <w:p w14:paraId="1CA3AE54" w14:textId="77777777" w:rsidR="000132C6" w:rsidRPr="000B73A3" w:rsidRDefault="000132C6" w:rsidP="007A4A65">
            <w:pPr>
              <w:rPr>
                <w:sz w:val="20"/>
                <w:lang w:val="es-AR" w:bidi="en-US"/>
              </w:rPr>
            </w:pPr>
            <w:r w:rsidRPr="00CB1C43">
              <w:rPr>
                <w:sz w:val="20"/>
                <w:lang w:val="es-AR" w:bidi="en-US"/>
              </w:rPr>
              <w:t>(MINOSA) MINERALES DE OCCIDENTE S.A. DE C.V.</w:t>
            </w:r>
          </w:p>
        </w:tc>
        <w:tc>
          <w:tcPr>
            <w:tcW w:w="1373" w:type="dxa"/>
            <w:hideMark/>
          </w:tcPr>
          <w:p w14:paraId="4E637BF2" w14:textId="77777777" w:rsidR="000132C6" w:rsidRPr="000B73A3" w:rsidRDefault="000132C6" w:rsidP="007A4A65">
            <w:pPr>
              <w:rPr>
                <w:sz w:val="20"/>
                <w:lang w:val="en-GB" w:bidi="en-US"/>
              </w:rPr>
            </w:pPr>
            <w:r w:rsidRPr="00CB1C43">
              <w:rPr>
                <w:sz w:val="20"/>
                <w:lang w:bidi="en-US"/>
              </w:rPr>
              <w:t>Nadia Sofía</w:t>
            </w:r>
            <w:r>
              <w:rPr>
                <w:sz w:val="20"/>
                <w:lang w:bidi="en-US"/>
              </w:rPr>
              <w:t xml:space="preserve"> </w:t>
            </w:r>
            <w:r w:rsidRPr="00CB1C43">
              <w:rPr>
                <w:sz w:val="20"/>
                <w:lang w:bidi="en-US"/>
              </w:rPr>
              <w:t>Aguilar</w:t>
            </w:r>
            <w:r>
              <w:rPr>
                <w:sz w:val="20"/>
                <w:lang w:bidi="en-US"/>
              </w:rPr>
              <w:t xml:space="preserve"> </w:t>
            </w:r>
            <w:r w:rsidRPr="00CB1C43">
              <w:rPr>
                <w:sz w:val="20"/>
                <w:lang w:bidi="en-US"/>
              </w:rPr>
              <w:t>Fortín</w:t>
            </w:r>
          </w:p>
        </w:tc>
        <w:tc>
          <w:tcPr>
            <w:tcW w:w="2268" w:type="dxa"/>
            <w:vMerge w:val="restart"/>
            <w:hideMark/>
          </w:tcPr>
          <w:p w14:paraId="5996CBED" w14:textId="77777777" w:rsidR="000132C6" w:rsidRPr="000B73A3" w:rsidRDefault="000132C6" w:rsidP="00B61C08">
            <w:pPr>
              <w:rPr>
                <w:sz w:val="20"/>
                <w:lang w:val="en-GB" w:bidi="en-US"/>
              </w:rPr>
            </w:pPr>
            <w:r w:rsidRPr="00CB1C43">
              <w:rPr>
                <w:sz w:val="20"/>
                <w:lang w:bidi="en-US"/>
              </w:rPr>
              <w:t>COP</w:t>
            </w:r>
            <w:r>
              <w:rPr>
                <w:sz w:val="20"/>
                <w:lang w:bidi="en-US"/>
              </w:rPr>
              <w:t>Á</w:t>
            </w:r>
            <w:r w:rsidRPr="00CB1C43">
              <w:rPr>
                <w:sz w:val="20"/>
                <w:lang w:bidi="en-US"/>
              </w:rPr>
              <w:t>N</w:t>
            </w:r>
          </w:p>
        </w:tc>
        <w:tc>
          <w:tcPr>
            <w:tcW w:w="3544" w:type="dxa"/>
            <w:vMerge w:val="restart"/>
            <w:hideMark/>
          </w:tcPr>
          <w:p w14:paraId="091A3B36" w14:textId="77777777" w:rsidR="000132C6" w:rsidRPr="000B73A3" w:rsidRDefault="000132C6" w:rsidP="007A4A65">
            <w:pPr>
              <w:rPr>
                <w:sz w:val="20"/>
                <w:lang w:val="en-GB" w:bidi="en-US"/>
              </w:rPr>
            </w:pPr>
            <w:r>
              <w:rPr>
                <w:sz w:val="20"/>
                <w:lang w:bidi="en-US"/>
              </w:rPr>
              <w:t>LA UNIÓ</w:t>
            </w:r>
            <w:r w:rsidRPr="00CB1C43">
              <w:rPr>
                <w:sz w:val="20"/>
                <w:lang w:bidi="en-US"/>
              </w:rPr>
              <w:t xml:space="preserve">N </w:t>
            </w:r>
          </w:p>
        </w:tc>
      </w:tr>
      <w:tr w:rsidR="000132C6" w:rsidRPr="000B73A3" w14:paraId="4C521A15" w14:textId="77777777" w:rsidTr="007A4A65">
        <w:trPr>
          <w:trHeight w:val="855"/>
        </w:trPr>
        <w:tc>
          <w:tcPr>
            <w:tcW w:w="2024" w:type="dxa"/>
            <w:vMerge/>
            <w:hideMark/>
          </w:tcPr>
          <w:p w14:paraId="10E19124" w14:textId="77777777" w:rsidR="000132C6" w:rsidRPr="000B73A3" w:rsidRDefault="000132C6" w:rsidP="007A4A65">
            <w:pPr>
              <w:rPr>
                <w:sz w:val="20"/>
                <w:lang w:val="en-GB" w:bidi="en-US"/>
              </w:rPr>
            </w:pPr>
          </w:p>
        </w:tc>
        <w:tc>
          <w:tcPr>
            <w:tcW w:w="1373" w:type="dxa"/>
            <w:hideMark/>
          </w:tcPr>
          <w:p w14:paraId="3889DE35" w14:textId="77777777" w:rsidR="000132C6" w:rsidRPr="000B73A3" w:rsidRDefault="000132C6" w:rsidP="007A4A65">
            <w:pPr>
              <w:rPr>
                <w:sz w:val="20"/>
                <w:lang w:val="en-GB" w:bidi="en-US"/>
              </w:rPr>
            </w:pPr>
            <w:r w:rsidRPr="00CB1C43">
              <w:rPr>
                <w:sz w:val="20"/>
                <w:lang w:bidi="en-US"/>
              </w:rPr>
              <w:t>Richmond Fenn</w:t>
            </w:r>
          </w:p>
        </w:tc>
        <w:tc>
          <w:tcPr>
            <w:tcW w:w="2268" w:type="dxa"/>
            <w:vMerge/>
            <w:hideMark/>
          </w:tcPr>
          <w:p w14:paraId="1C1E5FB6" w14:textId="77777777" w:rsidR="000132C6" w:rsidRPr="000B73A3" w:rsidRDefault="000132C6" w:rsidP="007A4A65">
            <w:pPr>
              <w:rPr>
                <w:sz w:val="20"/>
                <w:lang w:val="en-GB" w:bidi="en-US"/>
              </w:rPr>
            </w:pPr>
          </w:p>
        </w:tc>
        <w:tc>
          <w:tcPr>
            <w:tcW w:w="3544" w:type="dxa"/>
            <w:vMerge/>
            <w:hideMark/>
          </w:tcPr>
          <w:p w14:paraId="544A9565" w14:textId="77777777" w:rsidR="000132C6" w:rsidRPr="000B73A3" w:rsidRDefault="000132C6" w:rsidP="007A4A65">
            <w:pPr>
              <w:rPr>
                <w:sz w:val="20"/>
                <w:lang w:val="en-GB" w:bidi="en-US"/>
              </w:rPr>
            </w:pPr>
          </w:p>
        </w:tc>
      </w:tr>
      <w:tr w:rsidR="000132C6" w:rsidRPr="000B73A3" w14:paraId="6B212636" w14:textId="77777777" w:rsidTr="007A4A65">
        <w:trPr>
          <w:trHeight w:val="559"/>
        </w:trPr>
        <w:tc>
          <w:tcPr>
            <w:tcW w:w="2024" w:type="dxa"/>
            <w:vMerge w:val="restart"/>
            <w:hideMark/>
          </w:tcPr>
          <w:p w14:paraId="04BF8208" w14:textId="77777777" w:rsidR="000132C6" w:rsidRPr="000B73A3" w:rsidRDefault="000132C6" w:rsidP="007A4A65">
            <w:pPr>
              <w:rPr>
                <w:sz w:val="20"/>
                <w:lang w:val="es-AR" w:bidi="en-US"/>
              </w:rPr>
            </w:pPr>
            <w:r w:rsidRPr="00CB1C43">
              <w:rPr>
                <w:sz w:val="20"/>
                <w:lang w:val="es-AR" w:bidi="en-US"/>
              </w:rPr>
              <w:t>AMERICAN PACIFIC HONDURAS S.A</w:t>
            </w:r>
            <w:r>
              <w:rPr>
                <w:sz w:val="20"/>
                <w:lang w:val="es-AR" w:bidi="en-US"/>
              </w:rPr>
              <w:t>.</w:t>
            </w:r>
          </w:p>
        </w:tc>
        <w:tc>
          <w:tcPr>
            <w:tcW w:w="1373" w:type="dxa"/>
            <w:hideMark/>
          </w:tcPr>
          <w:p w14:paraId="41EC1DAF" w14:textId="77777777" w:rsidR="000132C6" w:rsidRPr="000B73A3" w:rsidRDefault="000132C6" w:rsidP="007A4A65">
            <w:pPr>
              <w:rPr>
                <w:sz w:val="20"/>
                <w:lang w:val="en-GB" w:bidi="en-US"/>
              </w:rPr>
            </w:pPr>
            <w:r w:rsidRPr="00CB1C43">
              <w:rPr>
                <w:sz w:val="20"/>
                <w:lang w:bidi="en-US"/>
              </w:rPr>
              <w:t>Olbin</w:t>
            </w:r>
            <w:r>
              <w:rPr>
                <w:sz w:val="20"/>
                <w:lang w:bidi="en-US"/>
              </w:rPr>
              <w:t xml:space="preserve"> </w:t>
            </w:r>
            <w:r w:rsidRPr="00CB1C43">
              <w:rPr>
                <w:sz w:val="20"/>
                <w:lang w:bidi="en-US"/>
              </w:rPr>
              <w:t xml:space="preserve">Sarmiento Mena </w:t>
            </w:r>
          </w:p>
        </w:tc>
        <w:tc>
          <w:tcPr>
            <w:tcW w:w="2268" w:type="dxa"/>
            <w:vMerge w:val="restart"/>
            <w:hideMark/>
          </w:tcPr>
          <w:p w14:paraId="1A3BA5EF" w14:textId="77777777" w:rsidR="000132C6" w:rsidRPr="000B73A3" w:rsidRDefault="000132C6" w:rsidP="00B61C08">
            <w:pPr>
              <w:rPr>
                <w:sz w:val="20"/>
                <w:lang w:val="en-GB" w:bidi="en-US"/>
              </w:rPr>
            </w:pPr>
            <w:r w:rsidRPr="00CB1C43">
              <w:rPr>
                <w:sz w:val="20"/>
                <w:lang w:bidi="en-US"/>
              </w:rPr>
              <w:t>SANTA B</w:t>
            </w:r>
            <w:r>
              <w:rPr>
                <w:sz w:val="20"/>
                <w:lang w:bidi="en-US"/>
              </w:rPr>
              <w:t>Á</w:t>
            </w:r>
            <w:r w:rsidRPr="00CB1C43">
              <w:rPr>
                <w:sz w:val="20"/>
                <w:lang w:bidi="en-US"/>
              </w:rPr>
              <w:t>RBARA</w:t>
            </w:r>
          </w:p>
        </w:tc>
        <w:tc>
          <w:tcPr>
            <w:tcW w:w="3544" w:type="dxa"/>
            <w:vMerge w:val="restart"/>
            <w:hideMark/>
          </w:tcPr>
          <w:p w14:paraId="7D596FC0" w14:textId="77777777" w:rsidR="000132C6" w:rsidRPr="000B73A3" w:rsidRDefault="000132C6" w:rsidP="007A4A65">
            <w:pPr>
              <w:rPr>
                <w:sz w:val="20"/>
                <w:lang w:val="en-GB" w:bidi="en-US"/>
              </w:rPr>
            </w:pPr>
            <w:r w:rsidRPr="00CB1C43">
              <w:rPr>
                <w:sz w:val="20"/>
                <w:lang w:bidi="en-US"/>
              </w:rPr>
              <w:t>LAS VEGAS</w:t>
            </w:r>
          </w:p>
        </w:tc>
      </w:tr>
      <w:tr w:rsidR="000132C6" w:rsidRPr="000B73A3" w14:paraId="4372526F" w14:textId="77777777" w:rsidTr="007A4A65">
        <w:trPr>
          <w:trHeight w:val="559"/>
        </w:trPr>
        <w:tc>
          <w:tcPr>
            <w:tcW w:w="2024" w:type="dxa"/>
            <w:vMerge/>
            <w:hideMark/>
          </w:tcPr>
          <w:p w14:paraId="71C3E36B" w14:textId="77777777" w:rsidR="000132C6" w:rsidRPr="000B73A3" w:rsidRDefault="000132C6" w:rsidP="007A4A65">
            <w:pPr>
              <w:rPr>
                <w:sz w:val="20"/>
                <w:lang w:val="en-GB" w:bidi="en-US"/>
              </w:rPr>
            </w:pPr>
          </w:p>
        </w:tc>
        <w:tc>
          <w:tcPr>
            <w:tcW w:w="1373" w:type="dxa"/>
            <w:hideMark/>
          </w:tcPr>
          <w:p w14:paraId="02F87F2E" w14:textId="77777777" w:rsidR="000132C6" w:rsidRPr="000B73A3" w:rsidRDefault="000132C6" w:rsidP="007A4A65">
            <w:pPr>
              <w:rPr>
                <w:sz w:val="20"/>
                <w:lang w:val="en-GB" w:bidi="en-US"/>
              </w:rPr>
            </w:pPr>
            <w:r w:rsidRPr="00CB1C43">
              <w:rPr>
                <w:sz w:val="20"/>
                <w:lang w:bidi="en-US"/>
              </w:rPr>
              <w:t>Ricardo Sierra</w:t>
            </w:r>
          </w:p>
        </w:tc>
        <w:tc>
          <w:tcPr>
            <w:tcW w:w="2268" w:type="dxa"/>
            <w:vMerge/>
            <w:hideMark/>
          </w:tcPr>
          <w:p w14:paraId="1233AC34" w14:textId="77777777" w:rsidR="000132C6" w:rsidRPr="000B73A3" w:rsidRDefault="000132C6" w:rsidP="007A4A65">
            <w:pPr>
              <w:rPr>
                <w:sz w:val="20"/>
                <w:lang w:val="en-GB" w:bidi="en-US"/>
              </w:rPr>
            </w:pPr>
          </w:p>
        </w:tc>
        <w:tc>
          <w:tcPr>
            <w:tcW w:w="3544" w:type="dxa"/>
            <w:vMerge/>
            <w:hideMark/>
          </w:tcPr>
          <w:p w14:paraId="63620BFA" w14:textId="77777777" w:rsidR="000132C6" w:rsidRPr="000B73A3" w:rsidRDefault="000132C6" w:rsidP="007A4A65">
            <w:pPr>
              <w:rPr>
                <w:sz w:val="20"/>
                <w:lang w:val="en-GB" w:bidi="en-US"/>
              </w:rPr>
            </w:pPr>
          </w:p>
        </w:tc>
      </w:tr>
      <w:tr w:rsidR="000132C6" w:rsidRPr="000B73A3" w14:paraId="45557C00" w14:textId="77777777" w:rsidTr="007A4A65">
        <w:trPr>
          <w:trHeight w:val="559"/>
        </w:trPr>
        <w:tc>
          <w:tcPr>
            <w:tcW w:w="2024" w:type="dxa"/>
            <w:vMerge w:val="restart"/>
            <w:hideMark/>
          </w:tcPr>
          <w:p w14:paraId="13D13349" w14:textId="77777777" w:rsidR="000132C6" w:rsidRPr="000B73A3" w:rsidRDefault="000132C6" w:rsidP="007A4A65">
            <w:pPr>
              <w:rPr>
                <w:sz w:val="20"/>
                <w:lang w:val="es-AR" w:bidi="en-US"/>
              </w:rPr>
            </w:pPr>
            <w:r w:rsidRPr="00CB1C43">
              <w:rPr>
                <w:sz w:val="20"/>
                <w:lang w:val="es-AR" w:bidi="en-US"/>
              </w:rPr>
              <w:t>CONSTRUCCIONES Y SUMINISTROS ORTEGA S DE R.L</w:t>
            </w:r>
            <w:r>
              <w:rPr>
                <w:sz w:val="20"/>
                <w:lang w:val="es-AR" w:bidi="en-US"/>
              </w:rPr>
              <w:t>.</w:t>
            </w:r>
          </w:p>
        </w:tc>
        <w:tc>
          <w:tcPr>
            <w:tcW w:w="1373" w:type="dxa"/>
            <w:noWrap/>
            <w:hideMark/>
          </w:tcPr>
          <w:p w14:paraId="5BA92B85" w14:textId="77777777" w:rsidR="000132C6" w:rsidRPr="000B73A3" w:rsidRDefault="000132C6" w:rsidP="007A4A65">
            <w:pPr>
              <w:rPr>
                <w:sz w:val="20"/>
                <w:lang w:val="en-GB" w:bidi="en-US"/>
              </w:rPr>
            </w:pPr>
            <w:r w:rsidRPr="00CB1C43">
              <w:rPr>
                <w:sz w:val="20"/>
                <w:lang w:bidi="en-US"/>
              </w:rPr>
              <w:t>Ondina</w:t>
            </w:r>
            <w:r>
              <w:rPr>
                <w:sz w:val="20"/>
                <w:lang w:bidi="en-US"/>
              </w:rPr>
              <w:t xml:space="preserve"> </w:t>
            </w:r>
            <w:r w:rsidRPr="00CB1C43">
              <w:rPr>
                <w:sz w:val="20"/>
                <w:lang w:bidi="en-US"/>
              </w:rPr>
              <w:t>Leticia Miranda Reyes</w:t>
            </w:r>
          </w:p>
        </w:tc>
        <w:tc>
          <w:tcPr>
            <w:tcW w:w="2268" w:type="dxa"/>
            <w:vMerge w:val="restart"/>
            <w:hideMark/>
          </w:tcPr>
          <w:p w14:paraId="03F76968" w14:textId="77777777" w:rsidR="000132C6" w:rsidRPr="000B73A3" w:rsidRDefault="000132C6" w:rsidP="00B61C08">
            <w:pPr>
              <w:rPr>
                <w:sz w:val="20"/>
                <w:lang w:val="en-GB" w:bidi="en-US"/>
              </w:rPr>
            </w:pPr>
            <w:r w:rsidRPr="00CB1C43">
              <w:rPr>
                <w:sz w:val="20"/>
                <w:lang w:bidi="en-US"/>
              </w:rPr>
              <w:t>ATL</w:t>
            </w:r>
            <w:r>
              <w:rPr>
                <w:sz w:val="20"/>
                <w:lang w:bidi="en-US"/>
              </w:rPr>
              <w:t>Á</w:t>
            </w:r>
            <w:r w:rsidRPr="00CB1C43">
              <w:rPr>
                <w:sz w:val="20"/>
                <w:lang w:bidi="en-US"/>
              </w:rPr>
              <w:t>NTIDA</w:t>
            </w:r>
          </w:p>
        </w:tc>
        <w:tc>
          <w:tcPr>
            <w:tcW w:w="3544" w:type="dxa"/>
            <w:vMerge w:val="restart"/>
            <w:hideMark/>
          </w:tcPr>
          <w:p w14:paraId="45937753" w14:textId="77777777" w:rsidR="000132C6" w:rsidRPr="000B73A3" w:rsidRDefault="000132C6" w:rsidP="007A4A65">
            <w:pPr>
              <w:rPr>
                <w:sz w:val="20"/>
                <w:lang w:val="en-GB" w:bidi="en-US"/>
              </w:rPr>
            </w:pPr>
            <w:r w:rsidRPr="00CB1C43">
              <w:rPr>
                <w:sz w:val="20"/>
                <w:lang w:bidi="en-US"/>
              </w:rPr>
              <w:t>LA CEIBA</w:t>
            </w:r>
          </w:p>
        </w:tc>
      </w:tr>
      <w:tr w:rsidR="000132C6" w:rsidRPr="000B73A3" w14:paraId="3C2DA945" w14:textId="77777777" w:rsidTr="007A4A65">
        <w:trPr>
          <w:trHeight w:val="559"/>
        </w:trPr>
        <w:tc>
          <w:tcPr>
            <w:tcW w:w="2024" w:type="dxa"/>
            <w:vMerge/>
            <w:hideMark/>
          </w:tcPr>
          <w:p w14:paraId="7B82E576" w14:textId="77777777" w:rsidR="000132C6" w:rsidRPr="000B73A3" w:rsidRDefault="000132C6" w:rsidP="007A4A65">
            <w:pPr>
              <w:rPr>
                <w:sz w:val="20"/>
                <w:lang w:val="en-GB" w:bidi="en-US"/>
              </w:rPr>
            </w:pPr>
          </w:p>
        </w:tc>
        <w:tc>
          <w:tcPr>
            <w:tcW w:w="1373" w:type="dxa"/>
            <w:noWrap/>
            <w:hideMark/>
          </w:tcPr>
          <w:p w14:paraId="67A9DB6C" w14:textId="77777777" w:rsidR="000132C6" w:rsidRPr="000B73A3" w:rsidRDefault="000132C6" w:rsidP="00D3665A">
            <w:pPr>
              <w:rPr>
                <w:sz w:val="20"/>
                <w:lang w:val="en-GB" w:bidi="en-US"/>
              </w:rPr>
            </w:pPr>
            <w:r w:rsidRPr="00CB1C43">
              <w:rPr>
                <w:sz w:val="20"/>
                <w:lang w:bidi="en-US"/>
              </w:rPr>
              <w:t>Emigdio Ángel Ortega</w:t>
            </w:r>
            <w:r>
              <w:rPr>
                <w:sz w:val="20"/>
                <w:lang w:bidi="en-US"/>
              </w:rPr>
              <w:t xml:space="preserve"> </w:t>
            </w:r>
            <w:r w:rsidRPr="00CB1C43">
              <w:rPr>
                <w:sz w:val="20"/>
                <w:lang w:bidi="en-US"/>
              </w:rPr>
              <w:t>López</w:t>
            </w:r>
          </w:p>
        </w:tc>
        <w:tc>
          <w:tcPr>
            <w:tcW w:w="2268" w:type="dxa"/>
            <w:vMerge/>
            <w:hideMark/>
          </w:tcPr>
          <w:p w14:paraId="7A53AC4D" w14:textId="77777777" w:rsidR="000132C6" w:rsidRPr="000B73A3" w:rsidRDefault="000132C6" w:rsidP="007A4A65">
            <w:pPr>
              <w:rPr>
                <w:sz w:val="20"/>
                <w:lang w:val="en-GB" w:bidi="en-US"/>
              </w:rPr>
            </w:pPr>
          </w:p>
        </w:tc>
        <w:tc>
          <w:tcPr>
            <w:tcW w:w="3544" w:type="dxa"/>
            <w:vMerge/>
            <w:hideMark/>
          </w:tcPr>
          <w:p w14:paraId="7705FFA7" w14:textId="77777777" w:rsidR="000132C6" w:rsidRPr="000B73A3" w:rsidRDefault="000132C6" w:rsidP="007A4A65">
            <w:pPr>
              <w:rPr>
                <w:sz w:val="20"/>
                <w:lang w:val="en-GB" w:bidi="en-US"/>
              </w:rPr>
            </w:pPr>
          </w:p>
        </w:tc>
      </w:tr>
      <w:tr w:rsidR="000132C6" w:rsidRPr="000B73A3" w14:paraId="74659C84" w14:textId="77777777" w:rsidTr="007A4A65">
        <w:trPr>
          <w:trHeight w:val="559"/>
        </w:trPr>
        <w:tc>
          <w:tcPr>
            <w:tcW w:w="2024" w:type="dxa"/>
            <w:vMerge w:val="restart"/>
            <w:hideMark/>
          </w:tcPr>
          <w:p w14:paraId="3EC3A2CB" w14:textId="77777777" w:rsidR="000132C6" w:rsidRPr="000B73A3" w:rsidRDefault="000132C6" w:rsidP="007A4A65">
            <w:pPr>
              <w:rPr>
                <w:sz w:val="20"/>
                <w:lang w:val="es-AR" w:bidi="en-US"/>
              </w:rPr>
            </w:pPr>
            <w:r w:rsidRPr="00CB1C43">
              <w:rPr>
                <w:sz w:val="20"/>
                <w:lang w:val="es-AR" w:bidi="en-US"/>
              </w:rPr>
              <w:t>AGREGADOS DEL CARIBE S.A</w:t>
            </w:r>
            <w:r>
              <w:rPr>
                <w:sz w:val="20"/>
                <w:lang w:val="es-AR" w:bidi="en-US"/>
              </w:rPr>
              <w:t>.</w:t>
            </w:r>
          </w:p>
        </w:tc>
        <w:tc>
          <w:tcPr>
            <w:tcW w:w="1373" w:type="dxa"/>
            <w:hideMark/>
          </w:tcPr>
          <w:p w14:paraId="724920B5" w14:textId="77777777" w:rsidR="000132C6" w:rsidRPr="000B73A3" w:rsidRDefault="000132C6" w:rsidP="007A4A65">
            <w:pPr>
              <w:rPr>
                <w:sz w:val="20"/>
                <w:lang w:val="en-GB" w:bidi="en-US"/>
              </w:rPr>
            </w:pPr>
            <w:r w:rsidRPr="00CB1C43">
              <w:rPr>
                <w:sz w:val="20"/>
                <w:lang w:bidi="en-US"/>
              </w:rPr>
              <w:t xml:space="preserve">Ana Lourdes Martínez Cruz </w:t>
            </w:r>
          </w:p>
        </w:tc>
        <w:tc>
          <w:tcPr>
            <w:tcW w:w="2268" w:type="dxa"/>
            <w:vMerge w:val="restart"/>
            <w:hideMark/>
          </w:tcPr>
          <w:p w14:paraId="7A78AD39" w14:textId="77777777" w:rsidR="000132C6" w:rsidRPr="000B73A3" w:rsidRDefault="000132C6" w:rsidP="00D3665A">
            <w:pPr>
              <w:rPr>
                <w:sz w:val="20"/>
                <w:lang w:val="en-GB" w:bidi="en-US"/>
              </w:rPr>
            </w:pPr>
            <w:r w:rsidRPr="00CB1C43">
              <w:rPr>
                <w:sz w:val="20"/>
                <w:lang w:bidi="en-US"/>
              </w:rPr>
              <w:t>CORT</w:t>
            </w:r>
            <w:r>
              <w:rPr>
                <w:sz w:val="20"/>
                <w:lang w:bidi="en-US"/>
              </w:rPr>
              <w:t>É</w:t>
            </w:r>
            <w:r w:rsidRPr="00CB1C43">
              <w:rPr>
                <w:sz w:val="20"/>
                <w:lang w:bidi="en-US"/>
              </w:rPr>
              <w:t>S</w:t>
            </w:r>
          </w:p>
        </w:tc>
        <w:tc>
          <w:tcPr>
            <w:tcW w:w="3544" w:type="dxa"/>
            <w:vMerge w:val="restart"/>
            <w:hideMark/>
          </w:tcPr>
          <w:p w14:paraId="029A4C16" w14:textId="77777777" w:rsidR="000132C6" w:rsidRPr="000B73A3" w:rsidRDefault="000132C6" w:rsidP="007A4A65">
            <w:pPr>
              <w:rPr>
                <w:sz w:val="20"/>
                <w:lang w:val="en-GB" w:bidi="en-US"/>
              </w:rPr>
            </w:pPr>
            <w:r>
              <w:rPr>
                <w:sz w:val="20"/>
                <w:lang w:bidi="en-US"/>
              </w:rPr>
              <w:t>PUERTO CORTÉ</w:t>
            </w:r>
            <w:r w:rsidRPr="00CB1C43">
              <w:rPr>
                <w:sz w:val="20"/>
                <w:lang w:bidi="en-US"/>
              </w:rPr>
              <w:t>S</w:t>
            </w:r>
          </w:p>
        </w:tc>
      </w:tr>
      <w:tr w:rsidR="000132C6" w:rsidRPr="000B73A3" w14:paraId="3CD79448" w14:textId="77777777" w:rsidTr="007A4A65">
        <w:trPr>
          <w:trHeight w:val="559"/>
        </w:trPr>
        <w:tc>
          <w:tcPr>
            <w:tcW w:w="2024" w:type="dxa"/>
            <w:vMerge/>
            <w:hideMark/>
          </w:tcPr>
          <w:p w14:paraId="79325A74" w14:textId="77777777" w:rsidR="000132C6" w:rsidRPr="000B73A3" w:rsidRDefault="000132C6" w:rsidP="007A4A65">
            <w:pPr>
              <w:rPr>
                <w:sz w:val="20"/>
                <w:lang w:val="en-GB" w:bidi="en-US"/>
              </w:rPr>
            </w:pPr>
          </w:p>
        </w:tc>
        <w:tc>
          <w:tcPr>
            <w:tcW w:w="1373" w:type="dxa"/>
            <w:hideMark/>
          </w:tcPr>
          <w:p w14:paraId="1BC517A4" w14:textId="77777777" w:rsidR="000132C6" w:rsidRPr="000B73A3" w:rsidRDefault="000132C6" w:rsidP="007A4A65">
            <w:pPr>
              <w:rPr>
                <w:sz w:val="20"/>
                <w:lang w:val="en-GB" w:bidi="en-US"/>
              </w:rPr>
            </w:pPr>
            <w:r w:rsidRPr="00CB1C43">
              <w:rPr>
                <w:sz w:val="20"/>
                <w:lang w:bidi="en-US"/>
              </w:rPr>
              <w:t>Rafael Alberto Flores G.</w:t>
            </w:r>
          </w:p>
        </w:tc>
        <w:tc>
          <w:tcPr>
            <w:tcW w:w="2268" w:type="dxa"/>
            <w:vMerge/>
            <w:hideMark/>
          </w:tcPr>
          <w:p w14:paraId="7328C006" w14:textId="77777777" w:rsidR="000132C6" w:rsidRPr="000B73A3" w:rsidRDefault="000132C6" w:rsidP="007A4A65">
            <w:pPr>
              <w:rPr>
                <w:sz w:val="20"/>
                <w:lang w:val="en-GB" w:bidi="en-US"/>
              </w:rPr>
            </w:pPr>
          </w:p>
        </w:tc>
        <w:tc>
          <w:tcPr>
            <w:tcW w:w="3544" w:type="dxa"/>
            <w:vMerge/>
            <w:hideMark/>
          </w:tcPr>
          <w:p w14:paraId="7D5B9106" w14:textId="77777777" w:rsidR="000132C6" w:rsidRPr="000B73A3" w:rsidRDefault="000132C6" w:rsidP="007A4A65">
            <w:pPr>
              <w:rPr>
                <w:sz w:val="20"/>
                <w:lang w:val="en-GB" w:bidi="en-US"/>
              </w:rPr>
            </w:pPr>
          </w:p>
        </w:tc>
      </w:tr>
      <w:tr w:rsidR="000132C6" w:rsidRPr="000B73A3" w14:paraId="7B3358F9" w14:textId="77777777" w:rsidTr="007A4A65">
        <w:trPr>
          <w:trHeight w:val="559"/>
        </w:trPr>
        <w:tc>
          <w:tcPr>
            <w:tcW w:w="2024" w:type="dxa"/>
            <w:vMerge w:val="restart"/>
            <w:hideMark/>
          </w:tcPr>
          <w:p w14:paraId="356066CC" w14:textId="77777777" w:rsidR="000132C6" w:rsidRPr="000B73A3" w:rsidRDefault="000132C6" w:rsidP="007A4A65">
            <w:pPr>
              <w:rPr>
                <w:sz w:val="20"/>
                <w:lang w:val="es-AR" w:bidi="en-US"/>
              </w:rPr>
            </w:pPr>
            <w:r w:rsidRPr="00CB1C43">
              <w:rPr>
                <w:sz w:val="20"/>
                <w:lang w:val="es-AR" w:bidi="en-US"/>
              </w:rPr>
              <w:t>CEMENTOS DEL NORTE S.A.</w:t>
            </w:r>
          </w:p>
        </w:tc>
        <w:tc>
          <w:tcPr>
            <w:tcW w:w="1373" w:type="dxa"/>
            <w:noWrap/>
            <w:hideMark/>
          </w:tcPr>
          <w:p w14:paraId="4E547561" w14:textId="77777777" w:rsidR="000132C6" w:rsidRPr="000B73A3" w:rsidRDefault="000132C6" w:rsidP="007A4A65">
            <w:pPr>
              <w:rPr>
                <w:sz w:val="20"/>
                <w:lang w:val="en-GB" w:bidi="en-US"/>
              </w:rPr>
            </w:pPr>
            <w:r w:rsidRPr="00CB1C43">
              <w:rPr>
                <w:sz w:val="20"/>
                <w:lang w:bidi="en-US"/>
              </w:rPr>
              <w:t xml:space="preserve">Fátima Pineda </w:t>
            </w:r>
          </w:p>
        </w:tc>
        <w:tc>
          <w:tcPr>
            <w:tcW w:w="2268" w:type="dxa"/>
            <w:vMerge/>
            <w:hideMark/>
          </w:tcPr>
          <w:p w14:paraId="1927D8D7" w14:textId="77777777" w:rsidR="000132C6" w:rsidRPr="000B73A3" w:rsidRDefault="000132C6" w:rsidP="007A4A65">
            <w:pPr>
              <w:rPr>
                <w:sz w:val="20"/>
                <w:lang w:val="en-GB" w:bidi="en-US"/>
              </w:rPr>
            </w:pPr>
          </w:p>
        </w:tc>
        <w:tc>
          <w:tcPr>
            <w:tcW w:w="3544" w:type="dxa"/>
            <w:vMerge w:val="restart"/>
            <w:noWrap/>
            <w:hideMark/>
          </w:tcPr>
          <w:p w14:paraId="28B67857" w14:textId="77777777" w:rsidR="000132C6" w:rsidRPr="000B73A3" w:rsidRDefault="000132C6" w:rsidP="007A4A65">
            <w:pPr>
              <w:rPr>
                <w:sz w:val="20"/>
                <w:lang w:val="en-GB" w:bidi="en-US"/>
              </w:rPr>
            </w:pPr>
            <w:r w:rsidRPr="00CB1C43">
              <w:rPr>
                <w:sz w:val="20"/>
                <w:lang w:bidi="en-US"/>
              </w:rPr>
              <w:t>CHOLOMA</w:t>
            </w:r>
          </w:p>
        </w:tc>
      </w:tr>
      <w:tr w:rsidR="000132C6" w:rsidRPr="000B73A3" w14:paraId="7147C6E0" w14:textId="77777777" w:rsidTr="007A4A65">
        <w:trPr>
          <w:trHeight w:val="559"/>
        </w:trPr>
        <w:tc>
          <w:tcPr>
            <w:tcW w:w="2024" w:type="dxa"/>
            <w:vMerge/>
            <w:hideMark/>
          </w:tcPr>
          <w:p w14:paraId="7BE95193" w14:textId="77777777" w:rsidR="000132C6" w:rsidRPr="000B73A3" w:rsidRDefault="000132C6" w:rsidP="007A4A65">
            <w:pPr>
              <w:rPr>
                <w:sz w:val="20"/>
                <w:lang w:val="en-GB" w:bidi="en-US"/>
              </w:rPr>
            </w:pPr>
          </w:p>
        </w:tc>
        <w:tc>
          <w:tcPr>
            <w:tcW w:w="1373" w:type="dxa"/>
            <w:noWrap/>
            <w:hideMark/>
          </w:tcPr>
          <w:p w14:paraId="40EB5DD4" w14:textId="77777777" w:rsidR="000132C6" w:rsidRPr="000B73A3" w:rsidRDefault="000132C6" w:rsidP="007A4A65">
            <w:pPr>
              <w:rPr>
                <w:sz w:val="20"/>
                <w:lang w:val="en-GB" w:bidi="en-US"/>
              </w:rPr>
            </w:pPr>
            <w:r w:rsidRPr="00CB1C43">
              <w:rPr>
                <w:sz w:val="20"/>
                <w:lang w:bidi="en-US"/>
              </w:rPr>
              <w:t>Edwin Argueta</w:t>
            </w:r>
            <w:r>
              <w:rPr>
                <w:sz w:val="20"/>
                <w:lang w:bidi="en-US"/>
              </w:rPr>
              <w:t xml:space="preserve"> </w:t>
            </w:r>
            <w:r w:rsidRPr="00CB1C43">
              <w:rPr>
                <w:sz w:val="20"/>
                <w:lang w:bidi="en-US"/>
              </w:rPr>
              <w:t>Tróchez</w:t>
            </w:r>
          </w:p>
        </w:tc>
        <w:tc>
          <w:tcPr>
            <w:tcW w:w="2268" w:type="dxa"/>
            <w:vMerge/>
            <w:hideMark/>
          </w:tcPr>
          <w:p w14:paraId="207B575F" w14:textId="77777777" w:rsidR="000132C6" w:rsidRPr="000B73A3" w:rsidRDefault="000132C6" w:rsidP="007A4A65">
            <w:pPr>
              <w:rPr>
                <w:sz w:val="20"/>
                <w:lang w:val="en-GB" w:bidi="en-US"/>
              </w:rPr>
            </w:pPr>
          </w:p>
        </w:tc>
        <w:tc>
          <w:tcPr>
            <w:tcW w:w="3544" w:type="dxa"/>
            <w:vMerge/>
            <w:hideMark/>
          </w:tcPr>
          <w:p w14:paraId="36D3AAAF" w14:textId="77777777" w:rsidR="000132C6" w:rsidRPr="000B73A3" w:rsidRDefault="000132C6" w:rsidP="007A4A65">
            <w:pPr>
              <w:rPr>
                <w:sz w:val="20"/>
                <w:lang w:val="en-GB" w:bidi="en-US"/>
              </w:rPr>
            </w:pPr>
          </w:p>
        </w:tc>
      </w:tr>
      <w:tr w:rsidR="000132C6" w:rsidRPr="000B73A3" w14:paraId="1823AC4A" w14:textId="77777777" w:rsidTr="007A4A65">
        <w:trPr>
          <w:trHeight w:val="559"/>
        </w:trPr>
        <w:tc>
          <w:tcPr>
            <w:tcW w:w="2024" w:type="dxa"/>
            <w:vMerge w:val="restart"/>
            <w:hideMark/>
          </w:tcPr>
          <w:p w14:paraId="69A56E44" w14:textId="77777777" w:rsidR="000132C6" w:rsidRPr="000B73A3" w:rsidRDefault="000132C6" w:rsidP="007A4A65">
            <w:pPr>
              <w:rPr>
                <w:sz w:val="20"/>
                <w:lang w:val="en-GB" w:bidi="en-US"/>
              </w:rPr>
            </w:pPr>
            <w:r w:rsidRPr="00CB1C43">
              <w:rPr>
                <w:sz w:val="20"/>
                <w:lang w:bidi="en-US"/>
              </w:rPr>
              <w:t>HARRY STEPHEN PANTING ZELAYA</w:t>
            </w:r>
          </w:p>
        </w:tc>
        <w:tc>
          <w:tcPr>
            <w:tcW w:w="1373" w:type="dxa"/>
            <w:hideMark/>
          </w:tcPr>
          <w:p w14:paraId="0A842051" w14:textId="77777777" w:rsidR="000132C6" w:rsidRPr="000B73A3" w:rsidRDefault="000132C6" w:rsidP="00D3665A">
            <w:pPr>
              <w:rPr>
                <w:sz w:val="20"/>
                <w:lang w:val="en-GB" w:bidi="en-US"/>
              </w:rPr>
            </w:pPr>
            <w:r w:rsidRPr="00CB1C43">
              <w:rPr>
                <w:sz w:val="20"/>
                <w:lang w:bidi="en-US"/>
              </w:rPr>
              <w:t>Héctor Mauricio Castro Ort</w:t>
            </w:r>
            <w:r>
              <w:rPr>
                <w:sz w:val="20"/>
                <w:lang w:bidi="en-US"/>
              </w:rPr>
              <w:t>e</w:t>
            </w:r>
            <w:r w:rsidRPr="00CB1C43">
              <w:rPr>
                <w:sz w:val="20"/>
                <w:lang w:bidi="en-US"/>
              </w:rPr>
              <w:t>z</w:t>
            </w:r>
          </w:p>
        </w:tc>
        <w:tc>
          <w:tcPr>
            <w:tcW w:w="2268" w:type="dxa"/>
            <w:vMerge/>
            <w:hideMark/>
          </w:tcPr>
          <w:p w14:paraId="09D86F56" w14:textId="77777777" w:rsidR="000132C6" w:rsidRPr="000B73A3" w:rsidRDefault="000132C6" w:rsidP="007A4A65">
            <w:pPr>
              <w:rPr>
                <w:sz w:val="20"/>
                <w:lang w:val="en-GB" w:bidi="en-US"/>
              </w:rPr>
            </w:pPr>
          </w:p>
        </w:tc>
        <w:tc>
          <w:tcPr>
            <w:tcW w:w="3544" w:type="dxa"/>
            <w:vMerge w:val="restart"/>
            <w:hideMark/>
          </w:tcPr>
          <w:p w14:paraId="4F33FAA7" w14:textId="77777777" w:rsidR="000132C6" w:rsidRPr="000B73A3" w:rsidRDefault="000132C6" w:rsidP="007A4A65">
            <w:pPr>
              <w:rPr>
                <w:sz w:val="20"/>
                <w:lang w:val="en-GB" w:bidi="en-US"/>
              </w:rPr>
            </w:pPr>
            <w:r w:rsidRPr="00CB1C43">
              <w:rPr>
                <w:sz w:val="20"/>
                <w:lang w:bidi="en-US"/>
              </w:rPr>
              <w:t xml:space="preserve">SAN PEDRO SULA </w:t>
            </w:r>
          </w:p>
        </w:tc>
      </w:tr>
      <w:tr w:rsidR="000132C6" w:rsidRPr="000B73A3" w14:paraId="4AB3FE1F" w14:textId="77777777" w:rsidTr="007A4A65">
        <w:trPr>
          <w:trHeight w:val="559"/>
        </w:trPr>
        <w:tc>
          <w:tcPr>
            <w:tcW w:w="2024" w:type="dxa"/>
            <w:vMerge/>
            <w:hideMark/>
          </w:tcPr>
          <w:p w14:paraId="2B9561A2" w14:textId="77777777" w:rsidR="000132C6" w:rsidRPr="000B73A3" w:rsidRDefault="000132C6" w:rsidP="007A4A65">
            <w:pPr>
              <w:rPr>
                <w:sz w:val="20"/>
                <w:lang w:val="en-GB" w:bidi="en-US"/>
              </w:rPr>
            </w:pPr>
          </w:p>
        </w:tc>
        <w:tc>
          <w:tcPr>
            <w:tcW w:w="1373" w:type="dxa"/>
            <w:hideMark/>
          </w:tcPr>
          <w:p w14:paraId="1CCF5A06" w14:textId="77777777" w:rsidR="000132C6" w:rsidRPr="000B73A3" w:rsidRDefault="000132C6" w:rsidP="007A4A65">
            <w:pPr>
              <w:rPr>
                <w:sz w:val="20"/>
                <w:lang w:val="en-GB" w:bidi="en-US"/>
              </w:rPr>
            </w:pPr>
            <w:r w:rsidRPr="00CB1C43">
              <w:rPr>
                <w:sz w:val="20"/>
                <w:lang w:bidi="en-US"/>
              </w:rPr>
              <w:t>Harry Panting Zelaya</w:t>
            </w:r>
          </w:p>
        </w:tc>
        <w:tc>
          <w:tcPr>
            <w:tcW w:w="2268" w:type="dxa"/>
            <w:vMerge/>
            <w:hideMark/>
          </w:tcPr>
          <w:p w14:paraId="59BD474F" w14:textId="77777777" w:rsidR="000132C6" w:rsidRPr="000B73A3" w:rsidRDefault="000132C6" w:rsidP="007A4A65">
            <w:pPr>
              <w:rPr>
                <w:sz w:val="20"/>
                <w:lang w:val="en-GB" w:bidi="en-US"/>
              </w:rPr>
            </w:pPr>
          </w:p>
        </w:tc>
        <w:tc>
          <w:tcPr>
            <w:tcW w:w="3544" w:type="dxa"/>
            <w:vMerge/>
            <w:hideMark/>
          </w:tcPr>
          <w:p w14:paraId="4D658534" w14:textId="77777777" w:rsidR="000132C6" w:rsidRPr="000B73A3" w:rsidRDefault="000132C6" w:rsidP="007A4A65">
            <w:pPr>
              <w:rPr>
                <w:sz w:val="20"/>
                <w:lang w:val="en-GB" w:bidi="en-US"/>
              </w:rPr>
            </w:pPr>
          </w:p>
        </w:tc>
      </w:tr>
      <w:tr w:rsidR="000132C6" w:rsidRPr="000B73A3" w14:paraId="4989768A" w14:textId="77777777" w:rsidTr="007A4A65">
        <w:trPr>
          <w:trHeight w:val="559"/>
        </w:trPr>
        <w:tc>
          <w:tcPr>
            <w:tcW w:w="2024" w:type="dxa"/>
            <w:vMerge w:val="restart"/>
            <w:noWrap/>
            <w:hideMark/>
          </w:tcPr>
          <w:p w14:paraId="7628CA1E" w14:textId="77777777" w:rsidR="000132C6" w:rsidRPr="000B73A3" w:rsidRDefault="000132C6" w:rsidP="007A4A65">
            <w:pPr>
              <w:rPr>
                <w:sz w:val="20"/>
                <w:lang w:val="en-GB" w:bidi="en-US"/>
              </w:rPr>
            </w:pPr>
            <w:r w:rsidRPr="00CB1C43">
              <w:rPr>
                <w:sz w:val="20"/>
                <w:lang w:bidi="en-US"/>
              </w:rPr>
              <w:t>CONHSA-PAYHSA</w:t>
            </w:r>
          </w:p>
        </w:tc>
        <w:tc>
          <w:tcPr>
            <w:tcW w:w="1373" w:type="dxa"/>
            <w:noWrap/>
            <w:hideMark/>
          </w:tcPr>
          <w:p w14:paraId="15DEDF75" w14:textId="77777777" w:rsidR="000132C6" w:rsidRPr="000B73A3" w:rsidRDefault="000132C6" w:rsidP="007A4A65">
            <w:pPr>
              <w:rPr>
                <w:sz w:val="20"/>
                <w:lang w:val="en-GB" w:bidi="en-US"/>
              </w:rPr>
            </w:pPr>
            <w:r w:rsidRPr="00CB1C43">
              <w:rPr>
                <w:sz w:val="20"/>
                <w:lang w:bidi="en-US"/>
              </w:rPr>
              <w:t>Cesar Milian</w:t>
            </w:r>
            <w:r>
              <w:rPr>
                <w:sz w:val="20"/>
                <w:lang w:bidi="en-US"/>
              </w:rPr>
              <w:t xml:space="preserve"> </w:t>
            </w:r>
            <w:r w:rsidRPr="00CB1C43">
              <w:rPr>
                <w:sz w:val="20"/>
                <w:lang w:bidi="en-US"/>
              </w:rPr>
              <w:t>Prado</w:t>
            </w:r>
          </w:p>
        </w:tc>
        <w:tc>
          <w:tcPr>
            <w:tcW w:w="2268" w:type="dxa"/>
            <w:vMerge/>
            <w:hideMark/>
          </w:tcPr>
          <w:p w14:paraId="222F370A" w14:textId="77777777" w:rsidR="000132C6" w:rsidRPr="000B73A3" w:rsidRDefault="000132C6" w:rsidP="007A4A65">
            <w:pPr>
              <w:rPr>
                <w:sz w:val="20"/>
                <w:lang w:val="en-GB" w:bidi="en-US"/>
              </w:rPr>
            </w:pPr>
          </w:p>
        </w:tc>
        <w:tc>
          <w:tcPr>
            <w:tcW w:w="3544" w:type="dxa"/>
            <w:vMerge/>
            <w:hideMark/>
          </w:tcPr>
          <w:p w14:paraId="085F4291" w14:textId="77777777" w:rsidR="000132C6" w:rsidRPr="000B73A3" w:rsidRDefault="000132C6" w:rsidP="007A4A65">
            <w:pPr>
              <w:rPr>
                <w:sz w:val="20"/>
                <w:lang w:val="en-GB" w:bidi="en-US"/>
              </w:rPr>
            </w:pPr>
          </w:p>
        </w:tc>
      </w:tr>
      <w:tr w:rsidR="000132C6" w:rsidRPr="000B73A3" w14:paraId="58423325" w14:textId="77777777" w:rsidTr="007A4A65">
        <w:trPr>
          <w:trHeight w:val="559"/>
        </w:trPr>
        <w:tc>
          <w:tcPr>
            <w:tcW w:w="2024" w:type="dxa"/>
            <w:vMerge/>
            <w:hideMark/>
          </w:tcPr>
          <w:p w14:paraId="39955903" w14:textId="77777777" w:rsidR="000132C6" w:rsidRPr="000B73A3" w:rsidRDefault="000132C6" w:rsidP="007A4A65">
            <w:pPr>
              <w:rPr>
                <w:sz w:val="20"/>
                <w:lang w:val="en-GB" w:bidi="en-US"/>
              </w:rPr>
            </w:pPr>
          </w:p>
        </w:tc>
        <w:tc>
          <w:tcPr>
            <w:tcW w:w="1373" w:type="dxa"/>
            <w:noWrap/>
            <w:hideMark/>
          </w:tcPr>
          <w:p w14:paraId="31848981" w14:textId="77777777" w:rsidR="000132C6" w:rsidRPr="000B73A3" w:rsidRDefault="000132C6" w:rsidP="007A4A65">
            <w:pPr>
              <w:rPr>
                <w:sz w:val="20"/>
                <w:lang w:val="en-GB" w:bidi="en-US"/>
              </w:rPr>
            </w:pPr>
            <w:r w:rsidRPr="00CB1C43">
              <w:rPr>
                <w:sz w:val="20"/>
                <w:lang w:bidi="en-US"/>
              </w:rPr>
              <w:t>José Raúl</w:t>
            </w:r>
            <w:r>
              <w:rPr>
                <w:sz w:val="20"/>
                <w:lang w:bidi="en-US"/>
              </w:rPr>
              <w:t xml:space="preserve"> </w:t>
            </w:r>
            <w:r w:rsidRPr="00CB1C43">
              <w:rPr>
                <w:sz w:val="20"/>
                <w:lang w:bidi="en-US"/>
              </w:rPr>
              <w:t>Durón</w:t>
            </w:r>
            <w:r>
              <w:rPr>
                <w:sz w:val="20"/>
                <w:lang w:bidi="en-US"/>
              </w:rPr>
              <w:t xml:space="preserve"> </w:t>
            </w:r>
            <w:r w:rsidRPr="00CB1C43">
              <w:rPr>
                <w:sz w:val="20"/>
                <w:lang w:bidi="en-US"/>
              </w:rPr>
              <w:t>Contreras</w:t>
            </w:r>
          </w:p>
        </w:tc>
        <w:tc>
          <w:tcPr>
            <w:tcW w:w="2268" w:type="dxa"/>
            <w:vMerge/>
            <w:hideMark/>
          </w:tcPr>
          <w:p w14:paraId="449BE34B" w14:textId="77777777" w:rsidR="000132C6" w:rsidRPr="000B73A3" w:rsidRDefault="000132C6" w:rsidP="007A4A65">
            <w:pPr>
              <w:rPr>
                <w:sz w:val="20"/>
                <w:lang w:val="en-GB" w:bidi="en-US"/>
              </w:rPr>
            </w:pPr>
          </w:p>
        </w:tc>
        <w:tc>
          <w:tcPr>
            <w:tcW w:w="3544" w:type="dxa"/>
            <w:vMerge/>
            <w:hideMark/>
          </w:tcPr>
          <w:p w14:paraId="2B6B8E63" w14:textId="77777777" w:rsidR="000132C6" w:rsidRPr="000B73A3" w:rsidRDefault="000132C6" w:rsidP="007A4A65">
            <w:pPr>
              <w:rPr>
                <w:sz w:val="20"/>
                <w:lang w:val="en-GB" w:bidi="en-US"/>
              </w:rPr>
            </w:pPr>
          </w:p>
        </w:tc>
      </w:tr>
      <w:tr w:rsidR="000132C6" w:rsidRPr="000B73A3" w14:paraId="1286C904" w14:textId="77777777" w:rsidTr="007A4A65">
        <w:trPr>
          <w:trHeight w:val="559"/>
        </w:trPr>
        <w:tc>
          <w:tcPr>
            <w:tcW w:w="2024" w:type="dxa"/>
            <w:vMerge w:val="restart"/>
            <w:hideMark/>
          </w:tcPr>
          <w:p w14:paraId="7EB101B5" w14:textId="77777777" w:rsidR="000132C6" w:rsidRPr="000B73A3" w:rsidRDefault="000132C6" w:rsidP="007A4A65">
            <w:pPr>
              <w:rPr>
                <w:sz w:val="20"/>
                <w:lang w:val="en-GB" w:bidi="en-US"/>
              </w:rPr>
            </w:pPr>
            <w:r w:rsidRPr="00CB1C43">
              <w:rPr>
                <w:sz w:val="20"/>
                <w:lang w:bidi="en-US"/>
              </w:rPr>
              <w:t>INCAL S.A.</w:t>
            </w:r>
          </w:p>
        </w:tc>
        <w:tc>
          <w:tcPr>
            <w:tcW w:w="1373" w:type="dxa"/>
            <w:noWrap/>
            <w:hideMark/>
          </w:tcPr>
          <w:p w14:paraId="679B72D7" w14:textId="77777777" w:rsidR="000132C6" w:rsidRPr="000B73A3" w:rsidRDefault="000132C6" w:rsidP="007A4A65">
            <w:pPr>
              <w:rPr>
                <w:sz w:val="20"/>
                <w:lang w:val="en-GB" w:bidi="en-US"/>
              </w:rPr>
            </w:pPr>
            <w:r w:rsidRPr="00CB1C43">
              <w:rPr>
                <w:sz w:val="20"/>
                <w:lang w:bidi="en-US"/>
              </w:rPr>
              <w:t xml:space="preserve">Juan Carlos López Orellana </w:t>
            </w:r>
          </w:p>
        </w:tc>
        <w:tc>
          <w:tcPr>
            <w:tcW w:w="2268" w:type="dxa"/>
            <w:vMerge/>
            <w:hideMark/>
          </w:tcPr>
          <w:p w14:paraId="51918622" w14:textId="77777777" w:rsidR="000132C6" w:rsidRPr="000B73A3" w:rsidRDefault="000132C6" w:rsidP="007A4A65">
            <w:pPr>
              <w:rPr>
                <w:sz w:val="20"/>
                <w:lang w:val="en-GB" w:bidi="en-US"/>
              </w:rPr>
            </w:pPr>
          </w:p>
        </w:tc>
        <w:tc>
          <w:tcPr>
            <w:tcW w:w="3544" w:type="dxa"/>
            <w:vMerge w:val="restart"/>
            <w:noWrap/>
            <w:hideMark/>
          </w:tcPr>
          <w:p w14:paraId="56D3B2FF" w14:textId="77777777" w:rsidR="000132C6" w:rsidRPr="000B73A3" w:rsidRDefault="000132C6" w:rsidP="007A4A65">
            <w:pPr>
              <w:rPr>
                <w:sz w:val="20"/>
                <w:lang w:val="en-GB" w:bidi="en-US"/>
              </w:rPr>
            </w:pPr>
            <w:r w:rsidRPr="00CB1C43">
              <w:rPr>
                <w:sz w:val="20"/>
                <w:lang w:bidi="en-US"/>
              </w:rPr>
              <w:t xml:space="preserve">POTRERILLOS </w:t>
            </w:r>
          </w:p>
        </w:tc>
      </w:tr>
      <w:tr w:rsidR="000132C6" w:rsidRPr="000B73A3" w14:paraId="0B78A38B" w14:textId="77777777" w:rsidTr="007A4A65">
        <w:trPr>
          <w:trHeight w:val="559"/>
        </w:trPr>
        <w:tc>
          <w:tcPr>
            <w:tcW w:w="2024" w:type="dxa"/>
            <w:vMerge/>
            <w:hideMark/>
          </w:tcPr>
          <w:p w14:paraId="57DA52E7" w14:textId="77777777" w:rsidR="000132C6" w:rsidRPr="000B73A3" w:rsidRDefault="000132C6" w:rsidP="007A4A65">
            <w:pPr>
              <w:rPr>
                <w:sz w:val="20"/>
                <w:lang w:val="en-GB" w:bidi="en-US"/>
              </w:rPr>
            </w:pPr>
          </w:p>
        </w:tc>
        <w:tc>
          <w:tcPr>
            <w:tcW w:w="1373" w:type="dxa"/>
            <w:noWrap/>
            <w:hideMark/>
          </w:tcPr>
          <w:p w14:paraId="6DAB4773" w14:textId="77777777" w:rsidR="000132C6" w:rsidRPr="000B73A3" w:rsidRDefault="000132C6" w:rsidP="007A4A65">
            <w:pPr>
              <w:rPr>
                <w:sz w:val="20"/>
                <w:lang w:val="en-GB" w:bidi="en-US"/>
              </w:rPr>
            </w:pPr>
            <w:r w:rsidRPr="00CB1C43">
              <w:rPr>
                <w:sz w:val="20"/>
                <w:lang w:bidi="en-US"/>
              </w:rPr>
              <w:t>Juan Carlos Flores</w:t>
            </w:r>
          </w:p>
        </w:tc>
        <w:tc>
          <w:tcPr>
            <w:tcW w:w="2268" w:type="dxa"/>
            <w:vMerge/>
            <w:hideMark/>
          </w:tcPr>
          <w:p w14:paraId="5EE0F751" w14:textId="77777777" w:rsidR="000132C6" w:rsidRPr="000B73A3" w:rsidRDefault="000132C6" w:rsidP="007A4A65">
            <w:pPr>
              <w:rPr>
                <w:sz w:val="20"/>
                <w:lang w:val="en-GB" w:bidi="en-US"/>
              </w:rPr>
            </w:pPr>
          </w:p>
        </w:tc>
        <w:tc>
          <w:tcPr>
            <w:tcW w:w="3544" w:type="dxa"/>
            <w:vMerge/>
            <w:hideMark/>
          </w:tcPr>
          <w:p w14:paraId="777CD808" w14:textId="77777777" w:rsidR="000132C6" w:rsidRPr="000B73A3" w:rsidRDefault="000132C6" w:rsidP="007A4A65">
            <w:pPr>
              <w:rPr>
                <w:sz w:val="20"/>
                <w:lang w:val="en-GB" w:bidi="en-US"/>
              </w:rPr>
            </w:pPr>
          </w:p>
        </w:tc>
      </w:tr>
      <w:tr w:rsidR="000132C6" w:rsidRPr="000B73A3" w14:paraId="7FAC371C" w14:textId="77777777" w:rsidTr="007A4A65">
        <w:trPr>
          <w:trHeight w:val="559"/>
        </w:trPr>
        <w:tc>
          <w:tcPr>
            <w:tcW w:w="2024" w:type="dxa"/>
            <w:vMerge w:val="restart"/>
            <w:hideMark/>
          </w:tcPr>
          <w:p w14:paraId="2E26D00F" w14:textId="77777777" w:rsidR="000132C6" w:rsidRPr="000B73A3" w:rsidRDefault="000132C6" w:rsidP="007A4A65">
            <w:pPr>
              <w:rPr>
                <w:sz w:val="20"/>
                <w:lang w:val="es-AR" w:bidi="en-US"/>
              </w:rPr>
            </w:pPr>
            <w:r w:rsidRPr="00CB1C43">
              <w:rPr>
                <w:sz w:val="20"/>
                <w:lang w:val="es-AR" w:bidi="en-US"/>
              </w:rPr>
              <w:t>COMPAÑÍA MINERA CERROS DEL SUR S.A</w:t>
            </w:r>
            <w:r>
              <w:rPr>
                <w:sz w:val="20"/>
                <w:lang w:val="es-AR" w:bidi="en-US"/>
              </w:rPr>
              <w:t>.</w:t>
            </w:r>
            <w:r w:rsidRPr="00CB1C43">
              <w:rPr>
                <w:sz w:val="20"/>
                <w:lang w:val="es-AR" w:bidi="en-US"/>
              </w:rPr>
              <w:t xml:space="preserve"> DE C.V</w:t>
            </w:r>
            <w:r>
              <w:rPr>
                <w:sz w:val="20"/>
                <w:lang w:val="es-AR" w:bidi="en-US"/>
              </w:rPr>
              <w:t>.</w:t>
            </w:r>
          </w:p>
        </w:tc>
        <w:tc>
          <w:tcPr>
            <w:tcW w:w="1373" w:type="dxa"/>
            <w:hideMark/>
          </w:tcPr>
          <w:p w14:paraId="22088AA5" w14:textId="77777777" w:rsidR="000132C6" w:rsidRPr="00D3665A" w:rsidRDefault="000132C6" w:rsidP="007A4A65">
            <w:pPr>
              <w:rPr>
                <w:sz w:val="20"/>
                <w:lang w:bidi="en-US"/>
              </w:rPr>
            </w:pPr>
            <w:r w:rsidRPr="00CB1C43">
              <w:rPr>
                <w:sz w:val="20"/>
                <w:lang w:bidi="en-US"/>
              </w:rPr>
              <w:t>Alina Castro</w:t>
            </w:r>
          </w:p>
        </w:tc>
        <w:tc>
          <w:tcPr>
            <w:tcW w:w="2268" w:type="dxa"/>
            <w:vMerge w:val="restart"/>
            <w:hideMark/>
          </w:tcPr>
          <w:p w14:paraId="3CBBA273" w14:textId="77777777" w:rsidR="000132C6" w:rsidRPr="00D3665A" w:rsidRDefault="000132C6" w:rsidP="007A4A65">
            <w:pPr>
              <w:rPr>
                <w:sz w:val="20"/>
                <w:lang w:bidi="en-US"/>
              </w:rPr>
            </w:pPr>
            <w:r w:rsidRPr="00CB1C43">
              <w:rPr>
                <w:sz w:val="20"/>
                <w:lang w:bidi="en-US"/>
              </w:rPr>
              <w:t>CHOLUTECA</w:t>
            </w:r>
          </w:p>
        </w:tc>
        <w:tc>
          <w:tcPr>
            <w:tcW w:w="3544" w:type="dxa"/>
            <w:vMerge w:val="restart"/>
            <w:hideMark/>
          </w:tcPr>
          <w:p w14:paraId="0553ECB3" w14:textId="77777777" w:rsidR="000132C6" w:rsidRPr="00D3665A" w:rsidRDefault="000132C6" w:rsidP="007A4A65">
            <w:pPr>
              <w:rPr>
                <w:sz w:val="20"/>
                <w:lang w:bidi="en-US"/>
              </w:rPr>
            </w:pPr>
            <w:r w:rsidRPr="00CB1C43">
              <w:rPr>
                <w:sz w:val="20"/>
                <w:lang w:bidi="en-US"/>
              </w:rPr>
              <w:t>EL CORPUS</w:t>
            </w:r>
          </w:p>
        </w:tc>
      </w:tr>
      <w:tr w:rsidR="000132C6" w:rsidRPr="000B73A3" w14:paraId="0F3B290F" w14:textId="77777777" w:rsidTr="007A4A65">
        <w:trPr>
          <w:trHeight w:val="559"/>
        </w:trPr>
        <w:tc>
          <w:tcPr>
            <w:tcW w:w="2024" w:type="dxa"/>
            <w:vMerge/>
            <w:hideMark/>
          </w:tcPr>
          <w:p w14:paraId="0CCB3432" w14:textId="77777777" w:rsidR="000132C6" w:rsidRPr="00D3665A" w:rsidRDefault="000132C6" w:rsidP="007A4A65">
            <w:pPr>
              <w:rPr>
                <w:sz w:val="20"/>
                <w:lang w:bidi="en-US"/>
              </w:rPr>
            </w:pPr>
          </w:p>
        </w:tc>
        <w:tc>
          <w:tcPr>
            <w:tcW w:w="1373" w:type="dxa"/>
            <w:hideMark/>
          </w:tcPr>
          <w:p w14:paraId="6A9E21ED" w14:textId="77777777" w:rsidR="000132C6" w:rsidRPr="00D3665A" w:rsidRDefault="000132C6" w:rsidP="007A4A65">
            <w:pPr>
              <w:rPr>
                <w:sz w:val="20"/>
                <w:lang w:bidi="en-US"/>
              </w:rPr>
            </w:pPr>
            <w:r w:rsidRPr="00CB1C43">
              <w:rPr>
                <w:sz w:val="20"/>
                <w:lang w:bidi="en-US"/>
              </w:rPr>
              <w:t>Kyle G. Pickard</w:t>
            </w:r>
          </w:p>
        </w:tc>
        <w:tc>
          <w:tcPr>
            <w:tcW w:w="2268" w:type="dxa"/>
            <w:vMerge/>
            <w:hideMark/>
          </w:tcPr>
          <w:p w14:paraId="4F88710A" w14:textId="77777777" w:rsidR="000132C6" w:rsidRPr="00D3665A" w:rsidRDefault="000132C6" w:rsidP="007A4A65">
            <w:pPr>
              <w:rPr>
                <w:sz w:val="20"/>
                <w:lang w:bidi="en-US"/>
              </w:rPr>
            </w:pPr>
          </w:p>
        </w:tc>
        <w:tc>
          <w:tcPr>
            <w:tcW w:w="3544" w:type="dxa"/>
            <w:vMerge/>
            <w:hideMark/>
          </w:tcPr>
          <w:p w14:paraId="406574B5" w14:textId="77777777" w:rsidR="000132C6" w:rsidRPr="00D3665A" w:rsidRDefault="000132C6" w:rsidP="007A4A65">
            <w:pPr>
              <w:rPr>
                <w:sz w:val="20"/>
                <w:lang w:bidi="en-US"/>
              </w:rPr>
            </w:pPr>
          </w:p>
        </w:tc>
      </w:tr>
      <w:tr w:rsidR="000132C6" w:rsidRPr="000B73A3" w14:paraId="37CCCB31" w14:textId="77777777" w:rsidTr="007A4A65">
        <w:trPr>
          <w:trHeight w:val="559"/>
        </w:trPr>
        <w:tc>
          <w:tcPr>
            <w:tcW w:w="2024" w:type="dxa"/>
            <w:vMerge w:val="restart"/>
            <w:hideMark/>
          </w:tcPr>
          <w:p w14:paraId="6BA2EE1A" w14:textId="77777777" w:rsidR="000132C6" w:rsidRPr="000B73A3" w:rsidRDefault="000132C6" w:rsidP="007A4A65">
            <w:pPr>
              <w:rPr>
                <w:sz w:val="20"/>
                <w:lang w:val="es-AR" w:bidi="en-US"/>
              </w:rPr>
            </w:pPr>
            <w:r w:rsidRPr="00CB1C43">
              <w:rPr>
                <w:sz w:val="20"/>
                <w:lang w:val="es-AR" w:bidi="en-US"/>
              </w:rPr>
              <w:t>COBRA DE HONDURAS S.A</w:t>
            </w:r>
            <w:r>
              <w:rPr>
                <w:sz w:val="20"/>
                <w:lang w:val="es-AR" w:bidi="en-US"/>
              </w:rPr>
              <w:t>.</w:t>
            </w:r>
            <w:r w:rsidRPr="00CB1C43">
              <w:rPr>
                <w:sz w:val="20"/>
                <w:lang w:val="es-AR" w:bidi="en-US"/>
              </w:rPr>
              <w:t xml:space="preserve"> DE C.V</w:t>
            </w:r>
            <w:r>
              <w:rPr>
                <w:sz w:val="20"/>
                <w:lang w:val="es-AR" w:bidi="en-US"/>
              </w:rPr>
              <w:t>.</w:t>
            </w:r>
          </w:p>
        </w:tc>
        <w:tc>
          <w:tcPr>
            <w:tcW w:w="1373" w:type="dxa"/>
            <w:hideMark/>
          </w:tcPr>
          <w:p w14:paraId="64954A7D" w14:textId="77777777" w:rsidR="000132C6" w:rsidRPr="00D3665A" w:rsidRDefault="000132C6" w:rsidP="007A4A65">
            <w:pPr>
              <w:rPr>
                <w:sz w:val="20"/>
                <w:lang w:bidi="en-US"/>
              </w:rPr>
            </w:pPr>
            <w:r w:rsidRPr="00CB1C43">
              <w:rPr>
                <w:sz w:val="20"/>
                <w:lang w:bidi="en-US"/>
              </w:rPr>
              <w:t>José María</w:t>
            </w:r>
            <w:r>
              <w:rPr>
                <w:sz w:val="20"/>
                <w:lang w:bidi="en-US"/>
              </w:rPr>
              <w:t xml:space="preserve"> </w:t>
            </w:r>
            <w:r w:rsidRPr="00CB1C43">
              <w:rPr>
                <w:sz w:val="20"/>
                <w:lang w:bidi="en-US"/>
              </w:rPr>
              <w:t>Díaz</w:t>
            </w:r>
            <w:r>
              <w:rPr>
                <w:sz w:val="20"/>
                <w:lang w:bidi="en-US"/>
              </w:rPr>
              <w:t xml:space="preserve"> </w:t>
            </w:r>
            <w:r w:rsidRPr="00CB1C43">
              <w:rPr>
                <w:sz w:val="20"/>
                <w:lang w:bidi="en-US"/>
              </w:rPr>
              <w:t>Ávila</w:t>
            </w:r>
          </w:p>
        </w:tc>
        <w:tc>
          <w:tcPr>
            <w:tcW w:w="2268" w:type="dxa"/>
            <w:vMerge/>
            <w:hideMark/>
          </w:tcPr>
          <w:p w14:paraId="4E577EBE" w14:textId="77777777" w:rsidR="000132C6" w:rsidRPr="00D3665A" w:rsidRDefault="000132C6" w:rsidP="007A4A65">
            <w:pPr>
              <w:rPr>
                <w:sz w:val="20"/>
                <w:lang w:bidi="en-US"/>
              </w:rPr>
            </w:pPr>
          </w:p>
        </w:tc>
        <w:tc>
          <w:tcPr>
            <w:tcW w:w="3544" w:type="dxa"/>
            <w:vMerge w:val="restart"/>
            <w:noWrap/>
            <w:hideMark/>
          </w:tcPr>
          <w:p w14:paraId="0DA616FE" w14:textId="77777777" w:rsidR="000132C6" w:rsidRPr="00D3665A" w:rsidRDefault="000132C6" w:rsidP="007A4A65">
            <w:pPr>
              <w:rPr>
                <w:sz w:val="20"/>
                <w:lang w:bidi="en-US"/>
              </w:rPr>
            </w:pPr>
            <w:r w:rsidRPr="00CB1C43">
              <w:rPr>
                <w:sz w:val="20"/>
                <w:lang w:bidi="en-US"/>
              </w:rPr>
              <w:t>CHOLUTECA</w:t>
            </w:r>
          </w:p>
        </w:tc>
      </w:tr>
      <w:tr w:rsidR="000132C6" w:rsidRPr="000B73A3" w14:paraId="770941F7" w14:textId="77777777" w:rsidTr="007A4A65">
        <w:trPr>
          <w:trHeight w:val="559"/>
        </w:trPr>
        <w:tc>
          <w:tcPr>
            <w:tcW w:w="2024" w:type="dxa"/>
            <w:vMerge/>
            <w:hideMark/>
          </w:tcPr>
          <w:p w14:paraId="469BE420" w14:textId="77777777" w:rsidR="000132C6" w:rsidRPr="00D3665A" w:rsidRDefault="000132C6" w:rsidP="007A4A65">
            <w:pPr>
              <w:rPr>
                <w:sz w:val="20"/>
                <w:lang w:bidi="en-US"/>
              </w:rPr>
            </w:pPr>
          </w:p>
        </w:tc>
        <w:tc>
          <w:tcPr>
            <w:tcW w:w="1373" w:type="dxa"/>
            <w:hideMark/>
          </w:tcPr>
          <w:p w14:paraId="658B8AD8" w14:textId="77777777" w:rsidR="000132C6" w:rsidRPr="000B73A3" w:rsidRDefault="000132C6" w:rsidP="007A4A65">
            <w:pPr>
              <w:rPr>
                <w:sz w:val="20"/>
                <w:lang w:val="en-GB" w:bidi="en-US"/>
              </w:rPr>
            </w:pPr>
            <w:r w:rsidRPr="00CB1C43">
              <w:rPr>
                <w:sz w:val="20"/>
                <w:lang w:bidi="en-US"/>
              </w:rPr>
              <w:t>Iris Dionisia</w:t>
            </w:r>
            <w:r>
              <w:rPr>
                <w:sz w:val="20"/>
                <w:lang w:bidi="en-US"/>
              </w:rPr>
              <w:t xml:space="preserve"> </w:t>
            </w:r>
            <w:r w:rsidRPr="00CB1C43">
              <w:rPr>
                <w:sz w:val="20"/>
                <w:lang w:bidi="en-US"/>
              </w:rPr>
              <w:t>Zavala</w:t>
            </w:r>
            <w:r>
              <w:rPr>
                <w:sz w:val="20"/>
                <w:lang w:bidi="en-US"/>
              </w:rPr>
              <w:t xml:space="preserve"> </w:t>
            </w:r>
            <w:r w:rsidRPr="00CB1C43">
              <w:rPr>
                <w:sz w:val="20"/>
                <w:lang w:bidi="en-US"/>
              </w:rPr>
              <w:t>Ponce</w:t>
            </w:r>
          </w:p>
        </w:tc>
        <w:tc>
          <w:tcPr>
            <w:tcW w:w="2268" w:type="dxa"/>
            <w:vMerge/>
            <w:hideMark/>
          </w:tcPr>
          <w:p w14:paraId="355A7DE6" w14:textId="77777777" w:rsidR="000132C6" w:rsidRPr="000B73A3" w:rsidRDefault="000132C6" w:rsidP="007A4A65">
            <w:pPr>
              <w:rPr>
                <w:sz w:val="20"/>
                <w:lang w:val="en-GB" w:bidi="en-US"/>
              </w:rPr>
            </w:pPr>
          </w:p>
        </w:tc>
        <w:tc>
          <w:tcPr>
            <w:tcW w:w="3544" w:type="dxa"/>
            <w:vMerge/>
            <w:hideMark/>
          </w:tcPr>
          <w:p w14:paraId="6B9CBCF0" w14:textId="77777777" w:rsidR="000132C6" w:rsidRPr="000B73A3" w:rsidRDefault="000132C6" w:rsidP="007A4A65">
            <w:pPr>
              <w:rPr>
                <w:sz w:val="20"/>
                <w:lang w:val="en-GB" w:bidi="en-US"/>
              </w:rPr>
            </w:pPr>
          </w:p>
        </w:tc>
      </w:tr>
      <w:tr w:rsidR="000132C6" w:rsidRPr="000B73A3" w14:paraId="341A2190" w14:textId="77777777" w:rsidTr="007A4A65">
        <w:trPr>
          <w:trHeight w:val="559"/>
        </w:trPr>
        <w:tc>
          <w:tcPr>
            <w:tcW w:w="2024" w:type="dxa"/>
            <w:hideMark/>
          </w:tcPr>
          <w:p w14:paraId="39348775" w14:textId="77777777" w:rsidR="000132C6" w:rsidRPr="000B73A3" w:rsidRDefault="000132C6" w:rsidP="007A4A65">
            <w:pPr>
              <w:rPr>
                <w:sz w:val="20"/>
                <w:lang w:val="es-AR" w:bidi="en-US"/>
              </w:rPr>
            </w:pPr>
            <w:r w:rsidRPr="00CB1C43">
              <w:rPr>
                <w:sz w:val="20"/>
                <w:lang w:val="es-AR" w:bidi="en-US"/>
              </w:rPr>
              <w:t>JAMAR COMERCIAL INDUSTRIAL S.A. DE C.V</w:t>
            </w:r>
            <w:r>
              <w:rPr>
                <w:sz w:val="20"/>
                <w:lang w:val="es-AR" w:bidi="en-US"/>
              </w:rPr>
              <w:t>.</w:t>
            </w:r>
          </w:p>
        </w:tc>
        <w:tc>
          <w:tcPr>
            <w:tcW w:w="1373" w:type="dxa"/>
            <w:noWrap/>
            <w:hideMark/>
          </w:tcPr>
          <w:p w14:paraId="2F3D6E8B" w14:textId="77777777" w:rsidR="000132C6" w:rsidRPr="000B73A3" w:rsidRDefault="000132C6" w:rsidP="007A4A65">
            <w:pPr>
              <w:rPr>
                <w:sz w:val="20"/>
                <w:lang w:val="en-GB" w:bidi="en-US"/>
              </w:rPr>
            </w:pPr>
            <w:r w:rsidRPr="00CB1C43">
              <w:rPr>
                <w:sz w:val="20"/>
                <w:lang w:bidi="en-US"/>
              </w:rPr>
              <w:t>Manuel Rodrigo Mazariegos</w:t>
            </w:r>
          </w:p>
        </w:tc>
        <w:tc>
          <w:tcPr>
            <w:tcW w:w="2268" w:type="dxa"/>
            <w:noWrap/>
            <w:hideMark/>
          </w:tcPr>
          <w:p w14:paraId="62C69892" w14:textId="77777777" w:rsidR="000132C6" w:rsidRPr="000B73A3" w:rsidRDefault="000132C6" w:rsidP="007A4A65">
            <w:pPr>
              <w:rPr>
                <w:sz w:val="20"/>
                <w:lang w:val="en-GB" w:bidi="en-US"/>
              </w:rPr>
            </w:pPr>
            <w:r w:rsidRPr="00CB1C43">
              <w:rPr>
                <w:sz w:val="20"/>
                <w:lang w:bidi="en-US"/>
              </w:rPr>
              <w:t>OLANCHO</w:t>
            </w:r>
          </w:p>
        </w:tc>
        <w:tc>
          <w:tcPr>
            <w:tcW w:w="3544" w:type="dxa"/>
            <w:noWrap/>
            <w:hideMark/>
          </w:tcPr>
          <w:p w14:paraId="77D7FD37" w14:textId="77777777" w:rsidR="000132C6" w:rsidRPr="000B73A3" w:rsidRDefault="000132C6" w:rsidP="007A4A65">
            <w:pPr>
              <w:rPr>
                <w:sz w:val="20"/>
                <w:lang w:val="en-GB" w:bidi="en-US"/>
              </w:rPr>
            </w:pPr>
            <w:r w:rsidRPr="00CB1C43">
              <w:rPr>
                <w:sz w:val="20"/>
                <w:lang w:bidi="en-US"/>
              </w:rPr>
              <w:t>GUALACO</w:t>
            </w:r>
          </w:p>
        </w:tc>
      </w:tr>
    </w:tbl>
    <w:p w14:paraId="69867171" w14:textId="77777777" w:rsidR="000132C6" w:rsidRDefault="000132C6" w:rsidP="00B61C08">
      <w:pPr>
        <w:rPr>
          <w:lang w:val="es-AR" w:bidi="en-US"/>
        </w:rPr>
      </w:pPr>
    </w:p>
    <w:p w14:paraId="65BAFDF9" w14:textId="77777777" w:rsidR="000132C6" w:rsidRPr="006E461B" w:rsidRDefault="000132C6" w:rsidP="00B61C08">
      <w:pPr>
        <w:pStyle w:val="EndnoteText"/>
      </w:pPr>
      <w:r>
        <w:rPr>
          <w:lang w:val="es-AR" w:bidi="en-US"/>
        </w:rPr>
        <w:t>Fuente: INHGEOMIN</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yriad Pro SemiCond">
    <w:altName w:val="Calibri"/>
    <w:panose1 w:val="00000000000000000000"/>
    <w:charset w:val="00"/>
    <w:family w:val="swiss"/>
    <w:notTrueType/>
    <w:pitch w:val="variable"/>
    <w:sig w:usb0="A00002AF" w:usb1="5000204B"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Lucida Grande">
    <w:altName w:val="Segoe UI"/>
    <w:charset w:val="00"/>
    <w:family w:val="swiss"/>
    <w:pitch w:val="variable"/>
    <w:sig w:usb0="E1000AEF" w:usb1="5000A1FF" w:usb2="00000000" w:usb3="00000000" w:csb0="000001BF" w:csb1="00000000"/>
  </w:font>
  <w:font w:name="Myriad Pro">
    <w:altName w:val="Calibri"/>
    <w:panose1 w:val="00000000000000000000"/>
    <w:charset w:val="00"/>
    <w:family w:val="swiss"/>
    <w:notTrueType/>
    <w:pitch w:val="variable"/>
    <w:sig w:usb0="20000287" w:usb1="00000001" w:usb2="00000000" w:usb3="00000000" w:csb0="0000019F" w:csb1="00000000"/>
  </w:font>
  <w:font w:name="System">
    <w:panose1 w:val="00000000000000000000"/>
    <w:charset w:val="00"/>
    <w:family w:val="swiss"/>
    <w:notTrueType/>
    <w:pitch w:val="variable"/>
    <w:sig w:usb0="00000003" w:usb1="00000000" w:usb2="00000000" w:usb3="00000000" w:csb0="00000001" w:csb1="00000000"/>
  </w:font>
  <w:font w:name="Myriad Pro Light SemiCond">
    <w:altName w:val="Calibri"/>
    <w:panose1 w:val="00000000000000000000"/>
    <w:charset w:val="00"/>
    <w:family w:val="swiss"/>
    <w:notTrueType/>
    <w:pitch w:val="variable"/>
    <w:sig w:usb0="A00002AF" w:usb1="5000204B"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D22C93" w14:textId="77777777" w:rsidR="000132C6" w:rsidRDefault="000132C6" w:rsidP="00450CAF">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44</w:t>
    </w:r>
    <w:r>
      <w:rPr>
        <w:rStyle w:val="PageNumber"/>
      </w:rPr>
      <w:fldChar w:fldCharType="end"/>
    </w:r>
  </w:p>
  <w:p w14:paraId="7A04E029" w14:textId="77777777" w:rsidR="000132C6" w:rsidRDefault="000132C6" w:rsidP="00450C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F92A5D" w14:textId="6CA540D1" w:rsidR="000132C6" w:rsidRDefault="000132C6" w:rsidP="00450CAF">
    <w:pPr>
      <w:ind w:right="-1"/>
      <w:rPr>
        <w:sz w:val="16"/>
      </w:rPr>
    </w:pPr>
    <w:r>
      <w:rPr>
        <w:noProof/>
        <w:lang w:val="en-GB" w:eastAsia="en-GB"/>
      </w:rPr>
      <mc:AlternateContent>
        <mc:Choice Requires="wps">
          <w:drawing>
            <wp:anchor distT="0" distB="0" distL="114300" distR="114300" simplePos="0" relativeHeight="251658242" behindDoc="0" locked="0" layoutInCell="1" allowOverlap="1" wp14:anchorId="611A974D" wp14:editId="47ED10AB">
              <wp:simplePos x="0" y="0"/>
              <wp:positionH relativeFrom="column">
                <wp:posOffset>-108585</wp:posOffset>
              </wp:positionH>
              <wp:positionV relativeFrom="paragraph">
                <wp:posOffset>4445</wp:posOffset>
              </wp:positionV>
              <wp:extent cx="6023610" cy="66929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23610" cy="669290"/>
                      </a:xfrm>
                      <a:prstGeom prst="rect">
                        <a:avLst/>
                      </a:prstGeom>
                      <a:noFill/>
                      <a:ln>
                        <a:noFill/>
                      </a:ln>
                      <a:effectLst/>
                      <a:extLst>
                        <a:ext uri="{C572A759-6A51-4108-AA02-DFA0A04FC94B}"/>
                      </a:extLst>
                    </wps:spPr>
                    <wps:txbx>
                      <w:txbxContent>
                        <w:p w14:paraId="70ACBE25" w14:textId="77777777" w:rsidR="000132C6" w:rsidRPr="000A7F9C" w:rsidRDefault="000132C6" w:rsidP="00450CAF">
                          <w:pPr>
                            <w:spacing w:after="0"/>
                            <w:ind w:right="-27"/>
                            <w:rPr>
                              <w:sz w:val="16"/>
                              <w:szCs w:val="16"/>
                            </w:rPr>
                          </w:pPr>
                          <w:r>
                            <w:rPr>
                              <w:b/>
                              <w:sz w:val="16"/>
                              <w:szCs w:val="16"/>
                            </w:rPr>
                            <w:t>Secretariado Internacional EITI</w:t>
                          </w:r>
                          <w:r>
                            <w:rPr>
                              <w:sz w:val="16"/>
                              <w:szCs w:val="16"/>
                            </w:rPr>
                            <w:br/>
                            <w:t>Teléfono: +47 222 00 800</w:t>
                          </w:r>
                          <w:r>
                            <w:rPr>
                              <w:rFonts w:ascii="Wingdings" w:hAnsi="Wingdings"/>
                              <w:color w:val="000000"/>
                              <w:sz w:val="16"/>
                              <w:szCs w:val="16"/>
                            </w:rPr>
                            <w:t></w:t>
                          </w:r>
                          <w:r>
                            <w:rPr>
                              <w:sz w:val="16"/>
                              <w:szCs w:val="16"/>
                            </w:rPr>
                            <w:t xml:space="preserve">Correo electrónico: </w:t>
                          </w:r>
                          <w:proofErr w:type="spellStart"/>
                          <w:r>
                            <w:rPr>
                              <w:sz w:val="16"/>
                              <w:szCs w:val="16"/>
                            </w:rPr>
                            <w:t>secretariat@eiti.org</w:t>
                          </w:r>
                          <w:r>
                            <w:rPr>
                              <w:rFonts w:ascii="Wingdings" w:hAnsi="Wingdings"/>
                              <w:color w:val="000000"/>
                              <w:sz w:val="16"/>
                              <w:szCs w:val="16"/>
                            </w:rPr>
                            <w:t></w:t>
                          </w:r>
                          <w:r>
                            <w:rPr>
                              <w:sz w:val="16"/>
                              <w:szCs w:val="16"/>
                            </w:rPr>
                            <w:t>Twitter</w:t>
                          </w:r>
                          <w:proofErr w:type="spellEnd"/>
                          <w:r>
                            <w:rPr>
                              <w:sz w:val="16"/>
                              <w:szCs w:val="16"/>
                            </w:rPr>
                            <w:t>: @EITIorg</w:t>
                          </w:r>
                          <w:r>
                            <w:rPr>
                              <w:rFonts w:ascii="Wingdings" w:hAnsi="Wingdings"/>
                              <w:color w:val="000000"/>
                              <w:sz w:val="16"/>
                              <w:szCs w:val="16"/>
                            </w:rPr>
                            <w:t></w:t>
                          </w:r>
                          <w:r>
                            <w:rPr>
                              <w:sz w:val="16"/>
                              <w:szCs w:val="16"/>
                            </w:rPr>
                            <w:t xml:space="preserve">www.eiti.org </w:t>
                          </w:r>
                        </w:p>
                        <w:p w14:paraId="2E0776F8" w14:textId="77777777" w:rsidR="000132C6" w:rsidRPr="000A7F9C" w:rsidRDefault="000132C6" w:rsidP="00450CAF">
                          <w:pPr>
                            <w:pStyle w:val="Footer"/>
                          </w:pPr>
                          <w:r>
                            <w:t xml:space="preserve">Dirección: </w:t>
                          </w:r>
                          <w:proofErr w:type="spellStart"/>
                          <w:r>
                            <w:t>Rådhusgata</w:t>
                          </w:r>
                          <w:proofErr w:type="spellEnd"/>
                          <w:r>
                            <w:t xml:space="preserve"> 26, 0151 Oslo, </w:t>
                          </w:r>
                          <w:proofErr w:type="spellStart"/>
                          <w:r>
                            <w:t>Noruega</w:t>
                          </w:r>
                          <w:r>
                            <w:rPr>
                              <w:rFonts w:ascii="Wingdings" w:hAnsi="Wingdings"/>
                              <w:color w:val="000000"/>
                            </w:rPr>
                            <w:t></w:t>
                          </w:r>
                          <w:r>
                            <w:t>Casilla</w:t>
                          </w:r>
                          <w:proofErr w:type="spellEnd"/>
                          <w:r>
                            <w:t xml:space="preserve"> postal: </w:t>
                          </w:r>
                          <w:proofErr w:type="spellStart"/>
                          <w:r>
                            <w:t>Postboks</w:t>
                          </w:r>
                          <w:proofErr w:type="spellEnd"/>
                          <w:r>
                            <w:t xml:space="preserve"> 340 </w:t>
                          </w:r>
                          <w:proofErr w:type="spellStart"/>
                          <w:r>
                            <w:t>Sentrum</w:t>
                          </w:r>
                          <w:proofErr w:type="spellEnd"/>
                          <w:r>
                            <w:t>, 0101 Oslo, Noruega</w:t>
                          </w:r>
                        </w:p>
                        <w:p w14:paraId="6F6BE6BA" w14:textId="77777777" w:rsidR="000132C6" w:rsidRDefault="000132C6" w:rsidP="00450CAF">
                          <w:pPr>
                            <w:ind w:right="-27"/>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611A974D" id="_x0000_t202" coordsize="21600,21600" o:spt="202" path="m,l,21600r21600,l21600,xe">
              <v:stroke joinstyle="miter"/>
              <v:path gradientshapeok="t" o:connecttype="rect"/>
            </v:shapetype>
            <v:shape id="Text Box 2" o:spid="_x0000_s1027" type="#_x0000_t202" style="position:absolute;margin-left:-8.55pt;margin-top:.35pt;width:474.3pt;height:52.7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" filled="f" stroked="f">
              <v:textbox>
                <w:txbxContent>
                  <w:p w14:paraId="70ACBE25" w14:textId="77777777" w:rsidR="000132C6" w:rsidRPr="000A7F9C" w:rsidRDefault="000132C6" w:rsidP="00450CAF">
                    <w:pPr>
                      <w:spacing w:after="0"/>
                      <w:ind w:right="-27"/>
                      <w:rPr>
                        <w:sz w:val="16"/>
                        <w:szCs w:val="16"/>
                      </w:rPr>
                    </w:pPr>
                    <w:r>
                      <w:rPr>
                        <w:b/>
                        <w:sz w:val="16"/>
                        <w:szCs w:val="16"/>
                      </w:rPr>
                      <w:t>Secretariado Internacional EITI</w:t>
                    </w:r>
                    <w:r>
                      <w:rPr>
                        <w:sz w:val="16"/>
                        <w:szCs w:val="16"/>
                      </w:rPr>
                      <w:br/>
                      <w:t>Teléfono: +47 222 00 800</w:t>
                    </w:r>
                    <w:r>
                      <w:rPr>
                        <w:rFonts w:ascii="Wingdings" w:hAnsi="Wingdings"/>
                        <w:color w:val="000000"/>
                        <w:sz w:val="16"/>
                        <w:szCs w:val="16"/>
                      </w:rPr>
                      <w:t></w:t>
                    </w:r>
                    <w:r>
                      <w:rPr>
                        <w:sz w:val="16"/>
                        <w:szCs w:val="16"/>
                      </w:rPr>
                      <w:t>Correo electrónico: secretariat@eiti.org</w:t>
                    </w:r>
                    <w:r>
                      <w:rPr>
                        <w:rFonts w:ascii="Wingdings" w:hAnsi="Wingdings"/>
                        <w:color w:val="000000"/>
                        <w:sz w:val="16"/>
                        <w:szCs w:val="16"/>
                      </w:rPr>
                      <w:t></w:t>
                    </w:r>
                    <w:r>
                      <w:rPr>
                        <w:sz w:val="16"/>
                        <w:szCs w:val="16"/>
                      </w:rPr>
                      <w:t>Twitter: @EITIorg</w:t>
                    </w:r>
                    <w:r>
                      <w:rPr>
                        <w:rFonts w:ascii="Wingdings" w:hAnsi="Wingdings"/>
                        <w:color w:val="000000"/>
                        <w:sz w:val="16"/>
                        <w:szCs w:val="16"/>
                      </w:rPr>
                      <w:t></w:t>
                    </w:r>
                    <w:r>
                      <w:rPr>
                        <w:sz w:val="16"/>
                        <w:szCs w:val="16"/>
                      </w:rPr>
                      <w:t xml:space="preserve">www.eiti.org </w:t>
                    </w:r>
                  </w:p>
                  <w:p w14:paraId="2E0776F8" w14:textId="77777777" w:rsidR="000132C6" w:rsidRPr="000A7F9C" w:rsidRDefault="000132C6" w:rsidP="00450CAF">
                    <w:pPr>
                      <w:pStyle w:val="Footer"/>
                    </w:pPr>
                    <w:r>
                      <w:t>Dirección: Rådhusgata 26, 0151 Oslo, Noruega</w:t>
                    </w:r>
                    <w:r>
                      <w:rPr>
                        <w:rFonts w:ascii="Wingdings" w:hAnsi="Wingdings"/>
                        <w:color w:val="000000"/>
                      </w:rPr>
                      <w:t></w:t>
                    </w:r>
                    <w:r>
                      <w:t>Casilla postal: Postboks 340 Sentrum, 0101 Oslo, Noruega</w:t>
                    </w:r>
                  </w:p>
                  <w:p w14:paraId="6F6BE6BA" w14:textId="77777777" w:rsidR="000132C6" w:rsidRDefault="000132C6" w:rsidP="00450CAF">
                    <w:pPr>
                      <w:ind w:right="-27"/>
                    </w:pPr>
                  </w:p>
                </w:txbxContent>
              </v:textbox>
            </v:shape>
          </w:pict>
        </mc:Fallback>
      </mc:AlternateContent>
    </w:r>
    <w:r>
      <w:rPr>
        <w:noProof/>
        <w:lang w:val="en-GB" w:eastAsia="en-GB"/>
      </w:rPr>
      <mc:AlternateContent>
        <mc:Choice Requires="wps">
          <w:drawing>
            <wp:anchor distT="0" distB="0" distL="114300" distR="114300" simplePos="0" relativeHeight="251658243" behindDoc="0" locked="0" layoutInCell="1" allowOverlap="1" wp14:anchorId="542B4328" wp14:editId="18BDC1CF">
              <wp:simplePos x="0" y="0"/>
              <wp:positionH relativeFrom="column">
                <wp:posOffset>-108585</wp:posOffset>
              </wp:positionH>
              <wp:positionV relativeFrom="paragraph">
                <wp:posOffset>-94615</wp:posOffset>
              </wp:positionV>
              <wp:extent cx="5958840" cy="43116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8840" cy="431165"/>
                      </a:xfrm>
                      <a:prstGeom prst="rect">
                        <a:avLst/>
                      </a:prstGeom>
                      <a:noFill/>
                      <a:ln>
                        <a:noFill/>
                      </a:ln>
                      <a:effectLst/>
                      <a:extLst>
                        <a:ext uri="{C572A759-6A51-4108-AA02-DFA0A04FC94B}"/>
                      </a:extLst>
                    </wps:spPr>
                    <wps:txbx>
                      <w:txbxContent>
                        <w:p w14:paraId="4541DDAE" w14:textId="77777777" w:rsidR="000132C6" w:rsidRPr="00544AAC" w:rsidRDefault="000132C6" w:rsidP="00450CAF">
                          <w:pPr>
                            <w:pBdr>
                              <w:top w:val="single" w:sz="4" w:space="1" w:color="2DAED5"/>
                            </w:pBdr>
                            <w:spacing w:after="0"/>
                            <w:jc w:val="right"/>
                            <w:rPr>
                              <w:rFonts w:ascii="Franklin Gothic Medium" w:hAnsi="Franklin Gothic Medium"/>
                              <w:b/>
                              <w:sz w:val="20"/>
                            </w:rPr>
                          </w:pPr>
                          <w:r>
                            <w:rPr>
                              <w:rStyle w:val="Heading3Char"/>
                              <w:rFonts w:ascii="Times New Roman" w:eastAsiaTheme="minorEastAsia" w:hAnsi="Times New Roman"/>
                              <w:color w:val="000000"/>
                            </w:rPr>
                            <w:tab/>
                          </w:r>
                          <w:r w:rsidRPr="00544AAC">
                            <w:rPr>
                              <w:rStyle w:val="Heading3Char"/>
                              <w:rFonts w:ascii="Franklin Gothic Medium" w:eastAsiaTheme="minorEastAsia" w:hAnsi="Franklin Gothic Medium"/>
                              <w:color w:val="000000"/>
                              <w:sz w:val="20"/>
                              <w:szCs w:val="20"/>
                            </w:rPr>
                            <w:fldChar w:fldCharType="begin"/>
                          </w:r>
                          <w:r w:rsidRPr="00544AAC">
                            <w:rPr>
                              <w:rStyle w:val="Heading3Char"/>
                              <w:rFonts w:ascii="Franklin Gothic Medium" w:eastAsiaTheme="minorEastAsia" w:hAnsi="Franklin Gothic Medium"/>
                              <w:color w:val="000000"/>
                              <w:sz w:val="20"/>
                              <w:szCs w:val="20"/>
                            </w:rPr>
                            <w:instrText xml:space="preserve"> PAGE </w:instrText>
                          </w:r>
                          <w:r w:rsidRPr="00544AAC">
                            <w:rPr>
                              <w:rStyle w:val="Heading3Char"/>
                              <w:rFonts w:ascii="Franklin Gothic Medium" w:eastAsiaTheme="minorEastAsia" w:hAnsi="Franklin Gothic Medium"/>
                              <w:color w:val="000000"/>
                              <w:sz w:val="20"/>
                              <w:szCs w:val="20"/>
                            </w:rPr>
                            <w:fldChar w:fldCharType="separate"/>
                          </w:r>
                          <w:r>
                            <w:rPr>
                              <w:rStyle w:val="Heading3Char"/>
                              <w:rFonts w:ascii="Franklin Gothic Medium" w:eastAsiaTheme="minorEastAsia" w:hAnsi="Franklin Gothic Medium"/>
                              <w:noProof/>
                              <w:color w:val="000000"/>
                              <w:sz w:val="20"/>
                              <w:szCs w:val="20"/>
                            </w:rPr>
                            <w:t>6</w:t>
                          </w:r>
                          <w:r w:rsidRPr="00544AAC">
                            <w:rPr>
                              <w:rStyle w:val="Heading3Char"/>
                              <w:rFonts w:ascii="Franklin Gothic Medium" w:eastAsiaTheme="minorEastAsia" w:hAnsi="Franklin Gothic Medium"/>
                              <w:color w:val="000000"/>
                              <w:sz w:val="20"/>
                              <w:szCs w:val="20"/>
                            </w:rPr>
                            <w:fldChar w:fldCharType="end"/>
                          </w:r>
                        </w:p>
                        <w:p w14:paraId="0AE229FD" w14:textId="77777777" w:rsidR="000132C6" w:rsidRDefault="000132C6" w:rsidP="00450C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542B4328" id="Text Box 3" o:spid="_x0000_s1028" type="#_x0000_t202" style="position:absolute;margin-left:-8.55pt;margin-top:-7.45pt;width:469.2pt;height:33.9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" filled="f" stroked="f">
              <v:textbox>
                <w:txbxContent>
                  <w:p w14:paraId="4541DDAE" w14:textId="77777777" w:rsidR="000132C6" w:rsidRPr="00544AAC" w:rsidRDefault="000132C6" w:rsidP="00450CAF">
                    <w:pPr>
                      <w:pBdr>
                        <w:top w:val="single" w:sz="4" w:space="1" w:color="2DAED5"/>
                      </w:pBdr>
                      <w:spacing w:after="0"/>
                      <w:jc w:val="right"/>
                      <w:rPr>
                        <w:rFonts w:ascii="Franklin Gothic Medium" w:hAnsi="Franklin Gothic Medium"/>
                        <w:b/>
                        <w:sz w:val="20"/>
                      </w:rPr>
                    </w:pPr>
                    <w:r>
                      <w:rPr>
                        <w:rStyle w:val="Heading3Char"/>
                        <w:rFonts w:ascii="Times New Roman" w:eastAsiaTheme="minorEastAsia" w:hAnsi="Times New Roman"/>
                        <w:color w:val="000000"/>
                      </w:rPr>
                      <w:tab/>
                    </w:r>
                    <w:r w:rsidRPr="00544AAC">
                      <w:rPr>
                        <w:rStyle w:val="Heading3Char"/>
                        <w:rFonts w:ascii="Franklin Gothic Medium" w:eastAsiaTheme="minorEastAsia" w:hAnsi="Franklin Gothic Medium"/>
                        <w:color w:val="000000"/>
                        <w:sz w:val="20"/>
                        <w:szCs w:val="20"/>
                      </w:rPr>
                      <w:fldChar w:fldCharType="begin"/>
                    </w:r>
                    <w:r w:rsidRPr="00544AAC">
                      <w:rPr>
                        <w:rStyle w:val="Heading3Char"/>
                        <w:rFonts w:ascii="Franklin Gothic Medium" w:eastAsiaTheme="minorEastAsia" w:hAnsi="Franklin Gothic Medium"/>
                        <w:color w:val="000000"/>
                        <w:sz w:val="20"/>
                        <w:szCs w:val="20"/>
                      </w:rPr>
                      <w:instrText xml:space="preserve"> PAGE </w:instrText>
                    </w:r>
                    <w:r w:rsidRPr="00544AAC">
                      <w:rPr>
                        <w:rStyle w:val="Heading3Char"/>
                        <w:rFonts w:ascii="Franklin Gothic Medium" w:eastAsiaTheme="minorEastAsia" w:hAnsi="Franklin Gothic Medium"/>
                        <w:color w:val="000000"/>
                        <w:sz w:val="20"/>
                        <w:szCs w:val="20"/>
                      </w:rPr>
                      <w:fldChar w:fldCharType="separate"/>
                    </w:r>
                    <w:r>
                      <w:rPr>
                        <w:rStyle w:val="Heading3Char"/>
                        <w:rFonts w:ascii="Franklin Gothic Medium" w:eastAsiaTheme="minorEastAsia" w:hAnsi="Franklin Gothic Medium"/>
                        <w:noProof/>
                        <w:color w:val="000000"/>
                        <w:sz w:val="20"/>
                        <w:szCs w:val="20"/>
                      </w:rPr>
                      <w:t>6</w:t>
                    </w:r>
                    <w:r w:rsidRPr="00544AAC">
                      <w:rPr>
                        <w:rStyle w:val="Heading3Char"/>
                        <w:rFonts w:ascii="Franklin Gothic Medium" w:eastAsiaTheme="minorEastAsia" w:hAnsi="Franklin Gothic Medium"/>
                        <w:color w:val="000000"/>
                        <w:sz w:val="20"/>
                        <w:szCs w:val="20"/>
                      </w:rPr>
                      <w:fldChar w:fldCharType="end"/>
                    </w:r>
                  </w:p>
                  <w:p w14:paraId="0AE229FD" w14:textId="77777777" w:rsidR="000132C6" w:rsidRDefault="000132C6" w:rsidP="00450CAF"/>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0F20B2" w14:textId="0C243794" w:rsidR="000132C6" w:rsidRDefault="000132C6" w:rsidP="00450CAF">
    <w:pPr>
      <w:ind w:right="-1"/>
      <w:rPr>
        <w:rFonts w:ascii="Myriad Pro" w:hAnsi="Myriad Pro"/>
        <w:noProof/>
        <w:sz w:val="19"/>
        <w:szCs w:val="18"/>
      </w:rPr>
    </w:pPr>
    <w:r>
      <w:rPr>
        <w:noProof/>
        <w:lang w:val="en-GB" w:eastAsia="en-GB"/>
      </w:rPr>
      <mc:AlternateContent>
        <mc:Choice Requires="wps">
          <w:drawing>
            <wp:anchor distT="0" distB="0" distL="114300" distR="114300" simplePos="0" relativeHeight="251658240" behindDoc="0" locked="0" layoutInCell="1" allowOverlap="1" wp14:anchorId="08D2216D" wp14:editId="7B411DE1">
              <wp:simplePos x="0" y="0"/>
              <wp:positionH relativeFrom="column">
                <wp:posOffset>-108585</wp:posOffset>
              </wp:positionH>
              <wp:positionV relativeFrom="paragraph">
                <wp:posOffset>302260</wp:posOffset>
              </wp:positionV>
              <wp:extent cx="6023610" cy="669290"/>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23610" cy="669290"/>
                      </a:xfrm>
                      <a:prstGeom prst="rect">
                        <a:avLst/>
                      </a:prstGeom>
                      <a:noFill/>
                      <a:ln>
                        <a:noFill/>
                      </a:ln>
                      <a:effectLst/>
                      <a:extLst>
                        <a:ext uri="{C572A759-6A51-4108-AA02-DFA0A04FC94B}"/>
                      </a:extLst>
                    </wps:spPr>
                    <wps:txbx>
                      <w:txbxContent>
                        <w:p w14:paraId="1DC2FDB0" w14:textId="77777777" w:rsidR="000132C6" w:rsidRPr="00382E14" w:rsidRDefault="000132C6" w:rsidP="007256B1">
                          <w:pPr>
                            <w:spacing w:after="0" w:line="276" w:lineRule="auto"/>
                            <w:rPr>
                              <w:sz w:val="16"/>
                              <w:szCs w:val="16"/>
                            </w:rPr>
                          </w:pPr>
                          <w:r>
                            <w:rPr>
                              <w:b/>
                              <w:sz w:val="16"/>
                              <w:szCs w:val="16"/>
                            </w:rPr>
                            <w:t>Secretariado Internacional EITI</w:t>
                          </w:r>
                          <w:r>
                            <w:rPr>
                              <w:sz w:val="16"/>
                              <w:szCs w:val="16"/>
                            </w:rPr>
                            <w:br/>
                            <w:t>Teléfono: +47 222 00 800</w:t>
                          </w:r>
                          <w:r>
                            <w:rPr>
                              <w:rFonts w:ascii="Wingdings" w:hAnsi="Wingdings"/>
                              <w:color w:val="000000"/>
                              <w:sz w:val="16"/>
                              <w:szCs w:val="16"/>
                            </w:rPr>
                            <w:t></w:t>
                          </w:r>
                          <w:r>
                            <w:rPr>
                              <w:sz w:val="16"/>
                              <w:szCs w:val="16"/>
                            </w:rPr>
                            <w:t xml:space="preserve">Correo electrónico: </w:t>
                          </w:r>
                          <w:proofErr w:type="spellStart"/>
                          <w:r>
                            <w:rPr>
                              <w:sz w:val="16"/>
                              <w:szCs w:val="16"/>
                            </w:rPr>
                            <w:t>secretariat@eiti.org</w:t>
                          </w:r>
                          <w:r>
                            <w:rPr>
                              <w:rFonts w:ascii="Wingdings" w:hAnsi="Wingdings"/>
                              <w:color w:val="000000"/>
                              <w:sz w:val="16"/>
                              <w:szCs w:val="16"/>
                            </w:rPr>
                            <w:t></w:t>
                          </w:r>
                          <w:r>
                            <w:rPr>
                              <w:sz w:val="16"/>
                              <w:szCs w:val="16"/>
                            </w:rPr>
                            <w:t>Twitter</w:t>
                          </w:r>
                          <w:proofErr w:type="spellEnd"/>
                          <w:r>
                            <w:rPr>
                              <w:sz w:val="16"/>
                              <w:szCs w:val="16"/>
                            </w:rPr>
                            <w:t>: @EITIorg</w:t>
                          </w:r>
                          <w:r>
                            <w:rPr>
                              <w:rFonts w:ascii="Wingdings" w:hAnsi="Wingdings"/>
                              <w:color w:val="000000"/>
                              <w:sz w:val="16"/>
                              <w:szCs w:val="16"/>
                            </w:rPr>
                            <w:t></w:t>
                          </w:r>
                          <w:r>
                            <w:rPr>
                              <w:sz w:val="16"/>
                              <w:szCs w:val="16"/>
                            </w:rPr>
                            <w:t xml:space="preserve">www.eiti.org    </w:t>
                          </w:r>
                        </w:p>
                        <w:p w14:paraId="5C8B0135" w14:textId="77777777" w:rsidR="000132C6" w:rsidRPr="00382E14" w:rsidRDefault="000132C6" w:rsidP="007256B1">
                          <w:pPr>
                            <w:spacing w:after="0" w:line="276" w:lineRule="auto"/>
                            <w:ind w:right="-12"/>
                            <w:rPr>
                              <w:sz w:val="16"/>
                              <w:szCs w:val="16"/>
                            </w:rPr>
                          </w:pPr>
                          <w:r>
                            <w:rPr>
                              <w:sz w:val="16"/>
                              <w:szCs w:val="16"/>
                            </w:rPr>
                            <w:t xml:space="preserve">Dirección: </w:t>
                          </w:r>
                          <w:proofErr w:type="spellStart"/>
                          <w:r>
                            <w:rPr>
                              <w:sz w:val="16"/>
                              <w:szCs w:val="16"/>
                            </w:rPr>
                            <w:t>Rådhusgata</w:t>
                          </w:r>
                          <w:proofErr w:type="spellEnd"/>
                          <w:r>
                            <w:rPr>
                              <w:sz w:val="16"/>
                              <w:szCs w:val="16"/>
                            </w:rPr>
                            <w:t xml:space="preserve"> 26, 0151 Oslo, </w:t>
                          </w:r>
                          <w:proofErr w:type="spellStart"/>
                          <w:r>
                            <w:rPr>
                              <w:sz w:val="16"/>
                              <w:szCs w:val="16"/>
                            </w:rPr>
                            <w:t>Noruega</w:t>
                          </w:r>
                          <w:r>
                            <w:rPr>
                              <w:rFonts w:ascii="Wingdings" w:hAnsi="Wingdings"/>
                              <w:color w:val="000000"/>
                              <w:sz w:val="16"/>
                              <w:szCs w:val="16"/>
                            </w:rPr>
                            <w:t></w:t>
                          </w:r>
                          <w:r>
                            <w:rPr>
                              <w:sz w:val="16"/>
                              <w:szCs w:val="16"/>
                            </w:rPr>
                            <w:t>Casilla</w:t>
                          </w:r>
                          <w:proofErr w:type="spellEnd"/>
                          <w:r>
                            <w:rPr>
                              <w:sz w:val="16"/>
                              <w:szCs w:val="16"/>
                            </w:rPr>
                            <w:t xml:space="preserve"> Postal: </w:t>
                          </w:r>
                          <w:proofErr w:type="spellStart"/>
                          <w:r>
                            <w:rPr>
                              <w:sz w:val="16"/>
                              <w:szCs w:val="16"/>
                            </w:rPr>
                            <w:t>Postboks</w:t>
                          </w:r>
                          <w:proofErr w:type="spellEnd"/>
                          <w:r>
                            <w:rPr>
                              <w:sz w:val="16"/>
                              <w:szCs w:val="16"/>
                            </w:rPr>
                            <w:t xml:space="preserve"> 340 </w:t>
                          </w:r>
                          <w:proofErr w:type="spellStart"/>
                          <w:r>
                            <w:rPr>
                              <w:sz w:val="16"/>
                              <w:szCs w:val="16"/>
                            </w:rPr>
                            <w:t>Sentrum</w:t>
                          </w:r>
                          <w:proofErr w:type="spellEnd"/>
                          <w:r>
                            <w:rPr>
                              <w:sz w:val="16"/>
                              <w:szCs w:val="16"/>
                            </w:rPr>
                            <w:t>, 0101 Oslo, Noruega</w:t>
                          </w:r>
                        </w:p>
                        <w:p w14:paraId="5BBA37E7" w14:textId="77777777" w:rsidR="000132C6" w:rsidRPr="00382E14" w:rsidRDefault="000132C6" w:rsidP="007256B1">
                          <w:pPr>
                            <w:rPr>
                              <w:sz w:val="16"/>
                              <w:szCs w:val="16"/>
                            </w:rPr>
                          </w:pPr>
                        </w:p>
                        <w:p w14:paraId="11FF771B" w14:textId="77777777" w:rsidR="000132C6" w:rsidRPr="00FF675B" w:rsidRDefault="000132C6" w:rsidP="00450CAF">
                          <w:pPr>
                            <w:ind w:right="-27"/>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08D2216D" id="_x0000_t202" coordsize="21600,21600" o:spt="202" path="m,l,21600r21600,l21600,xe">
              <v:stroke joinstyle="miter"/>
              <v:path gradientshapeok="t" o:connecttype="rect"/>
            </v:shapetype>
            <v:shape id="_x0000_s1029" type="#_x0000_t202" style="position:absolute;margin-left:-8.55pt;margin-top:23.8pt;width:474.3pt;height:5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" filled="f" stroked="f">
              <v:textbox>
                <w:txbxContent>
                  <w:p w14:paraId="1DC2FDB0" w14:textId="77777777" w:rsidR="000132C6" w:rsidRPr="00382E14" w:rsidRDefault="000132C6" w:rsidP="007256B1">
                    <w:pPr>
                      <w:spacing w:after="0" w:line="276" w:lineRule="auto"/>
                      <w:rPr>
                        <w:sz w:val="16"/>
                        <w:szCs w:val="16"/>
                      </w:rPr>
                    </w:pPr>
                    <w:r>
                      <w:rPr>
                        <w:b/>
                        <w:sz w:val="16"/>
                        <w:szCs w:val="16"/>
                      </w:rPr>
                      <w:t>Secretariado Internacional EITI</w:t>
                    </w:r>
                    <w:r>
                      <w:rPr>
                        <w:sz w:val="16"/>
                        <w:szCs w:val="16"/>
                      </w:rPr>
                      <w:br/>
                      <w:t>Teléfono: +47 222 00 800</w:t>
                    </w:r>
                    <w:r>
                      <w:rPr>
                        <w:rFonts w:ascii="Wingdings" w:hAnsi="Wingdings"/>
                        <w:color w:val="000000"/>
                        <w:sz w:val="16"/>
                        <w:szCs w:val="16"/>
                      </w:rPr>
                      <w:t></w:t>
                    </w:r>
                    <w:r>
                      <w:rPr>
                        <w:sz w:val="16"/>
                        <w:szCs w:val="16"/>
                      </w:rPr>
                      <w:t>Correo electrónico: secretariat@eiti.org</w:t>
                    </w:r>
                    <w:r>
                      <w:rPr>
                        <w:rFonts w:ascii="Wingdings" w:hAnsi="Wingdings"/>
                        <w:color w:val="000000"/>
                        <w:sz w:val="16"/>
                        <w:szCs w:val="16"/>
                      </w:rPr>
                      <w:t></w:t>
                    </w:r>
                    <w:r>
                      <w:rPr>
                        <w:sz w:val="16"/>
                        <w:szCs w:val="16"/>
                      </w:rPr>
                      <w:t>Twitter: @EITIorg</w:t>
                    </w:r>
                    <w:r>
                      <w:rPr>
                        <w:rFonts w:ascii="Wingdings" w:hAnsi="Wingdings"/>
                        <w:color w:val="000000"/>
                        <w:sz w:val="16"/>
                        <w:szCs w:val="16"/>
                      </w:rPr>
                      <w:t></w:t>
                    </w:r>
                    <w:r>
                      <w:rPr>
                        <w:sz w:val="16"/>
                        <w:szCs w:val="16"/>
                      </w:rPr>
                      <w:t xml:space="preserve">www.eiti.org    </w:t>
                    </w:r>
                  </w:p>
                  <w:p w14:paraId="5C8B0135" w14:textId="77777777" w:rsidR="000132C6" w:rsidRPr="00382E14" w:rsidRDefault="000132C6" w:rsidP="007256B1">
                    <w:pPr>
                      <w:spacing w:after="0" w:line="276" w:lineRule="auto"/>
                      <w:ind w:right="-12"/>
                      <w:rPr>
                        <w:sz w:val="16"/>
                        <w:szCs w:val="16"/>
                      </w:rPr>
                    </w:pPr>
                    <w:r>
                      <w:rPr>
                        <w:sz w:val="16"/>
                        <w:szCs w:val="16"/>
                      </w:rPr>
                      <w:t>Dirección: Rådhusgata 26, 0151 Oslo, Noruega</w:t>
                    </w:r>
                    <w:r>
                      <w:rPr>
                        <w:rFonts w:ascii="Wingdings" w:hAnsi="Wingdings"/>
                        <w:color w:val="000000"/>
                        <w:sz w:val="16"/>
                        <w:szCs w:val="16"/>
                      </w:rPr>
                      <w:t></w:t>
                    </w:r>
                    <w:r>
                      <w:rPr>
                        <w:sz w:val="16"/>
                        <w:szCs w:val="16"/>
                      </w:rPr>
                      <w:t>Casilla Postal: Postboks 340 Sentrum, 0101 Oslo, Noruega</w:t>
                    </w:r>
                  </w:p>
                  <w:p w14:paraId="5BBA37E7" w14:textId="77777777" w:rsidR="000132C6" w:rsidRPr="00382E14" w:rsidRDefault="000132C6" w:rsidP="007256B1">
                    <w:pPr>
                      <w:rPr>
                        <w:sz w:val="16"/>
                        <w:szCs w:val="16"/>
                      </w:rPr>
                    </w:pPr>
                  </w:p>
                  <w:p w14:paraId="11FF771B" w14:textId="77777777" w:rsidR="000132C6" w:rsidRPr="00FF675B" w:rsidRDefault="000132C6" w:rsidP="00450CAF">
                    <w:pPr>
                      <w:ind w:right="-27"/>
                      <w:rPr>
                        <w:sz w:val="16"/>
                        <w:szCs w:val="16"/>
                      </w:rPr>
                    </w:pPr>
                  </w:p>
                </w:txbxContent>
              </v:textbox>
            </v:shape>
          </w:pict>
        </mc:Fallback>
      </mc:AlternateContent>
    </w:r>
    <w:r>
      <w:rPr>
        <w:noProof/>
        <w:lang w:val="en-GB" w:eastAsia="en-GB"/>
      </w:rPr>
      <mc:AlternateContent>
        <mc:Choice Requires="wps">
          <w:drawing>
            <wp:anchor distT="0" distB="0" distL="114300" distR="114300" simplePos="0" relativeHeight="251658241" behindDoc="0" locked="0" layoutInCell="1" allowOverlap="1" wp14:anchorId="005911EB" wp14:editId="626F368F">
              <wp:simplePos x="0" y="0"/>
              <wp:positionH relativeFrom="column">
                <wp:posOffset>-108585</wp:posOffset>
              </wp:positionH>
              <wp:positionV relativeFrom="paragraph">
                <wp:posOffset>240665</wp:posOffset>
              </wp:positionV>
              <wp:extent cx="5958840" cy="431165"/>
              <wp:effectExtent l="0" t="0" r="0" b="0"/>
              <wp:wrapNone/>
              <wp:docPr id="3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8840" cy="431165"/>
                      </a:xfrm>
                      <a:prstGeom prst="rect">
                        <a:avLst/>
                      </a:prstGeom>
                      <a:noFill/>
                      <a:ln>
                        <a:noFill/>
                      </a:ln>
                      <a:effectLst/>
                      <a:extLst>
                        <a:ext uri="{C572A759-6A51-4108-AA02-DFA0A04FC94B}"/>
                      </a:extLst>
                    </wps:spPr>
                    <wps:txbx>
                      <w:txbxContent>
                        <w:p w14:paraId="73D0DEDA" w14:textId="77777777" w:rsidR="000132C6" w:rsidRPr="00544AAC" w:rsidRDefault="000132C6" w:rsidP="00450CAF">
                          <w:pPr>
                            <w:pBdr>
                              <w:top w:val="single" w:sz="4" w:space="1" w:color="2DAED5"/>
                            </w:pBdr>
                            <w:spacing w:after="0"/>
                            <w:jc w:val="right"/>
                            <w:rPr>
                              <w:rFonts w:ascii="Franklin Gothic Medium" w:hAnsi="Franklin Gothic Medium"/>
                              <w:b/>
                              <w:sz w:val="20"/>
                            </w:rPr>
                          </w:pPr>
                          <w:r>
                            <w:rPr>
                              <w:rStyle w:val="Heading3Char"/>
                              <w:rFonts w:ascii="Times New Roman" w:eastAsiaTheme="minorEastAsia" w:hAnsi="Times New Roman"/>
                              <w:color w:val="000000"/>
                            </w:rPr>
                            <w:tab/>
                          </w:r>
                          <w:r w:rsidRPr="00544AAC">
                            <w:rPr>
                              <w:rStyle w:val="Heading3Char"/>
                              <w:rFonts w:ascii="Franklin Gothic Medium" w:eastAsiaTheme="minorEastAsia" w:hAnsi="Franklin Gothic Medium"/>
                              <w:color w:val="000000"/>
                              <w:sz w:val="20"/>
                              <w:szCs w:val="20"/>
                            </w:rPr>
                            <w:fldChar w:fldCharType="begin"/>
                          </w:r>
                          <w:r w:rsidRPr="00544AAC">
                            <w:rPr>
                              <w:rStyle w:val="Heading3Char"/>
                              <w:rFonts w:ascii="Franklin Gothic Medium" w:eastAsiaTheme="minorEastAsia" w:hAnsi="Franklin Gothic Medium"/>
                              <w:color w:val="000000"/>
                              <w:sz w:val="20"/>
                              <w:szCs w:val="20"/>
                            </w:rPr>
                            <w:instrText xml:space="preserve"> PAGE </w:instrText>
                          </w:r>
                          <w:r w:rsidRPr="00544AAC">
                            <w:rPr>
                              <w:rStyle w:val="Heading3Char"/>
                              <w:rFonts w:ascii="Franklin Gothic Medium" w:eastAsiaTheme="minorEastAsia" w:hAnsi="Franklin Gothic Medium"/>
                              <w:color w:val="000000"/>
                              <w:sz w:val="20"/>
                              <w:szCs w:val="20"/>
                            </w:rPr>
                            <w:fldChar w:fldCharType="separate"/>
                          </w:r>
                          <w:r w:rsidR="00555CB1">
                            <w:rPr>
                              <w:rStyle w:val="Heading3Char"/>
                              <w:rFonts w:ascii="Franklin Gothic Medium" w:eastAsiaTheme="minorEastAsia" w:hAnsi="Franklin Gothic Medium"/>
                              <w:noProof/>
                              <w:color w:val="000000"/>
                              <w:sz w:val="20"/>
                              <w:szCs w:val="20"/>
                            </w:rPr>
                            <w:t>1</w:t>
                          </w:r>
                          <w:r w:rsidRPr="00544AAC">
                            <w:rPr>
                              <w:rStyle w:val="Heading3Char"/>
                              <w:rFonts w:ascii="Franklin Gothic Medium" w:eastAsiaTheme="minorEastAsia" w:hAnsi="Franklin Gothic Medium"/>
                              <w:color w:val="000000"/>
                              <w:sz w:val="20"/>
                              <w:szCs w:val="20"/>
                            </w:rPr>
                            <w:fldChar w:fldCharType="end"/>
                          </w:r>
                        </w:p>
                        <w:p w14:paraId="2F023527" w14:textId="77777777" w:rsidR="000132C6" w:rsidRDefault="000132C6" w:rsidP="00450C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5911EB" id="_x0000_t202" coordsize="21600,21600" o:spt="202" path="m,l,21600r21600,l21600,xe">
              <v:stroke joinstyle="miter"/>
              <v:path gradientshapeok="t" o:connecttype="rect"/>
            </v:shapetype>
            <v:shape id="_x0000_s1030" type="#_x0000_t202" style="position:absolute;margin-left:-8.55pt;margin-top:18.95pt;width:469.2pt;height:33.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" filled="f" stroked="f">
              <v:path arrowok="t"/>
              <v:textbox>
                <w:txbxContent>
                  <w:p w14:paraId="73D0DEDA" w14:textId="77777777" w:rsidR="000132C6" w:rsidRPr="00544AAC" w:rsidRDefault="000132C6" w:rsidP="00450CAF">
                    <w:pPr>
                      <w:pBdr>
                        <w:top w:val="single" w:sz="4" w:space="1" w:color="2DAED5"/>
                      </w:pBdr>
                      <w:spacing w:after="0"/>
                      <w:jc w:val="right"/>
                      <w:rPr>
                        <w:rFonts w:ascii="Franklin Gothic Medium" w:hAnsi="Franklin Gothic Medium"/>
                        <w:b/>
                        <w:sz w:val="20"/>
                      </w:rPr>
                    </w:pPr>
                    <w:r>
                      <w:rPr>
                        <w:rStyle w:val="Heading3Char"/>
                        <w:rFonts w:ascii="Times New Roman" w:eastAsiaTheme="minorEastAsia" w:hAnsi="Times New Roman"/>
                        <w:color w:val="000000"/>
                      </w:rPr>
                      <w:tab/>
                    </w:r>
                    <w:r w:rsidRPr="00544AAC">
                      <w:rPr>
                        <w:rStyle w:val="Heading3Char"/>
                        <w:rFonts w:ascii="Franklin Gothic Medium" w:eastAsiaTheme="minorEastAsia" w:hAnsi="Franklin Gothic Medium"/>
                        <w:color w:val="000000"/>
                        <w:sz w:val="20"/>
                        <w:szCs w:val="20"/>
                      </w:rPr>
                      <w:fldChar w:fldCharType="begin"/>
                    </w:r>
                    <w:r w:rsidRPr="00544AAC">
                      <w:rPr>
                        <w:rStyle w:val="Heading3Char"/>
                        <w:rFonts w:ascii="Franklin Gothic Medium" w:eastAsiaTheme="minorEastAsia" w:hAnsi="Franklin Gothic Medium"/>
                        <w:color w:val="000000"/>
                        <w:sz w:val="20"/>
                        <w:szCs w:val="20"/>
                      </w:rPr>
                      <w:instrText xml:space="preserve"> PAGE </w:instrText>
                    </w:r>
                    <w:r w:rsidRPr="00544AAC">
                      <w:rPr>
                        <w:rStyle w:val="Heading3Char"/>
                        <w:rFonts w:ascii="Franklin Gothic Medium" w:eastAsiaTheme="minorEastAsia" w:hAnsi="Franklin Gothic Medium"/>
                        <w:color w:val="000000"/>
                        <w:sz w:val="20"/>
                        <w:szCs w:val="20"/>
                      </w:rPr>
                      <w:fldChar w:fldCharType="separate"/>
                    </w:r>
                    <w:r w:rsidR="00555CB1">
                      <w:rPr>
                        <w:rStyle w:val="Heading3Char"/>
                        <w:rFonts w:ascii="Franklin Gothic Medium" w:eastAsiaTheme="minorEastAsia" w:hAnsi="Franklin Gothic Medium"/>
                        <w:noProof/>
                        <w:color w:val="000000"/>
                        <w:sz w:val="20"/>
                        <w:szCs w:val="20"/>
                      </w:rPr>
                      <w:t>1</w:t>
                    </w:r>
                    <w:r w:rsidRPr="00544AAC">
                      <w:rPr>
                        <w:rStyle w:val="Heading3Char"/>
                        <w:rFonts w:ascii="Franklin Gothic Medium" w:eastAsiaTheme="minorEastAsia" w:hAnsi="Franklin Gothic Medium"/>
                        <w:color w:val="000000"/>
                        <w:sz w:val="20"/>
                        <w:szCs w:val="20"/>
                      </w:rPr>
                      <w:fldChar w:fldCharType="end"/>
                    </w:r>
                  </w:p>
                  <w:p w14:paraId="2F023527" w14:textId="77777777" w:rsidR="000132C6" w:rsidRDefault="000132C6" w:rsidP="00450CAF"/>
                </w:txbxContent>
              </v:textbox>
            </v:shape>
          </w:pict>
        </mc:Fallback>
      </mc:AlternateContent>
    </w:r>
  </w:p>
  <w:p w14:paraId="21661067" w14:textId="77777777" w:rsidR="000132C6" w:rsidRDefault="000132C6" w:rsidP="00450CAF">
    <w:pPr>
      <w:pStyle w:val="Footer"/>
    </w:pPr>
  </w:p>
  <w:p w14:paraId="638FFAAF" w14:textId="77777777" w:rsidR="000132C6" w:rsidRPr="00EF512D" w:rsidRDefault="000132C6" w:rsidP="00450CA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20532" w14:textId="77777777" w:rsidR="000132C6" w:rsidRDefault="000132C6" w:rsidP="005E690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44</w:t>
    </w:r>
    <w:r>
      <w:rPr>
        <w:rStyle w:val="PageNumber"/>
      </w:rPr>
      <w:fldChar w:fldCharType="end"/>
    </w:r>
  </w:p>
  <w:p w14:paraId="12DE196C" w14:textId="77777777" w:rsidR="000132C6" w:rsidRDefault="000132C6"/>
  <w:p w14:paraId="6D81F7EF" w14:textId="77777777" w:rsidR="000132C6" w:rsidRDefault="000132C6"/>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5EA684" w14:textId="12A3DDA9" w:rsidR="000132C6" w:rsidRDefault="000132C6" w:rsidP="00361B0D">
    <w:pPr>
      <w:ind w:right="-1"/>
    </w:pPr>
    <w:r>
      <w:rPr>
        <w:noProof/>
        <w:lang w:val="en-GB" w:eastAsia="en-GB"/>
      </w:rPr>
      <mc:AlternateContent>
        <mc:Choice Requires="wps">
          <w:drawing>
            <wp:anchor distT="0" distB="0" distL="114300" distR="114300" simplePos="0" relativeHeight="251658244" behindDoc="0" locked="0" layoutInCell="1" allowOverlap="1" wp14:anchorId="4BD8B385" wp14:editId="006A8CB0">
              <wp:simplePos x="0" y="0"/>
              <wp:positionH relativeFrom="column">
                <wp:posOffset>-108585</wp:posOffset>
              </wp:positionH>
              <wp:positionV relativeFrom="paragraph">
                <wp:posOffset>119380</wp:posOffset>
              </wp:positionV>
              <wp:extent cx="6023610" cy="66929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23610" cy="669290"/>
                      </a:xfrm>
                      <a:prstGeom prst="rect">
                        <a:avLst/>
                      </a:prstGeom>
                      <a:noFill/>
                      <a:ln>
                        <a:noFill/>
                      </a:ln>
                      <a:effectLst/>
                      <a:extLst>
                        <a:ext uri="{C572A759-6A51-4108-AA02-DFA0A04FC94B}"/>
                      </a:extLst>
                    </wps:spPr>
                    <wps:txbx>
                      <w:txbxContent>
                        <w:p w14:paraId="482C92EC" w14:textId="77777777" w:rsidR="000132C6" w:rsidRPr="00FF675B" w:rsidRDefault="000132C6" w:rsidP="00FF675B">
                          <w:pPr>
                            <w:spacing w:after="0"/>
                            <w:ind w:right="-27"/>
                            <w:rPr>
                              <w:sz w:val="16"/>
                              <w:szCs w:val="16"/>
                            </w:rPr>
                          </w:pPr>
                          <w:r>
                            <w:rPr>
                              <w:b/>
                              <w:sz w:val="16"/>
                              <w:szCs w:val="16"/>
                            </w:rPr>
                            <w:t>Secretariado Internacional EITI</w:t>
                          </w:r>
                          <w:r>
                            <w:rPr>
                              <w:sz w:val="16"/>
                              <w:szCs w:val="16"/>
                            </w:rPr>
                            <w:br/>
                            <w:t>Teléfono: +47 222 00 800</w:t>
                          </w:r>
                          <w:r>
                            <w:rPr>
                              <w:color w:val="000000"/>
                              <w:sz w:val="16"/>
                              <w:szCs w:val="16"/>
                            </w:rPr>
                            <w:t></w:t>
                          </w:r>
                          <w:r>
                            <w:rPr>
                              <w:sz w:val="16"/>
                              <w:szCs w:val="16"/>
                            </w:rPr>
                            <w:t xml:space="preserve">Correo electrónico: </w:t>
                          </w:r>
                          <w:proofErr w:type="spellStart"/>
                          <w:r>
                            <w:rPr>
                              <w:sz w:val="16"/>
                              <w:szCs w:val="16"/>
                            </w:rPr>
                            <w:t>secretariat@eiti.org</w:t>
                          </w:r>
                          <w:r>
                            <w:rPr>
                              <w:color w:val="000000"/>
                              <w:sz w:val="16"/>
                              <w:szCs w:val="16"/>
                            </w:rPr>
                            <w:t></w:t>
                          </w:r>
                          <w:r>
                            <w:rPr>
                              <w:sz w:val="16"/>
                              <w:szCs w:val="16"/>
                            </w:rPr>
                            <w:t>Twitter</w:t>
                          </w:r>
                          <w:proofErr w:type="spellEnd"/>
                          <w:r>
                            <w:rPr>
                              <w:sz w:val="16"/>
                              <w:szCs w:val="16"/>
                            </w:rPr>
                            <w:t>: @EITIorg</w:t>
                          </w:r>
                          <w:r>
                            <w:rPr>
                              <w:color w:val="000000"/>
                              <w:sz w:val="16"/>
                              <w:szCs w:val="16"/>
                            </w:rPr>
                            <w:t></w:t>
                          </w:r>
                          <w:r>
                            <w:rPr>
                              <w:sz w:val="16"/>
                              <w:szCs w:val="16"/>
                            </w:rPr>
                            <w:t xml:space="preserve">www.eiti.org </w:t>
                          </w:r>
                        </w:p>
                        <w:p w14:paraId="710D39EE" w14:textId="77777777" w:rsidR="000132C6" w:rsidRPr="00FF675B" w:rsidRDefault="000132C6" w:rsidP="00FF675B">
                          <w:pPr>
                            <w:pStyle w:val="Footer"/>
                            <w:rPr>
                              <w:sz w:val="16"/>
                              <w:szCs w:val="16"/>
                            </w:rPr>
                          </w:pPr>
                          <w:r>
                            <w:rPr>
                              <w:sz w:val="16"/>
                              <w:szCs w:val="16"/>
                            </w:rPr>
                            <w:t xml:space="preserve">Dirección: </w:t>
                          </w:r>
                          <w:proofErr w:type="spellStart"/>
                          <w:r>
                            <w:rPr>
                              <w:sz w:val="16"/>
                              <w:szCs w:val="16"/>
                            </w:rPr>
                            <w:t>Rådhusgata</w:t>
                          </w:r>
                          <w:proofErr w:type="spellEnd"/>
                          <w:r>
                            <w:rPr>
                              <w:sz w:val="16"/>
                              <w:szCs w:val="16"/>
                            </w:rPr>
                            <w:t xml:space="preserve"> 26, 0151 Oslo, </w:t>
                          </w:r>
                          <w:proofErr w:type="spellStart"/>
                          <w:r>
                            <w:rPr>
                              <w:sz w:val="16"/>
                              <w:szCs w:val="16"/>
                            </w:rPr>
                            <w:t>Noruega</w:t>
                          </w:r>
                          <w:r>
                            <w:rPr>
                              <w:color w:val="000000"/>
                              <w:sz w:val="16"/>
                              <w:szCs w:val="16"/>
                            </w:rPr>
                            <w:t></w:t>
                          </w:r>
                          <w:r>
                            <w:rPr>
                              <w:sz w:val="16"/>
                              <w:szCs w:val="16"/>
                            </w:rPr>
                            <w:t>Casilla</w:t>
                          </w:r>
                          <w:proofErr w:type="spellEnd"/>
                          <w:r>
                            <w:rPr>
                              <w:sz w:val="16"/>
                              <w:szCs w:val="16"/>
                            </w:rPr>
                            <w:t xml:space="preserve"> Postal: </w:t>
                          </w:r>
                          <w:proofErr w:type="spellStart"/>
                          <w:r>
                            <w:rPr>
                              <w:sz w:val="16"/>
                              <w:szCs w:val="16"/>
                            </w:rPr>
                            <w:t>Postboks</w:t>
                          </w:r>
                          <w:proofErr w:type="spellEnd"/>
                          <w:r>
                            <w:rPr>
                              <w:sz w:val="16"/>
                              <w:szCs w:val="16"/>
                            </w:rPr>
                            <w:t xml:space="preserve"> 340 </w:t>
                          </w:r>
                          <w:proofErr w:type="spellStart"/>
                          <w:r>
                            <w:rPr>
                              <w:sz w:val="16"/>
                              <w:szCs w:val="16"/>
                            </w:rPr>
                            <w:t>Sentrum</w:t>
                          </w:r>
                          <w:proofErr w:type="spellEnd"/>
                          <w:r>
                            <w:rPr>
                              <w:sz w:val="16"/>
                              <w:szCs w:val="16"/>
                            </w:rPr>
                            <w:t>, 0101 Oslo, Noruega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4BD8B385" id="_x0000_t202" coordsize="21600,21600" o:spt="202" path="m,l,21600r21600,l21600,xe">
              <v:stroke joinstyle="miter"/>
              <v:path gradientshapeok="t" o:connecttype="rect"/>
            </v:shapetype>
            <v:shape id="_x0000_s1031" type="#_x0000_t202" style="position:absolute;margin-left:-8.55pt;margin-top:9.4pt;width:474.3pt;height:52.7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" filled="f" stroked="f">
              <v:textbox>
                <w:txbxContent>
                  <w:p w14:paraId="482C92EC" w14:textId="77777777" w:rsidR="000132C6" w:rsidRPr="00FF675B" w:rsidRDefault="000132C6" w:rsidP="00FF675B">
                    <w:pPr>
                      <w:spacing w:after="0"/>
                      <w:ind w:right="-27"/>
                      <w:rPr>
                        <w:sz w:val="16"/>
                        <w:szCs w:val="16"/>
                      </w:rPr>
                    </w:pPr>
                    <w:r>
                      <w:rPr>
                        <w:b/>
                        <w:sz w:val="16"/>
                        <w:szCs w:val="16"/>
                      </w:rPr>
                      <w:t>Secretariado Internacional EITI</w:t>
                    </w:r>
                    <w:r>
                      <w:rPr>
                        <w:sz w:val="16"/>
                        <w:szCs w:val="16"/>
                      </w:rPr>
                      <w:br/>
                      <w:t>Teléfono: +47 222 00 800</w:t>
                    </w:r>
                    <w:r>
                      <w:rPr>
                        <w:color w:val="000000"/>
                        <w:sz w:val="16"/>
                        <w:szCs w:val="16"/>
                      </w:rPr>
                      <w:t></w:t>
                    </w:r>
                    <w:r>
                      <w:rPr>
                        <w:sz w:val="16"/>
                        <w:szCs w:val="16"/>
                      </w:rPr>
                      <w:t>Correo electrónico: secretariat@eiti.org</w:t>
                    </w:r>
                    <w:r>
                      <w:rPr>
                        <w:color w:val="000000"/>
                        <w:sz w:val="16"/>
                        <w:szCs w:val="16"/>
                      </w:rPr>
                      <w:t></w:t>
                    </w:r>
                    <w:r>
                      <w:rPr>
                        <w:sz w:val="16"/>
                        <w:szCs w:val="16"/>
                      </w:rPr>
                      <w:t>Twitter: @EITIorg</w:t>
                    </w:r>
                    <w:r>
                      <w:rPr>
                        <w:color w:val="000000"/>
                        <w:sz w:val="16"/>
                        <w:szCs w:val="16"/>
                      </w:rPr>
                      <w:t></w:t>
                    </w:r>
                    <w:r>
                      <w:rPr>
                        <w:sz w:val="16"/>
                        <w:szCs w:val="16"/>
                      </w:rPr>
                      <w:t xml:space="preserve">www.eiti.org </w:t>
                    </w:r>
                  </w:p>
                  <w:p w14:paraId="710D39EE" w14:textId="77777777" w:rsidR="000132C6" w:rsidRPr="00FF675B" w:rsidRDefault="000132C6" w:rsidP="00FF675B">
                    <w:pPr>
                      <w:pStyle w:val="Footer"/>
                      <w:rPr>
                        <w:sz w:val="16"/>
                        <w:szCs w:val="16"/>
                      </w:rPr>
                    </w:pPr>
                    <w:r>
                      <w:rPr>
                        <w:sz w:val="16"/>
                        <w:szCs w:val="16"/>
                      </w:rPr>
                      <w:t>Dirección: Rådhusgata 26, 0151 Oslo, Noruega</w:t>
                    </w:r>
                    <w:r>
                      <w:rPr>
                        <w:color w:val="000000"/>
                        <w:sz w:val="16"/>
                        <w:szCs w:val="16"/>
                      </w:rPr>
                      <w:t></w:t>
                    </w:r>
                    <w:r>
                      <w:rPr>
                        <w:sz w:val="16"/>
                        <w:szCs w:val="16"/>
                      </w:rPr>
                      <w:t>Casilla Postal: Postboks 340 Sentrum, 0101 Oslo, Noruega</w:t>
                    </w:r>
                  </w:p>
                </w:txbxContent>
              </v:textbox>
            </v:shape>
          </w:pict>
        </mc:Fallback>
      </mc:AlternateContent>
    </w:r>
    <w:r>
      <w:rPr>
        <w:noProof/>
        <w:lang w:val="en-GB" w:eastAsia="en-GB"/>
      </w:rPr>
      <mc:AlternateContent>
        <mc:Choice Requires="wps">
          <w:drawing>
            <wp:anchor distT="0" distB="0" distL="114300" distR="114300" simplePos="0" relativeHeight="251658245" behindDoc="0" locked="0" layoutInCell="1" allowOverlap="1" wp14:anchorId="536BC078" wp14:editId="162EBA92">
              <wp:simplePos x="0" y="0"/>
              <wp:positionH relativeFrom="column">
                <wp:posOffset>-108585</wp:posOffset>
              </wp:positionH>
              <wp:positionV relativeFrom="paragraph">
                <wp:posOffset>73660</wp:posOffset>
              </wp:positionV>
              <wp:extent cx="5958840" cy="431165"/>
              <wp:effectExtent l="0" t="0" r="0" b="0"/>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8840" cy="431165"/>
                      </a:xfrm>
                      <a:prstGeom prst="rect">
                        <a:avLst/>
                      </a:prstGeom>
                      <a:noFill/>
                      <a:ln>
                        <a:noFill/>
                      </a:ln>
                      <a:effectLst/>
                      <a:extLst>
                        <a:ext uri="{C572A759-6A51-4108-AA02-DFA0A04FC94B}"/>
                      </a:extLst>
                    </wps:spPr>
                    <wps:txbx>
                      <w:txbxContent>
                        <w:p w14:paraId="41B7D7D1" w14:textId="77777777" w:rsidR="000132C6" w:rsidRPr="00544AAC" w:rsidRDefault="000132C6" w:rsidP="00FF675B">
                          <w:pPr>
                            <w:pBdr>
                              <w:top w:val="single" w:sz="4" w:space="1" w:color="2DAED5"/>
                            </w:pBdr>
                            <w:spacing w:after="0"/>
                            <w:jc w:val="right"/>
                            <w:rPr>
                              <w:rFonts w:ascii="Franklin Gothic Medium" w:hAnsi="Franklin Gothic Medium"/>
                              <w:b/>
                              <w:sz w:val="20"/>
                            </w:rPr>
                          </w:pPr>
                          <w:r>
                            <w:rPr>
                              <w:rStyle w:val="Heading3Char"/>
                              <w:rFonts w:ascii="Times New Roman" w:eastAsiaTheme="minorEastAsia" w:hAnsi="Times New Roman"/>
                              <w:color w:val="000000"/>
                            </w:rPr>
                            <w:tab/>
                          </w:r>
                          <w:r w:rsidRPr="00544AAC">
                            <w:rPr>
                              <w:rStyle w:val="Heading3Char"/>
                              <w:rFonts w:ascii="Franklin Gothic Medium" w:eastAsiaTheme="minorEastAsia" w:hAnsi="Franklin Gothic Medium"/>
                              <w:color w:val="000000"/>
                              <w:sz w:val="20"/>
                              <w:szCs w:val="20"/>
                            </w:rPr>
                            <w:fldChar w:fldCharType="begin"/>
                          </w:r>
                          <w:r w:rsidRPr="00544AAC">
                            <w:rPr>
                              <w:rStyle w:val="Heading3Char"/>
                              <w:rFonts w:ascii="Franklin Gothic Medium" w:eastAsiaTheme="minorEastAsia" w:hAnsi="Franklin Gothic Medium"/>
                              <w:color w:val="000000"/>
                              <w:sz w:val="20"/>
                              <w:szCs w:val="20"/>
                            </w:rPr>
                            <w:instrText xml:space="preserve"> PAGE </w:instrText>
                          </w:r>
                          <w:r w:rsidRPr="00544AAC">
                            <w:rPr>
                              <w:rStyle w:val="Heading3Char"/>
                              <w:rFonts w:ascii="Franklin Gothic Medium" w:eastAsiaTheme="minorEastAsia" w:hAnsi="Franklin Gothic Medium"/>
                              <w:color w:val="000000"/>
                              <w:sz w:val="20"/>
                              <w:szCs w:val="20"/>
                            </w:rPr>
                            <w:fldChar w:fldCharType="separate"/>
                          </w:r>
                          <w:r w:rsidR="00555CB1">
                            <w:rPr>
                              <w:rStyle w:val="Heading3Char"/>
                              <w:rFonts w:ascii="Franklin Gothic Medium" w:eastAsiaTheme="minorEastAsia" w:hAnsi="Franklin Gothic Medium"/>
                              <w:noProof/>
                              <w:color w:val="000000"/>
                              <w:sz w:val="20"/>
                              <w:szCs w:val="20"/>
                            </w:rPr>
                            <w:t>20</w:t>
                          </w:r>
                          <w:r w:rsidRPr="00544AAC">
                            <w:rPr>
                              <w:rStyle w:val="Heading3Char"/>
                              <w:rFonts w:ascii="Franklin Gothic Medium" w:eastAsiaTheme="minorEastAsia" w:hAnsi="Franklin Gothic Medium"/>
                              <w:color w:val="000000"/>
                              <w:sz w:val="20"/>
                              <w:szCs w:val="20"/>
                            </w:rPr>
                            <w:fldChar w:fldCharType="end"/>
                          </w:r>
                        </w:p>
                        <w:p w14:paraId="44DF4318" w14:textId="77777777" w:rsidR="000132C6" w:rsidRDefault="000132C6" w:rsidP="00FF67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6BC078" id="_x0000_t202" coordsize="21600,21600" o:spt="202" path="m,l,21600r21600,l21600,xe">
              <v:stroke joinstyle="miter"/>
              <v:path gradientshapeok="t" o:connecttype="rect"/>
            </v:shapetype>
            <v:shape id="_x0000_s1032" type="#_x0000_t202" style="position:absolute;margin-left:-8.55pt;margin-top:5.8pt;width:469.2pt;height:33.9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" filled="f" stroked="f">
              <v:path arrowok="t"/>
              <v:textbox>
                <w:txbxContent>
                  <w:p w14:paraId="41B7D7D1" w14:textId="77777777" w:rsidR="000132C6" w:rsidRPr="00544AAC" w:rsidRDefault="000132C6" w:rsidP="00FF675B">
                    <w:pPr>
                      <w:pBdr>
                        <w:top w:val="single" w:sz="4" w:space="1" w:color="2DAED5"/>
                      </w:pBdr>
                      <w:spacing w:after="0"/>
                      <w:jc w:val="right"/>
                      <w:rPr>
                        <w:rFonts w:ascii="Franklin Gothic Medium" w:hAnsi="Franklin Gothic Medium"/>
                        <w:b/>
                        <w:sz w:val="20"/>
                      </w:rPr>
                    </w:pPr>
                    <w:r>
                      <w:rPr>
                        <w:rStyle w:val="Heading3Char"/>
                        <w:rFonts w:ascii="Times New Roman" w:eastAsiaTheme="minorEastAsia" w:hAnsi="Times New Roman"/>
                        <w:color w:val="000000"/>
                      </w:rPr>
                      <w:tab/>
                    </w:r>
                    <w:r w:rsidRPr="00544AAC">
                      <w:rPr>
                        <w:rStyle w:val="Heading3Char"/>
                        <w:rFonts w:ascii="Franklin Gothic Medium" w:eastAsiaTheme="minorEastAsia" w:hAnsi="Franklin Gothic Medium"/>
                        <w:color w:val="000000"/>
                        <w:sz w:val="20"/>
                        <w:szCs w:val="20"/>
                      </w:rPr>
                      <w:fldChar w:fldCharType="begin"/>
                    </w:r>
                    <w:r w:rsidRPr="00544AAC">
                      <w:rPr>
                        <w:rStyle w:val="Heading3Char"/>
                        <w:rFonts w:ascii="Franklin Gothic Medium" w:eastAsiaTheme="minorEastAsia" w:hAnsi="Franklin Gothic Medium"/>
                        <w:color w:val="000000"/>
                        <w:sz w:val="20"/>
                        <w:szCs w:val="20"/>
                      </w:rPr>
                      <w:instrText xml:space="preserve"> PAGE </w:instrText>
                    </w:r>
                    <w:r w:rsidRPr="00544AAC">
                      <w:rPr>
                        <w:rStyle w:val="Heading3Char"/>
                        <w:rFonts w:ascii="Franklin Gothic Medium" w:eastAsiaTheme="minorEastAsia" w:hAnsi="Franklin Gothic Medium"/>
                        <w:color w:val="000000"/>
                        <w:sz w:val="20"/>
                        <w:szCs w:val="20"/>
                      </w:rPr>
                      <w:fldChar w:fldCharType="separate"/>
                    </w:r>
                    <w:r w:rsidR="00555CB1">
                      <w:rPr>
                        <w:rStyle w:val="Heading3Char"/>
                        <w:rFonts w:ascii="Franklin Gothic Medium" w:eastAsiaTheme="minorEastAsia" w:hAnsi="Franklin Gothic Medium"/>
                        <w:noProof/>
                        <w:color w:val="000000"/>
                        <w:sz w:val="20"/>
                        <w:szCs w:val="20"/>
                      </w:rPr>
                      <w:t>20</w:t>
                    </w:r>
                    <w:r w:rsidRPr="00544AAC">
                      <w:rPr>
                        <w:rStyle w:val="Heading3Char"/>
                        <w:rFonts w:ascii="Franklin Gothic Medium" w:eastAsiaTheme="minorEastAsia" w:hAnsi="Franklin Gothic Medium"/>
                        <w:color w:val="000000"/>
                        <w:sz w:val="20"/>
                        <w:szCs w:val="20"/>
                      </w:rPr>
                      <w:fldChar w:fldCharType="end"/>
                    </w:r>
                  </w:p>
                  <w:p w14:paraId="44DF4318" w14:textId="77777777" w:rsidR="000132C6" w:rsidRDefault="000132C6" w:rsidP="00FF675B"/>
                </w:txbxContent>
              </v:textbox>
            </v:shape>
          </w:pict>
        </mc:Fallback>
      </mc:AlternateContent>
    </w:r>
  </w:p>
  <w:p w14:paraId="402712A2" w14:textId="77777777" w:rsidR="000132C6" w:rsidRDefault="000132C6" w:rsidP="00FF675B">
    <w:pPr>
      <w:pStyle w:val="Footer"/>
      <w:ind w:right="360"/>
      <w:rPr>
        <w:sz w:val="16"/>
        <w:lang w:val="nb-NO" w:eastAsia="ar-SA"/>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9FF304" w14:textId="77777777" w:rsidR="000132C6" w:rsidRDefault="000132C6" w:rsidP="00F149CB">
    <w:pPr>
      <w:pStyle w:val="Footer"/>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D0027A" w14:textId="77777777" w:rsidR="008575D1" w:rsidRDefault="008575D1">
      <w:pPr>
        <w:spacing w:after="0" w:line="240" w:lineRule="auto"/>
      </w:pPr>
      <w:r>
        <w:separator/>
      </w:r>
    </w:p>
  </w:footnote>
  <w:footnote w:type="continuationSeparator" w:id="0">
    <w:p w14:paraId="17DB895E" w14:textId="77777777" w:rsidR="008575D1" w:rsidRDefault="008575D1">
      <w:pPr>
        <w:spacing w:after="0" w:line="240" w:lineRule="auto"/>
      </w:pPr>
      <w:r>
        <w:continuationSeparator/>
      </w:r>
    </w:p>
  </w:footnote>
  <w:footnote w:type="continuationNotice" w:id="1">
    <w:p w14:paraId="75759391" w14:textId="77777777" w:rsidR="008575D1" w:rsidRDefault="008575D1" w:rsidP="00EC6F4A"/>
  </w:footnote>
  <w:footnote w:id="2">
    <w:p w14:paraId="67C39C8D" w14:textId="77777777" w:rsidR="000132C6" w:rsidRPr="0023587F" w:rsidRDefault="000132C6" w:rsidP="006E461B">
      <w:pPr>
        <w:pStyle w:val="FootnoteText"/>
      </w:pPr>
      <w:r>
        <w:rPr>
          <w:rStyle w:val="FootnoteReference"/>
        </w:rPr>
        <w:footnoteRef/>
      </w:r>
      <w:r w:rsidRPr="0023587F">
        <w:t xml:space="preserve"> Ver: </w:t>
      </w:r>
      <w:hyperlink r:id="rId1" w:history="1">
        <w:r w:rsidRPr="0023587F">
          <w:rPr>
            <w:rStyle w:val="Hyperlink"/>
          </w:rPr>
          <w:t>https://www.oas.org/en/media_center/press_release.asp?sCodigo=E-092/17</w:t>
        </w:r>
      </w:hyperlink>
      <w:r>
        <w:rPr>
          <w:rStyle w:val="Hyperlink"/>
        </w:rPr>
        <w:t>, con acceso el 5 de junio de 2020.</w:t>
      </w:r>
    </w:p>
  </w:footnote>
  <w:footnote w:id="3">
    <w:p w14:paraId="5659A8B6" w14:textId="756A86F0" w:rsidR="000132C6" w:rsidRDefault="000132C6" w:rsidP="00EC5983">
      <w:pPr>
        <w:pStyle w:val="FootnoteText"/>
      </w:pPr>
      <w:r>
        <w:rPr>
          <w:rStyle w:val="FootnoteReference"/>
        </w:rPr>
        <w:footnoteRef/>
      </w:r>
      <w:r w:rsidRPr="007A4A65">
        <w:t xml:space="preserve"> Ver: EEAS (</w:t>
      </w:r>
      <w:proofErr w:type="gramStart"/>
      <w:r w:rsidRPr="007A4A65">
        <w:t>Marzo</w:t>
      </w:r>
      <w:proofErr w:type="gramEnd"/>
      <w:r w:rsidRPr="007A4A65">
        <w:t xml:space="preserve"> de 2018) Informe final de </w:t>
      </w:r>
      <w:r>
        <w:t>Honduras</w:t>
      </w:r>
      <w:r w:rsidRPr="007A4A65">
        <w:t xml:space="preserve">. </w:t>
      </w:r>
      <w:r>
        <w:t>Elecciones generales de</w:t>
      </w:r>
      <w:r w:rsidRPr="007A4A65">
        <w:t xml:space="preserve"> 2017, p. 1. Recuperado de </w:t>
      </w:r>
      <w:hyperlink r:id="rId2" w:history="1">
        <w:r w:rsidRPr="007A4A65">
          <w:rPr>
            <w:rStyle w:val="Hyperlink"/>
            <w:rFonts w:ascii="Franklin Gothic Book" w:hAnsi="Franklin Gothic Book" w:cs="Calibri Light"/>
          </w:rPr>
          <w:t>https://eeas.europa.eu/sites/eeas/files/373045796-eu-eom-honduras-2017-final-report.pdf</w:t>
        </w:r>
      </w:hyperlink>
      <w:r w:rsidRPr="007A4A65">
        <w:t xml:space="preserve">, </w:t>
      </w:r>
      <w:r w:rsidR="00467DEF">
        <w:t>con acceso</w:t>
      </w:r>
      <w:r w:rsidRPr="007A4A65">
        <w:t xml:space="preserve"> </w:t>
      </w:r>
      <w:r>
        <w:t xml:space="preserve">el </w:t>
      </w:r>
      <w:r w:rsidRPr="007A4A65">
        <w:t xml:space="preserve">5 </w:t>
      </w:r>
      <w:r>
        <w:t>de junio de</w:t>
      </w:r>
      <w:r w:rsidRPr="007A4A65">
        <w:t xml:space="preserve"> 2020</w:t>
      </w:r>
      <w:r>
        <w:t>.</w:t>
      </w:r>
    </w:p>
    <w:p w14:paraId="48AA1FA4" w14:textId="77777777" w:rsidR="000132C6" w:rsidRPr="007A4A65" w:rsidRDefault="000132C6" w:rsidP="00EC5983">
      <w:pPr>
        <w:pStyle w:val="FootnoteText"/>
      </w:pPr>
    </w:p>
  </w:footnote>
  <w:footnote w:id="4">
    <w:p w14:paraId="418CA208" w14:textId="77777777" w:rsidR="000132C6" w:rsidRDefault="000132C6" w:rsidP="00A12D80">
      <w:pPr>
        <w:pStyle w:val="FootnoteText"/>
      </w:pPr>
      <w:r>
        <w:rPr>
          <w:rStyle w:val="FootnoteReference"/>
        </w:rPr>
        <w:footnoteRef/>
      </w:r>
      <w:r w:rsidRPr="0023587F">
        <w:t xml:space="preserve"> </w:t>
      </w:r>
      <w:r>
        <w:t xml:space="preserve">Ver: </w:t>
      </w:r>
      <w:proofErr w:type="spellStart"/>
      <w:r w:rsidRPr="007A4A65">
        <w:t>United</w:t>
      </w:r>
      <w:proofErr w:type="spellEnd"/>
      <w:r w:rsidRPr="007A4A65">
        <w:t xml:space="preserve"> </w:t>
      </w:r>
      <w:proofErr w:type="spellStart"/>
      <w:r w:rsidRPr="007A4A65">
        <w:t>Nations</w:t>
      </w:r>
      <w:proofErr w:type="spellEnd"/>
      <w:r w:rsidRPr="007A4A65">
        <w:t xml:space="preserve">. Human </w:t>
      </w:r>
      <w:proofErr w:type="spellStart"/>
      <w:r w:rsidRPr="007A4A65">
        <w:t>Rights</w:t>
      </w:r>
      <w:proofErr w:type="spellEnd"/>
      <w:r w:rsidRPr="007A4A65">
        <w:t xml:space="preserve"> Council (</w:t>
      </w:r>
      <w:proofErr w:type="gramStart"/>
      <w:r>
        <w:t>Enero</w:t>
      </w:r>
      <w:proofErr w:type="gramEnd"/>
      <w:r>
        <w:t xml:space="preserve"> de</w:t>
      </w:r>
      <w:r w:rsidRPr="007A4A65">
        <w:t xml:space="preserve"> 2019) Re</w:t>
      </w:r>
      <w:r>
        <w:t>cuperado de</w:t>
      </w:r>
      <w:r w:rsidRPr="007A4A65">
        <w:t xml:space="preserve"> </w:t>
      </w:r>
      <w:hyperlink r:id="rId3" w:history="1">
        <w:r w:rsidRPr="007A4A65">
          <w:rPr>
            <w:rStyle w:val="Hyperlink"/>
            <w:rFonts w:ascii="Franklin Gothic Book" w:hAnsi="Franklin Gothic Book"/>
          </w:rPr>
          <w:t>https://undocs.org/A/HRC/40/60/Add.2</w:t>
        </w:r>
      </w:hyperlink>
      <w:r>
        <w:rPr>
          <w:rStyle w:val="Hyperlink"/>
          <w:rFonts w:ascii="Franklin Gothic Book" w:hAnsi="Franklin Gothic Book"/>
        </w:rPr>
        <w:t xml:space="preserve"> </w:t>
      </w:r>
      <w:r w:rsidRPr="007A4A65">
        <w:t>5</w:t>
      </w:r>
      <w:r>
        <w:t xml:space="preserve"> de junio de</w:t>
      </w:r>
      <w:r w:rsidRPr="007A4A65">
        <w:t xml:space="preserve"> 2020</w:t>
      </w:r>
      <w:r>
        <w:t>.</w:t>
      </w:r>
    </w:p>
    <w:p w14:paraId="4B30E360" w14:textId="77777777" w:rsidR="000132C6" w:rsidRPr="0023587F" w:rsidRDefault="000132C6" w:rsidP="00A12D80">
      <w:pPr>
        <w:pStyle w:val="FootnoteText"/>
      </w:pPr>
      <w:r>
        <w:rPr>
          <w:rStyle w:val="FootnoteReference"/>
        </w:rPr>
        <w:footnoteRef/>
      </w:r>
      <w:r>
        <w:t xml:space="preserve"> </w:t>
      </w:r>
      <w:r w:rsidRPr="0023587F">
        <w:t>Estos artículos declarados inconstitucionales fueron: el art. 22 (por no establecer una duración máxima para las licencias), el art. 27 (por ser vagos en cuanto a los requisitos tecnológicos para las actividades extractivas y no garantizar ciertas protecciones para el medio ambiente y la salud pública), art. 56 (por establecer tasas bajas para los impuestos aplicables), arts. 67 y 68 (por violar el requisito de consulta previa al permitir que el procedimiento se lleve a cabo en el municipio más grande para aquellos proyectos que se ubican en más de un municipio), art. 76 (por establecer cañones muy bajos para los impuestos municipales: 2% para la minería metálica y 1% para la no metálica) y art. 77 (por violar la autonomía de los municipios en la gestión de sus ingresos procedentes del sector extractivo). Véase</w:t>
      </w:r>
      <w:r>
        <w:t>:</w:t>
      </w:r>
      <w:r w:rsidRPr="0023587F">
        <w:t xml:space="preserve"> Tribunal Supremo</w:t>
      </w:r>
      <w:r>
        <w:t xml:space="preserve"> de Honduras (junio de 2017). Recurso de inconstitucionalidad </w:t>
      </w:r>
      <w:r w:rsidRPr="00CB1C43">
        <w:rPr>
          <w:lang w:val="es-MX"/>
        </w:rPr>
        <w:t>EXP. SCO – 1165- 2014</w:t>
      </w:r>
      <w:r>
        <w:rPr>
          <w:lang w:val="es-MX"/>
        </w:rPr>
        <w:t>. Recuperado de</w:t>
      </w:r>
      <w:r w:rsidRPr="0023587F">
        <w:t xml:space="preserve"> </w:t>
      </w:r>
      <w:hyperlink r:id="rId4" w:history="1">
        <w:r w:rsidRPr="0023587F">
          <w:rPr>
            <w:rStyle w:val="Hyperlink"/>
          </w:rPr>
          <w:t>https://tbinternet.ohchr.org/Treaties/CCPR/Shared%20Documents/HND/INT_CCPR_FCO_HND_32139_S.pdf</w:t>
        </w:r>
      </w:hyperlink>
      <w:r>
        <w:rPr>
          <w:rStyle w:val="Hyperlink"/>
        </w:rPr>
        <w:t xml:space="preserve"> el 5 de junio de 2020.</w:t>
      </w:r>
    </w:p>
  </w:footnote>
  <w:footnote w:id="5">
    <w:p w14:paraId="2D8FA4E1" w14:textId="77777777" w:rsidR="000132C6" w:rsidRPr="00BE7B94" w:rsidRDefault="000132C6" w:rsidP="00A12D80">
      <w:pPr>
        <w:pStyle w:val="FootnoteText"/>
      </w:pPr>
    </w:p>
  </w:footnote>
  <w:footnote w:id="6">
    <w:p w14:paraId="7AB51EC1" w14:textId="77777777" w:rsidR="000132C6" w:rsidRPr="009260FF" w:rsidRDefault="000132C6" w:rsidP="00A12D80">
      <w:pPr>
        <w:pStyle w:val="FootnoteText"/>
      </w:pPr>
      <w:r w:rsidRPr="0040330B">
        <w:rPr>
          <w:rStyle w:val="FootnoteReference"/>
        </w:rPr>
        <w:footnoteRef/>
      </w:r>
      <w:r>
        <w:t xml:space="preserve"> Ver</w:t>
      </w:r>
      <w:r w:rsidRPr="009260FF">
        <w:t xml:space="preserve">: </w:t>
      </w:r>
      <w:hyperlink r:id="rId5" w:history="1">
        <w:r w:rsidRPr="009260FF">
          <w:rPr>
            <w:rStyle w:val="Hyperlink"/>
            <w:rFonts w:ascii="Franklin Gothic Book" w:hAnsi="Franklin Gothic Book"/>
          </w:rPr>
          <w:t>https://criterio.hn/socializan-propuesta-reformas-la-ley-mineria-honduras/</w:t>
        </w:r>
      </w:hyperlink>
      <w:r w:rsidRPr="009260FF">
        <w:t>. Con acceso el 5 de junio de 2020</w:t>
      </w:r>
      <w:r>
        <w:t>.</w:t>
      </w:r>
    </w:p>
  </w:footnote>
  <w:footnote w:id="7">
    <w:p w14:paraId="1169DC36" w14:textId="12C7A2B2" w:rsidR="000132C6" w:rsidRPr="00F76B5E" w:rsidRDefault="000132C6" w:rsidP="00A12D80">
      <w:pPr>
        <w:pStyle w:val="FootnoteText"/>
      </w:pPr>
      <w:r w:rsidRPr="0040330B">
        <w:rPr>
          <w:rStyle w:val="FootnoteReference"/>
        </w:rPr>
        <w:footnoteRef/>
      </w:r>
      <w:r w:rsidR="0043321C">
        <w:t xml:space="preserve"> </w:t>
      </w:r>
      <w:r w:rsidRPr="00F76B5E">
        <w:t xml:space="preserve">Ver: </w:t>
      </w:r>
      <w:hyperlink r:id="rId6" w:history="1">
        <w:r w:rsidRPr="00F76B5E">
          <w:rPr>
            <w:rStyle w:val="Hyperlink"/>
            <w:rFonts w:ascii="Franklin Gothic Book" w:hAnsi="Franklin Gothic Book"/>
          </w:rPr>
          <w:t>https://www.laprensa.hn/honduras/1263079-410/propuesta-reforma-ley-mineria-instituto-hondure%C3%B1o-geologia-minas-honduras</w:t>
        </w:r>
      </w:hyperlink>
      <w:r w:rsidR="002D3020">
        <w:rPr>
          <w:rStyle w:val="Hyperlink"/>
          <w:rFonts w:ascii="Franklin Gothic Book" w:hAnsi="Franklin Gothic Book"/>
        </w:rPr>
        <w:t>.</w:t>
      </w:r>
      <w:r w:rsidR="002D3020">
        <w:t xml:space="preserve"> </w:t>
      </w:r>
      <w:r w:rsidR="002D3020" w:rsidRPr="009260FF">
        <w:t>Con acceso el 5 de junio de 2020</w:t>
      </w:r>
    </w:p>
  </w:footnote>
  <w:footnote w:id="8">
    <w:p w14:paraId="2531AE1A" w14:textId="77777777" w:rsidR="000132C6" w:rsidRPr="00F76B5E" w:rsidRDefault="000132C6" w:rsidP="00345A5F">
      <w:pPr>
        <w:pStyle w:val="FootnoteText"/>
      </w:pPr>
      <w:r w:rsidRPr="0040330B">
        <w:rPr>
          <w:rStyle w:val="FootnoteReference"/>
        </w:rPr>
        <w:footnoteRef/>
      </w:r>
      <w:r w:rsidRPr="00F76B5E">
        <w:t xml:space="preserve">Ver: </w:t>
      </w:r>
      <w:hyperlink r:id="rId7" w:history="1">
        <w:r w:rsidRPr="00F76B5E">
          <w:rPr>
            <w:rStyle w:val="Hyperlink"/>
            <w:rFonts w:ascii="Franklin Gothic Book" w:hAnsi="Franklin Gothic Book"/>
          </w:rPr>
          <w:t>https://tiempo.hn/iaip-anula-resolucion-declaraba-secreto-informacion-licencias-ambientales1/</w:t>
        </w:r>
      </w:hyperlink>
      <w:r w:rsidRPr="00F76B5E">
        <w:t>. Con acceso en junio de 2020</w:t>
      </w:r>
    </w:p>
  </w:footnote>
  <w:footnote w:id="9">
    <w:p w14:paraId="7DF0F4E8" w14:textId="77777777" w:rsidR="000132C6" w:rsidRPr="00F76B5E" w:rsidRDefault="000132C6" w:rsidP="00C1781A">
      <w:pPr>
        <w:pStyle w:val="FootnoteText"/>
      </w:pPr>
      <w:r w:rsidRPr="0040330B">
        <w:rPr>
          <w:rStyle w:val="FootnoteReference"/>
        </w:rPr>
        <w:footnoteRef/>
      </w:r>
      <w:r w:rsidRPr="00F76B5E">
        <w:t xml:space="preserve">Ver: GMP de Honduras (diciembre de 2019). </w:t>
      </w:r>
      <w:r>
        <w:t>Acta</w:t>
      </w:r>
      <w:r w:rsidRPr="00F76B5E">
        <w:t xml:space="preserve"> 15 de reuniones del GMP. </w:t>
      </w:r>
      <w:hyperlink r:id="rId8" w:history="1">
        <w:r w:rsidRPr="00F76B5E">
          <w:rPr>
            <w:rStyle w:val="Hyperlink"/>
            <w:rFonts w:ascii="Franklin Gothic Book" w:hAnsi="Franklin Gothic Book"/>
          </w:rPr>
          <w:t>https://portalunico.iaip.gob.hn/portal/ver_documento.php?uid=NjYwMDI0ODkzNDc2MzQ4NzEyNDYxOTg3MjM0Mg==</w:t>
        </w:r>
      </w:hyperlink>
      <w:r>
        <w:t xml:space="preserve">. Con acceso el </w:t>
      </w:r>
      <w:r w:rsidRPr="00F76B5E">
        <w:t>5 de junio de 2020.</w:t>
      </w:r>
    </w:p>
  </w:footnote>
  <w:footnote w:id="10">
    <w:p w14:paraId="1FF063D7" w14:textId="77777777" w:rsidR="000132C6" w:rsidRPr="00F76B5E" w:rsidRDefault="000132C6" w:rsidP="00C1781A">
      <w:pPr>
        <w:pStyle w:val="FootnoteText"/>
      </w:pPr>
      <w:r w:rsidRPr="0040330B">
        <w:rPr>
          <w:rStyle w:val="FootnoteReference"/>
        </w:rPr>
        <w:footnoteRef/>
      </w:r>
      <w:r w:rsidRPr="00F76B5E">
        <w:t xml:space="preserve">Ver: GMP de Honduras (diciembre de 2019). </w:t>
      </w:r>
      <w:r>
        <w:t>Acta</w:t>
      </w:r>
      <w:r w:rsidRPr="00F76B5E">
        <w:t xml:space="preserve"> 15 de reuniones del GMP. </w:t>
      </w:r>
      <w:hyperlink r:id="rId9" w:history="1">
        <w:r w:rsidRPr="00F76B5E">
          <w:rPr>
            <w:rStyle w:val="Hyperlink"/>
            <w:rFonts w:ascii="Franklin Gothic Book" w:hAnsi="Franklin Gothic Book"/>
          </w:rPr>
          <w:t>https://portalunico.iaip.gob.hn/portal/ver_documento.php?uid=NjYwMDI0ODkzNDc2MzQ4NzEyNDYxOTg3MjM0Mg==</w:t>
        </w:r>
      </w:hyperlink>
      <w:r>
        <w:t xml:space="preserve">. Con acceso el </w:t>
      </w:r>
      <w:r w:rsidRPr="00F76B5E">
        <w:t>5 de junio de 2020.</w:t>
      </w:r>
    </w:p>
  </w:footnote>
  <w:footnote w:id="11">
    <w:p w14:paraId="6432F6CF" w14:textId="77777777" w:rsidR="000132C6" w:rsidRPr="00F76B5E" w:rsidRDefault="000132C6" w:rsidP="008842E6">
      <w:pPr>
        <w:pStyle w:val="FootnoteText"/>
      </w:pPr>
      <w:r w:rsidRPr="0040330B">
        <w:rPr>
          <w:rStyle w:val="FootnoteReference"/>
        </w:rPr>
        <w:footnoteRef/>
      </w:r>
      <w:r w:rsidRPr="00F76B5E">
        <w:t xml:space="preserve">Ver: GMP de Honduras (diciembre de 2019). </w:t>
      </w:r>
      <w:r>
        <w:t>Acta</w:t>
      </w:r>
      <w:r w:rsidRPr="00F76B5E">
        <w:t xml:space="preserve"> 15 de reuniones del GMP. </w:t>
      </w:r>
      <w:hyperlink r:id="rId10" w:history="1">
        <w:r w:rsidRPr="00F76B5E">
          <w:rPr>
            <w:rStyle w:val="Hyperlink"/>
            <w:rFonts w:ascii="Franklin Gothic Book" w:hAnsi="Franklin Gothic Book"/>
          </w:rPr>
          <w:t>https://portalunico.iaip.gob.hn/portal/ver_documento.php?uid=NjYwMDI0ODkzNDc2MzQ4NzEyNDYxOTg3MjM0Mg==</w:t>
        </w:r>
      </w:hyperlink>
      <w:r>
        <w:t xml:space="preserve">. Con acceso el </w:t>
      </w:r>
      <w:r w:rsidRPr="00F76B5E">
        <w:t>5 de junio de 2020.</w:t>
      </w:r>
    </w:p>
  </w:footnote>
  <w:footnote w:id="12">
    <w:p w14:paraId="12335CE3" w14:textId="77777777" w:rsidR="000132C6" w:rsidRPr="00314764" w:rsidRDefault="000132C6" w:rsidP="008842E6">
      <w:pPr>
        <w:pStyle w:val="FootnoteText"/>
      </w:pPr>
      <w:r w:rsidRPr="0040330B">
        <w:rPr>
          <w:rStyle w:val="FootnoteReference"/>
        </w:rPr>
        <w:footnoteRef/>
      </w:r>
      <w:r w:rsidRPr="00314764">
        <w:t xml:space="preserve">Consultar </w:t>
      </w:r>
      <w:hyperlink r:id="rId11" w:history="1">
        <w:r w:rsidRPr="00314764">
          <w:rPr>
            <w:rStyle w:val="Hyperlink"/>
            <w:rFonts w:ascii="Franklin Gothic Book" w:hAnsi="Franklin Gothic Book"/>
          </w:rPr>
          <w:t>https://portalunico.iaip.gob.hn/portal/ver_documento.php?uid=NTAwNzA5ODkzNDc2MzQ4NzEyNDYxOTg3MjM0Mg==</w:t>
        </w:r>
      </w:hyperlink>
      <w:r>
        <w:t xml:space="preserve"> para ver más ejemplos</w:t>
      </w:r>
      <w:r w:rsidRPr="00314764">
        <w:rPr>
          <w:rFonts w:cs="Times New Roman"/>
        </w:rPr>
        <w:t xml:space="preserve">. </w:t>
      </w:r>
      <w:r>
        <w:rPr>
          <w:rFonts w:cs="Times New Roman"/>
        </w:rPr>
        <w:t xml:space="preserve">Con acceso el </w:t>
      </w:r>
      <w:r w:rsidRPr="00314764">
        <w:rPr>
          <w:rFonts w:cs="Times New Roman"/>
        </w:rPr>
        <w:t xml:space="preserve">5 de junio de 2020. </w:t>
      </w:r>
    </w:p>
  </w:footnote>
  <w:footnote w:id="13">
    <w:p w14:paraId="577F2357" w14:textId="77777777" w:rsidR="000132C6" w:rsidRPr="00314764" w:rsidRDefault="000132C6" w:rsidP="00314764">
      <w:pPr>
        <w:shd w:val="clear" w:color="auto" w:fill="FFFFFF"/>
        <w:spacing w:after="0"/>
        <w:rPr>
          <w:rFonts w:cs="Calibri Light"/>
          <w:sz w:val="16"/>
          <w:szCs w:val="16"/>
        </w:rPr>
      </w:pPr>
      <w:r w:rsidRPr="002960CB">
        <w:rPr>
          <w:rStyle w:val="FootnoteReference"/>
          <w:sz w:val="16"/>
          <w:szCs w:val="16"/>
        </w:rPr>
        <w:footnoteRef/>
      </w:r>
      <w:r w:rsidRPr="00314764">
        <w:rPr>
          <w:sz w:val="16"/>
          <w:szCs w:val="16"/>
        </w:rPr>
        <w:t xml:space="preserve"> </w:t>
      </w:r>
      <w:r w:rsidRPr="00314764">
        <w:rPr>
          <w:rFonts w:cs="Calibri Light"/>
          <w:sz w:val="16"/>
          <w:szCs w:val="16"/>
        </w:rPr>
        <w:t>Ver:</w:t>
      </w:r>
      <w:r>
        <w:rPr>
          <w:rFonts w:cs="Calibri Light"/>
          <w:sz w:val="16"/>
          <w:szCs w:val="16"/>
        </w:rPr>
        <w:t xml:space="preserve"> </w:t>
      </w:r>
      <w:r w:rsidRPr="00314764">
        <w:t xml:space="preserve">GMP de </w:t>
      </w:r>
      <w:r w:rsidRPr="00314764">
        <w:rPr>
          <w:rFonts w:cs="Calibri Light"/>
          <w:sz w:val="16"/>
          <w:szCs w:val="16"/>
        </w:rPr>
        <w:t xml:space="preserve">Honduras (diciembre de 2019). </w:t>
      </w:r>
      <w:r>
        <w:rPr>
          <w:rFonts w:cs="Calibri Light"/>
          <w:sz w:val="16"/>
          <w:szCs w:val="16"/>
        </w:rPr>
        <w:t>Acta</w:t>
      </w:r>
      <w:r w:rsidRPr="00314764">
        <w:rPr>
          <w:rFonts w:cs="Calibri Light"/>
          <w:sz w:val="16"/>
          <w:szCs w:val="16"/>
        </w:rPr>
        <w:t xml:space="preserve"> 15 de reuniones del GMP.</w:t>
      </w:r>
      <w:r w:rsidRPr="00314764">
        <w:t xml:space="preserve"> </w:t>
      </w:r>
      <w:hyperlink r:id="rId12" w:history="1">
        <w:r w:rsidRPr="00314764">
          <w:rPr>
            <w:rStyle w:val="Hyperlink"/>
            <w:rFonts w:ascii="Franklin Gothic Book" w:hAnsi="Franklin Gothic Book"/>
            <w:sz w:val="16"/>
            <w:szCs w:val="16"/>
          </w:rPr>
          <w:t>https://portalunico.iaip.gob.hn/portal/ver_documento.php?uid=NjYwMDI0ODkzNDc2MzQ4NzEyNDYxOTg3MjM0Mg==</w:t>
        </w:r>
      </w:hyperlink>
      <w:r>
        <w:t>.</w:t>
      </w:r>
      <w:r w:rsidRPr="00314764">
        <w:t xml:space="preserve"> </w:t>
      </w:r>
      <w:r w:rsidRPr="00314764">
        <w:rPr>
          <w:rFonts w:cs="Calibri Light"/>
          <w:sz w:val="16"/>
          <w:szCs w:val="16"/>
        </w:rPr>
        <w:t xml:space="preserve">Con acceso el 5 de junio de 2020. </w:t>
      </w:r>
    </w:p>
  </w:footnote>
  <w:footnote w:id="14">
    <w:p w14:paraId="437BA742" w14:textId="77777777" w:rsidR="000132C6" w:rsidRPr="00C1781A" w:rsidRDefault="000132C6" w:rsidP="00FF675B">
      <w:pPr>
        <w:pStyle w:val="FootnoteText"/>
        <w:rPr>
          <w:sz w:val="18"/>
          <w:szCs w:val="18"/>
        </w:rPr>
      </w:pPr>
      <w:r>
        <w:rPr>
          <w:rStyle w:val="FootnoteReference"/>
          <w:sz w:val="18"/>
          <w:szCs w:val="18"/>
        </w:rPr>
        <w:footnoteRef/>
      </w:r>
      <w:r w:rsidRPr="00C1781A">
        <w:rPr>
          <w:sz w:val="18"/>
          <w:szCs w:val="18"/>
        </w:rPr>
        <w:t xml:space="preserve"> </w:t>
      </w:r>
      <w:r>
        <w:rPr>
          <w:sz w:val="18"/>
          <w:szCs w:val="18"/>
        </w:rPr>
        <w:t xml:space="preserve">Ver: GMP de </w:t>
      </w:r>
      <w:r w:rsidRPr="0040330B">
        <w:t>Honduras</w:t>
      </w:r>
      <w:r w:rsidRPr="000F731E">
        <w:t xml:space="preserve"> (</w:t>
      </w:r>
      <w:r>
        <w:t>agosto de</w:t>
      </w:r>
      <w:r w:rsidRPr="000F731E">
        <w:t xml:space="preserve"> 2019) </w:t>
      </w:r>
      <w:r>
        <w:t>Acta</w:t>
      </w:r>
      <w:r w:rsidRPr="000F731E">
        <w:t xml:space="preserve"> 9 </w:t>
      </w:r>
      <w:r>
        <w:t>de reuniones del GMP</w:t>
      </w:r>
      <w:r w:rsidRPr="000F731E">
        <w:t xml:space="preserve">: </w:t>
      </w:r>
      <w:hyperlink r:id="rId13" w:history="1">
        <w:r w:rsidRPr="00CB1C43">
          <w:rPr>
            <w:rStyle w:val="Hyperlink"/>
            <w:rFonts w:ascii="Franklin Gothic Book" w:hAnsi="Franklin Gothic Book"/>
          </w:rPr>
          <w:t>https://portalunico.iaip.gob.hn/portal/ver_documento.php?uid=NTg5MjkxODkzNDc2MzQ4NzEyNDYxOTg3MjM0Mg==</w:t>
        </w:r>
      </w:hyperlink>
      <w:r>
        <w:rPr>
          <w:rStyle w:val="Hyperlink"/>
          <w:rFonts w:ascii="Franklin Gothic Book" w:hAnsi="Franklin Gothic Book"/>
        </w:rPr>
        <w:t xml:space="preserve">. </w:t>
      </w:r>
      <w:r>
        <w:t xml:space="preserve">Con acceso el </w:t>
      </w:r>
      <w:r w:rsidRPr="0040330B">
        <w:t xml:space="preserve">5 </w:t>
      </w:r>
      <w:r>
        <w:t>de junio de</w:t>
      </w:r>
      <w:r w:rsidRPr="0040330B">
        <w:t xml:space="preserve"> 2020.</w:t>
      </w:r>
    </w:p>
  </w:footnote>
  <w:footnote w:id="15">
    <w:p w14:paraId="79CC62F8" w14:textId="2E20C9F4" w:rsidR="000132C6" w:rsidRPr="001F41A8" w:rsidRDefault="000132C6">
      <w:pPr>
        <w:pStyle w:val="FootnoteText"/>
      </w:pPr>
      <w:r>
        <w:rPr>
          <w:rStyle w:val="FootnoteReference"/>
        </w:rPr>
        <w:footnoteRef/>
      </w:r>
      <w:r w:rsidRPr="0052258C">
        <w:t>Las actas de las reuniones del GMP están disponibles en</w:t>
      </w:r>
      <w:r w:rsidR="0043321C">
        <w:t>:</w:t>
      </w:r>
      <w:r w:rsidRPr="0052258C">
        <w:t xml:space="preserve"> </w:t>
      </w:r>
      <w:hyperlink r:id="rId14" w:history="1">
        <w:r w:rsidRPr="0052258C">
          <w:rPr>
            <w:rStyle w:val="Hyperlink"/>
            <w:rFonts w:ascii="Franklin Gothic Book" w:hAnsi="Franklin Gothic Book"/>
          </w:rPr>
          <w:t>https://portalunico.iaip.gob.hn/portal/index.php?portal=442</w:t>
        </w:r>
      </w:hyperlink>
      <w:r w:rsidRPr="0052258C">
        <w:rPr>
          <w:rFonts w:cs="Times New Roman"/>
        </w:rPr>
        <w:t xml:space="preserve">. </w:t>
      </w:r>
      <w:r>
        <w:rPr>
          <w:rFonts w:cs="Times New Roman"/>
        </w:rPr>
        <w:t xml:space="preserve">Con acceso el </w:t>
      </w:r>
      <w:r w:rsidRPr="0040330B">
        <w:rPr>
          <w:rFonts w:cs="Times New Roman"/>
        </w:rPr>
        <w:t xml:space="preserve">5 </w:t>
      </w:r>
      <w:r>
        <w:rPr>
          <w:rFonts w:cs="Times New Roman"/>
        </w:rPr>
        <w:t>de junio de</w:t>
      </w:r>
      <w:r w:rsidRPr="0040330B">
        <w:rPr>
          <w:rFonts w:cs="Times New Roman"/>
        </w:rPr>
        <w:t xml:space="preserve"> 2020</w:t>
      </w:r>
      <w:r w:rsidRPr="001F41A8">
        <w:rPr>
          <w:rFonts w:cs="Times New Roman"/>
        </w:rPr>
        <w:t xml:space="preserve">. </w:t>
      </w:r>
    </w:p>
  </w:footnote>
  <w:footnote w:id="16">
    <w:p w14:paraId="30FDB5B0" w14:textId="77777777" w:rsidR="000132C6" w:rsidRPr="009C4F7E" w:rsidRDefault="000132C6">
      <w:pPr>
        <w:pStyle w:val="FootnoteText"/>
        <w:rPr>
          <w:sz w:val="18"/>
          <w:szCs w:val="18"/>
        </w:rPr>
      </w:pPr>
      <w:r>
        <w:rPr>
          <w:rStyle w:val="FootnoteReference"/>
        </w:rPr>
        <w:footnoteRef/>
      </w:r>
      <w:r w:rsidRPr="0052258C">
        <w:t>Acta de reunión del GM</w:t>
      </w:r>
      <w:r>
        <w:t>P disponible en</w:t>
      </w:r>
      <w:r w:rsidRPr="0052258C">
        <w:t xml:space="preserve">: </w:t>
      </w:r>
      <w:hyperlink r:id="rId15" w:history="1">
        <w:r w:rsidRPr="0052258C">
          <w:rPr>
            <w:rStyle w:val="Hyperlink"/>
            <w:rFonts w:ascii="Franklin Gothic Book" w:hAnsi="Franklin Gothic Book"/>
          </w:rPr>
          <w:t>https://portalunico.iaip.gob.hn/portal/ver_documento.php?uid=NTY1OTI3ODkzNDc2MzQ4NzEyNDYxOTg3MjM0Mg==</w:t>
        </w:r>
      </w:hyperlink>
      <w:r w:rsidRPr="0052258C">
        <w:rPr>
          <w:rFonts w:cs="Times New Roman"/>
        </w:rPr>
        <w:t xml:space="preserve">. </w:t>
      </w:r>
      <w:r>
        <w:rPr>
          <w:rFonts w:cs="Times New Roman"/>
        </w:rPr>
        <w:t xml:space="preserve">Con acceso el </w:t>
      </w:r>
      <w:r w:rsidRPr="0026471D">
        <w:rPr>
          <w:rFonts w:cs="Times New Roman"/>
        </w:rPr>
        <w:t xml:space="preserve">5 </w:t>
      </w:r>
      <w:r>
        <w:rPr>
          <w:rFonts w:cs="Times New Roman"/>
        </w:rPr>
        <w:t>de junio de</w:t>
      </w:r>
      <w:r w:rsidRPr="0026471D">
        <w:rPr>
          <w:rFonts w:cs="Times New Roman"/>
        </w:rPr>
        <w:t xml:space="preserve"> </w:t>
      </w:r>
      <w:r w:rsidRPr="009B7E0B">
        <w:rPr>
          <w:rFonts w:cs="Times New Roman"/>
        </w:rPr>
        <w:t xml:space="preserve">2020. </w:t>
      </w:r>
    </w:p>
  </w:footnote>
  <w:footnote w:id="17">
    <w:p w14:paraId="102FE281" w14:textId="77777777" w:rsidR="000132C6" w:rsidRPr="0052258C" w:rsidRDefault="000132C6">
      <w:pPr>
        <w:pStyle w:val="FootnoteText"/>
      </w:pPr>
      <w:r>
        <w:rPr>
          <w:rStyle w:val="FootnoteReference"/>
        </w:rPr>
        <w:footnoteRef/>
      </w:r>
      <w:r w:rsidRPr="0052258C">
        <w:t xml:space="preserve">Ver EITI Honduras (febrero de 2020) Informe EITI 2017-2018 de Honduras disponible </w:t>
      </w:r>
      <w:r>
        <w:t>en</w:t>
      </w:r>
      <w:r w:rsidRPr="0052258C">
        <w:t xml:space="preserve">: </w:t>
      </w:r>
      <w:hyperlink r:id="rId16" w:history="1">
        <w:r w:rsidRPr="0052258C">
          <w:rPr>
            <w:rStyle w:val="Hyperlink"/>
            <w:rFonts w:ascii="Franklin Gothic Book" w:hAnsi="Franklin Gothic Book"/>
          </w:rPr>
          <w:t>https://eiti.org/document/honduras-20172018-eiti-report</w:t>
        </w:r>
      </w:hyperlink>
      <w:r w:rsidRPr="0052258C">
        <w:rPr>
          <w:rFonts w:cs="Times New Roman"/>
        </w:rPr>
        <w:t xml:space="preserve">. </w:t>
      </w:r>
      <w:r>
        <w:rPr>
          <w:rFonts w:cs="Times New Roman"/>
        </w:rPr>
        <w:t xml:space="preserve">Con acceso el </w:t>
      </w:r>
      <w:r w:rsidRPr="0026471D">
        <w:rPr>
          <w:rFonts w:cs="Times New Roman"/>
        </w:rPr>
        <w:t xml:space="preserve">5 </w:t>
      </w:r>
      <w:r>
        <w:rPr>
          <w:rFonts w:cs="Times New Roman"/>
        </w:rPr>
        <w:t>de junio de</w:t>
      </w:r>
      <w:r w:rsidRPr="0026471D">
        <w:rPr>
          <w:rFonts w:cs="Times New Roman"/>
        </w:rPr>
        <w:t xml:space="preserve"> </w:t>
      </w:r>
      <w:r w:rsidRPr="009B7E0B">
        <w:rPr>
          <w:rFonts w:cs="Times New Roman"/>
        </w:rPr>
        <w:t>2020.</w:t>
      </w:r>
    </w:p>
  </w:footnote>
  <w:footnote w:id="18">
    <w:p w14:paraId="18111FDF" w14:textId="77777777" w:rsidR="000132C6" w:rsidRPr="0052258C" w:rsidRDefault="000132C6">
      <w:pPr>
        <w:pStyle w:val="FootnoteText"/>
        <w:rPr>
          <w:sz w:val="18"/>
          <w:szCs w:val="18"/>
        </w:rPr>
      </w:pPr>
      <w:r>
        <w:rPr>
          <w:rStyle w:val="FootnoteReference"/>
        </w:rPr>
        <w:footnoteRef/>
      </w:r>
      <w:r>
        <w:t xml:space="preserve"> Ver</w:t>
      </w:r>
      <w:r w:rsidRPr="0040330B">
        <w:t xml:space="preserve">: </w:t>
      </w:r>
      <w:r>
        <w:t xml:space="preserve">EITI </w:t>
      </w:r>
      <w:r w:rsidRPr="0040330B">
        <w:t xml:space="preserve">Honduras </w:t>
      </w:r>
      <w:r w:rsidRPr="0052258C">
        <w:t>(</w:t>
      </w:r>
      <w:r>
        <w:t>julio de</w:t>
      </w:r>
      <w:r w:rsidRPr="0052258C">
        <w:t xml:space="preserve"> 2019). Plan de trabajo 2019-2020. Disponible aquí: </w:t>
      </w:r>
      <w:hyperlink r:id="rId17" w:history="1">
        <w:r w:rsidRPr="0052258C">
          <w:rPr>
            <w:rStyle w:val="Hyperlink"/>
            <w:rFonts w:ascii="Franklin Gothic Book" w:hAnsi="Franklin Gothic Book"/>
          </w:rPr>
          <w:t>https://portalunico.iaip.gob.hn/portal/ver_documento.php?uid=Mzc0NjY5ODkzNDc2MzQ4NzEyNDYxOTg3MjM0Mg==</w:t>
        </w:r>
      </w:hyperlink>
      <w:r w:rsidRPr="0052258C">
        <w:rPr>
          <w:rFonts w:cs="Times New Roman"/>
        </w:rPr>
        <w:t xml:space="preserve">. </w:t>
      </w:r>
      <w:r>
        <w:rPr>
          <w:rFonts w:cs="Times New Roman"/>
        </w:rPr>
        <w:t xml:space="preserve">Con acceso el </w:t>
      </w:r>
      <w:r w:rsidRPr="0026471D">
        <w:rPr>
          <w:rFonts w:cs="Times New Roman"/>
        </w:rPr>
        <w:t xml:space="preserve">5 </w:t>
      </w:r>
      <w:r>
        <w:rPr>
          <w:rFonts w:cs="Times New Roman"/>
        </w:rPr>
        <w:t>de junio de</w:t>
      </w:r>
      <w:r w:rsidRPr="0026471D">
        <w:rPr>
          <w:rFonts w:cs="Times New Roman"/>
        </w:rPr>
        <w:t xml:space="preserve"> </w:t>
      </w:r>
      <w:r w:rsidRPr="009B7E0B">
        <w:rPr>
          <w:rFonts w:cs="Times New Roman"/>
        </w:rPr>
        <w:t>2020.</w:t>
      </w:r>
    </w:p>
  </w:footnote>
  <w:footnote w:id="19">
    <w:p w14:paraId="6400598B" w14:textId="77777777" w:rsidR="000132C6" w:rsidRPr="0052258C" w:rsidRDefault="000132C6">
      <w:pPr>
        <w:pStyle w:val="FootnoteText"/>
        <w:rPr>
          <w:sz w:val="18"/>
          <w:szCs w:val="18"/>
        </w:rPr>
      </w:pPr>
      <w:r>
        <w:rPr>
          <w:rStyle w:val="FootnoteReference"/>
        </w:rPr>
        <w:footnoteRef/>
      </w:r>
      <w:r>
        <w:t>Ver</w:t>
      </w:r>
      <w:r w:rsidRPr="00CB1C43">
        <w:t xml:space="preserve">: </w:t>
      </w:r>
      <w:r>
        <w:t xml:space="preserve">GMP del EITI </w:t>
      </w:r>
      <w:r w:rsidRPr="00CB1C43">
        <w:t>Honduras (</w:t>
      </w:r>
      <w:r>
        <w:t>julio de</w:t>
      </w:r>
      <w:r w:rsidRPr="00CB1C43">
        <w:t xml:space="preserve"> 2019). </w:t>
      </w:r>
      <w:r>
        <w:t xml:space="preserve">Acta </w:t>
      </w:r>
      <w:r w:rsidRPr="0052258C">
        <w:t xml:space="preserve">7. Reuniones del GMP. Disponible en </w:t>
      </w:r>
      <w:hyperlink r:id="rId18" w:history="1">
        <w:r w:rsidRPr="0052258C">
          <w:rPr>
            <w:rStyle w:val="Hyperlink"/>
            <w:rFonts w:ascii="Franklin Gothic Book" w:hAnsi="Franklin Gothic Book"/>
          </w:rPr>
          <w:t>https://portalunico.iaip.gob.hn/portal/ver_documento.php?uid=NTUwMDQ1ODkzNDc2MzQ4NzEyNDYxOTg3MjM0Mg==</w:t>
        </w:r>
      </w:hyperlink>
      <w:r w:rsidRPr="0052258C">
        <w:rPr>
          <w:rFonts w:cs="Times New Roman"/>
        </w:rPr>
        <w:t xml:space="preserve">. </w:t>
      </w:r>
      <w:r>
        <w:rPr>
          <w:rFonts w:cs="Times New Roman"/>
        </w:rPr>
        <w:t xml:space="preserve">Con acceso el </w:t>
      </w:r>
      <w:r w:rsidRPr="0026471D">
        <w:rPr>
          <w:rFonts w:cs="Times New Roman"/>
        </w:rPr>
        <w:t xml:space="preserve">5 </w:t>
      </w:r>
      <w:r>
        <w:rPr>
          <w:rFonts w:cs="Times New Roman"/>
        </w:rPr>
        <w:t>de junio de</w:t>
      </w:r>
      <w:r w:rsidRPr="0026471D">
        <w:rPr>
          <w:rFonts w:cs="Times New Roman"/>
        </w:rPr>
        <w:t xml:space="preserve"> </w:t>
      </w:r>
      <w:r w:rsidRPr="009B7E0B">
        <w:rPr>
          <w:rFonts w:cs="Times New Roman"/>
        </w:rPr>
        <w:t>2020.</w:t>
      </w:r>
    </w:p>
  </w:footnote>
  <w:footnote w:id="20">
    <w:p w14:paraId="7C7817CA" w14:textId="77777777" w:rsidR="000132C6" w:rsidRPr="00992DD9" w:rsidRDefault="000132C6" w:rsidP="00FF675B">
      <w:pPr>
        <w:pStyle w:val="FootnoteText"/>
        <w:rPr>
          <w:sz w:val="18"/>
          <w:szCs w:val="18"/>
        </w:rPr>
      </w:pPr>
      <w:r>
        <w:rPr>
          <w:rStyle w:val="FootnoteReference"/>
          <w:rFonts w:cs="Calibri Light"/>
          <w:sz w:val="18"/>
          <w:szCs w:val="18"/>
        </w:rPr>
        <w:footnoteRef/>
      </w:r>
      <w:r>
        <w:rPr>
          <w:sz w:val="18"/>
          <w:szCs w:val="18"/>
        </w:rPr>
        <w:t xml:space="preserve"> EITI (2019), ‘Guía para la validación EITI’, disponible en: </w:t>
      </w:r>
      <w:hyperlink r:id="rId19" w:history="1">
        <w:r>
          <w:rPr>
            <w:rStyle w:val="Hyperlink"/>
            <w:rFonts w:ascii="Franklin Gothic Book" w:hAnsi="Franklin Gothic Book"/>
            <w:sz w:val="18"/>
            <w:szCs w:val="18"/>
          </w:rPr>
          <w:t>https://eiti.org/es/documento/guia-para-validacion</w:t>
        </w:r>
      </w:hyperlink>
      <w:r>
        <w:t>. Con acceso el 5 de junio de 2020.</w:t>
      </w:r>
    </w:p>
  </w:footnote>
  <w:footnote w:id="21">
    <w:p w14:paraId="2635889C" w14:textId="02BCD400" w:rsidR="000132C6" w:rsidRPr="0052258C" w:rsidRDefault="000132C6" w:rsidP="00B67182">
      <w:pPr>
        <w:pStyle w:val="FootnoteText"/>
      </w:pPr>
      <w:r w:rsidRPr="0040330B">
        <w:rPr>
          <w:rStyle w:val="FootnoteReference"/>
        </w:rPr>
        <w:footnoteRef/>
      </w:r>
      <w:r w:rsidRPr="0052258C">
        <w:t xml:space="preserve"> Ver EITI Honduras (junio de 2018) Informe EITI 2015-2016 de Honduras. Disponible en</w:t>
      </w:r>
      <w:r w:rsidR="0043321C">
        <w:t>:</w:t>
      </w:r>
      <w:r w:rsidRPr="0052258C">
        <w:t xml:space="preserve"> </w:t>
      </w:r>
      <w:hyperlink r:id="rId20" w:history="1">
        <w:r w:rsidRPr="0052258C">
          <w:rPr>
            <w:rStyle w:val="Hyperlink"/>
            <w:rFonts w:ascii="Franklin Gothic Book" w:hAnsi="Franklin Gothic Book"/>
          </w:rPr>
          <w:t>https://eiti.org/document/20152016-honduras-eiti-report</w:t>
        </w:r>
      </w:hyperlink>
      <w:r>
        <w:t>. Con acceso el 5 de junio de 2020.</w:t>
      </w:r>
    </w:p>
  </w:footnote>
  <w:footnote w:id="22">
    <w:p w14:paraId="6EC6959F" w14:textId="77777777" w:rsidR="000132C6" w:rsidRPr="0052258C" w:rsidRDefault="000132C6" w:rsidP="00B67182">
      <w:pPr>
        <w:pStyle w:val="FootnoteText"/>
      </w:pPr>
      <w:r w:rsidRPr="0040330B">
        <w:rPr>
          <w:rStyle w:val="FootnoteReference"/>
        </w:rPr>
        <w:footnoteRef/>
      </w:r>
      <w:r w:rsidRPr="0052258C">
        <w:t xml:space="preserve"> Ver EITI Honduras (</w:t>
      </w:r>
      <w:r>
        <w:t>febrero de</w:t>
      </w:r>
      <w:r w:rsidRPr="0052258C">
        <w:t xml:space="preserve"> 2018) Informe EITI 201</w:t>
      </w:r>
      <w:r>
        <w:t>7</w:t>
      </w:r>
      <w:r w:rsidRPr="0052258C">
        <w:t>-201</w:t>
      </w:r>
      <w:r>
        <w:t>8</w:t>
      </w:r>
      <w:r w:rsidRPr="0052258C">
        <w:t xml:space="preserve"> de Honduras. Disponible en: </w:t>
      </w:r>
      <w:hyperlink r:id="rId21" w:history="1">
        <w:r w:rsidRPr="0052258C">
          <w:rPr>
            <w:rStyle w:val="Hyperlink"/>
            <w:rFonts w:ascii="Franklin Gothic Book" w:hAnsi="Franklin Gothic Book"/>
          </w:rPr>
          <w:t>https://eiti.org/document/honduras-20172018-eiti-report</w:t>
        </w:r>
      </w:hyperlink>
      <w:r>
        <w:t>. Con acceso el 5 de junio de 2020.</w:t>
      </w:r>
    </w:p>
  </w:footnote>
  <w:footnote w:id="23">
    <w:p w14:paraId="5366E381" w14:textId="77777777" w:rsidR="000132C6" w:rsidRPr="000974A7" w:rsidRDefault="000132C6" w:rsidP="000974A7">
      <w:pPr>
        <w:shd w:val="clear" w:color="auto" w:fill="FFFFFF"/>
        <w:spacing w:after="0"/>
        <w:rPr>
          <w:rFonts w:eastAsia="Times New Roman" w:cs="Arial"/>
          <w:color w:val="333333"/>
          <w:sz w:val="16"/>
          <w:szCs w:val="16"/>
        </w:rPr>
      </w:pPr>
      <w:r>
        <w:rPr>
          <w:rStyle w:val="FootnoteReference"/>
          <w:rFonts w:cs="Calibri Light"/>
          <w:sz w:val="18"/>
          <w:szCs w:val="18"/>
        </w:rPr>
        <w:footnoteRef/>
      </w:r>
      <w:r>
        <w:rPr>
          <w:sz w:val="16"/>
          <w:szCs w:val="16"/>
        </w:rPr>
        <w:t>Ver</w:t>
      </w:r>
      <w:r w:rsidRPr="000974A7">
        <w:rPr>
          <w:sz w:val="16"/>
          <w:szCs w:val="16"/>
        </w:rPr>
        <w:t xml:space="preserve">: </w:t>
      </w:r>
      <w:r>
        <w:rPr>
          <w:sz w:val="16"/>
          <w:szCs w:val="16"/>
        </w:rPr>
        <w:t xml:space="preserve">Consejo del </w:t>
      </w:r>
      <w:r w:rsidRPr="000974A7">
        <w:rPr>
          <w:sz w:val="16"/>
          <w:szCs w:val="16"/>
        </w:rPr>
        <w:t>EITI (</w:t>
      </w:r>
      <w:r>
        <w:rPr>
          <w:sz w:val="16"/>
          <w:szCs w:val="16"/>
        </w:rPr>
        <w:t>octubre de</w:t>
      </w:r>
      <w:r w:rsidRPr="000974A7">
        <w:rPr>
          <w:sz w:val="16"/>
          <w:szCs w:val="16"/>
        </w:rPr>
        <w:t xml:space="preserve"> 2017). Decisión sobre Honduras. </w:t>
      </w:r>
      <w:r w:rsidRPr="000974A7">
        <w:rPr>
          <w:rFonts w:eastAsia="Times New Roman" w:cs="Arial"/>
          <w:color w:val="333333"/>
          <w:sz w:val="16"/>
          <w:szCs w:val="16"/>
        </w:rPr>
        <w:t>Decisión 2017-52/BM-38</w:t>
      </w:r>
    </w:p>
    <w:p w14:paraId="2D32B7B0" w14:textId="77777777" w:rsidR="000132C6" w:rsidRPr="00D049BF" w:rsidRDefault="00801158" w:rsidP="000974A7">
      <w:pPr>
        <w:pStyle w:val="FootnoteText"/>
        <w:rPr>
          <w:sz w:val="18"/>
          <w:szCs w:val="18"/>
        </w:rPr>
      </w:pPr>
      <w:hyperlink r:id="rId22" w:history="1">
        <w:r w:rsidR="000132C6" w:rsidRPr="00D049BF">
          <w:rPr>
            <w:rStyle w:val="Hyperlink"/>
            <w:rFonts w:ascii="Franklin Gothic Book" w:hAnsi="Franklin Gothic Book" w:cstheme="majorHAnsi"/>
          </w:rPr>
          <w:t>https://eiti.org/BD/2017-52</w:t>
        </w:r>
      </w:hyperlink>
      <w:r w:rsidR="000132C6" w:rsidRPr="00D049BF">
        <w:rPr>
          <w:rFonts w:cstheme="minorBidi"/>
        </w:rPr>
        <w:t>. Con acceso el 5 de junio de 2020.</w:t>
      </w:r>
    </w:p>
  </w:footnote>
  <w:footnote w:id="24">
    <w:p w14:paraId="0DBD9D07" w14:textId="77777777" w:rsidR="000132C6" w:rsidRPr="00D049BF" w:rsidRDefault="000132C6" w:rsidP="00E25CD7">
      <w:pPr>
        <w:pStyle w:val="FootnoteText"/>
      </w:pPr>
      <w:r w:rsidRPr="0040330B">
        <w:rPr>
          <w:rStyle w:val="FootnoteReference"/>
        </w:rPr>
        <w:footnoteRef/>
      </w:r>
      <w:r w:rsidRPr="00D049BF">
        <w:t xml:space="preserve">El convenio está disponible aquí: </w:t>
      </w:r>
      <w:hyperlink r:id="rId23" w:history="1">
        <w:r w:rsidRPr="00D049BF">
          <w:rPr>
            <w:rStyle w:val="Hyperlink"/>
            <w:rFonts w:ascii="Franklin Gothic Book" w:hAnsi="Franklin Gothic Book"/>
          </w:rPr>
          <w:t>https://portalunico.iaip.gob.hn/portal/ver_documento.php?uid=NTY1OTMyODkzNDc2MzQ4NzEyNDYxOTg3MjM0Mg==</w:t>
        </w:r>
      </w:hyperlink>
      <w:r>
        <w:rPr>
          <w:rFonts w:cs="Times New Roman"/>
        </w:rPr>
        <w:t xml:space="preserve">. Con acceso el </w:t>
      </w:r>
      <w:r w:rsidRPr="00D049BF">
        <w:rPr>
          <w:rFonts w:cs="Times New Roman"/>
        </w:rPr>
        <w:t xml:space="preserve">5 </w:t>
      </w:r>
      <w:r>
        <w:rPr>
          <w:rFonts w:cs="Times New Roman"/>
        </w:rPr>
        <w:t>de junio de</w:t>
      </w:r>
      <w:r w:rsidRPr="00D049BF">
        <w:rPr>
          <w:rFonts w:cs="Times New Roman"/>
        </w:rPr>
        <w:t xml:space="preserve"> 2020. </w:t>
      </w:r>
    </w:p>
  </w:footnote>
  <w:footnote w:id="25">
    <w:p w14:paraId="3E3DD0F6" w14:textId="77777777" w:rsidR="000132C6" w:rsidRPr="00D049BF" w:rsidRDefault="000132C6" w:rsidP="007739D6">
      <w:pPr>
        <w:pStyle w:val="FootnoteText"/>
        <w:rPr>
          <w:rFonts w:cstheme="majorHAnsi"/>
        </w:rPr>
      </w:pPr>
      <w:r w:rsidRPr="002960CB">
        <w:rPr>
          <w:rStyle w:val="FootnoteReference"/>
          <w:rFonts w:cstheme="majorHAnsi"/>
        </w:rPr>
        <w:footnoteRef/>
      </w:r>
      <w:r>
        <w:rPr>
          <w:rFonts w:cstheme="majorHAnsi"/>
        </w:rPr>
        <w:t xml:space="preserve">Ver </w:t>
      </w:r>
      <w:r w:rsidRPr="00D049BF">
        <w:rPr>
          <w:rFonts w:cstheme="majorHAnsi"/>
        </w:rPr>
        <w:t>INHGEOMIN (</w:t>
      </w:r>
      <w:r>
        <w:rPr>
          <w:rFonts w:cstheme="majorHAnsi"/>
        </w:rPr>
        <w:t>enero de</w:t>
      </w:r>
      <w:r w:rsidRPr="00D049BF">
        <w:rPr>
          <w:rFonts w:cstheme="majorHAnsi"/>
        </w:rPr>
        <w:t xml:space="preserve"> 2019) Resolu</w:t>
      </w:r>
      <w:r>
        <w:rPr>
          <w:rFonts w:cstheme="majorHAnsi"/>
        </w:rPr>
        <w:t>ción</w:t>
      </w:r>
      <w:r w:rsidRPr="00D049BF">
        <w:rPr>
          <w:rFonts w:cstheme="majorHAnsi"/>
        </w:rPr>
        <w:t xml:space="preserve"> 303/2018 re</w:t>
      </w:r>
      <w:r>
        <w:rPr>
          <w:rFonts w:cstheme="majorHAnsi"/>
        </w:rPr>
        <w:t>cuperada de</w:t>
      </w:r>
      <w:r w:rsidRPr="00D049BF">
        <w:rPr>
          <w:rFonts w:cstheme="majorHAnsi"/>
        </w:rPr>
        <w:t xml:space="preserve">: </w:t>
      </w:r>
      <w:hyperlink r:id="rId24" w:history="1">
        <w:r w:rsidRPr="00D049BF">
          <w:rPr>
            <w:rStyle w:val="Hyperlink"/>
            <w:rFonts w:ascii="Franklin Gothic Book" w:hAnsi="Franklin Gothic Book"/>
          </w:rPr>
          <w:t>https://portalunico.iaip.gob.hn/portal/ver_documento.php?uid=NDcyMjU4ODkzNDc2MzQ4NzEyNDYxOTg3MjM0Mg==</w:t>
        </w:r>
      </w:hyperlink>
      <w:r>
        <w:rPr>
          <w:rFonts w:cs="Times New Roman"/>
        </w:rPr>
        <w:t xml:space="preserve">. Con acceso el </w:t>
      </w:r>
      <w:r w:rsidRPr="00D049BF">
        <w:rPr>
          <w:rFonts w:cs="Times New Roman"/>
        </w:rPr>
        <w:t xml:space="preserve">5 </w:t>
      </w:r>
      <w:r>
        <w:rPr>
          <w:rFonts w:cs="Times New Roman"/>
        </w:rPr>
        <w:t>de junio de</w:t>
      </w:r>
      <w:r w:rsidRPr="00D049BF">
        <w:rPr>
          <w:rFonts w:cs="Times New Roman"/>
        </w:rPr>
        <w:t xml:space="preserve"> 2020</w:t>
      </w:r>
      <w:r>
        <w:rPr>
          <w:rFonts w:cs="Times New Roman"/>
        </w:rPr>
        <w:t>.</w:t>
      </w:r>
    </w:p>
  </w:footnote>
  <w:footnote w:id="26">
    <w:p w14:paraId="648648C7" w14:textId="77777777" w:rsidR="000132C6" w:rsidRPr="00D049BF" w:rsidRDefault="000132C6" w:rsidP="006B49DD">
      <w:pPr>
        <w:pStyle w:val="FootnoteText"/>
        <w:rPr>
          <w:rFonts w:cstheme="majorHAnsi"/>
        </w:rPr>
      </w:pPr>
      <w:r w:rsidRPr="002960CB">
        <w:rPr>
          <w:rStyle w:val="FootnoteReference"/>
          <w:rFonts w:cstheme="majorHAnsi"/>
        </w:rPr>
        <w:footnoteRef/>
      </w:r>
      <w:r w:rsidRPr="00D049BF">
        <w:rPr>
          <w:rFonts w:cstheme="majorHAnsi"/>
        </w:rPr>
        <w:t>Ver GMP de Honduras (diciembre de 2018).</w:t>
      </w:r>
      <w:r>
        <w:rPr>
          <w:rFonts w:cstheme="majorHAnsi"/>
        </w:rPr>
        <w:t xml:space="preserve"> Acta de reuniones del GMP</w:t>
      </w:r>
      <w:r w:rsidRPr="00D049BF">
        <w:rPr>
          <w:rFonts w:cstheme="majorHAnsi"/>
        </w:rPr>
        <w:t xml:space="preserve"> (p. 2). Recuperada de </w:t>
      </w:r>
      <w:hyperlink r:id="rId25" w:history="1">
        <w:r w:rsidRPr="00D049BF">
          <w:rPr>
            <w:rStyle w:val="Hyperlink"/>
            <w:rFonts w:ascii="Franklin Gothic Book" w:hAnsi="Franklin Gothic Book" w:cstheme="majorHAnsi"/>
          </w:rPr>
          <w:t>https://portalunico.iaip.gob.hn/portal/ver_documento.php?uid=NDU3NzA5ODkzNDc2MzQ4NzEyNDYxOTg3MjM0Mg==</w:t>
        </w:r>
      </w:hyperlink>
      <w:r>
        <w:rPr>
          <w:rFonts w:cs="Times New Roman"/>
        </w:rPr>
        <w:t xml:space="preserve">. Con acceso el </w:t>
      </w:r>
      <w:r w:rsidRPr="00D049BF">
        <w:rPr>
          <w:rFonts w:cs="Times New Roman"/>
        </w:rPr>
        <w:t xml:space="preserve">5 </w:t>
      </w:r>
      <w:r>
        <w:rPr>
          <w:rFonts w:cs="Times New Roman"/>
        </w:rPr>
        <w:t>de junio de</w:t>
      </w:r>
      <w:r w:rsidRPr="00D049BF">
        <w:rPr>
          <w:rFonts w:cs="Times New Roman"/>
        </w:rPr>
        <w:t xml:space="preserve"> 2020</w:t>
      </w:r>
      <w:r>
        <w:rPr>
          <w:rFonts w:cs="Times New Roman"/>
        </w:rPr>
        <w:t>.</w:t>
      </w:r>
    </w:p>
  </w:footnote>
  <w:footnote w:id="27">
    <w:p w14:paraId="0EA2EB37" w14:textId="77777777" w:rsidR="000132C6" w:rsidRPr="004277B6" w:rsidRDefault="000132C6" w:rsidP="006B49DD">
      <w:pPr>
        <w:pStyle w:val="FootnoteText"/>
      </w:pPr>
      <w:r w:rsidRPr="002960CB">
        <w:rPr>
          <w:rStyle w:val="FootnoteReference"/>
        </w:rPr>
        <w:footnoteRef/>
      </w:r>
      <w:r w:rsidRPr="00D049BF">
        <w:t xml:space="preserve">Ver: Documento de Oficina 29 de septiembre de 2018 (p. 4) </w:t>
      </w:r>
      <w:r>
        <w:t>para más ejemplos</w:t>
      </w:r>
      <w:r w:rsidRPr="00D049BF">
        <w:t xml:space="preserve">: </w:t>
      </w:r>
      <w:hyperlink r:id="rId26" w:history="1">
        <w:r w:rsidRPr="00D049BF">
          <w:rPr>
            <w:rStyle w:val="Hyperlink"/>
            <w:rFonts w:ascii="Franklin Gothic Book" w:hAnsi="Franklin Gothic Book"/>
          </w:rPr>
          <w:t>https://portalunico.iaip.gob.hn/portal/ver_documento.php?uid=NTAyMjc2ODkzNDc2MzQ4NzEyNDYxOTg3MjM0Mg==</w:t>
        </w:r>
      </w:hyperlink>
      <w:r>
        <w:rPr>
          <w:rFonts w:cs="Times New Roman"/>
        </w:rPr>
        <w:t xml:space="preserve">. </w:t>
      </w:r>
      <w:r w:rsidRPr="004277B6">
        <w:rPr>
          <w:rFonts w:cs="Times New Roman"/>
        </w:rPr>
        <w:t>Con acceso el 5 de junio de 2020.</w:t>
      </w:r>
    </w:p>
  </w:footnote>
  <w:footnote w:id="28">
    <w:p w14:paraId="1B264632" w14:textId="77777777" w:rsidR="000132C6" w:rsidRPr="00D049BF" w:rsidRDefault="000132C6" w:rsidP="006B49DD">
      <w:pPr>
        <w:pStyle w:val="FootnoteText"/>
      </w:pPr>
      <w:r w:rsidRPr="002960CB">
        <w:rPr>
          <w:rStyle w:val="FootnoteReference"/>
        </w:rPr>
        <w:footnoteRef/>
      </w:r>
      <w:r w:rsidRPr="00D049BF">
        <w:t xml:space="preserve"> Este proyecto se aprobó el 20 de noviembre de 2018 como se refleja en las actas de la reuni</w:t>
      </w:r>
      <w:r>
        <w:t xml:space="preserve">ón del Comité Técnico del GMP. </w:t>
      </w:r>
      <w:r w:rsidRPr="004277B6">
        <w:t>Ver GMP de</w:t>
      </w:r>
      <w:r w:rsidRPr="004277B6">
        <w:rPr>
          <w:rFonts w:cstheme="majorHAnsi"/>
        </w:rPr>
        <w:t xml:space="preserve"> Honduras (noviembre de 2018). </w:t>
      </w:r>
      <w:r w:rsidRPr="00D049BF">
        <w:rPr>
          <w:rFonts w:cstheme="majorHAnsi"/>
        </w:rPr>
        <w:t xml:space="preserve">Acta (p. 4), recuperada de: </w:t>
      </w:r>
      <w:hyperlink r:id="rId27" w:history="1">
        <w:r w:rsidRPr="00D049BF">
          <w:rPr>
            <w:rStyle w:val="Hyperlink"/>
            <w:rFonts w:ascii="Franklin Gothic Book" w:hAnsi="Franklin Gothic Book" w:cstheme="majorHAnsi"/>
          </w:rPr>
          <w:t>https://portalunico.iaip.gob.hn/portal/ver_documento.php?uid=NDU3Njk2ODkzNDc2MzQ4NzEyNDYxOTg3MjM0Mg==</w:t>
        </w:r>
      </w:hyperlink>
      <w:r>
        <w:rPr>
          <w:rFonts w:cs="Times New Roman"/>
        </w:rPr>
        <w:t xml:space="preserve">. Con acceso el </w:t>
      </w:r>
      <w:r w:rsidRPr="00D049BF">
        <w:rPr>
          <w:rFonts w:cs="Times New Roman"/>
        </w:rPr>
        <w:t xml:space="preserve">5 </w:t>
      </w:r>
      <w:r>
        <w:rPr>
          <w:rFonts w:cs="Times New Roman"/>
        </w:rPr>
        <w:t>de junio de</w:t>
      </w:r>
      <w:r w:rsidRPr="00D049BF">
        <w:rPr>
          <w:rFonts w:cs="Times New Roman"/>
        </w:rPr>
        <w:t xml:space="preserve"> 2020</w:t>
      </w:r>
      <w:r>
        <w:rPr>
          <w:rFonts w:cs="Times New Roman"/>
        </w:rPr>
        <w:t>.</w:t>
      </w:r>
    </w:p>
  </w:footnote>
  <w:footnote w:id="29">
    <w:p w14:paraId="265F9BE5" w14:textId="77777777" w:rsidR="000132C6" w:rsidRPr="00F22DB8" w:rsidRDefault="000132C6" w:rsidP="006B49DD">
      <w:pPr>
        <w:pStyle w:val="FootnoteText"/>
      </w:pPr>
      <w:r w:rsidRPr="0040330B">
        <w:rPr>
          <w:rStyle w:val="FootnoteReference"/>
        </w:rPr>
        <w:footnoteRef/>
      </w:r>
      <w:r w:rsidRPr="00F22DB8">
        <w:rPr>
          <w:rFonts w:cstheme="majorHAnsi"/>
        </w:rPr>
        <w:t xml:space="preserve">Ver Decreto </w:t>
      </w:r>
      <w:proofErr w:type="spellStart"/>
      <w:r w:rsidRPr="00F22DB8">
        <w:rPr>
          <w:rFonts w:cstheme="majorHAnsi"/>
        </w:rPr>
        <w:t>n.°</w:t>
      </w:r>
      <w:proofErr w:type="spellEnd"/>
      <w:r w:rsidRPr="00F22DB8">
        <w:t xml:space="preserve"> 171-2019 (31 de diciembre de 2019), recuperado de </w:t>
      </w:r>
      <w:hyperlink r:id="rId28" w:history="1">
        <w:r w:rsidRPr="00F22DB8">
          <w:rPr>
            <w:rStyle w:val="Hyperlink"/>
            <w:rFonts w:ascii="Franklin Gothic Book" w:hAnsi="Franklin Gothic Book"/>
          </w:rPr>
          <w:t>https://www.tsc.gob.hn/web/leyes/Decreto-171-2019.pdf</w:t>
        </w:r>
      </w:hyperlink>
      <w:r w:rsidRPr="00F22DB8">
        <w:t>, p. 99</w:t>
      </w:r>
      <w:r>
        <w:rPr>
          <w:rFonts w:cs="Times New Roman"/>
        </w:rPr>
        <w:t xml:space="preserve">. Con acceso el </w:t>
      </w:r>
      <w:r w:rsidRPr="00D049BF">
        <w:rPr>
          <w:rFonts w:cs="Times New Roman"/>
        </w:rPr>
        <w:t xml:space="preserve">5 </w:t>
      </w:r>
      <w:r>
        <w:rPr>
          <w:rFonts w:cs="Times New Roman"/>
        </w:rPr>
        <w:t>de junio de</w:t>
      </w:r>
      <w:r w:rsidRPr="00D049BF">
        <w:rPr>
          <w:rFonts w:cs="Times New Roman"/>
        </w:rPr>
        <w:t xml:space="preserve"> 2020</w:t>
      </w:r>
      <w:r>
        <w:rPr>
          <w:rFonts w:cs="Times New Roman"/>
        </w:rPr>
        <w:t>.</w:t>
      </w:r>
    </w:p>
  </w:footnote>
  <w:footnote w:id="30">
    <w:p w14:paraId="3CEC6EB7" w14:textId="5C876025" w:rsidR="000132C6" w:rsidRPr="00F22DB8" w:rsidRDefault="000132C6" w:rsidP="006B49DD">
      <w:pPr>
        <w:pStyle w:val="FootnoteText"/>
        <w:rPr>
          <w:rFonts w:cstheme="majorHAnsi"/>
        </w:rPr>
      </w:pPr>
      <w:r w:rsidRPr="0040330B">
        <w:rPr>
          <w:rStyle w:val="FootnoteReference"/>
        </w:rPr>
        <w:footnoteRef/>
      </w:r>
      <w:r w:rsidRPr="00F22DB8">
        <w:t>Ver GMP de Honduras 2019-2020 (julio de 2019), Plan de trabajo (p</w:t>
      </w:r>
      <w:r>
        <w:t>unto</w:t>
      </w:r>
      <w:r w:rsidRPr="00F22DB8">
        <w:t xml:space="preserve"> 11)</w:t>
      </w:r>
      <w:r>
        <w:t>. Disponible aquí</w:t>
      </w:r>
      <w:r w:rsidRPr="00F22DB8">
        <w:t>:</w:t>
      </w:r>
      <w:r w:rsidR="0043321C">
        <w:t xml:space="preserve"> </w:t>
      </w:r>
      <w:hyperlink r:id="rId29" w:history="1">
        <w:r w:rsidR="0043321C" w:rsidRPr="0043321C">
          <w:rPr>
            <w:rStyle w:val="Hyperlink"/>
            <w:rFonts w:ascii="Franklin Gothic Book" w:hAnsi="Franklin Gothic Book"/>
          </w:rPr>
          <w:t>https://portalunico.iaip.gob.hn/portal/ver_documento.php?uid=NTUwMDgwODkzNDc2MzQ4NzEyNDYxOTg3MjM0Mg==</w:t>
        </w:r>
      </w:hyperlink>
      <w:r>
        <w:rPr>
          <w:rFonts w:cs="Times New Roman"/>
        </w:rPr>
        <w:t xml:space="preserve">. Con acceso el </w:t>
      </w:r>
      <w:r w:rsidRPr="00D049BF">
        <w:rPr>
          <w:rFonts w:cs="Times New Roman"/>
        </w:rPr>
        <w:t xml:space="preserve">5 </w:t>
      </w:r>
      <w:r>
        <w:rPr>
          <w:rFonts w:cs="Times New Roman"/>
        </w:rPr>
        <w:t>de junio de</w:t>
      </w:r>
      <w:r w:rsidRPr="00D049BF">
        <w:rPr>
          <w:rFonts w:cs="Times New Roman"/>
        </w:rPr>
        <w:t xml:space="preserve"> 2020</w:t>
      </w:r>
      <w:r>
        <w:rPr>
          <w:rFonts w:cs="Times New Roman"/>
        </w:rPr>
        <w:t>.</w:t>
      </w:r>
      <w:r w:rsidRPr="00F22DB8">
        <w:t xml:space="preserve"> </w:t>
      </w:r>
    </w:p>
  </w:footnote>
  <w:footnote w:id="31">
    <w:p w14:paraId="55604A1B" w14:textId="77777777" w:rsidR="000132C6" w:rsidRPr="00F22DB8" w:rsidRDefault="000132C6" w:rsidP="00C64AF2">
      <w:pPr>
        <w:pStyle w:val="FootnoteText"/>
      </w:pPr>
      <w:r w:rsidRPr="0040330B">
        <w:rPr>
          <w:rStyle w:val="FootnoteReference"/>
        </w:rPr>
        <w:footnoteRef/>
      </w:r>
      <w:r w:rsidRPr="00F22DB8">
        <w:t xml:space="preserve"> Ver GMP de Honduras (diciembre de 2019).</w:t>
      </w:r>
      <w:r>
        <w:t xml:space="preserve"> Acta</w:t>
      </w:r>
      <w:r w:rsidRPr="00F22DB8">
        <w:t xml:space="preserve"> 15. Reuniones del GMP. </w:t>
      </w:r>
      <w:r>
        <w:t xml:space="preserve">Disponible </w:t>
      </w:r>
      <w:r w:rsidRPr="00F22DB8">
        <w:t>aqu</w:t>
      </w:r>
      <w:r>
        <w:t xml:space="preserve">í: </w:t>
      </w:r>
      <w:hyperlink r:id="rId30" w:history="1">
        <w:r w:rsidRPr="00F22DB8">
          <w:rPr>
            <w:rStyle w:val="Hyperlink"/>
            <w:rFonts w:ascii="Franklin Gothic Book" w:hAnsi="Franklin Gothic Book"/>
          </w:rPr>
          <w:t>https://portalunico.iaip.gob.hn/portal/ver_documento.php?uid=NjYwMDI0ODkzNDc2MzQ4NzEyNDYxOTg3MjM0Mg==</w:t>
        </w:r>
      </w:hyperlink>
      <w:r>
        <w:rPr>
          <w:rFonts w:cs="Times New Roman"/>
        </w:rPr>
        <w:t xml:space="preserve">. Con acceso el </w:t>
      </w:r>
      <w:r w:rsidRPr="00D049BF">
        <w:rPr>
          <w:rFonts w:cs="Times New Roman"/>
        </w:rPr>
        <w:t xml:space="preserve">5 </w:t>
      </w:r>
      <w:r>
        <w:rPr>
          <w:rFonts w:cs="Times New Roman"/>
        </w:rPr>
        <w:t>de junio de</w:t>
      </w:r>
      <w:r w:rsidRPr="00D049BF">
        <w:rPr>
          <w:rFonts w:cs="Times New Roman"/>
        </w:rPr>
        <w:t xml:space="preserve"> 2020</w:t>
      </w:r>
      <w:r>
        <w:rPr>
          <w:rFonts w:cs="Times New Roman"/>
        </w:rPr>
        <w:t>.</w:t>
      </w:r>
    </w:p>
  </w:footnote>
  <w:footnote w:id="32">
    <w:p w14:paraId="6A07CFAA" w14:textId="0FB943BC" w:rsidR="000132C6" w:rsidRPr="00EA60A7" w:rsidRDefault="000132C6" w:rsidP="00C64AF2">
      <w:pPr>
        <w:pStyle w:val="FootnoteText"/>
        <w:rPr>
          <w:rFonts w:cstheme="majorHAnsi"/>
        </w:rPr>
      </w:pPr>
      <w:r w:rsidRPr="0040330B">
        <w:rPr>
          <w:rStyle w:val="FootnoteReference"/>
        </w:rPr>
        <w:footnoteRef/>
      </w:r>
      <w:r w:rsidRPr="00F22DB8">
        <w:t>Ver GMP de Honduras (</w:t>
      </w:r>
      <w:r>
        <w:t>agosto</w:t>
      </w:r>
      <w:r w:rsidRPr="00F22DB8">
        <w:t xml:space="preserve"> de 2019).</w:t>
      </w:r>
      <w:r>
        <w:t xml:space="preserve"> Acta</w:t>
      </w:r>
      <w:r w:rsidRPr="00F22DB8">
        <w:t xml:space="preserve"> </w:t>
      </w:r>
      <w:r>
        <w:t>9</w:t>
      </w:r>
      <w:r w:rsidRPr="00F22DB8">
        <w:t xml:space="preserve">. Reuniones del GMP. </w:t>
      </w:r>
      <w:r>
        <w:t xml:space="preserve">Disponible </w:t>
      </w:r>
      <w:r w:rsidRPr="00F22DB8">
        <w:t>aqu</w:t>
      </w:r>
      <w:r>
        <w:t>í</w:t>
      </w:r>
      <w:r w:rsidRPr="00EA60A7">
        <w:t xml:space="preserve">: </w:t>
      </w:r>
      <w:hyperlink r:id="rId31" w:history="1">
        <w:r w:rsidRPr="00EA60A7">
          <w:rPr>
            <w:rStyle w:val="Hyperlink"/>
            <w:rFonts w:ascii="Franklin Gothic Book" w:hAnsi="Franklin Gothic Book"/>
          </w:rPr>
          <w:t>https://portalunico.iaip.gob.hn/portal/ver_documento.php?uid=NTg5MjkxODkzNDc2MzQ4NzEyNDYxOTg3MjM0Mg==</w:t>
        </w:r>
      </w:hyperlink>
      <w:r w:rsidR="00E00214">
        <w:rPr>
          <w:rStyle w:val="Hyperlink"/>
          <w:rFonts w:ascii="Franklin Gothic Book" w:hAnsi="Franklin Gothic Book"/>
        </w:rPr>
        <w:t>.</w:t>
      </w:r>
      <w:r>
        <w:rPr>
          <w:rFonts w:cs="Times New Roman"/>
        </w:rPr>
        <w:t xml:space="preserve"> Con acceso el </w:t>
      </w:r>
      <w:r w:rsidRPr="00D049BF">
        <w:rPr>
          <w:rFonts w:cs="Times New Roman"/>
        </w:rPr>
        <w:t xml:space="preserve">5 </w:t>
      </w:r>
      <w:r>
        <w:rPr>
          <w:rFonts w:cs="Times New Roman"/>
        </w:rPr>
        <w:t>de junio de</w:t>
      </w:r>
      <w:r w:rsidRPr="00D049BF">
        <w:rPr>
          <w:rFonts w:cs="Times New Roman"/>
        </w:rPr>
        <w:t xml:space="preserve"> 2020</w:t>
      </w:r>
      <w:r>
        <w:rPr>
          <w:rFonts w:cs="Times New Roman"/>
        </w:rPr>
        <w:t>.</w:t>
      </w:r>
    </w:p>
  </w:footnote>
  <w:footnote w:id="33">
    <w:p w14:paraId="48B68F23" w14:textId="51683832" w:rsidR="000132C6" w:rsidRPr="006F40F7" w:rsidRDefault="000132C6" w:rsidP="00753660">
      <w:pPr>
        <w:pStyle w:val="FootnoteText"/>
        <w:rPr>
          <w:sz w:val="18"/>
          <w:szCs w:val="18"/>
        </w:rPr>
      </w:pPr>
      <w:r>
        <w:rPr>
          <w:rStyle w:val="FootnoteReference"/>
          <w:sz w:val="18"/>
          <w:szCs w:val="18"/>
        </w:rPr>
        <w:footnoteRef/>
      </w:r>
      <w:r w:rsidRPr="00EA60A7">
        <w:rPr>
          <w:sz w:val="18"/>
          <w:szCs w:val="18"/>
        </w:rPr>
        <w:t xml:space="preserve"> Ver: </w:t>
      </w:r>
      <w:r w:rsidRPr="00EA60A7">
        <w:t>Secretaría de Recursos Naturales y el Ambiente (agosto de 2018)</w:t>
      </w:r>
      <w:r>
        <w:t xml:space="preserve">, Convenio </w:t>
      </w:r>
      <w:r w:rsidRPr="00EA60A7">
        <w:t xml:space="preserve">Ministerial </w:t>
      </w:r>
      <w:proofErr w:type="spellStart"/>
      <w:r>
        <w:t>n.°</w:t>
      </w:r>
      <w:proofErr w:type="spellEnd"/>
      <w:r w:rsidRPr="00EA60A7">
        <w:t xml:space="preserve"> 1402-2018. </w:t>
      </w:r>
      <w:r>
        <w:t>Disponible aquí</w:t>
      </w:r>
      <w:r w:rsidRPr="006F40F7">
        <w:t xml:space="preserve">: </w:t>
      </w:r>
      <w:hyperlink r:id="rId32" w:history="1">
        <w:r w:rsidRPr="006F40F7">
          <w:rPr>
            <w:rStyle w:val="Hyperlink"/>
            <w:rFonts w:ascii="Franklin Gothic Book" w:hAnsi="Franklin Gothic Book"/>
          </w:rPr>
          <w:t>https://tzibalnaah.unah.edu.hn/bitstream/handle/123456789/8638/20180817.pdf?sequence=2&amp;isAllowed=y</w:t>
        </w:r>
      </w:hyperlink>
      <w:r w:rsidR="00E00214">
        <w:rPr>
          <w:rStyle w:val="Hyperlink"/>
          <w:rFonts w:ascii="Franklin Gothic Book" w:hAnsi="Franklin Gothic Book"/>
        </w:rPr>
        <w:t>.</w:t>
      </w:r>
      <w:r>
        <w:rPr>
          <w:rFonts w:cs="Times New Roman"/>
        </w:rPr>
        <w:t xml:space="preserve"> Con acceso el </w:t>
      </w:r>
      <w:r w:rsidRPr="00D049BF">
        <w:rPr>
          <w:rFonts w:cs="Times New Roman"/>
        </w:rPr>
        <w:t xml:space="preserve">5 </w:t>
      </w:r>
      <w:r>
        <w:rPr>
          <w:rFonts w:cs="Times New Roman"/>
        </w:rPr>
        <w:t>de junio de</w:t>
      </w:r>
      <w:r w:rsidRPr="00D049BF">
        <w:rPr>
          <w:rFonts w:cs="Times New Roman"/>
        </w:rPr>
        <w:t xml:space="preserve"> 2020</w:t>
      </w:r>
      <w:r>
        <w:rPr>
          <w:rFonts w:cs="Times New Roman"/>
        </w:rPr>
        <w:t>.</w:t>
      </w:r>
    </w:p>
  </w:footnote>
  <w:footnote w:id="34">
    <w:p w14:paraId="1E9E1E83" w14:textId="03DCF153" w:rsidR="000132C6" w:rsidRPr="006F40F7" w:rsidRDefault="000132C6" w:rsidP="00C87590">
      <w:pPr>
        <w:spacing w:after="0" w:line="240" w:lineRule="auto"/>
        <w:rPr>
          <w:rFonts w:cs="Times New Roman"/>
          <w:color w:val="0084B4"/>
          <w:sz w:val="16"/>
          <w:szCs w:val="16"/>
          <w:u w:val="single"/>
        </w:rPr>
      </w:pPr>
      <w:r w:rsidRPr="0040330B">
        <w:rPr>
          <w:rStyle w:val="FootnoteReference"/>
          <w:sz w:val="16"/>
          <w:szCs w:val="16"/>
        </w:rPr>
        <w:footnoteRef/>
      </w:r>
      <w:r w:rsidRPr="006F40F7">
        <w:rPr>
          <w:sz w:val="16"/>
          <w:szCs w:val="16"/>
        </w:rPr>
        <w:t xml:space="preserve">Ver: IAIP (octubre de 2019). Resolución SE-004-2019. Recuperada de: </w:t>
      </w:r>
      <w:hyperlink r:id="rId33" w:history="1">
        <w:r w:rsidR="00E00214" w:rsidRPr="006F40F7">
          <w:rPr>
            <w:rStyle w:val="Hyperlink"/>
            <w:rFonts w:ascii="Franklin Gothic Book" w:hAnsi="Franklin Gothic Book"/>
            <w:sz w:val="16"/>
            <w:szCs w:val="16"/>
          </w:rPr>
          <w:t>https://portalunico.iaip.gob.hn/portal/ver_documento.php?uid=NzE3NjI4ODkzNDc2MzQ4NzEyNDYxOTg3MjM0Mg==</w:t>
        </w:r>
      </w:hyperlink>
      <w:r w:rsidR="00E00214">
        <w:rPr>
          <w:rStyle w:val="Hyperlink"/>
          <w:rFonts w:ascii="Franklin Gothic Book" w:hAnsi="Franklin Gothic Book"/>
        </w:rPr>
        <w:t>.</w:t>
      </w:r>
      <w:r w:rsidR="00E00214">
        <w:rPr>
          <w:rFonts w:cs="Times New Roman"/>
        </w:rPr>
        <w:t xml:space="preserve"> </w:t>
      </w:r>
      <w:r w:rsidRPr="006F40F7">
        <w:rPr>
          <w:sz w:val="16"/>
          <w:szCs w:val="16"/>
        </w:rPr>
        <w:t>Con acceso el 5 de junio de 2020</w:t>
      </w:r>
      <w:r>
        <w:rPr>
          <w:rFonts w:cs="Times New Roman"/>
        </w:rPr>
        <w:t>.</w:t>
      </w:r>
    </w:p>
  </w:footnote>
  <w:footnote w:id="35">
    <w:p w14:paraId="3305578A" w14:textId="77777777" w:rsidR="000132C6" w:rsidRDefault="000132C6" w:rsidP="00C87590">
      <w:pPr>
        <w:pStyle w:val="FootnoteText"/>
        <w:spacing w:line="240" w:lineRule="auto"/>
        <w:rPr>
          <w:b/>
          <w:lang w:val="es-MX"/>
        </w:rPr>
      </w:pPr>
      <w:r w:rsidRPr="002960CB">
        <w:footnoteRef/>
      </w:r>
      <w:r>
        <w:rPr>
          <w:lang w:val="es-MX"/>
        </w:rPr>
        <w:t>Ver</w:t>
      </w:r>
      <w:r w:rsidRPr="002960CB">
        <w:rPr>
          <w:lang w:val="es-MX"/>
        </w:rPr>
        <w:t>: Edwin Funes (31</w:t>
      </w:r>
      <w:r>
        <w:rPr>
          <w:lang w:val="es-MX"/>
        </w:rPr>
        <w:t xml:space="preserve"> de octubre de </w:t>
      </w:r>
      <w:r w:rsidRPr="002960CB">
        <w:rPr>
          <w:lang w:val="es-MX"/>
        </w:rPr>
        <w:t xml:space="preserve">2019) </w:t>
      </w:r>
      <w:r w:rsidRPr="0040330B">
        <w:rPr>
          <w:lang w:val="es-MX"/>
        </w:rPr>
        <w:t>“</w:t>
      </w:r>
      <w:r w:rsidRPr="002960CB">
        <w:rPr>
          <w:lang w:val="es-MX"/>
        </w:rPr>
        <w:t>IAIP anula resolución que declaraba en secreto información de licencias ambientales”</w:t>
      </w:r>
      <w:r w:rsidRPr="0040330B">
        <w:rPr>
          <w:lang w:val="es-MX"/>
        </w:rPr>
        <w:t xml:space="preserve"> </w:t>
      </w:r>
      <w:r>
        <w:rPr>
          <w:lang w:val="es-MX"/>
        </w:rPr>
        <w:t>Disponible aquí</w:t>
      </w:r>
      <w:r w:rsidRPr="0040330B">
        <w:rPr>
          <w:lang w:val="es-MX"/>
        </w:rPr>
        <w:t>:</w:t>
      </w:r>
    </w:p>
    <w:p w14:paraId="6EFC1BB4" w14:textId="4E22AC5B" w:rsidR="000132C6" w:rsidRPr="004277B6" w:rsidRDefault="00801158" w:rsidP="00C87590">
      <w:pPr>
        <w:pStyle w:val="FootnoteText"/>
      </w:pPr>
      <w:hyperlink r:id="rId34" w:history="1">
        <w:r w:rsidR="000132C6" w:rsidRPr="006F40F7">
          <w:rPr>
            <w:rStyle w:val="Hyperlink"/>
            <w:rFonts w:ascii="Franklin Gothic Book" w:hAnsi="Franklin Gothic Book"/>
          </w:rPr>
          <w:t>https://tiempo.hn/iaip-anula-resolucion-declaraba-secreto-informacion-licencias-ambientales1/</w:t>
        </w:r>
      </w:hyperlink>
      <w:r w:rsidR="009163E2">
        <w:rPr>
          <w:rStyle w:val="Hyperlink"/>
          <w:rFonts w:ascii="Franklin Gothic Book" w:hAnsi="Franklin Gothic Book"/>
        </w:rPr>
        <w:t>.</w:t>
      </w:r>
      <w:r w:rsidR="000132C6">
        <w:rPr>
          <w:rFonts w:cs="Times New Roman"/>
        </w:rPr>
        <w:t xml:space="preserve"> Con acceso el </w:t>
      </w:r>
      <w:r w:rsidR="000132C6" w:rsidRPr="00D049BF">
        <w:rPr>
          <w:rFonts w:cs="Times New Roman"/>
        </w:rPr>
        <w:t xml:space="preserve">5 </w:t>
      </w:r>
      <w:r w:rsidR="000132C6">
        <w:rPr>
          <w:rFonts w:cs="Times New Roman"/>
        </w:rPr>
        <w:t>de junio de</w:t>
      </w:r>
      <w:r w:rsidR="000132C6" w:rsidRPr="00D049BF">
        <w:rPr>
          <w:rFonts w:cs="Times New Roman"/>
        </w:rPr>
        <w:t xml:space="preserve"> 2020</w:t>
      </w:r>
      <w:r w:rsidR="000132C6">
        <w:rPr>
          <w:rFonts w:cs="Times New Roman"/>
        </w:rPr>
        <w:t>.</w:t>
      </w:r>
    </w:p>
  </w:footnote>
  <w:footnote w:id="36">
    <w:p w14:paraId="58BFA8AC" w14:textId="233B0989" w:rsidR="000132C6" w:rsidRPr="006F40F7" w:rsidRDefault="000132C6" w:rsidP="00C87590">
      <w:pPr>
        <w:pStyle w:val="FootnoteText"/>
      </w:pPr>
      <w:r w:rsidRPr="0040330B">
        <w:rPr>
          <w:rStyle w:val="FootnoteReference"/>
        </w:rPr>
        <w:footnoteRef/>
      </w:r>
      <w:r w:rsidRPr="006F40F7">
        <w:t xml:space="preserve">Ver: GMP de Honduras (julio de 2019). Plan de trabajo de EITI Honduras, recuperado de: </w:t>
      </w:r>
      <w:hyperlink r:id="rId35" w:history="1">
        <w:r w:rsidRPr="006F40F7">
          <w:rPr>
            <w:rStyle w:val="Hyperlink"/>
            <w:rFonts w:ascii="Franklin Gothic Book" w:hAnsi="Franklin Gothic Book"/>
          </w:rPr>
          <w:t>https://eiti.org/files/documents/honduras_-_plan_de_trabajo_2019_eiti-hn_vff.pdf</w:t>
        </w:r>
      </w:hyperlink>
      <w:r w:rsidR="009163E2">
        <w:rPr>
          <w:rStyle w:val="Hyperlink"/>
          <w:rFonts w:ascii="Franklin Gothic Book" w:hAnsi="Franklin Gothic Book"/>
        </w:rPr>
        <w:t>.</w:t>
      </w:r>
      <w:r>
        <w:rPr>
          <w:rFonts w:cs="Times New Roman"/>
        </w:rPr>
        <w:t xml:space="preserve"> Con acceso el </w:t>
      </w:r>
      <w:r w:rsidRPr="00D049BF">
        <w:rPr>
          <w:rFonts w:cs="Times New Roman"/>
        </w:rPr>
        <w:t xml:space="preserve">5 </w:t>
      </w:r>
      <w:r>
        <w:rPr>
          <w:rFonts w:cs="Times New Roman"/>
        </w:rPr>
        <w:t>de junio de</w:t>
      </w:r>
      <w:r w:rsidRPr="00D049BF">
        <w:rPr>
          <w:rFonts w:cs="Times New Roman"/>
        </w:rPr>
        <w:t xml:space="preserve"> 2020</w:t>
      </w:r>
      <w:r>
        <w:rPr>
          <w:rFonts w:cs="Times New Roman"/>
        </w:rPr>
        <w:t>.</w:t>
      </w:r>
    </w:p>
  </w:footnote>
  <w:footnote w:id="37">
    <w:p w14:paraId="4BB6B80F" w14:textId="77777777" w:rsidR="000132C6" w:rsidRPr="00470E39" w:rsidRDefault="000132C6">
      <w:pPr>
        <w:pStyle w:val="FootnoteText"/>
        <w:rPr>
          <w:sz w:val="18"/>
          <w:szCs w:val="18"/>
        </w:rPr>
      </w:pPr>
      <w:r>
        <w:rPr>
          <w:rStyle w:val="FootnoteReference"/>
          <w:sz w:val="18"/>
          <w:szCs w:val="18"/>
        </w:rPr>
        <w:footnoteRef/>
      </w:r>
      <w:r w:rsidRPr="00470E39">
        <w:rPr>
          <w:sz w:val="18"/>
          <w:szCs w:val="18"/>
        </w:rPr>
        <w:t xml:space="preserve"> Ver:</w:t>
      </w:r>
      <w:r w:rsidRPr="00470E39">
        <w:t xml:space="preserve"> EITI Honduras (abril de 2019), Informe de progreso 2018. Disponible aquí: </w:t>
      </w:r>
      <w:hyperlink r:id="rId36" w:history="1">
        <w:r w:rsidRPr="00470E39">
          <w:rPr>
            <w:rStyle w:val="Hyperlink"/>
            <w:rFonts w:ascii="Franklin Gothic Book" w:hAnsi="Franklin Gothic Book"/>
          </w:rPr>
          <w:t>https://portalunico.iaip.gob.hn/portal/ver_documento.php?uid=NTIyODQ3ODkzNDc2MzQ4NzEyNDYxOTg3MjM0Mg</w:t>
        </w:r>
      </w:hyperlink>
      <w:r w:rsidRPr="00470E39">
        <w:t xml:space="preserve">. </w:t>
      </w:r>
      <w:r>
        <w:t xml:space="preserve">Con acceso el </w:t>
      </w:r>
      <w:r w:rsidRPr="00470E39">
        <w:t xml:space="preserve">5 </w:t>
      </w:r>
      <w:r>
        <w:t>de junio de</w:t>
      </w:r>
      <w:r w:rsidRPr="00470E39">
        <w:t xml:space="preserve"> 2020</w:t>
      </w:r>
      <w:r>
        <w:t>.</w:t>
      </w:r>
    </w:p>
  </w:footnote>
  <w:footnote w:id="38">
    <w:p w14:paraId="3BBFEEAB" w14:textId="77777777" w:rsidR="000132C6" w:rsidRPr="00992DD9" w:rsidRDefault="000132C6" w:rsidP="000B24F5">
      <w:pPr>
        <w:pStyle w:val="FootnoteText"/>
        <w:rPr>
          <w:sz w:val="18"/>
          <w:szCs w:val="18"/>
        </w:rPr>
      </w:pPr>
      <w:r>
        <w:rPr>
          <w:rStyle w:val="FootnoteReference"/>
          <w:sz w:val="18"/>
          <w:szCs w:val="18"/>
        </w:rPr>
        <w:footnoteRef/>
      </w:r>
      <w:r>
        <w:rPr>
          <w:sz w:val="18"/>
          <w:szCs w:val="18"/>
        </w:rPr>
        <w:t xml:space="preserve"> </w:t>
      </w:r>
      <w:r>
        <w:rPr>
          <w:rFonts w:cstheme="majorHAnsi"/>
        </w:rPr>
        <w:t xml:space="preserve">Ver: </w:t>
      </w:r>
      <w:r w:rsidRPr="00CB1C43">
        <w:rPr>
          <w:rFonts w:cstheme="majorHAnsi"/>
        </w:rPr>
        <w:t>EITI Honduras</w:t>
      </w:r>
      <w:r>
        <w:rPr>
          <w:rFonts w:cstheme="majorHAnsi"/>
        </w:rPr>
        <w:t xml:space="preserve"> </w:t>
      </w:r>
      <w:r w:rsidRPr="00CB1C43">
        <w:rPr>
          <w:rFonts w:cstheme="majorHAnsi"/>
        </w:rPr>
        <w:t>(</w:t>
      </w:r>
      <w:r>
        <w:rPr>
          <w:rFonts w:cstheme="majorHAnsi"/>
        </w:rPr>
        <w:t>febrero de</w:t>
      </w:r>
      <w:r w:rsidRPr="00CB1C43">
        <w:rPr>
          <w:rFonts w:cstheme="majorHAnsi"/>
        </w:rPr>
        <w:t xml:space="preserve"> 2016) </w:t>
      </w:r>
      <w:r>
        <w:rPr>
          <w:rFonts w:cstheme="majorHAnsi"/>
        </w:rPr>
        <w:t xml:space="preserve">Informe </w:t>
      </w:r>
      <w:r w:rsidRPr="00CB1C43">
        <w:rPr>
          <w:rFonts w:cstheme="majorHAnsi"/>
        </w:rPr>
        <w:t xml:space="preserve">EITI 2014. </w:t>
      </w:r>
      <w:r w:rsidRPr="00470E39">
        <w:t xml:space="preserve">Disponible aquí: </w:t>
      </w:r>
      <w:hyperlink r:id="rId37" w:history="1">
        <w:r w:rsidRPr="00CB1C43">
          <w:rPr>
            <w:rStyle w:val="Hyperlink"/>
            <w:rFonts w:ascii="Franklin Gothic Book" w:hAnsi="Franklin Gothic Book" w:cstheme="majorHAnsi"/>
          </w:rPr>
          <w:t>https://eiti.org/sites/default/files/documents/eiti-hn-2014.pdf</w:t>
        </w:r>
      </w:hyperlink>
      <w:r w:rsidRPr="00470E39">
        <w:t xml:space="preserve">. </w:t>
      </w:r>
      <w:r>
        <w:t xml:space="preserve">Con acceso el </w:t>
      </w:r>
      <w:r w:rsidRPr="00470E39">
        <w:t xml:space="preserve">5 </w:t>
      </w:r>
      <w:r>
        <w:t>de junio de</w:t>
      </w:r>
      <w:r w:rsidRPr="00470E39">
        <w:t xml:space="preserve"> 2020</w:t>
      </w:r>
      <w:r>
        <w:t>.</w:t>
      </w:r>
    </w:p>
  </w:footnote>
  <w:footnote w:id="39">
    <w:p w14:paraId="4D33DA15" w14:textId="77777777" w:rsidR="000132C6" w:rsidRPr="004277B6" w:rsidRDefault="000132C6" w:rsidP="00D145AB">
      <w:pPr>
        <w:pStyle w:val="FootnoteText"/>
      </w:pPr>
      <w:r w:rsidRPr="0040330B">
        <w:rPr>
          <w:rStyle w:val="FootnoteReference"/>
        </w:rPr>
        <w:footnoteRef/>
      </w:r>
      <w:r w:rsidRPr="00925783">
        <w:t xml:space="preserve"> Ver el sitio web de FEDECAMARA para más ejemplos: </w:t>
      </w:r>
      <w:hyperlink r:id="rId38" w:history="1">
        <w:r w:rsidRPr="00925783">
          <w:rPr>
            <w:rStyle w:val="Hyperlink"/>
            <w:rFonts w:ascii="Franklin Gothic Book" w:hAnsi="Franklin Gothic Book"/>
          </w:rPr>
          <w:t>http://www.fedecamarahn.org/fv2/index.php/actividades/alianzas/397-resumen-de-alianzas-y-colaboraciones</w:t>
        </w:r>
      </w:hyperlink>
      <w:r w:rsidRPr="00470E39">
        <w:t xml:space="preserve">. </w:t>
      </w:r>
      <w:r>
        <w:t xml:space="preserve">Con acceso el </w:t>
      </w:r>
      <w:r w:rsidRPr="00470E39">
        <w:t xml:space="preserve">5 </w:t>
      </w:r>
      <w:r>
        <w:t>de junio de</w:t>
      </w:r>
      <w:r w:rsidRPr="00470E39">
        <w:t xml:space="preserve"> 2020</w:t>
      </w:r>
      <w:r>
        <w:t>.</w:t>
      </w:r>
    </w:p>
  </w:footnote>
  <w:footnote w:id="40">
    <w:p w14:paraId="594227CD" w14:textId="2AE98485" w:rsidR="000132C6" w:rsidRPr="00925783" w:rsidRDefault="000132C6" w:rsidP="00D145AB">
      <w:pPr>
        <w:pStyle w:val="FootnoteText"/>
      </w:pPr>
      <w:r w:rsidRPr="0040330B">
        <w:rPr>
          <w:rStyle w:val="FootnoteReference"/>
        </w:rPr>
        <w:footnoteRef/>
      </w:r>
      <w:r w:rsidRPr="00925783">
        <w:t xml:space="preserve"> Ver: EITI Honduras (febrero de 2020) Informe EITI 2017-2018 de Honduras. </w:t>
      </w:r>
      <w:r>
        <w:t>Disponible aquí</w:t>
      </w:r>
      <w:r w:rsidRPr="00925783">
        <w:t>:</w:t>
      </w:r>
      <w:hyperlink r:id="rId39" w:history="1">
        <w:r w:rsidRPr="00925783">
          <w:rPr>
            <w:rStyle w:val="Hyperlink"/>
            <w:rFonts w:ascii="Franklin Gothic Book" w:hAnsi="Franklin Gothic Book"/>
          </w:rPr>
          <w:t>https://www.inhgeomin.gob.hn/images/EITI-HN/Informe%20EITI%20-%20Honduras%20periodos%202017-2018.pdf</w:t>
        </w:r>
      </w:hyperlink>
      <w:r w:rsidRPr="00925783">
        <w:t xml:space="preserve">, pp. 90-93. </w:t>
      </w:r>
      <w:r>
        <w:t xml:space="preserve">Con acceso el </w:t>
      </w:r>
      <w:r w:rsidRPr="00470E39">
        <w:t xml:space="preserve">5 </w:t>
      </w:r>
      <w:r>
        <w:t>de junio de</w:t>
      </w:r>
      <w:r w:rsidRPr="00470E39">
        <w:t xml:space="preserve"> 2020</w:t>
      </w:r>
      <w:r>
        <w:t>.</w:t>
      </w:r>
    </w:p>
  </w:footnote>
  <w:footnote w:id="41">
    <w:p w14:paraId="59FDCAF3" w14:textId="77777777" w:rsidR="000132C6" w:rsidRPr="00925783" w:rsidRDefault="000132C6" w:rsidP="001C65FE">
      <w:pPr>
        <w:pStyle w:val="FootnoteText"/>
      </w:pPr>
      <w:r w:rsidRPr="0040330B">
        <w:rPr>
          <w:rStyle w:val="FootnoteReference"/>
        </w:rPr>
        <w:footnoteRef/>
      </w:r>
      <w:r w:rsidRPr="00925783">
        <w:t xml:space="preserve">Ver: EITI Honduras (abril de 2019), Informe de progreso 2018. </w:t>
      </w:r>
      <w:r>
        <w:t xml:space="preserve">Disponible aquí: </w:t>
      </w:r>
      <w:hyperlink r:id="rId40" w:history="1">
        <w:r w:rsidRPr="00925783">
          <w:rPr>
            <w:rStyle w:val="Hyperlink"/>
            <w:rFonts w:ascii="Franklin Gothic Book" w:hAnsi="Franklin Gothic Book"/>
          </w:rPr>
          <w:t>https://portalunico.iaip.gob.hn/portal/ver_documento.php?uid=NTIyODQ3ODkzNDc2MzQ4NzEyNDYxOTg3MjM0Mg==</w:t>
        </w:r>
      </w:hyperlink>
      <w:r w:rsidRPr="00925783">
        <w:t xml:space="preserve">. </w:t>
      </w:r>
      <w:r>
        <w:t xml:space="preserve">Con acceso el </w:t>
      </w:r>
      <w:r w:rsidRPr="00470E39">
        <w:t xml:space="preserve">5 </w:t>
      </w:r>
      <w:r>
        <w:t>de junio de</w:t>
      </w:r>
      <w:r w:rsidRPr="00470E39">
        <w:t xml:space="preserve"> 2020</w:t>
      </w:r>
      <w:r>
        <w:t>.</w:t>
      </w:r>
    </w:p>
  </w:footnote>
  <w:footnote w:id="42">
    <w:p w14:paraId="785FA032" w14:textId="77777777" w:rsidR="000132C6" w:rsidRPr="00230343" w:rsidRDefault="000132C6" w:rsidP="008F785B">
      <w:pPr>
        <w:pStyle w:val="FootnoteText"/>
      </w:pPr>
      <w:r w:rsidRPr="0040330B">
        <w:rPr>
          <w:rStyle w:val="FootnoteReference"/>
        </w:rPr>
        <w:footnoteRef/>
      </w:r>
      <w:r w:rsidRPr="00230343">
        <w:t xml:space="preserve"> </w:t>
      </w:r>
      <w:r>
        <w:t>Ver</w:t>
      </w:r>
      <w:r w:rsidRPr="00230343">
        <w:t xml:space="preserve">: </w:t>
      </w:r>
      <w:hyperlink r:id="rId41" w:history="1">
        <w:r w:rsidRPr="00230343">
          <w:rPr>
            <w:rStyle w:val="Hyperlink"/>
            <w:rFonts w:ascii="Franklin Gothic Book" w:hAnsi="Franklin Gothic Book"/>
          </w:rPr>
          <w:t>https://honduras.oxfam.org/press-release/foro-nacional-empresa-derechoshumanos-honduras</w:t>
        </w:r>
      </w:hyperlink>
      <w:r w:rsidRPr="00230343">
        <w:t xml:space="preserve"> </w:t>
      </w:r>
      <w:r>
        <w:t>para más pruebas</w:t>
      </w:r>
      <w:r w:rsidRPr="00470E39">
        <w:t xml:space="preserve">. </w:t>
      </w:r>
      <w:r>
        <w:t xml:space="preserve">Con acceso el </w:t>
      </w:r>
      <w:r w:rsidRPr="00470E39">
        <w:t xml:space="preserve">5 </w:t>
      </w:r>
      <w:r>
        <w:t>de junio de</w:t>
      </w:r>
      <w:r w:rsidRPr="00470E39">
        <w:t xml:space="preserve"> 2020</w:t>
      </w:r>
      <w:r>
        <w:t>.</w:t>
      </w:r>
    </w:p>
  </w:footnote>
  <w:footnote w:id="43">
    <w:p w14:paraId="079188CA" w14:textId="77777777" w:rsidR="000132C6" w:rsidRPr="00230343" w:rsidRDefault="000132C6" w:rsidP="008F785B">
      <w:pPr>
        <w:pStyle w:val="FootnoteText"/>
      </w:pPr>
      <w:r w:rsidRPr="0040330B">
        <w:rPr>
          <w:rStyle w:val="FootnoteReference"/>
        </w:rPr>
        <w:footnoteRef/>
      </w:r>
      <w:r w:rsidRPr="00230343">
        <w:t xml:space="preserve"> Para más ejemplos, ver: </w:t>
      </w:r>
      <w:hyperlink r:id="rId42" w:history="1">
        <w:r w:rsidRPr="00230343">
          <w:rPr>
            <w:rStyle w:val="Hyperlink"/>
            <w:rFonts w:ascii="Franklin Gothic Book" w:hAnsi="Franklin Gothic Book"/>
          </w:rPr>
          <w:t>https://onedrive.live.com/?cid=4019917025010926&amp;id=4019917025010926%213868&amp;authkey=%21ANIPnhvDJn6k%5Fgw</w:t>
        </w:r>
      </w:hyperlink>
      <w:r w:rsidRPr="00470E39">
        <w:t xml:space="preserve">. </w:t>
      </w:r>
      <w:r>
        <w:t xml:space="preserve">Con acceso el </w:t>
      </w:r>
      <w:r w:rsidRPr="00470E39">
        <w:t xml:space="preserve">5 </w:t>
      </w:r>
      <w:r>
        <w:t>de junio de</w:t>
      </w:r>
      <w:r w:rsidRPr="00470E39">
        <w:t xml:space="preserve"> 2020</w:t>
      </w:r>
      <w:r>
        <w:t>.</w:t>
      </w:r>
    </w:p>
  </w:footnote>
  <w:footnote w:id="44">
    <w:p w14:paraId="75397323" w14:textId="77777777" w:rsidR="000132C6" w:rsidRPr="00DE01CB" w:rsidRDefault="000132C6">
      <w:pPr>
        <w:pStyle w:val="FootnoteText"/>
        <w:rPr>
          <w:rFonts w:cstheme="majorHAnsi"/>
        </w:rPr>
      </w:pPr>
      <w:r>
        <w:rPr>
          <w:rStyle w:val="FootnoteReference"/>
          <w:sz w:val="18"/>
          <w:szCs w:val="18"/>
        </w:rPr>
        <w:footnoteRef/>
      </w:r>
      <w:r w:rsidRPr="00DE01CB">
        <w:rPr>
          <w:sz w:val="18"/>
          <w:szCs w:val="18"/>
        </w:rPr>
        <w:t xml:space="preserve"> </w:t>
      </w:r>
      <w:r w:rsidRPr="00DE01CB">
        <w:rPr>
          <w:rFonts w:cstheme="majorHAnsi"/>
        </w:rPr>
        <w:t xml:space="preserve">Ver: Constitución de Honduras, recuperada de: </w:t>
      </w:r>
      <w:hyperlink r:id="rId43" w:history="1">
        <w:r w:rsidRPr="00DE01CB">
          <w:rPr>
            <w:rStyle w:val="Hyperlink"/>
            <w:rFonts w:ascii="Franklin Gothic Book" w:hAnsi="Franklin Gothic Book" w:cs="Calibri Light"/>
          </w:rPr>
          <w:t>https://www.oas.org/dil/esp/Constitucion_de_Honduras.pdf</w:t>
        </w:r>
      </w:hyperlink>
      <w:r>
        <w:t xml:space="preserve">. </w:t>
      </w:r>
      <w:r w:rsidRPr="00DE01CB">
        <w:rPr>
          <w:rFonts w:cstheme="majorHAnsi"/>
        </w:rPr>
        <w:t>Con acceso el 5 de junio de 2020.</w:t>
      </w:r>
    </w:p>
  </w:footnote>
  <w:footnote w:id="45">
    <w:p w14:paraId="38030A0A" w14:textId="77777777" w:rsidR="000132C6" w:rsidRPr="00DE01CB" w:rsidRDefault="000132C6">
      <w:pPr>
        <w:pStyle w:val="FootnoteText"/>
        <w:rPr>
          <w:sz w:val="18"/>
          <w:szCs w:val="18"/>
        </w:rPr>
      </w:pPr>
      <w:r>
        <w:rPr>
          <w:rStyle w:val="FootnoteReference"/>
          <w:sz w:val="18"/>
          <w:szCs w:val="18"/>
        </w:rPr>
        <w:footnoteRef/>
      </w:r>
      <w:r>
        <w:rPr>
          <w:sz w:val="18"/>
          <w:szCs w:val="18"/>
        </w:rPr>
        <w:t xml:space="preserve"> </w:t>
      </w:r>
      <w:r>
        <w:t>Ver: Congreso de</w:t>
      </w:r>
      <w:r w:rsidRPr="00DE01CB">
        <w:t xml:space="preserve"> Honduras (</w:t>
      </w:r>
      <w:r>
        <w:t>junio de</w:t>
      </w:r>
      <w:r w:rsidRPr="00DE01CB">
        <w:t xml:space="preserve"> 2011). Decreto 32-2011. Disponible aquí: </w:t>
      </w:r>
      <w:hyperlink r:id="rId44" w:history="1">
        <w:r w:rsidRPr="00DE01CB">
          <w:rPr>
            <w:rStyle w:val="Hyperlink"/>
            <w:rFonts w:ascii="Franklin Gothic Book" w:hAnsi="Franklin Gothic Book"/>
          </w:rPr>
          <w:t>https://mk0rofifiqa2w3u89nud.kinstacdn.com/wp-content/uploads/Honduras_HondurasNGOD.pdf?_ga=2.109701063.336570538.1591319248-312514858.1591319248</w:t>
        </w:r>
      </w:hyperlink>
      <w:r>
        <w:t xml:space="preserve">. </w:t>
      </w:r>
      <w:r w:rsidRPr="00DE01CB">
        <w:rPr>
          <w:rFonts w:cstheme="majorHAnsi"/>
        </w:rPr>
        <w:t>Con acceso el 5 de junio de 2020.</w:t>
      </w:r>
    </w:p>
  </w:footnote>
  <w:footnote w:id="46">
    <w:p w14:paraId="67A4F314" w14:textId="77777777" w:rsidR="000132C6" w:rsidRPr="00D27C01" w:rsidRDefault="000132C6" w:rsidP="003861AF">
      <w:pPr>
        <w:pStyle w:val="FootnoteText"/>
        <w:rPr>
          <w:sz w:val="18"/>
          <w:szCs w:val="18"/>
        </w:rPr>
      </w:pPr>
      <w:r>
        <w:rPr>
          <w:rStyle w:val="FootnoteReference"/>
          <w:rFonts w:cstheme="majorHAnsi"/>
          <w:sz w:val="18"/>
          <w:szCs w:val="18"/>
        </w:rPr>
        <w:footnoteRef/>
      </w:r>
      <w:r w:rsidRPr="00D27C01">
        <w:rPr>
          <w:sz w:val="18"/>
          <w:szCs w:val="18"/>
        </w:rPr>
        <w:t xml:space="preserve"> </w:t>
      </w:r>
      <w:r w:rsidRPr="00D27C01">
        <w:rPr>
          <w:rFonts w:cstheme="majorHAnsi"/>
        </w:rPr>
        <w:t xml:space="preserve">Ver GMP de Honduras (marzo de 2019). </w:t>
      </w:r>
      <w:r>
        <w:rPr>
          <w:rFonts w:cstheme="majorHAnsi"/>
        </w:rPr>
        <w:t>Acta</w:t>
      </w:r>
      <w:r w:rsidRPr="00D27C01">
        <w:rPr>
          <w:rFonts w:cstheme="majorHAnsi"/>
        </w:rPr>
        <w:t xml:space="preserve"> 3. Reuniones del GMP (p. 3). Disponible aquí: </w:t>
      </w:r>
      <w:hyperlink r:id="rId45" w:history="1">
        <w:r w:rsidRPr="00D27C01">
          <w:rPr>
            <w:rStyle w:val="Hyperlink"/>
            <w:rFonts w:ascii="Franklin Gothic Book" w:hAnsi="Franklin Gothic Book" w:cstheme="majorHAnsi"/>
          </w:rPr>
          <w:t>https://portalunico.iaip.gob.hn/portal/ver_documento.php?uid=NTAzNzcyODkzNDc2MzQ4NzEyNDYxOTg3MjM0Mg==</w:t>
        </w:r>
      </w:hyperlink>
      <w:r>
        <w:t xml:space="preserve">. </w:t>
      </w:r>
      <w:r w:rsidRPr="00DE01CB">
        <w:rPr>
          <w:rFonts w:cstheme="majorHAnsi"/>
        </w:rPr>
        <w:t>Con acceso el 5 de junio de 2020.</w:t>
      </w:r>
    </w:p>
  </w:footnote>
  <w:footnote w:id="47">
    <w:p w14:paraId="3E0E311D" w14:textId="77777777" w:rsidR="000132C6" w:rsidRPr="00D27C01" w:rsidRDefault="000132C6" w:rsidP="00C56B68">
      <w:pPr>
        <w:pStyle w:val="FootnoteText"/>
      </w:pPr>
      <w:r w:rsidRPr="0040330B">
        <w:rPr>
          <w:rStyle w:val="FootnoteReference"/>
        </w:rPr>
        <w:footnoteRef/>
      </w:r>
      <w:r w:rsidRPr="00D27C01">
        <w:t xml:space="preserve"> </w:t>
      </w:r>
      <w:r w:rsidRPr="00D27C01">
        <w:rPr>
          <w:rFonts w:cstheme="majorHAnsi"/>
        </w:rPr>
        <w:t xml:space="preserve">Ver GMP de Honduras </w:t>
      </w:r>
      <w:r w:rsidRPr="00D27C01">
        <w:t>(</w:t>
      </w:r>
      <w:r>
        <w:t>diciembre de</w:t>
      </w:r>
      <w:r w:rsidRPr="00D27C01">
        <w:t xml:space="preserve"> 2018). </w:t>
      </w:r>
      <w:r>
        <w:t>Acta</w:t>
      </w:r>
      <w:r w:rsidRPr="00D27C01">
        <w:t xml:space="preserve"> 12. Reuniones del GMP (p. 3). </w:t>
      </w:r>
      <w:r w:rsidRPr="00D27C01">
        <w:rPr>
          <w:rFonts w:cstheme="majorHAnsi"/>
        </w:rPr>
        <w:t>Disponible aquí</w:t>
      </w:r>
      <w:r w:rsidRPr="00D27C01">
        <w:t xml:space="preserve">: </w:t>
      </w:r>
      <w:hyperlink r:id="rId46" w:history="1">
        <w:r w:rsidRPr="00D27C01">
          <w:rPr>
            <w:rStyle w:val="Hyperlink"/>
            <w:rFonts w:ascii="Franklin Gothic Book" w:hAnsi="Franklin Gothic Book"/>
          </w:rPr>
          <w:t>https://portalunico.iaip.gob.hn/portal/ver_documento.php?uid=NDU3NzA5ODkzNDc2MzQ4NzEyNDYxOTg3MjM0Mg==</w:t>
        </w:r>
      </w:hyperlink>
      <w:r>
        <w:t xml:space="preserve">. </w:t>
      </w:r>
      <w:r w:rsidRPr="00DE01CB">
        <w:rPr>
          <w:rFonts w:cstheme="majorHAnsi"/>
        </w:rPr>
        <w:t>Con acceso el 5 de junio de 2020.</w:t>
      </w:r>
    </w:p>
  </w:footnote>
  <w:footnote w:id="48">
    <w:p w14:paraId="417F0020" w14:textId="77777777" w:rsidR="000132C6" w:rsidRPr="00D27C01" w:rsidRDefault="000132C6" w:rsidP="007F0FDE">
      <w:pPr>
        <w:pStyle w:val="FootnoteText"/>
        <w:rPr>
          <w:rFonts w:cstheme="majorHAnsi"/>
          <w:sz w:val="18"/>
          <w:szCs w:val="18"/>
        </w:rPr>
      </w:pPr>
      <w:r>
        <w:rPr>
          <w:rStyle w:val="FootnoteReference"/>
          <w:rFonts w:cstheme="majorHAnsi"/>
          <w:sz w:val="18"/>
          <w:szCs w:val="18"/>
        </w:rPr>
        <w:footnoteRef/>
      </w:r>
      <w:r w:rsidRPr="00D27C01">
        <w:rPr>
          <w:sz w:val="18"/>
          <w:szCs w:val="18"/>
        </w:rPr>
        <w:t xml:space="preserve"> </w:t>
      </w:r>
      <w:r w:rsidRPr="00D27C01">
        <w:rPr>
          <w:rFonts w:cstheme="majorHAnsi"/>
        </w:rPr>
        <w:t xml:space="preserve">Ver GMP de Honduras (septiembre de 2017). </w:t>
      </w:r>
      <w:r>
        <w:rPr>
          <w:rFonts w:cstheme="majorHAnsi"/>
        </w:rPr>
        <w:t>Acta</w:t>
      </w:r>
      <w:r w:rsidRPr="00D27C01">
        <w:rPr>
          <w:rFonts w:cstheme="majorHAnsi"/>
        </w:rPr>
        <w:t xml:space="preserve"> 9. Reuniones del GMP (p. 2). Disponible aquí: </w:t>
      </w:r>
      <w:hyperlink r:id="rId47" w:history="1">
        <w:r w:rsidRPr="00D27C01">
          <w:rPr>
            <w:rStyle w:val="Hyperlink"/>
            <w:rFonts w:ascii="Franklin Gothic Book" w:hAnsi="Franklin Gothic Book" w:cstheme="majorHAnsi"/>
          </w:rPr>
          <w:t>https://portalunico.iaip.gob.hn/portal/ver_documento.php?uid=MzEyMzc5ODkzNDc2MzQ4NzEyNDYxOTg3MjM0Mg==</w:t>
        </w:r>
      </w:hyperlink>
      <w:r>
        <w:t xml:space="preserve">. </w:t>
      </w:r>
      <w:r w:rsidRPr="00DE01CB">
        <w:rPr>
          <w:rFonts w:cstheme="majorHAnsi"/>
        </w:rPr>
        <w:t>Con acceso el 5 de junio de 2020.</w:t>
      </w:r>
    </w:p>
  </w:footnote>
  <w:footnote w:id="49">
    <w:p w14:paraId="40349641" w14:textId="5B8D9B30" w:rsidR="000132C6" w:rsidRPr="00D27C01" w:rsidRDefault="000132C6" w:rsidP="007F0FDE">
      <w:pPr>
        <w:pStyle w:val="FootnoteText"/>
        <w:rPr>
          <w:rFonts w:cstheme="majorHAnsi"/>
          <w:sz w:val="18"/>
          <w:szCs w:val="18"/>
        </w:rPr>
      </w:pPr>
      <w:r>
        <w:rPr>
          <w:rStyle w:val="FootnoteReference"/>
          <w:rFonts w:cstheme="majorHAnsi"/>
          <w:sz w:val="18"/>
          <w:szCs w:val="18"/>
        </w:rPr>
        <w:footnoteRef/>
      </w:r>
      <w:r w:rsidRPr="00D27C01">
        <w:rPr>
          <w:sz w:val="18"/>
          <w:szCs w:val="18"/>
        </w:rPr>
        <w:t xml:space="preserve"> </w:t>
      </w:r>
      <w:r w:rsidRPr="00D27C01">
        <w:rPr>
          <w:rFonts w:cstheme="majorHAnsi"/>
        </w:rPr>
        <w:t xml:space="preserve">Ver: </w:t>
      </w:r>
      <w:hyperlink r:id="rId48" w:history="1">
        <w:r w:rsidRPr="00D27C01">
          <w:rPr>
            <w:rStyle w:val="Hyperlink"/>
            <w:rFonts w:ascii="Franklin Gothic Book" w:hAnsi="Franklin Gothic Book" w:cstheme="majorHAnsi"/>
          </w:rPr>
          <w:t>https://foprideh.org/panel-sobre-cambio-climatico-y-gobernanza-de-la-eiti-en-la-comunidades-mineras/</w:t>
        </w:r>
      </w:hyperlink>
      <w:r>
        <w:rPr>
          <w:rStyle w:val="Hyperlink"/>
          <w:rFonts w:ascii="Franklin Gothic Book" w:hAnsi="Franklin Gothic Book" w:cstheme="majorHAnsi"/>
        </w:rPr>
        <w:t xml:space="preserve"> </w:t>
      </w:r>
      <w:r w:rsidRPr="00D27C01">
        <w:t xml:space="preserve">para ejemplos detallados. </w:t>
      </w:r>
      <w:r w:rsidRPr="00DE01CB">
        <w:rPr>
          <w:rFonts w:cstheme="majorHAnsi"/>
        </w:rPr>
        <w:t>Con acceso el 5 de junio de 2020.</w:t>
      </w:r>
    </w:p>
  </w:footnote>
  <w:footnote w:id="50">
    <w:p w14:paraId="3C751228" w14:textId="77777777" w:rsidR="000132C6" w:rsidRPr="00D27C01" w:rsidRDefault="000132C6" w:rsidP="007F0FDE">
      <w:pPr>
        <w:pStyle w:val="FootnoteText"/>
        <w:rPr>
          <w:rFonts w:cstheme="majorHAnsi"/>
          <w:sz w:val="18"/>
          <w:szCs w:val="18"/>
        </w:rPr>
      </w:pPr>
      <w:r>
        <w:rPr>
          <w:rStyle w:val="FootnoteReference"/>
          <w:rFonts w:cstheme="majorHAnsi"/>
          <w:sz w:val="18"/>
          <w:szCs w:val="18"/>
        </w:rPr>
        <w:footnoteRef/>
      </w:r>
      <w:r w:rsidRPr="00D27C01">
        <w:rPr>
          <w:sz w:val="18"/>
          <w:szCs w:val="18"/>
        </w:rPr>
        <w:t xml:space="preserve"> </w:t>
      </w:r>
      <w:r w:rsidRPr="00D27C01">
        <w:rPr>
          <w:rFonts w:cstheme="majorHAnsi"/>
        </w:rPr>
        <w:t>Ver GMP de Honduras (</w:t>
      </w:r>
      <w:r>
        <w:rPr>
          <w:rFonts w:cstheme="majorHAnsi"/>
        </w:rPr>
        <w:t>octubre de</w:t>
      </w:r>
      <w:r w:rsidRPr="00D27C01">
        <w:rPr>
          <w:rFonts w:cstheme="majorHAnsi"/>
        </w:rPr>
        <w:t xml:space="preserve"> 2018). </w:t>
      </w:r>
      <w:r>
        <w:rPr>
          <w:rFonts w:cstheme="majorHAnsi"/>
        </w:rPr>
        <w:t>Acta</w:t>
      </w:r>
      <w:r w:rsidRPr="00D27C01">
        <w:rPr>
          <w:rFonts w:cstheme="majorHAnsi"/>
        </w:rPr>
        <w:t xml:space="preserve"> 10. Reuniones del GMP (p. 2)</w:t>
      </w:r>
      <w:r>
        <w:rPr>
          <w:rFonts w:cstheme="majorHAnsi"/>
        </w:rPr>
        <w:t>.</w:t>
      </w:r>
      <w:r w:rsidRPr="00D27C01">
        <w:rPr>
          <w:rFonts w:cstheme="majorHAnsi"/>
        </w:rPr>
        <w:t xml:space="preserve"> </w:t>
      </w:r>
      <w:hyperlink r:id="rId49" w:history="1">
        <w:r w:rsidRPr="00D27C01">
          <w:rPr>
            <w:rStyle w:val="Hyperlink"/>
            <w:rFonts w:ascii="Franklin Gothic Book" w:hAnsi="Franklin Gothic Book" w:cstheme="majorHAnsi"/>
          </w:rPr>
          <w:t>https://portalunico.iaip.gob.hn/portal/ver_documento.php?uid=NDU3Njk2ODkzNDc2MzQ4NzEyNDYxOTg3MjM0Mg==</w:t>
        </w:r>
      </w:hyperlink>
      <w:r>
        <w:t xml:space="preserve">. </w:t>
      </w:r>
      <w:r w:rsidRPr="00DE01CB">
        <w:rPr>
          <w:rFonts w:cstheme="majorHAnsi"/>
        </w:rPr>
        <w:t>Con acceso el 5 de junio de 2020.</w:t>
      </w:r>
    </w:p>
  </w:footnote>
  <w:footnote w:id="51">
    <w:p w14:paraId="72465A80" w14:textId="77777777" w:rsidR="000132C6" w:rsidRPr="00D27C01" w:rsidRDefault="000132C6" w:rsidP="0071462E">
      <w:pPr>
        <w:pStyle w:val="FootnoteText"/>
        <w:rPr>
          <w:sz w:val="18"/>
          <w:szCs w:val="18"/>
        </w:rPr>
      </w:pPr>
      <w:r>
        <w:rPr>
          <w:rStyle w:val="FootnoteReference"/>
          <w:rFonts w:cstheme="majorHAnsi"/>
          <w:sz w:val="18"/>
          <w:szCs w:val="18"/>
        </w:rPr>
        <w:footnoteRef/>
      </w:r>
      <w:r w:rsidRPr="00D27C01">
        <w:rPr>
          <w:sz w:val="18"/>
          <w:szCs w:val="18"/>
        </w:rPr>
        <w:t xml:space="preserve"> </w:t>
      </w:r>
      <w:r w:rsidRPr="00D27C01">
        <w:rPr>
          <w:rFonts w:cstheme="majorHAnsi"/>
        </w:rPr>
        <w:t xml:space="preserve">Para tener acceso a las actas de todas las sesiones del GMP, ver: </w:t>
      </w:r>
      <w:hyperlink r:id="rId50" w:history="1">
        <w:r w:rsidRPr="00D27C01">
          <w:rPr>
            <w:rStyle w:val="Hyperlink"/>
            <w:rFonts w:ascii="Franklin Gothic Book" w:hAnsi="Franklin Gothic Book" w:cstheme="majorHAnsi"/>
          </w:rPr>
          <w:t>https://portalunico.iaip.gob.hn/portal/index.php?portal=442</w:t>
        </w:r>
      </w:hyperlink>
      <w:r>
        <w:t xml:space="preserve">. Con acceso el </w:t>
      </w:r>
      <w:r w:rsidRPr="00D27C01">
        <w:t xml:space="preserve">5 </w:t>
      </w:r>
      <w:r>
        <w:t>de junio de</w:t>
      </w:r>
      <w:r w:rsidRPr="00D27C01">
        <w:t xml:space="preserve"> 2020</w:t>
      </w:r>
      <w:r>
        <w:t>.</w:t>
      </w:r>
    </w:p>
  </w:footnote>
  <w:footnote w:id="52">
    <w:p w14:paraId="100AD5C4" w14:textId="77777777" w:rsidR="000132C6" w:rsidRPr="00C43404" w:rsidRDefault="000132C6" w:rsidP="00EC7521">
      <w:pPr>
        <w:pStyle w:val="FootnoteText"/>
      </w:pPr>
      <w:r w:rsidRPr="0040330B">
        <w:rPr>
          <w:rStyle w:val="FootnoteReference"/>
        </w:rPr>
        <w:footnoteRef/>
      </w:r>
      <w:r w:rsidRPr="00C43404">
        <w:t xml:space="preserve"> Ver: GMP de Honduras (febrero de 2019). </w:t>
      </w:r>
      <w:r>
        <w:t>Acta</w:t>
      </w:r>
      <w:r w:rsidRPr="00C43404">
        <w:t xml:space="preserve"> 2. </w:t>
      </w:r>
      <w:r>
        <w:t>Reuniones del GMP</w:t>
      </w:r>
      <w:r w:rsidRPr="00C43404">
        <w:t xml:space="preserve">. </w:t>
      </w:r>
      <w:r>
        <w:t>Disponible aquí</w:t>
      </w:r>
      <w:r w:rsidRPr="00C43404">
        <w:t xml:space="preserve">: </w:t>
      </w:r>
      <w:hyperlink r:id="rId51" w:history="1">
        <w:r w:rsidRPr="00C43404">
          <w:rPr>
            <w:rStyle w:val="Hyperlink"/>
            <w:rFonts w:ascii="Franklin Gothic Book" w:hAnsi="Franklin Gothic Book"/>
          </w:rPr>
          <w:t>https://portalunico.iaip.gob.hn/portal/ver_documento.php?uid=NTAwMTQ4ODkzNDc2MzQ4NzEyNDYxOTg3MjM0Mg==</w:t>
        </w:r>
      </w:hyperlink>
      <w:r>
        <w:t xml:space="preserve">. Con acceso el </w:t>
      </w:r>
      <w:r w:rsidRPr="00D27C01">
        <w:t xml:space="preserve">5 </w:t>
      </w:r>
      <w:r>
        <w:t>de junio de</w:t>
      </w:r>
      <w:r w:rsidRPr="00D27C01">
        <w:t xml:space="preserve"> 2020</w:t>
      </w:r>
      <w:r>
        <w:t>.</w:t>
      </w:r>
    </w:p>
  </w:footnote>
  <w:footnote w:id="53">
    <w:p w14:paraId="0AB77E06" w14:textId="77777777" w:rsidR="000132C6" w:rsidRPr="004277B6" w:rsidRDefault="000132C6" w:rsidP="00EC7521">
      <w:pPr>
        <w:pStyle w:val="FootnoteText"/>
      </w:pPr>
      <w:r w:rsidRPr="0040330B">
        <w:rPr>
          <w:rStyle w:val="FootnoteReference"/>
        </w:rPr>
        <w:footnoteRef/>
      </w:r>
      <w:r w:rsidRPr="00C43404">
        <w:t xml:space="preserve">Para otras pruebas, ver: </w:t>
      </w:r>
      <w:hyperlink r:id="rId52" w:history="1">
        <w:r w:rsidRPr="00C43404">
          <w:rPr>
            <w:rStyle w:val="Hyperlink"/>
            <w:rFonts w:ascii="Franklin Gothic Book" w:hAnsi="Franklin Gothic Book"/>
          </w:rPr>
          <w:t>https://portalunico.iaip.gob.hn/portal/ver_documento.php?uid=NTAwNzA5ODkzNDc2MzQ4NzEyNDYxOTg3MjM0Mg==</w:t>
        </w:r>
      </w:hyperlink>
      <w:r>
        <w:t xml:space="preserve">. Con acceso el </w:t>
      </w:r>
      <w:r w:rsidRPr="00D27C01">
        <w:t xml:space="preserve">5 </w:t>
      </w:r>
      <w:r>
        <w:t>de junio de</w:t>
      </w:r>
      <w:r w:rsidRPr="00D27C01">
        <w:t xml:space="preserve"> 2020</w:t>
      </w:r>
      <w:r>
        <w:t>.</w:t>
      </w:r>
    </w:p>
  </w:footnote>
  <w:footnote w:id="54">
    <w:p w14:paraId="3C6A5A09" w14:textId="54553D04" w:rsidR="000132C6" w:rsidRPr="00C43404" w:rsidRDefault="000132C6" w:rsidP="00EC7521">
      <w:pPr>
        <w:pStyle w:val="FootnoteText"/>
      </w:pPr>
      <w:r w:rsidRPr="0040330B">
        <w:rPr>
          <w:rStyle w:val="FootnoteReference"/>
        </w:rPr>
        <w:footnoteRef/>
      </w:r>
      <w:r w:rsidRPr="00C43404">
        <w:t xml:space="preserve">Ver: UNAH, FOSDEH, OXFAM (abril de 2019). </w:t>
      </w:r>
      <w:r w:rsidRPr="0040330B">
        <w:rPr>
          <w:i/>
          <w:iCs/>
          <w:lang w:val="es-MX"/>
        </w:rPr>
        <w:t>Territorios en Riesgo</w:t>
      </w:r>
      <w:r w:rsidRPr="0040330B">
        <w:rPr>
          <w:lang w:val="es-MX"/>
        </w:rPr>
        <w:t xml:space="preserve">. </w:t>
      </w:r>
      <w:r w:rsidRPr="0040330B">
        <w:rPr>
          <w:i/>
          <w:iCs/>
          <w:lang w:val="es-MX"/>
        </w:rPr>
        <w:t>Minería, hidrocarburos y generación de energía eléctrica en Honduras.</w:t>
      </w:r>
      <w:r w:rsidR="0043321C">
        <w:rPr>
          <w:i/>
          <w:iCs/>
          <w:lang w:val="es-MX"/>
        </w:rPr>
        <w:t xml:space="preserve"> </w:t>
      </w:r>
      <w:hyperlink r:id="rId53" w:history="1">
        <w:r w:rsidR="0043321C" w:rsidRPr="0043321C">
          <w:rPr>
            <w:rStyle w:val="Hyperlink"/>
            <w:rFonts w:ascii="Franklin Gothic Book" w:hAnsi="Franklin Gothic Book"/>
          </w:rPr>
          <w:t>https://cng-cdn.oxfam.org/honduras.oxfam.org/s3fs-public/file_attachments/Teritorios%20en%20Riesgo%20II%20-%20Miner%C3%ADa,%20generaci%C3%B3n%20de%20energ%C3%ADa%20el%C3%A9ctrica%20e%20hidrocarburos%20en%20Honduras.pdf</w:t>
        </w:r>
      </w:hyperlink>
      <w:r>
        <w:t xml:space="preserve">. Con acceso el </w:t>
      </w:r>
      <w:r w:rsidRPr="00D27C01">
        <w:t xml:space="preserve">5 </w:t>
      </w:r>
      <w:r>
        <w:t>de junio de</w:t>
      </w:r>
      <w:r w:rsidRPr="00D27C01">
        <w:t xml:space="preserve"> 2020</w:t>
      </w:r>
      <w:r>
        <w:t>.</w:t>
      </w:r>
    </w:p>
  </w:footnote>
  <w:footnote w:id="55">
    <w:p w14:paraId="570CEB67" w14:textId="373D952E" w:rsidR="000132C6" w:rsidRPr="0040330B" w:rsidRDefault="000132C6" w:rsidP="00EC7521">
      <w:pPr>
        <w:pStyle w:val="FootnoteText"/>
        <w:rPr>
          <w:lang w:val="es-MX"/>
        </w:rPr>
      </w:pPr>
      <w:r w:rsidRPr="0040330B">
        <w:rPr>
          <w:rStyle w:val="FootnoteReference"/>
        </w:rPr>
        <w:footnoteRef/>
      </w:r>
      <w:r w:rsidRPr="002960CB">
        <w:rPr>
          <w:lang w:val="es-MX"/>
        </w:rPr>
        <w:t xml:space="preserve"> </w:t>
      </w:r>
      <w:r>
        <w:rPr>
          <w:lang w:val="es-MX"/>
        </w:rPr>
        <w:t>Ver:</w:t>
      </w:r>
      <w:r w:rsidRPr="002960CB">
        <w:rPr>
          <w:lang w:val="es-MX"/>
        </w:rPr>
        <w:t xml:space="preserve"> </w:t>
      </w:r>
      <w:r w:rsidRPr="002960CB">
        <w:rPr>
          <w:rFonts w:cs="Times New Roman"/>
          <w:lang w:val="es-MX"/>
        </w:rPr>
        <w:t>FOSDEH (</w:t>
      </w:r>
      <w:r>
        <w:rPr>
          <w:rFonts w:cs="Times New Roman"/>
          <w:lang w:val="es-MX"/>
        </w:rPr>
        <w:t>septiembre de</w:t>
      </w:r>
      <w:r w:rsidRPr="002960CB">
        <w:rPr>
          <w:rFonts w:cs="Times New Roman"/>
          <w:lang w:val="es-MX"/>
        </w:rPr>
        <w:t xml:space="preserve"> 2019) </w:t>
      </w:r>
      <w:r w:rsidRPr="002960CB">
        <w:rPr>
          <w:i/>
          <w:iCs/>
          <w:lang w:val="es-MX"/>
        </w:rPr>
        <w:t>Iniciativas Internacionales de Transparencia en Honduras 2019</w:t>
      </w:r>
      <w:r w:rsidR="0043321C">
        <w:rPr>
          <w:i/>
          <w:iCs/>
          <w:lang w:val="es-MX"/>
        </w:rPr>
        <w:t xml:space="preserve"> </w:t>
      </w:r>
      <w:hyperlink r:id="rId54" w:history="1">
        <w:r w:rsidR="0043321C" w:rsidRPr="0043321C">
          <w:rPr>
            <w:rStyle w:val="Hyperlink"/>
            <w:rFonts w:ascii="Franklin Gothic Book" w:hAnsi="Franklin Gothic Book"/>
            <w:lang w:val="es-MX"/>
          </w:rPr>
          <w:t>https://fosdeh.com/wp-content/uploads/2019/09/iniciativas-internacionales-transparencia-hn.pdf</w:t>
        </w:r>
      </w:hyperlink>
      <w:r>
        <w:t xml:space="preserve">. Con acceso el </w:t>
      </w:r>
      <w:r w:rsidRPr="00D27C01">
        <w:t xml:space="preserve">5 </w:t>
      </w:r>
      <w:r>
        <w:t>de junio de</w:t>
      </w:r>
      <w:r w:rsidRPr="00D27C01">
        <w:t xml:space="preserve"> 2020</w:t>
      </w:r>
      <w:r>
        <w:t>.</w:t>
      </w:r>
    </w:p>
  </w:footnote>
  <w:footnote w:id="56">
    <w:p w14:paraId="25AFA9FB" w14:textId="77777777" w:rsidR="000132C6" w:rsidRPr="002A70EA" w:rsidRDefault="000132C6" w:rsidP="00EC7521">
      <w:pPr>
        <w:pStyle w:val="FootnoteText"/>
      </w:pPr>
      <w:r w:rsidRPr="0040330B">
        <w:rPr>
          <w:rStyle w:val="FootnoteReference"/>
        </w:rPr>
        <w:footnoteRef/>
      </w:r>
      <w:r>
        <w:rPr>
          <w:lang w:val="es-MX"/>
        </w:rPr>
        <w:t>Ver</w:t>
      </w:r>
      <w:r w:rsidRPr="002960CB">
        <w:rPr>
          <w:lang w:val="es-MX"/>
        </w:rPr>
        <w:t xml:space="preserve">: </w:t>
      </w:r>
      <w:r>
        <w:rPr>
          <w:lang w:val="es-MX"/>
        </w:rPr>
        <w:t>Gobierno de Honduras</w:t>
      </w:r>
      <w:r w:rsidRPr="002960CB">
        <w:rPr>
          <w:lang w:val="es-MX"/>
        </w:rPr>
        <w:t xml:space="preserve">. Secretaría de </w:t>
      </w:r>
      <w:r w:rsidRPr="0040330B">
        <w:rPr>
          <w:lang w:val="es-MX"/>
        </w:rPr>
        <w:t>Coordinación General de Gobierno (</w:t>
      </w:r>
      <w:r>
        <w:rPr>
          <w:lang w:val="es-MX"/>
        </w:rPr>
        <w:t>agosto de</w:t>
      </w:r>
      <w:r w:rsidRPr="0040330B">
        <w:rPr>
          <w:lang w:val="es-MX"/>
        </w:rPr>
        <w:t xml:space="preserve"> 2018). </w:t>
      </w:r>
      <w:r>
        <w:rPr>
          <w:lang w:val="es-MX"/>
        </w:rPr>
        <w:t>Plan de Acción de Estado Abierto</w:t>
      </w:r>
      <w:r w:rsidRPr="002A70EA">
        <w:t xml:space="preserve">. </w:t>
      </w:r>
      <w:r>
        <w:t>Disponible aquí</w:t>
      </w:r>
      <w:r w:rsidRPr="002A70EA">
        <w:t>:</w:t>
      </w:r>
      <w:r>
        <w:t xml:space="preserve"> </w:t>
      </w:r>
      <w:hyperlink r:id="rId55" w:history="1">
        <w:r w:rsidRPr="002A70EA">
          <w:rPr>
            <w:rStyle w:val="Hyperlink"/>
            <w:rFonts w:ascii="Franklin Gothic Book" w:hAnsi="Franklin Gothic Book" w:cstheme="majorHAnsi"/>
          </w:rPr>
          <w:t>http://www.gobiernoabiertohonduras.org/descargas/IV_PLAN_DE_ACCION_DE_ESTADO_ABIERTO_HONDURAS_2018-2020.pdf</w:t>
        </w:r>
      </w:hyperlink>
      <w:r>
        <w:rPr>
          <w:rFonts w:cs="Times New Roman"/>
        </w:rPr>
        <w:t xml:space="preserve">. Con acceso el </w:t>
      </w:r>
      <w:r w:rsidRPr="002A70EA">
        <w:rPr>
          <w:rFonts w:cs="Times New Roman"/>
        </w:rPr>
        <w:t xml:space="preserve">5 </w:t>
      </w:r>
      <w:r>
        <w:rPr>
          <w:rFonts w:cs="Times New Roman"/>
        </w:rPr>
        <w:t>de junio de</w:t>
      </w:r>
      <w:r w:rsidRPr="002A70EA">
        <w:rPr>
          <w:rFonts w:cs="Times New Roman"/>
        </w:rPr>
        <w:t xml:space="preserve"> 2020</w:t>
      </w:r>
      <w:r>
        <w:rPr>
          <w:rFonts w:cs="Times New Roman"/>
        </w:rPr>
        <w:t>.</w:t>
      </w:r>
    </w:p>
  </w:footnote>
  <w:footnote w:id="57">
    <w:p w14:paraId="5F18DAAC" w14:textId="3A23BE24" w:rsidR="000132C6" w:rsidRPr="0040330B" w:rsidRDefault="000132C6" w:rsidP="00EC7521">
      <w:pPr>
        <w:pStyle w:val="FootnoteText"/>
        <w:rPr>
          <w:lang w:val="es-AR"/>
        </w:rPr>
      </w:pPr>
      <w:r w:rsidRPr="0040330B">
        <w:rPr>
          <w:rStyle w:val="FootnoteReference"/>
        </w:rPr>
        <w:footnoteRef/>
      </w:r>
      <w:r w:rsidRPr="00BE7B94">
        <w:t xml:space="preserve"> </w:t>
      </w:r>
      <w:r>
        <w:rPr>
          <w:lang w:val="es-MX"/>
        </w:rPr>
        <w:t>Ver</w:t>
      </w:r>
      <w:r w:rsidRPr="002960CB">
        <w:rPr>
          <w:lang w:val="es-MX"/>
        </w:rPr>
        <w:t xml:space="preserve">: </w:t>
      </w:r>
      <w:r>
        <w:rPr>
          <w:lang w:val="es-MX"/>
        </w:rPr>
        <w:t>Gobierno de Honduras</w:t>
      </w:r>
      <w:r w:rsidRPr="00BE7B94">
        <w:t xml:space="preserve">. </w:t>
      </w:r>
      <w:r w:rsidRPr="002960CB">
        <w:rPr>
          <w:lang w:val="es-MX"/>
        </w:rPr>
        <w:t>Secretaría de Recursos Naturales y Ambiente</w:t>
      </w:r>
      <w:r w:rsidRPr="0040330B">
        <w:rPr>
          <w:lang w:val="es-MX"/>
        </w:rPr>
        <w:t xml:space="preserve"> (</w:t>
      </w:r>
      <w:r>
        <w:rPr>
          <w:lang w:val="es-MX"/>
        </w:rPr>
        <w:t>mayo de</w:t>
      </w:r>
      <w:r w:rsidRPr="0040330B">
        <w:rPr>
          <w:lang w:val="es-MX"/>
        </w:rPr>
        <w:t xml:space="preserve"> 2018). Plan Nacional de Adaptación al Cambio Climático. </w:t>
      </w:r>
      <w:r>
        <w:t>Disponible aquí</w:t>
      </w:r>
      <w:r w:rsidRPr="002960CB">
        <w:rPr>
          <w:lang w:val="es-AR"/>
        </w:rPr>
        <w:t>:</w:t>
      </w:r>
      <w:r w:rsidR="0043321C">
        <w:rPr>
          <w:lang w:val="es-AR"/>
        </w:rPr>
        <w:t xml:space="preserve"> </w:t>
      </w:r>
      <w:hyperlink r:id="rId56" w:history="1">
        <w:r w:rsidR="0043321C" w:rsidRPr="0043321C">
          <w:rPr>
            <w:rStyle w:val="Hyperlink"/>
            <w:rFonts w:ascii="Franklin Gothic Book" w:hAnsi="Franklin Gothic Book"/>
            <w:lang w:val="es-AR"/>
          </w:rPr>
          <w:t>http://www.miambiente.gob.hn/media/adjuntos/pdf/DNCC/2018-05-10/16%3A35%3A53.282976%2B00%3A00/PNA.pdf</w:t>
        </w:r>
      </w:hyperlink>
      <w:r>
        <w:rPr>
          <w:rFonts w:cs="Times New Roman"/>
        </w:rPr>
        <w:t xml:space="preserve">. Con acceso el </w:t>
      </w:r>
      <w:r w:rsidRPr="002A70EA">
        <w:rPr>
          <w:rFonts w:cs="Times New Roman"/>
        </w:rPr>
        <w:t xml:space="preserve">5 </w:t>
      </w:r>
      <w:r>
        <w:rPr>
          <w:rFonts w:cs="Times New Roman"/>
        </w:rPr>
        <w:t>de junio de</w:t>
      </w:r>
      <w:r w:rsidRPr="002A70EA">
        <w:rPr>
          <w:rFonts w:cs="Times New Roman"/>
        </w:rPr>
        <w:t xml:space="preserve"> 2020</w:t>
      </w:r>
      <w:r>
        <w:rPr>
          <w:rFonts w:cs="Times New Roman"/>
        </w:rPr>
        <w:t>.</w:t>
      </w:r>
    </w:p>
  </w:footnote>
  <w:footnote w:id="58">
    <w:p w14:paraId="5789E62E" w14:textId="12A2AA88" w:rsidR="000132C6" w:rsidRPr="002A70EA" w:rsidRDefault="000132C6" w:rsidP="00EC7521">
      <w:pPr>
        <w:pStyle w:val="FootnoteText"/>
      </w:pPr>
      <w:r w:rsidRPr="0040330B">
        <w:rPr>
          <w:rStyle w:val="FootnoteReference"/>
        </w:rPr>
        <w:footnoteRef/>
      </w:r>
      <w:r w:rsidRPr="002A70EA">
        <w:t xml:space="preserve"> Ver, para más ejemplos: UNAH, FOSDEH, OXFAM (abril de 2019). </w:t>
      </w:r>
      <w:r w:rsidRPr="0040330B">
        <w:rPr>
          <w:i/>
          <w:iCs/>
          <w:lang w:val="es-MX"/>
        </w:rPr>
        <w:t>Territorios en Riesgo</w:t>
      </w:r>
      <w:r w:rsidRPr="0040330B">
        <w:rPr>
          <w:lang w:val="es-MX"/>
        </w:rPr>
        <w:t xml:space="preserve">. </w:t>
      </w:r>
      <w:r w:rsidRPr="0040330B">
        <w:rPr>
          <w:i/>
          <w:iCs/>
          <w:lang w:val="es-MX"/>
        </w:rPr>
        <w:t>Minería, hidrocarburos y generación de energía eléctrica en Honduras.</w:t>
      </w:r>
      <w:r w:rsidR="0043321C">
        <w:rPr>
          <w:i/>
          <w:iCs/>
          <w:lang w:val="es-MX"/>
        </w:rPr>
        <w:t xml:space="preserve"> </w:t>
      </w:r>
      <w:hyperlink r:id="rId57" w:history="1">
        <w:r w:rsidR="0043321C" w:rsidRPr="0043321C">
          <w:rPr>
            <w:rStyle w:val="Hyperlink"/>
            <w:rFonts w:ascii="Franklin Gothic Book" w:hAnsi="Franklin Gothic Book"/>
          </w:rPr>
          <w:t>https://cng-cdn.oxfam.org/honduras.oxfam.org/s3fs-public/file_attachments/Teritorios%20en%20Riesgo%20II%20-%20Miner%C3%ADa,%20generaci%C3%B3n%20de%20energ%C3%ADa%20el%C3%A9ctrica%20e%20hidrocarburos%20en%20Honduras.pdf</w:t>
        </w:r>
      </w:hyperlink>
      <w:r>
        <w:rPr>
          <w:rFonts w:cs="Times New Roman"/>
        </w:rPr>
        <w:t xml:space="preserve">. Con acceso el </w:t>
      </w:r>
      <w:r w:rsidRPr="002A70EA">
        <w:rPr>
          <w:rFonts w:cs="Times New Roman"/>
        </w:rPr>
        <w:t xml:space="preserve">5 </w:t>
      </w:r>
      <w:r>
        <w:rPr>
          <w:rFonts w:cs="Times New Roman"/>
        </w:rPr>
        <w:t>de junio de</w:t>
      </w:r>
      <w:r w:rsidRPr="002A70EA">
        <w:rPr>
          <w:rFonts w:cs="Times New Roman"/>
        </w:rPr>
        <w:t xml:space="preserve"> 2020</w:t>
      </w:r>
      <w:r>
        <w:rPr>
          <w:rFonts w:cs="Times New Roman"/>
        </w:rPr>
        <w:t>.</w:t>
      </w:r>
    </w:p>
  </w:footnote>
  <w:footnote w:id="59">
    <w:p w14:paraId="6050498D" w14:textId="77777777" w:rsidR="000132C6" w:rsidRPr="002A70EA" w:rsidRDefault="000132C6" w:rsidP="00EC7521">
      <w:pPr>
        <w:pStyle w:val="FootnoteText"/>
      </w:pPr>
      <w:r w:rsidRPr="0040330B">
        <w:rPr>
          <w:rStyle w:val="FootnoteReference"/>
        </w:rPr>
        <w:footnoteRef/>
      </w:r>
      <w:r w:rsidRPr="002A70EA">
        <w:t xml:space="preserve"> Entrevista con Sayra Vargas, representante de organización de la sociedad civil en el GMP en representaci</w:t>
      </w:r>
      <w:r>
        <w:t xml:space="preserve">ón de la Universidad </w:t>
      </w:r>
      <w:r w:rsidRPr="002A70EA">
        <w:t xml:space="preserve">Cecilio Valle (26 </w:t>
      </w:r>
      <w:r>
        <w:t>de mayo de</w:t>
      </w:r>
      <w:r w:rsidRPr="002A70EA">
        <w:t xml:space="preserve"> 2020).</w:t>
      </w:r>
    </w:p>
  </w:footnote>
  <w:footnote w:id="60">
    <w:p w14:paraId="03229412" w14:textId="3F98922A" w:rsidR="000132C6" w:rsidRPr="001561FE" w:rsidRDefault="000132C6" w:rsidP="00EC7521">
      <w:pPr>
        <w:pStyle w:val="FootnoteText"/>
      </w:pPr>
      <w:r w:rsidRPr="0040330B">
        <w:rPr>
          <w:rStyle w:val="FootnoteReference"/>
        </w:rPr>
        <w:footnoteRef/>
      </w:r>
      <w:r w:rsidRPr="002A70EA">
        <w:t>Ver: GMP de Honduras (septiembre de 2019). Acta 11. Reuniones del GMP. Disponible aquí:</w:t>
      </w:r>
      <w:r w:rsidR="00F0240E">
        <w:t xml:space="preserve"> </w:t>
      </w:r>
      <w:hyperlink r:id="rId58" w:history="1">
        <w:r w:rsidR="00F0240E">
          <w:rPr>
            <w:rStyle w:val="Hyperlink"/>
          </w:rPr>
          <w:t>https://portalunico.iaip.gob.hn/portal/ver_documento.php?uid=NTg5NDUwODkzNDc2MzQ4NzEyNDYxOTg3MjM0Mg==</w:t>
        </w:r>
      </w:hyperlink>
      <w:r w:rsidRPr="002A70EA">
        <w:rPr>
          <w:rFonts w:cs="Times New Roman"/>
        </w:rPr>
        <w:t xml:space="preserve"> </w:t>
      </w:r>
      <w:r>
        <w:rPr>
          <w:rFonts w:cs="Times New Roman"/>
        </w:rPr>
        <w:t xml:space="preserve">Con acceso el </w:t>
      </w:r>
      <w:r w:rsidRPr="002A70EA">
        <w:rPr>
          <w:rFonts w:cs="Times New Roman"/>
        </w:rPr>
        <w:t xml:space="preserve">5 </w:t>
      </w:r>
      <w:r>
        <w:rPr>
          <w:rFonts w:cs="Times New Roman"/>
        </w:rPr>
        <w:t>de junio de</w:t>
      </w:r>
      <w:r w:rsidRPr="002A70EA">
        <w:rPr>
          <w:rFonts w:cs="Times New Roman"/>
        </w:rPr>
        <w:t xml:space="preserve"> 2020</w:t>
      </w:r>
      <w:r>
        <w:rPr>
          <w:rFonts w:cs="Times New Roman"/>
        </w:rPr>
        <w:t>.</w:t>
      </w:r>
    </w:p>
  </w:footnote>
  <w:footnote w:id="61">
    <w:p w14:paraId="609734F4" w14:textId="77777777" w:rsidR="000132C6" w:rsidRPr="001561FE" w:rsidRDefault="000132C6" w:rsidP="00EC7521">
      <w:pPr>
        <w:pStyle w:val="FootnoteText"/>
      </w:pPr>
      <w:r w:rsidRPr="0040330B">
        <w:rPr>
          <w:rStyle w:val="FootnoteReference"/>
        </w:rPr>
        <w:footnoteRef/>
      </w:r>
      <w:r w:rsidRPr="001561FE">
        <w:t xml:space="preserve"> Ver: EITI Honduras (diciembre de 2019). </w:t>
      </w:r>
      <w:r w:rsidRPr="004277B6">
        <w:t xml:space="preserve">Informe EITI 2017-2018. </w:t>
      </w:r>
      <w:r w:rsidRPr="001561FE">
        <w:t xml:space="preserve">Disponible aquí: </w:t>
      </w:r>
      <w:hyperlink r:id="rId59" w:history="1">
        <w:r w:rsidRPr="001561FE">
          <w:rPr>
            <w:rStyle w:val="Hyperlink"/>
            <w:rFonts w:ascii="Franklin Gothic Book" w:hAnsi="Franklin Gothic Book"/>
          </w:rPr>
          <w:t>https://www.inhgeomin.gob.hn/images/EITI-HN/Informe%20EITI%20-%20Honduras%20periodos%202017-2018.pdf</w:t>
        </w:r>
      </w:hyperlink>
      <w:r w:rsidRPr="001561FE">
        <w:t>, p. 41</w:t>
      </w:r>
      <w:r>
        <w:rPr>
          <w:rFonts w:cs="Times New Roman"/>
        </w:rPr>
        <w:t xml:space="preserve">. Con acceso el </w:t>
      </w:r>
      <w:r w:rsidRPr="002A70EA">
        <w:rPr>
          <w:rFonts w:cs="Times New Roman"/>
        </w:rPr>
        <w:t xml:space="preserve">5 </w:t>
      </w:r>
      <w:r>
        <w:rPr>
          <w:rFonts w:cs="Times New Roman"/>
        </w:rPr>
        <w:t>de junio de</w:t>
      </w:r>
      <w:r w:rsidRPr="002A70EA">
        <w:rPr>
          <w:rFonts w:cs="Times New Roman"/>
        </w:rPr>
        <w:t xml:space="preserve"> 2020</w:t>
      </w:r>
      <w:r>
        <w:rPr>
          <w:rFonts w:cs="Times New Roman"/>
        </w:rPr>
        <w:t>.</w:t>
      </w:r>
      <w:r w:rsidRPr="001561FE">
        <w:t xml:space="preserve"> </w:t>
      </w:r>
    </w:p>
  </w:footnote>
  <w:footnote w:id="62">
    <w:p w14:paraId="23D75A3F" w14:textId="77777777" w:rsidR="000132C6" w:rsidRPr="001561FE" w:rsidRDefault="000132C6" w:rsidP="00EC7521">
      <w:pPr>
        <w:pStyle w:val="FootnoteText"/>
      </w:pPr>
      <w:r w:rsidRPr="0040330B">
        <w:rPr>
          <w:rStyle w:val="FootnoteReference"/>
        </w:rPr>
        <w:footnoteRef/>
      </w:r>
      <w:r w:rsidRPr="001561FE">
        <w:t xml:space="preserve"> Entrevista con Oswaldo Munguía, representante de organizaci</w:t>
      </w:r>
      <w:r>
        <w:t>ón de la sociedad civil en el GMP en representación de</w:t>
      </w:r>
      <w:r w:rsidRPr="001561FE">
        <w:t xml:space="preserve"> MOPAWI (27 </w:t>
      </w:r>
      <w:r>
        <w:t>de mayo de</w:t>
      </w:r>
      <w:r w:rsidRPr="001561FE">
        <w:t xml:space="preserve"> 2020).</w:t>
      </w:r>
    </w:p>
  </w:footnote>
  <w:footnote w:id="63">
    <w:p w14:paraId="17ADF90F" w14:textId="77777777" w:rsidR="000132C6" w:rsidRPr="004277B6" w:rsidRDefault="000132C6" w:rsidP="008C4EF2">
      <w:pPr>
        <w:pStyle w:val="FootnoteText"/>
      </w:pPr>
      <w:r w:rsidRPr="002960CB">
        <w:rPr>
          <w:rStyle w:val="FootnoteReference"/>
        </w:rPr>
        <w:footnoteRef/>
      </w:r>
      <w:r w:rsidRPr="001561FE">
        <w:t xml:space="preserve">Ver: GMP de Honduras (mayo de 2019). </w:t>
      </w:r>
      <w:r>
        <w:t>Acta</w:t>
      </w:r>
      <w:r w:rsidRPr="001561FE">
        <w:t xml:space="preserve"> 5. Reuniones del GMP (p. 3). </w:t>
      </w:r>
      <w:r w:rsidRPr="004277B6">
        <w:t xml:space="preserve">Disponible aquí: </w:t>
      </w:r>
      <w:hyperlink r:id="rId60" w:history="1">
        <w:r w:rsidRPr="004277B6">
          <w:rPr>
            <w:rStyle w:val="Hyperlink"/>
            <w:rFonts w:ascii="Franklin Gothic Book" w:hAnsi="Franklin Gothic Book"/>
          </w:rPr>
          <w:t>https://portalunico.iaip.gob.hn/portal/ver_documento.php?uid=NTIzMDcyODkzNDc2MzQ4NzEyNDYxOTg3MjM0Mg==</w:t>
        </w:r>
      </w:hyperlink>
    </w:p>
  </w:footnote>
  <w:footnote w:id="64">
    <w:p w14:paraId="08386395" w14:textId="77777777" w:rsidR="000132C6" w:rsidRPr="001561FE" w:rsidRDefault="000132C6" w:rsidP="00D953B8">
      <w:pPr>
        <w:pStyle w:val="FootnoteText"/>
        <w:rPr>
          <w:sz w:val="18"/>
          <w:szCs w:val="18"/>
        </w:rPr>
      </w:pPr>
      <w:r>
        <w:rPr>
          <w:rStyle w:val="FootnoteReference"/>
          <w:sz w:val="18"/>
          <w:szCs w:val="18"/>
        </w:rPr>
        <w:footnoteRef/>
      </w:r>
      <w:r w:rsidRPr="001561FE">
        <w:rPr>
          <w:sz w:val="18"/>
          <w:szCs w:val="18"/>
        </w:rPr>
        <w:t xml:space="preserve"> </w:t>
      </w:r>
      <w:r w:rsidRPr="001561FE">
        <w:t xml:space="preserve">Ver: GMP de Honduras (marzo de 2019). </w:t>
      </w:r>
      <w:r>
        <w:t>Acta</w:t>
      </w:r>
      <w:r w:rsidRPr="001561FE">
        <w:t xml:space="preserve"> 3. Reuniones del GMP (p. 2).</w:t>
      </w:r>
      <w:r>
        <w:t xml:space="preserve"> </w:t>
      </w:r>
      <w:r w:rsidRPr="001561FE">
        <w:t xml:space="preserve">Disponible aquí: </w:t>
      </w:r>
      <w:hyperlink r:id="rId61" w:history="1">
        <w:r w:rsidRPr="001561FE">
          <w:rPr>
            <w:rStyle w:val="Hyperlink"/>
            <w:rFonts w:ascii="Franklin Gothic Book" w:hAnsi="Franklin Gothic Book"/>
          </w:rPr>
          <w:t>https://portalunico.iaip.gob.hn/portal/ver_documento.php?uid=NTAzNzcyODkzNDc2MzQ4NzEyNDYxOTg3MjM0Mg==</w:t>
        </w:r>
      </w:hyperlink>
      <w:r>
        <w:t xml:space="preserve">. Con acceso el </w:t>
      </w:r>
      <w:r w:rsidRPr="001561FE">
        <w:t xml:space="preserve">5 </w:t>
      </w:r>
      <w:r>
        <w:t xml:space="preserve">de junio de </w:t>
      </w:r>
      <w:r w:rsidRPr="001561FE">
        <w:t>2020.</w:t>
      </w:r>
    </w:p>
  </w:footnote>
  <w:footnote w:id="65">
    <w:p w14:paraId="76510844" w14:textId="77777777" w:rsidR="000132C6" w:rsidRPr="00992DD9" w:rsidRDefault="000132C6" w:rsidP="00D953B8">
      <w:pPr>
        <w:pStyle w:val="FootnoteText"/>
        <w:rPr>
          <w:sz w:val="18"/>
          <w:szCs w:val="18"/>
        </w:rPr>
      </w:pPr>
      <w:r>
        <w:rPr>
          <w:rStyle w:val="FootnoteReference"/>
          <w:sz w:val="18"/>
          <w:szCs w:val="18"/>
        </w:rPr>
        <w:footnoteRef/>
      </w:r>
      <w:bookmarkStart w:id="28" w:name="_Hlk30159841"/>
      <w:r w:rsidRPr="001561FE">
        <w:t>Ver: GMP de Honduras (</w:t>
      </w:r>
      <w:r>
        <w:t>mayo de</w:t>
      </w:r>
      <w:r w:rsidRPr="001561FE">
        <w:t xml:space="preserve"> 2019). </w:t>
      </w:r>
      <w:r>
        <w:t>Acta</w:t>
      </w:r>
      <w:r w:rsidRPr="001561FE">
        <w:t xml:space="preserve"> 6. Reuniones del GMP (p. 3).</w:t>
      </w:r>
      <w:r>
        <w:t xml:space="preserve"> Disponible aquí</w:t>
      </w:r>
      <w:r w:rsidRPr="001561FE">
        <w:t xml:space="preserve">: </w:t>
      </w:r>
      <w:hyperlink r:id="rId62" w:history="1">
        <w:r w:rsidRPr="001561FE">
          <w:rPr>
            <w:rStyle w:val="Hyperlink"/>
            <w:rFonts w:ascii="Franklin Gothic Book" w:hAnsi="Franklin Gothic Book"/>
          </w:rPr>
          <w:t>https://portalunico.iaip.gob.hn/portal/ver_documento.php?uid=NTM2NjE4ODkzNDc2MzQ4NzEyNDYxOTg3MjM0Mg==</w:t>
        </w:r>
      </w:hyperlink>
      <w:bookmarkEnd w:id="28"/>
      <w:r>
        <w:t xml:space="preserve">. Con acceso el </w:t>
      </w:r>
      <w:r w:rsidRPr="001561FE">
        <w:t xml:space="preserve">5 </w:t>
      </w:r>
      <w:r>
        <w:t xml:space="preserve">de junio de </w:t>
      </w:r>
      <w:r w:rsidRPr="001561FE">
        <w:t>2020.</w:t>
      </w:r>
    </w:p>
  </w:footnote>
  <w:footnote w:id="66">
    <w:p w14:paraId="1DB7214D" w14:textId="77777777" w:rsidR="000132C6" w:rsidRPr="00992DD9" w:rsidRDefault="000132C6" w:rsidP="00C75D8F">
      <w:pPr>
        <w:pStyle w:val="FootnoteText"/>
        <w:rPr>
          <w:sz w:val="18"/>
          <w:szCs w:val="18"/>
        </w:rPr>
      </w:pPr>
      <w:r>
        <w:rPr>
          <w:rStyle w:val="FootnoteReference"/>
          <w:sz w:val="18"/>
          <w:szCs w:val="18"/>
        </w:rPr>
        <w:footnoteRef/>
      </w:r>
      <w:r w:rsidRPr="001561FE">
        <w:rPr>
          <w:sz w:val="18"/>
          <w:szCs w:val="18"/>
        </w:rPr>
        <w:t xml:space="preserve"> Ver: </w:t>
      </w:r>
      <w:r w:rsidRPr="001561FE">
        <w:t xml:space="preserve">EITI Honduras (noviembre de 2017). </w:t>
      </w:r>
      <w:r>
        <w:t xml:space="preserve">Plan de trabajo </w:t>
      </w:r>
      <w:r w:rsidRPr="001561FE">
        <w:t xml:space="preserve">2017-2018 del EITI Honduras. </w:t>
      </w:r>
      <w:r>
        <w:t>Disponible aquí</w:t>
      </w:r>
      <w:r w:rsidRPr="0040330B">
        <w:t xml:space="preserve">: </w:t>
      </w:r>
      <w:hyperlink r:id="rId63" w:history="1">
        <w:r w:rsidRPr="00CB1C43">
          <w:rPr>
            <w:rStyle w:val="Hyperlink"/>
            <w:rFonts w:ascii="Franklin Gothic Book" w:hAnsi="Franklin Gothic Book" w:cstheme="majorHAnsi"/>
          </w:rPr>
          <w:t>https://portalunico.iaip.gob.hn/Archivos/EITI/informes/informes/2017/PLAN%20DE%20TRABAJO%202017_EITI_HN%20%20(va).pdf</w:t>
        </w:r>
      </w:hyperlink>
      <w:r>
        <w:t xml:space="preserve">. Con acceso el </w:t>
      </w:r>
      <w:r w:rsidRPr="001561FE">
        <w:t xml:space="preserve">5 </w:t>
      </w:r>
      <w:r>
        <w:t xml:space="preserve">de junio de </w:t>
      </w:r>
      <w:r w:rsidRPr="001561FE">
        <w:t>2020.</w:t>
      </w:r>
    </w:p>
  </w:footnote>
  <w:footnote w:id="67">
    <w:p w14:paraId="15853F8C" w14:textId="385A810B" w:rsidR="000132C6" w:rsidRPr="00992DD9" w:rsidRDefault="000132C6" w:rsidP="006208B9">
      <w:pPr>
        <w:pStyle w:val="FootnoteText"/>
        <w:rPr>
          <w:sz w:val="18"/>
          <w:szCs w:val="18"/>
        </w:rPr>
      </w:pPr>
      <w:r>
        <w:rPr>
          <w:rStyle w:val="FootnoteReference"/>
          <w:sz w:val="18"/>
          <w:szCs w:val="18"/>
        </w:rPr>
        <w:footnoteRef/>
      </w:r>
      <w:r>
        <w:rPr>
          <w:sz w:val="18"/>
          <w:szCs w:val="18"/>
        </w:rPr>
        <w:t xml:space="preserve"> </w:t>
      </w:r>
      <w:r>
        <w:t xml:space="preserve">Ver: </w:t>
      </w:r>
      <w:r w:rsidRPr="00397B6B">
        <w:t>EY (</w:t>
      </w:r>
      <w:r>
        <w:t>marzo de</w:t>
      </w:r>
      <w:r w:rsidRPr="00397B6B">
        <w:t xml:space="preserve"> 2018). </w:t>
      </w:r>
      <w:r>
        <w:t xml:space="preserve">Acta de una reunión con el AI </w:t>
      </w:r>
      <w:r w:rsidRPr="00397B6B">
        <w:t xml:space="preserve">(p. 6). </w:t>
      </w:r>
      <w:r>
        <w:t>Disponible aquí</w:t>
      </w:r>
      <w:r w:rsidRPr="00397B6B">
        <w:t>:</w:t>
      </w:r>
      <w:r w:rsidR="006650DA">
        <w:t xml:space="preserve"> </w:t>
      </w:r>
      <w:hyperlink r:id="rId64" w:history="1">
        <w:r w:rsidR="000C04EB" w:rsidRPr="000C04EB">
          <w:rPr>
            <w:rStyle w:val="Hyperlink"/>
            <w:rFonts w:ascii="Franklin Gothic Book" w:hAnsi="Franklin Gothic Book"/>
          </w:rPr>
          <w:t>https://portalunico.iaip.gob.hn/portal/ver_documento.php?uid=MzcyNjMxODkzNDc2MzQ4NzEyNDYxOTg3MjM0Mg==</w:t>
        </w:r>
      </w:hyperlink>
      <w:r>
        <w:t xml:space="preserve">. Con acceso el </w:t>
      </w:r>
      <w:r w:rsidRPr="00397B6B">
        <w:t xml:space="preserve">5 </w:t>
      </w:r>
      <w:r>
        <w:t>de junio de</w:t>
      </w:r>
      <w:r w:rsidRPr="00397B6B">
        <w:t xml:space="preserve"> 2020</w:t>
      </w:r>
      <w:r>
        <w:t>.</w:t>
      </w:r>
    </w:p>
  </w:footnote>
  <w:footnote w:id="68">
    <w:p w14:paraId="33E396A8" w14:textId="6287551B" w:rsidR="000132C6" w:rsidRPr="00DE1BD1" w:rsidRDefault="000132C6">
      <w:pPr>
        <w:pStyle w:val="FootnoteText"/>
        <w:rPr>
          <w:sz w:val="18"/>
          <w:szCs w:val="18"/>
          <w:lang w:val="es-AR"/>
        </w:rPr>
      </w:pPr>
      <w:r>
        <w:rPr>
          <w:rStyle w:val="FootnoteReference"/>
          <w:sz w:val="18"/>
          <w:szCs w:val="18"/>
        </w:rPr>
        <w:footnoteRef/>
      </w:r>
      <w:r>
        <w:rPr>
          <w:sz w:val="18"/>
          <w:szCs w:val="18"/>
        </w:rPr>
        <w:t xml:space="preserve"> </w:t>
      </w:r>
      <w:r w:rsidRPr="00651CC9">
        <w:t xml:space="preserve">El plan de trabajo de 2017-2018 del EITI Honduras explica que la decisión del Tribunal conlleva dificultades y limitaciones para la expansión del sector. También señala que, como consecuencia de este pronunciamiento, solo se considerarían los tributos provenientes de empresas extractivas con concesiones vigentes, lo cual privaría al </w:t>
      </w:r>
      <w:r w:rsidR="00DF3437">
        <w:t>Gobierno</w:t>
      </w:r>
      <w:r w:rsidRPr="00651CC9">
        <w:t xml:space="preserve"> de percibir impuestos de nuevas empresas mineras durante su fase de exploración. Ver la p. 4 del plan de trabajo de EITI Honduras para 2017-</w:t>
      </w:r>
      <w:r w:rsidRPr="009A2F7A">
        <w:t xml:space="preserve">2018. Disponible aquí: </w:t>
      </w:r>
      <w:hyperlink r:id="rId65" w:history="1">
        <w:r w:rsidRPr="009A2F7A">
          <w:rPr>
            <w:rStyle w:val="Hyperlink"/>
            <w:rFonts w:ascii="Franklin Gothic Book" w:hAnsi="Franklin Gothic Book"/>
          </w:rPr>
          <w:t>https://portalunico.iaip.gob.hn/Archivos/EITI/informes/informes/2017/PLAN%20DE%20TRABAJO%202017_EITI_HN%20%20(va).pdf</w:t>
        </w:r>
      </w:hyperlink>
      <w:r w:rsidRPr="00651CC9">
        <w:t>. Con acceso el 5 de junio de 2020.</w:t>
      </w:r>
    </w:p>
  </w:footnote>
  <w:footnote w:id="69">
    <w:p w14:paraId="3D1778BB" w14:textId="77777777" w:rsidR="000132C6" w:rsidRPr="00397B6B" w:rsidRDefault="000132C6">
      <w:pPr>
        <w:pStyle w:val="FootnoteText"/>
      </w:pPr>
      <w:r>
        <w:rPr>
          <w:rStyle w:val="FootnoteReference"/>
        </w:rPr>
        <w:footnoteRef/>
      </w:r>
      <w:r w:rsidRPr="00397B6B">
        <w:t xml:space="preserve"> Ver: EITI Honduras (julio de 2019). </w:t>
      </w:r>
      <w:r>
        <w:t xml:space="preserve">Plan de trabajo para </w:t>
      </w:r>
      <w:r w:rsidRPr="00397B6B">
        <w:t xml:space="preserve">2019-2020 del EITI Honduras. </w:t>
      </w:r>
      <w:r>
        <w:t>Disponible aquí</w:t>
      </w:r>
      <w:r w:rsidRPr="00397B6B">
        <w:t xml:space="preserve">: </w:t>
      </w:r>
      <w:hyperlink r:id="rId66" w:history="1">
        <w:r w:rsidRPr="00397B6B">
          <w:rPr>
            <w:rStyle w:val="Hyperlink"/>
            <w:rFonts w:ascii="Franklin Gothic Book" w:hAnsi="Franklin Gothic Book"/>
          </w:rPr>
          <w:t>https://portalunico.iaip.gob.hn/portal/ver_documento.php?uid=NTUwMDgwODkzNDc2MzQ4NzEyNDYxOTg3MjM0Mg==</w:t>
        </w:r>
      </w:hyperlink>
      <w:r>
        <w:t xml:space="preserve">. Con acceso el </w:t>
      </w:r>
      <w:r w:rsidRPr="00397B6B">
        <w:t xml:space="preserve">5 </w:t>
      </w:r>
      <w:r>
        <w:t>de junio de</w:t>
      </w:r>
      <w:r w:rsidRPr="00397B6B">
        <w:t xml:space="preserve"> 2020</w:t>
      </w:r>
      <w:r>
        <w:t>.</w:t>
      </w:r>
    </w:p>
  </w:footnote>
  <w:footnote w:id="70">
    <w:p w14:paraId="487F85A2" w14:textId="77777777" w:rsidR="000132C6" w:rsidRPr="0080170E" w:rsidRDefault="000132C6" w:rsidP="00902769">
      <w:pPr>
        <w:spacing w:after="0"/>
        <w:rPr>
          <w:rFonts w:cs="Segoe UI"/>
          <w:sz w:val="16"/>
          <w:szCs w:val="16"/>
        </w:rPr>
      </w:pPr>
      <w:r w:rsidRPr="002960CB">
        <w:rPr>
          <w:rStyle w:val="FootnoteReference"/>
          <w:sz w:val="16"/>
          <w:szCs w:val="16"/>
        </w:rPr>
        <w:footnoteRef/>
      </w:r>
      <w:r w:rsidRPr="0080170E">
        <w:rPr>
          <w:rStyle w:val="Hyperlink"/>
          <w:rFonts w:ascii="Franklin Gothic Book" w:hAnsi="Franklin Gothic Book"/>
          <w:sz w:val="16"/>
          <w:szCs w:val="16"/>
        </w:rPr>
        <w:t xml:space="preserve">Ver actas de reuniones del GMP disponibles aquí: </w:t>
      </w:r>
      <w:hyperlink r:id="rId67" w:tgtFrame="_blank" w:tooltip="https://portalunico.iaip.gob.hn/portal/ver_documento.php?uid=ntaznzcyodkzndc2mzq4nzeyndyxotg3mjm0mg==" w:history="1">
        <w:r w:rsidRPr="0080170E">
          <w:rPr>
            <w:rStyle w:val="Hyperlink"/>
            <w:rFonts w:ascii="Franklin Gothic Book" w:hAnsi="Franklin Gothic Book"/>
            <w:sz w:val="16"/>
            <w:szCs w:val="16"/>
          </w:rPr>
          <w:t>https://portalunico.iaip.gob.hn/portal/ver_documento.php?uid=NTAzNzcyODkzNDc2MzQ4NzEyNDYxOTg3MjM0Mg==</w:t>
        </w:r>
      </w:hyperlink>
      <w:r w:rsidRPr="0080170E">
        <w:rPr>
          <w:rStyle w:val="Hyperlink"/>
          <w:rFonts w:ascii="Franklin Gothic Book" w:hAnsi="Franklin Gothic Book"/>
          <w:sz w:val="16"/>
          <w:szCs w:val="16"/>
        </w:rPr>
        <w:t xml:space="preserve"> and </w:t>
      </w:r>
      <w:hyperlink r:id="rId68" w:history="1">
        <w:r w:rsidRPr="0080170E">
          <w:rPr>
            <w:rStyle w:val="Hyperlink"/>
            <w:rFonts w:ascii="Franklin Gothic Book" w:hAnsi="Franklin Gothic Book"/>
            <w:sz w:val="16"/>
            <w:szCs w:val="16"/>
          </w:rPr>
          <w:t>https://www.eitihonduras.org/wp-content/uploads/2020/02/6-de-septiembre-de-2019-.pdf</w:t>
        </w:r>
      </w:hyperlink>
    </w:p>
    <w:p w14:paraId="5F3680AD" w14:textId="77777777" w:rsidR="000132C6" w:rsidRPr="0080170E" w:rsidRDefault="000132C6" w:rsidP="00902769">
      <w:pPr>
        <w:pStyle w:val="FootnoteText"/>
      </w:pPr>
    </w:p>
  </w:footnote>
  <w:footnote w:id="71">
    <w:p w14:paraId="48F34B1B" w14:textId="205972C0" w:rsidR="000132C6" w:rsidRPr="0080170E" w:rsidRDefault="000132C6" w:rsidP="00902769">
      <w:pPr>
        <w:pStyle w:val="FootnoteText"/>
      </w:pPr>
      <w:r w:rsidRPr="0040330B">
        <w:rPr>
          <w:rStyle w:val="FootnoteReference"/>
        </w:rPr>
        <w:footnoteRef/>
      </w:r>
      <w:r w:rsidRPr="0080170E">
        <w:t xml:space="preserve">Ver el plan de trabajo 2019-2020, </w:t>
      </w:r>
      <w:r>
        <w:t>disponible aquí</w:t>
      </w:r>
      <w:r w:rsidRPr="0080170E">
        <w:t>:</w:t>
      </w:r>
      <w:r w:rsidR="000C04EB">
        <w:t xml:space="preserve"> </w:t>
      </w:r>
      <w:hyperlink r:id="rId69" w:history="1">
        <w:r w:rsidR="00F25D44" w:rsidRPr="00F25D44">
          <w:rPr>
            <w:rStyle w:val="Hyperlink"/>
            <w:rFonts w:ascii="Franklin Gothic Book" w:hAnsi="Franklin Gothic Book" w:cs="Calibri Light"/>
          </w:rPr>
          <w:t>https://portalunico.iaip.gob.hn/portal/ver_documento.php?uid=NTUwMDgwODkzNDc2MzQ4NzEyNDYxOTg3MjM0Mg==</w:t>
        </w:r>
      </w:hyperlink>
    </w:p>
  </w:footnote>
  <w:footnote w:id="72">
    <w:p w14:paraId="389537FB" w14:textId="77777777" w:rsidR="000132C6" w:rsidRPr="004277B6" w:rsidRDefault="000132C6" w:rsidP="00ED1CD9">
      <w:pPr>
        <w:pStyle w:val="FootnoteText"/>
        <w:rPr>
          <w:sz w:val="18"/>
          <w:szCs w:val="18"/>
        </w:rPr>
      </w:pPr>
      <w:r>
        <w:rPr>
          <w:rStyle w:val="FootnoteReference"/>
          <w:sz w:val="18"/>
          <w:szCs w:val="18"/>
        </w:rPr>
        <w:footnoteRef/>
      </w:r>
      <w:r w:rsidRPr="00633E30">
        <w:rPr>
          <w:sz w:val="18"/>
          <w:szCs w:val="18"/>
        </w:rPr>
        <w:t xml:space="preserve"> </w:t>
      </w:r>
      <w:r w:rsidRPr="00633E30">
        <w:t>Ver: EY (marzo de 2018). Acta de una reuni</w:t>
      </w:r>
      <w:r>
        <w:t xml:space="preserve">ón con el AI. </w:t>
      </w:r>
      <w:r w:rsidRPr="00633E30">
        <w:t xml:space="preserve">Disponible aquí: </w:t>
      </w:r>
      <w:hyperlink r:id="rId70" w:history="1">
        <w:r w:rsidRPr="00633E30">
          <w:rPr>
            <w:rStyle w:val="Hyperlink"/>
            <w:rFonts w:ascii="Franklin Gothic Book" w:hAnsi="Franklin Gothic Book"/>
          </w:rPr>
          <w:t>https://portalunico.iaip.gob.hn/portal/ver_documento.php?uid=MzcyNjMxODkzNDc2MzQ4NzEyNDYxOTg3MjM0Mg==</w:t>
        </w:r>
      </w:hyperlink>
      <w:r w:rsidRPr="00633E30">
        <w:t xml:space="preserve">. </w:t>
      </w:r>
      <w:r w:rsidRPr="004277B6">
        <w:t>Con acceso el 5 de junio de 2020.</w:t>
      </w:r>
    </w:p>
  </w:footnote>
  <w:footnote w:id="73">
    <w:p w14:paraId="4F91649C" w14:textId="77777777" w:rsidR="000132C6" w:rsidRPr="00633E30" w:rsidRDefault="000132C6" w:rsidP="00ED1CD9">
      <w:pPr>
        <w:pStyle w:val="FootnoteText"/>
        <w:rPr>
          <w:sz w:val="18"/>
          <w:szCs w:val="18"/>
        </w:rPr>
      </w:pPr>
      <w:r>
        <w:rPr>
          <w:rStyle w:val="FootnoteReference"/>
          <w:sz w:val="18"/>
          <w:szCs w:val="18"/>
        </w:rPr>
        <w:footnoteRef/>
      </w:r>
      <w:r w:rsidRPr="00633E30">
        <w:rPr>
          <w:sz w:val="18"/>
          <w:szCs w:val="18"/>
        </w:rPr>
        <w:t xml:space="preserve"> </w:t>
      </w:r>
      <w:r w:rsidRPr="00633E30">
        <w:t>Ver: EY (marzo de 2018). Acta de una reuni</w:t>
      </w:r>
      <w:r>
        <w:t xml:space="preserve">ón con el AI. </w:t>
      </w:r>
      <w:r w:rsidRPr="00633E30">
        <w:t xml:space="preserve">Disponible aquí: </w:t>
      </w:r>
      <w:hyperlink r:id="rId71" w:history="1">
        <w:r w:rsidRPr="00633E30">
          <w:rPr>
            <w:rStyle w:val="Hyperlink"/>
            <w:rFonts w:ascii="Franklin Gothic Book" w:hAnsi="Franklin Gothic Book"/>
          </w:rPr>
          <w:t>https://portalunico.iaip.gob.hn/portal/ver_documento.php?uid=MzcyNjMxODkzNDc2MzQ4NzEyNDYxOTg3MjM0Mg==</w:t>
        </w:r>
      </w:hyperlink>
      <w:r w:rsidRPr="00633E30">
        <w:t>. Con acceso el 5 de junio de 2020.</w:t>
      </w:r>
    </w:p>
  </w:footnote>
  <w:footnote w:id="74">
    <w:p w14:paraId="17CD9901" w14:textId="77777777" w:rsidR="000132C6" w:rsidRPr="00633E30" w:rsidRDefault="000132C6">
      <w:pPr>
        <w:pStyle w:val="FootnoteText"/>
      </w:pPr>
      <w:r>
        <w:rPr>
          <w:rStyle w:val="FootnoteReference"/>
        </w:rPr>
        <w:footnoteRef/>
      </w:r>
      <w:r w:rsidRPr="00633E30">
        <w:t xml:space="preserve"> Ver: GMP de Honduras (agosto de 2019). </w:t>
      </w:r>
      <w:r>
        <w:t>Acta</w:t>
      </w:r>
      <w:r w:rsidRPr="00633E30">
        <w:t xml:space="preserve"> 9. Reuniones del GMP. Disponible aqu</w:t>
      </w:r>
      <w:r>
        <w:t>í</w:t>
      </w:r>
      <w:r w:rsidRPr="00633E30">
        <w:t xml:space="preserve">: </w:t>
      </w:r>
      <w:hyperlink r:id="rId72" w:history="1">
        <w:r w:rsidRPr="00633E30">
          <w:rPr>
            <w:rStyle w:val="Hyperlink"/>
            <w:rFonts w:ascii="Franklin Gothic Book" w:hAnsi="Franklin Gothic Book"/>
          </w:rPr>
          <w:t>https://portalunico.iaip.gob.hn/portal/ver_documento.php?uid=NTg5MjkxODkzNDc2MzQ4NzEyNDYxOTg3MjM0Mg==</w:t>
        </w:r>
      </w:hyperlink>
      <w:r w:rsidRPr="00633E30">
        <w:t>. Con acceso el 5 de junio de 2020.</w:t>
      </w:r>
    </w:p>
  </w:footnote>
  <w:footnote w:id="75">
    <w:p w14:paraId="45737728" w14:textId="77777777" w:rsidR="000132C6" w:rsidRPr="008E5B22" w:rsidRDefault="000132C6" w:rsidP="008E5B22">
      <w:pPr>
        <w:pStyle w:val="FootnoteText"/>
      </w:pPr>
      <w:r w:rsidRPr="0040330B">
        <w:rPr>
          <w:rStyle w:val="FootnoteReference"/>
        </w:rPr>
        <w:footnoteRef/>
      </w:r>
      <w:r>
        <w:t xml:space="preserve"> </w:t>
      </w:r>
      <w:r w:rsidRPr="008E5B22">
        <w:t xml:space="preserve">Algunas partes interesadas consultadas proporcionaron más detalles sobre el funcionamiento de la autoridad fiscal (SAR). Explicaron que el organismo se creó recientemente (en 2016), como parte de un proyecto más amplio apoyado por IADB, Ecuador </w:t>
      </w:r>
      <w:r>
        <w:t xml:space="preserve">y </w:t>
      </w:r>
      <w:r w:rsidRPr="008E5B22">
        <w:t xml:space="preserve">CIAT, </w:t>
      </w:r>
      <w:r>
        <w:t xml:space="preserve">y que esto se hizo como reacción ante la ineficiencia y falta de transparencia del anterior organismo para administración tributaria de </w:t>
      </w:r>
      <w:r w:rsidRPr="008E5B22">
        <w:t>Honduras (DEI). También destacaron que el proceso de migración y apertura de nuevas oficinas había causado ciertas dificultades y demoras en el funcionamiento de SAR.</w:t>
      </w:r>
    </w:p>
    <w:p w14:paraId="79AF116B" w14:textId="7CD8D063" w:rsidR="000132C6" w:rsidRPr="008E5B22" w:rsidRDefault="000132C6" w:rsidP="008E5B22">
      <w:pPr>
        <w:pStyle w:val="FootnoteText"/>
      </w:pPr>
      <w:r w:rsidRPr="008E5B22">
        <w:t>Para más ejemplos, ver:</w:t>
      </w:r>
      <w:r w:rsidR="00543C74">
        <w:t xml:space="preserve"> </w:t>
      </w:r>
      <w:hyperlink r:id="rId73" w:history="1">
        <w:r w:rsidR="00407011" w:rsidRPr="00407011">
          <w:rPr>
            <w:rStyle w:val="Hyperlink"/>
            <w:rFonts w:ascii="Franklin Gothic Book" w:hAnsi="Franklin Gothic Book"/>
          </w:rPr>
          <w:t>https://www.elheraldo.hn/pais/944160-466/el-bid-la-ciat-y-ecuador-asesoran-creaci%C3%B3n-del-sar</w:t>
        </w:r>
      </w:hyperlink>
      <w:r w:rsidRPr="008E5B22">
        <w:t xml:space="preserve"> </w:t>
      </w:r>
      <w:r w:rsidR="00651CC9">
        <w:t>y</w:t>
      </w:r>
      <w:r w:rsidR="00651CC9" w:rsidRPr="008E5B22">
        <w:t xml:space="preserve"> </w:t>
      </w:r>
      <w:hyperlink r:id="rId74" w:history="1">
        <w:r w:rsidRPr="008E5B22">
          <w:rPr>
            <w:rStyle w:val="Hyperlink"/>
            <w:rFonts w:ascii="Franklin Gothic Book" w:hAnsi="Franklin Gothic Book" w:cstheme="minorBidi"/>
          </w:rPr>
          <w:t>http://www.sefin.gob.hn/download_file.php?download_file=/wp-content/uploads/2017/02/IVtrim2016_SAR.pdf</w:t>
        </w:r>
      </w:hyperlink>
      <w:r>
        <w:t xml:space="preserve">. Con acceso el </w:t>
      </w:r>
      <w:r w:rsidRPr="008E5B22">
        <w:t xml:space="preserve">5 </w:t>
      </w:r>
      <w:r>
        <w:t>de junio de</w:t>
      </w:r>
      <w:r w:rsidRPr="008E5B22">
        <w:t xml:space="preserve"> 2020.</w:t>
      </w:r>
    </w:p>
  </w:footnote>
  <w:footnote w:id="76">
    <w:p w14:paraId="4C3C388C" w14:textId="5A4CD8FF" w:rsidR="000132C6" w:rsidRPr="00992DD9" w:rsidRDefault="000132C6" w:rsidP="00836CF6">
      <w:pPr>
        <w:pStyle w:val="FootnoteText"/>
        <w:rPr>
          <w:sz w:val="18"/>
          <w:szCs w:val="18"/>
        </w:rPr>
      </w:pPr>
      <w:r>
        <w:rPr>
          <w:rStyle w:val="FootnoteReference"/>
        </w:rPr>
        <w:footnoteRef/>
      </w:r>
      <w:r>
        <w:t xml:space="preserve"> </w:t>
      </w:r>
      <w:r w:rsidRPr="00CB1C43">
        <w:t>Lempira</w:t>
      </w:r>
      <w:r>
        <w:t xml:space="preserve"> </w:t>
      </w:r>
      <w:r w:rsidR="00651CC9">
        <w:t>hondureño</w:t>
      </w:r>
      <w:r w:rsidRPr="00CB1C43">
        <w:t>:</w:t>
      </w:r>
      <w:r>
        <w:t xml:space="preserve"> la moneda de</w:t>
      </w:r>
      <w:r w:rsidRPr="00CB1C43">
        <w:t xml:space="preserve"> Honduras</w:t>
      </w:r>
      <w:r>
        <w:t>.</w:t>
      </w:r>
    </w:p>
    <w:p w14:paraId="3D52244F" w14:textId="77777777" w:rsidR="000132C6" w:rsidRPr="00DE1BD1" w:rsidRDefault="000132C6">
      <w:pPr>
        <w:pStyle w:val="FootnoteText"/>
        <w:rPr>
          <w:lang w:val="es-AR"/>
        </w:rPr>
      </w:pPr>
    </w:p>
  </w:footnote>
  <w:footnote w:id="77">
    <w:p w14:paraId="1347AF30" w14:textId="77777777" w:rsidR="000132C6" w:rsidRPr="00C01827" w:rsidRDefault="000132C6" w:rsidP="009464C5">
      <w:pPr>
        <w:pStyle w:val="FootnoteText"/>
        <w:rPr>
          <w:sz w:val="18"/>
          <w:szCs w:val="18"/>
        </w:rPr>
      </w:pPr>
      <w:r>
        <w:rPr>
          <w:rStyle w:val="FootnoteReference"/>
          <w:sz w:val="18"/>
          <w:szCs w:val="18"/>
        </w:rPr>
        <w:footnoteRef/>
      </w:r>
      <w:r w:rsidRPr="00C01827">
        <w:rPr>
          <w:sz w:val="18"/>
          <w:szCs w:val="18"/>
        </w:rPr>
        <w:t xml:space="preserve"> </w:t>
      </w:r>
      <w:r w:rsidRPr="00C01827">
        <w:t>Tipo de cambio: 23,62 y 24,39 HNL/USD para 2017 y</w:t>
      </w:r>
      <w:r>
        <w:t xml:space="preserve"> 2018 respectivamente</w:t>
      </w:r>
      <w:r w:rsidRPr="00C01827">
        <w:rPr>
          <w:sz w:val="18"/>
          <w:szCs w:val="18"/>
        </w:rPr>
        <w:t xml:space="preserve">. </w:t>
      </w:r>
    </w:p>
  </w:footnote>
  <w:footnote w:id="78">
    <w:p w14:paraId="401878AA" w14:textId="77777777" w:rsidR="000132C6" w:rsidRPr="00C01827" w:rsidRDefault="000132C6" w:rsidP="00EC65D2">
      <w:pPr>
        <w:pStyle w:val="FootnoteText"/>
      </w:pPr>
      <w:r w:rsidRPr="0040330B">
        <w:rPr>
          <w:rStyle w:val="FootnoteReference"/>
        </w:rPr>
        <w:footnoteRef/>
      </w:r>
      <w:r w:rsidRPr="00C01827">
        <w:t xml:space="preserve"> Ver: Anexo E: Municipalidades donde operan empresas extractivas (INHGEOMIN).</w:t>
      </w:r>
    </w:p>
  </w:footnote>
  <w:footnote w:id="79">
    <w:p w14:paraId="05D9DC64" w14:textId="77777777" w:rsidR="000132C6" w:rsidRPr="00265AF2" w:rsidRDefault="000132C6" w:rsidP="007E5F39">
      <w:pPr>
        <w:pStyle w:val="FootnoteText"/>
      </w:pPr>
      <w:r w:rsidRPr="0040330B">
        <w:rPr>
          <w:rStyle w:val="FootnoteReference"/>
        </w:rPr>
        <w:footnoteRef/>
      </w:r>
      <w:r w:rsidRPr="00265AF2">
        <w:t xml:space="preserve">Para más ejemplos, ver: </w:t>
      </w:r>
      <w:hyperlink r:id="rId75" w:history="1">
        <w:r w:rsidRPr="00265AF2">
          <w:rPr>
            <w:rStyle w:val="Hyperlink"/>
            <w:rFonts w:ascii="Franklin Gothic Book" w:hAnsi="Franklin Gothic Book" w:cstheme="minorBidi"/>
          </w:rPr>
          <w:t>www.tsc.gob.hn</w:t>
        </w:r>
      </w:hyperlink>
      <w:r>
        <w:t xml:space="preserve">. Con acceso el </w:t>
      </w:r>
      <w:r w:rsidRPr="00265AF2">
        <w:t xml:space="preserve">5 </w:t>
      </w:r>
      <w:r>
        <w:t xml:space="preserve">de junio de </w:t>
      </w:r>
      <w:r w:rsidRPr="00265AF2">
        <w:t>2020</w:t>
      </w:r>
      <w:r>
        <w:t>.</w:t>
      </w:r>
    </w:p>
  </w:footnote>
  <w:footnote w:id="80">
    <w:p w14:paraId="11E89883" w14:textId="77777777" w:rsidR="000132C6" w:rsidRPr="007C1AD3" w:rsidRDefault="000132C6" w:rsidP="00FF2D09">
      <w:pPr>
        <w:pStyle w:val="FootnoteText"/>
        <w:rPr>
          <w:sz w:val="18"/>
          <w:szCs w:val="18"/>
        </w:rPr>
      </w:pPr>
      <w:r>
        <w:rPr>
          <w:rStyle w:val="FootnoteReference"/>
          <w:sz w:val="18"/>
          <w:szCs w:val="18"/>
        </w:rPr>
        <w:footnoteRef/>
      </w:r>
      <w:r>
        <w:rPr>
          <w:sz w:val="18"/>
          <w:szCs w:val="18"/>
        </w:rPr>
        <w:t xml:space="preserve"> </w:t>
      </w:r>
      <w:r w:rsidRPr="00265AF2">
        <w:t xml:space="preserve">El IAP 2018 adjunta la solicitud de certificados al TSC en relación con las auditorías realizadas en 2015 y 2016 </w:t>
      </w:r>
      <w:r>
        <w:t xml:space="preserve">para las municipalidades </w:t>
      </w:r>
      <w:r w:rsidRPr="00265AF2">
        <w:t>de Puerto Cortés, Las Vegas Santa Bárbara, La Unión Copán, El Corpus -Choluteca, Juticalpa-Olancho, Cedros -Francisco Morazán, Potrerillos-Cort</w:t>
      </w:r>
      <w:r>
        <w:t>é</w:t>
      </w:r>
      <w:r w:rsidRPr="00265AF2">
        <w:t>s.</w:t>
      </w:r>
    </w:p>
  </w:footnote>
  <w:footnote w:id="81">
    <w:p w14:paraId="232F8533" w14:textId="77777777" w:rsidR="000132C6" w:rsidRPr="00265AF2" w:rsidRDefault="000132C6" w:rsidP="00D32629">
      <w:pPr>
        <w:pStyle w:val="FootnoteText"/>
        <w:rPr>
          <w:sz w:val="18"/>
          <w:szCs w:val="18"/>
        </w:rPr>
      </w:pPr>
      <w:r>
        <w:rPr>
          <w:rStyle w:val="FootnoteReference"/>
          <w:sz w:val="18"/>
          <w:szCs w:val="18"/>
        </w:rPr>
        <w:footnoteRef/>
      </w:r>
      <w:r w:rsidRPr="00C64835">
        <w:rPr>
          <w:sz w:val="18"/>
          <w:szCs w:val="18"/>
        </w:rPr>
        <w:t xml:space="preserve"> </w:t>
      </w:r>
      <w:r w:rsidRPr="00C64835">
        <w:rPr>
          <w:rFonts w:cstheme="majorHAnsi"/>
        </w:rPr>
        <w:t xml:space="preserve">En la misma página, el informe explica que todas las empresas que participaron en los últimos dos informes, más dos empresas nuevas, habían sido invitadas a participar en el informe y, a continuación, enumera todas las empresas que efectivamente aceptaron hacerlo (nueve empresas, en total). </w:t>
      </w:r>
      <w:r w:rsidRPr="00265AF2">
        <w:rPr>
          <w:rFonts w:cstheme="majorHAnsi"/>
        </w:rPr>
        <w:t>Seguidamente, agrega que “todas las empresas han brindado la información solicitada”; es decir que no se trató de todas las que habían sido invitadas, sino de las nueve empresas declarantes.</w:t>
      </w:r>
      <w:r>
        <w:rPr>
          <w:sz w:val="18"/>
          <w:szCs w:val="18"/>
        </w:rPr>
        <w:t xml:space="preserve"> </w:t>
      </w:r>
    </w:p>
  </w:footnote>
  <w:footnote w:id="82">
    <w:p w14:paraId="7115C46D" w14:textId="77777777" w:rsidR="000132C6" w:rsidRPr="009404C4" w:rsidRDefault="000132C6" w:rsidP="007011BD">
      <w:pPr>
        <w:pStyle w:val="FootnoteText"/>
        <w:rPr>
          <w:sz w:val="18"/>
          <w:szCs w:val="18"/>
        </w:rPr>
      </w:pPr>
      <w:r>
        <w:rPr>
          <w:rStyle w:val="FootnoteReference"/>
          <w:sz w:val="18"/>
          <w:szCs w:val="18"/>
        </w:rPr>
        <w:footnoteRef/>
      </w:r>
      <w:r>
        <w:rPr>
          <w:sz w:val="18"/>
          <w:szCs w:val="18"/>
        </w:rPr>
        <w:t xml:space="preserve"> </w:t>
      </w:r>
      <w:r>
        <w:rPr>
          <w:lang w:val="es-MX"/>
        </w:rPr>
        <w:t>Ver</w:t>
      </w:r>
      <w:r w:rsidRPr="00CB1C43">
        <w:rPr>
          <w:lang w:val="es-MX"/>
        </w:rPr>
        <w:t>:</w:t>
      </w:r>
      <w:r>
        <w:rPr>
          <w:lang w:val="es-MX"/>
        </w:rPr>
        <w:t xml:space="preserve"> </w:t>
      </w:r>
      <w:r w:rsidRPr="00CB1C43">
        <w:rPr>
          <w:lang w:val="es-MX"/>
        </w:rPr>
        <w:t>Ley General de Minería (</w:t>
      </w:r>
      <w:r>
        <w:rPr>
          <w:lang w:val="es-MX"/>
        </w:rPr>
        <w:t>abril de</w:t>
      </w:r>
      <w:r w:rsidRPr="00CB1C43">
        <w:rPr>
          <w:lang w:val="es-MX"/>
        </w:rPr>
        <w:t xml:space="preserve"> 2013). </w:t>
      </w:r>
      <w:r w:rsidRPr="004277B6">
        <w:t xml:space="preserve">Decreto 32-2013. </w:t>
      </w:r>
      <w:r w:rsidRPr="009404C4">
        <w:t xml:space="preserve">Disponible aquí: </w:t>
      </w:r>
      <w:hyperlink r:id="rId76" w:history="1">
        <w:r w:rsidRPr="009404C4">
          <w:rPr>
            <w:rStyle w:val="Hyperlink"/>
            <w:rFonts w:ascii="Franklin Gothic Book" w:hAnsi="Franklin Gothic Book" w:cs="Calibri Light"/>
          </w:rPr>
          <w:t>http://inhgeomin.gob.hn/images/Documentos/Portal-Transparencia/Leyes/Ley-General-de-Mineria.pdf</w:t>
        </w:r>
      </w:hyperlink>
      <w:r w:rsidRPr="009404C4">
        <w:t>. Con acceso el 5 de junio de 2020</w:t>
      </w:r>
      <w:r w:rsidRPr="009404C4">
        <w:rPr>
          <w:sz w:val="18"/>
          <w:szCs w:val="18"/>
        </w:rPr>
        <w:t xml:space="preserve">. </w:t>
      </w:r>
    </w:p>
  </w:footnote>
  <w:footnote w:id="83">
    <w:p w14:paraId="6B1D6DB3" w14:textId="77777777" w:rsidR="000132C6" w:rsidRPr="009404C4" w:rsidRDefault="000132C6" w:rsidP="006C2DAE">
      <w:pPr>
        <w:pStyle w:val="FootnoteText"/>
        <w:rPr>
          <w:sz w:val="18"/>
          <w:szCs w:val="18"/>
        </w:rPr>
      </w:pPr>
      <w:r>
        <w:rPr>
          <w:rStyle w:val="FootnoteReference"/>
          <w:sz w:val="18"/>
          <w:szCs w:val="18"/>
        </w:rPr>
        <w:footnoteRef/>
      </w:r>
      <w:r>
        <w:rPr>
          <w:sz w:val="18"/>
          <w:szCs w:val="18"/>
        </w:rPr>
        <w:t xml:space="preserve"> </w:t>
      </w:r>
      <w:r>
        <w:t>Ver</w:t>
      </w:r>
      <w:r w:rsidRPr="009404C4">
        <w:t>:</w:t>
      </w:r>
      <w:r>
        <w:t xml:space="preserve"> Congreso de </w:t>
      </w:r>
      <w:r w:rsidRPr="009404C4">
        <w:t>Honduras (2014)</w:t>
      </w:r>
      <w:r>
        <w:t>,</w:t>
      </w:r>
      <w:r w:rsidRPr="009404C4">
        <w:t xml:space="preserve"> Decre</w:t>
      </w:r>
      <w:r>
        <w:t>to</w:t>
      </w:r>
      <w:r w:rsidRPr="009404C4">
        <w:t xml:space="preserve"> 140-2014. </w:t>
      </w:r>
      <w:r>
        <w:t>Ingresos Totales del Gobierno</w:t>
      </w:r>
      <w:r w:rsidRPr="009404C4">
        <w:t>. Disponible aqu</w:t>
      </w:r>
      <w:r>
        <w:t>í</w:t>
      </w:r>
      <w:r w:rsidRPr="009404C4">
        <w:t>:</w:t>
      </w:r>
      <w:hyperlink r:id="rId77" w:history="1">
        <w:r w:rsidRPr="009404C4">
          <w:rPr>
            <w:rStyle w:val="Hyperlink"/>
            <w:rFonts w:ascii="Franklin Gothic Book" w:hAnsi="Franklin Gothic Book"/>
          </w:rPr>
          <w:t>http://www.sefin.gob.hn/wp-content/uploads/Presupuesto/2015/aprobado/Disposiciones%202015.pdf</w:t>
        </w:r>
      </w:hyperlink>
      <w:r>
        <w:rPr>
          <w:rFonts w:cstheme="majorHAnsi"/>
        </w:rPr>
        <w:t xml:space="preserve">. Con acceso el </w:t>
      </w:r>
      <w:r w:rsidRPr="009404C4">
        <w:rPr>
          <w:rFonts w:cstheme="majorHAnsi"/>
        </w:rPr>
        <w:t xml:space="preserve">5 </w:t>
      </w:r>
      <w:r>
        <w:rPr>
          <w:rFonts w:cstheme="majorHAnsi"/>
        </w:rPr>
        <w:t>de junio de</w:t>
      </w:r>
      <w:r w:rsidRPr="009404C4">
        <w:rPr>
          <w:rFonts w:cstheme="majorHAnsi"/>
        </w:rPr>
        <w:t xml:space="preserve"> 2020. </w:t>
      </w:r>
    </w:p>
  </w:footnote>
  <w:footnote w:id="84">
    <w:p w14:paraId="63065FA4" w14:textId="77777777" w:rsidR="000132C6" w:rsidRPr="009404C4" w:rsidRDefault="000132C6">
      <w:pPr>
        <w:pStyle w:val="FootnoteText"/>
        <w:rPr>
          <w:sz w:val="18"/>
          <w:szCs w:val="18"/>
        </w:rPr>
      </w:pPr>
      <w:r>
        <w:rPr>
          <w:rStyle w:val="FootnoteReference"/>
          <w:sz w:val="18"/>
          <w:szCs w:val="18"/>
        </w:rPr>
        <w:footnoteRef/>
      </w:r>
      <w:r>
        <w:rPr>
          <w:sz w:val="18"/>
          <w:szCs w:val="18"/>
        </w:rPr>
        <w:t xml:space="preserve"> </w:t>
      </w:r>
      <w:r>
        <w:t>Ver</w:t>
      </w:r>
      <w:r w:rsidRPr="009404C4">
        <w:t>:</w:t>
      </w:r>
      <w:r>
        <w:t xml:space="preserve"> Congreso de </w:t>
      </w:r>
      <w:r w:rsidRPr="009404C4">
        <w:t>Honduras (2015)</w:t>
      </w:r>
      <w:r>
        <w:t>,</w:t>
      </w:r>
      <w:r w:rsidRPr="009404C4">
        <w:t xml:space="preserve"> Decre</w:t>
      </w:r>
      <w:r>
        <w:t>to</w:t>
      </w:r>
      <w:r w:rsidRPr="009404C4">
        <w:t xml:space="preserve"> 168-2015. </w:t>
      </w:r>
      <w:r>
        <w:t>Ingresos Totales del Gobierno</w:t>
      </w:r>
      <w:r w:rsidRPr="009404C4">
        <w:t>. Disponible aqu</w:t>
      </w:r>
      <w:r>
        <w:t>í</w:t>
      </w:r>
      <w:r w:rsidRPr="009404C4">
        <w:t>:</w:t>
      </w:r>
      <w:hyperlink r:id="rId78" w:history="1">
        <w:r w:rsidRPr="009404C4">
          <w:rPr>
            <w:rStyle w:val="Hyperlink"/>
            <w:rFonts w:ascii="Franklin Gothic Book" w:hAnsi="Franklin Gothic Book"/>
          </w:rPr>
          <w:t>http://www.sefin.gob.hn/wp-content/uploads/Presupuesto/2016/Aprobado/Disposiciones%202016.pdf</w:t>
        </w:r>
      </w:hyperlink>
      <w:r>
        <w:rPr>
          <w:rFonts w:cs="Times New Roman"/>
        </w:rPr>
        <w:t xml:space="preserve">. Con acceso el </w:t>
      </w:r>
      <w:r w:rsidRPr="009404C4">
        <w:rPr>
          <w:rFonts w:cs="Times New Roman"/>
        </w:rPr>
        <w:t xml:space="preserve">5 </w:t>
      </w:r>
      <w:r>
        <w:rPr>
          <w:rFonts w:cs="Times New Roman"/>
        </w:rPr>
        <w:t>de junio de</w:t>
      </w:r>
      <w:r w:rsidRPr="009404C4">
        <w:rPr>
          <w:rFonts w:cs="Times New Roman"/>
        </w:rPr>
        <w:t xml:space="preserve"> 2020</w:t>
      </w:r>
      <w:r>
        <w:rPr>
          <w:rFonts w:cs="Times New Roman"/>
        </w:rPr>
        <w:t>.</w:t>
      </w:r>
    </w:p>
  </w:footnote>
  <w:footnote w:id="85">
    <w:p w14:paraId="068FFAE9" w14:textId="77777777" w:rsidR="000132C6" w:rsidRPr="009404C4" w:rsidRDefault="000132C6">
      <w:pPr>
        <w:pStyle w:val="FootnoteText"/>
        <w:rPr>
          <w:sz w:val="18"/>
          <w:szCs w:val="18"/>
        </w:rPr>
      </w:pPr>
      <w:r>
        <w:rPr>
          <w:rStyle w:val="FootnoteReference"/>
          <w:sz w:val="18"/>
          <w:szCs w:val="18"/>
        </w:rPr>
        <w:footnoteRef/>
      </w:r>
      <w:r w:rsidRPr="009404C4">
        <w:rPr>
          <w:sz w:val="18"/>
          <w:szCs w:val="18"/>
        </w:rPr>
        <w:t xml:space="preserve"> </w:t>
      </w:r>
      <w:r>
        <w:t>Ver</w:t>
      </w:r>
      <w:r w:rsidRPr="009404C4">
        <w:t>: Secretar</w:t>
      </w:r>
      <w:r>
        <w:t>ía de Finanzas</w:t>
      </w:r>
      <w:r w:rsidRPr="009404C4">
        <w:t xml:space="preserve"> (2020).</w:t>
      </w:r>
      <w:hyperlink r:id="rId79" w:history="1">
        <w:r w:rsidRPr="009404C4">
          <w:t>http://www.sefin.gob.hn/cifras-macrofiscales/</w:t>
        </w:r>
      </w:hyperlink>
      <w:r>
        <w:rPr>
          <w:rFonts w:cs="Times New Roman"/>
        </w:rPr>
        <w:t xml:space="preserve">. Con acceso el </w:t>
      </w:r>
      <w:r w:rsidRPr="009404C4">
        <w:rPr>
          <w:rFonts w:cs="Times New Roman"/>
        </w:rPr>
        <w:t xml:space="preserve">5 </w:t>
      </w:r>
      <w:r>
        <w:rPr>
          <w:rFonts w:cs="Times New Roman"/>
        </w:rPr>
        <w:t>de junio de</w:t>
      </w:r>
      <w:r w:rsidRPr="009404C4">
        <w:rPr>
          <w:rFonts w:cs="Times New Roman"/>
        </w:rPr>
        <w:t xml:space="preserve"> 2020</w:t>
      </w:r>
      <w:r>
        <w:rPr>
          <w:rFonts w:cs="Times New Roman"/>
        </w:rPr>
        <w:t>.</w:t>
      </w:r>
    </w:p>
  </w:footnote>
  <w:footnote w:id="86">
    <w:p w14:paraId="5C997870" w14:textId="77777777" w:rsidR="000132C6" w:rsidRPr="009404C4" w:rsidRDefault="000132C6" w:rsidP="007C6146">
      <w:pPr>
        <w:pStyle w:val="FootnoteText"/>
      </w:pPr>
      <w:r w:rsidRPr="0040330B">
        <w:rPr>
          <w:rStyle w:val="FootnoteReference"/>
        </w:rPr>
        <w:footnoteRef/>
      </w:r>
      <w:r w:rsidRPr="004277B6">
        <w:t xml:space="preserve">Ver: EITI Honduras (2014). Informe EITI 2014. </w:t>
      </w:r>
      <w:r w:rsidRPr="009404C4">
        <w:t xml:space="preserve">Disponible aquí: </w:t>
      </w:r>
      <w:hyperlink r:id="rId80" w:history="1">
        <w:r w:rsidRPr="009404C4">
          <w:rPr>
            <w:rStyle w:val="Hyperlink"/>
            <w:rFonts w:ascii="Franklin Gothic Book" w:hAnsi="Franklin Gothic Book" w:cstheme="minorBidi"/>
          </w:rPr>
          <w:t>https://eiti.org/sites/default/files/documents/eiti-hn-2014.pdf</w:t>
        </w:r>
      </w:hyperlink>
      <w:r>
        <w:rPr>
          <w:rFonts w:cs="Times New Roman"/>
        </w:rPr>
        <w:t xml:space="preserve">. Con acceso el </w:t>
      </w:r>
      <w:r w:rsidRPr="009404C4">
        <w:rPr>
          <w:rFonts w:cs="Times New Roman"/>
        </w:rPr>
        <w:t xml:space="preserve">5 </w:t>
      </w:r>
      <w:r>
        <w:rPr>
          <w:rFonts w:cs="Times New Roman"/>
        </w:rPr>
        <w:t>de junio de</w:t>
      </w:r>
      <w:r w:rsidRPr="009404C4">
        <w:rPr>
          <w:rFonts w:cs="Times New Roman"/>
        </w:rPr>
        <w:t xml:space="preserve"> 2020</w:t>
      </w:r>
      <w:r>
        <w:rPr>
          <w:rFonts w:cs="Times New Roman"/>
        </w:rPr>
        <w:t>.</w:t>
      </w:r>
    </w:p>
  </w:footnote>
  <w:footnote w:id="87">
    <w:p w14:paraId="06AE3895" w14:textId="77777777" w:rsidR="000132C6" w:rsidRPr="00D015A1" w:rsidRDefault="000132C6" w:rsidP="00491859">
      <w:pPr>
        <w:pStyle w:val="FootnoteText"/>
        <w:rPr>
          <w:sz w:val="18"/>
          <w:szCs w:val="18"/>
        </w:rPr>
      </w:pPr>
      <w:r>
        <w:rPr>
          <w:rStyle w:val="FootnoteReference"/>
          <w:sz w:val="18"/>
          <w:szCs w:val="18"/>
        </w:rPr>
        <w:footnoteRef/>
      </w:r>
      <w:r w:rsidRPr="00D015A1">
        <w:t xml:space="preserve">Para más ejemplos, ver: </w:t>
      </w:r>
      <w:hyperlink r:id="rId81" w:history="1">
        <w:r w:rsidRPr="00D015A1">
          <w:rPr>
            <w:rStyle w:val="Hyperlink"/>
            <w:rFonts w:ascii="Franklin Gothic Book" w:hAnsi="Franklin Gothic Book"/>
          </w:rPr>
          <w:t>https://portalunico.iaip.gob.hn/portal/ver_documento.php?uid=NDAwMjAwODkzNDc2MzQ4NzEyNDYxOTg3MjM0Mg==</w:t>
        </w:r>
      </w:hyperlink>
      <w:r>
        <w:rPr>
          <w:rFonts w:cstheme="minorBidi"/>
        </w:rPr>
        <w:t xml:space="preserve">. Con acceso el </w:t>
      </w:r>
      <w:r w:rsidRPr="00D015A1">
        <w:rPr>
          <w:rFonts w:cstheme="minorBidi"/>
        </w:rPr>
        <w:t xml:space="preserve">5 </w:t>
      </w:r>
      <w:r>
        <w:rPr>
          <w:rFonts w:cstheme="minorBidi"/>
        </w:rPr>
        <w:t>de junio de</w:t>
      </w:r>
      <w:r w:rsidRPr="00D015A1">
        <w:rPr>
          <w:rFonts w:cstheme="minorBidi"/>
        </w:rPr>
        <w:t xml:space="preserve"> 2020</w:t>
      </w:r>
      <w:r>
        <w:rPr>
          <w:rFonts w:cstheme="minorBidi"/>
        </w:rPr>
        <w:t>.</w:t>
      </w:r>
    </w:p>
  </w:footnote>
  <w:footnote w:id="88">
    <w:p w14:paraId="64BD6213" w14:textId="77777777" w:rsidR="000132C6" w:rsidRPr="00A26CEA" w:rsidRDefault="000132C6">
      <w:pPr>
        <w:pStyle w:val="FootnoteText"/>
      </w:pPr>
      <w:r>
        <w:rPr>
          <w:rStyle w:val="FootnoteReference"/>
        </w:rPr>
        <w:footnoteRef/>
      </w:r>
      <w:r>
        <w:t xml:space="preserve"> Para más ejemplos, ver</w:t>
      </w:r>
      <w:r w:rsidRPr="00D015A1">
        <w:t xml:space="preserve">: </w:t>
      </w:r>
      <w:hyperlink r:id="rId82" w:history="1">
        <w:r w:rsidRPr="00D015A1">
          <w:rPr>
            <w:rStyle w:val="Hyperlink"/>
            <w:rFonts w:ascii="Franklin Gothic Book" w:hAnsi="Franklin Gothic Book"/>
          </w:rPr>
          <w:t>https://portalunico.iaip.gob.hn/portal/ver_documento.php?uid=NDczNzYzODkzNDc2MzQ4NzEyNDYxOTg3MjM0Mg==</w:t>
        </w:r>
      </w:hyperlink>
      <w:r>
        <w:rPr>
          <w:rFonts w:cstheme="minorBidi"/>
        </w:rPr>
        <w:t xml:space="preserve">. Con acceso el </w:t>
      </w:r>
      <w:r w:rsidRPr="00CB1C43">
        <w:rPr>
          <w:rFonts w:cstheme="minorBidi"/>
        </w:rPr>
        <w:t xml:space="preserve">5 </w:t>
      </w:r>
      <w:r>
        <w:rPr>
          <w:rFonts w:cstheme="minorBidi"/>
        </w:rPr>
        <w:t>de junio de</w:t>
      </w:r>
      <w:r w:rsidRPr="00CB1C43">
        <w:rPr>
          <w:rFonts w:cstheme="minorBidi"/>
        </w:rPr>
        <w:t xml:space="preserve"> 2020</w:t>
      </w:r>
      <w:r>
        <w:rPr>
          <w:rFonts w:cstheme="minorBidi"/>
        </w:rPr>
        <w:t>.</w:t>
      </w:r>
    </w:p>
  </w:footnote>
  <w:footnote w:id="89">
    <w:p w14:paraId="50686AB6" w14:textId="77777777" w:rsidR="000132C6" w:rsidRPr="00A61F01" w:rsidRDefault="000132C6">
      <w:pPr>
        <w:pStyle w:val="FootnoteText"/>
      </w:pPr>
      <w:r>
        <w:rPr>
          <w:rStyle w:val="FootnoteReference"/>
        </w:rPr>
        <w:footnoteRef/>
      </w:r>
      <w:r>
        <w:t xml:space="preserve"> Ver</w:t>
      </w:r>
      <w:r w:rsidRPr="00CB1C43">
        <w:t xml:space="preserve">: </w:t>
      </w:r>
      <w:hyperlink r:id="rId83" w:history="1">
        <w:r w:rsidRPr="00CB1C43">
          <w:t>https://portalunico.iaip.gob.hn/portal/index.php?portal=442</w:t>
        </w:r>
      </w:hyperlink>
      <w:r>
        <w:rPr>
          <w:rFonts w:cstheme="minorBidi"/>
        </w:rPr>
        <w:t xml:space="preserve">. Con acceso el </w:t>
      </w:r>
      <w:r w:rsidRPr="00CB1C43">
        <w:rPr>
          <w:rFonts w:cstheme="minorBidi"/>
        </w:rPr>
        <w:t xml:space="preserve">5 </w:t>
      </w:r>
      <w:r>
        <w:rPr>
          <w:rFonts w:cstheme="minorBidi"/>
        </w:rPr>
        <w:t>de junio de</w:t>
      </w:r>
      <w:r w:rsidRPr="00CB1C43">
        <w:rPr>
          <w:rFonts w:cstheme="minorBidi"/>
        </w:rPr>
        <w:t xml:space="preserve"> 2020</w:t>
      </w:r>
      <w:r>
        <w:rPr>
          <w:rFonts w:cstheme="minorBidi"/>
        </w:rPr>
        <w:t>.</w:t>
      </w:r>
    </w:p>
  </w:footnote>
  <w:footnote w:id="90">
    <w:p w14:paraId="50D2B2F7" w14:textId="49535A25" w:rsidR="000132C6" w:rsidRPr="00D015A1" w:rsidRDefault="000132C6">
      <w:pPr>
        <w:pStyle w:val="FootnoteText"/>
        <w:rPr>
          <w:sz w:val="18"/>
          <w:szCs w:val="18"/>
        </w:rPr>
      </w:pPr>
      <w:r>
        <w:rPr>
          <w:rStyle w:val="FootnoteReference"/>
          <w:sz w:val="18"/>
          <w:szCs w:val="18"/>
        </w:rPr>
        <w:footnoteRef/>
      </w:r>
      <w:r w:rsidRPr="00D015A1">
        <w:rPr>
          <w:sz w:val="18"/>
          <w:szCs w:val="18"/>
        </w:rPr>
        <w:t xml:space="preserve"> </w:t>
      </w:r>
      <w:r w:rsidRPr="00D015A1">
        <w:t>Ver: página</w:t>
      </w:r>
      <w:r>
        <w:t xml:space="preserve"> </w:t>
      </w:r>
      <w:r w:rsidRPr="00D015A1">
        <w:t>web de EITI Honduras,</w:t>
      </w:r>
      <w:r>
        <w:t xml:space="preserve"> disponible</w:t>
      </w:r>
      <w:r w:rsidRPr="00D015A1">
        <w:t xml:space="preserve"> </w:t>
      </w:r>
      <w:r>
        <w:t>aquí</w:t>
      </w:r>
      <w:r w:rsidRPr="00D015A1">
        <w:t>:</w:t>
      </w:r>
      <w:r>
        <w:t xml:space="preserve"> </w:t>
      </w:r>
      <w:hyperlink r:id="rId84" w:history="1">
        <w:r w:rsidRPr="00782386">
          <w:rPr>
            <w:rStyle w:val="Hyperlink"/>
            <w:rFonts w:ascii="Franklin Gothic Book" w:hAnsi="Franklin Gothic Book" w:cs="Calibri Light"/>
          </w:rPr>
          <w:t>https://www.eitihonduras.org</w:t>
        </w:r>
      </w:hyperlink>
      <w:r w:rsidRPr="00D015A1">
        <w:rPr>
          <w:rFonts w:cstheme="minorBidi"/>
        </w:rPr>
        <w:t xml:space="preserve">. </w:t>
      </w:r>
      <w:r>
        <w:rPr>
          <w:rFonts w:cstheme="minorBidi"/>
        </w:rPr>
        <w:t xml:space="preserve">Con acceso el </w:t>
      </w:r>
      <w:r w:rsidRPr="00CB1C43">
        <w:rPr>
          <w:rFonts w:cstheme="minorBidi"/>
        </w:rPr>
        <w:t xml:space="preserve">5 </w:t>
      </w:r>
      <w:r>
        <w:rPr>
          <w:rFonts w:cstheme="minorBidi"/>
        </w:rPr>
        <w:t>de junio de</w:t>
      </w:r>
      <w:r w:rsidRPr="00CB1C43">
        <w:rPr>
          <w:rFonts w:cstheme="minorBidi"/>
        </w:rPr>
        <w:t xml:space="preserve"> 2020</w:t>
      </w:r>
      <w:r>
        <w:rPr>
          <w:rFonts w:cstheme="minorBidi"/>
        </w:rPr>
        <w:t>.</w:t>
      </w:r>
    </w:p>
  </w:footnote>
  <w:footnote w:id="91">
    <w:p w14:paraId="3E288852" w14:textId="512D8734" w:rsidR="000132C6" w:rsidRPr="00057641" w:rsidRDefault="000132C6" w:rsidP="0015495E">
      <w:pPr>
        <w:pStyle w:val="FootnoteText"/>
      </w:pPr>
      <w:r w:rsidRPr="0040330B">
        <w:rPr>
          <w:rStyle w:val="FootnoteReference"/>
        </w:rPr>
        <w:footnoteRef/>
      </w:r>
      <w:r w:rsidRPr="00D015A1">
        <w:t xml:space="preserve"> </w:t>
      </w:r>
      <w:r>
        <w:t xml:space="preserve">Ver: Gobierno </w:t>
      </w:r>
      <w:proofErr w:type="gramStart"/>
      <w:r>
        <w:t>de</w:t>
      </w:r>
      <w:r w:rsidRPr="00CB1C43">
        <w:rPr>
          <w:lang w:val="es-MX"/>
        </w:rPr>
        <w:t>:</w:t>
      </w:r>
      <w:r w:rsidRPr="0040330B">
        <w:rPr>
          <w:lang w:val="es-MX"/>
        </w:rPr>
        <w:t>Honduras</w:t>
      </w:r>
      <w:proofErr w:type="gramEnd"/>
      <w:r w:rsidRPr="0040330B">
        <w:rPr>
          <w:lang w:val="es-MX"/>
        </w:rPr>
        <w:t>. Secretaría de Coordinación General de Gobierno (</w:t>
      </w:r>
      <w:r>
        <w:rPr>
          <w:lang w:val="es-MX"/>
        </w:rPr>
        <w:t>agosto de</w:t>
      </w:r>
      <w:r w:rsidRPr="0040330B">
        <w:rPr>
          <w:lang w:val="es-MX"/>
        </w:rPr>
        <w:t xml:space="preserve"> 2018). </w:t>
      </w:r>
      <w:r>
        <w:rPr>
          <w:lang w:val="es-MX"/>
        </w:rPr>
        <w:t>Plan de Acción de Estado Abierto</w:t>
      </w:r>
      <w:r w:rsidRPr="00057641">
        <w:t>. Disponible aqu</w:t>
      </w:r>
      <w:r>
        <w:t xml:space="preserve">í: </w:t>
      </w:r>
      <w:hyperlink r:id="rId85" w:history="1">
        <w:r w:rsidRPr="00057641">
          <w:rPr>
            <w:rStyle w:val="Hyperlink"/>
            <w:rFonts w:ascii="Franklin Gothic Book" w:hAnsi="Franklin Gothic Book"/>
          </w:rPr>
          <w:t>http://www.gobiernoabiertohonduras.org/descargas/IV_PLAN_DE_ACCION_DE_ESTADO_ABIERTO_HONDURAS_2018-2020.pdf</w:t>
        </w:r>
      </w:hyperlink>
      <w:r w:rsidR="009163E2">
        <w:t>.</w:t>
      </w:r>
      <w:r w:rsidRPr="00057641">
        <w:t xml:space="preserve"> </w:t>
      </w:r>
      <w:r>
        <w:t xml:space="preserve">Con acceso el </w:t>
      </w:r>
      <w:r w:rsidRPr="00057641">
        <w:t xml:space="preserve">5 </w:t>
      </w:r>
      <w:r>
        <w:t>de junio de</w:t>
      </w:r>
      <w:r w:rsidRPr="00057641">
        <w:t xml:space="preserve"> 2020</w:t>
      </w:r>
      <w:r>
        <w:t>.</w:t>
      </w:r>
    </w:p>
  </w:footnote>
  <w:footnote w:id="92">
    <w:p w14:paraId="34027C6B" w14:textId="5AA8A430" w:rsidR="000132C6" w:rsidRPr="00057641" w:rsidRDefault="000132C6" w:rsidP="0015495E">
      <w:pPr>
        <w:pStyle w:val="FootnoteText"/>
        <w:rPr>
          <w:b/>
          <w:bCs/>
        </w:rPr>
      </w:pPr>
      <w:r w:rsidRPr="0040330B">
        <w:rPr>
          <w:rStyle w:val="FootnoteReference"/>
        </w:rPr>
        <w:footnoteRef/>
      </w:r>
      <w:r w:rsidRPr="00057641">
        <w:t xml:space="preserve"> Ver: </w:t>
      </w:r>
      <w:r w:rsidRPr="00057641">
        <w:rPr>
          <w:rFonts w:cs="Times New Roman"/>
        </w:rPr>
        <w:t>FOSDEH (</w:t>
      </w:r>
      <w:r>
        <w:rPr>
          <w:rFonts w:cs="Times New Roman"/>
        </w:rPr>
        <w:t>septiembre de</w:t>
      </w:r>
      <w:r w:rsidRPr="00057641">
        <w:rPr>
          <w:rFonts w:cs="Times New Roman"/>
        </w:rPr>
        <w:t xml:space="preserve"> 2019) </w:t>
      </w:r>
      <w:r w:rsidRPr="00057641">
        <w:rPr>
          <w:i/>
          <w:iCs/>
        </w:rPr>
        <w:t>Iniciativas Internacionales de Transparencia en Honduras 2019</w:t>
      </w:r>
      <w:r w:rsidR="00467DEF">
        <w:rPr>
          <w:i/>
          <w:iCs/>
        </w:rPr>
        <w:t xml:space="preserve"> </w:t>
      </w:r>
      <w:hyperlink r:id="rId86" w:history="1">
        <w:r w:rsidR="00467DEF" w:rsidRPr="00467DEF">
          <w:rPr>
            <w:rStyle w:val="Hyperlink"/>
            <w:rFonts w:ascii="Franklin Gothic Book" w:hAnsi="Franklin Gothic Book"/>
          </w:rPr>
          <w:t>https://fosdeh.com/wp-content/uploads/2019/09/iniciativas-internacionales-transparencia-hn.pdf</w:t>
        </w:r>
      </w:hyperlink>
      <w:r w:rsidRPr="00057641">
        <w:t xml:space="preserve">, </w:t>
      </w:r>
      <w:r w:rsidR="00467DEF">
        <w:t xml:space="preserve">con </w:t>
      </w:r>
      <w:r>
        <w:t xml:space="preserve">acceso el </w:t>
      </w:r>
      <w:r w:rsidRPr="00057641">
        <w:t xml:space="preserve">5 </w:t>
      </w:r>
      <w:r>
        <w:t>de junio de</w:t>
      </w:r>
      <w:r w:rsidRPr="00057641">
        <w:t xml:space="preserve"> 2020</w:t>
      </w:r>
      <w:r>
        <w:t>.</w:t>
      </w:r>
    </w:p>
  </w:footnote>
  <w:footnote w:id="93">
    <w:p w14:paraId="5E6BEB69" w14:textId="12AFBE86" w:rsidR="000132C6" w:rsidRPr="00057641" w:rsidRDefault="000132C6" w:rsidP="0015495E">
      <w:pPr>
        <w:pStyle w:val="FootnoteText"/>
      </w:pPr>
      <w:r w:rsidRPr="0040330B">
        <w:rPr>
          <w:rStyle w:val="FootnoteReference"/>
        </w:rPr>
        <w:footnoteRef/>
      </w:r>
      <w:r w:rsidRPr="00057641">
        <w:t xml:space="preserve"> </w:t>
      </w:r>
      <w:r>
        <w:t xml:space="preserve">Ver: </w:t>
      </w:r>
      <w:r w:rsidRPr="00275CDF">
        <w:t>UNAH, FOSDEH, OXFAM (</w:t>
      </w:r>
      <w:r>
        <w:t>abril de</w:t>
      </w:r>
      <w:r w:rsidRPr="00275CDF">
        <w:t xml:space="preserve"> 2019). </w:t>
      </w:r>
      <w:r w:rsidRPr="0040330B">
        <w:rPr>
          <w:i/>
          <w:iCs/>
          <w:lang w:val="es-MX"/>
        </w:rPr>
        <w:t>Territorios en Riesgo</w:t>
      </w:r>
      <w:r w:rsidRPr="0040330B">
        <w:rPr>
          <w:lang w:val="es-MX"/>
        </w:rPr>
        <w:t xml:space="preserve">. </w:t>
      </w:r>
      <w:r w:rsidRPr="0040330B">
        <w:rPr>
          <w:i/>
          <w:iCs/>
          <w:lang w:val="es-MX"/>
        </w:rPr>
        <w:t>Minería, hidrocarburos y generación de energía eléctrica en Honduras.</w:t>
      </w:r>
      <w:r w:rsidR="00AE2CC0">
        <w:rPr>
          <w:i/>
          <w:iCs/>
          <w:lang w:val="es-MX"/>
        </w:rPr>
        <w:t xml:space="preserve">  </w:t>
      </w:r>
      <w:hyperlink r:id="rId87" w:history="1">
        <w:r w:rsidR="00AE2CC0" w:rsidRPr="00AE2CC0">
          <w:rPr>
            <w:rStyle w:val="Hyperlink"/>
            <w:rFonts w:ascii="Franklin Gothic Book" w:hAnsi="Franklin Gothic Book"/>
          </w:rPr>
          <w:t>https://cng-cdn.oxfam.org/honduras.oxfam.org/s3fs-public/file_attachments/Teritorios%20en%20Riesgo%20II%20-%20Miner%C3%ADa,%20generaci%C3%B3n%20de%20energ%C3%ADa%20el%C3%A9ctrica%20e%20hidrocarburos%20en%20Honduras.pdf</w:t>
        </w:r>
      </w:hyperlink>
      <w:r w:rsidRPr="00057641">
        <w:t xml:space="preserve">, </w:t>
      </w:r>
      <w:r w:rsidR="00467DEF">
        <w:t>con acceso</w:t>
      </w:r>
      <w:r>
        <w:t xml:space="preserve"> el </w:t>
      </w:r>
      <w:r w:rsidRPr="00057641">
        <w:t xml:space="preserve">5 </w:t>
      </w:r>
      <w:r>
        <w:t>de junio de</w:t>
      </w:r>
      <w:r w:rsidRPr="00057641">
        <w:t xml:space="preserve"> 2020</w:t>
      </w:r>
      <w:r>
        <w:t>.</w:t>
      </w:r>
    </w:p>
  </w:footnote>
  <w:footnote w:id="94">
    <w:p w14:paraId="6D33137A" w14:textId="7B2CE288" w:rsidR="000132C6" w:rsidRPr="00057641" w:rsidRDefault="000132C6" w:rsidP="0015495E">
      <w:pPr>
        <w:pStyle w:val="FootnoteText"/>
      </w:pPr>
      <w:r w:rsidRPr="0040330B">
        <w:rPr>
          <w:rStyle w:val="FootnoteReference"/>
        </w:rPr>
        <w:footnoteRef/>
      </w:r>
      <w:r w:rsidRPr="00057641">
        <w:t xml:space="preserve"> Ver: GMP de Honduras (septiembre de 2018). </w:t>
      </w:r>
      <w:r>
        <w:t>Acta</w:t>
      </w:r>
      <w:r w:rsidRPr="00057641">
        <w:t xml:space="preserve"> 9. Reuniones del GMP. Disponible aqu</w:t>
      </w:r>
      <w:r>
        <w:t>í</w:t>
      </w:r>
      <w:r w:rsidRPr="00057641">
        <w:t xml:space="preserve">: </w:t>
      </w:r>
      <w:hyperlink r:id="rId88" w:history="1">
        <w:r w:rsidRPr="00057641">
          <w:t>https://portalunico.iaip.gob.hn/portal/ver_documento.php?uid=NDMyNTM1ODkzNDc2MzQ4NzEyNDYxOTg3MjM0Mg==</w:t>
        </w:r>
      </w:hyperlink>
      <w:r w:rsidRPr="00057641">
        <w:t xml:space="preserve">, </w:t>
      </w:r>
      <w:r w:rsidR="00467DEF">
        <w:t>con acceso</w:t>
      </w:r>
      <w:r>
        <w:t xml:space="preserve"> el </w:t>
      </w:r>
      <w:r w:rsidRPr="00057641">
        <w:t xml:space="preserve">5 </w:t>
      </w:r>
      <w:r>
        <w:t>de junio de</w:t>
      </w:r>
      <w:r w:rsidRPr="00057641">
        <w:t xml:space="preserve"> 2020</w:t>
      </w:r>
      <w:r>
        <w:t>.</w:t>
      </w:r>
    </w:p>
  </w:footnote>
  <w:footnote w:id="95">
    <w:p w14:paraId="5B7F2495" w14:textId="03FB8308" w:rsidR="000132C6" w:rsidRPr="000C68D4" w:rsidRDefault="000132C6" w:rsidP="00800D06">
      <w:pPr>
        <w:pStyle w:val="FootnoteText"/>
        <w:rPr>
          <w:sz w:val="18"/>
          <w:szCs w:val="18"/>
        </w:rPr>
      </w:pPr>
      <w:r>
        <w:rPr>
          <w:rStyle w:val="FootnoteReference"/>
          <w:sz w:val="18"/>
          <w:szCs w:val="18"/>
        </w:rPr>
        <w:footnoteRef/>
      </w:r>
      <w:r w:rsidRPr="000C68D4">
        <w:rPr>
          <w:sz w:val="18"/>
          <w:szCs w:val="18"/>
        </w:rPr>
        <w:t xml:space="preserve"> Ver: EITI Honduras (abril de 2019). </w:t>
      </w:r>
      <w:r>
        <w:rPr>
          <w:sz w:val="18"/>
          <w:szCs w:val="18"/>
        </w:rPr>
        <w:t>Informe anual de progreso</w:t>
      </w:r>
      <w:r w:rsidRPr="000C68D4">
        <w:rPr>
          <w:sz w:val="18"/>
          <w:szCs w:val="18"/>
        </w:rPr>
        <w:t xml:space="preserve"> 2018. Disponible aquí:</w:t>
      </w:r>
      <w:r w:rsidR="00AE2CC0">
        <w:rPr>
          <w:sz w:val="18"/>
          <w:szCs w:val="18"/>
        </w:rPr>
        <w:t xml:space="preserve"> </w:t>
      </w:r>
      <w:hyperlink r:id="rId89" w:history="1">
        <w:r w:rsidR="00AE2CC0" w:rsidRPr="00AE2CC0">
          <w:rPr>
            <w:rStyle w:val="Hyperlink"/>
            <w:rFonts w:ascii="Franklin Gothic Book" w:hAnsi="Franklin Gothic Book" w:cs="Calibri Light"/>
            <w:sz w:val="18"/>
            <w:szCs w:val="18"/>
          </w:rPr>
          <w:t>https://portalunico.iaip.gob.hn/portal/ver_documento.php?uid=NTIyODQ3ODkzNDc2MzQ4NzEyNDYxOTg3MjM0Mg==</w:t>
        </w:r>
      </w:hyperlink>
      <w:r w:rsidR="00AE2CC0">
        <w:rPr>
          <w:sz w:val="18"/>
          <w:szCs w:val="18"/>
        </w:rPr>
        <w:t>,</w:t>
      </w:r>
      <w:r w:rsidRPr="000C68D4">
        <w:rPr>
          <w:sz w:val="18"/>
          <w:szCs w:val="18"/>
        </w:rPr>
        <w:t xml:space="preserve"> </w:t>
      </w:r>
      <w:r w:rsidR="00467DEF">
        <w:rPr>
          <w:sz w:val="18"/>
          <w:szCs w:val="18"/>
        </w:rPr>
        <w:t>con acceso</w:t>
      </w:r>
      <w:r w:rsidRPr="000C68D4">
        <w:rPr>
          <w:sz w:val="18"/>
          <w:szCs w:val="18"/>
        </w:rPr>
        <w:t xml:space="preserve"> el 5 de junio de 2020.</w:t>
      </w:r>
    </w:p>
  </w:footnote>
  <w:footnote w:id="96">
    <w:p w14:paraId="37AB4C4F" w14:textId="77777777" w:rsidR="000132C6" w:rsidRPr="00F0240E" w:rsidRDefault="000132C6" w:rsidP="00E86583">
      <w:pPr>
        <w:rPr>
          <w:rStyle w:val="Hyperlink"/>
          <w:rFonts w:ascii="Franklin Gothic Book" w:hAnsi="Franklin Gothic Book"/>
          <w:sz w:val="16"/>
          <w:szCs w:val="16"/>
          <w:lang w:val="es-MX"/>
        </w:rPr>
      </w:pPr>
    </w:p>
    <w:p w14:paraId="419B46EB" w14:textId="77777777" w:rsidR="000132C6" w:rsidRPr="00F0240E" w:rsidRDefault="000132C6" w:rsidP="00E86583">
      <w:pPr>
        <w:pStyle w:val="FootnoteText"/>
        <w:rPr>
          <w:lang w:val="es-MX"/>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F3C426" w14:textId="77777777" w:rsidR="000132C6" w:rsidRPr="008B3712" w:rsidRDefault="000132C6" w:rsidP="00450CAF">
    <w:pPr>
      <w:pStyle w:val="Header"/>
    </w:pPr>
    <w:r>
      <w:t>Validación de Zambia</w:t>
    </w:r>
    <w:r>
      <w:br/>
      <w:t>Borrador de evaluación del Secretariado Internacional EITI</w:t>
    </w:r>
  </w:p>
  <w:p w14:paraId="59B8B334" w14:textId="77777777" w:rsidR="000132C6" w:rsidRPr="008B3712" w:rsidRDefault="000132C6" w:rsidP="00450CA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81999" w14:textId="77777777" w:rsidR="000132C6" w:rsidRPr="008B3712" w:rsidRDefault="000132C6" w:rsidP="00450CAF">
    <w:pPr>
      <w:pStyle w:val="Header"/>
    </w:pPr>
    <w:r>
      <w:rPr>
        <w:noProof/>
        <w:lang w:val="en-GB" w:eastAsia="en-GB"/>
      </w:rPr>
      <w:drawing>
        <wp:inline distT="0" distB="0" distL="0" distR="0" wp14:anchorId="1ABC3BBC" wp14:editId="424C6BD8">
          <wp:extent cx="1483360" cy="953135"/>
          <wp:effectExtent l="0" t="0" r="0" b="0"/>
          <wp:docPr id="7" name="Picture 66" descr="Logo_Gradient – Und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descr="Logo_Gradient – Under"/>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3360" cy="95313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A3584E" w14:textId="77777777" w:rsidR="000132C6" w:rsidRDefault="000132C6">
    <w:pPr>
      <w:pStyle w:val="Header"/>
    </w:pPr>
  </w:p>
  <w:p w14:paraId="037F772A" w14:textId="77777777" w:rsidR="000132C6" w:rsidRDefault="000132C6"/>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6"/>
        <w:szCs w:val="16"/>
      </w:rPr>
      <w:id w:val="-1121919543"/>
      <w:docPartObj>
        <w:docPartGallery w:val="Page Numbers (Top of Page)"/>
        <w:docPartUnique/>
      </w:docPartObj>
    </w:sdtPr>
    <w:sdtEndPr>
      <w:rPr>
        <w:noProof/>
      </w:rPr>
    </w:sdtEndPr>
    <w:sdtContent>
      <w:p w14:paraId="66312D47" w14:textId="5A94986F" w:rsidR="000132C6" w:rsidRPr="00F279B5" w:rsidRDefault="000132C6" w:rsidP="00F279B5">
        <w:pPr>
          <w:pStyle w:val="Header"/>
          <w:spacing w:line="240" w:lineRule="auto"/>
          <w:jc w:val="right"/>
          <w:rPr>
            <w:b/>
            <w:sz w:val="16"/>
            <w:szCs w:val="16"/>
          </w:rPr>
        </w:pPr>
        <w:r>
          <w:rPr>
            <w:noProof/>
            <w:lang w:val="en-GB" w:eastAsia="en-GB"/>
          </w:rPr>
          <mc:AlternateContent>
            <mc:Choice Requires="wpg">
              <w:drawing>
                <wp:anchor distT="0" distB="0" distL="114300" distR="114300" simplePos="0" relativeHeight="251658246" behindDoc="0" locked="0" layoutInCell="1" allowOverlap="1" wp14:anchorId="74110423" wp14:editId="5C0F8600">
                  <wp:simplePos x="0" y="0"/>
                  <wp:positionH relativeFrom="column">
                    <wp:posOffset>-12700</wp:posOffset>
                  </wp:positionH>
                  <wp:positionV relativeFrom="paragraph">
                    <wp:posOffset>287655</wp:posOffset>
                  </wp:positionV>
                  <wp:extent cx="6049010" cy="45720"/>
                  <wp:effectExtent l="0" t="0" r="0" b="0"/>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9010" cy="45720"/>
                            <a:chOff x="1134" y="1906"/>
                            <a:chExt cx="9546" cy="182"/>
                          </a:xfrm>
                        </wpg:grpSpPr>
                        <wps:wsp>
                          <wps:cNvPr id="64" name="Rectangle 1"/>
                          <wps:cNvSpPr>
                            <a:spLocks/>
                          </wps:cNvSpPr>
                          <wps:spPr bwMode="auto">
                            <a:xfrm>
                              <a:off x="1646" y="1909"/>
                              <a:ext cx="238" cy="179"/>
                            </a:xfrm>
                            <a:prstGeom prst="rect">
                              <a:avLst/>
                            </a:prstGeom>
                            <a:solidFill>
                              <a:srgbClr val="184065"/>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63" name="Rectangle 1"/>
                          <wps:cNvSpPr>
                            <a:spLocks/>
                          </wps:cNvSpPr>
                          <wps:spPr bwMode="auto">
                            <a:xfrm>
                              <a:off x="1134" y="1909"/>
                              <a:ext cx="574" cy="179"/>
                            </a:xfrm>
                            <a:prstGeom prst="rect">
                              <a:avLst/>
                            </a:prstGeom>
                            <a:solidFill>
                              <a:srgbClr val="31AED6"/>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65" name="Rectangle 1"/>
                          <wps:cNvSpPr>
                            <a:spLocks/>
                          </wps:cNvSpPr>
                          <wps:spPr bwMode="auto">
                            <a:xfrm>
                              <a:off x="1884" y="1909"/>
                              <a:ext cx="266" cy="179"/>
                            </a:xfrm>
                            <a:prstGeom prst="rect">
                              <a:avLst/>
                            </a:prstGeom>
                            <a:solidFill>
                              <a:srgbClr val="31AED6"/>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67" name="Rectangle 1"/>
                          <wps:cNvSpPr>
                            <a:spLocks/>
                          </wps:cNvSpPr>
                          <wps:spPr bwMode="auto">
                            <a:xfrm>
                              <a:off x="2089" y="1909"/>
                              <a:ext cx="246" cy="179"/>
                            </a:xfrm>
                            <a:prstGeom prst="rect">
                              <a:avLst/>
                            </a:prstGeom>
                            <a:solidFill>
                              <a:srgbClr val="184065"/>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68" name="Rectangle 1"/>
                          <wps:cNvSpPr>
                            <a:spLocks/>
                          </wps:cNvSpPr>
                          <wps:spPr bwMode="auto">
                            <a:xfrm>
                              <a:off x="2714" y="1909"/>
                              <a:ext cx="328" cy="179"/>
                            </a:xfrm>
                            <a:prstGeom prst="rect">
                              <a:avLst/>
                            </a:prstGeom>
                            <a:solidFill>
                              <a:srgbClr val="184065"/>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66" name="Rectangle 1"/>
                          <wps:cNvSpPr>
                            <a:spLocks/>
                          </wps:cNvSpPr>
                          <wps:spPr bwMode="auto">
                            <a:xfrm>
                              <a:off x="2335" y="1906"/>
                              <a:ext cx="509" cy="179"/>
                            </a:xfrm>
                            <a:prstGeom prst="rect">
                              <a:avLst/>
                            </a:prstGeom>
                            <a:solidFill>
                              <a:srgbClr val="31AED6"/>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69" name="Rectangle 1"/>
                          <wps:cNvSpPr>
                            <a:spLocks/>
                          </wps:cNvSpPr>
                          <wps:spPr bwMode="auto">
                            <a:xfrm>
                              <a:off x="3093" y="1909"/>
                              <a:ext cx="7587" cy="177"/>
                            </a:xfrm>
                            <a:prstGeom prst="rect">
                              <a:avLst/>
                            </a:prstGeom>
                            <a:solidFill>
                              <a:srgbClr val="184065"/>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70" name="Rectangle 1"/>
                          <wps:cNvSpPr>
                            <a:spLocks/>
                          </wps:cNvSpPr>
                          <wps:spPr bwMode="auto">
                            <a:xfrm>
                              <a:off x="3042" y="1909"/>
                              <a:ext cx="195" cy="179"/>
                            </a:xfrm>
                            <a:prstGeom prst="rect">
                              <a:avLst/>
                            </a:prstGeom>
                            <a:solidFill>
                              <a:srgbClr val="31AED6"/>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69E7B064" id="Group 53" o:spid="_x0000_s1026" style="position:absolute;margin-left:-1pt;margin-top:22.65pt;width:476.3pt;height:3.6pt;z-index:251658246" coordorigin="1134,1906" coordsize="9546,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">
                  <v:rect id="Rectangle 1" o:spid="_x0000_s1027" style="position:absolute;left:1646;top:1909;width:238;height: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" fillcolor="#184065" stroked="f" strokecolor="#4a7ebb">
                    <v:shadow opacity="22936f" origin=",.5" offset="0,.63889mm"/>
                    <v:path arrowok="t"/>
                  </v:rect>
                  <v:rect id="Rectangle 1" o:spid="_x0000_s1028" style="position:absolute;left:1134;top:1909;width:574;height: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" fillcolor="#31aed6" stroked="f" strokecolor="#4a7ebb">
                    <v:shadow opacity="22936f" origin=",.5" offset="0,.63889mm"/>
                    <v:path arrowok="t"/>
                  </v:rect>
                  <v:rect id="Rectangle 1" o:spid="_x0000_s1029" style="position:absolute;left:1884;top:1909;width:266;height: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" fillcolor="#31aed6" stroked="f" strokecolor="#4a7ebb">
                    <v:shadow opacity="22936f" origin=",.5" offset="0,.63889mm"/>
                    <v:path arrowok="t"/>
                  </v:rect>
                  <v:rect id="Rectangle 1" o:spid="_x0000_s1030" style="position:absolute;left:2089;top:1909;width:246;height: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" fillcolor="#184065" stroked="f" strokecolor="#4a7ebb">
                    <v:shadow opacity="22936f" origin=",.5" offset="0,.63889mm"/>
                    <v:path arrowok="t"/>
                  </v:rect>
                  <v:rect id="Rectangle 1" o:spid="_x0000_s1031" style="position:absolute;left:2714;top:1909;width:328;height: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" fillcolor="#184065" stroked="f" strokecolor="#4a7ebb">
                    <v:shadow opacity="22936f" origin=",.5" offset="0,.63889mm"/>
                    <v:path arrowok="t"/>
                  </v:rect>
                  <v:rect id="Rectangle 1" o:spid="_x0000_s1032" style="position:absolute;left:2335;top:1906;width:509;height: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" fillcolor="#31aed6" stroked="f" strokecolor="#4a7ebb">
                    <v:shadow opacity="22936f" origin=",.5" offset="0,.63889mm"/>
                    <v:path arrowok="t"/>
                  </v:rect>
                  <v:rect id="Rectangle 1" o:spid="_x0000_s1033" style="position:absolute;left:3093;top:1909;width:7587;height: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" fillcolor="#184065" stroked="f" strokecolor="#4a7ebb">
                    <v:shadow opacity="22936f" origin=",.5" offset="0,.63889mm"/>
                    <v:path arrowok="t"/>
                  </v:rect>
                  <v:rect id="Rectangle 1" o:spid="_x0000_s1034" style="position:absolute;left:3042;top:1909;width:195;height: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" fillcolor="#31aed6" stroked="f" strokecolor="#4a7ebb">
                    <v:shadow opacity="22936f" origin=",.5" offset="0,.63889mm"/>
                    <v:path arrowok="t"/>
                  </v:rect>
                </v:group>
              </w:pict>
            </mc:Fallback>
          </mc:AlternateContent>
        </w:r>
        <w:r>
          <w:rPr>
            <w:sz w:val="16"/>
            <w:szCs w:val="16"/>
          </w:rPr>
          <w:t>Segunda validación de Honduras</w:t>
        </w:r>
        <w:r>
          <w:rPr>
            <w:sz w:val="16"/>
            <w:szCs w:val="16"/>
          </w:rPr>
          <w:br/>
          <w:t>Evaluación final del Secretariado Internacional EITI</w:t>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CB096C" w14:textId="77777777" w:rsidR="000132C6" w:rsidRDefault="000132C6">
    <w:pPr>
      <w:pStyle w:val="Header"/>
      <w:rPr>
        <w:lang w:val="nb-NO" w:eastAsia="ar-S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FA403228"/>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DCB48B2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000002"/>
    <w:multiLevelType w:val="singleLevel"/>
    <w:tmpl w:val="00000002"/>
    <w:name w:val="WW8Num19"/>
    <w:lvl w:ilvl="0">
      <w:start w:val="1"/>
      <w:numFmt w:val="bullet"/>
      <w:lvlText w:val=""/>
      <w:lvlJc w:val="left"/>
      <w:pPr>
        <w:tabs>
          <w:tab w:val="num" w:pos="0"/>
        </w:tabs>
      </w:pPr>
      <w:rPr>
        <w:rFonts w:ascii="Symbol" w:hAnsi="Symbol"/>
      </w:rPr>
    </w:lvl>
  </w:abstractNum>
  <w:abstractNum w:abstractNumId="3" w15:restartNumberingAfterBreak="0">
    <w:nsid w:val="044C1673"/>
    <w:multiLevelType w:val="hybridMultilevel"/>
    <w:tmpl w:val="F2CC00B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4" w15:restartNumberingAfterBreak="0">
    <w:nsid w:val="08C17A9B"/>
    <w:multiLevelType w:val="hybridMultilevel"/>
    <w:tmpl w:val="39D4F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CD1F34"/>
    <w:multiLevelType w:val="hybridMultilevel"/>
    <w:tmpl w:val="6B4013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B585D95"/>
    <w:multiLevelType w:val="hybridMultilevel"/>
    <w:tmpl w:val="AE86BDF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97329D"/>
    <w:multiLevelType w:val="hybridMultilevel"/>
    <w:tmpl w:val="F9CEFF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9B26C9"/>
    <w:multiLevelType w:val="hybridMultilevel"/>
    <w:tmpl w:val="4434CAE0"/>
    <w:lvl w:ilvl="0" w:tplc="48090019">
      <w:start w:val="1"/>
      <w:numFmt w:val="lowerLetter"/>
      <w:lvlText w:val="%1."/>
      <w:lvlJc w:val="left"/>
      <w:pPr>
        <w:ind w:left="720" w:hanging="360"/>
      </w:pPr>
      <w:rPr>
        <w:rFont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9" w15:restartNumberingAfterBreak="0">
    <w:nsid w:val="15B46131"/>
    <w:multiLevelType w:val="hybridMultilevel"/>
    <w:tmpl w:val="DEEEE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C773D5"/>
    <w:multiLevelType w:val="hybridMultilevel"/>
    <w:tmpl w:val="F07A32A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15:restartNumberingAfterBreak="0">
    <w:nsid w:val="17A55264"/>
    <w:multiLevelType w:val="multilevel"/>
    <w:tmpl w:val="0850640E"/>
    <w:lvl w:ilvl="0">
      <w:start w:val="3"/>
      <w:numFmt w:val="decimal"/>
      <w:lvlText w:val="%1"/>
      <w:lvlJc w:val="left"/>
      <w:pPr>
        <w:ind w:left="360" w:hanging="360"/>
      </w:pPr>
      <w:rPr>
        <w:rFonts w:cs="Times New Roman" w:hint="default"/>
      </w:rPr>
    </w:lvl>
    <w:lvl w:ilvl="1">
      <w:start w:val="1"/>
      <w:numFmt w:val="decimal"/>
      <w:pStyle w:val="Heading2"/>
      <w:lvlText w:val="%1.%2"/>
      <w:lvlJc w:val="left"/>
      <w:pPr>
        <w:ind w:left="502" w:hanging="360"/>
      </w:pPr>
      <w:rPr>
        <w:rFonts w:cs="Times New Roman" w:hint="default"/>
        <w:sz w:val="28"/>
        <w:szCs w:val="28"/>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2" w15:restartNumberingAfterBreak="0">
    <w:nsid w:val="182B7213"/>
    <w:multiLevelType w:val="hybridMultilevel"/>
    <w:tmpl w:val="E44A78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05A486A"/>
    <w:multiLevelType w:val="hybridMultilevel"/>
    <w:tmpl w:val="F0AA430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4" w15:restartNumberingAfterBreak="0">
    <w:nsid w:val="2171377C"/>
    <w:multiLevelType w:val="hybridMultilevel"/>
    <w:tmpl w:val="24D2EC24"/>
    <w:lvl w:ilvl="0" w:tplc="BCBADD24">
      <w:start w:val="1"/>
      <w:numFmt w:val="decimal"/>
      <w:pStyle w:val="Heading1"/>
      <w:lvlText w:val="%1."/>
      <w:lvlJc w:val="left"/>
      <w:pPr>
        <w:ind w:left="720" w:hanging="360"/>
      </w:pPr>
      <w:rPr>
        <w:rFonts w:hint="default"/>
        <w:b w:val="0"/>
        <w:bCs/>
      </w:rPr>
    </w:lvl>
    <w:lvl w:ilvl="1" w:tplc="EFFC6130">
      <w:numFmt w:val="bullet"/>
      <w:lvlText w:val="•"/>
      <w:lvlJc w:val="left"/>
      <w:pPr>
        <w:ind w:left="1440" w:hanging="360"/>
      </w:pPr>
      <w:rPr>
        <w:rFonts w:ascii="Calibri" w:eastAsiaTheme="minorEastAsia"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3B33997"/>
    <w:multiLevelType w:val="hybridMultilevel"/>
    <w:tmpl w:val="3E34A0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96013C4"/>
    <w:multiLevelType w:val="hybridMultilevel"/>
    <w:tmpl w:val="E4427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436729"/>
    <w:multiLevelType w:val="hybridMultilevel"/>
    <w:tmpl w:val="BA5AAFB4"/>
    <w:lvl w:ilvl="0" w:tplc="4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A85F91"/>
    <w:multiLevelType w:val="hybridMultilevel"/>
    <w:tmpl w:val="EC4A75D6"/>
    <w:lvl w:ilvl="0" w:tplc="2C98258A">
      <w:start w:val="1"/>
      <w:numFmt w:val="decimal"/>
      <w:lvlText w:val="%1."/>
      <w:lvlJc w:val="left"/>
      <w:pPr>
        <w:ind w:left="720" w:hanging="360"/>
      </w:pPr>
      <w:rPr>
        <w:rFonts w:asciiTheme="majorHAnsi" w:hAnsiTheme="majorHAnsi" w:cstheme="majorHAnsi"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E860A20"/>
    <w:multiLevelType w:val="hybridMultilevel"/>
    <w:tmpl w:val="EC4A75D6"/>
    <w:lvl w:ilvl="0" w:tplc="2C98258A">
      <w:start w:val="1"/>
      <w:numFmt w:val="decimal"/>
      <w:lvlText w:val="%1."/>
      <w:lvlJc w:val="left"/>
      <w:pPr>
        <w:ind w:left="720" w:hanging="360"/>
      </w:pPr>
      <w:rPr>
        <w:rFonts w:asciiTheme="majorHAnsi" w:hAnsiTheme="majorHAnsi" w:cstheme="majorHAnsi"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FF750DC"/>
    <w:multiLevelType w:val="hybridMultilevel"/>
    <w:tmpl w:val="9C22531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1" w15:restartNumberingAfterBreak="0">
    <w:nsid w:val="35A650CB"/>
    <w:multiLevelType w:val="hybridMultilevel"/>
    <w:tmpl w:val="3A30CF06"/>
    <w:lvl w:ilvl="0" w:tplc="8C668D72">
      <w:start w:val="1"/>
      <w:numFmt w:val="decimal"/>
      <w:lvlText w:val="Objective %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6D53592"/>
    <w:multiLevelType w:val="multilevel"/>
    <w:tmpl w:val="E52C66D8"/>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39AE78F6"/>
    <w:multiLevelType w:val="hybridMultilevel"/>
    <w:tmpl w:val="41F49AF8"/>
    <w:lvl w:ilvl="0" w:tplc="C20A7F24">
      <w:start w:val="1"/>
      <w:numFmt w:val="lowerLetter"/>
      <w:lvlText w:val="%1)"/>
      <w:lvlJc w:val="left"/>
      <w:pPr>
        <w:ind w:left="66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D88502E"/>
    <w:multiLevelType w:val="hybridMultilevel"/>
    <w:tmpl w:val="97DA199A"/>
    <w:lvl w:ilvl="0" w:tplc="8C668D72">
      <w:start w:val="1"/>
      <w:numFmt w:val="decimal"/>
      <w:lvlText w:val="Objective %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03E47E6"/>
    <w:multiLevelType w:val="hybridMultilevel"/>
    <w:tmpl w:val="EC4A75D6"/>
    <w:lvl w:ilvl="0" w:tplc="2C98258A">
      <w:start w:val="1"/>
      <w:numFmt w:val="decimal"/>
      <w:lvlText w:val="%1."/>
      <w:lvlJc w:val="left"/>
      <w:pPr>
        <w:ind w:left="720" w:hanging="360"/>
      </w:pPr>
      <w:rPr>
        <w:rFonts w:asciiTheme="majorHAnsi" w:hAnsiTheme="majorHAnsi" w:cstheme="majorHAnsi"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3514940"/>
    <w:multiLevelType w:val="hybridMultilevel"/>
    <w:tmpl w:val="46022E06"/>
    <w:lvl w:ilvl="0" w:tplc="00FE6084">
      <w:start w:val="1"/>
      <w:numFmt w:val="bullet"/>
      <w:pStyle w:val="ListBullet1"/>
      <w:lvlText w:val=""/>
      <w:lvlJc w:val="left"/>
      <w:pPr>
        <w:tabs>
          <w:tab w:val="num" w:pos="357"/>
        </w:tabs>
        <w:ind w:left="357"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5A6384E"/>
    <w:multiLevelType w:val="hybridMultilevel"/>
    <w:tmpl w:val="09F425B0"/>
    <w:lvl w:ilvl="0" w:tplc="CF7C4958">
      <w:start w:val="1"/>
      <w:numFmt w:val="bullet"/>
      <w:lvlText w:val="-"/>
      <w:lvlJc w:val="left"/>
      <w:pPr>
        <w:ind w:left="405" w:hanging="360"/>
      </w:pPr>
      <w:rPr>
        <w:rFonts w:ascii="Cambria" w:eastAsiaTheme="minorEastAsia" w:hAnsi="Cambria" w:cstheme="minorBid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28" w15:restartNumberingAfterBreak="0">
    <w:nsid w:val="47500A49"/>
    <w:multiLevelType w:val="hybridMultilevel"/>
    <w:tmpl w:val="68BA3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8CF6FDD"/>
    <w:multiLevelType w:val="hybridMultilevel"/>
    <w:tmpl w:val="8314117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0" w15:restartNumberingAfterBreak="0">
    <w:nsid w:val="4ACE1442"/>
    <w:multiLevelType w:val="hybridMultilevel"/>
    <w:tmpl w:val="41E083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4E6538EE"/>
    <w:multiLevelType w:val="hybridMultilevel"/>
    <w:tmpl w:val="A21E014E"/>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557A74CA"/>
    <w:multiLevelType w:val="hybridMultilevel"/>
    <w:tmpl w:val="EABCF31C"/>
    <w:lvl w:ilvl="0" w:tplc="43D83966">
      <w:start w:val="1"/>
      <w:numFmt w:val="decimal"/>
      <w:lvlText w:val="Strategic Goal %1."/>
      <w:lvlJc w:val="left"/>
      <w:pPr>
        <w:ind w:left="720" w:hanging="360"/>
      </w:pPr>
      <w:rPr>
        <w:rFonts w:hint="default"/>
        <w:b/>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70224D3"/>
    <w:multiLevelType w:val="multilevel"/>
    <w:tmpl w:val="3B9C4206"/>
    <w:lvl w:ilvl="0">
      <w:start w:val="3"/>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sz w:val="28"/>
        <w:szCs w:val="28"/>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4" w15:restartNumberingAfterBreak="0">
    <w:nsid w:val="57187649"/>
    <w:multiLevelType w:val="hybridMultilevel"/>
    <w:tmpl w:val="5486F7B8"/>
    <w:lvl w:ilvl="0" w:tplc="8C668D72">
      <w:start w:val="1"/>
      <w:numFmt w:val="decimal"/>
      <w:lvlText w:val="Objective %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D15457E"/>
    <w:multiLevelType w:val="hybridMultilevel"/>
    <w:tmpl w:val="8814F1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DBB0629"/>
    <w:multiLevelType w:val="hybridMultilevel"/>
    <w:tmpl w:val="B364AE92"/>
    <w:lvl w:ilvl="0" w:tplc="F07A1E10">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F587A8A"/>
    <w:multiLevelType w:val="hybridMultilevel"/>
    <w:tmpl w:val="AEDA6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FB91A2F"/>
    <w:multiLevelType w:val="multilevel"/>
    <w:tmpl w:val="800E0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023676A"/>
    <w:multiLevelType w:val="hybridMultilevel"/>
    <w:tmpl w:val="B9FEB9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606A0C7D"/>
    <w:multiLevelType w:val="hybridMultilevel"/>
    <w:tmpl w:val="9C6EAB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2145CF3"/>
    <w:multiLevelType w:val="hybridMultilevel"/>
    <w:tmpl w:val="64A0E2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3D77DA8"/>
    <w:multiLevelType w:val="hybridMultilevel"/>
    <w:tmpl w:val="B7B644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D2578A6"/>
    <w:multiLevelType w:val="hybridMultilevel"/>
    <w:tmpl w:val="86D4F1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6D912AD3"/>
    <w:multiLevelType w:val="hybridMultilevel"/>
    <w:tmpl w:val="48DC8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E26566B"/>
    <w:multiLevelType w:val="hybridMultilevel"/>
    <w:tmpl w:val="73DA014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6" w15:restartNumberingAfterBreak="0">
    <w:nsid w:val="7F2B5AC1"/>
    <w:multiLevelType w:val="multilevel"/>
    <w:tmpl w:val="E17E206C"/>
    <w:lvl w:ilvl="0">
      <w:start w:val="4"/>
      <w:numFmt w:val="decimal"/>
      <w:lvlText w:val="%1"/>
      <w:lvlJc w:val="left"/>
      <w:pPr>
        <w:ind w:left="400" w:hanging="40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2008" w:hanging="144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3154" w:hanging="2160"/>
      </w:pPr>
      <w:rPr>
        <w:rFonts w:hint="default"/>
      </w:rPr>
    </w:lvl>
    <w:lvl w:ilvl="8">
      <w:start w:val="1"/>
      <w:numFmt w:val="decimal"/>
      <w:lvlText w:val="%1.%2.%3.%4.%5.%6.%7.%8.%9"/>
      <w:lvlJc w:val="left"/>
      <w:pPr>
        <w:ind w:left="3296" w:hanging="2160"/>
      </w:pPr>
      <w:rPr>
        <w:rFonts w:hint="default"/>
      </w:rPr>
    </w:lvl>
  </w:abstractNum>
  <w:num w:numId="1">
    <w:abstractNumId w:val="26"/>
  </w:num>
  <w:num w:numId="2">
    <w:abstractNumId w:val="1"/>
  </w:num>
  <w:num w:numId="3">
    <w:abstractNumId w:val="0"/>
  </w:num>
  <w:num w:numId="4">
    <w:abstractNumId w:val="11"/>
  </w:num>
  <w:num w:numId="5">
    <w:abstractNumId w:val="13"/>
  </w:num>
  <w:num w:numId="6">
    <w:abstractNumId w:val="8"/>
  </w:num>
  <w:num w:numId="7">
    <w:abstractNumId w:val="37"/>
  </w:num>
  <w:num w:numId="8">
    <w:abstractNumId w:val="44"/>
  </w:num>
  <w:num w:numId="9">
    <w:abstractNumId w:val="16"/>
  </w:num>
  <w:num w:numId="10">
    <w:abstractNumId w:val="27"/>
  </w:num>
  <w:num w:numId="11">
    <w:abstractNumId w:val="24"/>
  </w:num>
  <w:num w:numId="12">
    <w:abstractNumId w:val="35"/>
  </w:num>
  <w:num w:numId="13">
    <w:abstractNumId w:val="41"/>
  </w:num>
  <w:num w:numId="14">
    <w:abstractNumId w:val="38"/>
  </w:num>
  <w:num w:numId="15">
    <w:abstractNumId w:val="32"/>
  </w:num>
  <w:num w:numId="16">
    <w:abstractNumId w:val="34"/>
  </w:num>
  <w:num w:numId="17">
    <w:abstractNumId w:val="21"/>
  </w:num>
  <w:num w:numId="18">
    <w:abstractNumId w:val="3"/>
  </w:num>
  <w:num w:numId="19">
    <w:abstractNumId w:val="28"/>
  </w:num>
  <w:num w:numId="20">
    <w:abstractNumId w:val="42"/>
  </w:num>
  <w:num w:numId="21">
    <w:abstractNumId w:val="5"/>
  </w:num>
  <w:num w:numId="22">
    <w:abstractNumId w:val="22"/>
  </w:num>
  <w:num w:numId="23">
    <w:abstractNumId w:val="17"/>
  </w:num>
  <w:num w:numId="24">
    <w:abstractNumId w:val="14"/>
  </w:num>
  <w:num w:numId="25">
    <w:abstractNumId w:val="40"/>
  </w:num>
  <w:num w:numId="26">
    <w:abstractNumId w:val="39"/>
  </w:num>
  <w:num w:numId="27">
    <w:abstractNumId w:val="33"/>
  </w:num>
  <w:num w:numId="28">
    <w:abstractNumId w:val="7"/>
  </w:num>
  <w:num w:numId="29">
    <w:abstractNumId w:val="15"/>
  </w:num>
  <w:num w:numId="30">
    <w:abstractNumId w:val="43"/>
  </w:num>
  <w:num w:numId="31">
    <w:abstractNumId w:val="4"/>
  </w:num>
  <w:num w:numId="32">
    <w:abstractNumId w:val="12"/>
  </w:num>
  <w:num w:numId="33">
    <w:abstractNumId w:val="36"/>
  </w:num>
  <w:num w:numId="34">
    <w:abstractNumId w:val="14"/>
    <w:lvlOverride w:ilvl="0">
      <w:startOverride w:val="1"/>
    </w:lvlOverride>
  </w:num>
  <w:num w:numId="35">
    <w:abstractNumId w:val="18"/>
  </w:num>
  <w:num w:numId="36">
    <w:abstractNumId w:val="45"/>
  </w:num>
  <w:num w:numId="37">
    <w:abstractNumId w:val="29"/>
  </w:num>
  <w:num w:numId="38">
    <w:abstractNumId w:val="20"/>
  </w:num>
  <w:num w:numId="39">
    <w:abstractNumId w:val="9"/>
  </w:num>
  <w:num w:numId="40">
    <w:abstractNumId w:val="10"/>
  </w:num>
  <w:num w:numId="41">
    <w:abstractNumId w:val="31"/>
  </w:num>
  <w:num w:numId="42">
    <w:abstractNumId w:val="25"/>
  </w:num>
  <w:num w:numId="43">
    <w:abstractNumId w:val="46"/>
  </w:num>
  <w:num w:numId="44">
    <w:abstractNumId w:val="6"/>
  </w:num>
  <w:num w:numId="45">
    <w:abstractNumId w:val="19"/>
  </w:num>
  <w:num w:numId="46">
    <w:abstractNumId w:val="30"/>
  </w:num>
  <w:num w:numId="47">
    <w:abstractNumId w:val="2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doNotValidateAgainstSchema/>
  <w:doNotDemarcateInvalidXml/>
  <w:hdrShapeDefaults>
    <o:shapedefaults v:ext="edit" spidmax="819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61__i" w:val="H4sIAAAAAAAEAKtWckksSQxILCpxzi/NK1GyMqwFAAEhoTITAAAA"/>
    <w:docVar w:name="__grammarly61_1" w:val="H4sIAAAAAAAEAKtWcslPLs1NzSvxTFGyUjI0TjEzskxJ1TVKMzLUNUlLTNZNSjQ30LVMNjFJMTA3TTZPNVDSUQpOLS7OzM8DaTGuBQAw8hYeQwAAAA=="/>
  </w:docVars>
  <w:rsids>
    <w:rsidRoot w:val="00AF7641"/>
    <w:rsid w:val="0000002D"/>
    <w:rsid w:val="00000126"/>
    <w:rsid w:val="0000027C"/>
    <w:rsid w:val="00000C88"/>
    <w:rsid w:val="00000ECB"/>
    <w:rsid w:val="00001E1D"/>
    <w:rsid w:val="00002469"/>
    <w:rsid w:val="00002A06"/>
    <w:rsid w:val="00002DD1"/>
    <w:rsid w:val="00002F79"/>
    <w:rsid w:val="00003838"/>
    <w:rsid w:val="000042D4"/>
    <w:rsid w:val="000049A8"/>
    <w:rsid w:val="00004F2F"/>
    <w:rsid w:val="000051F5"/>
    <w:rsid w:val="000058E7"/>
    <w:rsid w:val="000059D9"/>
    <w:rsid w:val="00005EC0"/>
    <w:rsid w:val="00006516"/>
    <w:rsid w:val="00006590"/>
    <w:rsid w:val="00007182"/>
    <w:rsid w:val="000078B7"/>
    <w:rsid w:val="00010457"/>
    <w:rsid w:val="00010806"/>
    <w:rsid w:val="00010F7C"/>
    <w:rsid w:val="000115F5"/>
    <w:rsid w:val="0001230C"/>
    <w:rsid w:val="00012715"/>
    <w:rsid w:val="000132C6"/>
    <w:rsid w:val="00013623"/>
    <w:rsid w:val="00013A3E"/>
    <w:rsid w:val="00013AA8"/>
    <w:rsid w:val="00013AE0"/>
    <w:rsid w:val="0001417A"/>
    <w:rsid w:val="0001478D"/>
    <w:rsid w:val="00014C8C"/>
    <w:rsid w:val="00015047"/>
    <w:rsid w:val="000157D8"/>
    <w:rsid w:val="00015A2B"/>
    <w:rsid w:val="00015C71"/>
    <w:rsid w:val="0001651E"/>
    <w:rsid w:val="00020618"/>
    <w:rsid w:val="00020DF3"/>
    <w:rsid w:val="000210D4"/>
    <w:rsid w:val="0002138D"/>
    <w:rsid w:val="000214CC"/>
    <w:rsid w:val="00021E75"/>
    <w:rsid w:val="00022087"/>
    <w:rsid w:val="00022814"/>
    <w:rsid w:val="00023F39"/>
    <w:rsid w:val="00024144"/>
    <w:rsid w:val="000249B2"/>
    <w:rsid w:val="0002500A"/>
    <w:rsid w:val="00025202"/>
    <w:rsid w:val="00025455"/>
    <w:rsid w:val="00025D54"/>
    <w:rsid w:val="0002669A"/>
    <w:rsid w:val="00027276"/>
    <w:rsid w:val="00027EAC"/>
    <w:rsid w:val="0003013E"/>
    <w:rsid w:val="000307A7"/>
    <w:rsid w:val="00030C3B"/>
    <w:rsid w:val="00030FC0"/>
    <w:rsid w:val="000312E9"/>
    <w:rsid w:val="00031A28"/>
    <w:rsid w:val="00031A61"/>
    <w:rsid w:val="00032827"/>
    <w:rsid w:val="00032938"/>
    <w:rsid w:val="00033069"/>
    <w:rsid w:val="000330B8"/>
    <w:rsid w:val="000339EA"/>
    <w:rsid w:val="0003436B"/>
    <w:rsid w:val="000349DB"/>
    <w:rsid w:val="00035461"/>
    <w:rsid w:val="000360E8"/>
    <w:rsid w:val="00036CB0"/>
    <w:rsid w:val="00037219"/>
    <w:rsid w:val="00037237"/>
    <w:rsid w:val="00037A18"/>
    <w:rsid w:val="00037FAE"/>
    <w:rsid w:val="00040239"/>
    <w:rsid w:val="0004036E"/>
    <w:rsid w:val="00040593"/>
    <w:rsid w:val="00040824"/>
    <w:rsid w:val="00040ADD"/>
    <w:rsid w:val="000411DE"/>
    <w:rsid w:val="000418B4"/>
    <w:rsid w:val="00041BC3"/>
    <w:rsid w:val="00042C18"/>
    <w:rsid w:val="000439D3"/>
    <w:rsid w:val="00043E96"/>
    <w:rsid w:val="000445F5"/>
    <w:rsid w:val="0004517B"/>
    <w:rsid w:val="00045C97"/>
    <w:rsid w:val="00045D24"/>
    <w:rsid w:val="0004606D"/>
    <w:rsid w:val="0004680F"/>
    <w:rsid w:val="00050306"/>
    <w:rsid w:val="000511A0"/>
    <w:rsid w:val="000514B4"/>
    <w:rsid w:val="000519AF"/>
    <w:rsid w:val="00051F38"/>
    <w:rsid w:val="000521D7"/>
    <w:rsid w:val="000522F3"/>
    <w:rsid w:val="000526B8"/>
    <w:rsid w:val="00052ECE"/>
    <w:rsid w:val="00052F3C"/>
    <w:rsid w:val="00052FDA"/>
    <w:rsid w:val="0005339D"/>
    <w:rsid w:val="00054FB7"/>
    <w:rsid w:val="000551FA"/>
    <w:rsid w:val="00055557"/>
    <w:rsid w:val="0005564B"/>
    <w:rsid w:val="0005578D"/>
    <w:rsid w:val="00055F0C"/>
    <w:rsid w:val="0005667C"/>
    <w:rsid w:val="00056BEA"/>
    <w:rsid w:val="00056BF6"/>
    <w:rsid w:val="00056C2E"/>
    <w:rsid w:val="00056C5B"/>
    <w:rsid w:val="00056F75"/>
    <w:rsid w:val="00056FB5"/>
    <w:rsid w:val="0005745D"/>
    <w:rsid w:val="00057641"/>
    <w:rsid w:val="000577AE"/>
    <w:rsid w:val="00057A81"/>
    <w:rsid w:val="0006010F"/>
    <w:rsid w:val="00060247"/>
    <w:rsid w:val="00060A94"/>
    <w:rsid w:val="00061838"/>
    <w:rsid w:val="00061932"/>
    <w:rsid w:val="00062356"/>
    <w:rsid w:val="00062499"/>
    <w:rsid w:val="00062530"/>
    <w:rsid w:val="000625A3"/>
    <w:rsid w:val="00062835"/>
    <w:rsid w:val="0006322B"/>
    <w:rsid w:val="000650AC"/>
    <w:rsid w:val="000650F8"/>
    <w:rsid w:val="00065523"/>
    <w:rsid w:val="00065710"/>
    <w:rsid w:val="000657D8"/>
    <w:rsid w:val="00065A86"/>
    <w:rsid w:val="00065AF0"/>
    <w:rsid w:val="00065F2B"/>
    <w:rsid w:val="0006648B"/>
    <w:rsid w:val="00066767"/>
    <w:rsid w:val="00066BAD"/>
    <w:rsid w:val="00067D1F"/>
    <w:rsid w:val="00070741"/>
    <w:rsid w:val="00070D85"/>
    <w:rsid w:val="000719F1"/>
    <w:rsid w:val="00071C9A"/>
    <w:rsid w:val="00072491"/>
    <w:rsid w:val="0007279A"/>
    <w:rsid w:val="00072A48"/>
    <w:rsid w:val="0007377E"/>
    <w:rsid w:val="000740DD"/>
    <w:rsid w:val="00074256"/>
    <w:rsid w:val="00074463"/>
    <w:rsid w:val="00074F6C"/>
    <w:rsid w:val="00075387"/>
    <w:rsid w:val="00075701"/>
    <w:rsid w:val="0007618C"/>
    <w:rsid w:val="0007633A"/>
    <w:rsid w:val="000767AA"/>
    <w:rsid w:val="00077639"/>
    <w:rsid w:val="000778B4"/>
    <w:rsid w:val="00081B37"/>
    <w:rsid w:val="0008210A"/>
    <w:rsid w:val="00082444"/>
    <w:rsid w:val="000826E5"/>
    <w:rsid w:val="00082DCC"/>
    <w:rsid w:val="00083154"/>
    <w:rsid w:val="000832F1"/>
    <w:rsid w:val="000833A7"/>
    <w:rsid w:val="00083514"/>
    <w:rsid w:val="00083537"/>
    <w:rsid w:val="00083586"/>
    <w:rsid w:val="00083D4B"/>
    <w:rsid w:val="0008487B"/>
    <w:rsid w:val="000857BB"/>
    <w:rsid w:val="00085B55"/>
    <w:rsid w:val="00085CF9"/>
    <w:rsid w:val="00085E41"/>
    <w:rsid w:val="00086F85"/>
    <w:rsid w:val="0008763E"/>
    <w:rsid w:val="000877BB"/>
    <w:rsid w:val="00087A1D"/>
    <w:rsid w:val="000905BB"/>
    <w:rsid w:val="0009065C"/>
    <w:rsid w:val="0009124E"/>
    <w:rsid w:val="00091EFE"/>
    <w:rsid w:val="00092034"/>
    <w:rsid w:val="0009216F"/>
    <w:rsid w:val="00092D79"/>
    <w:rsid w:val="00092EA8"/>
    <w:rsid w:val="0009324D"/>
    <w:rsid w:val="0009365D"/>
    <w:rsid w:val="000937EA"/>
    <w:rsid w:val="0009391A"/>
    <w:rsid w:val="000940D1"/>
    <w:rsid w:val="00094206"/>
    <w:rsid w:val="000948BD"/>
    <w:rsid w:val="00094933"/>
    <w:rsid w:val="00094A97"/>
    <w:rsid w:val="00094B33"/>
    <w:rsid w:val="000954F6"/>
    <w:rsid w:val="0009556F"/>
    <w:rsid w:val="000957BD"/>
    <w:rsid w:val="00095AB1"/>
    <w:rsid w:val="000961BA"/>
    <w:rsid w:val="000962CD"/>
    <w:rsid w:val="000966DE"/>
    <w:rsid w:val="000974A7"/>
    <w:rsid w:val="0009767D"/>
    <w:rsid w:val="00097A0B"/>
    <w:rsid w:val="000A0046"/>
    <w:rsid w:val="000A0349"/>
    <w:rsid w:val="000A0524"/>
    <w:rsid w:val="000A0F08"/>
    <w:rsid w:val="000A159C"/>
    <w:rsid w:val="000A1643"/>
    <w:rsid w:val="000A17CD"/>
    <w:rsid w:val="000A1857"/>
    <w:rsid w:val="000A199B"/>
    <w:rsid w:val="000A224E"/>
    <w:rsid w:val="000A2348"/>
    <w:rsid w:val="000A238B"/>
    <w:rsid w:val="000A2748"/>
    <w:rsid w:val="000A28AB"/>
    <w:rsid w:val="000A29C5"/>
    <w:rsid w:val="000A2F00"/>
    <w:rsid w:val="000A343B"/>
    <w:rsid w:val="000A3554"/>
    <w:rsid w:val="000A3FEA"/>
    <w:rsid w:val="000A45F4"/>
    <w:rsid w:val="000A4ACB"/>
    <w:rsid w:val="000A4FBC"/>
    <w:rsid w:val="000A52F9"/>
    <w:rsid w:val="000A53A2"/>
    <w:rsid w:val="000A56CE"/>
    <w:rsid w:val="000A589D"/>
    <w:rsid w:val="000A5A7E"/>
    <w:rsid w:val="000A5C1E"/>
    <w:rsid w:val="000A63D5"/>
    <w:rsid w:val="000A68BA"/>
    <w:rsid w:val="000A6BEC"/>
    <w:rsid w:val="000A6E52"/>
    <w:rsid w:val="000A6EAF"/>
    <w:rsid w:val="000A7013"/>
    <w:rsid w:val="000A70F6"/>
    <w:rsid w:val="000A79DC"/>
    <w:rsid w:val="000A7A62"/>
    <w:rsid w:val="000B07CB"/>
    <w:rsid w:val="000B11AA"/>
    <w:rsid w:val="000B14B6"/>
    <w:rsid w:val="000B1FBB"/>
    <w:rsid w:val="000B22AF"/>
    <w:rsid w:val="000B24F5"/>
    <w:rsid w:val="000B2524"/>
    <w:rsid w:val="000B2551"/>
    <w:rsid w:val="000B2D12"/>
    <w:rsid w:val="000B2E42"/>
    <w:rsid w:val="000B2ED6"/>
    <w:rsid w:val="000B31E3"/>
    <w:rsid w:val="000B3849"/>
    <w:rsid w:val="000B3A87"/>
    <w:rsid w:val="000B3DF7"/>
    <w:rsid w:val="000B47A7"/>
    <w:rsid w:val="000B50A0"/>
    <w:rsid w:val="000B5537"/>
    <w:rsid w:val="000B57D7"/>
    <w:rsid w:val="000B57E9"/>
    <w:rsid w:val="000B5926"/>
    <w:rsid w:val="000B5FF0"/>
    <w:rsid w:val="000B61DD"/>
    <w:rsid w:val="000B64F8"/>
    <w:rsid w:val="000B6669"/>
    <w:rsid w:val="000B6BB7"/>
    <w:rsid w:val="000B6DBD"/>
    <w:rsid w:val="000B6F39"/>
    <w:rsid w:val="000B70A0"/>
    <w:rsid w:val="000B78BE"/>
    <w:rsid w:val="000B7D5D"/>
    <w:rsid w:val="000C0344"/>
    <w:rsid w:val="000C04EB"/>
    <w:rsid w:val="000C0588"/>
    <w:rsid w:val="000C08FA"/>
    <w:rsid w:val="000C102B"/>
    <w:rsid w:val="000C10DF"/>
    <w:rsid w:val="000C13EE"/>
    <w:rsid w:val="000C1436"/>
    <w:rsid w:val="000C163D"/>
    <w:rsid w:val="000C195E"/>
    <w:rsid w:val="000C1FE6"/>
    <w:rsid w:val="000C25A7"/>
    <w:rsid w:val="000C2696"/>
    <w:rsid w:val="000C26F9"/>
    <w:rsid w:val="000C28B7"/>
    <w:rsid w:val="000C3813"/>
    <w:rsid w:val="000C5088"/>
    <w:rsid w:val="000C5582"/>
    <w:rsid w:val="000C57C8"/>
    <w:rsid w:val="000C5ADD"/>
    <w:rsid w:val="000C5C2F"/>
    <w:rsid w:val="000C5C53"/>
    <w:rsid w:val="000C5EE5"/>
    <w:rsid w:val="000C6422"/>
    <w:rsid w:val="000C647A"/>
    <w:rsid w:val="000C660D"/>
    <w:rsid w:val="000C687A"/>
    <w:rsid w:val="000C68D4"/>
    <w:rsid w:val="000C6B17"/>
    <w:rsid w:val="000C6F47"/>
    <w:rsid w:val="000C7453"/>
    <w:rsid w:val="000D04EC"/>
    <w:rsid w:val="000D0BF7"/>
    <w:rsid w:val="000D0E37"/>
    <w:rsid w:val="000D11A0"/>
    <w:rsid w:val="000D1303"/>
    <w:rsid w:val="000D1C9B"/>
    <w:rsid w:val="000D2323"/>
    <w:rsid w:val="000D2FBB"/>
    <w:rsid w:val="000D35D8"/>
    <w:rsid w:val="000D35DE"/>
    <w:rsid w:val="000D372B"/>
    <w:rsid w:val="000D3F91"/>
    <w:rsid w:val="000D40AE"/>
    <w:rsid w:val="000D419A"/>
    <w:rsid w:val="000D44ED"/>
    <w:rsid w:val="000D47E2"/>
    <w:rsid w:val="000D505C"/>
    <w:rsid w:val="000D5235"/>
    <w:rsid w:val="000D543C"/>
    <w:rsid w:val="000D556D"/>
    <w:rsid w:val="000D56B9"/>
    <w:rsid w:val="000D575B"/>
    <w:rsid w:val="000D5DD2"/>
    <w:rsid w:val="000D5DE6"/>
    <w:rsid w:val="000D6257"/>
    <w:rsid w:val="000D65EF"/>
    <w:rsid w:val="000D6F98"/>
    <w:rsid w:val="000D6FAE"/>
    <w:rsid w:val="000D76E2"/>
    <w:rsid w:val="000D7A10"/>
    <w:rsid w:val="000D7BAA"/>
    <w:rsid w:val="000D7C6F"/>
    <w:rsid w:val="000E04C3"/>
    <w:rsid w:val="000E05A8"/>
    <w:rsid w:val="000E0B3F"/>
    <w:rsid w:val="000E0C32"/>
    <w:rsid w:val="000E10F8"/>
    <w:rsid w:val="000E1203"/>
    <w:rsid w:val="000E15FA"/>
    <w:rsid w:val="000E173A"/>
    <w:rsid w:val="000E18C4"/>
    <w:rsid w:val="000E1FCC"/>
    <w:rsid w:val="000E2418"/>
    <w:rsid w:val="000E2535"/>
    <w:rsid w:val="000E2BD6"/>
    <w:rsid w:val="000E3EAD"/>
    <w:rsid w:val="000E3F40"/>
    <w:rsid w:val="000E40BE"/>
    <w:rsid w:val="000E5320"/>
    <w:rsid w:val="000E553D"/>
    <w:rsid w:val="000E56C6"/>
    <w:rsid w:val="000E58CD"/>
    <w:rsid w:val="000E58E1"/>
    <w:rsid w:val="000E6170"/>
    <w:rsid w:val="000E63AC"/>
    <w:rsid w:val="000E689B"/>
    <w:rsid w:val="000E6B7A"/>
    <w:rsid w:val="000E6C48"/>
    <w:rsid w:val="000E6E2E"/>
    <w:rsid w:val="000E7236"/>
    <w:rsid w:val="000E7391"/>
    <w:rsid w:val="000E759D"/>
    <w:rsid w:val="000E792C"/>
    <w:rsid w:val="000E7D42"/>
    <w:rsid w:val="000E7EE2"/>
    <w:rsid w:val="000F01B1"/>
    <w:rsid w:val="000F04BF"/>
    <w:rsid w:val="000F0DC1"/>
    <w:rsid w:val="000F1977"/>
    <w:rsid w:val="000F1F10"/>
    <w:rsid w:val="000F1FA3"/>
    <w:rsid w:val="000F1FEE"/>
    <w:rsid w:val="000F25D8"/>
    <w:rsid w:val="000F3137"/>
    <w:rsid w:val="000F38C9"/>
    <w:rsid w:val="000F3EFA"/>
    <w:rsid w:val="000F4052"/>
    <w:rsid w:val="000F43AC"/>
    <w:rsid w:val="000F4A89"/>
    <w:rsid w:val="000F53CF"/>
    <w:rsid w:val="000F5581"/>
    <w:rsid w:val="000F5A6E"/>
    <w:rsid w:val="000F5CE5"/>
    <w:rsid w:val="000F5FD1"/>
    <w:rsid w:val="000F6A32"/>
    <w:rsid w:val="000F6E1E"/>
    <w:rsid w:val="000F7A25"/>
    <w:rsid w:val="001000F5"/>
    <w:rsid w:val="001016D5"/>
    <w:rsid w:val="00101DC9"/>
    <w:rsid w:val="00101E4E"/>
    <w:rsid w:val="001023A0"/>
    <w:rsid w:val="001024E5"/>
    <w:rsid w:val="001027D1"/>
    <w:rsid w:val="0010280D"/>
    <w:rsid w:val="00102BC6"/>
    <w:rsid w:val="00103033"/>
    <w:rsid w:val="001052D0"/>
    <w:rsid w:val="00105491"/>
    <w:rsid w:val="00105BDC"/>
    <w:rsid w:val="00105F9B"/>
    <w:rsid w:val="00106510"/>
    <w:rsid w:val="0010651B"/>
    <w:rsid w:val="00106ADB"/>
    <w:rsid w:val="001078EC"/>
    <w:rsid w:val="001100BD"/>
    <w:rsid w:val="00110331"/>
    <w:rsid w:val="00111B8C"/>
    <w:rsid w:val="00111CD4"/>
    <w:rsid w:val="00111FB9"/>
    <w:rsid w:val="00112A5F"/>
    <w:rsid w:val="00113411"/>
    <w:rsid w:val="0011356C"/>
    <w:rsid w:val="00113F2A"/>
    <w:rsid w:val="00114897"/>
    <w:rsid w:val="00114912"/>
    <w:rsid w:val="00114917"/>
    <w:rsid w:val="00114E7D"/>
    <w:rsid w:val="00115C16"/>
    <w:rsid w:val="00116844"/>
    <w:rsid w:val="0011717D"/>
    <w:rsid w:val="0011723F"/>
    <w:rsid w:val="00117CE9"/>
    <w:rsid w:val="00117D77"/>
    <w:rsid w:val="001200CC"/>
    <w:rsid w:val="001201F9"/>
    <w:rsid w:val="0012022B"/>
    <w:rsid w:val="001205AD"/>
    <w:rsid w:val="00120625"/>
    <w:rsid w:val="00120B78"/>
    <w:rsid w:val="00120CEB"/>
    <w:rsid w:val="00121143"/>
    <w:rsid w:val="00121A99"/>
    <w:rsid w:val="001220B4"/>
    <w:rsid w:val="00122489"/>
    <w:rsid w:val="00122A75"/>
    <w:rsid w:val="00122B18"/>
    <w:rsid w:val="00123130"/>
    <w:rsid w:val="001233B9"/>
    <w:rsid w:val="00124434"/>
    <w:rsid w:val="00124518"/>
    <w:rsid w:val="0012519F"/>
    <w:rsid w:val="00125C8D"/>
    <w:rsid w:val="001264A2"/>
    <w:rsid w:val="0012679D"/>
    <w:rsid w:val="00127277"/>
    <w:rsid w:val="00130ABA"/>
    <w:rsid w:val="00130FA7"/>
    <w:rsid w:val="00130FBD"/>
    <w:rsid w:val="001312BE"/>
    <w:rsid w:val="001312D5"/>
    <w:rsid w:val="00131560"/>
    <w:rsid w:val="00131FC2"/>
    <w:rsid w:val="001322A4"/>
    <w:rsid w:val="001323A0"/>
    <w:rsid w:val="00132D29"/>
    <w:rsid w:val="001334CF"/>
    <w:rsid w:val="00133CE0"/>
    <w:rsid w:val="00133D35"/>
    <w:rsid w:val="00134062"/>
    <w:rsid w:val="001340F4"/>
    <w:rsid w:val="001343AA"/>
    <w:rsid w:val="00134A3A"/>
    <w:rsid w:val="0013595E"/>
    <w:rsid w:val="001359F6"/>
    <w:rsid w:val="0013626A"/>
    <w:rsid w:val="00136CD4"/>
    <w:rsid w:val="001376B2"/>
    <w:rsid w:val="00137E14"/>
    <w:rsid w:val="00137F1C"/>
    <w:rsid w:val="0014044E"/>
    <w:rsid w:val="00140DC6"/>
    <w:rsid w:val="00141243"/>
    <w:rsid w:val="001412C9"/>
    <w:rsid w:val="00141303"/>
    <w:rsid w:val="00141C9A"/>
    <w:rsid w:val="00141EE8"/>
    <w:rsid w:val="00142204"/>
    <w:rsid w:val="001422A5"/>
    <w:rsid w:val="00143558"/>
    <w:rsid w:val="001443F5"/>
    <w:rsid w:val="00144C9C"/>
    <w:rsid w:val="00144E68"/>
    <w:rsid w:val="0014509B"/>
    <w:rsid w:val="00145605"/>
    <w:rsid w:val="00145BC6"/>
    <w:rsid w:val="001462DF"/>
    <w:rsid w:val="00146FF9"/>
    <w:rsid w:val="00147108"/>
    <w:rsid w:val="00147553"/>
    <w:rsid w:val="00147877"/>
    <w:rsid w:val="001478D8"/>
    <w:rsid w:val="00147A4A"/>
    <w:rsid w:val="0015013C"/>
    <w:rsid w:val="001502FA"/>
    <w:rsid w:val="0015054A"/>
    <w:rsid w:val="00150686"/>
    <w:rsid w:val="00151087"/>
    <w:rsid w:val="00151B40"/>
    <w:rsid w:val="00151CA5"/>
    <w:rsid w:val="00152655"/>
    <w:rsid w:val="001531A5"/>
    <w:rsid w:val="00153340"/>
    <w:rsid w:val="00153DD4"/>
    <w:rsid w:val="00153FB0"/>
    <w:rsid w:val="00154362"/>
    <w:rsid w:val="0015481E"/>
    <w:rsid w:val="0015495E"/>
    <w:rsid w:val="0015516C"/>
    <w:rsid w:val="00155E26"/>
    <w:rsid w:val="00156020"/>
    <w:rsid w:val="001561FE"/>
    <w:rsid w:val="001563DE"/>
    <w:rsid w:val="00156746"/>
    <w:rsid w:val="001569A6"/>
    <w:rsid w:val="00160337"/>
    <w:rsid w:val="00160560"/>
    <w:rsid w:val="0016060B"/>
    <w:rsid w:val="0016066B"/>
    <w:rsid w:val="001606AE"/>
    <w:rsid w:val="0016074E"/>
    <w:rsid w:val="00160923"/>
    <w:rsid w:val="00160A27"/>
    <w:rsid w:val="00160A5D"/>
    <w:rsid w:val="00161478"/>
    <w:rsid w:val="0016190F"/>
    <w:rsid w:val="00161AA2"/>
    <w:rsid w:val="00162376"/>
    <w:rsid w:val="001625BA"/>
    <w:rsid w:val="00162AF9"/>
    <w:rsid w:val="0016324D"/>
    <w:rsid w:val="00163495"/>
    <w:rsid w:val="00164217"/>
    <w:rsid w:val="00164308"/>
    <w:rsid w:val="001644D4"/>
    <w:rsid w:val="00164A60"/>
    <w:rsid w:val="00164BDC"/>
    <w:rsid w:val="00164D0C"/>
    <w:rsid w:val="00164DE8"/>
    <w:rsid w:val="00164E58"/>
    <w:rsid w:val="00165656"/>
    <w:rsid w:val="00165FD4"/>
    <w:rsid w:val="001664C2"/>
    <w:rsid w:val="001668FD"/>
    <w:rsid w:val="00166EEB"/>
    <w:rsid w:val="001673CE"/>
    <w:rsid w:val="00167451"/>
    <w:rsid w:val="0016745D"/>
    <w:rsid w:val="00167510"/>
    <w:rsid w:val="0016789E"/>
    <w:rsid w:val="001679D7"/>
    <w:rsid w:val="00167C90"/>
    <w:rsid w:val="00170807"/>
    <w:rsid w:val="00170A5A"/>
    <w:rsid w:val="00170AB0"/>
    <w:rsid w:val="00171BD4"/>
    <w:rsid w:val="00171CFB"/>
    <w:rsid w:val="00171F2A"/>
    <w:rsid w:val="0017225E"/>
    <w:rsid w:val="00172C3E"/>
    <w:rsid w:val="00172C84"/>
    <w:rsid w:val="0017311B"/>
    <w:rsid w:val="0017315A"/>
    <w:rsid w:val="001731CE"/>
    <w:rsid w:val="0017344D"/>
    <w:rsid w:val="00173BCA"/>
    <w:rsid w:val="00174C81"/>
    <w:rsid w:val="001751C0"/>
    <w:rsid w:val="00175448"/>
    <w:rsid w:val="00175971"/>
    <w:rsid w:val="00176461"/>
    <w:rsid w:val="0017669F"/>
    <w:rsid w:val="00177020"/>
    <w:rsid w:val="0017789F"/>
    <w:rsid w:val="00177ED9"/>
    <w:rsid w:val="00177F58"/>
    <w:rsid w:val="00177F88"/>
    <w:rsid w:val="00180998"/>
    <w:rsid w:val="00180BF6"/>
    <w:rsid w:val="00180DFE"/>
    <w:rsid w:val="0018120D"/>
    <w:rsid w:val="00181486"/>
    <w:rsid w:val="00181528"/>
    <w:rsid w:val="00181C1D"/>
    <w:rsid w:val="00181D29"/>
    <w:rsid w:val="00181DF4"/>
    <w:rsid w:val="00182155"/>
    <w:rsid w:val="0018223D"/>
    <w:rsid w:val="00182498"/>
    <w:rsid w:val="001827AD"/>
    <w:rsid w:val="0018300D"/>
    <w:rsid w:val="00183319"/>
    <w:rsid w:val="00183699"/>
    <w:rsid w:val="00184F45"/>
    <w:rsid w:val="00185964"/>
    <w:rsid w:val="00185B9C"/>
    <w:rsid w:val="00185F71"/>
    <w:rsid w:val="001868FF"/>
    <w:rsid w:val="00186991"/>
    <w:rsid w:val="001870D4"/>
    <w:rsid w:val="00187CD7"/>
    <w:rsid w:val="00187E0B"/>
    <w:rsid w:val="001908ED"/>
    <w:rsid w:val="0019150F"/>
    <w:rsid w:val="001923E8"/>
    <w:rsid w:val="001946E0"/>
    <w:rsid w:val="00194892"/>
    <w:rsid w:val="00195048"/>
    <w:rsid w:val="00195077"/>
    <w:rsid w:val="001957BF"/>
    <w:rsid w:val="00195843"/>
    <w:rsid w:val="00195A06"/>
    <w:rsid w:val="001966E1"/>
    <w:rsid w:val="00196A5A"/>
    <w:rsid w:val="00196BFA"/>
    <w:rsid w:val="00197D44"/>
    <w:rsid w:val="00197F3A"/>
    <w:rsid w:val="001A02CA"/>
    <w:rsid w:val="001A07AF"/>
    <w:rsid w:val="001A07D0"/>
    <w:rsid w:val="001A0AAE"/>
    <w:rsid w:val="001A0E4E"/>
    <w:rsid w:val="001A29F2"/>
    <w:rsid w:val="001A309F"/>
    <w:rsid w:val="001A43BA"/>
    <w:rsid w:val="001A4B95"/>
    <w:rsid w:val="001A4F79"/>
    <w:rsid w:val="001A53D3"/>
    <w:rsid w:val="001A5442"/>
    <w:rsid w:val="001A559D"/>
    <w:rsid w:val="001A6110"/>
    <w:rsid w:val="001A65F7"/>
    <w:rsid w:val="001A735B"/>
    <w:rsid w:val="001A77B0"/>
    <w:rsid w:val="001A7B96"/>
    <w:rsid w:val="001A7D44"/>
    <w:rsid w:val="001A7D8C"/>
    <w:rsid w:val="001A7EF3"/>
    <w:rsid w:val="001B0DF3"/>
    <w:rsid w:val="001B1631"/>
    <w:rsid w:val="001B1660"/>
    <w:rsid w:val="001B1907"/>
    <w:rsid w:val="001B2108"/>
    <w:rsid w:val="001B26BD"/>
    <w:rsid w:val="001B3047"/>
    <w:rsid w:val="001B3B8D"/>
    <w:rsid w:val="001B3BF2"/>
    <w:rsid w:val="001B3C38"/>
    <w:rsid w:val="001B3E1F"/>
    <w:rsid w:val="001B424F"/>
    <w:rsid w:val="001B4513"/>
    <w:rsid w:val="001B543E"/>
    <w:rsid w:val="001B5D69"/>
    <w:rsid w:val="001B6770"/>
    <w:rsid w:val="001B6B09"/>
    <w:rsid w:val="001B70C1"/>
    <w:rsid w:val="001B75A8"/>
    <w:rsid w:val="001B7AD1"/>
    <w:rsid w:val="001B7DD0"/>
    <w:rsid w:val="001C07AD"/>
    <w:rsid w:val="001C0BF4"/>
    <w:rsid w:val="001C0E2A"/>
    <w:rsid w:val="001C1193"/>
    <w:rsid w:val="001C126E"/>
    <w:rsid w:val="001C14C9"/>
    <w:rsid w:val="001C14F4"/>
    <w:rsid w:val="001C1876"/>
    <w:rsid w:val="001C1DF3"/>
    <w:rsid w:val="001C1EED"/>
    <w:rsid w:val="001C2270"/>
    <w:rsid w:val="001C2981"/>
    <w:rsid w:val="001C3087"/>
    <w:rsid w:val="001C3233"/>
    <w:rsid w:val="001C3445"/>
    <w:rsid w:val="001C3958"/>
    <w:rsid w:val="001C3B1E"/>
    <w:rsid w:val="001C3C19"/>
    <w:rsid w:val="001C3D2B"/>
    <w:rsid w:val="001C3E3E"/>
    <w:rsid w:val="001C3FB0"/>
    <w:rsid w:val="001C477A"/>
    <w:rsid w:val="001C4881"/>
    <w:rsid w:val="001C5206"/>
    <w:rsid w:val="001C574E"/>
    <w:rsid w:val="001C65DC"/>
    <w:rsid w:val="001C65FE"/>
    <w:rsid w:val="001C7281"/>
    <w:rsid w:val="001C7DE7"/>
    <w:rsid w:val="001D04A6"/>
    <w:rsid w:val="001D074B"/>
    <w:rsid w:val="001D078E"/>
    <w:rsid w:val="001D08DE"/>
    <w:rsid w:val="001D09EA"/>
    <w:rsid w:val="001D1476"/>
    <w:rsid w:val="001D14D6"/>
    <w:rsid w:val="001D15CC"/>
    <w:rsid w:val="001D1801"/>
    <w:rsid w:val="001D1F80"/>
    <w:rsid w:val="001D2391"/>
    <w:rsid w:val="001D280C"/>
    <w:rsid w:val="001D2A73"/>
    <w:rsid w:val="001D2B1E"/>
    <w:rsid w:val="001D417F"/>
    <w:rsid w:val="001D45C5"/>
    <w:rsid w:val="001D499D"/>
    <w:rsid w:val="001D4A59"/>
    <w:rsid w:val="001D4B09"/>
    <w:rsid w:val="001D5DC8"/>
    <w:rsid w:val="001D5F07"/>
    <w:rsid w:val="001D60BF"/>
    <w:rsid w:val="001D6A81"/>
    <w:rsid w:val="001D6F30"/>
    <w:rsid w:val="001D72E5"/>
    <w:rsid w:val="001D74A8"/>
    <w:rsid w:val="001D75D7"/>
    <w:rsid w:val="001D7606"/>
    <w:rsid w:val="001D7DBC"/>
    <w:rsid w:val="001E0D68"/>
    <w:rsid w:val="001E1437"/>
    <w:rsid w:val="001E1FCC"/>
    <w:rsid w:val="001E28B3"/>
    <w:rsid w:val="001E2B08"/>
    <w:rsid w:val="001E3190"/>
    <w:rsid w:val="001E31B9"/>
    <w:rsid w:val="001E32B1"/>
    <w:rsid w:val="001E394C"/>
    <w:rsid w:val="001E3A82"/>
    <w:rsid w:val="001E3F55"/>
    <w:rsid w:val="001E4789"/>
    <w:rsid w:val="001E49E0"/>
    <w:rsid w:val="001E4A67"/>
    <w:rsid w:val="001E5207"/>
    <w:rsid w:val="001E5388"/>
    <w:rsid w:val="001E53AB"/>
    <w:rsid w:val="001E568F"/>
    <w:rsid w:val="001E5C6C"/>
    <w:rsid w:val="001E6289"/>
    <w:rsid w:val="001E70B5"/>
    <w:rsid w:val="001F0479"/>
    <w:rsid w:val="001F095C"/>
    <w:rsid w:val="001F1465"/>
    <w:rsid w:val="001F17EE"/>
    <w:rsid w:val="001F186C"/>
    <w:rsid w:val="001F1BB2"/>
    <w:rsid w:val="001F1C0D"/>
    <w:rsid w:val="001F24C3"/>
    <w:rsid w:val="001F26F8"/>
    <w:rsid w:val="001F2A5C"/>
    <w:rsid w:val="001F2F26"/>
    <w:rsid w:val="001F30A4"/>
    <w:rsid w:val="001F36D8"/>
    <w:rsid w:val="001F41A8"/>
    <w:rsid w:val="001F440F"/>
    <w:rsid w:val="001F4867"/>
    <w:rsid w:val="001F4AB3"/>
    <w:rsid w:val="001F4AC9"/>
    <w:rsid w:val="001F4D70"/>
    <w:rsid w:val="001F5705"/>
    <w:rsid w:val="001F5F7E"/>
    <w:rsid w:val="001F6008"/>
    <w:rsid w:val="001F614E"/>
    <w:rsid w:val="001F65E1"/>
    <w:rsid w:val="001F671E"/>
    <w:rsid w:val="001F6AC6"/>
    <w:rsid w:val="001F6DAE"/>
    <w:rsid w:val="001F6E31"/>
    <w:rsid w:val="001F72D5"/>
    <w:rsid w:val="001F7B33"/>
    <w:rsid w:val="002007E1"/>
    <w:rsid w:val="00200875"/>
    <w:rsid w:val="00201466"/>
    <w:rsid w:val="00201598"/>
    <w:rsid w:val="0020291D"/>
    <w:rsid w:val="002030F7"/>
    <w:rsid w:val="0020348B"/>
    <w:rsid w:val="00203FEF"/>
    <w:rsid w:val="002042AF"/>
    <w:rsid w:val="00204B8C"/>
    <w:rsid w:val="00204CB6"/>
    <w:rsid w:val="00204DE7"/>
    <w:rsid w:val="00205569"/>
    <w:rsid w:val="00205CD8"/>
    <w:rsid w:val="00206087"/>
    <w:rsid w:val="00206464"/>
    <w:rsid w:val="00206945"/>
    <w:rsid w:val="00206D06"/>
    <w:rsid w:val="00206E95"/>
    <w:rsid w:val="00207100"/>
    <w:rsid w:val="00207293"/>
    <w:rsid w:val="00207729"/>
    <w:rsid w:val="00210CDC"/>
    <w:rsid w:val="002113A3"/>
    <w:rsid w:val="00211566"/>
    <w:rsid w:val="00211966"/>
    <w:rsid w:val="0021301E"/>
    <w:rsid w:val="00213040"/>
    <w:rsid w:val="00213308"/>
    <w:rsid w:val="00213518"/>
    <w:rsid w:val="002143B4"/>
    <w:rsid w:val="00214CEA"/>
    <w:rsid w:val="00215418"/>
    <w:rsid w:val="0021570D"/>
    <w:rsid w:val="002158CF"/>
    <w:rsid w:val="00216EAA"/>
    <w:rsid w:val="0022009F"/>
    <w:rsid w:val="00220233"/>
    <w:rsid w:val="00220A51"/>
    <w:rsid w:val="00220A8E"/>
    <w:rsid w:val="00220F2E"/>
    <w:rsid w:val="002218FA"/>
    <w:rsid w:val="00221BC2"/>
    <w:rsid w:val="00222743"/>
    <w:rsid w:val="002228CF"/>
    <w:rsid w:val="0022293A"/>
    <w:rsid w:val="00223FFB"/>
    <w:rsid w:val="0022502D"/>
    <w:rsid w:val="002254E5"/>
    <w:rsid w:val="00225C6A"/>
    <w:rsid w:val="00225CD2"/>
    <w:rsid w:val="00225DE3"/>
    <w:rsid w:val="00226146"/>
    <w:rsid w:val="00226DC4"/>
    <w:rsid w:val="002271D9"/>
    <w:rsid w:val="0022743C"/>
    <w:rsid w:val="002274EA"/>
    <w:rsid w:val="00227910"/>
    <w:rsid w:val="00227A06"/>
    <w:rsid w:val="00230343"/>
    <w:rsid w:val="00230473"/>
    <w:rsid w:val="00230C73"/>
    <w:rsid w:val="00230DEC"/>
    <w:rsid w:val="00230E21"/>
    <w:rsid w:val="00230E45"/>
    <w:rsid w:val="00231097"/>
    <w:rsid w:val="00231736"/>
    <w:rsid w:val="002319F3"/>
    <w:rsid w:val="00231E48"/>
    <w:rsid w:val="00232531"/>
    <w:rsid w:val="002325A5"/>
    <w:rsid w:val="002329C4"/>
    <w:rsid w:val="002331C5"/>
    <w:rsid w:val="00233376"/>
    <w:rsid w:val="00233552"/>
    <w:rsid w:val="00233AE2"/>
    <w:rsid w:val="00233B46"/>
    <w:rsid w:val="00233C6D"/>
    <w:rsid w:val="002344C4"/>
    <w:rsid w:val="00234BA2"/>
    <w:rsid w:val="00234CA1"/>
    <w:rsid w:val="002355FC"/>
    <w:rsid w:val="00235980"/>
    <w:rsid w:val="00236194"/>
    <w:rsid w:val="0023621C"/>
    <w:rsid w:val="002362F7"/>
    <w:rsid w:val="00236BC1"/>
    <w:rsid w:val="00236EDC"/>
    <w:rsid w:val="0023707F"/>
    <w:rsid w:val="002375C1"/>
    <w:rsid w:val="002400E6"/>
    <w:rsid w:val="002404B4"/>
    <w:rsid w:val="002405D0"/>
    <w:rsid w:val="002409F6"/>
    <w:rsid w:val="00240BFA"/>
    <w:rsid w:val="002413CE"/>
    <w:rsid w:val="002417D2"/>
    <w:rsid w:val="002419AF"/>
    <w:rsid w:val="00241D34"/>
    <w:rsid w:val="00241E73"/>
    <w:rsid w:val="00241F44"/>
    <w:rsid w:val="002423FC"/>
    <w:rsid w:val="002427C5"/>
    <w:rsid w:val="002427F4"/>
    <w:rsid w:val="00242E3D"/>
    <w:rsid w:val="002430C1"/>
    <w:rsid w:val="002430DC"/>
    <w:rsid w:val="002433CC"/>
    <w:rsid w:val="00243448"/>
    <w:rsid w:val="0024347F"/>
    <w:rsid w:val="002434EA"/>
    <w:rsid w:val="002439EA"/>
    <w:rsid w:val="00243C84"/>
    <w:rsid w:val="00244637"/>
    <w:rsid w:val="00244659"/>
    <w:rsid w:val="00244ED7"/>
    <w:rsid w:val="002463CE"/>
    <w:rsid w:val="002469FC"/>
    <w:rsid w:val="00246EEB"/>
    <w:rsid w:val="00247169"/>
    <w:rsid w:val="00247610"/>
    <w:rsid w:val="00247F6D"/>
    <w:rsid w:val="00247F97"/>
    <w:rsid w:val="00250135"/>
    <w:rsid w:val="002504DD"/>
    <w:rsid w:val="00250F3A"/>
    <w:rsid w:val="002510FA"/>
    <w:rsid w:val="00251969"/>
    <w:rsid w:val="002519CA"/>
    <w:rsid w:val="00251A2B"/>
    <w:rsid w:val="00252F10"/>
    <w:rsid w:val="00252FE3"/>
    <w:rsid w:val="00253523"/>
    <w:rsid w:val="00253594"/>
    <w:rsid w:val="00253640"/>
    <w:rsid w:val="00253C59"/>
    <w:rsid w:val="00253D65"/>
    <w:rsid w:val="0025409D"/>
    <w:rsid w:val="0025431B"/>
    <w:rsid w:val="0025461E"/>
    <w:rsid w:val="0025482D"/>
    <w:rsid w:val="00254B79"/>
    <w:rsid w:val="00254D95"/>
    <w:rsid w:val="00255659"/>
    <w:rsid w:val="00257459"/>
    <w:rsid w:val="0025766C"/>
    <w:rsid w:val="00257AF6"/>
    <w:rsid w:val="00257C54"/>
    <w:rsid w:val="00260267"/>
    <w:rsid w:val="002612CF"/>
    <w:rsid w:val="00261B1F"/>
    <w:rsid w:val="00262022"/>
    <w:rsid w:val="00262074"/>
    <w:rsid w:val="0026241D"/>
    <w:rsid w:val="00262667"/>
    <w:rsid w:val="002629A5"/>
    <w:rsid w:val="00262D72"/>
    <w:rsid w:val="002633C5"/>
    <w:rsid w:val="00263A90"/>
    <w:rsid w:val="002646A7"/>
    <w:rsid w:val="00264C3C"/>
    <w:rsid w:val="00264DFE"/>
    <w:rsid w:val="002653C5"/>
    <w:rsid w:val="002653FE"/>
    <w:rsid w:val="00265AF2"/>
    <w:rsid w:val="002673D6"/>
    <w:rsid w:val="00270447"/>
    <w:rsid w:val="00270D79"/>
    <w:rsid w:val="00270EFB"/>
    <w:rsid w:val="002716CF"/>
    <w:rsid w:val="00271DF8"/>
    <w:rsid w:val="00273322"/>
    <w:rsid w:val="00273A6F"/>
    <w:rsid w:val="00273C13"/>
    <w:rsid w:val="002743B2"/>
    <w:rsid w:val="00275A5B"/>
    <w:rsid w:val="00275F3B"/>
    <w:rsid w:val="00276081"/>
    <w:rsid w:val="0027622F"/>
    <w:rsid w:val="00276539"/>
    <w:rsid w:val="00276B35"/>
    <w:rsid w:val="002777F0"/>
    <w:rsid w:val="002802F3"/>
    <w:rsid w:val="002803F5"/>
    <w:rsid w:val="00280DD8"/>
    <w:rsid w:val="00280EAB"/>
    <w:rsid w:val="002815B1"/>
    <w:rsid w:val="002818BA"/>
    <w:rsid w:val="002819F6"/>
    <w:rsid w:val="00281C1E"/>
    <w:rsid w:val="00282364"/>
    <w:rsid w:val="002823BC"/>
    <w:rsid w:val="0028302D"/>
    <w:rsid w:val="002833E3"/>
    <w:rsid w:val="0028359F"/>
    <w:rsid w:val="00283E80"/>
    <w:rsid w:val="00284083"/>
    <w:rsid w:val="0028473A"/>
    <w:rsid w:val="0028533D"/>
    <w:rsid w:val="0028550D"/>
    <w:rsid w:val="00286008"/>
    <w:rsid w:val="002861AB"/>
    <w:rsid w:val="002864E5"/>
    <w:rsid w:val="00286769"/>
    <w:rsid w:val="002867AA"/>
    <w:rsid w:val="00287BD1"/>
    <w:rsid w:val="00287F5B"/>
    <w:rsid w:val="00290123"/>
    <w:rsid w:val="002907F7"/>
    <w:rsid w:val="00290AE1"/>
    <w:rsid w:val="002918B5"/>
    <w:rsid w:val="00291DD2"/>
    <w:rsid w:val="00291FBE"/>
    <w:rsid w:val="00292792"/>
    <w:rsid w:val="00292A81"/>
    <w:rsid w:val="00293166"/>
    <w:rsid w:val="00293251"/>
    <w:rsid w:val="00293289"/>
    <w:rsid w:val="00293304"/>
    <w:rsid w:val="00293DE9"/>
    <w:rsid w:val="002942D1"/>
    <w:rsid w:val="00294D74"/>
    <w:rsid w:val="002950F6"/>
    <w:rsid w:val="0029569B"/>
    <w:rsid w:val="00295EF2"/>
    <w:rsid w:val="00296425"/>
    <w:rsid w:val="002964A5"/>
    <w:rsid w:val="00297408"/>
    <w:rsid w:val="00297741"/>
    <w:rsid w:val="00297D80"/>
    <w:rsid w:val="002A2302"/>
    <w:rsid w:val="002A2431"/>
    <w:rsid w:val="002A2702"/>
    <w:rsid w:val="002A2A22"/>
    <w:rsid w:val="002A2EC6"/>
    <w:rsid w:val="002A31A1"/>
    <w:rsid w:val="002A3736"/>
    <w:rsid w:val="002A380D"/>
    <w:rsid w:val="002A3A62"/>
    <w:rsid w:val="002A4ACD"/>
    <w:rsid w:val="002A4FA4"/>
    <w:rsid w:val="002A553F"/>
    <w:rsid w:val="002A58C7"/>
    <w:rsid w:val="002A6099"/>
    <w:rsid w:val="002A67B0"/>
    <w:rsid w:val="002A70EA"/>
    <w:rsid w:val="002A7115"/>
    <w:rsid w:val="002A711F"/>
    <w:rsid w:val="002A73C4"/>
    <w:rsid w:val="002A7495"/>
    <w:rsid w:val="002A761C"/>
    <w:rsid w:val="002A7D60"/>
    <w:rsid w:val="002A7D66"/>
    <w:rsid w:val="002B07F4"/>
    <w:rsid w:val="002B085E"/>
    <w:rsid w:val="002B08EA"/>
    <w:rsid w:val="002B1832"/>
    <w:rsid w:val="002B1B26"/>
    <w:rsid w:val="002B22EB"/>
    <w:rsid w:val="002B24F9"/>
    <w:rsid w:val="002B25DC"/>
    <w:rsid w:val="002B297A"/>
    <w:rsid w:val="002B2D4E"/>
    <w:rsid w:val="002B2D9E"/>
    <w:rsid w:val="002B43F0"/>
    <w:rsid w:val="002B5A00"/>
    <w:rsid w:val="002B63AC"/>
    <w:rsid w:val="002B7125"/>
    <w:rsid w:val="002B718A"/>
    <w:rsid w:val="002B79D9"/>
    <w:rsid w:val="002B7D3B"/>
    <w:rsid w:val="002C05DC"/>
    <w:rsid w:val="002C2964"/>
    <w:rsid w:val="002C29E5"/>
    <w:rsid w:val="002C416D"/>
    <w:rsid w:val="002C468A"/>
    <w:rsid w:val="002C4D68"/>
    <w:rsid w:val="002C4F5A"/>
    <w:rsid w:val="002C517F"/>
    <w:rsid w:val="002C53ED"/>
    <w:rsid w:val="002C5A06"/>
    <w:rsid w:val="002C60EC"/>
    <w:rsid w:val="002C69CD"/>
    <w:rsid w:val="002C6D12"/>
    <w:rsid w:val="002C7176"/>
    <w:rsid w:val="002C76E8"/>
    <w:rsid w:val="002D016D"/>
    <w:rsid w:val="002D05AF"/>
    <w:rsid w:val="002D076C"/>
    <w:rsid w:val="002D0D9D"/>
    <w:rsid w:val="002D1540"/>
    <w:rsid w:val="002D1545"/>
    <w:rsid w:val="002D19D4"/>
    <w:rsid w:val="002D1DC5"/>
    <w:rsid w:val="002D2204"/>
    <w:rsid w:val="002D2232"/>
    <w:rsid w:val="002D2522"/>
    <w:rsid w:val="002D2F05"/>
    <w:rsid w:val="002D3020"/>
    <w:rsid w:val="002D32E3"/>
    <w:rsid w:val="002D3B28"/>
    <w:rsid w:val="002D3B30"/>
    <w:rsid w:val="002D3F49"/>
    <w:rsid w:val="002D45FC"/>
    <w:rsid w:val="002D4B77"/>
    <w:rsid w:val="002D4DD2"/>
    <w:rsid w:val="002D4E41"/>
    <w:rsid w:val="002D5110"/>
    <w:rsid w:val="002D518E"/>
    <w:rsid w:val="002D523E"/>
    <w:rsid w:val="002D5252"/>
    <w:rsid w:val="002D59D0"/>
    <w:rsid w:val="002D5E85"/>
    <w:rsid w:val="002D5FBC"/>
    <w:rsid w:val="002D6645"/>
    <w:rsid w:val="002D6A6C"/>
    <w:rsid w:val="002D6CD0"/>
    <w:rsid w:val="002D712C"/>
    <w:rsid w:val="002D7566"/>
    <w:rsid w:val="002D7583"/>
    <w:rsid w:val="002E0152"/>
    <w:rsid w:val="002E02FB"/>
    <w:rsid w:val="002E0A13"/>
    <w:rsid w:val="002E0C9C"/>
    <w:rsid w:val="002E111A"/>
    <w:rsid w:val="002E17E4"/>
    <w:rsid w:val="002E2580"/>
    <w:rsid w:val="002E2B78"/>
    <w:rsid w:val="002E2D30"/>
    <w:rsid w:val="002E2E23"/>
    <w:rsid w:val="002E2E56"/>
    <w:rsid w:val="002E30C2"/>
    <w:rsid w:val="002E32EC"/>
    <w:rsid w:val="002E3517"/>
    <w:rsid w:val="002E3669"/>
    <w:rsid w:val="002E3D70"/>
    <w:rsid w:val="002E3F2C"/>
    <w:rsid w:val="002E4033"/>
    <w:rsid w:val="002E4601"/>
    <w:rsid w:val="002E460A"/>
    <w:rsid w:val="002E4764"/>
    <w:rsid w:val="002E4877"/>
    <w:rsid w:val="002E4D7D"/>
    <w:rsid w:val="002E4EEF"/>
    <w:rsid w:val="002E4FA3"/>
    <w:rsid w:val="002E5183"/>
    <w:rsid w:val="002E5545"/>
    <w:rsid w:val="002E58B4"/>
    <w:rsid w:val="002E66F6"/>
    <w:rsid w:val="002E7480"/>
    <w:rsid w:val="002E7704"/>
    <w:rsid w:val="002F047A"/>
    <w:rsid w:val="002F05F2"/>
    <w:rsid w:val="002F0602"/>
    <w:rsid w:val="002F0C23"/>
    <w:rsid w:val="002F0E36"/>
    <w:rsid w:val="002F211C"/>
    <w:rsid w:val="002F256F"/>
    <w:rsid w:val="002F2EDD"/>
    <w:rsid w:val="002F2F5F"/>
    <w:rsid w:val="002F351A"/>
    <w:rsid w:val="002F3562"/>
    <w:rsid w:val="002F39BA"/>
    <w:rsid w:val="002F4089"/>
    <w:rsid w:val="002F4813"/>
    <w:rsid w:val="002F4B70"/>
    <w:rsid w:val="002F4B91"/>
    <w:rsid w:val="002F4CFD"/>
    <w:rsid w:val="002F4E4B"/>
    <w:rsid w:val="002F5117"/>
    <w:rsid w:val="002F58C8"/>
    <w:rsid w:val="002F5AA6"/>
    <w:rsid w:val="002F6295"/>
    <w:rsid w:val="002F6344"/>
    <w:rsid w:val="002F6581"/>
    <w:rsid w:val="002F6F19"/>
    <w:rsid w:val="002F7411"/>
    <w:rsid w:val="002F74DF"/>
    <w:rsid w:val="002F75A1"/>
    <w:rsid w:val="002F7FE5"/>
    <w:rsid w:val="003000C9"/>
    <w:rsid w:val="003005FE"/>
    <w:rsid w:val="00300720"/>
    <w:rsid w:val="003009F4"/>
    <w:rsid w:val="00300CD5"/>
    <w:rsid w:val="00301155"/>
    <w:rsid w:val="00301BBB"/>
    <w:rsid w:val="00301E55"/>
    <w:rsid w:val="00302630"/>
    <w:rsid w:val="00302998"/>
    <w:rsid w:val="00302C60"/>
    <w:rsid w:val="0030306F"/>
    <w:rsid w:val="00303254"/>
    <w:rsid w:val="003035A5"/>
    <w:rsid w:val="00303AA1"/>
    <w:rsid w:val="00303B8A"/>
    <w:rsid w:val="00303CDF"/>
    <w:rsid w:val="00303E4A"/>
    <w:rsid w:val="0030549D"/>
    <w:rsid w:val="00305551"/>
    <w:rsid w:val="003058DF"/>
    <w:rsid w:val="00305D92"/>
    <w:rsid w:val="00307092"/>
    <w:rsid w:val="00307342"/>
    <w:rsid w:val="0030735A"/>
    <w:rsid w:val="00307682"/>
    <w:rsid w:val="003078F0"/>
    <w:rsid w:val="00307A94"/>
    <w:rsid w:val="00307D0D"/>
    <w:rsid w:val="00307D9A"/>
    <w:rsid w:val="00307F1B"/>
    <w:rsid w:val="0031001A"/>
    <w:rsid w:val="00310A3A"/>
    <w:rsid w:val="00310E0A"/>
    <w:rsid w:val="0031106E"/>
    <w:rsid w:val="0031121E"/>
    <w:rsid w:val="003118D3"/>
    <w:rsid w:val="00311AAE"/>
    <w:rsid w:val="00312AA8"/>
    <w:rsid w:val="00312E66"/>
    <w:rsid w:val="0031309C"/>
    <w:rsid w:val="00313571"/>
    <w:rsid w:val="00313854"/>
    <w:rsid w:val="00313903"/>
    <w:rsid w:val="00314764"/>
    <w:rsid w:val="0031511E"/>
    <w:rsid w:val="0031535C"/>
    <w:rsid w:val="0031558D"/>
    <w:rsid w:val="0031562C"/>
    <w:rsid w:val="003157AD"/>
    <w:rsid w:val="003159A0"/>
    <w:rsid w:val="00315FBE"/>
    <w:rsid w:val="00316023"/>
    <w:rsid w:val="003160BC"/>
    <w:rsid w:val="00316554"/>
    <w:rsid w:val="00316739"/>
    <w:rsid w:val="00316A30"/>
    <w:rsid w:val="00316D6D"/>
    <w:rsid w:val="003171B9"/>
    <w:rsid w:val="0031739F"/>
    <w:rsid w:val="00317C71"/>
    <w:rsid w:val="0032072D"/>
    <w:rsid w:val="00320DA5"/>
    <w:rsid w:val="003214D9"/>
    <w:rsid w:val="00321FF9"/>
    <w:rsid w:val="0032344C"/>
    <w:rsid w:val="00323D05"/>
    <w:rsid w:val="00323DA2"/>
    <w:rsid w:val="00323DAF"/>
    <w:rsid w:val="00324189"/>
    <w:rsid w:val="00324496"/>
    <w:rsid w:val="003249F5"/>
    <w:rsid w:val="00324BA8"/>
    <w:rsid w:val="00324C41"/>
    <w:rsid w:val="0032624A"/>
    <w:rsid w:val="0032668B"/>
    <w:rsid w:val="003267FB"/>
    <w:rsid w:val="00326B3A"/>
    <w:rsid w:val="00326EE7"/>
    <w:rsid w:val="00327B4B"/>
    <w:rsid w:val="0033081E"/>
    <w:rsid w:val="00330C8B"/>
    <w:rsid w:val="00330CC4"/>
    <w:rsid w:val="00330F30"/>
    <w:rsid w:val="00331013"/>
    <w:rsid w:val="003316C3"/>
    <w:rsid w:val="00331D96"/>
    <w:rsid w:val="00332018"/>
    <w:rsid w:val="00332398"/>
    <w:rsid w:val="00332EA6"/>
    <w:rsid w:val="00333E72"/>
    <w:rsid w:val="00333F4E"/>
    <w:rsid w:val="00334081"/>
    <w:rsid w:val="00334272"/>
    <w:rsid w:val="003342C4"/>
    <w:rsid w:val="00334306"/>
    <w:rsid w:val="003353E7"/>
    <w:rsid w:val="003354A1"/>
    <w:rsid w:val="003357DE"/>
    <w:rsid w:val="0033678C"/>
    <w:rsid w:val="003367AD"/>
    <w:rsid w:val="0033694A"/>
    <w:rsid w:val="00337730"/>
    <w:rsid w:val="003377A9"/>
    <w:rsid w:val="00337A41"/>
    <w:rsid w:val="00337F6D"/>
    <w:rsid w:val="00340A75"/>
    <w:rsid w:val="003410E2"/>
    <w:rsid w:val="00341CC7"/>
    <w:rsid w:val="0034275D"/>
    <w:rsid w:val="0034288A"/>
    <w:rsid w:val="003432FF"/>
    <w:rsid w:val="00343468"/>
    <w:rsid w:val="0034365F"/>
    <w:rsid w:val="003439BE"/>
    <w:rsid w:val="00343AF8"/>
    <w:rsid w:val="00343C3B"/>
    <w:rsid w:val="00343CD8"/>
    <w:rsid w:val="00343D30"/>
    <w:rsid w:val="00344612"/>
    <w:rsid w:val="003448F9"/>
    <w:rsid w:val="00344EC7"/>
    <w:rsid w:val="0034546F"/>
    <w:rsid w:val="003456AB"/>
    <w:rsid w:val="00345A5F"/>
    <w:rsid w:val="00345CA4"/>
    <w:rsid w:val="0034615B"/>
    <w:rsid w:val="003461BA"/>
    <w:rsid w:val="003467C3"/>
    <w:rsid w:val="003471D3"/>
    <w:rsid w:val="003471F0"/>
    <w:rsid w:val="00347941"/>
    <w:rsid w:val="0035010F"/>
    <w:rsid w:val="003511A4"/>
    <w:rsid w:val="00351A3B"/>
    <w:rsid w:val="00352002"/>
    <w:rsid w:val="0035223C"/>
    <w:rsid w:val="00352567"/>
    <w:rsid w:val="00352674"/>
    <w:rsid w:val="00352E30"/>
    <w:rsid w:val="003530DF"/>
    <w:rsid w:val="0035314C"/>
    <w:rsid w:val="0035373E"/>
    <w:rsid w:val="00353AF2"/>
    <w:rsid w:val="00353ED3"/>
    <w:rsid w:val="00353FF4"/>
    <w:rsid w:val="0035460A"/>
    <w:rsid w:val="0035478D"/>
    <w:rsid w:val="00354B54"/>
    <w:rsid w:val="00354BEE"/>
    <w:rsid w:val="00354E5F"/>
    <w:rsid w:val="00355CFB"/>
    <w:rsid w:val="003568EE"/>
    <w:rsid w:val="00356BED"/>
    <w:rsid w:val="00356DED"/>
    <w:rsid w:val="0036015C"/>
    <w:rsid w:val="00360198"/>
    <w:rsid w:val="00360343"/>
    <w:rsid w:val="0036129E"/>
    <w:rsid w:val="003612DA"/>
    <w:rsid w:val="0036143B"/>
    <w:rsid w:val="00361B0D"/>
    <w:rsid w:val="00361F29"/>
    <w:rsid w:val="00362E45"/>
    <w:rsid w:val="0036342D"/>
    <w:rsid w:val="00363B35"/>
    <w:rsid w:val="003641CF"/>
    <w:rsid w:val="00364252"/>
    <w:rsid w:val="003645BC"/>
    <w:rsid w:val="003649EE"/>
    <w:rsid w:val="003650B8"/>
    <w:rsid w:val="003655E1"/>
    <w:rsid w:val="00365873"/>
    <w:rsid w:val="00366132"/>
    <w:rsid w:val="00366BC8"/>
    <w:rsid w:val="00366DE9"/>
    <w:rsid w:val="00367246"/>
    <w:rsid w:val="0036788E"/>
    <w:rsid w:val="00367DDB"/>
    <w:rsid w:val="00370D63"/>
    <w:rsid w:val="00370E2F"/>
    <w:rsid w:val="003711AF"/>
    <w:rsid w:val="0037170A"/>
    <w:rsid w:val="0037203A"/>
    <w:rsid w:val="00372151"/>
    <w:rsid w:val="003723E4"/>
    <w:rsid w:val="00372428"/>
    <w:rsid w:val="003728DF"/>
    <w:rsid w:val="00372C45"/>
    <w:rsid w:val="003730F2"/>
    <w:rsid w:val="003737EE"/>
    <w:rsid w:val="00373844"/>
    <w:rsid w:val="00374544"/>
    <w:rsid w:val="00374A29"/>
    <w:rsid w:val="00374D72"/>
    <w:rsid w:val="00375087"/>
    <w:rsid w:val="00375100"/>
    <w:rsid w:val="00375403"/>
    <w:rsid w:val="003757B7"/>
    <w:rsid w:val="00375BFE"/>
    <w:rsid w:val="00376481"/>
    <w:rsid w:val="00376A9D"/>
    <w:rsid w:val="00376F8A"/>
    <w:rsid w:val="00377EC7"/>
    <w:rsid w:val="003802AE"/>
    <w:rsid w:val="003806F4"/>
    <w:rsid w:val="00380AA1"/>
    <w:rsid w:val="00381360"/>
    <w:rsid w:val="00381363"/>
    <w:rsid w:val="003814F9"/>
    <w:rsid w:val="0038223E"/>
    <w:rsid w:val="00383031"/>
    <w:rsid w:val="00383368"/>
    <w:rsid w:val="003846D3"/>
    <w:rsid w:val="00384929"/>
    <w:rsid w:val="00384A01"/>
    <w:rsid w:val="00384BC7"/>
    <w:rsid w:val="00384C32"/>
    <w:rsid w:val="003851BD"/>
    <w:rsid w:val="00385594"/>
    <w:rsid w:val="00385BEB"/>
    <w:rsid w:val="00385F31"/>
    <w:rsid w:val="003861AF"/>
    <w:rsid w:val="003864AD"/>
    <w:rsid w:val="0038698E"/>
    <w:rsid w:val="00386E6A"/>
    <w:rsid w:val="0038715A"/>
    <w:rsid w:val="00387590"/>
    <w:rsid w:val="00390775"/>
    <w:rsid w:val="003907A0"/>
    <w:rsid w:val="0039128D"/>
    <w:rsid w:val="0039128E"/>
    <w:rsid w:val="003919F2"/>
    <w:rsid w:val="00391CD3"/>
    <w:rsid w:val="00392507"/>
    <w:rsid w:val="003926B8"/>
    <w:rsid w:val="003927AE"/>
    <w:rsid w:val="00392A34"/>
    <w:rsid w:val="00392AE3"/>
    <w:rsid w:val="00392F70"/>
    <w:rsid w:val="00393251"/>
    <w:rsid w:val="00393645"/>
    <w:rsid w:val="003936B1"/>
    <w:rsid w:val="00393AD4"/>
    <w:rsid w:val="00393F01"/>
    <w:rsid w:val="00393FC5"/>
    <w:rsid w:val="003941E5"/>
    <w:rsid w:val="003947D1"/>
    <w:rsid w:val="00394891"/>
    <w:rsid w:val="00395084"/>
    <w:rsid w:val="0039514D"/>
    <w:rsid w:val="00395448"/>
    <w:rsid w:val="0039561C"/>
    <w:rsid w:val="00396611"/>
    <w:rsid w:val="00396A03"/>
    <w:rsid w:val="00397539"/>
    <w:rsid w:val="00397791"/>
    <w:rsid w:val="00397B6B"/>
    <w:rsid w:val="003A098A"/>
    <w:rsid w:val="003A1B71"/>
    <w:rsid w:val="003A24B7"/>
    <w:rsid w:val="003A2638"/>
    <w:rsid w:val="003A29CA"/>
    <w:rsid w:val="003A2EAE"/>
    <w:rsid w:val="003A2F08"/>
    <w:rsid w:val="003A3C37"/>
    <w:rsid w:val="003A4057"/>
    <w:rsid w:val="003A46F6"/>
    <w:rsid w:val="003A47AD"/>
    <w:rsid w:val="003A4C51"/>
    <w:rsid w:val="003A5578"/>
    <w:rsid w:val="003A5656"/>
    <w:rsid w:val="003A586D"/>
    <w:rsid w:val="003A633A"/>
    <w:rsid w:val="003A67D4"/>
    <w:rsid w:val="003A6A71"/>
    <w:rsid w:val="003A7C42"/>
    <w:rsid w:val="003A7FBB"/>
    <w:rsid w:val="003B002D"/>
    <w:rsid w:val="003B0048"/>
    <w:rsid w:val="003B0225"/>
    <w:rsid w:val="003B06FE"/>
    <w:rsid w:val="003B0BC2"/>
    <w:rsid w:val="003B1472"/>
    <w:rsid w:val="003B2434"/>
    <w:rsid w:val="003B2AFA"/>
    <w:rsid w:val="003B321B"/>
    <w:rsid w:val="003B38F2"/>
    <w:rsid w:val="003B3D29"/>
    <w:rsid w:val="003B43D7"/>
    <w:rsid w:val="003B46A7"/>
    <w:rsid w:val="003B4752"/>
    <w:rsid w:val="003B5843"/>
    <w:rsid w:val="003B5A98"/>
    <w:rsid w:val="003B5B5D"/>
    <w:rsid w:val="003B6571"/>
    <w:rsid w:val="003B6B98"/>
    <w:rsid w:val="003B6BAB"/>
    <w:rsid w:val="003B6E42"/>
    <w:rsid w:val="003B6F7A"/>
    <w:rsid w:val="003B7080"/>
    <w:rsid w:val="003B70A2"/>
    <w:rsid w:val="003B7199"/>
    <w:rsid w:val="003B75B8"/>
    <w:rsid w:val="003C09E0"/>
    <w:rsid w:val="003C1016"/>
    <w:rsid w:val="003C119B"/>
    <w:rsid w:val="003C1BF6"/>
    <w:rsid w:val="003C2331"/>
    <w:rsid w:val="003C2388"/>
    <w:rsid w:val="003C2C3A"/>
    <w:rsid w:val="003C2DC9"/>
    <w:rsid w:val="003C39CC"/>
    <w:rsid w:val="003C47E3"/>
    <w:rsid w:val="003C4E4D"/>
    <w:rsid w:val="003C5478"/>
    <w:rsid w:val="003C5BF1"/>
    <w:rsid w:val="003C60A0"/>
    <w:rsid w:val="003C6339"/>
    <w:rsid w:val="003C6CCD"/>
    <w:rsid w:val="003C72EF"/>
    <w:rsid w:val="003C7763"/>
    <w:rsid w:val="003D0191"/>
    <w:rsid w:val="003D0959"/>
    <w:rsid w:val="003D0D43"/>
    <w:rsid w:val="003D12DF"/>
    <w:rsid w:val="003D1611"/>
    <w:rsid w:val="003D18C0"/>
    <w:rsid w:val="003D1EC4"/>
    <w:rsid w:val="003D2025"/>
    <w:rsid w:val="003D2654"/>
    <w:rsid w:val="003D397A"/>
    <w:rsid w:val="003D4779"/>
    <w:rsid w:val="003D4F11"/>
    <w:rsid w:val="003D55DD"/>
    <w:rsid w:val="003D5D00"/>
    <w:rsid w:val="003D6034"/>
    <w:rsid w:val="003D6D7D"/>
    <w:rsid w:val="003D7019"/>
    <w:rsid w:val="003D75CC"/>
    <w:rsid w:val="003E027A"/>
    <w:rsid w:val="003E057C"/>
    <w:rsid w:val="003E09E4"/>
    <w:rsid w:val="003E1AC4"/>
    <w:rsid w:val="003E1D58"/>
    <w:rsid w:val="003E235D"/>
    <w:rsid w:val="003E2517"/>
    <w:rsid w:val="003E2E05"/>
    <w:rsid w:val="003E2F0A"/>
    <w:rsid w:val="003E35B8"/>
    <w:rsid w:val="003E35D9"/>
    <w:rsid w:val="003E37CA"/>
    <w:rsid w:val="003E3C6A"/>
    <w:rsid w:val="003E3CAC"/>
    <w:rsid w:val="003E3EA5"/>
    <w:rsid w:val="003E40DC"/>
    <w:rsid w:val="003E4C7D"/>
    <w:rsid w:val="003E4EE8"/>
    <w:rsid w:val="003E537B"/>
    <w:rsid w:val="003E55F5"/>
    <w:rsid w:val="003E5891"/>
    <w:rsid w:val="003E5D1E"/>
    <w:rsid w:val="003E5F4B"/>
    <w:rsid w:val="003E5F92"/>
    <w:rsid w:val="003E64C7"/>
    <w:rsid w:val="003E6845"/>
    <w:rsid w:val="003E6B05"/>
    <w:rsid w:val="003E6F94"/>
    <w:rsid w:val="003E76F4"/>
    <w:rsid w:val="003E7A40"/>
    <w:rsid w:val="003E7B7E"/>
    <w:rsid w:val="003E7BC3"/>
    <w:rsid w:val="003F04C2"/>
    <w:rsid w:val="003F09C8"/>
    <w:rsid w:val="003F2982"/>
    <w:rsid w:val="003F2A49"/>
    <w:rsid w:val="003F2CA5"/>
    <w:rsid w:val="003F2DD4"/>
    <w:rsid w:val="003F2F0E"/>
    <w:rsid w:val="003F3413"/>
    <w:rsid w:val="003F3931"/>
    <w:rsid w:val="003F3E36"/>
    <w:rsid w:val="003F44CA"/>
    <w:rsid w:val="003F5302"/>
    <w:rsid w:val="003F5680"/>
    <w:rsid w:val="003F5A6E"/>
    <w:rsid w:val="003F5EC0"/>
    <w:rsid w:val="003F622F"/>
    <w:rsid w:val="003F66E3"/>
    <w:rsid w:val="003F6903"/>
    <w:rsid w:val="003F7EBB"/>
    <w:rsid w:val="003F7EE9"/>
    <w:rsid w:val="004001A2"/>
    <w:rsid w:val="00400493"/>
    <w:rsid w:val="004004F3"/>
    <w:rsid w:val="00400BDC"/>
    <w:rsid w:val="00401401"/>
    <w:rsid w:val="00401EF9"/>
    <w:rsid w:val="00401F7C"/>
    <w:rsid w:val="004023D5"/>
    <w:rsid w:val="004025F8"/>
    <w:rsid w:val="00402DF3"/>
    <w:rsid w:val="00402F1D"/>
    <w:rsid w:val="00403CE2"/>
    <w:rsid w:val="00403D13"/>
    <w:rsid w:val="0040445C"/>
    <w:rsid w:val="00404C1B"/>
    <w:rsid w:val="00405CAC"/>
    <w:rsid w:val="00405DCA"/>
    <w:rsid w:val="00406C77"/>
    <w:rsid w:val="00407011"/>
    <w:rsid w:val="004074A9"/>
    <w:rsid w:val="00407AB4"/>
    <w:rsid w:val="00407F1A"/>
    <w:rsid w:val="00410724"/>
    <w:rsid w:val="004107BD"/>
    <w:rsid w:val="00410B81"/>
    <w:rsid w:val="00412344"/>
    <w:rsid w:val="00412A74"/>
    <w:rsid w:val="00412E5F"/>
    <w:rsid w:val="004140A7"/>
    <w:rsid w:val="00414376"/>
    <w:rsid w:val="00414397"/>
    <w:rsid w:val="00415088"/>
    <w:rsid w:val="00415400"/>
    <w:rsid w:val="00415642"/>
    <w:rsid w:val="00415743"/>
    <w:rsid w:val="00415794"/>
    <w:rsid w:val="004158C2"/>
    <w:rsid w:val="00415929"/>
    <w:rsid w:val="00415EAE"/>
    <w:rsid w:val="00415EB2"/>
    <w:rsid w:val="00416456"/>
    <w:rsid w:val="004168F7"/>
    <w:rsid w:val="00416ADB"/>
    <w:rsid w:val="00416E04"/>
    <w:rsid w:val="00416EA5"/>
    <w:rsid w:val="004171F4"/>
    <w:rsid w:val="004173AE"/>
    <w:rsid w:val="00417452"/>
    <w:rsid w:val="00420B50"/>
    <w:rsid w:val="00420DCA"/>
    <w:rsid w:val="00420E96"/>
    <w:rsid w:val="00421346"/>
    <w:rsid w:val="00421C5D"/>
    <w:rsid w:val="00422545"/>
    <w:rsid w:val="004230A9"/>
    <w:rsid w:val="00423689"/>
    <w:rsid w:val="00423B59"/>
    <w:rsid w:val="00423DAF"/>
    <w:rsid w:val="00423DF9"/>
    <w:rsid w:val="00423FA5"/>
    <w:rsid w:val="004244CD"/>
    <w:rsid w:val="0042472E"/>
    <w:rsid w:val="004247CD"/>
    <w:rsid w:val="00425AF9"/>
    <w:rsid w:val="00425F2A"/>
    <w:rsid w:val="00426144"/>
    <w:rsid w:val="0042641A"/>
    <w:rsid w:val="00426865"/>
    <w:rsid w:val="00426A60"/>
    <w:rsid w:val="00426EC1"/>
    <w:rsid w:val="00426F56"/>
    <w:rsid w:val="00427152"/>
    <w:rsid w:val="004277B6"/>
    <w:rsid w:val="004277D8"/>
    <w:rsid w:val="00427CA8"/>
    <w:rsid w:val="00427F59"/>
    <w:rsid w:val="0043033B"/>
    <w:rsid w:val="00431134"/>
    <w:rsid w:val="00431821"/>
    <w:rsid w:val="00432A97"/>
    <w:rsid w:val="00432ED4"/>
    <w:rsid w:val="00432FD7"/>
    <w:rsid w:val="00433181"/>
    <w:rsid w:val="0043321C"/>
    <w:rsid w:val="004337A9"/>
    <w:rsid w:val="00434028"/>
    <w:rsid w:val="004341C6"/>
    <w:rsid w:val="00434391"/>
    <w:rsid w:val="004346E3"/>
    <w:rsid w:val="004356B3"/>
    <w:rsid w:val="004356FA"/>
    <w:rsid w:val="00435873"/>
    <w:rsid w:val="004364A9"/>
    <w:rsid w:val="00436FC6"/>
    <w:rsid w:val="004375F2"/>
    <w:rsid w:val="00437E4A"/>
    <w:rsid w:val="00440050"/>
    <w:rsid w:val="00440608"/>
    <w:rsid w:val="00440A78"/>
    <w:rsid w:val="00441162"/>
    <w:rsid w:val="00441D15"/>
    <w:rsid w:val="00442378"/>
    <w:rsid w:val="004426CE"/>
    <w:rsid w:val="00442FBC"/>
    <w:rsid w:val="0044399D"/>
    <w:rsid w:val="0044420F"/>
    <w:rsid w:val="00444A41"/>
    <w:rsid w:val="00444D53"/>
    <w:rsid w:val="00444DFF"/>
    <w:rsid w:val="00445508"/>
    <w:rsid w:val="0044594F"/>
    <w:rsid w:val="00445BC3"/>
    <w:rsid w:val="00445C27"/>
    <w:rsid w:val="00445CAC"/>
    <w:rsid w:val="004461FE"/>
    <w:rsid w:val="00446380"/>
    <w:rsid w:val="004468DC"/>
    <w:rsid w:val="00446B87"/>
    <w:rsid w:val="00447BD4"/>
    <w:rsid w:val="00447DD4"/>
    <w:rsid w:val="00447E34"/>
    <w:rsid w:val="00450084"/>
    <w:rsid w:val="00450C7C"/>
    <w:rsid w:val="00450CAF"/>
    <w:rsid w:val="00450D0B"/>
    <w:rsid w:val="004513C3"/>
    <w:rsid w:val="00451778"/>
    <w:rsid w:val="00451A9D"/>
    <w:rsid w:val="00451C70"/>
    <w:rsid w:val="00451D55"/>
    <w:rsid w:val="0045236F"/>
    <w:rsid w:val="00452408"/>
    <w:rsid w:val="00452535"/>
    <w:rsid w:val="00452568"/>
    <w:rsid w:val="00452C71"/>
    <w:rsid w:val="00452D40"/>
    <w:rsid w:val="004531DE"/>
    <w:rsid w:val="00453244"/>
    <w:rsid w:val="004532E7"/>
    <w:rsid w:val="00453C5A"/>
    <w:rsid w:val="00454881"/>
    <w:rsid w:val="0045514A"/>
    <w:rsid w:val="0045547B"/>
    <w:rsid w:val="00455560"/>
    <w:rsid w:val="00455562"/>
    <w:rsid w:val="00455929"/>
    <w:rsid w:val="00456328"/>
    <w:rsid w:val="00456843"/>
    <w:rsid w:val="00457082"/>
    <w:rsid w:val="004571D3"/>
    <w:rsid w:val="004575EB"/>
    <w:rsid w:val="00457A43"/>
    <w:rsid w:val="00457B9D"/>
    <w:rsid w:val="00457F38"/>
    <w:rsid w:val="00460197"/>
    <w:rsid w:val="004603BD"/>
    <w:rsid w:val="00460C31"/>
    <w:rsid w:val="004619A8"/>
    <w:rsid w:val="00461D90"/>
    <w:rsid w:val="0046200C"/>
    <w:rsid w:val="004626AC"/>
    <w:rsid w:val="00462C1E"/>
    <w:rsid w:val="004641F7"/>
    <w:rsid w:val="00465082"/>
    <w:rsid w:val="00465394"/>
    <w:rsid w:val="0046586C"/>
    <w:rsid w:val="00466469"/>
    <w:rsid w:val="0046693E"/>
    <w:rsid w:val="00466D4B"/>
    <w:rsid w:val="00467475"/>
    <w:rsid w:val="004679BC"/>
    <w:rsid w:val="00467BE3"/>
    <w:rsid w:val="00467DEF"/>
    <w:rsid w:val="004706F8"/>
    <w:rsid w:val="00470E39"/>
    <w:rsid w:val="00470EC1"/>
    <w:rsid w:val="0047113E"/>
    <w:rsid w:val="0047142A"/>
    <w:rsid w:val="0047221B"/>
    <w:rsid w:val="004723DE"/>
    <w:rsid w:val="0047354F"/>
    <w:rsid w:val="00473958"/>
    <w:rsid w:val="00473BDB"/>
    <w:rsid w:val="00474294"/>
    <w:rsid w:val="00474694"/>
    <w:rsid w:val="00474752"/>
    <w:rsid w:val="00474764"/>
    <w:rsid w:val="00474765"/>
    <w:rsid w:val="00475245"/>
    <w:rsid w:val="004756F7"/>
    <w:rsid w:val="00475D3B"/>
    <w:rsid w:val="004760C0"/>
    <w:rsid w:val="004769C9"/>
    <w:rsid w:val="004774AC"/>
    <w:rsid w:val="00477631"/>
    <w:rsid w:val="004779C4"/>
    <w:rsid w:val="00477C57"/>
    <w:rsid w:val="00480547"/>
    <w:rsid w:val="0048070E"/>
    <w:rsid w:val="00481256"/>
    <w:rsid w:val="00481464"/>
    <w:rsid w:val="00481599"/>
    <w:rsid w:val="0048205B"/>
    <w:rsid w:val="00482309"/>
    <w:rsid w:val="0048256C"/>
    <w:rsid w:val="00482698"/>
    <w:rsid w:val="004827B0"/>
    <w:rsid w:val="00482F01"/>
    <w:rsid w:val="0048321D"/>
    <w:rsid w:val="00483A00"/>
    <w:rsid w:val="00483CB7"/>
    <w:rsid w:val="00483CFC"/>
    <w:rsid w:val="00484198"/>
    <w:rsid w:val="004841F8"/>
    <w:rsid w:val="004848B5"/>
    <w:rsid w:val="00484AEB"/>
    <w:rsid w:val="00484BDA"/>
    <w:rsid w:val="004853D0"/>
    <w:rsid w:val="004857E3"/>
    <w:rsid w:val="00485EF2"/>
    <w:rsid w:val="00486347"/>
    <w:rsid w:val="00486BD4"/>
    <w:rsid w:val="00487068"/>
    <w:rsid w:val="004871B5"/>
    <w:rsid w:val="00487BDC"/>
    <w:rsid w:val="00487C6C"/>
    <w:rsid w:val="00487E49"/>
    <w:rsid w:val="004900B3"/>
    <w:rsid w:val="00490494"/>
    <w:rsid w:val="00491080"/>
    <w:rsid w:val="00491859"/>
    <w:rsid w:val="004918B9"/>
    <w:rsid w:val="00491E3C"/>
    <w:rsid w:val="00492501"/>
    <w:rsid w:val="00492C92"/>
    <w:rsid w:val="00492CBC"/>
    <w:rsid w:val="0049332A"/>
    <w:rsid w:val="00493AC0"/>
    <w:rsid w:val="00493B03"/>
    <w:rsid w:val="00494153"/>
    <w:rsid w:val="00494829"/>
    <w:rsid w:val="00494B46"/>
    <w:rsid w:val="00494ECC"/>
    <w:rsid w:val="00494F84"/>
    <w:rsid w:val="0049569A"/>
    <w:rsid w:val="00495894"/>
    <w:rsid w:val="00495CE9"/>
    <w:rsid w:val="00495F57"/>
    <w:rsid w:val="0049633A"/>
    <w:rsid w:val="00496A48"/>
    <w:rsid w:val="00496FA4"/>
    <w:rsid w:val="00496FFE"/>
    <w:rsid w:val="004974BF"/>
    <w:rsid w:val="00497687"/>
    <w:rsid w:val="0049788F"/>
    <w:rsid w:val="00497AF0"/>
    <w:rsid w:val="00497B25"/>
    <w:rsid w:val="00497C16"/>
    <w:rsid w:val="004A0507"/>
    <w:rsid w:val="004A08FE"/>
    <w:rsid w:val="004A0C45"/>
    <w:rsid w:val="004A11BE"/>
    <w:rsid w:val="004A131A"/>
    <w:rsid w:val="004A13B1"/>
    <w:rsid w:val="004A1BE9"/>
    <w:rsid w:val="004A2766"/>
    <w:rsid w:val="004A27F7"/>
    <w:rsid w:val="004A2947"/>
    <w:rsid w:val="004A398D"/>
    <w:rsid w:val="004A44E0"/>
    <w:rsid w:val="004A53DB"/>
    <w:rsid w:val="004A591F"/>
    <w:rsid w:val="004A69DA"/>
    <w:rsid w:val="004A7035"/>
    <w:rsid w:val="004A75FB"/>
    <w:rsid w:val="004A78A0"/>
    <w:rsid w:val="004A7BA1"/>
    <w:rsid w:val="004A7D5F"/>
    <w:rsid w:val="004B1142"/>
    <w:rsid w:val="004B2AC9"/>
    <w:rsid w:val="004B3047"/>
    <w:rsid w:val="004B3164"/>
    <w:rsid w:val="004B371B"/>
    <w:rsid w:val="004B38A6"/>
    <w:rsid w:val="004B3EA2"/>
    <w:rsid w:val="004B45CA"/>
    <w:rsid w:val="004B487B"/>
    <w:rsid w:val="004B495E"/>
    <w:rsid w:val="004B575C"/>
    <w:rsid w:val="004B57B4"/>
    <w:rsid w:val="004B6D28"/>
    <w:rsid w:val="004B72B4"/>
    <w:rsid w:val="004B781F"/>
    <w:rsid w:val="004B7AF2"/>
    <w:rsid w:val="004B7BDE"/>
    <w:rsid w:val="004B7C3F"/>
    <w:rsid w:val="004C0B5E"/>
    <w:rsid w:val="004C0EA6"/>
    <w:rsid w:val="004C1656"/>
    <w:rsid w:val="004C1E17"/>
    <w:rsid w:val="004C249E"/>
    <w:rsid w:val="004C2599"/>
    <w:rsid w:val="004C276F"/>
    <w:rsid w:val="004C2D17"/>
    <w:rsid w:val="004C3062"/>
    <w:rsid w:val="004C349C"/>
    <w:rsid w:val="004C35A2"/>
    <w:rsid w:val="004C35D7"/>
    <w:rsid w:val="004C36A8"/>
    <w:rsid w:val="004C3871"/>
    <w:rsid w:val="004C3E12"/>
    <w:rsid w:val="004C40B4"/>
    <w:rsid w:val="004C43FD"/>
    <w:rsid w:val="004C4A05"/>
    <w:rsid w:val="004C58E0"/>
    <w:rsid w:val="004C5DCE"/>
    <w:rsid w:val="004C61BF"/>
    <w:rsid w:val="004C7477"/>
    <w:rsid w:val="004C7514"/>
    <w:rsid w:val="004C7624"/>
    <w:rsid w:val="004D0325"/>
    <w:rsid w:val="004D05CB"/>
    <w:rsid w:val="004D0D9F"/>
    <w:rsid w:val="004D12B9"/>
    <w:rsid w:val="004D1D76"/>
    <w:rsid w:val="004D2279"/>
    <w:rsid w:val="004D2BCC"/>
    <w:rsid w:val="004D37D3"/>
    <w:rsid w:val="004D3A14"/>
    <w:rsid w:val="004D3AB9"/>
    <w:rsid w:val="004D3FE4"/>
    <w:rsid w:val="004D4877"/>
    <w:rsid w:val="004D48A1"/>
    <w:rsid w:val="004D495A"/>
    <w:rsid w:val="004D5F20"/>
    <w:rsid w:val="004D5FFB"/>
    <w:rsid w:val="004D604E"/>
    <w:rsid w:val="004D663D"/>
    <w:rsid w:val="004D6C22"/>
    <w:rsid w:val="004D784D"/>
    <w:rsid w:val="004E01FE"/>
    <w:rsid w:val="004E0578"/>
    <w:rsid w:val="004E082F"/>
    <w:rsid w:val="004E0E09"/>
    <w:rsid w:val="004E1751"/>
    <w:rsid w:val="004E2618"/>
    <w:rsid w:val="004E2C36"/>
    <w:rsid w:val="004E2C92"/>
    <w:rsid w:val="004E2D4A"/>
    <w:rsid w:val="004E419D"/>
    <w:rsid w:val="004E434F"/>
    <w:rsid w:val="004E467D"/>
    <w:rsid w:val="004E4A25"/>
    <w:rsid w:val="004E4A88"/>
    <w:rsid w:val="004E510E"/>
    <w:rsid w:val="004E52E7"/>
    <w:rsid w:val="004E53F1"/>
    <w:rsid w:val="004E5405"/>
    <w:rsid w:val="004E55C0"/>
    <w:rsid w:val="004E5FA7"/>
    <w:rsid w:val="004E6006"/>
    <w:rsid w:val="004E67DE"/>
    <w:rsid w:val="004E745B"/>
    <w:rsid w:val="004E7C7F"/>
    <w:rsid w:val="004F063F"/>
    <w:rsid w:val="004F0C49"/>
    <w:rsid w:val="004F0C85"/>
    <w:rsid w:val="004F1450"/>
    <w:rsid w:val="004F1C1E"/>
    <w:rsid w:val="004F1DCC"/>
    <w:rsid w:val="004F215C"/>
    <w:rsid w:val="004F2345"/>
    <w:rsid w:val="004F25AC"/>
    <w:rsid w:val="004F25FC"/>
    <w:rsid w:val="004F29C0"/>
    <w:rsid w:val="004F3271"/>
    <w:rsid w:val="004F345F"/>
    <w:rsid w:val="004F34B7"/>
    <w:rsid w:val="004F368F"/>
    <w:rsid w:val="004F36AD"/>
    <w:rsid w:val="004F4ABB"/>
    <w:rsid w:val="004F4FCA"/>
    <w:rsid w:val="004F519F"/>
    <w:rsid w:val="004F53AE"/>
    <w:rsid w:val="004F563B"/>
    <w:rsid w:val="004F57C7"/>
    <w:rsid w:val="004F5813"/>
    <w:rsid w:val="004F6CCE"/>
    <w:rsid w:val="004F6DA3"/>
    <w:rsid w:val="004F7F85"/>
    <w:rsid w:val="00500357"/>
    <w:rsid w:val="00500E68"/>
    <w:rsid w:val="0050128C"/>
    <w:rsid w:val="005015D0"/>
    <w:rsid w:val="00502441"/>
    <w:rsid w:val="00502458"/>
    <w:rsid w:val="005025E9"/>
    <w:rsid w:val="00502854"/>
    <w:rsid w:val="005028E8"/>
    <w:rsid w:val="005029A8"/>
    <w:rsid w:val="00503383"/>
    <w:rsid w:val="005039E2"/>
    <w:rsid w:val="00503A5C"/>
    <w:rsid w:val="00503CD9"/>
    <w:rsid w:val="00503F92"/>
    <w:rsid w:val="005040EE"/>
    <w:rsid w:val="00504432"/>
    <w:rsid w:val="00504A21"/>
    <w:rsid w:val="00504E83"/>
    <w:rsid w:val="005050C6"/>
    <w:rsid w:val="00505150"/>
    <w:rsid w:val="005054E4"/>
    <w:rsid w:val="00505760"/>
    <w:rsid w:val="00506102"/>
    <w:rsid w:val="00506148"/>
    <w:rsid w:val="00506A4C"/>
    <w:rsid w:val="00506DA3"/>
    <w:rsid w:val="00506E43"/>
    <w:rsid w:val="00507021"/>
    <w:rsid w:val="00507B55"/>
    <w:rsid w:val="005101E2"/>
    <w:rsid w:val="0051038E"/>
    <w:rsid w:val="00510C58"/>
    <w:rsid w:val="00511890"/>
    <w:rsid w:val="00511BF5"/>
    <w:rsid w:val="005127BC"/>
    <w:rsid w:val="00512845"/>
    <w:rsid w:val="00512CCC"/>
    <w:rsid w:val="005137A3"/>
    <w:rsid w:val="005139A5"/>
    <w:rsid w:val="00513BC7"/>
    <w:rsid w:val="00513BCE"/>
    <w:rsid w:val="00513C68"/>
    <w:rsid w:val="00513F92"/>
    <w:rsid w:val="00514757"/>
    <w:rsid w:val="00514E64"/>
    <w:rsid w:val="00515720"/>
    <w:rsid w:val="00515ED3"/>
    <w:rsid w:val="00516085"/>
    <w:rsid w:val="0051673C"/>
    <w:rsid w:val="00517370"/>
    <w:rsid w:val="00517AF0"/>
    <w:rsid w:val="00517FF3"/>
    <w:rsid w:val="00520145"/>
    <w:rsid w:val="005206E2"/>
    <w:rsid w:val="00520AFE"/>
    <w:rsid w:val="00520B11"/>
    <w:rsid w:val="00520BF5"/>
    <w:rsid w:val="00521053"/>
    <w:rsid w:val="005210A2"/>
    <w:rsid w:val="0052112A"/>
    <w:rsid w:val="005212B6"/>
    <w:rsid w:val="0052158F"/>
    <w:rsid w:val="0052164B"/>
    <w:rsid w:val="00522451"/>
    <w:rsid w:val="0052258C"/>
    <w:rsid w:val="005230A4"/>
    <w:rsid w:val="005232A0"/>
    <w:rsid w:val="00523A0D"/>
    <w:rsid w:val="00523A28"/>
    <w:rsid w:val="005242D9"/>
    <w:rsid w:val="005245CF"/>
    <w:rsid w:val="00524D62"/>
    <w:rsid w:val="00526084"/>
    <w:rsid w:val="005263B0"/>
    <w:rsid w:val="00526CB1"/>
    <w:rsid w:val="00526DC3"/>
    <w:rsid w:val="00527248"/>
    <w:rsid w:val="005279B9"/>
    <w:rsid w:val="00527BD5"/>
    <w:rsid w:val="00527D4D"/>
    <w:rsid w:val="00530602"/>
    <w:rsid w:val="005309A1"/>
    <w:rsid w:val="00530E2D"/>
    <w:rsid w:val="005313F7"/>
    <w:rsid w:val="00531509"/>
    <w:rsid w:val="005316A2"/>
    <w:rsid w:val="00531C91"/>
    <w:rsid w:val="0053220B"/>
    <w:rsid w:val="0053230B"/>
    <w:rsid w:val="005323B2"/>
    <w:rsid w:val="00532FD8"/>
    <w:rsid w:val="00533139"/>
    <w:rsid w:val="005331B3"/>
    <w:rsid w:val="00534593"/>
    <w:rsid w:val="00534B39"/>
    <w:rsid w:val="00534BCF"/>
    <w:rsid w:val="005351C5"/>
    <w:rsid w:val="005356A0"/>
    <w:rsid w:val="005357B5"/>
    <w:rsid w:val="00535A4F"/>
    <w:rsid w:val="00535BB4"/>
    <w:rsid w:val="00535D17"/>
    <w:rsid w:val="00535F8F"/>
    <w:rsid w:val="005362C2"/>
    <w:rsid w:val="005372F6"/>
    <w:rsid w:val="00537558"/>
    <w:rsid w:val="00537E0A"/>
    <w:rsid w:val="00537EC1"/>
    <w:rsid w:val="0054079D"/>
    <w:rsid w:val="005411C8"/>
    <w:rsid w:val="005411F3"/>
    <w:rsid w:val="00541562"/>
    <w:rsid w:val="0054170F"/>
    <w:rsid w:val="0054171A"/>
    <w:rsid w:val="00541AD5"/>
    <w:rsid w:val="005426F0"/>
    <w:rsid w:val="00542819"/>
    <w:rsid w:val="005429D3"/>
    <w:rsid w:val="00542B7D"/>
    <w:rsid w:val="00543432"/>
    <w:rsid w:val="005435DC"/>
    <w:rsid w:val="00543C74"/>
    <w:rsid w:val="00544E12"/>
    <w:rsid w:val="0054552E"/>
    <w:rsid w:val="00545C3D"/>
    <w:rsid w:val="00545D99"/>
    <w:rsid w:val="005460F3"/>
    <w:rsid w:val="005463CB"/>
    <w:rsid w:val="0054681D"/>
    <w:rsid w:val="005506E0"/>
    <w:rsid w:val="005507AD"/>
    <w:rsid w:val="005509F7"/>
    <w:rsid w:val="00550E74"/>
    <w:rsid w:val="00550F25"/>
    <w:rsid w:val="005516BD"/>
    <w:rsid w:val="00551787"/>
    <w:rsid w:val="00551CCB"/>
    <w:rsid w:val="00551EE2"/>
    <w:rsid w:val="005522CD"/>
    <w:rsid w:val="00552425"/>
    <w:rsid w:val="005525AF"/>
    <w:rsid w:val="00552C58"/>
    <w:rsid w:val="00553D7A"/>
    <w:rsid w:val="00553F16"/>
    <w:rsid w:val="00554169"/>
    <w:rsid w:val="005546D6"/>
    <w:rsid w:val="005549FE"/>
    <w:rsid w:val="00554D06"/>
    <w:rsid w:val="005551FE"/>
    <w:rsid w:val="005554E3"/>
    <w:rsid w:val="0055563C"/>
    <w:rsid w:val="00555975"/>
    <w:rsid w:val="005559AC"/>
    <w:rsid w:val="00555B22"/>
    <w:rsid w:val="00555CB1"/>
    <w:rsid w:val="00555E60"/>
    <w:rsid w:val="00555F0B"/>
    <w:rsid w:val="00556831"/>
    <w:rsid w:val="00556898"/>
    <w:rsid w:val="0055692A"/>
    <w:rsid w:val="00556EF7"/>
    <w:rsid w:val="00557049"/>
    <w:rsid w:val="005576AB"/>
    <w:rsid w:val="00557772"/>
    <w:rsid w:val="00560DC7"/>
    <w:rsid w:val="00560EC1"/>
    <w:rsid w:val="00560F58"/>
    <w:rsid w:val="005612B1"/>
    <w:rsid w:val="005613C1"/>
    <w:rsid w:val="00561D38"/>
    <w:rsid w:val="005624F2"/>
    <w:rsid w:val="005625A0"/>
    <w:rsid w:val="00562712"/>
    <w:rsid w:val="005635A7"/>
    <w:rsid w:val="00563F1B"/>
    <w:rsid w:val="00564206"/>
    <w:rsid w:val="0056448F"/>
    <w:rsid w:val="00564509"/>
    <w:rsid w:val="0056469E"/>
    <w:rsid w:val="00564959"/>
    <w:rsid w:val="00564A54"/>
    <w:rsid w:val="00564C83"/>
    <w:rsid w:val="00564F39"/>
    <w:rsid w:val="005662D2"/>
    <w:rsid w:val="00566312"/>
    <w:rsid w:val="005664FA"/>
    <w:rsid w:val="00566905"/>
    <w:rsid w:val="00566A89"/>
    <w:rsid w:val="00566AD2"/>
    <w:rsid w:val="00566AE4"/>
    <w:rsid w:val="005676B2"/>
    <w:rsid w:val="00567755"/>
    <w:rsid w:val="0056793E"/>
    <w:rsid w:val="00567CFF"/>
    <w:rsid w:val="0057091C"/>
    <w:rsid w:val="00570B45"/>
    <w:rsid w:val="00570DBE"/>
    <w:rsid w:val="00570EA2"/>
    <w:rsid w:val="00570EED"/>
    <w:rsid w:val="005710C7"/>
    <w:rsid w:val="0057135B"/>
    <w:rsid w:val="00571CC3"/>
    <w:rsid w:val="005721AB"/>
    <w:rsid w:val="005729DC"/>
    <w:rsid w:val="00572C45"/>
    <w:rsid w:val="00573221"/>
    <w:rsid w:val="00573AD3"/>
    <w:rsid w:val="00573B2C"/>
    <w:rsid w:val="00573FE3"/>
    <w:rsid w:val="005749A6"/>
    <w:rsid w:val="00575B91"/>
    <w:rsid w:val="00575F5D"/>
    <w:rsid w:val="00575FA0"/>
    <w:rsid w:val="005766F4"/>
    <w:rsid w:val="00576885"/>
    <w:rsid w:val="00577727"/>
    <w:rsid w:val="00580915"/>
    <w:rsid w:val="00582982"/>
    <w:rsid w:val="00582F61"/>
    <w:rsid w:val="00583619"/>
    <w:rsid w:val="00583BD2"/>
    <w:rsid w:val="0058431C"/>
    <w:rsid w:val="0058443A"/>
    <w:rsid w:val="0058464E"/>
    <w:rsid w:val="005846C3"/>
    <w:rsid w:val="0058574B"/>
    <w:rsid w:val="0058583E"/>
    <w:rsid w:val="00585C79"/>
    <w:rsid w:val="005863C5"/>
    <w:rsid w:val="005863FD"/>
    <w:rsid w:val="0058661E"/>
    <w:rsid w:val="00587C48"/>
    <w:rsid w:val="005901B9"/>
    <w:rsid w:val="0059046D"/>
    <w:rsid w:val="00591144"/>
    <w:rsid w:val="005912B5"/>
    <w:rsid w:val="005913E8"/>
    <w:rsid w:val="00591FDC"/>
    <w:rsid w:val="005921F3"/>
    <w:rsid w:val="005924EC"/>
    <w:rsid w:val="00592FEE"/>
    <w:rsid w:val="005932DD"/>
    <w:rsid w:val="00593AD3"/>
    <w:rsid w:val="00593EC6"/>
    <w:rsid w:val="00593F2E"/>
    <w:rsid w:val="00594217"/>
    <w:rsid w:val="00594491"/>
    <w:rsid w:val="005944BF"/>
    <w:rsid w:val="00594C93"/>
    <w:rsid w:val="00594DA9"/>
    <w:rsid w:val="005950E6"/>
    <w:rsid w:val="00595240"/>
    <w:rsid w:val="005953C0"/>
    <w:rsid w:val="0059543A"/>
    <w:rsid w:val="0059611B"/>
    <w:rsid w:val="005964B2"/>
    <w:rsid w:val="00596C05"/>
    <w:rsid w:val="00597239"/>
    <w:rsid w:val="005975D2"/>
    <w:rsid w:val="00597813"/>
    <w:rsid w:val="00597AA5"/>
    <w:rsid w:val="005A0054"/>
    <w:rsid w:val="005A048E"/>
    <w:rsid w:val="005A08A4"/>
    <w:rsid w:val="005A1389"/>
    <w:rsid w:val="005A1599"/>
    <w:rsid w:val="005A16B2"/>
    <w:rsid w:val="005A2700"/>
    <w:rsid w:val="005A2809"/>
    <w:rsid w:val="005A4D19"/>
    <w:rsid w:val="005A5675"/>
    <w:rsid w:val="005A5A0F"/>
    <w:rsid w:val="005A6095"/>
    <w:rsid w:val="005A662D"/>
    <w:rsid w:val="005A6799"/>
    <w:rsid w:val="005A6BF6"/>
    <w:rsid w:val="005A7354"/>
    <w:rsid w:val="005A7AE6"/>
    <w:rsid w:val="005A7F4F"/>
    <w:rsid w:val="005B009C"/>
    <w:rsid w:val="005B0332"/>
    <w:rsid w:val="005B04F9"/>
    <w:rsid w:val="005B05F7"/>
    <w:rsid w:val="005B0962"/>
    <w:rsid w:val="005B1382"/>
    <w:rsid w:val="005B16BC"/>
    <w:rsid w:val="005B173E"/>
    <w:rsid w:val="005B301D"/>
    <w:rsid w:val="005B33FD"/>
    <w:rsid w:val="005B3795"/>
    <w:rsid w:val="005B3A64"/>
    <w:rsid w:val="005B4289"/>
    <w:rsid w:val="005B42BE"/>
    <w:rsid w:val="005B4A6F"/>
    <w:rsid w:val="005B517D"/>
    <w:rsid w:val="005B5B28"/>
    <w:rsid w:val="005B64A1"/>
    <w:rsid w:val="005B67DB"/>
    <w:rsid w:val="005B731C"/>
    <w:rsid w:val="005B7994"/>
    <w:rsid w:val="005C0558"/>
    <w:rsid w:val="005C05B8"/>
    <w:rsid w:val="005C074E"/>
    <w:rsid w:val="005C0C68"/>
    <w:rsid w:val="005C1ADB"/>
    <w:rsid w:val="005C1D88"/>
    <w:rsid w:val="005C2901"/>
    <w:rsid w:val="005C3024"/>
    <w:rsid w:val="005C30BE"/>
    <w:rsid w:val="005C37A9"/>
    <w:rsid w:val="005C39B7"/>
    <w:rsid w:val="005C3BDE"/>
    <w:rsid w:val="005C4C31"/>
    <w:rsid w:val="005C59C6"/>
    <w:rsid w:val="005C5CA6"/>
    <w:rsid w:val="005C61E5"/>
    <w:rsid w:val="005C6A29"/>
    <w:rsid w:val="005C6D7E"/>
    <w:rsid w:val="005C7125"/>
    <w:rsid w:val="005C7238"/>
    <w:rsid w:val="005C7400"/>
    <w:rsid w:val="005C7803"/>
    <w:rsid w:val="005D05B6"/>
    <w:rsid w:val="005D05DE"/>
    <w:rsid w:val="005D07FF"/>
    <w:rsid w:val="005D3B07"/>
    <w:rsid w:val="005D45D7"/>
    <w:rsid w:val="005D495E"/>
    <w:rsid w:val="005D523A"/>
    <w:rsid w:val="005D5540"/>
    <w:rsid w:val="005D5C68"/>
    <w:rsid w:val="005D6B8A"/>
    <w:rsid w:val="005D6D54"/>
    <w:rsid w:val="005D70C1"/>
    <w:rsid w:val="005D7689"/>
    <w:rsid w:val="005E160E"/>
    <w:rsid w:val="005E2186"/>
    <w:rsid w:val="005E247A"/>
    <w:rsid w:val="005E2ACC"/>
    <w:rsid w:val="005E3472"/>
    <w:rsid w:val="005E3898"/>
    <w:rsid w:val="005E42DD"/>
    <w:rsid w:val="005E4B86"/>
    <w:rsid w:val="005E4B96"/>
    <w:rsid w:val="005E53D7"/>
    <w:rsid w:val="005E55EB"/>
    <w:rsid w:val="005E57A4"/>
    <w:rsid w:val="005E62DD"/>
    <w:rsid w:val="005E641C"/>
    <w:rsid w:val="005E6466"/>
    <w:rsid w:val="005E6904"/>
    <w:rsid w:val="005E7181"/>
    <w:rsid w:val="005E73CB"/>
    <w:rsid w:val="005E7911"/>
    <w:rsid w:val="005F0137"/>
    <w:rsid w:val="005F0274"/>
    <w:rsid w:val="005F0661"/>
    <w:rsid w:val="005F0A4F"/>
    <w:rsid w:val="005F11BF"/>
    <w:rsid w:val="005F1485"/>
    <w:rsid w:val="005F190E"/>
    <w:rsid w:val="005F2070"/>
    <w:rsid w:val="005F282C"/>
    <w:rsid w:val="005F2865"/>
    <w:rsid w:val="005F2A8F"/>
    <w:rsid w:val="005F3413"/>
    <w:rsid w:val="005F3526"/>
    <w:rsid w:val="005F3623"/>
    <w:rsid w:val="005F362D"/>
    <w:rsid w:val="005F3680"/>
    <w:rsid w:val="005F379D"/>
    <w:rsid w:val="005F38F0"/>
    <w:rsid w:val="005F3AA0"/>
    <w:rsid w:val="005F434D"/>
    <w:rsid w:val="005F45A7"/>
    <w:rsid w:val="005F468A"/>
    <w:rsid w:val="005F4950"/>
    <w:rsid w:val="005F50E1"/>
    <w:rsid w:val="005F51BF"/>
    <w:rsid w:val="005F5A9B"/>
    <w:rsid w:val="005F678C"/>
    <w:rsid w:val="005F6BD5"/>
    <w:rsid w:val="005F6BEE"/>
    <w:rsid w:val="005F7385"/>
    <w:rsid w:val="005F76B7"/>
    <w:rsid w:val="00600204"/>
    <w:rsid w:val="00600DC9"/>
    <w:rsid w:val="00600EA9"/>
    <w:rsid w:val="006014D6"/>
    <w:rsid w:val="00601843"/>
    <w:rsid w:val="00602624"/>
    <w:rsid w:val="006046A7"/>
    <w:rsid w:val="00604D55"/>
    <w:rsid w:val="0060515F"/>
    <w:rsid w:val="006052A8"/>
    <w:rsid w:val="0060571F"/>
    <w:rsid w:val="00605A14"/>
    <w:rsid w:val="00605E1C"/>
    <w:rsid w:val="006062EA"/>
    <w:rsid w:val="006066F2"/>
    <w:rsid w:val="0060697D"/>
    <w:rsid w:val="00606DA2"/>
    <w:rsid w:val="00607EA6"/>
    <w:rsid w:val="006102D2"/>
    <w:rsid w:val="006103A8"/>
    <w:rsid w:val="00610474"/>
    <w:rsid w:val="00610583"/>
    <w:rsid w:val="00610B0C"/>
    <w:rsid w:val="006112F0"/>
    <w:rsid w:val="00611306"/>
    <w:rsid w:val="006119F7"/>
    <w:rsid w:val="00612080"/>
    <w:rsid w:val="0061250A"/>
    <w:rsid w:val="00612825"/>
    <w:rsid w:val="00612846"/>
    <w:rsid w:val="00612FB1"/>
    <w:rsid w:val="006133F8"/>
    <w:rsid w:val="006136FD"/>
    <w:rsid w:val="00613C22"/>
    <w:rsid w:val="00613E04"/>
    <w:rsid w:val="0061451E"/>
    <w:rsid w:val="00614F36"/>
    <w:rsid w:val="006151D0"/>
    <w:rsid w:val="006157FB"/>
    <w:rsid w:val="0061588C"/>
    <w:rsid w:val="00615C74"/>
    <w:rsid w:val="00616038"/>
    <w:rsid w:val="006171A0"/>
    <w:rsid w:val="00617348"/>
    <w:rsid w:val="00617472"/>
    <w:rsid w:val="00620112"/>
    <w:rsid w:val="0062045E"/>
    <w:rsid w:val="006208B9"/>
    <w:rsid w:val="00620D18"/>
    <w:rsid w:val="00621549"/>
    <w:rsid w:val="00622370"/>
    <w:rsid w:val="006225BC"/>
    <w:rsid w:val="00623503"/>
    <w:rsid w:val="00623611"/>
    <w:rsid w:val="00623A7E"/>
    <w:rsid w:val="00623EE7"/>
    <w:rsid w:val="0062409D"/>
    <w:rsid w:val="0062474A"/>
    <w:rsid w:val="00625071"/>
    <w:rsid w:val="006251FB"/>
    <w:rsid w:val="0062548D"/>
    <w:rsid w:val="0062659E"/>
    <w:rsid w:val="006268EB"/>
    <w:rsid w:val="00626A52"/>
    <w:rsid w:val="00626BEF"/>
    <w:rsid w:val="00626CA9"/>
    <w:rsid w:val="00627092"/>
    <w:rsid w:val="006275D5"/>
    <w:rsid w:val="0062779F"/>
    <w:rsid w:val="006278AC"/>
    <w:rsid w:val="006278B7"/>
    <w:rsid w:val="00627C6B"/>
    <w:rsid w:val="00630E28"/>
    <w:rsid w:val="00631529"/>
    <w:rsid w:val="00631A65"/>
    <w:rsid w:val="0063201A"/>
    <w:rsid w:val="00632573"/>
    <w:rsid w:val="0063356B"/>
    <w:rsid w:val="006339B3"/>
    <w:rsid w:val="00633E30"/>
    <w:rsid w:val="00633E89"/>
    <w:rsid w:val="00634053"/>
    <w:rsid w:val="0063425B"/>
    <w:rsid w:val="00634EE7"/>
    <w:rsid w:val="006356E3"/>
    <w:rsid w:val="006359E0"/>
    <w:rsid w:val="00635A32"/>
    <w:rsid w:val="0063605A"/>
    <w:rsid w:val="00636E6F"/>
    <w:rsid w:val="00636F8D"/>
    <w:rsid w:val="006371F6"/>
    <w:rsid w:val="0063739D"/>
    <w:rsid w:val="00637636"/>
    <w:rsid w:val="0064029C"/>
    <w:rsid w:val="00640749"/>
    <w:rsid w:val="006414B2"/>
    <w:rsid w:val="00641A77"/>
    <w:rsid w:val="006421CA"/>
    <w:rsid w:val="00642B1C"/>
    <w:rsid w:val="00643244"/>
    <w:rsid w:val="006442AD"/>
    <w:rsid w:val="00644769"/>
    <w:rsid w:val="00644D0C"/>
    <w:rsid w:val="00645871"/>
    <w:rsid w:val="00646AE1"/>
    <w:rsid w:val="00646C2A"/>
    <w:rsid w:val="006476DF"/>
    <w:rsid w:val="00647938"/>
    <w:rsid w:val="00647AD7"/>
    <w:rsid w:val="00650011"/>
    <w:rsid w:val="0065047D"/>
    <w:rsid w:val="006504C0"/>
    <w:rsid w:val="0065074B"/>
    <w:rsid w:val="00650EB6"/>
    <w:rsid w:val="00651A91"/>
    <w:rsid w:val="00651CC9"/>
    <w:rsid w:val="006523B4"/>
    <w:rsid w:val="006525B5"/>
    <w:rsid w:val="00652AD6"/>
    <w:rsid w:val="00652B94"/>
    <w:rsid w:val="00652E2F"/>
    <w:rsid w:val="00653A06"/>
    <w:rsid w:val="00653BDD"/>
    <w:rsid w:val="00654357"/>
    <w:rsid w:val="00654540"/>
    <w:rsid w:val="00654EB5"/>
    <w:rsid w:val="00655762"/>
    <w:rsid w:val="00655E39"/>
    <w:rsid w:val="00656B3A"/>
    <w:rsid w:val="00656C51"/>
    <w:rsid w:val="00656F5D"/>
    <w:rsid w:val="0065739F"/>
    <w:rsid w:val="00657969"/>
    <w:rsid w:val="00657EB7"/>
    <w:rsid w:val="00660995"/>
    <w:rsid w:val="00660A80"/>
    <w:rsid w:val="00661650"/>
    <w:rsid w:val="00661747"/>
    <w:rsid w:val="006617A0"/>
    <w:rsid w:val="00661E39"/>
    <w:rsid w:val="00662204"/>
    <w:rsid w:val="006624F0"/>
    <w:rsid w:val="006625C6"/>
    <w:rsid w:val="00662D04"/>
    <w:rsid w:val="00662F3A"/>
    <w:rsid w:val="006640BD"/>
    <w:rsid w:val="006641B7"/>
    <w:rsid w:val="00664573"/>
    <w:rsid w:val="00664CE1"/>
    <w:rsid w:val="00664EE4"/>
    <w:rsid w:val="006650DA"/>
    <w:rsid w:val="00665356"/>
    <w:rsid w:val="006662F9"/>
    <w:rsid w:val="006669E9"/>
    <w:rsid w:val="00666F67"/>
    <w:rsid w:val="0066717D"/>
    <w:rsid w:val="00667856"/>
    <w:rsid w:val="0066799B"/>
    <w:rsid w:val="00667B9D"/>
    <w:rsid w:val="00667BD7"/>
    <w:rsid w:val="00670630"/>
    <w:rsid w:val="00670867"/>
    <w:rsid w:val="006708B4"/>
    <w:rsid w:val="006709DD"/>
    <w:rsid w:val="00670F77"/>
    <w:rsid w:val="00671545"/>
    <w:rsid w:val="00671652"/>
    <w:rsid w:val="00671A85"/>
    <w:rsid w:val="00672415"/>
    <w:rsid w:val="00672A64"/>
    <w:rsid w:val="0067420D"/>
    <w:rsid w:val="00674F8B"/>
    <w:rsid w:val="006752C9"/>
    <w:rsid w:val="006752E4"/>
    <w:rsid w:val="00675341"/>
    <w:rsid w:val="00675493"/>
    <w:rsid w:val="0067614C"/>
    <w:rsid w:val="006762B8"/>
    <w:rsid w:val="006762DC"/>
    <w:rsid w:val="00676819"/>
    <w:rsid w:val="0067695F"/>
    <w:rsid w:val="006777A9"/>
    <w:rsid w:val="00677A2A"/>
    <w:rsid w:val="00677ADD"/>
    <w:rsid w:val="00677D28"/>
    <w:rsid w:val="006806EC"/>
    <w:rsid w:val="00680823"/>
    <w:rsid w:val="00680CC6"/>
    <w:rsid w:val="00681B41"/>
    <w:rsid w:val="00681B59"/>
    <w:rsid w:val="006824EE"/>
    <w:rsid w:val="0068262D"/>
    <w:rsid w:val="00682960"/>
    <w:rsid w:val="0068298F"/>
    <w:rsid w:val="00682C1C"/>
    <w:rsid w:val="00683288"/>
    <w:rsid w:val="00683841"/>
    <w:rsid w:val="00683C83"/>
    <w:rsid w:val="00683C90"/>
    <w:rsid w:val="00683FD7"/>
    <w:rsid w:val="006844A0"/>
    <w:rsid w:val="00684D84"/>
    <w:rsid w:val="00685092"/>
    <w:rsid w:val="0068513B"/>
    <w:rsid w:val="00685413"/>
    <w:rsid w:val="006855E3"/>
    <w:rsid w:val="00685B49"/>
    <w:rsid w:val="00685DB2"/>
    <w:rsid w:val="00686091"/>
    <w:rsid w:val="006863AD"/>
    <w:rsid w:val="006863D5"/>
    <w:rsid w:val="006869B2"/>
    <w:rsid w:val="00686AFF"/>
    <w:rsid w:val="006874CD"/>
    <w:rsid w:val="00690173"/>
    <w:rsid w:val="0069027E"/>
    <w:rsid w:val="00690B51"/>
    <w:rsid w:val="00690C7C"/>
    <w:rsid w:val="00690D9B"/>
    <w:rsid w:val="00690DAF"/>
    <w:rsid w:val="006919A8"/>
    <w:rsid w:val="0069200F"/>
    <w:rsid w:val="00692393"/>
    <w:rsid w:val="00692407"/>
    <w:rsid w:val="00692576"/>
    <w:rsid w:val="006925E3"/>
    <w:rsid w:val="00692828"/>
    <w:rsid w:val="006928F0"/>
    <w:rsid w:val="006931A6"/>
    <w:rsid w:val="00693508"/>
    <w:rsid w:val="0069387B"/>
    <w:rsid w:val="00693BBC"/>
    <w:rsid w:val="00694370"/>
    <w:rsid w:val="006944EC"/>
    <w:rsid w:val="00694B45"/>
    <w:rsid w:val="00694DFF"/>
    <w:rsid w:val="0069600C"/>
    <w:rsid w:val="00696913"/>
    <w:rsid w:val="006971B2"/>
    <w:rsid w:val="006973C4"/>
    <w:rsid w:val="0069740B"/>
    <w:rsid w:val="00697776"/>
    <w:rsid w:val="00697D73"/>
    <w:rsid w:val="006A058E"/>
    <w:rsid w:val="006A0734"/>
    <w:rsid w:val="006A17FD"/>
    <w:rsid w:val="006A1978"/>
    <w:rsid w:val="006A1B47"/>
    <w:rsid w:val="006A1FD2"/>
    <w:rsid w:val="006A20DA"/>
    <w:rsid w:val="006A2E7D"/>
    <w:rsid w:val="006A35B0"/>
    <w:rsid w:val="006A3E3D"/>
    <w:rsid w:val="006A4037"/>
    <w:rsid w:val="006A40D5"/>
    <w:rsid w:val="006A47F4"/>
    <w:rsid w:val="006A4A76"/>
    <w:rsid w:val="006A4D5E"/>
    <w:rsid w:val="006A514E"/>
    <w:rsid w:val="006A52F5"/>
    <w:rsid w:val="006A5348"/>
    <w:rsid w:val="006A55FE"/>
    <w:rsid w:val="006A6642"/>
    <w:rsid w:val="006A689C"/>
    <w:rsid w:val="006A6DDB"/>
    <w:rsid w:val="006A76E4"/>
    <w:rsid w:val="006B0311"/>
    <w:rsid w:val="006B06FA"/>
    <w:rsid w:val="006B09DB"/>
    <w:rsid w:val="006B0C8B"/>
    <w:rsid w:val="006B0EB4"/>
    <w:rsid w:val="006B157D"/>
    <w:rsid w:val="006B163E"/>
    <w:rsid w:val="006B1AC5"/>
    <w:rsid w:val="006B2789"/>
    <w:rsid w:val="006B2B9A"/>
    <w:rsid w:val="006B2C54"/>
    <w:rsid w:val="006B31A1"/>
    <w:rsid w:val="006B367D"/>
    <w:rsid w:val="006B36DD"/>
    <w:rsid w:val="006B3ADE"/>
    <w:rsid w:val="006B4765"/>
    <w:rsid w:val="006B47BA"/>
    <w:rsid w:val="006B4980"/>
    <w:rsid w:val="006B49DD"/>
    <w:rsid w:val="006B4F12"/>
    <w:rsid w:val="006B5571"/>
    <w:rsid w:val="006B55F4"/>
    <w:rsid w:val="006B5BEF"/>
    <w:rsid w:val="006B6526"/>
    <w:rsid w:val="006B6B6E"/>
    <w:rsid w:val="006B78EF"/>
    <w:rsid w:val="006B7FA9"/>
    <w:rsid w:val="006C0922"/>
    <w:rsid w:val="006C0FC5"/>
    <w:rsid w:val="006C1281"/>
    <w:rsid w:val="006C1D29"/>
    <w:rsid w:val="006C2DAE"/>
    <w:rsid w:val="006C3BD3"/>
    <w:rsid w:val="006C400C"/>
    <w:rsid w:val="006C4358"/>
    <w:rsid w:val="006C52EC"/>
    <w:rsid w:val="006C54A7"/>
    <w:rsid w:val="006C5832"/>
    <w:rsid w:val="006C62FC"/>
    <w:rsid w:val="006C73C1"/>
    <w:rsid w:val="006C7AE1"/>
    <w:rsid w:val="006C7DC0"/>
    <w:rsid w:val="006D03F9"/>
    <w:rsid w:val="006D09D9"/>
    <w:rsid w:val="006D130F"/>
    <w:rsid w:val="006D1F3C"/>
    <w:rsid w:val="006D211E"/>
    <w:rsid w:val="006D2AEA"/>
    <w:rsid w:val="006D3153"/>
    <w:rsid w:val="006D341C"/>
    <w:rsid w:val="006D4286"/>
    <w:rsid w:val="006D491E"/>
    <w:rsid w:val="006D4E4A"/>
    <w:rsid w:val="006D5BE8"/>
    <w:rsid w:val="006D5E2B"/>
    <w:rsid w:val="006D6645"/>
    <w:rsid w:val="006E00B9"/>
    <w:rsid w:val="006E1670"/>
    <w:rsid w:val="006E2825"/>
    <w:rsid w:val="006E2C83"/>
    <w:rsid w:val="006E304D"/>
    <w:rsid w:val="006E3102"/>
    <w:rsid w:val="006E3763"/>
    <w:rsid w:val="006E3768"/>
    <w:rsid w:val="006E3E98"/>
    <w:rsid w:val="006E45BC"/>
    <w:rsid w:val="006E461B"/>
    <w:rsid w:val="006E4F04"/>
    <w:rsid w:val="006E500E"/>
    <w:rsid w:val="006E5050"/>
    <w:rsid w:val="006E5781"/>
    <w:rsid w:val="006E5A8F"/>
    <w:rsid w:val="006E61A6"/>
    <w:rsid w:val="006E6352"/>
    <w:rsid w:val="006E6C25"/>
    <w:rsid w:val="006E72B3"/>
    <w:rsid w:val="006E75FE"/>
    <w:rsid w:val="006F04F9"/>
    <w:rsid w:val="006F0B1B"/>
    <w:rsid w:val="006F0DCD"/>
    <w:rsid w:val="006F0F9B"/>
    <w:rsid w:val="006F1927"/>
    <w:rsid w:val="006F1CB0"/>
    <w:rsid w:val="006F36BF"/>
    <w:rsid w:val="006F3809"/>
    <w:rsid w:val="006F40F7"/>
    <w:rsid w:val="006F4166"/>
    <w:rsid w:val="006F43CB"/>
    <w:rsid w:val="006F499E"/>
    <w:rsid w:val="006F59FC"/>
    <w:rsid w:val="006F5BC2"/>
    <w:rsid w:val="006F5DC7"/>
    <w:rsid w:val="006F6114"/>
    <w:rsid w:val="006F6648"/>
    <w:rsid w:val="006F6A17"/>
    <w:rsid w:val="006F6E5D"/>
    <w:rsid w:val="006F6FD1"/>
    <w:rsid w:val="006F73AC"/>
    <w:rsid w:val="006F7427"/>
    <w:rsid w:val="006F743A"/>
    <w:rsid w:val="006F77B9"/>
    <w:rsid w:val="006F77FF"/>
    <w:rsid w:val="006F7C84"/>
    <w:rsid w:val="00700099"/>
    <w:rsid w:val="007004E5"/>
    <w:rsid w:val="00700A75"/>
    <w:rsid w:val="00700DE6"/>
    <w:rsid w:val="00701046"/>
    <w:rsid w:val="007011BD"/>
    <w:rsid w:val="00701232"/>
    <w:rsid w:val="007013A2"/>
    <w:rsid w:val="007013B5"/>
    <w:rsid w:val="00701789"/>
    <w:rsid w:val="00701C5A"/>
    <w:rsid w:val="00701C80"/>
    <w:rsid w:val="0070201F"/>
    <w:rsid w:val="0070231F"/>
    <w:rsid w:val="00702685"/>
    <w:rsid w:val="00703704"/>
    <w:rsid w:val="00703744"/>
    <w:rsid w:val="007037A9"/>
    <w:rsid w:val="007038C5"/>
    <w:rsid w:val="00704271"/>
    <w:rsid w:val="00704296"/>
    <w:rsid w:val="00704AFA"/>
    <w:rsid w:val="007060E1"/>
    <w:rsid w:val="007064C4"/>
    <w:rsid w:val="00706B29"/>
    <w:rsid w:val="00706F76"/>
    <w:rsid w:val="00706F82"/>
    <w:rsid w:val="00706FC2"/>
    <w:rsid w:val="0070761E"/>
    <w:rsid w:val="00710071"/>
    <w:rsid w:val="00710408"/>
    <w:rsid w:val="0071078E"/>
    <w:rsid w:val="00710AD3"/>
    <w:rsid w:val="00710D41"/>
    <w:rsid w:val="00710F46"/>
    <w:rsid w:val="00711AF8"/>
    <w:rsid w:val="00711FF8"/>
    <w:rsid w:val="00712B5A"/>
    <w:rsid w:val="00712C62"/>
    <w:rsid w:val="00712D5E"/>
    <w:rsid w:val="00712F8F"/>
    <w:rsid w:val="00713065"/>
    <w:rsid w:val="00713132"/>
    <w:rsid w:val="007135A9"/>
    <w:rsid w:val="007136A1"/>
    <w:rsid w:val="00714276"/>
    <w:rsid w:val="0071462E"/>
    <w:rsid w:val="00714B3A"/>
    <w:rsid w:val="00715468"/>
    <w:rsid w:val="007155EF"/>
    <w:rsid w:val="007157D6"/>
    <w:rsid w:val="007164E7"/>
    <w:rsid w:val="007175A2"/>
    <w:rsid w:val="00717928"/>
    <w:rsid w:val="00717CA5"/>
    <w:rsid w:val="00717CF7"/>
    <w:rsid w:val="007200FC"/>
    <w:rsid w:val="0072103D"/>
    <w:rsid w:val="0072174B"/>
    <w:rsid w:val="00721AB2"/>
    <w:rsid w:val="007224C9"/>
    <w:rsid w:val="0072262B"/>
    <w:rsid w:val="00722687"/>
    <w:rsid w:val="00723132"/>
    <w:rsid w:val="00723690"/>
    <w:rsid w:val="0072374F"/>
    <w:rsid w:val="0072391A"/>
    <w:rsid w:val="00724066"/>
    <w:rsid w:val="0072418C"/>
    <w:rsid w:val="00724621"/>
    <w:rsid w:val="00724728"/>
    <w:rsid w:val="007249D1"/>
    <w:rsid w:val="00724B7D"/>
    <w:rsid w:val="00724DB7"/>
    <w:rsid w:val="00724FD3"/>
    <w:rsid w:val="007250EB"/>
    <w:rsid w:val="0072523B"/>
    <w:rsid w:val="00725643"/>
    <w:rsid w:val="007256B1"/>
    <w:rsid w:val="00725936"/>
    <w:rsid w:val="00725DB4"/>
    <w:rsid w:val="00725EB4"/>
    <w:rsid w:val="00725EDA"/>
    <w:rsid w:val="00725EF4"/>
    <w:rsid w:val="0072677F"/>
    <w:rsid w:val="00727723"/>
    <w:rsid w:val="0073027B"/>
    <w:rsid w:val="00730B80"/>
    <w:rsid w:val="00730F49"/>
    <w:rsid w:val="007312F8"/>
    <w:rsid w:val="00731521"/>
    <w:rsid w:val="007317A0"/>
    <w:rsid w:val="00731878"/>
    <w:rsid w:val="007333DA"/>
    <w:rsid w:val="007334DD"/>
    <w:rsid w:val="00733B67"/>
    <w:rsid w:val="00733FD3"/>
    <w:rsid w:val="007349A6"/>
    <w:rsid w:val="00734BB9"/>
    <w:rsid w:val="00734C9A"/>
    <w:rsid w:val="00735F1E"/>
    <w:rsid w:val="00735FF2"/>
    <w:rsid w:val="007366C1"/>
    <w:rsid w:val="00736E28"/>
    <w:rsid w:val="007371C4"/>
    <w:rsid w:val="007373A7"/>
    <w:rsid w:val="007400E9"/>
    <w:rsid w:val="007405C0"/>
    <w:rsid w:val="007407F4"/>
    <w:rsid w:val="00740823"/>
    <w:rsid w:val="007408C4"/>
    <w:rsid w:val="00740E1E"/>
    <w:rsid w:val="0074115E"/>
    <w:rsid w:val="007412BE"/>
    <w:rsid w:val="0074194F"/>
    <w:rsid w:val="00741B6A"/>
    <w:rsid w:val="00741FC0"/>
    <w:rsid w:val="00742015"/>
    <w:rsid w:val="0074278E"/>
    <w:rsid w:val="007436E9"/>
    <w:rsid w:val="00743FAE"/>
    <w:rsid w:val="0074406E"/>
    <w:rsid w:val="00744121"/>
    <w:rsid w:val="0074414A"/>
    <w:rsid w:val="007456B2"/>
    <w:rsid w:val="0074580E"/>
    <w:rsid w:val="007458C1"/>
    <w:rsid w:val="00745E98"/>
    <w:rsid w:val="00746093"/>
    <w:rsid w:val="0074649C"/>
    <w:rsid w:val="00746DE6"/>
    <w:rsid w:val="00747680"/>
    <w:rsid w:val="00747C7F"/>
    <w:rsid w:val="007506BD"/>
    <w:rsid w:val="00750D5E"/>
    <w:rsid w:val="00751C20"/>
    <w:rsid w:val="00751EE8"/>
    <w:rsid w:val="00752016"/>
    <w:rsid w:val="00752238"/>
    <w:rsid w:val="0075227D"/>
    <w:rsid w:val="007527E9"/>
    <w:rsid w:val="007532C4"/>
    <w:rsid w:val="00753442"/>
    <w:rsid w:val="00753660"/>
    <w:rsid w:val="00753F0F"/>
    <w:rsid w:val="00755738"/>
    <w:rsid w:val="0075583F"/>
    <w:rsid w:val="00755AC7"/>
    <w:rsid w:val="00755CE6"/>
    <w:rsid w:val="007569AF"/>
    <w:rsid w:val="007571AE"/>
    <w:rsid w:val="00757211"/>
    <w:rsid w:val="007576B4"/>
    <w:rsid w:val="00760F4A"/>
    <w:rsid w:val="007610CD"/>
    <w:rsid w:val="0076198C"/>
    <w:rsid w:val="00761B91"/>
    <w:rsid w:val="00761BBD"/>
    <w:rsid w:val="007628FC"/>
    <w:rsid w:val="00762973"/>
    <w:rsid w:val="00762DC9"/>
    <w:rsid w:val="00762ED8"/>
    <w:rsid w:val="0076315E"/>
    <w:rsid w:val="00763569"/>
    <w:rsid w:val="007637CD"/>
    <w:rsid w:val="00764050"/>
    <w:rsid w:val="00764510"/>
    <w:rsid w:val="007646D6"/>
    <w:rsid w:val="00765101"/>
    <w:rsid w:val="007653A2"/>
    <w:rsid w:val="007656F7"/>
    <w:rsid w:val="007658F0"/>
    <w:rsid w:val="007658FA"/>
    <w:rsid w:val="007665A3"/>
    <w:rsid w:val="00766948"/>
    <w:rsid w:val="00766A4D"/>
    <w:rsid w:val="00766CC1"/>
    <w:rsid w:val="00766E04"/>
    <w:rsid w:val="00766F8E"/>
    <w:rsid w:val="007671F4"/>
    <w:rsid w:val="007673E9"/>
    <w:rsid w:val="0076784C"/>
    <w:rsid w:val="00770393"/>
    <w:rsid w:val="007703DD"/>
    <w:rsid w:val="00770B2F"/>
    <w:rsid w:val="00771354"/>
    <w:rsid w:val="007713A4"/>
    <w:rsid w:val="0077197B"/>
    <w:rsid w:val="00772378"/>
    <w:rsid w:val="00772468"/>
    <w:rsid w:val="00772A09"/>
    <w:rsid w:val="00772B71"/>
    <w:rsid w:val="007739D6"/>
    <w:rsid w:val="00773AD6"/>
    <w:rsid w:val="00774194"/>
    <w:rsid w:val="0077447B"/>
    <w:rsid w:val="007747F2"/>
    <w:rsid w:val="00774DA5"/>
    <w:rsid w:val="00774E9C"/>
    <w:rsid w:val="007761CA"/>
    <w:rsid w:val="007765E6"/>
    <w:rsid w:val="00776E1F"/>
    <w:rsid w:val="007801E9"/>
    <w:rsid w:val="007802B6"/>
    <w:rsid w:val="007807D2"/>
    <w:rsid w:val="00780BF9"/>
    <w:rsid w:val="00781E0D"/>
    <w:rsid w:val="0078215A"/>
    <w:rsid w:val="0078228F"/>
    <w:rsid w:val="00782386"/>
    <w:rsid w:val="00782F83"/>
    <w:rsid w:val="00783007"/>
    <w:rsid w:val="007830F5"/>
    <w:rsid w:val="007833DA"/>
    <w:rsid w:val="00784AA8"/>
    <w:rsid w:val="00784D37"/>
    <w:rsid w:val="00784EEE"/>
    <w:rsid w:val="007852A8"/>
    <w:rsid w:val="00785D93"/>
    <w:rsid w:val="00785DBA"/>
    <w:rsid w:val="0078608E"/>
    <w:rsid w:val="007865DA"/>
    <w:rsid w:val="00786E58"/>
    <w:rsid w:val="0078702E"/>
    <w:rsid w:val="00787374"/>
    <w:rsid w:val="007874F5"/>
    <w:rsid w:val="00787F94"/>
    <w:rsid w:val="007904A2"/>
    <w:rsid w:val="007905FB"/>
    <w:rsid w:val="00790739"/>
    <w:rsid w:val="007912B2"/>
    <w:rsid w:val="00791BDC"/>
    <w:rsid w:val="00791DEE"/>
    <w:rsid w:val="00792459"/>
    <w:rsid w:val="00792B37"/>
    <w:rsid w:val="00792EEF"/>
    <w:rsid w:val="00792F93"/>
    <w:rsid w:val="0079395A"/>
    <w:rsid w:val="00793987"/>
    <w:rsid w:val="00793BA6"/>
    <w:rsid w:val="00793EE2"/>
    <w:rsid w:val="007943D9"/>
    <w:rsid w:val="0079453B"/>
    <w:rsid w:val="00794751"/>
    <w:rsid w:val="00794754"/>
    <w:rsid w:val="00794892"/>
    <w:rsid w:val="007948E2"/>
    <w:rsid w:val="007950BA"/>
    <w:rsid w:val="007960DE"/>
    <w:rsid w:val="00796153"/>
    <w:rsid w:val="00796DB5"/>
    <w:rsid w:val="00796E59"/>
    <w:rsid w:val="00797437"/>
    <w:rsid w:val="0079787F"/>
    <w:rsid w:val="0079797F"/>
    <w:rsid w:val="007A0C6C"/>
    <w:rsid w:val="007A0EDE"/>
    <w:rsid w:val="007A123E"/>
    <w:rsid w:val="007A13E9"/>
    <w:rsid w:val="007A1790"/>
    <w:rsid w:val="007A184C"/>
    <w:rsid w:val="007A1E78"/>
    <w:rsid w:val="007A21DE"/>
    <w:rsid w:val="007A221B"/>
    <w:rsid w:val="007A2239"/>
    <w:rsid w:val="007A22D2"/>
    <w:rsid w:val="007A230F"/>
    <w:rsid w:val="007A280E"/>
    <w:rsid w:val="007A2AE1"/>
    <w:rsid w:val="007A2BFA"/>
    <w:rsid w:val="007A31D2"/>
    <w:rsid w:val="007A35CE"/>
    <w:rsid w:val="007A395C"/>
    <w:rsid w:val="007A3AA8"/>
    <w:rsid w:val="007A3B70"/>
    <w:rsid w:val="007A4272"/>
    <w:rsid w:val="007A43C9"/>
    <w:rsid w:val="007A4A65"/>
    <w:rsid w:val="007A4BC7"/>
    <w:rsid w:val="007A5B0F"/>
    <w:rsid w:val="007A5F1F"/>
    <w:rsid w:val="007A67DB"/>
    <w:rsid w:val="007A69A5"/>
    <w:rsid w:val="007A6CCF"/>
    <w:rsid w:val="007A7050"/>
    <w:rsid w:val="007A76D4"/>
    <w:rsid w:val="007A79CD"/>
    <w:rsid w:val="007B00ED"/>
    <w:rsid w:val="007B0D52"/>
    <w:rsid w:val="007B12B3"/>
    <w:rsid w:val="007B2013"/>
    <w:rsid w:val="007B21E1"/>
    <w:rsid w:val="007B2861"/>
    <w:rsid w:val="007B29EC"/>
    <w:rsid w:val="007B2C40"/>
    <w:rsid w:val="007B2D50"/>
    <w:rsid w:val="007B2E50"/>
    <w:rsid w:val="007B3540"/>
    <w:rsid w:val="007B3E56"/>
    <w:rsid w:val="007B595E"/>
    <w:rsid w:val="007B5E61"/>
    <w:rsid w:val="007B6622"/>
    <w:rsid w:val="007B6888"/>
    <w:rsid w:val="007B6AA2"/>
    <w:rsid w:val="007B6B8F"/>
    <w:rsid w:val="007B6CE9"/>
    <w:rsid w:val="007B6EF5"/>
    <w:rsid w:val="007B6FAA"/>
    <w:rsid w:val="007B7ABF"/>
    <w:rsid w:val="007B7C36"/>
    <w:rsid w:val="007B7D2A"/>
    <w:rsid w:val="007C061B"/>
    <w:rsid w:val="007C07D4"/>
    <w:rsid w:val="007C0962"/>
    <w:rsid w:val="007C0F84"/>
    <w:rsid w:val="007C16FE"/>
    <w:rsid w:val="007C1886"/>
    <w:rsid w:val="007C1AD3"/>
    <w:rsid w:val="007C1CC5"/>
    <w:rsid w:val="007C27C2"/>
    <w:rsid w:val="007C2A4C"/>
    <w:rsid w:val="007C2BE8"/>
    <w:rsid w:val="007C3DF9"/>
    <w:rsid w:val="007C3E43"/>
    <w:rsid w:val="007C4300"/>
    <w:rsid w:val="007C4CBE"/>
    <w:rsid w:val="007C55CB"/>
    <w:rsid w:val="007C569A"/>
    <w:rsid w:val="007C57E8"/>
    <w:rsid w:val="007C59BD"/>
    <w:rsid w:val="007C5D7F"/>
    <w:rsid w:val="007C6146"/>
    <w:rsid w:val="007C732B"/>
    <w:rsid w:val="007C74AC"/>
    <w:rsid w:val="007C7AD1"/>
    <w:rsid w:val="007C7C9C"/>
    <w:rsid w:val="007C7E47"/>
    <w:rsid w:val="007D00EE"/>
    <w:rsid w:val="007D02B0"/>
    <w:rsid w:val="007D0600"/>
    <w:rsid w:val="007D071D"/>
    <w:rsid w:val="007D0C39"/>
    <w:rsid w:val="007D0D46"/>
    <w:rsid w:val="007D0F5B"/>
    <w:rsid w:val="007D0FD7"/>
    <w:rsid w:val="007D1060"/>
    <w:rsid w:val="007D1258"/>
    <w:rsid w:val="007D198D"/>
    <w:rsid w:val="007D1B2C"/>
    <w:rsid w:val="007D21D7"/>
    <w:rsid w:val="007D2C94"/>
    <w:rsid w:val="007D2D20"/>
    <w:rsid w:val="007D2F90"/>
    <w:rsid w:val="007D3130"/>
    <w:rsid w:val="007D3264"/>
    <w:rsid w:val="007D3361"/>
    <w:rsid w:val="007D38BB"/>
    <w:rsid w:val="007D3B1D"/>
    <w:rsid w:val="007D3D00"/>
    <w:rsid w:val="007D424E"/>
    <w:rsid w:val="007D49A5"/>
    <w:rsid w:val="007D4D0D"/>
    <w:rsid w:val="007D4EA3"/>
    <w:rsid w:val="007D4F40"/>
    <w:rsid w:val="007D5017"/>
    <w:rsid w:val="007D5331"/>
    <w:rsid w:val="007D591F"/>
    <w:rsid w:val="007D5BA9"/>
    <w:rsid w:val="007D5F0C"/>
    <w:rsid w:val="007D661C"/>
    <w:rsid w:val="007D768F"/>
    <w:rsid w:val="007D7905"/>
    <w:rsid w:val="007D7F0D"/>
    <w:rsid w:val="007E0269"/>
    <w:rsid w:val="007E0703"/>
    <w:rsid w:val="007E0F6C"/>
    <w:rsid w:val="007E0FA3"/>
    <w:rsid w:val="007E10F9"/>
    <w:rsid w:val="007E1356"/>
    <w:rsid w:val="007E15AA"/>
    <w:rsid w:val="007E1661"/>
    <w:rsid w:val="007E1A89"/>
    <w:rsid w:val="007E1AA9"/>
    <w:rsid w:val="007E1DCA"/>
    <w:rsid w:val="007E1F3B"/>
    <w:rsid w:val="007E2250"/>
    <w:rsid w:val="007E284F"/>
    <w:rsid w:val="007E2A41"/>
    <w:rsid w:val="007E2B3E"/>
    <w:rsid w:val="007E2EDE"/>
    <w:rsid w:val="007E3C32"/>
    <w:rsid w:val="007E451C"/>
    <w:rsid w:val="007E472A"/>
    <w:rsid w:val="007E49F7"/>
    <w:rsid w:val="007E4C29"/>
    <w:rsid w:val="007E515A"/>
    <w:rsid w:val="007E53C6"/>
    <w:rsid w:val="007E5400"/>
    <w:rsid w:val="007E5A35"/>
    <w:rsid w:val="007E5B5D"/>
    <w:rsid w:val="007E5DA6"/>
    <w:rsid w:val="007E5E04"/>
    <w:rsid w:val="007E5F39"/>
    <w:rsid w:val="007E6293"/>
    <w:rsid w:val="007E6660"/>
    <w:rsid w:val="007E66BE"/>
    <w:rsid w:val="007E6F26"/>
    <w:rsid w:val="007E70AD"/>
    <w:rsid w:val="007E7435"/>
    <w:rsid w:val="007E75E1"/>
    <w:rsid w:val="007E7FA5"/>
    <w:rsid w:val="007F0356"/>
    <w:rsid w:val="007F0FDE"/>
    <w:rsid w:val="007F135E"/>
    <w:rsid w:val="007F13CE"/>
    <w:rsid w:val="007F1924"/>
    <w:rsid w:val="007F1954"/>
    <w:rsid w:val="007F1C27"/>
    <w:rsid w:val="007F1E2C"/>
    <w:rsid w:val="007F2CFB"/>
    <w:rsid w:val="007F38B4"/>
    <w:rsid w:val="007F3FF8"/>
    <w:rsid w:val="007F441D"/>
    <w:rsid w:val="007F46B8"/>
    <w:rsid w:val="007F4855"/>
    <w:rsid w:val="007F485D"/>
    <w:rsid w:val="007F51AA"/>
    <w:rsid w:val="007F524E"/>
    <w:rsid w:val="007F5557"/>
    <w:rsid w:val="007F5AE8"/>
    <w:rsid w:val="007F62DF"/>
    <w:rsid w:val="007F6CB9"/>
    <w:rsid w:val="007F70AE"/>
    <w:rsid w:val="007F714F"/>
    <w:rsid w:val="007F7803"/>
    <w:rsid w:val="007F78D2"/>
    <w:rsid w:val="0080002A"/>
    <w:rsid w:val="00800090"/>
    <w:rsid w:val="0080023B"/>
    <w:rsid w:val="008005EB"/>
    <w:rsid w:val="00800D06"/>
    <w:rsid w:val="00801158"/>
    <w:rsid w:val="00801269"/>
    <w:rsid w:val="008013BF"/>
    <w:rsid w:val="0080170E"/>
    <w:rsid w:val="00801827"/>
    <w:rsid w:val="008029C9"/>
    <w:rsid w:val="00802C56"/>
    <w:rsid w:val="0080362B"/>
    <w:rsid w:val="00803CBF"/>
    <w:rsid w:val="00804684"/>
    <w:rsid w:val="00804722"/>
    <w:rsid w:val="0080489B"/>
    <w:rsid w:val="00804B08"/>
    <w:rsid w:val="00805634"/>
    <w:rsid w:val="00805910"/>
    <w:rsid w:val="00805B8D"/>
    <w:rsid w:val="00806662"/>
    <w:rsid w:val="008069D3"/>
    <w:rsid w:val="00806D44"/>
    <w:rsid w:val="008079F8"/>
    <w:rsid w:val="00807A31"/>
    <w:rsid w:val="00807EF2"/>
    <w:rsid w:val="008116CD"/>
    <w:rsid w:val="00811C14"/>
    <w:rsid w:val="00812372"/>
    <w:rsid w:val="008123CF"/>
    <w:rsid w:val="00812AF4"/>
    <w:rsid w:val="008133B8"/>
    <w:rsid w:val="00813637"/>
    <w:rsid w:val="00813F58"/>
    <w:rsid w:val="0081433E"/>
    <w:rsid w:val="00814726"/>
    <w:rsid w:val="00814B7A"/>
    <w:rsid w:val="00814BE0"/>
    <w:rsid w:val="00814D5E"/>
    <w:rsid w:val="00814E69"/>
    <w:rsid w:val="00815011"/>
    <w:rsid w:val="008151BA"/>
    <w:rsid w:val="008152D7"/>
    <w:rsid w:val="00815A2F"/>
    <w:rsid w:val="0081604F"/>
    <w:rsid w:val="008167BE"/>
    <w:rsid w:val="0081691B"/>
    <w:rsid w:val="00816CB2"/>
    <w:rsid w:val="00816CB5"/>
    <w:rsid w:val="00816E9A"/>
    <w:rsid w:val="0081747A"/>
    <w:rsid w:val="00817533"/>
    <w:rsid w:val="00817CE3"/>
    <w:rsid w:val="00817D03"/>
    <w:rsid w:val="0082007E"/>
    <w:rsid w:val="0082008C"/>
    <w:rsid w:val="00820398"/>
    <w:rsid w:val="00820839"/>
    <w:rsid w:val="00820952"/>
    <w:rsid w:val="008218E9"/>
    <w:rsid w:val="00821ABA"/>
    <w:rsid w:val="00821EF8"/>
    <w:rsid w:val="0082243A"/>
    <w:rsid w:val="008224B2"/>
    <w:rsid w:val="0082261E"/>
    <w:rsid w:val="0082268C"/>
    <w:rsid w:val="0082295D"/>
    <w:rsid w:val="0082395E"/>
    <w:rsid w:val="00823D4A"/>
    <w:rsid w:val="00823FBE"/>
    <w:rsid w:val="008241FA"/>
    <w:rsid w:val="008243F4"/>
    <w:rsid w:val="008251AA"/>
    <w:rsid w:val="0082553F"/>
    <w:rsid w:val="00826029"/>
    <w:rsid w:val="008265D7"/>
    <w:rsid w:val="00826661"/>
    <w:rsid w:val="008266F8"/>
    <w:rsid w:val="00826AC5"/>
    <w:rsid w:val="008274B0"/>
    <w:rsid w:val="0082798D"/>
    <w:rsid w:val="00827B76"/>
    <w:rsid w:val="00827CAC"/>
    <w:rsid w:val="00827F20"/>
    <w:rsid w:val="00830056"/>
    <w:rsid w:val="0083047F"/>
    <w:rsid w:val="008305CA"/>
    <w:rsid w:val="00830694"/>
    <w:rsid w:val="00830D28"/>
    <w:rsid w:val="008316CB"/>
    <w:rsid w:val="00831FA4"/>
    <w:rsid w:val="00831FE3"/>
    <w:rsid w:val="00832799"/>
    <w:rsid w:val="00832843"/>
    <w:rsid w:val="00832B52"/>
    <w:rsid w:val="00832D3F"/>
    <w:rsid w:val="0083302A"/>
    <w:rsid w:val="0083368C"/>
    <w:rsid w:val="00833BCE"/>
    <w:rsid w:val="0083407B"/>
    <w:rsid w:val="00834121"/>
    <w:rsid w:val="00834192"/>
    <w:rsid w:val="008341B1"/>
    <w:rsid w:val="008343F4"/>
    <w:rsid w:val="00834589"/>
    <w:rsid w:val="0083458A"/>
    <w:rsid w:val="00834954"/>
    <w:rsid w:val="00834A3B"/>
    <w:rsid w:val="00835796"/>
    <w:rsid w:val="00836570"/>
    <w:rsid w:val="008365C3"/>
    <w:rsid w:val="00836B0B"/>
    <w:rsid w:val="00836CF6"/>
    <w:rsid w:val="0083766C"/>
    <w:rsid w:val="008377F3"/>
    <w:rsid w:val="00837965"/>
    <w:rsid w:val="00837A27"/>
    <w:rsid w:val="00837FA0"/>
    <w:rsid w:val="0084043F"/>
    <w:rsid w:val="0084078E"/>
    <w:rsid w:val="0084088A"/>
    <w:rsid w:val="00840B72"/>
    <w:rsid w:val="008414B5"/>
    <w:rsid w:val="00841572"/>
    <w:rsid w:val="00841799"/>
    <w:rsid w:val="008418E6"/>
    <w:rsid w:val="00841A15"/>
    <w:rsid w:val="00841A29"/>
    <w:rsid w:val="00841AFC"/>
    <w:rsid w:val="00842189"/>
    <w:rsid w:val="00844410"/>
    <w:rsid w:val="00844A92"/>
    <w:rsid w:val="00844D53"/>
    <w:rsid w:val="00844D94"/>
    <w:rsid w:val="00844E76"/>
    <w:rsid w:val="008451C3"/>
    <w:rsid w:val="00845744"/>
    <w:rsid w:val="0084586B"/>
    <w:rsid w:val="00845D8A"/>
    <w:rsid w:val="00846D63"/>
    <w:rsid w:val="00846EB3"/>
    <w:rsid w:val="00846F1C"/>
    <w:rsid w:val="0084708A"/>
    <w:rsid w:val="008476DD"/>
    <w:rsid w:val="00847A9A"/>
    <w:rsid w:val="00847DBF"/>
    <w:rsid w:val="00847F3D"/>
    <w:rsid w:val="0085056E"/>
    <w:rsid w:val="008505B4"/>
    <w:rsid w:val="00851887"/>
    <w:rsid w:val="008520BF"/>
    <w:rsid w:val="0085266E"/>
    <w:rsid w:val="00852C7E"/>
    <w:rsid w:val="00852D9C"/>
    <w:rsid w:val="00852F78"/>
    <w:rsid w:val="008534A4"/>
    <w:rsid w:val="0085454F"/>
    <w:rsid w:val="00855E19"/>
    <w:rsid w:val="008563FE"/>
    <w:rsid w:val="00856516"/>
    <w:rsid w:val="008565EA"/>
    <w:rsid w:val="0085734A"/>
    <w:rsid w:val="008575D1"/>
    <w:rsid w:val="008603AE"/>
    <w:rsid w:val="00860D3C"/>
    <w:rsid w:val="00860EA4"/>
    <w:rsid w:val="00860FBF"/>
    <w:rsid w:val="008614F3"/>
    <w:rsid w:val="008615C1"/>
    <w:rsid w:val="00861807"/>
    <w:rsid w:val="00861AF6"/>
    <w:rsid w:val="00861F10"/>
    <w:rsid w:val="00862174"/>
    <w:rsid w:val="00862280"/>
    <w:rsid w:val="00862833"/>
    <w:rsid w:val="00862923"/>
    <w:rsid w:val="00862B53"/>
    <w:rsid w:val="00862C84"/>
    <w:rsid w:val="00862D7C"/>
    <w:rsid w:val="00862F48"/>
    <w:rsid w:val="0086305F"/>
    <w:rsid w:val="008637FA"/>
    <w:rsid w:val="00863937"/>
    <w:rsid w:val="00863A9E"/>
    <w:rsid w:val="00863B62"/>
    <w:rsid w:val="00863BDD"/>
    <w:rsid w:val="00863EE7"/>
    <w:rsid w:val="00864616"/>
    <w:rsid w:val="008646E2"/>
    <w:rsid w:val="00864BE4"/>
    <w:rsid w:val="00864DDC"/>
    <w:rsid w:val="0086557C"/>
    <w:rsid w:val="00865838"/>
    <w:rsid w:val="0086593F"/>
    <w:rsid w:val="00865C25"/>
    <w:rsid w:val="0086618A"/>
    <w:rsid w:val="008676D0"/>
    <w:rsid w:val="008678BE"/>
    <w:rsid w:val="00870203"/>
    <w:rsid w:val="0087032A"/>
    <w:rsid w:val="00870AB1"/>
    <w:rsid w:val="00870B72"/>
    <w:rsid w:val="00870DCC"/>
    <w:rsid w:val="00871071"/>
    <w:rsid w:val="008719D5"/>
    <w:rsid w:val="00871B75"/>
    <w:rsid w:val="00871DEE"/>
    <w:rsid w:val="00871EC5"/>
    <w:rsid w:val="00872208"/>
    <w:rsid w:val="008728A4"/>
    <w:rsid w:val="00872BBF"/>
    <w:rsid w:val="008737F9"/>
    <w:rsid w:val="00873CCB"/>
    <w:rsid w:val="00873D1B"/>
    <w:rsid w:val="00874032"/>
    <w:rsid w:val="008740A8"/>
    <w:rsid w:val="008747D6"/>
    <w:rsid w:val="00874908"/>
    <w:rsid w:val="00874AC8"/>
    <w:rsid w:val="00874B35"/>
    <w:rsid w:val="00874FA0"/>
    <w:rsid w:val="00875314"/>
    <w:rsid w:val="00875576"/>
    <w:rsid w:val="00875637"/>
    <w:rsid w:val="00875E11"/>
    <w:rsid w:val="00875E56"/>
    <w:rsid w:val="00876600"/>
    <w:rsid w:val="008767A0"/>
    <w:rsid w:val="00876A68"/>
    <w:rsid w:val="00877B48"/>
    <w:rsid w:val="00877E8B"/>
    <w:rsid w:val="00880C41"/>
    <w:rsid w:val="0088136D"/>
    <w:rsid w:val="00881947"/>
    <w:rsid w:val="00881D1A"/>
    <w:rsid w:val="008821AD"/>
    <w:rsid w:val="008822FA"/>
    <w:rsid w:val="008823C3"/>
    <w:rsid w:val="0088293B"/>
    <w:rsid w:val="00882D60"/>
    <w:rsid w:val="00882D6F"/>
    <w:rsid w:val="00882FCF"/>
    <w:rsid w:val="00883419"/>
    <w:rsid w:val="00883DB6"/>
    <w:rsid w:val="00883EC5"/>
    <w:rsid w:val="008842E6"/>
    <w:rsid w:val="00884E29"/>
    <w:rsid w:val="00884E68"/>
    <w:rsid w:val="00885496"/>
    <w:rsid w:val="008856B9"/>
    <w:rsid w:val="008862C1"/>
    <w:rsid w:val="0088691E"/>
    <w:rsid w:val="00886B18"/>
    <w:rsid w:val="0088728F"/>
    <w:rsid w:val="00887D10"/>
    <w:rsid w:val="00887D3F"/>
    <w:rsid w:val="00890011"/>
    <w:rsid w:val="00890372"/>
    <w:rsid w:val="00890405"/>
    <w:rsid w:val="00890492"/>
    <w:rsid w:val="008911A6"/>
    <w:rsid w:val="00891A13"/>
    <w:rsid w:val="00891E8F"/>
    <w:rsid w:val="00892A9C"/>
    <w:rsid w:val="0089310E"/>
    <w:rsid w:val="00893246"/>
    <w:rsid w:val="00894139"/>
    <w:rsid w:val="00894518"/>
    <w:rsid w:val="00894AE6"/>
    <w:rsid w:val="00894EA6"/>
    <w:rsid w:val="00895075"/>
    <w:rsid w:val="00895952"/>
    <w:rsid w:val="00895B79"/>
    <w:rsid w:val="00896111"/>
    <w:rsid w:val="0089688F"/>
    <w:rsid w:val="0089693B"/>
    <w:rsid w:val="00896A3B"/>
    <w:rsid w:val="008972D2"/>
    <w:rsid w:val="00897444"/>
    <w:rsid w:val="0089745D"/>
    <w:rsid w:val="00897524"/>
    <w:rsid w:val="00897AAA"/>
    <w:rsid w:val="00897BA5"/>
    <w:rsid w:val="00897DC1"/>
    <w:rsid w:val="008A05D4"/>
    <w:rsid w:val="008A07DA"/>
    <w:rsid w:val="008A12CE"/>
    <w:rsid w:val="008A1359"/>
    <w:rsid w:val="008A13B2"/>
    <w:rsid w:val="008A182E"/>
    <w:rsid w:val="008A2505"/>
    <w:rsid w:val="008A2B2F"/>
    <w:rsid w:val="008A388B"/>
    <w:rsid w:val="008A3A33"/>
    <w:rsid w:val="008A3DF3"/>
    <w:rsid w:val="008A3E29"/>
    <w:rsid w:val="008A4D55"/>
    <w:rsid w:val="008A5830"/>
    <w:rsid w:val="008A5D1F"/>
    <w:rsid w:val="008A630C"/>
    <w:rsid w:val="008A6574"/>
    <w:rsid w:val="008A6D99"/>
    <w:rsid w:val="008A7A1C"/>
    <w:rsid w:val="008B0464"/>
    <w:rsid w:val="008B1528"/>
    <w:rsid w:val="008B1D8B"/>
    <w:rsid w:val="008B2478"/>
    <w:rsid w:val="008B32D9"/>
    <w:rsid w:val="008B3AFF"/>
    <w:rsid w:val="008B40C7"/>
    <w:rsid w:val="008B4150"/>
    <w:rsid w:val="008B47AA"/>
    <w:rsid w:val="008B5E59"/>
    <w:rsid w:val="008B5F7C"/>
    <w:rsid w:val="008B5FD4"/>
    <w:rsid w:val="008B63FF"/>
    <w:rsid w:val="008B64B5"/>
    <w:rsid w:val="008B662A"/>
    <w:rsid w:val="008B6E32"/>
    <w:rsid w:val="008B6EEB"/>
    <w:rsid w:val="008B6F8A"/>
    <w:rsid w:val="008B75F1"/>
    <w:rsid w:val="008B7C55"/>
    <w:rsid w:val="008C0545"/>
    <w:rsid w:val="008C09A6"/>
    <w:rsid w:val="008C0AB6"/>
    <w:rsid w:val="008C0DC5"/>
    <w:rsid w:val="008C0F86"/>
    <w:rsid w:val="008C12F6"/>
    <w:rsid w:val="008C155A"/>
    <w:rsid w:val="008C1754"/>
    <w:rsid w:val="008C178C"/>
    <w:rsid w:val="008C1B05"/>
    <w:rsid w:val="008C1BDC"/>
    <w:rsid w:val="008C1FF1"/>
    <w:rsid w:val="008C212E"/>
    <w:rsid w:val="008C23AA"/>
    <w:rsid w:val="008C24D1"/>
    <w:rsid w:val="008C283F"/>
    <w:rsid w:val="008C28B2"/>
    <w:rsid w:val="008C3454"/>
    <w:rsid w:val="008C37F9"/>
    <w:rsid w:val="008C3939"/>
    <w:rsid w:val="008C3ADA"/>
    <w:rsid w:val="008C4093"/>
    <w:rsid w:val="008C4179"/>
    <w:rsid w:val="008C4793"/>
    <w:rsid w:val="008C4B76"/>
    <w:rsid w:val="008C4EF2"/>
    <w:rsid w:val="008C50C3"/>
    <w:rsid w:val="008C53FB"/>
    <w:rsid w:val="008C639C"/>
    <w:rsid w:val="008C65A2"/>
    <w:rsid w:val="008C6997"/>
    <w:rsid w:val="008C6A31"/>
    <w:rsid w:val="008C788A"/>
    <w:rsid w:val="008C7AB9"/>
    <w:rsid w:val="008C7FE5"/>
    <w:rsid w:val="008D041A"/>
    <w:rsid w:val="008D1690"/>
    <w:rsid w:val="008D20F9"/>
    <w:rsid w:val="008D2239"/>
    <w:rsid w:val="008D33FD"/>
    <w:rsid w:val="008D38FC"/>
    <w:rsid w:val="008D3BBD"/>
    <w:rsid w:val="008D4365"/>
    <w:rsid w:val="008D4F5A"/>
    <w:rsid w:val="008D564D"/>
    <w:rsid w:val="008D5856"/>
    <w:rsid w:val="008D5E06"/>
    <w:rsid w:val="008D6109"/>
    <w:rsid w:val="008D642F"/>
    <w:rsid w:val="008D67A2"/>
    <w:rsid w:val="008D6AAD"/>
    <w:rsid w:val="008D6BD9"/>
    <w:rsid w:val="008D6F5B"/>
    <w:rsid w:val="008D6FE5"/>
    <w:rsid w:val="008D7466"/>
    <w:rsid w:val="008D7DC1"/>
    <w:rsid w:val="008D7F91"/>
    <w:rsid w:val="008E012E"/>
    <w:rsid w:val="008E1394"/>
    <w:rsid w:val="008E13C0"/>
    <w:rsid w:val="008E14EB"/>
    <w:rsid w:val="008E15FA"/>
    <w:rsid w:val="008E1D77"/>
    <w:rsid w:val="008E21CE"/>
    <w:rsid w:val="008E293C"/>
    <w:rsid w:val="008E369E"/>
    <w:rsid w:val="008E37B2"/>
    <w:rsid w:val="008E3C09"/>
    <w:rsid w:val="008E3EFC"/>
    <w:rsid w:val="008E3FC3"/>
    <w:rsid w:val="008E4357"/>
    <w:rsid w:val="008E490F"/>
    <w:rsid w:val="008E4F43"/>
    <w:rsid w:val="008E50A9"/>
    <w:rsid w:val="008E5B22"/>
    <w:rsid w:val="008E647A"/>
    <w:rsid w:val="008E64C3"/>
    <w:rsid w:val="008E6975"/>
    <w:rsid w:val="008E6986"/>
    <w:rsid w:val="008E69F1"/>
    <w:rsid w:val="008E7085"/>
    <w:rsid w:val="008E7230"/>
    <w:rsid w:val="008E76FF"/>
    <w:rsid w:val="008F0879"/>
    <w:rsid w:val="008F0CED"/>
    <w:rsid w:val="008F0F4E"/>
    <w:rsid w:val="008F12E2"/>
    <w:rsid w:val="008F1961"/>
    <w:rsid w:val="008F1AF4"/>
    <w:rsid w:val="008F1CB4"/>
    <w:rsid w:val="008F2391"/>
    <w:rsid w:val="008F2A4F"/>
    <w:rsid w:val="008F2E05"/>
    <w:rsid w:val="008F2FAB"/>
    <w:rsid w:val="008F328F"/>
    <w:rsid w:val="008F3344"/>
    <w:rsid w:val="008F3359"/>
    <w:rsid w:val="008F37FA"/>
    <w:rsid w:val="008F3AA6"/>
    <w:rsid w:val="008F4110"/>
    <w:rsid w:val="008F41E1"/>
    <w:rsid w:val="008F4850"/>
    <w:rsid w:val="008F501F"/>
    <w:rsid w:val="008F54C7"/>
    <w:rsid w:val="008F5566"/>
    <w:rsid w:val="008F5DD7"/>
    <w:rsid w:val="008F5F9E"/>
    <w:rsid w:val="008F6007"/>
    <w:rsid w:val="008F6A36"/>
    <w:rsid w:val="008F6B9A"/>
    <w:rsid w:val="008F6EA9"/>
    <w:rsid w:val="008F7180"/>
    <w:rsid w:val="008F76A1"/>
    <w:rsid w:val="008F785B"/>
    <w:rsid w:val="008F7C2F"/>
    <w:rsid w:val="008F7D70"/>
    <w:rsid w:val="008F7E7D"/>
    <w:rsid w:val="0090052A"/>
    <w:rsid w:val="0090073C"/>
    <w:rsid w:val="00900F86"/>
    <w:rsid w:val="00901224"/>
    <w:rsid w:val="009022C3"/>
    <w:rsid w:val="0090251E"/>
    <w:rsid w:val="00902769"/>
    <w:rsid w:val="00903360"/>
    <w:rsid w:val="00905139"/>
    <w:rsid w:val="009051ED"/>
    <w:rsid w:val="00905225"/>
    <w:rsid w:val="00905971"/>
    <w:rsid w:val="00905FE1"/>
    <w:rsid w:val="00906065"/>
    <w:rsid w:val="009064C5"/>
    <w:rsid w:val="00906C0C"/>
    <w:rsid w:val="00906C68"/>
    <w:rsid w:val="00906CFD"/>
    <w:rsid w:val="00907570"/>
    <w:rsid w:val="0090781B"/>
    <w:rsid w:val="009079DF"/>
    <w:rsid w:val="00907F7A"/>
    <w:rsid w:val="009105E7"/>
    <w:rsid w:val="009106B2"/>
    <w:rsid w:val="00910D76"/>
    <w:rsid w:val="00911023"/>
    <w:rsid w:val="009113A8"/>
    <w:rsid w:val="00912196"/>
    <w:rsid w:val="009126EE"/>
    <w:rsid w:val="0091277B"/>
    <w:rsid w:val="00912B28"/>
    <w:rsid w:val="00912BB5"/>
    <w:rsid w:val="00912FB1"/>
    <w:rsid w:val="009133F1"/>
    <w:rsid w:val="009134C5"/>
    <w:rsid w:val="009134D6"/>
    <w:rsid w:val="00913652"/>
    <w:rsid w:val="00913F1E"/>
    <w:rsid w:val="009141AD"/>
    <w:rsid w:val="00915097"/>
    <w:rsid w:val="009150F4"/>
    <w:rsid w:val="0091544D"/>
    <w:rsid w:val="00915611"/>
    <w:rsid w:val="009157EF"/>
    <w:rsid w:val="0091589A"/>
    <w:rsid w:val="00915CCF"/>
    <w:rsid w:val="00915F08"/>
    <w:rsid w:val="00915F30"/>
    <w:rsid w:val="00915FDD"/>
    <w:rsid w:val="00916132"/>
    <w:rsid w:val="009163E2"/>
    <w:rsid w:val="00916FE3"/>
    <w:rsid w:val="009170F7"/>
    <w:rsid w:val="00917B40"/>
    <w:rsid w:val="00920159"/>
    <w:rsid w:val="009205DF"/>
    <w:rsid w:val="00920802"/>
    <w:rsid w:val="0092081F"/>
    <w:rsid w:val="0092143E"/>
    <w:rsid w:val="009216F2"/>
    <w:rsid w:val="009216F5"/>
    <w:rsid w:val="00921AB3"/>
    <w:rsid w:val="00921B57"/>
    <w:rsid w:val="00922068"/>
    <w:rsid w:val="00922843"/>
    <w:rsid w:val="009229D6"/>
    <w:rsid w:val="00923109"/>
    <w:rsid w:val="00923345"/>
    <w:rsid w:val="009236A6"/>
    <w:rsid w:val="00923F64"/>
    <w:rsid w:val="00924261"/>
    <w:rsid w:val="00924281"/>
    <w:rsid w:val="00924312"/>
    <w:rsid w:val="009249B0"/>
    <w:rsid w:val="00925051"/>
    <w:rsid w:val="00925092"/>
    <w:rsid w:val="00925096"/>
    <w:rsid w:val="00925783"/>
    <w:rsid w:val="00925991"/>
    <w:rsid w:val="00925A3A"/>
    <w:rsid w:val="009260FF"/>
    <w:rsid w:val="00926399"/>
    <w:rsid w:val="009263BC"/>
    <w:rsid w:val="00926C60"/>
    <w:rsid w:val="009277CC"/>
    <w:rsid w:val="00927B66"/>
    <w:rsid w:val="00927C0E"/>
    <w:rsid w:val="009302BA"/>
    <w:rsid w:val="009317CB"/>
    <w:rsid w:val="009319D9"/>
    <w:rsid w:val="00932568"/>
    <w:rsid w:val="00932AF9"/>
    <w:rsid w:val="00932C4A"/>
    <w:rsid w:val="00933D74"/>
    <w:rsid w:val="009340E9"/>
    <w:rsid w:val="009341CA"/>
    <w:rsid w:val="00934E61"/>
    <w:rsid w:val="00934F9F"/>
    <w:rsid w:val="00935224"/>
    <w:rsid w:val="00935655"/>
    <w:rsid w:val="0093596E"/>
    <w:rsid w:val="00935A82"/>
    <w:rsid w:val="00935B59"/>
    <w:rsid w:val="00936C46"/>
    <w:rsid w:val="0093705A"/>
    <w:rsid w:val="00937982"/>
    <w:rsid w:val="009402CF"/>
    <w:rsid w:val="009404C4"/>
    <w:rsid w:val="0094064E"/>
    <w:rsid w:val="00940F69"/>
    <w:rsid w:val="009418ED"/>
    <w:rsid w:val="009421A4"/>
    <w:rsid w:val="009425B2"/>
    <w:rsid w:val="00942CF9"/>
    <w:rsid w:val="00942DCC"/>
    <w:rsid w:val="00943418"/>
    <w:rsid w:val="00944453"/>
    <w:rsid w:val="009444B6"/>
    <w:rsid w:val="00944708"/>
    <w:rsid w:val="0094486E"/>
    <w:rsid w:val="00944AC5"/>
    <w:rsid w:val="00945078"/>
    <w:rsid w:val="009454A3"/>
    <w:rsid w:val="00945B08"/>
    <w:rsid w:val="00945BCD"/>
    <w:rsid w:val="00945EA2"/>
    <w:rsid w:val="009464C5"/>
    <w:rsid w:val="0094675B"/>
    <w:rsid w:val="00946F71"/>
    <w:rsid w:val="00947553"/>
    <w:rsid w:val="00947856"/>
    <w:rsid w:val="00947D2B"/>
    <w:rsid w:val="00947FD7"/>
    <w:rsid w:val="00950026"/>
    <w:rsid w:val="009501B1"/>
    <w:rsid w:val="00950302"/>
    <w:rsid w:val="00950332"/>
    <w:rsid w:val="0095049E"/>
    <w:rsid w:val="00950C03"/>
    <w:rsid w:val="009523B9"/>
    <w:rsid w:val="00952A57"/>
    <w:rsid w:val="009535FD"/>
    <w:rsid w:val="00953CB6"/>
    <w:rsid w:val="00954227"/>
    <w:rsid w:val="009544E1"/>
    <w:rsid w:val="009545A3"/>
    <w:rsid w:val="009545B2"/>
    <w:rsid w:val="00954CBB"/>
    <w:rsid w:val="00955C5E"/>
    <w:rsid w:val="00955DFA"/>
    <w:rsid w:val="00956504"/>
    <w:rsid w:val="00956530"/>
    <w:rsid w:val="009567BD"/>
    <w:rsid w:val="009567E7"/>
    <w:rsid w:val="0095713F"/>
    <w:rsid w:val="0095744D"/>
    <w:rsid w:val="009577CE"/>
    <w:rsid w:val="009578C4"/>
    <w:rsid w:val="00957A71"/>
    <w:rsid w:val="00957E0D"/>
    <w:rsid w:val="0096008D"/>
    <w:rsid w:val="00960D7C"/>
    <w:rsid w:val="00961384"/>
    <w:rsid w:val="00961596"/>
    <w:rsid w:val="0096233F"/>
    <w:rsid w:val="00962441"/>
    <w:rsid w:val="0096283F"/>
    <w:rsid w:val="009630C8"/>
    <w:rsid w:val="00963A47"/>
    <w:rsid w:val="00963E53"/>
    <w:rsid w:val="00963EE2"/>
    <w:rsid w:val="00964545"/>
    <w:rsid w:val="00964912"/>
    <w:rsid w:val="00966106"/>
    <w:rsid w:val="009663AC"/>
    <w:rsid w:val="00966612"/>
    <w:rsid w:val="009667FA"/>
    <w:rsid w:val="00966893"/>
    <w:rsid w:val="00966C85"/>
    <w:rsid w:val="009677E1"/>
    <w:rsid w:val="00967B7A"/>
    <w:rsid w:val="00970247"/>
    <w:rsid w:val="009706AC"/>
    <w:rsid w:val="00970D0A"/>
    <w:rsid w:val="009711BB"/>
    <w:rsid w:val="00971847"/>
    <w:rsid w:val="009723C7"/>
    <w:rsid w:val="00972888"/>
    <w:rsid w:val="00972D9E"/>
    <w:rsid w:val="00972EDD"/>
    <w:rsid w:val="009736DC"/>
    <w:rsid w:val="009740D2"/>
    <w:rsid w:val="00974160"/>
    <w:rsid w:val="009742D4"/>
    <w:rsid w:val="009742F1"/>
    <w:rsid w:val="00974993"/>
    <w:rsid w:val="00974D14"/>
    <w:rsid w:val="0097510B"/>
    <w:rsid w:val="0097549B"/>
    <w:rsid w:val="009758BD"/>
    <w:rsid w:val="00975F07"/>
    <w:rsid w:val="00975FA2"/>
    <w:rsid w:val="00976253"/>
    <w:rsid w:val="00976287"/>
    <w:rsid w:val="009767EE"/>
    <w:rsid w:val="00976BFB"/>
    <w:rsid w:val="00976DA7"/>
    <w:rsid w:val="00977A98"/>
    <w:rsid w:val="00977D6B"/>
    <w:rsid w:val="00980233"/>
    <w:rsid w:val="0098064F"/>
    <w:rsid w:val="00980C78"/>
    <w:rsid w:val="00981DDD"/>
    <w:rsid w:val="00982277"/>
    <w:rsid w:val="00982796"/>
    <w:rsid w:val="0098279E"/>
    <w:rsid w:val="00982AA6"/>
    <w:rsid w:val="00982CBD"/>
    <w:rsid w:val="00982E98"/>
    <w:rsid w:val="00982F00"/>
    <w:rsid w:val="0098309D"/>
    <w:rsid w:val="009835B7"/>
    <w:rsid w:val="00983976"/>
    <w:rsid w:val="0098477A"/>
    <w:rsid w:val="0098493E"/>
    <w:rsid w:val="0098503F"/>
    <w:rsid w:val="009856DA"/>
    <w:rsid w:val="00985788"/>
    <w:rsid w:val="00985D14"/>
    <w:rsid w:val="00986C02"/>
    <w:rsid w:val="00987961"/>
    <w:rsid w:val="00990126"/>
    <w:rsid w:val="00990443"/>
    <w:rsid w:val="00990918"/>
    <w:rsid w:val="00990E56"/>
    <w:rsid w:val="00990E5B"/>
    <w:rsid w:val="0099160A"/>
    <w:rsid w:val="009917AB"/>
    <w:rsid w:val="009920AA"/>
    <w:rsid w:val="00992DD9"/>
    <w:rsid w:val="00992F18"/>
    <w:rsid w:val="00993527"/>
    <w:rsid w:val="009935CC"/>
    <w:rsid w:val="009935EB"/>
    <w:rsid w:val="00993CE9"/>
    <w:rsid w:val="00993DF7"/>
    <w:rsid w:val="00994E0D"/>
    <w:rsid w:val="00994F34"/>
    <w:rsid w:val="0099506F"/>
    <w:rsid w:val="009951D5"/>
    <w:rsid w:val="009956C0"/>
    <w:rsid w:val="00995A83"/>
    <w:rsid w:val="00995E06"/>
    <w:rsid w:val="00997489"/>
    <w:rsid w:val="00997680"/>
    <w:rsid w:val="009979AB"/>
    <w:rsid w:val="00997C09"/>
    <w:rsid w:val="00997F9F"/>
    <w:rsid w:val="009A030F"/>
    <w:rsid w:val="009A03B3"/>
    <w:rsid w:val="009A05F3"/>
    <w:rsid w:val="009A0B1D"/>
    <w:rsid w:val="009A149C"/>
    <w:rsid w:val="009A1664"/>
    <w:rsid w:val="009A19A3"/>
    <w:rsid w:val="009A1CA4"/>
    <w:rsid w:val="009A25FE"/>
    <w:rsid w:val="009A2BE9"/>
    <w:rsid w:val="009A2ED8"/>
    <w:rsid w:val="009A2F7A"/>
    <w:rsid w:val="009A31AC"/>
    <w:rsid w:val="009A31B0"/>
    <w:rsid w:val="009A35D5"/>
    <w:rsid w:val="009A38A3"/>
    <w:rsid w:val="009A3ABC"/>
    <w:rsid w:val="009A3CF1"/>
    <w:rsid w:val="009A4139"/>
    <w:rsid w:val="009A486C"/>
    <w:rsid w:val="009A5E3F"/>
    <w:rsid w:val="009A5FF9"/>
    <w:rsid w:val="009A6306"/>
    <w:rsid w:val="009A651D"/>
    <w:rsid w:val="009A68B0"/>
    <w:rsid w:val="009A7414"/>
    <w:rsid w:val="009A7793"/>
    <w:rsid w:val="009A7B2C"/>
    <w:rsid w:val="009B04C1"/>
    <w:rsid w:val="009B0778"/>
    <w:rsid w:val="009B0834"/>
    <w:rsid w:val="009B1140"/>
    <w:rsid w:val="009B1282"/>
    <w:rsid w:val="009B1610"/>
    <w:rsid w:val="009B1773"/>
    <w:rsid w:val="009B18B1"/>
    <w:rsid w:val="009B1AAF"/>
    <w:rsid w:val="009B202D"/>
    <w:rsid w:val="009B2043"/>
    <w:rsid w:val="009B24F2"/>
    <w:rsid w:val="009B27BB"/>
    <w:rsid w:val="009B2FDD"/>
    <w:rsid w:val="009B330F"/>
    <w:rsid w:val="009B348E"/>
    <w:rsid w:val="009B3DC0"/>
    <w:rsid w:val="009B420C"/>
    <w:rsid w:val="009B4E86"/>
    <w:rsid w:val="009B5223"/>
    <w:rsid w:val="009B548F"/>
    <w:rsid w:val="009B58D4"/>
    <w:rsid w:val="009B5A7E"/>
    <w:rsid w:val="009B5A97"/>
    <w:rsid w:val="009B6240"/>
    <w:rsid w:val="009B626C"/>
    <w:rsid w:val="009B6F1A"/>
    <w:rsid w:val="009B7551"/>
    <w:rsid w:val="009B759A"/>
    <w:rsid w:val="009C0593"/>
    <w:rsid w:val="009C0CFE"/>
    <w:rsid w:val="009C1529"/>
    <w:rsid w:val="009C15B6"/>
    <w:rsid w:val="009C168E"/>
    <w:rsid w:val="009C1B62"/>
    <w:rsid w:val="009C1CC5"/>
    <w:rsid w:val="009C214E"/>
    <w:rsid w:val="009C2190"/>
    <w:rsid w:val="009C257D"/>
    <w:rsid w:val="009C2582"/>
    <w:rsid w:val="009C2C4E"/>
    <w:rsid w:val="009C3016"/>
    <w:rsid w:val="009C3209"/>
    <w:rsid w:val="009C324C"/>
    <w:rsid w:val="009C392F"/>
    <w:rsid w:val="009C40E6"/>
    <w:rsid w:val="009C43CC"/>
    <w:rsid w:val="009C4D0E"/>
    <w:rsid w:val="009C4F7E"/>
    <w:rsid w:val="009C5802"/>
    <w:rsid w:val="009C5DD6"/>
    <w:rsid w:val="009C60EB"/>
    <w:rsid w:val="009C6130"/>
    <w:rsid w:val="009C64FC"/>
    <w:rsid w:val="009C679D"/>
    <w:rsid w:val="009C68E3"/>
    <w:rsid w:val="009C69A9"/>
    <w:rsid w:val="009C6CC1"/>
    <w:rsid w:val="009C709E"/>
    <w:rsid w:val="009C71F6"/>
    <w:rsid w:val="009C77BD"/>
    <w:rsid w:val="009C7B71"/>
    <w:rsid w:val="009C7F9F"/>
    <w:rsid w:val="009D06B0"/>
    <w:rsid w:val="009D07E9"/>
    <w:rsid w:val="009D143E"/>
    <w:rsid w:val="009D177F"/>
    <w:rsid w:val="009D17B9"/>
    <w:rsid w:val="009D2999"/>
    <w:rsid w:val="009D30E2"/>
    <w:rsid w:val="009D31B2"/>
    <w:rsid w:val="009D3533"/>
    <w:rsid w:val="009D3A01"/>
    <w:rsid w:val="009D3A19"/>
    <w:rsid w:val="009D3DF8"/>
    <w:rsid w:val="009D3E13"/>
    <w:rsid w:val="009D3FC3"/>
    <w:rsid w:val="009D4416"/>
    <w:rsid w:val="009D5128"/>
    <w:rsid w:val="009D5232"/>
    <w:rsid w:val="009D5C29"/>
    <w:rsid w:val="009D6173"/>
    <w:rsid w:val="009D7A54"/>
    <w:rsid w:val="009D7A8C"/>
    <w:rsid w:val="009D7D39"/>
    <w:rsid w:val="009E052E"/>
    <w:rsid w:val="009E096D"/>
    <w:rsid w:val="009E0BB4"/>
    <w:rsid w:val="009E0D97"/>
    <w:rsid w:val="009E1A8E"/>
    <w:rsid w:val="009E1F96"/>
    <w:rsid w:val="009E21CD"/>
    <w:rsid w:val="009E2AF7"/>
    <w:rsid w:val="009E2DDC"/>
    <w:rsid w:val="009E3025"/>
    <w:rsid w:val="009E31DE"/>
    <w:rsid w:val="009E33CA"/>
    <w:rsid w:val="009E3896"/>
    <w:rsid w:val="009E3A94"/>
    <w:rsid w:val="009E4A72"/>
    <w:rsid w:val="009E4E41"/>
    <w:rsid w:val="009E4F50"/>
    <w:rsid w:val="009E51FF"/>
    <w:rsid w:val="009E57BC"/>
    <w:rsid w:val="009E57C3"/>
    <w:rsid w:val="009E59A0"/>
    <w:rsid w:val="009E6048"/>
    <w:rsid w:val="009E6A2E"/>
    <w:rsid w:val="009E72ED"/>
    <w:rsid w:val="009E73A7"/>
    <w:rsid w:val="009E7ABB"/>
    <w:rsid w:val="009E7C80"/>
    <w:rsid w:val="009F009A"/>
    <w:rsid w:val="009F04A5"/>
    <w:rsid w:val="009F0795"/>
    <w:rsid w:val="009F0F3D"/>
    <w:rsid w:val="009F1721"/>
    <w:rsid w:val="009F1AE2"/>
    <w:rsid w:val="009F1B0D"/>
    <w:rsid w:val="009F1E3A"/>
    <w:rsid w:val="009F2287"/>
    <w:rsid w:val="009F2347"/>
    <w:rsid w:val="009F2B25"/>
    <w:rsid w:val="009F2E39"/>
    <w:rsid w:val="009F2FB0"/>
    <w:rsid w:val="009F3450"/>
    <w:rsid w:val="009F3DDA"/>
    <w:rsid w:val="009F3DE4"/>
    <w:rsid w:val="009F43FD"/>
    <w:rsid w:val="009F4981"/>
    <w:rsid w:val="009F4D2A"/>
    <w:rsid w:val="009F58D5"/>
    <w:rsid w:val="009F5DE0"/>
    <w:rsid w:val="009F5FFB"/>
    <w:rsid w:val="009F642C"/>
    <w:rsid w:val="009F657B"/>
    <w:rsid w:val="009F6584"/>
    <w:rsid w:val="009F6A63"/>
    <w:rsid w:val="009F6C09"/>
    <w:rsid w:val="009F73DB"/>
    <w:rsid w:val="009F7FE0"/>
    <w:rsid w:val="00A0004A"/>
    <w:rsid w:val="00A006B6"/>
    <w:rsid w:val="00A00A9A"/>
    <w:rsid w:val="00A014B4"/>
    <w:rsid w:val="00A01877"/>
    <w:rsid w:val="00A0332D"/>
    <w:rsid w:val="00A04157"/>
    <w:rsid w:val="00A042AE"/>
    <w:rsid w:val="00A05069"/>
    <w:rsid w:val="00A05644"/>
    <w:rsid w:val="00A057BE"/>
    <w:rsid w:val="00A05F0D"/>
    <w:rsid w:val="00A05FC5"/>
    <w:rsid w:val="00A06A7A"/>
    <w:rsid w:val="00A06E2E"/>
    <w:rsid w:val="00A06EA4"/>
    <w:rsid w:val="00A0737C"/>
    <w:rsid w:val="00A075FD"/>
    <w:rsid w:val="00A078A4"/>
    <w:rsid w:val="00A07E26"/>
    <w:rsid w:val="00A1035B"/>
    <w:rsid w:val="00A1075D"/>
    <w:rsid w:val="00A10F82"/>
    <w:rsid w:val="00A11455"/>
    <w:rsid w:val="00A11EEF"/>
    <w:rsid w:val="00A1265D"/>
    <w:rsid w:val="00A12D80"/>
    <w:rsid w:val="00A13217"/>
    <w:rsid w:val="00A13233"/>
    <w:rsid w:val="00A134E3"/>
    <w:rsid w:val="00A13818"/>
    <w:rsid w:val="00A138FA"/>
    <w:rsid w:val="00A13CCF"/>
    <w:rsid w:val="00A140F7"/>
    <w:rsid w:val="00A14537"/>
    <w:rsid w:val="00A14A57"/>
    <w:rsid w:val="00A14CD9"/>
    <w:rsid w:val="00A14D17"/>
    <w:rsid w:val="00A14F93"/>
    <w:rsid w:val="00A14FB1"/>
    <w:rsid w:val="00A166C2"/>
    <w:rsid w:val="00A169DF"/>
    <w:rsid w:val="00A16D28"/>
    <w:rsid w:val="00A17383"/>
    <w:rsid w:val="00A17A39"/>
    <w:rsid w:val="00A20114"/>
    <w:rsid w:val="00A20268"/>
    <w:rsid w:val="00A2053B"/>
    <w:rsid w:val="00A2070A"/>
    <w:rsid w:val="00A20C08"/>
    <w:rsid w:val="00A20C93"/>
    <w:rsid w:val="00A21348"/>
    <w:rsid w:val="00A2162E"/>
    <w:rsid w:val="00A218D9"/>
    <w:rsid w:val="00A2230B"/>
    <w:rsid w:val="00A224CB"/>
    <w:rsid w:val="00A22DCE"/>
    <w:rsid w:val="00A22F3C"/>
    <w:rsid w:val="00A23A47"/>
    <w:rsid w:val="00A23E4C"/>
    <w:rsid w:val="00A25266"/>
    <w:rsid w:val="00A2648F"/>
    <w:rsid w:val="00A26971"/>
    <w:rsid w:val="00A26C32"/>
    <w:rsid w:val="00A26CEA"/>
    <w:rsid w:val="00A2724B"/>
    <w:rsid w:val="00A27AAF"/>
    <w:rsid w:val="00A30622"/>
    <w:rsid w:val="00A30A2B"/>
    <w:rsid w:val="00A30FC8"/>
    <w:rsid w:val="00A31019"/>
    <w:rsid w:val="00A315C4"/>
    <w:rsid w:val="00A31FC9"/>
    <w:rsid w:val="00A3224D"/>
    <w:rsid w:val="00A327A1"/>
    <w:rsid w:val="00A33235"/>
    <w:rsid w:val="00A33242"/>
    <w:rsid w:val="00A33382"/>
    <w:rsid w:val="00A336FB"/>
    <w:rsid w:val="00A33C98"/>
    <w:rsid w:val="00A33FB9"/>
    <w:rsid w:val="00A346A7"/>
    <w:rsid w:val="00A34AE8"/>
    <w:rsid w:val="00A34D65"/>
    <w:rsid w:val="00A34EFA"/>
    <w:rsid w:val="00A34FF1"/>
    <w:rsid w:val="00A35AEB"/>
    <w:rsid w:val="00A3610E"/>
    <w:rsid w:val="00A368CB"/>
    <w:rsid w:val="00A36D6D"/>
    <w:rsid w:val="00A37442"/>
    <w:rsid w:val="00A37642"/>
    <w:rsid w:val="00A3796F"/>
    <w:rsid w:val="00A37E55"/>
    <w:rsid w:val="00A40267"/>
    <w:rsid w:val="00A4061A"/>
    <w:rsid w:val="00A407FC"/>
    <w:rsid w:val="00A40932"/>
    <w:rsid w:val="00A40C3F"/>
    <w:rsid w:val="00A40CE2"/>
    <w:rsid w:val="00A411E6"/>
    <w:rsid w:val="00A4143C"/>
    <w:rsid w:val="00A42198"/>
    <w:rsid w:val="00A42241"/>
    <w:rsid w:val="00A423B1"/>
    <w:rsid w:val="00A42A88"/>
    <w:rsid w:val="00A42BD2"/>
    <w:rsid w:val="00A42D2D"/>
    <w:rsid w:val="00A430A0"/>
    <w:rsid w:val="00A430B4"/>
    <w:rsid w:val="00A4335F"/>
    <w:rsid w:val="00A4339C"/>
    <w:rsid w:val="00A43902"/>
    <w:rsid w:val="00A43C2C"/>
    <w:rsid w:val="00A44239"/>
    <w:rsid w:val="00A443B1"/>
    <w:rsid w:val="00A4467D"/>
    <w:rsid w:val="00A45314"/>
    <w:rsid w:val="00A45DEA"/>
    <w:rsid w:val="00A45E3F"/>
    <w:rsid w:val="00A45E47"/>
    <w:rsid w:val="00A46241"/>
    <w:rsid w:val="00A46433"/>
    <w:rsid w:val="00A466D9"/>
    <w:rsid w:val="00A47077"/>
    <w:rsid w:val="00A471F8"/>
    <w:rsid w:val="00A474E6"/>
    <w:rsid w:val="00A479B2"/>
    <w:rsid w:val="00A50CA5"/>
    <w:rsid w:val="00A51EB8"/>
    <w:rsid w:val="00A51FFC"/>
    <w:rsid w:val="00A52624"/>
    <w:rsid w:val="00A534D0"/>
    <w:rsid w:val="00A5351B"/>
    <w:rsid w:val="00A53770"/>
    <w:rsid w:val="00A53808"/>
    <w:rsid w:val="00A53A0B"/>
    <w:rsid w:val="00A53A78"/>
    <w:rsid w:val="00A53AA8"/>
    <w:rsid w:val="00A53CBB"/>
    <w:rsid w:val="00A53DD2"/>
    <w:rsid w:val="00A5411E"/>
    <w:rsid w:val="00A54337"/>
    <w:rsid w:val="00A5467B"/>
    <w:rsid w:val="00A54801"/>
    <w:rsid w:val="00A54CC4"/>
    <w:rsid w:val="00A54D3D"/>
    <w:rsid w:val="00A56B5F"/>
    <w:rsid w:val="00A56D86"/>
    <w:rsid w:val="00A570BF"/>
    <w:rsid w:val="00A573A6"/>
    <w:rsid w:val="00A573ED"/>
    <w:rsid w:val="00A57577"/>
    <w:rsid w:val="00A579BA"/>
    <w:rsid w:val="00A57E9A"/>
    <w:rsid w:val="00A6012B"/>
    <w:rsid w:val="00A602E5"/>
    <w:rsid w:val="00A619E9"/>
    <w:rsid w:val="00A61C8B"/>
    <w:rsid w:val="00A61F01"/>
    <w:rsid w:val="00A62045"/>
    <w:rsid w:val="00A6214E"/>
    <w:rsid w:val="00A62362"/>
    <w:rsid w:val="00A6273D"/>
    <w:rsid w:val="00A63032"/>
    <w:rsid w:val="00A6357C"/>
    <w:rsid w:val="00A63996"/>
    <w:rsid w:val="00A63B7F"/>
    <w:rsid w:val="00A63CDE"/>
    <w:rsid w:val="00A63E0A"/>
    <w:rsid w:val="00A63F3A"/>
    <w:rsid w:val="00A644E6"/>
    <w:rsid w:val="00A652AC"/>
    <w:rsid w:val="00A658BE"/>
    <w:rsid w:val="00A6694E"/>
    <w:rsid w:val="00A66E45"/>
    <w:rsid w:val="00A6753B"/>
    <w:rsid w:val="00A67690"/>
    <w:rsid w:val="00A676B4"/>
    <w:rsid w:val="00A67B19"/>
    <w:rsid w:val="00A67B40"/>
    <w:rsid w:val="00A67F86"/>
    <w:rsid w:val="00A70283"/>
    <w:rsid w:val="00A7078C"/>
    <w:rsid w:val="00A70DD9"/>
    <w:rsid w:val="00A71990"/>
    <w:rsid w:val="00A71AC6"/>
    <w:rsid w:val="00A72701"/>
    <w:rsid w:val="00A72AF6"/>
    <w:rsid w:val="00A72BF6"/>
    <w:rsid w:val="00A7341F"/>
    <w:rsid w:val="00A739DD"/>
    <w:rsid w:val="00A739EE"/>
    <w:rsid w:val="00A73DC5"/>
    <w:rsid w:val="00A7462B"/>
    <w:rsid w:val="00A74826"/>
    <w:rsid w:val="00A74B1A"/>
    <w:rsid w:val="00A74B57"/>
    <w:rsid w:val="00A74E7F"/>
    <w:rsid w:val="00A74FE6"/>
    <w:rsid w:val="00A751B3"/>
    <w:rsid w:val="00A75329"/>
    <w:rsid w:val="00A754FF"/>
    <w:rsid w:val="00A75721"/>
    <w:rsid w:val="00A7574D"/>
    <w:rsid w:val="00A758AE"/>
    <w:rsid w:val="00A758EE"/>
    <w:rsid w:val="00A75D22"/>
    <w:rsid w:val="00A769BB"/>
    <w:rsid w:val="00A76EF7"/>
    <w:rsid w:val="00A76F36"/>
    <w:rsid w:val="00A77912"/>
    <w:rsid w:val="00A804FE"/>
    <w:rsid w:val="00A80862"/>
    <w:rsid w:val="00A80F24"/>
    <w:rsid w:val="00A81AEF"/>
    <w:rsid w:val="00A82505"/>
    <w:rsid w:val="00A83221"/>
    <w:rsid w:val="00A83521"/>
    <w:rsid w:val="00A83898"/>
    <w:rsid w:val="00A83D98"/>
    <w:rsid w:val="00A83E73"/>
    <w:rsid w:val="00A84709"/>
    <w:rsid w:val="00A84C2B"/>
    <w:rsid w:val="00A84E34"/>
    <w:rsid w:val="00A851F6"/>
    <w:rsid w:val="00A85BED"/>
    <w:rsid w:val="00A85FA1"/>
    <w:rsid w:val="00A86728"/>
    <w:rsid w:val="00A87355"/>
    <w:rsid w:val="00A873A5"/>
    <w:rsid w:val="00A87810"/>
    <w:rsid w:val="00A87B54"/>
    <w:rsid w:val="00A87DAD"/>
    <w:rsid w:val="00A87F3B"/>
    <w:rsid w:val="00A87FC3"/>
    <w:rsid w:val="00A901E6"/>
    <w:rsid w:val="00A9112D"/>
    <w:rsid w:val="00A9115F"/>
    <w:rsid w:val="00A91548"/>
    <w:rsid w:val="00A91F88"/>
    <w:rsid w:val="00A92005"/>
    <w:rsid w:val="00A9204E"/>
    <w:rsid w:val="00A932AD"/>
    <w:rsid w:val="00A93885"/>
    <w:rsid w:val="00A94074"/>
    <w:rsid w:val="00A940BE"/>
    <w:rsid w:val="00A9471E"/>
    <w:rsid w:val="00A9490D"/>
    <w:rsid w:val="00A94D85"/>
    <w:rsid w:val="00A94DD8"/>
    <w:rsid w:val="00A94F0F"/>
    <w:rsid w:val="00A95621"/>
    <w:rsid w:val="00A95B1F"/>
    <w:rsid w:val="00A95B7A"/>
    <w:rsid w:val="00A9614D"/>
    <w:rsid w:val="00A96884"/>
    <w:rsid w:val="00A97000"/>
    <w:rsid w:val="00A97195"/>
    <w:rsid w:val="00A97BF8"/>
    <w:rsid w:val="00A97F51"/>
    <w:rsid w:val="00AA04B1"/>
    <w:rsid w:val="00AA04D5"/>
    <w:rsid w:val="00AA05E2"/>
    <w:rsid w:val="00AA07E8"/>
    <w:rsid w:val="00AA09C2"/>
    <w:rsid w:val="00AA0F97"/>
    <w:rsid w:val="00AA0FD9"/>
    <w:rsid w:val="00AA15E2"/>
    <w:rsid w:val="00AA1F38"/>
    <w:rsid w:val="00AA24F5"/>
    <w:rsid w:val="00AA38E3"/>
    <w:rsid w:val="00AA38F3"/>
    <w:rsid w:val="00AA42BE"/>
    <w:rsid w:val="00AA46FD"/>
    <w:rsid w:val="00AA47F5"/>
    <w:rsid w:val="00AA4EC8"/>
    <w:rsid w:val="00AA51DE"/>
    <w:rsid w:val="00AA61BD"/>
    <w:rsid w:val="00AA6D4D"/>
    <w:rsid w:val="00AA78D3"/>
    <w:rsid w:val="00AB0DE1"/>
    <w:rsid w:val="00AB0F36"/>
    <w:rsid w:val="00AB103F"/>
    <w:rsid w:val="00AB1874"/>
    <w:rsid w:val="00AB2071"/>
    <w:rsid w:val="00AB208D"/>
    <w:rsid w:val="00AB2891"/>
    <w:rsid w:val="00AB296E"/>
    <w:rsid w:val="00AB2A9D"/>
    <w:rsid w:val="00AB2AB1"/>
    <w:rsid w:val="00AB2DF7"/>
    <w:rsid w:val="00AB31F6"/>
    <w:rsid w:val="00AB362C"/>
    <w:rsid w:val="00AB3CE3"/>
    <w:rsid w:val="00AB4179"/>
    <w:rsid w:val="00AB44DE"/>
    <w:rsid w:val="00AB49C2"/>
    <w:rsid w:val="00AB4CAC"/>
    <w:rsid w:val="00AB5E06"/>
    <w:rsid w:val="00AB5F83"/>
    <w:rsid w:val="00AB5F93"/>
    <w:rsid w:val="00AB6485"/>
    <w:rsid w:val="00AB6864"/>
    <w:rsid w:val="00AB6926"/>
    <w:rsid w:val="00AB7409"/>
    <w:rsid w:val="00AC00AF"/>
    <w:rsid w:val="00AC014F"/>
    <w:rsid w:val="00AC0308"/>
    <w:rsid w:val="00AC05E2"/>
    <w:rsid w:val="00AC0DE9"/>
    <w:rsid w:val="00AC0E37"/>
    <w:rsid w:val="00AC14FC"/>
    <w:rsid w:val="00AC19BF"/>
    <w:rsid w:val="00AC1B0B"/>
    <w:rsid w:val="00AC250D"/>
    <w:rsid w:val="00AC2582"/>
    <w:rsid w:val="00AC25D4"/>
    <w:rsid w:val="00AC4069"/>
    <w:rsid w:val="00AC418B"/>
    <w:rsid w:val="00AC462C"/>
    <w:rsid w:val="00AC462E"/>
    <w:rsid w:val="00AC4954"/>
    <w:rsid w:val="00AC4978"/>
    <w:rsid w:val="00AC4D59"/>
    <w:rsid w:val="00AC5AF4"/>
    <w:rsid w:val="00AC610A"/>
    <w:rsid w:val="00AC663A"/>
    <w:rsid w:val="00AC6CFA"/>
    <w:rsid w:val="00AC79F6"/>
    <w:rsid w:val="00AC7F3E"/>
    <w:rsid w:val="00AD02E6"/>
    <w:rsid w:val="00AD0713"/>
    <w:rsid w:val="00AD07EE"/>
    <w:rsid w:val="00AD0F9A"/>
    <w:rsid w:val="00AD0FDC"/>
    <w:rsid w:val="00AD12D0"/>
    <w:rsid w:val="00AD176D"/>
    <w:rsid w:val="00AD1944"/>
    <w:rsid w:val="00AD2119"/>
    <w:rsid w:val="00AD21BB"/>
    <w:rsid w:val="00AD2A63"/>
    <w:rsid w:val="00AD2ABE"/>
    <w:rsid w:val="00AD2B1A"/>
    <w:rsid w:val="00AD2C57"/>
    <w:rsid w:val="00AD2EBB"/>
    <w:rsid w:val="00AD3147"/>
    <w:rsid w:val="00AD39B4"/>
    <w:rsid w:val="00AD3A9A"/>
    <w:rsid w:val="00AD3E7A"/>
    <w:rsid w:val="00AD4306"/>
    <w:rsid w:val="00AD4395"/>
    <w:rsid w:val="00AD45E0"/>
    <w:rsid w:val="00AD4DD0"/>
    <w:rsid w:val="00AD5320"/>
    <w:rsid w:val="00AD56B1"/>
    <w:rsid w:val="00AD605D"/>
    <w:rsid w:val="00AD6919"/>
    <w:rsid w:val="00AD6F56"/>
    <w:rsid w:val="00AD7517"/>
    <w:rsid w:val="00AD756D"/>
    <w:rsid w:val="00AE0094"/>
    <w:rsid w:val="00AE13A6"/>
    <w:rsid w:val="00AE18FD"/>
    <w:rsid w:val="00AE20B5"/>
    <w:rsid w:val="00AE20D2"/>
    <w:rsid w:val="00AE2BD9"/>
    <w:rsid w:val="00AE2CC0"/>
    <w:rsid w:val="00AE387F"/>
    <w:rsid w:val="00AE3B42"/>
    <w:rsid w:val="00AE3C21"/>
    <w:rsid w:val="00AE4694"/>
    <w:rsid w:val="00AE480F"/>
    <w:rsid w:val="00AE4954"/>
    <w:rsid w:val="00AE4A17"/>
    <w:rsid w:val="00AE55CF"/>
    <w:rsid w:val="00AE5C2C"/>
    <w:rsid w:val="00AE6096"/>
    <w:rsid w:val="00AE67FE"/>
    <w:rsid w:val="00AE6976"/>
    <w:rsid w:val="00AE6C37"/>
    <w:rsid w:val="00AE6C86"/>
    <w:rsid w:val="00AE7210"/>
    <w:rsid w:val="00AE7328"/>
    <w:rsid w:val="00AE7915"/>
    <w:rsid w:val="00AE7E56"/>
    <w:rsid w:val="00AF0BE8"/>
    <w:rsid w:val="00AF0DF1"/>
    <w:rsid w:val="00AF122E"/>
    <w:rsid w:val="00AF2A79"/>
    <w:rsid w:val="00AF2EC7"/>
    <w:rsid w:val="00AF2F8C"/>
    <w:rsid w:val="00AF3890"/>
    <w:rsid w:val="00AF3C61"/>
    <w:rsid w:val="00AF3F2D"/>
    <w:rsid w:val="00AF4242"/>
    <w:rsid w:val="00AF4828"/>
    <w:rsid w:val="00AF49F3"/>
    <w:rsid w:val="00AF4C3A"/>
    <w:rsid w:val="00AF566A"/>
    <w:rsid w:val="00AF5BEC"/>
    <w:rsid w:val="00AF5E31"/>
    <w:rsid w:val="00AF61FA"/>
    <w:rsid w:val="00AF75D5"/>
    <w:rsid w:val="00AF7641"/>
    <w:rsid w:val="00B004D7"/>
    <w:rsid w:val="00B00575"/>
    <w:rsid w:val="00B00A42"/>
    <w:rsid w:val="00B00C39"/>
    <w:rsid w:val="00B00CE4"/>
    <w:rsid w:val="00B011EB"/>
    <w:rsid w:val="00B01CA8"/>
    <w:rsid w:val="00B01E2E"/>
    <w:rsid w:val="00B021BE"/>
    <w:rsid w:val="00B02540"/>
    <w:rsid w:val="00B029D9"/>
    <w:rsid w:val="00B02B0D"/>
    <w:rsid w:val="00B0360D"/>
    <w:rsid w:val="00B0365F"/>
    <w:rsid w:val="00B03719"/>
    <w:rsid w:val="00B03758"/>
    <w:rsid w:val="00B039BC"/>
    <w:rsid w:val="00B0406D"/>
    <w:rsid w:val="00B05A04"/>
    <w:rsid w:val="00B06366"/>
    <w:rsid w:val="00B0676D"/>
    <w:rsid w:val="00B06C9A"/>
    <w:rsid w:val="00B0723C"/>
    <w:rsid w:val="00B07CDC"/>
    <w:rsid w:val="00B1046A"/>
    <w:rsid w:val="00B10933"/>
    <w:rsid w:val="00B10A7A"/>
    <w:rsid w:val="00B10AB9"/>
    <w:rsid w:val="00B117C7"/>
    <w:rsid w:val="00B11E69"/>
    <w:rsid w:val="00B124CB"/>
    <w:rsid w:val="00B12760"/>
    <w:rsid w:val="00B12C79"/>
    <w:rsid w:val="00B12D58"/>
    <w:rsid w:val="00B130CC"/>
    <w:rsid w:val="00B1333C"/>
    <w:rsid w:val="00B1352C"/>
    <w:rsid w:val="00B13748"/>
    <w:rsid w:val="00B13C78"/>
    <w:rsid w:val="00B14682"/>
    <w:rsid w:val="00B14F53"/>
    <w:rsid w:val="00B15797"/>
    <w:rsid w:val="00B1597F"/>
    <w:rsid w:val="00B16392"/>
    <w:rsid w:val="00B16485"/>
    <w:rsid w:val="00B168F1"/>
    <w:rsid w:val="00B16A14"/>
    <w:rsid w:val="00B17307"/>
    <w:rsid w:val="00B17342"/>
    <w:rsid w:val="00B17E6D"/>
    <w:rsid w:val="00B20189"/>
    <w:rsid w:val="00B207A6"/>
    <w:rsid w:val="00B208B9"/>
    <w:rsid w:val="00B20E80"/>
    <w:rsid w:val="00B218BC"/>
    <w:rsid w:val="00B21C63"/>
    <w:rsid w:val="00B22025"/>
    <w:rsid w:val="00B2243A"/>
    <w:rsid w:val="00B22861"/>
    <w:rsid w:val="00B22BBB"/>
    <w:rsid w:val="00B22EF3"/>
    <w:rsid w:val="00B23113"/>
    <w:rsid w:val="00B23275"/>
    <w:rsid w:val="00B23EAC"/>
    <w:rsid w:val="00B2419F"/>
    <w:rsid w:val="00B241B8"/>
    <w:rsid w:val="00B24337"/>
    <w:rsid w:val="00B24351"/>
    <w:rsid w:val="00B2459F"/>
    <w:rsid w:val="00B25380"/>
    <w:rsid w:val="00B25658"/>
    <w:rsid w:val="00B25A8C"/>
    <w:rsid w:val="00B25AEC"/>
    <w:rsid w:val="00B265EC"/>
    <w:rsid w:val="00B26DF3"/>
    <w:rsid w:val="00B2705F"/>
    <w:rsid w:val="00B27297"/>
    <w:rsid w:val="00B27633"/>
    <w:rsid w:val="00B2794C"/>
    <w:rsid w:val="00B279E9"/>
    <w:rsid w:val="00B3011F"/>
    <w:rsid w:val="00B31C28"/>
    <w:rsid w:val="00B32570"/>
    <w:rsid w:val="00B32C0D"/>
    <w:rsid w:val="00B3344B"/>
    <w:rsid w:val="00B33C59"/>
    <w:rsid w:val="00B3459C"/>
    <w:rsid w:val="00B34662"/>
    <w:rsid w:val="00B34B11"/>
    <w:rsid w:val="00B34B83"/>
    <w:rsid w:val="00B34C89"/>
    <w:rsid w:val="00B34D2A"/>
    <w:rsid w:val="00B34D65"/>
    <w:rsid w:val="00B34D6F"/>
    <w:rsid w:val="00B3512B"/>
    <w:rsid w:val="00B35148"/>
    <w:rsid w:val="00B35496"/>
    <w:rsid w:val="00B359C6"/>
    <w:rsid w:val="00B35E9F"/>
    <w:rsid w:val="00B35FCD"/>
    <w:rsid w:val="00B35FE0"/>
    <w:rsid w:val="00B36815"/>
    <w:rsid w:val="00B36C69"/>
    <w:rsid w:val="00B36F74"/>
    <w:rsid w:val="00B3794D"/>
    <w:rsid w:val="00B37B72"/>
    <w:rsid w:val="00B406EC"/>
    <w:rsid w:val="00B40908"/>
    <w:rsid w:val="00B4094A"/>
    <w:rsid w:val="00B40B1E"/>
    <w:rsid w:val="00B40DEE"/>
    <w:rsid w:val="00B40FF0"/>
    <w:rsid w:val="00B41986"/>
    <w:rsid w:val="00B41D52"/>
    <w:rsid w:val="00B421BA"/>
    <w:rsid w:val="00B42552"/>
    <w:rsid w:val="00B42DFA"/>
    <w:rsid w:val="00B43757"/>
    <w:rsid w:val="00B43AEE"/>
    <w:rsid w:val="00B43AF4"/>
    <w:rsid w:val="00B43EC4"/>
    <w:rsid w:val="00B44F84"/>
    <w:rsid w:val="00B46048"/>
    <w:rsid w:val="00B4641C"/>
    <w:rsid w:val="00B4701A"/>
    <w:rsid w:val="00B50131"/>
    <w:rsid w:val="00B50CCE"/>
    <w:rsid w:val="00B51227"/>
    <w:rsid w:val="00B51B22"/>
    <w:rsid w:val="00B51FCC"/>
    <w:rsid w:val="00B51FDE"/>
    <w:rsid w:val="00B51FF0"/>
    <w:rsid w:val="00B5205E"/>
    <w:rsid w:val="00B53037"/>
    <w:rsid w:val="00B53128"/>
    <w:rsid w:val="00B532C6"/>
    <w:rsid w:val="00B53A20"/>
    <w:rsid w:val="00B53CB0"/>
    <w:rsid w:val="00B53EF2"/>
    <w:rsid w:val="00B53EFF"/>
    <w:rsid w:val="00B54C99"/>
    <w:rsid w:val="00B554EE"/>
    <w:rsid w:val="00B559E9"/>
    <w:rsid w:val="00B561E5"/>
    <w:rsid w:val="00B5637B"/>
    <w:rsid w:val="00B56AB8"/>
    <w:rsid w:val="00B57EE6"/>
    <w:rsid w:val="00B60096"/>
    <w:rsid w:val="00B60172"/>
    <w:rsid w:val="00B6035D"/>
    <w:rsid w:val="00B60C24"/>
    <w:rsid w:val="00B60CE6"/>
    <w:rsid w:val="00B610C7"/>
    <w:rsid w:val="00B61C08"/>
    <w:rsid w:val="00B61C9A"/>
    <w:rsid w:val="00B6218A"/>
    <w:rsid w:val="00B62345"/>
    <w:rsid w:val="00B62FEA"/>
    <w:rsid w:val="00B63D32"/>
    <w:rsid w:val="00B648D8"/>
    <w:rsid w:val="00B64CA8"/>
    <w:rsid w:val="00B64F99"/>
    <w:rsid w:val="00B6545A"/>
    <w:rsid w:val="00B65556"/>
    <w:rsid w:val="00B6591C"/>
    <w:rsid w:val="00B66967"/>
    <w:rsid w:val="00B66A6C"/>
    <w:rsid w:val="00B66A8F"/>
    <w:rsid w:val="00B6703C"/>
    <w:rsid w:val="00B67182"/>
    <w:rsid w:val="00B671B3"/>
    <w:rsid w:val="00B6747E"/>
    <w:rsid w:val="00B678DA"/>
    <w:rsid w:val="00B70336"/>
    <w:rsid w:val="00B70438"/>
    <w:rsid w:val="00B710D2"/>
    <w:rsid w:val="00B715C0"/>
    <w:rsid w:val="00B71BB8"/>
    <w:rsid w:val="00B7206F"/>
    <w:rsid w:val="00B7246B"/>
    <w:rsid w:val="00B72BC8"/>
    <w:rsid w:val="00B735C9"/>
    <w:rsid w:val="00B73A78"/>
    <w:rsid w:val="00B73FC2"/>
    <w:rsid w:val="00B745FD"/>
    <w:rsid w:val="00B74665"/>
    <w:rsid w:val="00B74B68"/>
    <w:rsid w:val="00B74BB9"/>
    <w:rsid w:val="00B75135"/>
    <w:rsid w:val="00B757A3"/>
    <w:rsid w:val="00B75F29"/>
    <w:rsid w:val="00B76623"/>
    <w:rsid w:val="00B767A6"/>
    <w:rsid w:val="00B76B89"/>
    <w:rsid w:val="00B76CB2"/>
    <w:rsid w:val="00B76FCF"/>
    <w:rsid w:val="00B7748D"/>
    <w:rsid w:val="00B7756A"/>
    <w:rsid w:val="00B802FE"/>
    <w:rsid w:val="00B8096D"/>
    <w:rsid w:val="00B80E3D"/>
    <w:rsid w:val="00B82102"/>
    <w:rsid w:val="00B821D8"/>
    <w:rsid w:val="00B83364"/>
    <w:rsid w:val="00B83580"/>
    <w:rsid w:val="00B83820"/>
    <w:rsid w:val="00B83E7C"/>
    <w:rsid w:val="00B84ABC"/>
    <w:rsid w:val="00B84FDB"/>
    <w:rsid w:val="00B854A0"/>
    <w:rsid w:val="00B8563C"/>
    <w:rsid w:val="00B859F0"/>
    <w:rsid w:val="00B85A92"/>
    <w:rsid w:val="00B85CF5"/>
    <w:rsid w:val="00B863BA"/>
    <w:rsid w:val="00B868B6"/>
    <w:rsid w:val="00B86EA7"/>
    <w:rsid w:val="00B8722B"/>
    <w:rsid w:val="00B8755F"/>
    <w:rsid w:val="00B902F0"/>
    <w:rsid w:val="00B90BEF"/>
    <w:rsid w:val="00B90C7D"/>
    <w:rsid w:val="00B91270"/>
    <w:rsid w:val="00B912E1"/>
    <w:rsid w:val="00B919DF"/>
    <w:rsid w:val="00B924A0"/>
    <w:rsid w:val="00B92609"/>
    <w:rsid w:val="00B92708"/>
    <w:rsid w:val="00B92732"/>
    <w:rsid w:val="00B93E5D"/>
    <w:rsid w:val="00B93FB2"/>
    <w:rsid w:val="00B940E2"/>
    <w:rsid w:val="00B94148"/>
    <w:rsid w:val="00B958CA"/>
    <w:rsid w:val="00B95935"/>
    <w:rsid w:val="00B95CA3"/>
    <w:rsid w:val="00B96582"/>
    <w:rsid w:val="00B96E35"/>
    <w:rsid w:val="00B97D54"/>
    <w:rsid w:val="00BA0224"/>
    <w:rsid w:val="00BA0838"/>
    <w:rsid w:val="00BA0D41"/>
    <w:rsid w:val="00BA11A8"/>
    <w:rsid w:val="00BA11C8"/>
    <w:rsid w:val="00BA1282"/>
    <w:rsid w:val="00BA13C8"/>
    <w:rsid w:val="00BA1891"/>
    <w:rsid w:val="00BA1D0B"/>
    <w:rsid w:val="00BA1FF8"/>
    <w:rsid w:val="00BA21FC"/>
    <w:rsid w:val="00BA2223"/>
    <w:rsid w:val="00BA27FE"/>
    <w:rsid w:val="00BA29C1"/>
    <w:rsid w:val="00BA2C58"/>
    <w:rsid w:val="00BA30E1"/>
    <w:rsid w:val="00BA3189"/>
    <w:rsid w:val="00BA3C9D"/>
    <w:rsid w:val="00BA43F1"/>
    <w:rsid w:val="00BA4744"/>
    <w:rsid w:val="00BA485C"/>
    <w:rsid w:val="00BA4945"/>
    <w:rsid w:val="00BA4A46"/>
    <w:rsid w:val="00BA51EA"/>
    <w:rsid w:val="00BA5B5F"/>
    <w:rsid w:val="00BA5E8A"/>
    <w:rsid w:val="00BA6896"/>
    <w:rsid w:val="00BA689D"/>
    <w:rsid w:val="00BA6D37"/>
    <w:rsid w:val="00BA6D70"/>
    <w:rsid w:val="00BA7254"/>
    <w:rsid w:val="00BA732B"/>
    <w:rsid w:val="00BA78DF"/>
    <w:rsid w:val="00BA7E90"/>
    <w:rsid w:val="00BA7F96"/>
    <w:rsid w:val="00BB080D"/>
    <w:rsid w:val="00BB09CA"/>
    <w:rsid w:val="00BB0CD7"/>
    <w:rsid w:val="00BB0D9C"/>
    <w:rsid w:val="00BB1055"/>
    <w:rsid w:val="00BB187F"/>
    <w:rsid w:val="00BB18CC"/>
    <w:rsid w:val="00BB1AEF"/>
    <w:rsid w:val="00BB23E2"/>
    <w:rsid w:val="00BB29FD"/>
    <w:rsid w:val="00BB302F"/>
    <w:rsid w:val="00BB3345"/>
    <w:rsid w:val="00BB3960"/>
    <w:rsid w:val="00BB3BC0"/>
    <w:rsid w:val="00BB3D67"/>
    <w:rsid w:val="00BB3ED2"/>
    <w:rsid w:val="00BB4116"/>
    <w:rsid w:val="00BB43EA"/>
    <w:rsid w:val="00BB4455"/>
    <w:rsid w:val="00BB4E57"/>
    <w:rsid w:val="00BB5BE4"/>
    <w:rsid w:val="00BB5CD0"/>
    <w:rsid w:val="00BB5DF6"/>
    <w:rsid w:val="00BB67D6"/>
    <w:rsid w:val="00BB7176"/>
    <w:rsid w:val="00BB7765"/>
    <w:rsid w:val="00BB790F"/>
    <w:rsid w:val="00BB7EE6"/>
    <w:rsid w:val="00BB7F18"/>
    <w:rsid w:val="00BC0246"/>
    <w:rsid w:val="00BC0ADC"/>
    <w:rsid w:val="00BC1881"/>
    <w:rsid w:val="00BC1AD2"/>
    <w:rsid w:val="00BC1F45"/>
    <w:rsid w:val="00BC2108"/>
    <w:rsid w:val="00BC31A1"/>
    <w:rsid w:val="00BC3221"/>
    <w:rsid w:val="00BC399D"/>
    <w:rsid w:val="00BC4866"/>
    <w:rsid w:val="00BC4D34"/>
    <w:rsid w:val="00BC4E6B"/>
    <w:rsid w:val="00BC5A70"/>
    <w:rsid w:val="00BC5C44"/>
    <w:rsid w:val="00BC5D89"/>
    <w:rsid w:val="00BC65EC"/>
    <w:rsid w:val="00BC6628"/>
    <w:rsid w:val="00BC7513"/>
    <w:rsid w:val="00BC7FAB"/>
    <w:rsid w:val="00BD0241"/>
    <w:rsid w:val="00BD0A79"/>
    <w:rsid w:val="00BD0E21"/>
    <w:rsid w:val="00BD1652"/>
    <w:rsid w:val="00BD19F3"/>
    <w:rsid w:val="00BD3198"/>
    <w:rsid w:val="00BD39DC"/>
    <w:rsid w:val="00BD3EAC"/>
    <w:rsid w:val="00BD40BB"/>
    <w:rsid w:val="00BD5315"/>
    <w:rsid w:val="00BD5495"/>
    <w:rsid w:val="00BD5D71"/>
    <w:rsid w:val="00BD6014"/>
    <w:rsid w:val="00BD7174"/>
    <w:rsid w:val="00BD72B3"/>
    <w:rsid w:val="00BD7560"/>
    <w:rsid w:val="00BD7D36"/>
    <w:rsid w:val="00BE04C3"/>
    <w:rsid w:val="00BE06D6"/>
    <w:rsid w:val="00BE0CB2"/>
    <w:rsid w:val="00BE0E6C"/>
    <w:rsid w:val="00BE1255"/>
    <w:rsid w:val="00BE13BF"/>
    <w:rsid w:val="00BE1825"/>
    <w:rsid w:val="00BE1A5A"/>
    <w:rsid w:val="00BE23A6"/>
    <w:rsid w:val="00BE2500"/>
    <w:rsid w:val="00BE251A"/>
    <w:rsid w:val="00BE25C7"/>
    <w:rsid w:val="00BE27BE"/>
    <w:rsid w:val="00BE2DA8"/>
    <w:rsid w:val="00BE3154"/>
    <w:rsid w:val="00BE336B"/>
    <w:rsid w:val="00BE353E"/>
    <w:rsid w:val="00BE357E"/>
    <w:rsid w:val="00BE3C51"/>
    <w:rsid w:val="00BE42CC"/>
    <w:rsid w:val="00BE4399"/>
    <w:rsid w:val="00BE46C7"/>
    <w:rsid w:val="00BE562D"/>
    <w:rsid w:val="00BE6ADB"/>
    <w:rsid w:val="00BE6DEE"/>
    <w:rsid w:val="00BE7253"/>
    <w:rsid w:val="00BE7AA0"/>
    <w:rsid w:val="00BE7B94"/>
    <w:rsid w:val="00BF0014"/>
    <w:rsid w:val="00BF077A"/>
    <w:rsid w:val="00BF13A4"/>
    <w:rsid w:val="00BF25B4"/>
    <w:rsid w:val="00BF2A0C"/>
    <w:rsid w:val="00BF2BE4"/>
    <w:rsid w:val="00BF2E77"/>
    <w:rsid w:val="00BF318A"/>
    <w:rsid w:val="00BF3DE5"/>
    <w:rsid w:val="00BF3FBB"/>
    <w:rsid w:val="00BF4977"/>
    <w:rsid w:val="00BF4999"/>
    <w:rsid w:val="00BF4C13"/>
    <w:rsid w:val="00BF5517"/>
    <w:rsid w:val="00BF59A9"/>
    <w:rsid w:val="00BF5A44"/>
    <w:rsid w:val="00BF5D60"/>
    <w:rsid w:val="00BF5F6C"/>
    <w:rsid w:val="00BF6537"/>
    <w:rsid w:val="00BF66E6"/>
    <w:rsid w:val="00BF68DE"/>
    <w:rsid w:val="00BF6CB8"/>
    <w:rsid w:val="00BF6F1F"/>
    <w:rsid w:val="00BF7844"/>
    <w:rsid w:val="00BF7A13"/>
    <w:rsid w:val="00BF7AD8"/>
    <w:rsid w:val="00BF7DCF"/>
    <w:rsid w:val="00C000F7"/>
    <w:rsid w:val="00C003FE"/>
    <w:rsid w:val="00C007CE"/>
    <w:rsid w:val="00C010C7"/>
    <w:rsid w:val="00C01119"/>
    <w:rsid w:val="00C01432"/>
    <w:rsid w:val="00C0159D"/>
    <w:rsid w:val="00C01827"/>
    <w:rsid w:val="00C018EB"/>
    <w:rsid w:val="00C01C1D"/>
    <w:rsid w:val="00C01F5C"/>
    <w:rsid w:val="00C022DE"/>
    <w:rsid w:val="00C02769"/>
    <w:rsid w:val="00C02D6E"/>
    <w:rsid w:val="00C02EB7"/>
    <w:rsid w:val="00C03231"/>
    <w:rsid w:val="00C032F8"/>
    <w:rsid w:val="00C03654"/>
    <w:rsid w:val="00C03DA4"/>
    <w:rsid w:val="00C04046"/>
    <w:rsid w:val="00C0408E"/>
    <w:rsid w:val="00C04DC3"/>
    <w:rsid w:val="00C04F7B"/>
    <w:rsid w:val="00C04F8D"/>
    <w:rsid w:val="00C05236"/>
    <w:rsid w:val="00C06D38"/>
    <w:rsid w:val="00C06E2D"/>
    <w:rsid w:val="00C06EF5"/>
    <w:rsid w:val="00C07B85"/>
    <w:rsid w:val="00C1086D"/>
    <w:rsid w:val="00C10A47"/>
    <w:rsid w:val="00C10ABB"/>
    <w:rsid w:val="00C10C78"/>
    <w:rsid w:val="00C11A76"/>
    <w:rsid w:val="00C11C29"/>
    <w:rsid w:val="00C121D5"/>
    <w:rsid w:val="00C12554"/>
    <w:rsid w:val="00C125C5"/>
    <w:rsid w:val="00C12F6F"/>
    <w:rsid w:val="00C13393"/>
    <w:rsid w:val="00C1376F"/>
    <w:rsid w:val="00C13859"/>
    <w:rsid w:val="00C13B8D"/>
    <w:rsid w:val="00C13C85"/>
    <w:rsid w:val="00C1414E"/>
    <w:rsid w:val="00C14BFE"/>
    <w:rsid w:val="00C14FDE"/>
    <w:rsid w:val="00C15031"/>
    <w:rsid w:val="00C152CD"/>
    <w:rsid w:val="00C152E1"/>
    <w:rsid w:val="00C1581F"/>
    <w:rsid w:val="00C15A94"/>
    <w:rsid w:val="00C15B0F"/>
    <w:rsid w:val="00C16634"/>
    <w:rsid w:val="00C1781A"/>
    <w:rsid w:val="00C17986"/>
    <w:rsid w:val="00C2045C"/>
    <w:rsid w:val="00C2047C"/>
    <w:rsid w:val="00C20568"/>
    <w:rsid w:val="00C20785"/>
    <w:rsid w:val="00C20BB2"/>
    <w:rsid w:val="00C21267"/>
    <w:rsid w:val="00C2163A"/>
    <w:rsid w:val="00C21992"/>
    <w:rsid w:val="00C21A27"/>
    <w:rsid w:val="00C21B3E"/>
    <w:rsid w:val="00C21E37"/>
    <w:rsid w:val="00C22026"/>
    <w:rsid w:val="00C2225E"/>
    <w:rsid w:val="00C22295"/>
    <w:rsid w:val="00C22857"/>
    <w:rsid w:val="00C228F7"/>
    <w:rsid w:val="00C228FD"/>
    <w:rsid w:val="00C22A4A"/>
    <w:rsid w:val="00C22F24"/>
    <w:rsid w:val="00C23446"/>
    <w:rsid w:val="00C23D49"/>
    <w:rsid w:val="00C242BC"/>
    <w:rsid w:val="00C250D5"/>
    <w:rsid w:val="00C25346"/>
    <w:rsid w:val="00C25358"/>
    <w:rsid w:val="00C2643B"/>
    <w:rsid w:val="00C26E06"/>
    <w:rsid w:val="00C272A6"/>
    <w:rsid w:val="00C273BF"/>
    <w:rsid w:val="00C27603"/>
    <w:rsid w:val="00C277C8"/>
    <w:rsid w:val="00C27904"/>
    <w:rsid w:val="00C27A61"/>
    <w:rsid w:val="00C27C6B"/>
    <w:rsid w:val="00C27CB9"/>
    <w:rsid w:val="00C3079C"/>
    <w:rsid w:val="00C30902"/>
    <w:rsid w:val="00C31833"/>
    <w:rsid w:val="00C31973"/>
    <w:rsid w:val="00C31A45"/>
    <w:rsid w:val="00C31D31"/>
    <w:rsid w:val="00C31EE8"/>
    <w:rsid w:val="00C32F09"/>
    <w:rsid w:val="00C3310B"/>
    <w:rsid w:val="00C34989"/>
    <w:rsid w:val="00C34FFC"/>
    <w:rsid w:val="00C3525D"/>
    <w:rsid w:val="00C35B63"/>
    <w:rsid w:val="00C36758"/>
    <w:rsid w:val="00C36A73"/>
    <w:rsid w:val="00C36D84"/>
    <w:rsid w:val="00C37994"/>
    <w:rsid w:val="00C37DBD"/>
    <w:rsid w:val="00C37E75"/>
    <w:rsid w:val="00C40A95"/>
    <w:rsid w:val="00C40E57"/>
    <w:rsid w:val="00C41432"/>
    <w:rsid w:val="00C415F9"/>
    <w:rsid w:val="00C41925"/>
    <w:rsid w:val="00C41E6D"/>
    <w:rsid w:val="00C4215E"/>
    <w:rsid w:val="00C424D2"/>
    <w:rsid w:val="00C429DE"/>
    <w:rsid w:val="00C42E45"/>
    <w:rsid w:val="00C42E83"/>
    <w:rsid w:val="00C43293"/>
    <w:rsid w:val="00C43404"/>
    <w:rsid w:val="00C436FD"/>
    <w:rsid w:val="00C444E2"/>
    <w:rsid w:val="00C4474C"/>
    <w:rsid w:val="00C448FE"/>
    <w:rsid w:val="00C44D78"/>
    <w:rsid w:val="00C454B7"/>
    <w:rsid w:val="00C45624"/>
    <w:rsid w:val="00C45BFE"/>
    <w:rsid w:val="00C45C09"/>
    <w:rsid w:val="00C46394"/>
    <w:rsid w:val="00C46598"/>
    <w:rsid w:val="00C470AA"/>
    <w:rsid w:val="00C477A4"/>
    <w:rsid w:val="00C47B54"/>
    <w:rsid w:val="00C50175"/>
    <w:rsid w:val="00C50682"/>
    <w:rsid w:val="00C50C8B"/>
    <w:rsid w:val="00C50D62"/>
    <w:rsid w:val="00C51227"/>
    <w:rsid w:val="00C51FC2"/>
    <w:rsid w:val="00C5201E"/>
    <w:rsid w:val="00C5231E"/>
    <w:rsid w:val="00C5368A"/>
    <w:rsid w:val="00C5381C"/>
    <w:rsid w:val="00C5461D"/>
    <w:rsid w:val="00C54BC6"/>
    <w:rsid w:val="00C5549E"/>
    <w:rsid w:val="00C5569F"/>
    <w:rsid w:val="00C556A8"/>
    <w:rsid w:val="00C55FB7"/>
    <w:rsid w:val="00C56128"/>
    <w:rsid w:val="00C56B68"/>
    <w:rsid w:val="00C57037"/>
    <w:rsid w:val="00C57306"/>
    <w:rsid w:val="00C575F1"/>
    <w:rsid w:val="00C576DD"/>
    <w:rsid w:val="00C57F31"/>
    <w:rsid w:val="00C60141"/>
    <w:rsid w:val="00C601D0"/>
    <w:rsid w:val="00C602A1"/>
    <w:rsid w:val="00C61390"/>
    <w:rsid w:val="00C61734"/>
    <w:rsid w:val="00C61AB8"/>
    <w:rsid w:val="00C62EE3"/>
    <w:rsid w:val="00C632CE"/>
    <w:rsid w:val="00C6334E"/>
    <w:rsid w:val="00C63688"/>
    <w:rsid w:val="00C6482F"/>
    <w:rsid w:val="00C64835"/>
    <w:rsid w:val="00C648A6"/>
    <w:rsid w:val="00C64AF2"/>
    <w:rsid w:val="00C64DB7"/>
    <w:rsid w:val="00C650D5"/>
    <w:rsid w:val="00C65C81"/>
    <w:rsid w:val="00C661F5"/>
    <w:rsid w:val="00C665A2"/>
    <w:rsid w:val="00C66AF1"/>
    <w:rsid w:val="00C66B14"/>
    <w:rsid w:val="00C66CF8"/>
    <w:rsid w:val="00C6705A"/>
    <w:rsid w:val="00C6758C"/>
    <w:rsid w:val="00C67C30"/>
    <w:rsid w:val="00C70534"/>
    <w:rsid w:val="00C709D0"/>
    <w:rsid w:val="00C70F84"/>
    <w:rsid w:val="00C71B2F"/>
    <w:rsid w:val="00C727B6"/>
    <w:rsid w:val="00C7322B"/>
    <w:rsid w:val="00C7334E"/>
    <w:rsid w:val="00C7389B"/>
    <w:rsid w:val="00C7470A"/>
    <w:rsid w:val="00C74737"/>
    <w:rsid w:val="00C748CF"/>
    <w:rsid w:val="00C75D8F"/>
    <w:rsid w:val="00C76191"/>
    <w:rsid w:val="00C763E5"/>
    <w:rsid w:val="00C766D8"/>
    <w:rsid w:val="00C76F20"/>
    <w:rsid w:val="00C77337"/>
    <w:rsid w:val="00C77C0D"/>
    <w:rsid w:val="00C77E96"/>
    <w:rsid w:val="00C77F6D"/>
    <w:rsid w:val="00C8047D"/>
    <w:rsid w:val="00C80525"/>
    <w:rsid w:val="00C80873"/>
    <w:rsid w:val="00C80AF6"/>
    <w:rsid w:val="00C80BE3"/>
    <w:rsid w:val="00C80D42"/>
    <w:rsid w:val="00C8103D"/>
    <w:rsid w:val="00C82192"/>
    <w:rsid w:val="00C8314A"/>
    <w:rsid w:val="00C83255"/>
    <w:rsid w:val="00C8332E"/>
    <w:rsid w:val="00C835C5"/>
    <w:rsid w:val="00C83669"/>
    <w:rsid w:val="00C839F0"/>
    <w:rsid w:val="00C840C0"/>
    <w:rsid w:val="00C845CE"/>
    <w:rsid w:val="00C84AFB"/>
    <w:rsid w:val="00C85792"/>
    <w:rsid w:val="00C86809"/>
    <w:rsid w:val="00C86AD6"/>
    <w:rsid w:val="00C86CEB"/>
    <w:rsid w:val="00C86E5F"/>
    <w:rsid w:val="00C870DE"/>
    <w:rsid w:val="00C87590"/>
    <w:rsid w:val="00C879E2"/>
    <w:rsid w:val="00C879F5"/>
    <w:rsid w:val="00C903EE"/>
    <w:rsid w:val="00C909CE"/>
    <w:rsid w:val="00C90A25"/>
    <w:rsid w:val="00C90ACE"/>
    <w:rsid w:val="00C9118E"/>
    <w:rsid w:val="00C913F5"/>
    <w:rsid w:val="00C91465"/>
    <w:rsid w:val="00C914EE"/>
    <w:rsid w:val="00C915B3"/>
    <w:rsid w:val="00C92C93"/>
    <w:rsid w:val="00C93B1C"/>
    <w:rsid w:val="00C93F4F"/>
    <w:rsid w:val="00C94E6B"/>
    <w:rsid w:val="00C952C3"/>
    <w:rsid w:val="00C9594D"/>
    <w:rsid w:val="00C96CF1"/>
    <w:rsid w:val="00C9703C"/>
    <w:rsid w:val="00C97170"/>
    <w:rsid w:val="00C97250"/>
    <w:rsid w:val="00C978E2"/>
    <w:rsid w:val="00C978E6"/>
    <w:rsid w:val="00C97B69"/>
    <w:rsid w:val="00CA085C"/>
    <w:rsid w:val="00CA0EAC"/>
    <w:rsid w:val="00CA1521"/>
    <w:rsid w:val="00CA2638"/>
    <w:rsid w:val="00CA2725"/>
    <w:rsid w:val="00CA4282"/>
    <w:rsid w:val="00CA4B58"/>
    <w:rsid w:val="00CA4C93"/>
    <w:rsid w:val="00CA5923"/>
    <w:rsid w:val="00CA5BC0"/>
    <w:rsid w:val="00CA6026"/>
    <w:rsid w:val="00CA648B"/>
    <w:rsid w:val="00CA64DE"/>
    <w:rsid w:val="00CA64E4"/>
    <w:rsid w:val="00CA6A20"/>
    <w:rsid w:val="00CA6A62"/>
    <w:rsid w:val="00CA759F"/>
    <w:rsid w:val="00CA75E2"/>
    <w:rsid w:val="00CA79DE"/>
    <w:rsid w:val="00CA7D8B"/>
    <w:rsid w:val="00CA7FC8"/>
    <w:rsid w:val="00CB00D4"/>
    <w:rsid w:val="00CB07BB"/>
    <w:rsid w:val="00CB089D"/>
    <w:rsid w:val="00CB0EAF"/>
    <w:rsid w:val="00CB0FBA"/>
    <w:rsid w:val="00CB17F7"/>
    <w:rsid w:val="00CB1BC0"/>
    <w:rsid w:val="00CB1DF0"/>
    <w:rsid w:val="00CB2370"/>
    <w:rsid w:val="00CB25CD"/>
    <w:rsid w:val="00CB26DD"/>
    <w:rsid w:val="00CB39A5"/>
    <w:rsid w:val="00CB3ACC"/>
    <w:rsid w:val="00CB409F"/>
    <w:rsid w:val="00CB4C47"/>
    <w:rsid w:val="00CB53DB"/>
    <w:rsid w:val="00CB545D"/>
    <w:rsid w:val="00CB5E3E"/>
    <w:rsid w:val="00CB61B4"/>
    <w:rsid w:val="00CB6ECA"/>
    <w:rsid w:val="00CB75AA"/>
    <w:rsid w:val="00CB7BCF"/>
    <w:rsid w:val="00CB7D93"/>
    <w:rsid w:val="00CB7F87"/>
    <w:rsid w:val="00CC0716"/>
    <w:rsid w:val="00CC0C41"/>
    <w:rsid w:val="00CC0EFB"/>
    <w:rsid w:val="00CC0F94"/>
    <w:rsid w:val="00CC148C"/>
    <w:rsid w:val="00CC1B4B"/>
    <w:rsid w:val="00CC21A4"/>
    <w:rsid w:val="00CC295E"/>
    <w:rsid w:val="00CC29D5"/>
    <w:rsid w:val="00CC379D"/>
    <w:rsid w:val="00CC4209"/>
    <w:rsid w:val="00CC4578"/>
    <w:rsid w:val="00CC4584"/>
    <w:rsid w:val="00CC45E6"/>
    <w:rsid w:val="00CC69D1"/>
    <w:rsid w:val="00CC6E80"/>
    <w:rsid w:val="00CC6EF8"/>
    <w:rsid w:val="00CC704A"/>
    <w:rsid w:val="00CC7951"/>
    <w:rsid w:val="00CC7A89"/>
    <w:rsid w:val="00CC7B69"/>
    <w:rsid w:val="00CD050A"/>
    <w:rsid w:val="00CD061B"/>
    <w:rsid w:val="00CD0D2A"/>
    <w:rsid w:val="00CD134A"/>
    <w:rsid w:val="00CD14BD"/>
    <w:rsid w:val="00CD1D5F"/>
    <w:rsid w:val="00CD3206"/>
    <w:rsid w:val="00CD3D04"/>
    <w:rsid w:val="00CD3D96"/>
    <w:rsid w:val="00CD4BEB"/>
    <w:rsid w:val="00CD5061"/>
    <w:rsid w:val="00CD5814"/>
    <w:rsid w:val="00CD58E3"/>
    <w:rsid w:val="00CD5ABA"/>
    <w:rsid w:val="00CD5DB9"/>
    <w:rsid w:val="00CD6532"/>
    <w:rsid w:val="00CD6DE8"/>
    <w:rsid w:val="00CD6E37"/>
    <w:rsid w:val="00CD6F31"/>
    <w:rsid w:val="00CD6F50"/>
    <w:rsid w:val="00CD6FF3"/>
    <w:rsid w:val="00CD7852"/>
    <w:rsid w:val="00CD7968"/>
    <w:rsid w:val="00CD7C2E"/>
    <w:rsid w:val="00CE0152"/>
    <w:rsid w:val="00CE072C"/>
    <w:rsid w:val="00CE0B2A"/>
    <w:rsid w:val="00CE1274"/>
    <w:rsid w:val="00CE17DF"/>
    <w:rsid w:val="00CE21CD"/>
    <w:rsid w:val="00CE2228"/>
    <w:rsid w:val="00CE23E0"/>
    <w:rsid w:val="00CE3422"/>
    <w:rsid w:val="00CE348D"/>
    <w:rsid w:val="00CE3C0B"/>
    <w:rsid w:val="00CE4731"/>
    <w:rsid w:val="00CE48EC"/>
    <w:rsid w:val="00CE4B2E"/>
    <w:rsid w:val="00CE4BF9"/>
    <w:rsid w:val="00CE522C"/>
    <w:rsid w:val="00CE5D51"/>
    <w:rsid w:val="00CE5E55"/>
    <w:rsid w:val="00CE6358"/>
    <w:rsid w:val="00CE6D28"/>
    <w:rsid w:val="00CE786B"/>
    <w:rsid w:val="00CF0BD6"/>
    <w:rsid w:val="00CF0F57"/>
    <w:rsid w:val="00CF156B"/>
    <w:rsid w:val="00CF1572"/>
    <w:rsid w:val="00CF23AB"/>
    <w:rsid w:val="00CF25E3"/>
    <w:rsid w:val="00CF2887"/>
    <w:rsid w:val="00CF2F72"/>
    <w:rsid w:val="00CF444D"/>
    <w:rsid w:val="00CF4B22"/>
    <w:rsid w:val="00CF50B5"/>
    <w:rsid w:val="00CF5841"/>
    <w:rsid w:val="00CF5B4C"/>
    <w:rsid w:val="00CF61FC"/>
    <w:rsid w:val="00CF69E1"/>
    <w:rsid w:val="00CF7204"/>
    <w:rsid w:val="00CF7DCF"/>
    <w:rsid w:val="00D0008E"/>
    <w:rsid w:val="00D003AE"/>
    <w:rsid w:val="00D00C5F"/>
    <w:rsid w:val="00D012AA"/>
    <w:rsid w:val="00D01591"/>
    <w:rsid w:val="00D015A1"/>
    <w:rsid w:val="00D01D82"/>
    <w:rsid w:val="00D02027"/>
    <w:rsid w:val="00D020A4"/>
    <w:rsid w:val="00D023A1"/>
    <w:rsid w:val="00D0316D"/>
    <w:rsid w:val="00D0337B"/>
    <w:rsid w:val="00D03410"/>
    <w:rsid w:val="00D03BC6"/>
    <w:rsid w:val="00D03EDE"/>
    <w:rsid w:val="00D0447F"/>
    <w:rsid w:val="00D049BF"/>
    <w:rsid w:val="00D04F34"/>
    <w:rsid w:val="00D054AE"/>
    <w:rsid w:val="00D05730"/>
    <w:rsid w:val="00D058C8"/>
    <w:rsid w:val="00D05DE6"/>
    <w:rsid w:val="00D06C9E"/>
    <w:rsid w:val="00D07364"/>
    <w:rsid w:val="00D077B3"/>
    <w:rsid w:val="00D10946"/>
    <w:rsid w:val="00D10E03"/>
    <w:rsid w:val="00D10E37"/>
    <w:rsid w:val="00D10FC8"/>
    <w:rsid w:val="00D114ED"/>
    <w:rsid w:val="00D11731"/>
    <w:rsid w:val="00D12B35"/>
    <w:rsid w:val="00D12B99"/>
    <w:rsid w:val="00D13144"/>
    <w:rsid w:val="00D13C94"/>
    <w:rsid w:val="00D13D67"/>
    <w:rsid w:val="00D145AB"/>
    <w:rsid w:val="00D1557B"/>
    <w:rsid w:val="00D15A98"/>
    <w:rsid w:val="00D15CAC"/>
    <w:rsid w:val="00D15FC1"/>
    <w:rsid w:val="00D16050"/>
    <w:rsid w:val="00D1660C"/>
    <w:rsid w:val="00D16732"/>
    <w:rsid w:val="00D20BA6"/>
    <w:rsid w:val="00D20EFE"/>
    <w:rsid w:val="00D21884"/>
    <w:rsid w:val="00D21A30"/>
    <w:rsid w:val="00D21AEE"/>
    <w:rsid w:val="00D21B8B"/>
    <w:rsid w:val="00D2258A"/>
    <w:rsid w:val="00D2287C"/>
    <w:rsid w:val="00D2301A"/>
    <w:rsid w:val="00D2384D"/>
    <w:rsid w:val="00D248FC"/>
    <w:rsid w:val="00D253C3"/>
    <w:rsid w:val="00D259A7"/>
    <w:rsid w:val="00D25AFA"/>
    <w:rsid w:val="00D25F78"/>
    <w:rsid w:val="00D261B8"/>
    <w:rsid w:val="00D2679A"/>
    <w:rsid w:val="00D277A3"/>
    <w:rsid w:val="00D27C01"/>
    <w:rsid w:val="00D30561"/>
    <w:rsid w:val="00D30624"/>
    <w:rsid w:val="00D3118C"/>
    <w:rsid w:val="00D31B90"/>
    <w:rsid w:val="00D31E03"/>
    <w:rsid w:val="00D3224A"/>
    <w:rsid w:val="00D32629"/>
    <w:rsid w:val="00D337F1"/>
    <w:rsid w:val="00D33A07"/>
    <w:rsid w:val="00D34017"/>
    <w:rsid w:val="00D3439E"/>
    <w:rsid w:val="00D34740"/>
    <w:rsid w:val="00D348B8"/>
    <w:rsid w:val="00D34B46"/>
    <w:rsid w:val="00D35408"/>
    <w:rsid w:val="00D3562B"/>
    <w:rsid w:val="00D35781"/>
    <w:rsid w:val="00D3618F"/>
    <w:rsid w:val="00D361E7"/>
    <w:rsid w:val="00D36631"/>
    <w:rsid w:val="00D3665A"/>
    <w:rsid w:val="00D3673D"/>
    <w:rsid w:val="00D37509"/>
    <w:rsid w:val="00D37A12"/>
    <w:rsid w:val="00D37E6A"/>
    <w:rsid w:val="00D37F09"/>
    <w:rsid w:val="00D407A6"/>
    <w:rsid w:val="00D41421"/>
    <w:rsid w:val="00D41F28"/>
    <w:rsid w:val="00D42116"/>
    <w:rsid w:val="00D42560"/>
    <w:rsid w:val="00D42ECD"/>
    <w:rsid w:val="00D43746"/>
    <w:rsid w:val="00D4392F"/>
    <w:rsid w:val="00D43A04"/>
    <w:rsid w:val="00D43CEE"/>
    <w:rsid w:val="00D44051"/>
    <w:rsid w:val="00D4409F"/>
    <w:rsid w:val="00D44677"/>
    <w:rsid w:val="00D44B7D"/>
    <w:rsid w:val="00D44C6D"/>
    <w:rsid w:val="00D44D6E"/>
    <w:rsid w:val="00D462F7"/>
    <w:rsid w:val="00D46A7E"/>
    <w:rsid w:val="00D47852"/>
    <w:rsid w:val="00D501DF"/>
    <w:rsid w:val="00D5026D"/>
    <w:rsid w:val="00D50533"/>
    <w:rsid w:val="00D50875"/>
    <w:rsid w:val="00D508EC"/>
    <w:rsid w:val="00D50E1A"/>
    <w:rsid w:val="00D51B69"/>
    <w:rsid w:val="00D520F0"/>
    <w:rsid w:val="00D52BF7"/>
    <w:rsid w:val="00D52C97"/>
    <w:rsid w:val="00D53125"/>
    <w:rsid w:val="00D5359D"/>
    <w:rsid w:val="00D53878"/>
    <w:rsid w:val="00D5398E"/>
    <w:rsid w:val="00D53AAE"/>
    <w:rsid w:val="00D543C2"/>
    <w:rsid w:val="00D546D0"/>
    <w:rsid w:val="00D5494F"/>
    <w:rsid w:val="00D54C77"/>
    <w:rsid w:val="00D54EF1"/>
    <w:rsid w:val="00D55014"/>
    <w:rsid w:val="00D5503E"/>
    <w:rsid w:val="00D5513D"/>
    <w:rsid w:val="00D55264"/>
    <w:rsid w:val="00D55D31"/>
    <w:rsid w:val="00D576BC"/>
    <w:rsid w:val="00D5779C"/>
    <w:rsid w:val="00D57C59"/>
    <w:rsid w:val="00D57CC8"/>
    <w:rsid w:val="00D60078"/>
    <w:rsid w:val="00D60698"/>
    <w:rsid w:val="00D606CE"/>
    <w:rsid w:val="00D6095C"/>
    <w:rsid w:val="00D617CF"/>
    <w:rsid w:val="00D62428"/>
    <w:rsid w:val="00D627A6"/>
    <w:rsid w:val="00D62A6B"/>
    <w:rsid w:val="00D6328A"/>
    <w:rsid w:val="00D636DB"/>
    <w:rsid w:val="00D64E31"/>
    <w:rsid w:val="00D64EF4"/>
    <w:rsid w:val="00D65369"/>
    <w:rsid w:val="00D655B3"/>
    <w:rsid w:val="00D65B01"/>
    <w:rsid w:val="00D65CD4"/>
    <w:rsid w:val="00D665F7"/>
    <w:rsid w:val="00D668A7"/>
    <w:rsid w:val="00D70175"/>
    <w:rsid w:val="00D701E7"/>
    <w:rsid w:val="00D7036B"/>
    <w:rsid w:val="00D7037C"/>
    <w:rsid w:val="00D70AB8"/>
    <w:rsid w:val="00D70C2C"/>
    <w:rsid w:val="00D70FC8"/>
    <w:rsid w:val="00D711C8"/>
    <w:rsid w:val="00D71637"/>
    <w:rsid w:val="00D71C3E"/>
    <w:rsid w:val="00D71FDC"/>
    <w:rsid w:val="00D72079"/>
    <w:rsid w:val="00D729C6"/>
    <w:rsid w:val="00D72A98"/>
    <w:rsid w:val="00D72B71"/>
    <w:rsid w:val="00D73205"/>
    <w:rsid w:val="00D73206"/>
    <w:rsid w:val="00D732AD"/>
    <w:rsid w:val="00D7331E"/>
    <w:rsid w:val="00D73715"/>
    <w:rsid w:val="00D74282"/>
    <w:rsid w:val="00D74BD6"/>
    <w:rsid w:val="00D750FD"/>
    <w:rsid w:val="00D754A7"/>
    <w:rsid w:val="00D759A8"/>
    <w:rsid w:val="00D75A4C"/>
    <w:rsid w:val="00D7627C"/>
    <w:rsid w:val="00D76320"/>
    <w:rsid w:val="00D768BC"/>
    <w:rsid w:val="00D76FC6"/>
    <w:rsid w:val="00D77351"/>
    <w:rsid w:val="00D77A07"/>
    <w:rsid w:val="00D77D0E"/>
    <w:rsid w:val="00D80006"/>
    <w:rsid w:val="00D80AAA"/>
    <w:rsid w:val="00D814FF"/>
    <w:rsid w:val="00D81845"/>
    <w:rsid w:val="00D81B6C"/>
    <w:rsid w:val="00D81DE7"/>
    <w:rsid w:val="00D81E0C"/>
    <w:rsid w:val="00D825EB"/>
    <w:rsid w:val="00D8269D"/>
    <w:rsid w:val="00D82C63"/>
    <w:rsid w:val="00D82EB2"/>
    <w:rsid w:val="00D83456"/>
    <w:rsid w:val="00D83632"/>
    <w:rsid w:val="00D83CA9"/>
    <w:rsid w:val="00D841D8"/>
    <w:rsid w:val="00D84649"/>
    <w:rsid w:val="00D8469F"/>
    <w:rsid w:val="00D84D81"/>
    <w:rsid w:val="00D84F8E"/>
    <w:rsid w:val="00D85696"/>
    <w:rsid w:val="00D85896"/>
    <w:rsid w:val="00D85BD7"/>
    <w:rsid w:val="00D87192"/>
    <w:rsid w:val="00D871DE"/>
    <w:rsid w:val="00D87589"/>
    <w:rsid w:val="00D87660"/>
    <w:rsid w:val="00D876C7"/>
    <w:rsid w:val="00D877CC"/>
    <w:rsid w:val="00D87842"/>
    <w:rsid w:val="00D87BA8"/>
    <w:rsid w:val="00D87F7E"/>
    <w:rsid w:val="00D87F84"/>
    <w:rsid w:val="00D87FC6"/>
    <w:rsid w:val="00D900AC"/>
    <w:rsid w:val="00D903F1"/>
    <w:rsid w:val="00D90835"/>
    <w:rsid w:val="00D90F2E"/>
    <w:rsid w:val="00D919BD"/>
    <w:rsid w:val="00D920FF"/>
    <w:rsid w:val="00D921A1"/>
    <w:rsid w:val="00D929C4"/>
    <w:rsid w:val="00D92DA5"/>
    <w:rsid w:val="00D933F2"/>
    <w:rsid w:val="00D93640"/>
    <w:rsid w:val="00D943F6"/>
    <w:rsid w:val="00D94C46"/>
    <w:rsid w:val="00D94C7A"/>
    <w:rsid w:val="00D94E24"/>
    <w:rsid w:val="00D953B8"/>
    <w:rsid w:val="00D9556E"/>
    <w:rsid w:val="00D96A0A"/>
    <w:rsid w:val="00D96FBB"/>
    <w:rsid w:val="00D97947"/>
    <w:rsid w:val="00D97CCF"/>
    <w:rsid w:val="00DA0505"/>
    <w:rsid w:val="00DA12D4"/>
    <w:rsid w:val="00DA1CD3"/>
    <w:rsid w:val="00DA26B1"/>
    <w:rsid w:val="00DA2CCD"/>
    <w:rsid w:val="00DA3028"/>
    <w:rsid w:val="00DA35DA"/>
    <w:rsid w:val="00DA3905"/>
    <w:rsid w:val="00DA39B2"/>
    <w:rsid w:val="00DA40DB"/>
    <w:rsid w:val="00DA4A5B"/>
    <w:rsid w:val="00DA521F"/>
    <w:rsid w:val="00DA5E5D"/>
    <w:rsid w:val="00DA6147"/>
    <w:rsid w:val="00DA62FB"/>
    <w:rsid w:val="00DA6387"/>
    <w:rsid w:val="00DA68BF"/>
    <w:rsid w:val="00DA7472"/>
    <w:rsid w:val="00DA7887"/>
    <w:rsid w:val="00DA7923"/>
    <w:rsid w:val="00DA7E33"/>
    <w:rsid w:val="00DB02BF"/>
    <w:rsid w:val="00DB0AF2"/>
    <w:rsid w:val="00DB1828"/>
    <w:rsid w:val="00DB1898"/>
    <w:rsid w:val="00DB1B1C"/>
    <w:rsid w:val="00DB1C28"/>
    <w:rsid w:val="00DB1DEB"/>
    <w:rsid w:val="00DB1F40"/>
    <w:rsid w:val="00DB20E0"/>
    <w:rsid w:val="00DB2457"/>
    <w:rsid w:val="00DB250E"/>
    <w:rsid w:val="00DB2634"/>
    <w:rsid w:val="00DB2772"/>
    <w:rsid w:val="00DB2B93"/>
    <w:rsid w:val="00DB2D5A"/>
    <w:rsid w:val="00DB2E62"/>
    <w:rsid w:val="00DB3219"/>
    <w:rsid w:val="00DB3225"/>
    <w:rsid w:val="00DB39B6"/>
    <w:rsid w:val="00DB3C88"/>
    <w:rsid w:val="00DB3CF3"/>
    <w:rsid w:val="00DB41DB"/>
    <w:rsid w:val="00DB4379"/>
    <w:rsid w:val="00DB461E"/>
    <w:rsid w:val="00DB4DA1"/>
    <w:rsid w:val="00DB5B91"/>
    <w:rsid w:val="00DB5CFA"/>
    <w:rsid w:val="00DB6798"/>
    <w:rsid w:val="00DB694E"/>
    <w:rsid w:val="00DB6FFA"/>
    <w:rsid w:val="00DB7209"/>
    <w:rsid w:val="00DB7272"/>
    <w:rsid w:val="00DB7929"/>
    <w:rsid w:val="00DB7940"/>
    <w:rsid w:val="00DC0326"/>
    <w:rsid w:val="00DC0441"/>
    <w:rsid w:val="00DC07AA"/>
    <w:rsid w:val="00DC09AA"/>
    <w:rsid w:val="00DC0E15"/>
    <w:rsid w:val="00DC121F"/>
    <w:rsid w:val="00DC1E4B"/>
    <w:rsid w:val="00DC21D6"/>
    <w:rsid w:val="00DC2E57"/>
    <w:rsid w:val="00DC31FD"/>
    <w:rsid w:val="00DC3230"/>
    <w:rsid w:val="00DC355B"/>
    <w:rsid w:val="00DC406C"/>
    <w:rsid w:val="00DC449D"/>
    <w:rsid w:val="00DC46F2"/>
    <w:rsid w:val="00DC4706"/>
    <w:rsid w:val="00DC4AC6"/>
    <w:rsid w:val="00DC4B9C"/>
    <w:rsid w:val="00DC4E09"/>
    <w:rsid w:val="00DC4EEF"/>
    <w:rsid w:val="00DC55D7"/>
    <w:rsid w:val="00DC5A56"/>
    <w:rsid w:val="00DC7627"/>
    <w:rsid w:val="00DC77BA"/>
    <w:rsid w:val="00DD00AA"/>
    <w:rsid w:val="00DD0294"/>
    <w:rsid w:val="00DD0540"/>
    <w:rsid w:val="00DD08DD"/>
    <w:rsid w:val="00DD0F10"/>
    <w:rsid w:val="00DD10ED"/>
    <w:rsid w:val="00DD1CB5"/>
    <w:rsid w:val="00DD22C6"/>
    <w:rsid w:val="00DD24A2"/>
    <w:rsid w:val="00DD2853"/>
    <w:rsid w:val="00DD2B3B"/>
    <w:rsid w:val="00DD396E"/>
    <w:rsid w:val="00DD3E4F"/>
    <w:rsid w:val="00DD475A"/>
    <w:rsid w:val="00DD5153"/>
    <w:rsid w:val="00DD521A"/>
    <w:rsid w:val="00DD5479"/>
    <w:rsid w:val="00DD5713"/>
    <w:rsid w:val="00DD5C4C"/>
    <w:rsid w:val="00DD5D59"/>
    <w:rsid w:val="00DD6292"/>
    <w:rsid w:val="00DD6650"/>
    <w:rsid w:val="00DD69E5"/>
    <w:rsid w:val="00DD7214"/>
    <w:rsid w:val="00DD7631"/>
    <w:rsid w:val="00DD7689"/>
    <w:rsid w:val="00DE0122"/>
    <w:rsid w:val="00DE01CB"/>
    <w:rsid w:val="00DE08B5"/>
    <w:rsid w:val="00DE170A"/>
    <w:rsid w:val="00DE171C"/>
    <w:rsid w:val="00DE1BD1"/>
    <w:rsid w:val="00DE2110"/>
    <w:rsid w:val="00DE2357"/>
    <w:rsid w:val="00DE273A"/>
    <w:rsid w:val="00DE2CDE"/>
    <w:rsid w:val="00DE363F"/>
    <w:rsid w:val="00DE36A0"/>
    <w:rsid w:val="00DE3A42"/>
    <w:rsid w:val="00DE3E3D"/>
    <w:rsid w:val="00DE42B2"/>
    <w:rsid w:val="00DE43AE"/>
    <w:rsid w:val="00DE47E0"/>
    <w:rsid w:val="00DE585F"/>
    <w:rsid w:val="00DE5CD6"/>
    <w:rsid w:val="00DE5D0D"/>
    <w:rsid w:val="00DE6631"/>
    <w:rsid w:val="00DE6ED2"/>
    <w:rsid w:val="00DE7399"/>
    <w:rsid w:val="00DE73C6"/>
    <w:rsid w:val="00DE7FA7"/>
    <w:rsid w:val="00DF00BF"/>
    <w:rsid w:val="00DF02D9"/>
    <w:rsid w:val="00DF032B"/>
    <w:rsid w:val="00DF0B9A"/>
    <w:rsid w:val="00DF1120"/>
    <w:rsid w:val="00DF194D"/>
    <w:rsid w:val="00DF204D"/>
    <w:rsid w:val="00DF20DF"/>
    <w:rsid w:val="00DF27A6"/>
    <w:rsid w:val="00DF3061"/>
    <w:rsid w:val="00DF30D3"/>
    <w:rsid w:val="00DF3437"/>
    <w:rsid w:val="00DF35A5"/>
    <w:rsid w:val="00DF3D28"/>
    <w:rsid w:val="00DF45D4"/>
    <w:rsid w:val="00DF4DF4"/>
    <w:rsid w:val="00DF5094"/>
    <w:rsid w:val="00DF5A9F"/>
    <w:rsid w:val="00DF5E4E"/>
    <w:rsid w:val="00DF61F3"/>
    <w:rsid w:val="00DF67AC"/>
    <w:rsid w:val="00DF6B58"/>
    <w:rsid w:val="00DF6EE8"/>
    <w:rsid w:val="00DF7D91"/>
    <w:rsid w:val="00E00214"/>
    <w:rsid w:val="00E0044E"/>
    <w:rsid w:val="00E0094F"/>
    <w:rsid w:val="00E00991"/>
    <w:rsid w:val="00E00D5D"/>
    <w:rsid w:val="00E01253"/>
    <w:rsid w:val="00E019B0"/>
    <w:rsid w:val="00E01E90"/>
    <w:rsid w:val="00E01F3E"/>
    <w:rsid w:val="00E024A8"/>
    <w:rsid w:val="00E033C2"/>
    <w:rsid w:val="00E03921"/>
    <w:rsid w:val="00E03CB5"/>
    <w:rsid w:val="00E03E4F"/>
    <w:rsid w:val="00E04138"/>
    <w:rsid w:val="00E0464B"/>
    <w:rsid w:val="00E04835"/>
    <w:rsid w:val="00E0492D"/>
    <w:rsid w:val="00E04B1B"/>
    <w:rsid w:val="00E05764"/>
    <w:rsid w:val="00E05AFD"/>
    <w:rsid w:val="00E05F37"/>
    <w:rsid w:val="00E05F83"/>
    <w:rsid w:val="00E06271"/>
    <w:rsid w:val="00E06463"/>
    <w:rsid w:val="00E06B64"/>
    <w:rsid w:val="00E07359"/>
    <w:rsid w:val="00E100E0"/>
    <w:rsid w:val="00E102A5"/>
    <w:rsid w:val="00E10652"/>
    <w:rsid w:val="00E116B4"/>
    <w:rsid w:val="00E11A86"/>
    <w:rsid w:val="00E1212A"/>
    <w:rsid w:val="00E12CEE"/>
    <w:rsid w:val="00E12D4F"/>
    <w:rsid w:val="00E1396C"/>
    <w:rsid w:val="00E145C9"/>
    <w:rsid w:val="00E1489B"/>
    <w:rsid w:val="00E14DAD"/>
    <w:rsid w:val="00E152A7"/>
    <w:rsid w:val="00E15333"/>
    <w:rsid w:val="00E1580B"/>
    <w:rsid w:val="00E15A64"/>
    <w:rsid w:val="00E15BF0"/>
    <w:rsid w:val="00E160F8"/>
    <w:rsid w:val="00E163CA"/>
    <w:rsid w:val="00E16BAD"/>
    <w:rsid w:val="00E200C0"/>
    <w:rsid w:val="00E20230"/>
    <w:rsid w:val="00E2048D"/>
    <w:rsid w:val="00E212BD"/>
    <w:rsid w:val="00E21CA2"/>
    <w:rsid w:val="00E22BF5"/>
    <w:rsid w:val="00E22E4F"/>
    <w:rsid w:val="00E22FC5"/>
    <w:rsid w:val="00E2387C"/>
    <w:rsid w:val="00E24235"/>
    <w:rsid w:val="00E24343"/>
    <w:rsid w:val="00E2459A"/>
    <w:rsid w:val="00E245BC"/>
    <w:rsid w:val="00E24F83"/>
    <w:rsid w:val="00E250BA"/>
    <w:rsid w:val="00E251B6"/>
    <w:rsid w:val="00E259CB"/>
    <w:rsid w:val="00E25CD7"/>
    <w:rsid w:val="00E25D11"/>
    <w:rsid w:val="00E260C9"/>
    <w:rsid w:val="00E264D0"/>
    <w:rsid w:val="00E26E4A"/>
    <w:rsid w:val="00E300EB"/>
    <w:rsid w:val="00E31186"/>
    <w:rsid w:val="00E31B40"/>
    <w:rsid w:val="00E3258D"/>
    <w:rsid w:val="00E3335E"/>
    <w:rsid w:val="00E33565"/>
    <w:rsid w:val="00E335D6"/>
    <w:rsid w:val="00E33BDD"/>
    <w:rsid w:val="00E342BE"/>
    <w:rsid w:val="00E35421"/>
    <w:rsid w:val="00E356A9"/>
    <w:rsid w:val="00E36087"/>
    <w:rsid w:val="00E36203"/>
    <w:rsid w:val="00E37294"/>
    <w:rsid w:val="00E372C0"/>
    <w:rsid w:val="00E37B39"/>
    <w:rsid w:val="00E405EF"/>
    <w:rsid w:val="00E41162"/>
    <w:rsid w:val="00E4125A"/>
    <w:rsid w:val="00E41480"/>
    <w:rsid w:val="00E41510"/>
    <w:rsid w:val="00E42CC6"/>
    <w:rsid w:val="00E42EB7"/>
    <w:rsid w:val="00E430E1"/>
    <w:rsid w:val="00E4319B"/>
    <w:rsid w:val="00E431D3"/>
    <w:rsid w:val="00E43A48"/>
    <w:rsid w:val="00E43B9C"/>
    <w:rsid w:val="00E45254"/>
    <w:rsid w:val="00E452AE"/>
    <w:rsid w:val="00E45CCC"/>
    <w:rsid w:val="00E45EF5"/>
    <w:rsid w:val="00E463BA"/>
    <w:rsid w:val="00E469A3"/>
    <w:rsid w:val="00E47A5A"/>
    <w:rsid w:val="00E47F13"/>
    <w:rsid w:val="00E505D5"/>
    <w:rsid w:val="00E50736"/>
    <w:rsid w:val="00E50834"/>
    <w:rsid w:val="00E519D1"/>
    <w:rsid w:val="00E519D4"/>
    <w:rsid w:val="00E52BB6"/>
    <w:rsid w:val="00E53192"/>
    <w:rsid w:val="00E5424E"/>
    <w:rsid w:val="00E549E4"/>
    <w:rsid w:val="00E550AF"/>
    <w:rsid w:val="00E554ED"/>
    <w:rsid w:val="00E55727"/>
    <w:rsid w:val="00E55B42"/>
    <w:rsid w:val="00E560E5"/>
    <w:rsid w:val="00E56354"/>
    <w:rsid w:val="00E564DC"/>
    <w:rsid w:val="00E565A8"/>
    <w:rsid w:val="00E57A10"/>
    <w:rsid w:val="00E57BA8"/>
    <w:rsid w:val="00E60C8C"/>
    <w:rsid w:val="00E6135A"/>
    <w:rsid w:val="00E614E6"/>
    <w:rsid w:val="00E616F5"/>
    <w:rsid w:val="00E61ADD"/>
    <w:rsid w:val="00E62290"/>
    <w:rsid w:val="00E62303"/>
    <w:rsid w:val="00E62C43"/>
    <w:rsid w:val="00E62D88"/>
    <w:rsid w:val="00E63EC8"/>
    <w:rsid w:val="00E64316"/>
    <w:rsid w:val="00E64830"/>
    <w:rsid w:val="00E6511F"/>
    <w:rsid w:val="00E652B8"/>
    <w:rsid w:val="00E65A13"/>
    <w:rsid w:val="00E65EAE"/>
    <w:rsid w:val="00E66435"/>
    <w:rsid w:val="00E66B0E"/>
    <w:rsid w:val="00E6721F"/>
    <w:rsid w:val="00E6736A"/>
    <w:rsid w:val="00E6736C"/>
    <w:rsid w:val="00E678FB"/>
    <w:rsid w:val="00E67B04"/>
    <w:rsid w:val="00E67D04"/>
    <w:rsid w:val="00E67D8A"/>
    <w:rsid w:val="00E67F0B"/>
    <w:rsid w:val="00E70851"/>
    <w:rsid w:val="00E7090A"/>
    <w:rsid w:val="00E712B9"/>
    <w:rsid w:val="00E7146B"/>
    <w:rsid w:val="00E71488"/>
    <w:rsid w:val="00E71A91"/>
    <w:rsid w:val="00E71F3F"/>
    <w:rsid w:val="00E7257B"/>
    <w:rsid w:val="00E7304B"/>
    <w:rsid w:val="00E73878"/>
    <w:rsid w:val="00E7391A"/>
    <w:rsid w:val="00E73CEE"/>
    <w:rsid w:val="00E73CF2"/>
    <w:rsid w:val="00E73FBC"/>
    <w:rsid w:val="00E7423E"/>
    <w:rsid w:val="00E74852"/>
    <w:rsid w:val="00E74B8C"/>
    <w:rsid w:val="00E74B8F"/>
    <w:rsid w:val="00E74FF7"/>
    <w:rsid w:val="00E75DEF"/>
    <w:rsid w:val="00E76888"/>
    <w:rsid w:val="00E76BAB"/>
    <w:rsid w:val="00E76FB6"/>
    <w:rsid w:val="00E77568"/>
    <w:rsid w:val="00E77DF6"/>
    <w:rsid w:val="00E77EA9"/>
    <w:rsid w:val="00E80DB9"/>
    <w:rsid w:val="00E80F6A"/>
    <w:rsid w:val="00E8105C"/>
    <w:rsid w:val="00E8140D"/>
    <w:rsid w:val="00E81BC4"/>
    <w:rsid w:val="00E81F6C"/>
    <w:rsid w:val="00E82981"/>
    <w:rsid w:val="00E829A4"/>
    <w:rsid w:val="00E833A7"/>
    <w:rsid w:val="00E83E86"/>
    <w:rsid w:val="00E83EBF"/>
    <w:rsid w:val="00E83FA2"/>
    <w:rsid w:val="00E849D7"/>
    <w:rsid w:val="00E84E09"/>
    <w:rsid w:val="00E850A5"/>
    <w:rsid w:val="00E85740"/>
    <w:rsid w:val="00E8594F"/>
    <w:rsid w:val="00E85CE2"/>
    <w:rsid w:val="00E86583"/>
    <w:rsid w:val="00E86AD0"/>
    <w:rsid w:val="00E86C0A"/>
    <w:rsid w:val="00E87000"/>
    <w:rsid w:val="00E8732A"/>
    <w:rsid w:val="00E87742"/>
    <w:rsid w:val="00E87A0F"/>
    <w:rsid w:val="00E90013"/>
    <w:rsid w:val="00E906B0"/>
    <w:rsid w:val="00E90B52"/>
    <w:rsid w:val="00E9145A"/>
    <w:rsid w:val="00E9237A"/>
    <w:rsid w:val="00E9290E"/>
    <w:rsid w:val="00E92CA9"/>
    <w:rsid w:val="00E92F32"/>
    <w:rsid w:val="00E93A22"/>
    <w:rsid w:val="00E93BE3"/>
    <w:rsid w:val="00E94BB5"/>
    <w:rsid w:val="00E958A2"/>
    <w:rsid w:val="00E95DE8"/>
    <w:rsid w:val="00E965F9"/>
    <w:rsid w:val="00E96847"/>
    <w:rsid w:val="00E96A49"/>
    <w:rsid w:val="00E96D4C"/>
    <w:rsid w:val="00E971F9"/>
    <w:rsid w:val="00E9774C"/>
    <w:rsid w:val="00EA0164"/>
    <w:rsid w:val="00EA09D8"/>
    <w:rsid w:val="00EA1733"/>
    <w:rsid w:val="00EA2456"/>
    <w:rsid w:val="00EA27F6"/>
    <w:rsid w:val="00EA2926"/>
    <w:rsid w:val="00EA292E"/>
    <w:rsid w:val="00EA33F5"/>
    <w:rsid w:val="00EA3669"/>
    <w:rsid w:val="00EA3B01"/>
    <w:rsid w:val="00EA3BEF"/>
    <w:rsid w:val="00EA45AF"/>
    <w:rsid w:val="00EA4BC2"/>
    <w:rsid w:val="00EA4E2E"/>
    <w:rsid w:val="00EA53FD"/>
    <w:rsid w:val="00EA5A5F"/>
    <w:rsid w:val="00EA5AE0"/>
    <w:rsid w:val="00EA5E47"/>
    <w:rsid w:val="00EA60A7"/>
    <w:rsid w:val="00EA6A6D"/>
    <w:rsid w:val="00EA6FD0"/>
    <w:rsid w:val="00EA7160"/>
    <w:rsid w:val="00EA773B"/>
    <w:rsid w:val="00EA784B"/>
    <w:rsid w:val="00EA7986"/>
    <w:rsid w:val="00EA7F94"/>
    <w:rsid w:val="00EB00AC"/>
    <w:rsid w:val="00EB05FF"/>
    <w:rsid w:val="00EB085E"/>
    <w:rsid w:val="00EB0E95"/>
    <w:rsid w:val="00EB269B"/>
    <w:rsid w:val="00EB42C5"/>
    <w:rsid w:val="00EB4CA6"/>
    <w:rsid w:val="00EB4DBE"/>
    <w:rsid w:val="00EB54FF"/>
    <w:rsid w:val="00EB5BF5"/>
    <w:rsid w:val="00EB5E4D"/>
    <w:rsid w:val="00EB64B7"/>
    <w:rsid w:val="00EB7076"/>
    <w:rsid w:val="00EC046B"/>
    <w:rsid w:val="00EC0591"/>
    <w:rsid w:val="00EC0E77"/>
    <w:rsid w:val="00EC1600"/>
    <w:rsid w:val="00EC182A"/>
    <w:rsid w:val="00EC2B63"/>
    <w:rsid w:val="00EC2EE7"/>
    <w:rsid w:val="00EC3162"/>
    <w:rsid w:val="00EC3228"/>
    <w:rsid w:val="00EC32CC"/>
    <w:rsid w:val="00EC3432"/>
    <w:rsid w:val="00EC3C7D"/>
    <w:rsid w:val="00EC3E59"/>
    <w:rsid w:val="00EC4552"/>
    <w:rsid w:val="00EC4B86"/>
    <w:rsid w:val="00EC4C3A"/>
    <w:rsid w:val="00EC4CC2"/>
    <w:rsid w:val="00EC4F09"/>
    <w:rsid w:val="00EC5026"/>
    <w:rsid w:val="00EC551E"/>
    <w:rsid w:val="00EC57E3"/>
    <w:rsid w:val="00EC5983"/>
    <w:rsid w:val="00EC5A5C"/>
    <w:rsid w:val="00EC5D1E"/>
    <w:rsid w:val="00EC60B3"/>
    <w:rsid w:val="00EC63E2"/>
    <w:rsid w:val="00EC65D2"/>
    <w:rsid w:val="00EC6F4A"/>
    <w:rsid w:val="00EC701D"/>
    <w:rsid w:val="00EC7521"/>
    <w:rsid w:val="00EC78C5"/>
    <w:rsid w:val="00EC7FEA"/>
    <w:rsid w:val="00ED09F4"/>
    <w:rsid w:val="00ED0CDD"/>
    <w:rsid w:val="00ED1969"/>
    <w:rsid w:val="00ED1CB0"/>
    <w:rsid w:val="00ED1CD9"/>
    <w:rsid w:val="00ED1D26"/>
    <w:rsid w:val="00ED278D"/>
    <w:rsid w:val="00ED2E9C"/>
    <w:rsid w:val="00ED2EB6"/>
    <w:rsid w:val="00ED300B"/>
    <w:rsid w:val="00ED30F6"/>
    <w:rsid w:val="00ED339C"/>
    <w:rsid w:val="00ED3B77"/>
    <w:rsid w:val="00ED4F0C"/>
    <w:rsid w:val="00ED5A4F"/>
    <w:rsid w:val="00ED619F"/>
    <w:rsid w:val="00ED65BA"/>
    <w:rsid w:val="00ED715A"/>
    <w:rsid w:val="00ED74FE"/>
    <w:rsid w:val="00ED785B"/>
    <w:rsid w:val="00ED7C3F"/>
    <w:rsid w:val="00EE04B1"/>
    <w:rsid w:val="00EE0FD4"/>
    <w:rsid w:val="00EE154F"/>
    <w:rsid w:val="00EE1609"/>
    <w:rsid w:val="00EE18F5"/>
    <w:rsid w:val="00EE1EB4"/>
    <w:rsid w:val="00EE2096"/>
    <w:rsid w:val="00EE2804"/>
    <w:rsid w:val="00EE28EF"/>
    <w:rsid w:val="00EE2B24"/>
    <w:rsid w:val="00EE2F0D"/>
    <w:rsid w:val="00EE3453"/>
    <w:rsid w:val="00EE3E88"/>
    <w:rsid w:val="00EE4373"/>
    <w:rsid w:val="00EE4443"/>
    <w:rsid w:val="00EE5C4A"/>
    <w:rsid w:val="00EE5F20"/>
    <w:rsid w:val="00EE5F75"/>
    <w:rsid w:val="00EE61F8"/>
    <w:rsid w:val="00EE6B6E"/>
    <w:rsid w:val="00EE6E67"/>
    <w:rsid w:val="00EE768F"/>
    <w:rsid w:val="00EF046A"/>
    <w:rsid w:val="00EF06AC"/>
    <w:rsid w:val="00EF0C30"/>
    <w:rsid w:val="00EF0CA8"/>
    <w:rsid w:val="00EF1216"/>
    <w:rsid w:val="00EF1427"/>
    <w:rsid w:val="00EF14E0"/>
    <w:rsid w:val="00EF1F73"/>
    <w:rsid w:val="00EF2597"/>
    <w:rsid w:val="00EF2722"/>
    <w:rsid w:val="00EF2C32"/>
    <w:rsid w:val="00EF2D43"/>
    <w:rsid w:val="00EF2D93"/>
    <w:rsid w:val="00EF312C"/>
    <w:rsid w:val="00EF3599"/>
    <w:rsid w:val="00EF3B45"/>
    <w:rsid w:val="00EF3D02"/>
    <w:rsid w:val="00EF44E2"/>
    <w:rsid w:val="00EF4A23"/>
    <w:rsid w:val="00EF5580"/>
    <w:rsid w:val="00EF56FB"/>
    <w:rsid w:val="00EF59DF"/>
    <w:rsid w:val="00EF631B"/>
    <w:rsid w:val="00EF6832"/>
    <w:rsid w:val="00EF69FD"/>
    <w:rsid w:val="00EF6C21"/>
    <w:rsid w:val="00EF7138"/>
    <w:rsid w:val="00EF7360"/>
    <w:rsid w:val="00F0035A"/>
    <w:rsid w:val="00F006DE"/>
    <w:rsid w:val="00F00C21"/>
    <w:rsid w:val="00F015E7"/>
    <w:rsid w:val="00F01618"/>
    <w:rsid w:val="00F0240E"/>
    <w:rsid w:val="00F02BE8"/>
    <w:rsid w:val="00F02EDE"/>
    <w:rsid w:val="00F03201"/>
    <w:rsid w:val="00F03410"/>
    <w:rsid w:val="00F03754"/>
    <w:rsid w:val="00F03807"/>
    <w:rsid w:val="00F04625"/>
    <w:rsid w:val="00F049BF"/>
    <w:rsid w:val="00F04CCC"/>
    <w:rsid w:val="00F04F2D"/>
    <w:rsid w:val="00F050EF"/>
    <w:rsid w:val="00F05748"/>
    <w:rsid w:val="00F057B3"/>
    <w:rsid w:val="00F057D9"/>
    <w:rsid w:val="00F05D6C"/>
    <w:rsid w:val="00F06551"/>
    <w:rsid w:val="00F069D0"/>
    <w:rsid w:val="00F070DA"/>
    <w:rsid w:val="00F07243"/>
    <w:rsid w:val="00F076A0"/>
    <w:rsid w:val="00F078D6"/>
    <w:rsid w:val="00F07A08"/>
    <w:rsid w:val="00F07FCD"/>
    <w:rsid w:val="00F106DF"/>
    <w:rsid w:val="00F10AD1"/>
    <w:rsid w:val="00F1141E"/>
    <w:rsid w:val="00F1173B"/>
    <w:rsid w:val="00F11E42"/>
    <w:rsid w:val="00F125AC"/>
    <w:rsid w:val="00F12CFF"/>
    <w:rsid w:val="00F13DA6"/>
    <w:rsid w:val="00F1431C"/>
    <w:rsid w:val="00F143E0"/>
    <w:rsid w:val="00F147AE"/>
    <w:rsid w:val="00F149CB"/>
    <w:rsid w:val="00F14DA7"/>
    <w:rsid w:val="00F152A8"/>
    <w:rsid w:val="00F15803"/>
    <w:rsid w:val="00F15A3F"/>
    <w:rsid w:val="00F16664"/>
    <w:rsid w:val="00F16B1D"/>
    <w:rsid w:val="00F16EC6"/>
    <w:rsid w:val="00F1751B"/>
    <w:rsid w:val="00F1753B"/>
    <w:rsid w:val="00F17C83"/>
    <w:rsid w:val="00F20067"/>
    <w:rsid w:val="00F21639"/>
    <w:rsid w:val="00F21965"/>
    <w:rsid w:val="00F21981"/>
    <w:rsid w:val="00F21B39"/>
    <w:rsid w:val="00F2215C"/>
    <w:rsid w:val="00F2221E"/>
    <w:rsid w:val="00F227A5"/>
    <w:rsid w:val="00F22B6F"/>
    <w:rsid w:val="00F22DB8"/>
    <w:rsid w:val="00F22E52"/>
    <w:rsid w:val="00F23A03"/>
    <w:rsid w:val="00F23AD7"/>
    <w:rsid w:val="00F2428A"/>
    <w:rsid w:val="00F2485C"/>
    <w:rsid w:val="00F24EFA"/>
    <w:rsid w:val="00F257A1"/>
    <w:rsid w:val="00F25D44"/>
    <w:rsid w:val="00F25E76"/>
    <w:rsid w:val="00F26111"/>
    <w:rsid w:val="00F26AFB"/>
    <w:rsid w:val="00F2731E"/>
    <w:rsid w:val="00F279A4"/>
    <w:rsid w:val="00F279B5"/>
    <w:rsid w:val="00F27CCD"/>
    <w:rsid w:val="00F27DBB"/>
    <w:rsid w:val="00F27FC0"/>
    <w:rsid w:val="00F304E8"/>
    <w:rsid w:val="00F309F1"/>
    <w:rsid w:val="00F30E3F"/>
    <w:rsid w:val="00F31049"/>
    <w:rsid w:val="00F312BA"/>
    <w:rsid w:val="00F3146A"/>
    <w:rsid w:val="00F323A9"/>
    <w:rsid w:val="00F32D6C"/>
    <w:rsid w:val="00F32E1B"/>
    <w:rsid w:val="00F3356C"/>
    <w:rsid w:val="00F3359D"/>
    <w:rsid w:val="00F335BB"/>
    <w:rsid w:val="00F33AD3"/>
    <w:rsid w:val="00F3430D"/>
    <w:rsid w:val="00F34C3D"/>
    <w:rsid w:val="00F34E17"/>
    <w:rsid w:val="00F3527C"/>
    <w:rsid w:val="00F3592D"/>
    <w:rsid w:val="00F364FE"/>
    <w:rsid w:val="00F365B4"/>
    <w:rsid w:val="00F371A9"/>
    <w:rsid w:val="00F37649"/>
    <w:rsid w:val="00F4035F"/>
    <w:rsid w:val="00F40AFD"/>
    <w:rsid w:val="00F40B19"/>
    <w:rsid w:val="00F40E17"/>
    <w:rsid w:val="00F41044"/>
    <w:rsid w:val="00F41554"/>
    <w:rsid w:val="00F4171F"/>
    <w:rsid w:val="00F4197E"/>
    <w:rsid w:val="00F41C29"/>
    <w:rsid w:val="00F4282F"/>
    <w:rsid w:val="00F42E68"/>
    <w:rsid w:val="00F438E0"/>
    <w:rsid w:val="00F43EDB"/>
    <w:rsid w:val="00F448F9"/>
    <w:rsid w:val="00F4491E"/>
    <w:rsid w:val="00F44A38"/>
    <w:rsid w:val="00F44BA3"/>
    <w:rsid w:val="00F44DF7"/>
    <w:rsid w:val="00F4525C"/>
    <w:rsid w:val="00F45715"/>
    <w:rsid w:val="00F45E4C"/>
    <w:rsid w:val="00F46076"/>
    <w:rsid w:val="00F46B0B"/>
    <w:rsid w:val="00F46C25"/>
    <w:rsid w:val="00F46D7D"/>
    <w:rsid w:val="00F47204"/>
    <w:rsid w:val="00F47645"/>
    <w:rsid w:val="00F47C71"/>
    <w:rsid w:val="00F47DA6"/>
    <w:rsid w:val="00F47E21"/>
    <w:rsid w:val="00F47E93"/>
    <w:rsid w:val="00F50F79"/>
    <w:rsid w:val="00F51358"/>
    <w:rsid w:val="00F518A7"/>
    <w:rsid w:val="00F52544"/>
    <w:rsid w:val="00F52893"/>
    <w:rsid w:val="00F52B00"/>
    <w:rsid w:val="00F53003"/>
    <w:rsid w:val="00F53D6B"/>
    <w:rsid w:val="00F54006"/>
    <w:rsid w:val="00F54592"/>
    <w:rsid w:val="00F548CD"/>
    <w:rsid w:val="00F54924"/>
    <w:rsid w:val="00F549A6"/>
    <w:rsid w:val="00F549C3"/>
    <w:rsid w:val="00F54A80"/>
    <w:rsid w:val="00F54D47"/>
    <w:rsid w:val="00F553BE"/>
    <w:rsid w:val="00F55D40"/>
    <w:rsid w:val="00F55EDD"/>
    <w:rsid w:val="00F56035"/>
    <w:rsid w:val="00F560F1"/>
    <w:rsid w:val="00F56113"/>
    <w:rsid w:val="00F5643A"/>
    <w:rsid w:val="00F56B32"/>
    <w:rsid w:val="00F56B57"/>
    <w:rsid w:val="00F5777A"/>
    <w:rsid w:val="00F57865"/>
    <w:rsid w:val="00F603C8"/>
    <w:rsid w:val="00F604C7"/>
    <w:rsid w:val="00F60740"/>
    <w:rsid w:val="00F60F20"/>
    <w:rsid w:val="00F61B8C"/>
    <w:rsid w:val="00F61D97"/>
    <w:rsid w:val="00F61EA7"/>
    <w:rsid w:val="00F620AE"/>
    <w:rsid w:val="00F62143"/>
    <w:rsid w:val="00F62227"/>
    <w:rsid w:val="00F623DB"/>
    <w:rsid w:val="00F62E1F"/>
    <w:rsid w:val="00F63112"/>
    <w:rsid w:val="00F6326C"/>
    <w:rsid w:val="00F637AB"/>
    <w:rsid w:val="00F637C7"/>
    <w:rsid w:val="00F6431B"/>
    <w:rsid w:val="00F6433F"/>
    <w:rsid w:val="00F647B5"/>
    <w:rsid w:val="00F64D67"/>
    <w:rsid w:val="00F64F58"/>
    <w:rsid w:val="00F651C6"/>
    <w:rsid w:val="00F65680"/>
    <w:rsid w:val="00F65B4C"/>
    <w:rsid w:val="00F65BC5"/>
    <w:rsid w:val="00F66055"/>
    <w:rsid w:val="00F677E6"/>
    <w:rsid w:val="00F679A9"/>
    <w:rsid w:val="00F67F4A"/>
    <w:rsid w:val="00F7017E"/>
    <w:rsid w:val="00F70794"/>
    <w:rsid w:val="00F71B02"/>
    <w:rsid w:val="00F71B43"/>
    <w:rsid w:val="00F71C1B"/>
    <w:rsid w:val="00F71DB0"/>
    <w:rsid w:val="00F72161"/>
    <w:rsid w:val="00F72173"/>
    <w:rsid w:val="00F724C5"/>
    <w:rsid w:val="00F72612"/>
    <w:rsid w:val="00F726AF"/>
    <w:rsid w:val="00F72932"/>
    <w:rsid w:val="00F72AB4"/>
    <w:rsid w:val="00F72CDB"/>
    <w:rsid w:val="00F7348A"/>
    <w:rsid w:val="00F737EB"/>
    <w:rsid w:val="00F73AB9"/>
    <w:rsid w:val="00F73D2F"/>
    <w:rsid w:val="00F742EA"/>
    <w:rsid w:val="00F745A7"/>
    <w:rsid w:val="00F74853"/>
    <w:rsid w:val="00F74C80"/>
    <w:rsid w:val="00F7529C"/>
    <w:rsid w:val="00F75CA6"/>
    <w:rsid w:val="00F75EED"/>
    <w:rsid w:val="00F75FBD"/>
    <w:rsid w:val="00F76B5E"/>
    <w:rsid w:val="00F76DCA"/>
    <w:rsid w:val="00F76F48"/>
    <w:rsid w:val="00F80338"/>
    <w:rsid w:val="00F808F3"/>
    <w:rsid w:val="00F80D58"/>
    <w:rsid w:val="00F8182D"/>
    <w:rsid w:val="00F8230E"/>
    <w:rsid w:val="00F823A8"/>
    <w:rsid w:val="00F830AB"/>
    <w:rsid w:val="00F83476"/>
    <w:rsid w:val="00F834E5"/>
    <w:rsid w:val="00F83C85"/>
    <w:rsid w:val="00F83D28"/>
    <w:rsid w:val="00F84759"/>
    <w:rsid w:val="00F84D15"/>
    <w:rsid w:val="00F84DC1"/>
    <w:rsid w:val="00F851B0"/>
    <w:rsid w:val="00F852E1"/>
    <w:rsid w:val="00F856FD"/>
    <w:rsid w:val="00F85CDE"/>
    <w:rsid w:val="00F861E7"/>
    <w:rsid w:val="00F862A6"/>
    <w:rsid w:val="00F866EB"/>
    <w:rsid w:val="00F875C3"/>
    <w:rsid w:val="00F87653"/>
    <w:rsid w:val="00F87865"/>
    <w:rsid w:val="00F87B48"/>
    <w:rsid w:val="00F87D06"/>
    <w:rsid w:val="00F87D7E"/>
    <w:rsid w:val="00F90243"/>
    <w:rsid w:val="00F90543"/>
    <w:rsid w:val="00F9066E"/>
    <w:rsid w:val="00F906FD"/>
    <w:rsid w:val="00F90E21"/>
    <w:rsid w:val="00F910C1"/>
    <w:rsid w:val="00F9147A"/>
    <w:rsid w:val="00F929BF"/>
    <w:rsid w:val="00F92DFB"/>
    <w:rsid w:val="00F93591"/>
    <w:rsid w:val="00F9361F"/>
    <w:rsid w:val="00F93A2B"/>
    <w:rsid w:val="00F93ABF"/>
    <w:rsid w:val="00F93B85"/>
    <w:rsid w:val="00F946BF"/>
    <w:rsid w:val="00F9475F"/>
    <w:rsid w:val="00F95A8A"/>
    <w:rsid w:val="00F95AA8"/>
    <w:rsid w:val="00F960DF"/>
    <w:rsid w:val="00F96252"/>
    <w:rsid w:val="00F9668E"/>
    <w:rsid w:val="00F96BE6"/>
    <w:rsid w:val="00FA006E"/>
    <w:rsid w:val="00FA0264"/>
    <w:rsid w:val="00FA06A4"/>
    <w:rsid w:val="00FA0B71"/>
    <w:rsid w:val="00FA0B86"/>
    <w:rsid w:val="00FA0BF3"/>
    <w:rsid w:val="00FA12EF"/>
    <w:rsid w:val="00FA1371"/>
    <w:rsid w:val="00FA1ADF"/>
    <w:rsid w:val="00FA1AF0"/>
    <w:rsid w:val="00FA3471"/>
    <w:rsid w:val="00FA36B8"/>
    <w:rsid w:val="00FA52E4"/>
    <w:rsid w:val="00FA55A2"/>
    <w:rsid w:val="00FA5683"/>
    <w:rsid w:val="00FA6217"/>
    <w:rsid w:val="00FA66E5"/>
    <w:rsid w:val="00FA74DD"/>
    <w:rsid w:val="00FA7E02"/>
    <w:rsid w:val="00FB0082"/>
    <w:rsid w:val="00FB105D"/>
    <w:rsid w:val="00FB1284"/>
    <w:rsid w:val="00FB2161"/>
    <w:rsid w:val="00FB2389"/>
    <w:rsid w:val="00FB23A6"/>
    <w:rsid w:val="00FB253D"/>
    <w:rsid w:val="00FB28AB"/>
    <w:rsid w:val="00FB2AF6"/>
    <w:rsid w:val="00FB2E8B"/>
    <w:rsid w:val="00FB42F8"/>
    <w:rsid w:val="00FB486D"/>
    <w:rsid w:val="00FB4B88"/>
    <w:rsid w:val="00FB5EDB"/>
    <w:rsid w:val="00FB5EF8"/>
    <w:rsid w:val="00FB5F36"/>
    <w:rsid w:val="00FB5F76"/>
    <w:rsid w:val="00FB65B9"/>
    <w:rsid w:val="00FB6E0D"/>
    <w:rsid w:val="00FB6ED5"/>
    <w:rsid w:val="00FB70BA"/>
    <w:rsid w:val="00FB770C"/>
    <w:rsid w:val="00FB7915"/>
    <w:rsid w:val="00FB7EBE"/>
    <w:rsid w:val="00FC04A8"/>
    <w:rsid w:val="00FC0EAC"/>
    <w:rsid w:val="00FC1FE4"/>
    <w:rsid w:val="00FC2A8B"/>
    <w:rsid w:val="00FC3E5E"/>
    <w:rsid w:val="00FC426E"/>
    <w:rsid w:val="00FC4F01"/>
    <w:rsid w:val="00FC5421"/>
    <w:rsid w:val="00FC5B56"/>
    <w:rsid w:val="00FC5C3E"/>
    <w:rsid w:val="00FC66F6"/>
    <w:rsid w:val="00FC6D98"/>
    <w:rsid w:val="00FC71D7"/>
    <w:rsid w:val="00FC7298"/>
    <w:rsid w:val="00FC792C"/>
    <w:rsid w:val="00FC7DFC"/>
    <w:rsid w:val="00FC7EFF"/>
    <w:rsid w:val="00FC7F11"/>
    <w:rsid w:val="00FD016C"/>
    <w:rsid w:val="00FD03B0"/>
    <w:rsid w:val="00FD03D8"/>
    <w:rsid w:val="00FD070A"/>
    <w:rsid w:val="00FD0BA4"/>
    <w:rsid w:val="00FD0C9B"/>
    <w:rsid w:val="00FD1BC8"/>
    <w:rsid w:val="00FD1E54"/>
    <w:rsid w:val="00FD22B0"/>
    <w:rsid w:val="00FD2398"/>
    <w:rsid w:val="00FD3047"/>
    <w:rsid w:val="00FD366F"/>
    <w:rsid w:val="00FD3AE7"/>
    <w:rsid w:val="00FD3BE1"/>
    <w:rsid w:val="00FD3F33"/>
    <w:rsid w:val="00FD444F"/>
    <w:rsid w:val="00FD46DF"/>
    <w:rsid w:val="00FD5329"/>
    <w:rsid w:val="00FD5E99"/>
    <w:rsid w:val="00FD5FF9"/>
    <w:rsid w:val="00FD604D"/>
    <w:rsid w:val="00FD607A"/>
    <w:rsid w:val="00FD64D7"/>
    <w:rsid w:val="00FD6506"/>
    <w:rsid w:val="00FD6678"/>
    <w:rsid w:val="00FD668F"/>
    <w:rsid w:val="00FD6FFD"/>
    <w:rsid w:val="00FE10A3"/>
    <w:rsid w:val="00FE18EA"/>
    <w:rsid w:val="00FE1FD5"/>
    <w:rsid w:val="00FE2D90"/>
    <w:rsid w:val="00FE3594"/>
    <w:rsid w:val="00FE3AEE"/>
    <w:rsid w:val="00FE3ED1"/>
    <w:rsid w:val="00FE4468"/>
    <w:rsid w:val="00FE48C3"/>
    <w:rsid w:val="00FE4AD1"/>
    <w:rsid w:val="00FE4B1D"/>
    <w:rsid w:val="00FE4EEC"/>
    <w:rsid w:val="00FE5DC5"/>
    <w:rsid w:val="00FE5EC7"/>
    <w:rsid w:val="00FE5FF2"/>
    <w:rsid w:val="00FE68CC"/>
    <w:rsid w:val="00FE6EE9"/>
    <w:rsid w:val="00FE71F1"/>
    <w:rsid w:val="00FE7890"/>
    <w:rsid w:val="00FE7985"/>
    <w:rsid w:val="00FE7BF9"/>
    <w:rsid w:val="00FE7E60"/>
    <w:rsid w:val="00FE7F22"/>
    <w:rsid w:val="00FE7F49"/>
    <w:rsid w:val="00FF0E86"/>
    <w:rsid w:val="00FF0F61"/>
    <w:rsid w:val="00FF137E"/>
    <w:rsid w:val="00FF1393"/>
    <w:rsid w:val="00FF1B63"/>
    <w:rsid w:val="00FF1C87"/>
    <w:rsid w:val="00FF1C9E"/>
    <w:rsid w:val="00FF274F"/>
    <w:rsid w:val="00FF2D09"/>
    <w:rsid w:val="00FF2EDF"/>
    <w:rsid w:val="00FF31EB"/>
    <w:rsid w:val="00FF34BD"/>
    <w:rsid w:val="00FF3E82"/>
    <w:rsid w:val="00FF4569"/>
    <w:rsid w:val="00FF5379"/>
    <w:rsid w:val="00FF54FE"/>
    <w:rsid w:val="00FF560E"/>
    <w:rsid w:val="00FF56BB"/>
    <w:rsid w:val="00FF5A0A"/>
    <w:rsid w:val="00FF5C72"/>
    <w:rsid w:val="00FF5D3E"/>
    <w:rsid w:val="00FF6125"/>
    <w:rsid w:val="00FF675B"/>
    <w:rsid w:val="00FF75A2"/>
    <w:rsid w:val="00FF7A8D"/>
    <w:rsid w:val="00FF7B70"/>
  </w:rsids>
  <m:mathPr>
    <m:mathFont m:val="Cambria Math"/>
    <m:brkBin m:val="before"/>
    <m:brkBinSub m:val="--"/>
    <m:smallFrac/>
    <m:dispDef/>
    <m:lMargin m:val="0"/>
    <m:rMargin m:val="0"/>
    <m:defJc m:val="centerGroup"/>
    <m:wrapRight/>
    <m:intLim m:val="subSup"/>
    <m:naryLim m:val="subSup"/>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05CCB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s-E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qFormat="1"/>
    <w:lsdException w:name="heading 3" w:qFormat="1"/>
    <w:lsdException w:name="heading 4" w:uiPriority="9" w:qFormat="1"/>
    <w:lsdException w:name="heading 5" w:uiPriority="9"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qFormat="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lsdException w:name="Light Shading Accent 2"/>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675B"/>
    <w:pPr>
      <w:spacing w:after="200"/>
    </w:pPr>
    <w:rPr>
      <w:rFonts w:ascii="Franklin Gothic Book" w:hAnsi="Franklin Gothic Book"/>
      <w:sz w:val="22"/>
      <w:lang w:val="es-419"/>
    </w:rPr>
  </w:style>
  <w:style w:type="paragraph" w:styleId="Heading1">
    <w:name w:val="heading 1"/>
    <w:basedOn w:val="Normal"/>
    <w:next w:val="Normal"/>
    <w:link w:val="Heading1Char"/>
    <w:uiPriority w:val="9"/>
    <w:qFormat/>
    <w:rsid w:val="00FF675B"/>
    <w:pPr>
      <w:keepNext/>
      <w:keepLines/>
      <w:numPr>
        <w:numId w:val="24"/>
      </w:numPr>
      <w:spacing w:line="266" w:lineRule="auto"/>
      <w:outlineLvl w:val="0"/>
    </w:pPr>
    <w:rPr>
      <w:rFonts w:ascii="Franklin Gothic Demi" w:eastAsiaTheme="majorEastAsia" w:hAnsi="Franklin Gothic Demi" w:cstheme="majorHAnsi"/>
      <w:b/>
      <w:color w:val="365F91" w:themeColor="accent1" w:themeShade="BF"/>
      <w:sz w:val="32"/>
      <w:szCs w:val="28"/>
    </w:rPr>
  </w:style>
  <w:style w:type="paragraph" w:styleId="Heading2">
    <w:name w:val="heading 2"/>
    <w:basedOn w:val="Normal"/>
    <w:next w:val="Normal"/>
    <w:link w:val="Heading2Char"/>
    <w:uiPriority w:val="99"/>
    <w:unhideWhenUsed/>
    <w:qFormat/>
    <w:rsid w:val="00310A3A"/>
    <w:pPr>
      <w:keepNext/>
      <w:keepLines/>
      <w:widowControl w:val="0"/>
      <w:numPr>
        <w:ilvl w:val="1"/>
        <w:numId w:val="4"/>
      </w:numPr>
      <w:tabs>
        <w:tab w:val="num" w:pos="0"/>
      </w:tabs>
      <w:suppressAutoHyphens/>
      <w:spacing w:before="240" w:after="240" w:line="276" w:lineRule="auto"/>
      <w:ind w:left="578" w:hanging="578"/>
      <w:outlineLvl w:val="1"/>
    </w:pPr>
    <w:rPr>
      <w:rFonts w:eastAsia="Times New Roman" w:cs="Calibri"/>
      <w:bCs/>
      <w:color w:val="188FBB"/>
      <w:sz w:val="28"/>
      <w:szCs w:val="26"/>
      <w:lang w:bidi="en-US"/>
    </w:rPr>
  </w:style>
  <w:style w:type="paragraph" w:styleId="Heading3">
    <w:name w:val="heading 3"/>
    <w:basedOn w:val="Normal"/>
    <w:next w:val="Normal"/>
    <w:link w:val="Heading3Char"/>
    <w:uiPriority w:val="99"/>
    <w:unhideWhenUsed/>
    <w:qFormat/>
    <w:rsid w:val="00310A3A"/>
    <w:pPr>
      <w:keepNext/>
      <w:keepLines/>
      <w:widowControl w:val="0"/>
      <w:numPr>
        <w:ilvl w:val="2"/>
      </w:numPr>
      <w:tabs>
        <w:tab w:val="num" w:pos="0"/>
      </w:tabs>
      <w:suppressAutoHyphens/>
      <w:spacing w:before="480" w:after="120" w:line="276" w:lineRule="auto"/>
      <w:outlineLvl w:val="2"/>
    </w:pPr>
    <w:rPr>
      <w:rFonts w:eastAsia="Times New Roman" w:cs="Calibri"/>
      <w:b/>
      <w:bCs/>
      <w:color w:val="4F81BD"/>
      <w:sz w:val="24"/>
      <w:szCs w:val="22"/>
      <w:lang w:bidi="en-US"/>
    </w:rPr>
  </w:style>
  <w:style w:type="paragraph" w:styleId="Heading4">
    <w:name w:val="heading 4"/>
    <w:basedOn w:val="Normal"/>
    <w:next w:val="Normal"/>
    <w:link w:val="Heading4Char"/>
    <w:uiPriority w:val="9"/>
    <w:unhideWhenUsed/>
    <w:qFormat/>
    <w:rsid w:val="0042472E"/>
    <w:pPr>
      <w:keepNext/>
      <w:keepLines/>
      <w:spacing w:before="40" w:after="0"/>
      <w:outlineLvl w:val="3"/>
    </w:pPr>
    <w:rPr>
      <w:rFonts w:asciiTheme="majorHAnsi" w:eastAsiaTheme="majorEastAsia" w:hAnsiTheme="majorHAnsi" w:cstheme="majorBidi"/>
      <w:i/>
      <w:color w:val="1F497D" w:themeColor="text2"/>
      <w:szCs w:val="22"/>
    </w:rPr>
  </w:style>
  <w:style w:type="paragraph" w:styleId="Heading5">
    <w:name w:val="heading 5"/>
    <w:basedOn w:val="Normal"/>
    <w:next w:val="Normal"/>
    <w:link w:val="Heading5Char"/>
    <w:uiPriority w:val="9"/>
    <w:unhideWhenUsed/>
    <w:qFormat/>
    <w:rsid w:val="00723690"/>
    <w:pPr>
      <w:keepNext/>
      <w:keepLines/>
      <w:spacing w:before="40" w:after="0"/>
      <w:outlineLvl w:val="4"/>
    </w:pPr>
    <w:rPr>
      <w:rFonts w:asciiTheme="majorHAnsi" w:eastAsiaTheme="majorEastAsia" w:hAnsiTheme="majorHAnsi" w:cstheme="majorBidi"/>
      <w:color w:val="1F497D" w:themeColor="text2"/>
      <w:szCs w:val="22"/>
    </w:rPr>
  </w:style>
  <w:style w:type="paragraph" w:styleId="Heading6">
    <w:name w:val="heading 6"/>
    <w:basedOn w:val="Normal"/>
    <w:next w:val="Normal"/>
    <w:link w:val="Heading6Char"/>
    <w:uiPriority w:val="9"/>
    <w:unhideWhenUsed/>
    <w:qFormat/>
    <w:rsid w:val="00723690"/>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unhideWhenUsed/>
    <w:qFormat/>
    <w:rsid w:val="00723690"/>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unhideWhenUsed/>
    <w:qFormat/>
    <w:rsid w:val="00723690"/>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unhideWhenUsed/>
    <w:qFormat/>
    <w:rsid w:val="00723690"/>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675B"/>
    <w:rPr>
      <w:rFonts w:ascii="Franklin Gothic Demi" w:eastAsiaTheme="majorEastAsia" w:hAnsi="Franklin Gothic Demi" w:cstheme="majorHAnsi"/>
      <w:b/>
      <w:color w:val="365F91" w:themeColor="accent1" w:themeShade="BF"/>
      <w:sz w:val="32"/>
      <w:szCs w:val="28"/>
    </w:rPr>
  </w:style>
  <w:style w:type="character" w:customStyle="1" w:styleId="Heading2Char">
    <w:name w:val="Heading 2 Char"/>
    <w:basedOn w:val="DefaultParagraphFont"/>
    <w:link w:val="Heading2"/>
    <w:uiPriority w:val="99"/>
    <w:rsid w:val="00310A3A"/>
    <w:rPr>
      <w:rFonts w:ascii="Franklin Gothic Book" w:eastAsia="Times New Roman" w:hAnsi="Franklin Gothic Book" w:cs="Calibri"/>
      <w:bCs/>
      <w:color w:val="188FBB"/>
      <w:sz w:val="28"/>
      <w:szCs w:val="26"/>
      <w:lang w:bidi="en-US"/>
    </w:rPr>
  </w:style>
  <w:style w:type="character" w:customStyle="1" w:styleId="Heading3Char">
    <w:name w:val="Heading 3 Char"/>
    <w:basedOn w:val="DefaultParagraphFont"/>
    <w:link w:val="Heading3"/>
    <w:uiPriority w:val="99"/>
    <w:rsid w:val="00310A3A"/>
    <w:rPr>
      <w:rFonts w:ascii="Franklin Gothic Book" w:eastAsia="Times New Roman" w:hAnsi="Franklin Gothic Book" w:cs="Calibri"/>
      <w:b/>
      <w:bCs/>
      <w:color w:val="4F81BD"/>
      <w:sz w:val="24"/>
      <w:szCs w:val="22"/>
      <w:lang w:bidi="en-US"/>
    </w:rPr>
  </w:style>
  <w:style w:type="character" w:customStyle="1" w:styleId="Heading4Char">
    <w:name w:val="Heading 4 Char"/>
    <w:basedOn w:val="DefaultParagraphFont"/>
    <w:link w:val="Heading4"/>
    <w:uiPriority w:val="9"/>
    <w:rsid w:val="0042472E"/>
    <w:rPr>
      <w:rFonts w:asciiTheme="majorHAnsi" w:eastAsiaTheme="majorEastAsia" w:hAnsiTheme="majorHAnsi" w:cstheme="majorBidi"/>
      <w:i/>
      <w:color w:val="1F497D" w:themeColor="text2"/>
      <w:sz w:val="22"/>
      <w:szCs w:val="22"/>
    </w:rPr>
  </w:style>
  <w:style w:type="character" w:customStyle="1" w:styleId="Heading5Char">
    <w:name w:val="Heading 5 Char"/>
    <w:basedOn w:val="DefaultParagraphFont"/>
    <w:link w:val="Heading5"/>
    <w:uiPriority w:val="9"/>
    <w:rsid w:val="00723690"/>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rsid w:val="00723690"/>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rsid w:val="00723690"/>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rsid w:val="00723690"/>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rsid w:val="00723690"/>
    <w:rPr>
      <w:rFonts w:asciiTheme="majorHAnsi" w:eastAsiaTheme="majorEastAsia" w:hAnsiTheme="majorHAnsi" w:cstheme="majorBidi"/>
      <w:b/>
      <w:bCs/>
      <w:i/>
      <w:iCs/>
      <w:color w:val="1F497D" w:themeColor="text2"/>
    </w:rPr>
  </w:style>
  <w:style w:type="character" w:customStyle="1" w:styleId="WW8Num2z0">
    <w:name w:val="WW8Num2z0"/>
    <w:uiPriority w:val="99"/>
    <w:rsid w:val="003E6F94"/>
    <w:rPr>
      <w:rFonts w:ascii="Symbol" w:hAnsi="Symbol"/>
    </w:rPr>
  </w:style>
  <w:style w:type="character" w:customStyle="1" w:styleId="WW8Num2z1">
    <w:name w:val="WW8Num2z1"/>
    <w:uiPriority w:val="99"/>
    <w:rsid w:val="003E6F94"/>
    <w:rPr>
      <w:rFonts w:ascii="Courier New" w:hAnsi="Courier New"/>
    </w:rPr>
  </w:style>
  <w:style w:type="character" w:customStyle="1" w:styleId="WW8Num2z2">
    <w:name w:val="WW8Num2z2"/>
    <w:uiPriority w:val="99"/>
    <w:rsid w:val="003E6F94"/>
    <w:rPr>
      <w:rFonts w:ascii="Wingdings" w:hAnsi="Wingdings"/>
    </w:rPr>
  </w:style>
  <w:style w:type="character" w:customStyle="1" w:styleId="WW8Num3z0">
    <w:name w:val="WW8Num3z0"/>
    <w:uiPriority w:val="99"/>
    <w:rsid w:val="003E6F94"/>
    <w:rPr>
      <w:rFonts w:ascii="Symbol" w:hAnsi="Symbol"/>
    </w:rPr>
  </w:style>
  <w:style w:type="character" w:customStyle="1" w:styleId="WW8Num3z1">
    <w:name w:val="WW8Num3z1"/>
    <w:uiPriority w:val="99"/>
    <w:rsid w:val="003E6F94"/>
    <w:rPr>
      <w:rFonts w:ascii="Courier New" w:hAnsi="Courier New"/>
    </w:rPr>
  </w:style>
  <w:style w:type="character" w:customStyle="1" w:styleId="WW8Num3z2">
    <w:name w:val="WW8Num3z2"/>
    <w:uiPriority w:val="99"/>
    <w:rsid w:val="003E6F94"/>
    <w:rPr>
      <w:rFonts w:ascii="Wingdings" w:hAnsi="Wingdings"/>
    </w:rPr>
  </w:style>
  <w:style w:type="character" w:customStyle="1" w:styleId="WW8Num6z0">
    <w:name w:val="WW8Num6z0"/>
    <w:uiPriority w:val="99"/>
    <w:rsid w:val="003E6F94"/>
    <w:rPr>
      <w:rFonts w:ascii="Symbol" w:hAnsi="Symbol"/>
    </w:rPr>
  </w:style>
  <w:style w:type="character" w:customStyle="1" w:styleId="WW8Num6z1">
    <w:name w:val="WW8Num6z1"/>
    <w:uiPriority w:val="99"/>
    <w:rsid w:val="003E6F94"/>
    <w:rPr>
      <w:rFonts w:ascii="Courier New" w:hAnsi="Courier New"/>
    </w:rPr>
  </w:style>
  <w:style w:type="character" w:customStyle="1" w:styleId="WW8Num6z2">
    <w:name w:val="WW8Num6z2"/>
    <w:uiPriority w:val="99"/>
    <w:rsid w:val="003E6F94"/>
    <w:rPr>
      <w:rFonts w:ascii="Wingdings" w:hAnsi="Wingdings"/>
    </w:rPr>
  </w:style>
  <w:style w:type="character" w:customStyle="1" w:styleId="WW8Num8z0">
    <w:name w:val="WW8Num8z0"/>
    <w:uiPriority w:val="99"/>
    <w:rsid w:val="003E6F94"/>
    <w:rPr>
      <w:rFonts w:ascii="Symbol" w:hAnsi="Symbol"/>
    </w:rPr>
  </w:style>
  <w:style w:type="character" w:customStyle="1" w:styleId="WW8Num8z1">
    <w:name w:val="WW8Num8z1"/>
    <w:uiPriority w:val="99"/>
    <w:rsid w:val="003E6F94"/>
    <w:rPr>
      <w:rFonts w:ascii="Courier New" w:hAnsi="Courier New"/>
    </w:rPr>
  </w:style>
  <w:style w:type="character" w:customStyle="1" w:styleId="WW8Num8z2">
    <w:name w:val="WW8Num8z2"/>
    <w:uiPriority w:val="99"/>
    <w:rsid w:val="003E6F94"/>
    <w:rPr>
      <w:rFonts w:ascii="Wingdings" w:hAnsi="Wingdings"/>
    </w:rPr>
  </w:style>
  <w:style w:type="character" w:customStyle="1" w:styleId="WW8Num9z0">
    <w:name w:val="WW8Num9z0"/>
    <w:uiPriority w:val="99"/>
    <w:rsid w:val="003E6F94"/>
    <w:rPr>
      <w:rFonts w:ascii="Symbol" w:hAnsi="Symbol"/>
    </w:rPr>
  </w:style>
  <w:style w:type="character" w:customStyle="1" w:styleId="WW8Num9z1">
    <w:name w:val="WW8Num9z1"/>
    <w:uiPriority w:val="99"/>
    <w:rsid w:val="003E6F94"/>
    <w:rPr>
      <w:rFonts w:ascii="Courier New" w:hAnsi="Courier New"/>
    </w:rPr>
  </w:style>
  <w:style w:type="character" w:customStyle="1" w:styleId="WW8Num9z2">
    <w:name w:val="WW8Num9z2"/>
    <w:uiPriority w:val="99"/>
    <w:rsid w:val="003E6F94"/>
    <w:rPr>
      <w:rFonts w:ascii="Wingdings" w:hAnsi="Wingdings"/>
    </w:rPr>
  </w:style>
  <w:style w:type="character" w:customStyle="1" w:styleId="WW8Num13z0">
    <w:name w:val="WW8Num13z0"/>
    <w:uiPriority w:val="99"/>
    <w:rsid w:val="003E6F94"/>
    <w:rPr>
      <w:rFonts w:ascii="Symbol" w:hAnsi="Symbol"/>
    </w:rPr>
  </w:style>
  <w:style w:type="character" w:customStyle="1" w:styleId="WW8Num13z1">
    <w:name w:val="WW8Num13z1"/>
    <w:uiPriority w:val="99"/>
    <w:rsid w:val="003E6F94"/>
    <w:rPr>
      <w:rFonts w:ascii="Courier New" w:hAnsi="Courier New"/>
    </w:rPr>
  </w:style>
  <w:style w:type="character" w:customStyle="1" w:styleId="WW8Num13z2">
    <w:name w:val="WW8Num13z2"/>
    <w:uiPriority w:val="99"/>
    <w:rsid w:val="003E6F94"/>
    <w:rPr>
      <w:rFonts w:ascii="Wingdings" w:hAnsi="Wingdings"/>
    </w:rPr>
  </w:style>
  <w:style w:type="character" w:customStyle="1" w:styleId="WW8Num14z0">
    <w:name w:val="WW8Num14z0"/>
    <w:uiPriority w:val="99"/>
    <w:rsid w:val="003E6F94"/>
    <w:rPr>
      <w:rFonts w:ascii="Symbol" w:hAnsi="Symbol"/>
    </w:rPr>
  </w:style>
  <w:style w:type="character" w:customStyle="1" w:styleId="WW8Num14z1">
    <w:name w:val="WW8Num14z1"/>
    <w:uiPriority w:val="99"/>
    <w:rsid w:val="003E6F94"/>
    <w:rPr>
      <w:rFonts w:ascii="Courier New" w:hAnsi="Courier New"/>
    </w:rPr>
  </w:style>
  <w:style w:type="character" w:customStyle="1" w:styleId="WW8Num14z2">
    <w:name w:val="WW8Num14z2"/>
    <w:uiPriority w:val="99"/>
    <w:rsid w:val="003E6F94"/>
    <w:rPr>
      <w:rFonts w:ascii="Wingdings" w:hAnsi="Wingdings"/>
    </w:rPr>
  </w:style>
  <w:style w:type="character" w:customStyle="1" w:styleId="WW8Num15z0">
    <w:name w:val="WW8Num15z0"/>
    <w:uiPriority w:val="99"/>
    <w:rsid w:val="003E6F94"/>
    <w:rPr>
      <w:rFonts w:ascii="Symbol" w:hAnsi="Symbol"/>
    </w:rPr>
  </w:style>
  <w:style w:type="character" w:customStyle="1" w:styleId="WW8Num18z0">
    <w:name w:val="WW8Num18z0"/>
    <w:uiPriority w:val="99"/>
    <w:rsid w:val="003E6F94"/>
    <w:rPr>
      <w:rFonts w:ascii="Symbol" w:hAnsi="Symbol"/>
    </w:rPr>
  </w:style>
  <w:style w:type="character" w:customStyle="1" w:styleId="WW8Num18z1">
    <w:name w:val="WW8Num18z1"/>
    <w:uiPriority w:val="99"/>
    <w:rsid w:val="003E6F94"/>
    <w:rPr>
      <w:rFonts w:ascii="Courier New" w:hAnsi="Courier New"/>
    </w:rPr>
  </w:style>
  <w:style w:type="character" w:customStyle="1" w:styleId="WW8Num18z2">
    <w:name w:val="WW8Num18z2"/>
    <w:uiPriority w:val="99"/>
    <w:rsid w:val="003E6F94"/>
    <w:rPr>
      <w:rFonts w:ascii="Wingdings" w:hAnsi="Wingdings"/>
    </w:rPr>
  </w:style>
  <w:style w:type="character" w:customStyle="1" w:styleId="WW8Num19z0">
    <w:name w:val="WW8Num19z0"/>
    <w:uiPriority w:val="99"/>
    <w:rsid w:val="003E6F94"/>
    <w:rPr>
      <w:rFonts w:ascii="Symbol" w:hAnsi="Symbol"/>
    </w:rPr>
  </w:style>
  <w:style w:type="character" w:customStyle="1" w:styleId="WW8Num19z1">
    <w:name w:val="WW8Num19z1"/>
    <w:uiPriority w:val="99"/>
    <w:rsid w:val="003E6F94"/>
    <w:rPr>
      <w:rFonts w:ascii="Courier New" w:hAnsi="Courier New"/>
    </w:rPr>
  </w:style>
  <w:style w:type="character" w:customStyle="1" w:styleId="WW8Num19z2">
    <w:name w:val="WW8Num19z2"/>
    <w:uiPriority w:val="99"/>
    <w:rsid w:val="003E6F94"/>
    <w:rPr>
      <w:rFonts w:ascii="Wingdings" w:hAnsi="Wingdings"/>
    </w:rPr>
  </w:style>
  <w:style w:type="character" w:customStyle="1" w:styleId="WW8Num21z0">
    <w:name w:val="WW8Num21z0"/>
    <w:uiPriority w:val="99"/>
    <w:rsid w:val="003E6F94"/>
    <w:rPr>
      <w:rFonts w:ascii="Symbol" w:hAnsi="Symbol"/>
    </w:rPr>
  </w:style>
  <w:style w:type="character" w:customStyle="1" w:styleId="WW8Num21z1">
    <w:name w:val="WW8Num21z1"/>
    <w:uiPriority w:val="99"/>
    <w:rsid w:val="003E6F94"/>
    <w:rPr>
      <w:rFonts w:ascii="Courier New" w:hAnsi="Courier New"/>
    </w:rPr>
  </w:style>
  <w:style w:type="character" w:customStyle="1" w:styleId="WW8Num21z2">
    <w:name w:val="WW8Num21z2"/>
    <w:uiPriority w:val="99"/>
    <w:rsid w:val="003E6F94"/>
    <w:rPr>
      <w:rFonts w:ascii="Wingdings" w:hAnsi="Wingdings"/>
    </w:rPr>
  </w:style>
  <w:style w:type="character" w:customStyle="1" w:styleId="WW8Num22z0">
    <w:name w:val="WW8Num22z0"/>
    <w:uiPriority w:val="99"/>
    <w:rsid w:val="003E6F94"/>
    <w:rPr>
      <w:rFonts w:ascii="Symbol" w:hAnsi="Symbol"/>
    </w:rPr>
  </w:style>
  <w:style w:type="character" w:customStyle="1" w:styleId="WW8Num22z1">
    <w:name w:val="WW8Num22z1"/>
    <w:uiPriority w:val="99"/>
    <w:rsid w:val="003E6F94"/>
    <w:rPr>
      <w:rFonts w:ascii="Courier New" w:hAnsi="Courier New"/>
    </w:rPr>
  </w:style>
  <w:style w:type="character" w:customStyle="1" w:styleId="WW8Num22z2">
    <w:name w:val="WW8Num22z2"/>
    <w:uiPriority w:val="99"/>
    <w:rsid w:val="003E6F94"/>
    <w:rPr>
      <w:rFonts w:ascii="Wingdings" w:hAnsi="Wingdings"/>
    </w:rPr>
  </w:style>
  <w:style w:type="character" w:customStyle="1" w:styleId="WW8Num23z0">
    <w:name w:val="WW8Num23z0"/>
    <w:uiPriority w:val="99"/>
    <w:rsid w:val="003E6F94"/>
    <w:rPr>
      <w:rFonts w:ascii="Symbol" w:hAnsi="Symbol"/>
    </w:rPr>
  </w:style>
  <w:style w:type="character" w:customStyle="1" w:styleId="WW8Num23z1">
    <w:name w:val="WW8Num23z1"/>
    <w:uiPriority w:val="99"/>
    <w:rsid w:val="003E6F94"/>
    <w:rPr>
      <w:rFonts w:ascii="Courier New" w:hAnsi="Courier New"/>
    </w:rPr>
  </w:style>
  <w:style w:type="character" w:customStyle="1" w:styleId="WW8Num23z2">
    <w:name w:val="WW8Num23z2"/>
    <w:uiPriority w:val="99"/>
    <w:rsid w:val="003E6F94"/>
    <w:rPr>
      <w:rFonts w:ascii="Wingdings" w:hAnsi="Wingdings"/>
    </w:rPr>
  </w:style>
  <w:style w:type="character" w:customStyle="1" w:styleId="WW8Num23z3">
    <w:name w:val="WW8Num23z3"/>
    <w:uiPriority w:val="99"/>
    <w:rsid w:val="003E6F94"/>
    <w:rPr>
      <w:rFonts w:ascii="Symbol" w:hAnsi="Symbol"/>
    </w:rPr>
  </w:style>
  <w:style w:type="character" w:customStyle="1" w:styleId="WW8Num24z0">
    <w:name w:val="WW8Num24z0"/>
    <w:uiPriority w:val="99"/>
    <w:rsid w:val="003E6F94"/>
    <w:rPr>
      <w:rFonts w:ascii="Symbol" w:hAnsi="Symbol"/>
    </w:rPr>
  </w:style>
  <w:style w:type="character" w:customStyle="1" w:styleId="WW8Num24z2">
    <w:name w:val="WW8Num24z2"/>
    <w:uiPriority w:val="99"/>
    <w:rsid w:val="003E6F94"/>
    <w:rPr>
      <w:rFonts w:ascii="Wingdings" w:hAnsi="Wingdings"/>
    </w:rPr>
  </w:style>
  <w:style w:type="character" w:customStyle="1" w:styleId="WW8Num24z4">
    <w:name w:val="WW8Num24z4"/>
    <w:uiPriority w:val="99"/>
    <w:rsid w:val="003E6F94"/>
    <w:rPr>
      <w:rFonts w:ascii="Courier New" w:hAnsi="Courier New"/>
    </w:rPr>
  </w:style>
  <w:style w:type="character" w:customStyle="1" w:styleId="WW8Num26z0">
    <w:name w:val="WW8Num26z0"/>
    <w:uiPriority w:val="99"/>
    <w:rsid w:val="003E6F94"/>
    <w:rPr>
      <w:rFonts w:ascii="Symbol" w:hAnsi="Symbol"/>
    </w:rPr>
  </w:style>
  <w:style w:type="character" w:customStyle="1" w:styleId="WW8Num26z1">
    <w:name w:val="WW8Num26z1"/>
    <w:uiPriority w:val="99"/>
    <w:rsid w:val="003E6F94"/>
    <w:rPr>
      <w:rFonts w:ascii="Courier New" w:hAnsi="Courier New"/>
    </w:rPr>
  </w:style>
  <w:style w:type="character" w:customStyle="1" w:styleId="WW8Num26z2">
    <w:name w:val="WW8Num26z2"/>
    <w:uiPriority w:val="99"/>
    <w:rsid w:val="003E6F94"/>
    <w:rPr>
      <w:rFonts w:ascii="Wingdings" w:hAnsi="Wingdings"/>
    </w:rPr>
  </w:style>
  <w:style w:type="character" w:customStyle="1" w:styleId="WW8Num27z0">
    <w:name w:val="WW8Num27z0"/>
    <w:uiPriority w:val="99"/>
    <w:rsid w:val="003E6F94"/>
    <w:rPr>
      <w:rFonts w:ascii="Symbol" w:hAnsi="Symbol"/>
    </w:rPr>
  </w:style>
  <w:style w:type="character" w:customStyle="1" w:styleId="WW8Num27z1">
    <w:name w:val="WW8Num27z1"/>
    <w:uiPriority w:val="99"/>
    <w:rsid w:val="003E6F94"/>
    <w:rPr>
      <w:rFonts w:ascii="Courier New" w:hAnsi="Courier New"/>
    </w:rPr>
  </w:style>
  <w:style w:type="character" w:customStyle="1" w:styleId="WW8Num27z2">
    <w:name w:val="WW8Num27z2"/>
    <w:uiPriority w:val="99"/>
    <w:rsid w:val="003E6F94"/>
    <w:rPr>
      <w:rFonts w:ascii="Wingdings" w:hAnsi="Wingdings"/>
    </w:rPr>
  </w:style>
  <w:style w:type="character" w:customStyle="1" w:styleId="DefaultParagraphFont1">
    <w:name w:val="Default Paragraph Font1"/>
    <w:uiPriority w:val="99"/>
    <w:rsid w:val="003E6F94"/>
  </w:style>
  <w:style w:type="character" w:customStyle="1" w:styleId="TitleChar">
    <w:name w:val="Title Char"/>
    <w:basedOn w:val="DefaultParagraphFont"/>
    <w:link w:val="Title"/>
    <w:uiPriority w:val="10"/>
    <w:rsid w:val="00723690"/>
    <w:rPr>
      <w:rFonts w:asciiTheme="majorHAnsi" w:eastAsiaTheme="majorEastAsia" w:hAnsiTheme="majorHAnsi" w:cstheme="majorBidi"/>
      <w:color w:val="4F81BD" w:themeColor="accent1"/>
      <w:spacing w:val="-10"/>
      <w:sz w:val="56"/>
      <w:szCs w:val="56"/>
    </w:rPr>
  </w:style>
  <w:style w:type="character" w:customStyle="1" w:styleId="SubtitleChar">
    <w:name w:val="Subtitle Char"/>
    <w:basedOn w:val="DefaultParagraphFont"/>
    <w:link w:val="Subtitle"/>
    <w:uiPriority w:val="11"/>
    <w:rsid w:val="00723690"/>
    <w:rPr>
      <w:rFonts w:asciiTheme="majorHAnsi" w:eastAsiaTheme="majorEastAsia" w:hAnsiTheme="majorHAnsi" w:cstheme="majorBidi"/>
      <w:sz w:val="24"/>
      <w:szCs w:val="24"/>
    </w:rPr>
  </w:style>
  <w:style w:type="character" w:styleId="Strong">
    <w:name w:val="Strong"/>
    <w:basedOn w:val="DefaultParagraphFont"/>
    <w:uiPriority w:val="22"/>
    <w:qFormat/>
    <w:rsid w:val="00723690"/>
    <w:rPr>
      <w:b/>
      <w:bCs/>
    </w:rPr>
  </w:style>
  <w:style w:type="character" w:styleId="Emphasis">
    <w:name w:val="Emphasis"/>
    <w:basedOn w:val="DefaultParagraphFont"/>
    <w:uiPriority w:val="20"/>
    <w:qFormat/>
    <w:rsid w:val="00723690"/>
    <w:rPr>
      <w:i/>
      <w:iCs/>
    </w:rPr>
  </w:style>
  <w:style w:type="character" w:customStyle="1" w:styleId="QuoteChar">
    <w:name w:val="Quote Char"/>
    <w:basedOn w:val="DefaultParagraphFont"/>
    <w:link w:val="Quote"/>
    <w:uiPriority w:val="29"/>
    <w:rsid w:val="00723690"/>
    <w:rPr>
      <w:i/>
      <w:iCs/>
      <w:color w:val="404040" w:themeColor="text1" w:themeTint="BF"/>
    </w:rPr>
  </w:style>
  <w:style w:type="character" w:customStyle="1" w:styleId="IntenseQuoteChar">
    <w:name w:val="Intense Quote Char"/>
    <w:basedOn w:val="DefaultParagraphFont"/>
    <w:link w:val="IntenseQuote"/>
    <w:uiPriority w:val="30"/>
    <w:rsid w:val="00723690"/>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723690"/>
    <w:rPr>
      <w:i/>
      <w:iCs/>
      <w:color w:val="404040" w:themeColor="text1" w:themeTint="BF"/>
    </w:rPr>
  </w:style>
  <w:style w:type="character" w:styleId="IntenseEmphasis">
    <w:name w:val="Intense Emphasis"/>
    <w:basedOn w:val="DefaultParagraphFont"/>
    <w:uiPriority w:val="21"/>
    <w:qFormat/>
    <w:rsid w:val="00723690"/>
    <w:rPr>
      <w:b/>
      <w:bCs/>
      <w:i/>
      <w:iCs/>
    </w:rPr>
  </w:style>
  <w:style w:type="character" w:styleId="SubtleReference">
    <w:name w:val="Subtle Reference"/>
    <w:basedOn w:val="DefaultParagraphFont"/>
    <w:uiPriority w:val="31"/>
    <w:qFormat/>
    <w:rsid w:val="00723690"/>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723690"/>
    <w:rPr>
      <w:b/>
      <w:bCs/>
      <w:smallCaps/>
      <w:spacing w:val="5"/>
      <w:u w:val="single"/>
    </w:rPr>
  </w:style>
  <w:style w:type="character" w:styleId="BookTitle">
    <w:name w:val="Book Title"/>
    <w:basedOn w:val="DefaultParagraphFont"/>
    <w:uiPriority w:val="33"/>
    <w:qFormat/>
    <w:rsid w:val="00723690"/>
    <w:rPr>
      <w:b/>
      <w:bCs/>
      <w:smallCaps/>
    </w:rPr>
  </w:style>
  <w:style w:type="character" w:customStyle="1" w:styleId="FootnoteTextChar">
    <w:name w:val="Footnote Text Char"/>
    <w:basedOn w:val="DefaultParagraphFont1"/>
    <w:uiPriority w:val="99"/>
    <w:rsid w:val="003E6F94"/>
    <w:rPr>
      <w:rFonts w:cs="Times New Roman"/>
      <w:lang w:val="es-ES" w:eastAsia="en-US"/>
    </w:rPr>
  </w:style>
  <w:style w:type="character" w:customStyle="1" w:styleId="Funotenzeichen1">
    <w:name w:val="Fußnotenzeichen1"/>
    <w:basedOn w:val="DefaultParagraphFont1"/>
    <w:uiPriority w:val="99"/>
    <w:rsid w:val="003E6F94"/>
    <w:rPr>
      <w:rFonts w:cs="Times New Roman"/>
      <w:vertAlign w:val="superscript"/>
    </w:rPr>
  </w:style>
  <w:style w:type="character" w:customStyle="1" w:styleId="NoSpacingChar">
    <w:name w:val="No Spacing Char"/>
    <w:basedOn w:val="DefaultParagraphFont1"/>
    <w:uiPriority w:val="99"/>
    <w:rsid w:val="003E6F94"/>
    <w:rPr>
      <w:rFonts w:cs="Times New Roman"/>
      <w:sz w:val="22"/>
      <w:lang w:val="es-ES" w:eastAsia="en-US"/>
    </w:rPr>
  </w:style>
  <w:style w:type="character" w:customStyle="1" w:styleId="BalloonTextChar">
    <w:name w:val="Balloon Text Char"/>
    <w:basedOn w:val="DefaultParagraphFont1"/>
    <w:uiPriority w:val="99"/>
    <w:rsid w:val="003E6F94"/>
    <w:rPr>
      <w:rFonts w:ascii="Tahoma" w:hAnsi="Tahoma" w:cs="Tahoma"/>
      <w:sz w:val="16"/>
      <w:lang w:eastAsia="en-US"/>
    </w:rPr>
  </w:style>
  <w:style w:type="character" w:customStyle="1" w:styleId="CommentReference1">
    <w:name w:val="Comment Reference1"/>
    <w:basedOn w:val="DefaultParagraphFont1"/>
    <w:uiPriority w:val="99"/>
    <w:rsid w:val="003E6F94"/>
    <w:rPr>
      <w:rFonts w:cs="Times New Roman"/>
      <w:sz w:val="16"/>
    </w:rPr>
  </w:style>
  <w:style w:type="character" w:styleId="Hyperlink">
    <w:name w:val="Hyperlink"/>
    <w:basedOn w:val="DefaultParagraphFont1"/>
    <w:uiPriority w:val="99"/>
    <w:rsid w:val="00187E0B"/>
    <w:rPr>
      <w:rFonts w:ascii="Calibri" w:hAnsi="Calibri" w:cs="Times New Roman"/>
      <w:color w:val="0084B4"/>
      <w:u w:val="single"/>
    </w:rPr>
  </w:style>
  <w:style w:type="character" w:customStyle="1" w:styleId="HeaderChar">
    <w:name w:val="Header Char"/>
    <w:basedOn w:val="DefaultParagraphFont1"/>
    <w:uiPriority w:val="99"/>
    <w:rsid w:val="003E6F94"/>
    <w:rPr>
      <w:rFonts w:ascii="Myriad Pro SemiCond" w:hAnsi="Myriad Pro SemiCond" w:cs="Times New Roman"/>
      <w:sz w:val="22"/>
      <w:lang w:val="es-ES" w:eastAsia="en-US"/>
    </w:rPr>
  </w:style>
  <w:style w:type="character" w:customStyle="1" w:styleId="apple-style-span">
    <w:name w:val="apple-style-span"/>
    <w:basedOn w:val="DefaultParagraphFont1"/>
    <w:uiPriority w:val="99"/>
    <w:rsid w:val="003E6F94"/>
    <w:rPr>
      <w:rFonts w:cs="Times New Roman"/>
    </w:rPr>
  </w:style>
  <w:style w:type="paragraph" w:customStyle="1" w:styleId="berschrift">
    <w:name w:val="Überschrift"/>
    <w:basedOn w:val="Normal"/>
    <w:next w:val="BodyText"/>
    <w:uiPriority w:val="99"/>
    <w:rsid w:val="003E6F94"/>
    <w:pPr>
      <w:keepNext/>
      <w:spacing w:before="240"/>
    </w:pPr>
    <w:rPr>
      <w:rFonts w:ascii="Arial" w:eastAsia="MS Mincho" w:hAnsi="Arial" w:cs="Tahoma"/>
      <w:sz w:val="28"/>
      <w:szCs w:val="28"/>
    </w:rPr>
  </w:style>
  <w:style w:type="paragraph" w:styleId="BodyText">
    <w:name w:val="Body Text"/>
    <w:basedOn w:val="Normal"/>
    <w:link w:val="BodyTextChar"/>
    <w:uiPriority w:val="99"/>
    <w:rsid w:val="003E6F94"/>
  </w:style>
  <w:style w:type="character" w:customStyle="1" w:styleId="BodyTextChar">
    <w:name w:val="Body Text Char"/>
    <w:basedOn w:val="DefaultParagraphFont"/>
    <w:link w:val="BodyText"/>
    <w:uiPriority w:val="99"/>
    <w:rsid w:val="000044D8"/>
    <w:rPr>
      <w:rFonts w:ascii="Myriad Pro SemiCond" w:hAnsi="Myriad Pro SemiCond" w:cs="Calibri"/>
      <w:sz w:val="22"/>
      <w:szCs w:val="22"/>
    </w:rPr>
  </w:style>
  <w:style w:type="paragraph" w:styleId="List">
    <w:name w:val="List"/>
    <w:basedOn w:val="BodyText"/>
    <w:uiPriority w:val="99"/>
    <w:rsid w:val="003E6F94"/>
    <w:rPr>
      <w:rFonts w:cs="Tahoma"/>
    </w:rPr>
  </w:style>
  <w:style w:type="paragraph" w:customStyle="1" w:styleId="Beschriftung1">
    <w:name w:val="Beschriftung1"/>
    <w:basedOn w:val="Normal"/>
    <w:uiPriority w:val="99"/>
    <w:rsid w:val="003E6F94"/>
    <w:pPr>
      <w:suppressLineNumbers/>
      <w:spacing w:before="120"/>
    </w:pPr>
    <w:rPr>
      <w:rFonts w:cs="Tahoma"/>
      <w:i/>
      <w:iCs/>
      <w:sz w:val="24"/>
      <w:szCs w:val="24"/>
    </w:rPr>
  </w:style>
  <w:style w:type="paragraph" w:customStyle="1" w:styleId="Verzeichnis">
    <w:name w:val="Verzeichnis"/>
    <w:basedOn w:val="Normal"/>
    <w:uiPriority w:val="99"/>
    <w:rsid w:val="003E6F94"/>
    <w:pPr>
      <w:suppressLineNumbers/>
    </w:pPr>
    <w:rPr>
      <w:rFonts w:cs="Tahoma"/>
    </w:rPr>
  </w:style>
  <w:style w:type="paragraph" w:styleId="Header">
    <w:name w:val="header"/>
    <w:basedOn w:val="Normal"/>
    <w:link w:val="HeaderChar1"/>
    <w:qFormat/>
    <w:rsid w:val="003E6F94"/>
    <w:pPr>
      <w:tabs>
        <w:tab w:val="center" w:pos="4320"/>
        <w:tab w:val="right" w:pos="8640"/>
      </w:tabs>
    </w:pPr>
  </w:style>
  <w:style w:type="character" w:customStyle="1" w:styleId="HeaderChar1">
    <w:name w:val="Header Char1"/>
    <w:basedOn w:val="DefaultParagraphFont"/>
    <w:link w:val="Header"/>
    <w:uiPriority w:val="99"/>
    <w:semiHidden/>
    <w:rsid w:val="000044D8"/>
    <w:rPr>
      <w:rFonts w:ascii="Myriad Pro SemiCond" w:hAnsi="Myriad Pro SemiCond" w:cs="Calibri"/>
      <w:sz w:val="22"/>
      <w:szCs w:val="22"/>
    </w:rPr>
  </w:style>
  <w:style w:type="paragraph" w:styleId="Footer">
    <w:name w:val="footer"/>
    <w:basedOn w:val="Normal"/>
    <w:link w:val="FooterChar"/>
    <w:rsid w:val="003E6F94"/>
    <w:pPr>
      <w:tabs>
        <w:tab w:val="center" w:pos="4320"/>
        <w:tab w:val="right" w:pos="8640"/>
      </w:tabs>
    </w:pPr>
  </w:style>
  <w:style w:type="character" w:customStyle="1" w:styleId="FooterChar">
    <w:name w:val="Footer Char"/>
    <w:basedOn w:val="DefaultParagraphFont"/>
    <w:link w:val="Footer"/>
    <w:rsid w:val="000044D8"/>
    <w:rPr>
      <w:rFonts w:ascii="Myriad Pro SemiCond" w:hAnsi="Myriad Pro SemiCond" w:cs="Calibri"/>
      <w:sz w:val="22"/>
      <w:szCs w:val="22"/>
    </w:rPr>
  </w:style>
  <w:style w:type="paragraph" w:customStyle="1" w:styleId="Caption1">
    <w:name w:val="Caption1"/>
    <w:basedOn w:val="Normal"/>
    <w:next w:val="Normal"/>
    <w:uiPriority w:val="99"/>
    <w:rsid w:val="003E6F94"/>
    <w:pPr>
      <w:spacing w:line="240" w:lineRule="auto"/>
    </w:pPr>
    <w:rPr>
      <w:b/>
      <w:bCs/>
      <w:color w:val="4F81BD"/>
      <w:sz w:val="18"/>
      <w:szCs w:val="18"/>
    </w:rPr>
  </w:style>
  <w:style w:type="paragraph" w:styleId="Title">
    <w:name w:val="Title"/>
    <w:basedOn w:val="Normal"/>
    <w:next w:val="Normal"/>
    <w:link w:val="TitleChar"/>
    <w:uiPriority w:val="10"/>
    <w:qFormat/>
    <w:rsid w:val="00723690"/>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1">
    <w:name w:val="Title Char1"/>
    <w:basedOn w:val="DefaultParagraphFont"/>
    <w:uiPriority w:val="10"/>
    <w:rsid w:val="003009F4"/>
    <w:rPr>
      <w:rFonts w:ascii="Myriad Pro SemiCond" w:hAnsi="Myriad Pro SemiCond" w:cs="Calibri"/>
      <w:caps/>
      <w:color w:val="17365D"/>
      <w:spacing w:val="5"/>
      <w:kern w:val="1"/>
      <w:sz w:val="52"/>
      <w:szCs w:val="52"/>
    </w:rPr>
  </w:style>
  <w:style w:type="paragraph" w:styleId="Subtitle">
    <w:name w:val="Subtitle"/>
    <w:basedOn w:val="Normal"/>
    <w:next w:val="Normal"/>
    <w:link w:val="SubtitleChar"/>
    <w:uiPriority w:val="11"/>
    <w:qFormat/>
    <w:rsid w:val="00723690"/>
    <w:pPr>
      <w:numPr>
        <w:ilvl w:val="1"/>
      </w:numPr>
      <w:spacing w:line="240" w:lineRule="auto"/>
    </w:pPr>
    <w:rPr>
      <w:rFonts w:asciiTheme="majorHAnsi" w:eastAsiaTheme="majorEastAsia" w:hAnsiTheme="majorHAnsi" w:cstheme="majorBidi"/>
      <w:sz w:val="24"/>
      <w:szCs w:val="24"/>
    </w:rPr>
  </w:style>
  <w:style w:type="character" w:customStyle="1" w:styleId="SubtitleChar1">
    <w:name w:val="Subtitle Char1"/>
    <w:basedOn w:val="DefaultParagraphFont"/>
    <w:uiPriority w:val="11"/>
    <w:rsid w:val="000044D8"/>
    <w:rPr>
      <w:rFonts w:asciiTheme="majorHAnsi" w:eastAsiaTheme="majorEastAsia" w:hAnsiTheme="majorHAnsi" w:cstheme="majorBidi"/>
      <w:sz w:val="24"/>
      <w:szCs w:val="24"/>
    </w:rPr>
  </w:style>
  <w:style w:type="paragraph" w:styleId="NoSpacing">
    <w:name w:val="No Spacing"/>
    <w:uiPriority w:val="1"/>
    <w:qFormat/>
    <w:rsid w:val="00723690"/>
    <w:pPr>
      <w:spacing w:after="0" w:line="240" w:lineRule="auto"/>
    </w:pPr>
  </w:style>
  <w:style w:type="paragraph" w:styleId="ListParagraph">
    <w:name w:val="List Paragraph"/>
    <w:aliases w:val="123 List Paragraph,Bullet paras,EITI list,References,Bullets,Liste 1,List Bullet Mary,List Paragraph (numbered (a)),Numbered List Paragraph,List Bullet-OpsManual,Title Style 1"/>
    <w:basedOn w:val="Normal"/>
    <w:link w:val="ListParagraphChar"/>
    <w:uiPriority w:val="34"/>
    <w:qFormat/>
    <w:rsid w:val="00874908"/>
    <w:pPr>
      <w:ind w:left="720"/>
      <w:contextualSpacing/>
    </w:pPr>
  </w:style>
  <w:style w:type="paragraph" w:styleId="Quote">
    <w:name w:val="Quote"/>
    <w:basedOn w:val="Normal"/>
    <w:next w:val="Normal"/>
    <w:link w:val="QuoteChar"/>
    <w:uiPriority w:val="29"/>
    <w:qFormat/>
    <w:rsid w:val="00723690"/>
    <w:pPr>
      <w:spacing w:before="160"/>
      <w:ind w:left="720" w:right="720"/>
    </w:pPr>
    <w:rPr>
      <w:i/>
      <w:iCs/>
      <w:color w:val="404040" w:themeColor="text1" w:themeTint="BF"/>
    </w:rPr>
  </w:style>
  <w:style w:type="character" w:customStyle="1" w:styleId="QuoteChar1">
    <w:name w:val="Quote Char1"/>
    <w:basedOn w:val="DefaultParagraphFont"/>
    <w:uiPriority w:val="29"/>
    <w:rsid w:val="000044D8"/>
    <w:rPr>
      <w:rFonts w:ascii="Myriad Pro SemiCond" w:hAnsi="Myriad Pro SemiCond" w:cs="Calibri"/>
      <w:sz w:val="22"/>
      <w:szCs w:val="22"/>
    </w:rPr>
  </w:style>
  <w:style w:type="paragraph" w:styleId="IntenseQuote">
    <w:name w:val="Intense Quote"/>
    <w:basedOn w:val="Normal"/>
    <w:next w:val="Normal"/>
    <w:link w:val="IntenseQuoteChar"/>
    <w:uiPriority w:val="30"/>
    <w:qFormat/>
    <w:rsid w:val="00723690"/>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1">
    <w:name w:val="Intense Quote Char1"/>
    <w:basedOn w:val="DefaultParagraphFont"/>
    <w:uiPriority w:val="30"/>
    <w:rsid w:val="000044D8"/>
    <w:rPr>
      <w:rFonts w:ascii="Myriad Pro SemiCond" w:hAnsi="Myriad Pro SemiCond" w:cs="Calibri"/>
      <w:sz w:val="22"/>
      <w:szCs w:val="22"/>
    </w:rPr>
  </w:style>
  <w:style w:type="paragraph" w:styleId="TOCHeading">
    <w:name w:val="TOC Heading"/>
    <w:basedOn w:val="Heading1"/>
    <w:next w:val="Normal"/>
    <w:uiPriority w:val="39"/>
    <w:unhideWhenUsed/>
    <w:qFormat/>
    <w:rsid w:val="00723690"/>
    <w:pPr>
      <w:outlineLvl w:val="9"/>
    </w:pPr>
  </w:style>
  <w:style w:type="paragraph" w:styleId="FootnoteText">
    <w:name w:val="footnote text"/>
    <w:basedOn w:val="Normal"/>
    <w:link w:val="FootnoteTextChar1"/>
    <w:uiPriority w:val="99"/>
    <w:qFormat/>
    <w:rsid w:val="00FF675B"/>
    <w:pPr>
      <w:spacing w:after="0"/>
    </w:pPr>
    <w:rPr>
      <w:rFonts w:cs="Calibri Light"/>
      <w:sz w:val="16"/>
      <w:szCs w:val="16"/>
    </w:rPr>
  </w:style>
  <w:style w:type="character" w:customStyle="1" w:styleId="FootnoteTextChar1">
    <w:name w:val="Footnote Text Char1"/>
    <w:basedOn w:val="DefaultParagraphFont"/>
    <w:link w:val="FootnoteText"/>
    <w:uiPriority w:val="99"/>
    <w:rsid w:val="00FF675B"/>
    <w:rPr>
      <w:rFonts w:ascii="Franklin Gothic Book" w:hAnsi="Franklin Gothic Book" w:cs="Calibri Light"/>
      <w:sz w:val="16"/>
      <w:szCs w:val="16"/>
    </w:rPr>
  </w:style>
  <w:style w:type="paragraph" w:customStyle="1" w:styleId="BalloonText1">
    <w:name w:val="Balloon Text1"/>
    <w:basedOn w:val="Normal"/>
    <w:uiPriority w:val="99"/>
    <w:rsid w:val="003E6F94"/>
    <w:pPr>
      <w:spacing w:after="0" w:line="240" w:lineRule="auto"/>
    </w:pPr>
    <w:rPr>
      <w:rFonts w:ascii="Tahoma" w:hAnsi="Tahoma" w:cs="Tahoma"/>
      <w:sz w:val="16"/>
      <w:szCs w:val="16"/>
    </w:rPr>
  </w:style>
  <w:style w:type="paragraph" w:customStyle="1" w:styleId="CommentText1">
    <w:name w:val="Comment Text1"/>
    <w:basedOn w:val="Normal"/>
    <w:uiPriority w:val="99"/>
    <w:rsid w:val="003E6F94"/>
  </w:style>
  <w:style w:type="paragraph" w:customStyle="1" w:styleId="CommentSubject1">
    <w:name w:val="Comment Subject1"/>
    <w:basedOn w:val="CommentText1"/>
    <w:next w:val="CommentText1"/>
    <w:uiPriority w:val="99"/>
    <w:rsid w:val="003E6F94"/>
    <w:rPr>
      <w:b/>
      <w:bCs/>
    </w:rPr>
  </w:style>
  <w:style w:type="paragraph" w:customStyle="1" w:styleId="NormalWeb1">
    <w:name w:val="Normal (Web)1"/>
    <w:basedOn w:val="Normal"/>
    <w:uiPriority w:val="99"/>
    <w:rsid w:val="003E6F94"/>
    <w:pPr>
      <w:spacing w:before="280" w:after="280" w:line="240" w:lineRule="auto"/>
    </w:pPr>
    <w:rPr>
      <w:sz w:val="24"/>
      <w:szCs w:val="24"/>
      <w:lang w:eastAsia="ar-SA"/>
    </w:rPr>
  </w:style>
  <w:style w:type="paragraph" w:customStyle="1" w:styleId="listparagraph0">
    <w:name w:val="listparagraph"/>
    <w:basedOn w:val="Normal"/>
    <w:uiPriority w:val="99"/>
    <w:rsid w:val="003E6F94"/>
    <w:pPr>
      <w:spacing w:before="280" w:after="280" w:line="240" w:lineRule="auto"/>
    </w:pPr>
    <w:rPr>
      <w:sz w:val="24"/>
      <w:szCs w:val="24"/>
      <w:lang w:eastAsia="ar-SA"/>
    </w:rPr>
  </w:style>
  <w:style w:type="paragraph" w:customStyle="1" w:styleId="TabellenInhalt">
    <w:name w:val="Tabellen Inhalt"/>
    <w:basedOn w:val="Normal"/>
    <w:uiPriority w:val="99"/>
    <w:rsid w:val="003E6F94"/>
    <w:pPr>
      <w:suppressLineNumbers/>
    </w:pPr>
  </w:style>
  <w:style w:type="paragraph" w:customStyle="1" w:styleId="Tabellenberschrift">
    <w:name w:val="Tabellen Überschrift"/>
    <w:basedOn w:val="TabellenInhalt"/>
    <w:uiPriority w:val="99"/>
    <w:rsid w:val="003E6F94"/>
    <w:pPr>
      <w:jc w:val="center"/>
    </w:pPr>
    <w:rPr>
      <w:b/>
      <w:bCs/>
    </w:rPr>
  </w:style>
  <w:style w:type="paragraph" w:customStyle="1" w:styleId="Rahmeninhalt">
    <w:name w:val="Rahmeninhalt"/>
    <w:basedOn w:val="BodyText"/>
    <w:uiPriority w:val="99"/>
    <w:rsid w:val="003E6F94"/>
  </w:style>
  <w:style w:type="character" w:styleId="CommentReference">
    <w:name w:val="annotation reference"/>
    <w:basedOn w:val="DefaultParagraphFont"/>
    <w:uiPriority w:val="99"/>
    <w:unhideWhenUsed/>
    <w:rsid w:val="00F852E1"/>
    <w:rPr>
      <w:sz w:val="16"/>
      <w:szCs w:val="16"/>
    </w:rPr>
  </w:style>
  <w:style w:type="paragraph" w:styleId="CommentText">
    <w:name w:val="annotation text"/>
    <w:basedOn w:val="Normal"/>
    <w:link w:val="CommentTextChar"/>
    <w:uiPriority w:val="99"/>
    <w:semiHidden/>
    <w:unhideWhenUsed/>
    <w:rsid w:val="00F852E1"/>
    <w:pPr>
      <w:spacing w:line="240" w:lineRule="auto"/>
    </w:pPr>
    <w:rPr>
      <w:sz w:val="20"/>
    </w:rPr>
  </w:style>
  <w:style w:type="character" w:customStyle="1" w:styleId="CommentTextChar">
    <w:name w:val="Comment Text Char"/>
    <w:basedOn w:val="DefaultParagraphFont"/>
    <w:link w:val="CommentText"/>
    <w:uiPriority w:val="99"/>
    <w:semiHidden/>
    <w:rsid w:val="000044D8"/>
    <w:rPr>
      <w:rFonts w:ascii="Myriad Pro SemiCond" w:hAnsi="Myriad Pro SemiCond" w:cs="Calibri"/>
      <w:sz w:val="24"/>
      <w:szCs w:val="24"/>
    </w:rPr>
  </w:style>
  <w:style w:type="paragraph" w:styleId="CommentSubject">
    <w:name w:val="annotation subject"/>
    <w:basedOn w:val="CommentText"/>
    <w:next w:val="CommentText"/>
    <w:link w:val="CommentSubjectChar"/>
    <w:uiPriority w:val="99"/>
    <w:semiHidden/>
    <w:rsid w:val="00AF7641"/>
    <w:rPr>
      <w:b/>
      <w:bCs/>
    </w:rPr>
  </w:style>
  <w:style w:type="character" w:customStyle="1" w:styleId="CommentSubjectChar">
    <w:name w:val="Comment Subject Char"/>
    <w:basedOn w:val="CommentTextChar"/>
    <w:link w:val="CommentSubject"/>
    <w:uiPriority w:val="99"/>
    <w:semiHidden/>
    <w:rsid w:val="000044D8"/>
    <w:rPr>
      <w:rFonts w:ascii="Myriad Pro SemiCond" w:hAnsi="Myriad Pro SemiCond" w:cs="Calibri"/>
      <w:b/>
      <w:bCs/>
      <w:sz w:val="24"/>
      <w:szCs w:val="24"/>
    </w:rPr>
  </w:style>
  <w:style w:type="paragraph" w:styleId="BalloonText">
    <w:name w:val="Balloon Text"/>
    <w:basedOn w:val="Normal"/>
    <w:link w:val="BalloonTextChar1"/>
    <w:uiPriority w:val="99"/>
    <w:semiHidden/>
    <w:rsid w:val="00AF7641"/>
    <w:rPr>
      <w:rFonts w:ascii="Tahoma" w:hAnsi="Tahoma" w:cs="Tahoma"/>
      <w:sz w:val="16"/>
      <w:szCs w:val="16"/>
    </w:rPr>
  </w:style>
  <w:style w:type="character" w:customStyle="1" w:styleId="BalloonTextChar1">
    <w:name w:val="Balloon Text Char1"/>
    <w:basedOn w:val="DefaultParagraphFont"/>
    <w:link w:val="BalloonText"/>
    <w:uiPriority w:val="99"/>
    <w:semiHidden/>
    <w:rsid w:val="000044D8"/>
    <w:rPr>
      <w:rFonts w:ascii="Lucida Grande" w:hAnsi="Lucida Grande" w:cs="Calibri"/>
      <w:sz w:val="18"/>
      <w:szCs w:val="18"/>
    </w:rPr>
  </w:style>
  <w:style w:type="character" w:styleId="FootnoteReference">
    <w:name w:val="footnote reference"/>
    <w:basedOn w:val="DefaultParagraphFont"/>
    <w:uiPriority w:val="99"/>
    <w:rsid w:val="00AF7641"/>
    <w:rPr>
      <w:rFonts w:cs="Times New Roman"/>
      <w:vertAlign w:val="superscript"/>
    </w:rPr>
  </w:style>
  <w:style w:type="paragraph" w:customStyle="1" w:styleId="BodyText1">
    <w:name w:val="Body Text1"/>
    <w:aliases w:val="OPM"/>
    <w:basedOn w:val="Normal"/>
    <w:link w:val="BodytextChar0"/>
    <w:rsid w:val="007E1A89"/>
    <w:rPr>
      <w:rFonts w:ascii="Myriad Pro" w:hAnsi="Myriad Pro"/>
      <w:lang w:bidi="en-US"/>
    </w:rPr>
  </w:style>
  <w:style w:type="character" w:customStyle="1" w:styleId="BodytextChar0">
    <w:name w:val="Body text Char"/>
    <w:link w:val="BodyText1"/>
    <w:rsid w:val="007E1A89"/>
    <w:rPr>
      <w:rFonts w:ascii="Myriad Pro" w:hAnsi="Myriad Pro" w:cs="Calibri"/>
      <w:sz w:val="22"/>
      <w:szCs w:val="22"/>
      <w:lang w:bidi="en-US"/>
    </w:rPr>
  </w:style>
  <w:style w:type="character" w:customStyle="1" w:styleId="Heading1Char1">
    <w:name w:val="Heading 1 Char1"/>
    <w:uiPriority w:val="99"/>
    <w:locked/>
    <w:rsid w:val="003F2CA5"/>
    <w:rPr>
      <w:rFonts w:ascii="Myriad Pro" w:hAnsi="Myriad Pro"/>
      <w:color w:val="365F91"/>
      <w:sz w:val="28"/>
      <w:szCs w:val="28"/>
      <w:lang w:val="es-ES"/>
    </w:rPr>
  </w:style>
  <w:style w:type="character" w:customStyle="1" w:styleId="TableTitle">
    <w:name w:val="Table Title"/>
    <w:uiPriority w:val="21"/>
    <w:rsid w:val="006B163E"/>
    <w:rPr>
      <w:b/>
      <w:bCs/>
      <w:i/>
      <w:iCs/>
      <w:color w:val="4F81BD"/>
    </w:rPr>
  </w:style>
  <w:style w:type="table" w:customStyle="1" w:styleId="Listaclara-nfasis11">
    <w:name w:val="Lista clara - Énfasis 11"/>
    <w:basedOn w:val="TableNormal"/>
    <w:uiPriority w:val="61"/>
    <w:rsid w:val="006B163E"/>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OC1">
    <w:name w:val="toc 1"/>
    <w:basedOn w:val="Normal"/>
    <w:next w:val="Normal"/>
    <w:autoRedefine/>
    <w:uiPriority w:val="39"/>
    <w:unhideWhenUsed/>
    <w:qFormat/>
    <w:rsid w:val="00106510"/>
    <w:pPr>
      <w:tabs>
        <w:tab w:val="right" w:leader="dot" w:pos="9485"/>
      </w:tabs>
      <w:spacing w:before="120" w:after="0"/>
    </w:pPr>
    <w:rPr>
      <w:b/>
      <w:bCs/>
      <w:sz w:val="24"/>
      <w:szCs w:val="24"/>
    </w:rPr>
  </w:style>
  <w:style w:type="paragraph" w:styleId="TOC2">
    <w:name w:val="toc 2"/>
    <w:basedOn w:val="Normal"/>
    <w:next w:val="Normal"/>
    <w:autoRedefine/>
    <w:uiPriority w:val="39"/>
    <w:unhideWhenUsed/>
    <w:qFormat/>
    <w:rsid w:val="00BA3189"/>
    <w:pPr>
      <w:tabs>
        <w:tab w:val="left" w:pos="880"/>
        <w:tab w:val="right" w:leader="dot" w:pos="9485"/>
      </w:tabs>
      <w:spacing w:after="0"/>
      <w:ind w:left="220"/>
    </w:pPr>
    <w:rPr>
      <w:b/>
      <w:bCs/>
    </w:rPr>
  </w:style>
  <w:style w:type="paragraph" w:styleId="TOC3">
    <w:name w:val="toc 3"/>
    <w:basedOn w:val="Normal"/>
    <w:next w:val="Normal"/>
    <w:autoRedefine/>
    <w:uiPriority w:val="39"/>
    <w:unhideWhenUsed/>
    <w:rsid w:val="00815A2F"/>
    <w:pPr>
      <w:spacing w:after="0"/>
      <w:ind w:left="440"/>
    </w:pPr>
  </w:style>
  <w:style w:type="paragraph" w:styleId="TOC4">
    <w:name w:val="toc 4"/>
    <w:basedOn w:val="Normal"/>
    <w:next w:val="Normal"/>
    <w:autoRedefine/>
    <w:uiPriority w:val="39"/>
    <w:unhideWhenUsed/>
    <w:rsid w:val="007E1A89"/>
    <w:pPr>
      <w:spacing w:after="0"/>
      <w:ind w:left="660"/>
    </w:pPr>
  </w:style>
  <w:style w:type="paragraph" w:styleId="TOC5">
    <w:name w:val="toc 5"/>
    <w:basedOn w:val="Normal"/>
    <w:next w:val="Normal"/>
    <w:autoRedefine/>
    <w:uiPriority w:val="39"/>
    <w:unhideWhenUsed/>
    <w:rsid w:val="007E1A89"/>
    <w:pPr>
      <w:spacing w:after="0"/>
      <w:ind w:left="880"/>
    </w:pPr>
  </w:style>
  <w:style w:type="paragraph" w:styleId="TOC6">
    <w:name w:val="toc 6"/>
    <w:basedOn w:val="Normal"/>
    <w:next w:val="Normal"/>
    <w:autoRedefine/>
    <w:uiPriority w:val="39"/>
    <w:unhideWhenUsed/>
    <w:rsid w:val="007E1A89"/>
    <w:pPr>
      <w:spacing w:after="0"/>
      <w:ind w:left="1100"/>
    </w:pPr>
  </w:style>
  <w:style w:type="paragraph" w:styleId="TOC7">
    <w:name w:val="toc 7"/>
    <w:basedOn w:val="Normal"/>
    <w:next w:val="Normal"/>
    <w:autoRedefine/>
    <w:uiPriority w:val="39"/>
    <w:unhideWhenUsed/>
    <w:rsid w:val="007E1A89"/>
    <w:pPr>
      <w:spacing w:after="0"/>
      <w:ind w:left="1320"/>
    </w:pPr>
  </w:style>
  <w:style w:type="paragraph" w:styleId="TOC8">
    <w:name w:val="toc 8"/>
    <w:basedOn w:val="Normal"/>
    <w:next w:val="Normal"/>
    <w:autoRedefine/>
    <w:uiPriority w:val="39"/>
    <w:unhideWhenUsed/>
    <w:rsid w:val="007E1A89"/>
    <w:pPr>
      <w:spacing w:after="0"/>
      <w:ind w:left="1540"/>
    </w:pPr>
  </w:style>
  <w:style w:type="paragraph" w:styleId="TOC9">
    <w:name w:val="toc 9"/>
    <w:basedOn w:val="Normal"/>
    <w:next w:val="Normal"/>
    <w:autoRedefine/>
    <w:uiPriority w:val="39"/>
    <w:unhideWhenUsed/>
    <w:rsid w:val="007E1A89"/>
    <w:pPr>
      <w:spacing w:after="0"/>
      <w:ind w:left="1760"/>
    </w:pPr>
  </w:style>
  <w:style w:type="numbering" w:customStyle="1" w:styleId="NoList1">
    <w:name w:val="No List1"/>
    <w:next w:val="NoList"/>
    <w:uiPriority w:val="99"/>
    <w:semiHidden/>
    <w:unhideWhenUsed/>
    <w:rsid w:val="00743FAE"/>
  </w:style>
  <w:style w:type="character" w:customStyle="1" w:styleId="Heading2Char2">
    <w:name w:val="Heading 2 Char2"/>
    <w:basedOn w:val="DefaultParagraphFont"/>
    <w:uiPriority w:val="99"/>
    <w:rsid w:val="00743FAE"/>
    <w:rPr>
      <w:rFonts w:ascii="Myriad Pro SemiCond" w:hAnsi="Myriad Pro SemiCond"/>
      <w:b/>
      <w:bCs/>
      <w:color w:val="4F81BD"/>
      <w:sz w:val="26"/>
      <w:szCs w:val="26"/>
      <w:lang w:val="es-ES" w:eastAsia="en-US" w:bidi="en-US"/>
    </w:rPr>
  </w:style>
  <w:style w:type="character" w:customStyle="1" w:styleId="Heading3Char1">
    <w:name w:val="Heading 3 Char1"/>
    <w:basedOn w:val="DefaultParagraphFont"/>
    <w:uiPriority w:val="99"/>
    <w:rsid w:val="00743FAE"/>
    <w:rPr>
      <w:rFonts w:ascii="Myriad Pro SemiCond" w:hAnsi="Myriad Pro SemiCond"/>
      <w:b/>
      <w:bCs/>
      <w:color w:val="4F81BD"/>
      <w:szCs w:val="22"/>
      <w:lang w:val="es-ES" w:eastAsia="en-US" w:bidi="en-US"/>
    </w:rPr>
  </w:style>
  <w:style w:type="paragraph" w:styleId="Caption">
    <w:name w:val="caption"/>
    <w:basedOn w:val="Normal"/>
    <w:next w:val="Normal"/>
    <w:uiPriority w:val="35"/>
    <w:unhideWhenUsed/>
    <w:qFormat/>
    <w:rsid w:val="00723690"/>
    <w:pPr>
      <w:spacing w:line="240" w:lineRule="auto"/>
    </w:pPr>
    <w:rPr>
      <w:b/>
      <w:bCs/>
      <w:smallCaps/>
      <w:color w:val="595959" w:themeColor="text1" w:themeTint="A6"/>
      <w:spacing w:val="6"/>
    </w:rPr>
  </w:style>
  <w:style w:type="character" w:styleId="FollowedHyperlink">
    <w:name w:val="FollowedHyperlink"/>
    <w:basedOn w:val="DefaultParagraphFont"/>
    <w:uiPriority w:val="99"/>
    <w:rsid w:val="00743FAE"/>
    <w:rPr>
      <w:color w:val="606420"/>
      <w:u w:val="single"/>
    </w:rPr>
  </w:style>
  <w:style w:type="character" w:styleId="PageNumber">
    <w:name w:val="page number"/>
    <w:basedOn w:val="DefaultParagraphFont"/>
    <w:rsid w:val="00743FAE"/>
  </w:style>
  <w:style w:type="character" w:customStyle="1" w:styleId="text">
    <w:name w:val="text"/>
    <w:basedOn w:val="DefaultParagraphFont"/>
    <w:rsid w:val="00743FAE"/>
  </w:style>
  <w:style w:type="paragraph" w:customStyle="1" w:styleId="Default">
    <w:name w:val="Default"/>
    <w:rsid w:val="00743FAE"/>
    <w:pPr>
      <w:autoSpaceDE w:val="0"/>
      <w:autoSpaceDN w:val="0"/>
      <w:adjustRightInd w:val="0"/>
      <w:spacing w:after="200" w:line="276" w:lineRule="auto"/>
    </w:pPr>
    <w:rPr>
      <w:rFonts w:ascii="Arial" w:hAnsi="Arial" w:cs="Arial"/>
      <w:color w:val="000000"/>
      <w:sz w:val="24"/>
      <w:szCs w:val="24"/>
    </w:rPr>
  </w:style>
  <w:style w:type="character" w:customStyle="1" w:styleId="CommentTextChar1">
    <w:name w:val="Comment Text Char1"/>
    <w:basedOn w:val="DefaultParagraphFont"/>
    <w:uiPriority w:val="99"/>
    <w:semiHidden/>
    <w:rsid w:val="00743FAE"/>
    <w:rPr>
      <w:rFonts w:ascii="Myriad Pro SemiCond" w:hAnsi="Myriad Pro SemiCond"/>
      <w:lang w:val="es-ES" w:eastAsia="en-US" w:bidi="en-US"/>
    </w:rPr>
  </w:style>
  <w:style w:type="character" w:customStyle="1" w:styleId="CommentSubjectChar1">
    <w:name w:val="Comment Subject Char1"/>
    <w:basedOn w:val="CommentTextChar1"/>
    <w:uiPriority w:val="99"/>
    <w:semiHidden/>
    <w:rsid w:val="00743FAE"/>
    <w:rPr>
      <w:rFonts w:ascii="Myriad Pro SemiCond" w:hAnsi="Myriad Pro SemiCond"/>
      <w:lang w:val="es-ES" w:eastAsia="en-US" w:bidi="en-US"/>
    </w:rPr>
  </w:style>
  <w:style w:type="paragraph" w:customStyle="1" w:styleId="ListBullet1">
    <w:name w:val="List Bullet1"/>
    <w:basedOn w:val="Normal"/>
    <w:rsid w:val="00743FAE"/>
    <w:pPr>
      <w:numPr>
        <w:numId w:val="1"/>
      </w:numPr>
      <w:spacing w:after="60"/>
    </w:pPr>
    <w:rPr>
      <w:rFonts w:ascii="Arial" w:hAnsi="Arial" w:cs="Times New Roman"/>
      <w:lang w:bidi="en-US"/>
    </w:rPr>
  </w:style>
  <w:style w:type="character" w:customStyle="1" w:styleId="a1">
    <w:name w:val="a1"/>
    <w:basedOn w:val="DefaultParagraphFont"/>
    <w:rsid w:val="00743FAE"/>
    <w:rPr>
      <w:color w:val="008000"/>
    </w:rPr>
  </w:style>
  <w:style w:type="table" w:customStyle="1" w:styleId="MediumList1-Accent11">
    <w:name w:val="Medium List 1 - Accent 11"/>
    <w:basedOn w:val="TableNormal"/>
    <w:uiPriority w:val="65"/>
    <w:rsid w:val="00743FAE"/>
    <w:rPr>
      <w:rFonts w:ascii="Calibri" w:hAnsi="Calibri"/>
      <w:color w:val="000000"/>
      <w:lang w:eastAsia="nb-NO"/>
    </w:rPr>
    <w:tblPr>
      <w:tblStyleRowBandSize w:val="1"/>
      <w:tblStyleColBandSize w:val="1"/>
      <w:tblBorders>
        <w:top w:val="single" w:sz="8" w:space="0" w:color="4F81BD"/>
        <w:bottom w:val="single" w:sz="8" w:space="0" w:color="4F81BD"/>
      </w:tblBorders>
    </w:tblPr>
    <w:tblStylePr w:type="firstRow">
      <w:rPr>
        <w:rFonts w:ascii="System" w:eastAsia="Times New Roman" w:hAnsi="System"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paragraph" w:styleId="HTMLPreformatted">
    <w:name w:val="HTML Preformatted"/>
    <w:basedOn w:val="Normal"/>
    <w:link w:val="HTMLPreformattedChar"/>
    <w:rsid w:val="00743F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4"/>
      <w:szCs w:val="24"/>
    </w:rPr>
  </w:style>
  <w:style w:type="character" w:customStyle="1" w:styleId="HTMLPreformattedChar">
    <w:name w:val="HTML Preformatted Char"/>
    <w:basedOn w:val="DefaultParagraphFont"/>
    <w:link w:val="HTMLPreformatted"/>
    <w:rsid w:val="00743FAE"/>
    <w:rPr>
      <w:rFonts w:ascii="Courier New" w:hAnsi="Courier New" w:cs="Courier New"/>
      <w:sz w:val="24"/>
      <w:szCs w:val="24"/>
      <w:lang w:val="es-ES"/>
    </w:rPr>
  </w:style>
  <w:style w:type="character" w:styleId="HTMLTypewriter">
    <w:name w:val="HTML Typewriter"/>
    <w:basedOn w:val="DefaultParagraphFont"/>
    <w:rsid w:val="00743FAE"/>
    <w:rPr>
      <w:rFonts w:ascii="Courier New" w:eastAsia="Times New Roman" w:hAnsi="Courier New" w:cs="Courier New"/>
      <w:sz w:val="20"/>
      <w:szCs w:val="20"/>
    </w:rPr>
  </w:style>
  <w:style w:type="table" w:customStyle="1" w:styleId="LightList-Accent11">
    <w:name w:val="Light List - Accent 11"/>
    <w:basedOn w:val="TableNormal"/>
    <w:uiPriority w:val="61"/>
    <w:rsid w:val="00743FAE"/>
    <w:rPr>
      <w:rFonts w:ascii="Calibri" w:hAnsi="Calibri"/>
      <w:lang w:eastAsia="nb-N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tyle1">
    <w:name w:val="Style1"/>
    <w:basedOn w:val="LightList-Accent11"/>
    <w:rsid w:val="00743FAE"/>
    <w:rPr>
      <w:rFonts w:ascii="Myriad Pro SemiCond" w:hAnsi="Myriad Pro SemiCond"/>
    </w:rP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TableGrid">
    <w:name w:val="Table Grid"/>
    <w:basedOn w:val="TableNormal"/>
    <w:uiPriority w:val="59"/>
    <w:rsid w:val="00743FAE"/>
    <w:rPr>
      <w:rFonts w:ascii="Calibri" w:hAnsi="Calibri"/>
      <w:lang w:eastAsia="nb-N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nospacing0">
    <w:name w:val="msonospacing"/>
    <w:basedOn w:val="Normal"/>
    <w:rsid w:val="00743FAE"/>
    <w:pPr>
      <w:spacing w:after="0"/>
    </w:pPr>
    <w:rPr>
      <w:rFonts w:cs="Times New Roman"/>
      <w:lang w:eastAsia="nb-NO"/>
    </w:rPr>
  </w:style>
  <w:style w:type="paragraph" w:styleId="NormalWeb">
    <w:name w:val="Normal (Web)"/>
    <w:basedOn w:val="Normal"/>
    <w:uiPriority w:val="99"/>
    <w:rsid w:val="00743FAE"/>
    <w:pPr>
      <w:spacing w:before="100" w:beforeAutospacing="1" w:after="100" w:afterAutospacing="1" w:line="240" w:lineRule="auto"/>
    </w:pPr>
    <w:rPr>
      <w:rFonts w:eastAsia="Calibri" w:cs="Times New Roman"/>
      <w:sz w:val="24"/>
      <w:szCs w:val="24"/>
    </w:rPr>
  </w:style>
  <w:style w:type="paragraph" w:styleId="Revision">
    <w:name w:val="Revision"/>
    <w:hidden/>
    <w:uiPriority w:val="99"/>
    <w:semiHidden/>
    <w:rsid w:val="00743FAE"/>
    <w:rPr>
      <w:rFonts w:ascii="Myriad Pro SemiCond" w:hAnsi="Myriad Pro SemiCond"/>
      <w:sz w:val="22"/>
      <w:szCs w:val="22"/>
      <w:lang w:bidi="en-US"/>
    </w:rPr>
  </w:style>
  <w:style w:type="paragraph" w:styleId="PlainText">
    <w:name w:val="Plain Text"/>
    <w:basedOn w:val="Normal"/>
    <w:link w:val="PlainTextChar"/>
    <w:uiPriority w:val="99"/>
    <w:semiHidden/>
    <w:unhideWhenUsed/>
    <w:rsid w:val="00743FAE"/>
    <w:pPr>
      <w:spacing w:after="0" w:line="240" w:lineRule="auto"/>
    </w:pPr>
    <w:rPr>
      <w:rFonts w:cs="Times New Roman"/>
      <w:szCs w:val="21"/>
    </w:rPr>
  </w:style>
  <w:style w:type="character" w:customStyle="1" w:styleId="PlainTextChar">
    <w:name w:val="Plain Text Char"/>
    <w:basedOn w:val="DefaultParagraphFont"/>
    <w:link w:val="PlainText"/>
    <w:uiPriority w:val="99"/>
    <w:semiHidden/>
    <w:rsid w:val="00743FAE"/>
    <w:rPr>
      <w:rFonts w:ascii="Calibri" w:hAnsi="Calibri"/>
      <w:szCs w:val="21"/>
    </w:rPr>
  </w:style>
  <w:style w:type="paragraph" w:styleId="ListBullet">
    <w:name w:val="List Bullet"/>
    <w:basedOn w:val="Normal"/>
    <w:uiPriority w:val="99"/>
    <w:unhideWhenUsed/>
    <w:rsid w:val="00743FAE"/>
    <w:pPr>
      <w:numPr>
        <w:numId w:val="2"/>
      </w:numPr>
      <w:contextualSpacing/>
    </w:pPr>
    <w:rPr>
      <w:rFonts w:cs="Times New Roman"/>
      <w:lang w:bidi="en-US"/>
    </w:rPr>
  </w:style>
  <w:style w:type="paragraph" w:styleId="ListBullet2">
    <w:name w:val="List Bullet 2"/>
    <w:basedOn w:val="Normal"/>
    <w:uiPriority w:val="99"/>
    <w:unhideWhenUsed/>
    <w:rsid w:val="00743FAE"/>
    <w:pPr>
      <w:numPr>
        <w:numId w:val="3"/>
      </w:numPr>
      <w:contextualSpacing/>
    </w:pPr>
    <w:rPr>
      <w:rFonts w:cs="Times New Roman"/>
      <w:lang w:bidi="en-US"/>
    </w:rPr>
  </w:style>
  <w:style w:type="character" w:customStyle="1" w:styleId="BodyTextChar1">
    <w:name w:val="Body Text Char1"/>
    <w:basedOn w:val="DefaultParagraphFont"/>
    <w:uiPriority w:val="99"/>
    <w:rsid w:val="00743FAE"/>
    <w:rPr>
      <w:rFonts w:ascii="Myriad Pro SemiCond" w:hAnsi="Myriad Pro SemiCond"/>
      <w:szCs w:val="22"/>
      <w:lang w:val="es-ES" w:eastAsia="en-US" w:bidi="en-US"/>
    </w:rPr>
  </w:style>
  <w:style w:type="paragraph" w:styleId="BodyTextIndent">
    <w:name w:val="Body Text Indent"/>
    <w:basedOn w:val="Normal"/>
    <w:link w:val="BodyTextIndentChar"/>
    <w:uiPriority w:val="99"/>
    <w:semiHidden/>
    <w:unhideWhenUsed/>
    <w:rsid w:val="00743FAE"/>
    <w:pPr>
      <w:ind w:left="360"/>
    </w:pPr>
    <w:rPr>
      <w:rFonts w:cs="Times New Roman"/>
      <w:lang w:bidi="en-US"/>
    </w:rPr>
  </w:style>
  <w:style w:type="character" w:customStyle="1" w:styleId="BodyTextIndentChar">
    <w:name w:val="Body Text Indent Char"/>
    <w:basedOn w:val="DefaultParagraphFont"/>
    <w:link w:val="BodyTextIndent"/>
    <w:uiPriority w:val="99"/>
    <w:semiHidden/>
    <w:rsid w:val="00743FAE"/>
    <w:rPr>
      <w:rFonts w:ascii="Myriad Pro SemiCond" w:hAnsi="Myriad Pro SemiCond"/>
      <w:szCs w:val="22"/>
      <w:lang w:bidi="en-US"/>
    </w:rPr>
  </w:style>
  <w:style w:type="paragraph" w:styleId="BodyTextFirstIndent2">
    <w:name w:val="Body Text First Indent 2"/>
    <w:basedOn w:val="BodyTextIndent"/>
    <w:link w:val="BodyTextFirstIndent2Char"/>
    <w:uiPriority w:val="99"/>
    <w:unhideWhenUsed/>
    <w:rsid w:val="00743FAE"/>
    <w:pPr>
      <w:ind w:firstLine="210"/>
    </w:pPr>
  </w:style>
  <w:style w:type="character" w:customStyle="1" w:styleId="BodyTextFirstIndent2Char">
    <w:name w:val="Body Text First Indent 2 Char"/>
    <w:basedOn w:val="BodyTextIndentChar"/>
    <w:link w:val="BodyTextFirstIndent2"/>
    <w:uiPriority w:val="99"/>
    <w:rsid w:val="00743FAE"/>
    <w:rPr>
      <w:rFonts w:ascii="Myriad Pro SemiCond" w:hAnsi="Myriad Pro SemiCond"/>
      <w:szCs w:val="22"/>
      <w:lang w:bidi="en-US"/>
    </w:rPr>
  </w:style>
  <w:style w:type="character" w:customStyle="1" w:styleId="Heading2Char1">
    <w:name w:val="Heading 2 Char1"/>
    <w:basedOn w:val="DefaultParagraphFont"/>
    <w:locked/>
    <w:rsid w:val="00743FAE"/>
    <w:rPr>
      <w:rFonts w:ascii="Myriad Pro SemiCond" w:hAnsi="Myriad Pro SemiCond"/>
      <w:b/>
      <w:bCs/>
      <w:color w:val="4F81BD"/>
      <w:sz w:val="26"/>
      <w:szCs w:val="26"/>
      <w:lang w:val="es-ES" w:eastAsia="en-US" w:bidi="ar-SA"/>
    </w:rPr>
  </w:style>
  <w:style w:type="character" w:customStyle="1" w:styleId="bodytext10">
    <w:name w:val="bodytext1"/>
    <w:basedOn w:val="DefaultParagraphFont"/>
    <w:rsid w:val="00743FAE"/>
    <w:rPr>
      <w:rFonts w:ascii="Tahoma" w:hAnsi="Tahoma" w:cs="Tahoma" w:hint="default"/>
      <w:sz w:val="18"/>
      <w:szCs w:val="18"/>
    </w:rPr>
  </w:style>
  <w:style w:type="table" w:customStyle="1" w:styleId="LightShading1">
    <w:name w:val="Light Shading1"/>
    <w:basedOn w:val="TableNormal"/>
    <w:uiPriority w:val="60"/>
    <w:rsid w:val="00743FAE"/>
    <w:rPr>
      <w:rFonts w:ascii="Calibri" w:hAnsi="Calibri"/>
      <w:color w:val="000000"/>
      <w:lang w:eastAsia="nb-NO"/>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pple-converted-space">
    <w:name w:val="apple-converted-space"/>
    <w:basedOn w:val="DefaultParagraphFont"/>
    <w:rsid w:val="00B86EA7"/>
  </w:style>
  <w:style w:type="character" w:customStyle="1" w:styleId="SubtleEmphasis1">
    <w:name w:val="Subtle Emphasis1"/>
    <w:uiPriority w:val="99"/>
    <w:rsid w:val="009A38A3"/>
    <w:rPr>
      <w:rFonts w:cs="Times New Roman"/>
      <w:i/>
      <w:iCs/>
      <w:color w:val="808080"/>
    </w:rPr>
  </w:style>
  <w:style w:type="character" w:customStyle="1" w:styleId="IntenseEmphasis1">
    <w:name w:val="Intense Emphasis1"/>
    <w:uiPriority w:val="99"/>
    <w:rsid w:val="009A38A3"/>
    <w:rPr>
      <w:rFonts w:cs="Times New Roman"/>
      <w:b/>
      <w:bCs/>
      <w:i/>
      <w:iCs/>
      <w:color w:val="4F81BD"/>
    </w:rPr>
  </w:style>
  <w:style w:type="character" w:customStyle="1" w:styleId="SubtleReference1">
    <w:name w:val="Subtle Reference1"/>
    <w:uiPriority w:val="99"/>
    <w:rsid w:val="009A38A3"/>
    <w:rPr>
      <w:rFonts w:cs="Times New Roman"/>
      <w:smallCaps/>
      <w:color w:val="C0504D"/>
      <w:u w:val="single"/>
    </w:rPr>
  </w:style>
  <w:style w:type="character" w:customStyle="1" w:styleId="IntenseReference1">
    <w:name w:val="Intense Reference1"/>
    <w:uiPriority w:val="99"/>
    <w:rsid w:val="009A38A3"/>
    <w:rPr>
      <w:rFonts w:cs="Times New Roman"/>
      <w:b/>
      <w:bCs/>
      <w:smallCaps/>
      <w:color w:val="C0504D"/>
      <w:spacing w:val="5"/>
      <w:u w:val="single"/>
    </w:rPr>
  </w:style>
  <w:style w:type="character" w:customStyle="1" w:styleId="BookTitle1">
    <w:name w:val="Book Title1"/>
    <w:uiPriority w:val="99"/>
    <w:rsid w:val="009A38A3"/>
    <w:rPr>
      <w:rFonts w:cs="Times New Roman"/>
      <w:b/>
      <w:bCs/>
      <w:smallCaps/>
      <w:spacing w:val="5"/>
    </w:rPr>
  </w:style>
  <w:style w:type="paragraph" w:customStyle="1" w:styleId="MediumGrid22">
    <w:name w:val="Medium Grid 22"/>
    <w:uiPriority w:val="99"/>
    <w:semiHidden/>
    <w:rsid w:val="009A38A3"/>
    <w:pPr>
      <w:widowControl w:val="0"/>
      <w:suppressAutoHyphens/>
    </w:pPr>
    <w:rPr>
      <w:rFonts w:ascii="Calibri" w:hAnsi="Calibri" w:cs="Calibri"/>
      <w:sz w:val="22"/>
      <w:szCs w:val="22"/>
    </w:rPr>
  </w:style>
  <w:style w:type="paragraph" w:customStyle="1" w:styleId="ColorfulList-Accent11">
    <w:name w:val="Colorful List - Accent 11"/>
    <w:basedOn w:val="Normal"/>
    <w:uiPriority w:val="99"/>
    <w:rsid w:val="009A38A3"/>
    <w:pPr>
      <w:ind w:left="720"/>
    </w:pPr>
  </w:style>
  <w:style w:type="paragraph" w:customStyle="1" w:styleId="ColorfulGrid-Accent11">
    <w:name w:val="Colorful Grid - Accent 11"/>
    <w:basedOn w:val="Normal"/>
    <w:next w:val="Normal"/>
    <w:link w:val="ColorfulGrid-Accent1Char"/>
    <w:uiPriority w:val="99"/>
    <w:rsid w:val="009A38A3"/>
    <w:pPr>
      <w:ind w:left="720"/>
    </w:pPr>
    <w:rPr>
      <w:rFonts w:ascii="Myriad Pro Light SemiCond" w:hAnsi="Myriad Pro Light SemiCond"/>
      <w:i/>
      <w:iCs/>
      <w:color w:val="000000"/>
    </w:rPr>
  </w:style>
  <w:style w:type="character" w:customStyle="1" w:styleId="ColorfulGrid-Accent1Char">
    <w:name w:val="Colorful Grid - Accent 1 Char"/>
    <w:link w:val="ColorfulGrid-Accent11"/>
    <w:uiPriority w:val="99"/>
    <w:rsid w:val="009A38A3"/>
    <w:rPr>
      <w:rFonts w:ascii="Myriad Pro Light SemiCond" w:hAnsi="Myriad Pro Light SemiCond" w:cs="Calibri"/>
      <w:i/>
      <w:iCs/>
      <w:color w:val="000000"/>
      <w:sz w:val="22"/>
      <w:szCs w:val="22"/>
    </w:rPr>
  </w:style>
  <w:style w:type="paragraph" w:customStyle="1" w:styleId="LightShading-Accent21">
    <w:name w:val="Light Shading - Accent 21"/>
    <w:basedOn w:val="Normal"/>
    <w:next w:val="Normal"/>
    <w:link w:val="LightShading-Accent2Char"/>
    <w:uiPriority w:val="99"/>
    <w:rsid w:val="009A38A3"/>
    <w:pPr>
      <w:pBdr>
        <w:bottom w:val="single" w:sz="4" w:space="4" w:color="FFFF00"/>
      </w:pBdr>
      <w:spacing w:before="200" w:after="280"/>
      <w:ind w:left="936" w:right="936"/>
    </w:pPr>
    <w:rPr>
      <w:b/>
      <w:bCs/>
      <w:i/>
      <w:iCs/>
      <w:color w:val="4F81BD"/>
    </w:rPr>
  </w:style>
  <w:style w:type="character" w:customStyle="1" w:styleId="LightShading-Accent2Char">
    <w:name w:val="Light Shading - Accent 2 Char"/>
    <w:link w:val="LightShading-Accent21"/>
    <w:uiPriority w:val="99"/>
    <w:rsid w:val="009A38A3"/>
    <w:rPr>
      <w:rFonts w:ascii="Myriad Pro SemiCond" w:hAnsi="Myriad Pro SemiCond" w:cs="Calibri"/>
      <w:b/>
      <w:bCs/>
      <w:i/>
      <w:iCs/>
      <w:color w:val="4F81BD"/>
      <w:sz w:val="22"/>
      <w:szCs w:val="22"/>
    </w:rPr>
  </w:style>
  <w:style w:type="paragraph" w:customStyle="1" w:styleId="TOCHeading1">
    <w:name w:val="TOC Heading1"/>
    <w:basedOn w:val="Heading1"/>
    <w:next w:val="Normal"/>
    <w:uiPriority w:val="39"/>
    <w:rsid w:val="009A38A3"/>
    <w:pPr>
      <w:outlineLvl w:val="9"/>
    </w:pPr>
  </w:style>
  <w:style w:type="table" w:styleId="LightList-Accent2">
    <w:name w:val="Light List Accent 2"/>
    <w:basedOn w:val="TableNormal"/>
    <w:uiPriority w:val="61"/>
    <w:rsid w:val="009A38A3"/>
    <w:rPr>
      <w:lang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msolistparagraph0">
    <w:name w:val="msolistparagraph"/>
    <w:basedOn w:val="Normal"/>
    <w:rsid w:val="009A38A3"/>
    <w:pPr>
      <w:spacing w:after="0" w:line="240" w:lineRule="auto"/>
      <w:ind w:left="720"/>
    </w:pPr>
    <w:rPr>
      <w:rFonts w:eastAsia="Calibri" w:cs="Times New Roman"/>
      <w:sz w:val="24"/>
      <w:szCs w:val="24"/>
    </w:rPr>
  </w:style>
  <w:style w:type="character" w:customStyle="1" w:styleId="st">
    <w:name w:val="st"/>
    <w:rsid w:val="009A38A3"/>
  </w:style>
  <w:style w:type="character" w:customStyle="1" w:styleId="ColorfulGrid-Accent1Char1">
    <w:name w:val="Colorful Grid - Accent 1 Char1"/>
    <w:link w:val="ColorfulGrid-Accent1"/>
    <w:uiPriority w:val="99"/>
    <w:rsid w:val="009A38A3"/>
    <w:rPr>
      <w:rFonts w:ascii="Myriad Pro Light SemiCond" w:hAnsi="Myriad Pro Light SemiCond" w:cs="Calibri"/>
      <w:i/>
      <w:iCs/>
      <w:color w:val="000000"/>
      <w:sz w:val="22"/>
      <w:szCs w:val="22"/>
      <w:lang w:val="es-ES" w:eastAsia="en-US"/>
    </w:rPr>
  </w:style>
  <w:style w:type="character" w:customStyle="1" w:styleId="LightShading-Accent2Char1">
    <w:name w:val="Light Shading - Accent 2 Char1"/>
    <w:link w:val="LightShading-Accent2"/>
    <w:uiPriority w:val="99"/>
    <w:rsid w:val="009A38A3"/>
    <w:rPr>
      <w:rFonts w:ascii="Myriad Pro SemiCond" w:hAnsi="Myriad Pro SemiCond" w:cs="Calibri"/>
      <w:b/>
      <w:bCs/>
      <w:i/>
      <w:iCs/>
      <w:color w:val="4F81BD"/>
      <w:sz w:val="22"/>
      <w:szCs w:val="22"/>
      <w:lang w:val="es-ES" w:eastAsia="en-US"/>
    </w:rPr>
  </w:style>
  <w:style w:type="paragraph" w:customStyle="1" w:styleId="Boxedtextfront">
    <w:name w:val="Boxed text front"/>
    <w:basedOn w:val="Normal"/>
    <w:next w:val="Normal"/>
    <w:qFormat/>
    <w:rsid w:val="00FF675B"/>
    <w:pPr>
      <w:spacing w:after="240"/>
      <w:ind w:left="57" w:right="57"/>
      <w:jc w:val="both"/>
      <w:outlineLvl w:val="0"/>
    </w:pPr>
    <w:rPr>
      <w:rFonts w:eastAsia="Arial"/>
      <w:lang w:bidi="en-US"/>
    </w:rPr>
  </w:style>
  <w:style w:type="character" w:customStyle="1" w:styleId="hps">
    <w:name w:val="hps"/>
    <w:rsid w:val="009A38A3"/>
  </w:style>
  <w:style w:type="table" w:styleId="ColorfulGrid-Accent1">
    <w:name w:val="Colorful Grid Accent 1"/>
    <w:basedOn w:val="TableNormal"/>
    <w:link w:val="ColorfulGrid-Accent1Char1"/>
    <w:uiPriority w:val="99"/>
    <w:rsid w:val="009A38A3"/>
    <w:rPr>
      <w:rFonts w:ascii="Myriad Pro Light SemiCond" w:hAnsi="Myriad Pro Light SemiCond" w:cs="Calibri"/>
      <w:i/>
      <w:iCs/>
      <w:color w:val="000000"/>
      <w:sz w:val="22"/>
      <w:szCs w:val="22"/>
    </w:rPr>
    <w:tblPr>
      <w:tblStyleRowBandSize w:val="1"/>
      <w:tblStyleColBandSize w:val="1"/>
      <w:tblBorders>
        <w:insideH w:val="single" w:sz="4" w:space="0" w:color="FFFFFF" w:themeColor="background1"/>
      </w:tblBorders>
    </w:tblPr>
    <w:tcPr>
      <w:shd w:val="clear" w:color="auto" w:fill="DBE5F1" w:themeFill="accent1" w:themeFillTint="33"/>
    </w:tcPr>
    <w:tblStylePr w:type="firstRow">
      <w:tblPr/>
      <w:tcPr>
        <w:shd w:val="clear" w:color="auto" w:fill="B8CCE4" w:themeFill="accent1" w:themeFillTint="66"/>
      </w:tcPr>
    </w:tblStylePr>
    <w:tblStylePr w:type="lastRow">
      <w:tblPr/>
      <w:tcPr>
        <w:shd w:val="clear" w:color="auto" w:fill="B8CCE4" w:themeFill="accent1" w:themeFillTint="66"/>
      </w:tcPr>
    </w:tblStylePr>
    <w:tblStylePr w:type="firstCol">
      <w:tblPr/>
      <w:tcPr>
        <w:shd w:val="clear" w:color="auto" w:fill="365F91" w:themeFill="accent1" w:themeFillShade="BF"/>
      </w:tcPr>
    </w:tblStylePr>
    <w:tblStylePr w:type="lastCol">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LightShading-Accent2">
    <w:name w:val="Light Shading Accent 2"/>
    <w:basedOn w:val="TableNormal"/>
    <w:link w:val="LightShading-Accent2Char1"/>
    <w:uiPriority w:val="99"/>
    <w:rsid w:val="009A38A3"/>
    <w:rPr>
      <w:rFonts w:ascii="Myriad Pro SemiCond" w:hAnsi="Myriad Pro SemiCond" w:cs="Calibri"/>
      <w:b/>
      <w:bCs/>
      <w:i/>
      <w:iCs/>
      <w:color w:val="4F81BD"/>
      <w:sz w:val="22"/>
      <w:szCs w:val="22"/>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tblPr/>
      <w:tcPr>
        <w:tcBorders>
          <w:top w:val="single" w:sz="8" w:space="0" w:color="C0504D" w:themeColor="accent2"/>
          <w:left w:val="nil"/>
          <w:bottom w:val="single" w:sz="8" w:space="0" w:color="C0504D" w:themeColor="accent2"/>
          <w:right w:val="nil"/>
          <w:insideH w:val="nil"/>
          <w:insideV w:val="nil"/>
        </w:tcBorders>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TableGrid1">
    <w:name w:val="Table Grid1"/>
    <w:basedOn w:val="TableNormal"/>
    <w:next w:val="TableGrid"/>
    <w:uiPriority w:val="59"/>
    <w:rsid w:val="00ED4F0C"/>
    <w:rPr>
      <w:rFonts w:ascii="Calibri" w:hAnsi="Calibri"/>
      <w:lang w:eastAsia="nb-N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Pfrontpagenormal">
    <w:name w:val="BP front page normal"/>
    <w:basedOn w:val="Normal"/>
    <w:rsid w:val="002646A7"/>
    <w:pPr>
      <w:tabs>
        <w:tab w:val="right" w:pos="9069"/>
      </w:tabs>
    </w:pPr>
    <w:rPr>
      <w:rFonts w:asciiTheme="majorHAnsi" w:hAnsiTheme="majorHAnsi"/>
      <w:lang w:eastAsia="nb-NO"/>
    </w:rPr>
  </w:style>
  <w:style w:type="paragraph" w:customStyle="1" w:styleId="Boxedtext">
    <w:name w:val="Boxed text"/>
    <w:basedOn w:val="Normal"/>
    <w:rsid w:val="002D3B30"/>
    <w:pPr>
      <w:framePr w:hSpace="181" w:vSpace="181" w:wrap="around" w:hAnchor="text" w:yAlign="top"/>
      <w:spacing w:after="240"/>
    </w:pPr>
    <w:rPr>
      <w:lang w:bidi="en-US"/>
    </w:rPr>
  </w:style>
  <w:style w:type="paragraph" w:customStyle="1" w:styleId="Titletitlepage">
    <w:name w:val="Title titlepage"/>
    <w:basedOn w:val="Normal"/>
    <w:qFormat/>
    <w:rsid w:val="00FF675B"/>
    <w:pPr>
      <w:widowControl w:val="0"/>
      <w:suppressAutoHyphens/>
      <w:spacing w:after="360" w:line="276" w:lineRule="auto"/>
    </w:pPr>
    <w:rPr>
      <w:rFonts w:eastAsia="Times New Roman" w:cs="Calibri"/>
      <w:b/>
      <w:color w:val="132B55"/>
      <w:sz w:val="80"/>
      <w:szCs w:val="22"/>
    </w:rPr>
  </w:style>
  <w:style w:type="table" w:customStyle="1" w:styleId="PlainTable51">
    <w:name w:val="Plain Table 51"/>
    <w:basedOn w:val="TableNormal"/>
    <w:uiPriority w:val="45"/>
    <w:rsid w:val="000E18C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Normaltextintable">
    <w:name w:val="Normal text in table"/>
    <w:basedOn w:val="Normal"/>
    <w:rsid w:val="002D45FC"/>
    <w:pPr>
      <w:spacing w:before="120"/>
    </w:pPr>
    <w:rPr>
      <w:b/>
      <w:bCs/>
      <w:color w:val="FFFFFF"/>
      <w:lang w:eastAsia="nb-NO"/>
    </w:rPr>
  </w:style>
  <w:style w:type="character" w:customStyle="1" w:styleId="UnresolvedMention1">
    <w:name w:val="Unresolved Mention1"/>
    <w:basedOn w:val="DefaultParagraphFont"/>
    <w:uiPriority w:val="99"/>
    <w:rsid w:val="007F0356"/>
    <w:rPr>
      <w:color w:val="808080"/>
      <w:shd w:val="clear" w:color="auto" w:fill="E6E6E6"/>
    </w:rPr>
  </w:style>
  <w:style w:type="table" w:customStyle="1" w:styleId="GridTable4-Accent11">
    <w:name w:val="Grid Table 4 - Accent 11"/>
    <w:basedOn w:val="TableNormal"/>
    <w:uiPriority w:val="49"/>
    <w:rsid w:val="009A35D5"/>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EndnoteText">
    <w:name w:val="endnote text"/>
    <w:basedOn w:val="Normal"/>
    <w:link w:val="EndnoteTextChar"/>
    <w:uiPriority w:val="99"/>
    <w:semiHidden/>
    <w:unhideWhenUsed/>
    <w:rsid w:val="00DE585F"/>
    <w:pPr>
      <w:spacing w:after="0" w:line="240" w:lineRule="auto"/>
    </w:pPr>
    <w:rPr>
      <w:sz w:val="20"/>
    </w:rPr>
  </w:style>
  <w:style w:type="character" w:customStyle="1" w:styleId="EndnoteTextChar">
    <w:name w:val="Endnote Text Char"/>
    <w:basedOn w:val="DefaultParagraphFont"/>
    <w:link w:val="EndnoteText"/>
    <w:uiPriority w:val="99"/>
    <w:semiHidden/>
    <w:rsid w:val="00DE585F"/>
    <w:rPr>
      <w:rFonts w:ascii="Calibri" w:hAnsi="Calibri"/>
    </w:rPr>
  </w:style>
  <w:style w:type="character" w:styleId="EndnoteReference">
    <w:name w:val="endnote reference"/>
    <w:basedOn w:val="DefaultParagraphFont"/>
    <w:uiPriority w:val="99"/>
    <w:semiHidden/>
    <w:unhideWhenUsed/>
    <w:rsid w:val="00DE585F"/>
    <w:rPr>
      <w:vertAlign w:val="superscript"/>
    </w:rPr>
  </w:style>
  <w:style w:type="table" w:customStyle="1" w:styleId="ListTable2-Accent11">
    <w:name w:val="List Table 2 - Accent 11"/>
    <w:basedOn w:val="TableNormal"/>
    <w:uiPriority w:val="47"/>
    <w:rsid w:val="00CE0152"/>
    <w:pPr>
      <w:spacing w:after="0"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MainTitle">
    <w:name w:val="Main Title"/>
    <w:basedOn w:val="Normal"/>
    <w:qFormat/>
    <w:rsid w:val="007256B1"/>
    <w:pPr>
      <w:pBdr>
        <w:bottom w:val="single" w:sz="8" w:space="4" w:color="1A4066"/>
      </w:pBdr>
      <w:spacing w:before="360" w:after="120" w:line="276" w:lineRule="auto"/>
      <w:contextualSpacing/>
    </w:pPr>
    <w:rPr>
      <w:rFonts w:ascii="Franklin Gothic Medium" w:eastAsia="MS Gothic" w:hAnsi="Franklin Gothic Medium" w:cs="Times New Roman"/>
      <w:spacing w:val="-10"/>
      <w:kern w:val="28"/>
      <w:sz w:val="44"/>
      <w:szCs w:val="44"/>
    </w:rPr>
  </w:style>
  <w:style w:type="character" w:customStyle="1" w:styleId="ListParagraphChar">
    <w:name w:val="List Paragraph Char"/>
    <w:aliases w:val="123 List Paragraph Char,Bullet paras Char,EITI list Char,References Char,Bullets Char,Liste 1 Char,List Bullet Mary Char,List Paragraph (numbered (a)) Char,Numbered List Paragraph Char,List Bullet-OpsManual Char,Title Style 1 Char"/>
    <w:link w:val="ListParagraph"/>
    <w:uiPriority w:val="34"/>
    <w:rsid w:val="006D1F3C"/>
    <w:rPr>
      <w:rFonts w:ascii="Franklin Gothic Book" w:hAnsi="Franklin Gothic Book"/>
      <w:sz w:val="22"/>
    </w:rPr>
  </w:style>
  <w:style w:type="character" w:customStyle="1" w:styleId="UnresolvedMention2">
    <w:name w:val="Unresolved Mention2"/>
    <w:basedOn w:val="DefaultParagraphFont"/>
    <w:uiPriority w:val="99"/>
    <w:semiHidden/>
    <w:unhideWhenUsed/>
    <w:rsid w:val="003E2F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77956">
      <w:bodyDiv w:val="1"/>
      <w:marLeft w:val="0"/>
      <w:marRight w:val="0"/>
      <w:marTop w:val="0"/>
      <w:marBottom w:val="0"/>
      <w:divBdr>
        <w:top w:val="none" w:sz="0" w:space="0" w:color="auto"/>
        <w:left w:val="none" w:sz="0" w:space="0" w:color="auto"/>
        <w:bottom w:val="none" w:sz="0" w:space="0" w:color="auto"/>
        <w:right w:val="none" w:sz="0" w:space="0" w:color="auto"/>
      </w:divBdr>
    </w:div>
    <w:div w:id="16009283">
      <w:bodyDiv w:val="1"/>
      <w:marLeft w:val="0"/>
      <w:marRight w:val="0"/>
      <w:marTop w:val="0"/>
      <w:marBottom w:val="0"/>
      <w:divBdr>
        <w:top w:val="none" w:sz="0" w:space="0" w:color="auto"/>
        <w:left w:val="none" w:sz="0" w:space="0" w:color="auto"/>
        <w:bottom w:val="none" w:sz="0" w:space="0" w:color="auto"/>
        <w:right w:val="none" w:sz="0" w:space="0" w:color="auto"/>
      </w:divBdr>
    </w:div>
    <w:div w:id="21906233">
      <w:bodyDiv w:val="1"/>
      <w:marLeft w:val="0"/>
      <w:marRight w:val="0"/>
      <w:marTop w:val="0"/>
      <w:marBottom w:val="0"/>
      <w:divBdr>
        <w:top w:val="none" w:sz="0" w:space="0" w:color="auto"/>
        <w:left w:val="none" w:sz="0" w:space="0" w:color="auto"/>
        <w:bottom w:val="none" w:sz="0" w:space="0" w:color="auto"/>
        <w:right w:val="none" w:sz="0" w:space="0" w:color="auto"/>
      </w:divBdr>
    </w:div>
    <w:div w:id="41485973">
      <w:bodyDiv w:val="1"/>
      <w:marLeft w:val="0"/>
      <w:marRight w:val="0"/>
      <w:marTop w:val="0"/>
      <w:marBottom w:val="0"/>
      <w:divBdr>
        <w:top w:val="none" w:sz="0" w:space="0" w:color="auto"/>
        <w:left w:val="none" w:sz="0" w:space="0" w:color="auto"/>
        <w:bottom w:val="none" w:sz="0" w:space="0" w:color="auto"/>
        <w:right w:val="none" w:sz="0" w:space="0" w:color="auto"/>
      </w:divBdr>
    </w:div>
    <w:div w:id="71898307">
      <w:bodyDiv w:val="1"/>
      <w:marLeft w:val="0"/>
      <w:marRight w:val="0"/>
      <w:marTop w:val="0"/>
      <w:marBottom w:val="0"/>
      <w:divBdr>
        <w:top w:val="none" w:sz="0" w:space="0" w:color="auto"/>
        <w:left w:val="none" w:sz="0" w:space="0" w:color="auto"/>
        <w:bottom w:val="none" w:sz="0" w:space="0" w:color="auto"/>
        <w:right w:val="none" w:sz="0" w:space="0" w:color="auto"/>
      </w:divBdr>
    </w:div>
    <w:div w:id="77168270">
      <w:bodyDiv w:val="1"/>
      <w:marLeft w:val="0"/>
      <w:marRight w:val="0"/>
      <w:marTop w:val="0"/>
      <w:marBottom w:val="0"/>
      <w:divBdr>
        <w:top w:val="none" w:sz="0" w:space="0" w:color="auto"/>
        <w:left w:val="none" w:sz="0" w:space="0" w:color="auto"/>
        <w:bottom w:val="none" w:sz="0" w:space="0" w:color="auto"/>
        <w:right w:val="none" w:sz="0" w:space="0" w:color="auto"/>
      </w:divBdr>
    </w:div>
    <w:div w:id="79253810">
      <w:bodyDiv w:val="1"/>
      <w:marLeft w:val="0"/>
      <w:marRight w:val="0"/>
      <w:marTop w:val="0"/>
      <w:marBottom w:val="0"/>
      <w:divBdr>
        <w:top w:val="none" w:sz="0" w:space="0" w:color="auto"/>
        <w:left w:val="none" w:sz="0" w:space="0" w:color="auto"/>
        <w:bottom w:val="none" w:sz="0" w:space="0" w:color="auto"/>
        <w:right w:val="none" w:sz="0" w:space="0" w:color="auto"/>
      </w:divBdr>
    </w:div>
    <w:div w:id="85617074">
      <w:bodyDiv w:val="1"/>
      <w:marLeft w:val="0"/>
      <w:marRight w:val="0"/>
      <w:marTop w:val="0"/>
      <w:marBottom w:val="0"/>
      <w:divBdr>
        <w:top w:val="none" w:sz="0" w:space="0" w:color="auto"/>
        <w:left w:val="none" w:sz="0" w:space="0" w:color="auto"/>
        <w:bottom w:val="none" w:sz="0" w:space="0" w:color="auto"/>
        <w:right w:val="none" w:sz="0" w:space="0" w:color="auto"/>
      </w:divBdr>
    </w:div>
    <w:div w:id="94253363">
      <w:bodyDiv w:val="1"/>
      <w:marLeft w:val="0"/>
      <w:marRight w:val="0"/>
      <w:marTop w:val="0"/>
      <w:marBottom w:val="0"/>
      <w:divBdr>
        <w:top w:val="none" w:sz="0" w:space="0" w:color="auto"/>
        <w:left w:val="none" w:sz="0" w:space="0" w:color="auto"/>
        <w:bottom w:val="none" w:sz="0" w:space="0" w:color="auto"/>
        <w:right w:val="none" w:sz="0" w:space="0" w:color="auto"/>
      </w:divBdr>
    </w:div>
    <w:div w:id="96560959">
      <w:bodyDiv w:val="1"/>
      <w:marLeft w:val="0"/>
      <w:marRight w:val="0"/>
      <w:marTop w:val="0"/>
      <w:marBottom w:val="0"/>
      <w:divBdr>
        <w:top w:val="none" w:sz="0" w:space="0" w:color="auto"/>
        <w:left w:val="none" w:sz="0" w:space="0" w:color="auto"/>
        <w:bottom w:val="none" w:sz="0" w:space="0" w:color="auto"/>
        <w:right w:val="none" w:sz="0" w:space="0" w:color="auto"/>
      </w:divBdr>
    </w:div>
    <w:div w:id="97677469">
      <w:bodyDiv w:val="1"/>
      <w:marLeft w:val="0"/>
      <w:marRight w:val="0"/>
      <w:marTop w:val="0"/>
      <w:marBottom w:val="0"/>
      <w:divBdr>
        <w:top w:val="none" w:sz="0" w:space="0" w:color="auto"/>
        <w:left w:val="none" w:sz="0" w:space="0" w:color="auto"/>
        <w:bottom w:val="none" w:sz="0" w:space="0" w:color="auto"/>
        <w:right w:val="none" w:sz="0" w:space="0" w:color="auto"/>
      </w:divBdr>
    </w:div>
    <w:div w:id="126706248">
      <w:bodyDiv w:val="1"/>
      <w:marLeft w:val="0"/>
      <w:marRight w:val="0"/>
      <w:marTop w:val="0"/>
      <w:marBottom w:val="0"/>
      <w:divBdr>
        <w:top w:val="none" w:sz="0" w:space="0" w:color="auto"/>
        <w:left w:val="none" w:sz="0" w:space="0" w:color="auto"/>
        <w:bottom w:val="none" w:sz="0" w:space="0" w:color="auto"/>
        <w:right w:val="none" w:sz="0" w:space="0" w:color="auto"/>
      </w:divBdr>
    </w:div>
    <w:div w:id="134496748">
      <w:bodyDiv w:val="1"/>
      <w:marLeft w:val="0"/>
      <w:marRight w:val="0"/>
      <w:marTop w:val="0"/>
      <w:marBottom w:val="0"/>
      <w:divBdr>
        <w:top w:val="none" w:sz="0" w:space="0" w:color="auto"/>
        <w:left w:val="none" w:sz="0" w:space="0" w:color="auto"/>
        <w:bottom w:val="none" w:sz="0" w:space="0" w:color="auto"/>
        <w:right w:val="none" w:sz="0" w:space="0" w:color="auto"/>
      </w:divBdr>
    </w:div>
    <w:div w:id="144126843">
      <w:bodyDiv w:val="1"/>
      <w:marLeft w:val="0"/>
      <w:marRight w:val="0"/>
      <w:marTop w:val="0"/>
      <w:marBottom w:val="0"/>
      <w:divBdr>
        <w:top w:val="none" w:sz="0" w:space="0" w:color="auto"/>
        <w:left w:val="none" w:sz="0" w:space="0" w:color="auto"/>
        <w:bottom w:val="none" w:sz="0" w:space="0" w:color="auto"/>
        <w:right w:val="none" w:sz="0" w:space="0" w:color="auto"/>
      </w:divBdr>
    </w:div>
    <w:div w:id="147091270">
      <w:bodyDiv w:val="1"/>
      <w:marLeft w:val="0"/>
      <w:marRight w:val="0"/>
      <w:marTop w:val="0"/>
      <w:marBottom w:val="0"/>
      <w:divBdr>
        <w:top w:val="none" w:sz="0" w:space="0" w:color="auto"/>
        <w:left w:val="none" w:sz="0" w:space="0" w:color="auto"/>
        <w:bottom w:val="none" w:sz="0" w:space="0" w:color="auto"/>
        <w:right w:val="none" w:sz="0" w:space="0" w:color="auto"/>
      </w:divBdr>
    </w:div>
    <w:div w:id="185100120">
      <w:bodyDiv w:val="1"/>
      <w:marLeft w:val="0"/>
      <w:marRight w:val="0"/>
      <w:marTop w:val="0"/>
      <w:marBottom w:val="0"/>
      <w:divBdr>
        <w:top w:val="none" w:sz="0" w:space="0" w:color="auto"/>
        <w:left w:val="none" w:sz="0" w:space="0" w:color="auto"/>
        <w:bottom w:val="none" w:sz="0" w:space="0" w:color="auto"/>
        <w:right w:val="none" w:sz="0" w:space="0" w:color="auto"/>
      </w:divBdr>
    </w:div>
    <w:div w:id="188031100">
      <w:bodyDiv w:val="1"/>
      <w:marLeft w:val="0"/>
      <w:marRight w:val="0"/>
      <w:marTop w:val="0"/>
      <w:marBottom w:val="0"/>
      <w:divBdr>
        <w:top w:val="none" w:sz="0" w:space="0" w:color="auto"/>
        <w:left w:val="none" w:sz="0" w:space="0" w:color="auto"/>
        <w:bottom w:val="none" w:sz="0" w:space="0" w:color="auto"/>
        <w:right w:val="none" w:sz="0" w:space="0" w:color="auto"/>
      </w:divBdr>
    </w:div>
    <w:div w:id="190382325">
      <w:bodyDiv w:val="1"/>
      <w:marLeft w:val="0"/>
      <w:marRight w:val="0"/>
      <w:marTop w:val="0"/>
      <w:marBottom w:val="0"/>
      <w:divBdr>
        <w:top w:val="none" w:sz="0" w:space="0" w:color="auto"/>
        <w:left w:val="none" w:sz="0" w:space="0" w:color="auto"/>
        <w:bottom w:val="none" w:sz="0" w:space="0" w:color="auto"/>
        <w:right w:val="none" w:sz="0" w:space="0" w:color="auto"/>
      </w:divBdr>
    </w:div>
    <w:div w:id="195167123">
      <w:bodyDiv w:val="1"/>
      <w:marLeft w:val="0"/>
      <w:marRight w:val="0"/>
      <w:marTop w:val="0"/>
      <w:marBottom w:val="0"/>
      <w:divBdr>
        <w:top w:val="none" w:sz="0" w:space="0" w:color="auto"/>
        <w:left w:val="none" w:sz="0" w:space="0" w:color="auto"/>
        <w:bottom w:val="none" w:sz="0" w:space="0" w:color="auto"/>
        <w:right w:val="none" w:sz="0" w:space="0" w:color="auto"/>
      </w:divBdr>
    </w:div>
    <w:div w:id="201598959">
      <w:bodyDiv w:val="1"/>
      <w:marLeft w:val="0"/>
      <w:marRight w:val="0"/>
      <w:marTop w:val="0"/>
      <w:marBottom w:val="0"/>
      <w:divBdr>
        <w:top w:val="none" w:sz="0" w:space="0" w:color="auto"/>
        <w:left w:val="none" w:sz="0" w:space="0" w:color="auto"/>
        <w:bottom w:val="none" w:sz="0" w:space="0" w:color="auto"/>
        <w:right w:val="none" w:sz="0" w:space="0" w:color="auto"/>
      </w:divBdr>
    </w:div>
    <w:div w:id="210650493">
      <w:bodyDiv w:val="1"/>
      <w:marLeft w:val="0"/>
      <w:marRight w:val="0"/>
      <w:marTop w:val="0"/>
      <w:marBottom w:val="0"/>
      <w:divBdr>
        <w:top w:val="none" w:sz="0" w:space="0" w:color="auto"/>
        <w:left w:val="none" w:sz="0" w:space="0" w:color="auto"/>
        <w:bottom w:val="none" w:sz="0" w:space="0" w:color="auto"/>
        <w:right w:val="none" w:sz="0" w:space="0" w:color="auto"/>
      </w:divBdr>
    </w:div>
    <w:div w:id="216285266">
      <w:bodyDiv w:val="1"/>
      <w:marLeft w:val="0"/>
      <w:marRight w:val="0"/>
      <w:marTop w:val="0"/>
      <w:marBottom w:val="0"/>
      <w:divBdr>
        <w:top w:val="none" w:sz="0" w:space="0" w:color="auto"/>
        <w:left w:val="none" w:sz="0" w:space="0" w:color="auto"/>
        <w:bottom w:val="none" w:sz="0" w:space="0" w:color="auto"/>
        <w:right w:val="none" w:sz="0" w:space="0" w:color="auto"/>
      </w:divBdr>
    </w:div>
    <w:div w:id="220141997">
      <w:bodyDiv w:val="1"/>
      <w:marLeft w:val="0"/>
      <w:marRight w:val="0"/>
      <w:marTop w:val="0"/>
      <w:marBottom w:val="0"/>
      <w:divBdr>
        <w:top w:val="none" w:sz="0" w:space="0" w:color="auto"/>
        <w:left w:val="none" w:sz="0" w:space="0" w:color="auto"/>
        <w:bottom w:val="none" w:sz="0" w:space="0" w:color="auto"/>
        <w:right w:val="none" w:sz="0" w:space="0" w:color="auto"/>
      </w:divBdr>
    </w:div>
    <w:div w:id="220555087">
      <w:bodyDiv w:val="1"/>
      <w:marLeft w:val="0"/>
      <w:marRight w:val="0"/>
      <w:marTop w:val="0"/>
      <w:marBottom w:val="0"/>
      <w:divBdr>
        <w:top w:val="none" w:sz="0" w:space="0" w:color="auto"/>
        <w:left w:val="none" w:sz="0" w:space="0" w:color="auto"/>
        <w:bottom w:val="none" w:sz="0" w:space="0" w:color="auto"/>
        <w:right w:val="none" w:sz="0" w:space="0" w:color="auto"/>
      </w:divBdr>
    </w:div>
    <w:div w:id="243731448">
      <w:bodyDiv w:val="1"/>
      <w:marLeft w:val="0"/>
      <w:marRight w:val="0"/>
      <w:marTop w:val="0"/>
      <w:marBottom w:val="0"/>
      <w:divBdr>
        <w:top w:val="none" w:sz="0" w:space="0" w:color="auto"/>
        <w:left w:val="none" w:sz="0" w:space="0" w:color="auto"/>
        <w:bottom w:val="none" w:sz="0" w:space="0" w:color="auto"/>
        <w:right w:val="none" w:sz="0" w:space="0" w:color="auto"/>
      </w:divBdr>
    </w:div>
    <w:div w:id="247690030">
      <w:bodyDiv w:val="1"/>
      <w:marLeft w:val="0"/>
      <w:marRight w:val="0"/>
      <w:marTop w:val="0"/>
      <w:marBottom w:val="0"/>
      <w:divBdr>
        <w:top w:val="none" w:sz="0" w:space="0" w:color="auto"/>
        <w:left w:val="none" w:sz="0" w:space="0" w:color="auto"/>
        <w:bottom w:val="none" w:sz="0" w:space="0" w:color="auto"/>
        <w:right w:val="none" w:sz="0" w:space="0" w:color="auto"/>
      </w:divBdr>
    </w:div>
    <w:div w:id="284895384">
      <w:bodyDiv w:val="1"/>
      <w:marLeft w:val="0"/>
      <w:marRight w:val="0"/>
      <w:marTop w:val="0"/>
      <w:marBottom w:val="0"/>
      <w:divBdr>
        <w:top w:val="none" w:sz="0" w:space="0" w:color="auto"/>
        <w:left w:val="none" w:sz="0" w:space="0" w:color="auto"/>
        <w:bottom w:val="none" w:sz="0" w:space="0" w:color="auto"/>
        <w:right w:val="none" w:sz="0" w:space="0" w:color="auto"/>
      </w:divBdr>
    </w:div>
    <w:div w:id="298075876">
      <w:bodyDiv w:val="1"/>
      <w:marLeft w:val="0"/>
      <w:marRight w:val="0"/>
      <w:marTop w:val="0"/>
      <w:marBottom w:val="0"/>
      <w:divBdr>
        <w:top w:val="none" w:sz="0" w:space="0" w:color="auto"/>
        <w:left w:val="none" w:sz="0" w:space="0" w:color="auto"/>
        <w:bottom w:val="none" w:sz="0" w:space="0" w:color="auto"/>
        <w:right w:val="none" w:sz="0" w:space="0" w:color="auto"/>
      </w:divBdr>
    </w:div>
    <w:div w:id="299924325">
      <w:bodyDiv w:val="1"/>
      <w:marLeft w:val="0"/>
      <w:marRight w:val="0"/>
      <w:marTop w:val="0"/>
      <w:marBottom w:val="0"/>
      <w:divBdr>
        <w:top w:val="none" w:sz="0" w:space="0" w:color="auto"/>
        <w:left w:val="none" w:sz="0" w:space="0" w:color="auto"/>
        <w:bottom w:val="none" w:sz="0" w:space="0" w:color="auto"/>
        <w:right w:val="none" w:sz="0" w:space="0" w:color="auto"/>
      </w:divBdr>
    </w:div>
    <w:div w:id="303505440">
      <w:bodyDiv w:val="1"/>
      <w:marLeft w:val="0"/>
      <w:marRight w:val="0"/>
      <w:marTop w:val="0"/>
      <w:marBottom w:val="0"/>
      <w:divBdr>
        <w:top w:val="none" w:sz="0" w:space="0" w:color="auto"/>
        <w:left w:val="none" w:sz="0" w:space="0" w:color="auto"/>
        <w:bottom w:val="none" w:sz="0" w:space="0" w:color="auto"/>
        <w:right w:val="none" w:sz="0" w:space="0" w:color="auto"/>
      </w:divBdr>
    </w:div>
    <w:div w:id="312947444">
      <w:bodyDiv w:val="1"/>
      <w:marLeft w:val="0"/>
      <w:marRight w:val="0"/>
      <w:marTop w:val="0"/>
      <w:marBottom w:val="0"/>
      <w:divBdr>
        <w:top w:val="none" w:sz="0" w:space="0" w:color="auto"/>
        <w:left w:val="none" w:sz="0" w:space="0" w:color="auto"/>
        <w:bottom w:val="none" w:sz="0" w:space="0" w:color="auto"/>
        <w:right w:val="none" w:sz="0" w:space="0" w:color="auto"/>
      </w:divBdr>
    </w:div>
    <w:div w:id="333267346">
      <w:bodyDiv w:val="1"/>
      <w:marLeft w:val="0"/>
      <w:marRight w:val="0"/>
      <w:marTop w:val="0"/>
      <w:marBottom w:val="0"/>
      <w:divBdr>
        <w:top w:val="none" w:sz="0" w:space="0" w:color="auto"/>
        <w:left w:val="none" w:sz="0" w:space="0" w:color="auto"/>
        <w:bottom w:val="none" w:sz="0" w:space="0" w:color="auto"/>
        <w:right w:val="none" w:sz="0" w:space="0" w:color="auto"/>
      </w:divBdr>
    </w:div>
    <w:div w:id="335808142">
      <w:bodyDiv w:val="1"/>
      <w:marLeft w:val="0"/>
      <w:marRight w:val="0"/>
      <w:marTop w:val="0"/>
      <w:marBottom w:val="0"/>
      <w:divBdr>
        <w:top w:val="none" w:sz="0" w:space="0" w:color="auto"/>
        <w:left w:val="none" w:sz="0" w:space="0" w:color="auto"/>
        <w:bottom w:val="none" w:sz="0" w:space="0" w:color="auto"/>
        <w:right w:val="none" w:sz="0" w:space="0" w:color="auto"/>
      </w:divBdr>
    </w:div>
    <w:div w:id="339087540">
      <w:bodyDiv w:val="1"/>
      <w:marLeft w:val="0"/>
      <w:marRight w:val="0"/>
      <w:marTop w:val="0"/>
      <w:marBottom w:val="0"/>
      <w:divBdr>
        <w:top w:val="none" w:sz="0" w:space="0" w:color="auto"/>
        <w:left w:val="none" w:sz="0" w:space="0" w:color="auto"/>
        <w:bottom w:val="none" w:sz="0" w:space="0" w:color="auto"/>
        <w:right w:val="none" w:sz="0" w:space="0" w:color="auto"/>
      </w:divBdr>
    </w:div>
    <w:div w:id="340787803">
      <w:bodyDiv w:val="1"/>
      <w:marLeft w:val="0"/>
      <w:marRight w:val="0"/>
      <w:marTop w:val="0"/>
      <w:marBottom w:val="0"/>
      <w:divBdr>
        <w:top w:val="none" w:sz="0" w:space="0" w:color="auto"/>
        <w:left w:val="none" w:sz="0" w:space="0" w:color="auto"/>
        <w:bottom w:val="none" w:sz="0" w:space="0" w:color="auto"/>
        <w:right w:val="none" w:sz="0" w:space="0" w:color="auto"/>
      </w:divBdr>
    </w:div>
    <w:div w:id="344140186">
      <w:bodyDiv w:val="1"/>
      <w:marLeft w:val="0"/>
      <w:marRight w:val="0"/>
      <w:marTop w:val="0"/>
      <w:marBottom w:val="0"/>
      <w:divBdr>
        <w:top w:val="none" w:sz="0" w:space="0" w:color="auto"/>
        <w:left w:val="none" w:sz="0" w:space="0" w:color="auto"/>
        <w:bottom w:val="none" w:sz="0" w:space="0" w:color="auto"/>
        <w:right w:val="none" w:sz="0" w:space="0" w:color="auto"/>
      </w:divBdr>
    </w:div>
    <w:div w:id="344788110">
      <w:bodyDiv w:val="1"/>
      <w:marLeft w:val="0"/>
      <w:marRight w:val="0"/>
      <w:marTop w:val="0"/>
      <w:marBottom w:val="0"/>
      <w:divBdr>
        <w:top w:val="none" w:sz="0" w:space="0" w:color="auto"/>
        <w:left w:val="none" w:sz="0" w:space="0" w:color="auto"/>
        <w:bottom w:val="none" w:sz="0" w:space="0" w:color="auto"/>
        <w:right w:val="none" w:sz="0" w:space="0" w:color="auto"/>
      </w:divBdr>
    </w:div>
    <w:div w:id="364446512">
      <w:bodyDiv w:val="1"/>
      <w:marLeft w:val="0"/>
      <w:marRight w:val="0"/>
      <w:marTop w:val="0"/>
      <w:marBottom w:val="0"/>
      <w:divBdr>
        <w:top w:val="none" w:sz="0" w:space="0" w:color="auto"/>
        <w:left w:val="none" w:sz="0" w:space="0" w:color="auto"/>
        <w:bottom w:val="none" w:sz="0" w:space="0" w:color="auto"/>
        <w:right w:val="none" w:sz="0" w:space="0" w:color="auto"/>
      </w:divBdr>
    </w:div>
    <w:div w:id="370419627">
      <w:bodyDiv w:val="1"/>
      <w:marLeft w:val="0"/>
      <w:marRight w:val="0"/>
      <w:marTop w:val="0"/>
      <w:marBottom w:val="0"/>
      <w:divBdr>
        <w:top w:val="none" w:sz="0" w:space="0" w:color="auto"/>
        <w:left w:val="none" w:sz="0" w:space="0" w:color="auto"/>
        <w:bottom w:val="none" w:sz="0" w:space="0" w:color="auto"/>
        <w:right w:val="none" w:sz="0" w:space="0" w:color="auto"/>
      </w:divBdr>
    </w:div>
    <w:div w:id="377970750">
      <w:bodyDiv w:val="1"/>
      <w:marLeft w:val="0"/>
      <w:marRight w:val="0"/>
      <w:marTop w:val="0"/>
      <w:marBottom w:val="0"/>
      <w:divBdr>
        <w:top w:val="none" w:sz="0" w:space="0" w:color="auto"/>
        <w:left w:val="none" w:sz="0" w:space="0" w:color="auto"/>
        <w:bottom w:val="none" w:sz="0" w:space="0" w:color="auto"/>
        <w:right w:val="none" w:sz="0" w:space="0" w:color="auto"/>
      </w:divBdr>
    </w:div>
    <w:div w:id="384372519">
      <w:bodyDiv w:val="1"/>
      <w:marLeft w:val="0"/>
      <w:marRight w:val="0"/>
      <w:marTop w:val="0"/>
      <w:marBottom w:val="0"/>
      <w:divBdr>
        <w:top w:val="none" w:sz="0" w:space="0" w:color="auto"/>
        <w:left w:val="none" w:sz="0" w:space="0" w:color="auto"/>
        <w:bottom w:val="none" w:sz="0" w:space="0" w:color="auto"/>
        <w:right w:val="none" w:sz="0" w:space="0" w:color="auto"/>
      </w:divBdr>
    </w:div>
    <w:div w:id="386149780">
      <w:bodyDiv w:val="1"/>
      <w:marLeft w:val="0"/>
      <w:marRight w:val="0"/>
      <w:marTop w:val="0"/>
      <w:marBottom w:val="0"/>
      <w:divBdr>
        <w:top w:val="none" w:sz="0" w:space="0" w:color="auto"/>
        <w:left w:val="none" w:sz="0" w:space="0" w:color="auto"/>
        <w:bottom w:val="none" w:sz="0" w:space="0" w:color="auto"/>
        <w:right w:val="none" w:sz="0" w:space="0" w:color="auto"/>
      </w:divBdr>
    </w:div>
    <w:div w:id="387534202">
      <w:bodyDiv w:val="1"/>
      <w:marLeft w:val="0"/>
      <w:marRight w:val="0"/>
      <w:marTop w:val="0"/>
      <w:marBottom w:val="0"/>
      <w:divBdr>
        <w:top w:val="none" w:sz="0" w:space="0" w:color="auto"/>
        <w:left w:val="none" w:sz="0" w:space="0" w:color="auto"/>
        <w:bottom w:val="none" w:sz="0" w:space="0" w:color="auto"/>
        <w:right w:val="none" w:sz="0" w:space="0" w:color="auto"/>
      </w:divBdr>
    </w:div>
    <w:div w:id="389422446">
      <w:bodyDiv w:val="1"/>
      <w:marLeft w:val="0"/>
      <w:marRight w:val="0"/>
      <w:marTop w:val="0"/>
      <w:marBottom w:val="0"/>
      <w:divBdr>
        <w:top w:val="none" w:sz="0" w:space="0" w:color="auto"/>
        <w:left w:val="none" w:sz="0" w:space="0" w:color="auto"/>
        <w:bottom w:val="none" w:sz="0" w:space="0" w:color="auto"/>
        <w:right w:val="none" w:sz="0" w:space="0" w:color="auto"/>
      </w:divBdr>
    </w:div>
    <w:div w:id="399720383">
      <w:bodyDiv w:val="1"/>
      <w:marLeft w:val="0"/>
      <w:marRight w:val="0"/>
      <w:marTop w:val="0"/>
      <w:marBottom w:val="0"/>
      <w:divBdr>
        <w:top w:val="none" w:sz="0" w:space="0" w:color="auto"/>
        <w:left w:val="none" w:sz="0" w:space="0" w:color="auto"/>
        <w:bottom w:val="none" w:sz="0" w:space="0" w:color="auto"/>
        <w:right w:val="none" w:sz="0" w:space="0" w:color="auto"/>
      </w:divBdr>
    </w:div>
    <w:div w:id="421726922">
      <w:bodyDiv w:val="1"/>
      <w:marLeft w:val="0"/>
      <w:marRight w:val="0"/>
      <w:marTop w:val="0"/>
      <w:marBottom w:val="0"/>
      <w:divBdr>
        <w:top w:val="none" w:sz="0" w:space="0" w:color="auto"/>
        <w:left w:val="none" w:sz="0" w:space="0" w:color="auto"/>
        <w:bottom w:val="none" w:sz="0" w:space="0" w:color="auto"/>
        <w:right w:val="none" w:sz="0" w:space="0" w:color="auto"/>
      </w:divBdr>
    </w:div>
    <w:div w:id="433861068">
      <w:bodyDiv w:val="1"/>
      <w:marLeft w:val="0"/>
      <w:marRight w:val="0"/>
      <w:marTop w:val="0"/>
      <w:marBottom w:val="0"/>
      <w:divBdr>
        <w:top w:val="none" w:sz="0" w:space="0" w:color="auto"/>
        <w:left w:val="none" w:sz="0" w:space="0" w:color="auto"/>
        <w:bottom w:val="none" w:sz="0" w:space="0" w:color="auto"/>
        <w:right w:val="none" w:sz="0" w:space="0" w:color="auto"/>
      </w:divBdr>
    </w:div>
    <w:div w:id="444034287">
      <w:bodyDiv w:val="1"/>
      <w:marLeft w:val="0"/>
      <w:marRight w:val="0"/>
      <w:marTop w:val="0"/>
      <w:marBottom w:val="0"/>
      <w:divBdr>
        <w:top w:val="none" w:sz="0" w:space="0" w:color="auto"/>
        <w:left w:val="none" w:sz="0" w:space="0" w:color="auto"/>
        <w:bottom w:val="none" w:sz="0" w:space="0" w:color="auto"/>
        <w:right w:val="none" w:sz="0" w:space="0" w:color="auto"/>
      </w:divBdr>
    </w:div>
    <w:div w:id="445004085">
      <w:bodyDiv w:val="1"/>
      <w:marLeft w:val="0"/>
      <w:marRight w:val="0"/>
      <w:marTop w:val="0"/>
      <w:marBottom w:val="0"/>
      <w:divBdr>
        <w:top w:val="none" w:sz="0" w:space="0" w:color="auto"/>
        <w:left w:val="none" w:sz="0" w:space="0" w:color="auto"/>
        <w:bottom w:val="none" w:sz="0" w:space="0" w:color="auto"/>
        <w:right w:val="none" w:sz="0" w:space="0" w:color="auto"/>
      </w:divBdr>
    </w:div>
    <w:div w:id="456408716">
      <w:bodyDiv w:val="1"/>
      <w:marLeft w:val="0"/>
      <w:marRight w:val="0"/>
      <w:marTop w:val="0"/>
      <w:marBottom w:val="0"/>
      <w:divBdr>
        <w:top w:val="none" w:sz="0" w:space="0" w:color="auto"/>
        <w:left w:val="none" w:sz="0" w:space="0" w:color="auto"/>
        <w:bottom w:val="none" w:sz="0" w:space="0" w:color="auto"/>
        <w:right w:val="none" w:sz="0" w:space="0" w:color="auto"/>
      </w:divBdr>
    </w:div>
    <w:div w:id="486821238">
      <w:bodyDiv w:val="1"/>
      <w:marLeft w:val="0"/>
      <w:marRight w:val="0"/>
      <w:marTop w:val="0"/>
      <w:marBottom w:val="0"/>
      <w:divBdr>
        <w:top w:val="none" w:sz="0" w:space="0" w:color="auto"/>
        <w:left w:val="none" w:sz="0" w:space="0" w:color="auto"/>
        <w:bottom w:val="none" w:sz="0" w:space="0" w:color="auto"/>
        <w:right w:val="none" w:sz="0" w:space="0" w:color="auto"/>
      </w:divBdr>
    </w:div>
    <w:div w:id="499084746">
      <w:bodyDiv w:val="1"/>
      <w:marLeft w:val="0"/>
      <w:marRight w:val="0"/>
      <w:marTop w:val="0"/>
      <w:marBottom w:val="0"/>
      <w:divBdr>
        <w:top w:val="none" w:sz="0" w:space="0" w:color="auto"/>
        <w:left w:val="none" w:sz="0" w:space="0" w:color="auto"/>
        <w:bottom w:val="none" w:sz="0" w:space="0" w:color="auto"/>
        <w:right w:val="none" w:sz="0" w:space="0" w:color="auto"/>
      </w:divBdr>
    </w:div>
    <w:div w:id="515995530">
      <w:bodyDiv w:val="1"/>
      <w:marLeft w:val="0"/>
      <w:marRight w:val="0"/>
      <w:marTop w:val="0"/>
      <w:marBottom w:val="0"/>
      <w:divBdr>
        <w:top w:val="none" w:sz="0" w:space="0" w:color="auto"/>
        <w:left w:val="none" w:sz="0" w:space="0" w:color="auto"/>
        <w:bottom w:val="none" w:sz="0" w:space="0" w:color="auto"/>
        <w:right w:val="none" w:sz="0" w:space="0" w:color="auto"/>
      </w:divBdr>
    </w:div>
    <w:div w:id="524638134">
      <w:bodyDiv w:val="1"/>
      <w:marLeft w:val="0"/>
      <w:marRight w:val="0"/>
      <w:marTop w:val="0"/>
      <w:marBottom w:val="0"/>
      <w:divBdr>
        <w:top w:val="none" w:sz="0" w:space="0" w:color="auto"/>
        <w:left w:val="none" w:sz="0" w:space="0" w:color="auto"/>
        <w:bottom w:val="none" w:sz="0" w:space="0" w:color="auto"/>
        <w:right w:val="none" w:sz="0" w:space="0" w:color="auto"/>
      </w:divBdr>
    </w:div>
    <w:div w:id="525219756">
      <w:bodyDiv w:val="1"/>
      <w:marLeft w:val="0"/>
      <w:marRight w:val="0"/>
      <w:marTop w:val="0"/>
      <w:marBottom w:val="0"/>
      <w:divBdr>
        <w:top w:val="none" w:sz="0" w:space="0" w:color="auto"/>
        <w:left w:val="none" w:sz="0" w:space="0" w:color="auto"/>
        <w:bottom w:val="none" w:sz="0" w:space="0" w:color="auto"/>
        <w:right w:val="none" w:sz="0" w:space="0" w:color="auto"/>
      </w:divBdr>
    </w:div>
    <w:div w:id="529732372">
      <w:bodyDiv w:val="1"/>
      <w:marLeft w:val="0"/>
      <w:marRight w:val="0"/>
      <w:marTop w:val="0"/>
      <w:marBottom w:val="0"/>
      <w:divBdr>
        <w:top w:val="none" w:sz="0" w:space="0" w:color="auto"/>
        <w:left w:val="none" w:sz="0" w:space="0" w:color="auto"/>
        <w:bottom w:val="none" w:sz="0" w:space="0" w:color="auto"/>
        <w:right w:val="none" w:sz="0" w:space="0" w:color="auto"/>
      </w:divBdr>
    </w:div>
    <w:div w:id="538247712">
      <w:bodyDiv w:val="1"/>
      <w:marLeft w:val="0"/>
      <w:marRight w:val="0"/>
      <w:marTop w:val="0"/>
      <w:marBottom w:val="0"/>
      <w:divBdr>
        <w:top w:val="none" w:sz="0" w:space="0" w:color="auto"/>
        <w:left w:val="none" w:sz="0" w:space="0" w:color="auto"/>
        <w:bottom w:val="none" w:sz="0" w:space="0" w:color="auto"/>
        <w:right w:val="none" w:sz="0" w:space="0" w:color="auto"/>
      </w:divBdr>
    </w:div>
    <w:div w:id="547452060">
      <w:bodyDiv w:val="1"/>
      <w:marLeft w:val="0"/>
      <w:marRight w:val="0"/>
      <w:marTop w:val="0"/>
      <w:marBottom w:val="0"/>
      <w:divBdr>
        <w:top w:val="none" w:sz="0" w:space="0" w:color="auto"/>
        <w:left w:val="none" w:sz="0" w:space="0" w:color="auto"/>
        <w:bottom w:val="none" w:sz="0" w:space="0" w:color="auto"/>
        <w:right w:val="none" w:sz="0" w:space="0" w:color="auto"/>
      </w:divBdr>
    </w:div>
    <w:div w:id="560989011">
      <w:bodyDiv w:val="1"/>
      <w:marLeft w:val="0"/>
      <w:marRight w:val="0"/>
      <w:marTop w:val="0"/>
      <w:marBottom w:val="0"/>
      <w:divBdr>
        <w:top w:val="none" w:sz="0" w:space="0" w:color="auto"/>
        <w:left w:val="none" w:sz="0" w:space="0" w:color="auto"/>
        <w:bottom w:val="none" w:sz="0" w:space="0" w:color="auto"/>
        <w:right w:val="none" w:sz="0" w:space="0" w:color="auto"/>
      </w:divBdr>
    </w:div>
    <w:div w:id="561135760">
      <w:bodyDiv w:val="1"/>
      <w:marLeft w:val="0"/>
      <w:marRight w:val="0"/>
      <w:marTop w:val="0"/>
      <w:marBottom w:val="0"/>
      <w:divBdr>
        <w:top w:val="none" w:sz="0" w:space="0" w:color="auto"/>
        <w:left w:val="none" w:sz="0" w:space="0" w:color="auto"/>
        <w:bottom w:val="none" w:sz="0" w:space="0" w:color="auto"/>
        <w:right w:val="none" w:sz="0" w:space="0" w:color="auto"/>
      </w:divBdr>
    </w:div>
    <w:div w:id="566573861">
      <w:bodyDiv w:val="1"/>
      <w:marLeft w:val="0"/>
      <w:marRight w:val="0"/>
      <w:marTop w:val="0"/>
      <w:marBottom w:val="0"/>
      <w:divBdr>
        <w:top w:val="none" w:sz="0" w:space="0" w:color="auto"/>
        <w:left w:val="none" w:sz="0" w:space="0" w:color="auto"/>
        <w:bottom w:val="none" w:sz="0" w:space="0" w:color="auto"/>
        <w:right w:val="none" w:sz="0" w:space="0" w:color="auto"/>
      </w:divBdr>
    </w:div>
    <w:div w:id="572200104">
      <w:bodyDiv w:val="1"/>
      <w:marLeft w:val="0"/>
      <w:marRight w:val="0"/>
      <w:marTop w:val="0"/>
      <w:marBottom w:val="0"/>
      <w:divBdr>
        <w:top w:val="none" w:sz="0" w:space="0" w:color="auto"/>
        <w:left w:val="none" w:sz="0" w:space="0" w:color="auto"/>
        <w:bottom w:val="none" w:sz="0" w:space="0" w:color="auto"/>
        <w:right w:val="none" w:sz="0" w:space="0" w:color="auto"/>
      </w:divBdr>
    </w:div>
    <w:div w:id="574122159">
      <w:bodyDiv w:val="1"/>
      <w:marLeft w:val="0"/>
      <w:marRight w:val="0"/>
      <w:marTop w:val="0"/>
      <w:marBottom w:val="0"/>
      <w:divBdr>
        <w:top w:val="none" w:sz="0" w:space="0" w:color="auto"/>
        <w:left w:val="none" w:sz="0" w:space="0" w:color="auto"/>
        <w:bottom w:val="none" w:sz="0" w:space="0" w:color="auto"/>
        <w:right w:val="none" w:sz="0" w:space="0" w:color="auto"/>
      </w:divBdr>
    </w:div>
    <w:div w:id="577711310">
      <w:bodyDiv w:val="1"/>
      <w:marLeft w:val="0"/>
      <w:marRight w:val="0"/>
      <w:marTop w:val="0"/>
      <w:marBottom w:val="0"/>
      <w:divBdr>
        <w:top w:val="none" w:sz="0" w:space="0" w:color="auto"/>
        <w:left w:val="none" w:sz="0" w:space="0" w:color="auto"/>
        <w:bottom w:val="none" w:sz="0" w:space="0" w:color="auto"/>
        <w:right w:val="none" w:sz="0" w:space="0" w:color="auto"/>
      </w:divBdr>
    </w:div>
    <w:div w:id="589504652">
      <w:bodyDiv w:val="1"/>
      <w:marLeft w:val="0"/>
      <w:marRight w:val="0"/>
      <w:marTop w:val="0"/>
      <w:marBottom w:val="0"/>
      <w:divBdr>
        <w:top w:val="none" w:sz="0" w:space="0" w:color="auto"/>
        <w:left w:val="none" w:sz="0" w:space="0" w:color="auto"/>
        <w:bottom w:val="none" w:sz="0" w:space="0" w:color="auto"/>
        <w:right w:val="none" w:sz="0" w:space="0" w:color="auto"/>
      </w:divBdr>
    </w:div>
    <w:div w:id="589587505">
      <w:bodyDiv w:val="1"/>
      <w:marLeft w:val="0"/>
      <w:marRight w:val="0"/>
      <w:marTop w:val="0"/>
      <w:marBottom w:val="0"/>
      <w:divBdr>
        <w:top w:val="none" w:sz="0" w:space="0" w:color="auto"/>
        <w:left w:val="none" w:sz="0" w:space="0" w:color="auto"/>
        <w:bottom w:val="none" w:sz="0" w:space="0" w:color="auto"/>
        <w:right w:val="none" w:sz="0" w:space="0" w:color="auto"/>
      </w:divBdr>
    </w:div>
    <w:div w:id="616185121">
      <w:bodyDiv w:val="1"/>
      <w:marLeft w:val="0"/>
      <w:marRight w:val="0"/>
      <w:marTop w:val="0"/>
      <w:marBottom w:val="0"/>
      <w:divBdr>
        <w:top w:val="none" w:sz="0" w:space="0" w:color="auto"/>
        <w:left w:val="none" w:sz="0" w:space="0" w:color="auto"/>
        <w:bottom w:val="none" w:sz="0" w:space="0" w:color="auto"/>
        <w:right w:val="none" w:sz="0" w:space="0" w:color="auto"/>
      </w:divBdr>
    </w:div>
    <w:div w:id="634650975">
      <w:bodyDiv w:val="1"/>
      <w:marLeft w:val="0"/>
      <w:marRight w:val="0"/>
      <w:marTop w:val="0"/>
      <w:marBottom w:val="0"/>
      <w:divBdr>
        <w:top w:val="none" w:sz="0" w:space="0" w:color="auto"/>
        <w:left w:val="none" w:sz="0" w:space="0" w:color="auto"/>
        <w:bottom w:val="none" w:sz="0" w:space="0" w:color="auto"/>
        <w:right w:val="none" w:sz="0" w:space="0" w:color="auto"/>
      </w:divBdr>
    </w:div>
    <w:div w:id="640580084">
      <w:bodyDiv w:val="1"/>
      <w:marLeft w:val="0"/>
      <w:marRight w:val="0"/>
      <w:marTop w:val="0"/>
      <w:marBottom w:val="0"/>
      <w:divBdr>
        <w:top w:val="none" w:sz="0" w:space="0" w:color="auto"/>
        <w:left w:val="none" w:sz="0" w:space="0" w:color="auto"/>
        <w:bottom w:val="none" w:sz="0" w:space="0" w:color="auto"/>
        <w:right w:val="none" w:sz="0" w:space="0" w:color="auto"/>
      </w:divBdr>
    </w:div>
    <w:div w:id="656685866">
      <w:bodyDiv w:val="1"/>
      <w:marLeft w:val="0"/>
      <w:marRight w:val="0"/>
      <w:marTop w:val="0"/>
      <w:marBottom w:val="0"/>
      <w:divBdr>
        <w:top w:val="none" w:sz="0" w:space="0" w:color="auto"/>
        <w:left w:val="none" w:sz="0" w:space="0" w:color="auto"/>
        <w:bottom w:val="none" w:sz="0" w:space="0" w:color="auto"/>
        <w:right w:val="none" w:sz="0" w:space="0" w:color="auto"/>
      </w:divBdr>
    </w:div>
    <w:div w:id="657076871">
      <w:bodyDiv w:val="1"/>
      <w:marLeft w:val="0"/>
      <w:marRight w:val="0"/>
      <w:marTop w:val="0"/>
      <w:marBottom w:val="0"/>
      <w:divBdr>
        <w:top w:val="none" w:sz="0" w:space="0" w:color="auto"/>
        <w:left w:val="none" w:sz="0" w:space="0" w:color="auto"/>
        <w:bottom w:val="none" w:sz="0" w:space="0" w:color="auto"/>
        <w:right w:val="none" w:sz="0" w:space="0" w:color="auto"/>
      </w:divBdr>
      <w:divsChild>
        <w:div w:id="1064261472">
          <w:marLeft w:val="0"/>
          <w:marRight w:val="0"/>
          <w:marTop w:val="150"/>
          <w:marBottom w:val="150"/>
          <w:divBdr>
            <w:top w:val="none" w:sz="0" w:space="0" w:color="auto"/>
            <w:left w:val="none" w:sz="0" w:space="0" w:color="auto"/>
            <w:bottom w:val="single" w:sz="6" w:space="8" w:color="F0F0F0"/>
            <w:right w:val="none" w:sz="0" w:space="0" w:color="auto"/>
          </w:divBdr>
          <w:divsChild>
            <w:div w:id="220140440">
              <w:marLeft w:val="75"/>
              <w:marRight w:val="75"/>
              <w:marTop w:val="75"/>
              <w:marBottom w:val="75"/>
              <w:divBdr>
                <w:top w:val="none" w:sz="0" w:space="0" w:color="auto"/>
                <w:left w:val="none" w:sz="0" w:space="0" w:color="auto"/>
                <w:bottom w:val="none" w:sz="0" w:space="0" w:color="auto"/>
                <w:right w:val="none" w:sz="0" w:space="0" w:color="auto"/>
              </w:divBdr>
              <w:divsChild>
                <w:div w:id="700597450">
                  <w:marLeft w:val="0"/>
                  <w:marRight w:val="0"/>
                  <w:marTop w:val="0"/>
                  <w:marBottom w:val="0"/>
                  <w:divBdr>
                    <w:top w:val="none" w:sz="0" w:space="0" w:color="auto"/>
                    <w:left w:val="none" w:sz="0" w:space="0" w:color="auto"/>
                    <w:bottom w:val="none" w:sz="0" w:space="0" w:color="auto"/>
                    <w:right w:val="none" w:sz="0" w:space="0" w:color="auto"/>
                  </w:divBdr>
                </w:div>
              </w:divsChild>
            </w:div>
            <w:div w:id="331756857">
              <w:marLeft w:val="75"/>
              <w:marRight w:val="75"/>
              <w:marTop w:val="75"/>
              <w:marBottom w:val="75"/>
              <w:divBdr>
                <w:top w:val="none" w:sz="0" w:space="0" w:color="auto"/>
                <w:left w:val="none" w:sz="0" w:space="0" w:color="auto"/>
                <w:bottom w:val="none" w:sz="0" w:space="0" w:color="auto"/>
                <w:right w:val="none" w:sz="0" w:space="0" w:color="auto"/>
              </w:divBdr>
              <w:divsChild>
                <w:div w:id="2018337052">
                  <w:marLeft w:val="0"/>
                  <w:marRight w:val="0"/>
                  <w:marTop w:val="0"/>
                  <w:marBottom w:val="0"/>
                  <w:divBdr>
                    <w:top w:val="none" w:sz="0" w:space="0" w:color="auto"/>
                    <w:left w:val="none" w:sz="0" w:space="0" w:color="auto"/>
                    <w:bottom w:val="none" w:sz="0" w:space="0" w:color="auto"/>
                    <w:right w:val="none" w:sz="0" w:space="0" w:color="auto"/>
                  </w:divBdr>
                  <w:divsChild>
                    <w:div w:id="1406224752">
                      <w:marLeft w:val="0"/>
                      <w:marRight w:val="0"/>
                      <w:marTop w:val="0"/>
                      <w:marBottom w:val="0"/>
                      <w:divBdr>
                        <w:top w:val="none" w:sz="0" w:space="0" w:color="auto"/>
                        <w:left w:val="none" w:sz="0" w:space="0" w:color="auto"/>
                        <w:bottom w:val="none" w:sz="0" w:space="0" w:color="auto"/>
                        <w:right w:val="none" w:sz="0" w:space="0" w:color="auto"/>
                      </w:divBdr>
                      <w:divsChild>
                        <w:div w:id="1015883491">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2087847697">
              <w:marLeft w:val="75"/>
              <w:marRight w:val="75"/>
              <w:marTop w:val="75"/>
              <w:marBottom w:val="75"/>
              <w:divBdr>
                <w:top w:val="none" w:sz="0" w:space="0" w:color="auto"/>
                <w:left w:val="none" w:sz="0" w:space="0" w:color="auto"/>
                <w:bottom w:val="none" w:sz="0" w:space="0" w:color="auto"/>
                <w:right w:val="none" w:sz="0" w:space="0" w:color="auto"/>
              </w:divBdr>
              <w:divsChild>
                <w:div w:id="138833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225509">
          <w:marLeft w:val="0"/>
          <w:marRight w:val="0"/>
          <w:marTop w:val="150"/>
          <w:marBottom w:val="150"/>
          <w:divBdr>
            <w:top w:val="none" w:sz="0" w:space="0" w:color="auto"/>
            <w:left w:val="none" w:sz="0" w:space="0" w:color="auto"/>
            <w:bottom w:val="single" w:sz="6" w:space="8" w:color="F0F0F0"/>
            <w:right w:val="none" w:sz="0" w:space="0" w:color="auto"/>
          </w:divBdr>
          <w:divsChild>
            <w:div w:id="1037581202">
              <w:marLeft w:val="75"/>
              <w:marRight w:val="75"/>
              <w:marTop w:val="75"/>
              <w:marBottom w:val="75"/>
              <w:divBdr>
                <w:top w:val="none" w:sz="0" w:space="0" w:color="auto"/>
                <w:left w:val="none" w:sz="0" w:space="0" w:color="auto"/>
                <w:bottom w:val="none" w:sz="0" w:space="0" w:color="auto"/>
                <w:right w:val="none" w:sz="0" w:space="0" w:color="auto"/>
              </w:divBdr>
              <w:divsChild>
                <w:div w:id="1317805253">
                  <w:marLeft w:val="0"/>
                  <w:marRight w:val="0"/>
                  <w:marTop w:val="0"/>
                  <w:marBottom w:val="0"/>
                  <w:divBdr>
                    <w:top w:val="none" w:sz="0" w:space="0" w:color="auto"/>
                    <w:left w:val="none" w:sz="0" w:space="0" w:color="auto"/>
                    <w:bottom w:val="none" w:sz="0" w:space="0" w:color="auto"/>
                    <w:right w:val="none" w:sz="0" w:space="0" w:color="auto"/>
                  </w:divBdr>
                  <w:divsChild>
                    <w:div w:id="54337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8459390">
      <w:bodyDiv w:val="1"/>
      <w:marLeft w:val="0"/>
      <w:marRight w:val="0"/>
      <w:marTop w:val="0"/>
      <w:marBottom w:val="0"/>
      <w:divBdr>
        <w:top w:val="none" w:sz="0" w:space="0" w:color="auto"/>
        <w:left w:val="none" w:sz="0" w:space="0" w:color="auto"/>
        <w:bottom w:val="none" w:sz="0" w:space="0" w:color="auto"/>
        <w:right w:val="none" w:sz="0" w:space="0" w:color="auto"/>
      </w:divBdr>
    </w:div>
    <w:div w:id="673186307">
      <w:bodyDiv w:val="1"/>
      <w:marLeft w:val="0"/>
      <w:marRight w:val="0"/>
      <w:marTop w:val="0"/>
      <w:marBottom w:val="0"/>
      <w:divBdr>
        <w:top w:val="none" w:sz="0" w:space="0" w:color="auto"/>
        <w:left w:val="none" w:sz="0" w:space="0" w:color="auto"/>
        <w:bottom w:val="none" w:sz="0" w:space="0" w:color="auto"/>
        <w:right w:val="none" w:sz="0" w:space="0" w:color="auto"/>
      </w:divBdr>
    </w:div>
    <w:div w:id="675232276">
      <w:bodyDiv w:val="1"/>
      <w:marLeft w:val="0"/>
      <w:marRight w:val="0"/>
      <w:marTop w:val="0"/>
      <w:marBottom w:val="0"/>
      <w:divBdr>
        <w:top w:val="none" w:sz="0" w:space="0" w:color="auto"/>
        <w:left w:val="none" w:sz="0" w:space="0" w:color="auto"/>
        <w:bottom w:val="none" w:sz="0" w:space="0" w:color="auto"/>
        <w:right w:val="none" w:sz="0" w:space="0" w:color="auto"/>
      </w:divBdr>
    </w:div>
    <w:div w:id="678508548">
      <w:bodyDiv w:val="1"/>
      <w:marLeft w:val="0"/>
      <w:marRight w:val="0"/>
      <w:marTop w:val="0"/>
      <w:marBottom w:val="0"/>
      <w:divBdr>
        <w:top w:val="none" w:sz="0" w:space="0" w:color="auto"/>
        <w:left w:val="none" w:sz="0" w:space="0" w:color="auto"/>
        <w:bottom w:val="none" w:sz="0" w:space="0" w:color="auto"/>
        <w:right w:val="none" w:sz="0" w:space="0" w:color="auto"/>
      </w:divBdr>
    </w:div>
    <w:div w:id="703486755">
      <w:bodyDiv w:val="1"/>
      <w:marLeft w:val="0"/>
      <w:marRight w:val="0"/>
      <w:marTop w:val="0"/>
      <w:marBottom w:val="0"/>
      <w:divBdr>
        <w:top w:val="none" w:sz="0" w:space="0" w:color="auto"/>
        <w:left w:val="none" w:sz="0" w:space="0" w:color="auto"/>
        <w:bottom w:val="none" w:sz="0" w:space="0" w:color="auto"/>
        <w:right w:val="none" w:sz="0" w:space="0" w:color="auto"/>
      </w:divBdr>
    </w:div>
    <w:div w:id="704407477">
      <w:bodyDiv w:val="1"/>
      <w:marLeft w:val="0"/>
      <w:marRight w:val="0"/>
      <w:marTop w:val="0"/>
      <w:marBottom w:val="0"/>
      <w:divBdr>
        <w:top w:val="none" w:sz="0" w:space="0" w:color="auto"/>
        <w:left w:val="none" w:sz="0" w:space="0" w:color="auto"/>
        <w:bottom w:val="none" w:sz="0" w:space="0" w:color="auto"/>
        <w:right w:val="none" w:sz="0" w:space="0" w:color="auto"/>
      </w:divBdr>
    </w:div>
    <w:div w:id="734553512">
      <w:bodyDiv w:val="1"/>
      <w:marLeft w:val="0"/>
      <w:marRight w:val="0"/>
      <w:marTop w:val="0"/>
      <w:marBottom w:val="0"/>
      <w:divBdr>
        <w:top w:val="none" w:sz="0" w:space="0" w:color="auto"/>
        <w:left w:val="none" w:sz="0" w:space="0" w:color="auto"/>
        <w:bottom w:val="none" w:sz="0" w:space="0" w:color="auto"/>
        <w:right w:val="none" w:sz="0" w:space="0" w:color="auto"/>
      </w:divBdr>
    </w:div>
    <w:div w:id="747532603">
      <w:bodyDiv w:val="1"/>
      <w:marLeft w:val="0"/>
      <w:marRight w:val="0"/>
      <w:marTop w:val="0"/>
      <w:marBottom w:val="0"/>
      <w:divBdr>
        <w:top w:val="none" w:sz="0" w:space="0" w:color="auto"/>
        <w:left w:val="none" w:sz="0" w:space="0" w:color="auto"/>
        <w:bottom w:val="none" w:sz="0" w:space="0" w:color="auto"/>
        <w:right w:val="none" w:sz="0" w:space="0" w:color="auto"/>
      </w:divBdr>
    </w:div>
    <w:div w:id="755981091">
      <w:bodyDiv w:val="1"/>
      <w:marLeft w:val="0"/>
      <w:marRight w:val="0"/>
      <w:marTop w:val="0"/>
      <w:marBottom w:val="0"/>
      <w:divBdr>
        <w:top w:val="none" w:sz="0" w:space="0" w:color="auto"/>
        <w:left w:val="none" w:sz="0" w:space="0" w:color="auto"/>
        <w:bottom w:val="none" w:sz="0" w:space="0" w:color="auto"/>
        <w:right w:val="none" w:sz="0" w:space="0" w:color="auto"/>
      </w:divBdr>
    </w:div>
    <w:div w:id="766772575">
      <w:bodyDiv w:val="1"/>
      <w:marLeft w:val="0"/>
      <w:marRight w:val="0"/>
      <w:marTop w:val="0"/>
      <w:marBottom w:val="0"/>
      <w:divBdr>
        <w:top w:val="none" w:sz="0" w:space="0" w:color="auto"/>
        <w:left w:val="none" w:sz="0" w:space="0" w:color="auto"/>
        <w:bottom w:val="none" w:sz="0" w:space="0" w:color="auto"/>
        <w:right w:val="none" w:sz="0" w:space="0" w:color="auto"/>
      </w:divBdr>
    </w:div>
    <w:div w:id="774132527">
      <w:bodyDiv w:val="1"/>
      <w:marLeft w:val="0"/>
      <w:marRight w:val="0"/>
      <w:marTop w:val="0"/>
      <w:marBottom w:val="0"/>
      <w:divBdr>
        <w:top w:val="none" w:sz="0" w:space="0" w:color="auto"/>
        <w:left w:val="none" w:sz="0" w:space="0" w:color="auto"/>
        <w:bottom w:val="none" w:sz="0" w:space="0" w:color="auto"/>
        <w:right w:val="none" w:sz="0" w:space="0" w:color="auto"/>
      </w:divBdr>
    </w:div>
    <w:div w:id="783303444">
      <w:bodyDiv w:val="1"/>
      <w:marLeft w:val="0"/>
      <w:marRight w:val="0"/>
      <w:marTop w:val="0"/>
      <w:marBottom w:val="0"/>
      <w:divBdr>
        <w:top w:val="none" w:sz="0" w:space="0" w:color="auto"/>
        <w:left w:val="none" w:sz="0" w:space="0" w:color="auto"/>
        <w:bottom w:val="none" w:sz="0" w:space="0" w:color="auto"/>
        <w:right w:val="none" w:sz="0" w:space="0" w:color="auto"/>
      </w:divBdr>
    </w:div>
    <w:div w:id="789125023">
      <w:bodyDiv w:val="1"/>
      <w:marLeft w:val="0"/>
      <w:marRight w:val="0"/>
      <w:marTop w:val="0"/>
      <w:marBottom w:val="0"/>
      <w:divBdr>
        <w:top w:val="none" w:sz="0" w:space="0" w:color="auto"/>
        <w:left w:val="none" w:sz="0" w:space="0" w:color="auto"/>
        <w:bottom w:val="none" w:sz="0" w:space="0" w:color="auto"/>
        <w:right w:val="none" w:sz="0" w:space="0" w:color="auto"/>
      </w:divBdr>
    </w:div>
    <w:div w:id="796338962">
      <w:bodyDiv w:val="1"/>
      <w:marLeft w:val="0"/>
      <w:marRight w:val="0"/>
      <w:marTop w:val="0"/>
      <w:marBottom w:val="0"/>
      <w:divBdr>
        <w:top w:val="none" w:sz="0" w:space="0" w:color="auto"/>
        <w:left w:val="none" w:sz="0" w:space="0" w:color="auto"/>
        <w:bottom w:val="none" w:sz="0" w:space="0" w:color="auto"/>
        <w:right w:val="none" w:sz="0" w:space="0" w:color="auto"/>
      </w:divBdr>
    </w:div>
    <w:div w:id="797530080">
      <w:bodyDiv w:val="1"/>
      <w:marLeft w:val="0"/>
      <w:marRight w:val="0"/>
      <w:marTop w:val="0"/>
      <w:marBottom w:val="0"/>
      <w:divBdr>
        <w:top w:val="none" w:sz="0" w:space="0" w:color="auto"/>
        <w:left w:val="none" w:sz="0" w:space="0" w:color="auto"/>
        <w:bottom w:val="none" w:sz="0" w:space="0" w:color="auto"/>
        <w:right w:val="none" w:sz="0" w:space="0" w:color="auto"/>
      </w:divBdr>
    </w:div>
    <w:div w:id="813836519">
      <w:bodyDiv w:val="1"/>
      <w:marLeft w:val="0"/>
      <w:marRight w:val="0"/>
      <w:marTop w:val="0"/>
      <w:marBottom w:val="0"/>
      <w:divBdr>
        <w:top w:val="none" w:sz="0" w:space="0" w:color="auto"/>
        <w:left w:val="none" w:sz="0" w:space="0" w:color="auto"/>
        <w:bottom w:val="none" w:sz="0" w:space="0" w:color="auto"/>
        <w:right w:val="none" w:sz="0" w:space="0" w:color="auto"/>
      </w:divBdr>
    </w:div>
    <w:div w:id="819073907">
      <w:bodyDiv w:val="1"/>
      <w:marLeft w:val="0"/>
      <w:marRight w:val="0"/>
      <w:marTop w:val="0"/>
      <w:marBottom w:val="0"/>
      <w:divBdr>
        <w:top w:val="none" w:sz="0" w:space="0" w:color="auto"/>
        <w:left w:val="none" w:sz="0" w:space="0" w:color="auto"/>
        <w:bottom w:val="none" w:sz="0" w:space="0" w:color="auto"/>
        <w:right w:val="none" w:sz="0" w:space="0" w:color="auto"/>
      </w:divBdr>
    </w:div>
    <w:div w:id="822162426">
      <w:bodyDiv w:val="1"/>
      <w:marLeft w:val="0"/>
      <w:marRight w:val="0"/>
      <w:marTop w:val="0"/>
      <w:marBottom w:val="0"/>
      <w:divBdr>
        <w:top w:val="none" w:sz="0" w:space="0" w:color="auto"/>
        <w:left w:val="none" w:sz="0" w:space="0" w:color="auto"/>
        <w:bottom w:val="none" w:sz="0" w:space="0" w:color="auto"/>
        <w:right w:val="none" w:sz="0" w:space="0" w:color="auto"/>
      </w:divBdr>
    </w:div>
    <w:div w:id="828331823">
      <w:bodyDiv w:val="1"/>
      <w:marLeft w:val="0"/>
      <w:marRight w:val="0"/>
      <w:marTop w:val="0"/>
      <w:marBottom w:val="0"/>
      <w:divBdr>
        <w:top w:val="none" w:sz="0" w:space="0" w:color="auto"/>
        <w:left w:val="none" w:sz="0" w:space="0" w:color="auto"/>
        <w:bottom w:val="none" w:sz="0" w:space="0" w:color="auto"/>
        <w:right w:val="none" w:sz="0" w:space="0" w:color="auto"/>
      </w:divBdr>
    </w:div>
    <w:div w:id="843857346">
      <w:bodyDiv w:val="1"/>
      <w:marLeft w:val="0"/>
      <w:marRight w:val="0"/>
      <w:marTop w:val="0"/>
      <w:marBottom w:val="0"/>
      <w:divBdr>
        <w:top w:val="none" w:sz="0" w:space="0" w:color="auto"/>
        <w:left w:val="none" w:sz="0" w:space="0" w:color="auto"/>
        <w:bottom w:val="none" w:sz="0" w:space="0" w:color="auto"/>
        <w:right w:val="none" w:sz="0" w:space="0" w:color="auto"/>
      </w:divBdr>
    </w:div>
    <w:div w:id="849417052">
      <w:bodyDiv w:val="1"/>
      <w:marLeft w:val="0"/>
      <w:marRight w:val="0"/>
      <w:marTop w:val="0"/>
      <w:marBottom w:val="0"/>
      <w:divBdr>
        <w:top w:val="none" w:sz="0" w:space="0" w:color="auto"/>
        <w:left w:val="none" w:sz="0" w:space="0" w:color="auto"/>
        <w:bottom w:val="none" w:sz="0" w:space="0" w:color="auto"/>
        <w:right w:val="none" w:sz="0" w:space="0" w:color="auto"/>
      </w:divBdr>
    </w:div>
    <w:div w:id="862280338">
      <w:bodyDiv w:val="1"/>
      <w:marLeft w:val="0"/>
      <w:marRight w:val="0"/>
      <w:marTop w:val="0"/>
      <w:marBottom w:val="0"/>
      <w:divBdr>
        <w:top w:val="none" w:sz="0" w:space="0" w:color="auto"/>
        <w:left w:val="none" w:sz="0" w:space="0" w:color="auto"/>
        <w:bottom w:val="none" w:sz="0" w:space="0" w:color="auto"/>
        <w:right w:val="none" w:sz="0" w:space="0" w:color="auto"/>
      </w:divBdr>
    </w:div>
    <w:div w:id="868569270">
      <w:bodyDiv w:val="1"/>
      <w:marLeft w:val="0"/>
      <w:marRight w:val="0"/>
      <w:marTop w:val="0"/>
      <w:marBottom w:val="0"/>
      <w:divBdr>
        <w:top w:val="none" w:sz="0" w:space="0" w:color="auto"/>
        <w:left w:val="none" w:sz="0" w:space="0" w:color="auto"/>
        <w:bottom w:val="none" w:sz="0" w:space="0" w:color="auto"/>
        <w:right w:val="none" w:sz="0" w:space="0" w:color="auto"/>
      </w:divBdr>
    </w:div>
    <w:div w:id="868570476">
      <w:bodyDiv w:val="1"/>
      <w:marLeft w:val="0"/>
      <w:marRight w:val="0"/>
      <w:marTop w:val="0"/>
      <w:marBottom w:val="0"/>
      <w:divBdr>
        <w:top w:val="none" w:sz="0" w:space="0" w:color="auto"/>
        <w:left w:val="none" w:sz="0" w:space="0" w:color="auto"/>
        <w:bottom w:val="none" w:sz="0" w:space="0" w:color="auto"/>
        <w:right w:val="none" w:sz="0" w:space="0" w:color="auto"/>
      </w:divBdr>
    </w:div>
    <w:div w:id="872885451">
      <w:bodyDiv w:val="1"/>
      <w:marLeft w:val="0"/>
      <w:marRight w:val="0"/>
      <w:marTop w:val="0"/>
      <w:marBottom w:val="0"/>
      <w:divBdr>
        <w:top w:val="none" w:sz="0" w:space="0" w:color="auto"/>
        <w:left w:val="none" w:sz="0" w:space="0" w:color="auto"/>
        <w:bottom w:val="none" w:sz="0" w:space="0" w:color="auto"/>
        <w:right w:val="none" w:sz="0" w:space="0" w:color="auto"/>
      </w:divBdr>
    </w:div>
    <w:div w:id="885484497">
      <w:bodyDiv w:val="1"/>
      <w:marLeft w:val="0"/>
      <w:marRight w:val="0"/>
      <w:marTop w:val="0"/>
      <w:marBottom w:val="0"/>
      <w:divBdr>
        <w:top w:val="none" w:sz="0" w:space="0" w:color="auto"/>
        <w:left w:val="none" w:sz="0" w:space="0" w:color="auto"/>
        <w:bottom w:val="none" w:sz="0" w:space="0" w:color="auto"/>
        <w:right w:val="none" w:sz="0" w:space="0" w:color="auto"/>
      </w:divBdr>
    </w:div>
    <w:div w:id="886574068">
      <w:bodyDiv w:val="1"/>
      <w:marLeft w:val="0"/>
      <w:marRight w:val="0"/>
      <w:marTop w:val="0"/>
      <w:marBottom w:val="0"/>
      <w:divBdr>
        <w:top w:val="none" w:sz="0" w:space="0" w:color="auto"/>
        <w:left w:val="none" w:sz="0" w:space="0" w:color="auto"/>
        <w:bottom w:val="none" w:sz="0" w:space="0" w:color="auto"/>
        <w:right w:val="none" w:sz="0" w:space="0" w:color="auto"/>
      </w:divBdr>
    </w:div>
    <w:div w:id="908736228">
      <w:bodyDiv w:val="1"/>
      <w:marLeft w:val="0"/>
      <w:marRight w:val="0"/>
      <w:marTop w:val="0"/>
      <w:marBottom w:val="0"/>
      <w:divBdr>
        <w:top w:val="none" w:sz="0" w:space="0" w:color="auto"/>
        <w:left w:val="none" w:sz="0" w:space="0" w:color="auto"/>
        <w:bottom w:val="none" w:sz="0" w:space="0" w:color="auto"/>
        <w:right w:val="none" w:sz="0" w:space="0" w:color="auto"/>
      </w:divBdr>
    </w:div>
    <w:div w:id="912004642">
      <w:bodyDiv w:val="1"/>
      <w:marLeft w:val="0"/>
      <w:marRight w:val="0"/>
      <w:marTop w:val="0"/>
      <w:marBottom w:val="0"/>
      <w:divBdr>
        <w:top w:val="none" w:sz="0" w:space="0" w:color="auto"/>
        <w:left w:val="none" w:sz="0" w:space="0" w:color="auto"/>
        <w:bottom w:val="none" w:sz="0" w:space="0" w:color="auto"/>
        <w:right w:val="none" w:sz="0" w:space="0" w:color="auto"/>
      </w:divBdr>
    </w:div>
    <w:div w:id="920020619">
      <w:bodyDiv w:val="1"/>
      <w:marLeft w:val="0"/>
      <w:marRight w:val="0"/>
      <w:marTop w:val="0"/>
      <w:marBottom w:val="0"/>
      <w:divBdr>
        <w:top w:val="none" w:sz="0" w:space="0" w:color="auto"/>
        <w:left w:val="none" w:sz="0" w:space="0" w:color="auto"/>
        <w:bottom w:val="none" w:sz="0" w:space="0" w:color="auto"/>
        <w:right w:val="none" w:sz="0" w:space="0" w:color="auto"/>
      </w:divBdr>
    </w:div>
    <w:div w:id="926768919">
      <w:bodyDiv w:val="1"/>
      <w:marLeft w:val="0"/>
      <w:marRight w:val="0"/>
      <w:marTop w:val="0"/>
      <w:marBottom w:val="0"/>
      <w:divBdr>
        <w:top w:val="none" w:sz="0" w:space="0" w:color="auto"/>
        <w:left w:val="none" w:sz="0" w:space="0" w:color="auto"/>
        <w:bottom w:val="none" w:sz="0" w:space="0" w:color="auto"/>
        <w:right w:val="none" w:sz="0" w:space="0" w:color="auto"/>
      </w:divBdr>
    </w:div>
    <w:div w:id="932931139">
      <w:bodyDiv w:val="1"/>
      <w:marLeft w:val="0"/>
      <w:marRight w:val="0"/>
      <w:marTop w:val="0"/>
      <w:marBottom w:val="0"/>
      <w:divBdr>
        <w:top w:val="none" w:sz="0" w:space="0" w:color="auto"/>
        <w:left w:val="none" w:sz="0" w:space="0" w:color="auto"/>
        <w:bottom w:val="none" w:sz="0" w:space="0" w:color="auto"/>
        <w:right w:val="none" w:sz="0" w:space="0" w:color="auto"/>
      </w:divBdr>
    </w:div>
    <w:div w:id="939416839">
      <w:bodyDiv w:val="1"/>
      <w:marLeft w:val="0"/>
      <w:marRight w:val="0"/>
      <w:marTop w:val="0"/>
      <w:marBottom w:val="0"/>
      <w:divBdr>
        <w:top w:val="none" w:sz="0" w:space="0" w:color="auto"/>
        <w:left w:val="none" w:sz="0" w:space="0" w:color="auto"/>
        <w:bottom w:val="none" w:sz="0" w:space="0" w:color="auto"/>
        <w:right w:val="none" w:sz="0" w:space="0" w:color="auto"/>
      </w:divBdr>
    </w:div>
    <w:div w:id="940526736">
      <w:bodyDiv w:val="1"/>
      <w:marLeft w:val="0"/>
      <w:marRight w:val="0"/>
      <w:marTop w:val="0"/>
      <w:marBottom w:val="0"/>
      <w:divBdr>
        <w:top w:val="none" w:sz="0" w:space="0" w:color="auto"/>
        <w:left w:val="none" w:sz="0" w:space="0" w:color="auto"/>
        <w:bottom w:val="none" w:sz="0" w:space="0" w:color="auto"/>
        <w:right w:val="none" w:sz="0" w:space="0" w:color="auto"/>
      </w:divBdr>
    </w:div>
    <w:div w:id="956716652">
      <w:bodyDiv w:val="1"/>
      <w:marLeft w:val="0"/>
      <w:marRight w:val="0"/>
      <w:marTop w:val="0"/>
      <w:marBottom w:val="0"/>
      <w:divBdr>
        <w:top w:val="none" w:sz="0" w:space="0" w:color="auto"/>
        <w:left w:val="none" w:sz="0" w:space="0" w:color="auto"/>
        <w:bottom w:val="none" w:sz="0" w:space="0" w:color="auto"/>
        <w:right w:val="none" w:sz="0" w:space="0" w:color="auto"/>
      </w:divBdr>
    </w:div>
    <w:div w:id="965158831">
      <w:bodyDiv w:val="1"/>
      <w:marLeft w:val="0"/>
      <w:marRight w:val="0"/>
      <w:marTop w:val="0"/>
      <w:marBottom w:val="0"/>
      <w:divBdr>
        <w:top w:val="none" w:sz="0" w:space="0" w:color="auto"/>
        <w:left w:val="none" w:sz="0" w:space="0" w:color="auto"/>
        <w:bottom w:val="none" w:sz="0" w:space="0" w:color="auto"/>
        <w:right w:val="none" w:sz="0" w:space="0" w:color="auto"/>
      </w:divBdr>
    </w:div>
    <w:div w:id="1015888953">
      <w:bodyDiv w:val="1"/>
      <w:marLeft w:val="0"/>
      <w:marRight w:val="0"/>
      <w:marTop w:val="0"/>
      <w:marBottom w:val="0"/>
      <w:divBdr>
        <w:top w:val="none" w:sz="0" w:space="0" w:color="auto"/>
        <w:left w:val="none" w:sz="0" w:space="0" w:color="auto"/>
        <w:bottom w:val="none" w:sz="0" w:space="0" w:color="auto"/>
        <w:right w:val="none" w:sz="0" w:space="0" w:color="auto"/>
      </w:divBdr>
    </w:div>
    <w:div w:id="1022169722">
      <w:bodyDiv w:val="1"/>
      <w:marLeft w:val="0"/>
      <w:marRight w:val="0"/>
      <w:marTop w:val="0"/>
      <w:marBottom w:val="0"/>
      <w:divBdr>
        <w:top w:val="none" w:sz="0" w:space="0" w:color="auto"/>
        <w:left w:val="none" w:sz="0" w:space="0" w:color="auto"/>
        <w:bottom w:val="none" w:sz="0" w:space="0" w:color="auto"/>
        <w:right w:val="none" w:sz="0" w:space="0" w:color="auto"/>
      </w:divBdr>
    </w:div>
    <w:div w:id="1027948389">
      <w:bodyDiv w:val="1"/>
      <w:marLeft w:val="0"/>
      <w:marRight w:val="0"/>
      <w:marTop w:val="0"/>
      <w:marBottom w:val="0"/>
      <w:divBdr>
        <w:top w:val="none" w:sz="0" w:space="0" w:color="auto"/>
        <w:left w:val="none" w:sz="0" w:space="0" w:color="auto"/>
        <w:bottom w:val="none" w:sz="0" w:space="0" w:color="auto"/>
        <w:right w:val="none" w:sz="0" w:space="0" w:color="auto"/>
      </w:divBdr>
    </w:div>
    <w:div w:id="1032804344">
      <w:bodyDiv w:val="1"/>
      <w:marLeft w:val="0"/>
      <w:marRight w:val="0"/>
      <w:marTop w:val="0"/>
      <w:marBottom w:val="0"/>
      <w:divBdr>
        <w:top w:val="none" w:sz="0" w:space="0" w:color="auto"/>
        <w:left w:val="none" w:sz="0" w:space="0" w:color="auto"/>
        <w:bottom w:val="none" w:sz="0" w:space="0" w:color="auto"/>
        <w:right w:val="none" w:sz="0" w:space="0" w:color="auto"/>
      </w:divBdr>
    </w:div>
    <w:div w:id="1063603505">
      <w:bodyDiv w:val="1"/>
      <w:marLeft w:val="0"/>
      <w:marRight w:val="0"/>
      <w:marTop w:val="0"/>
      <w:marBottom w:val="0"/>
      <w:divBdr>
        <w:top w:val="none" w:sz="0" w:space="0" w:color="auto"/>
        <w:left w:val="none" w:sz="0" w:space="0" w:color="auto"/>
        <w:bottom w:val="none" w:sz="0" w:space="0" w:color="auto"/>
        <w:right w:val="none" w:sz="0" w:space="0" w:color="auto"/>
      </w:divBdr>
    </w:div>
    <w:div w:id="1072895464">
      <w:bodyDiv w:val="1"/>
      <w:marLeft w:val="0"/>
      <w:marRight w:val="0"/>
      <w:marTop w:val="0"/>
      <w:marBottom w:val="0"/>
      <w:divBdr>
        <w:top w:val="none" w:sz="0" w:space="0" w:color="auto"/>
        <w:left w:val="none" w:sz="0" w:space="0" w:color="auto"/>
        <w:bottom w:val="none" w:sz="0" w:space="0" w:color="auto"/>
        <w:right w:val="none" w:sz="0" w:space="0" w:color="auto"/>
      </w:divBdr>
    </w:div>
    <w:div w:id="1073041482">
      <w:bodyDiv w:val="1"/>
      <w:marLeft w:val="0"/>
      <w:marRight w:val="0"/>
      <w:marTop w:val="0"/>
      <w:marBottom w:val="0"/>
      <w:divBdr>
        <w:top w:val="none" w:sz="0" w:space="0" w:color="auto"/>
        <w:left w:val="none" w:sz="0" w:space="0" w:color="auto"/>
        <w:bottom w:val="none" w:sz="0" w:space="0" w:color="auto"/>
        <w:right w:val="none" w:sz="0" w:space="0" w:color="auto"/>
      </w:divBdr>
    </w:div>
    <w:div w:id="1074356183">
      <w:bodyDiv w:val="1"/>
      <w:marLeft w:val="0"/>
      <w:marRight w:val="0"/>
      <w:marTop w:val="0"/>
      <w:marBottom w:val="0"/>
      <w:divBdr>
        <w:top w:val="none" w:sz="0" w:space="0" w:color="auto"/>
        <w:left w:val="none" w:sz="0" w:space="0" w:color="auto"/>
        <w:bottom w:val="none" w:sz="0" w:space="0" w:color="auto"/>
        <w:right w:val="none" w:sz="0" w:space="0" w:color="auto"/>
      </w:divBdr>
    </w:div>
    <w:div w:id="1092508918">
      <w:bodyDiv w:val="1"/>
      <w:marLeft w:val="0"/>
      <w:marRight w:val="0"/>
      <w:marTop w:val="0"/>
      <w:marBottom w:val="0"/>
      <w:divBdr>
        <w:top w:val="none" w:sz="0" w:space="0" w:color="auto"/>
        <w:left w:val="none" w:sz="0" w:space="0" w:color="auto"/>
        <w:bottom w:val="none" w:sz="0" w:space="0" w:color="auto"/>
        <w:right w:val="none" w:sz="0" w:space="0" w:color="auto"/>
      </w:divBdr>
    </w:div>
    <w:div w:id="1093672039">
      <w:bodyDiv w:val="1"/>
      <w:marLeft w:val="0"/>
      <w:marRight w:val="0"/>
      <w:marTop w:val="0"/>
      <w:marBottom w:val="0"/>
      <w:divBdr>
        <w:top w:val="none" w:sz="0" w:space="0" w:color="auto"/>
        <w:left w:val="none" w:sz="0" w:space="0" w:color="auto"/>
        <w:bottom w:val="none" w:sz="0" w:space="0" w:color="auto"/>
        <w:right w:val="none" w:sz="0" w:space="0" w:color="auto"/>
      </w:divBdr>
    </w:div>
    <w:div w:id="1110395877">
      <w:bodyDiv w:val="1"/>
      <w:marLeft w:val="0"/>
      <w:marRight w:val="0"/>
      <w:marTop w:val="0"/>
      <w:marBottom w:val="0"/>
      <w:divBdr>
        <w:top w:val="none" w:sz="0" w:space="0" w:color="auto"/>
        <w:left w:val="none" w:sz="0" w:space="0" w:color="auto"/>
        <w:bottom w:val="none" w:sz="0" w:space="0" w:color="auto"/>
        <w:right w:val="none" w:sz="0" w:space="0" w:color="auto"/>
      </w:divBdr>
    </w:div>
    <w:div w:id="1111627313">
      <w:bodyDiv w:val="1"/>
      <w:marLeft w:val="0"/>
      <w:marRight w:val="0"/>
      <w:marTop w:val="0"/>
      <w:marBottom w:val="0"/>
      <w:divBdr>
        <w:top w:val="none" w:sz="0" w:space="0" w:color="auto"/>
        <w:left w:val="none" w:sz="0" w:space="0" w:color="auto"/>
        <w:bottom w:val="none" w:sz="0" w:space="0" w:color="auto"/>
        <w:right w:val="none" w:sz="0" w:space="0" w:color="auto"/>
      </w:divBdr>
    </w:div>
    <w:div w:id="1129663064">
      <w:bodyDiv w:val="1"/>
      <w:marLeft w:val="0"/>
      <w:marRight w:val="0"/>
      <w:marTop w:val="0"/>
      <w:marBottom w:val="0"/>
      <w:divBdr>
        <w:top w:val="none" w:sz="0" w:space="0" w:color="auto"/>
        <w:left w:val="none" w:sz="0" w:space="0" w:color="auto"/>
        <w:bottom w:val="none" w:sz="0" w:space="0" w:color="auto"/>
        <w:right w:val="none" w:sz="0" w:space="0" w:color="auto"/>
      </w:divBdr>
    </w:div>
    <w:div w:id="1130709379">
      <w:bodyDiv w:val="1"/>
      <w:marLeft w:val="0"/>
      <w:marRight w:val="0"/>
      <w:marTop w:val="0"/>
      <w:marBottom w:val="0"/>
      <w:divBdr>
        <w:top w:val="none" w:sz="0" w:space="0" w:color="auto"/>
        <w:left w:val="none" w:sz="0" w:space="0" w:color="auto"/>
        <w:bottom w:val="none" w:sz="0" w:space="0" w:color="auto"/>
        <w:right w:val="none" w:sz="0" w:space="0" w:color="auto"/>
      </w:divBdr>
    </w:div>
    <w:div w:id="1154613311">
      <w:bodyDiv w:val="1"/>
      <w:marLeft w:val="0"/>
      <w:marRight w:val="0"/>
      <w:marTop w:val="0"/>
      <w:marBottom w:val="0"/>
      <w:divBdr>
        <w:top w:val="none" w:sz="0" w:space="0" w:color="auto"/>
        <w:left w:val="none" w:sz="0" w:space="0" w:color="auto"/>
        <w:bottom w:val="none" w:sz="0" w:space="0" w:color="auto"/>
        <w:right w:val="none" w:sz="0" w:space="0" w:color="auto"/>
      </w:divBdr>
    </w:div>
    <w:div w:id="1161779126">
      <w:bodyDiv w:val="1"/>
      <w:marLeft w:val="0"/>
      <w:marRight w:val="0"/>
      <w:marTop w:val="0"/>
      <w:marBottom w:val="0"/>
      <w:divBdr>
        <w:top w:val="none" w:sz="0" w:space="0" w:color="auto"/>
        <w:left w:val="none" w:sz="0" w:space="0" w:color="auto"/>
        <w:bottom w:val="none" w:sz="0" w:space="0" w:color="auto"/>
        <w:right w:val="none" w:sz="0" w:space="0" w:color="auto"/>
      </w:divBdr>
    </w:div>
    <w:div w:id="1166752610">
      <w:bodyDiv w:val="1"/>
      <w:marLeft w:val="0"/>
      <w:marRight w:val="0"/>
      <w:marTop w:val="0"/>
      <w:marBottom w:val="0"/>
      <w:divBdr>
        <w:top w:val="none" w:sz="0" w:space="0" w:color="auto"/>
        <w:left w:val="none" w:sz="0" w:space="0" w:color="auto"/>
        <w:bottom w:val="none" w:sz="0" w:space="0" w:color="auto"/>
        <w:right w:val="none" w:sz="0" w:space="0" w:color="auto"/>
      </w:divBdr>
    </w:div>
    <w:div w:id="1168520437">
      <w:bodyDiv w:val="1"/>
      <w:marLeft w:val="0"/>
      <w:marRight w:val="0"/>
      <w:marTop w:val="0"/>
      <w:marBottom w:val="0"/>
      <w:divBdr>
        <w:top w:val="none" w:sz="0" w:space="0" w:color="auto"/>
        <w:left w:val="none" w:sz="0" w:space="0" w:color="auto"/>
        <w:bottom w:val="none" w:sz="0" w:space="0" w:color="auto"/>
        <w:right w:val="none" w:sz="0" w:space="0" w:color="auto"/>
      </w:divBdr>
    </w:div>
    <w:div w:id="1172985404">
      <w:bodyDiv w:val="1"/>
      <w:marLeft w:val="0"/>
      <w:marRight w:val="0"/>
      <w:marTop w:val="0"/>
      <w:marBottom w:val="0"/>
      <w:divBdr>
        <w:top w:val="none" w:sz="0" w:space="0" w:color="auto"/>
        <w:left w:val="none" w:sz="0" w:space="0" w:color="auto"/>
        <w:bottom w:val="none" w:sz="0" w:space="0" w:color="auto"/>
        <w:right w:val="none" w:sz="0" w:space="0" w:color="auto"/>
      </w:divBdr>
    </w:div>
    <w:div w:id="1202471886">
      <w:bodyDiv w:val="1"/>
      <w:marLeft w:val="0"/>
      <w:marRight w:val="0"/>
      <w:marTop w:val="0"/>
      <w:marBottom w:val="0"/>
      <w:divBdr>
        <w:top w:val="none" w:sz="0" w:space="0" w:color="auto"/>
        <w:left w:val="none" w:sz="0" w:space="0" w:color="auto"/>
        <w:bottom w:val="none" w:sz="0" w:space="0" w:color="auto"/>
        <w:right w:val="none" w:sz="0" w:space="0" w:color="auto"/>
      </w:divBdr>
    </w:div>
    <w:div w:id="1202520780">
      <w:bodyDiv w:val="1"/>
      <w:marLeft w:val="0"/>
      <w:marRight w:val="0"/>
      <w:marTop w:val="0"/>
      <w:marBottom w:val="0"/>
      <w:divBdr>
        <w:top w:val="none" w:sz="0" w:space="0" w:color="auto"/>
        <w:left w:val="none" w:sz="0" w:space="0" w:color="auto"/>
        <w:bottom w:val="none" w:sz="0" w:space="0" w:color="auto"/>
        <w:right w:val="none" w:sz="0" w:space="0" w:color="auto"/>
      </w:divBdr>
    </w:div>
    <w:div w:id="1227567922">
      <w:bodyDiv w:val="1"/>
      <w:marLeft w:val="0"/>
      <w:marRight w:val="0"/>
      <w:marTop w:val="0"/>
      <w:marBottom w:val="0"/>
      <w:divBdr>
        <w:top w:val="none" w:sz="0" w:space="0" w:color="auto"/>
        <w:left w:val="none" w:sz="0" w:space="0" w:color="auto"/>
        <w:bottom w:val="none" w:sz="0" w:space="0" w:color="auto"/>
        <w:right w:val="none" w:sz="0" w:space="0" w:color="auto"/>
      </w:divBdr>
    </w:div>
    <w:div w:id="1234006894">
      <w:bodyDiv w:val="1"/>
      <w:marLeft w:val="0"/>
      <w:marRight w:val="0"/>
      <w:marTop w:val="0"/>
      <w:marBottom w:val="0"/>
      <w:divBdr>
        <w:top w:val="none" w:sz="0" w:space="0" w:color="auto"/>
        <w:left w:val="none" w:sz="0" w:space="0" w:color="auto"/>
        <w:bottom w:val="none" w:sz="0" w:space="0" w:color="auto"/>
        <w:right w:val="none" w:sz="0" w:space="0" w:color="auto"/>
      </w:divBdr>
    </w:div>
    <w:div w:id="1248539645">
      <w:bodyDiv w:val="1"/>
      <w:marLeft w:val="0"/>
      <w:marRight w:val="0"/>
      <w:marTop w:val="0"/>
      <w:marBottom w:val="0"/>
      <w:divBdr>
        <w:top w:val="none" w:sz="0" w:space="0" w:color="auto"/>
        <w:left w:val="none" w:sz="0" w:space="0" w:color="auto"/>
        <w:bottom w:val="none" w:sz="0" w:space="0" w:color="auto"/>
        <w:right w:val="none" w:sz="0" w:space="0" w:color="auto"/>
      </w:divBdr>
    </w:div>
    <w:div w:id="1253664083">
      <w:bodyDiv w:val="1"/>
      <w:marLeft w:val="0"/>
      <w:marRight w:val="0"/>
      <w:marTop w:val="0"/>
      <w:marBottom w:val="0"/>
      <w:divBdr>
        <w:top w:val="none" w:sz="0" w:space="0" w:color="auto"/>
        <w:left w:val="none" w:sz="0" w:space="0" w:color="auto"/>
        <w:bottom w:val="none" w:sz="0" w:space="0" w:color="auto"/>
        <w:right w:val="none" w:sz="0" w:space="0" w:color="auto"/>
      </w:divBdr>
    </w:div>
    <w:div w:id="1256941027">
      <w:bodyDiv w:val="1"/>
      <w:marLeft w:val="0"/>
      <w:marRight w:val="0"/>
      <w:marTop w:val="0"/>
      <w:marBottom w:val="0"/>
      <w:divBdr>
        <w:top w:val="none" w:sz="0" w:space="0" w:color="auto"/>
        <w:left w:val="none" w:sz="0" w:space="0" w:color="auto"/>
        <w:bottom w:val="none" w:sz="0" w:space="0" w:color="auto"/>
        <w:right w:val="none" w:sz="0" w:space="0" w:color="auto"/>
      </w:divBdr>
    </w:div>
    <w:div w:id="1257597277">
      <w:bodyDiv w:val="1"/>
      <w:marLeft w:val="0"/>
      <w:marRight w:val="0"/>
      <w:marTop w:val="0"/>
      <w:marBottom w:val="0"/>
      <w:divBdr>
        <w:top w:val="none" w:sz="0" w:space="0" w:color="auto"/>
        <w:left w:val="none" w:sz="0" w:space="0" w:color="auto"/>
        <w:bottom w:val="none" w:sz="0" w:space="0" w:color="auto"/>
        <w:right w:val="none" w:sz="0" w:space="0" w:color="auto"/>
      </w:divBdr>
    </w:div>
    <w:div w:id="1277517978">
      <w:bodyDiv w:val="1"/>
      <w:marLeft w:val="0"/>
      <w:marRight w:val="0"/>
      <w:marTop w:val="0"/>
      <w:marBottom w:val="0"/>
      <w:divBdr>
        <w:top w:val="none" w:sz="0" w:space="0" w:color="auto"/>
        <w:left w:val="none" w:sz="0" w:space="0" w:color="auto"/>
        <w:bottom w:val="none" w:sz="0" w:space="0" w:color="auto"/>
        <w:right w:val="none" w:sz="0" w:space="0" w:color="auto"/>
      </w:divBdr>
    </w:div>
    <w:div w:id="1279028311">
      <w:bodyDiv w:val="1"/>
      <w:marLeft w:val="0"/>
      <w:marRight w:val="0"/>
      <w:marTop w:val="0"/>
      <w:marBottom w:val="0"/>
      <w:divBdr>
        <w:top w:val="none" w:sz="0" w:space="0" w:color="auto"/>
        <w:left w:val="none" w:sz="0" w:space="0" w:color="auto"/>
        <w:bottom w:val="none" w:sz="0" w:space="0" w:color="auto"/>
        <w:right w:val="none" w:sz="0" w:space="0" w:color="auto"/>
      </w:divBdr>
    </w:div>
    <w:div w:id="1288118718">
      <w:bodyDiv w:val="1"/>
      <w:marLeft w:val="0"/>
      <w:marRight w:val="0"/>
      <w:marTop w:val="0"/>
      <w:marBottom w:val="0"/>
      <w:divBdr>
        <w:top w:val="none" w:sz="0" w:space="0" w:color="auto"/>
        <w:left w:val="none" w:sz="0" w:space="0" w:color="auto"/>
        <w:bottom w:val="none" w:sz="0" w:space="0" w:color="auto"/>
        <w:right w:val="none" w:sz="0" w:space="0" w:color="auto"/>
      </w:divBdr>
    </w:div>
    <w:div w:id="1292983659">
      <w:bodyDiv w:val="1"/>
      <w:marLeft w:val="0"/>
      <w:marRight w:val="0"/>
      <w:marTop w:val="0"/>
      <w:marBottom w:val="0"/>
      <w:divBdr>
        <w:top w:val="none" w:sz="0" w:space="0" w:color="auto"/>
        <w:left w:val="none" w:sz="0" w:space="0" w:color="auto"/>
        <w:bottom w:val="none" w:sz="0" w:space="0" w:color="auto"/>
        <w:right w:val="none" w:sz="0" w:space="0" w:color="auto"/>
      </w:divBdr>
    </w:div>
    <w:div w:id="1308510525">
      <w:bodyDiv w:val="1"/>
      <w:marLeft w:val="0"/>
      <w:marRight w:val="0"/>
      <w:marTop w:val="0"/>
      <w:marBottom w:val="0"/>
      <w:divBdr>
        <w:top w:val="none" w:sz="0" w:space="0" w:color="auto"/>
        <w:left w:val="none" w:sz="0" w:space="0" w:color="auto"/>
        <w:bottom w:val="none" w:sz="0" w:space="0" w:color="auto"/>
        <w:right w:val="none" w:sz="0" w:space="0" w:color="auto"/>
      </w:divBdr>
    </w:div>
    <w:div w:id="1314866691">
      <w:bodyDiv w:val="1"/>
      <w:marLeft w:val="0"/>
      <w:marRight w:val="0"/>
      <w:marTop w:val="0"/>
      <w:marBottom w:val="0"/>
      <w:divBdr>
        <w:top w:val="none" w:sz="0" w:space="0" w:color="auto"/>
        <w:left w:val="none" w:sz="0" w:space="0" w:color="auto"/>
        <w:bottom w:val="none" w:sz="0" w:space="0" w:color="auto"/>
        <w:right w:val="none" w:sz="0" w:space="0" w:color="auto"/>
      </w:divBdr>
    </w:div>
    <w:div w:id="1315916135">
      <w:bodyDiv w:val="1"/>
      <w:marLeft w:val="0"/>
      <w:marRight w:val="0"/>
      <w:marTop w:val="0"/>
      <w:marBottom w:val="0"/>
      <w:divBdr>
        <w:top w:val="none" w:sz="0" w:space="0" w:color="auto"/>
        <w:left w:val="none" w:sz="0" w:space="0" w:color="auto"/>
        <w:bottom w:val="none" w:sz="0" w:space="0" w:color="auto"/>
        <w:right w:val="none" w:sz="0" w:space="0" w:color="auto"/>
      </w:divBdr>
    </w:div>
    <w:div w:id="1316563687">
      <w:bodyDiv w:val="1"/>
      <w:marLeft w:val="0"/>
      <w:marRight w:val="0"/>
      <w:marTop w:val="0"/>
      <w:marBottom w:val="0"/>
      <w:divBdr>
        <w:top w:val="none" w:sz="0" w:space="0" w:color="auto"/>
        <w:left w:val="none" w:sz="0" w:space="0" w:color="auto"/>
        <w:bottom w:val="none" w:sz="0" w:space="0" w:color="auto"/>
        <w:right w:val="none" w:sz="0" w:space="0" w:color="auto"/>
      </w:divBdr>
    </w:div>
    <w:div w:id="1330020114">
      <w:bodyDiv w:val="1"/>
      <w:marLeft w:val="0"/>
      <w:marRight w:val="0"/>
      <w:marTop w:val="0"/>
      <w:marBottom w:val="0"/>
      <w:divBdr>
        <w:top w:val="none" w:sz="0" w:space="0" w:color="auto"/>
        <w:left w:val="none" w:sz="0" w:space="0" w:color="auto"/>
        <w:bottom w:val="none" w:sz="0" w:space="0" w:color="auto"/>
        <w:right w:val="none" w:sz="0" w:space="0" w:color="auto"/>
      </w:divBdr>
    </w:div>
    <w:div w:id="1334139068">
      <w:bodyDiv w:val="1"/>
      <w:marLeft w:val="0"/>
      <w:marRight w:val="0"/>
      <w:marTop w:val="0"/>
      <w:marBottom w:val="0"/>
      <w:divBdr>
        <w:top w:val="none" w:sz="0" w:space="0" w:color="auto"/>
        <w:left w:val="none" w:sz="0" w:space="0" w:color="auto"/>
        <w:bottom w:val="none" w:sz="0" w:space="0" w:color="auto"/>
        <w:right w:val="none" w:sz="0" w:space="0" w:color="auto"/>
      </w:divBdr>
    </w:div>
    <w:div w:id="1335767541">
      <w:bodyDiv w:val="1"/>
      <w:marLeft w:val="0"/>
      <w:marRight w:val="0"/>
      <w:marTop w:val="0"/>
      <w:marBottom w:val="0"/>
      <w:divBdr>
        <w:top w:val="none" w:sz="0" w:space="0" w:color="auto"/>
        <w:left w:val="none" w:sz="0" w:space="0" w:color="auto"/>
        <w:bottom w:val="none" w:sz="0" w:space="0" w:color="auto"/>
        <w:right w:val="none" w:sz="0" w:space="0" w:color="auto"/>
      </w:divBdr>
    </w:div>
    <w:div w:id="1337610383">
      <w:bodyDiv w:val="1"/>
      <w:marLeft w:val="0"/>
      <w:marRight w:val="0"/>
      <w:marTop w:val="0"/>
      <w:marBottom w:val="0"/>
      <w:divBdr>
        <w:top w:val="none" w:sz="0" w:space="0" w:color="auto"/>
        <w:left w:val="none" w:sz="0" w:space="0" w:color="auto"/>
        <w:bottom w:val="none" w:sz="0" w:space="0" w:color="auto"/>
        <w:right w:val="none" w:sz="0" w:space="0" w:color="auto"/>
      </w:divBdr>
      <w:divsChild>
        <w:div w:id="213397469">
          <w:marLeft w:val="0"/>
          <w:marRight w:val="0"/>
          <w:marTop w:val="150"/>
          <w:marBottom w:val="150"/>
          <w:divBdr>
            <w:top w:val="none" w:sz="0" w:space="0" w:color="auto"/>
            <w:left w:val="none" w:sz="0" w:space="0" w:color="auto"/>
            <w:bottom w:val="single" w:sz="6" w:space="8" w:color="F0F0F0"/>
            <w:right w:val="none" w:sz="0" w:space="0" w:color="auto"/>
          </w:divBdr>
          <w:divsChild>
            <w:div w:id="403185399">
              <w:marLeft w:val="75"/>
              <w:marRight w:val="75"/>
              <w:marTop w:val="75"/>
              <w:marBottom w:val="75"/>
              <w:divBdr>
                <w:top w:val="none" w:sz="0" w:space="0" w:color="auto"/>
                <w:left w:val="none" w:sz="0" w:space="0" w:color="auto"/>
                <w:bottom w:val="none" w:sz="0" w:space="0" w:color="auto"/>
                <w:right w:val="none" w:sz="0" w:space="0" w:color="auto"/>
              </w:divBdr>
              <w:divsChild>
                <w:div w:id="491454568">
                  <w:marLeft w:val="0"/>
                  <w:marRight w:val="0"/>
                  <w:marTop w:val="0"/>
                  <w:marBottom w:val="0"/>
                  <w:divBdr>
                    <w:top w:val="none" w:sz="0" w:space="0" w:color="auto"/>
                    <w:left w:val="none" w:sz="0" w:space="0" w:color="auto"/>
                    <w:bottom w:val="none" w:sz="0" w:space="0" w:color="auto"/>
                    <w:right w:val="none" w:sz="0" w:space="0" w:color="auto"/>
                  </w:divBdr>
                  <w:divsChild>
                    <w:div w:id="115888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665189">
          <w:marLeft w:val="0"/>
          <w:marRight w:val="0"/>
          <w:marTop w:val="150"/>
          <w:marBottom w:val="150"/>
          <w:divBdr>
            <w:top w:val="none" w:sz="0" w:space="0" w:color="auto"/>
            <w:left w:val="none" w:sz="0" w:space="0" w:color="auto"/>
            <w:bottom w:val="single" w:sz="6" w:space="8" w:color="F0F0F0"/>
            <w:right w:val="none" w:sz="0" w:space="0" w:color="auto"/>
          </w:divBdr>
          <w:divsChild>
            <w:div w:id="622466212">
              <w:marLeft w:val="75"/>
              <w:marRight w:val="75"/>
              <w:marTop w:val="75"/>
              <w:marBottom w:val="75"/>
              <w:divBdr>
                <w:top w:val="none" w:sz="0" w:space="0" w:color="auto"/>
                <w:left w:val="none" w:sz="0" w:space="0" w:color="auto"/>
                <w:bottom w:val="none" w:sz="0" w:space="0" w:color="auto"/>
                <w:right w:val="none" w:sz="0" w:space="0" w:color="auto"/>
              </w:divBdr>
              <w:divsChild>
                <w:div w:id="851803372">
                  <w:marLeft w:val="0"/>
                  <w:marRight w:val="0"/>
                  <w:marTop w:val="0"/>
                  <w:marBottom w:val="0"/>
                  <w:divBdr>
                    <w:top w:val="none" w:sz="0" w:space="0" w:color="auto"/>
                    <w:left w:val="none" w:sz="0" w:space="0" w:color="auto"/>
                    <w:bottom w:val="none" w:sz="0" w:space="0" w:color="auto"/>
                    <w:right w:val="none" w:sz="0" w:space="0" w:color="auto"/>
                  </w:divBdr>
                </w:div>
              </w:divsChild>
            </w:div>
            <w:div w:id="1535340642">
              <w:marLeft w:val="75"/>
              <w:marRight w:val="75"/>
              <w:marTop w:val="75"/>
              <w:marBottom w:val="75"/>
              <w:divBdr>
                <w:top w:val="none" w:sz="0" w:space="0" w:color="auto"/>
                <w:left w:val="none" w:sz="0" w:space="0" w:color="auto"/>
                <w:bottom w:val="none" w:sz="0" w:space="0" w:color="auto"/>
                <w:right w:val="none" w:sz="0" w:space="0" w:color="auto"/>
              </w:divBdr>
              <w:divsChild>
                <w:div w:id="2002077576">
                  <w:marLeft w:val="0"/>
                  <w:marRight w:val="0"/>
                  <w:marTop w:val="0"/>
                  <w:marBottom w:val="0"/>
                  <w:divBdr>
                    <w:top w:val="none" w:sz="0" w:space="0" w:color="auto"/>
                    <w:left w:val="none" w:sz="0" w:space="0" w:color="auto"/>
                    <w:bottom w:val="none" w:sz="0" w:space="0" w:color="auto"/>
                    <w:right w:val="none" w:sz="0" w:space="0" w:color="auto"/>
                  </w:divBdr>
                </w:div>
              </w:divsChild>
            </w:div>
            <w:div w:id="1880118636">
              <w:marLeft w:val="75"/>
              <w:marRight w:val="75"/>
              <w:marTop w:val="75"/>
              <w:marBottom w:val="75"/>
              <w:divBdr>
                <w:top w:val="none" w:sz="0" w:space="0" w:color="auto"/>
                <w:left w:val="none" w:sz="0" w:space="0" w:color="auto"/>
                <w:bottom w:val="none" w:sz="0" w:space="0" w:color="auto"/>
                <w:right w:val="none" w:sz="0" w:space="0" w:color="auto"/>
              </w:divBdr>
              <w:divsChild>
                <w:div w:id="1087196362">
                  <w:marLeft w:val="0"/>
                  <w:marRight w:val="0"/>
                  <w:marTop w:val="0"/>
                  <w:marBottom w:val="0"/>
                  <w:divBdr>
                    <w:top w:val="none" w:sz="0" w:space="0" w:color="auto"/>
                    <w:left w:val="none" w:sz="0" w:space="0" w:color="auto"/>
                    <w:bottom w:val="none" w:sz="0" w:space="0" w:color="auto"/>
                    <w:right w:val="none" w:sz="0" w:space="0" w:color="auto"/>
                  </w:divBdr>
                  <w:divsChild>
                    <w:div w:id="1117673600">
                      <w:marLeft w:val="0"/>
                      <w:marRight w:val="0"/>
                      <w:marTop w:val="0"/>
                      <w:marBottom w:val="0"/>
                      <w:divBdr>
                        <w:top w:val="none" w:sz="0" w:space="0" w:color="auto"/>
                        <w:left w:val="none" w:sz="0" w:space="0" w:color="auto"/>
                        <w:bottom w:val="none" w:sz="0" w:space="0" w:color="auto"/>
                        <w:right w:val="none" w:sz="0" w:space="0" w:color="auto"/>
                      </w:divBdr>
                      <w:divsChild>
                        <w:div w:id="641008148">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8557674">
      <w:bodyDiv w:val="1"/>
      <w:marLeft w:val="0"/>
      <w:marRight w:val="0"/>
      <w:marTop w:val="0"/>
      <w:marBottom w:val="0"/>
      <w:divBdr>
        <w:top w:val="none" w:sz="0" w:space="0" w:color="auto"/>
        <w:left w:val="none" w:sz="0" w:space="0" w:color="auto"/>
        <w:bottom w:val="none" w:sz="0" w:space="0" w:color="auto"/>
        <w:right w:val="none" w:sz="0" w:space="0" w:color="auto"/>
      </w:divBdr>
    </w:div>
    <w:div w:id="1351372516">
      <w:bodyDiv w:val="1"/>
      <w:marLeft w:val="0"/>
      <w:marRight w:val="0"/>
      <w:marTop w:val="0"/>
      <w:marBottom w:val="0"/>
      <w:divBdr>
        <w:top w:val="none" w:sz="0" w:space="0" w:color="auto"/>
        <w:left w:val="none" w:sz="0" w:space="0" w:color="auto"/>
        <w:bottom w:val="none" w:sz="0" w:space="0" w:color="auto"/>
        <w:right w:val="none" w:sz="0" w:space="0" w:color="auto"/>
      </w:divBdr>
    </w:div>
    <w:div w:id="1353844510">
      <w:bodyDiv w:val="1"/>
      <w:marLeft w:val="0"/>
      <w:marRight w:val="0"/>
      <w:marTop w:val="0"/>
      <w:marBottom w:val="0"/>
      <w:divBdr>
        <w:top w:val="none" w:sz="0" w:space="0" w:color="auto"/>
        <w:left w:val="none" w:sz="0" w:space="0" w:color="auto"/>
        <w:bottom w:val="none" w:sz="0" w:space="0" w:color="auto"/>
        <w:right w:val="none" w:sz="0" w:space="0" w:color="auto"/>
      </w:divBdr>
    </w:div>
    <w:div w:id="1358003062">
      <w:bodyDiv w:val="1"/>
      <w:marLeft w:val="0"/>
      <w:marRight w:val="0"/>
      <w:marTop w:val="0"/>
      <w:marBottom w:val="0"/>
      <w:divBdr>
        <w:top w:val="none" w:sz="0" w:space="0" w:color="auto"/>
        <w:left w:val="none" w:sz="0" w:space="0" w:color="auto"/>
        <w:bottom w:val="none" w:sz="0" w:space="0" w:color="auto"/>
        <w:right w:val="none" w:sz="0" w:space="0" w:color="auto"/>
      </w:divBdr>
    </w:div>
    <w:div w:id="1363289234">
      <w:bodyDiv w:val="1"/>
      <w:marLeft w:val="0"/>
      <w:marRight w:val="0"/>
      <w:marTop w:val="0"/>
      <w:marBottom w:val="0"/>
      <w:divBdr>
        <w:top w:val="none" w:sz="0" w:space="0" w:color="auto"/>
        <w:left w:val="none" w:sz="0" w:space="0" w:color="auto"/>
        <w:bottom w:val="none" w:sz="0" w:space="0" w:color="auto"/>
        <w:right w:val="none" w:sz="0" w:space="0" w:color="auto"/>
      </w:divBdr>
    </w:div>
    <w:div w:id="1367290063">
      <w:bodyDiv w:val="1"/>
      <w:marLeft w:val="0"/>
      <w:marRight w:val="0"/>
      <w:marTop w:val="0"/>
      <w:marBottom w:val="0"/>
      <w:divBdr>
        <w:top w:val="none" w:sz="0" w:space="0" w:color="auto"/>
        <w:left w:val="none" w:sz="0" w:space="0" w:color="auto"/>
        <w:bottom w:val="none" w:sz="0" w:space="0" w:color="auto"/>
        <w:right w:val="none" w:sz="0" w:space="0" w:color="auto"/>
      </w:divBdr>
    </w:div>
    <w:div w:id="1377698513">
      <w:bodyDiv w:val="1"/>
      <w:marLeft w:val="0"/>
      <w:marRight w:val="0"/>
      <w:marTop w:val="0"/>
      <w:marBottom w:val="0"/>
      <w:divBdr>
        <w:top w:val="none" w:sz="0" w:space="0" w:color="auto"/>
        <w:left w:val="none" w:sz="0" w:space="0" w:color="auto"/>
        <w:bottom w:val="none" w:sz="0" w:space="0" w:color="auto"/>
        <w:right w:val="none" w:sz="0" w:space="0" w:color="auto"/>
      </w:divBdr>
    </w:div>
    <w:div w:id="1379278154">
      <w:bodyDiv w:val="1"/>
      <w:marLeft w:val="0"/>
      <w:marRight w:val="0"/>
      <w:marTop w:val="0"/>
      <w:marBottom w:val="0"/>
      <w:divBdr>
        <w:top w:val="none" w:sz="0" w:space="0" w:color="auto"/>
        <w:left w:val="none" w:sz="0" w:space="0" w:color="auto"/>
        <w:bottom w:val="none" w:sz="0" w:space="0" w:color="auto"/>
        <w:right w:val="none" w:sz="0" w:space="0" w:color="auto"/>
      </w:divBdr>
    </w:div>
    <w:div w:id="1382557313">
      <w:bodyDiv w:val="1"/>
      <w:marLeft w:val="0"/>
      <w:marRight w:val="0"/>
      <w:marTop w:val="0"/>
      <w:marBottom w:val="0"/>
      <w:divBdr>
        <w:top w:val="none" w:sz="0" w:space="0" w:color="auto"/>
        <w:left w:val="none" w:sz="0" w:space="0" w:color="auto"/>
        <w:bottom w:val="none" w:sz="0" w:space="0" w:color="auto"/>
        <w:right w:val="none" w:sz="0" w:space="0" w:color="auto"/>
      </w:divBdr>
    </w:div>
    <w:div w:id="1388263538">
      <w:bodyDiv w:val="1"/>
      <w:marLeft w:val="0"/>
      <w:marRight w:val="0"/>
      <w:marTop w:val="0"/>
      <w:marBottom w:val="0"/>
      <w:divBdr>
        <w:top w:val="none" w:sz="0" w:space="0" w:color="auto"/>
        <w:left w:val="none" w:sz="0" w:space="0" w:color="auto"/>
        <w:bottom w:val="none" w:sz="0" w:space="0" w:color="auto"/>
        <w:right w:val="none" w:sz="0" w:space="0" w:color="auto"/>
      </w:divBdr>
    </w:div>
    <w:div w:id="1400900996">
      <w:bodyDiv w:val="1"/>
      <w:marLeft w:val="0"/>
      <w:marRight w:val="0"/>
      <w:marTop w:val="0"/>
      <w:marBottom w:val="0"/>
      <w:divBdr>
        <w:top w:val="none" w:sz="0" w:space="0" w:color="auto"/>
        <w:left w:val="none" w:sz="0" w:space="0" w:color="auto"/>
        <w:bottom w:val="none" w:sz="0" w:space="0" w:color="auto"/>
        <w:right w:val="none" w:sz="0" w:space="0" w:color="auto"/>
      </w:divBdr>
    </w:div>
    <w:div w:id="1403991266">
      <w:bodyDiv w:val="1"/>
      <w:marLeft w:val="0"/>
      <w:marRight w:val="0"/>
      <w:marTop w:val="0"/>
      <w:marBottom w:val="0"/>
      <w:divBdr>
        <w:top w:val="none" w:sz="0" w:space="0" w:color="auto"/>
        <w:left w:val="none" w:sz="0" w:space="0" w:color="auto"/>
        <w:bottom w:val="none" w:sz="0" w:space="0" w:color="auto"/>
        <w:right w:val="none" w:sz="0" w:space="0" w:color="auto"/>
      </w:divBdr>
    </w:div>
    <w:div w:id="1408576926">
      <w:bodyDiv w:val="1"/>
      <w:marLeft w:val="0"/>
      <w:marRight w:val="0"/>
      <w:marTop w:val="0"/>
      <w:marBottom w:val="0"/>
      <w:divBdr>
        <w:top w:val="none" w:sz="0" w:space="0" w:color="auto"/>
        <w:left w:val="none" w:sz="0" w:space="0" w:color="auto"/>
        <w:bottom w:val="none" w:sz="0" w:space="0" w:color="auto"/>
        <w:right w:val="none" w:sz="0" w:space="0" w:color="auto"/>
      </w:divBdr>
    </w:div>
    <w:div w:id="1427773322">
      <w:bodyDiv w:val="1"/>
      <w:marLeft w:val="0"/>
      <w:marRight w:val="0"/>
      <w:marTop w:val="0"/>
      <w:marBottom w:val="0"/>
      <w:divBdr>
        <w:top w:val="none" w:sz="0" w:space="0" w:color="auto"/>
        <w:left w:val="none" w:sz="0" w:space="0" w:color="auto"/>
        <w:bottom w:val="none" w:sz="0" w:space="0" w:color="auto"/>
        <w:right w:val="none" w:sz="0" w:space="0" w:color="auto"/>
      </w:divBdr>
    </w:div>
    <w:div w:id="1429420827">
      <w:bodyDiv w:val="1"/>
      <w:marLeft w:val="0"/>
      <w:marRight w:val="0"/>
      <w:marTop w:val="0"/>
      <w:marBottom w:val="0"/>
      <w:divBdr>
        <w:top w:val="none" w:sz="0" w:space="0" w:color="auto"/>
        <w:left w:val="none" w:sz="0" w:space="0" w:color="auto"/>
        <w:bottom w:val="none" w:sz="0" w:space="0" w:color="auto"/>
        <w:right w:val="none" w:sz="0" w:space="0" w:color="auto"/>
      </w:divBdr>
    </w:div>
    <w:div w:id="1457799923">
      <w:bodyDiv w:val="1"/>
      <w:marLeft w:val="0"/>
      <w:marRight w:val="0"/>
      <w:marTop w:val="0"/>
      <w:marBottom w:val="0"/>
      <w:divBdr>
        <w:top w:val="none" w:sz="0" w:space="0" w:color="auto"/>
        <w:left w:val="none" w:sz="0" w:space="0" w:color="auto"/>
        <w:bottom w:val="none" w:sz="0" w:space="0" w:color="auto"/>
        <w:right w:val="none" w:sz="0" w:space="0" w:color="auto"/>
      </w:divBdr>
    </w:div>
    <w:div w:id="1460144523">
      <w:bodyDiv w:val="1"/>
      <w:marLeft w:val="0"/>
      <w:marRight w:val="0"/>
      <w:marTop w:val="0"/>
      <w:marBottom w:val="0"/>
      <w:divBdr>
        <w:top w:val="none" w:sz="0" w:space="0" w:color="auto"/>
        <w:left w:val="none" w:sz="0" w:space="0" w:color="auto"/>
        <w:bottom w:val="none" w:sz="0" w:space="0" w:color="auto"/>
        <w:right w:val="none" w:sz="0" w:space="0" w:color="auto"/>
      </w:divBdr>
    </w:div>
    <w:div w:id="1463767664">
      <w:bodyDiv w:val="1"/>
      <w:marLeft w:val="0"/>
      <w:marRight w:val="0"/>
      <w:marTop w:val="0"/>
      <w:marBottom w:val="0"/>
      <w:divBdr>
        <w:top w:val="none" w:sz="0" w:space="0" w:color="auto"/>
        <w:left w:val="none" w:sz="0" w:space="0" w:color="auto"/>
        <w:bottom w:val="none" w:sz="0" w:space="0" w:color="auto"/>
        <w:right w:val="none" w:sz="0" w:space="0" w:color="auto"/>
      </w:divBdr>
    </w:div>
    <w:div w:id="1465271983">
      <w:bodyDiv w:val="1"/>
      <w:marLeft w:val="0"/>
      <w:marRight w:val="0"/>
      <w:marTop w:val="0"/>
      <w:marBottom w:val="0"/>
      <w:divBdr>
        <w:top w:val="none" w:sz="0" w:space="0" w:color="auto"/>
        <w:left w:val="none" w:sz="0" w:space="0" w:color="auto"/>
        <w:bottom w:val="none" w:sz="0" w:space="0" w:color="auto"/>
        <w:right w:val="none" w:sz="0" w:space="0" w:color="auto"/>
      </w:divBdr>
    </w:div>
    <w:div w:id="1465929904">
      <w:bodyDiv w:val="1"/>
      <w:marLeft w:val="0"/>
      <w:marRight w:val="0"/>
      <w:marTop w:val="0"/>
      <w:marBottom w:val="0"/>
      <w:divBdr>
        <w:top w:val="none" w:sz="0" w:space="0" w:color="auto"/>
        <w:left w:val="none" w:sz="0" w:space="0" w:color="auto"/>
        <w:bottom w:val="none" w:sz="0" w:space="0" w:color="auto"/>
        <w:right w:val="none" w:sz="0" w:space="0" w:color="auto"/>
      </w:divBdr>
    </w:div>
    <w:div w:id="1475024934">
      <w:bodyDiv w:val="1"/>
      <w:marLeft w:val="0"/>
      <w:marRight w:val="0"/>
      <w:marTop w:val="0"/>
      <w:marBottom w:val="0"/>
      <w:divBdr>
        <w:top w:val="none" w:sz="0" w:space="0" w:color="auto"/>
        <w:left w:val="none" w:sz="0" w:space="0" w:color="auto"/>
        <w:bottom w:val="none" w:sz="0" w:space="0" w:color="auto"/>
        <w:right w:val="none" w:sz="0" w:space="0" w:color="auto"/>
      </w:divBdr>
    </w:div>
    <w:div w:id="1479808481">
      <w:bodyDiv w:val="1"/>
      <w:marLeft w:val="0"/>
      <w:marRight w:val="0"/>
      <w:marTop w:val="0"/>
      <w:marBottom w:val="0"/>
      <w:divBdr>
        <w:top w:val="none" w:sz="0" w:space="0" w:color="auto"/>
        <w:left w:val="none" w:sz="0" w:space="0" w:color="auto"/>
        <w:bottom w:val="none" w:sz="0" w:space="0" w:color="auto"/>
        <w:right w:val="none" w:sz="0" w:space="0" w:color="auto"/>
      </w:divBdr>
    </w:div>
    <w:div w:id="1497529820">
      <w:bodyDiv w:val="1"/>
      <w:marLeft w:val="0"/>
      <w:marRight w:val="0"/>
      <w:marTop w:val="0"/>
      <w:marBottom w:val="0"/>
      <w:divBdr>
        <w:top w:val="none" w:sz="0" w:space="0" w:color="auto"/>
        <w:left w:val="none" w:sz="0" w:space="0" w:color="auto"/>
        <w:bottom w:val="none" w:sz="0" w:space="0" w:color="auto"/>
        <w:right w:val="none" w:sz="0" w:space="0" w:color="auto"/>
      </w:divBdr>
    </w:div>
    <w:div w:id="1498808697">
      <w:bodyDiv w:val="1"/>
      <w:marLeft w:val="0"/>
      <w:marRight w:val="0"/>
      <w:marTop w:val="0"/>
      <w:marBottom w:val="0"/>
      <w:divBdr>
        <w:top w:val="none" w:sz="0" w:space="0" w:color="auto"/>
        <w:left w:val="none" w:sz="0" w:space="0" w:color="auto"/>
        <w:bottom w:val="none" w:sz="0" w:space="0" w:color="auto"/>
        <w:right w:val="none" w:sz="0" w:space="0" w:color="auto"/>
      </w:divBdr>
    </w:div>
    <w:div w:id="1507357433">
      <w:bodyDiv w:val="1"/>
      <w:marLeft w:val="0"/>
      <w:marRight w:val="0"/>
      <w:marTop w:val="0"/>
      <w:marBottom w:val="0"/>
      <w:divBdr>
        <w:top w:val="none" w:sz="0" w:space="0" w:color="auto"/>
        <w:left w:val="none" w:sz="0" w:space="0" w:color="auto"/>
        <w:bottom w:val="none" w:sz="0" w:space="0" w:color="auto"/>
        <w:right w:val="none" w:sz="0" w:space="0" w:color="auto"/>
      </w:divBdr>
    </w:div>
    <w:div w:id="1517572094">
      <w:bodyDiv w:val="1"/>
      <w:marLeft w:val="0"/>
      <w:marRight w:val="0"/>
      <w:marTop w:val="0"/>
      <w:marBottom w:val="0"/>
      <w:divBdr>
        <w:top w:val="none" w:sz="0" w:space="0" w:color="auto"/>
        <w:left w:val="none" w:sz="0" w:space="0" w:color="auto"/>
        <w:bottom w:val="none" w:sz="0" w:space="0" w:color="auto"/>
        <w:right w:val="none" w:sz="0" w:space="0" w:color="auto"/>
      </w:divBdr>
      <w:divsChild>
        <w:div w:id="35400688">
          <w:marLeft w:val="0"/>
          <w:marRight w:val="0"/>
          <w:marTop w:val="0"/>
          <w:marBottom w:val="0"/>
          <w:divBdr>
            <w:top w:val="none" w:sz="0" w:space="0" w:color="auto"/>
            <w:left w:val="none" w:sz="0" w:space="0" w:color="auto"/>
            <w:bottom w:val="none" w:sz="0" w:space="0" w:color="auto"/>
            <w:right w:val="none" w:sz="0" w:space="0" w:color="auto"/>
          </w:divBdr>
        </w:div>
        <w:div w:id="150676224">
          <w:marLeft w:val="0"/>
          <w:marRight w:val="0"/>
          <w:marTop w:val="0"/>
          <w:marBottom w:val="0"/>
          <w:divBdr>
            <w:top w:val="none" w:sz="0" w:space="0" w:color="auto"/>
            <w:left w:val="none" w:sz="0" w:space="0" w:color="auto"/>
            <w:bottom w:val="none" w:sz="0" w:space="0" w:color="auto"/>
            <w:right w:val="none" w:sz="0" w:space="0" w:color="auto"/>
          </w:divBdr>
        </w:div>
        <w:div w:id="703213625">
          <w:marLeft w:val="0"/>
          <w:marRight w:val="0"/>
          <w:marTop w:val="0"/>
          <w:marBottom w:val="0"/>
          <w:divBdr>
            <w:top w:val="none" w:sz="0" w:space="0" w:color="auto"/>
            <w:left w:val="none" w:sz="0" w:space="0" w:color="auto"/>
            <w:bottom w:val="none" w:sz="0" w:space="0" w:color="auto"/>
            <w:right w:val="none" w:sz="0" w:space="0" w:color="auto"/>
          </w:divBdr>
        </w:div>
      </w:divsChild>
    </w:div>
    <w:div w:id="1546871760">
      <w:bodyDiv w:val="1"/>
      <w:marLeft w:val="0"/>
      <w:marRight w:val="0"/>
      <w:marTop w:val="0"/>
      <w:marBottom w:val="0"/>
      <w:divBdr>
        <w:top w:val="none" w:sz="0" w:space="0" w:color="auto"/>
        <w:left w:val="none" w:sz="0" w:space="0" w:color="auto"/>
        <w:bottom w:val="none" w:sz="0" w:space="0" w:color="auto"/>
        <w:right w:val="none" w:sz="0" w:space="0" w:color="auto"/>
      </w:divBdr>
    </w:div>
    <w:div w:id="1548450636">
      <w:bodyDiv w:val="1"/>
      <w:marLeft w:val="0"/>
      <w:marRight w:val="0"/>
      <w:marTop w:val="0"/>
      <w:marBottom w:val="0"/>
      <w:divBdr>
        <w:top w:val="none" w:sz="0" w:space="0" w:color="auto"/>
        <w:left w:val="none" w:sz="0" w:space="0" w:color="auto"/>
        <w:bottom w:val="none" w:sz="0" w:space="0" w:color="auto"/>
        <w:right w:val="none" w:sz="0" w:space="0" w:color="auto"/>
      </w:divBdr>
    </w:div>
    <w:div w:id="1568684941">
      <w:bodyDiv w:val="1"/>
      <w:marLeft w:val="0"/>
      <w:marRight w:val="0"/>
      <w:marTop w:val="0"/>
      <w:marBottom w:val="0"/>
      <w:divBdr>
        <w:top w:val="none" w:sz="0" w:space="0" w:color="auto"/>
        <w:left w:val="none" w:sz="0" w:space="0" w:color="auto"/>
        <w:bottom w:val="none" w:sz="0" w:space="0" w:color="auto"/>
        <w:right w:val="none" w:sz="0" w:space="0" w:color="auto"/>
      </w:divBdr>
    </w:div>
    <w:div w:id="1575123665">
      <w:bodyDiv w:val="1"/>
      <w:marLeft w:val="0"/>
      <w:marRight w:val="0"/>
      <w:marTop w:val="0"/>
      <w:marBottom w:val="0"/>
      <w:divBdr>
        <w:top w:val="none" w:sz="0" w:space="0" w:color="auto"/>
        <w:left w:val="none" w:sz="0" w:space="0" w:color="auto"/>
        <w:bottom w:val="none" w:sz="0" w:space="0" w:color="auto"/>
        <w:right w:val="none" w:sz="0" w:space="0" w:color="auto"/>
      </w:divBdr>
    </w:div>
    <w:div w:id="1576741738">
      <w:bodyDiv w:val="1"/>
      <w:marLeft w:val="0"/>
      <w:marRight w:val="0"/>
      <w:marTop w:val="0"/>
      <w:marBottom w:val="0"/>
      <w:divBdr>
        <w:top w:val="none" w:sz="0" w:space="0" w:color="auto"/>
        <w:left w:val="none" w:sz="0" w:space="0" w:color="auto"/>
        <w:bottom w:val="none" w:sz="0" w:space="0" w:color="auto"/>
        <w:right w:val="none" w:sz="0" w:space="0" w:color="auto"/>
      </w:divBdr>
    </w:div>
    <w:div w:id="1580554839">
      <w:bodyDiv w:val="1"/>
      <w:marLeft w:val="0"/>
      <w:marRight w:val="0"/>
      <w:marTop w:val="0"/>
      <w:marBottom w:val="0"/>
      <w:divBdr>
        <w:top w:val="none" w:sz="0" w:space="0" w:color="auto"/>
        <w:left w:val="none" w:sz="0" w:space="0" w:color="auto"/>
        <w:bottom w:val="none" w:sz="0" w:space="0" w:color="auto"/>
        <w:right w:val="none" w:sz="0" w:space="0" w:color="auto"/>
      </w:divBdr>
    </w:div>
    <w:div w:id="1594506279">
      <w:bodyDiv w:val="1"/>
      <w:marLeft w:val="0"/>
      <w:marRight w:val="0"/>
      <w:marTop w:val="0"/>
      <w:marBottom w:val="0"/>
      <w:divBdr>
        <w:top w:val="none" w:sz="0" w:space="0" w:color="auto"/>
        <w:left w:val="none" w:sz="0" w:space="0" w:color="auto"/>
        <w:bottom w:val="none" w:sz="0" w:space="0" w:color="auto"/>
        <w:right w:val="none" w:sz="0" w:space="0" w:color="auto"/>
      </w:divBdr>
    </w:div>
    <w:div w:id="1601376869">
      <w:bodyDiv w:val="1"/>
      <w:marLeft w:val="0"/>
      <w:marRight w:val="0"/>
      <w:marTop w:val="0"/>
      <w:marBottom w:val="0"/>
      <w:divBdr>
        <w:top w:val="none" w:sz="0" w:space="0" w:color="auto"/>
        <w:left w:val="none" w:sz="0" w:space="0" w:color="auto"/>
        <w:bottom w:val="none" w:sz="0" w:space="0" w:color="auto"/>
        <w:right w:val="none" w:sz="0" w:space="0" w:color="auto"/>
      </w:divBdr>
    </w:div>
    <w:div w:id="1602450968">
      <w:bodyDiv w:val="1"/>
      <w:marLeft w:val="0"/>
      <w:marRight w:val="0"/>
      <w:marTop w:val="0"/>
      <w:marBottom w:val="0"/>
      <w:divBdr>
        <w:top w:val="none" w:sz="0" w:space="0" w:color="auto"/>
        <w:left w:val="none" w:sz="0" w:space="0" w:color="auto"/>
        <w:bottom w:val="none" w:sz="0" w:space="0" w:color="auto"/>
        <w:right w:val="none" w:sz="0" w:space="0" w:color="auto"/>
      </w:divBdr>
    </w:div>
    <w:div w:id="1608659780">
      <w:bodyDiv w:val="1"/>
      <w:marLeft w:val="0"/>
      <w:marRight w:val="0"/>
      <w:marTop w:val="0"/>
      <w:marBottom w:val="0"/>
      <w:divBdr>
        <w:top w:val="none" w:sz="0" w:space="0" w:color="auto"/>
        <w:left w:val="none" w:sz="0" w:space="0" w:color="auto"/>
        <w:bottom w:val="none" w:sz="0" w:space="0" w:color="auto"/>
        <w:right w:val="none" w:sz="0" w:space="0" w:color="auto"/>
      </w:divBdr>
    </w:div>
    <w:div w:id="1611162231">
      <w:bodyDiv w:val="1"/>
      <w:marLeft w:val="0"/>
      <w:marRight w:val="0"/>
      <w:marTop w:val="0"/>
      <w:marBottom w:val="0"/>
      <w:divBdr>
        <w:top w:val="none" w:sz="0" w:space="0" w:color="auto"/>
        <w:left w:val="none" w:sz="0" w:space="0" w:color="auto"/>
        <w:bottom w:val="none" w:sz="0" w:space="0" w:color="auto"/>
        <w:right w:val="none" w:sz="0" w:space="0" w:color="auto"/>
      </w:divBdr>
    </w:div>
    <w:div w:id="1611863816">
      <w:bodyDiv w:val="1"/>
      <w:marLeft w:val="0"/>
      <w:marRight w:val="0"/>
      <w:marTop w:val="0"/>
      <w:marBottom w:val="0"/>
      <w:divBdr>
        <w:top w:val="none" w:sz="0" w:space="0" w:color="auto"/>
        <w:left w:val="none" w:sz="0" w:space="0" w:color="auto"/>
        <w:bottom w:val="none" w:sz="0" w:space="0" w:color="auto"/>
        <w:right w:val="none" w:sz="0" w:space="0" w:color="auto"/>
      </w:divBdr>
    </w:div>
    <w:div w:id="1615163266">
      <w:bodyDiv w:val="1"/>
      <w:marLeft w:val="0"/>
      <w:marRight w:val="0"/>
      <w:marTop w:val="0"/>
      <w:marBottom w:val="0"/>
      <w:divBdr>
        <w:top w:val="none" w:sz="0" w:space="0" w:color="auto"/>
        <w:left w:val="none" w:sz="0" w:space="0" w:color="auto"/>
        <w:bottom w:val="none" w:sz="0" w:space="0" w:color="auto"/>
        <w:right w:val="none" w:sz="0" w:space="0" w:color="auto"/>
      </w:divBdr>
    </w:div>
    <w:div w:id="1615866206">
      <w:bodyDiv w:val="1"/>
      <w:marLeft w:val="0"/>
      <w:marRight w:val="0"/>
      <w:marTop w:val="0"/>
      <w:marBottom w:val="0"/>
      <w:divBdr>
        <w:top w:val="none" w:sz="0" w:space="0" w:color="auto"/>
        <w:left w:val="none" w:sz="0" w:space="0" w:color="auto"/>
        <w:bottom w:val="none" w:sz="0" w:space="0" w:color="auto"/>
        <w:right w:val="none" w:sz="0" w:space="0" w:color="auto"/>
      </w:divBdr>
    </w:div>
    <w:div w:id="1616935756">
      <w:bodyDiv w:val="1"/>
      <w:marLeft w:val="0"/>
      <w:marRight w:val="0"/>
      <w:marTop w:val="0"/>
      <w:marBottom w:val="0"/>
      <w:divBdr>
        <w:top w:val="none" w:sz="0" w:space="0" w:color="auto"/>
        <w:left w:val="none" w:sz="0" w:space="0" w:color="auto"/>
        <w:bottom w:val="none" w:sz="0" w:space="0" w:color="auto"/>
        <w:right w:val="none" w:sz="0" w:space="0" w:color="auto"/>
      </w:divBdr>
    </w:div>
    <w:div w:id="1620599058">
      <w:bodyDiv w:val="1"/>
      <w:marLeft w:val="0"/>
      <w:marRight w:val="0"/>
      <w:marTop w:val="0"/>
      <w:marBottom w:val="0"/>
      <w:divBdr>
        <w:top w:val="none" w:sz="0" w:space="0" w:color="auto"/>
        <w:left w:val="none" w:sz="0" w:space="0" w:color="auto"/>
        <w:bottom w:val="none" w:sz="0" w:space="0" w:color="auto"/>
        <w:right w:val="none" w:sz="0" w:space="0" w:color="auto"/>
      </w:divBdr>
    </w:div>
    <w:div w:id="1638489608">
      <w:bodyDiv w:val="1"/>
      <w:marLeft w:val="0"/>
      <w:marRight w:val="0"/>
      <w:marTop w:val="0"/>
      <w:marBottom w:val="0"/>
      <w:divBdr>
        <w:top w:val="none" w:sz="0" w:space="0" w:color="auto"/>
        <w:left w:val="none" w:sz="0" w:space="0" w:color="auto"/>
        <w:bottom w:val="none" w:sz="0" w:space="0" w:color="auto"/>
        <w:right w:val="none" w:sz="0" w:space="0" w:color="auto"/>
      </w:divBdr>
    </w:div>
    <w:div w:id="1644694972">
      <w:bodyDiv w:val="1"/>
      <w:marLeft w:val="0"/>
      <w:marRight w:val="0"/>
      <w:marTop w:val="0"/>
      <w:marBottom w:val="0"/>
      <w:divBdr>
        <w:top w:val="none" w:sz="0" w:space="0" w:color="auto"/>
        <w:left w:val="none" w:sz="0" w:space="0" w:color="auto"/>
        <w:bottom w:val="none" w:sz="0" w:space="0" w:color="auto"/>
        <w:right w:val="none" w:sz="0" w:space="0" w:color="auto"/>
      </w:divBdr>
    </w:div>
    <w:div w:id="1645234921">
      <w:bodyDiv w:val="1"/>
      <w:marLeft w:val="0"/>
      <w:marRight w:val="0"/>
      <w:marTop w:val="0"/>
      <w:marBottom w:val="0"/>
      <w:divBdr>
        <w:top w:val="none" w:sz="0" w:space="0" w:color="auto"/>
        <w:left w:val="none" w:sz="0" w:space="0" w:color="auto"/>
        <w:bottom w:val="none" w:sz="0" w:space="0" w:color="auto"/>
        <w:right w:val="none" w:sz="0" w:space="0" w:color="auto"/>
      </w:divBdr>
    </w:div>
    <w:div w:id="1655185446">
      <w:bodyDiv w:val="1"/>
      <w:marLeft w:val="0"/>
      <w:marRight w:val="0"/>
      <w:marTop w:val="0"/>
      <w:marBottom w:val="0"/>
      <w:divBdr>
        <w:top w:val="none" w:sz="0" w:space="0" w:color="auto"/>
        <w:left w:val="none" w:sz="0" w:space="0" w:color="auto"/>
        <w:bottom w:val="none" w:sz="0" w:space="0" w:color="auto"/>
        <w:right w:val="none" w:sz="0" w:space="0" w:color="auto"/>
      </w:divBdr>
    </w:div>
    <w:div w:id="1669408242">
      <w:bodyDiv w:val="1"/>
      <w:marLeft w:val="0"/>
      <w:marRight w:val="0"/>
      <w:marTop w:val="0"/>
      <w:marBottom w:val="0"/>
      <w:divBdr>
        <w:top w:val="none" w:sz="0" w:space="0" w:color="auto"/>
        <w:left w:val="none" w:sz="0" w:space="0" w:color="auto"/>
        <w:bottom w:val="none" w:sz="0" w:space="0" w:color="auto"/>
        <w:right w:val="none" w:sz="0" w:space="0" w:color="auto"/>
      </w:divBdr>
    </w:div>
    <w:div w:id="1679187408">
      <w:bodyDiv w:val="1"/>
      <w:marLeft w:val="0"/>
      <w:marRight w:val="0"/>
      <w:marTop w:val="0"/>
      <w:marBottom w:val="0"/>
      <w:divBdr>
        <w:top w:val="none" w:sz="0" w:space="0" w:color="auto"/>
        <w:left w:val="none" w:sz="0" w:space="0" w:color="auto"/>
        <w:bottom w:val="none" w:sz="0" w:space="0" w:color="auto"/>
        <w:right w:val="none" w:sz="0" w:space="0" w:color="auto"/>
      </w:divBdr>
    </w:div>
    <w:div w:id="1680353595">
      <w:bodyDiv w:val="1"/>
      <w:marLeft w:val="0"/>
      <w:marRight w:val="0"/>
      <w:marTop w:val="0"/>
      <w:marBottom w:val="0"/>
      <w:divBdr>
        <w:top w:val="none" w:sz="0" w:space="0" w:color="auto"/>
        <w:left w:val="none" w:sz="0" w:space="0" w:color="auto"/>
        <w:bottom w:val="none" w:sz="0" w:space="0" w:color="auto"/>
        <w:right w:val="none" w:sz="0" w:space="0" w:color="auto"/>
      </w:divBdr>
    </w:div>
    <w:div w:id="1682469001">
      <w:bodyDiv w:val="1"/>
      <w:marLeft w:val="0"/>
      <w:marRight w:val="0"/>
      <w:marTop w:val="0"/>
      <w:marBottom w:val="0"/>
      <w:divBdr>
        <w:top w:val="none" w:sz="0" w:space="0" w:color="auto"/>
        <w:left w:val="none" w:sz="0" w:space="0" w:color="auto"/>
        <w:bottom w:val="none" w:sz="0" w:space="0" w:color="auto"/>
        <w:right w:val="none" w:sz="0" w:space="0" w:color="auto"/>
      </w:divBdr>
    </w:div>
    <w:div w:id="1685939580">
      <w:bodyDiv w:val="1"/>
      <w:marLeft w:val="0"/>
      <w:marRight w:val="0"/>
      <w:marTop w:val="0"/>
      <w:marBottom w:val="0"/>
      <w:divBdr>
        <w:top w:val="none" w:sz="0" w:space="0" w:color="auto"/>
        <w:left w:val="none" w:sz="0" w:space="0" w:color="auto"/>
        <w:bottom w:val="none" w:sz="0" w:space="0" w:color="auto"/>
        <w:right w:val="none" w:sz="0" w:space="0" w:color="auto"/>
      </w:divBdr>
    </w:div>
    <w:div w:id="1689410718">
      <w:bodyDiv w:val="1"/>
      <w:marLeft w:val="0"/>
      <w:marRight w:val="0"/>
      <w:marTop w:val="0"/>
      <w:marBottom w:val="0"/>
      <w:divBdr>
        <w:top w:val="none" w:sz="0" w:space="0" w:color="auto"/>
        <w:left w:val="none" w:sz="0" w:space="0" w:color="auto"/>
        <w:bottom w:val="none" w:sz="0" w:space="0" w:color="auto"/>
        <w:right w:val="none" w:sz="0" w:space="0" w:color="auto"/>
      </w:divBdr>
    </w:div>
    <w:div w:id="1693989764">
      <w:bodyDiv w:val="1"/>
      <w:marLeft w:val="0"/>
      <w:marRight w:val="0"/>
      <w:marTop w:val="0"/>
      <w:marBottom w:val="0"/>
      <w:divBdr>
        <w:top w:val="none" w:sz="0" w:space="0" w:color="auto"/>
        <w:left w:val="none" w:sz="0" w:space="0" w:color="auto"/>
        <w:bottom w:val="none" w:sz="0" w:space="0" w:color="auto"/>
        <w:right w:val="none" w:sz="0" w:space="0" w:color="auto"/>
      </w:divBdr>
    </w:div>
    <w:div w:id="1696734908">
      <w:bodyDiv w:val="1"/>
      <w:marLeft w:val="0"/>
      <w:marRight w:val="0"/>
      <w:marTop w:val="0"/>
      <w:marBottom w:val="0"/>
      <w:divBdr>
        <w:top w:val="none" w:sz="0" w:space="0" w:color="auto"/>
        <w:left w:val="none" w:sz="0" w:space="0" w:color="auto"/>
        <w:bottom w:val="none" w:sz="0" w:space="0" w:color="auto"/>
        <w:right w:val="none" w:sz="0" w:space="0" w:color="auto"/>
      </w:divBdr>
    </w:div>
    <w:div w:id="1703675385">
      <w:bodyDiv w:val="1"/>
      <w:marLeft w:val="0"/>
      <w:marRight w:val="0"/>
      <w:marTop w:val="0"/>
      <w:marBottom w:val="0"/>
      <w:divBdr>
        <w:top w:val="none" w:sz="0" w:space="0" w:color="auto"/>
        <w:left w:val="none" w:sz="0" w:space="0" w:color="auto"/>
        <w:bottom w:val="none" w:sz="0" w:space="0" w:color="auto"/>
        <w:right w:val="none" w:sz="0" w:space="0" w:color="auto"/>
      </w:divBdr>
    </w:div>
    <w:div w:id="1715690664">
      <w:bodyDiv w:val="1"/>
      <w:marLeft w:val="0"/>
      <w:marRight w:val="0"/>
      <w:marTop w:val="0"/>
      <w:marBottom w:val="0"/>
      <w:divBdr>
        <w:top w:val="none" w:sz="0" w:space="0" w:color="auto"/>
        <w:left w:val="none" w:sz="0" w:space="0" w:color="auto"/>
        <w:bottom w:val="none" w:sz="0" w:space="0" w:color="auto"/>
        <w:right w:val="none" w:sz="0" w:space="0" w:color="auto"/>
      </w:divBdr>
    </w:div>
    <w:div w:id="1731070731">
      <w:bodyDiv w:val="1"/>
      <w:marLeft w:val="0"/>
      <w:marRight w:val="0"/>
      <w:marTop w:val="0"/>
      <w:marBottom w:val="0"/>
      <w:divBdr>
        <w:top w:val="none" w:sz="0" w:space="0" w:color="auto"/>
        <w:left w:val="none" w:sz="0" w:space="0" w:color="auto"/>
        <w:bottom w:val="none" w:sz="0" w:space="0" w:color="auto"/>
        <w:right w:val="none" w:sz="0" w:space="0" w:color="auto"/>
      </w:divBdr>
    </w:div>
    <w:div w:id="1743486830">
      <w:bodyDiv w:val="1"/>
      <w:marLeft w:val="0"/>
      <w:marRight w:val="0"/>
      <w:marTop w:val="0"/>
      <w:marBottom w:val="0"/>
      <w:divBdr>
        <w:top w:val="none" w:sz="0" w:space="0" w:color="auto"/>
        <w:left w:val="none" w:sz="0" w:space="0" w:color="auto"/>
        <w:bottom w:val="none" w:sz="0" w:space="0" w:color="auto"/>
        <w:right w:val="none" w:sz="0" w:space="0" w:color="auto"/>
      </w:divBdr>
    </w:div>
    <w:div w:id="1745567719">
      <w:bodyDiv w:val="1"/>
      <w:marLeft w:val="0"/>
      <w:marRight w:val="0"/>
      <w:marTop w:val="0"/>
      <w:marBottom w:val="0"/>
      <w:divBdr>
        <w:top w:val="none" w:sz="0" w:space="0" w:color="auto"/>
        <w:left w:val="none" w:sz="0" w:space="0" w:color="auto"/>
        <w:bottom w:val="none" w:sz="0" w:space="0" w:color="auto"/>
        <w:right w:val="none" w:sz="0" w:space="0" w:color="auto"/>
      </w:divBdr>
    </w:div>
    <w:div w:id="1748645667">
      <w:bodyDiv w:val="1"/>
      <w:marLeft w:val="0"/>
      <w:marRight w:val="0"/>
      <w:marTop w:val="0"/>
      <w:marBottom w:val="0"/>
      <w:divBdr>
        <w:top w:val="none" w:sz="0" w:space="0" w:color="auto"/>
        <w:left w:val="none" w:sz="0" w:space="0" w:color="auto"/>
        <w:bottom w:val="none" w:sz="0" w:space="0" w:color="auto"/>
        <w:right w:val="none" w:sz="0" w:space="0" w:color="auto"/>
      </w:divBdr>
    </w:div>
    <w:div w:id="1753307516">
      <w:bodyDiv w:val="1"/>
      <w:marLeft w:val="0"/>
      <w:marRight w:val="0"/>
      <w:marTop w:val="0"/>
      <w:marBottom w:val="0"/>
      <w:divBdr>
        <w:top w:val="none" w:sz="0" w:space="0" w:color="auto"/>
        <w:left w:val="none" w:sz="0" w:space="0" w:color="auto"/>
        <w:bottom w:val="none" w:sz="0" w:space="0" w:color="auto"/>
        <w:right w:val="none" w:sz="0" w:space="0" w:color="auto"/>
      </w:divBdr>
    </w:div>
    <w:div w:id="1763650228">
      <w:bodyDiv w:val="1"/>
      <w:marLeft w:val="0"/>
      <w:marRight w:val="0"/>
      <w:marTop w:val="0"/>
      <w:marBottom w:val="0"/>
      <w:divBdr>
        <w:top w:val="none" w:sz="0" w:space="0" w:color="auto"/>
        <w:left w:val="none" w:sz="0" w:space="0" w:color="auto"/>
        <w:bottom w:val="none" w:sz="0" w:space="0" w:color="auto"/>
        <w:right w:val="none" w:sz="0" w:space="0" w:color="auto"/>
      </w:divBdr>
    </w:div>
    <w:div w:id="1772696984">
      <w:bodyDiv w:val="1"/>
      <w:marLeft w:val="0"/>
      <w:marRight w:val="0"/>
      <w:marTop w:val="0"/>
      <w:marBottom w:val="0"/>
      <w:divBdr>
        <w:top w:val="none" w:sz="0" w:space="0" w:color="auto"/>
        <w:left w:val="none" w:sz="0" w:space="0" w:color="auto"/>
        <w:bottom w:val="none" w:sz="0" w:space="0" w:color="auto"/>
        <w:right w:val="none" w:sz="0" w:space="0" w:color="auto"/>
      </w:divBdr>
    </w:div>
    <w:div w:id="1789154301">
      <w:bodyDiv w:val="1"/>
      <w:marLeft w:val="0"/>
      <w:marRight w:val="0"/>
      <w:marTop w:val="0"/>
      <w:marBottom w:val="0"/>
      <w:divBdr>
        <w:top w:val="none" w:sz="0" w:space="0" w:color="auto"/>
        <w:left w:val="none" w:sz="0" w:space="0" w:color="auto"/>
        <w:bottom w:val="none" w:sz="0" w:space="0" w:color="auto"/>
        <w:right w:val="none" w:sz="0" w:space="0" w:color="auto"/>
      </w:divBdr>
    </w:div>
    <w:div w:id="1791777191">
      <w:bodyDiv w:val="1"/>
      <w:marLeft w:val="0"/>
      <w:marRight w:val="0"/>
      <w:marTop w:val="0"/>
      <w:marBottom w:val="0"/>
      <w:divBdr>
        <w:top w:val="none" w:sz="0" w:space="0" w:color="auto"/>
        <w:left w:val="none" w:sz="0" w:space="0" w:color="auto"/>
        <w:bottom w:val="none" w:sz="0" w:space="0" w:color="auto"/>
        <w:right w:val="none" w:sz="0" w:space="0" w:color="auto"/>
      </w:divBdr>
    </w:div>
    <w:div w:id="1808158119">
      <w:bodyDiv w:val="1"/>
      <w:marLeft w:val="0"/>
      <w:marRight w:val="0"/>
      <w:marTop w:val="0"/>
      <w:marBottom w:val="0"/>
      <w:divBdr>
        <w:top w:val="none" w:sz="0" w:space="0" w:color="auto"/>
        <w:left w:val="none" w:sz="0" w:space="0" w:color="auto"/>
        <w:bottom w:val="none" w:sz="0" w:space="0" w:color="auto"/>
        <w:right w:val="none" w:sz="0" w:space="0" w:color="auto"/>
      </w:divBdr>
    </w:div>
    <w:div w:id="1817916232">
      <w:bodyDiv w:val="1"/>
      <w:marLeft w:val="0"/>
      <w:marRight w:val="0"/>
      <w:marTop w:val="0"/>
      <w:marBottom w:val="0"/>
      <w:divBdr>
        <w:top w:val="none" w:sz="0" w:space="0" w:color="auto"/>
        <w:left w:val="none" w:sz="0" w:space="0" w:color="auto"/>
        <w:bottom w:val="none" w:sz="0" w:space="0" w:color="auto"/>
        <w:right w:val="none" w:sz="0" w:space="0" w:color="auto"/>
      </w:divBdr>
    </w:div>
    <w:div w:id="1820725529">
      <w:bodyDiv w:val="1"/>
      <w:marLeft w:val="0"/>
      <w:marRight w:val="0"/>
      <w:marTop w:val="0"/>
      <w:marBottom w:val="0"/>
      <w:divBdr>
        <w:top w:val="none" w:sz="0" w:space="0" w:color="auto"/>
        <w:left w:val="none" w:sz="0" w:space="0" w:color="auto"/>
        <w:bottom w:val="none" w:sz="0" w:space="0" w:color="auto"/>
        <w:right w:val="none" w:sz="0" w:space="0" w:color="auto"/>
      </w:divBdr>
    </w:div>
    <w:div w:id="1822572396">
      <w:bodyDiv w:val="1"/>
      <w:marLeft w:val="0"/>
      <w:marRight w:val="0"/>
      <w:marTop w:val="0"/>
      <w:marBottom w:val="0"/>
      <w:divBdr>
        <w:top w:val="none" w:sz="0" w:space="0" w:color="auto"/>
        <w:left w:val="none" w:sz="0" w:space="0" w:color="auto"/>
        <w:bottom w:val="none" w:sz="0" w:space="0" w:color="auto"/>
        <w:right w:val="none" w:sz="0" w:space="0" w:color="auto"/>
      </w:divBdr>
    </w:div>
    <w:div w:id="1827671258">
      <w:bodyDiv w:val="1"/>
      <w:marLeft w:val="0"/>
      <w:marRight w:val="0"/>
      <w:marTop w:val="0"/>
      <w:marBottom w:val="0"/>
      <w:divBdr>
        <w:top w:val="none" w:sz="0" w:space="0" w:color="auto"/>
        <w:left w:val="none" w:sz="0" w:space="0" w:color="auto"/>
        <w:bottom w:val="none" w:sz="0" w:space="0" w:color="auto"/>
        <w:right w:val="none" w:sz="0" w:space="0" w:color="auto"/>
      </w:divBdr>
    </w:div>
    <w:div w:id="1839541143">
      <w:bodyDiv w:val="1"/>
      <w:marLeft w:val="0"/>
      <w:marRight w:val="0"/>
      <w:marTop w:val="0"/>
      <w:marBottom w:val="0"/>
      <w:divBdr>
        <w:top w:val="none" w:sz="0" w:space="0" w:color="auto"/>
        <w:left w:val="none" w:sz="0" w:space="0" w:color="auto"/>
        <w:bottom w:val="none" w:sz="0" w:space="0" w:color="auto"/>
        <w:right w:val="none" w:sz="0" w:space="0" w:color="auto"/>
      </w:divBdr>
    </w:div>
    <w:div w:id="1840653008">
      <w:bodyDiv w:val="1"/>
      <w:marLeft w:val="0"/>
      <w:marRight w:val="0"/>
      <w:marTop w:val="0"/>
      <w:marBottom w:val="0"/>
      <w:divBdr>
        <w:top w:val="none" w:sz="0" w:space="0" w:color="auto"/>
        <w:left w:val="none" w:sz="0" w:space="0" w:color="auto"/>
        <w:bottom w:val="none" w:sz="0" w:space="0" w:color="auto"/>
        <w:right w:val="none" w:sz="0" w:space="0" w:color="auto"/>
      </w:divBdr>
    </w:div>
    <w:div w:id="1844005203">
      <w:bodyDiv w:val="1"/>
      <w:marLeft w:val="0"/>
      <w:marRight w:val="0"/>
      <w:marTop w:val="0"/>
      <w:marBottom w:val="0"/>
      <w:divBdr>
        <w:top w:val="none" w:sz="0" w:space="0" w:color="auto"/>
        <w:left w:val="none" w:sz="0" w:space="0" w:color="auto"/>
        <w:bottom w:val="none" w:sz="0" w:space="0" w:color="auto"/>
        <w:right w:val="none" w:sz="0" w:space="0" w:color="auto"/>
      </w:divBdr>
    </w:div>
    <w:div w:id="1852602988">
      <w:bodyDiv w:val="1"/>
      <w:marLeft w:val="0"/>
      <w:marRight w:val="0"/>
      <w:marTop w:val="0"/>
      <w:marBottom w:val="0"/>
      <w:divBdr>
        <w:top w:val="none" w:sz="0" w:space="0" w:color="auto"/>
        <w:left w:val="none" w:sz="0" w:space="0" w:color="auto"/>
        <w:bottom w:val="none" w:sz="0" w:space="0" w:color="auto"/>
        <w:right w:val="none" w:sz="0" w:space="0" w:color="auto"/>
      </w:divBdr>
    </w:div>
    <w:div w:id="1856721558">
      <w:bodyDiv w:val="1"/>
      <w:marLeft w:val="0"/>
      <w:marRight w:val="0"/>
      <w:marTop w:val="0"/>
      <w:marBottom w:val="0"/>
      <w:divBdr>
        <w:top w:val="none" w:sz="0" w:space="0" w:color="auto"/>
        <w:left w:val="none" w:sz="0" w:space="0" w:color="auto"/>
        <w:bottom w:val="none" w:sz="0" w:space="0" w:color="auto"/>
        <w:right w:val="none" w:sz="0" w:space="0" w:color="auto"/>
      </w:divBdr>
    </w:div>
    <w:div w:id="1875998845">
      <w:bodyDiv w:val="1"/>
      <w:marLeft w:val="0"/>
      <w:marRight w:val="0"/>
      <w:marTop w:val="0"/>
      <w:marBottom w:val="0"/>
      <w:divBdr>
        <w:top w:val="none" w:sz="0" w:space="0" w:color="auto"/>
        <w:left w:val="none" w:sz="0" w:space="0" w:color="auto"/>
        <w:bottom w:val="none" w:sz="0" w:space="0" w:color="auto"/>
        <w:right w:val="none" w:sz="0" w:space="0" w:color="auto"/>
      </w:divBdr>
    </w:div>
    <w:div w:id="1879659746">
      <w:bodyDiv w:val="1"/>
      <w:marLeft w:val="0"/>
      <w:marRight w:val="0"/>
      <w:marTop w:val="0"/>
      <w:marBottom w:val="0"/>
      <w:divBdr>
        <w:top w:val="none" w:sz="0" w:space="0" w:color="auto"/>
        <w:left w:val="none" w:sz="0" w:space="0" w:color="auto"/>
        <w:bottom w:val="none" w:sz="0" w:space="0" w:color="auto"/>
        <w:right w:val="none" w:sz="0" w:space="0" w:color="auto"/>
      </w:divBdr>
    </w:div>
    <w:div w:id="1883908160">
      <w:bodyDiv w:val="1"/>
      <w:marLeft w:val="0"/>
      <w:marRight w:val="0"/>
      <w:marTop w:val="0"/>
      <w:marBottom w:val="0"/>
      <w:divBdr>
        <w:top w:val="none" w:sz="0" w:space="0" w:color="auto"/>
        <w:left w:val="none" w:sz="0" w:space="0" w:color="auto"/>
        <w:bottom w:val="none" w:sz="0" w:space="0" w:color="auto"/>
        <w:right w:val="none" w:sz="0" w:space="0" w:color="auto"/>
      </w:divBdr>
    </w:div>
    <w:div w:id="1887329770">
      <w:bodyDiv w:val="1"/>
      <w:marLeft w:val="0"/>
      <w:marRight w:val="0"/>
      <w:marTop w:val="0"/>
      <w:marBottom w:val="0"/>
      <w:divBdr>
        <w:top w:val="none" w:sz="0" w:space="0" w:color="auto"/>
        <w:left w:val="none" w:sz="0" w:space="0" w:color="auto"/>
        <w:bottom w:val="none" w:sz="0" w:space="0" w:color="auto"/>
        <w:right w:val="none" w:sz="0" w:space="0" w:color="auto"/>
      </w:divBdr>
    </w:div>
    <w:div w:id="1889490670">
      <w:bodyDiv w:val="1"/>
      <w:marLeft w:val="0"/>
      <w:marRight w:val="0"/>
      <w:marTop w:val="0"/>
      <w:marBottom w:val="0"/>
      <w:divBdr>
        <w:top w:val="none" w:sz="0" w:space="0" w:color="auto"/>
        <w:left w:val="none" w:sz="0" w:space="0" w:color="auto"/>
        <w:bottom w:val="none" w:sz="0" w:space="0" w:color="auto"/>
        <w:right w:val="none" w:sz="0" w:space="0" w:color="auto"/>
      </w:divBdr>
    </w:div>
    <w:div w:id="1908805036">
      <w:bodyDiv w:val="1"/>
      <w:marLeft w:val="0"/>
      <w:marRight w:val="0"/>
      <w:marTop w:val="0"/>
      <w:marBottom w:val="0"/>
      <w:divBdr>
        <w:top w:val="none" w:sz="0" w:space="0" w:color="auto"/>
        <w:left w:val="none" w:sz="0" w:space="0" w:color="auto"/>
        <w:bottom w:val="none" w:sz="0" w:space="0" w:color="auto"/>
        <w:right w:val="none" w:sz="0" w:space="0" w:color="auto"/>
      </w:divBdr>
    </w:div>
    <w:div w:id="1909850583">
      <w:bodyDiv w:val="1"/>
      <w:marLeft w:val="0"/>
      <w:marRight w:val="0"/>
      <w:marTop w:val="0"/>
      <w:marBottom w:val="0"/>
      <w:divBdr>
        <w:top w:val="none" w:sz="0" w:space="0" w:color="auto"/>
        <w:left w:val="none" w:sz="0" w:space="0" w:color="auto"/>
        <w:bottom w:val="none" w:sz="0" w:space="0" w:color="auto"/>
        <w:right w:val="none" w:sz="0" w:space="0" w:color="auto"/>
      </w:divBdr>
    </w:div>
    <w:div w:id="1914585793">
      <w:bodyDiv w:val="1"/>
      <w:marLeft w:val="0"/>
      <w:marRight w:val="0"/>
      <w:marTop w:val="0"/>
      <w:marBottom w:val="0"/>
      <w:divBdr>
        <w:top w:val="none" w:sz="0" w:space="0" w:color="auto"/>
        <w:left w:val="none" w:sz="0" w:space="0" w:color="auto"/>
        <w:bottom w:val="none" w:sz="0" w:space="0" w:color="auto"/>
        <w:right w:val="none" w:sz="0" w:space="0" w:color="auto"/>
      </w:divBdr>
    </w:div>
    <w:div w:id="1920747807">
      <w:bodyDiv w:val="1"/>
      <w:marLeft w:val="0"/>
      <w:marRight w:val="0"/>
      <w:marTop w:val="0"/>
      <w:marBottom w:val="0"/>
      <w:divBdr>
        <w:top w:val="none" w:sz="0" w:space="0" w:color="auto"/>
        <w:left w:val="none" w:sz="0" w:space="0" w:color="auto"/>
        <w:bottom w:val="none" w:sz="0" w:space="0" w:color="auto"/>
        <w:right w:val="none" w:sz="0" w:space="0" w:color="auto"/>
      </w:divBdr>
    </w:div>
    <w:div w:id="1927110272">
      <w:bodyDiv w:val="1"/>
      <w:marLeft w:val="0"/>
      <w:marRight w:val="0"/>
      <w:marTop w:val="0"/>
      <w:marBottom w:val="0"/>
      <w:divBdr>
        <w:top w:val="none" w:sz="0" w:space="0" w:color="auto"/>
        <w:left w:val="none" w:sz="0" w:space="0" w:color="auto"/>
        <w:bottom w:val="none" w:sz="0" w:space="0" w:color="auto"/>
        <w:right w:val="none" w:sz="0" w:space="0" w:color="auto"/>
      </w:divBdr>
    </w:div>
    <w:div w:id="1936593914">
      <w:bodyDiv w:val="1"/>
      <w:marLeft w:val="0"/>
      <w:marRight w:val="0"/>
      <w:marTop w:val="0"/>
      <w:marBottom w:val="0"/>
      <w:divBdr>
        <w:top w:val="none" w:sz="0" w:space="0" w:color="auto"/>
        <w:left w:val="none" w:sz="0" w:space="0" w:color="auto"/>
        <w:bottom w:val="none" w:sz="0" w:space="0" w:color="auto"/>
        <w:right w:val="none" w:sz="0" w:space="0" w:color="auto"/>
      </w:divBdr>
      <w:divsChild>
        <w:div w:id="501285624">
          <w:marLeft w:val="0"/>
          <w:marRight w:val="0"/>
          <w:marTop w:val="150"/>
          <w:marBottom w:val="150"/>
          <w:divBdr>
            <w:top w:val="none" w:sz="0" w:space="0" w:color="auto"/>
            <w:left w:val="none" w:sz="0" w:space="0" w:color="auto"/>
            <w:bottom w:val="single" w:sz="6" w:space="8" w:color="F0F0F0"/>
            <w:right w:val="none" w:sz="0" w:space="0" w:color="auto"/>
          </w:divBdr>
          <w:divsChild>
            <w:div w:id="804547145">
              <w:marLeft w:val="75"/>
              <w:marRight w:val="75"/>
              <w:marTop w:val="75"/>
              <w:marBottom w:val="75"/>
              <w:divBdr>
                <w:top w:val="none" w:sz="0" w:space="0" w:color="auto"/>
                <w:left w:val="none" w:sz="0" w:space="0" w:color="auto"/>
                <w:bottom w:val="none" w:sz="0" w:space="0" w:color="auto"/>
                <w:right w:val="none" w:sz="0" w:space="0" w:color="auto"/>
              </w:divBdr>
              <w:divsChild>
                <w:div w:id="1252736623">
                  <w:marLeft w:val="0"/>
                  <w:marRight w:val="0"/>
                  <w:marTop w:val="0"/>
                  <w:marBottom w:val="0"/>
                  <w:divBdr>
                    <w:top w:val="none" w:sz="0" w:space="0" w:color="auto"/>
                    <w:left w:val="none" w:sz="0" w:space="0" w:color="auto"/>
                    <w:bottom w:val="none" w:sz="0" w:space="0" w:color="auto"/>
                    <w:right w:val="none" w:sz="0" w:space="0" w:color="auto"/>
                  </w:divBdr>
                  <w:divsChild>
                    <w:div w:id="1925608428">
                      <w:marLeft w:val="0"/>
                      <w:marRight w:val="0"/>
                      <w:marTop w:val="0"/>
                      <w:marBottom w:val="0"/>
                      <w:divBdr>
                        <w:top w:val="none" w:sz="0" w:space="0" w:color="auto"/>
                        <w:left w:val="none" w:sz="0" w:space="0" w:color="auto"/>
                        <w:bottom w:val="none" w:sz="0" w:space="0" w:color="auto"/>
                        <w:right w:val="none" w:sz="0" w:space="0" w:color="auto"/>
                      </w:divBdr>
                      <w:divsChild>
                        <w:div w:id="1266570279">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3546012">
          <w:marLeft w:val="0"/>
          <w:marRight w:val="0"/>
          <w:marTop w:val="150"/>
          <w:marBottom w:val="150"/>
          <w:divBdr>
            <w:top w:val="none" w:sz="0" w:space="0" w:color="auto"/>
            <w:left w:val="none" w:sz="0" w:space="0" w:color="auto"/>
            <w:bottom w:val="single" w:sz="6" w:space="8" w:color="F0F0F0"/>
            <w:right w:val="none" w:sz="0" w:space="0" w:color="auto"/>
          </w:divBdr>
          <w:divsChild>
            <w:div w:id="125976077">
              <w:marLeft w:val="75"/>
              <w:marRight w:val="75"/>
              <w:marTop w:val="75"/>
              <w:marBottom w:val="75"/>
              <w:divBdr>
                <w:top w:val="none" w:sz="0" w:space="0" w:color="auto"/>
                <w:left w:val="none" w:sz="0" w:space="0" w:color="auto"/>
                <w:bottom w:val="none" w:sz="0" w:space="0" w:color="auto"/>
                <w:right w:val="none" w:sz="0" w:space="0" w:color="auto"/>
              </w:divBdr>
              <w:divsChild>
                <w:div w:id="697976260">
                  <w:marLeft w:val="0"/>
                  <w:marRight w:val="0"/>
                  <w:marTop w:val="0"/>
                  <w:marBottom w:val="0"/>
                  <w:divBdr>
                    <w:top w:val="none" w:sz="0" w:space="0" w:color="auto"/>
                    <w:left w:val="none" w:sz="0" w:space="0" w:color="auto"/>
                    <w:bottom w:val="none" w:sz="0" w:space="0" w:color="auto"/>
                    <w:right w:val="none" w:sz="0" w:space="0" w:color="auto"/>
                  </w:divBdr>
                  <w:divsChild>
                    <w:div w:id="1151676994">
                      <w:marLeft w:val="0"/>
                      <w:marRight w:val="0"/>
                      <w:marTop w:val="0"/>
                      <w:marBottom w:val="0"/>
                      <w:divBdr>
                        <w:top w:val="none" w:sz="0" w:space="0" w:color="auto"/>
                        <w:left w:val="none" w:sz="0" w:space="0" w:color="auto"/>
                        <w:bottom w:val="none" w:sz="0" w:space="0" w:color="auto"/>
                        <w:right w:val="none" w:sz="0" w:space="0" w:color="auto"/>
                      </w:divBdr>
                      <w:divsChild>
                        <w:div w:id="2030447347">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876654379">
              <w:marLeft w:val="75"/>
              <w:marRight w:val="75"/>
              <w:marTop w:val="75"/>
              <w:marBottom w:val="75"/>
              <w:divBdr>
                <w:top w:val="none" w:sz="0" w:space="0" w:color="auto"/>
                <w:left w:val="none" w:sz="0" w:space="0" w:color="auto"/>
                <w:bottom w:val="none" w:sz="0" w:space="0" w:color="auto"/>
                <w:right w:val="none" w:sz="0" w:space="0" w:color="auto"/>
              </w:divBdr>
              <w:divsChild>
                <w:div w:id="40787437">
                  <w:marLeft w:val="0"/>
                  <w:marRight w:val="0"/>
                  <w:marTop w:val="0"/>
                  <w:marBottom w:val="0"/>
                  <w:divBdr>
                    <w:top w:val="none" w:sz="0" w:space="0" w:color="auto"/>
                    <w:left w:val="none" w:sz="0" w:space="0" w:color="auto"/>
                    <w:bottom w:val="none" w:sz="0" w:space="0" w:color="auto"/>
                    <w:right w:val="none" w:sz="0" w:space="0" w:color="auto"/>
                  </w:divBdr>
                </w:div>
              </w:divsChild>
            </w:div>
            <w:div w:id="2141799754">
              <w:marLeft w:val="75"/>
              <w:marRight w:val="75"/>
              <w:marTop w:val="75"/>
              <w:marBottom w:val="75"/>
              <w:divBdr>
                <w:top w:val="none" w:sz="0" w:space="0" w:color="auto"/>
                <w:left w:val="none" w:sz="0" w:space="0" w:color="auto"/>
                <w:bottom w:val="none" w:sz="0" w:space="0" w:color="auto"/>
                <w:right w:val="none" w:sz="0" w:space="0" w:color="auto"/>
              </w:divBdr>
              <w:divsChild>
                <w:div w:id="17245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387671">
      <w:bodyDiv w:val="1"/>
      <w:marLeft w:val="0"/>
      <w:marRight w:val="0"/>
      <w:marTop w:val="0"/>
      <w:marBottom w:val="0"/>
      <w:divBdr>
        <w:top w:val="none" w:sz="0" w:space="0" w:color="auto"/>
        <w:left w:val="none" w:sz="0" w:space="0" w:color="auto"/>
        <w:bottom w:val="none" w:sz="0" w:space="0" w:color="auto"/>
        <w:right w:val="none" w:sz="0" w:space="0" w:color="auto"/>
      </w:divBdr>
    </w:div>
    <w:div w:id="1951204205">
      <w:bodyDiv w:val="1"/>
      <w:marLeft w:val="0"/>
      <w:marRight w:val="0"/>
      <w:marTop w:val="0"/>
      <w:marBottom w:val="0"/>
      <w:divBdr>
        <w:top w:val="none" w:sz="0" w:space="0" w:color="auto"/>
        <w:left w:val="none" w:sz="0" w:space="0" w:color="auto"/>
        <w:bottom w:val="none" w:sz="0" w:space="0" w:color="auto"/>
        <w:right w:val="none" w:sz="0" w:space="0" w:color="auto"/>
      </w:divBdr>
    </w:div>
    <w:div w:id="1967739440">
      <w:bodyDiv w:val="1"/>
      <w:marLeft w:val="0"/>
      <w:marRight w:val="0"/>
      <w:marTop w:val="0"/>
      <w:marBottom w:val="0"/>
      <w:divBdr>
        <w:top w:val="none" w:sz="0" w:space="0" w:color="auto"/>
        <w:left w:val="none" w:sz="0" w:space="0" w:color="auto"/>
        <w:bottom w:val="none" w:sz="0" w:space="0" w:color="auto"/>
        <w:right w:val="none" w:sz="0" w:space="0" w:color="auto"/>
      </w:divBdr>
    </w:div>
    <w:div w:id="1972594094">
      <w:bodyDiv w:val="1"/>
      <w:marLeft w:val="0"/>
      <w:marRight w:val="0"/>
      <w:marTop w:val="0"/>
      <w:marBottom w:val="0"/>
      <w:divBdr>
        <w:top w:val="none" w:sz="0" w:space="0" w:color="auto"/>
        <w:left w:val="none" w:sz="0" w:space="0" w:color="auto"/>
        <w:bottom w:val="none" w:sz="0" w:space="0" w:color="auto"/>
        <w:right w:val="none" w:sz="0" w:space="0" w:color="auto"/>
      </w:divBdr>
    </w:div>
    <w:div w:id="1974821864">
      <w:bodyDiv w:val="1"/>
      <w:marLeft w:val="0"/>
      <w:marRight w:val="0"/>
      <w:marTop w:val="0"/>
      <w:marBottom w:val="0"/>
      <w:divBdr>
        <w:top w:val="none" w:sz="0" w:space="0" w:color="auto"/>
        <w:left w:val="none" w:sz="0" w:space="0" w:color="auto"/>
        <w:bottom w:val="none" w:sz="0" w:space="0" w:color="auto"/>
        <w:right w:val="none" w:sz="0" w:space="0" w:color="auto"/>
      </w:divBdr>
    </w:div>
    <w:div w:id="1986861075">
      <w:bodyDiv w:val="1"/>
      <w:marLeft w:val="0"/>
      <w:marRight w:val="0"/>
      <w:marTop w:val="0"/>
      <w:marBottom w:val="0"/>
      <w:divBdr>
        <w:top w:val="none" w:sz="0" w:space="0" w:color="auto"/>
        <w:left w:val="none" w:sz="0" w:space="0" w:color="auto"/>
        <w:bottom w:val="none" w:sz="0" w:space="0" w:color="auto"/>
        <w:right w:val="none" w:sz="0" w:space="0" w:color="auto"/>
      </w:divBdr>
    </w:div>
    <w:div w:id="2007440948">
      <w:bodyDiv w:val="1"/>
      <w:marLeft w:val="0"/>
      <w:marRight w:val="0"/>
      <w:marTop w:val="0"/>
      <w:marBottom w:val="0"/>
      <w:divBdr>
        <w:top w:val="none" w:sz="0" w:space="0" w:color="auto"/>
        <w:left w:val="none" w:sz="0" w:space="0" w:color="auto"/>
        <w:bottom w:val="none" w:sz="0" w:space="0" w:color="auto"/>
        <w:right w:val="none" w:sz="0" w:space="0" w:color="auto"/>
      </w:divBdr>
    </w:div>
    <w:div w:id="2014798985">
      <w:bodyDiv w:val="1"/>
      <w:marLeft w:val="0"/>
      <w:marRight w:val="0"/>
      <w:marTop w:val="0"/>
      <w:marBottom w:val="0"/>
      <w:divBdr>
        <w:top w:val="none" w:sz="0" w:space="0" w:color="auto"/>
        <w:left w:val="none" w:sz="0" w:space="0" w:color="auto"/>
        <w:bottom w:val="none" w:sz="0" w:space="0" w:color="auto"/>
        <w:right w:val="none" w:sz="0" w:space="0" w:color="auto"/>
      </w:divBdr>
    </w:div>
    <w:div w:id="2022009478">
      <w:bodyDiv w:val="1"/>
      <w:marLeft w:val="0"/>
      <w:marRight w:val="0"/>
      <w:marTop w:val="0"/>
      <w:marBottom w:val="0"/>
      <w:divBdr>
        <w:top w:val="none" w:sz="0" w:space="0" w:color="auto"/>
        <w:left w:val="none" w:sz="0" w:space="0" w:color="auto"/>
        <w:bottom w:val="none" w:sz="0" w:space="0" w:color="auto"/>
        <w:right w:val="none" w:sz="0" w:space="0" w:color="auto"/>
      </w:divBdr>
    </w:div>
    <w:div w:id="2023699564">
      <w:bodyDiv w:val="1"/>
      <w:marLeft w:val="0"/>
      <w:marRight w:val="0"/>
      <w:marTop w:val="0"/>
      <w:marBottom w:val="0"/>
      <w:divBdr>
        <w:top w:val="none" w:sz="0" w:space="0" w:color="auto"/>
        <w:left w:val="none" w:sz="0" w:space="0" w:color="auto"/>
        <w:bottom w:val="none" w:sz="0" w:space="0" w:color="auto"/>
        <w:right w:val="none" w:sz="0" w:space="0" w:color="auto"/>
      </w:divBdr>
    </w:div>
    <w:div w:id="2025550075">
      <w:bodyDiv w:val="1"/>
      <w:marLeft w:val="0"/>
      <w:marRight w:val="0"/>
      <w:marTop w:val="0"/>
      <w:marBottom w:val="0"/>
      <w:divBdr>
        <w:top w:val="none" w:sz="0" w:space="0" w:color="auto"/>
        <w:left w:val="none" w:sz="0" w:space="0" w:color="auto"/>
        <w:bottom w:val="none" w:sz="0" w:space="0" w:color="auto"/>
        <w:right w:val="none" w:sz="0" w:space="0" w:color="auto"/>
      </w:divBdr>
    </w:div>
    <w:div w:id="2026128665">
      <w:bodyDiv w:val="1"/>
      <w:marLeft w:val="0"/>
      <w:marRight w:val="0"/>
      <w:marTop w:val="0"/>
      <w:marBottom w:val="0"/>
      <w:divBdr>
        <w:top w:val="none" w:sz="0" w:space="0" w:color="auto"/>
        <w:left w:val="none" w:sz="0" w:space="0" w:color="auto"/>
        <w:bottom w:val="none" w:sz="0" w:space="0" w:color="auto"/>
        <w:right w:val="none" w:sz="0" w:space="0" w:color="auto"/>
      </w:divBdr>
    </w:div>
    <w:div w:id="2030988028">
      <w:bodyDiv w:val="1"/>
      <w:marLeft w:val="0"/>
      <w:marRight w:val="0"/>
      <w:marTop w:val="0"/>
      <w:marBottom w:val="0"/>
      <w:divBdr>
        <w:top w:val="none" w:sz="0" w:space="0" w:color="auto"/>
        <w:left w:val="none" w:sz="0" w:space="0" w:color="auto"/>
        <w:bottom w:val="none" w:sz="0" w:space="0" w:color="auto"/>
        <w:right w:val="none" w:sz="0" w:space="0" w:color="auto"/>
      </w:divBdr>
    </w:div>
    <w:div w:id="2039430053">
      <w:bodyDiv w:val="1"/>
      <w:marLeft w:val="0"/>
      <w:marRight w:val="0"/>
      <w:marTop w:val="0"/>
      <w:marBottom w:val="0"/>
      <w:divBdr>
        <w:top w:val="none" w:sz="0" w:space="0" w:color="auto"/>
        <w:left w:val="none" w:sz="0" w:space="0" w:color="auto"/>
        <w:bottom w:val="none" w:sz="0" w:space="0" w:color="auto"/>
        <w:right w:val="none" w:sz="0" w:space="0" w:color="auto"/>
      </w:divBdr>
    </w:div>
    <w:div w:id="2039966729">
      <w:bodyDiv w:val="1"/>
      <w:marLeft w:val="0"/>
      <w:marRight w:val="0"/>
      <w:marTop w:val="0"/>
      <w:marBottom w:val="0"/>
      <w:divBdr>
        <w:top w:val="none" w:sz="0" w:space="0" w:color="auto"/>
        <w:left w:val="none" w:sz="0" w:space="0" w:color="auto"/>
        <w:bottom w:val="none" w:sz="0" w:space="0" w:color="auto"/>
        <w:right w:val="none" w:sz="0" w:space="0" w:color="auto"/>
      </w:divBdr>
    </w:div>
    <w:div w:id="2095349715">
      <w:bodyDiv w:val="1"/>
      <w:marLeft w:val="0"/>
      <w:marRight w:val="0"/>
      <w:marTop w:val="0"/>
      <w:marBottom w:val="0"/>
      <w:divBdr>
        <w:top w:val="none" w:sz="0" w:space="0" w:color="auto"/>
        <w:left w:val="none" w:sz="0" w:space="0" w:color="auto"/>
        <w:bottom w:val="none" w:sz="0" w:space="0" w:color="auto"/>
        <w:right w:val="none" w:sz="0" w:space="0" w:color="auto"/>
      </w:divBdr>
    </w:div>
    <w:div w:id="2112511453">
      <w:bodyDiv w:val="1"/>
      <w:marLeft w:val="0"/>
      <w:marRight w:val="0"/>
      <w:marTop w:val="0"/>
      <w:marBottom w:val="0"/>
      <w:divBdr>
        <w:top w:val="none" w:sz="0" w:space="0" w:color="auto"/>
        <w:left w:val="none" w:sz="0" w:space="0" w:color="auto"/>
        <w:bottom w:val="none" w:sz="0" w:space="0" w:color="auto"/>
        <w:right w:val="none" w:sz="0" w:space="0" w:color="auto"/>
      </w:divBdr>
    </w:div>
    <w:div w:id="2131509297">
      <w:bodyDiv w:val="1"/>
      <w:marLeft w:val="0"/>
      <w:marRight w:val="0"/>
      <w:marTop w:val="0"/>
      <w:marBottom w:val="0"/>
      <w:divBdr>
        <w:top w:val="none" w:sz="0" w:space="0" w:color="auto"/>
        <w:left w:val="none" w:sz="0" w:space="0" w:color="auto"/>
        <w:bottom w:val="none" w:sz="0" w:space="0" w:color="auto"/>
        <w:right w:val="none" w:sz="0" w:space="0" w:color="auto"/>
      </w:divBdr>
    </w:div>
    <w:div w:id="2132479052">
      <w:bodyDiv w:val="1"/>
      <w:marLeft w:val="0"/>
      <w:marRight w:val="0"/>
      <w:marTop w:val="0"/>
      <w:marBottom w:val="0"/>
      <w:divBdr>
        <w:top w:val="none" w:sz="0" w:space="0" w:color="auto"/>
        <w:left w:val="none" w:sz="0" w:space="0" w:color="auto"/>
        <w:bottom w:val="none" w:sz="0" w:space="0" w:color="auto"/>
        <w:right w:val="none" w:sz="0" w:space="0" w:color="auto"/>
      </w:divBdr>
    </w:div>
    <w:div w:id="2135250173">
      <w:bodyDiv w:val="1"/>
      <w:marLeft w:val="0"/>
      <w:marRight w:val="0"/>
      <w:marTop w:val="0"/>
      <w:marBottom w:val="0"/>
      <w:divBdr>
        <w:top w:val="none" w:sz="0" w:space="0" w:color="auto"/>
        <w:left w:val="none" w:sz="0" w:space="0" w:color="auto"/>
        <w:bottom w:val="none" w:sz="0" w:space="0" w:color="auto"/>
        <w:right w:val="none" w:sz="0" w:space="0" w:color="auto"/>
      </w:divBdr>
    </w:div>
    <w:div w:id="21463121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comments" Target="comments.xml"/><Relationship Id="rId26" Type="http://schemas.openxmlformats.org/officeDocument/2006/relationships/hyperlink" Target="mailto:cedelgado@sar.gob.hn" TargetMode="External"/><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eiti.org/document/limited-engagement-policy" TargetMode="External"/><Relationship Id="rId25" Type="http://schemas.openxmlformats.org/officeDocument/2006/relationships/image" Target="media/image7.png"/><Relationship Id="rId33"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image" Target="media/image2.png"/><Relationship Id="rId20" Type="http://schemas.microsoft.com/office/2016/09/relationships/commentsIds" Target="commentsIds.xml"/><Relationship Id="rId29" Type="http://schemas.openxmlformats.org/officeDocument/2006/relationships/hyperlink" Target="mailto:cedelgado@sar.gob.h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6.png"/><Relationship Id="rId32" Type="http://schemas.openxmlformats.org/officeDocument/2006/relationships/footer" Target="footer4.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5.png"/><Relationship Id="rId28" Type="http://schemas.openxmlformats.org/officeDocument/2006/relationships/hyperlink" Target="mailto:afigueroa@sar.gob.hn" TargetMode="External"/><Relationship Id="rId36" Type="http://schemas.openxmlformats.org/officeDocument/2006/relationships/fontTable" Target="fontTable.xml"/><Relationship Id="rId10" Type="http://schemas.openxmlformats.org/officeDocument/2006/relationships/endnotes" Target="endnotes.xml"/><Relationship Id="rId19" Type="http://schemas.microsoft.com/office/2011/relationships/commentsExtended" Target="commentsExtended.xml"/><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hyperlink" Target="mailto:SDondo@eiti.org" TargetMode="External"/><Relationship Id="rId30" Type="http://schemas.openxmlformats.org/officeDocument/2006/relationships/header" Target="header3.xml"/><Relationship Id="rId35" Type="http://schemas.openxmlformats.org/officeDocument/2006/relationships/footer" Target="footer6.xml"/></Relationships>
</file>

<file path=word/_rels/footnotes.xml.rels><?xml version="1.0" encoding="UTF-8" standalone="yes"?>
<Relationships xmlns="http://schemas.openxmlformats.org/package/2006/relationships"><Relationship Id="rId13" Type="http://schemas.openxmlformats.org/officeDocument/2006/relationships/hyperlink" Target="https://portalunico.iaip.gob.hn/portal/ver_documento.php?uid=NTg5MjkxODkzNDc2MzQ4NzEyNDYxOTg3MjM0Mg==" TargetMode="External"/><Relationship Id="rId18" Type="http://schemas.openxmlformats.org/officeDocument/2006/relationships/hyperlink" Target="https://portalunico.iaip.gob.hn/portal/ver_documento.php?uid=NTUwMDQ1ODkzNDc2MzQ4NzEyNDYxOTg3MjM0Mg==" TargetMode="External"/><Relationship Id="rId26" Type="http://schemas.openxmlformats.org/officeDocument/2006/relationships/hyperlink" Target="https://portalunico.iaip.gob.hn/portal/ver_documento.php?uid=NTAyMjc2ODkzNDc2MzQ4NzEyNDYxOTg3MjM0Mg==" TargetMode="External"/><Relationship Id="rId39" Type="http://schemas.openxmlformats.org/officeDocument/2006/relationships/hyperlink" Target="https://www.inhgeomin.gob.hn/images/EITI-HN/Informe%20EITI%20-%20Honduras%20periodos%202017-2018.pdf" TargetMode="External"/><Relationship Id="rId21" Type="http://schemas.openxmlformats.org/officeDocument/2006/relationships/hyperlink" Target="https://eiti.org/document/honduras-20172018-eiti-report" TargetMode="External"/><Relationship Id="rId34" Type="http://schemas.openxmlformats.org/officeDocument/2006/relationships/hyperlink" Target="https://tiempo.hn/iaip-anula-resolucion-declaraba-secreto-informacion-licencias-ambientales1/" TargetMode="External"/><Relationship Id="rId42" Type="http://schemas.openxmlformats.org/officeDocument/2006/relationships/hyperlink" Target="https://onedrive.live.com/?cid=4019917025010926&amp;id=4019917025010926%213868&amp;authkey=%21ANIPnhvDJn6k%5Fgw" TargetMode="External"/><Relationship Id="rId47" Type="http://schemas.openxmlformats.org/officeDocument/2006/relationships/hyperlink" Target="https://portalunico.iaip.gob.hn/portal/ver_documento.php?uid=MzEyMzc5ODkzNDc2MzQ4NzEyNDYxOTg3MjM0Mg==" TargetMode="External"/><Relationship Id="rId50" Type="http://schemas.openxmlformats.org/officeDocument/2006/relationships/hyperlink" Target="https://portalunico.iaip.gob.hn/portal/index.php?portal=442" TargetMode="External"/><Relationship Id="rId55" Type="http://schemas.openxmlformats.org/officeDocument/2006/relationships/hyperlink" Target="http://www.gobiernoabiertohonduras.org/descargas/IV_PLAN_DE_ACCION_DE_ESTADO_ABIERTO_HONDURAS_2018-2020.pdf" TargetMode="External"/><Relationship Id="rId63" Type="http://schemas.openxmlformats.org/officeDocument/2006/relationships/hyperlink" Target="https://portalunico.iaip.gob.hn/Archivos/EITI/informes/informes/2017/PLAN%20DE%20TRABAJO%202017_EITI_HN%20%20(va).pdf" TargetMode="External"/><Relationship Id="rId68" Type="http://schemas.openxmlformats.org/officeDocument/2006/relationships/hyperlink" Target="https://www.eitihonduras.org/wp-content/uploads/2020/02/6-de-septiembre-de-2019-.pdf" TargetMode="External"/><Relationship Id="rId76" Type="http://schemas.openxmlformats.org/officeDocument/2006/relationships/hyperlink" Target="http://inhgeomin.gob.hn/images/Documentos/Portal-Transparencia/Leyes/Ley-General-de-Mineria.pdf" TargetMode="External"/><Relationship Id="rId84" Type="http://schemas.openxmlformats.org/officeDocument/2006/relationships/hyperlink" Target="https://www.eitihonduras.org" TargetMode="External"/><Relationship Id="rId89" Type="http://schemas.openxmlformats.org/officeDocument/2006/relationships/hyperlink" Target="https://portalunico.iaip.gob.hn/portal/ver_documento.php?uid=NTIyODQ3ODkzNDc2MzQ4NzEyNDYxOTg3MjM0Mg==" TargetMode="External"/><Relationship Id="rId7" Type="http://schemas.openxmlformats.org/officeDocument/2006/relationships/hyperlink" Target="https://tiempo.hn/iaip-anula-resolucion-declaraba-secreto-informacion-licencias-ambientales1/" TargetMode="External"/><Relationship Id="rId71" Type="http://schemas.openxmlformats.org/officeDocument/2006/relationships/hyperlink" Target="https://portalunico.iaip.gob.hn/portal/ver_documento.php?uid=MzcyNjMxODkzNDc2MzQ4NzEyNDYxOTg3MjM0Mg==" TargetMode="External"/><Relationship Id="rId2" Type="http://schemas.openxmlformats.org/officeDocument/2006/relationships/hyperlink" Target="https://eeas.europa.eu/sites/eeas/files/373045796-eu-eom-honduras-2017-final-report.pdf" TargetMode="External"/><Relationship Id="rId16" Type="http://schemas.openxmlformats.org/officeDocument/2006/relationships/hyperlink" Target="https://eiti.org/document/honduras-20172018-eiti-report" TargetMode="External"/><Relationship Id="rId29" Type="http://schemas.openxmlformats.org/officeDocument/2006/relationships/hyperlink" Target="https://portalunico.iaip.gob.hn/portal/ver_documento.php?uid=NTUwMDgwODkzNDc2MzQ4NzEyNDYxOTg3MjM0Mg==" TargetMode="External"/><Relationship Id="rId11" Type="http://schemas.openxmlformats.org/officeDocument/2006/relationships/hyperlink" Target="https://portalunico.iaip.gob.hn/portal/ver_documento.php?uid=NTAwNzA5ODkzNDc2MzQ4NzEyNDYxOTg3MjM0Mg==" TargetMode="External"/><Relationship Id="rId24" Type="http://schemas.openxmlformats.org/officeDocument/2006/relationships/hyperlink" Target="https://portalunico.iaip.gob.hn/portal/ver_documento.php?uid=NDcyMjU4ODkzNDc2MzQ4NzEyNDYxOTg3MjM0Mg==" TargetMode="External"/><Relationship Id="rId32" Type="http://schemas.openxmlformats.org/officeDocument/2006/relationships/hyperlink" Target="https://tzibalnaah.unah.edu.hn/bitstream/handle/123456789/8638/20180817.pdf?sequence=2&amp;isAllowed=y" TargetMode="External"/><Relationship Id="rId37" Type="http://schemas.openxmlformats.org/officeDocument/2006/relationships/hyperlink" Target="https://eiti.org/sites/default/files/documents/eiti-hn-2014.pdf" TargetMode="External"/><Relationship Id="rId40" Type="http://schemas.openxmlformats.org/officeDocument/2006/relationships/hyperlink" Target="https://portalunico.iaip.gob.hn/portal/ver_documento.php?uid=NTIyODQ3ODkzNDc2MzQ4NzEyNDYxOTg3MjM0Mg==" TargetMode="External"/><Relationship Id="rId45" Type="http://schemas.openxmlformats.org/officeDocument/2006/relationships/hyperlink" Target="https://portalunico.iaip.gob.hn/portal/ver_documento.php?uid=NTAzNzcyODkzNDc2MzQ4NzEyNDYxOTg3MjM0Mg==" TargetMode="External"/><Relationship Id="rId53" Type="http://schemas.openxmlformats.org/officeDocument/2006/relationships/hyperlink" Target="https://cng-cdn.oxfam.org/honduras.oxfam.org/s3fs-public/file_attachments/Teritorios%20en%20Riesgo%20II%20-%20Miner%C3%ADa,%20generaci%C3%B3n%20de%20energ%C3%ADa%20el%C3%A9ctrica%20e%20hidrocarburos%20en%20Honduras.pdf" TargetMode="External"/><Relationship Id="rId58" Type="http://schemas.openxmlformats.org/officeDocument/2006/relationships/hyperlink" Target="https://portalunico.iaip.gob.hn/portal/ver_documento.php?uid=NTg5NDUwODkzNDc2MzQ4NzEyNDYxOTg3MjM0Mg==" TargetMode="External"/><Relationship Id="rId66" Type="http://schemas.openxmlformats.org/officeDocument/2006/relationships/hyperlink" Target="https://portalunico.iaip.gob.hn/portal/ver_documento.php?uid=NTUwMDgwODkzNDc2MzQ4NzEyNDYxOTg3MjM0Mg==" TargetMode="External"/><Relationship Id="rId74" Type="http://schemas.openxmlformats.org/officeDocument/2006/relationships/hyperlink" Target="http://www.sefin.gob.hn/download_file.php?download_file=/wp-content/uploads/2017/02/IVtrim2016_SAR.pdf" TargetMode="External"/><Relationship Id="rId79" Type="http://schemas.openxmlformats.org/officeDocument/2006/relationships/hyperlink" Target="http://www.sefin.gob.hn/cifras-macrofiscales/" TargetMode="External"/><Relationship Id="rId87" Type="http://schemas.openxmlformats.org/officeDocument/2006/relationships/hyperlink" Target="https://cng-cdn.oxfam.org/honduras.oxfam.org/s3fs-public/file_attachments/Teritorios%20en%20Riesgo%20II%20-%20Miner%C3%ADa,%20generaci%C3%B3n%20de%20energ%C3%ADa%20el%C3%A9ctrica%20e%20hidrocarburos%20en%20Honduras.pdf" TargetMode="External"/><Relationship Id="rId5" Type="http://schemas.openxmlformats.org/officeDocument/2006/relationships/hyperlink" Target="https://criterio.hn/socializan-propuesta-reformas-la-ley-mineria-honduras/" TargetMode="External"/><Relationship Id="rId61" Type="http://schemas.openxmlformats.org/officeDocument/2006/relationships/hyperlink" Target="https://portalunico.iaip.gob.hn/portal/ver_documento.php?uid=NTAzNzcyODkzNDc2MzQ4NzEyNDYxOTg3MjM0Mg==" TargetMode="External"/><Relationship Id="rId82" Type="http://schemas.openxmlformats.org/officeDocument/2006/relationships/hyperlink" Target="https://portalunico.iaip.gob.hn/portal/ver_documento.php?uid=NDczNzYzODkzNDc2MzQ4NzEyNDYxOTg3MjM0Mg==" TargetMode="External"/><Relationship Id="rId19" Type="http://schemas.openxmlformats.org/officeDocument/2006/relationships/hyperlink" Target="https://eiti.org/es/documento/guia-para-validacion" TargetMode="External"/><Relationship Id="rId4" Type="http://schemas.openxmlformats.org/officeDocument/2006/relationships/hyperlink" Target="https://tbinternet.ohchr.org/Treaties/CCPR/Shared%20Documents/HND/INT_CCPR_FCO_HND_32139_S.pdf" TargetMode="External"/><Relationship Id="rId9" Type="http://schemas.openxmlformats.org/officeDocument/2006/relationships/hyperlink" Target="https://portalunico.iaip.gob.hn/portal/ver_documento.php?uid=NjYwMDI0ODkzNDc2MzQ4NzEyNDYxOTg3MjM0Mg==" TargetMode="External"/><Relationship Id="rId14" Type="http://schemas.openxmlformats.org/officeDocument/2006/relationships/hyperlink" Target="https://portalunico.iaip.gob.hn/portal/index.php?portal=442" TargetMode="External"/><Relationship Id="rId22" Type="http://schemas.openxmlformats.org/officeDocument/2006/relationships/hyperlink" Target="https://eiti.org/BD/2017-52" TargetMode="External"/><Relationship Id="rId27" Type="http://schemas.openxmlformats.org/officeDocument/2006/relationships/hyperlink" Target="https://portalunico.iaip.gob.hn/portal/ver_documento.php?uid=NDU3Njk2ODkzNDc2MzQ4NzEyNDYxOTg3MjM0Mg==" TargetMode="External"/><Relationship Id="rId30" Type="http://schemas.openxmlformats.org/officeDocument/2006/relationships/hyperlink" Target="https://portalunico.iaip.gob.hn/portal/ver_documento.php?uid=NjYwMDI0ODkzNDc2MzQ4NzEyNDYxOTg3MjM0Mg==" TargetMode="External"/><Relationship Id="rId35" Type="http://schemas.openxmlformats.org/officeDocument/2006/relationships/hyperlink" Target="https://eiti.org/files/documents/honduras_-_plan_de_trabajo_2019_eiti-hn_vff.pdf" TargetMode="External"/><Relationship Id="rId43" Type="http://schemas.openxmlformats.org/officeDocument/2006/relationships/hyperlink" Target="https://www.oas.org/dil/esp/Constitucion_de_Honduras.pdf" TargetMode="External"/><Relationship Id="rId48" Type="http://schemas.openxmlformats.org/officeDocument/2006/relationships/hyperlink" Target="https://foprideh.org/panel-sobre-cambio-climatico-y-gobernanza-de-la-eiti-en-la-comunidades-mineras/" TargetMode="External"/><Relationship Id="rId56" Type="http://schemas.openxmlformats.org/officeDocument/2006/relationships/hyperlink" Target="http://www.miambiente.gob.hn/media/adjuntos/pdf/DNCC/2018-05-10/16%3A35%3A53.282976%2B00%3A00/PNA.pdf" TargetMode="External"/><Relationship Id="rId64" Type="http://schemas.openxmlformats.org/officeDocument/2006/relationships/hyperlink" Target="https://portalunico.iaip.gob.hn/portal/ver_documento.php?uid=MzcyNjMxODkzNDc2MzQ4NzEyNDYxOTg3MjM0Mg==" TargetMode="External"/><Relationship Id="rId69" Type="http://schemas.openxmlformats.org/officeDocument/2006/relationships/hyperlink" Target="https://portalunico.iaip.gob.hn/portal/ver_documento.php?uid=NTUwMDgwODkzNDc2MzQ4NzEyNDYxOTg3MjM0Mg==" TargetMode="External"/><Relationship Id="rId77" Type="http://schemas.openxmlformats.org/officeDocument/2006/relationships/hyperlink" Target="http://www.sefin.gob.hn/wp-content/uploads/Presupuesto/2015/aprobado/Disposiciones%202015.pdf" TargetMode="External"/><Relationship Id="rId8" Type="http://schemas.openxmlformats.org/officeDocument/2006/relationships/hyperlink" Target="https://portalunico.iaip.gob.hn/portal/ver_documento.php?uid=NjYwMDI0ODkzNDc2MzQ4NzEyNDYxOTg3MjM0Mg==" TargetMode="External"/><Relationship Id="rId51" Type="http://schemas.openxmlformats.org/officeDocument/2006/relationships/hyperlink" Target="https://portalunico.iaip.gob.hn/portal/ver_documento.php?uid=NTAwMTQ4ODkzNDc2MzQ4NzEyNDYxOTg3MjM0Mg==" TargetMode="External"/><Relationship Id="rId72" Type="http://schemas.openxmlformats.org/officeDocument/2006/relationships/hyperlink" Target="https://portalunico.iaip.gob.hn/portal/ver_documento.php?uid=NTg5MjkxODkzNDc2MzQ4NzEyNDYxOTg3MjM0Mg==" TargetMode="External"/><Relationship Id="rId80" Type="http://schemas.openxmlformats.org/officeDocument/2006/relationships/hyperlink" Target="https://eiti.org/sites/default/files/documents/eiti-hn-2014.pdf" TargetMode="External"/><Relationship Id="rId85" Type="http://schemas.openxmlformats.org/officeDocument/2006/relationships/hyperlink" Target="http://www.gobiernoabiertohonduras.org/descargas/IV_PLAN_DE_ACCION_DE_ESTADO_ABIERTO_HONDURAS_2018-2020.pdf" TargetMode="External"/><Relationship Id="rId3" Type="http://schemas.openxmlformats.org/officeDocument/2006/relationships/hyperlink" Target="https://undocs.org/A/HRC/40/60/Add.2" TargetMode="External"/><Relationship Id="rId12" Type="http://schemas.openxmlformats.org/officeDocument/2006/relationships/hyperlink" Target="https://portalunico.iaip.gob.hn/portal/ver_documento.php?uid=NjYwMDI0ODkzNDc2MzQ4NzEyNDYxOTg3MjM0Mg==" TargetMode="External"/><Relationship Id="rId17" Type="http://schemas.openxmlformats.org/officeDocument/2006/relationships/hyperlink" Target="https://portalunico.iaip.gob.hn/portal/ver_documento.php?uid=Mzc0NjY5ODkzNDc2MzQ4NzEyNDYxOTg3MjM0Mg==" TargetMode="External"/><Relationship Id="rId25" Type="http://schemas.openxmlformats.org/officeDocument/2006/relationships/hyperlink" Target="https://portalunico.iaip.gob.hn/portal/ver_documento.php?uid=NDU3NzA5ODkzNDc2MzQ4NzEyNDYxOTg3MjM0Mg==" TargetMode="External"/><Relationship Id="rId33" Type="http://schemas.openxmlformats.org/officeDocument/2006/relationships/hyperlink" Target="https://portalunico.iaip.gob.hn/portal/ver_documento.php?uid=NzE3NjI4ODkzNDc2MzQ4NzEyNDYxOTg3MjM0Mg==" TargetMode="External"/><Relationship Id="rId38" Type="http://schemas.openxmlformats.org/officeDocument/2006/relationships/hyperlink" Target="http://www.fedecamarahn.org/fv2/index.php/actividades/alianzas/397-resumen-de-alianzas-y-colaboraciones" TargetMode="External"/><Relationship Id="rId46" Type="http://schemas.openxmlformats.org/officeDocument/2006/relationships/hyperlink" Target="https://portalunico.iaip.gob.hn/portal/ver_documento.php?uid=NDU3NzA5ODkzNDc2MzQ4NzEyNDYxOTg3MjM0Mg==" TargetMode="External"/><Relationship Id="rId59" Type="http://schemas.openxmlformats.org/officeDocument/2006/relationships/hyperlink" Target="https://www.inhgeomin.gob.hn/images/EITI-HN/Informe%20EITI%20-%20Honduras%20periodos%202017-2018.pdf" TargetMode="External"/><Relationship Id="rId67" Type="http://schemas.openxmlformats.org/officeDocument/2006/relationships/hyperlink" Target="https://portalunico.iaip.gob.hn/portal/ver_documento.php?uid=NTAzNzcyODkzNDc2MzQ4NzEyNDYxOTg3MjM0Mg==" TargetMode="External"/><Relationship Id="rId20" Type="http://schemas.openxmlformats.org/officeDocument/2006/relationships/hyperlink" Target="https://eiti.org/document/20152016-honduras-eiti-report" TargetMode="External"/><Relationship Id="rId41" Type="http://schemas.openxmlformats.org/officeDocument/2006/relationships/hyperlink" Target="https://honduras.oxfam.org/press-release/foro-nacional-empresa-derechoshumanos-honduras" TargetMode="External"/><Relationship Id="rId54" Type="http://schemas.openxmlformats.org/officeDocument/2006/relationships/hyperlink" Target="https://fosdeh.com/wp-content/uploads/2019/09/iniciativas-internacionales-transparencia-hn.pdf" TargetMode="External"/><Relationship Id="rId62" Type="http://schemas.openxmlformats.org/officeDocument/2006/relationships/hyperlink" Target="https://portalunico.iaip.gob.hn/portal/ver_documento.php?uid=NTM2NjE4ODkzNDc2MzQ4NzEyNDYxOTg3MjM0Mg==" TargetMode="External"/><Relationship Id="rId70" Type="http://schemas.openxmlformats.org/officeDocument/2006/relationships/hyperlink" Target="https://portalunico.iaip.gob.hn/portal/ver_documento.php?uid=MzcyNjMxODkzNDc2MzQ4NzEyNDYxOTg3MjM0Mg==" TargetMode="External"/><Relationship Id="rId75" Type="http://schemas.openxmlformats.org/officeDocument/2006/relationships/hyperlink" Target="http://www.tsc.gob.hn" TargetMode="External"/><Relationship Id="rId83" Type="http://schemas.openxmlformats.org/officeDocument/2006/relationships/hyperlink" Target="https://portalunico.iaip.gob.hn/portal/index.php?portal=442" TargetMode="External"/><Relationship Id="rId88" Type="http://schemas.openxmlformats.org/officeDocument/2006/relationships/hyperlink" Target="https://portalunico.iaip.gob.hn/portal/ver_documento.php?uid=NDMyNTM1ODkzNDc2MzQ4NzEyNDYxOTg3MjM0Mg==" TargetMode="External"/><Relationship Id="rId1" Type="http://schemas.openxmlformats.org/officeDocument/2006/relationships/hyperlink" Target="https://www.oas.org/en/media_center/press_release.asp?sCodigo=E-092/17" TargetMode="External"/><Relationship Id="rId6" Type="http://schemas.openxmlformats.org/officeDocument/2006/relationships/hyperlink" Target="https://www.laprensa.hn/honduras/1263079-410/propuesta-reforma-ley-mineria-instituto-hondure%C3%B1o-geologia-minas-honduras" TargetMode="External"/><Relationship Id="rId15" Type="http://schemas.openxmlformats.org/officeDocument/2006/relationships/hyperlink" Target="https://portalunico.iaip.gob.hn/portal/ver_documento.php?uid=NTY1OTI3ODkzNDc2MzQ4NzEyNDYxOTg3MjM0Mg==" TargetMode="External"/><Relationship Id="rId23" Type="http://schemas.openxmlformats.org/officeDocument/2006/relationships/hyperlink" Target="https://portalunico.iaip.gob.hn/portal/ver_documento.php?uid=NTY1OTMyODkzNDc2MzQ4NzEyNDYxOTg3MjM0Mg==" TargetMode="External"/><Relationship Id="rId28" Type="http://schemas.openxmlformats.org/officeDocument/2006/relationships/hyperlink" Target="https://www.tsc.gob.hn/web/leyes/Decreto-171-2019.pdf" TargetMode="External"/><Relationship Id="rId36" Type="http://schemas.openxmlformats.org/officeDocument/2006/relationships/hyperlink" Target="https://portalunico.iaip.gob.hn/portal/ver_documento.php?uid=NTIyODQ3ODkzNDc2MzQ4NzEyNDYxOTg3MjM0Mg" TargetMode="External"/><Relationship Id="rId49" Type="http://schemas.openxmlformats.org/officeDocument/2006/relationships/hyperlink" Target="https://portalunico.iaip.gob.hn/portal/ver_documento.php?uid=NDU3Njk2ODkzNDc2MzQ4NzEyNDYxOTg3MjM0Mg==" TargetMode="External"/><Relationship Id="rId57" Type="http://schemas.openxmlformats.org/officeDocument/2006/relationships/hyperlink" Target="https://cng-cdn.oxfam.org/honduras.oxfam.org/s3fs-public/file_attachments/Teritorios%20en%20Riesgo%20II%20-%20Miner%C3%ADa,%20generaci%C3%B3n%20de%20energ%C3%ADa%20el%C3%A9ctrica%20e%20hidrocarburos%20en%20Honduras.pdf" TargetMode="External"/><Relationship Id="rId10" Type="http://schemas.openxmlformats.org/officeDocument/2006/relationships/hyperlink" Target="https://portalunico.iaip.gob.hn/portal/ver_documento.php?uid=NjYwMDI0ODkzNDc2MzQ4NzEyNDYxOTg3MjM0Mg==" TargetMode="External"/><Relationship Id="rId31" Type="http://schemas.openxmlformats.org/officeDocument/2006/relationships/hyperlink" Target="https://portalunico.iaip.gob.hn/portal/ver_documento.php?uid=NTg5MjkxODkzNDc2MzQ4NzEyNDYxOTg3MjM0Mg==" TargetMode="External"/><Relationship Id="rId44" Type="http://schemas.openxmlformats.org/officeDocument/2006/relationships/hyperlink" Target="https://mk0rofifiqa2w3u89nud.kinstacdn.com/wp-content/uploads/Honduras_HondurasNGOD.pdf?_ga=2.109701063.336570538.1591319248-312514858.1591319248" TargetMode="External"/><Relationship Id="rId52" Type="http://schemas.openxmlformats.org/officeDocument/2006/relationships/hyperlink" Target="https://portalunico.iaip.gob.hn/portal/ver_documento.php?uid=NTAwNzA5ODkzNDc2MzQ4NzEyNDYxOTg3MjM0Mg==" TargetMode="External"/><Relationship Id="rId60" Type="http://schemas.openxmlformats.org/officeDocument/2006/relationships/hyperlink" Target="https://portalunico.iaip.gob.hn/portal/ver_documento.php?uid=NTIzMDcyODkzNDc2MzQ4NzEyNDYxOTg3MjM0Mg==" TargetMode="External"/><Relationship Id="rId65" Type="http://schemas.openxmlformats.org/officeDocument/2006/relationships/hyperlink" Target="https://portalunico.iaip.gob.hn/Archivos/EITI/informes/informes/2017/PLAN%20DE%20TRABAJO%202017_EITI_HN%20%20(va).pdf" TargetMode="External"/><Relationship Id="rId73" Type="http://schemas.openxmlformats.org/officeDocument/2006/relationships/hyperlink" Target="https://www.elheraldo.hn/pais/944160-466/el-bid-la-ciat-y-ecuador-asesoran-creaci%C3%B3n-del-sar" TargetMode="External"/><Relationship Id="rId78" Type="http://schemas.openxmlformats.org/officeDocument/2006/relationships/hyperlink" Target="http://www.sefin.gob.hn/wp-content/uploads/Presupuesto/2016/Aprobado/Disposiciones%202016.pdf" TargetMode="External"/><Relationship Id="rId81" Type="http://schemas.openxmlformats.org/officeDocument/2006/relationships/hyperlink" Target="https://portalunico.iaip.gob.hn/portal/ver_documento.php?uid=NDAwMjAwODkzNDc2MzQ4NzEyNDYxOTg3MjM0Mg==" TargetMode="External"/><Relationship Id="rId86" Type="http://schemas.openxmlformats.org/officeDocument/2006/relationships/hyperlink" Target="https://fosdeh.com/wp-content/uploads/2019/09/iniciativas-internacionales-transparencia-hn.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F08D2786879A84C98C986A1D2FE2AC0" ma:contentTypeVersion="10" ma:contentTypeDescription="Create a new document." ma:contentTypeScope="" ma:versionID="974c81e65dfd655bea8fd8ae596cc0f7">
  <xsd:schema xmlns:xsd="http://www.w3.org/2001/XMLSchema" xmlns:xs="http://www.w3.org/2001/XMLSchema" xmlns:p="http://schemas.microsoft.com/office/2006/metadata/properties" xmlns:ns2="0c958bcd-fe3d-4310-8463-0016d19558cc" targetNamespace="http://schemas.microsoft.com/office/2006/metadata/properties" ma:root="true" ma:fieldsID="a58b7b9aa6cd24d5e6d6d60e6e5a2117" ns2:_="">
    <xsd:import namespace="0c958bcd-fe3d-4310-8463-0016d19558c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Location" minOccurs="0"/>
                <xsd:element ref="ns2:MediaServiceGenerationTime" minOccurs="0"/>
                <xsd:element ref="ns2:MediaServiceEventHashCode" minOccurs="0"/>
                <xsd:element ref="ns2:MediaServiceAutoTag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958bcd-fe3d-4310-8463-0016d19558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b:Source>
    <b:Tag>Min13</b:Tag>
    <b:SourceType>InternetSite</b:SourceType>
    <b:Guid>{6DBC4CFF-49E7-FA45-82E4-DED21B94EDFE}</b:Guid>
    <b:Author>
      <b:Author>
        <b:Corporate>Premier Ministre</b:Corporate>
      </b:Author>
    </b:Author>
    <b:Title>Décret n° 2013-881 du 20 juin 2013 portant creation du CN-ITIE</b:Title>
    <b:URL>http://itie.sn/?offshore_dl=591</b:URL>
    <b:Year>2013</b:Year>
    <b:Month>June</b:Month>
    <b:YearAccessed>2017</b:YearAccessed>
    <b:MonthAccessed>July</b:MonthAccessed>
    <b:RefOrder>1</b:RefOrder>
  </b:Source>
  <b:Source>
    <b:Tag>ITI1319</b:Tag>
    <b:SourceType>InternetSite</b:SourceType>
    <b:Guid>{3D994026-5F74-184F-8E2F-2A2AB25B12B6}</b:Guid>
    <b:Author>
      <b:Author>
        <b:Corporate>ITIE Senegal</b:Corporate>
      </b:Author>
    </b:Author>
    <b:Title>Dossier de candidature du Sénégal à l’ITIE</b:Title>
    <b:URL>http://itie.sn/?offshore_dl=490</b:URL>
    <b:Year>2013</b:Year>
    <b:Month>July</b:Month>
    <b:YearAccessed>2017</b:YearAccessed>
    <b:MonthAccessed>July</b:MonthAccessed>
    <b:RefOrder>20</b:RefOrder>
  </b:Source>
  <b:Source>
    <b:Tag>ITI1417</b:Tag>
    <b:SourceType>InternetSite</b:SourceType>
    <b:Guid>{82585325-3C61-4A42-B5EF-791200CF5DCB}</b:Guid>
    <b:Author>
      <b:Author>
        <b:Corporate>ITIE Senegal</b:Corporate>
      </b:Author>
    </b:Author>
    <b:Title>REGLEMENT INTERIEUR DU COMITE NATIONAL DE L’INITIATIVE POUR LA TRANSPARENCE DANS LES INDUSTRIES EXTRACTIVES (CN-ITIE – SENEGAL)</b:Title>
    <b:URL>http://itie.sn/wp-content/uploads/2017/03/reglement-interieur-CN-ITIE-version-finale.pdf</b:URL>
    <b:Year>2014</b:Year>
    <b:YearAccessed>2017</b:YearAccessed>
    <b:MonthAccessed>July</b:MonthAccessed>
    <b:RefOrder>2</b:RefOrder>
  </b:Source>
  <b:Source>
    <b:Tag>Pre161</b:Tag>
    <b:SourceType>InternetSite</b:SourceType>
    <b:Guid>{5583E601-F54F-694E-A8E0-C005B35BD693}</b:Guid>
    <b:Author>
      <b:Author>
        <b:Corporate>President de la Republique</b:Corporate>
      </b:Author>
    </b:Author>
    <b:Title>Arrêté portant Nomination des membres du comité national de l'ITIE</b:Title>
    <b:URL>http://itie.sn/?offshore_dl=621</b:URL>
    <b:Year>2016</b:Year>
    <b:Month>August</b:Month>
    <b:YearAccessed>2017</b:YearAccessed>
    <b:MonthAccessed>July</b:MonthAccessed>
    <b:RefOrder>21</b:RefOrder>
  </b:Source>
  <b:Source>
    <b:Tag>ITI1653</b:Tag>
    <b:SourceType>InternetSite</b:SourceType>
    <b:Guid>{6D075590-3B5F-F448-8B87-091C5FDD1609}</b:Guid>
    <b:Author>
      <b:Author>
        <b:Corporate>ITIE Senegal</b:Corporate>
      </b:Author>
    </b:Author>
    <b:Title>PROCEDURE DE DESIGNATION DES MEMBRES DES COLLEGES DU SECTEUR PRIVE ET DE LA SOCIETE CIVILE DU COMITE NATIONAL DE L’INITIATIVE POUR LA TRANSPARENCE DANS LES INDUSTRIES EXTRACTIVES (CN-ITIE)</b:Title>
    <b:URL>unpublished, provided by EITI Senegal Secretariat</b:URL>
    <b:Year>2016</b:Year>
    <b:Month>August</b:Month>
    <b:YearAccessed>2017</b:YearAccessed>
    <b:MonthAccessed>September</b:MonthAccessed>
    <b:RefOrder>22</b:RefOrder>
  </b:Source>
  <b:Source>
    <b:Tag>MSI152</b:Tag>
    <b:SourceType>InternetSite</b:SourceType>
    <b:Guid>{CE43CB09-2633-EE45-8B4F-4221EDA56934}</b:Guid>
    <b:Author>
      <b:Author>
        <b:Corporate>MSI Integrity</b:Corporate>
      </b:Author>
    </b:Author>
    <b:Title>Protecting the Cornerstone Assessing the Governance of Extractive Industries Transparency Initiative Multi-Stakeholder Groups</b:Title>
    <b:URL>http://www.msi-integrity.org/wp-content/uploads/2015/02/MSI-Integrity-Protecting-The-Cornerstone-Report.pdf</b:URL>
    <b:Year>2015</b:Year>
    <b:Month>February</b:Month>
    <b:YearAccessed>2017</b:YearAccessed>
    <b:MonthAccessed>July</b:MonthAccessed>
    <b:RefOrder>18</b:RefOrder>
  </b:Source>
  <b:Source>
    <b:Tag>Wor162</b:Tag>
    <b:SourceType>InternetSite</b:SourceType>
    <b:Guid>{4C839B83-7B91-8946-8E50-FABEDF1AE8E1}</b:Guid>
    <b:Author>
      <b:Author>
        <b:Corporate>World Bank</b:Corporate>
      </b:Author>
    </b:Author>
    <b:Title>PROJECT PAPER ON A PROPOSED GRANT IN THE AMOUNT OF (US$ 0.30 MILLION EQUIVALENT) TO REPUBLIC OF SENEGAL FOR A SENEGAL SUPPORT TO EXTRACTIVE INDUSTRIES TRANSPARENCY INITIATIVE COMPLIANCE PROCESS PROJECT</b:Title>
    <b:URL>http://documents.worldbank.org/curated/en/373311474563720646/pdf/PP1924-PJPR-OUO-9-Project-Paper-has-been-approved-P160022.pdf</b:URL>
    <b:Year>2016</b:Year>
    <b:Month>May</b:Month>
    <b:YearAccessed>2017</b:YearAccessed>
    <b:MonthAccessed>July</b:MonthAccessed>
    <b:RefOrder>23</b:RefOrder>
  </b:Source>
  <b:Source>
    <b:Tag>ITI1321</b:Tag>
    <b:SourceType>InternetSite</b:SourceType>
    <b:Guid>{1D09F832-C0E6-5D4A-A083-81E8F1D9281F}</b:Guid>
    <b:Author>
      <b:Author>
        <b:Corporate>ITIE Senegal</b:Corporate>
      </b:Author>
    </b:Author>
    <b:Title>Réunion du Comité National des parties prenantes à l’Initiative pour la Transparence dans les Industries Extractives au Sénégal (ITIES)</b:Title>
    <b:URL>http://itie.sn/reunion-du-comite-national-des-parties-prenantes-a-linitiative-pour-la-transparence-dans-les-industries-extractives-au-senegal-ities/</b:URL>
    <b:Year>2013</b:Year>
    <b:Month>December</b:Month>
    <b:YearAccessed>2017</b:YearAccessed>
    <b:MonthAccessed>July</b:MonthAccessed>
    <b:RefOrder>3</b:RefOrder>
  </b:Source>
  <b:Source>
    <b:Tag>ITI1419</b:Tag>
    <b:SourceType>InternetSite</b:SourceType>
    <b:Guid>{0E4E03CD-4194-8649-A9A3-1A245B0FBCB0}</b:Guid>
    <b:Author>
      <b:Author>
        <b:Corporate>ITIE Senegal</b:Corporate>
      </b:Author>
    </b:Author>
    <b:Title>Compte rendu de la réunion de coordination du groupe multipartite</b:Title>
    <b:URL>http://itie.sn/compte-rendu-de-la-reunion-de-coordination-du-groupe-multipartite/</b:URL>
    <b:Year>2014</b:Year>
    <b:Month>September</b:Month>
    <b:YearAccessed>2017</b:YearAccessed>
    <b:MonthAccessed>July</b:MonthAccessed>
    <b:RefOrder>4</b:RefOrder>
  </b:Source>
  <b:Source>
    <b:Tag>ITI1420</b:Tag>
    <b:SourceType>InternetSite</b:SourceType>
    <b:Guid>{337D1070-D554-3840-A727-99DD9409AC49}</b:Guid>
    <b:Author>
      <b:Author>
        <b:Corporate>ITIE Senegal</b:Corporate>
      </b:Author>
    </b:Author>
    <b:Title>Démarrage du processus d’élaboration du premier rapport ITIE du Sénégal</b:Title>
    <b:URL>http://itie.sn/demarrage-du-processus-delaboration-du-premier-rapport-itie-du-senegal/</b:URL>
    <b:Year>2014</b:Year>
    <b:Month>October</b:Month>
    <b:YearAccessed>2017</b:YearAccessed>
    <b:MonthAccessed>July</b:MonthAccessed>
    <b:RefOrder>5</b:RefOrder>
  </b:Source>
  <b:Source>
    <b:Tag>ITI1539</b:Tag>
    <b:SourceType>InternetSite</b:SourceType>
    <b:Guid>{E930F6C0-CB2C-B843-A67A-4D25C602E1C7}</b:Guid>
    <b:Author>
      <b:Author>
        <b:Corporate>ITIE Senegal</b:Corporate>
      </b:Author>
    </b:Author>
    <b:Title>Les Rapports ITIE 2012 et 2013 du Sénégal bientôt disponibles</b:Title>
    <b:URL>http://itie.sn/les-rapports-itie-2012-et-2013-du-senegal-bientot-disponibles/</b:URL>
    <b:Year>2015</b:Year>
    <b:YearAccessed>2017</b:YearAccessed>
    <b:MonthAccessed>July</b:MonthAccessed>
    <b:RefOrder>6</b:RefOrder>
  </b:Source>
  <b:Source>
    <b:Tag>APS161</b:Tag>
    <b:SourceType>InternetSite</b:SourceType>
    <b:Guid>{44D58F62-5F28-C84D-A2A3-D9554FB6C347}</b:Guid>
    <b:Author>
      <b:Author>
        <b:Corporate>APS</b:Corporate>
      </b:Author>
    </b:Author>
    <b:Title>ITIE : Les entreprises encouragées à transmettre leurs déclarations certifiées au plus tard, Vendredi 29 Juillet 2016</b:Title>
    <b:URL>http://itie.sn/itie-les-entreprises-encouragees-a-transmettre-leurs-declarations-certifiees-au-plus-tard-vendredi-29-juillet-2016/</b:URL>
    <b:Year>2016</b:Year>
    <b:Month>July</b:Month>
    <b:YearAccessed>2017</b:YearAccessed>
    <b:MonthAccessed>July</b:MonthAccessed>
    <b:RefOrder>7</b:RefOrder>
  </b:Source>
  <b:Source>
    <b:Tag>LeS161</b:Tag>
    <b:SourceType>InternetSite</b:SourceType>
    <b:Guid>{AFD151BD-B71B-A04A-81B2-E5A63436DFC8}</b:Guid>
    <b:Author>
      <b:Author>
        <b:Corporate>Le Soleil</b:Corporate>
      </b:Author>
    </b:Author>
    <b:Title>Rapport ITIE 2014 : La quasi-totalité des entreprises ont fourni leurs données</b:Title>
    <b:URL>http://itie.sn/rapport-itie-2014-la-quasi-totalite-des-entreprises-ont-fourni-leurs-donnees/</b:URL>
    <b:Year>2016</b:Year>
    <b:Month>July</b:Month>
    <b:YearAccessed>2017</b:YearAccessed>
    <b:MonthAccessed>July</b:MonthAccessed>
    <b:RefOrder>8</b:RefOrder>
  </b:Source>
  <b:Source>
    <b:Tag>LeS162</b:Tag>
    <b:SourceType>InternetSite</b:SourceType>
    <b:Guid>{5759F6D3-C70D-DD4F-B5BF-D3F70E4A8761}</b:Guid>
    <b:Author>
      <b:Author>
        <b:Corporate>Le Sud Quotidien</b:Corporate>
      </b:Author>
    </b:Author>
    <b:Title>Production du Rapport ITIE 2014 : L’Etat d’avancement des travaux jugé satisfaisant</b:Title>
    <b:URL>http://itie.sn/production-du-rapport-itie-2014-letat-davancement-des-travaux-juge-satisfaisant/</b:URL>
    <b:Year>2016</b:Year>
    <b:Month>July</b:Month>
    <b:YearAccessed>2017</b:YearAccessed>
    <b:MonthAccessed>July</b:MonthAccessed>
    <b:RefOrder>9</b:RefOrder>
  </b:Source>
  <b:Source>
    <b:Tag>ITI1632</b:Tag>
    <b:SourceType>InternetSite</b:SourceType>
    <b:Guid>{DC5843DE-3D85-9843-86DD-A7BDADBC9BB1}</b:Guid>
    <b:Author>
      <b:Author>
        <b:Corporate>ITIE Senegal</b:Corporate>
      </b:Author>
    </b:Author>
    <b:Title>Pr Ismaëla Madior Fall, Président du Comité national ITIE : « Ce rapport ITIE de 2014 est de très haute qualité »</b:Title>
    <b:URL>http://itie.sn/pr-ismaela-madior-fall-president-du-comite-national-itie-ce-rapport-itie-de-2014-est-de-tres-haute-qualite/</b:URL>
    <b:Year>2016</b:Year>
    <b:Month>November</b:Month>
    <b:YearAccessed>2017</b:YearAccessed>
    <b:MonthAccessed>July</b:MonthAccessed>
    <b:RefOrder>10</b:RefOrder>
  </b:Source>
  <b:Source>
    <b:Tag>ITI1719</b:Tag>
    <b:SourceType>InternetSite</b:SourceType>
    <b:Guid>{F973FAAF-CA1F-CF41-8CBA-86F1A7B57FCD}</b:Guid>
    <b:Author>
      <b:Author>
        <b:Corporate>ITIE Senegal</b:Corporate>
      </b:Author>
    </b:Author>
    <b:Title>Premier Ministre : « Les entreprises retenues dans le périmètre du rapport ITIE doivent collaborer avec le Comité National en lui soumettant leurs déclarations, selon les modalités définies par la Norme ITIE »</b:Title>
    <b:URL>http://itie.sn/premier-ministre-les-entreprises-retenues-dans-le-perimetre-du-rapport-itie-doivent-collaborer-avec-le-comite-national-en-lui-soumettant-leurs-declarations-selon-les-modalites-definies-par-l/</b:URL>
    <b:Year>2017</b:Year>
    <b:YearAccessed>2017</b:YearAccessed>
    <b:MonthAccessed>July</b:MonthAccessed>
    <b:RefOrder>11</b:RefOrder>
  </b:Source>
  <b:Source>
    <b:Tag>LeQ14</b:Tag>
    <b:SourceType>InternetSite</b:SourceType>
    <b:Guid>{14ED8DBA-9D81-0146-AAA9-C87B982659F6}</b:Guid>
    <b:Author>
      <b:Author>
        <b:Corporate>Le Quotidien</b:Corporate>
      </b:Author>
    </b:Author>
    <b:Title>Mise en œuvre de l’Itie : Le comité national se met à niveau  </b:Title>
    <b:URL>http://itie.sn/mise-en-oeuvre-de-litie-le-comite-national-se-met-a-niveau/</b:URL>
    <b:Year>2014</b:Year>
    <b:YearAccessed>2017</b:YearAccessed>
    <b:MonthAccessed>July</b:MonthAccessed>
    <b:RefOrder>12</b:RefOrder>
  </b:Source>
  <b:Source>
    <b:Tag>ITI1423</b:Tag>
    <b:SourceType>InternetSite</b:SourceType>
    <b:Guid>{84025EEB-A950-904F-8732-AF604CC397C6}</b:Guid>
    <b:Author>
      <b:Author>
        <b:Corporate>ITIE Senegal</b:Corporate>
      </b:Author>
    </b:Author>
    <b:Title>La production du rapport ITIE : Un autre défi pour l’administration sénégalaise</b:Title>
    <b:URL>http://itie.sn/la-production-du-rapport-itie-un-autre-defi-pour-ladministration-senegalaise-2/</b:URL>
    <b:Year>2014</b:Year>
    <b:Month>August</b:Month>
    <b:YearAccessed>2017</b:YearAccessed>
    <b:MonthAccessed>July</b:MonthAccessed>
    <b:RefOrder>13</b:RefOrder>
  </b:Source>
  <b:Source>
    <b:Tag>ITI1418</b:Tag>
    <b:SourceType>InternetSite</b:SourceType>
    <b:Guid>{DD7B55EB-FFA6-3941-A08C-A401385ED0D4}</b:Guid>
    <b:Author>
      <b:Author>
        <b:Corporate>ITIE Senegal</b:Corporate>
      </b:Author>
    </b:Author>
    <b:Title>Compte rendu de la journée de mie à niveau des sociétés minières, pétrolières et gazières sur l’ITIE</b:Title>
    <b:URL>http://itie.sn/compte-rendu-de-la-journee-de-mie-a-niveau-des-societes-minieres-petrolieres-et-gazieres-sur-litie/</b:URL>
    <b:Year>2014</b:Year>
    <b:Month>October</b:Month>
    <b:YearAccessed>2017</b:YearAccessed>
    <b:MonthAccessed>July</b:MonthAccessed>
    <b:RefOrder>14</b:RefOrder>
  </b:Source>
  <b:Source>
    <b:Tag>ITI1535</b:Tag>
    <b:SourceType>InternetSite</b:SourceType>
    <b:Guid>{0929C71D-CC9F-6B40-BD4A-A1D0F7F8F2FC}</b:Guid>
    <b:Author>
      <b:Author>
        <b:Corporate>ITIE Senegal</b:Corporate>
      </b:Author>
    </b:Author>
    <b:Title>Garantir un remplissage efficient des formulaires de collecte des données</b:Title>
    <b:URL>http://itie.sn/garantir-un-remplissage-efficient-des-formulaires-de-collecte-des-donnees/</b:URL>
    <b:Year>2015</b:Year>
    <b:Month>May</b:Month>
    <b:YearAccessed>2017</b:YearAccessed>
    <b:MonthAccessed>July</b:MonthAccessed>
    <b:RefOrder>15</b:RefOrder>
  </b:Source>
  <b:Source>
    <b:Tag>ITI1720</b:Tag>
    <b:SourceType>InternetSite</b:SourceType>
    <b:Guid>{B4AD122C-B016-024B-81CE-FB7A06E6C6FC}</b:Guid>
    <b:Author>
      <b:Author>
        <b:Corporate>ITIE Senegal</b:Corporate>
      </b:Author>
    </b:Author>
    <b:Title>Formation sur la gouvernance pétrolière</b:Title>
    <b:URL>http://itie.sn/formation-sur-la-gouvernance-petroliere/</b:URL>
    <b:Year>2017</b:Year>
    <b:Month>March</b:Month>
    <b:YearAccessed>2017</b:YearAccessed>
    <b:MonthAccessed>July</b:MonthAccessed>
    <b:RefOrder>16</b:RefOrder>
  </b:Source>
  <b:Source>
    <b:Tag>Gou12</b:Tag>
    <b:SourceType>InternetSite</b:SourceType>
    <b:Guid>{C4D0411E-9262-F247-96B3-FE177D8A5014}</b:Guid>
    <b:Author>
      <b:Author>
        <b:Corporate>Gouvernement du Senegal</b:Corporate>
      </b:Author>
    </b:Author>
    <b:Title>Décret n° 2012-1314 du 16 novembre 2012 </b:Title>
    <b:URL>http://www.jo.gouv.sn/spip.php?article9648</b:URL>
    <b:Year>2012</b:Year>
    <b:Month>November</b:Month>
    <b:Day>16</b:Day>
    <b:YearAccessed>2017</b:YearAccessed>
    <b:MonthAccessed>September</b:MonthAccessed>
    <b:RefOrder>17</b:RefOrder>
  </b:Source>
  <b:Source>
    <b:Tag>ITI1537</b:Tag>
    <b:SourceType>InternetSite</b:SourceType>
    <b:Guid>{B1866AFE-D08E-EC47-9724-7842EF9C7AC3}</b:Guid>
    <b:Author>
      <b:Author>
        <b:Corporate>ITIE Senegal</b:Corporate>
      </b:Author>
    </b:Author>
    <b:Title>Production du rapport ITIE : Un autre défi pour l’administration sénégalaise</b:Title>
    <b:URL>http://itie.sn/wp-content/uploads/2015/02/Contribution-du-S%C3%A9cretaire-Permanent-du-Comit%C3%A9-ITIE1.pdf</b:URL>
    <b:Year>2015</b:Year>
    <b:YearAccessed>2017</b:YearAccessed>
    <b:MonthAccessed>July</b:MonthAccessed>
    <b:RefOrder>19</b:RefOrder>
  </b:Source>
</b:Sources>
</file>

<file path=customXml/itemProps1.xml><?xml version="1.0" encoding="utf-8"?>
<ds:datastoreItem xmlns:ds="http://schemas.openxmlformats.org/officeDocument/2006/customXml" ds:itemID="{56D39B36-DFCC-4E58-A547-88567327435F}">
  <ds:schemaRefs>
    <ds:schemaRef ds:uri="http://schemas.microsoft.com/sharepoint/v3/contenttype/forms"/>
  </ds:schemaRefs>
</ds:datastoreItem>
</file>

<file path=customXml/itemProps2.xml><?xml version="1.0" encoding="utf-8"?>
<ds:datastoreItem xmlns:ds="http://schemas.openxmlformats.org/officeDocument/2006/customXml" ds:itemID="{500D7C93-4333-4C62-A862-37304C27DC38}">
  <ds:schemaRefs>
    <ds:schemaRef ds:uri="http://schemas.microsoft.com/office/2006/metadata/properties"/>
    <ds:schemaRef ds:uri="http://purl.org/dc/terms/"/>
    <ds:schemaRef ds:uri="http://schemas.openxmlformats.org/package/2006/metadata/core-properties"/>
    <ds:schemaRef ds:uri="0c958bcd-fe3d-4310-8463-0016d19558cc"/>
    <ds:schemaRef ds:uri="http://schemas.microsoft.com/office/2006/documentManagement/types"/>
    <ds:schemaRef ds:uri="http://schemas.microsoft.com/office/infopath/2007/PartnerControls"/>
    <ds:schemaRef ds:uri="http://purl.org/dc/elements/1.1/"/>
    <ds:schemaRef ds:uri="http://www.w3.org/XML/1998/namespace"/>
    <ds:schemaRef ds:uri="http://purl.org/dc/dcmitype/"/>
  </ds:schemaRefs>
</ds:datastoreItem>
</file>

<file path=customXml/itemProps3.xml><?xml version="1.0" encoding="utf-8"?>
<ds:datastoreItem xmlns:ds="http://schemas.openxmlformats.org/officeDocument/2006/customXml" ds:itemID="{9F2CC4C4-21EC-4389-9E23-BC6ECDDB36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958bcd-fe3d-4310-8463-0016d19558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442DD44-3BBC-44B1-8982-3AD8AA523B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25024</Words>
  <Characters>142637</Characters>
  <Application>Microsoft Office Word</Application>
  <DocSecurity>0</DocSecurity>
  <Lines>1188</Lines>
  <Paragraphs>334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LinksUpToDate>false</LinksUpToDate>
  <CharactersWithSpaces>167327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2020-08-12T11:16:00Z</dcterms:created>
  <dcterms:modified xsi:type="dcterms:W3CDTF">2020-08-12T11:16:00Z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0x010100AF08D2786879A84C98C986A1D2FE2AC0</vt:lpwstr>
  </property>
</Properties>
</file>