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CC870B" w14:textId="12400504" w:rsidR="00056339" w:rsidRPr="005625E1" w:rsidRDefault="00056339" w:rsidP="00F12713">
      <w:pPr>
        <w:spacing w:after="0" w:line="240" w:lineRule="auto"/>
        <w:jc w:val="center"/>
        <w:rPr>
          <w:rFonts w:cstheme="minorHAnsi"/>
          <w:b/>
        </w:rPr>
      </w:pPr>
      <w:r>
        <w:rPr>
          <w:b/>
        </w:rPr>
        <w:t>Validation du Togo</w:t>
      </w:r>
    </w:p>
    <w:p w14:paraId="30323B62" w14:textId="38B61EF8" w:rsidR="00056339" w:rsidRPr="005625E1" w:rsidRDefault="00116C05" w:rsidP="00F12713">
      <w:pPr>
        <w:tabs>
          <w:tab w:val="left" w:pos="1890"/>
        </w:tabs>
        <w:spacing w:after="0" w:line="240" w:lineRule="auto"/>
        <w:jc w:val="center"/>
        <w:rPr>
          <w:rFonts w:cstheme="minorHAnsi"/>
        </w:rPr>
      </w:pPr>
      <w:r>
        <w:t>Projet de rapport de Validation</w:t>
      </w:r>
    </w:p>
    <w:p w14:paraId="7CE3F3AD" w14:textId="2E7299AA" w:rsidR="00056339" w:rsidRPr="005625E1" w:rsidRDefault="00A57147" w:rsidP="00F12713">
      <w:pPr>
        <w:spacing w:after="0" w:line="240" w:lineRule="auto"/>
        <w:jc w:val="center"/>
        <w:rPr>
          <w:rFonts w:cstheme="minorHAnsi"/>
        </w:rPr>
      </w:pPr>
      <w:r>
        <w:t>Adam Smith International, Validateur Indépendant</w:t>
      </w:r>
    </w:p>
    <w:p w14:paraId="649995B7" w14:textId="455E589D" w:rsidR="00056339" w:rsidRPr="005625E1" w:rsidRDefault="00BF777C" w:rsidP="00F12713">
      <w:pPr>
        <w:spacing w:after="0" w:line="240" w:lineRule="auto"/>
        <w:jc w:val="center"/>
        <w:rPr>
          <w:rFonts w:cstheme="minorHAnsi"/>
        </w:rPr>
      </w:pPr>
      <w:r>
        <w:t>8 janvier 2017</w:t>
      </w:r>
    </w:p>
    <w:p w14:paraId="5DA4E47B" w14:textId="77777777" w:rsidR="00FD740D" w:rsidRDefault="00FD740D" w:rsidP="00FD740D">
      <w:pPr>
        <w:spacing w:after="0" w:line="240" w:lineRule="auto"/>
        <w:rPr>
          <w:rFonts w:cstheme="minorHAnsi"/>
        </w:rPr>
      </w:pPr>
    </w:p>
    <w:p w14:paraId="2292AB67" w14:textId="77777777" w:rsidR="00645AC4" w:rsidRDefault="00116C05" w:rsidP="00F12713">
      <w:pPr>
        <w:spacing w:after="0" w:line="240" w:lineRule="auto"/>
        <w:rPr>
          <w:rFonts w:cstheme="minorHAnsi"/>
          <w:b/>
          <w:color w:val="365F91" w:themeColor="accent1" w:themeShade="BF"/>
        </w:rPr>
      </w:pPr>
      <w:r>
        <w:rPr>
          <w:b/>
          <w:color w:val="365F91" w:themeColor="accent1" w:themeShade="BF"/>
        </w:rPr>
        <w:t>1.</w:t>
      </w:r>
      <w:r>
        <w:rPr>
          <w:b/>
          <w:color w:val="365F91" w:themeColor="accent1" w:themeShade="BF"/>
        </w:rPr>
        <w:tab/>
        <w:t xml:space="preserve">RÉSUMÉ ANALYTIQUE </w:t>
      </w:r>
    </w:p>
    <w:p w14:paraId="6F283362" w14:textId="73E5D02E" w:rsidR="00174A91" w:rsidRPr="00174A91" w:rsidRDefault="00174A91" w:rsidP="008A3148">
      <w:pPr>
        <w:spacing w:before="240"/>
        <w:jc w:val="both"/>
        <w:rPr>
          <w:b/>
          <w:bCs/>
        </w:rPr>
      </w:pPr>
      <w:r>
        <w:t xml:space="preserve">Le gouvernement du Togo s’est engagé à mettre en œuvre l’ITIE </w:t>
      </w:r>
      <w:r w:rsidR="00C81921">
        <w:t>lors d’</w:t>
      </w:r>
      <w:r>
        <w:t xml:space="preserve">un lancement officiel le 14 décembre 2009. Le Conseil national de supervision, le Comité de Pilotage et le secrétariat technique ont été créés le 30 mars 2010. En octobre 2010, le pays a accédé au statut de pays candidat à l’ITIE. </w:t>
      </w:r>
    </w:p>
    <w:p w14:paraId="364EC90E" w14:textId="52705BF6" w:rsidR="00645AC4" w:rsidRPr="00763429" w:rsidRDefault="00AF1E33" w:rsidP="008A3148">
      <w:pPr>
        <w:spacing w:after="0" w:line="240" w:lineRule="auto"/>
        <w:jc w:val="both"/>
        <w:rPr>
          <w:rFonts w:cstheme="minorHAnsi"/>
        </w:rPr>
      </w:pPr>
      <w:r>
        <w:t>Le présent projet de rapport de Validation fait suite à un contrôle de la qualité de l’évaluation initiale conduite par le Secrétariat international. Le Validateur souscrit aux constatations de l’évaluation initiale du Secrétariat, selon lesquelles le Togo ne satisfait pas pleinement aux exigences</w:t>
      </w:r>
      <w:r w:rsidR="00222E85">
        <w:t> </w:t>
      </w:r>
      <w:r>
        <w:t>1.4, 1.5, 2.3, 2.4, 2.6, 4.3, 4.5, 5.2 et 7.4.</w:t>
      </w:r>
    </w:p>
    <w:p w14:paraId="0783FB4D" w14:textId="77777777" w:rsidR="00645AC4" w:rsidRDefault="00645AC4" w:rsidP="008A3148">
      <w:pPr>
        <w:spacing w:after="0" w:line="240" w:lineRule="auto"/>
        <w:jc w:val="both"/>
        <w:rPr>
          <w:rFonts w:cstheme="minorHAnsi"/>
          <w:b/>
          <w:color w:val="365F91" w:themeColor="accent1" w:themeShade="BF"/>
        </w:rPr>
      </w:pPr>
    </w:p>
    <w:p w14:paraId="07E1A5A0" w14:textId="6D4C6AF3" w:rsidR="00A20847" w:rsidRPr="005625E1" w:rsidRDefault="00645AC4" w:rsidP="00F12713">
      <w:pPr>
        <w:spacing w:after="0" w:line="240" w:lineRule="auto"/>
        <w:rPr>
          <w:rFonts w:cstheme="minorHAnsi"/>
          <w:b/>
          <w:color w:val="365F91" w:themeColor="accent1" w:themeShade="BF"/>
        </w:rPr>
      </w:pPr>
      <w:r>
        <w:rPr>
          <w:b/>
          <w:color w:val="365F91" w:themeColor="accent1" w:themeShade="BF"/>
        </w:rPr>
        <w:t>2.</w:t>
      </w:r>
      <w:r>
        <w:rPr>
          <w:b/>
          <w:color w:val="365F91" w:themeColor="accent1" w:themeShade="BF"/>
        </w:rPr>
        <w:tab/>
        <w:t>CONTEXTE</w:t>
      </w:r>
    </w:p>
    <w:p w14:paraId="1B0CD6D6" w14:textId="55AD3EC6" w:rsidR="00174A91" w:rsidRDefault="00174A91" w:rsidP="008A3148">
      <w:pPr>
        <w:spacing w:before="240"/>
        <w:jc w:val="both"/>
      </w:pPr>
      <w:r>
        <w:t>Le Togo est un pays subsaharien d’Afrique de l’Ouest dont la population est estimée à 7,3 millions d’habitants</w:t>
      </w:r>
      <w:r>
        <w:rPr>
          <w:rStyle w:val="FootnoteReference"/>
          <w:rFonts w:ascii="Calibri" w:hAnsi="Calibri"/>
          <w:b/>
          <w:bCs/>
        </w:rPr>
        <w:footnoteReference w:id="1"/>
      </w:r>
      <w:r>
        <w:t>. La performance économique au cours des dernières années a fait preuve d’une relative robustesse</w:t>
      </w:r>
      <w:r w:rsidR="00222E85">
        <w:t> </w:t>
      </w:r>
      <w:r>
        <w:t>: la croissance du produit intérieur brut (PIB) a atteint 5 % en moyenne pour la période</w:t>
      </w:r>
      <w:r w:rsidR="00222E85">
        <w:t> </w:t>
      </w:r>
      <w:r>
        <w:t>2014-2016. Le Togo a été touché par plusieurs chocs négatifs, notamment du fait du ralentissement de l’économie au Nigéria et de la baisse des prix des matières premières constituant ses principales exportations, comme le phosphate et le clinker</w:t>
      </w:r>
      <w:r w:rsidR="00222E85">
        <w:t> </w:t>
      </w:r>
      <w:r>
        <w:t>; le gouvernement a cependant mis en place un programme ambitieux d’investissement public qui a contribué à soutenir la demande agrégée en 2015/16. Les principaux moteurs de la croissance économique ont été la production agricole et les industries extractives, ainsi que les activités de négoce. D’après les statistiques fournies par le ministère de l’Économie et des Finances, pour la période</w:t>
      </w:r>
      <w:r w:rsidR="00222E85">
        <w:t> </w:t>
      </w:r>
      <w:r>
        <w:t>2013-2016, le secteur extractif a contribué au PIB du pays à hauteur de 0</w:t>
      </w:r>
      <w:r w:rsidR="00222E85">
        <w:t>,</w:t>
      </w:r>
      <w:r>
        <w:t>2, -0</w:t>
      </w:r>
      <w:r w:rsidR="00222E85">
        <w:t>,</w:t>
      </w:r>
      <w:r>
        <w:t>1, 0</w:t>
      </w:r>
      <w:r w:rsidR="00222E85">
        <w:t>,</w:t>
      </w:r>
      <w:r>
        <w:t>6 et 0</w:t>
      </w:r>
      <w:r w:rsidR="00222E85">
        <w:t>,</w:t>
      </w:r>
      <w:r>
        <w:t>0.</w:t>
      </w:r>
    </w:p>
    <w:p w14:paraId="569AA216" w14:textId="00B13CBF" w:rsidR="00174A91" w:rsidRPr="00F61F36" w:rsidRDefault="00174A91" w:rsidP="008A3148">
      <w:pPr>
        <w:jc w:val="both"/>
      </w:pPr>
      <w:r>
        <w:t>Le Togo produit du fer, du phosphate, du calcaire, du gravier et du sable. Toutefois, les conflits sociaux autour de la redistribution des revenus en faveur des communautés riches en ressources et de la réhabilitation des mines sont nombreux. Le pays a connu un développement important de l’activité minière depuis l’ère coloniale allemande et française</w:t>
      </w:r>
      <w:r>
        <w:rPr>
          <w:rStyle w:val="FootnoteReference"/>
          <w:rFonts w:ascii="Calibri" w:hAnsi="Calibri"/>
          <w:b/>
          <w:bCs/>
        </w:rPr>
        <w:footnoteReference w:id="2"/>
      </w:r>
      <w:r>
        <w:t>. Les opérations minières ont débuté en 1961 avec l’exploitation industrielle du phosphate dans la région maritime, plus précisément à Hahotoé. Le secteur du phosphate est exploité par une seule entreprise de la SNPT, qui gère deux mines à Hahotoé et Kpogame.</w:t>
      </w:r>
    </w:p>
    <w:p w14:paraId="054917BD" w14:textId="585000A6" w:rsidR="00174A91" w:rsidRDefault="00174A91" w:rsidP="008A3148">
      <w:pPr>
        <w:jc w:val="both"/>
      </w:pPr>
      <w:r>
        <w:t>En 1975, l’exploitation industrielle du calcaire a débuté à Tabligbo avec l’installation d’une u</w:t>
      </w:r>
      <w:r w:rsidR="00C81921">
        <w:t xml:space="preserve">sine de fabrication de clinker. </w:t>
      </w:r>
      <w:r>
        <w:t>Le gisement est actuellement exploité par deux entreprises</w:t>
      </w:r>
      <w:r w:rsidR="00222E85">
        <w:t> </w:t>
      </w:r>
      <w:r>
        <w:t>: WACEM et Scantogo Mines pour la production du clinker. En 2006, le gouvernement a signé un accord avec MM Investment Holding Ltd pour l</w:t>
      </w:r>
      <w:r w:rsidR="00222E85">
        <w:t>’</w:t>
      </w:r>
      <w:r>
        <w:t xml:space="preserve">exploitation, le traitement et la commercialisation du minerai de fer, du manganèse, de la bauxite et de la chromite dans la région de Nayéga. En 2010, le gouvernement a accordé un permis à l’entreprise Pomar pour l’exploitation de la mine de marbre de Pagala dans la région de Blittah.  </w:t>
      </w:r>
    </w:p>
    <w:p w14:paraId="602056CB" w14:textId="1035C1F1" w:rsidR="00174A91" w:rsidRDefault="00174A91" w:rsidP="008A3148">
      <w:pPr>
        <w:jc w:val="both"/>
      </w:pPr>
      <w:r>
        <w:t>Le 21 octobre 2010, le gouvernement du Togo et l’entreprise ENI ont signé deux accords de partage pour l’exploration et la production d’hydrocarbures dans les blocs en mer</w:t>
      </w:r>
      <w:r w:rsidR="00222E85">
        <w:t> </w:t>
      </w:r>
      <w:r>
        <w:t>Oti</w:t>
      </w:r>
      <w:r w:rsidR="00C81921">
        <w:t> </w:t>
      </w:r>
      <w:r>
        <w:t>1 et Kara situés dans le « bassin du Dahomey ». En juin 2012, à l’issue de sa première phase d</w:t>
      </w:r>
      <w:r w:rsidR="00222E85">
        <w:t>’</w:t>
      </w:r>
      <w:r>
        <w:t>exploration, l’entreprise ENI a confirmé que les études géologiques avaient révélé la présence d</w:t>
      </w:r>
      <w:r w:rsidR="00222E85">
        <w:t>’</w:t>
      </w:r>
      <w:r>
        <w:t>or noir dans les blocs Oti 1 et Kara 1. À la suite d’un conflit lié à la renégociation du contrat, ENI a mis fin à ses opérations sur les deux blocs susmentionnés. Le gouvernement a entamé des négociations avec d</w:t>
      </w:r>
      <w:r w:rsidR="00222E85">
        <w:t>’</w:t>
      </w:r>
      <w:r>
        <w:t xml:space="preserve">autres opérateurs </w:t>
      </w:r>
      <w:r>
        <w:lastRenderedPageBreak/>
        <w:t>en vue d’octroyer les permis correspondants. Cependant, à ce jour aucune confirmation sur le statut de ces permis ou l</w:t>
      </w:r>
      <w:r w:rsidR="00222E85">
        <w:t>’</w:t>
      </w:r>
      <w:r>
        <w:t xml:space="preserve">annulation des concessions accordées à ENI n’a été rendue publique. </w:t>
      </w:r>
    </w:p>
    <w:p w14:paraId="53AE9F3C" w14:textId="77777777" w:rsidR="00174A91" w:rsidRDefault="00174A91" w:rsidP="008A3148">
      <w:pPr>
        <w:jc w:val="both"/>
      </w:pPr>
      <w:r>
        <w:t xml:space="preserve">À l’heure actuelle, aucune activité de recherche ou d’exploitation des hydrocarbures n’est en cours au Togo. </w:t>
      </w:r>
    </w:p>
    <w:p w14:paraId="6D1F9371" w14:textId="51D0C51C" w:rsidR="00174A91" w:rsidRDefault="00174A91" w:rsidP="008A3148">
      <w:pPr>
        <w:jc w:val="both"/>
      </w:pPr>
      <w:r>
        <w:t xml:space="preserve">Le pays est en train de mettre en place des règlements pour accompagner son Code minier. Ils contiendront de nouvelles dispositions relatives au contenu local, à la déclaration obligatoire des paiements d’entreprise sur la base des comptes vérifiés, et aux initiatives socioéconomiques mises en place par les entreprises dans les communautés locales. Les principales priorités du gouvernement pour le secteur sont liées au projet de développement et de gouvernance minière de la Banque mondiale (PDGM). Le pays compte, dans un délai de cinq ans, moderniser son cadastre minier, institutionnaliser l’audit du secteur et mettre à jour la base de données minière. </w:t>
      </w:r>
    </w:p>
    <w:p w14:paraId="620C5795" w14:textId="1E585563" w:rsidR="00392B71" w:rsidRPr="005625E1" w:rsidRDefault="00EB73CC" w:rsidP="008A3148">
      <w:pPr>
        <w:spacing w:after="0" w:line="240" w:lineRule="auto"/>
        <w:jc w:val="both"/>
        <w:rPr>
          <w:rFonts w:cstheme="minorHAnsi"/>
        </w:rPr>
      </w:pPr>
      <w:r>
        <w:t xml:space="preserve">Conformément au guide de Validation, le Secrétariat international a effectué la première phase de validation </w:t>
      </w:r>
      <w:r w:rsidR="00222E85">
        <w:t>—</w:t>
      </w:r>
      <w:r>
        <w:t xml:space="preserve"> la collecte initiale des données, les consultations avec les parties prenantes, et la préparation de son évaluation initiale des progrès dans la mise en œuvre des exigences de l’ITIE (« évaluation initiale »). Adam Smith International (ASI) a été nommé Validateur Indépendant pour évaluer si le travail du Secrétariat a été effectué conformément au guide de Validation. Les principales responsabilités d’ASI en tant que Validateur sont d’examiner et de modifier l’évaluation initiale, si nécessaire, et de résumer son examen indépendant dans le présent rapport de Validation qui sera soumis au Conseil d’administration par l’intermédiaire du Comité de Validation.  </w:t>
      </w:r>
    </w:p>
    <w:p w14:paraId="17302B13" w14:textId="77777777" w:rsidR="00E75A5A" w:rsidRPr="005625E1" w:rsidRDefault="00E75A5A" w:rsidP="00F12713">
      <w:pPr>
        <w:spacing w:after="0" w:line="240" w:lineRule="auto"/>
        <w:rPr>
          <w:rFonts w:cstheme="minorHAnsi"/>
          <w:b/>
          <w:color w:val="365F91" w:themeColor="accent1" w:themeShade="BF"/>
        </w:rPr>
      </w:pPr>
    </w:p>
    <w:p w14:paraId="2DF12C34" w14:textId="77777777" w:rsidR="00171CE0" w:rsidRPr="005625E1" w:rsidRDefault="00171CE0" w:rsidP="008A3148">
      <w:pPr>
        <w:pStyle w:val="ListParagraph"/>
        <w:numPr>
          <w:ilvl w:val="0"/>
          <w:numId w:val="2"/>
        </w:numPr>
        <w:spacing w:after="0" w:line="240" w:lineRule="auto"/>
        <w:ind w:left="993"/>
        <w:rPr>
          <w:rFonts w:cstheme="minorHAnsi"/>
          <w:b/>
          <w:color w:val="365F91" w:themeColor="accent1" w:themeShade="BF"/>
        </w:rPr>
      </w:pPr>
      <w:r>
        <w:rPr>
          <w:b/>
          <w:color w:val="365F91" w:themeColor="accent1" w:themeShade="BF"/>
        </w:rPr>
        <w:t>Travail effectué par le Validateur Indépendant</w:t>
      </w:r>
    </w:p>
    <w:p w14:paraId="1839987E" w14:textId="77777777" w:rsidR="00803CB3" w:rsidRPr="005625E1" w:rsidRDefault="00803CB3" w:rsidP="00F12713">
      <w:pPr>
        <w:pStyle w:val="ListParagraph"/>
        <w:widowControl w:val="0"/>
        <w:suppressAutoHyphens/>
        <w:spacing w:after="0" w:line="240" w:lineRule="auto"/>
        <w:rPr>
          <w:rFonts w:cstheme="minorHAnsi"/>
        </w:rPr>
      </w:pPr>
    </w:p>
    <w:p w14:paraId="1C24EF9E" w14:textId="4B8892DD" w:rsidR="00E53F90" w:rsidRPr="005625E1" w:rsidRDefault="00F64F77" w:rsidP="008A3148">
      <w:pPr>
        <w:widowControl w:val="0"/>
        <w:suppressAutoHyphens/>
        <w:spacing w:after="0" w:line="240" w:lineRule="auto"/>
        <w:jc w:val="both"/>
        <w:rPr>
          <w:rFonts w:eastAsia="Times New Roman" w:cstheme="minorHAnsi"/>
          <w:bCs/>
          <w:color w:val="FF0000"/>
          <w:highlight w:val="yellow"/>
        </w:rPr>
      </w:pPr>
      <w:r>
        <w:t>L’évaluation initiale du Secrétariat a été transmise à ASI le 19 décembre 2017. Notre équipe de Validation a effectué cette phase du processus de Validation avec les étapes suivantes</w:t>
      </w:r>
      <w:r w:rsidR="00222E85">
        <w:t> </w:t>
      </w:r>
      <w:r>
        <w:t>: (1) examen approfondi et annotation de l’évaluation ITIE par chaque membre de l’équipe</w:t>
      </w:r>
      <w:r w:rsidR="00222E85">
        <w:t> </w:t>
      </w:r>
      <w:r>
        <w:t>; (2) examen détaillé et commentaires du spécialiste des mécanismes multipartites portant sur l’exigence</w:t>
      </w:r>
      <w:r w:rsidR="00222E85">
        <w:t> </w:t>
      </w:r>
      <w:r>
        <w:t>1 et sur le protocole relatif à la société civile</w:t>
      </w:r>
      <w:r w:rsidR="00222E85">
        <w:t> </w:t>
      </w:r>
      <w:r>
        <w:t>; (3) examen détaillé et commentaires du spécialiste financier portant sur les exigences</w:t>
      </w:r>
      <w:r w:rsidR="00222E85">
        <w:t> </w:t>
      </w:r>
      <w:r>
        <w:t>4, 5 et 6</w:t>
      </w:r>
      <w:r w:rsidR="00222E85">
        <w:t> </w:t>
      </w:r>
      <w:r>
        <w:t xml:space="preserve">; (4) consolidation des examens et rédaction du présent projet de rapport de Validation, transmis au Secrétariat international le 8 janvier 2018. </w:t>
      </w:r>
    </w:p>
    <w:p w14:paraId="17014EBA" w14:textId="530A403E" w:rsidR="00572CE5" w:rsidRPr="00CA7E4C" w:rsidRDefault="00572CE5" w:rsidP="00F12713">
      <w:pPr>
        <w:spacing w:after="0" w:line="240" w:lineRule="auto"/>
        <w:rPr>
          <w:rFonts w:cstheme="minorHAnsi"/>
        </w:rPr>
      </w:pPr>
    </w:p>
    <w:p w14:paraId="54B24071" w14:textId="77777777" w:rsidR="00C71C1F" w:rsidRPr="00F62BD3" w:rsidRDefault="00C71C1F" w:rsidP="00392B71">
      <w:pPr>
        <w:pStyle w:val="ListParagraph"/>
        <w:spacing w:after="0" w:line="240" w:lineRule="auto"/>
        <w:rPr>
          <w:rFonts w:cstheme="minorHAnsi"/>
          <w:b/>
        </w:rPr>
      </w:pPr>
    </w:p>
    <w:p w14:paraId="28360106" w14:textId="7A3F215D" w:rsidR="00572CE5" w:rsidRPr="005625E1" w:rsidRDefault="00572CE5" w:rsidP="008A3148">
      <w:pPr>
        <w:pStyle w:val="ListParagraph"/>
        <w:numPr>
          <w:ilvl w:val="0"/>
          <w:numId w:val="2"/>
        </w:numPr>
        <w:spacing w:after="0" w:line="240" w:lineRule="auto"/>
        <w:ind w:left="993" w:hanging="284"/>
        <w:rPr>
          <w:rFonts w:cstheme="minorHAnsi"/>
          <w:b/>
        </w:rPr>
      </w:pPr>
      <w:r>
        <w:rPr>
          <w:b/>
          <w:color w:val="365F91" w:themeColor="accent1" w:themeShade="BF"/>
        </w:rPr>
        <w:t>Commentaires concernant les limites de la Validation</w:t>
      </w:r>
    </w:p>
    <w:p w14:paraId="3AD219A6" w14:textId="77777777" w:rsidR="00572CE5" w:rsidRPr="005625E1" w:rsidRDefault="00572CE5" w:rsidP="00F12713">
      <w:pPr>
        <w:spacing w:after="0" w:line="240" w:lineRule="auto"/>
        <w:rPr>
          <w:rFonts w:cstheme="minorHAnsi"/>
        </w:rPr>
      </w:pPr>
    </w:p>
    <w:p w14:paraId="1888077F" w14:textId="5B8EAB43" w:rsidR="00573AAF" w:rsidRDefault="00865D33" w:rsidP="008A3148">
      <w:pPr>
        <w:widowControl w:val="0"/>
        <w:suppressAutoHyphens/>
        <w:spacing w:after="0" w:line="240" w:lineRule="auto"/>
        <w:jc w:val="both"/>
        <w:rPr>
          <w:rFonts w:eastAsia="Times New Roman" w:cstheme="minorHAnsi"/>
        </w:rPr>
      </w:pPr>
      <w:r>
        <w:t xml:space="preserve">Le Validateur a examiné attentivement l’évaluation initiale du Secrétariat et à ce stade n’a pas de commentaires concernant les limites éventuelles du processus de Validation. </w:t>
      </w:r>
    </w:p>
    <w:p w14:paraId="0B4D135E" w14:textId="77777777" w:rsidR="008A3148" w:rsidRDefault="008A3148" w:rsidP="00F12713">
      <w:pPr>
        <w:widowControl w:val="0"/>
        <w:suppressAutoHyphens/>
        <w:spacing w:after="0" w:line="240" w:lineRule="auto"/>
        <w:rPr>
          <w:rFonts w:eastAsia="Times New Roman" w:cstheme="minorHAnsi"/>
        </w:rPr>
      </w:pPr>
    </w:p>
    <w:p w14:paraId="64D315E3" w14:textId="77777777" w:rsidR="00C71C1F" w:rsidRPr="005625E1" w:rsidRDefault="00C71C1F" w:rsidP="00F12713">
      <w:pPr>
        <w:pStyle w:val="ListParagraph"/>
        <w:spacing w:after="0" w:line="240" w:lineRule="auto"/>
        <w:rPr>
          <w:rFonts w:cstheme="minorHAnsi"/>
          <w:b/>
          <w:color w:val="365F91" w:themeColor="accent1" w:themeShade="BF"/>
        </w:rPr>
      </w:pPr>
    </w:p>
    <w:p w14:paraId="1096F300" w14:textId="3E4AD76F" w:rsidR="00803CB3" w:rsidRPr="005625E1" w:rsidRDefault="00803CB3" w:rsidP="008A3148">
      <w:pPr>
        <w:pStyle w:val="ListParagraph"/>
        <w:numPr>
          <w:ilvl w:val="0"/>
          <w:numId w:val="2"/>
        </w:numPr>
        <w:spacing w:after="0" w:line="240" w:lineRule="auto"/>
        <w:ind w:left="993" w:hanging="284"/>
        <w:rPr>
          <w:rFonts w:cstheme="minorHAnsi"/>
          <w:b/>
          <w:color w:val="365F91" w:themeColor="accent1" w:themeShade="BF"/>
        </w:rPr>
      </w:pPr>
      <w:r>
        <w:rPr>
          <w:b/>
          <w:color w:val="365F91" w:themeColor="accent1" w:themeShade="BF"/>
        </w:rPr>
        <w:t xml:space="preserve">Commentaires sur l’évaluation initiale du Secrétariat international </w:t>
      </w:r>
    </w:p>
    <w:p w14:paraId="14A8ACAE" w14:textId="77777777" w:rsidR="00F62BD3" w:rsidRDefault="00F62BD3" w:rsidP="00F12713">
      <w:pPr>
        <w:spacing w:after="0" w:line="240" w:lineRule="auto"/>
        <w:rPr>
          <w:rFonts w:eastAsia="Times New Roman" w:cstheme="minorHAnsi"/>
        </w:rPr>
      </w:pPr>
    </w:p>
    <w:p w14:paraId="7E32F375" w14:textId="474BD4AF" w:rsidR="00E719C0" w:rsidRPr="00E719C0" w:rsidRDefault="00803CB3" w:rsidP="008A3148">
      <w:pPr>
        <w:spacing w:after="0" w:line="240" w:lineRule="auto"/>
        <w:jc w:val="both"/>
        <w:rPr>
          <w:rFonts w:eastAsia="Times New Roman" w:cstheme="minorHAnsi"/>
        </w:rPr>
      </w:pPr>
      <w:r>
        <w:t>La collecte initiale des données, les consultations avec les parties prenantes et la rédaction de l’évaluation initiale ont globalement été effectuées par le Secrétariat international dans le respect du guide de Validation</w:t>
      </w:r>
      <w:r w:rsidR="00222E85">
        <w:t> </w:t>
      </w:r>
      <w:r>
        <w:t>2016. La collecte des données s</w:t>
      </w:r>
      <w:r w:rsidR="00C81921">
        <w:t xml:space="preserve">’est déroulée en trois phases. </w:t>
      </w:r>
      <w:r>
        <w:t>Tout d</w:t>
      </w:r>
      <w:r w:rsidR="00222E85">
        <w:t>’</w:t>
      </w:r>
      <w:r>
        <w:t>abord, un examen des documents disponibles concernant la conformité du pays à la Norme ITIE a été effectué, portant notamment (sans s’y limiter), sur</w:t>
      </w:r>
      <w:r w:rsidR="00222E85">
        <w:t> </w:t>
      </w:r>
      <w:r>
        <w:t>:</w:t>
      </w:r>
    </w:p>
    <w:p w14:paraId="03B2D900" w14:textId="66E3528A" w:rsidR="00E719C0" w:rsidRPr="00E719C0" w:rsidRDefault="00C81921" w:rsidP="008A3148">
      <w:pPr>
        <w:numPr>
          <w:ilvl w:val="0"/>
          <w:numId w:val="8"/>
        </w:numPr>
        <w:spacing w:before="240" w:after="0" w:line="240" w:lineRule="auto"/>
        <w:rPr>
          <w:rFonts w:eastAsia="Times New Roman" w:cstheme="minorHAnsi"/>
        </w:rPr>
      </w:pPr>
      <w:r>
        <w:t>l</w:t>
      </w:r>
      <w:r w:rsidR="00E719C0">
        <w:t>e plan de travail de l’ITIE et d</w:t>
      </w:r>
      <w:r w:rsidR="00222E85">
        <w:t>’</w:t>
      </w:r>
      <w:r w:rsidR="00E719C0">
        <w:t>autres documents de planification tels que les budgets et plans de communication</w:t>
      </w:r>
      <w:r w:rsidR="00222E85">
        <w:t> </w:t>
      </w:r>
      <w:r w:rsidR="00E719C0">
        <w:t>;</w:t>
      </w:r>
    </w:p>
    <w:p w14:paraId="7F3B9476" w14:textId="3EED5B66" w:rsidR="00E719C0" w:rsidRPr="00E719C0" w:rsidRDefault="00C81921" w:rsidP="00E719C0">
      <w:pPr>
        <w:numPr>
          <w:ilvl w:val="0"/>
          <w:numId w:val="8"/>
        </w:numPr>
        <w:spacing w:after="0" w:line="240" w:lineRule="auto"/>
        <w:rPr>
          <w:rFonts w:eastAsia="Times New Roman" w:cstheme="minorHAnsi"/>
        </w:rPr>
      </w:pPr>
      <w:r>
        <w:t>l</w:t>
      </w:r>
      <w:r w:rsidR="00E719C0">
        <w:t>es Termes de Référence du Groupe multipartite, et les procès-verbaux des réunions du Groupe multipartite</w:t>
      </w:r>
      <w:r w:rsidR="00222E85">
        <w:t> </w:t>
      </w:r>
      <w:r w:rsidR="00E719C0">
        <w:t>;</w:t>
      </w:r>
    </w:p>
    <w:p w14:paraId="2BBB6D4D" w14:textId="2B1BAE92" w:rsidR="00E719C0" w:rsidRPr="00E719C0" w:rsidRDefault="00C81921" w:rsidP="00E719C0">
      <w:pPr>
        <w:numPr>
          <w:ilvl w:val="0"/>
          <w:numId w:val="8"/>
        </w:numPr>
        <w:spacing w:after="0" w:line="240" w:lineRule="auto"/>
        <w:rPr>
          <w:rFonts w:eastAsia="Times New Roman" w:cstheme="minorHAnsi"/>
        </w:rPr>
      </w:pPr>
      <w:r>
        <w:t>l</w:t>
      </w:r>
      <w:r w:rsidR="00E719C0">
        <w:t>es Rapports ITIE et les informations complémentaires telles que les rapports de synthèse et les études préliminaires</w:t>
      </w:r>
      <w:r w:rsidR="00222E85">
        <w:t> </w:t>
      </w:r>
      <w:r w:rsidR="00E719C0">
        <w:t>;</w:t>
      </w:r>
    </w:p>
    <w:p w14:paraId="505CF551" w14:textId="381B3F1A" w:rsidR="00E719C0" w:rsidRPr="00E719C0" w:rsidRDefault="00C81921" w:rsidP="00E719C0">
      <w:pPr>
        <w:numPr>
          <w:ilvl w:val="0"/>
          <w:numId w:val="8"/>
        </w:numPr>
        <w:spacing w:after="0" w:line="240" w:lineRule="auto"/>
        <w:rPr>
          <w:rFonts w:eastAsia="Times New Roman" w:cstheme="minorHAnsi"/>
        </w:rPr>
      </w:pPr>
      <w:r>
        <w:t>l</w:t>
      </w:r>
      <w:r w:rsidR="00E719C0">
        <w:t>es supports de communication</w:t>
      </w:r>
      <w:r w:rsidR="00222E85">
        <w:t> </w:t>
      </w:r>
      <w:r w:rsidR="00E719C0">
        <w:t>;</w:t>
      </w:r>
    </w:p>
    <w:p w14:paraId="193C162B" w14:textId="16CAEF13" w:rsidR="00E719C0" w:rsidRPr="00E719C0" w:rsidRDefault="00C81921" w:rsidP="00E719C0">
      <w:pPr>
        <w:numPr>
          <w:ilvl w:val="0"/>
          <w:numId w:val="8"/>
        </w:numPr>
        <w:spacing w:after="0" w:line="240" w:lineRule="auto"/>
        <w:rPr>
          <w:rFonts w:eastAsia="Times New Roman" w:cstheme="minorHAnsi"/>
        </w:rPr>
      </w:pPr>
      <w:r>
        <w:t>l</w:t>
      </w:r>
      <w:r w:rsidR="00E719C0">
        <w:t>es rapports annuels d’avancement</w:t>
      </w:r>
      <w:r w:rsidR="00222E85">
        <w:t> </w:t>
      </w:r>
      <w:r w:rsidR="00E719C0">
        <w:t xml:space="preserve">; et </w:t>
      </w:r>
    </w:p>
    <w:p w14:paraId="312B3F1F" w14:textId="4B2EB16C" w:rsidR="00E719C0" w:rsidRPr="00E719C0" w:rsidRDefault="00C81921" w:rsidP="00E719C0">
      <w:pPr>
        <w:numPr>
          <w:ilvl w:val="0"/>
          <w:numId w:val="8"/>
        </w:numPr>
        <w:spacing w:after="0" w:line="240" w:lineRule="auto"/>
        <w:rPr>
          <w:rFonts w:eastAsia="Times New Roman" w:cstheme="minorHAnsi"/>
        </w:rPr>
      </w:pPr>
      <w:r>
        <w:lastRenderedPageBreak/>
        <w:t>t</w:t>
      </w:r>
      <w:r w:rsidR="00E719C0">
        <w:t xml:space="preserve">outes autres informations pertinentes pour la Validation. </w:t>
      </w:r>
    </w:p>
    <w:p w14:paraId="2E5EFC1C" w14:textId="77777777" w:rsidR="00E719C0" w:rsidRDefault="00E719C0" w:rsidP="00F12713">
      <w:pPr>
        <w:spacing w:after="0" w:line="240" w:lineRule="auto"/>
        <w:rPr>
          <w:rFonts w:eastAsia="Times New Roman" w:cstheme="minorHAnsi"/>
        </w:rPr>
      </w:pPr>
    </w:p>
    <w:p w14:paraId="127CC6F7" w14:textId="3D835DA6" w:rsidR="00E719C0" w:rsidRDefault="00E719C0" w:rsidP="008A3148">
      <w:pPr>
        <w:spacing w:after="0" w:line="240" w:lineRule="auto"/>
        <w:jc w:val="both"/>
        <w:rPr>
          <w:rFonts w:cstheme="minorHAnsi"/>
        </w:rPr>
      </w:pPr>
      <w:r>
        <w:t xml:space="preserve">Ensuite, une visite sur le terrain a eu lieu du 19 au 26 avril 2017. Toutes les réunions se sont tenues à </w:t>
      </w:r>
      <w:r>
        <w:rPr>
          <w:rFonts w:ascii="Calibri" w:hAnsi="Calibri"/>
          <w:b/>
          <w:bCs/>
        </w:rPr>
        <w:t>Lomé et à Palimé</w:t>
      </w:r>
      <w:r>
        <w:rPr>
          <w:rFonts w:ascii="Calibri" w:hAnsi="Calibri"/>
          <w:bCs/>
        </w:rPr>
        <w:t>, au Togo</w:t>
      </w:r>
      <w:r>
        <w:t xml:space="preserve">. Le Secrétariat a rencontré le Groupe multipartite et ses membres, l’Administrateur Indépendant et d’autres parties prenantes clés, y compris les groupes d’acteurs représentés au sein du Groupe multipartite sans toutefois y siéger directement. </w:t>
      </w:r>
    </w:p>
    <w:p w14:paraId="3A202C2B" w14:textId="77777777" w:rsidR="00E719C0" w:rsidRDefault="00E719C0" w:rsidP="008A3148">
      <w:pPr>
        <w:spacing w:after="0" w:line="240" w:lineRule="auto"/>
        <w:jc w:val="both"/>
        <w:rPr>
          <w:rFonts w:cstheme="minorHAnsi"/>
        </w:rPr>
      </w:pPr>
    </w:p>
    <w:p w14:paraId="0A5DE1F5" w14:textId="3D52470D" w:rsidR="006B688F" w:rsidRDefault="006B688F" w:rsidP="008A3148">
      <w:pPr>
        <w:spacing w:after="0" w:line="240" w:lineRule="auto"/>
        <w:jc w:val="both"/>
        <w:rPr>
          <w:rFonts w:cstheme="minorHAnsi"/>
        </w:rPr>
      </w:pPr>
      <w:r>
        <w:t xml:space="preserve">Enfin, le Secrétariat international a préparé un rapport effectuant une évaluation initiale des progrès dans la mise en œuvre des exigences conformément au guide de Validation. L’évaluation initiale ne propose pas d’évaluation générale de la conformité. Le rapport a été soumis au Validateur, le Coordinateur national (CN) en ayant également reçu une copie. </w:t>
      </w:r>
    </w:p>
    <w:p w14:paraId="4E7695CD" w14:textId="77777777" w:rsidR="00BE48E7" w:rsidRDefault="00BE48E7" w:rsidP="00F12713">
      <w:pPr>
        <w:spacing w:after="0" w:line="240" w:lineRule="auto"/>
        <w:rPr>
          <w:rFonts w:cstheme="minorHAnsi"/>
        </w:rPr>
      </w:pPr>
    </w:p>
    <w:p w14:paraId="14236177" w14:textId="3E334AE3" w:rsidR="007C0497" w:rsidRPr="005625E1" w:rsidRDefault="007C0497" w:rsidP="00F12713">
      <w:pPr>
        <w:spacing w:after="0" w:line="240" w:lineRule="auto"/>
        <w:rPr>
          <w:rFonts w:eastAsia="Calibri" w:cstheme="minorHAnsi"/>
          <w:color w:val="FF0000"/>
          <w:lang w:bidi="en-US"/>
        </w:rPr>
      </w:pPr>
    </w:p>
    <w:p w14:paraId="2C5EE03B" w14:textId="77777777" w:rsidR="00803CB3" w:rsidRPr="005625E1" w:rsidRDefault="00803CB3" w:rsidP="00F12713">
      <w:pPr>
        <w:spacing w:after="0" w:line="240" w:lineRule="auto"/>
        <w:rPr>
          <w:rFonts w:cstheme="minorHAnsi"/>
          <w:b/>
          <w:color w:val="365F91" w:themeColor="accent1" w:themeShade="BF"/>
        </w:rPr>
      </w:pPr>
      <w:r>
        <w:rPr>
          <w:b/>
          <w:color w:val="365F91" w:themeColor="accent1" w:themeShade="BF"/>
        </w:rPr>
        <w:t xml:space="preserve">2. </w:t>
      </w:r>
      <w:r>
        <w:rPr>
          <w:b/>
          <w:color w:val="365F91" w:themeColor="accent1" w:themeShade="BF"/>
        </w:rPr>
        <w:tab/>
        <w:t>COMMENTAIRES GÉNÉRAUX</w:t>
      </w:r>
    </w:p>
    <w:p w14:paraId="4ECD14A5" w14:textId="77777777" w:rsidR="007C0497" w:rsidRDefault="007C0497" w:rsidP="00F12713">
      <w:pPr>
        <w:spacing w:after="0" w:line="240" w:lineRule="auto"/>
        <w:rPr>
          <w:rFonts w:cstheme="minorHAnsi"/>
          <w:b/>
          <w:color w:val="365F91" w:themeColor="accent1" w:themeShade="BF"/>
        </w:rPr>
      </w:pPr>
    </w:p>
    <w:p w14:paraId="33798BBC" w14:textId="77777777" w:rsidR="00F46036" w:rsidRPr="005625E1" w:rsidRDefault="00F46036" w:rsidP="00F12713">
      <w:pPr>
        <w:spacing w:after="0" w:line="240" w:lineRule="auto"/>
        <w:rPr>
          <w:rFonts w:cstheme="minorHAnsi"/>
          <w:b/>
          <w:color w:val="365F91" w:themeColor="accent1" w:themeShade="BF"/>
        </w:rPr>
      </w:pPr>
    </w:p>
    <w:p w14:paraId="2C9DD649" w14:textId="77777777" w:rsidR="007C0497" w:rsidRPr="005625E1" w:rsidRDefault="007C0497" w:rsidP="00F12713">
      <w:pPr>
        <w:pStyle w:val="ListParagraph"/>
        <w:numPr>
          <w:ilvl w:val="0"/>
          <w:numId w:val="1"/>
        </w:numPr>
        <w:spacing w:after="0" w:line="240" w:lineRule="auto"/>
        <w:rPr>
          <w:rFonts w:cstheme="minorHAnsi"/>
          <w:b/>
          <w:color w:val="365F91" w:themeColor="accent1" w:themeShade="BF"/>
        </w:rPr>
      </w:pPr>
      <w:r>
        <w:rPr>
          <w:b/>
          <w:color w:val="365F91" w:themeColor="accent1" w:themeShade="BF"/>
        </w:rPr>
        <w:t xml:space="preserve">Progrès dans la mise en œuvre de l’ITIE  </w:t>
      </w:r>
    </w:p>
    <w:p w14:paraId="7D60F9DB" w14:textId="77777777" w:rsidR="007C0497" w:rsidRPr="005625E1" w:rsidRDefault="007C0497" w:rsidP="00F12713">
      <w:pPr>
        <w:spacing w:after="0" w:line="240" w:lineRule="auto"/>
        <w:rPr>
          <w:rFonts w:cstheme="minorHAnsi"/>
          <w:color w:val="FF0000"/>
        </w:rPr>
      </w:pPr>
    </w:p>
    <w:p w14:paraId="05726061" w14:textId="5959576C" w:rsidR="004E2A3B" w:rsidRDefault="004E2A3B" w:rsidP="008A3148">
      <w:pPr>
        <w:spacing w:after="0"/>
        <w:jc w:val="both"/>
        <w:rPr>
          <w:rFonts w:ascii="Calibri" w:hAnsi="Calibri"/>
        </w:rPr>
      </w:pPr>
      <w:r>
        <w:rPr>
          <w:rFonts w:ascii="Calibri" w:hAnsi="Calibri"/>
        </w:rPr>
        <w:t xml:space="preserve">Au Togo, l’ITIE couvre non seulement le secteur des hydrocarbures, des minéraux solides et des carrières, mais également l’exploitation des nappes phréatiques, le secteur du transport et la commercialisation des minéraux précieux (en aval). Le Togo représente un cas dynamique de mise en œuvre de l’ITIE avec une équipe nationale volontaire qui possède une bonne compréhension des ressorts gouvernant la mise en œuvre de l’ITIE. Ceci se reflète dans la grande qualité des documents accompagnant la mise en œuvre, tels que les plans de travail et les rapports annuels d’avancement, ainsi que dans les consultations entre les parties prenantes sur ces documents. Cependant, des améliorations sont possibles de manière plus générale à l’échelle du secteur.  </w:t>
      </w:r>
    </w:p>
    <w:p w14:paraId="0FE8275B" w14:textId="77777777" w:rsidR="004E2A3B" w:rsidRDefault="004E2A3B" w:rsidP="008A3148">
      <w:pPr>
        <w:spacing w:after="0"/>
        <w:jc w:val="both"/>
        <w:rPr>
          <w:rFonts w:ascii="Calibri" w:hAnsi="Calibri"/>
        </w:rPr>
      </w:pPr>
    </w:p>
    <w:p w14:paraId="583A97C9" w14:textId="31EA3E4A" w:rsidR="004E2A3B" w:rsidRDefault="004E2A3B" w:rsidP="008A3148">
      <w:pPr>
        <w:spacing w:after="0"/>
        <w:jc w:val="both"/>
        <w:rPr>
          <w:rFonts w:ascii="Calibri" w:hAnsi="Calibri"/>
        </w:rPr>
      </w:pPr>
      <w:r>
        <w:rPr>
          <w:rFonts w:ascii="Calibri" w:hAnsi="Calibri"/>
        </w:rPr>
        <w:t>L’ITIE joue un rôle important dans la fourniture de statistiques sur le secteur minier, étant donné la rareté des statistiques nationales. Le document stratégique de réduction de la pauvreté au Togo du Fonds monétaire international (FMI) datant de 2014</w:t>
      </w:r>
      <w:r>
        <w:rPr>
          <w:rStyle w:val="FootnoteReference"/>
          <w:rFonts w:ascii="Calibri" w:hAnsi="Calibri"/>
        </w:rPr>
        <w:footnoteReference w:id="3"/>
      </w:r>
      <w:r>
        <w:rPr>
          <w:rFonts w:ascii="Calibri" w:hAnsi="Calibri"/>
        </w:rPr>
        <w:t xml:space="preserve"> note que « compte tenu de l’état actuel du système statistique national, le gouvernement a entrepris des réformes institutionnelles et juridiques pour renforcer les capacités du système, en mettant en place la stratégie nationale de développement de la statistique en mai 2010 ». Ceci a donné lieu à la création du Conseil National de la Statistique (CNS) le 3 juin 2011, qui coordonne, guide et donne de l</w:t>
      </w:r>
      <w:r w:rsidR="00222E85">
        <w:rPr>
          <w:rFonts w:ascii="Calibri" w:hAnsi="Calibri"/>
        </w:rPr>
        <w:t>’</w:t>
      </w:r>
      <w:r>
        <w:rPr>
          <w:rFonts w:ascii="Calibri" w:hAnsi="Calibri"/>
        </w:rPr>
        <w:t>impulsion au système statistique national. Les avantages de la mise en œuvre de l’ITIE sont également économiques, dans la mesure où le processus permet de corriger les erreurs et d’améliorer la gouvernance des revenus de l’État, tant au niveau central qu’infranational. Sans être pour l</w:t>
      </w:r>
      <w:r w:rsidR="00222E85">
        <w:rPr>
          <w:rFonts w:ascii="Calibri" w:hAnsi="Calibri"/>
        </w:rPr>
        <w:t>’</w:t>
      </w:r>
      <w:r>
        <w:rPr>
          <w:rFonts w:ascii="Calibri" w:hAnsi="Calibri"/>
        </w:rPr>
        <w:t xml:space="preserve">instant totalement exhaustifs, les Rapports ITIE sont la seule source d’information concernant la production et l’emploi dans le secteur minier du Togo. La mise en œuvre de l’ITIE a permis aux autorités financières du pays, notamment au Commissariat des impôts (CI) et au Commissariat des douanes et des droits indirects (CDDI) d’identifier les faiblesses de leurs systèmes d’information et de prendre des mesures pour y remédier.  </w:t>
      </w:r>
    </w:p>
    <w:p w14:paraId="15E57C46" w14:textId="77777777" w:rsidR="00325E55" w:rsidRDefault="00325E55" w:rsidP="00F46036">
      <w:pPr>
        <w:spacing w:after="0" w:line="240" w:lineRule="auto"/>
        <w:rPr>
          <w:rFonts w:cstheme="minorHAnsi"/>
        </w:rPr>
      </w:pPr>
    </w:p>
    <w:p w14:paraId="23D51BBE" w14:textId="1130FA5E" w:rsidR="00172322" w:rsidRDefault="00172322" w:rsidP="00F12713">
      <w:pPr>
        <w:spacing w:after="0" w:line="240" w:lineRule="auto"/>
        <w:rPr>
          <w:rFonts w:cstheme="minorHAnsi"/>
          <w:color w:val="FF0000"/>
        </w:rPr>
      </w:pPr>
    </w:p>
    <w:p w14:paraId="3EA7C111" w14:textId="77777777" w:rsidR="00406FF1" w:rsidRPr="005625E1" w:rsidRDefault="00CE3B4B" w:rsidP="00F12713">
      <w:pPr>
        <w:pStyle w:val="ListParagraph"/>
        <w:numPr>
          <w:ilvl w:val="0"/>
          <w:numId w:val="1"/>
        </w:numPr>
        <w:spacing w:after="0" w:line="240" w:lineRule="auto"/>
        <w:rPr>
          <w:rFonts w:cstheme="minorHAnsi"/>
          <w:b/>
          <w:color w:val="365F91" w:themeColor="accent1" w:themeShade="BF"/>
        </w:rPr>
      </w:pPr>
      <w:r>
        <w:rPr>
          <w:b/>
          <w:color w:val="365F91" w:themeColor="accent1" w:themeShade="BF"/>
        </w:rPr>
        <w:t>Impact de la mise en œuvre de l’ITIE</w:t>
      </w:r>
    </w:p>
    <w:p w14:paraId="7E8E1DC7" w14:textId="77777777" w:rsidR="005625E1" w:rsidRPr="005625E1" w:rsidRDefault="005625E1" w:rsidP="00F12713">
      <w:pPr>
        <w:spacing w:after="0" w:line="240" w:lineRule="auto"/>
        <w:rPr>
          <w:rFonts w:cstheme="minorHAnsi"/>
          <w:color w:val="FF0000"/>
        </w:rPr>
      </w:pPr>
    </w:p>
    <w:p w14:paraId="1E1833DB" w14:textId="3E7F51B5" w:rsidR="004E2A3B" w:rsidRDefault="004E2A3B" w:rsidP="008A3148">
      <w:pPr>
        <w:spacing w:after="0"/>
        <w:jc w:val="both"/>
        <w:rPr>
          <w:rFonts w:ascii="Calibri" w:hAnsi="Calibri"/>
        </w:rPr>
      </w:pPr>
      <w:r>
        <w:rPr>
          <w:rFonts w:ascii="Calibri" w:hAnsi="Calibri"/>
        </w:rPr>
        <w:t xml:space="preserve">L’engagement renouvelé du gouvernement à améliorer la transparence du secteur s’est manifesté sous plusieurs formes. Le gouvernement a recruté un expert chargé de réviser le Code minier, en mettant la transparence au cœur de la gestion du secteur. En outre, le 14 juillet 2015, l’Assemblée nationale a adopté à l’unanimité la loi portant création de </w:t>
      </w:r>
      <w:r>
        <w:rPr>
          <w:rFonts w:ascii="Calibri" w:hAnsi="Calibri"/>
        </w:rPr>
        <w:lastRenderedPageBreak/>
        <w:t>la Haute Autorité de prévention et de lutte contre la corruption et les infractions assimilées</w:t>
      </w:r>
      <w:r>
        <w:rPr>
          <w:rStyle w:val="FootnoteReference"/>
          <w:rFonts w:ascii="Calibri" w:hAnsi="Calibri"/>
        </w:rPr>
        <w:footnoteReference w:id="4"/>
      </w:r>
      <w:r>
        <w:rPr>
          <w:rFonts w:ascii="Calibri" w:hAnsi="Calibri"/>
        </w:rPr>
        <w:t xml:space="preserve">. L’Office togolais des recettes (OTR) a mis en place un numéro vert permettant au public de signaler les cas de corruption.  </w:t>
      </w:r>
    </w:p>
    <w:p w14:paraId="218A1BFF" w14:textId="77777777" w:rsidR="004E2A3B" w:rsidRDefault="004E2A3B" w:rsidP="008A3148">
      <w:pPr>
        <w:spacing w:after="0"/>
        <w:jc w:val="both"/>
        <w:rPr>
          <w:rFonts w:ascii="Calibri" w:hAnsi="Calibri"/>
        </w:rPr>
      </w:pPr>
    </w:p>
    <w:p w14:paraId="61F17FB8" w14:textId="60279B9A" w:rsidR="008A3148" w:rsidRDefault="004E2A3B" w:rsidP="008A3148">
      <w:pPr>
        <w:tabs>
          <w:tab w:val="left" w:pos="6804"/>
        </w:tabs>
        <w:spacing w:after="0"/>
        <w:jc w:val="both"/>
        <w:rPr>
          <w:rFonts w:ascii="Calibri" w:hAnsi="Calibri"/>
        </w:rPr>
      </w:pPr>
      <w:r>
        <w:rPr>
          <w:rFonts w:ascii="Calibri" w:hAnsi="Calibri"/>
        </w:rPr>
        <w:t>L’impact social de l’ITIE est principalement visible dans les communautés minières. En 2014, le représentant de la société civile au sein du GMP, COMINTES, a bénéficié d’un financement du projet d</w:t>
      </w:r>
      <w:r w:rsidR="00222E85">
        <w:rPr>
          <w:rFonts w:ascii="Calibri" w:hAnsi="Calibri"/>
        </w:rPr>
        <w:t>’</w:t>
      </w:r>
      <w:r>
        <w:rPr>
          <w:rFonts w:ascii="Calibri" w:hAnsi="Calibri"/>
        </w:rPr>
        <w:t xml:space="preserve">appui à la réconciliation nationale et à la société civile de l’Union européenne. Parallèlement à l’ITIE, COMINTES a axé ses efforts sur le plaidoyer et la bonne gouvernance, notamment dans le cadre de l’exploitation du fer à Bangéli, dans la préfecture de Bassar. La mise en œuvre de l’ITIE a donné lieu à un examen et une surveillance accrus des transferts infranationaux en direction des autorités locales. Les préfectures de Vo et de Zio ont utilisé ces fonds pour la construction d’infrastructures sociales telles que des marchés, des installations sanitaires et de nouveaux bureaux. La mise en œuvre de l’ITIE a également permis d’accroître la visibilité des contributions volontaires en appui aux projets locaux et d’améliorer les relations entre les entreprises et les communautés locales. </w:t>
      </w:r>
    </w:p>
    <w:p w14:paraId="4730C240" w14:textId="08BDA3C4" w:rsidR="00056339" w:rsidRDefault="00C71C1F" w:rsidP="008A3148">
      <w:pPr>
        <w:tabs>
          <w:tab w:val="left" w:pos="6804"/>
        </w:tabs>
        <w:spacing w:after="0"/>
        <w:jc w:val="both"/>
        <w:rPr>
          <w:rFonts w:cstheme="minorHAnsi"/>
          <w:b/>
          <w:color w:val="365F91" w:themeColor="accent1" w:themeShade="BF"/>
        </w:rPr>
      </w:pPr>
      <w:r>
        <w:br w:type="page"/>
      </w:r>
      <w:r>
        <w:rPr>
          <w:b/>
          <w:color w:val="365F91" w:themeColor="accent1" w:themeShade="BF"/>
        </w:rPr>
        <w:lastRenderedPageBreak/>
        <w:t xml:space="preserve">Évaluation de la conformité d’après le Validateur Indépendant </w:t>
      </w:r>
    </w:p>
    <w:p w14:paraId="6E405B96" w14:textId="77777777" w:rsidR="008A3148" w:rsidRPr="008A3148" w:rsidRDefault="008A3148" w:rsidP="008A3148">
      <w:pPr>
        <w:tabs>
          <w:tab w:val="left" w:pos="6804"/>
        </w:tabs>
        <w:spacing w:after="0"/>
        <w:jc w:val="both"/>
        <w:rPr>
          <w:rFonts w:ascii="Calibri" w:hAnsi="Calibri"/>
        </w:rPr>
      </w:pPr>
    </w:p>
    <w:p w14:paraId="6A711829" w14:textId="7FF1FE52" w:rsidR="002D2440" w:rsidRPr="005625E1" w:rsidRDefault="002D2440" w:rsidP="00F12713">
      <w:pPr>
        <w:spacing w:after="0" w:line="240" w:lineRule="auto"/>
        <w:rPr>
          <w:rFonts w:eastAsia="Calibri" w:cstheme="minorHAnsi"/>
          <w:i/>
          <w:color w:val="365F91" w:themeColor="accent1" w:themeShade="BF"/>
        </w:rPr>
      </w:pPr>
      <w:r>
        <w:rPr>
          <w:i/>
          <w:color w:val="365F91" w:themeColor="accent1" w:themeShade="BF"/>
        </w:rPr>
        <w:t>Figure</w:t>
      </w:r>
      <w:r w:rsidR="00222E85">
        <w:rPr>
          <w:i/>
          <w:color w:val="365F91" w:themeColor="accent1" w:themeShade="BF"/>
        </w:rPr>
        <w:t> </w:t>
      </w:r>
      <w:r>
        <w:rPr>
          <w:i/>
          <w:color w:val="365F91" w:themeColor="accent1" w:themeShade="BF"/>
        </w:rPr>
        <w:t xml:space="preserve">1 </w:t>
      </w:r>
      <w:r w:rsidR="00222E85">
        <w:rPr>
          <w:i/>
          <w:color w:val="365F91" w:themeColor="accent1" w:themeShade="BF"/>
        </w:rPr>
        <w:t>—</w:t>
      </w:r>
      <w:r>
        <w:rPr>
          <w:i/>
          <w:color w:val="365F91" w:themeColor="accent1" w:themeShade="BF"/>
        </w:rPr>
        <w:t xml:space="preserve"> Évaluation du Validateur</w:t>
      </w:r>
    </w:p>
    <w:tbl>
      <w:tblPr>
        <w:tblW w:w="9945" w:type="dxa"/>
        <w:tblInd w:w="-15" w:type="dxa"/>
        <w:tblLayout w:type="fixed"/>
        <w:tblLook w:val="04A0" w:firstRow="1" w:lastRow="0" w:firstColumn="1" w:lastColumn="0" w:noHBand="0" w:noVBand="1"/>
      </w:tblPr>
      <w:tblGrid>
        <w:gridCol w:w="2127"/>
        <w:gridCol w:w="573"/>
        <w:gridCol w:w="940"/>
        <w:gridCol w:w="266"/>
        <w:gridCol w:w="2756"/>
        <w:gridCol w:w="491"/>
        <w:gridCol w:w="532"/>
        <w:gridCol w:w="491"/>
        <w:gridCol w:w="470"/>
        <w:gridCol w:w="421"/>
        <w:gridCol w:w="878"/>
      </w:tblGrid>
      <w:tr w:rsidR="00B54197" w:rsidRPr="00407552" w14:paraId="0BD6E5CA" w14:textId="77777777" w:rsidTr="003371C5">
        <w:trPr>
          <w:gridAfter w:val="1"/>
          <w:wAfter w:w="878" w:type="dxa"/>
          <w:trHeight w:val="142"/>
        </w:trPr>
        <w:tc>
          <w:tcPr>
            <w:tcW w:w="6662" w:type="dxa"/>
            <w:gridSpan w:val="5"/>
            <w:tcBorders>
              <w:top w:val="single" w:sz="12" w:space="0" w:color="auto"/>
              <w:left w:val="single" w:sz="12" w:space="0" w:color="auto"/>
              <w:bottom w:val="single" w:sz="4" w:space="0" w:color="auto"/>
              <w:right w:val="single" w:sz="4" w:space="0" w:color="auto"/>
            </w:tcBorders>
            <w:shd w:val="clear" w:color="000000" w:fill="366092"/>
            <w:noWrap/>
            <w:vAlign w:val="bottom"/>
          </w:tcPr>
          <w:p w14:paraId="33E73615" w14:textId="77777777" w:rsidR="00B54197" w:rsidRPr="00407552" w:rsidRDefault="00B54197" w:rsidP="003371C5">
            <w:pPr>
              <w:spacing w:after="0" w:line="240" w:lineRule="auto"/>
              <w:rPr>
                <w:rFonts w:ascii="Calibri" w:hAnsi="Calibri" w:cs="Times New Roman"/>
                <w:b/>
                <w:bCs/>
                <w:color w:val="FFFFFF"/>
              </w:rPr>
            </w:pPr>
            <w:r>
              <w:rPr>
                <w:rFonts w:ascii="Calibri" w:hAnsi="Calibri"/>
                <w:b/>
                <w:bCs/>
                <w:color w:val="FFFFFF"/>
              </w:rPr>
              <w:t xml:space="preserve">Exigences ITIE </w:t>
            </w:r>
          </w:p>
        </w:tc>
        <w:tc>
          <w:tcPr>
            <w:tcW w:w="2405" w:type="dxa"/>
            <w:gridSpan w:val="5"/>
            <w:tcBorders>
              <w:top w:val="single" w:sz="12" w:space="0" w:color="auto"/>
              <w:left w:val="single" w:sz="4" w:space="0" w:color="auto"/>
              <w:bottom w:val="single" w:sz="4" w:space="0" w:color="auto"/>
              <w:right w:val="single" w:sz="12" w:space="0" w:color="auto"/>
            </w:tcBorders>
            <w:shd w:val="clear" w:color="000000" w:fill="366092"/>
            <w:vAlign w:val="center"/>
          </w:tcPr>
          <w:p w14:paraId="4812947A" w14:textId="77777777" w:rsidR="00B54197" w:rsidRPr="00407552" w:rsidRDefault="00B54197" w:rsidP="003371C5">
            <w:pPr>
              <w:spacing w:after="0" w:line="240" w:lineRule="auto"/>
              <w:jc w:val="center"/>
              <w:rPr>
                <w:rFonts w:ascii="Calibri" w:hAnsi="Calibri" w:cs="Times New Roman"/>
                <w:b/>
                <w:bCs/>
                <w:color w:val="FFFFFF"/>
              </w:rPr>
            </w:pPr>
            <w:r>
              <w:rPr>
                <w:rFonts w:ascii="Calibri" w:hAnsi="Calibri"/>
                <w:b/>
                <w:bCs/>
                <w:color w:val="FFFFFF"/>
              </w:rPr>
              <w:t>NIVEAU DE PROGRÈS</w:t>
            </w:r>
          </w:p>
        </w:tc>
      </w:tr>
      <w:tr w:rsidR="00B54197" w:rsidRPr="00407552" w14:paraId="6797DF9F" w14:textId="77777777" w:rsidTr="003371C5">
        <w:trPr>
          <w:gridAfter w:val="1"/>
          <w:wAfter w:w="878" w:type="dxa"/>
          <w:trHeight w:val="1372"/>
        </w:trPr>
        <w:tc>
          <w:tcPr>
            <w:tcW w:w="2700" w:type="dxa"/>
            <w:gridSpan w:val="2"/>
            <w:tcBorders>
              <w:top w:val="single" w:sz="4" w:space="0" w:color="auto"/>
              <w:left w:val="single" w:sz="12" w:space="0" w:color="auto"/>
              <w:bottom w:val="nil"/>
              <w:right w:val="nil"/>
            </w:tcBorders>
            <w:shd w:val="clear" w:color="000000" w:fill="F2F2F2"/>
            <w:noWrap/>
            <w:vAlign w:val="bottom"/>
            <w:hideMark/>
          </w:tcPr>
          <w:p w14:paraId="4E3A2536" w14:textId="77777777" w:rsidR="00B54197" w:rsidRPr="00407552" w:rsidRDefault="00B54197" w:rsidP="003371C5">
            <w:pPr>
              <w:spacing w:after="0" w:line="240" w:lineRule="auto"/>
              <w:rPr>
                <w:rFonts w:ascii="Calibri" w:hAnsi="Calibri" w:cs="Times New Roman"/>
                <w:color w:val="000000"/>
              </w:rPr>
            </w:pPr>
            <w:r>
              <w:rPr>
                <w:rFonts w:ascii="Calibri" w:hAnsi="Calibri"/>
                <w:color w:val="000000"/>
              </w:rPr>
              <w:t> </w:t>
            </w:r>
          </w:p>
        </w:tc>
        <w:tc>
          <w:tcPr>
            <w:tcW w:w="940" w:type="dxa"/>
            <w:tcBorders>
              <w:top w:val="single" w:sz="4" w:space="0" w:color="auto"/>
              <w:left w:val="nil"/>
              <w:bottom w:val="nil"/>
              <w:right w:val="nil"/>
            </w:tcBorders>
            <w:shd w:val="clear" w:color="000000" w:fill="F2F2F2"/>
            <w:noWrap/>
            <w:vAlign w:val="bottom"/>
            <w:hideMark/>
          </w:tcPr>
          <w:p w14:paraId="27B2769D" w14:textId="77777777" w:rsidR="00B54197" w:rsidRPr="00407552" w:rsidRDefault="00B54197" w:rsidP="003371C5">
            <w:pPr>
              <w:spacing w:after="0" w:line="240" w:lineRule="auto"/>
              <w:rPr>
                <w:rFonts w:ascii="Calibri" w:hAnsi="Calibri" w:cs="Times New Roman"/>
                <w:color w:val="000000"/>
              </w:rPr>
            </w:pPr>
            <w:r>
              <w:rPr>
                <w:rFonts w:ascii="Calibri" w:hAnsi="Calibri"/>
                <w:color w:val="000000"/>
              </w:rPr>
              <w:t> </w:t>
            </w:r>
          </w:p>
        </w:tc>
        <w:tc>
          <w:tcPr>
            <w:tcW w:w="266" w:type="dxa"/>
            <w:tcBorders>
              <w:top w:val="single" w:sz="4" w:space="0" w:color="auto"/>
              <w:left w:val="nil"/>
              <w:bottom w:val="nil"/>
              <w:right w:val="nil"/>
            </w:tcBorders>
            <w:shd w:val="clear" w:color="000000" w:fill="F2F2F2"/>
            <w:noWrap/>
            <w:vAlign w:val="bottom"/>
            <w:hideMark/>
          </w:tcPr>
          <w:p w14:paraId="047D3164" w14:textId="77777777" w:rsidR="00B54197" w:rsidRPr="00407552" w:rsidRDefault="00B54197" w:rsidP="003371C5">
            <w:pPr>
              <w:spacing w:after="0" w:line="240" w:lineRule="auto"/>
              <w:rPr>
                <w:rFonts w:ascii="Calibri" w:hAnsi="Calibri" w:cs="Times New Roman"/>
                <w:color w:val="000000"/>
              </w:rPr>
            </w:pPr>
            <w:r>
              <w:rPr>
                <w:rFonts w:ascii="Calibri" w:hAnsi="Calibri"/>
                <w:color w:val="000000"/>
              </w:rPr>
              <w:t> </w:t>
            </w:r>
          </w:p>
        </w:tc>
        <w:tc>
          <w:tcPr>
            <w:tcW w:w="2756" w:type="dxa"/>
            <w:tcBorders>
              <w:top w:val="single" w:sz="4" w:space="0" w:color="auto"/>
              <w:left w:val="nil"/>
              <w:bottom w:val="nil"/>
              <w:right w:val="single" w:sz="8" w:space="0" w:color="auto"/>
            </w:tcBorders>
            <w:shd w:val="clear" w:color="000000" w:fill="F2F2F2"/>
            <w:noWrap/>
            <w:vAlign w:val="center"/>
            <w:hideMark/>
          </w:tcPr>
          <w:p w14:paraId="51DC8053" w14:textId="77777777" w:rsidR="00B54197" w:rsidRPr="00407552" w:rsidRDefault="00B54197" w:rsidP="003371C5">
            <w:pPr>
              <w:spacing w:after="0" w:line="240" w:lineRule="auto"/>
              <w:rPr>
                <w:rFonts w:ascii="Calibri" w:hAnsi="Calibri" w:cs="Times New Roman"/>
                <w:b/>
                <w:bCs/>
                <w:color w:val="FFFFFF"/>
              </w:rPr>
            </w:pPr>
            <w:r>
              <w:rPr>
                <w:rFonts w:ascii="Calibri" w:hAnsi="Calibri"/>
                <w:b/>
                <w:bCs/>
                <w:color w:val="FFFFFF"/>
              </w:rPr>
              <w:t> </w:t>
            </w:r>
          </w:p>
        </w:tc>
        <w:tc>
          <w:tcPr>
            <w:tcW w:w="491" w:type="dxa"/>
            <w:tcBorders>
              <w:top w:val="single" w:sz="4" w:space="0" w:color="auto"/>
              <w:left w:val="single" w:sz="4" w:space="0" w:color="000000" w:themeColor="text1"/>
              <w:right w:val="single" w:sz="12" w:space="0" w:color="auto"/>
            </w:tcBorders>
            <w:shd w:val="clear" w:color="000000" w:fill="F2F2F2"/>
            <w:textDirection w:val="btLr"/>
          </w:tcPr>
          <w:p w14:paraId="1333D66F" w14:textId="77777777" w:rsidR="00B54197" w:rsidRPr="00407552" w:rsidRDefault="00B54197" w:rsidP="003371C5">
            <w:pPr>
              <w:spacing w:after="0" w:line="240" w:lineRule="auto"/>
              <w:rPr>
                <w:rFonts w:ascii="Calibri" w:hAnsi="Calibri" w:cs="Times New Roman"/>
                <w:bCs/>
                <w:color w:val="000000"/>
              </w:rPr>
            </w:pPr>
            <w:r>
              <w:rPr>
                <w:rFonts w:ascii="Calibri" w:hAnsi="Calibri"/>
                <w:bCs/>
                <w:color w:val="000000"/>
              </w:rPr>
              <w:t xml:space="preserve">  Aucun</w:t>
            </w:r>
          </w:p>
        </w:tc>
        <w:tc>
          <w:tcPr>
            <w:tcW w:w="532" w:type="dxa"/>
            <w:tcBorders>
              <w:top w:val="single" w:sz="4" w:space="0" w:color="auto"/>
              <w:left w:val="single" w:sz="4" w:space="0" w:color="000000" w:themeColor="text1"/>
              <w:right w:val="single" w:sz="12" w:space="0" w:color="auto"/>
            </w:tcBorders>
            <w:shd w:val="clear" w:color="000000" w:fill="F2F2F2"/>
            <w:textDirection w:val="btLr"/>
          </w:tcPr>
          <w:p w14:paraId="46B6117A" w14:textId="77777777" w:rsidR="00B54197" w:rsidRPr="00407552" w:rsidRDefault="00B54197" w:rsidP="003371C5">
            <w:pPr>
              <w:spacing w:after="0" w:line="240" w:lineRule="auto"/>
              <w:rPr>
                <w:rFonts w:ascii="Calibri" w:hAnsi="Calibri" w:cs="Times New Roman"/>
                <w:bCs/>
                <w:color w:val="000000"/>
              </w:rPr>
            </w:pPr>
            <w:r>
              <w:rPr>
                <w:rFonts w:ascii="Calibri" w:hAnsi="Calibri"/>
                <w:bCs/>
                <w:color w:val="000000"/>
              </w:rPr>
              <w:t xml:space="preserve">  Insuffisant</w:t>
            </w:r>
          </w:p>
        </w:tc>
        <w:tc>
          <w:tcPr>
            <w:tcW w:w="491" w:type="dxa"/>
            <w:tcBorders>
              <w:top w:val="single" w:sz="4" w:space="0" w:color="auto"/>
              <w:left w:val="single" w:sz="4" w:space="0" w:color="000000" w:themeColor="text1"/>
              <w:right w:val="single" w:sz="12" w:space="0" w:color="auto"/>
            </w:tcBorders>
            <w:shd w:val="clear" w:color="000000" w:fill="F2F2F2"/>
            <w:textDirection w:val="btLr"/>
          </w:tcPr>
          <w:p w14:paraId="51C95527" w14:textId="77777777" w:rsidR="00B54197" w:rsidRPr="00407552" w:rsidRDefault="00B54197" w:rsidP="003371C5">
            <w:pPr>
              <w:spacing w:after="0" w:line="240" w:lineRule="auto"/>
              <w:rPr>
                <w:rFonts w:ascii="Calibri" w:hAnsi="Calibri" w:cs="Times New Roman"/>
                <w:bCs/>
                <w:color w:val="000000"/>
              </w:rPr>
            </w:pPr>
            <w:r>
              <w:rPr>
                <w:rFonts w:ascii="Calibri" w:hAnsi="Calibri"/>
                <w:bCs/>
                <w:color w:val="000000"/>
              </w:rPr>
              <w:t xml:space="preserve">  Significatif </w:t>
            </w:r>
          </w:p>
        </w:tc>
        <w:tc>
          <w:tcPr>
            <w:tcW w:w="470" w:type="dxa"/>
            <w:tcBorders>
              <w:top w:val="single" w:sz="4" w:space="0" w:color="auto"/>
              <w:left w:val="single" w:sz="4" w:space="0" w:color="000000" w:themeColor="text1"/>
              <w:right w:val="single" w:sz="12" w:space="0" w:color="auto"/>
            </w:tcBorders>
            <w:shd w:val="clear" w:color="000000" w:fill="F2F2F2"/>
            <w:textDirection w:val="btLr"/>
          </w:tcPr>
          <w:p w14:paraId="33D49F39" w14:textId="77777777" w:rsidR="00B54197" w:rsidRPr="00407552" w:rsidRDefault="00B54197" w:rsidP="003371C5">
            <w:pPr>
              <w:spacing w:after="0" w:line="240" w:lineRule="auto"/>
              <w:rPr>
                <w:rFonts w:ascii="Calibri" w:hAnsi="Calibri" w:cs="Times New Roman"/>
                <w:bCs/>
                <w:color w:val="000000"/>
              </w:rPr>
            </w:pPr>
            <w:r>
              <w:rPr>
                <w:rFonts w:ascii="Calibri" w:hAnsi="Calibri"/>
                <w:bCs/>
                <w:color w:val="000000"/>
              </w:rPr>
              <w:t xml:space="preserve">  Satisfaisant</w:t>
            </w:r>
          </w:p>
        </w:tc>
        <w:tc>
          <w:tcPr>
            <w:tcW w:w="421" w:type="dxa"/>
            <w:tcBorders>
              <w:top w:val="single" w:sz="4" w:space="0" w:color="auto"/>
              <w:left w:val="single" w:sz="4" w:space="0" w:color="000000" w:themeColor="text1"/>
              <w:right w:val="single" w:sz="12" w:space="0" w:color="auto"/>
            </w:tcBorders>
            <w:shd w:val="clear" w:color="000000" w:fill="F2F2F2"/>
            <w:textDirection w:val="btLr"/>
            <w:vAlign w:val="center"/>
          </w:tcPr>
          <w:p w14:paraId="7EED1051" w14:textId="77777777" w:rsidR="00B54197" w:rsidRPr="00407552" w:rsidRDefault="00B54197" w:rsidP="003371C5">
            <w:pPr>
              <w:spacing w:after="0" w:line="240" w:lineRule="auto"/>
              <w:rPr>
                <w:rFonts w:ascii="Calibri" w:hAnsi="Calibri" w:cs="Times New Roman"/>
                <w:bCs/>
                <w:color w:val="000000"/>
              </w:rPr>
            </w:pPr>
            <w:r>
              <w:rPr>
                <w:rFonts w:ascii="Calibri" w:hAnsi="Calibri"/>
                <w:bCs/>
                <w:color w:val="000000"/>
              </w:rPr>
              <w:t xml:space="preserve">  Au-delà </w:t>
            </w:r>
          </w:p>
        </w:tc>
      </w:tr>
      <w:tr w:rsidR="00B54197" w:rsidRPr="00407552" w14:paraId="1F649F5B" w14:textId="77777777" w:rsidTr="003371C5">
        <w:trPr>
          <w:trHeight w:val="306"/>
        </w:trPr>
        <w:tc>
          <w:tcPr>
            <w:tcW w:w="2127" w:type="dxa"/>
            <w:tcBorders>
              <w:left w:val="single" w:sz="12" w:space="0" w:color="auto"/>
              <w:bottom w:val="single" w:sz="12" w:space="0" w:color="000000" w:themeColor="text1"/>
            </w:tcBorders>
            <w:shd w:val="clear" w:color="000000" w:fill="F2F2F2"/>
            <w:noWrap/>
            <w:vAlign w:val="bottom"/>
            <w:hideMark/>
          </w:tcPr>
          <w:p w14:paraId="486ABBB1" w14:textId="77777777" w:rsidR="00B54197" w:rsidRPr="00407552" w:rsidRDefault="00B54197" w:rsidP="003371C5">
            <w:pPr>
              <w:spacing w:after="0" w:line="240" w:lineRule="auto"/>
              <w:rPr>
                <w:rFonts w:ascii="Calibri" w:hAnsi="Calibri" w:cs="Times New Roman"/>
                <w:b/>
                <w:bCs/>
                <w:color w:val="000000"/>
              </w:rPr>
            </w:pPr>
            <w:r>
              <w:rPr>
                <w:rFonts w:ascii="Calibri" w:hAnsi="Calibri"/>
                <w:b/>
                <w:bCs/>
                <w:color w:val="000000"/>
              </w:rPr>
              <w:t>Catégories</w:t>
            </w:r>
          </w:p>
        </w:tc>
        <w:tc>
          <w:tcPr>
            <w:tcW w:w="4535" w:type="dxa"/>
            <w:gridSpan w:val="4"/>
            <w:tcBorders>
              <w:bottom w:val="single" w:sz="12" w:space="0" w:color="000000" w:themeColor="text1"/>
              <w:right w:val="single" w:sz="8" w:space="0" w:color="auto"/>
            </w:tcBorders>
            <w:shd w:val="clear" w:color="000000" w:fill="F2F2F2"/>
            <w:noWrap/>
            <w:vAlign w:val="center"/>
            <w:hideMark/>
          </w:tcPr>
          <w:p w14:paraId="41AF427A" w14:textId="77777777" w:rsidR="00B54197" w:rsidRPr="00407552" w:rsidRDefault="00B54197" w:rsidP="003371C5">
            <w:pPr>
              <w:spacing w:after="0" w:line="240" w:lineRule="auto"/>
              <w:rPr>
                <w:rFonts w:ascii="Calibri" w:hAnsi="Calibri" w:cs="Times New Roman"/>
                <w:b/>
                <w:bCs/>
                <w:color w:val="000000"/>
              </w:rPr>
            </w:pPr>
            <w:r>
              <w:rPr>
                <w:rFonts w:ascii="Calibri" w:hAnsi="Calibri"/>
                <w:b/>
                <w:bCs/>
                <w:color w:val="000000"/>
              </w:rPr>
              <w:t xml:space="preserve">Exigences </w:t>
            </w:r>
          </w:p>
        </w:tc>
        <w:tc>
          <w:tcPr>
            <w:tcW w:w="491" w:type="dxa"/>
            <w:tcBorders>
              <w:left w:val="single" w:sz="4" w:space="0" w:color="000000" w:themeColor="text1"/>
              <w:bottom w:val="single" w:sz="12" w:space="0" w:color="auto"/>
              <w:right w:val="single" w:sz="12" w:space="0" w:color="auto"/>
            </w:tcBorders>
            <w:shd w:val="clear" w:color="000000" w:fill="C00000"/>
          </w:tcPr>
          <w:p w14:paraId="7B961F9A" w14:textId="77777777" w:rsidR="00B54197" w:rsidRPr="00407552" w:rsidRDefault="00B54197" w:rsidP="003371C5">
            <w:pPr>
              <w:spacing w:after="0" w:line="240" w:lineRule="auto"/>
              <w:rPr>
                <w:rFonts w:ascii="Calibri" w:hAnsi="Calibri" w:cs="Times New Roman"/>
                <w:b/>
                <w:bCs/>
                <w:color w:val="C00000"/>
                <w:lang w:eastAsia="en-GB"/>
              </w:rPr>
            </w:pPr>
          </w:p>
        </w:tc>
        <w:tc>
          <w:tcPr>
            <w:tcW w:w="532" w:type="dxa"/>
            <w:tcBorders>
              <w:left w:val="single" w:sz="4" w:space="0" w:color="000000" w:themeColor="text1"/>
              <w:bottom w:val="single" w:sz="12" w:space="0" w:color="auto"/>
              <w:right w:val="single" w:sz="12" w:space="0" w:color="auto"/>
            </w:tcBorders>
            <w:shd w:val="clear" w:color="000000" w:fill="FAC433"/>
          </w:tcPr>
          <w:p w14:paraId="49475C9E" w14:textId="77777777" w:rsidR="00B54197" w:rsidRPr="00407552" w:rsidRDefault="00B54197" w:rsidP="003371C5">
            <w:pPr>
              <w:spacing w:after="0" w:line="240" w:lineRule="auto"/>
              <w:rPr>
                <w:rFonts w:ascii="Calibri" w:hAnsi="Calibri" w:cs="Times New Roman"/>
                <w:b/>
                <w:bCs/>
                <w:color w:val="C00000"/>
                <w:lang w:eastAsia="en-GB"/>
              </w:rPr>
            </w:pPr>
          </w:p>
        </w:tc>
        <w:tc>
          <w:tcPr>
            <w:tcW w:w="491" w:type="dxa"/>
            <w:tcBorders>
              <w:left w:val="single" w:sz="4" w:space="0" w:color="000000" w:themeColor="text1"/>
              <w:bottom w:val="single" w:sz="12" w:space="0" w:color="auto"/>
              <w:right w:val="single" w:sz="12" w:space="0" w:color="auto"/>
            </w:tcBorders>
            <w:shd w:val="clear" w:color="000000" w:fill="84AE42"/>
            <w:vAlign w:val="bottom"/>
          </w:tcPr>
          <w:p w14:paraId="51B8F509" w14:textId="77777777" w:rsidR="00B54197" w:rsidRPr="00407552" w:rsidRDefault="00B54197" w:rsidP="003371C5">
            <w:pPr>
              <w:spacing w:after="0" w:line="240" w:lineRule="auto"/>
              <w:rPr>
                <w:rFonts w:ascii="Calibri" w:hAnsi="Calibri" w:cs="Times New Roman"/>
                <w:b/>
                <w:bCs/>
                <w:color w:val="000000"/>
              </w:rPr>
            </w:pPr>
            <w:r>
              <w:rPr>
                <w:rFonts w:ascii="Calibri" w:hAnsi="Calibri"/>
                <w:color w:val="000000"/>
              </w:rPr>
              <w:t> </w:t>
            </w:r>
          </w:p>
        </w:tc>
        <w:tc>
          <w:tcPr>
            <w:tcW w:w="470" w:type="dxa"/>
            <w:tcBorders>
              <w:left w:val="single" w:sz="4" w:space="0" w:color="000000" w:themeColor="text1"/>
              <w:bottom w:val="single" w:sz="12" w:space="0" w:color="auto"/>
              <w:right w:val="single" w:sz="12" w:space="0" w:color="auto"/>
            </w:tcBorders>
            <w:shd w:val="clear" w:color="000000" w:fill="2D8B2A"/>
            <w:vAlign w:val="bottom"/>
          </w:tcPr>
          <w:p w14:paraId="3F9D39BB" w14:textId="77777777" w:rsidR="00B54197" w:rsidRPr="00407552" w:rsidRDefault="00B54197" w:rsidP="003371C5">
            <w:pPr>
              <w:spacing w:after="0" w:line="240" w:lineRule="auto"/>
              <w:rPr>
                <w:rFonts w:ascii="Calibri" w:hAnsi="Calibri" w:cs="Times New Roman"/>
                <w:b/>
                <w:bCs/>
                <w:color w:val="000000"/>
              </w:rPr>
            </w:pPr>
            <w:r>
              <w:rPr>
                <w:rFonts w:ascii="Calibri" w:hAnsi="Calibri"/>
                <w:color w:val="000000"/>
              </w:rPr>
              <w:t> </w:t>
            </w:r>
          </w:p>
        </w:tc>
        <w:tc>
          <w:tcPr>
            <w:tcW w:w="421" w:type="dxa"/>
            <w:tcBorders>
              <w:left w:val="single" w:sz="4" w:space="0" w:color="000000" w:themeColor="text1"/>
              <w:bottom w:val="single" w:sz="12" w:space="0" w:color="auto"/>
              <w:right w:val="single" w:sz="12" w:space="0" w:color="auto"/>
            </w:tcBorders>
            <w:shd w:val="clear" w:color="000000" w:fill="0076AF"/>
            <w:vAlign w:val="center"/>
          </w:tcPr>
          <w:p w14:paraId="0DBC7E26" w14:textId="77777777" w:rsidR="00B54197" w:rsidRPr="00407552" w:rsidRDefault="00B54197" w:rsidP="003371C5">
            <w:pPr>
              <w:spacing w:after="0" w:line="240" w:lineRule="auto"/>
              <w:rPr>
                <w:rFonts w:ascii="Calibri" w:hAnsi="Calibri" w:cs="Times New Roman"/>
                <w:b/>
                <w:bCs/>
                <w:color w:val="000000"/>
              </w:rPr>
            </w:pPr>
            <w:r>
              <w:rPr>
                <w:rFonts w:ascii="Calibri" w:hAnsi="Calibri"/>
                <w:color w:val="000000"/>
              </w:rPr>
              <w:t> </w:t>
            </w:r>
          </w:p>
        </w:tc>
        <w:tc>
          <w:tcPr>
            <w:tcW w:w="878" w:type="dxa"/>
            <w:vAlign w:val="bottom"/>
          </w:tcPr>
          <w:p w14:paraId="134028A9" w14:textId="77777777" w:rsidR="00B54197" w:rsidRPr="00407552" w:rsidRDefault="00B54197" w:rsidP="003371C5">
            <w:pPr>
              <w:spacing w:after="0" w:line="240" w:lineRule="auto"/>
              <w:rPr>
                <w:rFonts w:ascii="Calibri" w:hAnsi="Calibri"/>
              </w:rPr>
            </w:pPr>
            <w:r>
              <w:rPr>
                <w:rFonts w:ascii="Calibri" w:hAnsi="Calibri"/>
                <w:color w:val="000000"/>
              </w:rPr>
              <w:t> </w:t>
            </w:r>
          </w:p>
        </w:tc>
      </w:tr>
      <w:tr w:rsidR="00B54197" w:rsidRPr="00407552" w14:paraId="70385C77" w14:textId="77777777" w:rsidTr="003371C5">
        <w:trPr>
          <w:gridAfter w:val="1"/>
          <w:wAfter w:w="878" w:type="dxa"/>
          <w:trHeight w:val="53"/>
        </w:trPr>
        <w:tc>
          <w:tcPr>
            <w:tcW w:w="2127" w:type="dxa"/>
            <w:vMerge w:val="restart"/>
            <w:tcBorders>
              <w:top w:val="single" w:sz="12" w:space="0" w:color="000000" w:themeColor="text1"/>
              <w:left w:val="single" w:sz="12" w:space="0" w:color="auto"/>
              <w:bottom w:val="single" w:sz="8" w:space="0" w:color="000000"/>
              <w:right w:val="single" w:sz="2" w:space="0" w:color="A6A6A6" w:themeColor="background1" w:themeShade="A6"/>
            </w:tcBorders>
            <w:shd w:val="clear" w:color="000000" w:fill="BFBFBF"/>
            <w:noWrap/>
            <w:vAlign w:val="center"/>
            <w:hideMark/>
          </w:tcPr>
          <w:p w14:paraId="7242363B" w14:textId="77777777" w:rsidR="00B54197" w:rsidRPr="00407552" w:rsidRDefault="00B54197" w:rsidP="003371C5">
            <w:pPr>
              <w:spacing w:after="0" w:line="240" w:lineRule="auto"/>
              <w:rPr>
                <w:rFonts w:ascii="Calibri" w:hAnsi="Calibri" w:cs="Times New Roman"/>
                <w:b/>
                <w:bCs/>
                <w:color w:val="000000"/>
              </w:rPr>
            </w:pPr>
            <w:r>
              <w:rPr>
                <w:rFonts w:ascii="Calibri" w:hAnsi="Calibri"/>
                <w:b/>
                <w:bCs/>
                <w:color w:val="000000"/>
              </w:rPr>
              <w:t xml:space="preserve">Suivi du Groupe multipartite </w:t>
            </w:r>
          </w:p>
        </w:tc>
        <w:tc>
          <w:tcPr>
            <w:tcW w:w="4535" w:type="dxa"/>
            <w:gridSpan w:val="4"/>
            <w:tcBorders>
              <w:top w:val="single" w:sz="12" w:space="0" w:color="000000" w:themeColor="text1"/>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FFFFFF"/>
            <w:noWrap/>
            <w:vAlign w:val="bottom"/>
            <w:hideMark/>
          </w:tcPr>
          <w:p w14:paraId="71275CE8" w14:textId="77777777" w:rsidR="00B54197" w:rsidRPr="00407552" w:rsidRDefault="00B54197" w:rsidP="003371C5">
            <w:pPr>
              <w:spacing w:after="0" w:line="240" w:lineRule="auto"/>
              <w:rPr>
                <w:rFonts w:ascii="Calibri" w:hAnsi="Calibri" w:cs="Times New Roman"/>
                <w:color w:val="000000"/>
              </w:rPr>
            </w:pPr>
            <w:r>
              <w:rPr>
                <w:rFonts w:ascii="Calibri" w:hAnsi="Calibri"/>
                <w:color w:val="000000"/>
              </w:rPr>
              <w:t>Engagement du gouvernement (1.1)</w:t>
            </w:r>
          </w:p>
        </w:tc>
        <w:tc>
          <w:tcPr>
            <w:tcW w:w="491" w:type="dxa"/>
            <w:tcBorders>
              <w:top w:val="single" w:sz="12" w:space="0" w:color="auto"/>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tcPr>
          <w:p w14:paraId="0E242AA4" w14:textId="77777777" w:rsidR="00B54197" w:rsidRPr="00407552" w:rsidRDefault="00B54197" w:rsidP="003371C5">
            <w:pPr>
              <w:spacing w:after="0" w:line="240" w:lineRule="auto"/>
              <w:rPr>
                <w:rFonts w:ascii="Calibri" w:hAnsi="Calibri" w:cs="Times New Roman"/>
                <w:color w:val="000000"/>
                <w:lang w:eastAsia="en-GB"/>
              </w:rPr>
            </w:pPr>
          </w:p>
        </w:tc>
        <w:tc>
          <w:tcPr>
            <w:tcW w:w="532" w:type="dxa"/>
            <w:tcBorders>
              <w:top w:val="single" w:sz="12" w:space="0" w:color="auto"/>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bottom"/>
            <w:hideMark/>
          </w:tcPr>
          <w:p w14:paraId="1C84A0E2" w14:textId="77777777" w:rsidR="00B54197" w:rsidRPr="00407552" w:rsidRDefault="00B54197" w:rsidP="003371C5">
            <w:pPr>
              <w:spacing w:after="0" w:line="240" w:lineRule="auto"/>
              <w:rPr>
                <w:rFonts w:ascii="Calibri" w:hAnsi="Calibri" w:cs="Times New Roman"/>
                <w:color w:val="000000"/>
              </w:rPr>
            </w:pPr>
            <w:r>
              <w:rPr>
                <w:rFonts w:ascii="Calibri" w:hAnsi="Calibri"/>
                <w:color w:val="000000"/>
              </w:rPr>
              <w:t> </w:t>
            </w:r>
          </w:p>
        </w:tc>
        <w:tc>
          <w:tcPr>
            <w:tcW w:w="491" w:type="dxa"/>
            <w:tcBorders>
              <w:top w:val="single" w:sz="12" w:space="0" w:color="auto"/>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bottom"/>
            <w:hideMark/>
          </w:tcPr>
          <w:p w14:paraId="271CC6A2" w14:textId="77777777" w:rsidR="00B54197" w:rsidRPr="00407552" w:rsidRDefault="00B54197" w:rsidP="003371C5">
            <w:pPr>
              <w:spacing w:after="0" w:line="240" w:lineRule="auto"/>
              <w:rPr>
                <w:rFonts w:ascii="Calibri" w:hAnsi="Calibri" w:cs="Times New Roman"/>
                <w:color w:val="000000"/>
              </w:rPr>
            </w:pPr>
            <w:r>
              <w:rPr>
                <w:rFonts w:ascii="Calibri" w:hAnsi="Calibri"/>
                <w:color w:val="000000"/>
              </w:rPr>
              <w:t> </w:t>
            </w:r>
          </w:p>
        </w:tc>
        <w:tc>
          <w:tcPr>
            <w:tcW w:w="470" w:type="dxa"/>
            <w:tcBorders>
              <w:top w:val="single" w:sz="12" w:space="0" w:color="auto"/>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00B050"/>
            <w:noWrap/>
            <w:vAlign w:val="bottom"/>
            <w:hideMark/>
          </w:tcPr>
          <w:p w14:paraId="15FD081A" w14:textId="77777777" w:rsidR="00B54197" w:rsidRPr="00407552" w:rsidRDefault="00B54197" w:rsidP="003371C5">
            <w:pPr>
              <w:spacing w:after="0" w:line="240" w:lineRule="auto"/>
              <w:rPr>
                <w:rFonts w:ascii="Calibri" w:hAnsi="Calibri" w:cs="Times New Roman"/>
                <w:color w:val="000000"/>
              </w:rPr>
            </w:pPr>
            <w:r>
              <w:rPr>
                <w:rFonts w:ascii="Calibri" w:hAnsi="Calibri"/>
                <w:color w:val="000000"/>
              </w:rPr>
              <w:t> </w:t>
            </w:r>
          </w:p>
        </w:tc>
        <w:tc>
          <w:tcPr>
            <w:tcW w:w="421" w:type="dxa"/>
            <w:tcBorders>
              <w:top w:val="single" w:sz="12" w:space="0" w:color="auto"/>
              <w:left w:val="single" w:sz="2" w:space="0" w:color="A6A6A6" w:themeColor="background1" w:themeShade="A6"/>
              <w:bottom w:val="single" w:sz="2" w:space="0" w:color="A6A6A6" w:themeColor="background1" w:themeShade="A6"/>
              <w:right w:val="single" w:sz="12" w:space="0" w:color="auto"/>
            </w:tcBorders>
            <w:shd w:val="clear" w:color="auto" w:fill="auto"/>
            <w:noWrap/>
            <w:vAlign w:val="bottom"/>
            <w:hideMark/>
          </w:tcPr>
          <w:p w14:paraId="272C795B" w14:textId="77777777" w:rsidR="00B54197" w:rsidRPr="00407552" w:rsidRDefault="00B54197" w:rsidP="003371C5">
            <w:pPr>
              <w:spacing w:after="0" w:line="240" w:lineRule="auto"/>
              <w:rPr>
                <w:rFonts w:ascii="Calibri" w:hAnsi="Calibri" w:cs="Times New Roman"/>
                <w:color w:val="000000"/>
              </w:rPr>
            </w:pPr>
            <w:r>
              <w:rPr>
                <w:rFonts w:ascii="Calibri" w:hAnsi="Calibri"/>
                <w:color w:val="000000"/>
              </w:rPr>
              <w:t> </w:t>
            </w:r>
          </w:p>
        </w:tc>
      </w:tr>
      <w:tr w:rsidR="00B54197" w:rsidRPr="00407552" w14:paraId="5CD1BC0B" w14:textId="77777777" w:rsidTr="003371C5">
        <w:trPr>
          <w:gridAfter w:val="1"/>
          <w:wAfter w:w="878" w:type="dxa"/>
          <w:trHeight w:val="281"/>
        </w:trPr>
        <w:tc>
          <w:tcPr>
            <w:tcW w:w="2127" w:type="dxa"/>
            <w:vMerge/>
            <w:tcBorders>
              <w:top w:val="single" w:sz="8" w:space="0" w:color="auto"/>
              <w:left w:val="single" w:sz="12" w:space="0" w:color="auto"/>
              <w:bottom w:val="single" w:sz="8" w:space="0" w:color="000000"/>
              <w:right w:val="single" w:sz="2" w:space="0" w:color="A6A6A6" w:themeColor="background1" w:themeShade="A6"/>
            </w:tcBorders>
            <w:vAlign w:val="center"/>
            <w:hideMark/>
          </w:tcPr>
          <w:p w14:paraId="3D403B37" w14:textId="77777777" w:rsidR="00B54197" w:rsidRPr="00407552" w:rsidRDefault="00B54197" w:rsidP="003371C5">
            <w:pPr>
              <w:spacing w:after="0" w:line="240" w:lineRule="auto"/>
              <w:rPr>
                <w:rFonts w:ascii="Calibri" w:hAnsi="Calibri" w:cs="Times New Roman"/>
                <w:b/>
                <w:bCs/>
                <w:color w:val="000000"/>
                <w:lang w:eastAsia="en-GB"/>
              </w:rPr>
            </w:pPr>
          </w:p>
        </w:tc>
        <w:tc>
          <w:tcPr>
            <w:tcW w:w="4535" w:type="dxa"/>
            <w:gridSpan w:val="4"/>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FFFFFF"/>
            <w:noWrap/>
            <w:vAlign w:val="bottom"/>
            <w:hideMark/>
          </w:tcPr>
          <w:p w14:paraId="642C7BBA" w14:textId="77777777" w:rsidR="00B54197" w:rsidRPr="00407552" w:rsidRDefault="00B54197" w:rsidP="003371C5">
            <w:pPr>
              <w:spacing w:after="0" w:line="240" w:lineRule="auto"/>
              <w:rPr>
                <w:rFonts w:ascii="Calibri" w:hAnsi="Calibri" w:cs="Times New Roman"/>
                <w:color w:val="000000"/>
              </w:rPr>
            </w:pPr>
            <w:r>
              <w:rPr>
                <w:rFonts w:ascii="Calibri" w:hAnsi="Calibri"/>
                <w:color w:val="000000"/>
              </w:rPr>
              <w:t>Engagement de l’industrie (1.2)</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19938B1B" w14:textId="77777777" w:rsidR="00B54197" w:rsidRPr="00407552" w:rsidRDefault="00B54197" w:rsidP="003371C5">
            <w:pPr>
              <w:spacing w:after="0" w:line="240" w:lineRule="auto"/>
              <w:rPr>
                <w:rFonts w:ascii="Calibri" w:hAnsi="Calibri" w:cs="Times New Roman"/>
                <w:color w:val="000000"/>
                <w:lang w:eastAsia="en-GB"/>
              </w:rPr>
            </w:pPr>
          </w:p>
        </w:tc>
        <w:tc>
          <w:tcPr>
            <w:tcW w:w="53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bottom"/>
            <w:hideMark/>
          </w:tcPr>
          <w:p w14:paraId="4C4C39F0" w14:textId="77777777" w:rsidR="00B54197" w:rsidRPr="00407552" w:rsidRDefault="00B54197" w:rsidP="003371C5">
            <w:pPr>
              <w:spacing w:after="0" w:line="240" w:lineRule="auto"/>
              <w:rPr>
                <w:rFonts w:ascii="Calibri" w:hAnsi="Calibri" w:cs="Times New Roman"/>
                <w:color w:val="000000"/>
              </w:rPr>
            </w:pPr>
            <w:r>
              <w:rPr>
                <w:rFonts w:ascii="Calibri" w:hAnsi="Calibri"/>
                <w:color w:val="000000"/>
              </w:rPr>
              <w:t> </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bottom"/>
            <w:hideMark/>
          </w:tcPr>
          <w:p w14:paraId="23578FB2" w14:textId="77777777" w:rsidR="00B54197" w:rsidRPr="00407552" w:rsidRDefault="00B54197" w:rsidP="003371C5">
            <w:pPr>
              <w:spacing w:after="0" w:line="240" w:lineRule="auto"/>
              <w:rPr>
                <w:rFonts w:ascii="Calibri" w:hAnsi="Calibri" w:cs="Times New Roman"/>
                <w:color w:val="000000"/>
              </w:rPr>
            </w:pPr>
            <w:r>
              <w:rPr>
                <w:rFonts w:ascii="Calibri" w:hAnsi="Calibri"/>
                <w:color w:val="000000"/>
              </w:rPr>
              <w:t> </w:t>
            </w:r>
          </w:p>
        </w:tc>
        <w:tc>
          <w:tcPr>
            <w:tcW w:w="47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00B050"/>
            <w:noWrap/>
            <w:vAlign w:val="bottom"/>
            <w:hideMark/>
          </w:tcPr>
          <w:p w14:paraId="71305B87" w14:textId="77777777" w:rsidR="00B54197" w:rsidRPr="00407552" w:rsidRDefault="00B54197" w:rsidP="003371C5">
            <w:pPr>
              <w:spacing w:after="0" w:line="240" w:lineRule="auto"/>
              <w:rPr>
                <w:rFonts w:ascii="Calibri" w:hAnsi="Calibri" w:cs="Times New Roman"/>
                <w:color w:val="000000"/>
              </w:rPr>
            </w:pPr>
            <w:r>
              <w:rPr>
                <w:rFonts w:ascii="Calibri" w:hAnsi="Calibri"/>
                <w:color w:val="000000"/>
              </w:rPr>
              <w:t> </w:t>
            </w:r>
          </w:p>
        </w:tc>
        <w:tc>
          <w:tcPr>
            <w:tcW w:w="42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12" w:space="0" w:color="auto"/>
            </w:tcBorders>
            <w:shd w:val="clear" w:color="auto" w:fill="auto"/>
            <w:noWrap/>
            <w:vAlign w:val="bottom"/>
            <w:hideMark/>
          </w:tcPr>
          <w:p w14:paraId="67344F43" w14:textId="77777777" w:rsidR="00B54197" w:rsidRPr="00407552" w:rsidRDefault="00B54197" w:rsidP="003371C5">
            <w:pPr>
              <w:spacing w:after="0" w:line="240" w:lineRule="auto"/>
              <w:rPr>
                <w:rFonts w:ascii="Calibri" w:hAnsi="Calibri" w:cs="Times New Roman"/>
                <w:color w:val="000000"/>
              </w:rPr>
            </w:pPr>
            <w:r>
              <w:rPr>
                <w:rFonts w:ascii="Calibri" w:hAnsi="Calibri"/>
                <w:color w:val="000000"/>
              </w:rPr>
              <w:t> </w:t>
            </w:r>
          </w:p>
        </w:tc>
      </w:tr>
      <w:tr w:rsidR="00B54197" w:rsidRPr="00407552" w14:paraId="61578FCA" w14:textId="77777777" w:rsidTr="003371C5">
        <w:trPr>
          <w:gridAfter w:val="1"/>
          <w:wAfter w:w="878" w:type="dxa"/>
          <w:trHeight w:val="53"/>
        </w:trPr>
        <w:tc>
          <w:tcPr>
            <w:tcW w:w="2127" w:type="dxa"/>
            <w:vMerge/>
            <w:tcBorders>
              <w:top w:val="single" w:sz="8" w:space="0" w:color="auto"/>
              <w:left w:val="single" w:sz="12" w:space="0" w:color="auto"/>
              <w:bottom w:val="single" w:sz="8" w:space="0" w:color="000000"/>
              <w:right w:val="single" w:sz="2" w:space="0" w:color="A6A6A6" w:themeColor="background1" w:themeShade="A6"/>
            </w:tcBorders>
            <w:vAlign w:val="center"/>
            <w:hideMark/>
          </w:tcPr>
          <w:p w14:paraId="7527D1C0" w14:textId="77777777" w:rsidR="00B54197" w:rsidRPr="00407552" w:rsidRDefault="00B54197" w:rsidP="003371C5">
            <w:pPr>
              <w:spacing w:after="0" w:line="240" w:lineRule="auto"/>
              <w:rPr>
                <w:rFonts w:ascii="Calibri" w:hAnsi="Calibri" w:cs="Times New Roman"/>
                <w:b/>
                <w:bCs/>
                <w:color w:val="000000"/>
                <w:lang w:eastAsia="en-GB"/>
              </w:rPr>
            </w:pPr>
          </w:p>
        </w:tc>
        <w:tc>
          <w:tcPr>
            <w:tcW w:w="4535" w:type="dxa"/>
            <w:gridSpan w:val="4"/>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FFFFFF"/>
            <w:noWrap/>
            <w:vAlign w:val="bottom"/>
            <w:hideMark/>
          </w:tcPr>
          <w:p w14:paraId="13A6B833" w14:textId="77777777" w:rsidR="00B54197" w:rsidRPr="00407552" w:rsidRDefault="00B54197" w:rsidP="003371C5">
            <w:pPr>
              <w:spacing w:after="0" w:line="240" w:lineRule="auto"/>
              <w:rPr>
                <w:rFonts w:ascii="Calibri" w:hAnsi="Calibri" w:cs="Times New Roman"/>
                <w:color w:val="000000"/>
              </w:rPr>
            </w:pPr>
            <w:r>
              <w:rPr>
                <w:rFonts w:ascii="Calibri" w:hAnsi="Calibri"/>
                <w:color w:val="000000"/>
              </w:rPr>
              <w:t>Engagement de la société civile (1.3)</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7DF54355" w14:textId="77777777" w:rsidR="00B54197" w:rsidRPr="00407552" w:rsidRDefault="00B54197" w:rsidP="003371C5">
            <w:pPr>
              <w:spacing w:after="0" w:line="240" w:lineRule="auto"/>
              <w:rPr>
                <w:rFonts w:ascii="Calibri" w:hAnsi="Calibri" w:cs="Times New Roman"/>
                <w:color w:val="000000"/>
                <w:lang w:eastAsia="en-GB"/>
              </w:rPr>
            </w:pPr>
          </w:p>
        </w:tc>
        <w:tc>
          <w:tcPr>
            <w:tcW w:w="53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bottom"/>
            <w:hideMark/>
          </w:tcPr>
          <w:p w14:paraId="452506AB" w14:textId="77777777" w:rsidR="00B54197" w:rsidRPr="00407552" w:rsidRDefault="00B54197" w:rsidP="003371C5">
            <w:pPr>
              <w:spacing w:after="0" w:line="240" w:lineRule="auto"/>
              <w:rPr>
                <w:rFonts w:ascii="Calibri" w:hAnsi="Calibri" w:cs="Times New Roman"/>
                <w:color w:val="000000"/>
              </w:rPr>
            </w:pPr>
            <w:r>
              <w:rPr>
                <w:rFonts w:ascii="Calibri" w:hAnsi="Calibri"/>
                <w:color w:val="000000"/>
              </w:rPr>
              <w:t> </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bottom"/>
            <w:hideMark/>
          </w:tcPr>
          <w:p w14:paraId="387DB273" w14:textId="77777777" w:rsidR="00B54197" w:rsidRPr="00407552" w:rsidRDefault="00B54197" w:rsidP="003371C5">
            <w:pPr>
              <w:spacing w:after="0" w:line="240" w:lineRule="auto"/>
              <w:rPr>
                <w:rFonts w:ascii="Calibri" w:hAnsi="Calibri" w:cs="Times New Roman"/>
                <w:color w:val="000000"/>
              </w:rPr>
            </w:pPr>
            <w:r>
              <w:rPr>
                <w:rFonts w:ascii="Calibri" w:hAnsi="Calibri"/>
                <w:color w:val="000000"/>
              </w:rPr>
              <w:t> </w:t>
            </w:r>
          </w:p>
        </w:tc>
        <w:tc>
          <w:tcPr>
            <w:tcW w:w="47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00B050"/>
            <w:noWrap/>
            <w:vAlign w:val="bottom"/>
            <w:hideMark/>
          </w:tcPr>
          <w:p w14:paraId="4933C7EF" w14:textId="77777777" w:rsidR="00B54197" w:rsidRPr="00407552" w:rsidRDefault="00B54197" w:rsidP="003371C5">
            <w:pPr>
              <w:spacing w:after="0" w:line="240" w:lineRule="auto"/>
              <w:rPr>
                <w:rFonts w:ascii="Calibri" w:hAnsi="Calibri" w:cs="Times New Roman"/>
                <w:color w:val="000000"/>
              </w:rPr>
            </w:pPr>
            <w:r>
              <w:rPr>
                <w:rFonts w:ascii="Calibri" w:hAnsi="Calibri"/>
                <w:color w:val="000000"/>
              </w:rPr>
              <w:t> </w:t>
            </w:r>
          </w:p>
        </w:tc>
        <w:tc>
          <w:tcPr>
            <w:tcW w:w="42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12" w:space="0" w:color="auto"/>
            </w:tcBorders>
            <w:shd w:val="clear" w:color="auto" w:fill="auto"/>
            <w:noWrap/>
            <w:vAlign w:val="bottom"/>
            <w:hideMark/>
          </w:tcPr>
          <w:p w14:paraId="6289F3B7" w14:textId="77777777" w:rsidR="00B54197" w:rsidRPr="00407552" w:rsidRDefault="00B54197" w:rsidP="003371C5">
            <w:pPr>
              <w:spacing w:after="0" w:line="240" w:lineRule="auto"/>
              <w:rPr>
                <w:rFonts w:ascii="Calibri" w:hAnsi="Calibri" w:cs="Times New Roman"/>
                <w:color w:val="000000"/>
              </w:rPr>
            </w:pPr>
            <w:r>
              <w:rPr>
                <w:rFonts w:ascii="Calibri" w:hAnsi="Calibri"/>
                <w:color w:val="000000"/>
              </w:rPr>
              <w:t> </w:t>
            </w:r>
          </w:p>
        </w:tc>
      </w:tr>
      <w:tr w:rsidR="00B54197" w:rsidRPr="00407552" w14:paraId="499FFA36" w14:textId="77777777" w:rsidTr="003371C5">
        <w:trPr>
          <w:gridAfter w:val="1"/>
          <w:wAfter w:w="878" w:type="dxa"/>
          <w:trHeight w:val="323"/>
        </w:trPr>
        <w:tc>
          <w:tcPr>
            <w:tcW w:w="2127" w:type="dxa"/>
            <w:vMerge/>
            <w:tcBorders>
              <w:top w:val="single" w:sz="8" w:space="0" w:color="auto"/>
              <w:left w:val="single" w:sz="12" w:space="0" w:color="auto"/>
              <w:bottom w:val="single" w:sz="8" w:space="0" w:color="000000"/>
              <w:right w:val="single" w:sz="2" w:space="0" w:color="A6A6A6" w:themeColor="background1" w:themeShade="A6"/>
            </w:tcBorders>
            <w:vAlign w:val="center"/>
            <w:hideMark/>
          </w:tcPr>
          <w:p w14:paraId="77343031" w14:textId="77777777" w:rsidR="00B54197" w:rsidRPr="00407552" w:rsidRDefault="00B54197" w:rsidP="003371C5">
            <w:pPr>
              <w:spacing w:after="0" w:line="240" w:lineRule="auto"/>
              <w:rPr>
                <w:rFonts w:ascii="Calibri" w:hAnsi="Calibri" w:cs="Times New Roman"/>
                <w:b/>
                <w:bCs/>
                <w:color w:val="000000"/>
                <w:lang w:eastAsia="en-GB"/>
              </w:rPr>
            </w:pPr>
          </w:p>
        </w:tc>
        <w:tc>
          <w:tcPr>
            <w:tcW w:w="4535" w:type="dxa"/>
            <w:gridSpan w:val="4"/>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FFFFFF"/>
            <w:noWrap/>
            <w:vAlign w:val="bottom"/>
            <w:hideMark/>
          </w:tcPr>
          <w:p w14:paraId="2829B2A6" w14:textId="77777777" w:rsidR="00B54197" w:rsidRPr="00407552" w:rsidRDefault="00B54197" w:rsidP="003371C5">
            <w:pPr>
              <w:spacing w:after="0" w:line="240" w:lineRule="auto"/>
              <w:rPr>
                <w:rFonts w:ascii="Calibri" w:hAnsi="Calibri" w:cs="Times New Roman"/>
                <w:color w:val="000000"/>
              </w:rPr>
            </w:pPr>
            <w:r>
              <w:rPr>
                <w:rFonts w:ascii="Calibri" w:hAnsi="Calibri"/>
                <w:color w:val="000000"/>
              </w:rPr>
              <w:t>Gouvernance du Groupe multipartite (1.4)</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62B7650B" w14:textId="77777777" w:rsidR="00B54197" w:rsidRPr="00407552" w:rsidRDefault="00B54197" w:rsidP="003371C5">
            <w:pPr>
              <w:spacing w:after="0" w:line="240" w:lineRule="auto"/>
              <w:rPr>
                <w:rFonts w:ascii="Calibri" w:hAnsi="Calibri" w:cs="Times New Roman"/>
                <w:color w:val="000000"/>
                <w:lang w:eastAsia="en-GB"/>
              </w:rPr>
            </w:pPr>
          </w:p>
        </w:tc>
        <w:tc>
          <w:tcPr>
            <w:tcW w:w="53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FC000"/>
            <w:noWrap/>
            <w:vAlign w:val="bottom"/>
            <w:hideMark/>
          </w:tcPr>
          <w:p w14:paraId="30AC2F90" w14:textId="77777777" w:rsidR="00B54197" w:rsidRPr="00407552" w:rsidRDefault="00B54197" w:rsidP="003371C5">
            <w:pPr>
              <w:spacing w:after="0" w:line="240" w:lineRule="auto"/>
              <w:rPr>
                <w:rFonts w:ascii="Calibri" w:hAnsi="Calibri" w:cs="Times New Roman"/>
                <w:color w:val="000000"/>
              </w:rPr>
            </w:pPr>
            <w:r>
              <w:rPr>
                <w:rFonts w:ascii="Calibri" w:hAnsi="Calibri"/>
                <w:color w:val="000000"/>
              </w:rPr>
              <w:t> </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bottom"/>
            <w:hideMark/>
          </w:tcPr>
          <w:p w14:paraId="58A9759D" w14:textId="77777777" w:rsidR="00B54197" w:rsidRPr="00407552" w:rsidRDefault="00B54197" w:rsidP="003371C5">
            <w:pPr>
              <w:spacing w:after="0" w:line="240" w:lineRule="auto"/>
              <w:rPr>
                <w:rFonts w:ascii="Calibri" w:hAnsi="Calibri" w:cs="Times New Roman"/>
                <w:color w:val="000000"/>
              </w:rPr>
            </w:pPr>
            <w:r>
              <w:rPr>
                <w:rFonts w:ascii="Calibri" w:hAnsi="Calibri"/>
                <w:color w:val="000000"/>
              </w:rPr>
              <w:t> </w:t>
            </w:r>
          </w:p>
        </w:tc>
        <w:tc>
          <w:tcPr>
            <w:tcW w:w="47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bottom"/>
            <w:hideMark/>
          </w:tcPr>
          <w:p w14:paraId="7811DAC1" w14:textId="77777777" w:rsidR="00B54197" w:rsidRPr="00407552" w:rsidRDefault="00B54197" w:rsidP="003371C5">
            <w:pPr>
              <w:spacing w:after="0" w:line="240" w:lineRule="auto"/>
              <w:rPr>
                <w:rFonts w:ascii="Calibri" w:hAnsi="Calibri" w:cs="Times New Roman"/>
                <w:color w:val="000000"/>
              </w:rPr>
            </w:pPr>
            <w:r>
              <w:rPr>
                <w:rFonts w:ascii="Calibri" w:hAnsi="Calibri"/>
                <w:color w:val="000000"/>
              </w:rPr>
              <w:t> </w:t>
            </w:r>
          </w:p>
        </w:tc>
        <w:tc>
          <w:tcPr>
            <w:tcW w:w="42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12" w:space="0" w:color="auto"/>
            </w:tcBorders>
            <w:shd w:val="clear" w:color="auto" w:fill="auto"/>
            <w:noWrap/>
            <w:vAlign w:val="bottom"/>
            <w:hideMark/>
          </w:tcPr>
          <w:p w14:paraId="60020C55" w14:textId="77777777" w:rsidR="00B54197" w:rsidRPr="00407552" w:rsidRDefault="00B54197" w:rsidP="003371C5">
            <w:pPr>
              <w:spacing w:after="0" w:line="240" w:lineRule="auto"/>
              <w:rPr>
                <w:rFonts w:ascii="Calibri" w:hAnsi="Calibri" w:cs="Times New Roman"/>
                <w:color w:val="000000"/>
              </w:rPr>
            </w:pPr>
            <w:r>
              <w:rPr>
                <w:rFonts w:ascii="Calibri" w:hAnsi="Calibri"/>
                <w:color w:val="000000"/>
              </w:rPr>
              <w:t> </w:t>
            </w:r>
          </w:p>
        </w:tc>
      </w:tr>
      <w:tr w:rsidR="00B54197" w:rsidRPr="00407552" w14:paraId="5EB24DCC" w14:textId="77777777" w:rsidTr="003371C5">
        <w:trPr>
          <w:gridAfter w:val="1"/>
          <w:wAfter w:w="878" w:type="dxa"/>
          <w:trHeight w:val="53"/>
        </w:trPr>
        <w:tc>
          <w:tcPr>
            <w:tcW w:w="2127" w:type="dxa"/>
            <w:vMerge/>
            <w:tcBorders>
              <w:top w:val="single" w:sz="8" w:space="0" w:color="auto"/>
              <w:left w:val="single" w:sz="12" w:space="0" w:color="auto"/>
              <w:bottom w:val="single" w:sz="12" w:space="0" w:color="000000" w:themeColor="text1"/>
              <w:right w:val="single" w:sz="2" w:space="0" w:color="A6A6A6" w:themeColor="background1" w:themeShade="A6"/>
            </w:tcBorders>
            <w:vAlign w:val="center"/>
            <w:hideMark/>
          </w:tcPr>
          <w:p w14:paraId="194EC196" w14:textId="77777777" w:rsidR="00B54197" w:rsidRPr="00407552" w:rsidRDefault="00B54197" w:rsidP="003371C5">
            <w:pPr>
              <w:spacing w:after="0" w:line="240" w:lineRule="auto"/>
              <w:rPr>
                <w:rFonts w:ascii="Calibri" w:hAnsi="Calibri" w:cs="Times New Roman"/>
                <w:b/>
                <w:bCs/>
                <w:color w:val="000000"/>
                <w:lang w:eastAsia="en-GB"/>
              </w:rPr>
            </w:pPr>
          </w:p>
        </w:tc>
        <w:tc>
          <w:tcPr>
            <w:tcW w:w="4535" w:type="dxa"/>
            <w:gridSpan w:val="4"/>
            <w:tcBorders>
              <w:top w:val="single" w:sz="2" w:space="0" w:color="A6A6A6" w:themeColor="background1" w:themeShade="A6"/>
              <w:left w:val="single" w:sz="2" w:space="0" w:color="A6A6A6" w:themeColor="background1" w:themeShade="A6"/>
              <w:bottom w:val="single" w:sz="12" w:space="0" w:color="000000" w:themeColor="text1"/>
              <w:right w:val="single" w:sz="2" w:space="0" w:color="A6A6A6" w:themeColor="background1" w:themeShade="A6"/>
            </w:tcBorders>
            <w:shd w:val="clear" w:color="000000" w:fill="FFFFFF"/>
            <w:noWrap/>
            <w:vAlign w:val="bottom"/>
            <w:hideMark/>
          </w:tcPr>
          <w:p w14:paraId="7D655468" w14:textId="77777777" w:rsidR="00B54197" w:rsidRPr="00407552" w:rsidRDefault="00B54197" w:rsidP="003371C5">
            <w:pPr>
              <w:spacing w:after="0" w:line="240" w:lineRule="auto"/>
              <w:rPr>
                <w:rFonts w:ascii="Calibri" w:hAnsi="Calibri" w:cs="Times New Roman"/>
                <w:color w:val="000000"/>
              </w:rPr>
            </w:pPr>
            <w:r>
              <w:rPr>
                <w:rFonts w:ascii="Calibri" w:hAnsi="Calibri"/>
                <w:color w:val="000000"/>
              </w:rPr>
              <w:t>Plan de travail (1.5)</w:t>
            </w:r>
          </w:p>
        </w:tc>
        <w:tc>
          <w:tcPr>
            <w:tcW w:w="491" w:type="dxa"/>
            <w:tcBorders>
              <w:top w:val="single" w:sz="2" w:space="0" w:color="A6A6A6" w:themeColor="background1" w:themeShade="A6"/>
              <w:left w:val="single" w:sz="2" w:space="0" w:color="A6A6A6" w:themeColor="background1" w:themeShade="A6"/>
              <w:bottom w:val="single" w:sz="12" w:space="0" w:color="000000" w:themeColor="text1"/>
              <w:right w:val="single" w:sz="2" w:space="0" w:color="A6A6A6" w:themeColor="background1" w:themeShade="A6"/>
            </w:tcBorders>
          </w:tcPr>
          <w:p w14:paraId="33640D79" w14:textId="77777777" w:rsidR="00B54197" w:rsidRPr="00407552" w:rsidRDefault="00B54197" w:rsidP="003371C5">
            <w:pPr>
              <w:spacing w:after="0" w:line="240" w:lineRule="auto"/>
              <w:rPr>
                <w:rFonts w:ascii="Calibri" w:hAnsi="Calibri" w:cs="Times New Roman"/>
                <w:color w:val="000000"/>
                <w:lang w:eastAsia="en-GB"/>
              </w:rPr>
            </w:pPr>
          </w:p>
        </w:tc>
        <w:tc>
          <w:tcPr>
            <w:tcW w:w="532" w:type="dxa"/>
            <w:tcBorders>
              <w:top w:val="single" w:sz="2" w:space="0" w:color="A6A6A6" w:themeColor="background1" w:themeShade="A6"/>
              <w:left w:val="single" w:sz="2" w:space="0" w:color="A6A6A6" w:themeColor="background1" w:themeShade="A6"/>
              <w:bottom w:val="single" w:sz="12" w:space="0" w:color="000000" w:themeColor="text1"/>
              <w:right w:val="single" w:sz="2" w:space="0" w:color="A6A6A6" w:themeColor="background1" w:themeShade="A6"/>
            </w:tcBorders>
            <w:shd w:val="clear" w:color="auto" w:fill="auto"/>
            <w:noWrap/>
            <w:vAlign w:val="bottom"/>
            <w:hideMark/>
          </w:tcPr>
          <w:p w14:paraId="20659FD2" w14:textId="77777777" w:rsidR="00B54197" w:rsidRPr="00407552" w:rsidRDefault="00B54197" w:rsidP="003371C5">
            <w:pPr>
              <w:spacing w:after="0" w:line="240" w:lineRule="auto"/>
              <w:rPr>
                <w:rFonts w:ascii="Calibri" w:hAnsi="Calibri" w:cs="Times New Roman"/>
                <w:color w:val="000000"/>
              </w:rPr>
            </w:pPr>
            <w:r>
              <w:rPr>
                <w:rFonts w:ascii="Calibri" w:hAnsi="Calibri"/>
                <w:color w:val="000000"/>
              </w:rPr>
              <w:t> </w:t>
            </w:r>
          </w:p>
        </w:tc>
        <w:tc>
          <w:tcPr>
            <w:tcW w:w="491" w:type="dxa"/>
            <w:tcBorders>
              <w:top w:val="single" w:sz="2" w:space="0" w:color="A6A6A6" w:themeColor="background1" w:themeShade="A6"/>
              <w:left w:val="single" w:sz="2" w:space="0" w:color="A6A6A6" w:themeColor="background1" w:themeShade="A6"/>
              <w:bottom w:val="single" w:sz="12" w:space="0" w:color="000000" w:themeColor="text1"/>
              <w:right w:val="single" w:sz="2" w:space="0" w:color="A6A6A6" w:themeColor="background1" w:themeShade="A6"/>
            </w:tcBorders>
            <w:shd w:val="clear" w:color="auto" w:fill="92D050"/>
            <w:noWrap/>
            <w:vAlign w:val="bottom"/>
            <w:hideMark/>
          </w:tcPr>
          <w:p w14:paraId="75B0EBFD" w14:textId="77777777" w:rsidR="00B54197" w:rsidRPr="00407552" w:rsidRDefault="00B54197" w:rsidP="003371C5">
            <w:pPr>
              <w:spacing w:after="0" w:line="240" w:lineRule="auto"/>
              <w:rPr>
                <w:rFonts w:ascii="Calibri" w:hAnsi="Calibri" w:cs="Times New Roman"/>
                <w:color w:val="000000"/>
              </w:rPr>
            </w:pPr>
            <w:r>
              <w:rPr>
                <w:rFonts w:ascii="Calibri" w:hAnsi="Calibri"/>
                <w:color w:val="000000"/>
              </w:rPr>
              <w:t> </w:t>
            </w:r>
          </w:p>
        </w:tc>
        <w:tc>
          <w:tcPr>
            <w:tcW w:w="470" w:type="dxa"/>
            <w:tcBorders>
              <w:top w:val="single" w:sz="2" w:space="0" w:color="A6A6A6" w:themeColor="background1" w:themeShade="A6"/>
              <w:left w:val="single" w:sz="2" w:space="0" w:color="A6A6A6" w:themeColor="background1" w:themeShade="A6"/>
              <w:bottom w:val="single" w:sz="12" w:space="0" w:color="000000" w:themeColor="text1"/>
              <w:right w:val="single" w:sz="2" w:space="0" w:color="A6A6A6" w:themeColor="background1" w:themeShade="A6"/>
            </w:tcBorders>
            <w:shd w:val="clear" w:color="auto" w:fill="auto"/>
            <w:noWrap/>
            <w:vAlign w:val="bottom"/>
            <w:hideMark/>
          </w:tcPr>
          <w:p w14:paraId="1F5A4BAA" w14:textId="77777777" w:rsidR="00B54197" w:rsidRPr="00407552" w:rsidRDefault="00B54197" w:rsidP="003371C5">
            <w:pPr>
              <w:spacing w:after="0" w:line="240" w:lineRule="auto"/>
              <w:rPr>
                <w:rFonts w:ascii="Calibri" w:hAnsi="Calibri" w:cs="Times New Roman"/>
                <w:color w:val="000000"/>
              </w:rPr>
            </w:pPr>
            <w:r>
              <w:rPr>
                <w:rFonts w:ascii="Calibri" w:hAnsi="Calibri"/>
                <w:color w:val="000000"/>
              </w:rPr>
              <w:t> </w:t>
            </w:r>
          </w:p>
        </w:tc>
        <w:tc>
          <w:tcPr>
            <w:tcW w:w="421" w:type="dxa"/>
            <w:tcBorders>
              <w:top w:val="single" w:sz="2" w:space="0" w:color="A6A6A6" w:themeColor="background1" w:themeShade="A6"/>
              <w:left w:val="single" w:sz="2" w:space="0" w:color="A6A6A6" w:themeColor="background1" w:themeShade="A6"/>
              <w:bottom w:val="single" w:sz="12" w:space="0" w:color="000000" w:themeColor="text1"/>
              <w:right w:val="single" w:sz="12" w:space="0" w:color="auto"/>
            </w:tcBorders>
            <w:shd w:val="clear" w:color="auto" w:fill="auto"/>
            <w:noWrap/>
            <w:vAlign w:val="bottom"/>
            <w:hideMark/>
          </w:tcPr>
          <w:p w14:paraId="66156AE2" w14:textId="77777777" w:rsidR="00B54197" w:rsidRPr="00407552" w:rsidRDefault="00B54197" w:rsidP="003371C5">
            <w:pPr>
              <w:spacing w:after="0" w:line="240" w:lineRule="auto"/>
              <w:rPr>
                <w:rFonts w:ascii="Calibri" w:hAnsi="Calibri" w:cs="Times New Roman"/>
                <w:color w:val="000000"/>
              </w:rPr>
            </w:pPr>
            <w:r>
              <w:rPr>
                <w:rFonts w:ascii="Calibri" w:hAnsi="Calibri"/>
                <w:color w:val="000000"/>
              </w:rPr>
              <w:t> </w:t>
            </w:r>
          </w:p>
        </w:tc>
      </w:tr>
      <w:tr w:rsidR="00B54197" w:rsidRPr="00407552" w14:paraId="79C3F33A" w14:textId="77777777" w:rsidTr="003371C5">
        <w:trPr>
          <w:gridAfter w:val="1"/>
          <w:wAfter w:w="878" w:type="dxa"/>
          <w:trHeight w:val="53"/>
        </w:trPr>
        <w:tc>
          <w:tcPr>
            <w:tcW w:w="2127" w:type="dxa"/>
            <w:vMerge w:val="restart"/>
            <w:tcBorders>
              <w:top w:val="single" w:sz="12" w:space="0" w:color="000000" w:themeColor="text1"/>
              <w:left w:val="single" w:sz="12" w:space="0" w:color="auto"/>
              <w:bottom w:val="single" w:sz="2" w:space="0" w:color="A6A6A6" w:themeColor="background1" w:themeShade="A6"/>
              <w:right w:val="single" w:sz="2" w:space="0" w:color="A6A6A6" w:themeColor="background1" w:themeShade="A6"/>
            </w:tcBorders>
            <w:shd w:val="clear" w:color="000000" w:fill="BFBFBF"/>
            <w:noWrap/>
            <w:vAlign w:val="center"/>
            <w:hideMark/>
          </w:tcPr>
          <w:p w14:paraId="795F61F3" w14:textId="77777777" w:rsidR="00B54197" w:rsidRPr="00407552" w:rsidRDefault="00B54197" w:rsidP="003371C5">
            <w:pPr>
              <w:spacing w:after="0" w:line="240" w:lineRule="auto"/>
              <w:rPr>
                <w:rFonts w:ascii="Calibri" w:hAnsi="Calibri" w:cs="Times New Roman"/>
                <w:b/>
                <w:bCs/>
                <w:color w:val="000000"/>
              </w:rPr>
            </w:pPr>
            <w:r>
              <w:rPr>
                <w:rFonts w:ascii="Calibri" w:hAnsi="Calibri"/>
                <w:b/>
                <w:bCs/>
                <w:color w:val="000000"/>
              </w:rPr>
              <w:t>Licences et contrats</w:t>
            </w:r>
          </w:p>
        </w:tc>
        <w:tc>
          <w:tcPr>
            <w:tcW w:w="4535" w:type="dxa"/>
            <w:gridSpan w:val="4"/>
            <w:tcBorders>
              <w:top w:val="single" w:sz="12" w:space="0" w:color="000000" w:themeColor="text1"/>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FFFFFF"/>
            <w:noWrap/>
            <w:vAlign w:val="center"/>
            <w:hideMark/>
          </w:tcPr>
          <w:p w14:paraId="5B3D951F" w14:textId="77777777" w:rsidR="00B54197" w:rsidRPr="00407552" w:rsidRDefault="00B54197" w:rsidP="003371C5">
            <w:pPr>
              <w:spacing w:after="0" w:line="240" w:lineRule="auto"/>
              <w:rPr>
                <w:rFonts w:ascii="Calibri" w:hAnsi="Calibri" w:cs="Times New Roman"/>
                <w:color w:val="000000"/>
              </w:rPr>
            </w:pPr>
            <w:r>
              <w:rPr>
                <w:rFonts w:ascii="Calibri" w:hAnsi="Calibri"/>
                <w:color w:val="000000"/>
              </w:rPr>
              <w:t>Cadre légal (2.1)</w:t>
            </w:r>
          </w:p>
        </w:tc>
        <w:tc>
          <w:tcPr>
            <w:tcW w:w="491" w:type="dxa"/>
            <w:tcBorders>
              <w:top w:val="single" w:sz="12" w:space="0" w:color="000000" w:themeColor="text1"/>
              <w:left w:val="single" w:sz="2" w:space="0" w:color="A6A6A6" w:themeColor="background1" w:themeShade="A6"/>
              <w:bottom w:val="single" w:sz="2" w:space="0" w:color="A6A6A6" w:themeColor="background1" w:themeShade="A6"/>
              <w:right w:val="single" w:sz="2" w:space="0" w:color="A6A6A6" w:themeColor="background1" w:themeShade="A6"/>
            </w:tcBorders>
          </w:tcPr>
          <w:p w14:paraId="648EAB30" w14:textId="77777777" w:rsidR="00B54197" w:rsidRPr="00407552" w:rsidRDefault="00B54197" w:rsidP="003371C5">
            <w:pPr>
              <w:spacing w:after="0" w:line="240" w:lineRule="auto"/>
              <w:rPr>
                <w:rFonts w:ascii="Calibri" w:hAnsi="Calibri" w:cs="Times New Roman"/>
                <w:color w:val="000000"/>
                <w:lang w:eastAsia="en-GB"/>
              </w:rPr>
            </w:pPr>
          </w:p>
        </w:tc>
        <w:tc>
          <w:tcPr>
            <w:tcW w:w="532" w:type="dxa"/>
            <w:tcBorders>
              <w:top w:val="single" w:sz="12" w:space="0" w:color="000000" w:themeColor="text1"/>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bottom"/>
            <w:hideMark/>
          </w:tcPr>
          <w:p w14:paraId="504A43FA" w14:textId="77777777" w:rsidR="00B54197" w:rsidRPr="00407552" w:rsidRDefault="00B54197" w:rsidP="003371C5">
            <w:pPr>
              <w:spacing w:after="0" w:line="240" w:lineRule="auto"/>
              <w:rPr>
                <w:rFonts w:ascii="Calibri" w:hAnsi="Calibri" w:cs="Times New Roman"/>
                <w:color w:val="000000"/>
              </w:rPr>
            </w:pPr>
            <w:r>
              <w:rPr>
                <w:rFonts w:ascii="Calibri" w:hAnsi="Calibri"/>
                <w:color w:val="000000"/>
              </w:rPr>
              <w:t> </w:t>
            </w:r>
          </w:p>
        </w:tc>
        <w:tc>
          <w:tcPr>
            <w:tcW w:w="491" w:type="dxa"/>
            <w:tcBorders>
              <w:top w:val="single" w:sz="12" w:space="0" w:color="000000" w:themeColor="text1"/>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bottom"/>
            <w:hideMark/>
          </w:tcPr>
          <w:p w14:paraId="4C1EAB1B" w14:textId="77777777" w:rsidR="00B54197" w:rsidRPr="00407552" w:rsidRDefault="00B54197" w:rsidP="003371C5">
            <w:pPr>
              <w:spacing w:after="0" w:line="240" w:lineRule="auto"/>
              <w:rPr>
                <w:rFonts w:ascii="Calibri" w:hAnsi="Calibri" w:cs="Times New Roman"/>
                <w:color w:val="000000"/>
              </w:rPr>
            </w:pPr>
            <w:r>
              <w:rPr>
                <w:rFonts w:ascii="Calibri" w:hAnsi="Calibri"/>
                <w:color w:val="000000"/>
              </w:rPr>
              <w:t> </w:t>
            </w:r>
          </w:p>
        </w:tc>
        <w:tc>
          <w:tcPr>
            <w:tcW w:w="470" w:type="dxa"/>
            <w:tcBorders>
              <w:top w:val="single" w:sz="12" w:space="0" w:color="auto"/>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00B050"/>
            <w:noWrap/>
            <w:vAlign w:val="bottom"/>
            <w:hideMark/>
          </w:tcPr>
          <w:p w14:paraId="4F970A1E" w14:textId="77777777" w:rsidR="00B54197" w:rsidRPr="00407552" w:rsidRDefault="00B54197" w:rsidP="003371C5">
            <w:pPr>
              <w:spacing w:after="0" w:line="240" w:lineRule="auto"/>
              <w:rPr>
                <w:rFonts w:ascii="Calibri" w:hAnsi="Calibri" w:cs="Times New Roman"/>
                <w:color w:val="000000"/>
              </w:rPr>
            </w:pPr>
            <w:r>
              <w:rPr>
                <w:rFonts w:ascii="Calibri" w:hAnsi="Calibri"/>
                <w:color w:val="000000"/>
              </w:rPr>
              <w:t> </w:t>
            </w:r>
          </w:p>
        </w:tc>
        <w:tc>
          <w:tcPr>
            <w:tcW w:w="421" w:type="dxa"/>
            <w:tcBorders>
              <w:top w:val="single" w:sz="12" w:space="0" w:color="000000" w:themeColor="text1"/>
              <w:left w:val="single" w:sz="2" w:space="0" w:color="A6A6A6" w:themeColor="background1" w:themeShade="A6"/>
              <w:bottom w:val="single" w:sz="2" w:space="0" w:color="A6A6A6" w:themeColor="background1" w:themeShade="A6"/>
              <w:right w:val="single" w:sz="12" w:space="0" w:color="auto"/>
            </w:tcBorders>
            <w:shd w:val="clear" w:color="auto" w:fill="auto"/>
            <w:noWrap/>
            <w:vAlign w:val="bottom"/>
            <w:hideMark/>
          </w:tcPr>
          <w:p w14:paraId="706BFC88" w14:textId="77777777" w:rsidR="00B54197" w:rsidRPr="00407552" w:rsidRDefault="00B54197" w:rsidP="003371C5">
            <w:pPr>
              <w:spacing w:after="0" w:line="240" w:lineRule="auto"/>
              <w:rPr>
                <w:rFonts w:ascii="Calibri" w:hAnsi="Calibri" w:cs="Times New Roman"/>
                <w:color w:val="000000"/>
              </w:rPr>
            </w:pPr>
            <w:r>
              <w:rPr>
                <w:rFonts w:ascii="Calibri" w:hAnsi="Calibri"/>
                <w:color w:val="000000"/>
              </w:rPr>
              <w:t> </w:t>
            </w:r>
          </w:p>
        </w:tc>
      </w:tr>
      <w:tr w:rsidR="00B54197" w:rsidRPr="00407552" w14:paraId="4ECC8347" w14:textId="77777777" w:rsidTr="003371C5">
        <w:trPr>
          <w:gridAfter w:val="1"/>
          <w:wAfter w:w="878" w:type="dxa"/>
          <w:trHeight w:val="53"/>
        </w:trPr>
        <w:tc>
          <w:tcPr>
            <w:tcW w:w="2127" w:type="dxa"/>
            <w:vMerge/>
            <w:tcBorders>
              <w:top w:val="single" w:sz="2" w:space="0" w:color="A6A6A6" w:themeColor="background1" w:themeShade="A6"/>
              <w:left w:val="single" w:sz="12" w:space="0" w:color="auto"/>
              <w:bottom w:val="single" w:sz="2" w:space="0" w:color="A6A6A6" w:themeColor="background1" w:themeShade="A6"/>
              <w:right w:val="single" w:sz="2" w:space="0" w:color="A6A6A6" w:themeColor="background1" w:themeShade="A6"/>
            </w:tcBorders>
            <w:vAlign w:val="center"/>
            <w:hideMark/>
          </w:tcPr>
          <w:p w14:paraId="6D56E1CB" w14:textId="77777777" w:rsidR="00B54197" w:rsidRPr="00407552" w:rsidRDefault="00B54197" w:rsidP="003371C5">
            <w:pPr>
              <w:spacing w:after="0" w:line="240" w:lineRule="auto"/>
              <w:rPr>
                <w:rFonts w:ascii="Calibri" w:hAnsi="Calibri" w:cs="Times New Roman"/>
                <w:b/>
                <w:bCs/>
                <w:color w:val="000000"/>
                <w:lang w:eastAsia="en-GB"/>
              </w:rPr>
            </w:pPr>
          </w:p>
        </w:tc>
        <w:tc>
          <w:tcPr>
            <w:tcW w:w="4535" w:type="dxa"/>
            <w:gridSpan w:val="4"/>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FFFFFF"/>
            <w:noWrap/>
            <w:vAlign w:val="center"/>
            <w:hideMark/>
          </w:tcPr>
          <w:p w14:paraId="39210DFA" w14:textId="77777777" w:rsidR="00B54197" w:rsidRPr="00407552" w:rsidRDefault="00B54197" w:rsidP="003371C5">
            <w:pPr>
              <w:spacing w:after="0" w:line="240" w:lineRule="auto"/>
              <w:rPr>
                <w:rFonts w:ascii="Calibri" w:hAnsi="Calibri" w:cs="Times New Roman"/>
                <w:color w:val="000000"/>
              </w:rPr>
            </w:pPr>
            <w:r>
              <w:rPr>
                <w:rFonts w:ascii="Calibri" w:hAnsi="Calibri"/>
                <w:color w:val="000000"/>
              </w:rPr>
              <w:t>Octroi de licences (2.2)</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4421F295" w14:textId="77777777" w:rsidR="00B54197" w:rsidRPr="00407552" w:rsidRDefault="00B54197" w:rsidP="003371C5">
            <w:pPr>
              <w:spacing w:after="0" w:line="240" w:lineRule="auto"/>
              <w:rPr>
                <w:rFonts w:ascii="Calibri" w:hAnsi="Calibri" w:cs="Times New Roman"/>
                <w:color w:val="000000"/>
                <w:lang w:eastAsia="en-GB"/>
              </w:rPr>
            </w:pPr>
          </w:p>
        </w:tc>
        <w:tc>
          <w:tcPr>
            <w:tcW w:w="53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bottom"/>
            <w:hideMark/>
          </w:tcPr>
          <w:p w14:paraId="656411E6" w14:textId="77777777" w:rsidR="00B54197" w:rsidRPr="00407552" w:rsidRDefault="00B54197" w:rsidP="003371C5">
            <w:pPr>
              <w:spacing w:after="0" w:line="240" w:lineRule="auto"/>
              <w:rPr>
                <w:rFonts w:ascii="Calibri" w:hAnsi="Calibri" w:cs="Times New Roman"/>
                <w:color w:val="000000"/>
              </w:rPr>
            </w:pPr>
            <w:r>
              <w:rPr>
                <w:rFonts w:ascii="Calibri" w:hAnsi="Calibri"/>
                <w:color w:val="000000"/>
              </w:rPr>
              <w:t> </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bottom"/>
            <w:hideMark/>
          </w:tcPr>
          <w:p w14:paraId="4B0F813E" w14:textId="77777777" w:rsidR="00B54197" w:rsidRPr="00407552" w:rsidRDefault="00B54197" w:rsidP="003371C5">
            <w:pPr>
              <w:spacing w:after="0" w:line="240" w:lineRule="auto"/>
              <w:rPr>
                <w:rFonts w:ascii="Calibri" w:hAnsi="Calibri" w:cs="Times New Roman"/>
                <w:color w:val="000000"/>
              </w:rPr>
            </w:pPr>
            <w:r>
              <w:rPr>
                <w:rFonts w:ascii="Calibri" w:hAnsi="Calibri"/>
                <w:color w:val="000000"/>
              </w:rPr>
              <w:t> </w:t>
            </w:r>
          </w:p>
        </w:tc>
        <w:tc>
          <w:tcPr>
            <w:tcW w:w="47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00B050"/>
            <w:noWrap/>
            <w:vAlign w:val="bottom"/>
            <w:hideMark/>
          </w:tcPr>
          <w:p w14:paraId="2CDDF573" w14:textId="77777777" w:rsidR="00B54197" w:rsidRPr="00407552" w:rsidRDefault="00B54197" w:rsidP="003371C5">
            <w:pPr>
              <w:spacing w:after="0" w:line="240" w:lineRule="auto"/>
              <w:rPr>
                <w:rFonts w:ascii="Calibri" w:hAnsi="Calibri" w:cs="Times New Roman"/>
                <w:color w:val="000000"/>
              </w:rPr>
            </w:pPr>
            <w:r>
              <w:rPr>
                <w:rFonts w:ascii="Calibri" w:hAnsi="Calibri"/>
                <w:color w:val="000000"/>
              </w:rPr>
              <w:t> </w:t>
            </w:r>
          </w:p>
        </w:tc>
        <w:tc>
          <w:tcPr>
            <w:tcW w:w="42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12" w:space="0" w:color="auto"/>
            </w:tcBorders>
            <w:shd w:val="clear" w:color="auto" w:fill="auto"/>
            <w:noWrap/>
            <w:vAlign w:val="bottom"/>
            <w:hideMark/>
          </w:tcPr>
          <w:p w14:paraId="5A1E1305" w14:textId="77777777" w:rsidR="00B54197" w:rsidRPr="00407552" w:rsidRDefault="00B54197" w:rsidP="003371C5">
            <w:pPr>
              <w:spacing w:after="0" w:line="240" w:lineRule="auto"/>
              <w:rPr>
                <w:rFonts w:ascii="Calibri" w:hAnsi="Calibri" w:cs="Times New Roman"/>
                <w:color w:val="000000"/>
              </w:rPr>
            </w:pPr>
            <w:r>
              <w:rPr>
                <w:rFonts w:ascii="Calibri" w:hAnsi="Calibri"/>
                <w:color w:val="000000"/>
              </w:rPr>
              <w:t> </w:t>
            </w:r>
          </w:p>
        </w:tc>
      </w:tr>
      <w:tr w:rsidR="00B54197" w:rsidRPr="00407552" w14:paraId="2EC4B54F" w14:textId="77777777" w:rsidTr="003371C5">
        <w:trPr>
          <w:gridAfter w:val="1"/>
          <w:wAfter w:w="878" w:type="dxa"/>
          <w:trHeight w:val="53"/>
        </w:trPr>
        <w:tc>
          <w:tcPr>
            <w:tcW w:w="2127" w:type="dxa"/>
            <w:vMerge/>
            <w:tcBorders>
              <w:top w:val="single" w:sz="2" w:space="0" w:color="A6A6A6" w:themeColor="background1" w:themeShade="A6"/>
              <w:left w:val="single" w:sz="12" w:space="0" w:color="auto"/>
              <w:bottom w:val="single" w:sz="2" w:space="0" w:color="A6A6A6" w:themeColor="background1" w:themeShade="A6"/>
              <w:right w:val="single" w:sz="2" w:space="0" w:color="A6A6A6" w:themeColor="background1" w:themeShade="A6"/>
            </w:tcBorders>
            <w:vAlign w:val="center"/>
            <w:hideMark/>
          </w:tcPr>
          <w:p w14:paraId="16D51A2E" w14:textId="77777777" w:rsidR="00B54197" w:rsidRPr="00407552" w:rsidRDefault="00B54197" w:rsidP="003371C5">
            <w:pPr>
              <w:spacing w:after="0" w:line="240" w:lineRule="auto"/>
              <w:rPr>
                <w:rFonts w:ascii="Calibri" w:hAnsi="Calibri" w:cs="Times New Roman"/>
                <w:b/>
                <w:bCs/>
                <w:color w:val="000000"/>
                <w:lang w:eastAsia="en-GB"/>
              </w:rPr>
            </w:pPr>
          </w:p>
        </w:tc>
        <w:tc>
          <w:tcPr>
            <w:tcW w:w="4535" w:type="dxa"/>
            <w:gridSpan w:val="4"/>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FFFFFF"/>
            <w:noWrap/>
            <w:vAlign w:val="center"/>
            <w:hideMark/>
          </w:tcPr>
          <w:p w14:paraId="085A12F5" w14:textId="77777777" w:rsidR="00B54197" w:rsidRPr="00407552" w:rsidRDefault="00B54197" w:rsidP="003371C5">
            <w:pPr>
              <w:spacing w:after="0" w:line="240" w:lineRule="auto"/>
              <w:rPr>
                <w:rFonts w:ascii="Calibri" w:hAnsi="Calibri" w:cs="Times New Roman"/>
                <w:color w:val="000000"/>
              </w:rPr>
            </w:pPr>
            <w:r>
              <w:rPr>
                <w:rFonts w:ascii="Calibri" w:hAnsi="Calibri"/>
                <w:color w:val="000000"/>
              </w:rPr>
              <w:t>Registre des licences (2.3)</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0295F5FB" w14:textId="77777777" w:rsidR="00B54197" w:rsidRPr="00407552" w:rsidRDefault="00B54197" w:rsidP="003371C5">
            <w:pPr>
              <w:spacing w:after="0" w:line="240" w:lineRule="auto"/>
              <w:rPr>
                <w:rFonts w:ascii="Calibri" w:hAnsi="Calibri" w:cs="Times New Roman"/>
                <w:color w:val="000000"/>
                <w:lang w:eastAsia="en-GB"/>
              </w:rPr>
            </w:pPr>
          </w:p>
        </w:tc>
        <w:tc>
          <w:tcPr>
            <w:tcW w:w="53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bottom"/>
          </w:tcPr>
          <w:p w14:paraId="4E0A61C5" w14:textId="77777777" w:rsidR="00B54197" w:rsidRPr="00407552" w:rsidRDefault="00B54197" w:rsidP="003371C5">
            <w:pPr>
              <w:spacing w:after="0" w:line="240" w:lineRule="auto"/>
              <w:rPr>
                <w:rFonts w:ascii="Calibri" w:hAnsi="Calibri" w:cs="Times New Roman"/>
                <w:color w:val="000000"/>
                <w:lang w:eastAsia="en-GB"/>
              </w:rPr>
            </w:pP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92D050"/>
            <w:noWrap/>
            <w:vAlign w:val="bottom"/>
            <w:hideMark/>
          </w:tcPr>
          <w:p w14:paraId="7F559643" w14:textId="77777777" w:rsidR="00B54197" w:rsidRPr="00407552" w:rsidRDefault="00B54197" w:rsidP="003371C5">
            <w:pPr>
              <w:spacing w:after="0" w:line="240" w:lineRule="auto"/>
              <w:rPr>
                <w:rFonts w:ascii="Calibri" w:hAnsi="Calibri" w:cs="Times New Roman"/>
                <w:color w:val="000000"/>
              </w:rPr>
            </w:pPr>
            <w:r>
              <w:rPr>
                <w:rFonts w:ascii="Calibri" w:hAnsi="Calibri"/>
                <w:color w:val="000000"/>
              </w:rPr>
              <w:t> </w:t>
            </w:r>
          </w:p>
        </w:tc>
        <w:tc>
          <w:tcPr>
            <w:tcW w:w="47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bottom"/>
            <w:hideMark/>
          </w:tcPr>
          <w:p w14:paraId="11727510" w14:textId="77777777" w:rsidR="00B54197" w:rsidRPr="00407552" w:rsidRDefault="00B54197" w:rsidP="003371C5">
            <w:pPr>
              <w:spacing w:after="0" w:line="240" w:lineRule="auto"/>
              <w:rPr>
                <w:rFonts w:ascii="Calibri" w:hAnsi="Calibri" w:cs="Times New Roman"/>
                <w:color w:val="000000"/>
              </w:rPr>
            </w:pPr>
            <w:r>
              <w:rPr>
                <w:rFonts w:ascii="Calibri" w:hAnsi="Calibri"/>
                <w:color w:val="000000"/>
              </w:rPr>
              <w:t> </w:t>
            </w:r>
          </w:p>
        </w:tc>
        <w:tc>
          <w:tcPr>
            <w:tcW w:w="42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12" w:space="0" w:color="auto"/>
            </w:tcBorders>
            <w:shd w:val="clear" w:color="auto" w:fill="auto"/>
            <w:noWrap/>
            <w:vAlign w:val="bottom"/>
            <w:hideMark/>
          </w:tcPr>
          <w:p w14:paraId="6F01AFDD" w14:textId="77777777" w:rsidR="00B54197" w:rsidRPr="00407552" w:rsidRDefault="00B54197" w:rsidP="003371C5">
            <w:pPr>
              <w:spacing w:after="0" w:line="240" w:lineRule="auto"/>
              <w:rPr>
                <w:rFonts w:ascii="Calibri" w:hAnsi="Calibri" w:cs="Times New Roman"/>
                <w:color w:val="000000"/>
              </w:rPr>
            </w:pPr>
            <w:r>
              <w:rPr>
                <w:rFonts w:ascii="Calibri" w:hAnsi="Calibri"/>
                <w:color w:val="000000"/>
              </w:rPr>
              <w:t> </w:t>
            </w:r>
          </w:p>
        </w:tc>
      </w:tr>
      <w:tr w:rsidR="00B54197" w:rsidRPr="00407552" w14:paraId="03DF476A" w14:textId="77777777" w:rsidTr="003371C5">
        <w:trPr>
          <w:gridAfter w:val="1"/>
          <w:wAfter w:w="878" w:type="dxa"/>
          <w:trHeight w:val="53"/>
        </w:trPr>
        <w:tc>
          <w:tcPr>
            <w:tcW w:w="2127" w:type="dxa"/>
            <w:vMerge/>
            <w:tcBorders>
              <w:top w:val="single" w:sz="2" w:space="0" w:color="A6A6A6" w:themeColor="background1" w:themeShade="A6"/>
              <w:left w:val="single" w:sz="12" w:space="0" w:color="auto"/>
              <w:bottom w:val="single" w:sz="2" w:space="0" w:color="A6A6A6" w:themeColor="background1" w:themeShade="A6"/>
              <w:right w:val="single" w:sz="2" w:space="0" w:color="A6A6A6" w:themeColor="background1" w:themeShade="A6"/>
            </w:tcBorders>
            <w:vAlign w:val="center"/>
            <w:hideMark/>
          </w:tcPr>
          <w:p w14:paraId="4B6C73A3" w14:textId="77777777" w:rsidR="00B54197" w:rsidRPr="00407552" w:rsidRDefault="00B54197" w:rsidP="003371C5">
            <w:pPr>
              <w:spacing w:after="0" w:line="240" w:lineRule="auto"/>
              <w:rPr>
                <w:rFonts w:ascii="Calibri" w:hAnsi="Calibri" w:cs="Times New Roman"/>
                <w:b/>
                <w:bCs/>
                <w:color w:val="000000"/>
                <w:lang w:eastAsia="en-GB"/>
              </w:rPr>
            </w:pPr>
          </w:p>
        </w:tc>
        <w:tc>
          <w:tcPr>
            <w:tcW w:w="4535" w:type="dxa"/>
            <w:gridSpan w:val="4"/>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FFFFFF"/>
            <w:noWrap/>
            <w:vAlign w:val="center"/>
            <w:hideMark/>
          </w:tcPr>
          <w:p w14:paraId="1A9D0930" w14:textId="77777777" w:rsidR="00B54197" w:rsidRPr="00407552" w:rsidRDefault="00B54197" w:rsidP="003371C5">
            <w:pPr>
              <w:spacing w:after="0" w:line="240" w:lineRule="auto"/>
              <w:rPr>
                <w:rFonts w:ascii="Calibri" w:hAnsi="Calibri" w:cs="Times New Roman"/>
                <w:color w:val="000000"/>
              </w:rPr>
            </w:pPr>
            <w:r>
              <w:rPr>
                <w:rFonts w:ascii="Calibri" w:hAnsi="Calibri"/>
                <w:color w:val="000000"/>
              </w:rPr>
              <w:t>Politique sur la divulgation des contrats (2.4)</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1576292B" w14:textId="77777777" w:rsidR="00B54197" w:rsidRPr="00407552" w:rsidRDefault="00B54197" w:rsidP="003371C5">
            <w:pPr>
              <w:spacing w:after="0" w:line="240" w:lineRule="auto"/>
              <w:rPr>
                <w:rFonts w:ascii="Calibri" w:hAnsi="Calibri" w:cs="Times New Roman"/>
                <w:color w:val="000000"/>
                <w:lang w:eastAsia="en-GB"/>
              </w:rPr>
            </w:pPr>
          </w:p>
        </w:tc>
        <w:tc>
          <w:tcPr>
            <w:tcW w:w="53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bottom"/>
            <w:hideMark/>
          </w:tcPr>
          <w:p w14:paraId="711608F8" w14:textId="77777777" w:rsidR="00B54197" w:rsidRPr="00407552" w:rsidRDefault="00B54197" w:rsidP="003371C5">
            <w:pPr>
              <w:spacing w:after="0" w:line="240" w:lineRule="auto"/>
              <w:rPr>
                <w:rFonts w:ascii="Calibri" w:hAnsi="Calibri" w:cs="Times New Roman"/>
                <w:color w:val="000000"/>
              </w:rPr>
            </w:pPr>
            <w:r>
              <w:rPr>
                <w:rFonts w:ascii="Calibri" w:hAnsi="Calibri"/>
                <w:color w:val="000000"/>
              </w:rPr>
              <w:t> </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92D050"/>
            <w:noWrap/>
            <w:vAlign w:val="bottom"/>
            <w:hideMark/>
          </w:tcPr>
          <w:p w14:paraId="756314B1" w14:textId="77777777" w:rsidR="00B54197" w:rsidRPr="00407552" w:rsidRDefault="00B54197" w:rsidP="003371C5">
            <w:pPr>
              <w:spacing w:after="0" w:line="240" w:lineRule="auto"/>
              <w:rPr>
                <w:rFonts w:ascii="Calibri" w:hAnsi="Calibri" w:cs="Times New Roman"/>
                <w:color w:val="000000"/>
              </w:rPr>
            </w:pPr>
            <w:r>
              <w:rPr>
                <w:rFonts w:ascii="Calibri" w:hAnsi="Calibri"/>
                <w:color w:val="000000"/>
              </w:rPr>
              <w:t> </w:t>
            </w:r>
          </w:p>
        </w:tc>
        <w:tc>
          <w:tcPr>
            <w:tcW w:w="47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bottom"/>
            <w:hideMark/>
          </w:tcPr>
          <w:p w14:paraId="751DBB37" w14:textId="77777777" w:rsidR="00B54197" w:rsidRPr="00407552" w:rsidRDefault="00B54197" w:rsidP="003371C5">
            <w:pPr>
              <w:spacing w:after="0" w:line="240" w:lineRule="auto"/>
              <w:rPr>
                <w:rFonts w:ascii="Calibri" w:hAnsi="Calibri" w:cs="Times New Roman"/>
                <w:color w:val="000000"/>
              </w:rPr>
            </w:pPr>
            <w:r>
              <w:rPr>
                <w:rFonts w:ascii="Calibri" w:hAnsi="Calibri"/>
                <w:color w:val="000000"/>
              </w:rPr>
              <w:t> </w:t>
            </w:r>
          </w:p>
        </w:tc>
        <w:tc>
          <w:tcPr>
            <w:tcW w:w="42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12" w:space="0" w:color="auto"/>
            </w:tcBorders>
            <w:shd w:val="clear" w:color="auto" w:fill="auto"/>
            <w:noWrap/>
            <w:vAlign w:val="bottom"/>
            <w:hideMark/>
          </w:tcPr>
          <w:p w14:paraId="10A422FF" w14:textId="77777777" w:rsidR="00B54197" w:rsidRPr="00407552" w:rsidRDefault="00B54197" w:rsidP="003371C5">
            <w:pPr>
              <w:spacing w:after="0" w:line="240" w:lineRule="auto"/>
              <w:rPr>
                <w:rFonts w:ascii="Calibri" w:hAnsi="Calibri" w:cs="Times New Roman"/>
                <w:color w:val="000000"/>
              </w:rPr>
            </w:pPr>
            <w:r>
              <w:rPr>
                <w:rFonts w:ascii="Calibri" w:hAnsi="Calibri"/>
                <w:color w:val="000000"/>
              </w:rPr>
              <w:t> </w:t>
            </w:r>
          </w:p>
        </w:tc>
      </w:tr>
      <w:tr w:rsidR="00B54197" w:rsidRPr="00407552" w14:paraId="1FF991C5" w14:textId="77777777" w:rsidTr="003371C5">
        <w:trPr>
          <w:gridAfter w:val="1"/>
          <w:wAfter w:w="878" w:type="dxa"/>
          <w:trHeight w:val="53"/>
        </w:trPr>
        <w:tc>
          <w:tcPr>
            <w:tcW w:w="2127" w:type="dxa"/>
            <w:vMerge/>
            <w:tcBorders>
              <w:top w:val="single" w:sz="2" w:space="0" w:color="A6A6A6" w:themeColor="background1" w:themeShade="A6"/>
              <w:left w:val="single" w:sz="12" w:space="0" w:color="auto"/>
              <w:bottom w:val="single" w:sz="2" w:space="0" w:color="A6A6A6" w:themeColor="background1" w:themeShade="A6"/>
              <w:right w:val="single" w:sz="2" w:space="0" w:color="A6A6A6" w:themeColor="background1" w:themeShade="A6"/>
            </w:tcBorders>
            <w:vAlign w:val="center"/>
            <w:hideMark/>
          </w:tcPr>
          <w:p w14:paraId="27C35885" w14:textId="77777777" w:rsidR="00B54197" w:rsidRPr="00407552" w:rsidRDefault="00B54197" w:rsidP="003371C5">
            <w:pPr>
              <w:spacing w:after="0" w:line="240" w:lineRule="auto"/>
              <w:rPr>
                <w:rFonts w:ascii="Calibri" w:hAnsi="Calibri" w:cs="Times New Roman"/>
                <w:b/>
                <w:bCs/>
                <w:color w:val="000000"/>
                <w:lang w:eastAsia="en-GB"/>
              </w:rPr>
            </w:pPr>
          </w:p>
        </w:tc>
        <w:tc>
          <w:tcPr>
            <w:tcW w:w="4535" w:type="dxa"/>
            <w:gridSpan w:val="4"/>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FFFFFF"/>
            <w:noWrap/>
            <w:vAlign w:val="center"/>
            <w:hideMark/>
          </w:tcPr>
          <w:p w14:paraId="0C27A3D6" w14:textId="77777777" w:rsidR="00B54197" w:rsidRPr="00407552" w:rsidRDefault="00B54197" w:rsidP="003371C5">
            <w:pPr>
              <w:spacing w:after="0" w:line="240" w:lineRule="auto"/>
              <w:rPr>
                <w:rFonts w:ascii="Calibri" w:hAnsi="Calibri" w:cs="Times New Roman"/>
                <w:color w:val="000000"/>
              </w:rPr>
            </w:pPr>
            <w:r>
              <w:rPr>
                <w:rFonts w:ascii="Calibri" w:hAnsi="Calibri"/>
                <w:color w:val="000000"/>
              </w:rPr>
              <w:t>Propriété réelle (2.5)</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D9D9D9"/>
          </w:tcPr>
          <w:p w14:paraId="67C50116" w14:textId="77777777" w:rsidR="00B54197" w:rsidRPr="00407552" w:rsidRDefault="00B54197" w:rsidP="003371C5">
            <w:pPr>
              <w:spacing w:after="0" w:line="240" w:lineRule="auto"/>
              <w:rPr>
                <w:rFonts w:ascii="Calibri" w:hAnsi="Calibri" w:cs="Times New Roman"/>
                <w:color w:val="000000"/>
                <w:lang w:eastAsia="en-GB"/>
              </w:rPr>
            </w:pPr>
          </w:p>
        </w:tc>
        <w:tc>
          <w:tcPr>
            <w:tcW w:w="53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D9D9D9"/>
            <w:noWrap/>
            <w:vAlign w:val="bottom"/>
            <w:hideMark/>
          </w:tcPr>
          <w:p w14:paraId="0BC7999D" w14:textId="77777777" w:rsidR="00B54197" w:rsidRPr="00407552" w:rsidRDefault="00B54197" w:rsidP="003371C5">
            <w:pPr>
              <w:spacing w:after="0" w:line="240" w:lineRule="auto"/>
              <w:rPr>
                <w:rFonts w:ascii="Calibri" w:hAnsi="Calibri" w:cs="Times New Roman"/>
                <w:color w:val="000000"/>
              </w:rPr>
            </w:pPr>
            <w:r>
              <w:rPr>
                <w:rFonts w:ascii="Calibri" w:hAnsi="Calibri"/>
                <w:color w:val="000000"/>
              </w:rPr>
              <w:t> </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D9D9D9"/>
            <w:noWrap/>
            <w:vAlign w:val="bottom"/>
            <w:hideMark/>
          </w:tcPr>
          <w:p w14:paraId="035CCFBD" w14:textId="77777777" w:rsidR="00B54197" w:rsidRPr="00407552" w:rsidRDefault="00B54197" w:rsidP="003371C5">
            <w:pPr>
              <w:spacing w:after="0" w:line="240" w:lineRule="auto"/>
              <w:rPr>
                <w:rFonts w:ascii="Calibri" w:hAnsi="Calibri" w:cs="Times New Roman"/>
                <w:color w:val="000000"/>
              </w:rPr>
            </w:pPr>
            <w:r>
              <w:rPr>
                <w:rFonts w:ascii="Calibri" w:hAnsi="Calibri"/>
                <w:color w:val="000000"/>
              </w:rPr>
              <w:t> </w:t>
            </w:r>
          </w:p>
        </w:tc>
        <w:tc>
          <w:tcPr>
            <w:tcW w:w="47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D9D9D9"/>
            <w:noWrap/>
            <w:vAlign w:val="bottom"/>
            <w:hideMark/>
          </w:tcPr>
          <w:p w14:paraId="1A9A45E0" w14:textId="77777777" w:rsidR="00B54197" w:rsidRPr="00407552" w:rsidRDefault="00B54197" w:rsidP="003371C5">
            <w:pPr>
              <w:spacing w:after="0" w:line="240" w:lineRule="auto"/>
              <w:rPr>
                <w:rFonts w:ascii="Calibri" w:hAnsi="Calibri" w:cs="Times New Roman"/>
                <w:color w:val="000000"/>
              </w:rPr>
            </w:pPr>
            <w:r>
              <w:rPr>
                <w:rFonts w:ascii="Calibri" w:hAnsi="Calibri"/>
                <w:color w:val="000000"/>
              </w:rPr>
              <w:t> </w:t>
            </w:r>
          </w:p>
        </w:tc>
        <w:tc>
          <w:tcPr>
            <w:tcW w:w="42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12" w:space="0" w:color="auto"/>
            </w:tcBorders>
            <w:shd w:val="clear" w:color="auto" w:fill="D9D9D9" w:themeFill="background1" w:themeFillShade="D9"/>
            <w:noWrap/>
            <w:vAlign w:val="bottom"/>
            <w:hideMark/>
          </w:tcPr>
          <w:p w14:paraId="2B776F67" w14:textId="77777777" w:rsidR="00B54197" w:rsidRPr="00407552" w:rsidRDefault="00B54197" w:rsidP="003371C5">
            <w:pPr>
              <w:spacing w:after="0" w:line="240" w:lineRule="auto"/>
              <w:rPr>
                <w:rFonts w:ascii="Calibri" w:hAnsi="Calibri" w:cs="Times New Roman"/>
                <w:color w:val="000000"/>
              </w:rPr>
            </w:pPr>
            <w:r>
              <w:rPr>
                <w:rFonts w:ascii="Calibri" w:hAnsi="Calibri"/>
                <w:color w:val="000000"/>
              </w:rPr>
              <w:t> </w:t>
            </w:r>
          </w:p>
        </w:tc>
      </w:tr>
      <w:tr w:rsidR="00B54197" w:rsidRPr="00407552" w14:paraId="24020E3D" w14:textId="77777777" w:rsidTr="003371C5">
        <w:trPr>
          <w:gridAfter w:val="1"/>
          <w:wAfter w:w="878" w:type="dxa"/>
          <w:trHeight w:val="310"/>
        </w:trPr>
        <w:tc>
          <w:tcPr>
            <w:tcW w:w="2127" w:type="dxa"/>
            <w:vMerge/>
            <w:tcBorders>
              <w:top w:val="single" w:sz="2" w:space="0" w:color="A6A6A6" w:themeColor="background1" w:themeShade="A6"/>
              <w:left w:val="single" w:sz="12" w:space="0" w:color="auto"/>
              <w:bottom w:val="single" w:sz="12" w:space="0" w:color="000000" w:themeColor="text1"/>
              <w:right w:val="single" w:sz="2" w:space="0" w:color="A6A6A6" w:themeColor="background1" w:themeShade="A6"/>
            </w:tcBorders>
            <w:vAlign w:val="center"/>
            <w:hideMark/>
          </w:tcPr>
          <w:p w14:paraId="4459F3C1" w14:textId="77777777" w:rsidR="00B54197" w:rsidRPr="00407552" w:rsidRDefault="00B54197" w:rsidP="003371C5">
            <w:pPr>
              <w:spacing w:after="0" w:line="240" w:lineRule="auto"/>
              <w:rPr>
                <w:rFonts w:ascii="Calibri" w:hAnsi="Calibri" w:cs="Times New Roman"/>
                <w:b/>
                <w:bCs/>
                <w:color w:val="000000"/>
                <w:lang w:eastAsia="en-GB"/>
              </w:rPr>
            </w:pPr>
          </w:p>
        </w:tc>
        <w:tc>
          <w:tcPr>
            <w:tcW w:w="4535" w:type="dxa"/>
            <w:gridSpan w:val="4"/>
            <w:tcBorders>
              <w:top w:val="single" w:sz="2" w:space="0" w:color="A6A6A6" w:themeColor="background1" w:themeShade="A6"/>
              <w:left w:val="single" w:sz="2" w:space="0" w:color="A6A6A6" w:themeColor="background1" w:themeShade="A6"/>
              <w:bottom w:val="single" w:sz="12" w:space="0" w:color="000000" w:themeColor="text1"/>
              <w:right w:val="single" w:sz="2" w:space="0" w:color="A6A6A6" w:themeColor="background1" w:themeShade="A6"/>
            </w:tcBorders>
            <w:shd w:val="clear" w:color="000000" w:fill="FFFFFF"/>
            <w:noWrap/>
            <w:vAlign w:val="center"/>
            <w:hideMark/>
          </w:tcPr>
          <w:p w14:paraId="49E90E00" w14:textId="77777777" w:rsidR="00B54197" w:rsidRPr="00407552" w:rsidRDefault="00B54197" w:rsidP="003371C5">
            <w:pPr>
              <w:spacing w:after="0" w:line="240" w:lineRule="auto"/>
              <w:rPr>
                <w:rFonts w:ascii="Calibri" w:hAnsi="Calibri" w:cs="Times New Roman"/>
                <w:color w:val="000000"/>
              </w:rPr>
            </w:pPr>
            <w:r>
              <w:rPr>
                <w:rFonts w:ascii="Calibri" w:hAnsi="Calibri"/>
                <w:color w:val="000000"/>
              </w:rPr>
              <w:t>Participation de l’État (2.6)</w:t>
            </w:r>
          </w:p>
        </w:tc>
        <w:tc>
          <w:tcPr>
            <w:tcW w:w="491" w:type="dxa"/>
            <w:tcBorders>
              <w:top w:val="single" w:sz="2" w:space="0" w:color="A6A6A6" w:themeColor="background1" w:themeShade="A6"/>
              <w:left w:val="single" w:sz="2" w:space="0" w:color="A6A6A6" w:themeColor="background1" w:themeShade="A6"/>
              <w:bottom w:val="single" w:sz="12" w:space="0" w:color="000000" w:themeColor="text1"/>
              <w:right w:val="single" w:sz="2" w:space="0" w:color="A6A6A6" w:themeColor="background1" w:themeShade="A6"/>
            </w:tcBorders>
            <w:shd w:val="clear" w:color="auto" w:fill="FFFFFF" w:themeFill="background1"/>
          </w:tcPr>
          <w:p w14:paraId="0CCAFC81" w14:textId="77777777" w:rsidR="00B54197" w:rsidRPr="00407552" w:rsidRDefault="00B54197" w:rsidP="003371C5">
            <w:pPr>
              <w:spacing w:after="0" w:line="240" w:lineRule="auto"/>
              <w:rPr>
                <w:rFonts w:ascii="Calibri" w:hAnsi="Calibri" w:cs="Times New Roman"/>
                <w:color w:val="000000"/>
                <w:lang w:eastAsia="en-GB"/>
              </w:rPr>
            </w:pPr>
          </w:p>
        </w:tc>
        <w:tc>
          <w:tcPr>
            <w:tcW w:w="532" w:type="dxa"/>
            <w:tcBorders>
              <w:top w:val="single" w:sz="2" w:space="0" w:color="A6A6A6" w:themeColor="background1" w:themeShade="A6"/>
              <w:left w:val="single" w:sz="2" w:space="0" w:color="A6A6A6" w:themeColor="background1" w:themeShade="A6"/>
              <w:bottom w:val="single" w:sz="12" w:space="0" w:color="000000" w:themeColor="text1"/>
              <w:right w:val="single" w:sz="2" w:space="0" w:color="A6A6A6" w:themeColor="background1" w:themeShade="A6"/>
            </w:tcBorders>
            <w:shd w:val="clear" w:color="auto" w:fill="FFFFFF" w:themeFill="background1"/>
            <w:noWrap/>
            <w:vAlign w:val="bottom"/>
            <w:hideMark/>
          </w:tcPr>
          <w:p w14:paraId="6245A6EB" w14:textId="77777777" w:rsidR="00B54197" w:rsidRPr="00407552" w:rsidRDefault="00B54197" w:rsidP="003371C5">
            <w:pPr>
              <w:spacing w:after="0" w:line="240" w:lineRule="auto"/>
              <w:rPr>
                <w:rFonts w:ascii="Calibri" w:hAnsi="Calibri" w:cs="Times New Roman"/>
                <w:color w:val="000000"/>
              </w:rPr>
            </w:pPr>
            <w:r>
              <w:rPr>
                <w:rFonts w:ascii="Calibri" w:hAnsi="Calibri"/>
                <w:color w:val="000000"/>
              </w:rPr>
              <w:t> </w:t>
            </w:r>
          </w:p>
        </w:tc>
        <w:tc>
          <w:tcPr>
            <w:tcW w:w="491" w:type="dxa"/>
            <w:tcBorders>
              <w:top w:val="single" w:sz="2" w:space="0" w:color="A6A6A6" w:themeColor="background1" w:themeShade="A6"/>
              <w:left w:val="single" w:sz="2" w:space="0" w:color="A6A6A6" w:themeColor="background1" w:themeShade="A6"/>
              <w:bottom w:val="single" w:sz="12" w:space="0" w:color="000000" w:themeColor="text1"/>
              <w:right w:val="single" w:sz="2" w:space="0" w:color="A6A6A6" w:themeColor="background1" w:themeShade="A6"/>
            </w:tcBorders>
            <w:shd w:val="clear" w:color="auto" w:fill="92D050"/>
            <w:noWrap/>
            <w:vAlign w:val="bottom"/>
            <w:hideMark/>
          </w:tcPr>
          <w:p w14:paraId="25217F35" w14:textId="77777777" w:rsidR="00B54197" w:rsidRPr="00407552" w:rsidRDefault="00B54197" w:rsidP="003371C5">
            <w:pPr>
              <w:spacing w:after="0" w:line="240" w:lineRule="auto"/>
              <w:rPr>
                <w:rFonts w:ascii="Calibri" w:hAnsi="Calibri" w:cs="Times New Roman"/>
                <w:color w:val="000000"/>
              </w:rPr>
            </w:pPr>
            <w:r>
              <w:rPr>
                <w:rFonts w:ascii="Calibri" w:hAnsi="Calibri"/>
                <w:color w:val="000000"/>
              </w:rPr>
              <w:t> </w:t>
            </w:r>
          </w:p>
        </w:tc>
        <w:tc>
          <w:tcPr>
            <w:tcW w:w="470" w:type="dxa"/>
            <w:tcBorders>
              <w:top w:val="single" w:sz="2" w:space="0" w:color="A6A6A6" w:themeColor="background1" w:themeShade="A6"/>
              <w:left w:val="single" w:sz="2" w:space="0" w:color="A6A6A6" w:themeColor="background1" w:themeShade="A6"/>
              <w:bottom w:val="single" w:sz="12" w:space="0" w:color="000000" w:themeColor="text1"/>
              <w:right w:val="single" w:sz="2" w:space="0" w:color="A6A6A6" w:themeColor="background1" w:themeShade="A6"/>
            </w:tcBorders>
            <w:shd w:val="clear" w:color="auto" w:fill="FFFFFF" w:themeFill="background1"/>
            <w:noWrap/>
            <w:vAlign w:val="bottom"/>
            <w:hideMark/>
          </w:tcPr>
          <w:p w14:paraId="1119D512" w14:textId="77777777" w:rsidR="00B54197" w:rsidRPr="00407552" w:rsidRDefault="00B54197" w:rsidP="003371C5">
            <w:pPr>
              <w:spacing w:after="0" w:line="240" w:lineRule="auto"/>
              <w:rPr>
                <w:rFonts w:ascii="Calibri" w:hAnsi="Calibri" w:cs="Times New Roman"/>
                <w:color w:val="000000"/>
              </w:rPr>
            </w:pPr>
            <w:r>
              <w:rPr>
                <w:rFonts w:ascii="Calibri" w:hAnsi="Calibri"/>
                <w:color w:val="000000"/>
              </w:rPr>
              <w:t> </w:t>
            </w:r>
          </w:p>
        </w:tc>
        <w:tc>
          <w:tcPr>
            <w:tcW w:w="421" w:type="dxa"/>
            <w:tcBorders>
              <w:top w:val="single" w:sz="2" w:space="0" w:color="A6A6A6" w:themeColor="background1" w:themeShade="A6"/>
              <w:left w:val="single" w:sz="2" w:space="0" w:color="A6A6A6" w:themeColor="background1" w:themeShade="A6"/>
              <w:bottom w:val="single" w:sz="12" w:space="0" w:color="000000" w:themeColor="text1"/>
              <w:right w:val="single" w:sz="12" w:space="0" w:color="auto"/>
            </w:tcBorders>
            <w:shd w:val="clear" w:color="auto" w:fill="FFFFFF" w:themeFill="background1"/>
            <w:noWrap/>
            <w:vAlign w:val="bottom"/>
            <w:hideMark/>
          </w:tcPr>
          <w:p w14:paraId="270FCB96" w14:textId="77777777" w:rsidR="00B54197" w:rsidRPr="00407552" w:rsidRDefault="00B54197" w:rsidP="003371C5">
            <w:pPr>
              <w:spacing w:after="0" w:line="240" w:lineRule="auto"/>
              <w:rPr>
                <w:rFonts w:ascii="Calibri" w:hAnsi="Calibri" w:cs="Times New Roman"/>
                <w:color w:val="000000"/>
              </w:rPr>
            </w:pPr>
            <w:r>
              <w:rPr>
                <w:rFonts w:ascii="Calibri" w:hAnsi="Calibri"/>
                <w:color w:val="000000"/>
              </w:rPr>
              <w:t> </w:t>
            </w:r>
          </w:p>
        </w:tc>
      </w:tr>
      <w:tr w:rsidR="00B54197" w:rsidRPr="00407552" w14:paraId="2D8FB4E8" w14:textId="77777777" w:rsidTr="003371C5">
        <w:trPr>
          <w:gridAfter w:val="1"/>
          <w:wAfter w:w="878" w:type="dxa"/>
          <w:trHeight w:val="337"/>
        </w:trPr>
        <w:tc>
          <w:tcPr>
            <w:tcW w:w="2127" w:type="dxa"/>
            <w:vMerge w:val="restart"/>
            <w:tcBorders>
              <w:top w:val="single" w:sz="12" w:space="0" w:color="000000" w:themeColor="text1"/>
              <w:left w:val="single" w:sz="12" w:space="0" w:color="auto"/>
              <w:bottom w:val="single" w:sz="2" w:space="0" w:color="A6A6A6" w:themeColor="background1" w:themeShade="A6"/>
              <w:right w:val="single" w:sz="2" w:space="0" w:color="A6A6A6" w:themeColor="background1" w:themeShade="A6"/>
            </w:tcBorders>
            <w:shd w:val="clear" w:color="000000" w:fill="BFBFBF"/>
            <w:noWrap/>
            <w:vAlign w:val="center"/>
            <w:hideMark/>
          </w:tcPr>
          <w:p w14:paraId="7DE8FE57" w14:textId="77777777" w:rsidR="00B54197" w:rsidRPr="00407552" w:rsidRDefault="00B54197" w:rsidP="003371C5">
            <w:pPr>
              <w:spacing w:after="0" w:line="240" w:lineRule="auto"/>
              <w:rPr>
                <w:rFonts w:ascii="Calibri" w:hAnsi="Calibri" w:cs="Times New Roman"/>
                <w:b/>
                <w:bCs/>
                <w:color w:val="000000"/>
              </w:rPr>
            </w:pPr>
            <w:r>
              <w:rPr>
                <w:rFonts w:ascii="Calibri" w:hAnsi="Calibri"/>
                <w:b/>
                <w:bCs/>
                <w:color w:val="000000"/>
              </w:rPr>
              <w:t>Suivi de la production</w:t>
            </w:r>
          </w:p>
        </w:tc>
        <w:tc>
          <w:tcPr>
            <w:tcW w:w="4535" w:type="dxa"/>
            <w:gridSpan w:val="4"/>
            <w:tcBorders>
              <w:top w:val="single" w:sz="12" w:space="0" w:color="000000" w:themeColor="text1"/>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FFFFFF"/>
            <w:noWrap/>
            <w:vAlign w:val="center"/>
            <w:hideMark/>
          </w:tcPr>
          <w:p w14:paraId="6E725B0B" w14:textId="77777777" w:rsidR="00B54197" w:rsidRPr="00407552" w:rsidRDefault="00B54197" w:rsidP="003371C5">
            <w:pPr>
              <w:spacing w:after="0" w:line="240" w:lineRule="auto"/>
              <w:rPr>
                <w:rFonts w:ascii="Calibri" w:hAnsi="Calibri" w:cs="Times New Roman"/>
                <w:color w:val="000000"/>
              </w:rPr>
            </w:pPr>
            <w:r>
              <w:rPr>
                <w:rFonts w:ascii="Calibri" w:hAnsi="Calibri"/>
                <w:color w:val="000000"/>
              </w:rPr>
              <w:t>Données sur les activités d’exploration (3.1)</w:t>
            </w:r>
          </w:p>
        </w:tc>
        <w:tc>
          <w:tcPr>
            <w:tcW w:w="491" w:type="dxa"/>
            <w:tcBorders>
              <w:top w:val="single" w:sz="12" w:space="0" w:color="000000" w:themeColor="text1"/>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FFFFF" w:themeFill="background1"/>
          </w:tcPr>
          <w:p w14:paraId="341BB68C" w14:textId="77777777" w:rsidR="00B54197" w:rsidRPr="00407552" w:rsidRDefault="00B54197" w:rsidP="003371C5">
            <w:pPr>
              <w:spacing w:after="0" w:line="240" w:lineRule="auto"/>
              <w:rPr>
                <w:rFonts w:ascii="Calibri" w:hAnsi="Calibri" w:cs="Times New Roman"/>
                <w:color w:val="000000"/>
                <w:lang w:eastAsia="en-GB"/>
              </w:rPr>
            </w:pPr>
          </w:p>
        </w:tc>
        <w:tc>
          <w:tcPr>
            <w:tcW w:w="532" w:type="dxa"/>
            <w:tcBorders>
              <w:top w:val="single" w:sz="12" w:space="0" w:color="000000" w:themeColor="text1"/>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FFFFF" w:themeFill="background1"/>
            <w:noWrap/>
            <w:vAlign w:val="bottom"/>
            <w:hideMark/>
          </w:tcPr>
          <w:p w14:paraId="2636F4F3" w14:textId="77777777" w:rsidR="00B54197" w:rsidRPr="00407552" w:rsidRDefault="00B54197" w:rsidP="003371C5">
            <w:pPr>
              <w:spacing w:after="0" w:line="240" w:lineRule="auto"/>
              <w:rPr>
                <w:rFonts w:ascii="Calibri" w:hAnsi="Calibri" w:cs="Times New Roman"/>
                <w:color w:val="000000"/>
              </w:rPr>
            </w:pPr>
            <w:r>
              <w:rPr>
                <w:rFonts w:ascii="Calibri" w:hAnsi="Calibri"/>
                <w:color w:val="000000"/>
              </w:rPr>
              <w:t> </w:t>
            </w:r>
          </w:p>
        </w:tc>
        <w:tc>
          <w:tcPr>
            <w:tcW w:w="491" w:type="dxa"/>
            <w:tcBorders>
              <w:top w:val="single" w:sz="12" w:space="0" w:color="000000" w:themeColor="text1"/>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FFFFF" w:themeFill="background1"/>
            <w:noWrap/>
            <w:vAlign w:val="bottom"/>
            <w:hideMark/>
          </w:tcPr>
          <w:p w14:paraId="255FCAD2" w14:textId="77777777" w:rsidR="00B54197" w:rsidRPr="00407552" w:rsidRDefault="00B54197" w:rsidP="003371C5">
            <w:pPr>
              <w:spacing w:after="0" w:line="240" w:lineRule="auto"/>
              <w:rPr>
                <w:rFonts w:ascii="Calibri" w:hAnsi="Calibri" w:cs="Times New Roman"/>
                <w:color w:val="000000"/>
              </w:rPr>
            </w:pPr>
            <w:r>
              <w:rPr>
                <w:rFonts w:ascii="Calibri" w:hAnsi="Calibri"/>
                <w:color w:val="000000"/>
              </w:rPr>
              <w:t> </w:t>
            </w:r>
          </w:p>
        </w:tc>
        <w:tc>
          <w:tcPr>
            <w:tcW w:w="470" w:type="dxa"/>
            <w:tcBorders>
              <w:top w:val="single" w:sz="12" w:space="0" w:color="000000" w:themeColor="text1"/>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00B050"/>
            <w:noWrap/>
            <w:vAlign w:val="bottom"/>
            <w:hideMark/>
          </w:tcPr>
          <w:p w14:paraId="66F4AB22" w14:textId="77777777" w:rsidR="00B54197" w:rsidRPr="00407552" w:rsidRDefault="00B54197" w:rsidP="003371C5">
            <w:pPr>
              <w:spacing w:after="0" w:line="240" w:lineRule="auto"/>
              <w:rPr>
                <w:rFonts w:ascii="Calibri" w:hAnsi="Calibri" w:cs="Times New Roman"/>
                <w:color w:val="000000"/>
              </w:rPr>
            </w:pPr>
            <w:r>
              <w:rPr>
                <w:rFonts w:ascii="Calibri" w:hAnsi="Calibri"/>
                <w:color w:val="000000"/>
              </w:rPr>
              <w:t> </w:t>
            </w:r>
          </w:p>
        </w:tc>
        <w:tc>
          <w:tcPr>
            <w:tcW w:w="421" w:type="dxa"/>
            <w:tcBorders>
              <w:top w:val="single" w:sz="12" w:space="0" w:color="000000" w:themeColor="text1"/>
              <w:left w:val="single" w:sz="2" w:space="0" w:color="A6A6A6" w:themeColor="background1" w:themeShade="A6"/>
              <w:bottom w:val="single" w:sz="2" w:space="0" w:color="A6A6A6" w:themeColor="background1" w:themeShade="A6"/>
              <w:right w:val="single" w:sz="12" w:space="0" w:color="auto"/>
            </w:tcBorders>
            <w:shd w:val="clear" w:color="auto" w:fill="FFFFFF" w:themeFill="background1"/>
            <w:noWrap/>
            <w:vAlign w:val="bottom"/>
            <w:hideMark/>
          </w:tcPr>
          <w:p w14:paraId="5356372E" w14:textId="77777777" w:rsidR="00B54197" w:rsidRPr="00407552" w:rsidRDefault="00B54197" w:rsidP="003371C5">
            <w:pPr>
              <w:spacing w:after="0" w:line="240" w:lineRule="auto"/>
              <w:rPr>
                <w:rFonts w:ascii="Calibri" w:hAnsi="Calibri" w:cs="Times New Roman"/>
                <w:color w:val="000000"/>
              </w:rPr>
            </w:pPr>
            <w:r>
              <w:rPr>
                <w:rFonts w:ascii="Calibri" w:hAnsi="Calibri"/>
                <w:color w:val="000000"/>
              </w:rPr>
              <w:t> </w:t>
            </w:r>
          </w:p>
        </w:tc>
      </w:tr>
      <w:tr w:rsidR="00B54197" w:rsidRPr="00407552" w14:paraId="50E9098A" w14:textId="77777777" w:rsidTr="003371C5">
        <w:trPr>
          <w:gridAfter w:val="1"/>
          <w:wAfter w:w="878" w:type="dxa"/>
          <w:trHeight w:val="300"/>
        </w:trPr>
        <w:tc>
          <w:tcPr>
            <w:tcW w:w="2127" w:type="dxa"/>
            <w:vMerge/>
            <w:tcBorders>
              <w:top w:val="single" w:sz="2" w:space="0" w:color="A6A6A6" w:themeColor="background1" w:themeShade="A6"/>
              <w:left w:val="single" w:sz="12" w:space="0" w:color="auto"/>
              <w:bottom w:val="single" w:sz="2" w:space="0" w:color="A6A6A6" w:themeColor="background1" w:themeShade="A6"/>
              <w:right w:val="single" w:sz="2" w:space="0" w:color="A6A6A6" w:themeColor="background1" w:themeShade="A6"/>
            </w:tcBorders>
            <w:vAlign w:val="center"/>
            <w:hideMark/>
          </w:tcPr>
          <w:p w14:paraId="7D1BEFE9" w14:textId="77777777" w:rsidR="00B54197" w:rsidRPr="00407552" w:rsidRDefault="00B54197" w:rsidP="003371C5">
            <w:pPr>
              <w:spacing w:after="0" w:line="240" w:lineRule="auto"/>
              <w:rPr>
                <w:rFonts w:ascii="Calibri" w:hAnsi="Calibri" w:cs="Times New Roman"/>
                <w:b/>
                <w:bCs/>
                <w:color w:val="000000"/>
                <w:lang w:eastAsia="en-GB"/>
              </w:rPr>
            </w:pPr>
          </w:p>
        </w:tc>
        <w:tc>
          <w:tcPr>
            <w:tcW w:w="4535" w:type="dxa"/>
            <w:gridSpan w:val="4"/>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FFFFFF"/>
            <w:noWrap/>
            <w:vAlign w:val="center"/>
            <w:hideMark/>
          </w:tcPr>
          <w:p w14:paraId="33CFB05C" w14:textId="77777777" w:rsidR="00B54197" w:rsidRPr="00407552" w:rsidRDefault="00B54197" w:rsidP="003371C5">
            <w:pPr>
              <w:spacing w:after="0" w:line="240" w:lineRule="auto"/>
              <w:rPr>
                <w:rFonts w:ascii="Calibri" w:hAnsi="Calibri" w:cs="Times New Roman"/>
                <w:color w:val="000000"/>
              </w:rPr>
            </w:pPr>
            <w:r>
              <w:rPr>
                <w:rFonts w:ascii="Calibri" w:hAnsi="Calibri"/>
                <w:color w:val="000000"/>
              </w:rPr>
              <w:t>Données sur les activités de production (3.2)</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FFFFF" w:themeFill="background1"/>
          </w:tcPr>
          <w:p w14:paraId="41AD96DC" w14:textId="77777777" w:rsidR="00B54197" w:rsidRPr="00407552" w:rsidRDefault="00B54197" w:rsidP="003371C5">
            <w:pPr>
              <w:spacing w:after="0" w:line="240" w:lineRule="auto"/>
              <w:rPr>
                <w:rFonts w:ascii="Calibri" w:hAnsi="Calibri" w:cs="Times New Roman"/>
                <w:color w:val="000000"/>
                <w:lang w:eastAsia="en-GB"/>
              </w:rPr>
            </w:pPr>
          </w:p>
        </w:tc>
        <w:tc>
          <w:tcPr>
            <w:tcW w:w="53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bottom"/>
            <w:hideMark/>
          </w:tcPr>
          <w:p w14:paraId="3B813CCE" w14:textId="77777777" w:rsidR="00B54197" w:rsidRPr="00407552" w:rsidRDefault="00B54197" w:rsidP="003371C5">
            <w:pPr>
              <w:spacing w:after="0" w:line="240" w:lineRule="auto"/>
              <w:rPr>
                <w:rFonts w:ascii="Calibri" w:hAnsi="Calibri" w:cs="Times New Roman"/>
                <w:color w:val="000000"/>
              </w:rPr>
            </w:pPr>
            <w:r>
              <w:rPr>
                <w:rFonts w:ascii="Calibri" w:hAnsi="Calibri"/>
                <w:color w:val="000000"/>
              </w:rPr>
              <w:t> </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bottom"/>
            <w:hideMark/>
          </w:tcPr>
          <w:p w14:paraId="68067E3B" w14:textId="77777777" w:rsidR="00B54197" w:rsidRPr="00407552" w:rsidRDefault="00B54197" w:rsidP="003371C5">
            <w:pPr>
              <w:spacing w:after="0" w:line="240" w:lineRule="auto"/>
              <w:rPr>
                <w:rFonts w:ascii="Calibri" w:hAnsi="Calibri" w:cs="Times New Roman"/>
                <w:color w:val="000000"/>
              </w:rPr>
            </w:pPr>
            <w:r>
              <w:rPr>
                <w:rFonts w:ascii="Calibri" w:hAnsi="Calibri"/>
                <w:color w:val="000000"/>
              </w:rPr>
              <w:t> </w:t>
            </w:r>
          </w:p>
        </w:tc>
        <w:tc>
          <w:tcPr>
            <w:tcW w:w="47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00B050"/>
            <w:noWrap/>
            <w:vAlign w:val="bottom"/>
            <w:hideMark/>
          </w:tcPr>
          <w:p w14:paraId="5C257DA4" w14:textId="77777777" w:rsidR="00B54197" w:rsidRPr="00407552" w:rsidRDefault="00B54197" w:rsidP="003371C5">
            <w:pPr>
              <w:spacing w:after="0" w:line="240" w:lineRule="auto"/>
              <w:rPr>
                <w:rFonts w:ascii="Calibri" w:hAnsi="Calibri" w:cs="Times New Roman"/>
                <w:color w:val="000000"/>
              </w:rPr>
            </w:pPr>
            <w:r>
              <w:rPr>
                <w:rFonts w:ascii="Calibri" w:hAnsi="Calibri"/>
                <w:color w:val="000000"/>
              </w:rPr>
              <w:t> </w:t>
            </w:r>
          </w:p>
        </w:tc>
        <w:tc>
          <w:tcPr>
            <w:tcW w:w="42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12" w:space="0" w:color="auto"/>
            </w:tcBorders>
            <w:shd w:val="clear" w:color="auto" w:fill="FFFFFF" w:themeFill="background1"/>
            <w:noWrap/>
            <w:vAlign w:val="bottom"/>
            <w:hideMark/>
          </w:tcPr>
          <w:p w14:paraId="2551DF1C" w14:textId="77777777" w:rsidR="00B54197" w:rsidRPr="00407552" w:rsidRDefault="00B54197" w:rsidP="003371C5">
            <w:pPr>
              <w:spacing w:after="0" w:line="240" w:lineRule="auto"/>
              <w:rPr>
                <w:rFonts w:ascii="Calibri" w:hAnsi="Calibri" w:cs="Times New Roman"/>
                <w:color w:val="000000"/>
              </w:rPr>
            </w:pPr>
            <w:r>
              <w:rPr>
                <w:rFonts w:ascii="Calibri" w:hAnsi="Calibri"/>
                <w:color w:val="000000"/>
              </w:rPr>
              <w:t> </w:t>
            </w:r>
          </w:p>
        </w:tc>
      </w:tr>
      <w:tr w:rsidR="00B54197" w:rsidRPr="00407552" w14:paraId="17D53613" w14:textId="77777777" w:rsidTr="003371C5">
        <w:trPr>
          <w:gridAfter w:val="1"/>
          <w:wAfter w:w="878" w:type="dxa"/>
          <w:trHeight w:val="300"/>
        </w:trPr>
        <w:tc>
          <w:tcPr>
            <w:tcW w:w="2127" w:type="dxa"/>
            <w:vMerge/>
            <w:tcBorders>
              <w:top w:val="single" w:sz="2" w:space="0" w:color="A6A6A6" w:themeColor="background1" w:themeShade="A6"/>
              <w:left w:val="single" w:sz="12" w:space="0" w:color="auto"/>
              <w:bottom w:val="single" w:sz="12" w:space="0" w:color="000000" w:themeColor="text1"/>
              <w:right w:val="single" w:sz="2" w:space="0" w:color="A6A6A6" w:themeColor="background1" w:themeShade="A6"/>
            </w:tcBorders>
            <w:vAlign w:val="center"/>
            <w:hideMark/>
          </w:tcPr>
          <w:p w14:paraId="171FE135" w14:textId="77777777" w:rsidR="00B54197" w:rsidRPr="00407552" w:rsidRDefault="00B54197" w:rsidP="003371C5">
            <w:pPr>
              <w:spacing w:after="0" w:line="240" w:lineRule="auto"/>
              <w:rPr>
                <w:rFonts w:ascii="Calibri" w:hAnsi="Calibri" w:cs="Times New Roman"/>
                <w:b/>
                <w:bCs/>
                <w:color w:val="000000"/>
                <w:lang w:eastAsia="en-GB"/>
              </w:rPr>
            </w:pPr>
          </w:p>
        </w:tc>
        <w:tc>
          <w:tcPr>
            <w:tcW w:w="4535" w:type="dxa"/>
            <w:gridSpan w:val="4"/>
            <w:tcBorders>
              <w:top w:val="single" w:sz="2" w:space="0" w:color="A6A6A6" w:themeColor="background1" w:themeShade="A6"/>
              <w:left w:val="single" w:sz="2" w:space="0" w:color="A6A6A6" w:themeColor="background1" w:themeShade="A6"/>
              <w:bottom w:val="single" w:sz="12" w:space="0" w:color="000000" w:themeColor="text1"/>
              <w:right w:val="single" w:sz="2" w:space="0" w:color="A6A6A6" w:themeColor="background1" w:themeShade="A6"/>
            </w:tcBorders>
            <w:shd w:val="clear" w:color="000000" w:fill="FFFFFF"/>
            <w:noWrap/>
            <w:vAlign w:val="center"/>
            <w:hideMark/>
          </w:tcPr>
          <w:p w14:paraId="3D0F5B36" w14:textId="77777777" w:rsidR="00B54197" w:rsidRPr="00407552" w:rsidRDefault="00B54197" w:rsidP="003371C5">
            <w:pPr>
              <w:spacing w:after="0" w:line="240" w:lineRule="auto"/>
              <w:rPr>
                <w:rFonts w:ascii="Calibri" w:hAnsi="Calibri" w:cs="Times New Roman"/>
                <w:color w:val="000000"/>
              </w:rPr>
            </w:pPr>
            <w:r>
              <w:rPr>
                <w:rFonts w:ascii="Calibri" w:hAnsi="Calibri"/>
                <w:color w:val="000000"/>
              </w:rPr>
              <w:t>Données sur les exportations (3.3)</w:t>
            </w:r>
          </w:p>
        </w:tc>
        <w:tc>
          <w:tcPr>
            <w:tcW w:w="491" w:type="dxa"/>
            <w:tcBorders>
              <w:top w:val="single" w:sz="2" w:space="0" w:color="A6A6A6" w:themeColor="background1" w:themeShade="A6"/>
              <w:left w:val="single" w:sz="2" w:space="0" w:color="A6A6A6" w:themeColor="background1" w:themeShade="A6"/>
              <w:bottom w:val="single" w:sz="12" w:space="0" w:color="000000" w:themeColor="text1"/>
              <w:right w:val="single" w:sz="2" w:space="0" w:color="A6A6A6" w:themeColor="background1" w:themeShade="A6"/>
            </w:tcBorders>
            <w:shd w:val="clear" w:color="auto" w:fill="FFFFFF" w:themeFill="background1"/>
          </w:tcPr>
          <w:p w14:paraId="112AFFDC" w14:textId="77777777" w:rsidR="00B54197" w:rsidRPr="00407552" w:rsidRDefault="00B54197" w:rsidP="003371C5">
            <w:pPr>
              <w:spacing w:after="0" w:line="240" w:lineRule="auto"/>
              <w:rPr>
                <w:rFonts w:ascii="Calibri" w:hAnsi="Calibri" w:cs="Times New Roman"/>
                <w:color w:val="000000"/>
                <w:lang w:eastAsia="en-GB"/>
              </w:rPr>
            </w:pPr>
          </w:p>
        </w:tc>
        <w:tc>
          <w:tcPr>
            <w:tcW w:w="532" w:type="dxa"/>
            <w:tcBorders>
              <w:top w:val="single" w:sz="2" w:space="0" w:color="A6A6A6" w:themeColor="background1" w:themeShade="A6"/>
              <w:left w:val="single" w:sz="2" w:space="0" w:color="A6A6A6" w:themeColor="background1" w:themeShade="A6"/>
              <w:bottom w:val="single" w:sz="12" w:space="0" w:color="000000" w:themeColor="text1"/>
              <w:right w:val="single" w:sz="2" w:space="0" w:color="A6A6A6" w:themeColor="background1" w:themeShade="A6"/>
            </w:tcBorders>
            <w:shd w:val="clear" w:color="auto" w:fill="FFFFFF" w:themeFill="background1"/>
            <w:noWrap/>
            <w:vAlign w:val="bottom"/>
            <w:hideMark/>
          </w:tcPr>
          <w:p w14:paraId="39A65B36" w14:textId="77777777" w:rsidR="00B54197" w:rsidRPr="00407552" w:rsidRDefault="00B54197" w:rsidP="003371C5">
            <w:pPr>
              <w:spacing w:after="0" w:line="240" w:lineRule="auto"/>
              <w:rPr>
                <w:rFonts w:ascii="Calibri" w:hAnsi="Calibri" w:cs="Times New Roman"/>
                <w:color w:val="000000"/>
              </w:rPr>
            </w:pPr>
            <w:r>
              <w:rPr>
                <w:rFonts w:ascii="Calibri" w:hAnsi="Calibri"/>
                <w:color w:val="000000"/>
              </w:rPr>
              <w:t> </w:t>
            </w:r>
          </w:p>
        </w:tc>
        <w:tc>
          <w:tcPr>
            <w:tcW w:w="491" w:type="dxa"/>
            <w:tcBorders>
              <w:top w:val="single" w:sz="2" w:space="0" w:color="A6A6A6" w:themeColor="background1" w:themeShade="A6"/>
              <w:left w:val="single" w:sz="2" w:space="0" w:color="A6A6A6" w:themeColor="background1" w:themeShade="A6"/>
              <w:bottom w:val="single" w:sz="12" w:space="0" w:color="000000" w:themeColor="text1"/>
              <w:right w:val="single" w:sz="2" w:space="0" w:color="A6A6A6" w:themeColor="background1" w:themeShade="A6"/>
            </w:tcBorders>
            <w:shd w:val="clear" w:color="auto" w:fill="auto"/>
            <w:noWrap/>
            <w:vAlign w:val="bottom"/>
            <w:hideMark/>
          </w:tcPr>
          <w:p w14:paraId="3E05FA9D" w14:textId="77777777" w:rsidR="00B54197" w:rsidRPr="00407552" w:rsidRDefault="00B54197" w:rsidP="003371C5">
            <w:pPr>
              <w:spacing w:after="0" w:line="240" w:lineRule="auto"/>
              <w:rPr>
                <w:rFonts w:ascii="Calibri" w:hAnsi="Calibri" w:cs="Times New Roman"/>
                <w:color w:val="000000"/>
              </w:rPr>
            </w:pPr>
            <w:r>
              <w:rPr>
                <w:rFonts w:ascii="Calibri" w:hAnsi="Calibri"/>
                <w:color w:val="000000"/>
              </w:rPr>
              <w:t> </w:t>
            </w:r>
          </w:p>
        </w:tc>
        <w:tc>
          <w:tcPr>
            <w:tcW w:w="470" w:type="dxa"/>
            <w:tcBorders>
              <w:top w:val="single" w:sz="2" w:space="0" w:color="A6A6A6" w:themeColor="background1" w:themeShade="A6"/>
              <w:left w:val="single" w:sz="2" w:space="0" w:color="A6A6A6" w:themeColor="background1" w:themeShade="A6"/>
              <w:bottom w:val="single" w:sz="12" w:space="0" w:color="000000" w:themeColor="text1"/>
              <w:right w:val="single" w:sz="2" w:space="0" w:color="A6A6A6" w:themeColor="background1" w:themeShade="A6"/>
            </w:tcBorders>
            <w:shd w:val="clear" w:color="auto" w:fill="00B050"/>
            <w:noWrap/>
            <w:vAlign w:val="bottom"/>
            <w:hideMark/>
          </w:tcPr>
          <w:p w14:paraId="066C2444" w14:textId="77777777" w:rsidR="00B54197" w:rsidRPr="00407552" w:rsidRDefault="00B54197" w:rsidP="003371C5">
            <w:pPr>
              <w:spacing w:after="0" w:line="240" w:lineRule="auto"/>
              <w:rPr>
                <w:rFonts w:ascii="Calibri" w:hAnsi="Calibri" w:cs="Times New Roman"/>
                <w:color w:val="000000"/>
              </w:rPr>
            </w:pPr>
            <w:r>
              <w:rPr>
                <w:rFonts w:ascii="Calibri" w:hAnsi="Calibri"/>
                <w:color w:val="000000"/>
              </w:rPr>
              <w:t> </w:t>
            </w:r>
          </w:p>
        </w:tc>
        <w:tc>
          <w:tcPr>
            <w:tcW w:w="421" w:type="dxa"/>
            <w:tcBorders>
              <w:top w:val="single" w:sz="2" w:space="0" w:color="A6A6A6" w:themeColor="background1" w:themeShade="A6"/>
              <w:left w:val="single" w:sz="2" w:space="0" w:color="A6A6A6" w:themeColor="background1" w:themeShade="A6"/>
              <w:bottom w:val="single" w:sz="12" w:space="0" w:color="000000" w:themeColor="text1"/>
              <w:right w:val="single" w:sz="12" w:space="0" w:color="auto"/>
            </w:tcBorders>
            <w:shd w:val="clear" w:color="auto" w:fill="FFFFFF" w:themeFill="background1"/>
            <w:noWrap/>
            <w:vAlign w:val="bottom"/>
            <w:hideMark/>
          </w:tcPr>
          <w:p w14:paraId="7DB80643" w14:textId="77777777" w:rsidR="00B54197" w:rsidRPr="00407552" w:rsidRDefault="00B54197" w:rsidP="003371C5">
            <w:pPr>
              <w:spacing w:after="0" w:line="240" w:lineRule="auto"/>
              <w:rPr>
                <w:rFonts w:ascii="Calibri" w:hAnsi="Calibri" w:cs="Times New Roman"/>
                <w:color w:val="000000"/>
              </w:rPr>
            </w:pPr>
            <w:r>
              <w:rPr>
                <w:rFonts w:ascii="Calibri" w:hAnsi="Calibri"/>
                <w:color w:val="000000"/>
              </w:rPr>
              <w:t> </w:t>
            </w:r>
          </w:p>
        </w:tc>
      </w:tr>
      <w:tr w:rsidR="00B54197" w:rsidRPr="00407552" w14:paraId="4257161A" w14:textId="77777777" w:rsidTr="003371C5">
        <w:trPr>
          <w:gridAfter w:val="1"/>
          <w:wAfter w:w="878" w:type="dxa"/>
          <w:trHeight w:val="285"/>
        </w:trPr>
        <w:tc>
          <w:tcPr>
            <w:tcW w:w="2127" w:type="dxa"/>
            <w:vMerge w:val="restart"/>
            <w:tcBorders>
              <w:top w:val="single" w:sz="12" w:space="0" w:color="000000" w:themeColor="text1"/>
              <w:left w:val="single" w:sz="12" w:space="0" w:color="auto"/>
              <w:bottom w:val="single" w:sz="2" w:space="0" w:color="A6A6A6" w:themeColor="background1" w:themeShade="A6"/>
              <w:right w:val="single" w:sz="2" w:space="0" w:color="A6A6A6" w:themeColor="background1" w:themeShade="A6"/>
            </w:tcBorders>
            <w:shd w:val="clear" w:color="000000" w:fill="BFBFBF"/>
            <w:noWrap/>
            <w:vAlign w:val="center"/>
            <w:hideMark/>
          </w:tcPr>
          <w:p w14:paraId="69882295" w14:textId="77777777" w:rsidR="00B54197" w:rsidRPr="00407552" w:rsidRDefault="00B54197" w:rsidP="003371C5">
            <w:pPr>
              <w:spacing w:after="0" w:line="240" w:lineRule="auto"/>
              <w:rPr>
                <w:rFonts w:ascii="Calibri" w:hAnsi="Calibri" w:cs="Times New Roman"/>
                <w:b/>
                <w:bCs/>
                <w:color w:val="000000"/>
              </w:rPr>
            </w:pPr>
            <w:r>
              <w:rPr>
                <w:rFonts w:ascii="Calibri" w:hAnsi="Calibri"/>
                <w:b/>
                <w:bCs/>
                <w:color w:val="000000"/>
              </w:rPr>
              <w:t>Collecte des revenus</w:t>
            </w:r>
          </w:p>
        </w:tc>
        <w:tc>
          <w:tcPr>
            <w:tcW w:w="4535" w:type="dxa"/>
            <w:gridSpan w:val="4"/>
            <w:tcBorders>
              <w:top w:val="single" w:sz="12" w:space="0" w:color="000000" w:themeColor="text1"/>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FFFFFF"/>
            <w:noWrap/>
            <w:vAlign w:val="center"/>
            <w:hideMark/>
          </w:tcPr>
          <w:p w14:paraId="26A3AA5D" w14:textId="77777777" w:rsidR="00B54197" w:rsidRPr="00407552" w:rsidRDefault="00B54197" w:rsidP="003371C5">
            <w:pPr>
              <w:spacing w:after="0" w:line="240" w:lineRule="auto"/>
              <w:rPr>
                <w:rFonts w:ascii="Calibri" w:hAnsi="Calibri" w:cs="Times New Roman"/>
                <w:color w:val="000000"/>
              </w:rPr>
            </w:pPr>
            <w:r>
              <w:rPr>
                <w:rFonts w:ascii="Calibri" w:hAnsi="Calibri"/>
                <w:color w:val="000000"/>
              </w:rPr>
              <w:t>Exhaustivité (4.1)</w:t>
            </w:r>
          </w:p>
        </w:tc>
        <w:tc>
          <w:tcPr>
            <w:tcW w:w="491" w:type="dxa"/>
            <w:tcBorders>
              <w:top w:val="single" w:sz="12" w:space="0" w:color="000000" w:themeColor="text1"/>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FFFFF" w:themeFill="background1"/>
          </w:tcPr>
          <w:p w14:paraId="6FCB6B67" w14:textId="77777777" w:rsidR="00B54197" w:rsidRPr="00407552" w:rsidRDefault="00B54197" w:rsidP="003371C5">
            <w:pPr>
              <w:spacing w:after="0" w:line="240" w:lineRule="auto"/>
              <w:rPr>
                <w:rFonts w:ascii="Calibri" w:hAnsi="Calibri" w:cs="Times New Roman"/>
                <w:color w:val="000000"/>
                <w:lang w:eastAsia="en-GB"/>
              </w:rPr>
            </w:pPr>
          </w:p>
        </w:tc>
        <w:tc>
          <w:tcPr>
            <w:tcW w:w="532" w:type="dxa"/>
            <w:tcBorders>
              <w:top w:val="single" w:sz="12" w:space="0" w:color="000000" w:themeColor="text1"/>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FFFFF" w:themeFill="background1"/>
            <w:noWrap/>
            <w:vAlign w:val="bottom"/>
            <w:hideMark/>
          </w:tcPr>
          <w:p w14:paraId="69E44268" w14:textId="77777777" w:rsidR="00B54197" w:rsidRPr="00407552" w:rsidRDefault="00B54197" w:rsidP="003371C5">
            <w:pPr>
              <w:spacing w:after="0" w:line="240" w:lineRule="auto"/>
              <w:rPr>
                <w:rFonts w:ascii="Calibri" w:hAnsi="Calibri" w:cs="Times New Roman"/>
                <w:color w:val="000000"/>
              </w:rPr>
            </w:pPr>
            <w:r>
              <w:rPr>
                <w:rFonts w:ascii="Calibri" w:hAnsi="Calibri"/>
                <w:color w:val="000000"/>
              </w:rPr>
              <w:t> </w:t>
            </w:r>
          </w:p>
        </w:tc>
        <w:tc>
          <w:tcPr>
            <w:tcW w:w="491" w:type="dxa"/>
            <w:tcBorders>
              <w:top w:val="single" w:sz="12" w:space="0" w:color="000000" w:themeColor="text1"/>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bottom"/>
            <w:hideMark/>
          </w:tcPr>
          <w:p w14:paraId="74D47083" w14:textId="77777777" w:rsidR="00B54197" w:rsidRPr="00407552" w:rsidRDefault="00B54197" w:rsidP="003371C5">
            <w:pPr>
              <w:spacing w:after="0" w:line="240" w:lineRule="auto"/>
              <w:rPr>
                <w:rFonts w:ascii="Calibri" w:hAnsi="Calibri" w:cs="Times New Roman"/>
                <w:color w:val="000000"/>
              </w:rPr>
            </w:pPr>
            <w:r>
              <w:rPr>
                <w:rFonts w:ascii="Calibri" w:hAnsi="Calibri"/>
                <w:color w:val="000000"/>
              </w:rPr>
              <w:t> </w:t>
            </w:r>
          </w:p>
        </w:tc>
        <w:tc>
          <w:tcPr>
            <w:tcW w:w="470" w:type="dxa"/>
            <w:tcBorders>
              <w:top w:val="single" w:sz="12" w:space="0" w:color="000000" w:themeColor="text1"/>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00B050"/>
            <w:noWrap/>
            <w:vAlign w:val="bottom"/>
            <w:hideMark/>
          </w:tcPr>
          <w:p w14:paraId="14ED3E8A" w14:textId="77777777" w:rsidR="00B54197" w:rsidRPr="00407552" w:rsidRDefault="00B54197" w:rsidP="003371C5">
            <w:pPr>
              <w:spacing w:after="0" w:line="240" w:lineRule="auto"/>
              <w:rPr>
                <w:rFonts w:ascii="Calibri" w:hAnsi="Calibri" w:cs="Times New Roman"/>
                <w:color w:val="000000"/>
              </w:rPr>
            </w:pPr>
            <w:r>
              <w:rPr>
                <w:rFonts w:ascii="Calibri" w:hAnsi="Calibri"/>
                <w:color w:val="000000"/>
              </w:rPr>
              <w:t> </w:t>
            </w:r>
          </w:p>
        </w:tc>
        <w:tc>
          <w:tcPr>
            <w:tcW w:w="421" w:type="dxa"/>
            <w:tcBorders>
              <w:top w:val="single" w:sz="12" w:space="0" w:color="000000" w:themeColor="text1"/>
              <w:left w:val="single" w:sz="2" w:space="0" w:color="A6A6A6" w:themeColor="background1" w:themeShade="A6"/>
              <w:bottom w:val="single" w:sz="2" w:space="0" w:color="A6A6A6" w:themeColor="background1" w:themeShade="A6"/>
              <w:right w:val="single" w:sz="12" w:space="0" w:color="auto"/>
            </w:tcBorders>
            <w:shd w:val="clear" w:color="auto" w:fill="FFFFFF" w:themeFill="background1"/>
            <w:noWrap/>
            <w:vAlign w:val="bottom"/>
            <w:hideMark/>
          </w:tcPr>
          <w:p w14:paraId="6C84EBCD" w14:textId="77777777" w:rsidR="00B54197" w:rsidRPr="00407552" w:rsidRDefault="00B54197" w:rsidP="003371C5">
            <w:pPr>
              <w:spacing w:after="0" w:line="240" w:lineRule="auto"/>
              <w:rPr>
                <w:rFonts w:ascii="Calibri" w:hAnsi="Calibri" w:cs="Times New Roman"/>
                <w:color w:val="000000"/>
              </w:rPr>
            </w:pPr>
            <w:r>
              <w:rPr>
                <w:rFonts w:ascii="Calibri" w:hAnsi="Calibri"/>
                <w:color w:val="000000"/>
              </w:rPr>
              <w:t> </w:t>
            </w:r>
          </w:p>
        </w:tc>
      </w:tr>
      <w:tr w:rsidR="00B54197" w:rsidRPr="00407552" w14:paraId="67702051" w14:textId="77777777" w:rsidTr="003371C5">
        <w:trPr>
          <w:gridAfter w:val="1"/>
          <w:wAfter w:w="878" w:type="dxa"/>
          <w:trHeight w:val="53"/>
        </w:trPr>
        <w:tc>
          <w:tcPr>
            <w:tcW w:w="2127" w:type="dxa"/>
            <w:vMerge/>
            <w:tcBorders>
              <w:top w:val="single" w:sz="2" w:space="0" w:color="A6A6A6" w:themeColor="background1" w:themeShade="A6"/>
              <w:left w:val="single" w:sz="12" w:space="0" w:color="auto"/>
              <w:bottom w:val="single" w:sz="2" w:space="0" w:color="A6A6A6" w:themeColor="background1" w:themeShade="A6"/>
              <w:right w:val="single" w:sz="2" w:space="0" w:color="A6A6A6" w:themeColor="background1" w:themeShade="A6"/>
            </w:tcBorders>
            <w:vAlign w:val="center"/>
            <w:hideMark/>
          </w:tcPr>
          <w:p w14:paraId="21F7BC63" w14:textId="77777777" w:rsidR="00B54197" w:rsidRPr="00407552" w:rsidRDefault="00B54197" w:rsidP="003371C5">
            <w:pPr>
              <w:spacing w:after="0" w:line="240" w:lineRule="auto"/>
              <w:rPr>
                <w:rFonts w:ascii="Calibri" w:hAnsi="Calibri" w:cs="Times New Roman"/>
                <w:b/>
                <w:bCs/>
                <w:color w:val="000000"/>
                <w:lang w:eastAsia="en-GB"/>
              </w:rPr>
            </w:pPr>
          </w:p>
        </w:tc>
        <w:tc>
          <w:tcPr>
            <w:tcW w:w="4535" w:type="dxa"/>
            <w:gridSpan w:val="4"/>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FFFFFF"/>
            <w:noWrap/>
            <w:vAlign w:val="center"/>
            <w:hideMark/>
          </w:tcPr>
          <w:p w14:paraId="3802ECBE" w14:textId="77777777" w:rsidR="00B54197" w:rsidRPr="00407552" w:rsidRDefault="00B54197" w:rsidP="003371C5">
            <w:pPr>
              <w:spacing w:after="0" w:line="240" w:lineRule="auto"/>
              <w:rPr>
                <w:rFonts w:ascii="Calibri" w:hAnsi="Calibri" w:cs="Times New Roman"/>
                <w:color w:val="000000"/>
              </w:rPr>
            </w:pPr>
            <w:r>
              <w:rPr>
                <w:rFonts w:ascii="Calibri" w:hAnsi="Calibri"/>
                <w:color w:val="000000"/>
              </w:rPr>
              <w:t>Revenus en nature (4.2)</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thinDiagStripe" w:color="auto" w:fill="D9D9D9" w:themeFill="background1" w:themeFillShade="D9"/>
          </w:tcPr>
          <w:p w14:paraId="63411980" w14:textId="77777777" w:rsidR="00B54197" w:rsidRPr="00407552" w:rsidRDefault="00B54197" w:rsidP="003371C5">
            <w:pPr>
              <w:spacing w:after="0" w:line="240" w:lineRule="auto"/>
              <w:rPr>
                <w:rFonts w:ascii="Calibri" w:hAnsi="Calibri" w:cs="Times New Roman"/>
                <w:color w:val="000000"/>
                <w:lang w:eastAsia="en-GB"/>
              </w:rPr>
            </w:pPr>
          </w:p>
        </w:tc>
        <w:tc>
          <w:tcPr>
            <w:tcW w:w="53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thinDiagStripe" w:color="auto" w:fill="D9D9D9" w:themeFill="background1" w:themeFillShade="D9"/>
            <w:noWrap/>
            <w:vAlign w:val="bottom"/>
            <w:hideMark/>
          </w:tcPr>
          <w:p w14:paraId="537C3398" w14:textId="77777777" w:rsidR="00B54197" w:rsidRPr="00407552" w:rsidRDefault="00B54197" w:rsidP="003371C5">
            <w:pPr>
              <w:spacing w:after="0" w:line="240" w:lineRule="auto"/>
              <w:rPr>
                <w:rFonts w:ascii="Calibri" w:hAnsi="Calibri" w:cs="Times New Roman"/>
                <w:color w:val="000000"/>
              </w:rPr>
            </w:pPr>
            <w:r>
              <w:rPr>
                <w:rFonts w:ascii="Calibri" w:hAnsi="Calibri"/>
                <w:color w:val="000000"/>
              </w:rPr>
              <w:t> </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thinDiagStripe" w:color="auto" w:fill="D9D9D9" w:themeFill="background1" w:themeFillShade="D9"/>
            <w:noWrap/>
            <w:vAlign w:val="bottom"/>
            <w:hideMark/>
          </w:tcPr>
          <w:p w14:paraId="5ED41DDE" w14:textId="77777777" w:rsidR="00B54197" w:rsidRPr="00407552" w:rsidRDefault="00B54197" w:rsidP="003371C5">
            <w:pPr>
              <w:spacing w:after="0" w:line="240" w:lineRule="auto"/>
              <w:rPr>
                <w:rFonts w:ascii="Calibri" w:hAnsi="Calibri" w:cs="Times New Roman"/>
                <w:color w:val="000000"/>
              </w:rPr>
            </w:pPr>
            <w:r>
              <w:rPr>
                <w:rFonts w:ascii="Calibri" w:hAnsi="Calibri"/>
                <w:color w:val="000000"/>
              </w:rPr>
              <w:t> </w:t>
            </w:r>
          </w:p>
        </w:tc>
        <w:tc>
          <w:tcPr>
            <w:tcW w:w="47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thinDiagStripe" w:color="auto" w:fill="D9D9D9" w:themeFill="background1" w:themeFillShade="D9"/>
            <w:noWrap/>
            <w:vAlign w:val="bottom"/>
            <w:hideMark/>
          </w:tcPr>
          <w:p w14:paraId="0A8AAAB7" w14:textId="77777777" w:rsidR="00B54197" w:rsidRPr="00407552" w:rsidRDefault="00B54197" w:rsidP="003371C5">
            <w:pPr>
              <w:spacing w:after="0" w:line="240" w:lineRule="auto"/>
              <w:rPr>
                <w:rFonts w:ascii="Calibri" w:hAnsi="Calibri" w:cs="Times New Roman"/>
                <w:color w:val="000000"/>
              </w:rPr>
            </w:pPr>
            <w:r>
              <w:rPr>
                <w:rFonts w:ascii="Calibri" w:hAnsi="Calibri"/>
                <w:color w:val="000000"/>
              </w:rPr>
              <w:t> </w:t>
            </w:r>
          </w:p>
        </w:tc>
        <w:tc>
          <w:tcPr>
            <w:tcW w:w="42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12" w:space="0" w:color="auto"/>
            </w:tcBorders>
            <w:shd w:val="thinDiagStripe" w:color="auto" w:fill="D9D9D9" w:themeFill="background1" w:themeFillShade="D9"/>
            <w:noWrap/>
            <w:vAlign w:val="bottom"/>
            <w:hideMark/>
          </w:tcPr>
          <w:p w14:paraId="04C3D286" w14:textId="77777777" w:rsidR="00B54197" w:rsidRPr="00407552" w:rsidRDefault="00B54197" w:rsidP="003371C5">
            <w:pPr>
              <w:spacing w:after="0" w:line="240" w:lineRule="auto"/>
              <w:rPr>
                <w:rFonts w:ascii="Calibri" w:hAnsi="Calibri" w:cs="Times New Roman"/>
                <w:color w:val="000000"/>
              </w:rPr>
            </w:pPr>
            <w:r>
              <w:rPr>
                <w:rFonts w:ascii="Calibri" w:hAnsi="Calibri"/>
                <w:color w:val="000000"/>
              </w:rPr>
              <w:t> </w:t>
            </w:r>
          </w:p>
        </w:tc>
      </w:tr>
      <w:tr w:rsidR="00B54197" w:rsidRPr="00407552" w14:paraId="2F55975F" w14:textId="77777777" w:rsidTr="003371C5">
        <w:trPr>
          <w:gridAfter w:val="1"/>
          <w:wAfter w:w="878" w:type="dxa"/>
          <w:trHeight w:val="77"/>
        </w:trPr>
        <w:tc>
          <w:tcPr>
            <w:tcW w:w="2127" w:type="dxa"/>
            <w:vMerge/>
            <w:tcBorders>
              <w:top w:val="single" w:sz="2" w:space="0" w:color="A6A6A6" w:themeColor="background1" w:themeShade="A6"/>
              <w:left w:val="single" w:sz="12" w:space="0" w:color="auto"/>
              <w:bottom w:val="single" w:sz="2" w:space="0" w:color="A6A6A6" w:themeColor="background1" w:themeShade="A6"/>
              <w:right w:val="single" w:sz="2" w:space="0" w:color="A6A6A6" w:themeColor="background1" w:themeShade="A6"/>
            </w:tcBorders>
            <w:vAlign w:val="center"/>
            <w:hideMark/>
          </w:tcPr>
          <w:p w14:paraId="5394A1C2" w14:textId="77777777" w:rsidR="00B54197" w:rsidRPr="00407552" w:rsidRDefault="00B54197" w:rsidP="003371C5">
            <w:pPr>
              <w:spacing w:after="0" w:line="240" w:lineRule="auto"/>
              <w:rPr>
                <w:rFonts w:ascii="Calibri" w:hAnsi="Calibri" w:cs="Times New Roman"/>
                <w:b/>
                <w:bCs/>
                <w:color w:val="000000"/>
                <w:lang w:eastAsia="en-GB"/>
              </w:rPr>
            </w:pPr>
          </w:p>
        </w:tc>
        <w:tc>
          <w:tcPr>
            <w:tcW w:w="4535" w:type="dxa"/>
            <w:gridSpan w:val="4"/>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FFFFFF"/>
            <w:noWrap/>
            <w:vAlign w:val="center"/>
            <w:hideMark/>
          </w:tcPr>
          <w:p w14:paraId="080E839F" w14:textId="77777777" w:rsidR="00B54197" w:rsidRPr="00407552" w:rsidRDefault="00B54197" w:rsidP="003371C5">
            <w:pPr>
              <w:spacing w:after="0" w:line="240" w:lineRule="auto"/>
              <w:rPr>
                <w:rFonts w:ascii="Calibri" w:hAnsi="Calibri" w:cs="Times New Roman"/>
                <w:color w:val="000000"/>
              </w:rPr>
            </w:pPr>
            <w:r>
              <w:rPr>
                <w:rFonts w:ascii="Calibri" w:hAnsi="Calibri"/>
                <w:color w:val="000000"/>
              </w:rPr>
              <w:t>Accords de troc (4.3)</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tcPr>
          <w:p w14:paraId="2FDC0CB5" w14:textId="77777777" w:rsidR="00B54197" w:rsidRPr="00407552" w:rsidRDefault="00B54197" w:rsidP="003371C5">
            <w:pPr>
              <w:spacing w:after="0" w:line="240" w:lineRule="auto"/>
              <w:rPr>
                <w:rFonts w:ascii="Calibri" w:hAnsi="Calibri" w:cs="Times New Roman"/>
                <w:color w:val="000000"/>
                <w:lang w:eastAsia="en-GB"/>
              </w:rPr>
            </w:pPr>
          </w:p>
        </w:tc>
        <w:tc>
          <w:tcPr>
            <w:tcW w:w="53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bottom"/>
            <w:hideMark/>
          </w:tcPr>
          <w:p w14:paraId="27E03A19" w14:textId="77777777" w:rsidR="00B54197" w:rsidRPr="00407552" w:rsidRDefault="00B54197" w:rsidP="003371C5">
            <w:pPr>
              <w:spacing w:after="0" w:line="240" w:lineRule="auto"/>
              <w:rPr>
                <w:rFonts w:ascii="Calibri" w:hAnsi="Calibri" w:cs="Times New Roman"/>
                <w:color w:val="000000"/>
              </w:rPr>
            </w:pPr>
            <w:r>
              <w:rPr>
                <w:rFonts w:ascii="Calibri" w:hAnsi="Calibri"/>
                <w:color w:val="000000"/>
              </w:rPr>
              <w:t> </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92D050"/>
            <w:noWrap/>
            <w:vAlign w:val="bottom"/>
            <w:hideMark/>
          </w:tcPr>
          <w:p w14:paraId="6021895A" w14:textId="77777777" w:rsidR="00B54197" w:rsidRPr="00407552" w:rsidRDefault="00B54197" w:rsidP="003371C5">
            <w:pPr>
              <w:spacing w:after="0" w:line="240" w:lineRule="auto"/>
              <w:rPr>
                <w:rFonts w:ascii="Calibri" w:hAnsi="Calibri" w:cs="Times New Roman"/>
                <w:color w:val="000000"/>
              </w:rPr>
            </w:pPr>
            <w:r>
              <w:rPr>
                <w:rFonts w:ascii="Calibri" w:hAnsi="Calibri"/>
                <w:color w:val="000000"/>
              </w:rPr>
              <w:t> </w:t>
            </w:r>
          </w:p>
        </w:tc>
        <w:tc>
          <w:tcPr>
            <w:tcW w:w="47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bottom"/>
            <w:hideMark/>
          </w:tcPr>
          <w:p w14:paraId="019F2B59" w14:textId="77777777" w:rsidR="00B54197" w:rsidRPr="00407552" w:rsidRDefault="00B54197" w:rsidP="003371C5">
            <w:pPr>
              <w:spacing w:after="0" w:line="240" w:lineRule="auto"/>
              <w:rPr>
                <w:rFonts w:ascii="Calibri" w:hAnsi="Calibri" w:cs="Times New Roman"/>
                <w:color w:val="000000"/>
              </w:rPr>
            </w:pPr>
            <w:r>
              <w:rPr>
                <w:rFonts w:ascii="Calibri" w:hAnsi="Calibri"/>
                <w:color w:val="000000"/>
              </w:rPr>
              <w:t> </w:t>
            </w:r>
          </w:p>
        </w:tc>
        <w:tc>
          <w:tcPr>
            <w:tcW w:w="42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12" w:space="0" w:color="auto"/>
            </w:tcBorders>
            <w:shd w:val="clear" w:color="auto" w:fill="FFFFFF" w:themeFill="background1"/>
            <w:noWrap/>
            <w:vAlign w:val="bottom"/>
            <w:hideMark/>
          </w:tcPr>
          <w:p w14:paraId="524EAD27" w14:textId="77777777" w:rsidR="00B54197" w:rsidRPr="00407552" w:rsidRDefault="00B54197" w:rsidP="003371C5">
            <w:pPr>
              <w:spacing w:after="0" w:line="240" w:lineRule="auto"/>
              <w:rPr>
                <w:rFonts w:ascii="Calibri" w:hAnsi="Calibri" w:cs="Times New Roman"/>
                <w:color w:val="000000"/>
              </w:rPr>
            </w:pPr>
            <w:r>
              <w:rPr>
                <w:rFonts w:ascii="Calibri" w:hAnsi="Calibri"/>
                <w:color w:val="000000"/>
              </w:rPr>
              <w:t> </w:t>
            </w:r>
          </w:p>
        </w:tc>
      </w:tr>
      <w:tr w:rsidR="00B54197" w:rsidRPr="00407552" w14:paraId="5B5FB92A" w14:textId="77777777" w:rsidTr="003371C5">
        <w:trPr>
          <w:gridAfter w:val="1"/>
          <w:wAfter w:w="878" w:type="dxa"/>
          <w:trHeight w:val="53"/>
        </w:trPr>
        <w:tc>
          <w:tcPr>
            <w:tcW w:w="2127" w:type="dxa"/>
            <w:vMerge/>
            <w:tcBorders>
              <w:top w:val="single" w:sz="2" w:space="0" w:color="A6A6A6" w:themeColor="background1" w:themeShade="A6"/>
              <w:left w:val="single" w:sz="12" w:space="0" w:color="auto"/>
              <w:bottom w:val="single" w:sz="2" w:space="0" w:color="A6A6A6" w:themeColor="background1" w:themeShade="A6"/>
              <w:right w:val="single" w:sz="2" w:space="0" w:color="A6A6A6" w:themeColor="background1" w:themeShade="A6"/>
            </w:tcBorders>
            <w:vAlign w:val="center"/>
            <w:hideMark/>
          </w:tcPr>
          <w:p w14:paraId="019CF387" w14:textId="77777777" w:rsidR="00B54197" w:rsidRPr="00407552" w:rsidRDefault="00B54197" w:rsidP="003371C5">
            <w:pPr>
              <w:spacing w:after="0" w:line="240" w:lineRule="auto"/>
              <w:rPr>
                <w:rFonts w:ascii="Calibri" w:hAnsi="Calibri" w:cs="Times New Roman"/>
                <w:b/>
                <w:bCs/>
                <w:color w:val="000000"/>
                <w:lang w:eastAsia="en-GB"/>
              </w:rPr>
            </w:pPr>
          </w:p>
        </w:tc>
        <w:tc>
          <w:tcPr>
            <w:tcW w:w="4535" w:type="dxa"/>
            <w:gridSpan w:val="4"/>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FFFFFF"/>
            <w:noWrap/>
            <w:vAlign w:val="center"/>
            <w:hideMark/>
          </w:tcPr>
          <w:p w14:paraId="7D37379D" w14:textId="77777777" w:rsidR="00B54197" w:rsidRPr="00407552" w:rsidRDefault="00B54197" w:rsidP="003371C5">
            <w:pPr>
              <w:spacing w:after="0" w:line="240" w:lineRule="auto"/>
              <w:rPr>
                <w:rFonts w:ascii="Calibri" w:hAnsi="Calibri" w:cs="Times New Roman"/>
                <w:color w:val="000000"/>
              </w:rPr>
            </w:pPr>
            <w:r>
              <w:rPr>
                <w:rFonts w:ascii="Calibri" w:hAnsi="Calibri"/>
                <w:color w:val="000000"/>
              </w:rPr>
              <w:t>Revenus issus du transport (4.4)</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thinDiagStripe" w:color="auto" w:fill="D9D9D9" w:themeFill="background1" w:themeFillShade="D9"/>
          </w:tcPr>
          <w:p w14:paraId="4A5D7D5E" w14:textId="77777777" w:rsidR="00B54197" w:rsidRPr="00407552" w:rsidRDefault="00B54197" w:rsidP="003371C5">
            <w:pPr>
              <w:spacing w:after="0" w:line="240" w:lineRule="auto"/>
              <w:rPr>
                <w:rFonts w:ascii="Calibri" w:hAnsi="Calibri" w:cs="Times New Roman"/>
                <w:color w:val="000000"/>
                <w:lang w:eastAsia="en-GB"/>
              </w:rPr>
            </w:pPr>
          </w:p>
        </w:tc>
        <w:tc>
          <w:tcPr>
            <w:tcW w:w="53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thinDiagStripe" w:color="auto" w:fill="D9D9D9" w:themeFill="background1" w:themeFillShade="D9"/>
            <w:noWrap/>
            <w:vAlign w:val="bottom"/>
            <w:hideMark/>
          </w:tcPr>
          <w:p w14:paraId="7F9F63C6" w14:textId="77777777" w:rsidR="00B54197" w:rsidRPr="00407552" w:rsidRDefault="00B54197" w:rsidP="003371C5">
            <w:pPr>
              <w:spacing w:after="0" w:line="240" w:lineRule="auto"/>
              <w:rPr>
                <w:rFonts w:ascii="Calibri" w:hAnsi="Calibri" w:cs="Times New Roman"/>
                <w:color w:val="000000"/>
              </w:rPr>
            </w:pPr>
            <w:r>
              <w:rPr>
                <w:rFonts w:ascii="Calibri" w:hAnsi="Calibri"/>
                <w:color w:val="000000"/>
              </w:rPr>
              <w:t> </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thinDiagStripe" w:color="auto" w:fill="D9D9D9" w:themeFill="background1" w:themeFillShade="D9"/>
            <w:noWrap/>
            <w:vAlign w:val="center"/>
            <w:hideMark/>
          </w:tcPr>
          <w:p w14:paraId="20C3A0F6" w14:textId="77777777" w:rsidR="00B54197" w:rsidRPr="00407552" w:rsidRDefault="00B54197" w:rsidP="003371C5">
            <w:pPr>
              <w:spacing w:after="0" w:line="240" w:lineRule="auto"/>
              <w:jc w:val="center"/>
              <w:rPr>
                <w:rFonts w:ascii="Calibri" w:hAnsi="Calibri" w:cs="Times New Roman"/>
                <w:color w:val="00B050"/>
              </w:rPr>
            </w:pPr>
            <w:r>
              <w:rPr>
                <w:rFonts w:ascii="Calibri" w:hAnsi="Calibri"/>
                <w:color w:val="00B050"/>
              </w:rPr>
              <w:t> </w:t>
            </w:r>
          </w:p>
        </w:tc>
        <w:tc>
          <w:tcPr>
            <w:tcW w:w="47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thinDiagStripe" w:color="auto" w:fill="D9D9D9" w:themeFill="background1" w:themeFillShade="D9"/>
            <w:noWrap/>
            <w:vAlign w:val="center"/>
            <w:hideMark/>
          </w:tcPr>
          <w:p w14:paraId="0C02C4ED" w14:textId="77777777" w:rsidR="00B54197" w:rsidRPr="00407552" w:rsidRDefault="00B54197" w:rsidP="003371C5">
            <w:pPr>
              <w:spacing w:after="0" w:line="240" w:lineRule="auto"/>
              <w:jc w:val="center"/>
              <w:rPr>
                <w:rFonts w:ascii="Calibri" w:hAnsi="Calibri" w:cs="Times New Roman"/>
                <w:color w:val="00B050"/>
              </w:rPr>
            </w:pPr>
            <w:r>
              <w:rPr>
                <w:rFonts w:ascii="Calibri" w:hAnsi="Calibri"/>
                <w:color w:val="00B050"/>
              </w:rPr>
              <w:t> </w:t>
            </w:r>
          </w:p>
        </w:tc>
        <w:tc>
          <w:tcPr>
            <w:tcW w:w="42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12" w:space="0" w:color="auto"/>
            </w:tcBorders>
            <w:shd w:val="thinDiagStripe" w:color="auto" w:fill="D9D9D9" w:themeFill="background1" w:themeFillShade="D9"/>
            <w:noWrap/>
            <w:vAlign w:val="center"/>
            <w:hideMark/>
          </w:tcPr>
          <w:p w14:paraId="61497D7B" w14:textId="77777777" w:rsidR="00B54197" w:rsidRPr="00407552" w:rsidRDefault="00B54197" w:rsidP="003371C5">
            <w:pPr>
              <w:spacing w:after="0" w:line="240" w:lineRule="auto"/>
              <w:jc w:val="center"/>
              <w:rPr>
                <w:rFonts w:ascii="Calibri" w:hAnsi="Calibri" w:cs="Times New Roman"/>
                <w:color w:val="00B050"/>
              </w:rPr>
            </w:pPr>
            <w:r>
              <w:rPr>
                <w:rFonts w:ascii="Calibri" w:hAnsi="Calibri"/>
                <w:color w:val="00B050"/>
              </w:rPr>
              <w:t> </w:t>
            </w:r>
          </w:p>
        </w:tc>
      </w:tr>
      <w:tr w:rsidR="00B54197" w:rsidRPr="00407552" w14:paraId="3C7E4F5C" w14:textId="77777777" w:rsidTr="003371C5">
        <w:trPr>
          <w:gridAfter w:val="1"/>
          <w:wAfter w:w="878" w:type="dxa"/>
          <w:trHeight w:val="53"/>
        </w:trPr>
        <w:tc>
          <w:tcPr>
            <w:tcW w:w="2127" w:type="dxa"/>
            <w:vMerge/>
            <w:tcBorders>
              <w:top w:val="single" w:sz="2" w:space="0" w:color="A6A6A6" w:themeColor="background1" w:themeShade="A6"/>
              <w:left w:val="single" w:sz="12" w:space="0" w:color="auto"/>
              <w:bottom w:val="single" w:sz="2" w:space="0" w:color="A6A6A6" w:themeColor="background1" w:themeShade="A6"/>
              <w:right w:val="single" w:sz="2" w:space="0" w:color="A6A6A6" w:themeColor="background1" w:themeShade="A6"/>
            </w:tcBorders>
            <w:vAlign w:val="center"/>
            <w:hideMark/>
          </w:tcPr>
          <w:p w14:paraId="024F662A" w14:textId="77777777" w:rsidR="00B54197" w:rsidRPr="00407552" w:rsidRDefault="00B54197" w:rsidP="003371C5">
            <w:pPr>
              <w:spacing w:after="0" w:line="240" w:lineRule="auto"/>
              <w:rPr>
                <w:rFonts w:ascii="Calibri" w:hAnsi="Calibri" w:cs="Times New Roman"/>
                <w:b/>
                <w:bCs/>
                <w:color w:val="000000"/>
                <w:lang w:eastAsia="en-GB"/>
              </w:rPr>
            </w:pPr>
          </w:p>
        </w:tc>
        <w:tc>
          <w:tcPr>
            <w:tcW w:w="4535" w:type="dxa"/>
            <w:gridSpan w:val="4"/>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FFFFFF"/>
            <w:noWrap/>
            <w:vAlign w:val="center"/>
            <w:hideMark/>
          </w:tcPr>
          <w:p w14:paraId="3B0F0DEF" w14:textId="77777777" w:rsidR="00B54197" w:rsidRPr="00407552" w:rsidRDefault="00B54197" w:rsidP="003371C5">
            <w:pPr>
              <w:spacing w:after="0" w:line="240" w:lineRule="auto"/>
              <w:rPr>
                <w:rFonts w:ascii="Calibri" w:hAnsi="Calibri" w:cs="Times New Roman"/>
                <w:color w:val="000000"/>
              </w:rPr>
            </w:pPr>
            <w:r>
              <w:rPr>
                <w:rFonts w:ascii="Calibri" w:hAnsi="Calibri"/>
                <w:color w:val="000000"/>
              </w:rPr>
              <w:t>Transactions des entreprises d’État (4.5)</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FFFFF" w:themeFill="background1"/>
          </w:tcPr>
          <w:p w14:paraId="4B9657E7" w14:textId="77777777" w:rsidR="00B54197" w:rsidRPr="00407552" w:rsidRDefault="00B54197" w:rsidP="003371C5">
            <w:pPr>
              <w:spacing w:after="0" w:line="240" w:lineRule="auto"/>
              <w:rPr>
                <w:rFonts w:ascii="Calibri" w:hAnsi="Calibri" w:cs="Times New Roman"/>
                <w:color w:val="000000"/>
                <w:lang w:eastAsia="en-GB"/>
              </w:rPr>
            </w:pPr>
          </w:p>
        </w:tc>
        <w:tc>
          <w:tcPr>
            <w:tcW w:w="53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FFFFF" w:themeFill="background1"/>
            <w:noWrap/>
            <w:vAlign w:val="bottom"/>
            <w:hideMark/>
          </w:tcPr>
          <w:p w14:paraId="61B70DBC" w14:textId="77777777" w:rsidR="00B54197" w:rsidRPr="00407552" w:rsidRDefault="00B54197" w:rsidP="003371C5">
            <w:pPr>
              <w:spacing w:after="0" w:line="240" w:lineRule="auto"/>
              <w:rPr>
                <w:rFonts w:ascii="Calibri" w:hAnsi="Calibri" w:cs="Times New Roman"/>
                <w:color w:val="000000"/>
              </w:rPr>
            </w:pPr>
            <w:r>
              <w:rPr>
                <w:rFonts w:ascii="Calibri" w:hAnsi="Calibri"/>
                <w:color w:val="000000"/>
              </w:rPr>
              <w:t> </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92D050"/>
            <w:noWrap/>
            <w:vAlign w:val="center"/>
            <w:hideMark/>
          </w:tcPr>
          <w:p w14:paraId="4696D6D0" w14:textId="77777777" w:rsidR="00B54197" w:rsidRPr="00407552" w:rsidRDefault="00B54197" w:rsidP="003371C5">
            <w:pPr>
              <w:spacing w:after="0" w:line="240" w:lineRule="auto"/>
              <w:jc w:val="center"/>
              <w:rPr>
                <w:rFonts w:ascii="Calibri" w:hAnsi="Calibri" w:cs="Times New Roman"/>
                <w:color w:val="00B050"/>
              </w:rPr>
            </w:pPr>
            <w:r>
              <w:rPr>
                <w:rFonts w:ascii="Calibri" w:hAnsi="Calibri"/>
                <w:color w:val="00B050"/>
              </w:rPr>
              <w:t> </w:t>
            </w:r>
          </w:p>
        </w:tc>
        <w:tc>
          <w:tcPr>
            <w:tcW w:w="47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bottom"/>
            <w:hideMark/>
          </w:tcPr>
          <w:p w14:paraId="23BBCA86" w14:textId="77777777" w:rsidR="00B54197" w:rsidRPr="00407552" w:rsidRDefault="00B54197" w:rsidP="003371C5">
            <w:pPr>
              <w:spacing w:after="0" w:line="240" w:lineRule="auto"/>
              <w:rPr>
                <w:rFonts w:ascii="Calibri" w:hAnsi="Calibri" w:cs="Times New Roman"/>
                <w:color w:val="000000"/>
              </w:rPr>
            </w:pPr>
            <w:r>
              <w:rPr>
                <w:rFonts w:ascii="Calibri" w:hAnsi="Calibri"/>
                <w:color w:val="000000"/>
              </w:rPr>
              <w:t> </w:t>
            </w:r>
          </w:p>
        </w:tc>
        <w:tc>
          <w:tcPr>
            <w:tcW w:w="42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12" w:space="0" w:color="auto"/>
            </w:tcBorders>
            <w:shd w:val="clear" w:color="auto" w:fill="auto"/>
            <w:noWrap/>
            <w:vAlign w:val="bottom"/>
            <w:hideMark/>
          </w:tcPr>
          <w:p w14:paraId="76552BCD" w14:textId="77777777" w:rsidR="00B54197" w:rsidRPr="00407552" w:rsidRDefault="00B54197" w:rsidP="003371C5">
            <w:pPr>
              <w:spacing w:after="0" w:line="240" w:lineRule="auto"/>
              <w:rPr>
                <w:rFonts w:ascii="Calibri" w:hAnsi="Calibri" w:cs="Times New Roman"/>
                <w:color w:val="000000"/>
              </w:rPr>
            </w:pPr>
            <w:r>
              <w:rPr>
                <w:rFonts w:ascii="Calibri" w:hAnsi="Calibri"/>
                <w:color w:val="000000"/>
              </w:rPr>
              <w:t> </w:t>
            </w:r>
          </w:p>
        </w:tc>
      </w:tr>
      <w:tr w:rsidR="00B54197" w:rsidRPr="00407552" w14:paraId="5F9DA68E" w14:textId="77777777" w:rsidTr="003371C5">
        <w:trPr>
          <w:gridAfter w:val="1"/>
          <w:wAfter w:w="878" w:type="dxa"/>
          <w:trHeight w:val="281"/>
        </w:trPr>
        <w:tc>
          <w:tcPr>
            <w:tcW w:w="2127" w:type="dxa"/>
            <w:vMerge/>
            <w:tcBorders>
              <w:top w:val="single" w:sz="2" w:space="0" w:color="A6A6A6" w:themeColor="background1" w:themeShade="A6"/>
              <w:left w:val="single" w:sz="12" w:space="0" w:color="auto"/>
              <w:bottom w:val="single" w:sz="2" w:space="0" w:color="A6A6A6" w:themeColor="background1" w:themeShade="A6"/>
              <w:right w:val="single" w:sz="2" w:space="0" w:color="A6A6A6" w:themeColor="background1" w:themeShade="A6"/>
            </w:tcBorders>
            <w:vAlign w:val="center"/>
            <w:hideMark/>
          </w:tcPr>
          <w:p w14:paraId="54B747E0" w14:textId="77777777" w:rsidR="00B54197" w:rsidRPr="00407552" w:rsidRDefault="00B54197" w:rsidP="003371C5">
            <w:pPr>
              <w:spacing w:after="0" w:line="240" w:lineRule="auto"/>
              <w:rPr>
                <w:rFonts w:ascii="Calibri" w:hAnsi="Calibri" w:cs="Times New Roman"/>
                <w:b/>
                <w:bCs/>
                <w:color w:val="000000"/>
                <w:lang w:eastAsia="en-GB"/>
              </w:rPr>
            </w:pPr>
          </w:p>
        </w:tc>
        <w:tc>
          <w:tcPr>
            <w:tcW w:w="4535" w:type="dxa"/>
            <w:gridSpan w:val="4"/>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FFFFFF"/>
            <w:noWrap/>
            <w:vAlign w:val="center"/>
            <w:hideMark/>
          </w:tcPr>
          <w:p w14:paraId="164D32D8" w14:textId="77777777" w:rsidR="00B54197" w:rsidRPr="00407552" w:rsidRDefault="00B54197" w:rsidP="003371C5">
            <w:pPr>
              <w:spacing w:after="0" w:line="240" w:lineRule="auto"/>
              <w:rPr>
                <w:rFonts w:ascii="Calibri" w:hAnsi="Calibri" w:cs="Times New Roman"/>
                <w:color w:val="000000"/>
              </w:rPr>
            </w:pPr>
            <w:r>
              <w:rPr>
                <w:rFonts w:ascii="Calibri" w:hAnsi="Calibri"/>
                <w:color w:val="000000"/>
              </w:rPr>
              <w:t>Paiements directs infranationaux (4.6)</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FFFFF" w:themeFill="background1"/>
          </w:tcPr>
          <w:p w14:paraId="2AA45379" w14:textId="77777777" w:rsidR="00B54197" w:rsidRPr="00407552" w:rsidRDefault="00B54197" w:rsidP="003371C5">
            <w:pPr>
              <w:spacing w:after="0" w:line="240" w:lineRule="auto"/>
              <w:rPr>
                <w:rFonts w:ascii="Calibri" w:hAnsi="Calibri" w:cs="Times New Roman"/>
                <w:color w:val="000000"/>
                <w:lang w:eastAsia="en-GB"/>
              </w:rPr>
            </w:pPr>
          </w:p>
        </w:tc>
        <w:tc>
          <w:tcPr>
            <w:tcW w:w="53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FFFFF" w:themeFill="background1"/>
            <w:noWrap/>
            <w:vAlign w:val="bottom"/>
            <w:hideMark/>
          </w:tcPr>
          <w:p w14:paraId="7D231BF9" w14:textId="77777777" w:rsidR="00B54197" w:rsidRPr="00407552" w:rsidRDefault="00B54197" w:rsidP="003371C5">
            <w:pPr>
              <w:spacing w:after="0" w:line="240" w:lineRule="auto"/>
              <w:rPr>
                <w:rFonts w:ascii="Calibri" w:hAnsi="Calibri" w:cs="Times New Roman"/>
                <w:color w:val="000000"/>
              </w:rPr>
            </w:pPr>
            <w:r>
              <w:rPr>
                <w:rFonts w:ascii="Calibri" w:hAnsi="Calibri"/>
                <w:color w:val="000000"/>
              </w:rPr>
              <w:t> </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bottom"/>
            <w:hideMark/>
          </w:tcPr>
          <w:p w14:paraId="46F5298D" w14:textId="77777777" w:rsidR="00B54197" w:rsidRPr="00407552" w:rsidRDefault="00B54197" w:rsidP="003371C5">
            <w:pPr>
              <w:spacing w:after="0" w:line="240" w:lineRule="auto"/>
              <w:rPr>
                <w:rFonts w:ascii="Calibri" w:hAnsi="Calibri" w:cs="Times New Roman"/>
                <w:color w:val="000000"/>
              </w:rPr>
            </w:pPr>
            <w:r>
              <w:rPr>
                <w:rFonts w:ascii="Calibri" w:hAnsi="Calibri"/>
                <w:color w:val="000000"/>
              </w:rPr>
              <w:t> </w:t>
            </w:r>
          </w:p>
        </w:tc>
        <w:tc>
          <w:tcPr>
            <w:tcW w:w="47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00B050"/>
            <w:noWrap/>
            <w:vAlign w:val="bottom"/>
            <w:hideMark/>
          </w:tcPr>
          <w:p w14:paraId="4647D712" w14:textId="77777777" w:rsidR="00B54197" w:rsidRPr="00407552" w:rsidRDefault="00B54197" w:rsidP="003371C5">
            <w:pPr>
              <w:spacing w:after="0" w:line="240" w:lineRule="auto"/>
              <w:rPr>
                <w:rFonts w:ascii="Calibri" w:hAnsi="Calibri" w:cs="Times New Roman"/>
                <w:color w:val="000000"/>
              </w:rPr>
            </w:pPr>
            <w:r>
              <w:rPr>
                <w:rFonts w:ascii="Calibri" w:hAnsi="Calibri"/>
                <w:color w:val="000000"/>
              </w:rPr>
              <w:t> </w:t>
            </w:r>
          </w:p>
        </w:tc>
        <w:tc>
          <w:tcPr>
            <w:tcW w:w="42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12" w:space="0" w:color="auto"/>
            </w:tcBorders>
            <w:shd w:val="clear" w:color="auto" w:fill="FFFFFF" w:themeFill="background1"/>
            <w:noWrap/>
            <w:vAlign w:val="bottom"/>
            <w:hideMark/>
          </w:tcPr>
          <w:p w14:paraId="4D12A701" w14:textId="77777777" w:rsidR="00B54197" w:rsidRPr="00407552" w:rsidRDefault="00B54197" w:rsidP="003371C5">
            <w:pPr>
              <w:spacing w:after="0" w:line="240" w:lineRule="auto"/>
              <w:rPr>
                <w:rFonts w:ascii="Calibri" w:hAnsi="Calibri" w:cs="Times New Roman"/>
                <w:color w:val="000000"/>
              </w:rPr>
            </w:pPr>
            <w:r>
              <w:rPr>
                <w:rFonts w:ascii="Calibri" w:hAnsi="Calibri"/>
                <w:color w:val="000000"/>
              </w:rPr>
              <w:t> </w:t>
            </w:r>
          </w:p>
        </w:tc>
      </w:tr>
      <w:tr w:rsidR="00B54197" w:rsidRPr="00407552" w14:paraId="033BA8AB" w14:textId="77777777" w:rsidTr="003371C5">
        <w:trPr>
          <w:gridAfter w:val="1"/>
          <w:wAfter w:w="878" w:type="dxa"/>
          <w:trHeight w:val="53"/>
        </w:trPr>
        <w:tc>
          <w:tcPr>
            <w:tcW w:w="2127" w:type="dxa"/>
            <w:vMerge/>
            <w:tcBorders>
              <w:top w:val="single" w:sz="2" w:space="0" w:color="A6A6A6" w:themeColor="background1" w:themeShade="A6"/>
              <w:left w:val="single" w:sz="12" w:space="0" w:color="auto"/>
              <w:bottom w:val="single" w:sz="2" w:space="0" w:color="A6A6A6" w:themeColor="background1" w:themeShade="A6"/>
              <w:right w:val="single" w:sz="2" w:space="0" w:color="A6A6A6" w:themeColor="background1" w:themeShade="A6"/>
            </w:tcBorders>
            <w:vAlign w:val="center"/>
            <w:hideMark/>
          </w:tcPr>
          <w:p w14:paraId="3E0B8395" w14:textId="77777777" w:rsidR="00B54197" w:rsidRPr="00407552" w:rsidRDefault="00B54197" w:rsidP="003371C5">
            <w:pPr>
              <w:spacing w:after="0" w:line="240" w:lineRule="auto"/>
              <w:rPr>
                <w:rFonts w:ascii="Calibri" w:hAnsi="Calibri" w:cs="Times New Roman"/>
                <w:b/>
                <w:bCs/>
                <w:color w:val="000000"/>
                <w:lang w:eastAsia="en-GB"/>
              </w:rPr>
            </w:pPr>
          </w:p>
        </w:tc>
        <w:tc>
          <w:tcPr>
            <w:tcW w:w="4535" w:type="dxa"/>
            <w:gridSpan w:val="4"/>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FFFFFF"/>
            <w:noWrap/>
            <w:vAlign w:val="center"/>
            <w:hideMark/>
          </w:tcPr>
          <w:p w14:paraId="5AC3B77B" w14:textId="77777777" w:rsidR="00B54197" w:rsidRPr="00407552" w:rsidRDefault="00B54197" w:rsidP="003371C5">
            <w:pPr>
              <w:spacing w:after="0" w:line="240" w:lineRule="auto"/>
              <w:rPr>
                <w:rFonts w:ascii="Calibri" w:hAnsi="Calibri" w:cs="Times New Roman"/>
                <w:color w:val="000000"/>
              </w:rPr>
            </w:pPr>
            <w:r>
              <w:rPr>
                <w:rFonts w:ascii="Calibri" w:hAnsi="Calibri"/>
                <w:color w:val="000000"/>
              </w:rPr>
              <w:t>Désagrégation (4.7)</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FFFFF" w:themeFill="background1"/>
          </w:tcPr>
          <w:p w14:paraId="2162C70C" w14:textId="77777777" w:rsidR="00B54197" w:rsidRPr="00407552" w:rsidRDefault="00B54197" w:rsidP="003371C5">
            <w:pPr>
              <w:spacing w:after="0" w:line="240" w:lineRule="auto"/>
              <w:rPr>
                <w:rFonts w:ascii="Calibri" w:hAnsi="Calibri" w:cs="Times New Roman"/>
                <w:color w:val="000000"/>
                <w:lang w:eastAsia="en-GB"/>
              </w:rPr>
            </w:pPr>
          </w:p>
        </w:tc>
        <w:tc>
          <w:tcPr>
            <w:tcW w:w="53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FFFFF" w:themeFill="background1"/>
            <w:noWrap/>
            <w:vAlign w:val="bottom"/>
            <w:hideMark/>
          </w:tcPr>
          <w:p w14:paraId="657AD745" w14:textId="77777777" w:rsidR="00B54197" w:rsidRPr="00407552" w:rsidRDefault="00B54197" w:rsidP="003371C5">
            <w:pPr>
              <w:spacing w:after="0" w:line="240" w:lineRule="auto"/>
              <w:rPr>
                <w:rFonts w:ascii="Calibri" w:hAnsi="Calibri" w:cs="Times New Roman"/>
                <w:color w:val="000000"/>
              </w:rPr>
            </w:pPr>
            <w:r>
              <w:rPr>
                <w:rFonts w:ascii="Calibri" w:hAnsi="Calibri"/>
                <w:color w:val="000000"/>
              </w:rPr>
              <w:t> </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FFFFF" w:themeFill="background1"/>
            <w:noWrap/>
            <w:vAlign w:val="bottom"/>
            <w:hideMark/>
          </w:tcPr>
          <w:p w14:paraId="34A16FF2" w14:textId="77777777" w:rsidR="00B54197" w:rsidRPr="00407552" w:rsidRDefault="00B54197" w:rsidP="003371C5">
            <w:pPr>
              <w:spacing w:after="0" w:line="240" w:lineRule="auto"/>
              <w:rPr>
                <w:rFonts w:ascii="Calibri" w:hAnsi="Calibri" w:cs="Times New Roman"/>
                <w:color w:val="000000"/>
              </w:rPr>
            </w:pPr>
            <w:r>
              <w:rPr>
                <w:rFonts w:ascii="Calibri" w:hAnsi="Calibri"/>
                <w:color w:val="000000"/>
              </w:rPr>
              <w:t> </w:t>
            </w:r>
          </w:p>
        </w:tc>
        <w:tc>
          <w:tcPr>
            <w:tcW w:w="47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00B050"/>
            <w:noWrap/>
            <w:vAlign w:val="bottom"/>
            <w:hideMark/>
          </w:tcPr>
          <w:p w14:paraId="305076C0" w14:textId="77777777" w:rsidR="00B54197" w:rsidRPr="00407552" w:rsidRDefault="00B54197" w:rsidP="003371C5">
            <w:pPr>
              <w:spacing w:after="0" w:line="240" w:lineRule="auto"/>
              <w:rPr>
                <w:rFonts w:ascii="Calibri" w:hAnsi="Calibri" w:cs="Times New Roman"/>
                <w:color w:val="000000"/>
              </w:rPr>
            </w:pPr>
            <w:r>
              <w:rPr>
                <w:rFonts w:ascii="Calibri" w:hAnsi="Calibri"/>
                <w:color w:val="000000"/>
              </w:rPr>
              <w:t> </w:t>
            </w:r>
          </w:p>
        </w:tc>
        <w:tc>
          <w:tcPr>
            <w:tcW w:w="42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12" w:space="0" w:color="auto"/>
            </w:tcBorders>
            <w:shd w:val="clear" w:color="auto" w:fill="FFFFFF" w:themeFill="background1"/>
            <w:noWrap/>
            <w:vAlign w:val="bottom"/>
            <w:hideMark/>
          </w:tcPr>
          <w:p w14:paraId="19E86371" w14:textId="77777777" w:rsidR="00B54197" w:rsidRPr="00407552" w:rsidRDefault="00B54197" w:rsidP="003371C5">
            <w:pPr>
              <w:spacing w:after="0" w:line="240" w:lineRule="auto"/>
              <w:rPr>
                <w:rFonts w:ascii="Calibri" w:hAnsi="Calibri" w:cs="Times New Roman"/>
                <w:color w:val="000000"/>
              </w:rPr>
            </w:pPr>
            <w:r>
              <w:rPr>
                <w:rFonts w:ascii="Calibri" w:hAnsi="Calibri"/>
                <w:color w:val="000000"/>
              </w:rPr>
              <w:t> </w:t>
            </w:r>
          </w:p>
        </w:tc>
      </w:tr>
      <w:tr w:rsidR="00B54197" w:rsidRPr="00407552" w14:paraId="04EEC9C5" w14:textId="77777777" w:rsidTr="003371C5">
        <w:trPr>
          <w:gridAfter w:val="1"/>
          <w:wAfter w:w="878" w:type="dxa"/>
          <w:trHeight w:val="56"/>
        </w:trPr>
        <w:tc>
          <w:tcPr>
            <w:tcW w:w="2127" w:type="dxa"/>
            <w:vMerge/>
            <w:tcBorders>
              <w:top w:val="single" w:sz="2" w:space="0" w:color="A6A6A6" w:themeColor="background1" w:themeShade="A6"/>
              <w:left w:val="single" w:sz="12" w:space="0" w:color="auto"/>
              <w:bottom w:val="single" w:sz="2" w:space="0" w:color="A6A6A6" w:themeColor="background1" w:themeShade="A6"/>
              <w:right w:val="single" w:sz="2" w:space="0" w:color="A6A6A6" w:themeColor="background1" w:themeShade="A6"/>
            </w:tcBorders>
            <w:vAlign w:val="center"/>
            <w:hideMark/>
          </w:tcPr>
          <w:p w14:paraId="22C24798" w14:textId="77777777" w:rsidR="00B54197" w:rsidRPr="00407552" w:rsidRDefault="00B54197" w:rsidP="003371C5">
            <w:pPr>
              <w:spacing w:after="0" w:line="240" w:lineRule="auto"/>
              <w:rPr>
                <w:rFonts w:ascii="Calibri" w:hAnsi="Calibri" w:cs="Times New Roman"/>
                <w:b/>
                <w:bCs/>
                <w:color w:val="000000"/>
                <w:lang w:eastAsia="en-GB"/>
              </w:rPr>
            </w:pPr>
          </w:p>
        </w:tc>
        <w:tc>
          <w:tcPr>
            <w:tcW w:w="4535" w:type="dxa"/>
            <w:gridSpan w:val="4"/>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FFFFFF"/>
            <w:noWrap/>
            <w:vAlign w:val="center"/>
            <w:hideMark/>
          </w:tcPr>
          <w:p w14:paraId="124150CA" w14:textId="77777777" w:rsidR="00B54197" w:rsidRPr="00407552" w:rsidRDefault="00B54197" w:rsidP="003371C5">
            <w:pPr>
              <w:spacing w:after="0" w:line="240" w:lineRule="auto"/>
              <w:rPr>
                <w:rFonts w:ascii="Calibri" w:hAnsi="Calibri" w:cs="Times New Roman"/>
                <w:color w:val="000000"/>
              </w:rPr>
            </w:pPr>
            <w:r>
              <w:rPr>
                <w:rFonts w:ascii="Calibri" w:hAnsi="Calibri"/>
                <w:color w:val="000000"/>
              </w:rPr>
              <w:t>Ponctualité des données (4.8)</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FFFFF" w:themeFill="background1"/>
          </w:tcPr>
          <w:p w14:paraId="6EC51332" w14:textId="77777777" w:rsidR="00B54197" w:rsidRPr="00407552" w:rsidRDefault="00B54197" w:rsidP="003371C5">
            <w:pPr>
              <w:spacing w:after="0" w:line="240" w:lineRule="auto"/>
              <w:rPr>
                <w:rFonts w:ascii="Calibri" w:hAnsi="Calibri" w:cs="Times New Roman"/>
                <w:color w:val="000000"/>
                <w:lang w:eastAsia="en-GB"/>
              </w:rPr>
            </w:pPr>
          </w:p>
        </w:tc>
        <w:tc>
          <w:tcPr>
            <w:tcW w:w="53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FFFFF" w:themeFill="background1"/>
            <w:noWrap/>
            <w:vAlign w:val="bottom"/>
            <w:hideMark/>
          </w:tcPr>
          <w:p w14:paraId="197E5FC0" w14:textId="77777777" w:rsidR="00B54197" w:rsidRPr="00407552" w:rsidRDefault="00B54197" w:rsidP="003371C5">
            <w:pPr>
              <w:spacing w:after="0" w:line="240" w:lineRule="auto"/>
              <w:rPr>
                <w:rFonts w:ascii="Calibri" w:hAnsi="Calibri" w:cs="Times New Roman"/>
                <w:color w:val="000000"/>
              </w:rPr>
            </w:pPr>
            <w:r>
              <w:rPr>
                <w:rFonts w:ascii="Calibri" w:hAnsi="Calibri"/>
                <w:color w:val="000000"/>
              </w:rPr>
              <w:t> </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FFFFF" w:themeFill="background1"/>
            <w:noWrap/>
            <w:vAlign w:val="bottom"/>
            <w:hideMark/>
          </w:tcPr>
          <w:p w14:paraId="202C0286" w14:textId="77777777" w:rsidR="00B54197" w:rsidRPr="00407552" w:rsidRDefault="00B54197" w:rsidP="003371C5">
            <w:pPr>
              <w:spacing w:after="0" w:line="240" w:lineRule="auto"/>
              <w:rPr>
                <w:rFonts w:ascii="Calibri" w:hAnsi="Calibri" w:cs="Times New Roman"/>
                <w:color w:val="000000"/>
              </w:rPr>
            </w:pPr>
            <w:r>
              <w:rPr>
                <w:rFonts w:ascii="Calibri" w:hAnsi="Calibri"/>
                <w:color w:val="000000"/>
              </w:rPr>
              <w:t> </w:t>
            </w:r>
          </w:p>
        </w:tc>
        <w:tc>
          <w:tcPr>
            <w:tcW w:w="47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00B050"/>
            <w:noWrap/>
            <w:vAlign w:val="bottom"/>
            <w:hideMark/>
          </w:tcPr>
          <w:p w14:paraId="536983E1" w14:textId="77777777" w:rsidR="00B54197" w:rsidRPr="00407552" w:rsidRDefault="00B54197" w:rsidP="003371C5">
            <w:pPr>
              <w:spacing w:after="0" w:line="240" w:lineRule="auto"/>
              <w:rPr>
                <w:rFonts w:ascii="Calibri" w:hAnsi="Calibri" w:cs="Times New Roman"/>
                <w:color w:val="000000"/>
              </w:rPr>
            </w:pPr>
            <w:r>
              <w:rPr>
                <w:rFonts w:ascii="Calibri" w:hAnsi="Calibri"/>
                <w:color w:val="000000"/>
              </w:rPr>
              <w:t> </w:t>
            </w:r>
          </w:p>
        </w:tc>
        <w:tc>
          <w:tcPr>
            <w:tcW w:w="42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12" w:space="0" w:color="auto"/>
            </w:tcBorders>
            <w:shd w:val="clear" w:color="auto" w:fill="FFFFFF" w:themeFill="background1"/>
            <w:noWrap/>
            <w:vAlign w:val="bottom"/>
            <w:hideMark/>
          </w:tcPr>
          <w:p w14:paraId="11F5273B" w14:textId="77777777" w:rsidR="00B54197" w:rsidRPr="00407552" w:rsidRDefault="00B54197" w:rsidP="003371C5">
            <w:pPr>
              <w:spacing w:after="0" w:line="240" w:lineRule="auto"/>
              <w:rPr>
                <w:rFonts w:ascii="Calibri" w:hAnsi="Calibri" w:cs="Times New Roman"/>
                <w:color w:val="000000"/>
              </w:rPr>
            </w:pPr>
            <w:r>
              <w:rPr>
                <w:rFonts w:ascii="Calibri" w:hAnsi="Calibri"/>
                <w:color w:val="000000"/>
              </w:rPr>
              <w:t> </w:t>
            </w:r>
          </w:p>
        </w:tc>
      </w:tr>
      <w:tr w:rsidR="00B54197" w:rsidRPr="00407552" w14:paraId="1ED86421" w14:textId="77777777" w:rsidTr="003371C5">
        <w:trPr>
          <w:gridAfter w:val="1"/>
          <w:wAfter w:w="878" w:type="dxa"/>
          <w:trHeight w:val="300"/>
        </w:trPr>
        <w:tc>
          <w:tcPr>
            <w:tcW w:w="2127" w:type="dxa"/>
            <w:vMerge/>
            <w:tcBorders>
              <w:top w:val="single" w:sz="2" w:space="0" w:color="A6A6A6" w:themeColor="background1" w:themeShade="A6"/>
              <w:left w:val="single" w:sz="12" w:space="0" w:color="auto"/>
              <w:bottom w:val="single" w:sz="12" w:space="0" w:color="000000" w:themeColor="text1"/>
              <w:right w:val="single" w:sz="2" w:space="0" w:color="A6A6A6" w:themeColor="background1" w:themeShade="A6"/>
            </w:tcBorders>
            <w:vAlign w:val="center"/>
            <w:hideMark/>
          </w:tcPr>
          <w:p w14:paraId="57BF3B0B" w14:textId="77777777" w:rsidR="00B54197" w:rsidRPr="00407552" w:rsidRDefault="00B54197" w:rsidP="003371C5">
            <w:pPr>
              <w:spacing w:after="0" w:line="240" w:lineRule="auto"/>
              <w:rPr>
                <w:rFonts w:ascii="Calibri" w:hAnsi="Calibri" w:cs="Times New Roman"/>
                <w:b/>
                <w:bCs/>
                <w:color w:val="000000"/>
                <w:lang w:eastAsia="en-GB"/>
              </w:rPr>
            </w:pPr>
          </w:p>
        </w:tc>
        <w:tc>
          <w:tcPr>
            <w:tcW w:w="4535" w:type="dxa"/>
            <w:gridSpan w:val="4"/>
            <w:tcBorders>
              <w:top w:val="single" w:sz="2" w:space="0" w:color="A6A6A6" w:themeColor="background1" w:themeShade="A6"/>
              <w:left w:val="single" w:sz="2" w:space="0" w:color="A6A6A6" w:themeColor="background1" w:themeShade="A6"/>
              <w:bottom w:val="single" w:sz="12" w:space="0" w:color="000000" w:themeColor="text1"/>
              <w:right w:val="single" w:sz="2" w:space="0" w:color="A6A6A6" w:themeColor="background1" w:themeShade="A6"/>
            </w:tcBorders>
            <w:shd w:val="clear" w:color="000000" w:fill="FFFFFF"/>
            <w:noWrap/>
            <w:vAlign w:val="center"/>
            <w:hideMark/>
          </w:tcPr>
          <w:p w14:paraId="5E4902D7" w14:textId="77777777" w:rsidR="00B54197" w:rsidRPr="00407552" w:rsidRDefault="00B54197" w:rsidP="003371C5">
            <w:pPr>
              <w:spacing w:after="0" w:line="240" w:lineRule="auto"/>
              <w:rPr>
                <w:rFonts w:ascii="Calibri" w:hAnsi="Calibri" w:cs="Times New Roman"/>
                <w:color w:val="000000"/>
              </w:rPr>
            </w:pPr>
            <w:r>
              <w:rPr>
                <w:rFonts w:ascii="Calibri" w:hAnsi="Calibri"/>
                <w:color w:val="000000"/>
              </w:rPr>
              <w:t>Qualité des données (4.9)</w:t>
            </w:r>
          </w:p>
        </w:tc>
        <w:tc>
          <w:tcPr>
            <w:tcW w:w="491" w:type="dxa"/>
            <w:tcBorders>
              <w:top w:val="single" w:sz="2" w:space="0" w:color="A6A6A6" w:themeColor="background1" w:themeShade="A6"/>
              <w:left w:val="single" w:sz="2" w:space="0" w:color="A6A6A6" w:themeColor="background1" w:themeShade="A6"/>
              <w:bottom w:val="single" w:sz="12" w:space="0" w:color="000000" w:themeColor="text1"/>
              <w:right w:val="single" w:sz="2" w:space="0" w:color="A6A6A6" w:themeColor="background1" w:themeShade="A6"/>
            </w:tcBorders>
            <w:shd w:val="clear" w:color="auto" w:fill="FFFFFF" w:themeFill="background1"/>
          </w:tcPr>
          <w:p w14:paraId="31FED6E3" w14:textId="77777777" w:rsidR="00B54197" w:rsidRPr="00407552" w:rsidRDefault="00B54197" w:rsidP="003371C5">
            <w:pPr>
              <w:spacing w:after="0" w:line="240" w:lineRule="auto"/>
              <w:rPr>
                <w:rFonts w:ascii="Calibri" w:hAnsi="Calibri" w:cs="Times New Roman"/>
                <w:color w:val="000000"/>
                <w:lang w:eastAsia="en-GB"/>
              </w:rPr>
            </w:pPr>
          </w:p>
        </w:tc>
        <w:tc>
          <w:tcPr>
            <w:tcW w:w="532" w:type="dxa"/>
            <w:tcBorders>
              <w:top w:val="single" w:sz="2" w:space="0" w:color="A6A6A6" w:themeColor="background1" w:themeShade="A6"/>
              <w:left w:val="single" w:sz="2" w:space="0" w:color="A6A6A6" w:themeColor="background1" w:themeShade="A6"/>
              <w:bottom w:val="single" w:sz="12" w:space="0" w:color="000000" w:themeColor="text1"/>
              <w:right w:val="single" w:sz="2" w:space="0" w:color="A6A6A6" w:themeColor="background1" w:themeShade="A6"/>
            </w:tcBorders>
            <w:shd w:val="clear" w:color="auto" w:fill="FFFFFF" w:themeFill="background1"/>
            <w:noWrap/>
            <w:vAlign w:val="bottom"/>
            <w:hideMark/>
          </w:tcPr>
          <w:p w14:paraId="188681B5" w14:textId="77777777" w:rsidR="00B54197" w:rsidRPr="00407552" w:rsidRDefault="00B54197" w:rsidP="003371C5">
            <w:pPr>
              <w:spacing w:after="0" w:line="240" w:lineRule="auto"/>
              <w:rPr>
                <w:rFonts w:ascii="Calibri" w:hAnsi="Calibri" w:cs="Times New Roman"/>
                <w:color w:val="000000"/>
              </w:rPr>
            </w:pPr>
            <w:r>
              <w:rPr>
                <w:rFonts w:ascii="Calibri" w:hAnsi="Calibri"/>
                <w:color w:val="000000"/>
              </w:rPr>
              <w:t> </w:t>
            </w:r>
          </w:p>
        </w:tc>
        <w:tc>
          <w:tcPr>
            <w:tcW w:w="491" w:type="dxa"/>
            <w:tcBorders>
              <w:top w:val="single" w:sz="2" w:space="0" w:color="A6A6A6" w:themeColor="background1" w:themeShade="A6"/>
              <w:left w:val="single" w:sz="2" w:space="0" w:color="A6A6A6" w:themeColor="background1" w:themeShade="A6"/>
              <w:bottom w:val="single" w:sz="12" w:space="0" w:color="000000" w:themeColor="text1"/>
              <w:right w:val="single" w:sz="2" w:space="0" w:color="A6A6A6" w:themeColor="background1" w:themeShade="A6"/>
            </w:tcBorders>
            <w:shd w:val="clear" w:color="auto" w:fill="auto"/>
            <w:noWrap/>
            <w:vAlign w:val="bottom"/>
            <w:hideMark/>
          </w:tcPr>
          <w:p w14:paraId="7B2ABBEA" w14:textId="77777777" w:rsidR="00B54197" w:rsidRPr="00407552" w:rsidRDefault="00B54197" w:rsidP="003371C5">
            <w:pPr>
              <w:spacing w:after="0" w:line="240" w:lineRule="auto"/>
              <w:rPr>
                <w:rFonts w:ascii="Calibri" w:hAnsi="Calibri" w:cs="Times New Roman"/>
                <w:color w:val="000000"/>
              </w:rPr>
            </w:pPr>
            <w:r>
              <w:rPr>
                <w:rFonts w:ascii="Calibri" w:hAnsi="Calibri"/>
                <w:color w:val="000000"/>
              </w:rPr>
              <w:t> </w:t>
            </w:r>
          </w:p>
        </w:tc>
        <w:tc>
          <w:tcPr>
            <w:tcW w:w="470" w:type="dxa"/>
            <w:tcBorders>
              <w:top w:val="single" w:sz="2" w:space="0" w:color="A6A6A6" w:themeColor="background1" w:themeShade="A6"/>
              <w:left w:val="single" w:sz="2" w:space="0" w:color="A6A6A6" w:themeColor="background1" w:themeShade="A6"/>
              <w:bottom w:val="single" w:sz="12" w:space="0" w:color="000000" w:themeColor="text1"/>
              <w:right w:val="single" w:sz="2" w:space="0" w:color="A6A6A6" w:themeColor="background1" w:themeShade="A6"/>
            </w:tcBorders>
            <w:shd w:val="clear" w:color="auto" w:fill="00B050"/>
            <w:noWrap/>
            <w:vAlign w:val="bottom"/>
            <w:hideMark/>
          </w:tcPr>
          <w:p w14:paraId="317804EF" w14:textId="77777777" w:rsidR="00B54197" w:rsidRPr="00407552" w:rsidRDefault="00B54197" w:rsidP="003371C5">
            <w:pPr>
              <w:spacing w:after="0" w:line="240" w:lineRule="auto"/>
              <w:rPr>
                <w:rFonts w:ascii="Calibri" w:hAnsi="Calibri" w:cs="Times New Roman"/>
                <w:color w:val="000000"/>
              </w:rPr>
            </w:pPr>
            <w:r>
              <w:rPr>
                <w:rFonts w:ascii="Calibri" w:hAnsi="Calibri"/>
                <w:color w:val="000000"/>
              </w:rPr>
              <w:t> </w:t>
            </w:r>
          </w:p>
        </w:tc>
        <w:tc>
          <w:tcPr>
            <w:tcW w:w="421" w:type="dxa"/>
            <w:tcBorders>
              <w:top w:val="single" w:sz="2" w:space="0" w:color="A6A6A6" w:themeColor="background1" w:themeShade="A6"/>
              <w:left w:val="single" w:sz="2" w:space="0" w:color="A6A6A6" w:themeColor="background1" w:themeShade="A6"/>
              <w:bottom w:val="single" w:sz="12" w:space="0" w:color="000000" w:themeColor="text1"/>
              <w:right w:val="single" w:sz="12" w:space="0" w:color="auto"/>
            </w:tcBorders>
            <w:shd w:val="clear" w:color="auto" w:fill="FFFFFF" w:themeFill="background1"/>
            <w:noWrap/>
            <w:vAlign w:val="bottom"/>
            <w:hideMark/>
          </w:tcPr>
          <w:p w14:paraId="6462014A" w14:textId="77777777" w:rsidR="00B54197" w:rsidRPr="00407552" w:rsidRDefault="00B54197" w:rsidP="003371C5">
            <w:pPr>
              <w:spacing w:after="0" w:line="240" w:lineRule="auto"/>
              <w:rPr>
                <w:rFonts w:ascii="Calibri" w:hAnsi="Calibri" w:cs="Times New Roman"/>
                <w:color w:val="000000"/>
              </w:rPr>
            </w:pPr>
            <w:r>
              <w:rPr>
                <w:rFonts w:ascii="Calibri" w:hAnsi="Calibri"/>
                <w:color w:val="000000"/>
              </w:rPr>
              <w:t> </w:t>
            </w:r>
          </w:p>
        </w:tc>
      </w:tr>
      <w:tr w:rsidR="00B54197" w:rsidRPr="00407552" w14:paraId="74EA1FE7" w14:textId="77777777" w:rsidTr="003371C5">
        <w:trPr>
          <w:gridAfter w:val="1"/>
          <w:wAfter w:w="878" w:type="dxa"/>
          <w:trHeight w:val="300"/>
        </w:trPr>
        <w:tc>
          <w:tcPr>
            <w:tcW w:w="2127" w:type="dxa"/>
            <w:vMerge w:val="restart"/>
            <w:tcBorders>
              <w:top w:val="single" w:sz="12" w:space="0" w:color="000000" w:themeColor="text1"/>
              <w:left w:val="single" w:sz="12" w:space="0" w:color="auto"/>
              <w:bottom w:val="single" w:sz="2" w:space="0" w:color="A6A6A6" w:themeColor="background1" w:themeShade="A6"/>
              <w:right w:val="single" w:sz="2" w:space="0" w:color="A6A6A6" w:themeColor="background1" w:themeShade="A6"/>
            </w:tcBorders>
            <w:shd w:val="clear" w:color="000000" w:fill="BFBFBF"/>
            <w:vAlign w:val="center"/>
            <w:hideMark/>
          </w:tcPr>
          <w:p w14:paraId="6E85FD35" w14:textId="77777777" w:rsidR="00B54197" w:rsidRPr="00407552" w:rsidRDefault="00B54197" w:rsidP="003371C5">
            <w:pPr>
              <w:spacing w:after="0" w:line="240" w:lineRule="auto"/>
              <w:rPr>
                <w:rFonts w:ascii="Calibri" w:hAnsi="Calibri" w:cs="Times New Roman"/>
                <w:b/>
                <w:bCs/>
                <w:color w:val="000000"/>
              </w:rPr>
            </w:pPr>
            <w:r>
              <w:rPr>
                <w:rFonts w:ascii="Calibri" w:hAnsi="Calibri"/>
                <w:b/>
                <w:bCs/>
                <w:color w:val="000000"/>
              </w:rPr>
              <w:t>Affectation des revenus</w:t>
            </w:r>
          </w:p>
        </w:tc>
        <w:tc>
          <w:tcPr>
            <w:tcW w:w="4535" w:type="dxa"/>
            <w:gridSpan w:val="4"/>
            <w:tcBorders>
              <w:top w:val="single" w:sz="12" w:space="0" w:color="000000" w:themeColor="text1"/>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FFFFFF"/>
            <w:vAlign w:val="center"/>
            <w:hideMark/>
          </w:tcPr>
          <w:p w14:paraId="254FD570" w14:textId="77777777" w:rsidR="00B54197" w:rsidRPr="00407552" w:rsidRDefault="00B54197" w:rsidP="003371C5">
            <w:pPr>
              <w:spacing w:after="0" w:line="240" w:lineRule="auto"/>
              <w:rPr>
                <w:rFonts w:ascii="Calibri" w:hAnsi="Calibri" w:cs="Times New Roman"/>
                <w:color w:val="000000"/>
              </w:rPr>
            </w:pPr>
            <w:r>
              <w:rPr>
                <w:rFonts w:ascii="Calibri" w:hAnsi="Calibri"/>
                <w:color w:val="000000"/>
              </w:rPr>
              <w:t>Répartition des revenus (5.1)</w:t>
            </w:r>
          </w:p>
        </w:tc>
        <w:tc>
          <w:tcPr>
            <w:tcW w:w="491" w:type="dxa"/>
            <w:tcBorders>
              <w:top w:val="single" w:sz="12" w:space="0" w:color="000000" w:themeColor="text1"/>
              <w:left w:val="single" w:sz="2" w:space="0" w:color="A6A6A6" w:themeColor="background1" w:themeShade="A6"/>
              <w:bottom w:val="single" w:sz="2" w:space="0" w:color="A6A6A6" w:themeColor="background1" w:themeShade="A6"/>
              <w:right w:val="single" w:sz="2" w:space="0" w:color="A6A6A6" w:themeColor="background1" w:themeShade="A6"/>
            </w:tcBorders>
          </w:tcPr>
          <w:p w14:paraId="02BBF4D8" w14:textId="77777777" w:rsidR="00B54197" w:rsidRPr="00407552" w:rsidRDefault="00B54197" w:rsidP="003371C5">
            <w:pPr>
              <w:spacing w:after="0" w:line="240" w:lineRule="auto"/>
              <w:rPr>
                <w:rFonts w:ascii="Calibri" w:hAnsi="Calibri" w:cs="Times New Roman"/>
                <w:color w:val="000000"/>
                <w:lang w:eastAsia="en-GB"/>
              </w:rPr>
            </w:pPr>
          </w:p>
        </w:tc>
        <w:tc>
          <w:tcPr>
            <w:tcW w:w="53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bottom"/>
            <w:hideMark/>
          </w:tcPr>
          <w:p w14:paraId="7FACBD0F" w14:textId="77777777" w:rsidR="00B54197" w:rsidRPr="00407552" w:rsidRDefault="00B54197" w:rsidP="003371C5">
            <w:pPr>
              <w:spacing w:after="0" w:line="240" w:lineRule="auto"/>
              <w:rPr>
                <w:rFonts w:ascii="Calibri" w:hAnsi="Calibri" w:cs="Times New Roman"/>
                <w:color w:val="000000"/>
              </w:rPr>
            </w:pPr>
            <w:r>
              <w:rPr>
                <w:rFonts w:ascii="Calibri" w:hAnsi="Calibri"/>
                <w:color w:val="000000"/>
              </w:rPr>
              <w:t> </w:t>
            </w:r>
          </w:p>
        </w:tc>
        <w:tc>
          <w:tcPr>
            <w:tcW w:w="491" w:type="dxa"/>
            <w:tcBorders>
              <w:top w:val="single" w:sz="12" w:space="0" w:color="000000" w:themeColor="text1"/>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bottom"/>
            <w:hideMark/>
          </w:tcPr>
          <w:p w14:paraId="20DDEA4E" w14:textId="77777777" w:rsidR="00B54197" w:rsidRPr="00407552" w:rsidRDefault="00B54197" w:rsidP="003371C5">
            <w:pPr>
              <w:spacing w:after="0" w:line="240" w:lineRule="auto"/>
              <w:rPr>
                <w:rFonts w:ascii="Calibri" w:hAnsi="Calibri" w:cs="Times New Roman"/>
                <w:color w:val="000000"/>
              </w:rPr>
            </w:pPr>
            <w:r>
              <w:rPr>
                <w:rFonts w:ascii="Calibri" w:hAnsi="Calibri"/>
                <w:color w:val="000000"/>
              </w:rPr>
              <w:t> </w:t>
            </w:r>
          </w:p>
        </w:tc>
        <w:tc>
          <w:tcPr>
            <w:tcW w:w="470" w:type="dxa"/>
            <w:tcBorders>
              <w:top w:val="single" w:sz="12" w:space="0" w:color="000000" w:themeColor="text1"/>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00B050"/>
            <w:noWrap/>
            <w:vAlign w:val="bottom"/>
            <w:hideMark/>
          </w:tcPr>
          <w:p w14:paraId="7C72747F" w14:textId="77777777" w:rsidR="00B54197" w:rsidRPr="00407552" w:rsidRDefault="00B54197" w:rsidP="003371C5">
            <w:pPr>
              <w:spacing w:after="0" w:line="240" w:lineRule="auto"/>
              <w:rPr>
                <w:rFonts w:ascii="Calibri" w:hAnsi="Calibri" w:cs="Times New Roman"/>
                <w:color w:val="000000"/>
              </w:rPr>
            </w:pPr>
            <w:r>
              <w:rPr>
                <w:rFonts w:ascii="Calibri" w:hAnsi="Calibri"/>
                <w:color w:val="000000"/>
              </w:rPr>
              <w:t> </w:t>
            </w:r>
          </w:p>
        </w:tc>
        <w:tc>
          <w:tcPr>
            <w:tcW w:w="421" w:type="dxa"/>
            <w:tcBorders>
              <w:top w:val="single" w:sz="12" w:space="0" w:color="000000" w:themeColor="text1"/>
              <w:left w:val="single" w:sz="2" w:space="0" w:color="A6A6A6" w:themeColor="background1" w:themeShade="A6"/>
              <w:bottom w:val="single" w:sz="2" w:space="0" w:color="A6A6A6" w:themeColor="background1" w:themeShade="A6"/>
              <w:right w:val="single" w:sz="12" w:space="0" w:color="auto"/>
            </w:tcBorders>
            <w:shd w:val="clear" w:color="auto" w:fill="auto"/>
            <w:noWrap/>
            <w:vAlign w:val="bottom"/>
            <w:hideMark/>
          </w:tcPr>
          <w:p w14:paraId="4DEC14E3" w14:textId="77777777" w:rsidR="00B54197" w:rsidRPr="00407552" w:rsidRDefault="00B54197" w:rsidP="003371C5">
            <w:pPr>
              <w:spacing w:after="0" w:line="240" w:lineRule="auto"/>
              <w:rPr>
                <w:rFonts w:ascii="Calibri" w:hAnsi="Calibri" w:cs="Times New Roman"/>
                <w:color w:val="000000"/>
              </w:rPr>
            </w:pPr>
            <w:r>
              <w:rPr>
                <w:rFonts w:ascii="Calibri" w:hAnsi="Calibri"/>
                <w:color w:val="000000"/>
              </w:rPr>
              <w:t> </w:t>
            </w:r>
          </w:p>
        </w:tc>
      </w:tr>
      <w:tr w:rsidR="00B54197" w:rsidRPr="00407552" w14:paraId="4BE6EE68" w14:textId="77777777" w:rsidTr="003371C5">
        <w:trPr>
          <w:gridAfter w:val="1"/>
          <w:wAfter w:w="878" w:type="dxa"/>
          <w:trHeight w:val="300"/>
        </w:trPr>
        <w:tc>
          <w:tcPr>
            <w:tcW w:w="2127" w:type="dxa"/>
            <w:vMerge/>
            <w:tcBorders>
              <w:top w:val="single" w:sz="2" w:space="0" w:color="A6A6A6" w:themeColor="background1" w:themeShade="A6"/>
              <w:left w:val="single" w:sz="12" w:space="0" w:color="auto"/>
              <w:bottom w:val="single" w:sz="2" w:space="0" w:color="A6A6A6" w:themeColor="background1" w:themeShade="A6"/>
              <w:right w:val="single" w:sz="2" w:space="0" w:color="A6A6A6" w:themeColor="background1" w:themeShade="A6"/>
            </w:tcBorders>
            <w:vAlign w:val="center"/>
            <w:hideMark/>
          </w:tcPr>
          <w:p w14:paraId="54D6E025" w14:textId="77777777" w:rsidR="00B54197" w:rsidRPr="00407552" w:rsidRDefault="00B54197" w:rsidP="003371C5">
            <w:pPr>
              <w:spacing w:after="0" w:line="240" w:lineRule="auto"/>
              <w:rPr>
                <w:rFonts w:ascii="Calibri" w:hAnsi="Calibri" w:cs="Times New Roman"/>
                <w:b/>
                <w:bCs/>
                <w:color w:val="000000"/>
                <w:lang w:eastAsia="en-GB"/>
              </w:rPr>
            </w:pPr>
          </w:p>
        </w:tc>
        <w:tc>
          <w:tcPr>
            <w:tcW w:w="4535" w:type="dxa"/>
            <w:gridSpan w:val="4"/>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FFFFFF"/>
            <w:vAlign w:val="center"/>
            <w:hideMark/>
          </w:tcPr>
          <w:p w14:paraId="5261D5C4" w14:textId="77777777" w:rsidR="00B54197" w:rsidRPr="00407552" w:rsidRDefault="00B54197" w:rsidP="003371C5">
            <w:pPr>
              <w:spacing w:after="0" w:line="240" w:lineRule="auto"/>
              <w:rPr>
                <w:rFonts w:ascii="Calibri" w:hAnsi="Calibri" w:cs="Times New Roman"/>
                <w:color w:val="000000"/>
              </w:rPr>
            </w:pPr>
            <w:r>
              <w:rPr>
                <w:rFonts w:ascii="Calibri" w:hAnsi="Calibri"/>
                <w:color w:val="000000"/>
              </w:rPr>
              <w:t>Transferts infranationaux (5.2)</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0E529061" w14:textId="77777777" w:rsidR="00B54197" w:rsidRPr="00407552" w:rsidRDefault="00B54197" w:rsidP="003371C5">
            <w:pPr>
              <w:spacing w:after="0" w:line="240" w:lineRule="auto"/>
              <w:rPr>
                <w:rFonts w:ascii="Calibri" w:hAnsi="Calibri" w:cs="Times New Roman"/>
                <w:color w:val="000000"/>
                <w:lang w:eastAsia="en-GB"/>
              </w:rPr>
            </w:pPr>
          </w:p>
        </w:tc>
        <w:tc>
          <w:tcPr>
            <w:tcW w:w="53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bottom"/>
            <w:hideMark/>
          </w:tcPr>
          <w:p w14:paraId="10799A5B" w14:textId="77777777" w:rsidR="00B54197" w:rsidRPr="00407552" w:rsidRDefault="00B54197" w:rsidP="003371C5">
            <w:pPr>
              <w:spacing w:after="0" w:line="240" w:lineRule="auto"/>
              <w:rPr>
                <w:rFonts w:ascii="Calibri" w:hAnsi="Calibri" w:cs="Times New Roman"/>
                <w:color w:val="000000"/>
              </w:rPr>
            </w:pPr>
            <w:r>
              <w:rPr>
                <w:rFonts w:ascii="Calibri" w:hAnsi="Calibri"/>
                <w:color w:val="000000"/>
              </w:rPr>
              <w:t> </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92D050"/>
            <w:noWrap/>
            <w:vAlign w:val="bottom"/>
            <w:hideMark/>
          </w:tcPr>
          <w:p w14:paraId="2423429E" w14:textId="77777777" w:rsidR="00B54197" w:rsidRPr="00407552" w:rsidRDefault="00B54197" w:rsidP="003371C5">
            <w:pPr>
              <w:spacing w:after="0" w:line="240" w:lineRule="auto"/>
              <w:rPr>
                <w:rFonts w:ascii="Calibri" w:hAnsi="Calibri" w:cs="Times New Roman"/>
                <w:color w:val="000000"/>
              </w:rPr>
            </w:pPr>
            <w:r>
              <w:rPr>
                <w:rFonts w:ascii="Calibri" w:hAnsi="Calibri"/>
                <w:color w:val="000000"/>
              </w:rPr>
              <w:t> </w:t>
            </w:r>
          </w:p>
        </w:tc>
        <w:tc>
          <w:tcPr>
            <w:tcW w:w="47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bottom"/>
            <w:hideMark/>
          </w:tcPr>
          <w:p w14:paraId="77BF6BA8" w14:textId="77777777" w:rsidR="00B54197" w:rsidRPr="00407552" w:rsidRDefault="00B54197" w:rsidP="003371C5">
            <w:pPr>
              <w:spacing w:after="0" w:line="240" w:lineRule="auto"/>
              <w:rPr>
                <w:rFonts w:ascii="Calibri" w:hAnsi="Calibri" w:cs="Times New Roman"/>
                <w:color w:val="000000"/>
              </w:rPr>
            </w:pPr>
            <w:r>
              <w:rPr>
                <w:rFonts w:ascii="Calibri" w:hAnsi="Calibri"/>
                <w:color w:val="000000"/>
              </w:rPr>
              <w:t> </w:t>
            </w:r>
          </w:p>
        </w:tc>
        <w:tc>
          <w:tcPr>
            <w:tcW w:w="42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12" w:space="0" w:color="auto"/>
            </w:tcBorders>
            <w:shd w:val="clear" w:color="auto" w:fill="auto"/>
            <w:noWrap/>
            <w:vAlign w:val="bottom"/>
            <w:hideMark/>
          </w:tcPr>
          <w:p w14:paraId="0591F815" w14:textId="77777777" w:rsidR="00B54197" w:rsidRPr="00407552" w:rsidRDefault="00B54197" w:rsidP="003371C5">
            <w:pPr>
              <w:spacing w:after="0" w:line="240" w:lineRule="auto"/>
              <w:rPr>
                <w:rFonts w:ascii="Calibri" w:hAnsi="Calibri" w:cs="Times New Roman"/>
                <w:color w:val="000000"/>
              </w:rPr>
            </w:pPr>
            <w:r>
              <w:rPr>
                <w:rFonts w:ascii="Calibri" w:hAnsi="Calibri"/>
                <w:color w:val="000000"/>
              </w:rPr>
              <w:t> </w:t>
            </w:r>
          </w:p>
        </w:tc>
      </w:tr>
      <w:tr w:rsidR="00B54197" w:rsidRPr="00407552" w14:paraId="78702096" w14:textId="77777777" w:rsidTr="003371C5">
        <w:trPr>
          <w:gridAfter w:val="1"/>
          <w:wAfter w:w="878" w:type="dxa"/>
          <w:trHeight w:val="300"/>
        </w:trPr>
        <w:tc>
          <w:tcPr>
            <w:tcW w:w="2127" w:type="dxa"/>
            <w:vMerge/>
            <w:tcBorders>
              <w:top w:val="single" w:sz="2" w:space="0" w:color="A6A6A6" w:themeColor="background1" w:themeShade="A6"/>
              <w:left w:val="single" w:sz="12" w:space="0" w:color="auto"/>
              <w:bottom w:val="single" w:sz="12" w:space="0" w:color="000000" w:themeColor="text1"/>
              <w:right w:val="single" w:sz="2" w:space="0" w:color="A6A6A6" w:themeColor="background1" w:themeShade="A6"/>
            </w:tcBorders>
            <w:vAlign w:val="center"/>
            <w:hideMark/>
          </w:tcPr>
          <w:p w14:paraId="7554EF22" w14:textId="77777777" w:rsidR="00B54197" w:rsidRPr="00407552" w:rsidRDefault="00B54197" w:rsidP="003371C5">
            <w:pPr>
              <w:spacing w:after="0" w:line="240" w:lineRule="auto"/>
              <w:rPr>
                <w:rFonts w:ascii="Calibri" w:hAnsi="Calibri" w:cs="Times New Roman"/>
                <w:b/>
                <w:bCs/>
                <w:color w:val="000000"/>
                <w:lang w:eastAsia="en-GB"/>
              </w:rPr>
            </w:pPr>
          </w:p>
        </w:tc>
        <w:tc>
          <w:tcPr>
            <w:tcW w:w="4535" w:type="dxa"/>
            <w:gridSpan w:val="4"/>
            <w:tcBorders>
              <w:top w:val="single" w:sz="2" w:space="0" w:color="A6A6A6" w:themeColor="background1" w:themeShade="A6"/>
              <w:left w:val="single" w:sz="2" w:space="0" w:color="A6A6A6" w:themeColor="background1" w:themeShade="A6"/>
              <w:bottom w:val="single" w:sz="12" w:space="0" w:color="000000" w:themeColor="text1"/>
              <w:right w:val="single" w:sz="2" w:space="0" w:color="A6A6A6" w:themeColor="background1" w:themeShade="A6"/>
            </w:tcBorders>
            <w:shd w:val="clear" w:color="000000" w:fill="FFFFFF"/>
            <w:vAlign w:val="center"/>
            <w:hideMark/>
          </w:tcPr>
          <w:p w14:paraId="5666E602" w14:textId="77777777" w:rsidR="00B54197" w:rsidRPr="00407552" w:rsidRDefault="00B54197" w:rsidP="003371C5">
            <w:pPr>
              <w:spacing w:after="0" w:line="240" w:lineRule="auto"/>
              <w:rPr>
                <w:rFonts w:ascii="Calibri" w:hAnsi="Calibri" w:cs="Times New Roman"/>
                <w:color w:val="000000"/>
              </w:rPr>
            </w:pPr>
            <w:r>
              <w:rPr>
                <w:rFonts w:ascii="Calibri" w:hAnsi="Calibri"/>
                <w:color w:val="000000"/>
              </w:rPr>
              <w:t>Gestion des revenus et dépenses (5.3)</w:t>
            </w:r>
          </w:p>
        </w:tc>
        <w:tc>
          <w:tcPr>
            <w:tcW w:w="491" w:type="dxa"/>
            <w:tcBorders>
              <w:top w:val="single" w:sz="2" w:space="0" w:color="A6A6A6" w:themeColor="background1" w:themeShade="A6"/>
              <w:left w:val="single" w:sz="2" w:space="0" w:color="A6A6A6" w:themeColor="background1" w:themeShade="A6"/>
              <w:bottom w:val="single" w:sz="12" w:space="0" w:color="000000" w:themeColor="text1"/>
              <w:right w:val="single" w:sz="2" w:space="0" w:color="A6A6A6" w:themeColor="background1" w:themeShade="A6"/>
            </w:tcBorders>
            <w:shd w:val="clear" w:color="000000" w:fill="D9D9D9"/>
          </w:tcPr>
          <w:p w14:paraId="4492C1E7" w14:textId="77777777" w:rsidR="00B54197" w:rsidRPr="00407552" w:rsidRDefault="00B54197" w:rsidP="003371C5">
            <w:pPr>
              <w:spacing w:after="0" w:line="240" w:lineRule="auto"/>
              <w:rPr>
                <w:rFonts w:ascii="Calibri" w:hAnsi="Calibri" w:cs="Times New Roman"/>
                <w:color w:val="000000"/>
                <w:lang w:eastAsia="en-GB"/>
              </w:rPr>
            </w:pPr>
          </w:p>
        </w:tc>
        <w:tc>
          <w:tcPr>
            <w:tcW w:w="532" w:type="dxa"/>
            <w:tcBorders>
              <w:top w:val="single" w:sz="2" w:space="0" w:color="A6A6A6" w:themeColor="background1" w:themeShade="A6"/>
              <w:left w:val="single" w:sz="2" w:space="0" w:color="A6A6A6" w:themeColor="background1" w:themeShade="A6"/>
              <w:bottom w:val="single" w:sz="12" w:space="0" w:color="000000" w:themeColor="text1"/>
              <w:right w:val="single" w:sz="2" w:space="0" w:color="A6A6A6" w:themeColor="background1" w:themeShade="A6"/>
            </w:tcBorders>
            <w:shd w:val="clear" w:color="000000" w:fill="D9D9D9"/>
            <w:noWrap/>
            <w:vAlign w:val="bottom"/>
            <w:hideMark/>
          </w:tcPr>
          <w:p w14:paraId="4D259954" w14:textId="77777777" w:rsidR="00B54197" w:rsidRPr="00407552" w:rsidRDefault="00B54197" w:rsidP="003371C5">
            <w:pPr>
              <w:spacing w:after="0" w:line="240" w:lineRule="auto"/>
              <w:rPr>
                <w:rFonts w:ascii="Calibri" w:hAnsi="Calibri" w:cs="Times New Roman"/>
                <w:color w:val="000000"/>
              </w:rPr>
            </w:pPr>
            <w:r>
              <w:rPr>
                <w:rFonts w:ascii="Calibri" w:hAnsi="Calibri"/>
                <w:color w:val="000000"/>
              </w:rPr>
              <w:t> </w:t>
            </w:r>
          </w:p>
        </w:tc>
        <w:tc>
          <w:tcPr>
            <w:tcW w:w="491" w:type="dxa"/>
            <w:tcBorders>
              <w:top w:val="single" w:sz="2" w:space="0" w:color="A6A6A6" w:themeColor="background1" w:themeShade="A6"/>
              <w:left w:val="single" w:sz="2" w:space="0" w:color="A6A6A6" w:themeColor="background1" w:themeShade="A6"/>
              <w:bottom w:val="single" w:sz="12" w:space="0" w:color="000000" w:themeColor="text1"/>
              <w:right w:val="single" w:sz="2" w:space="0" w:color="A6A6A6" w:themeColor="background1" w:themeShade="A6"/>
            </w:tcBorders>
            <w:shd w:val="clear" w:color="000000" w:fill="D9D9D9"/>
            <w:noWrap/>
            <w:vAlign w:val="bottom"/>
            <w:hideMark/>
          </w:tcPr>
          <w:p w14:paraId="36780043" w14:textId="77777777" w:rsidR="00B54197" w:rsidRPr="00407552" w:rsidRDefault="00B54197" w:rsidP="003371C5">
            <w:pPr>
              <w:spacing w:after="0" w:line="240" w:lineRule="auto"/>
              <w:rPr>
                <w:rFonts w:ascii="Calibri" w:hAnsi="Calibri" w:cs="Times New Roman"/>
                <w:color w:val="000000"/>
              </w:rPr>
            </w:pPr>
            <w:r>
              <w:rPr>
                <w:rFonts w:ascii="Calibri" w:hAnsi="Calibri"/>
                <w:color w:val="000000"/>
              </w:rPr>
              <w:t> </w:t>
            </w:r>
          </w:p>
        </w:tc>
        <w:tc>
          <w:tcPr>
            <w:tcW w:w="470" w:type="dxa"/>
            <w:tcBorders>
              <w:top w:val="single" w:sz="2" w:space="0" w:color="A6A6A6" w:themeColor="background1" w:themeShade="A6"/>
              <w:left w:val="single" w:sz="2" w:space="0" w:color="A6A6A6" w:themeColor="background1" w:themeShade="A6"/>
              <w:bottom w:val="single" w:sz="12" w:space="0" w:color="000000" w:themeColor="text1"/>
              <w:right w:val="single" w:sz="2" w:space="0" w:color="A6A6A6" w:themeColor="background1" w:themeShade="A6"/>
            </w:tcBorders>
            <w:shd w:val="clear" w:color="000000" w:fill="D9D9D9"/>
            <w:noWrap/>
            <w:vAlign w:val="bottom"/>
            <w:hideMark/>
          </w:tcPr>
          <w:p w14:paraId="34AECE87" w14:textId="77777777" w:rsidR="00B54197" w:rsidRPr="00407552" w:rsidRDefault="00B54197" w:rsidP="003371C5">
            <w:pPr>
              <w:spacing w:after="0" w:line="240" w:lineRule="auto"/>
              <w:rPr>
                <w:rFonts w:ascii="Calibri" w:hAnsi="Calibri" w:cs="Times New Roman"/>
                <w:color w:val="000000"/>
              </w:rPr>
            </w:pPr>
            <w:r>
              <w:rPr>
                <w:rFonts w:ascii="Calibri" w:hAnsi="Calibri"/>
                <w:color w:val="000000"/>
              </w:rPr>
              <w:t> </w:t>
            </w:r>
          </w:p>
        </w:tc>
        <w:tc>
          <w:tcPr>
            <w:tcW w:w="421" w:type="dxa"/>
            <w:tcBorders>
              <w:top w:val="single" w:sz="2" w:space="0" w:color="A6A6A6" w:themeColor="background1" w:themeShade="A6"/>
              <w:left w:val="single" w:sz="2" w:space="0" w:color="A6A6A6" w:themeColor="background1" w:themeShade="A6"/>
              <w:bottom w:val="single" w:sz="12" w:space="0" w:color="000000" w:themeColor="text1"/>
              <w:right w:val="single" w:sz="12" w:space="0" w:color="auto"/>
            </w:tcBorders>
            <w:shd w:val="clear" w:color="000000" w:fill="D9D9D9"/>
            <w:noWrap/>
            <w:vAlign w:val="bottom"/>
            <w:hideMark/>
          </w:tcPr>
          <w:p w14:paraId="3135CFC2" w14:textId="77777777" w:rsidR="00B54197" w:rsidRPr="00407552" w:rsidRDefault="00B54197" w:rsidP="003371C5">
            <w:pPr>
              <w:spacing w:after="0" w:line="240" w:lineRule="auto"/>
              <w:rPr>
                <w:rFonts w:ascii="Calibri" w:hAnsi="Calibri" w:cs="Times New Roman"/>
                <w:color w:val="000000"/>
              </w:rPr>
            </w:pPr>
            <w:r>
              <w:rPr>
                <w:rFonts w:ascii="Calibri" w:hAnsi="Calibri"/>
                <w:color w:val="000000"/>
              </w:rPr>
              <w:t> </w:t>
            </w:r>
          </w:p>
        </w:tc>
      </w:tr>
      <w:tr w:rsidR="00B54197" w:rsidRPr="00407552" w14:paraId="0F255FE9" w14:textId="77777777" w:rsidTr="003371C5">
        <w:trPr>
          <w:gridAfter w:val="1"/>
          <w:wAfter w:w="878" w:type="dxa"/>
          <w:trHeight w:val="300"/>
        </w:trPr>
        <w:tc>
          <w:tcPr>
            <w:tcW w:w="2127" w:type="dxa"/>
            <w:vMerge w:val="restart"/>
            <w:tcBorders>
              <w:top w:val="single" w:sz="12" w:space="0" w:color="000000" w:themeColor="text1"/>
              <w:left w:val="single" w:sz="12" w:space="0" w:color="auto"/>
              <w:right w:val="single" w:sz="2" w:space="0" w:color="A6A6A6" w:themeColor="background1" w:themeShade="A6"/>
            </w:tcBorders>
            <w:shd w:val="clear" w:color="000000" w:fill="BFBFBF"/>
            <w:vAlign w:val="center"/>
            <w:hideMark/>
          </w:tcPr>
          <w:p w14:paraId="009F15E7" w14:textId="77777777" w:rsidR="00B54197" w:rsidRPr="00407552" w:rsidRDefault="00B54197" w:rsidP="003371C5">
            <w:pPr>
              <w:spacing w:after="0" w:line="240" w:lineRule="auto"/>
              <w:rPr>
                <w:rFonts w:ascii="Calibri" w:hAnsi="Calibri" w:cs="Times New Roman"/>
                <w:b/>
                <w:bCs/>
                <w:color w:val="000000"/>
              </w:rPr>
            </w:pPr>
            <w:r>
              <w:rPr>
                <w:rFonts w:ascii="Calibri" w:hAnsi="Calibri"/>
                <w:b/>
                <w:bCs/>
                <w:color w:val="000000"/>
              </w:rPr>
              <w:t>Contribution socioéconomique</w:t>
            </w:r>
          </w:p>
        </w:tc>
        <w:tc>
          <w:tcPr>
            <w:tcW w:w="4535" w:type="dxa"/>
            <w:gridSpan w:val="4"/>
            <w:tcBorders>
              <w:top w:val="single" w:sz="12" w:space="0" w:color="000000" w:themeColor="text1"/>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FFFFFF"/>
            <w:vAlign w:val="center"/>
            <w:hideMark/>
          </w:tcPr>
          <w:p w14:paraId="7217F8AF" w14:textId="77777777" w:rsidR="00B54197" w:rsidRPr="00407552" w:rsidRDefault="00B54197" w:rsidP="003371C5">
            <w:pPr>
              <w:spacing w:after="0" w:line="240" w:lineRule="auto"/>
              <w:rPr>
                <w:rFonts w:ascii="Calibri" w:hAnsi="Calibri" w:cs="Times New Roman"/>
                <w:color w:val="000000"/>
              </w:rPr>
            </w:pPr>
            <w:r>
              <w:rPr>
                <w:rFonts w:ascii="Calibri" w:hAnsi="Calibri"/>
                <w:color w:val="000000"/>
              </w:rPr>
              <w:t>Dépenses sociales (6.1)</w:t>
            </w:r>
          </w:p>
        </w:tc>
        <w:tc>
          <w:tcPr>
            <w:tcW w:w="491" w:type="dxa"/>
            <w:tcBorders>
              <w:top w:val="single" w:sz="12" w:space="0" w:color="000000" w:themeColor="text1"/>
              <w:left w:val="single" w:sz="2" w:space="0" w:color="A6A6A6" w:themeColor="background1" w:themeShade="A6"/>
              <w:bottom w:val="single" w:sz="2" w:space="0" w:color="A6A6A6" w:themeColor="background1" w:themeShade="A6"/>
              <w:right w:val="single" w:sz="2" w:space="0" w:color="A6A6A6" w:themeColor="background1" w:themeShade="A6"/>
            </w:tcBorders>
          </w:tcPr>
          <w:p w14:paraId="1CAC5381" w14:textId="77777777" w:rsidR="00B54197" w:rsidRPr="00407552" w:rsidRDefault="00B54197" w:rsidP="003371C5">
            <w:pPr>
              <w:spacing w:after="0" w:line="240" w:lineRule="auto"/>
              <w:rPr>
                <w:rFonts w:ascii="Calibri" w:hAnsi="Calibri" w:cs="Times New Roman"/>
                <w:color w:val="000000"/>
                <w:lang w:eastAsia="en-GB"/>
              </w:rPr>
            </w:pPr>
          </w:p>
        </w:tc>
        <w:tc>
          <w:tcPr>
            <w:tcW w:w="532" w:type="dxa"/>
            <w:tcBorders>
              <w:top w:val="single" w:sz="12" w:space="0" w:color="000000" w:themeColor="text1"/>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bottom"/>
            <w:hideMark/>
          </w:tcPr>
          <w:p w14:paraId="1A0C3988" w14:textId="77777777" w:rsidR="00B54197" w:rsidRPr="00407552" w:rsidRDefault="00B54197" w:rsidP="003371C5">
            <w:pPr>
              <w:spacing w:after="0" w:line="240" w:lineRule="auto"/>
              <w:rPr>
                <w:rFonts w:ascii="Calibri" w:hAnsi="Calibri" w:cs="Times New Roman"/>
                <w:color w:val="000000"/>
              </w:rPr>
            </w:pPr>
            <w:r>
              <w:rPr>
                <w:rFonts w:ascii="Calibri" w:hAnsi="Calibri"/>
                <w:color w:val="000000"/>
              </w:rPr>
              <w:t> </w:t>
            </w:r>
          </w:p>
        </w:tc>
        <w:tc>
          <w:tcPr>
            <w:tcW w:w="491" w:type="dxa"/>
            <w:tcBorders>
              <w:top w:val="single" w:sz="12" w:space="0" w:color="000000" w:themeColor="text1"/>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auto"/>
            <w:noWrap/>
            <w:vAlign w:val="bottom"/>
            <w:hideMark/>
          </w:tcPr>
          <w:p w14:paraId="6207DCB0" w14:textId="77777777" w:rsidR="00B54197" w:rsidRPr="00407552" w:rsidRDefault="00B54197" w:rsidP="003371C5">
            <w:pPr>
              <w:spacing w:after="0" w:line="240" w:lineRule="auto"/>
              <w:rPr>
                <w:rFonts w:ascii="Calibri" w:hAnsi="Calibri" w:cs="Times New Roman"/>
                <w:color w:val="000000"/>
              </w:rPr>
            </w:pPr>
            <w:r>
              <w:rPr>
                <w:rFonts w:ascii="Calibri" w:hAnsi="Calibri"/>
                <w:color w:val="000000"/>
              </w:rPr>
              <w:t> </w:t>
            </w:r>
          </w:p>
        </w:tc>
        <w:tc>
          <w:tcPr>
            <w:tcW w:w="470" w:type="dxa"/>
            <w:tcBorders>
              <w:top w:val="single" w:sz="12" w:space="0" w:color="000000" w:themeColor="text1"/>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bottom"/>
            <w:hideMark/>
          </w:tcPr>
          <w:p w14:paraId="62AA3450" w14:textId="77777777" w:rsidR="00B54197" w:rsidRPr="00407552" w:rsidRDefault="00B54197" w:rsidP="003371C5">
            <w:pPr>
              <w:spacing w:after="0" w:line="240" w:lineRule="auto"/>
              <w:rPr>
                <w:rFonts w:ascii="Calibri" w:hAnsi="Calibri" w:cs="Times New Roman"/>
                <w:color w:val="000000"/>
              </w:rPr>
            </w:pPr>
            <w:r>
              <w:rPr>
                <w:rFonts w:ascii="Calibri" w:hAnsi="Calibri"/>
                <w:color w:val="000000"/>
              </w:rPr>
              <w:t> </w:t>
            </w:r>
          </w:p>
        </w:tc>
        <w:tc>
          <w:tcPr>
            <w:tcW w:w="421" w:type="dxa"/>
            <w:tcBorders>
              <w:top w:val="single" w:sz="12" w:space="0" w:color="000000" w:themeColor="text1"/>
              <w:left w:val="single" w:sz="2" w:space="0" w:color="A6A6A6" w:themeColor="background1" w:themeShade="A6"/>
              <w:bottom w:val="single" w:sz="2" w:space="0" w:color="A6A6A6" w:themeColor="background1" w:themeShade="A6"/>
              <w:right w:val="single" w:sz="12" w:space="0" w:color="auto"/>
            </w:tcBorders>
            <w:shd w:val="clear" w:color="auto" w:fill="0070C0"/>
            <w:noWrap/>
            <w:vAlign w:val="bottom"/>
            <w:hideMark/>
          </w:tcPr>
          <w:p w14:paraId="36A5BBE0" w14:textId="77777777" w:rsidR="00B54197" w:rsidRPr="00407552" w:rsidRDefault="00B54197" w:rsidP="003371C5">
            <w:pPr>
              <w:spacing w:after="0" w:line="240" w:lineRule="auto"/>
              <w:rPr>
                <w:rFonts w:ascii="Calibri" w:hAnsi="Calibri" w:cs="Times New Roman"/>
                <w:color w:val="000000"/>
              </w:rPr>
            </w:pPr>
            <w:r>
              <w:rPr>
                <w:rFonts w:ascii="Calibri" w:hAnsi="Calibri"/>
                <w:color w:val="000000"/>
              </w:rPr>
              <w:t> </w:t>
            </w:r>
          </w:p>
        </w:tc>
      </w:tr>
      <w:tr w:rsidR="00B54197" w:rsidRPr="00407552" w14:paraId="3A5A21A6" w14:textId="77777777" w:rsidTr="003371C5">
        <w:trPr>
          <w:gridAfter w:val="1"/>
          <w:wAfter w:w="878" w:type="dxa"/>
          <w:trHeight w:val="300"/>
        </w:trPr>
        <w:tc>
          <w:tcPr>
            <w:tcW w:w="2127" w:type="dxa"/>
            <w:vMerge/>
            <w:tcBorders>
              <w:left w:val="single" w:sz="12" w:space="0" w:color="auto"/>
              <w:right w:val="single" w:sz="2" w:space="0" w:color="A6A6A6" w:themeColor="background1" w:themeShade="A6"/>
            </w:tcBorders>
            <w:shd w:val="clear" w:color="000000" w:fill="BFBFBF"/>
            <w:vAlign w:val="center"/>
            <w:hideMark/>
          </w:tcPr>
          <w:p w14:paraId="27DD37D3" w14:textId="77777777" w:rsidR="00B54197" w:rsidRPr="00407552" w:rsidRDefault="00B54197" w:rsidP="003371C5">
            <w:pPr>
              <w:spacing w:after="0" w:line="240" w:lineRule="auto"/>
              <w:rPr>
                <w:rFonts w:ascii="Calibri" w:hAnsi="Calibri" w:cs="Times New Roman"/>
                <w:b/>
                <w:bCs/>
                <w:color w:val="000000"/>
                <w:lang w:eastAsia="en-GB"/>
              </w:rPr>
            </w:pPr>
          </w:p>
        </w:tc>
        <w:tc>
          <w:tcPr>
            <w:tcW w:w="4535" w:type="dxa"/>
            <w:gridSpan w:val="4"/>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FFFFFF"/>
            <w:vAlign w:val="center"/>
            <w:hideMark/>
          </w:tcPr>
          <w:p w14:paraId="6CB36CBF" w14:textId="77777777" w:rsidR="00B54197" w:rsidRPr="00407552" w:rsidRDefault="00B54197" w:rsidP="003371C5">
            <w:pPr>
              <w:spacing w:after="0" w:line="240" w:lineRule="auto"/>
              <w:rPr>
                <w:rFonts w:ascii="Calibri" w:hAnsi="Calibri" w:cs="Times New Roman"/>
                <w:color w:val="000000"/>
              </w:rPr>
            </w:pPr>
            <w:r>
              <w:rPr>
                <w:rFonts w:ascii="Calibri" w:hAnsi="Calibri"/>
                <w:color w:val="000000"/>
              </w:rPr>
              <w:t>Dépenses quasi fiscales des entreprises d’État (6.2)</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thinDiagStripe" w:color="auto" w:fill="D9D9D9" w:themeFill="background1" w:themeFillShade="D9"/>
          </w:tcPr>
          <w:p w14:paraId="3A5FC616" w14:textId="77777777" w:rsidR="00B54197" w:rsidRPr="00407552" w:rsidRDefault="00B54197" w:rsidP="003371C5">
            <w:pPr>
              <w:spacing w:after="0" w:line="240" w:lineRule="auto"/>
              <w:rPr>
                <w:rFonts w:ascii="Calibri" w:hAnsi="Calibri" w:cs="Times New Roman"/>
                <w:color w:val="000000"/>
                <w:lang w:eastAsia="en-GB"/>
              </w:rPr>
            </w:pPr>
          </w:p>
        </w:tc>
        <w:tc>
          <w:tcPr>
            <w:tcW w:w="53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thinDiagStripe" w:color="auto" w:fill="D9D9D9" w:themeFill="background1" w:themeFillShade="D9"/>
            <w:noWrap/>
            <w:vAlign w:val="bottom"/>
            <w:hideMark/>
          </w:tcPr>
          <w:p w14:paraId="073F06A6" w14:textId="77777777" w:rsidR="00B54197" w:rsidRPr="00407552" w:rsidRDefault="00B54197" w:rsidP="003371C5">
            <w:pPr>
              <w:spacing w:after="0" w:line="240" w:lineRule="auto"/>
              <w:rPr>
                <w:rFonts w:ascii="Calibri" w:hAnsi="Calibri" w:cs="Times New Roman"/>
                <w:color w:val="000000"/>
              </w:rPr>
            </w:pPr>
            <w:r>
              <w:rPr>
                <w:rFonts w:ascii="Calibri" w:hAnsi="Calibri"/>
                <w:color w:val="000000"/>
              </w:rPr>
              <w:t> </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thinDiagStripe" w:color="auto" w:fill="D9D9D9" w:themeFill="background1" w:themeFillShade="D9"/>
            <w:noWrap/>
            <w:vAlign w:val="bottom"/>
            <w:hideMark/>
          </w:tcPr>
          <w:p w14:paraId="17EEBAD1" w14:textId="77777777" w:rsidR="00B54197" w:rsidRPr="00407552" w:rsidRDefault="00B54197" w:rsidP="003371C5">
            <w:pPr>
              <w:spacing w:after="0" w:line="240" w:lineRule="auto"/>
              <w:rPr>
                <w:rFonts w:ascii="Calibri" w:hAnsi="Calibri" w:cs="Times New Roman"/>
                <w:color w:val="000000"/>
              </w:rPr>
            </w:pPr>
            <w:r>
              <w:rPr>
                <w:rFonts w:ascii="Calibri" w:hAnsi="Calibri"/>
                <w:color w:val="000000"/>
              </w:rPr>
              <w:t> </w:t>
            </w:r>
          </w:p>
        </w:tc>
        <w:tc>
          <w:tcPr>
            <w:tcW w:w="47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thinDiagStripe" w:color="auto" w:fill="D9D9D9" w:themeFill="background1" w:themeFillShade="D9"/>
            <w:noWrap/>
            <w:vAlign w:val="bottom"/>
            <w:hideMark/>
          </w:tcPr>
          <w:p w14:paraId="3C81935B" w14:textId="77777777" w:rsidR="00B54197" w:rsidRPr="00407552" w:rsidRDefault="00B54197" w:rsidP="003371C5">
            <w:pPr>
              <w:spacing w:after="0" w:line="240" w:lineRule="auto"/>
              <w:rPr>
                <w:rFonts w:ascii="Calibri" w:hAnsi="Calibri" w:cs="Times New Roman"/>
                <w:color w:val="000000"/>
              </w:rPr>
            </w:pPr>
            <w:r>
              <w:rPr>
                <w:rFonts w:ascii="Calibri" w:hAnsi="Calibri"/>
                <w:color w:val="000000"/>
              </w:rPr>
              <w:t> </w:t>
            </w:r>
          </w:p>
        </w:tc>
        <w:tc>
          <w:tcPr>
            <w:tcW w:w="42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12" w:space="0" w:color="auto"/>
            </w:tcBorders>
            <w:shd w:val="thinDiagStripe" w:color="auto" w:fill="D9D9D9" w:themeFill="background1" w:themeFillShade="D9"/>
            <w:noWrap/>
            <w:vAlign w:val="bottom"/>
            <w:hideMark/>
          </w:tcPr>
          <w:p w14:paraId="51FEE313" w14:textId="77777777" w:rsidR="00B54197" w:rsidRPr="00407552" w:rsidRDefault="00B54197" w:rsidP="003371C5">
            <w:pPr>
              <w:spacing w:after="0" w:line="240" w:lineRule="auto"/>
              <w:rPr>
                <w:rFonts w:ascii="Calibri" w:hAnsi="Calibri" w:cs="Times New Roman"/>
                <w:color w:val="000000"/>
              </w:rPr>
            </w:pPr>
            <w:r>
              <w:rPr>
                <w:rFonts w:ascii="Calibri" w:hAnsi="Calibri"/>
                <w:color w:val="000000"/>
              </w:rPr>
              <w:t> </w:t>
            </w:r>
          </w:p>
        </w:tc>
      </w:tr>
      <w:tr w:rsidR="00B54197" w:rsidRPr="00407552" w14:paraId="71D462C0" w14:textId="77777777" w:rsidTr="003371C5">
        <w:trPr>
          <w:gridAfter w:val="1"/>
          <w:wAfter w:w="878" w:type="dxa"/>
          <w:trHeight w:val="300"/>
        </w:trPr>
        <w:tc>
          <w:tcPr>
            <w:tcW w:w="2127" w:type="dxa"/>
            <w:vMerge/>
            <w:tcBorders>
              <w:left w:val="single" w:sz="12" w:space="0" w:color="auto"/>
              <w:bottom w:val="single" w:sz="12" w:space="0" w:color="auto"/>
              <w:right w:val="single" w:sz="2" w:space="0" w:color="A6A6A6" w:themeColor="background1" w:themeShade="A6"/>
            </w:tcBorders>
            <w:shd w:val="clear" w:color="000000" w:fill="BFBFBF"/>
            <w:vAlign w:val="center"/>
            <w:hideMark/>
          </w:tcPr>
          <w:p w14:paraId="2EC9BDAA" w14:textId="77777777" w:rsidR="00B54197" w:rsidRPr="00407552" w:rsidRDefault="00B54197" w:rsidP="003371C5">
            <w:pPr>
              <w:spacing w:after="0" w:line="240" w:lineRule="auto"/>
              <w:rPr>
                <w:rFonts w:ascii="Calibri" w:hAnsi="Calibri" w:cs="Times New Roman"/>
                <w:b/>
                <w:bCs/>
                <w:color w:val="000000"/>
                <w:lang w:eastAsia="en-GB"/>
              </w:rPr>
            </w:pPr>
          </w:p>
        </w:tc>
        <w:tc>
          <w:tcPr>
            <w:tcW w:w="4535" w:type="dxa"/>
            <w:gridSpan w:val="4"/>
            <w:tcBorders>
              <w:top w:val="single" w:sz="2" w:space="0" w:color="A6A6A6" w:themeColor="background1" w:themeShade="A6"/>
              <w:left w:val="single" w:sz="2" w:space="0" w:color="A6A6A6" w:themeColor="background1" w:themeShade="A6"/>
              <w:bottom w:val="single" w:sz="12" w:space="0" w:color="auto"/>
              <w:right w:val="single" w:sz="2" w:space="0" w:color="A6A6A6" w:themeColor="background1" w:themeShade="A6"/>
            </w:tcBorders>
            <w:shd w:val="clear" w:color="000000" w:fill="FFFFFF"/>
            <w:vAlign w:val="center"/>
            <w:hideMark/>
          </w:tcPr>
          <w:p w14:paraId="0C7DECDE" w14:textId="77777777" w:rsidR="00B54197" w:rsidRPr="00407552" w:rsidRDefault="00B54197" w:rsidP="003371C5">
            <w:pPr>
              <w:spacing w:after="0" w:line="240" w:lineRule="auto"/>
              <w:rPr>
                <w:rFonts w:ascii="Calibri" w:hAnsi="Calibri" w:cs="Times New Roman"/>
                <w:color w:val="000000"/>
              </w:rPr>
            </w:pPr>
            <w:r>
              <w:rPr>
                <w:rFonts w:ascii="Calibri" w:hAnsi="Calibri"/>
                <w:color w:val="000000"/>
              </w:rPr>
              <w:t>Contribution économique (6.3)</w:t>
            </w:r>
          </w:p>
        </w:tc>
        <w:tc>
          <w:tcPr>
            <w:tcW w:w="491" w:type="dxa"/>
            <w:tcBorders>
              <w:top w:val="single" w:sz="2" w:space="0" w:color="A6A6A6" w:themeColor="background1" w:themeShade="A6"/>
              <w:left w:val="single" w:sz="2" w:space="0" w:color="A6A6A6" w:themeColor="background1" w:themeShade="A6"/>
              <w:bottom w:val="single" w:sz="12" w:space="0" w:color="auto"/>
              <w:right w:val="single" w:sz="2" w:space="0" w:color="A6A6A6" w:themeColor="background1" w:themeShade="A6"/>
            </w:tcBorders>
          </w:tcPr>
          <w:p w14:paraId="55F4A669" w14:textId="77777777" w:rsidR="00B54197" w:rsidRPr="00407552" w:rsidRDefault="00B54197" w:rsidP="003371C5">
            <w:pPr>
              <w:spacing w:after="0" w:line="240" w:lineRule="auto"/>
              <w:rPr>
                <w:rFonts w:ascii="Calibri" w:hAnsi="Calibri" w:cs="Times New Roman"/>
                <w:color w:val="000000"/>
                <w:lang w:eastAsia="en-GB"/>
              </w:rPr>
            </w:pPr>
          </w:p>
        </w:tc>
        <w:tc>
          <w:tcPr>
            <w:tcW w:w="532" w:type="dxa"/>
            <w:tcBorders>
              <w:top w:val="single" w:sz="2" w:space="0" w:color="A6A6A6" w:themeColor="background1" w:themeShade="A6"/>
              <w:left w:val="single" w:sz="2" w:space="0" w:color="A6A6A6" w:themeColor="background1" w:themeShade="A6"/>
              <w:bottom w:val="single" w:sz="12" w:space="0" w:color="auto"/>
              <w:right w:val="single" w:sz="2" w:space="0" w:color="A6A6A6" w:themeColor="background1" w:themeShade="A6"/>
            </w:tcBorders>
            <w:shd w:val="clear" w:color="auto" w:fill="auto"/>
            <w:noWrap/>
            <w:vAlign w:val="bottom"/>
            <w:hideMark/>
          </w:tcPr>
          <w:p w14:paraId="25A0F8F7" w14:textId="77777777" w:rsidR="00B54197" w:rsidRPr="00407552" w:rsidRDefault="00B54197" w:rsidP="003371C5">
            <w:pPr>
              <w:spacing w:after="0" w:line="240" w:lineRule="auto"/>
              <w:rPr>
                <w:rFonts w:ascii="Calibri" w:hAnsi="Calibri" w:cs="Times New Roman"/>
                <w:color w:val="000000"/>
              </w:rPr>
            </w:pPr>
            <w:r>
              <w:rPr>
                <w:rFonts w:ascii="Calibri" w:hAnsi="Calibri"/>
                <w:color w:val="000000"/>
              </w:rPr>
              <w:t> </w:t>
            </w:r>
          </w:p>
        </w:tc>
        <w:tc>
          <w:tcPr>
            <w:tcW w:w="491" w:type="dxa"/>
            <w:tcBorders>
              <w:top w:val="single" w:sz="2" w:space="0" w:color="A6A6A6" w:themeColor="background1" w:themeShade="A6"/>
              <w:left w:val="single" w:sz="2" w:space="0" w:color="A6A6A6" w:themeColor="background1" w:themeShade="A6"/>
              <w:bottom w:val="single" w:sz="12" w:space="0" w:color="auto"/>
              <w:right w:val="single" w:sz="2" w:space="0" w:color="A6A6A6" w:themeColor="background1" w:themeShade="A6"/>
            </w:tcBorders>
            <w:shd w:val="clear" w:color="auto" w:fill="auto"/>
            <w:noWrap/>
            <w:vAlign w:val="bottom"/>
            <w:hideMark/>
          </w:tcPr>
          <w:p w14:paraId="2B7BE802" w14:textId="77777777" w:rsidR="00B54197" w:rsidRPr="00407552" w:rsidRDefault="00B54197" w:rsidP="003371C5">
            <w:pPr>
              <w:spacing w:after="0" w:line="240" w:lineRule="auto"/>
              <w:rPr>
                <w:rFonts w:ascii="Calibri" w:hAnsi="Calibri" w:cs="Times New Roman"/>
                <w:color w:val="000000"/>
              </w:rPr>
            </w:pPr>
            <w:r>
              <w:rPr>
                <w:rFonts w:ascii="Calibri" w:hAnsi="Calibri"/>
                <w:color w:val="000000"/>
              </w:rPr>
              <w:t> </w:t>
            </w:r>
          </w:p>
        </w:tc>
        <w:tc>
          <w:tcPr>
            <w:tcW w:w="470" w:type="dxa"/>
            <w:tcBorders>
              <w:top w:val="single" w:sz="2" w:space="0" w:color="A6A6A6" w:themeColor="background1" w:themeShade="A6"/>
              <w:left w:val="single" w:sz="2" w:space="0" w:color="A6A6A6" w:themeColor="background1" w:themeShade="A6"/>
              <w:bottom w:val="single" w:sz="12" w:space="0" w:color="auto"/>
              <w:right w:val="single" w:sz="2" w:space="0" w:color="A6A6A6" w:themeColor="background1" w:themeShade="A6"/>
            </w:tcBorders>
            <w:shd w:val="clear" w:color="auto" w:fill="00B050"/>
            <w:noWrap/>
            <w:vAlign w:val="bottom"/>
            <w:hideMark/>
          </w:tcPr>
          <w:p w14:paraId="4B806B1E" w14:textId="77777777" w:rsidR="00B54197" w:rsidRPr="00407552" w:rsidRDefault="00B54197" w:rsidP="003371C5">
            <w:pPr>
              <w:spacing w:after="0" w:line="240" w:lineRule="auto"/>
              <w:rPr>
                <w:rFonts w:ascii="Calibri" w:hAnsi="Calibri" w:cs="Times New Roman"/>
                <w:color w:val="000000"/>
              </w:rPr>
            </w:pPr>
            <w:r>
              <w:rPr>
                <w:rFonts w:ascii="Calibri" w:hAnsi="Calibri"/>
                <w:color w:val="000000"/>
              </w:rPr>
              <w:t> </w:t>
            </w:r>
          </w:p>
        </w:tc>
        <w:tc>
          <w:tcPr>
            <w:tcW w:w="421" w:type="dxa"/>
            <w:tcBorders>
              <w:top w:val="single" w:sz="2" w:space="0" w:color="A6A6A6" w:themeColor="background1" w:themeShade="A6"/>
              <w:left w:val="single" w:sz="2" w:space="0" w:color="A6A6A6" w:themeColor="background1" w:themeShade="A6"/>
              <w:bottom w:val="single" w:sz="12" w:space="0" w:color="auto"/>
              <w:right w:val="single" w:sz="12" w:space="0" w:color="auto"/>
            </w:tcBorders>
            <w:shd w:val="clear" w:color="auto" w:fill="auto"/>
            <w:noWrap/>
            <w:vAlign w:val="bottom"/>
            <w:hideMark/>
          </w:tcPr>
          <w:p w14:paraId="189A484D" w14:textId="77777777" w:rsidR="00B54197" w:rsidRPr="00407552" w:rsidRDefault="00B54197" w:rsidP="003371C5">
            <w:pPr>
              <w:spacing w:after="0" w:line="240" w:lineRule="auto"/>
              <w:rPr>
                <w:rFonts w:ascii="Calibri" w:hAnsi="Calibri" w:cs="Times New Roman"/>
                <w:color w:val="000000"/>
              </w:rPr>
            </w:pPr>
            <w:r>
              <w:rPr>
                <w:rFonts w:ascii="Calibri" w:hAnsi="Calibri"/>
                <w:color w:val="000000"/>
              </w:rPr>
              <w:t> </w:t>
            </w:r>
          </w:p>
        </w:tc>
      </w:tr>
      <w:tr w:rsidR="00B54197" w:rsidRPr="00407552" w14:paraId="4452E39C" w14:textId="77777777" w:rsidTr="003371C5">
        <w:trPr>
          <w:gridAfter w:val="1"/>
          <w:wAfter w:w="878" w:type="dxa"/>
          <w:trHeight w:val="300"/>
        </w:trPr>
        <w:tc>
          <w:tcPr>
            <w:tcW w:w="2127" w:type="dxa"/>
            <w:vMerge w:val="restart"/>
            <w:tcBorders>
              <w:top w:val="single" w:sz="12" w:space="0" w:color="auto"/>
              <w:left w:val="single" w:sz="12" w:space="0" w:color="auto"/>
              <w:bottom w:val="single" w:sz="2" w:space="0" w:color="A6A6A6" w:themeColor="background1" w:themeShade="A6"/>
              <w:right w:val="single" w:sz="2" w:space="0" w:color="A6A6A6" w:themeColor="background1" w:themeShade="A6"/>
            </w:tcBorders>
            <w:shd w:val="clear" w:color="000000" w:fill="BFBFBF"/>
            <w:noWrap/>
            <w:vAlign w:val="center"/>
            <w:hideMark/>
          </w:tcPr>
          <w:p w14:paraId="7BDD431A" w14:textId="77777777" w:rsidR="00B54197" w:rsidRPr="00407552" w:rsidRDefault="00B54197" w:rsidP="003371C5">
            <w:pPr>
              <w:spacing w:after="0" w:line="240" w:lineRule="auto"/>
              <w:rPr>
                <w:rFonts w:ascii="Calibri" w:hAnsi="Calibri" w:cs="Times New Roman"/>
                <w:b/>
                <w:bCs/>
                <w:color w:val="000000"/>
              </w:rPr>
            </w:pPr>
            <w:r>
              <w:rPr>
                <w:rFonts w:ascii="Calibri" w:hAnsi="Calibri"/>
                <w:b/>
                <w:bCs/>
                <w:color w:val="000000"/>
              </w:rPr>
              <w:t>Résultats et impact</w:t>
            </w:r>
          </w:p>
        </w:tc>
        <w:tc>
          <w:tcPr>
            <w:tcW w:w="4535" w:type="dxa"/>
            <w:gridSpan w:val="4"/>
            <w:tcBorders>
              <w:top w:val="single" w:sz="12" w:space="0" w:color="auto"/>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bottom"/>
            <w:hideMark/>
          </w:tcPr>
          <w:p w14:paraId="72643740" w14:textId="77777777" w:rsidR="00B54197" w:rsidRPr="00407552" w:rsidRDefault="00B54197" w:rsidP="003371C5">
            <w:pPr>
              <w:spacing w:after="0" w:line="240" w:lineRule="auto"/>
              <w:rPr>
                <w:rFonts w:ascii="Calibri" w:hAnsi="Calibri" w:cs="Times New Roman"/>
                <w:color w:val="000000"/>
              </w:rPr>
            </w:pPr>
            <w:r>
              <w:rPr>
                <w:rFonts w:ascii="Calibri" w:hAnsi="Calibri"/>
                <w:color w:val="000000"/>
              </w:rPr>
              <w:t>Débat public (7.1)</w:t>
            </w:r>
          </w:p>
        </w:tc>
        <w:tc>
          <w:tcPr>
            <w:tcW w:w="491" w:type="dxa"/>
            <w:tcBorders>
              <w:top w:val="single" w:sz="12" w:space="0" w:color="auto"/>
              <w:left w:val="single" w:sz="2" w:space="0" w:color="A6A6A6" w:themeColor="background1" w:themeShade="A6"/>
              <w:bottom w:val="single" w:sz="2" w:space="0" w:color="A6A6A6" w:themeColor="background1" w:themeShade="A6"/>
              <w:right w:val="single" w:sz="2" w:space="0" w:color="A6A6A6" w:themeColor="background1" w:themeShade="A6"/>
            </w:tcBorders>
          </w:tcPr>
          <w:p w14:paraId="09A8875E" w14:textId="77777777" w:rsidR="00B54197" w:rsidRPr="00407552" w:rsidRDefault="00B54197" w:rsidP="003371C5">
            <w:pPr>
              <w:spacing w:after="0" w:line="240" w:lineRule="auto"/>
              <w:rPr>
                <w:rFonts w:ascii="Calibri" w:hAnsi="Calibri" w:cs="Times New Roman"/>
                <w:color w:val="000000"/>
                <w:lang w:eastAsia="en-GB"/>
              </w:rPr>
            </w:pPr>
          </w:p>
        </w:tc>
        <w:tc>
          <w:tcPr>
            <w:tcW w:w="532" w:type="dxa"/>
            <w:tcBorders>
              <w:top w:val="single" w:sz="12" w:space="0" w:color="auto"/>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bottom"/>
            <w:hideMark/>
          </w:tcPr>
          <w:p w14:paraId="215DD108" w14:textId="77777777" w:rsidR="00B54197" w:rsidRPr="00407552" w:rsidRDefault="00B54197" w:rsidP="003371C5">
            <w:pPr>
              <w:spacing w:after="0" w:line="240" w:lineRule="auto"/>
              <w:rPr>
                <w:rFonts w:ascii="Calibri" w:hAnsi="Calibri" w:cs="Times New Roman"/>
                <w:color w:val="000000"/>
              </w:rPr>
            </w:pPr>
            <w:r>
              <w:rPr>
                <w:rFonts w:ascii="Calibri" w:hAnsi="Calibri"/>
                <w:color w:val="000000"/>
              </w:rPr>
              <w:t> </w:t>
            </w:r>
          </w:p>
        </w:tc>
        <w:tc>
          <w:tcPr>
            <w:tcW w:w="491" w:type="dxa"/>
            <w:tcBorders>
              <w:top w:val="single" w:sz="12" w:space="0" w:color="auto"/>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bottom"/>
            <w:hideMark/>
          </w:tcPr>
          <w:p w14:paraId="2728D602" w14:textId="77777777" w:rsidR="00B54197" w:rsidRPr="00407552" w:rsidRDefault="00B54197" w:rsidP="003371C5">
            <w:pPr>
              <w:spacing w:after="0" w:line="240" w:lineRule="auto"/>
              <w:rPr>
                <w:rFonts w:ascii="Calibri" w:hAnsi="Calibri" w:cs="Times New Roman"/>
                <w:color w:val="000000"/>
              </w:rPr>
            </w:pPr>
            <w:r>
              <w:rPr>
                <w:rFonts w:ascii="Calibri" w:hAnsi="Calibri"/>
                <w:color w:val="000000"/>
              </w:rPr>
              <w:t> </w:t>
            </w:r>
          </w:p>
        </w:tc>
        <w:tc>
          <w:tcPr>
            <w:tcW w:w="470" w:type="dxa"/>
            <w:tcBorders>
              <w:top w:val="single" w:sz="12" w:space="0" w:color="auto"/>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00B050"/>
            <w:noWrap/>
            <w:vAlign w:val="bottom"/>
            <w:hideMark/>
          </w:tcPr>
          <w:p w14:paraId="64A6C3BF" w14:textId="77777777" w:rsidR="00B54197" w:rsidRPr="00407552" w:rsidRDefault="00B54197" w:rsidP="003371C5">
            <w:pPr>
              <w:spacing w:after="0" w:line="240" w:lineRule="auto"/>
              <w:rPr>
                <w:rFonts w:ascii="Calibri" w:hAnsi="Calibri" w:cs="Times New Roman"/>
                <w:color w:val="000000"/>
              </w:rPr>
            </w:pPr>
            <w:r>
              <w:rPr>
                <w:rFonts w:ascii="Calibri" w:hAnsi="Calibri"/>
                <w:color w:val="000000"/>
              </w:rPr>
              <w:t> </w:t>
            </w:r>
          </w:p>
        </w:tc>
        <w:tc>
          <w:tcPr>
            <w:tcW w:w="421" w:type="dxa"/>
            <w:tcBorders>
              <w:top w:val="single" w:sz="12" w:space="0" w:color="auto"/>
              <w:left w:val="single" w:sz="2" w:space="0" w:color="A6A6A6" w:themeColor="background1" w:themeShade="A6"/>
              <w:bottom w:val="single" w:sz="2" w:space="0" w:color="A6A6A6" w:themeColor="background1" w:themeShade="A6"/>
              <w:right w:val="single" w:sz="12" w:space="0" w:color="auto"/>
            </w:tcBorders>
            <w:shd w:val="clear" w:color="auto" w:fill="auto"/>
            <w:noWrap/>
            <w:vAlign w:val="bottom"/>
            <w:hideMark/>
          </w:tcPr>
          <w:p w14:paraId="6CB058FD" w14:textId="77777777" w:rsidR="00B54197" w:rsidRPr="00407552" w:rsidRDefault="00B54197" w:rsidP="003371C5">
            <w:pPr>
              <w:spacing w:after="0" w:line="240" w:lineRule="auto"/>
              <w:rPr>
                <w:rFonts w:ascii="Calibri" w:hAnsi="Calibri" w:cs="Times New Roman"/>
                <w:color w:val="000000"/>
              </w:rPr>
            </w:pPr>
            <w:r>
              <w:rPr>
                <w:rFonts w:ascii="Calibri" w:hAnsi="Calibri"/>
                <w:color w:val="000000"/>
              </w:rPr>
              <w:t> </w:t>
            </w:r>
          </w:p>
        </w:tc>
      </w:tr>
      <w:tr w:rsidR="00B54197" w:rsidRPr="00407552" w14:paraId="265A118B" w14:textId="77777777" w:rsidTr="003371C5">
        <w:trPr>
          <w:gridAfter w:val="1"/>
          <w:wAfter w:w="878" w:type="dxa"/>
          <w:trHeight w:val="282"/>
        </w:trPr>
        <w:tc>
          <w:tcPr>
            <w:tcW w:w="2127" w:type="dxa"/>
            <w:vMerge/>
            <w:tcBorders>
              <w:top w:val="single" w:sz="2" w:space="0" w:color="A6A6A6" w:themeColor="background1" w:themeShade="A6"/>
              <w:left w:val="single" w:sz="12" w:space="0" w:color="auto"/>
              <w:bottom w:val="single" w:sz="2" w:space="0" w:color="A6A6A6" w:themeColor="background1" w:themeShade="A6"/>
              <w:right w:val="single" w:sz="2" w:space="0" w:color="A6A6A6" w:themeColor="background1" w:themeShade="A6"/>
            </w:tcBorders>
            <w:vAlign w:val="center"/>
            <w:hideMark/>
          </w:tcPr>
          <w:p w14:paraId="3AF2C1B2" w14:textId="77777777" w:rsidR="00B54197" w:rsidRPr="00407552" w:rsidRDefault="00B54197" w:rsidP="003371C5">
            <w:pPr>
              <w:spacing w:after="0" w:line="240" w:lineRule="auto"/>
              <w:rPr>
                <w:rFonts w:ascii="Calibri" w:hAnsi="Calibri" w:cs="Times New Roman"/>
                <w:b/>
                <w:bCs/>
                <w:color w:val="000000"/>
                <w:lang w:eastAsia="en-GB"/>
              </w:rPr>
            </w:pPr>
          </w:p>
        </w:tc>
        <w:tc>
          <w:tcPr>
            <w:tcW w:w="4535" w:type="dxa"/>
            <w:gridSpan w:val="4"/>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bottom"/>
            <w:hideMark/>
          </w:tcPr>
          <w:p w14:paraId="0DFDA455" w14:textId="77777777" w:rsidR="00B54197" w:rsidRPr="00407552" w:rsidRDefault="00B54197" w:rsidP="003371C5">
            <w:pPr>
              <w:spacing w:after="0" w:line="240" w:lineRule="auto"/>
              <w:rPr>
                <w:rFonts w:ascii="Calibri" w:hAnsi="Calibri" w:cs="Times New Roman"/>
                <w:color w:val="000000"/>
              </w:rPr>
            </w:pPr>
            <w:r>
              <w:rPr>
                <w:rFonts w:ascii="Calibri" w:hAnsi="Calibri"/>
                <w:color w:val="000000"/>
              </w:rPr>
              <w:t>Accessibilité des données (7.2)</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D9D9D9"/>
          </w:tcPr>
          <w:p w14:paraId="5695FC1D" w14:textId="77777777" w:rsidR="00B54197" w:rsidRPr="00407552" w:rsidRDefault="00B54197" w:rsidP="003371C5">
            <w:pPr>
              <w:spacing w:after="0" w:line="240" w:lineRule="auto"/>
              <w:rPr>
                <w:rFonts w:ascii="Calibri" w:hAnsi="Calibri" w:cs="Times New Roman"/>
                <w:color w:val="000000"/>
                <w:lang w:eastAsia="en-GB"/>
              </w:rPr>
            </w:pPr>
          </w:p>
        </w:tc>
        <w:tc>
          <w:tcPr>
            <w:tcW w:w="53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D9D9D9"/>
            <w:noWrap/>
            <w:vAlign w:val="bottom"/>
            <w:hideMark/>
          </w:tcPr>
          <w:p w14:paraId="52F5B6F5" w14:textId="77777777" w:rsidR="00B54197" w:rsidRPr="00407552" w:rsidRDefault="00B54197" w:rsidP="003371C5">
            <w:pPr>
              <w:spacing w:after="0" w:line="240" w:lineRule="auto"/>
              <w:rPr>
                <w:rFonts w:ascii="Calibri" w:hAnsi="Calibri" w:cs="Times New Roman"/>
                <w:color w:val="000000"/>
              </w:rPr>
            </w:pPr>
            <w:r>
              <w:rPr>
                <w:rFonts w:ascii="Calibri" w:hAnsi="Calibri"/>
                <w:color w:val="000000"/>
              </w:rPr>
              <w:t> </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D9D9D9"/>
            <w:noWrap/>
            <w:vAlign w:val="bottom"/>
            <w:hideMark/>
          </w:tcPr>
          <w:p w14:paraId="3778A75A" w14:textId="77777777" w:rsidR="00B54197" w:rsidRPr="00407552" w:rsidRDefault="00B54197" w:rsidP="003371C5">
            <w:pPr>
              <w:spacing w:after="0" w:line="240" w:lineRule="auto"/>
              <w:rPr>
                <w:rFonts w:ascii="Calibri" w:hAnsi="Calibri" w:cs="Times New Roman"/>
                <w:color w:val="000000"/>
              </w:rPr>
            </w:pPr>
            <w:r>
              <w:rPr>
                <w:rFonts w:ascii="Calibri" w:hAnsi="Calibri"/>
                <w:color w:val="000000"/>
              </w:rPr>
              <w:t> </w:t>
            </w:r>
          </w:p>
        </w:tc>
        <w:tc>
          <w:tcPr>
            <w:tcW w:w="47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D9D9D9"/>
            <w:noWrap/>
            <w:vAlign w:val="bottom"/>
            <w:hideMark/>
          </w:tcPr>
          <w:p w14:paraId="2AB8F313" w14:textId="77777777" w:rsidR="00B54197" w:rsidRPr="00407552" w:rsidRDefault="00B54197" w:rsidP="003371C5">
            <w:pPr>
              <w:spacing w:after="0" w:line="240" w:lineRule="auto"/>
              <w:rPr>
                <w:rFonts w:ascii="Calibri" w:hAnsi="Calibri" w:cs="Times New Roman"/>
                <w:color w:val="000000"/>
              </w:rPr>
            </w:pPr>
            <w:r>
              <w:rPr>
                <w:rFonts w:ascii="Calibri" w:hAnsi="Calibri"/>
                <w:color w:val="000000"/>
              </w:rPr>
              <w:t> </w:t>
            </w:r>
          </w:p>
        </w:tc>
        <w:tc>
          <w:tcPr>
            <w:tcW w:w="42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12" w:space="0" w:color="auto"/>
            </w:tcBorders>
            <w:shd w:val="clear" w:color="000000" w:fill="D9D9D9"/>
            <w:noWrap/>
            <w:vAlign w:val="bottom"/>
            <w:hideMark/>
          </w:tcPr>
          <w:p w14:paraId="1451EF67" w14:textId="77777777" w:rsidR="00B54197" w:rsidRPr="00407552" w:rsidRDefault="00B54197" w:rsidP="003371C5">
            <w:pPr>
              <w:spacing w:after="0" w:line="240" w:lineRule="auto"/>
              <w:rPr>
                <w:rFonts w:ascii="Calibri" w:hAnsi="Calibri" w:cs="Times New Roman"/>
                <w:color w:val="000000"/>
              </w:rPr>
            </w:pPr>
            <w:r>
              <w:rPr>
                <w:rFonts w:ascii="Calibri" w:hAnsi="Calibri"/>
                <w:color w:val="000000"/>
              </w:rPr>
              <w:t> </w:t>
            </w:r>
          </w:p>
        </w:tc>
      </w:tr>
      <w:tr w:rsidR="00B54197" w:rsidRPr="00407552" w14:paraId="499BDCD8" w14:textId="77777777" w:rsidTr="003371C5">
        <w:trPr>
          <w:gridAfter w:val="1"/>
          <w:wAfter w:w="878" w:type="dxa"/>
          <w:trHeight w:val="300"/>
        </w:trPr>
        <w:tc>
          <w:tcPr>
            <w:tcW w:w="2127" w:type="dxa"/>
            <w:vMerge/>
            <w:tcBorders>
              <w:top w:val="single" w:sz="2" w:space="0" w:color="A6A6A6" w:themeColor="background1" w:themeShade="A6"/>
              <w:left w:val="single" w:sz="12" w:space="0" w:color="auto"/>
              <w:bottom w:val="single" w:sz="2" w:space="0" w:color="A6A6A6" w:themeColor="background1" w:themeShade="A6"/>
              <w:right w:val="single" w:sz="2" w:space="0" w:color="A6A6A6" w:themeColor="background1" w:themeShade="A6"/>
            </w:tcBorders>
            <w:vAlign w:val="center"/>
            <w:hideMark/>
          </w:tcPr>
          <w:p w14:paraId="685FD424" w14:textId="77777777" w:rsidR="00B54197" w:rsidRPr="00407552" w:rsidRDefault="00B54197" w:rsidP="003371C5">
            <w:pPr>
              <w:spacing w:after="0" w:line="240" w:lineRule="auto"/>
              <w:rPr>
                <w:rFonts w:ascii="Calibri" w:hAnsi="Calibri" w:cs="Times New Roman"/>
                <w:b/>
                <w:bCs/>
                <w:color w:val="000000"/>
                <w:lang w:eastAsia="en-GB"/>
              </w:rPr>
            </w:pPr>
          </w:p>
        </w:tc>
        <w:tc>
          <w:tcPr>
            <w:tcW w:w="4535" w:type="dxa"/>
            <w:gridSpan w:val="4"/>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bottom"/>
            <w:hideMark/>
          </w:tcPr>
          <w:p w14:paraId="3F5A5054" w14:textId="77777777" w:rsidR="00B54197" w:rsidRPr="00407552" w:rsidRDefault="00B54197" w:rsidP="003371C5">
            <w:pPr>
              <w:spacing w:after="0" w:line="240" w:lineRule="auto"/>
              <w:rPr>
                <w:rFonts w:ascii="Calibri" w:hAnsi="Calibri" w:cs="Times New Roman"/>
                <w:color w:val="000000"/>
              </w:rPr>
            </w:pPr>
            <w:r>
              <w:rPr>
                <w:rFonts w:ascii="Calibri" w:hAnsi="Calibri"/>
                <w:color w:val="000000"/>
              </w:rPr>
              <w:t>Suivi des recommandations (7.3)</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FFFFF" w:themeFill="background1"/>
          </w:tcPr>
          <w:p w14:paraId="06C88BE6" w14:textId="77777777" w:rsidR="00B54197" w:rsidRPr="00407552" w:rsidRDefault="00B54197" w:rsidP="003371C5">
            <w:pPr>
              <w:spacing w:after="0" w:line="240" w:lineRule="auto"/>
              <w:rPr>
                <w:rFonts w:ascii="Calibri" w:hAnsi="Calibri" w:cs="Times New Roman"/>
                <w:color w:val="000000"/>
                <w:lang w:eastAsia="en-GB"/>
              </w:rPr>
            </w:pPr>
          </w:p>
        </w:tc>
        <w:tc>
          <w:tcPr>
            <w:tcW w:w="53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FFFFF" w:themeFill="background1"/>
            <w:noWrap/>
            <w:vAlign w:val="bottom"/>
            <w:hideMark/>
          </w:tcPr>
          <w:p w14:paraId="56ABA0D0" w14:textId="77777777" w:rsidR="00B54197" w:rsidRPr="00407552" w:rsidRDefault="00B54197" w:rsidP="003371C5">
            <w:pPr>
              <w:spacing w:after="0" w:line="240" w:lineRule="auto"/>
              <w:rPr>
                <w:rFonts w:ascii="Calibri" w:hAnsi="Calibri" w:cs="Times New Roman"/>
                <w:color w:val="000000"/>
              </w:rPr>
            </w:pPr>
            <w:r>
              <w:rPr>
                <w:rFonts w:ascii="Calibri" w:hAnsi="Calibri"/>
                <w:color w:val="000000"/>
              </w:rPr>
              <w:t> </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FFFFF" w:themeFill="background1"/>
            <w:noWrap/>
            <w:vAlign w:val="bottom"/>
            <w:hideMark/>
          </w:tcPr>
          <w:p w14:paraId="1145367D" w14:textId="77777777" w:rsidR="00B54197" w:rsidRPr="00407552" w:rsidRDefault="00B54197" w:rsidP="003371C5">
            <w:pPr>
              <w:spacing w:after="0" w:line="240" w:lineRule="auto"/>
              <w:rPr>
                <w:rFonts w:ascii="Calibri" w:hAnsi="Calibri" w:cs="Times New Roman"/>
                <w:color w:val="000000"/>
              </w:rPr>
            </w:pPr>
            <w:r>
              <w:rPr>
                <w:rFonts w:ascii="Calibri" w:hAnsi="Calibri"/>
                <w:color w:val="000000"/>
              </w:rPr>
              <w:t> </w:t>
            </w:r>
          </w:p>
        </w:tc>
        <w:tc>
          <w:tcPr>
            <w:tcW w:w="47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00B050"/>
            <w:noWrap/>
            <w:vAlign w:val="bottom"/>
            <w:hideMark/>
          </w:tcPr>
          <w:p w14:paraId="2748149B" w14:textId="77777777" w:rsidR="00B54197" w:rsidRPr="00407552" w:rsidRDefault="00B54197" w:rsidP="003371C5">
            <w:pPr>
              <w:spacing w:after="0" w:line="240" w:lineRule="auto"/>
              <w:rPr>
                <w:rFonts w:ascii="Calibri" w:hAnsi="Calibri" w:cs="Times New Roman"/>
                <w:color w:val="000000"/>
              </w:rPr>
            </w:pPr>
            <w:r>
              <w:rPr>
                <w:rFonts w:ascii="Calibri" w:hAnsi="Calibri"/>
                <w:color w:val="000000"/>
              </w:rPr>
              <w:t> </w:t>
            </w:r>
          </w:p>
        </w:tc>
        <w:tc>
          <w:tcPr>
            <w:tcW w:w="42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12" w:space="0" w:color="auto"/>
            </w:tcBorders>
            <w:shd w:val="clear" w:color="auto" w:fill="FFFFFF" w:themeFill="background1"/>
            <w:noWrap/>
            <w:vAlign w:val="bottom"/>
            <w:hideMark/>
          </w:tcPr>
          <w:p w14:paraId="134B44D2" w14:textId="77777777" w:rsidR="00B54197" w:rsidRPr="00407552" w:rsidRDefault="00B54197" w:rsidP="003371C5">
            <w:pPr>
              <w:spacing w:after="0" w:line="240" w:lineRule="auto"/>
              <w:rPr>
                <w:rFonts w:ascii="Calibri" w:hAnsi="Calibri" w:cs="Times New Roman"/>
                <w:color w:val="000000"/>
              </w:rPr>
            </w:pPr>
            <w:r>
              <w:rPr>
                <w:rFonts w:ascii="Calibri" w:hAnsi="Calibri"/>
                <w:color w:val="000000"/>
              </w:rPr>
              <w:t> </w:t>
            </w:r>
          </w:p>
        </w:tc>
      </w:tr>
      <w:tr w:rsidR="00B54197" w:rsidRPr="00407552" w14:paraId="1FA96264" w14:textId="77777777" w:rsidTr="003371C5">
        <w:trPr>
          <w:gridAfter w:val="1"/>
          <w:wAfter w:w="878" w:type="dxa"/>
          <w:trHeight w:val="300"/>
        </w:trPr>
        <w:tc>
          <w:tcPr>
            <w:tcW w:w="2127" w:type="dxa"/>
            <w:vMerge/>
            <w:tcBorders>
              <w:top w:val="single" w:sz="2" w:space="0" w:color="A6A6A6" w:themeColor="background1" w:themeShade="A6"/>
              <w:left w:val="single" w:sz="12" w:space="0" w:color="auto"/>
              <w:bottom w:val="single" w:sz="12" w:space="0" w:color="auto"/>
              <w:right w:val="single" w:sz="2" w:space="0" w:color="A6A6A6" w:themeColor="background1" w:themeShade="A6"/>
            </w:tcBorders>
            <w:vAlign w:val="center"/>
            <w:hideMark/>
          </w:tcPr>
          <w:p w14:paraId="7B7418EA" w14:textId="77777777" w:rsidR="00B54197" w:rsidRPr="00407552" w:rsidRDefault="00B54197" w:rsidP="003371C5">
            <w:pPr>
              <w:spacing w:after="0" w:line="240" w:lineRule="auto"/>
              <w:rPr>
                <w:rFonts w:ascii="Calibri" w:hAnsi="Calibri" w:cs="Times New Roman"/>
                <w:b/>
                <w:bCs/>
                <w:color w:val="000000"/>
                <w:lang w:eastAsia="en-GB"/>
              </w:rPr>
            </w:pPr>
          </w:p>
        </w:tc>
        <w:tc>
          <w:tcPr>
            <w:tcW w:w="4535" w:type="dxa"/>
            <w:gridSpan w:val="4"/>
            <w:tcBorders>
              <w:top w:val="single" w:sz="2" w:space="0" w:color="A6A6A6" w:themeColor="background1" w:themeShade="A6"/>
              <w:left w:val="single" w:sz="2" w:space="0" w:color="A6A6A6" w:themeColor="background1" w:themeShade="A6"/>
              <w:bottom w:val="single" w:sz="12" w:space="0" w:color="auto"/>
              <w:right w:val="single" w:sz="2" w:space="0" w:color="A6A6A6" w:themeColor="background1" w:themeShade="A6"/>
            </w:tcBorders>
            <w:shd w:val="clear" w:color="auto" w:fill="auto"/>
            <w:noWrap/>
            <w:vAlign w:val="bottom"/>
            <w:hideMark/>
          </w:tcPr>
          <w:p w14:paraId="2FECD008" w14:textId="77777777" w:rsidR="00B54197" w:rsidRPr="00407552" w:rsidRDefault="00B54197" w:rsidP="003371C5">
            <w:pPr>
              <w:spacing w:after="0" w:line="240" w:lineRule="auto"/>
              <w:rPr>
                <w:rFonts w:ascii="Calibri" w:hAnsi="Calibri" w:cs="Times New Roman"/>
                <w:color w:val="000000"/>
              </w:rPr>
            </w:pPr>
            <w:r>
              <w:rPr>
                <w:rFonts w:ascii="Calibri" w:hAnsi="Calibri"/>
                <w:color w:val="000000"/>
              </w:rPr>
              <w:t>Résultats et impact de la mise en œuvre (7.4)</w:t>
            </w:r>
          </w:p>
        </w:tc>
        <w:tc>
          <w:tcPr>
            <w:tcW w:w="491" w:type="dxa"/>
            <w:tcBorders>
              <w:top w:val="single" w:sz="2" w:space="0" w:color="A6A6A6" w:themeColor="background1" w:themeShade="A6"/>
              <w:left w:val="single" w:sz="2" w:space="0" w:color="A6A6A6" w:themeColor="background1" w:themeShade="A6"/>
              <w:bottom w:val="single" w:sz="12" w:space="0" w:color="auto"/>
              <w:right w:val="single" w:sz="2" w:space="0" w:color="A6A6A6" w:themeColor="background1" w:themeShade="A6"/>
            </w:tcBorders>
          </w:tcPr>
          <w:p w14:paraId="2AF582AC" w14:textId="77777777" w:rsidR="00B54197" w:rsidRPr="00407552" w:rsidRDefault="00B54197" w:rsidP="003371C5">
            <w:pPr>
              <w:spacing w:after="0" w:line="240" w:lineRule="auto"/>
              <w:rPr>
                <w:rFonts w:ascii="Calibri" w:hAnsi="Calibri" w:cs="Times New Roman"/>
                <w:color w:val="000000"/>
                <w:lang w:eastAsia="en-GB"/>
              </w:rPr>
            </w:pPr>
          </w:p>
        </w:tc>
        <w:tc>
          <w:tcPr>
            <w:tcW w:w="532" w:type="dxa"/>
            <w:tcBorders>
              <w:top w:val="single" w:sz="2" w:space="0" w:color="A6A6A6" w:themeColor="background1" w:themeShade="A6"/>
              <w:left w:val="single" w:sz="2" w:space="0" w:color="A6A6A6" w:themeColor="background1" w:themeShade="A6"/>
              <w:bottom w:val="single" w:sz="12" w:space="0" w:color="auto"/>
              <w:right w:val="single" w:sz="2" w:space="0" w:color="A6A6A6" w:themeColor="background1" w:themeShade="A6"/>
            </w:tcBorders>
            <w:shd w:val="clear" w:color="auto" w:fill="auto"/>
            <w:noWrap/>
            <w:vAlign w:val="bottom"/>
            <w:hideMark/>
          </w:tcPr>
          <w:p w14:paraId="27A2CA11" w14:textId="77777777" w:rsidR="00B54197" w:rsidRPr="00407552" w:rsidRDefault="00B54197" w:rsidP="003371C5">
            <w:pPr>
              <w:spacing w:after="0" w:line="240" w:lineRule="auto"/>
              <w:rPr>
                <w:rFonts w:ascii="Calibri" w:hAnsi="Calibri" w:cs="Times New Roman"/>
                <w:color w:val="000000"/>
              </w:rPr>
            </w:pPr>
            <w:r>
              <w:rPr>
                <w:rFonts w:ascii="Calibri" w:hAnsi="Calibri"/>
                <w:color w:val="000000"/>
              </w:rPr>
              <w:t> </w:t>
            </w:r>
          </w:p>
        </w:tc>
        <w:tc>
          <w:tcPr>
            <w:tcW w:w="491" w:type="dxa"/>
            <w:tcBorders>
              <w:top w:val="single" w:sz="2" w:space="0" w:color="A6A6A6" w:themeColor="background1" w:themeShade="A6"/>
              <w:left w:val="single" w:sz="2" w:space="0" w:color="A6A6A6" w:themeColor="background1" w:themeShade="A6"/>
              <w:bottom w:val="single" w:sz="12" w:space="0" w:color="auto"/>
              <w:right w:val="single" w:sz="2" w:space="0" w:color="A6A6A6" w:themeColor="background1" w:themeShade="A6"/>
            </w:tcBorders>
            <w:shd w:val="clear" w:color="auto" w:fill="92D050"/>
            <w:noWrap/>
            <w:vAlign w:val="bottom"/>
            <w:hideMark/>
          </w:tcPr>
          <w:p w14:paraId="2B2EAFE4" w14:textId="77777777" w:rsidR="00B54197" w:rsidRPr="00407552" w:rsidRDefault="00B54197" w:rsidP="003371C5">
            <w:pPr>
              <w:spacing w:after="0" w:line="240" w:lineRule="auto"/>
              <w:rPr>
                <w:rFonts w:ascii="Calibri" w:hAnsi="Calibri" w:cs="Times New Roman"/>
                <w:color w:val="000000"/>
              </w:rPr>
            </w:pPr>
            <w:r>
              <w:rPr>
                <w:rFonts w:ascii="Calibri" w:hAnsi="Calibri"/>
                <w:color w:val="000000"/>
              </w:rPr>
              <w:t> </w:t>
            </w:r>
          </w:p>
        </w:tc>
        <w:tc>
          <w:tcPr>
            <w:tcW w:w="470" w:type="dxa"/>
            <w:tcBorders>
              <w:top w:val="single" w:sz="2" w:space="0" w:color="A6A6A6" w:themeColor="background1" w:themeShade="A6"/>
              <w:left w:val="single" w:sz="2" w:space="0" w:color="A6A6A6" w:themeColor="background1" w:themeShade="A6"/>
              <w:bottom w:val="single" w:sz="12" w:space="0" w:color="auto"/>
              <w:right w:val="single" w:sz="2" w:space="0" w:color="A6A6A6" w:themeColor="background1" w:themeShade="A6"/>
            </w:tcBorders>
            <w:shd w:val="clear" w:color="000000" w:fill="FFFFFF" w:themeFill="background1"/>
            <w:noWrap/>
            <w:vAlign w:val="bottom"/>
            <w:hideMark/>
          </w:tcPr>
          <w:p w14:paraId="391E7CC5" w14:textId="77777777" w:rsidR="00B54197" w:rsidRPr="00407552" w:rsidRDefault="00B54197" w:rsidP="003371C5">
            <w:pPr>
              <w:spacing w:after="0" w:line="240" w:lineRule="auto"/>
              <w:rPr>
                <w:rFonts w:ascii="Calibri" w:hAnsi="Calibri" w:cs="Times New Roman"/>
                <w:color w:val="000000"/>
              </w:rPr>
            </w:pPr>
            <w:r>
              <w:rPr>
                <w:rFonts w:ascii="Calibri" w:hAnsi="Calibri"/>
                <w:color w:val="000000"/>
              </w:rPr>
              <w:t> </w:t>
            </w:r>
          </w:p>
        </w:tc>
        <w:tc>
          <w:tcPr>
            <w:tcW w:w="421" w:type="dxa"/>
            <w:tcBorders>
              <w:top w:val="single" w:sz="2" w:space="0" w:color="A6A6A6" w:themeColor="background1" w:themeShade="A6"/>
              <w:left w:val="single" w:sz="2" w:space="0" w:color="A6A6A6" w:themeColor="background1" w:themeShade="A6"/>
              <w:bottom w:val="single" w:sz="12" w:space="0" w:color="auto"/>
              <w:right w:val="single" w:sz="12" w:space="0" w:color="auto"/>
            </w:tcBorders>
            <w:shd w:val="clear" w:color="auto" w:fill="auto"/>
            <w:noWrap/>
            <w:vAlign w:val="bottom"/>
            <w:hideMark/>
          </w:tcPr>
          <w:p w14:paraId="61A55B38" w14:textId="77777777" w:rsidR="00B54197" w:rsidRPr="00407552" w:rsidRDefault="00B54197" w:rsidP="003371C5">
            <w:pPr>
              <w:spacing w:after="0" w:line="240" w:lineRule="auto"/>
              <w:rPr>
                <w:rFonts w:ascii="Calibri" w:hAnsi="Calibri" w:cs="Times New Roman"/>
                <w:color w:val="000000"/>
              </w:rPr>
            </w:pPr>
            <w:r>
              <w:rPr>
                <w:rFonts w:ascii="Calibri" w:hAnsi="Calibri"/>
                <w:color w:val="000000"/>
              </w:rPr>
              <w:t> </w:t>
            </w:r>
          </w:p>
        </w:tc>
      </w:tr>
    </w:tbl>
    <w:p w14:paraId="62D9987F" w14:textId="77777777" w:rsidR="007F1C2E" w:rsidRDefault="007F1C2E" w:rsidP="00F12713">
      <w:pPr>
        <w:spacing w:after="0" w:line="240" w:lineRule="auto"/>
        <w:rPr>
          <w:rFonts w:cstheme="minorHAnsi"/>
          <w:color w:val="000000" w:themeColor="text1"/>
          <w:lang w:eastAsia="en-GB"/>
        </w:rPr>
      </w:pPr>
    </w:p>
    <w:p w14:paraId="7DA52E5A" w14:textId="77777777" w:rsidR="00C17CE1" w:rsidRDefault="00C17CE1" w:rsidP="00F12713">
      <w:pPr>
        <w:spacing w:after="0" w:line="240" w:lineRule="auto"/>
        <w:rPr>
          <w:rFonts w:cstheme="minorHAnsi"/>
          <w:color w:val="000000" w:themeColor="text1"/>
          <w:lang w:eastAsia="en-GB"/>
        </w:rPr>
      </w:pPr>
    </w:p>
    <w:p w14:paraId="36066AFA" w14:textId="77777777" w:rsidR="008A3148" w:rsidRDefault="008A3148" w:rsidP="00F12713">
      <w:pPr>
        <w:spacing w:after="0" w:line="240" w:lineRule="auto"/>
        <w:rPr>
          <w:rFonts w:cstheme="minorHAnsi"/>
          <w:color w:val="000000" w:themeColor="text1"/>
          <w:lang w:eastAsia="en-GB"/>
        </w:rPr>
      </w:pPr>
    </w:p>
    <w:p w14:paraId="44F02676" w14:textId="77777777" w:rsidR="00C17CE1" w:rsidRDefault="00C17CE1" w:rsidP="00F12713">
      <w:pPr>
        <w:spacing w:after="0" w:line="240" w:lineRule="auto"/>
        <w:rPr>
          <w:rFonts w:cstheme="minorHAnsi"/>
          <w:color w:val="000000" w:themeColor="text1"/>
          <w:lang w:eastAsia="en-GB"/>
        </w:rPr>
      </w:pPr>
    </w:p>
    <w:tbl>
      <w:tblPr>
        <w:tblW w:w="9896" w:type="dxa"/>
        <w:tblLook w:val="04A0" w:firstRow="1" w:lastRow="0" w:firstColumn="1" w:lastColumn="0" w:noHBand="0" w:noVBand="1"/>
      </w:tblPr>
      <w:tblGrid>
        <w:gridCol w:w="1050"/>
        <w:gridCol w:w="8846"/>
      </w:tblGrid>
      <w:tr w:rsidR="00C17CE1" w:rsidRPr="000F507E" w14:paraId="0CDC5770" w14:textId="77777777" w:rsidTr="00780054">
        <w:trPr>
          <w:trHeight w:val="380"/>
        </w:trPr>
        <w:tc>
          <w:tcPr>
            <w:tcW w:w="9896" w:type="dxa"/>
            <w:gridSpan w:val="2"/>
            <w:tcBorders>
              <w:top w:val="nil"/>
              <w:left w:val="nil"/>
              <w:bottom w:val="nil"/>
              <w:right w:val="nil"/>
            </w:tcBorders>
            <w:shd w:val="clear" w:color="auto" w:fill="auto"/>
            <w:noWrap/>
            <w:vAlign w:val="bottom"/>
            <w:hideMark/>
          </w:tcPr>
          <w:p w14:paraId="7BD3F148" w14:textId="77777777" w:rsidR="00C17CE1" w:rsidRPr="000F507E" w:rsidRDefault="00C17CE1" w:rsidP="00780054">
            <w:pPr>
              <w:spacing w:after="0" w:line="240" w:lineRule="auto"/>
              <w:rPr>
                <w:rFonts w:cs="Times New Roman"/>
                <w:i/>
                <w:color w:val="000000"/>
              </w:rPr>
            </w:pPr>
            <w:r>
              <w:rPr>
                <w:i/>
                <w:color w:val="000000"/>
              </w:rPr>
              <w:lastRenderedPageBreak/>
              <w:t xml:space="preserve">Légende de la fiche d’évaluation </w:t>
            </w:r>
          </w:p>
        </w:tc>
      </w:tr>
      <w:tr w:rsidR="00C17CE1" w:rsidRPr="000F507E" w14:paraId="0EDB20C1" w14:textId="77777777" w:rsidTr="00780054">
        <w:trPr>
          <w:trHeight w:val="160"/>
        </w:trPr>
        <w:tc>
          <w:tcPr>
            <w:tcW w:w="1050" w:type="dxa"/>
            <w:tcBorders>
              <w:top w:val="nil"/>
              <w:left w:val="nil"/>
              <w:bottom w:val="nil"/>
              <w:right w:val="nil"/>
            </w:tcBorders>
            <w:shd w:val="clear" w:color="auto" w:fill="auto"/>
            <w:noWrap/>
            <w:vAlign w:val="bottom"/>
            <w:hideMark/>
          </w:tcPr>
          <w:p w14:paraId="7C1315F6" w14:textId="77777777" w:rsidR="00C17CE1" w:rsidRPr="000F507E" w:rsidRDefault="00C17CE1" w:rsidP="00780054">
            <w:pPr>
              <w:spacing w:after="0" w:line="240" w:lineRule="auto"/>
              <w:rPr>
                <w:rFonts w:cs="Times New Roman"/>
              </w:rPr>
            </w:pPr>
          </w:p>
        </w:tc>
        <w:tc>
          <w:tcPr>
            <w:tcW w:w="8846" w:type="dxa"/>
            <w:tcBorders>
              <w:top w:val="nil"/>
              <w:left w:val="nil"/>
              <w:bottom w:val="nil"/>
              <w:right w:val="nil"/>
            </w:tcBorders>
            <w:shd w:val="clear" w:color="auto" w:fill="auto"/>
            <w:noWrap/>
            <w:vAlign w:val="bottom"/>
            <w:hideMark/>
          </w:tcPr>
          <w:p w14:paraId="033E7A01" w14:textId="77777777" w:rsidR="00C17CE1" w:rsidRPr="000F507E" w:rsidRDefault="00C17CE1" w:rsidP="00780054">
            <w:pPr>
              <w:spacing w:after="0" w:line="240" w:lineRule="auto"/>
              <w:rPr>
                <w:rFonts w:cs="Times New Roman"/>
              </w:rPr>
            </w:pPr>
          </w:p>
        </w:tc>
      </w:tr>
      <w:tr w:rsidR="00C17CE1" w:rsidRPr="000F507E" w14:paraId="2C3E2917" w14:textId="77777777" w:rsidTr="00780054">
        <w:trPr>
          <w:trHeight w:val="600"/>
        </w:trPr>
        <w:tc>
          <w:tcPr>
            <w:tcW w:w="1050" w:type="dxa"/>
            <w:tcBorders>
              <w:top w:val="nil"/>
              <w:left w:val="nil"/>
              <w:bottom w:val="nil"/>
              <w:right w:val="nil"/>
            </w:tcBorders>
            <w:shd w:val="clear" w:color="000000" w:fill="C00000"/>
            <w:noWrap/>
            <w:vAlign w:val="bottom"/>
            <w:hideMark/>
          </w:tcPr>
          <w:p w14:paraId="07843BEC" w14:textId="77777777" w:rsidR="00C17CE1" w:rsidRPr="000F507E" w:rsidRDefault="00C17CE1" w:rsidP="00780054">
            <w:pPr>
              <w:spacing w:after="0" w:line="240" w:lineRule="auto"/>
              <w:rPr>
                <w:rFonts w:cs="Times New Roman"/>
                <w:color w:val="000000"/>
              </w:rPr>
            </w:pPr>
            <w:r>
              <w:rPr>
                <w:color w:val="000000"/>
              </w:rPr>
              <w:t> </w:t>
            </w:r>
          </w:p>
        </w:tc>
        <w:tc>
          <w:tcPr>
            <w:tcW w:w="8846" w:type="dxa"/>
            <w:tcBorders>
              <w:top w:val="nil"/>
              <w:left w:val="nil"/>
              <w:bottom w:val="single" w:sz="4" w:space="0" w:color="A6A6A6"/>
              <w:right w:val="nil"/>
            </w:tcBorders>
            <w:shd w:val="clear" w:color="auto" w:fill="auto"/>
            <w:hideMark/>
          </w:tcPr>
          <w:p w14:paraId="76FB92DD" w14:textId="77777777" w:rsidR="00C17CE1" w:rsidRPr="000F507E" w:rsidRDefault="00C17CE1" w:rsidP="00780054">
            <w:pPr>
              <w:spacing w:after="0" w:line="240" w:lineRule="auto"/>
              <w:rPr>
                <w:rFonts w:cs="Times New Roman"/>
                <w:color w:val="000000"/>
              </w:rPr>
            </w:pPr>
            <w:r>
              <w:rPr>
                <w:color w:val="000000"/>
              </w:rPr>
              <w:t xml:space="preserve">Le pays n’a enregistré aucun progrès dans la mise en œuvre de l’exigence.   L’objectif général de l’exigence n’est absolument pas réalisé. </w:t>
            </w:r>
          </w:p>
        </w:tc>
      </w:tr>
      <w:tr w:rsidR="00C17CE1" w:rsidRPr="000F507E" w14:paraId="06B5998F" w14:textId="77777777" w:rsidTr="00780054">
        <w:trPr>
          <w:trHeight w:val="600"/>
        </w:trPr>
        <w:tc>
          <w:tcPr>
            <w:tcW w:w="1050" w:type="dxa"/>
            <w:tcBorders>
              <w:top w:val="nil"/>
              <w:left w:val="nil"/>
              <w:bottom w:val="nil"/>
              <w:right w:val="nil"/>
            </w:tcBorders>
            <w:shd w:val="clear" w:color="000000" w:fill="FAA725"/>
            <w:noWrap/>
            <w:vAlign w:val="bottom"/>
            <w:hideMark/>
          </w:tcPr>
          <w:p w14:paraId="67BB141F" w14:textId="77777777" w:rsidR="00C17CE1" w:rsidRPr="000F507E" w:rsidRDefault="00C17CE1" w:rsidP="00780054">
            <w:pPr>
              <w:spacing w:after="0" w:line="240" w:lineRule="auto"/>
              <w:rPr>
                <w:rFonts w:cs="Times New Roman"/>
                <w:color w:val="000000"/>
              </w:rPr>
            </w:pPr>
            <w:r>
              <w:rPr>
                <w:color w:val="000000"/>
              </w:rPr>
              <w:t> </w:t>
            </w:r>
          </w:p>
        </w:tc>
        <w:tc>
          <w:tcPr>
            <w:tcW w:w="8846" w:type="dxa"/>
            <w:tcBorders>
              <w:top w:val="nil"/>
              <w:left w:val="nil"/>
              <w:bottom w:val="single" w:sz="4" w:space="0" w:color="A6A6A6"/>
              <w:right w:val="nil"/>
            </w:tcBorders>
            <w:shd w:val="clear" w:color="auto" w:fill="auto"/>
            <w:hideMark/>
          </w:tcPr>
          <w:p w14:paraId="0EFFCF05" w14:textId="5EC0ADF3" w:rsidR="00C17CE1" w:rsidRPr="000F507E" w:rsidRDefault="00C17CE1" w:rsidP="00780054">
            <w:pPr>
              <w:spacing w:after="0" w:line="240" w:lineRule="auto"/>
              <w:rPr>
                <w:rFonts w:cs="Times New Roman"/>
                <w:color w:val="000000"/>
              </w:rPr>
            </w:pPr>
            <w:r>
              <w:rPr>
                <w:color w:val="000000"/>
              </w:rPr>
              <w:t>Le pays a enregistré des progrès insuffisants dans la mise en œuvre de l’exigence. Des aspects significatifs de l’exigence n’ont pas été mis en œuvre et l’objectif général de l’exigence est loin d’être réalisé.</w:t>
            </w:r>
          </w:p>
        </w:tc>
      </w:tr>
      <w:tr w:rsidR="00C17CE1" w:rsidRPr="000F507E" w14:paraId="44C7D0AB" w14:textId="77777777" w:rsidTr="00780054">
        <w:trPr>
          <w:trHeight w:val="612"/>
        </w:trPr>
        <w:tc>
          <w:tcPr>
            <w:tcW w:w="1050" w:type="dxa"/>
            <w:tcBorders>
              <w:top w:val="nil"/>
              <w:left w:val="nil"/>
              <w:bottom w:val="nil"/>
              <w:right w:val="nil"/>
            </w:tcBorders>
            <w:shd w:val="clear" w:color="000000" w:fill="84AE42"/>
            <w:noWrap/>
            <w:vAlign w:val="bottom"/>
            <w:hideMark/>
          </w:tcPr>
          <w:p w14:paraId="7FD0B2E6" w14:textId="77777777" w:rsidR="00C17CE1" w:rsidRPr="000F507E" w:rsidRDefault="00C17CE1" w:rsidP="00780054">
            <w:pPr>
              <w:spacing w:after="0" w:line="240" w:lineRule="auto"/>
              <w:rPr>
                <w:rFonts w:cs="Times New Roman"/>
                <w:color w:val="000000"/>
              </w:rPr>
            </w:pPr>
            <w:r>
              <w:rPr>
                <w:color w:val="000000"/>
              </w:rPr>
              <w:t> </w:t>
            </w:r>
          </w:p>
        </w:tc>
        <w:tc>
          <w:tcPr>
            <w:tcW w:w="8846" w:type="dxa"/>
            <w:tcBorders>
              <w:top w:val="nil"/>
              <w:left w:val="nil"/>
              <w:bottom w:val="single" w:sz="4" w:space="0" w:color="A6A6A6"/>
              <w:right w:val="nil"/>
            </w:tcBorders>
            <w:shd w:val="clear" w:color="auto" w:fill="auto"/>
            <w:hideMark/>
          </w:tcPr>
          <w:p w14:paraId="046C2B5A" w14:textId="20DE3013" w:rsidR="00C17CE1" w:rsidRPr="000F507E" w:rsidRDefault="00C17CE1" w:rsidP="00780054">
            <w:pPr>
              <w:spacing w:after="0" w:line="240" w:lineRule="auto"/>
              <w:rPr>
                <w:rFonts w:cs="Times New Roman"/>
                <w:color w:val="000000"/>
              </w:rPr>
            </w:pPr>
            <w:r>
              <w:rPr>
                <w:color w:val="000000"/>
              </w:rPr>
              <w:t xml:space="preserve">Le pays a enregistré des progrès dans la mise en œuvre de l’exigence. Des aspects significatifs de l’exigence ont été mis en œuvre et l’objectif général de l’exigence est en cours de réalisation.  </w:t>
            </w:r>
          </w:p>
        </w:tc>
      </w:tr>
      <w:tr w:rsidR="00C17CE1" w:rsidRPr="000F507E" w14:paraId="5B28EB83" w14:textId="77777777" w:rsidTr="00780054">
        <w:trPr>
          <w:trHeight w:val="580"/>
        </w:trPr>
        <w:tc>
          <w:tcPr>
            <w:tcW w:w="1050" w:type="dxa"/>
            <w:tcBorders>
              <w:top w:val="nil"/>
              <w:left w:val="nil"/>
              <w:bottom w:val="nil"/>
              <w:right w:val="nil"/>
            </w:tcBorders>
            <w:shd w:val="clear" w:color="000000" w:fill="227020"/>
            <w:noWrap/>
            <w:vAlign w:val="bottom"/>
            <w:hideMark/>
          </w:tcPr>
          <w:p w14:paraId="409D1A12" w14:textId="77777777" w:rsidR="00C17CE1" w:rsidRPr="000F507E" w:rsidRDefault="00C17CE1" w:rsidP="00780054">
            <w:pPr>
              <w:spacing w:after="0" w:line="240" w:lineRule="auto"/>
              <w:rPr>
                <w:rFonts w:cs="Times New Roman"/>
                <w:color w:val="000000"/>
              </w:rPr>
            </w:pPr>
            <w:r>
              <w:rPr>
                <w:color w:val="000000"/>
              </w:rPr>
              <w:t> </w:t>
            </w:r>
          </w:p>
        </w:tc>
        <w:tc>
          <w:tcPr>
            <w:tcW w:w="8846" w:type="dxa"/>
            <w:tcBorders>
              <w:top w:val="nil"/>
              <w:left w:val="nil"/>
              <w:bottom w:val="single" w:sz="4" w:space="0" w:color="A6A6A6"/>
              <w:right w:val="nil"/>
            </w:tcBorders>
            <w:shd w:val="clear" w:color="auto" w:fill="auto"/>
            <w:hideMark/>
          </w:tcPr>
          <w:p w14:paraId="65FDF83B" w14:textId="77777777" w:rsidR="00C17CE1" w:rsidRPr="000F507E" w:rsidRDefault="00C17CE1" w:rsidP="00780054">
            <w:pPr>
              <w:spacing w:after="0" w:line="240" w:lineRule="auto"/>
              <w:rPr>
                <w:rFonts w:cs="Times New Roman"/>
                <w:color w:val="000000"/>
              </w:rPr>
            </w:pPr>
            <w:r>
              <w:rPr>
                <w:color w:val="000000"/>
              </w:rPr>
              <w:t xml:space="preserve">Le pays est conforme à l’exigence ITIE. </w:t>
            </w:r>
          </w:p>
        </w:tc>
      </w:tr>
      <w:tr w:rsidR="00C17CE1" w:rsidRPr="000F507E" w14:paraId="0B2506A3" w14:textId="77777777" w:rsidTr="00780054">
        <w:trPr>
          <w:trHeight w:val="600"/>
        </w:trPr>
        <w:tc>
          <w:tcPr>
            <w:tcW w:w="1050" w:type="dxa"/>
            <w:tcBorders>
              <w:top w:val="nil"/>
              <w:left w:val="nil"/>
              <w:bottom w:val="nil"/>
              <w:right w:val="nil"/>
            </w:tcBorders>
            <w:shd w:val="clear" w:color="000000" w:fill="0076AF"/>
            <w:noWrap/>
            <w:vAlign w:val="bottom"/>
            <w:hideMark/>
          </w:tcPr>
          <w:p w14:paraId="4BDFF900" w14:textId="77777777" w:rsidR="00C17CE1" w:rsidRPr="000F507E" w:rsidRDefault="00C17CE1" w:rsidP="00780054">
            <w:pPr>
              <w:spacing w:after="0" w:line="240" w:lineRule="auto"/>
              <w:rPr>
                <w:rFonts w:cs="Times New Roman"/>
                <w:color w:val="000000"/>
              </w:rPr>
            </w:pPr>
            <w:r>
              <w:rPr>
                <w:color w:val="000000"/>
              </w:rPr>
              <w:t> </w:t>
            </w:r>
          </w:p>
        </w:tc>
        <w:tc>
          <w:tcPr>
            <w:tcW w:w="8846" w:type="dxa"/>
            <w:tcBorders>
              <w:top w:val="nil"/>
              <w:left w:val="nil"/>
              <w:bottom w:val="single" w:sz="4" w:space="0" w:color="A6A6A6"/>
              <w:right w:val="nil"/>
            </w:tcBorders>
            <w:shd w:val="clear" w:color="auto" w:fill="auto"/>
            <w:hideMark/>
          </w:tcPr>
          <w:p w14:paraId="6A604ADE" w14:textId="77777777" w:rsidR="00C17CE1" w:rsidRPr="000F507E" w:rsidRDefault="00C17CE1" w:rsidP="00780054">
            <w:pPr>
              <w:spacing w:after="0" w:line="240" w:lineRule="auto"/>
              <w:rPr>
                <w:rFonts w:cs="Times New Roman"/>
                <w:color w:val="000000"/>
              </w:rPr>
            </w:pPr>
            <w:r>
              <w:rPr>
                <w:color w:val="000000"/>
              </w:rPr>
              <w:t xml:space="preserve">Le pays va au-delà de l’exigence ITIE. </w:t>
            </w:r>
          </w:p>
        </w:tc>
      </w:tr>
      <w:tr w:rsidR="00C17CE1" w:rsidRPr="000F507E" w14:paraId="47C096AB" w14:textId="77777777" w:rsidTr="00780054">
        <w:trPr>
          <w:trHeight w:val="600"/>
        </w:trPr>
        <w:tc>
          <w:tcPr>
            <w:tcW w:w="1050" w:type="dxa"/>
            <w:tcBorders>
              <w:top w:val="nil"/>
              <w:left w:val="nil"/>
              <w:bottom w:val="nil"/>
              <w:right w:val="nil"/>
            </w:tcBorders>
            <w:shd w:val="clear" w:color="000000" w:fill="D9D9D9"/>
            <w:noWrap/>
            <w:vAlign w:val="bottom"/>
            <w:hideMark/>
          </w:tcPr>
          <w:p w14:paraId="267C427B" w14:textId="77777777" w:rsidR="00C17CE1" w:rsidRPr="000F507E" w:rsidRDefault="00C17CE1" w:rsidP="00780054">
            <w:pPr>
              <w:spacing w:after="0" w:line="240" w:lineRule="auto"/>
              <w:jc w:val="center"/>
              <w:rPr>
                <w:rFonts w:cs="Times New Roman"/>
                <w:color w:val="000000"/>
              </w:rPr>
            </w:pPr>
            <w:r>
              <w:rPr>
                <w:color w:val="000000"/>
              </w:rPr>
              <w:t> </w:t>
            </w:r>
          </w:p>
        </w:tc>
        <w:tc>
          <w:tcPr>
            <w:tcW w:w="8846" w:type="dxa"/>
            <w:tcBorders>
              <w:top w:val="nil"/>
              <w:left w:val="nil"/>
              <w:bottom w:val="single" w:sz="4" w:space="0" w:color="A6A6A6"/>
              <w:right w:val="nil"/>
            </w:tcBorders>
            <w:shd w:val="clear" w:color="auto" w:fill="auto"/>
            <w:hideMark/>
          </w:tcPr>
          <w:p w14:paraId="080F230E" w14:textId="77777777" w:rsidR="00C17CE1" w:rsidRPr="000F507E" w:rsidRDefault="00C17CE1" w:rsidP="00780054">
            <w:pPr>
              <w:spacing w:after="0" w:line="240" w:lineRule="auto"/>
              <w:rPr>
                <w:rFonts w:cs="Times New Roman"/>
                <w:color w:val="000000"/>
              </w:rPr>
            </w:pPr>
            <w:r>
              <w:rPr>
                <w:color w:val="000000"/>
              </w:rPr>
              <w:t>Cette exigence est considérée comme souhaitable ou recommandée uniquement et ne doit pas être prise en compte dans l’évaluation de la conformité.</w:t>
            </w:r>
          </w:p>
        </w:tc>
      </w:tr>
      <w:tr w:rsidR="00C17CE1" w:rsidRPr="000F507E" w14:paraId="1C6C311F" w14:textId="77777777" w:rsidTr="00780054">
        <w:trPr>
          <w:trHeight w:val="560"/>
        </w:trPr>
        <w:tc>
          <w:tcPr>
            <w:tcW w:w="1050" w:type="dxa"/>
            <w:tcBorders>
              <w:top w:val="nil"/>
              <w:left w:val="nil"/>
              <w:bottom w:val="single" w:sz="4" w:space="0" w:color="A6A6A6" w:themeColor="background1" w:themeShade="A6"/>
              <w:right w:val="nil"/>
            </w:tcBorders>
            <w:shd w:val="diagStripe" w:color="D9D9D9" w:fill="auto"/>
            <w:noWrap/>
            <w:vAlign w:val="bottom"/>
            <w:hideMark/>
          </w:tcPr>
          <w:p w14:paraId="4260FC02" w14:textId="77777777" w:rsidR="00C17CE1" w:rsidRPr="000F507E" w:rsidRDefault="00C17CE1" w:rsidP="00780054">
            <w:pPr>
              <w:spacing w:after="0" w:line="240" w:lineRule="auto"/>
              <w:rPr>
                <w:rFonts w:cs="Times New Roman"/>
                <w:color w:val="000000"/>
              </w:rPr>
            </w:pPr>
          </w:p>
        </w:tc>
        <w:tc>
          <w:tcPr>
            <w:tcW w:w="8846" w:type="dxa"/>
            <w:tcBorders>
              <w:top w:val="nil"/>
              <w:left w:val="nil"/>
              <w:bottom w:val="single" w:sz="4" w:space="0" w:color="A6A6A6" w:themeColor="background1" w:themeShade="A6"/>
              <w:right w:val="nil"/>
            </w:tcBorders>
            <w:shd w:val="clear" w:color="auto" w:fill="auto"/>
            <w:hideMark/>
          </w:tcPr>
          <w:p w14:paraId="1DB0A30F" w14:textId="77777777" w:rsidR="00C17CE1" w:rsidRPr="000F507E" w:rsidRDefault="00C17CE1" w:rsidP="00780054">
            <w:pPr>
              <w:spacing w:after="0" w:line="240" w:lineRule="auto"/>
              <w:rPr>
                <w:rFonts w:cs="Times New Roman"/>
                <w:color w:val="000000"/>
              </w:rPr>
            </w:pPr>
            <w:r>
              <w:rPr>
                <w:color w:val="000000"/>
              </w:rPr>
              <w:t xml:space="preserve">Le GMP a démontré que cette exigence n’est pas applicable dans le pays.  </w:t>
            </w:r>
          </w:p>
        </w:tc>
      </w:tr>
    </w:tbl>
    <w:p w14:paraId="2AFE60CA" w14:textId="77777777" w:rsidR="00C17CE1" w:rsidRDefault="00C17CE1" w:rsidP="00F12713">
      <w:pPr>
        <w:spacing w:after="0" w:line="240" w:lineRule="auto"/>
        <w:rPr>
          <w:rFonts w:cstheme="minorHAnsi"/>
          <w:color w:val="000000" w:themeColor="text1"/>
          <w:lang w:eastAsia="en-GB"/>
        </w:rPr>
      </w:pPr>
    </w:p>
    <w:p w14:paraId="183C2573" w14:textId="026FA95E" w:rsidR="00A67544" w:rsidRPr="005625E1" w:rsidRDefault="002D2440" w:rsidP="00F12713">
      <w:pPr>
        <w:spacing w:after="0" w:line="240" w:lineRule="auto"/>
        <w:rPr>
          <w:rFonts w:cstheme="minorHAnsi"/>
          <w:b/>
          <w:color w:val="365F91" w:themeColor="accent1" w:themeShade="BF"/>
        </w:rPr>
      </w:pPr>
      <w:r>
        <w:br w:type="page"/>
      </w:r>
      <w:r>
        <w:rPr>
          <w:b/>
          <w:color w:val="365F91" w:themeColor="accent1" w:themeShade="BF"/>
        </w:rPr>
        <w:lastRenderedPageBreak/>
        <w:t>3.</w:t>
      </w:r>
      <w:r>
        <w:rPr>
          <w:b/>
          <w:color w:val="365F91" w:themeColor="accent1" w:themeShade="BF"/>
        </w:rPr>
        <w:tab/>
        <w:t xml:space="preserve">CONSTATATIONS DÉTAILLÉES </w:t>
      </w:r>
    </w:p>
    <w:p w14:paraId="10C12F4D" w14:textId="77777777" w:rsidR="00824402" w:rsidRDefault="00824402" w:rsidP="00F12713">
      <w:pPr>
        <w:spacing w:after="0" w:line="240" w:lineRule="auto"/>
        <w:rPr>
          <w:rFonts w:cstheme="minorHAnsi"/>
          <w:b/>
        </w:rPr>
      </w:pPr>
    </w:p>
    <w:p w14:paraId="08BA86C6" w14:textId="6AC75190" w:rsidR="00A3483B" w:rsidRDefault="00A3483B" w:rsidP="008A3148">
      <w:pPr>
        <w:spacing w:after="0" w:line="240" w:lineRule="auto"/>
        <w:jc w:val="both"/>
        <w:rPr>
          <w:rFonts w:cstheme="minorHAnsi"/>
        </w:rPr>
      </w:pPr>
      <w:r>
        <w:t>Le Validateur souscrit aux constata</w:t>
      </w:r>
      <w:r w:rsidR="00C81921">
        <w:t xml:space="preserve">tions de l’évaluation initiale. </w:t>
      </w:r>
      <w:r>
        <w:t>Par conséquent, aucune obs</w:t>
      </w:r>
      <w:r w:rsidR="00C81921">
        <w:t>ervation détaillée concernant d’éventuel</w:t>
      </w:r>
      <w:r>
        <w:t xml:space="preserve">s points de discorde n’est à signaler. </w:t>
      </w:r>
    </w:p>
    <w:p w14:paraId="5408CCA0" w14:textId="77777777" w:rsidR="00A938B1" w:rsidRDefault="00A938B1" w:rsidP="00A938B1">
      <w:pPr>
        <w:spacing w:after="0" w:line="240" w:lineRule="auto"/>
        <w:rPr>
          <w:rFonts w:cstheme="minorHAnsi"/>
        </w:rPr>
      </w:pPr>
    </w:p>
    <w:p w14:paraId="709EEE9D" w14:textId="77777777" w:rsidR="00A938B1" w:rsidRPr="00A938B1" w:rsidRDefault="00A938B1" w:rsidP="00A938B1">
      <w:pPr>
        <w:spacing w:after="0" w:line="240" w:lineRule="auto"/>
        <w:rPr>
          <w:rFonts w:cstheme="minorHAnsi"/>
        </w:rPr>
      </w:pPr>
    </w:p>
    <w:p w14:paraId="53E190DE" w14:textId="344C38FF" w:rsidR="00766D41" w:rsidRPr="005625E1" w:rsidRDefault="00766D41" w:rsidP="00D03129">
      <w:pPr>
        <w:spacing w:after="0" w:line="240" w:lineRule="auto"/>
        <w:ind w:left="720" w:hanging="720"/>
        <w:rPr>
          <w:rFonts w:cstheme="minorHAnsi"/>
          <w:b/>
          <w:color w:val="1F497D" w:themeColor="text2"/>
        </w:rPr>
      </w:pPr>
      <w:r>
        <w:rPr>
          <w:b/>
          <w:color w:val="1F497D" w:themeColor="text2"/>
        </w:rPr>
        <w:t>4.</w:t>
      </w:r>
      <w:r>
        <w:rPr>
          <w:b/>
          <w:color w:val="1F497D" w:themeColor="text2"/>
        </w:rPr>
        <w:tab/>
        <w:t xml:space="preserve">RECOMMANDATIONS </w:t>
      </w:r>
    </w:p>
    <w:p w14:paraId="0F7F6A38" w14:textId="77954A7A" w:rsidR="00823D46" w:rsidRDefault="00823D46" w:rsidP="00F12713">
      <w:pPr>
        <w:spacing w:after="0" w:line="240" w:lineRule="auto"/>
        <w:ind w:left="720" w:hanging="720"/>
        <w:rPr>
          <w:rFonts w:cstheme="minorHAnsi"/>
          <w:b/>
          <w:color w:val="FF0000"/>
        </w:rPr>
      </w:pPr>
    </w:p>
    <w:p w14:paraId="39BE6665" w14:textId="77777777" w:rsidR="004E2A3B" w:rsidRDefault="004E2A3B" w:rsidP="008A3148">
      <w:pPr>
        <w:spacing w:before="120"/>
        <w:jc w:val="both"/>
        <w:rPr>
          <w:rFonts w:ascii="Calibri" w:hAnsi="Calibri"/>
          <w:bCs/>
        </w:rPr>
      </w:pPr>
      <w:r>
        <w:rPr>
          <w:rFonts w:ascii="Calibri" w:hAnsi="Calibri"/>
          <w:bCs/>
        </w:rPr>
        <w:t xml:space="preserve">Le présent rapport propose des recommandations portant sur des améliorations spécifiques que le GMP pourrait souhaiter mettre en œuvre, mais la liste qui suit présente des recommandations stratégiques qui pourraient aider le Togo à tirer encore mieux parti de l’ITIE comme un instrument d’appui aux réformes. </w:t>
      </w:r>
    </w:p>
    <w:p w14:paraId="586B085B" w14:textId="01851F61" w:rsidR="004E2A3B" w:rsidRPr="006C2AB2" w:rsidRDefault="004E2A3B" w:rsidP="008A3148">
      <w:pPr>
        <w:numPr>
          <w:ilvl w:val="0"/>
          <w:numId w:val="10"/>
        </w:numPr>
        <w:spacing w:before="120" w:after="120" w:line="240" w:lineRule="auto"/>
        <w:jc w:val="both"/>
        <w:rPr>
          <w:bCs/>
        </w:rPr>
      </w:pPr>
      <w:r>
        <w:t>Conformément à l’exigence</w:t>
      </w:r>
      <w:r w:rsidR="00222E85">
        <w:t> </w:t>
      </w:r>
      <w:r>
        <w:t>1.4, le GMP devra mettre à jour son document interne de gouvernance avec des dispositions garantissant que (i) la représentation au sein du GMP tienne compte des parties prenantes pertinentes</w:t>
      </w:r>
      <w:r w:rsidR="00222E85">
        <w:t> </w:t>
      </w:r>
      <w:r>
        <w:t>; (ii) des procédures claires soient en place concernant l’alternance des membres du Comité de Pilotage et leur remplacement</w:t>
      </w:r>
      <w:r w:rsidR="00222E85">
        <w:t> </w:t>
      </w:r>
      <w:r>
        <w:t>; (iii) les membres du GMP assurent la liaison avec leurs collèges</w:t>
      </w:r>
      <w:r w:rsidR="00222E85">
        <w:t> </w:t>
      </w:r>
      <w:r>
        <w:t>; (iv) un mécanisme permette de gérer les conflits d’intérêts</w:t>
      </w:r>
      <w:r w:rsidR="00222E85">
        <w:t> </w:t>
      </w:r>
      <w:r>
        <w:t xml:space="preserve">; et (v) la politique du Comité de Pilotage en matière d’allocations journalières soit claire et transparente. Le GMP devra envisager l’adoption d’un décret ministériel portant sur le renouvellement du Groupe multipartite. </w:t>
      </w:r>
    </w:p>
    <w:p w14:paraId="1D2C78D5" w14:textId="18D4BB7E" w:rsidR="004E2A3B" w:rsidRPr="006C2AB2" w:rsidRDefault="004E2A3B" w:rsidP="008A3148">
      <w:pPr>
        <w:numPr>
          <w:ilvl w:val="0"/>
          <w:numId w:val="10"/>
        </w:numPr>
        <w:spacing w:before="120" w:after="120" w:line="240" w:lineRule="auto"/>
        <w:jc w:val="both"/>
        <w:rPr>
          <w:bCs/>
        </w:rPr>
      </w:pPr>
      <w:r>
        <w:t>Conformément à l’exigence</w:t>
      </w:r>
      <w:r w:rsidR="00222E85">
        <w:t> </w:t>
      </w:r>
      <w:r>
        <w:t xml:space="preserve">1.5, le GMP devra veiller à ce que le plan de travail énonce des objectifs de mise en œuvre clairs et liés aux principes de l’ITIE, reflétant les priorités nationales, et à ce que le plan de travail détaille clairement les activités convenues et les parties responsables. </w:t>
      </w:r>
    </w:p>
    <w:p w14:paraId="4E243AD3" w14:textId="77777777" w:rsidR="004E2A3B" w:rsidRPr="006C2AB2" w:rsidRDefault="004E2A3B" w:rsidP="008A3148">
      <w:pPr>
        <w:numPr>
          <w:ilvl w:val="0"/>
          <w:numId w:val="10"/>
        </w:numPr>
        <w:spacing w:before="120" w:after="120" w:line="240" w:lineRule="auto"/>
        <w:jc w:val="both"/>
        <w:rPr>
          <w:bCs/>
        </w:rPr>
      </w:pPr>
      <w:r>
        <w:t xml:space="preserve">En vue de renforcer la mise en œuvre, le GMP pourrait souhaiter se pencher sur la question de savoir si les dispositions statutaires concernant la gestion et l’allocation des titres miniers sont suffisamment claires, y compris le délai pour l’allocation des permis.   </w:t>
      </w:r>
    </w:p>
    <w:p w14:paraId="5EF19A60" w14:textId="3C440910" w:rsidR="004E2A3B" w:rsidRPr="006C2AB2" w:rsidRDefault="004E2A3B" w:rsidP="008A3148">
      <w:pPr>
        <w:numPr>
          <w:ilvl w:val="0"/>
          <w:numId w:val="10"/>
        </w:numPr>
        <w:spacing w:before="120" w:after="120" w:line="240" w:lineRule="auto"/>
        <w:jc w:val="both"/>
        <w:rPr>
          <w:bCs/>
        </w:rPr>
      </w:pPr>
      <w:r>
        <w:t>Conformément à l’exigence</w:t>
      </w:r>
      <w:r w:rsidR="00222E85">
        <w:t> </w:t>
      </w:r>
      <w:r>
        <w:t xml:space="preserve">2.3, le Togo devra tenir à jour un ou des système(s) de registre ou de cadastre accessible(s) au public contenant des informations complètes et actualisées concernant les titulaires de licences, leurs coordonnées si disponibles, la date du dépôt de la demande, la date de l’adjudication, la durée de la licence et la matière première produite dans le cas des permis d’exploitation. </w:t>
      </w:r>
    </w:p>
    <w:p w14:paraId="75BC3A06" w14:textId="75987228" w:rsidR="004E2A3B" w:rsidRPr="00771704" w:rsidRDefault="004E2A3B" w:rsidP="008A3148">
      <w:pPr>
        <w:numPr>
          <w:ilvl w:val="0"/>
          <w:numId w:val="10"/>
        </w:numPr>
        <w:spacing w:before="120" w:after="120" w:line="240" w:lineRule="auto"/>
        <w:jc w:val="both"/>
        <w:rPr>
          <w:b/>
          <w:bCs/>
        </w:rPr>
      </w:pPr>
      <w:r>
        <w:t>En vertu de l’exigence</w:t>
      </w:r>
      <w:r w:rsidR="00222E85">
        <w:t> </w:t>
      </w:r>
      <w:r>
        <w:t>2.4, le GMP devra clarifier la politique gouvernementale concernant la transparence des contrats, notamment les dispositions légales pertinentes, les pratiques de divulgation en vigueur, et toute réforme gouvernementale prévue ou en cours.</w:t>
      </w:r>
    </w:p>
    <w:p w14:paraId="510B00A0" w14:textId="309931BD" w:rsidR="004E2A3B" w:rsidRPr="006C2AB2" w:rsidRDefault="004E2A3B" w:rsidP="008A3148">
      <w:pPr>
        <w:numPr>
          <w:ilvl w:val="0"/>
          <w:numId w:val="10"/>
        </w:numPr>
        <w:spacing w:before="120" w:after="120" w:line="240" w:lineRule="auto"/>
        <w:jc w:val="both"/>
        <w:rPr>
          <w:bCs/>
        </w:rPr>
      </w:pPr>
      <w:r>
        <w:t>Conformément à l’exigence</w:t>
      </w:r>
      <w:r w:rsidR="00222E85">
        <w:t> </w:t>
      </w:r>
      <w:r>
        <w:t xml:space="preserve">2.5, le gouvernement est encouragé à clarifier sa politique en matière de divulgation de la propriété réelle, et à convenir d’une définition des personnes politiquement exposées en termes de propriété réelle dans le contexte togolais, ainsi que de mécanismes de contrôle de la qualité des déclarations des entreprises en matière de propriété réelle. </w:t>
      </w:r>
    </w:p>
    <w:p w14:paraId="2E23CB20" w14:textId="2FD50DBD" w:rsidR="004E2A3B" w:rsidRPr="006C2AB2" w:rsidRDefault="004E2A3B" w:rsidP="008A3148">
      <w:pPr>
        <w:numPr>
          <w:ilvl w:val="0"/>
          <w:numId w:val="10"/>
        </w:numPr>
        <w:spacing w:before="120" w:after="120" w:line="240" w:lineRule="auto"/>
        <w:jc w:val="both"/>
        <w:rPr>
          <w:rFonts w:ascii="Calibri Light" w:hAnsi="Calibri Light"/>
          <w:bCs/>
        </w:rPr>
      </w:pPr>
      <w:r>
        <w:t>Conformément à l</w:t>
      </w:r>
      <w:r w:rsidR="00222E85">
        <w:t>’</w:t>
      </w:r>
      <w:r>
        <w:t>exigence</w:t>
      </w:r>
      <w:r w:rsidR="00222E85">
        <w:t> </w:t>
      </w:r>
      <w:r>
        <w:t xml:space="preserve">2.6, le GMP devra publier les détails concernant les conditions accompagnant la participation en capital de l’entreprise d’État, y compris son niveau de responsabilité dans le paiement des dépenses au cours des différentes phases du cycle de projet, c.-à-d. actions entièrement libérées, fonds propres, intérêts reportés, par exemple sur le site internet de l’entreprise. Le GMP devra également donner des détails concernant les prêts et garanties de prêt consentis à la SNPT.  </w:t>
      </w:r>
    </w:p>
    <w:p w14:paraId="2E344BAA" w14:textId="77777777" w:rsidR="004E2A3B" w:rsidRPr="006C2AB2" w:rsidRDefault="004E2A3B" w:rsidP="008A3148">
      <w:pPr>
        <w:numPr>
          <w:ilvl w:val="0"/>
          <w:numId w:val="10"/>
        </w:numPr>
        <w:spacing w:before="120" w:after="120" w:line="240" w:lineRule="auto"/>
        <w:jc w:val="both"/>
        <w:rPr>
          <w:rFonts w:ascii="Calibri" w:hAnsi="Calibri"/>
          <w:bCs/>
        </w:rPr>
      </w:pPr>
      <w:r>
        <w:t xml:space="preserve">Afin de renforcer la mise en œuvre, le GMP est encouragé à poursuivre les discussions avec les entreprises et l’OTR sur la manière d’améliorer la collecte des données relatives à la production.  </w:t>
      </w:r>
    </w:p>
    <w:p w14:paraId="7DE15F7F" w14:textId="77777777" w:rsidR="004E2A3B" w:rsidRPr="006C2AB2" w:rsidRDefault="004E2A3B" w:rsidP="008A3148">
      <w:pPr>
        <w:numPr>
          <w:ilvl w:val="0"/>
          <w:numId w:val="10"/>
        </w:numPr>
        <w:spacing w:before="120" w:after="120" w:line="240" w:lineRule="auto"/>
        <w:jc w:val="both"/>
        <w:rPr>
          <w:bCs/>
        </w:rPr>
      </w:pPr>
      <w:bookmarkStart w:id="0" w:name="_GoBack"/>
      <w:bookmarkEnd w:id="0"/>
      <w:r>
        <w:t>Afin de renforcer la mise en œuvre, et conformément à la tendance mondiale en faveur de l’intégration de l’ITIE, l’OTR pourrait envisager de publier des données désagrégées sur les recettes minières avant la réalisation du travail de rapprochement.</w:t>
      </w:r>
    </w:p>
    <w:p w14:paraId="4A1976CF" w14:textId="6AB135C4" w:rsidR="004E2A3B" w:rsidRPr="006C2AB2" w:rsidRDefault="004E2A3B" w:rsidP="008A3148">
      <w:pPr>
        <w:numPr>
          <w:ilvl w:val="0"/>
          <w:numId w:val="10"/>
        </w:numPr>
        <w:spacing w:before="120" w:after="120" w:line="240" w:lineRule="auto"/>
        <w:jc w:val="both"/>
        <w:rPr>
          <w:bCs/>
        </w:rPr>
      </w:pPr>
      <w:r>
        <w:t>En vertu de l’exigence</w:t>
      </w:r>
      <w:r w:rsidR="00222E85">
        <w:t> </w:t>
      </w:r>
      <w:r>
        <w:t xml:space="preserve">4.3, le GMP devra développer une connaissance approfondie des conditions associées aux contrats et accords de troc pertinents, des parties concernées, des ressources qui ont été promises par l’État, de </w:t>
      </w:r>
      <w:r>
        <w:lastRenderedPageBreak/>
        <w:t xml:space="preserve">la valeur des flux financiers et économiques correspondants (par ex. travaux publics) et de la matérialité de ces accords par rapport aux contrats traditionnels. Le groupe multipartite et l’Administrateur Indépendant devront veiller à ce que le Rapport ITIE reflète ces arrangements, en fournissant un niveau de détail proportionnel à la divulgation et au rapprochement des autres paiements et flux de revenus.  </w:t>
      </w:r>
    </w:p>
    <w:p w14:paraId="4DEFBDC9" w14:textId="200DDBD6" w:rsidR="004E2A3B" w:rsidRPr="006C2AB2" w:rsidRDefault="004E2A3B" w:rsidP="008A3148">
      <w:pPr>
        <w:numPr>
          <w:ilvl w:val="0"/>
          <w:numId w:val="10"/>
        </w:numPr>
        <w:spacing w:before="120" w:after="120" w:line="240" w:lineRule="auto"/>
        <w:jc w:val="both"/>
        <w:rPr>
          <w:bCs/>
        </w:rPr>
      </w:pPr>
      <w:r>
        <w:t>Conformément à l’exigence</w:t>
      </w:r>
      <w:r w:rsidR="00222E85">
        <w:t> </w:t>
      </w:r>
      <w:r>
        <w:t>4.5, le GMP devra veiller à ce que la SNPT fournisse les informations détaillées requises par l’Administrateur Indépendant de manière à pouvoir effectuer un rapprochement plus poussé avec les chiffres du gouvernement.</w:t>
      </w:r>
    </w:p>
    <w:p w14:paraId="0150B904" w14:textId="6ABC334A" w:rsidR="004E2A3B" w:rsidRPr="006C2AB2" w:rsidRDefault="004E2A3B" w:rsidP="008A3148">
      <w:pPr>
        <w:numPr>
          <w:ilvl w:val="0"/>
          <w:numId w:val="10"/>
        </w:numPr>
        <w:spacing w:before="120" w:after="120" w:line="240" w:lineRule="auto"/>
        <w:jc w:val="both"/>
        <w:rPr>
          <w:bCs/>
        </w:rPr>
      </w:pPr>
      <w:r>
        <w:t>En vertu de l’exigence</w:t>
      </w:r>
      <w:r w:rsidR="00222E85">
        <w:t> </w:t>
      </w:r>
      <w:r>
        <w:t xml:space="preserve">5.2, le GMP devra coordonner avec l’OTR la publication de la formule de répartition des recettes pour tous les transferts liés aux recettes tirées des industries extractives entre les entités gouvernementales au niveau central et infranational, y compris tout décalage entre le montant du transfert calculé en fonction de la formule de répartition des recettes applicable et le montant réel transféré entre le gouvernement central et chaque entité infranationale concernée. </w:t>
      </w:r>
    </w:p>
    <w:p w14:paraId="35790013" w14:textId="77777777" w:rsidR="00C352FD" w:rsidRDefault="00C352FD" w:rsidP="00C352FD">
      <w:pPr>
        <w:spacing w:after="0" w:line="240" w:lineRule="auto"/>
        <w:rPr>
          <w:rFonts w:cstheme="minorHAnsi"/>
        </w:rPr>
      </w:pPr>
    </w:p>
    <w:p w14:paraId="7E04B2AA" w14:textId="77777777" w:rsidR="00C352FD" w:rsidRDefault="00C352FD" w:rsidP="00C352FD">
      <w:pPr>
        <w:spacing w:after="0" w:line="240" w:lineRule="auto"/>
        <w:rPr>
          <w:rFonts w:cstheme="minorHAnsi"/>
        </w:rPr>
      </w:pPr>
    </w:p>
    <w:p w14:paraId="7053208A" w14:textId="2CC17537" w:rsidR="000608BE" w:rsidRPr="000608BE" w:rsidRDefault="000608BE" w:rsidP="002E590F">
      <w:pPr>
        <w:widowControl w:val="0"/>
        <w:suppressAutoHyphens/>
        <w:spacing w:after="0" w:line="240" w:lineRule="auto"/>
        <w:jc w:val="center"/>
        <w:rPr>
          <w:rFonts w:cstheme="minorHAnsi"/>
        </w:rPr>
      </w:pPr>
      <w:r>
        <w:t>***</w:t>
      </w:r>
    </w:p>
    <w:sectPr w:rsidR="000608BE" w:rsidRPr="000608BE" w:rsidSect="008A3148">
      <w:footerReference w:type="even" r:id="rId8"/>
      <w:footerReference w:type="default" r:id="rId9"/>
      <w:pgSz w:w="12240" w:h="15840" w:code="1"/>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98B37E" w14:textId="77777777" w:rsidR="0015252C" w:rsidRDefault="0015252C" w:rsidP="00186F04">
      <w:pPr>
        <w:spacing w:after="0" w:line="240" w:lineRule="auto"/>
      </w:pPr>
      <w:r>
        <w:separator/>
      </w:r>
    </w:p>
  </w:endnote>
  <w:endnote w:type="continuationSeparator" w:id="0">
    <w:p w14:paraId="4C0E4BFB" w14:textId="77777777" w:rsidR="0015252C" w:rsidRDefault="0015252C" w:rsidP="00186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F84F37" w14:textId="77777777" w:rsidR="00321499" w:rsidRDefault="00321499" w:rsidP="002C0FC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131422" w14:textId="77777777" w:rsidR="00321499" w:rsidRDefault="00321499" w:rsidP="00185BF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503647" w14:textId="404CB00D" w:rsidR="00321499" w:rsidRDefault="00321499" w:rsidP="002C0FC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A7FF2">
      <w:rPr>
        <w:rStyle w:val="PageNumber"/>
        <w:noProof/>
      </w:rPr>
      <w:t>8</w:t>
    </w:r>
    <w:r>
      <w:rPr>
        <w:rStyle w:val="PageNumber"/>
      </w:rPr>
      <w:fldChar w:fldCharType="end"/>
    </w:r>
  </w:p>
  <w:p w14:paraId="57266DD4" w14:textId="77777777" w:rsidR="00321499" w:rsidRDefault="00321499" w:rsidP="00185BF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548EF0" w14:textId="77777777" w:rsidR="0015252C" w:rsidRDefault="0015252C" w:rsidP="00186F04">
      <w:pPr>
        <w:spacing w:after="0" w:line="240" w:lineRule="auto"/>
      </w:pPr>
      <w:r>
        <w:separator/>
      </w:r>
    </w:p>
  </w:footnote>
  <w:footnote w:type="continuationSeparator" w:id="0">
    <w:p w14:paraId="2FDB4B49" w14:textId="77777777" w:rsidR="0015252C" w:rsidRDefault="0015252C" w:rsidP="00186F04">
      <w:pPr>
        <w:spacing w:after="0" w:line="240" w:lineRule="auto"/>
      </w:pPr>
      <w:r>
        <w:continuationSeparator/>
      </w:r>
    </w:p>
  </w:footnote>
  <w:footnote w:id="1">
    <w:p w14:paraId="6F683D4D" w14:textId="77777777" w:rsidR="00174A91" w:rsidRPr="00F61F36" w:rsidRDefault="00174A91" w:rsidP="00174A91">
      <w:pPr>
        <w:pStyle w:val="FootnoteText"/>
      </w:pPr>
      <w:r>
        <w:rPr>
          <w:rStyle w:val="FootnoteReference"/>
          <w:sz w:val="18"/>
          <w:szCs w:val="18"/>
        </w:rPr>
        <w:footnoteRef/>
      </w:r>
      <w:r>
        <w:rPr>
          <w:sz w:val="18"/>
          <w:szCs w:val="18"/>
        </w:rPr>
        <w:t xml:space="preserve"> Aperçu de la situation économique du Togo par la Banque mondiale mis à jour le 1er avril 2017: </w:t>
      </w:r>
      <w:hyperlink r:id="rId1" w:history="1">
        <w:r>
          <w:rPr>
            <w:rStyle w:val="Hyperlink"/>
            <w:sz w:val="18"/>
            <w:szCs w:val="18"/>
          </w:rPr>
          <w:t>http://www.worldbank.org/en/country/togo/overview</w:t>
        </w:r>
      </w:hyperlink>
      <w:r>
        <w:t xml:space="preserve"> </w:t>
      </w:r>
    </w:p>
  </w:footnote>
  <w:footnote w:id="2">
    <w:p w14:paraId="0D049881" w14:textId="77777777" w:rsidR="00174A91" w:rsidRPr="000A1B63" w:rsidRDefault="00174A91" w:rsidP="00174A91">
      <w:pPr>
        <w:pStyle w:val="FootnoteText"/>
        <w:rPr>
          <w:sz w:val="18"/>
          <w:szCs w:val="18"/>
        </w:rPr>
      </w:pPr>
      <w:r>
        <w:rPr>
          <w:rStyle w:val="FootnoteReference"/>
        </w:rPr>
        <w:footnoteRef/>
      </w:r>
      <w:r>
        <w:t xml:space="preserve"> </w:t>
      </w:r>
      <w:r>
        <w:rPr>
          <w:sz w:val="18"/>
          <w:szCs w:val="18"/>
        </w:rPr>
        <w:t xml:space="preserve">Rapport ITIE 2014 : </w:t>
      </w:r>
      <w:hyperlink r:id="rId2" w:history="1">
        <w:r>
          <w:rPr>
            <w:rStyle w:val="Hyperlink"/>
            <w:sz w:val="18"/>
            <w:szCs w:val="18"/>
          </w:rPr>
          <w:t>https://eiti.org/sites/default/files/documents/rapport-itie-togo_2014.pdf</w:t>
        </w:r>
      </w:hyperlink>
      <w:r>
        <w:rPr>
          <w:sz w:val="18"/>
          <w:szCs w:val="18"/>
        </w:rPr>
        <w:t xml:space="preserve"> </w:t>
      </w:r>
    </w:p>
  </w:footnote>
  <w:footnote w:id="3">
    <w:p w14:paraId="5ADDF008" w14:textId="77777777" w:rsidR="004E2A3B" w:rsidRPr="00F746AD" w:rsidRDefault="004E2A3B" w:rsidP="004E2A3B">
      <w:pPr>
        <w:pStyle w:val="FootnoteText"/>
      </w:pPr>
      <w:r>
        <w:rPr>
          <w:rStyle w:val="FootnoteReference"/>
          <w:sz w:val="18"/>
          <w:szCs w:val="18"/>
        </w:rPr>
        <w:footnoteRef/>
      </w:r>
      <w:r>
        <w:rPr>
          <w:sz w:val="18"/>
          <w:szCs w:val="18"/>
        </w:rPr>
        <w:t xml:space="preserve"> </w:t>
      </w:r>
      <w:hyperlink r:id="rId3" w:history="1">
        <w:r>
          <w:rPr>
            <w:rStyle w:val="Hyperlink"/>
            <w:sz w:val="18"/>
            <w:szCs w:val="18"/>
          </w:rPr>
          <w:t>https://www.imf.org/external/pubs/ft/scr/2014/cr14224.pdf</w:t>
        </w:r>
      </w:hyperlink>
      <w:r>
        <w:t xml:space="preserve"> </w:t>
      </w:r>
      <w:r>
        <w:rPr>
          <w:sz w:val="18"/>
          <w:szCs w:val="18"/>
        </w:rPr>
        <w:t xml:space="preserve"> </w:t>
      </w:r>
    </w:p>
  </w:footnote>
  <w:footnote w:id="4">
    <w:p w14:paraId="7E67BFA6" w14:textId="77777777" w:rsidR="004E2A3B" w:rsidRPr="00F746AD" w:rsidRDefault="004E2A3B" w:rsidP="004E2A3B">
      <w:pPr>
        <w:pStyle w:val="FootnoteText"/>
      </w:pPr>
      <w:r>
        <w:rPr>
          <w:rStyle w:val="FootnoteReference"/>
        </w:rPr>
        <w:footnoteRef/>
      </w:r>
      <w:r>
        <w:t xml:space="preserve"> </w:t>
      </w:r>
      <w:r>
        <w:rPr>
          <w:sz w:val="18"/>
          <w:szCs w:val="18"/>
        </w:rPr>
        <w:t>http://www.assemblee-nationale.tg/actualites/217-renforcement-de-l%E2%80%99arsenal-juridique-en-mati%C3%A8re-lutte-contre-la-corruption.htm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2"/>
      <w:numFmt w:val="bullet"/>
      <w:lvlText w:val="."/>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855EB6"/>
    <w:multiLevelType w:val="multilevel"/>
    <w:tmpl w:val="493A948C"/>
    <w:lvl w:ilvl="0">
      <w:start w:val="1"/>
      <w:numFmt w:val="decimal"/>
      <w:lvlText w:val="%1."/>
      <w:lvlJc w:val="left"/>
      <w:pPr>
        <w:ind w:left="360" w:hanging="360"/>
      </w:pPr>
      <w:rPr>
        <w:rFonts w:hint="default"/>
      </w:rPr>
    </w:lvl>
    <w:lvl w:ilvl="1">
      <w:start w:val="1"/>
      <w:numFmt w:val="decimal"/>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5CB5CCD"/>
    <w:multiLevelType w:val="hybridMultilevel"/>
    <w:tmpl w:val="D0DE7470"/>
    <w:lvl w:ilvl="0" w:tplc="589E0C64">
      <w:start w:val="1"/>
      <w:numFmt w:val="decimal"/>
      <w:lvlText w:val="%1."/>
      <w:lvlJc w:val="left"/>
      <w:pPr>
        <w:ind w:left="360" w:hanging="360"/>
      </w:pPr>
      <w:rPr>
        <w:rFonts w:hint="default"/>
        <w:color w:val="1F497D" w:themeColor="text2"/>
      </w:rPr>
    </w:lvl>
    <w:lvl w:ilvl="1" w:tplc="0409000F">
      <w:start w:val="1"/>
      <w:numFmt w:val="decimal"/>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DD6164"/>
    <w:multiLevelType w:val="multilevel"/>
    <w:tmpl w:val="B228248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7D45DB0"/>
    <w:multiLevelType w:val="hybridMultilevel"/>
    <w:tmpl w:val="CE9028D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5" w15:restartNumberingAfterBreak="0">
    <w:nsid w:val="2F7849E5"/>
    <w:multiLevelType w:val="hybridMultilevel"/>
    <w:tmpl w:val="39AE5B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565690F"/>
    <w:multiLevelType w:val="hybridMultilevel"/>
    <w:tmpl w:val="4C388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564306"/>
    <w:multiLevelType w:val="hybridMultilevel"/>
    <w:tmpl w:val="0046C676"/>
    <w:lvl w:ilvl="0" w:tplc="BDE81F82">
      <w:start w:val="1"/>
      <w:numFmt w:val="decimal"/>
      <w:lvlText w:val="%1.1"/>
      <w:lvlJc w:val="left"/>
      <w:pPr>
        <w:ind w:left="360" w:hanging="360"/>
      </w:pPr>
      <w:rPr>
        <w:rFonts w:hint="default"/>
      </w:rPr>
    </w:lvl>
    <w:lvl w:ilvl="1" w:tplc="0409000F">
      <w:start w:val="1"/>
      <w:numFmt w:val="decimal"/>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C425652"/>
    <w:multiLevelType w:val="hybridMultilevel"/>
    <w:tmpl w:val="B67EA480"/>
    <w:lvl w:ilvl="0" w:tplc="0C0C000F">
      <w:start w:val="1"/>
      <w:numFmt w:val="decimal"/>
      <w:lvlText w:val="%1."/>
      <w:lvlJc w:val="left"/>
      <w:pPr>
        <w:ind w:left="720" w:hanging="360"/>
      </w:p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9" w15:restartNumberingAfterBreak="0">
    <w:nsid w:val="7DCF4408"/>
    <w:multiLevelType w:val="multilevel"/>
    <w:tmpl w:val="24202D26"/>
    <w:lvl w:ilvl="0">
      <w:start w:val="1"/>
      <w:numFmt w:val="decimal"/>
      <w:lvlText w:val="%1."/>
      <w:lvlJc w:val="left"/>
      <w:pPr>
        <w:ind w:left="36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9"/>
  </w:num>
  <w:num w:numId="6">
    <w:abstractNumId w:val="1"/>
  </w:num>
  <w:num w:numId="7">
    <w:abstractNumId w:val="7"/>
  </w:num>
  <w:num w:numId="8">
    <w:abstractNumId w:val="4"/>
  </w:num>
  <w:num w:numId="9">
    <w:abstractNumId w:val="0"/>
  </w:num>
  <w:num w:numId="10">
    <w:abstractNumId w:val="8"/>
    <w:lvlOverride w:ilvl="0">
      <w:startOverride w:val="1"/>
    </w:lvlOverride>
    <w:lvlOverride w:ilvl="1"/>
    <w:lvlOverride w:ilvl="2"/>
    <w:lvlOverride w:ilvl="3"/>
    <w:lvlOverride w:ilvl="4"/>
    <w:lvlOverride w:ilvl="5"/>
    <w:lvlOverride w:ilvl="6"/>
    <w:lvlOverride w:ilvl="7"/>
    <w:lvlOverride w:ilv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E76"/>
    <w:rsid w:val="0000008D"/>
    <w:rsid w:val="00000EAA"/>
    <w:rsid w:val="000078E9"/>
    <w:rsid w:val="00010FBC"/>
    <w:rsid w:val="00012BF4"/>
    <w:rsid w:val="0001315D"/>
    <w:rsid w:val="000131DC"/>
    <w:rsid w:val="00016E7E"/>
    <w:rsid w:val="000175AE"/>
    <w:rsid w:val="00020DA4"/>
    <w:rsid w:val="000235AF"/>
    <w:rsid w:val="0002362B"/>
    <w:rsid w:val="00024230"/>
    <w:rsid w:val="000257C0"/>
    <w:rsid w:val="00026B56"/>
    <w:rsid w:val="0002747A"/>
    <w:rsid w:val="00032378"/>
    <w:rsid w:val="0003327A"/>
    <w:rsid w:val="00040C82"/>
    <w:rsid w:val="00043B92"/>
    <w:rsid w:val="000451B8"/>
    <w:rsid w:val="0004522F"/>
    <w:rsid w:val="000458E0"/>
    <w:rsid w:val="00052B74"/>
    <w:rsid w:val="00052BA4"/>
    <w:rsid w:val="00052CF8"/>
    <w:rsid w:val="00054AFD"/>
    <w:rsid w:val="00055542"/>
    <w:rsid w:val="00056339"/>
    <w:rsid w:val="000608BE"/>
    <w:rsid w:val="000625CE"/>
    <w:rsid w:val="00063632"/>
    <w:rsid w:val="000639AA"/>
    <w:rsid w:val="0006457D"/>
    <w:rsid w:val="00066680"/>
    <w:rsid w:val="00066886"/>
    <w:rsid w:val="000668A8"/>
    <w:rsid w:val="00067645"/>
    <w:rsid w:val="00072E68"/>
    <w:rsid w:val="000740A8"/>
    <w:rsid w:val="00077722"/>
    <w:rsid w:val="00080AC4"/>
    <w:rsid w:val="00084829"/>
    <w:rsid w:val="00086E78"/>
    <w:rsid w:val="0008702B"/>
    <w:rsid w:val="00091E26"/>
    <w:rsid w:val="00093566"/>
    <w:rsid w:val="000948B3"/>
    <w:rsid w:val="00096C45"/>
    <w:rsid w:val="000A0B63"/>
    <w:rsid w:val="000A0C1A"/>
    <w:rsid w:val="000A2F16"/>
    <w:rsid w:val="000A3C50"/>
    <w:rsid w:val="000A3D4E"/>
    <w:rsid w:val="000A69B8"/>
    <w:rsid w:val="000A7FF2"/>
    <w:rsid w:val="000B2406"/>
    <w:rsid w:val="000B2FAB"/>
    <w:rsid w:val="000C2A95"/>
    <w:rsid w:val="000C30FD"/>
    <w:rsid w:val="000C44C2"/>
    <w:rsid w:val="000C4539"/>
    <w:rsid w:val="000C53DD"/>
    <w:rsid w:val="000C5823"/>
    <w:rsid w:val="000C6419"/>
    <w:rsid w:val="000C7450"/>
    <w:rsid w:val="000D0AE4"/>
    <w:rsid w:val="000D2C70"/>
    <w:rsid w:val="000D69DE"/>
    <w:rsid w:val="000D6AB9"/>
    <w:rsid w:val="000D7037"/>
    <w:rsid w:val="000D71C1"/>
    <w:rsid w:val="000D7CEB"/>
    <w:rsid w:val="000E1506"/>
    <w:rsid w:val="000E1BF2"/>
    <w:rsid w:val="000E2EF6"/>
    <w:rsid w:val="000E345F"/>
    <w:rsid w:val="000F3FE0"/>
    <w:rsid w:val="000F47AA"/>
    <w:rsid w:val="000F5101"/>
    <w:rsid w:val="000F5A22"/>
    <w:rsid w:val="000F6A0D"/>
    <w:rsid w:val="000F7F99"/>
    <w:rsid w:val="00100B28"/>
    <w:rsid w:val="00103020"/>
    <w:rsid w:val="00106D21"/>
    <w:rsid w:val="00106D40"/>
    <w:rsid w:val="001109C2"/>
    <w:rsid w:val="00112A19"/>
    <w:rsid w:val="00113151"/>
    <w:rsid w:val="00114464"/>
    <w:rsid w:val="00116C05"/>
    <w:rsid w:val="001212FD"/>
    <w:rsid w:val="0012232F"/>
    <w:rsid w:val="001244EB"/>
    <w:rsid w:val="00124A0A"/>
    <w:rsid w:val="00125E59"/>
    <w:rsid w:val="00131F3F"/>
    <w:rsid w:val="0013451F"/>
    <w:rsid w:val="00140F76"/>
    <w:rsid w:val="00142290"/>
    <w:rsid w:val="001427A5"/>
    <w:rsid w:val="00143D5A"/>
    <w:rsid w:val="00146EC1"/>
    <w:rsid w:val="00151499"/>
    <w:rsid w:val="0015252C"/>
    <w:rsid w:val="00155749"/>
    <w:rsid w:val="00161877"/>
    <w:rsid w:val="00162976"/>
    <w:rsid w:val="001645A4"/>
    <w:rsid w:val="00166319"/>
    <w:rsid w:val="00171CE0"/>
    <w:rsid w:val="00172322"/>
    <w:rsid w:val="001748FF"/>
    <w:rsid w:val="00174A91"/>
    <w:rsid w:val="00176B8D"/>
    <w:rsid w:val="0017792C"/>
    <w:rsid w:val="0018007F"/>
    <w:rsid w:val="001817EE"/>
    <w:rsid w:val="00182F37"/>
    <w:rsid w:val="0018358C"/>
    <w:rsid w:val="00184391"/>
    <w:rsid w:val="00185BF5"/>
    <w:rsid w:val="001861D5"/>
    <w:rsid w:val="0018631A"/>
    <w:rsid w:val="00186F04"/>
    <w:rsid w:val="00191216"/>
    <w:rsid w:val="001921DC"/>
    <w:rsid w:val="001946A4"/>
    <w:rsid w:val="00197D6B"/>
    <w:rsid w:val="001A132E"/>
    <w:rsid w:val="001A386F"/>
    <w:rsid w:val="001A4E34"/>
    <w:rsid w:val="001A50F7"/>
    <w:rsid w:val="001A6431"/>
    <w:rsid w:val="001B3B6F"/>
    <w:rsid w:val="001C1952"/>
    <w:rsid w:val="001C33F5"/>
    <w:rsid w:val="001C3829"/>
    <w:rsid w:val="001D3A2B"/>
    <w:rsid w:val="001D4318"/>
    <w:rsid w:val="001D68E2"/>
    <w:rsid w:val="001D759A"/>
    <w:rsid w:val="001F0A27"/>
    <w:rsid w:val="001F6B6D"/>
    <w:rsid w:val="00200EC6"/>
    <w:rsid w:val="00201632"/>
    <w:rsid w:val="00201EB8"/>
    <w:rsid w:val="00205C1B"/>
    <w:rsid w:val="00205CD3"/>
    <w:rsid w:val="00205F21"/>
    <w:rsid w:val="002109FB"/>
    <w:rsid w:val="002200AD"/>
    <w:rsid w:val="0022274E"/>
    <w:rsid w:val="00222E85"/>
    <w:rsid w:val="002234D7"/>
    <w:rsid w:val="00232B37"/>
    <w:rsid w:val="00233DB9"/>
    <w:rsid w:val="002370E4"/>
    <w:rsid w:val="00243D4F"/>
    <w:rsid w:val="00243FF7"/>
    <w:rsid w:val="00244055"/>
    <w:rsid w:val="002466C7"/>
    <w:rsid w:val="002505AD"/>
    <w:rsid w:val="0025100A"/>
    <w:rsid w:val="00252B84"/>
    <w:rsid w:val="00255687"/>
    <w:rsid w:val="00255ACF"/>
    <w:rsid w:val="00256D61"/>
    <w:rsid w:val="002576A4"/>
    <w:rsid w:val="002577E7"/>
    <w:rsid w:val="002609AC"/>
    <w:rsid w:val="00260A19"/>
    <w:rsid w:val="0026125F"/>
    <w:rsid w:val="00265099"/>
    <w:rsid w:val="002661D4"/>
    <w:rsid w:val="00266A77"/>
    <w:rsid w:val="002679BC"/>
    <w:rsid w:val="00271BC7"/>
    <w:rsid w:val="002723E4"/>
    <w:rsid w:val="00272A27"/>
    <w:rsid w:val="00273070"/>
    <w:rsid w:val="002730B2"/>
    <w:rsid w:val="00274673"/>
    <w:rsid w:val="00275241"/>
    <w:rsid w:val="002807CA"/>
    <w:rsid w:val="00280C48"/>
    <w:rsid w:val="00283F39"/>
    <w:rsid w:val="00285F1D"/>
    <w:rsid w:val="00286C7B"/>
    <w:rsid w:val="002875D7"/>
    <w:rsid w:val="00287F73"/>
    <w:rsid w:val="00291451"/>
    <w:rsid w:val="00292CAD"/>
    <w:rsid w:val="002939E2"/>
    <w:rsid w:val="00294906"/>
    <w:rsid w:val="002A10E4"/>
    <w:rsid w:val="002A3A13"/>
    <w:rsid w:val="002A3D9D"/>
    <w:rsid w:val="002A5801"/>
    <w:rsid w:val="002B2A68"/>
    <w:rsid w:val="002B3318"/>
    <w:rsid w:val="002B3865"/>
    <w:rsid w:val="002B53EF"/>
    <w:rsid w:val="002C0504"/>
    <w:rsid w:val="002C0FC7"/>
    <w:rsid w:val="002C1876"/>
    <w:rsid w:val="002C25D5"/>
    <w:rsid w:val="002C60C6"/>
    <w:rsid w:val="002C640F"/>
    <w:rsid w:val="002C67FF"/>
    <w:rsid w:val="002D1528"/>
    <w:rsid w:val="002D2440"/>
    <w:rsid w:val="002D4B3C"/>
    <w:rsid w:val="002D6BB1"/>
    <w:rsid w:val="002E4D95"/>
    <w:rsid w:val="002E590F"/>
    <w:rsid w:val="002F4158"/>
    <w:rsid w:val="002F594B"/>
    <w:rsid w:val="002F73B1"/>
    <w:rsid w:val="00303148"/>
    <w:rsid w:val="00306890"/>
    <w:rsid w:val="00307CAE"/>
    <w:rsid w:val="00307DC4"/>
    <w:rsid w:val="00310D77"/>
    <w:rsid w:val="00315CBE"/>
    <w:rsid w:val="003166B3"/>
    <w:rsid w:val="00320061"/>
    <w:rsid w:val="00321499"/>
    <w:rsid w:val="0032211D"/>
    <w:rsid w:val="0032249A"/>
    <w:rsid w:val="00325E55"/>
    <w:rsid w:val="003267A5"/>
    <w:rsid w:val="0033180A"/>
    <w:rsid w:val="00333DBB"/>
    <w:rsid w:val="00334685"/>
    <w:rsid w:val="0033525E"/>
    <w:rsid w:val="00340268"/>
    <w:rsid w:val="00344212"/>
    <w:rsid w:val="00346286"/>
    <w:rsid w:val="00351B5C"/>
    <w:rsid w:val="00362704"/>
    <w:rsid w:val="00363CA8"/>
    <w:rsid w:val="0036418F"/>
    <w:rsid w:val="00364807"/>
    <w:rsid w:val="0036521A"/>
    <w:rsid w:val="00373DD8"/>
    <w:rsid w:val="00375307"/>
    <w:rsid w:val="00376AFA"/>
    <w:rsid w:val="00377024"/>
    <w:rsid w:val="0037743F"/>
    <w:rsid w:val="00380CCB"/>
    <w:rsid w:val="00381155"/>
    <w:rsid w:val="0038180E"/>
    <w:rsid w:val="00382343"/>
    <w:rsid w:val="0038392A"/>
    <w:rsid w:val="00384CAF"/>
    <w:rsid w:val="00384E97"/>
    <w:rsid w:val="003857B3"/>
    <w:rsid w:val="00392B71"/>
    <w:rsid w:val="003934A3"/>
    <w:rsid w:val="00393AA5"/>
    <w:rsid w:val="003950DC"/>
    <w:rsid w:val="00395479"/>
    <w:rsid w:val="0039698B"/>
    <w:rsid w:val="003A26C7"/>
    <w:rsid w:val="003A4AC6"/>
    <w:rsid w:val="003A5D1F"/>
    <w:rsid w:val="003A7667"/>
    <w:rsid w:val="003B1788"/>
    <w:rsid w:val="003B48A7"/>
    <w:rsid w:val="003B5076"/>
    <w:rsid w:val="003B64A4"/>
    <w:rsid w:val="003B7FE9"/>
    <w:rsid w:val="003C0848"/>
    <w:rsid w:val="003C3DFC"/>
    <w:rsid w:val="003C4611"/>
    <w:rsid w:val="003C55B1"/>
    <w:rsid w:val="003C7904"/>
    <w:rsid w:val="003D1826"/>
    <w:rsid w:val="003D19A9"/>
    <w:rsid w:val="003D3D96"/>
    <w:rsid w:val="003D4499"/>
    <w:rsid w:val="003D4EF9"/>
    <w:rsid w:val="003E11EA"/>
    <w:rsid w:val="003E7306"/>
    <w:rsid w:val="003F1B6C"/>
    <w:rsid w:val="003F1C2B"/>
    <w:rsid w:val="003F2856"/>
    <w:rsid w:val="003F2A08"/>
    <w:rsid w:val="003F30F3"/>
    <w:rsid w:val="003F33B0"/>
    <w:rsid w:val="003F52C0"/>
    <w:rsid w:val="00400D91"/>
    <w:rsid w:val="00403081"/>
    <w:rsid w:val="00403C59"/>
    <w:rsid w:val="00403D48"/>
    <w:rsid w:val="00404575"/>
    <w:rsid w:val="00404829"/>
    <w:rsid w:val="00406FF1"/>
    <w:rsid w:val="00407054"/>
    <w:rsid w:val="004200CA"/>
    <w:rsid w:val="00420CFE"/>
    <w:rsid w:val="00422BC2"/>
    <w:rsid w:val="0042550B"/>
    <w:rsid w:val="00425EE0"/>
    <w:rsid w:val="00425F66"/>
    <w:rsid w:val="004306DD"/>
    <w:rsid w:val="00430FAA"/>
    <w:rsid w:val="00431189"/>
    <w:rsid w:val="0043214E"/>
    <w:rsid w:val="00432C81"/>
    <w:rsid w:val="00441E23"/>
    <w:rsid w:val="00447899"/>
    <w:rsid w:val="00447C69"/>
    <w:rsid w:val="004526E1"/>
    <w:rsid w:val="004561B8"/>
    <w:rsid w:val="0045757A"/>
    <w:rsid w:val="00460639"/>
    <w:rsid w:val="00460C86"/>
    <w:rsid w:val="00460EC4"/>
    <w:rsid w:val="0046105E"/>
    <w:rsid w:val="00462D99"/>
    <w:rsid w:val="00465FBB"/>
    <w:rsid w:val="004663D8"/>
    <w:rsid w:val="00466F03"/>
    <w:rsid w:val="0047251C"/>
    <w:rsid w:val="00474234"/>
    <w:rsid w:val="00474343"/>
    <w:rsid w:val="00474858"/>
    <w:rsid w:val="004752AF"/>
    <w:rsid w:val="00476A12"/>
    <w:rsid w:val="004855CE"/>
    <w:rsid w:val="004855E9"/>
    <w:rsid w:val="00486BD8"/>
    <w:rsid w:val="00487012"/>
    <w:rsid w:val="00490165"/>
    <w:rsid w:val="004911B9"/>
    <w:rsid w:val="00493D90"/>
    <w:rsid w:val="004A0786"/>
    <w:rsid w:val="004A54DF"/>
    <w:rsid w:val="004A6C81"/>
    <w:rsid w:val="004B10D1"/>
    <w:rsid w:val="004B2253"/>
    <w:rsid w:val="004B2428"/>
    <w:rsid w:val="004B3273"/>
    <w:rsid w:val="004B348A"/>
    <w:rsid w:val="004B4969"/>
    <w:rsid w:val="004B5FE7"/>
    <w:rsid w:val="004C04D7"/>
    <w:rsid w:val="004C534B"/>
    <w:rsid w:val="004C6979"/>
    <w:rsid w:val="004C6C04"/>
    <w:rsid w:val="004D5961"/>
    <w:rsid w:val="004D645B"/>
    <w:rsid w:val="004D7FC9"/>
    <w:rsid w:val="004E0BE2"/>
    <w:rsid w:val="004E2A3B"/>
    <w:rsid w:val="004E6B86"/>
    <w:rsid w:val="004F0128"/>
    <w:rsid w:val="004F0B0E"/>
    <w:rsid w:val="004F2CA7"/>
    <w:rsid w:val="004F300B"/>
    <w:rsid w:val="004F42C6"/>
    <w:rsid w:val="004F7D10"/>
    <w:rsid w:val="00501794"/>
    <w:rsid w:val="00504018"/>
    <w:rsid w:val="005046F3"/>
    <w:rsid w:val="00505BAC"/>
    <w:rsid w:val="00505CDA"/>
    <w:rsid w:val="005105D2"/>
    <w:rsid w:val="00511324"/>
    <w:rsid w:val="00511804"/>
    <w:rsid w:val="00512ADD"/>
    <w:rsid w:val="005140A5"/>
    <w:rsid w:val="00516DAC"/>
    <w:rsid w:val="00517B78"/>
    <w:rsid w:val="00517FFB"/>
    <w:rsid w:val="00521EA7"/>
    <w:rsid w:val="0052678F"/>
    <w:rsid w:val="00527027"/>
    <w:rsid w:val="0053095C"/>
    <w:rsid w:val="00530F33"/>
    <w:rsid w:val="0053408A"/>
    <w:rsid w:val="005362E3"/>
    <w:rsid w:val="005379B3"/>
    <w:rsid w:val="00543342"/>
    <w:rsid w:val="005434A8"/>
    <w:rsid w:val="00546A35"/>
    <w:rsid w:val="00551A79"/>
    <w:rsid w:val="00554692"/>
    <w:rsid w:val="00554A84"/>
    <w:rsid w:val="00555FC2"/>
    <w:rsid w:val="005560CF"/>
    <w:rsid w:val="00560392"/>
    <w:rsid w:val="005625E1"/>
    <w:rsid w:val="00562D78"/>
    <w:rsid w:val="005639C7"/>
    <w:rsid w:val="00563A07"/>
    <w:rsid w:val="005676C1"/>
    <w:rsid w:val="00570CCE"/>
    <w:rsid w:val="00572CE5"/>
    <w:rsid w:val="00573AAF"/>
    <w:rsid w:val="0057439F"/>
    <w:rsid w:val="00574839"/>
    <w:rsid w:val="005749BE"/>
    <w:rsid w:val="00575789"/>
    <w:rsid w:val="005766FF"/>
    <w:rsid w:val="005767D3"/>
    <w:rsid w:val="005771D0"/>
    <w:rsid w:val="005810AD"/>
    <w:rsid w:val="00581B23"/>
    <w:rsid w:val="00583A02"/>
    <w:rsid w:val="00585073"/>
    <w:rsid w:val="005872A9"/>
    <w:rsid w:val="005900C1"/>
    <w:rsid w:val="005903F2"/>
    <w:rsid w:val="00590CD7"/>
    <w:rsid w:val="005939AC"/>
    <w:rsid w:val="00596E83"/>
    <w:rsid w:val="005A0923"/>
    <w:rsid w:val="005A0985"/>
    <w:rsid w:val="005A3EDA"/>
    <w:rsid w:val="005A45C3"/>
    <w:rsid w:val="005B7604"/>
    <w:rsid w:val="005C0DD5"/>
    <w:rsid w:val="005C3ADE"/>
    <w:rsid w:val="005C3DCD"/>
    <w:rsid w:val="005C7005"/>
    <w:rsid w:val="005D0773"/>
    <w:rsid w:val="005D0D9D"/>
    <w:rsid w:val="005D146A"/>
    <w:rsid w:val="005D4CFB"/>
    <w:rsid w:val="005D4E65"/>
    <w:rsid w:val="005D64D1"/>
    <w:rsid w:val="005D74C7"/>
    <w:rsid w:val="005E258B"/>
    <w:rsid w:val="005E2F26"/>
    <w:rsid w:val="005E6402"/>
    <w:rsid w:val="005E7CB7"/>
    <w:rsid w:val="005F391B"/>
    <w:rsid w:val="005F55FB"/>
    <w:rsid w:val="00604FF2"/>
    <w:rsid w:val="00614D35"/>
    <w:rsid w:val="0061665A"/>
    <w:rsid w:val="006227AF"/>
    <w:rsid w:val="00623492"/>
    <w:rsid w:val="00623D3C"/>
    <w:rsid w:val="00623EF8"/>
    <w:rsid w:val="006274A2"/>
    <w:rsid w:val="00627573"/>
    <w:rsid w:val="00633888"/>
    <w:rsid w:val="00635030"/>
    <w:rsid w:val="00635575"/>
    <w:rsid w:val="006369C6"/>
    <w:rsid w:val="00637542"/>
    <w:rsid w:val="00637ED8"/>
    <w:rsid w:val="00641943"/>
    <w:rsid w:val="00645AC4"/>
    <w:rsid w:val="00646249"/>
    <w:rsid w:val="00650747"/>
    <w:rsid w:val="006511EE"/>
    <w:rsid w:val="006528B2"/>
    <w:rsid w:val="00655133"/>
    <w:rsid w:val="00655EB3"/>
    <w:rsid w:val="00656C60"/>
    <w:rsid w:val="00656DBA"/>
    <w:rsid w:val="00663A70"/>
    <w:rsid w:val="0066559A"/>
    <w:rsid w:val="0066592A"/>
    <w:rsid w:val="0067079A"/>
    <w:rsid w:val="006745FB"/>
    <w:rsid w:val="00674996"/>
    <w:rsid w:val="00675A25"/>
    <w:rsid w:val="00682EFA"/>
    <w:rsid w:val="006834F9"/>
    <w:rsid w:val="0068487E"/>
    <w:rsid w:val="006910F3"/>
    <w:rsid w:val="00691602"/>
    <w:rsid w:val="00692422"/>
    <w:rsid w:val="006944BB"/>
    <w:rsid w:val="006951CD"/>
    <w:rsid w:val="00695C72"/>
    <w:rsid w:val="006960C7"/>
    <w:rsid w:val="006A0DF3"/>
    <w:rsid w:val="006A5849"/>
    <w:rsid w:val="006A6EE1"/>
    <w:rsid w:val="006B4CDF"/>
    <w:rsid w:val="006B52FA"/>
    <w:rsid w:val="006B688F"/>
    <w:rsid w:val="006C0CDF"/>
    <w:rsid w:val="006C43F6"/>
    <w:rsid w:val="006C56E6"/>
    <w:rsid w:val="006D5EA2"/>
    <w:rsid w:val="006D7323"/>
    <w:rsid w:val="006E04A7"/>
    <w:rsid w:val="006E0670"/>
    <w:rsid w:val="006E53C1"/>
    <w:rsid w:val="006F0D0F"/>
    <w:rsid w:val="006F0D9A"/>
    <w:rsid w:val="006F1CB2"/>
    <w:rsid w:val="006F208D"/>
    <w:rsid w:val="006F4E34"/>
    <w:rsid w:val="006F6C76"/>
    <w:rsid w:val="006F6FD1"/>
    <w:rsid w:val="00710D95"/>
    <w:rsid w:val="007122AF"/>
    <w:rsid w:val="007144B0"/>
    <w:rsid w:val="007148AA"/>
    <w:rsid w:val="007173FD"/>
    <w:rsid w:val="00717845"/>
    <w:rsid w:val="007211CC"/>
    <w:rsid w:val="00721280"/>
    <w:rsid w:val="00721C29"/>
    <w:rsid w:val="0072316D"/>
    <w:rsid w:val="00723260"/>
    <w:rsid w:val="0072571A"/>
    <w:rsid w:val="0073578D"/>
    <w:rsid w:val="00737D5D"/>
    <w:rsid w:val="00737E2E"/>
    <w:rsid w:val="00740C2D"/>
    <w:rsid w:val="007413D3"/>
    <w:rsid w:val="00742650"/>
    <w:rsid w:val="007430E1"/>
    <w:rsid w:val="0074366E"/>
    <w:rsid w:val="00744454"/>
    <w:rsid w:val="007454CA"/>
    <w:rsid w:val="00745B79"/>
    <w:rsid w:val="00750730"/>
    <w:rsid w:val="00750901"/>
    <w:rsid w:val="00754851"/>
    <w:rsid w:val="00757AF9"/>
    <w:rsid w:val="007610B9"/>
    <w:rsid w:val="00761D22"/>
    <w:rsid w:val="00763429"/>
    <w:rsid w:val="00766D41"/>
    <w:rsid w:val="00767209"/>
    <w:rsid w:val="00776B0E"/>
    <w:rsid w:val="00776C2D"/>
    <w:rsid w:val="00780054"/>
    <w:rsid w:val="007817D2"/>
    <w:rsid w:val="007830A7"/>
    <w:rsid w:val="00783488"/>
    <w:rsid w:val="00785F68"/>
    <w:rsid w:val="00786845"/>
    <w:rsid w:val="00787A65"/>
    <w:rsid w:val="00794895"/>
    <w:rsid w:val="00795D6F"/>
    <w:rsid w:val="007A1C92"/>
    <w:rsid w:val="007A2F0A"/>
    <w:rsid w:val="007A4AAF"/>
    <w:rsid w:val="007A5596"/>
    <w:rsid w:val="007A6A78"/>
    <w:rsid w:val="007A716C"/>
    <w:rsid w:val="007B1E7B"/>
    <w:rsid w:val="007B254D"/>
    <w:rsid w:val="007B29DA"/>
    <w:rsid w:val="007B3640"/>
    <w:rsid w:val="007B4CB8"/>
    <w:rsid w:val="007B4FD2"/>
    <w:rsid w:val="007B54EB"/>
    <w:rsid w:val="007B5B50"/>
    <w:rsid w:val="007B5F54"/>
    <w:rsid w:val="007B660A"/>
    <w:rsid w:val="007B66A0"/>
    <w:rsid w:val="007B708B"/>
    <w:rsid w:val="007B71B4"/>
    <w:rsid w:val="007B73A9"/>
    <w:rsid w:val="007C0497"/>
    <w:rsid w:val="007C3785"/>
    <w:rsid w:val="007D16DE"/>
    <w:rsid w:val="007D33F8"/>
    <w:rsid w:val="007D380E"/>
    <w:rsid w:val="007D429D"/>
    <w:rsid w:val="007D48CD"/>
    <w:rsid w:val="007E1CEC"/>
    <w:rsid w:val="007E28F0"/>
    <w:rsid w:val="007E4AE0"/>
    <w:rsid w:val="007E5B01"/>
    <w:rsid w:val="007E73F3"/>
    <w:rsid w:val="007F1C2E"/>
    <w:rsid w:val="007F2D87"/>
    <w:rsid w:val="007F318E"/>
    <w:rsid w:val="007F5E89"/>
    <w:rsid w:val="007F60D3"/>
    <w:rsid w:val="007F730B"/>
    <w:rsid w:val="00800CDD"/>
    <w:rsid w:val="00802D4A"/>
    <w:rsid w:val="00803CB3"/>
    <w:rsid w:val="0080431C"/>
    <w:rsid w:val="008116D3"/>
    <w:rsid w:val="00813694"/>
    <w:rsid w:val="00815301"/>
    <w:rsid w:val="0081641D"/>
    <w:rsid w:val="0082215E"/>
    <w:rsid w:val="00823D46"/>
    <w:rsid w:val="00824402"/>
    <w:rsid w:val="00830F20"/>
    <w:rsid w:val="00833DCA"/>
    <w:rsid w:val="00840C7F"/>
    <w:rsid w:val="0084290B"/>
    <w:rsid w:val="00850815"/>
    <w:rsid w:val="0085150B"/>
    <w:rsid w:val="00852CC3"/>
    <w:rsid w:val="00857314"/>
    <w:rsid w:val="00860B70"/>
    <w:rsid w:val="00860D5F"/>
    <w:rsid w:val="00865D33"/>
    <w:rsid w:val="008661EA"/>
    <w:rsid w:val="00874A03"/>
    <w:rsid w:val="00874C2F"/>
    <w:rsid w:val="00874CF2"/>
    <w:rsid w:val="008761C1"/>
    <w:rsid w:val="008826A2"/>
    <w:rsid w:val="00886D03"/>
    <w:rsid w:val="00894529"/>
    <w:rsid w:val="0089655B"/>
    <w:rsid w:val="008A3148"/>
    <w:rsid w:val="008B121A"/>
    <w:rsid w:val="008B3137"/>
    <w:rsid w:val="008B4CB1"/>
    <w:rsid w:val="008B667D"/>
    <w:rsid w:val="008B7147"/>
    <w:rsid w:val="008C1814"/>
    <w:rsid w:val="008D172E"/>
    <w:rsid w:val="008D5482"/>
    <w:rsid w:val="008D78FC"/>
    <w:rsid w:val="008D79EB"/>
    <w:rsid w:val="008E009D"/>
    <w:rsid w:val="008E0C36"/>
    <w:rsid w:val="008E0D4E"/>
    <w:rsid w:val="008E16D4"/>
    <w:rsid w:val="008E2677"/>
    <w:rsid w:val="008E410C"/>
    <w:rsid w:val="008E5EE5"/>
    <w:rsid w:val="008F07C2"/>
    <w:rsid w:val="008F1C8B"/>
    <w:rsid w:val="008F3335"/>
    <w:rsid w:val="008F4867"/>
    <w:rsid w:val="008F7C5B"/>
    <w:rsid w:val="008F7EC5"/>
    <w:rsid w:val="00902651"/>
    <w:rsid w:val="00903744"/>
    <w:rsid w:val="00903C9E"/>
    <w:rsid w:val="0090462C"/>
    <w:rsid w:val="0090474E"/>
    <w:rsid w:val="00905186"/>
    <w:rsid w:val="00905644"/>
    <w:rsid w:val="00906DA4"/>
    <w:rsid w:val="00911C86"/>
    <w:rsid w:val="009123C8"/>
    <w:rsid w:val="00912864"/>
    <w:rsid w:val="009143D5"/>
    <w:rsid w:val="009155AD"/>
    <w:rsid w:val="00915E6C"/>
    <w:rsid w:val="0091688B"/>
    <w:rsid w:val="00916ADD"/>
    <w:rsid w:val="0092137D"/>
    <w:rsid w:val="00924DC3"/>
    <w:rsid w:val="0092600C"/>
    <w:rsid w:val="00930609"/>
    <w:rsid w:val="00932E1B"/>
    <w:rsid w:val="00936119"/>
    <w:rsid w:val="00937F9D"/>
    <w:rsid w:val="0094108D"/>
    <w:rsid w:val="00941286"/>
    <w:rsid w:val="00941D2C"/>
    <w:rsid w:val="009429A2"/>
    <w:rsid w:val="00944954"/>
    <w:rsid w:val="00945CB6"/>
    <w:rsid w:val="0094655E"/>
    <w:rsid w:val="00950B14"/>
    <w:rsid w:val="0095193E"/>
    <w:rsid w:val="00951DF1"/>
    <w:rsid w:val="00954096"/>
    <w:rsid w:val="009550D1"/>
    <w:rsid w:val="009551FD"/>
    <w:rsid w:val="009574AE"/>
    <w:rsid w:val="00957574"/>
    <w:rsid w:val="00961B28"/>
    <w:rsid w:val="00962437"/>
    <w:rsid w:val="00964A41"/>
    <w:rsid w:val="0096519D"/>
    <w:rsid w:val="009677D5"/>
    <w:rsid w:val="0096785F"/>
    <w:rsid w:val="00970DFB"/>
    <w:rsid w:val="009712AD"/>
    <w:rsid w:val="00972743"/>
    <w:rsid w:val="00972E76"/>
    <w:rsid w:val="0097367B"/>
    <w:rsid w:val="00973CC9"/>
    <w:rsid w:val="009815A8"/>
    <w:rsid w:val="0098211F"/>
    <w:rsid w:val="00985885"/>
    <w:rsid w:val="00990351"/>
    <w:rsid w:val="00990CD0"/>
    <w:rsid w:val="009A03D9"/>
    <w:rsid w:val="009A2490"/>
    <w:rsid w:val="009A25AC"/>
    <w:rsid w:val="009A58DE"/>
    <w:rsid w:val="009B0699"/>
    <w:rsid w:val="009B0806"/>
    <w:rsid w:val="009B2767"/>
    <w:rsid w:val="009B2EEB"/>
    <w:rsid w:val="009B4AC8"/>
    <w:rsid w:val="009B6799"/>
    <w:rsid w:val="009B6B17"/>
    <w:rsid w:val="009B7BDA"/>
    <w:rsid w:val="009C1A8A"/>
    <w:rsid w:val="009C4089"/>
    <w:rsid w:val="009D2723"/>
    <w:rsid w:val="009D4EA9"/>
    <w:rsid w:val="009D58E6"/>
    <w:rsid w:val="009E28B1"/>
    <w:rsid w:val="009E3509"/>
    <w:rsid w:val="009E7803"/>
    <w:rsid w:val="009E780B"/>
    <w:rsid w:val="009F2700"/>
    <w:rsid w:val="00A01C92"/>
    <w:rsid w:val="00A023FA"/>
    <w:rsid w:val="00A0249F"/>
    <w:rsid w:val="00A03FEB"/>
    <w:rsid w:val="00A15B94"/>
    <w:rsid w:val="00A16606"/>
    <w:rsid w:val="00A16EDC"/>
    <w:rsid w:val="00A1799A"/>
    <w:rsid w:val="00A20847"/>
    <w:rsid w:val="00A22D21"/>
    <w:rsid w:val="00A33B07"/>
    <w:rsid w:val="00A3483B"/>
    <w:rsid w:val="00A43946"/>
    <w:rsid w:val="00A4497F"/>
    <w:rsid w:val="00A4629A"/>
    <w:rsid w:val="00A464D8"/>
    <w:rsid w:val="00A46E39"/>
    <w:rsid w:val="00A47026"/>
    <w:rsid w:val="00A531BC"/>
    <w:rsid w:val="00A54825"/>
    <w:rsid w:val="00A57147"/>
    <w:rsid w:val="00A57487"/>
    <w:rsid w:val="00A57C07"/>
    <w:rsid w:val="00A60A4A"/>
    <w:rsid w:val="00A65255"/>
    <w:rsid w:val="00A669F4"/>
    <w:rsid w:val="00A67544"/>
    <w:rsid w:val="00A70C93"/>
    <w:rsid w:val="00A75E93"/>
    <w:rsid w:val="00A81804"/>
    <w:rsid w:val="00A85227"/>
    <w:rsid w:val="00A87823"/>
    <w:rsid w:val="00A912CB"/>
    <w:rsid w:val="00A938B1"/>
    <w:rsid w:val="00A9393E"/>
    <w:rsid w:val="00A939F1"/>
    <w:rsid w:val="00A944D6"/>
    <w:rsid w:val="00A952F9"/>
    <w:rsid w:val="00A957F0"/>
    <w:rsid w:val="00A97B13"/>
    <w:rsid w:val="00AA1BCE"/>
    <w:rsid w:val="00AA281B"/>
    <w:rsid w:val="00AA2F8F"/>
    <w:rsid w:val="00AA444B"/>
    <w:rsid w:val="00AA7231"/>
    <w:rsid w:val="00AA7251"/>
    <w:rsid w:val="00AB16B3"/>
    <w:rsid w:val="00AB36FC"/>
    <w:rsid w:val="00AB786F"/>
    <w:rsid w:val="00AC0C73"/>
    <w:rsid w:val="00AC2FD8"/>
    <w:rsid w:val="00AC3332"/>
    <w:rsid w:val="00AD33EE"/>
    <w:rsid w:val="00AD497F"/>
    <w:rsid w:val="00AD49F8"/>
    <w:rsid w:val="00AD50B4"/>
    <w:rsid w:val="00AD598E"/>
    <w:rsid w:val="00AD6DE8"/>
    <w:rsid w:val="00AE2020"/>
    <w:rsid w:val="00AE4128"/>
    <w:rsid w:val="00AE5306"/>
    <w:rsid w:val="00AE5B93"/>
    <w:rsid w:val="00AF0430"/>
    <w:rsid w:val="00AF0859"/>
    <w:rsid w:val="00AF0CDD"/>
    <w:rsid w:val="00AF0EE1"/>
    <w:rsid w:val="00AF138C"/>
    <w:rsid w:val="00AF1E33"/>
    <w:rsid w:val="00AF28C9"/>
    <w:rsid w:val="00AF37FB"/>
    <w:rsid w:val="00AF5426"/>
    <w:rsid w:val="00AF635C"/>
    <w:rsid w:val="00B02336"/>
    <w:rsid w:val="00B0367E"/>
    <w:rsid w:val="00B04870"/>
    <w:rsid w:val="00B048C2"/>
    <w:rsid w:val="00B05CC1"/>
    <w:rsid w:val="00B06A77"/>
    <w:rsid w:val="00B06EE0"/>
    <w:rsid w:val="00B07586"/>
    <w:rsid w:val="00B07992"/>
    <w:rsid w:val="00B10E6F"/>
    <w:rsid w:val="00B147B0"/>
    <w:rsid w:val="00B2079E"/>
    <w:rsid w:val="00B225AF"/>
    <w:rsid w:val="00B22E6C"/>
    <w:rsid w:val="00B25E68"/>
    <w:rsid w:val="00B271CD"/>
    <w:rsid w:val="00B27E27"/>
    <w:rsid w:val="00B30EAD"/>
    <w:rsid w:val="00B32036"/>
    <w:rsid w:val="00B3300F"/>
    <w:rsid w:val="00B35B22"/>
    <w:rsid w:val="00B37F39"/>
    <w:rsid w:val="00B4521C"/>
    <w:rsid w:val="00B47BC9"/>
    <w:rsid w:val="00B50E85"/>
    <w:rsid w:val="00B511F6"/>
    <w:rsid w:val="00B526CB"/>
    <w:rsid w:val="00B53590"/>
    <w:rsid w:val="00B54197"/>
    <w:rsid w:val="00B55D5A"/>
    <w:rsid w:val="00B6008D"/>
    <w:rsid w:val="00B64094"/>
    <w:rsid w:val="00B642BA"/>
    <w:rsid w:val="00B64DC6"/>
    <w:rsid w:val="00B65E3A"/>
    <w:rsid w:val="00B669A2"/>
    <w:rsid w:val="00B66D69"/>
    <w:rsid w:val="00B6700F"/>
    <w:rsid w:val="00B70FFE"/>
    <w:rsid w:val="00B743A5"/>
    <w:rsid w:val="00B770F5"/>
    <w:rsid w:val="00B773B0"/>
    <w:rsid w:val="00B83776"/>
    <w:rsid w:val="00B83C18"/>
    <w:rsid w:val="00B85D9C"/>
    <w:rsid w:val="00B86B02"/>
    <w:rsid w:val="00B87CB6"/>
    <w:rsid w:val="00B87D76"/>
    <w:rsid w:val="00B926B1"/>
    <w:rsid w:val="00B93554"/>
    <w:rsid w:val="00B94F8A"/>
    <w:rsid w:val="00B951FB"/>
    <w:rsid w:val="00B95C7F"/>
    <w:rsid w:val="00BA0AF7"/>
    <w:rsid w:val="00BA150D"/>
    <w:rsid w:val="00BA18AA"/>
    <w:rsid w:val="00BA284A"/>
    <w:rsid w:val="00BA54EA"/>
    <w:rsid w:val="00BA5A94"/>
    <w:rsid w:val="00BA6C85"/>
    <w:rsid w:val="00BB2777"/>
    <w:rsid w:val="00BB2A2B"/>
    <w:rsid w:val="00BB49C2"/>
    <w:rsid w:val="00BB7037"/>
    <w:rsid w:val="00BB7947"/>
    <w:rsid w:val="00BC4E7C"/>
    <w:rsid w:val="00BC5DCC"/>
    <w:rsid w:val="00BD0C3E"/>
    <w:rsid w:val="00BD30FB"/>
    <w:rsid w:val="00BD3D13"/>
    <w:rsid w:val="00BD4C4D"/>
    <w:rsid w:val="00BD540C"/>
    <w:rsid w:val="00BD64DA"/>
    <w:rsid w:val="00BE13C1"/>
    <w:rsid w:val="00BE1E8C"/>
    <w:rsid w:val="00BE26BA"/>
    <w:rsid w:val="00BE2F8E"/>
    <w:rsid w:val="00BE48E7"/>
    <w:rsid w:val="00BE648E"/>
    <w:rsid w:val="00BF08C5"/>
    <w:rsid w:val="00BF54B8"/>
    <w:rsid w:val="00BF5F28"/>
    <w:rsid w:val="00BF67DB"/>
    <w:rsid w:val="00BF777C"/>
    <w:rsid w:val="00C01E3B"/>
    <w:rsid w:val="00C02D6F"/>
    <w:rsid w:val="00C02F53"/>
    <w:rsid w:val="00C119F7"/>
    <w:rsid w:val="00C11D94"/>
    <w:rsid w:val="00C13980"/>
    <w:rsid w:val="00C14716"/>
    <w:rsid w:val="00C160F1"/>
    <w:rsid w:val="00C164CE"/>
    <w:rsid w:val="00C16FCE"/>
    <w:rsid w:val="00C177F7"/>
    <w:rsid w:val="00C17CE1"/>
    <w:rsid w:val="00C20462"/>
    <w:rsid w:val="00C22E7B"/>
    <w:rsid w:val="00C23A0D"/>
    <w:rsid w:val="00C249A5"/>
    <w:rsid w:val="00C26E45"/>
    <w:rsid w:val="00C26FC9"/>
    <w:rsid w:val="00C3170E"/>
    <w:rsid w:val="00C33101"/>
    <w:rsid w:val="00C352FD"/>
    <w:rsid w:val="00C367FB"/>
    <w:rsid w:val="00C36A0B"/>
    <w:rsid w:val="00C37244"/>
    <w:rsid w:val="00C40879"/>
    <w:rsid w:val="00C41CFE"/>
    <w:rsid w:val="00C42FE9"/>
    <w:rsid w:val="00C430F5"/>
    <w:rsid w:val="00C46DD8"/>
    <w:rsid w:val="00C50EFF"/>
    <w:rsid w:val="00C51917"/>
    <w:rsid w:val="00C5288D"/>
    <w:rsid w:val="00C53725"/>
    <w:rsid w:val="00C5438D"/>
    <w:rsid w:val="00C555A1"/>
    <w:rsid w:val="00C612C8"/>
    <w:rsid w:val="00C61C1E"/>
    <w:rsid w:val="00C631BE"/>
    <w:rsid w:val="00C655F8"/>
    <w:rsid w:val="00C70A72"/>
    <w:rsid w:val="00C70F86"/>
    <w:rsid w:val="00C71C1F"/>
    <w:rsid w:val="00C74BA7"/>
    <w:rsid w:val="00C75489"/>
    <w:rsid w:val="00C76470"/>
    <w:rsid w:val="00C7693B"/>
    <w:rsid w:val="00C77D00"/>
    <w:rsid w:val="00C81921"/>
    <w:rsid w:val="00C82944"/>
    <w:rsid w:val="00C86FAB"/>
    <w:rsid w:val="00C9094A"/>
    <w:rsid w:val="00C9238C"/>
    <w:rsid w:val="00C95705"/>
    <w:rsid w:val="00C95CC0"/>
    <w:rsid w:val="00C96469"/>
    <w:rsid w:val="00C974D4"/>
    <w:rsid w:val="00C975D6"/>
    <w:rsid w:val="00CA0614"/>
    <w:rsid w:val="00CA0880"/>
    <w:rsid w:val="00CA10D3"/>
    <w:rsid w:val="00CA2804"/>
    <w:rsid w:val="00CA2E58"/>
    <w:rsid w:val="00CA33DF"/>
    <w:rsid w:val="00CA393E"/>
    <w:rsid w:val="00CA7E4C"/>
    <w:rsid w:val="00CB1604"/>
    <w:rsid w:val="00CB1A95"/>
    <w:rsid w:val="00CB1B31"/>
    <w:rsid w:val="00CB1CE2"/>
    <w:rsid w:val="00CB1EB3"/>
    <w:rsid w:val="00CB24F7"/>
    <w:rsid w:val="00CB43A3"/>
    <w:rsid w:val="00CB5568"/>
    <w:rsid w:val="00CB7EBF"/>
    <w:rsid w:val="00CB7F7E"/>
    <w:rsid w:val="00CC098D"/>
    <w:rsid w:val="00CC0B3C"/>
    <w:rsid w:val="00CC0B9A"/>
    <w:rsid w:val="00CC23A6"/>
    <w:rsid w:val="00CC3E54"/>
    <w:rsid w:val="00CD0CD0"/>
    <w:rsid w:val="00CD1382"/>
    <w:rsid w:val="00CD1743"/>
    <w:rsid w:val="00CD5202"/>
    <w:rsid w:val="00CD5789"/>
    <w:rsid w:val="00CD6D28"/>
    <w:rsid w:val="00CE0025"/>
    <w:rsid w:val="00CE24D1"/>
    <w:rsid w:val="00CE27AD"/>
    <w:rsid w:val="00CE3B4B"/>
    <w:rsid w:val="00CE41AA"/>
    <w:rsid w:val="00CE4E79"/>
    <w:rsid w:val="00CE5083"/>
    <w:rsid w:val="00CF0693"/>
    <w:rsid w:val="00CF192B"/>
    <w:rsid w:val="00CF5BE1"/>
    <w:rsid w:val="00CF603F"/>
    <w:rsid w:val="00CF7153"/>
    <w:rsid w:val="00D02565"/>
    <w:rsid w:val="00D025CC"/>
    <w:rsid w:val="00D03129"/>
    <w:rsid w:val="00D041FD"/>
    <w:rsid w:val="00D04A3E"/>
    <w:rsid w:val="00D05445"/>
    <w:rsid w:val="00D06B92"/>
    <w:rsid w:val="00D11B86"/>
    <w:rsid w:val="00D137EB"/>
    <w:rsid w:val="00D13AC7"/>
    <w:rsid w:val="00D14477"/>
    <w:rsid w:val="00D17081"/>
    <w:rsid w:val="00D178DA"/>
    <w:rsid w:val="00D22315"/>
    <w:rsid w:val="00D236F9"/>
    <w:rsid w:val="00D23A74"/>
    <w:rsid w:val="00D2433A"/>
    <w:rsid w:val="00D25C6A"/>
    <w:rsid w:val="00D25F46"/>
    <w:rsid w:val="00D2606A"/>
    <w:rsid w:val="00D269D9"/>
    <w:rsid w:val="00D26CA7"/>
    <w:rsid w:val="00D27F80"/>
    <w:rsid w:val="00D320DC"/>
    <w:rsid w:val="00D35781"/>
    <w:rsid w:val="00D3638F"/>
    <w:rsid w:val="00D364FF"/>
    <w:rsid w:val="00D368F1"/>
    <w:rsid w:val="00D452EA"/>
    <w:rsid w:val="00D50AE7"/>
    <w:rsid w:val="00D50BDC"/>
    <w:rsid w:val="00D52429"/>
    <w:rsid w:val="00D52F3D"/>
    <w:rsid w:val="00D53A58"/>
    <w:rsid w:val="00D53CD7"/>
    <w:rsid w:val="00D649C2"/>
    <w:rsid w:val="00D6561D"/>
    <w:rsid w:val="00D67D3D"/>
    <w:rsid w:val="00D70416"/>
    <w:rsid w:val="00D71923"/>
    <w:rsid w:val="00D71DE6"/>
    <w:rsid w:val="00D72004"/>
    <w:rsid w:val="00D73BF2"/>
    <w:rsid w:val="00D73FA1"/>
    <w:rsid w:val="00D745BC"/>
    <w:rsid w:val="00D74EE2"/>
    <w:rsid w:val="00D75C59"/>
    <w:rsid w:val="00D7634C"/>
    <w:rsid w:val="00D7787C"/>
    <w:rsid w:val="00D8040D"/>
    <w:rsid w:val="00D8152E"/>
    <w:rsid w:val="00D81D8C"/>
    <w:rsid w:val="00D8221A"/>
    <w:rsid w:val="00D82592"/>
    <w:rsid w:val="00D86219"/>
    <w:rsid w:val="00D86BD4"/>
    <w:rsid w:val="00D879EC"/>
    <w:rsid w:val="00D90A87"/>
    <w:rsid w:val="00D90CCC"/>
    <w:rsid w:val="00D91249"/>
    <w:rsid w:val="00D9137C"/>
    <w:rsid w:val="00D93DAD"/>
    <w:rsid w:val="00D96975"/>
    <w:rsid w:val="00DA06A3"/>
    <w:rsid w:val="00DA2313"/>
    <w:rsid w:val="00DA2638"/>
    <w:rsid w:val="00DA29C1"/>
    <w:rsid w:val="00DB02A0"/>
    <w:rsid w:val="00DB1B3C"/>
    <w:rsid w:val="00DB2D43"/>
    <w:rsid w:val="00DB64C4"/>
    <w:rsid w:val="00DC0654"/>
    <w:rsid w:val="00DC259D"/>
    <w:rsid w:val="00DC3DA9"/>
    <w:rsid w:val="00DC3E7F"/>
    <w:rsid w:val="00DC52D4"/>
    <w:rsid w:val="00DC6A43"/>
    <w:rsid w:val="00DC7B11"/>
    <w:rsid w:val="00DD1148"/>
    <w:rsid w:val="00DD1288"/>
    <w:rsid w:val="00DD3B1D"/>
    <w:rsid w:val="00DE02EF"/>
    <w:rsid w:val="00DE2352"/>
    <w:rsid w:val="00DE39AE"/>
    <w:rsid w:val="00DE717E"/>
    <w:rsid w:val="00DF67D8"/>
    <w:rsid w:val="00E00C09"/>
    <w:rsid w:val="00E01D93"/>
    <w:rsid w:val="00E02483"/>
    <w:rsid w:val="00E02578"/>
    <w:rsid w:val="00E0443E"/>
    <w:rsid w:val="00E04945"/>
    <w:rsid w:val="00E04B67"/>
    <w:rsid w:val="00E12E22"/>
    <w:rsid w:val="00E13D2F"/>
    <w:rsid w:val="00E13FB3"/>
    <w:rsid w:val="00E14F3A"/>
    <w:rsid w:val="00E15BF1"/>
    <w:rsid w:val="00E1659F"/>
    <w:rsid w:val="00E170CA"/>
    <w:rsid w:val="00E20152"/>
    <w:rsid w:val="00E2183D"/>
    <w:rsid w:val="00E234B8"/>
    <w:rsid w:val="00E24E40"/>
    <w:rsid w:val="00E30020"/>
    <w:rsid w:val="00E3661A"/>
    <w:rsid w:val="00E41B1C"/>
    <w:rsid w:val="00E42A35"/>
    <w:rsid w:val="00E44584"/>
    <w:rsid w:val="00E450EA"/>
    <w:rsid w:val="00E45BDC"/>
    <w:rsid w:val="00E46A1D"/>
    <w:rsid w:val="00E5022A"/>
    <w:rsid w:val="00E50E51"/>
    <w:rsid w:val="00E5126C"/>
    <w:rsid w:val="00E51B6C"/>
    <w:rsid w:val="00E53F90"/>
    <w:rsid w:val="00E5478B"/>
    <w:rsid w:val="00E56189"/>
    <w:rsid w:val="00E5696D"/>
    <w:rsid w:val="00E57AA1"/>
    <w:rsid w:val="00E60A76"/>
    <w:rsid w:val="00E64B40"/>
    <w:rsid w:val="00E70F1E"/>
    <w:rsid w:val="00E719C0"/>
    <w:rsid w:val="00E72FF0"/>
    <w:rsid w:val="00E73729"/>
    <w:rsid w:val="00E746A6"/>
    <w:rsid w:val="00E75A5A"/>
    <w:rsid w:val="00E7775B"/>
    <w:rsid w:val="00E87345"/>
    <w:rsid w:val="00E878C8"/>
    <w:rsid w:val="00E90261"/>
    <w:rsid w:val="00E91F3B"/>
    <w:rsid w:val="00E93401"/>
    <w:rsid w:val="00EA0A4A"/>
    <w:rsid w:val="00EA1766"/>
    <w:rsid w:val="00EA5353"/>
    <w:rsid w:val="00EA54F0"/>
    <w:rsid w:val="00EA5D98"/>
    <w:rsid w:val="00EA66E7"/>
    <w:rsid w:val="00EA675E"/>
    <w:rsid w:val="00EA7355"/>
    <w:rsid w:val="00EB0774"/>
    <w:rsid w:val="00EB1B1F"/>
    <w:rsid w:val="00EB2F0D"/>
    <w:rsid w:val="00EB4F71"/>
    <w:rsid w:val="00EB52DB"/>
    <w:rsid w:val="00EB57D2"/>
    <w:rsid w:val="00EB5DF7"/>
    <w:rsid w:val="00EB73CC"/>
    <w:rsid w:val="00EB7959"/>
    <w:rsid w:val="00EC16A4"/>
    <w:rsid w:val="00EC1F22"/>
    <w:rsid w:val="00EC46A9"/>
    <w:rsid w:val="00EC6E28"/>
    <w:rsid w:val="00ED01A9"/>
    <w:rsid w:val="00ED148E"/>
    <w:rsid w:val="00ED40FA"/>
    <w:rsid w:val="00ED52E0"/>
    <w:rsid w:val="00ED6D37"/>
    <w:rsid w:val="00EE0BD4"/>
    <w:rsid w:val="00EE5583"/>
    <w:rsid w:val="00EF4766"/>
    <w:rsid w:val="00EF52FF"/>
    <w:rsid w:val="00F050ED"/>
    <w:rsid w:val="00F064B2"/>
    <w:rsid w:val="00F07874"/>
    <w:rsid w:val="00F11C2A"/>
    <w:rsid w:val="00F11FEE"/>
    <w:rsid w:val="00F1219F"/>
    <w:rsid w:val="00F12713"/>
    <w:rsid w:val="00F150D5"/>
    <w:rsid w:val="00F213BB"/>
    <w:rsid w:val="00F22E21"/>
    <w:rsid w:val="00F262E1"/>
    <w:rsid w:val="00F30774"/>
    <w:rsid w:val="00F30B12"/>
    <w:rsid w:val="00F31641"/>
    <w:rsid w:val="00F323F2"/>
    <w:rsid w:val="00F32BDF"/>
    <w:rsid w:val="00F32F2C"/>
    <w:rsid w:val="00F36A52"/>
    <w:rsid w:val="00F40780"/>
    <w:rsid w:val="00F42594"/>
    <w:rsid w:val="00F43817"/>
    <w:rsid w:val="00F44191"/>
    <w:rsid w:val="00F44B57"/>
    <w:rsid w:val="00F457CD"/>
    <w:rsid w:val="00F45B39"/>
    <w:rsid w:val="00F46036"/>
    <w:rsid w:val="00F46CC4"/>
    <w:rsid w:val="00F46FD4"/>
    <w:rsid w:val="00F51BD2"/>
    <w:rsid w:val="00F548E3"/>
    <w:rsid w:val="00F55B2D"/>
    <w:rsid w:val="00F5609A"/>
    <w:rsid w:val="00F56317"/>
    <w:rsid w:val="00F56B11"/>
    <w:rsid w:val="00F57F2D"/>
    <w:rsid w:val="00F6021B"/>
    <w:rsid w:val="00F60377"/>
    <w:rsid w:val="00F6041B"/>
    <w:rsid w:val="00F62BD3"/>
    <w:rsid w:val="00F64E37"/>
    <w:rsid w:val="00F64F77"/>
    <w:rsid w:val="00F72095"/>
    <w:rsid w:val="00F74025"/>
    <w:rsid w:val="00F8091C"/>
    <w:rsid w:val="00F80B03"/>
    <w:rsid w:val="00F81BB5"/>
    <w:rsid w:val="00F83E54"/>
    <w:rsid w:val="00F84E81"/>
    <w:rsid w:val="00F90C9A"/>
    <w:rsid w:val="00F92B2D"/>
    <w:rsid w:val="00F93002"/>
    <w:rsid w:val="00F94B5B"/>
    <w:rsid w:val="00F965D5"/>
    <w:rsid w:val="00F9782F"/>
    <w:rsid w:val="00F97A43"/>
    <w:rsid w:val="00FA1714"/>
    <w:rsid w:val="00FA20FE"/>
    <w:rsid w:val="00FA5182"/>
    <w:rsid w:val="00FA6245"/>
    <w:rsid w:val="00FB4B0F"/>
    <w:rsid w:val="00FC40BF"/>
    <w:rsid w:val="00FC4788"/>
    <w:rsid w:val="00FC6653"/>
    <w:rsid w:val="00FD1109"/>
    <w:rsid w:val="00FD1CB7"/>
    <w:rsid w:val="00FD23A8"/>
    <w:rsid w:val="00FD3C97"/>
    <w:rsid w:val="00FD41DA"/>
    <w:rsid w:val="00FD628C"/>
    <w:rsid w:val="00FD740D"/>
    <w:rsid w:val="00FD7E25"/>
    <w:rsid w:val="00FE182A"/>
    <w:rsid w:val="00FE2354"/>
    <w:rsid w:val="00FE3065"/>
    <w:rsid w:val="00FE54D1"/>
    <w:rsid w:val="00FE7B06"/>
    <w:rsid w:val="00FF0E9A"/>
    <w:rsid w:val="00FF1F75"/>
    <w:rsid w:val="00FF315F"/>
    <w:rsid w:val="00FF3D86"/>
    <w:rsid w:val="00FF4EF5"/>
    <w:rsid w:val="00FF60F3"/>
    <w:rsid w:val="00FF6345"/>
    <w:rsid w:val="00FF6F68"/>
    <w:rsid w:val="00FF72B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FE6E419"/>
  <w15:docId w15:val="{8458AFB4-25C2-469B-B0ED-91939D11D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C30F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6">
    <w:name w:val="heading 6"/>
    <w:aliases w:val="Footnote"/>
    <w:basedOn w:val="Normal"/>
    <w:next w:val="Normal"/>
    <w:link w:val="Heading6Char"/>
    <w:autoRedefine/>
    <w:uiPriority w:val="99"/>
    <w:qFormat/>
    <w:rsid w:val="001D759A"/>
    <w:pPr>
      <w:keepNext/>
      <w:keepLines/>
      <w:widowControl w:val="0"/>
      <w:tabs>
        <w:tab w:val="num" w:pos="0"/>
      </w:tabs>
      <w:suppressAutoHyphens/>
      <w:spacing w:after="0" w:line="240" w:lineRule="auto"/>
      <w:contextualSpacing/>
      <w:outlineLvl w:val="5"/>
    </w:pPr>
    <w:rPr>
      <w:rFonts w:ascii="Calibri" w:eastAsia="Times New Roman" w:hAnsi="Calibri" w:cs="Times New Roman"/>
      <w:i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056339"/>
    <w:pPr>
      <w:ind w:left="720"/>
      <w:contextualSpacing/>
    </w:pPr>
  </w:style>
  <w:style w:type="character" w:styleId="CommentReference">
    <w:name w:val="annotation reference"/>
    <w:basedOn w:val="DefaultParagraphFont"/>
    <w:uiPriority w:val="99"/>
    <w:semiHidden/>
    <w:unhideWhenUsed/>
    <w:rsid w:val="00056339"/>
    <w:rPr>
      <w:sz w:val="16"/>
      <w:szCs w:val="16"/>
    </w:rPr>
  </w:style>
  <w:style w:type="paragraph" w:styleId="CommentText">
    <w:name w:val="annotation text"/>
    <w:basedOn w:val="Normal"/>
    <w:link w:val="CommentTextChar"/>
    <w:uiPriority w:val="99"/>
    <w:semiHidden/>
    <w:unhideWhenUsed/>
    <w:rsid w:val="00056339"/>
    <w:pPr>
      <w:spacing w:line="240" w:lineRule="auto"/>
    </w:pPr>
    <w:rPr>
      <w:sz w:val="20"/>
      <w:szCs w:val="20"/>
    </w:rPr>
  </w:style>
  <w:style w:type="character" w:customStyle="1" w:styleId="CommentTextChar">
    <w:name w:val="Comment Text Char"/>
    <w:basedOn w:val="DefaultParagraphFont"/>
    <w:link w:val="CommentText"/>
    <w:uiPriority w:val="99"/>
    <w:semiHidden/>
    <w:rsid w:val="00056339"/>
    <w:rPr>
      <w:sz w:val="20"/>
      <w:szCs w:val="20"/>
    </w:rPr>
  </w:style>
  <w:style w:type="paragraph" w:styleId="CommentSubject">
    <w:name w:val="annotation subject"/>
    <w:basedOn w:val="CommentText"/>
    <w:next w:val="CommentText"/>
    <w:link w:val="CommentSubjectChar"/>
    <w:uiPriority w:val="99"/>
    <w:semiHidden/>
    <w:unhideWhenUsed/>
    <w:rsid w:val="00056339"/>
    <w:rPr>
      <w:b/>
      <w:bCs/>
    </w:rPr>
  </w:style>
  <w:style w:type="character" w:customStyle="1" w:styleId="CommentSubjectChar">
    <w:name w:val="Comment Subject Char"/>
    <w:basedOn w:val="CommentTextChar"/>
    <w:link w:val="CommentSubject"/>
    <w:uiPriority w:val="99"/>
    <w:semiHidden/>
    <w:rsid w:val="00056339"/>
    <w:rPr>
      <w:b/>
      <w:bCs/>
      <w:sz w:val="20"/>
      <w:szCs w:val="20"/>
    </w:rPr>
  </w:style>
  <w:style w:type="paragraph" w:styleId="BalloonText">
    <w:name w:val="Balloon Text"/>
    <w:basedOn w:val="Normal"/>
    <w:link w:val="BalloonTextChar"/>
    <w:uiPriority w:val="99"/>
    <w:semiHidden/>
    <w:unhideWhenUsed/>
    <w:rsid w:val="000563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6339"/>
    <w:rPr>
      <w:rFonts w:ascii="Segoe UI" w:hAnsi="Segoe UI" w:cs="Segoe UI"/>
      <w:sz w:val="18"/>
      <w:szCs w:val="18"/>
    </w:rPr>
  </w:style>
  <w:style w:type="table" w:styleId="TableGrid">
    <w:name w:val="Table Grid"/>
    <w:basedOn w:val="TableNormal"/>
    <w:uiPriority w:val="59"/>
    <w:rsid w:val="00447C6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93554"/>
    <w:rPr>
      <w:color w:val="0000FF" w:themeColor="hyperlink"/>
      <w:u w:val="single"/>
    </w:rPr>
  </w:style>
  <w:style w:type="paragraph" w:styleId="Header">
    <w:name w:val="header"/>
    <w:basedOn w:val="Normal"/>
    <w:link w:val="HeaderChar"/>
    <w:uiPriority w:val="99"/>
    <w:unhideWhenUsed/>
    <w:rsid w:val="00186F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6F04"/>
  </w:style>
  <w:style w:type="paragraph" w:styleId="Footer">
    <w:name w:val="footer"/>
    <w:basedOn w:val="Normal"/>
    <w:link w:val="FooterChar"/>
    <w:uiPriority w:val="99"/>
    <w:unhideWhenUsed/>
    <w:rsid w:val="00186F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6F04"/>
  </w:style>
  <w:style w:type="character" w:customStyle="1" w:styleId="Heading6Char">
    <w:name w:val="Heading 6 Char"/>
    <w:aliases w:val="Footnote Char"/>
    <w:basedOn w:val="DefaultParagraphFont"/>
    <w:link w:val="Heading6"/>
    <w:uiPriority w:val="99"/>
    <w:rsid w:val="001D759A"/>
    <w:rPr>
      <w:rFonts w:ascii="Calibri" w:eastAsia="Times New Roman" w:hAnsi="Calibri" w:cs="Times New Roman"/>
      <w:iCs/>
      <w:sz w:val="18"/>
    </w:rPr>
  </w:style>
  <w:style w:type="character" w:styleId="FootnoteReference">
    <w:name w:val="footnote reference"/>
    <w:basedOn w:val="DefaultParagraphFont"/>
    <w:uiPriority w:val="99"/>
    <w:rsid w:val="001D759A"/>
    <w:rPr>
      <w:rFonts w:cs="Times New Roman"/>
      <w:vertAlign w:val="superscript"/>
    </w:rPr>
  </w:style>
  <w:style w:type="paragraph" w:styleId="FootnoteText">
    <w:name w:val="footnote text"/>
    <w:basedOn w:val="Normal"/>
    <w:link w:val="FootnoteTextChar1"/>
    <w:uiPriority w:val="99"/>
    <w:rsid w:val="00E75A5A"/>
    <w:pPr>
      <w:widowControl w:val="0"/>
      <w:suppressAutoHyphens/>
      <w:spacing w:after="120"/>
    </w:pPr>
    <w:rPr>
      <w:rFonts w:ascii="Times New Roman" w:eastAsia="Times New Roman" w:hAnsi="Times New Roman" w:cs="Calibri"/>
      <w:sz w:val="20"/>
      <w:szCs w:val="20"/>
    </w:rPr>
  </w:style>
  <w:style w:type="character" w:customStyle="1" w:styleId="FootnoteTextChar">
    <w:name w:val="Footnote Text Char"/>
    <w:basedOn w:val="DefaultParagraphFont"/>
    <w:uiPriority w:val="99"/>
    <w:semiHidden/>
    <w:rsid w:val="00E75A5A"/>
    <w:rPr>
      <w:sz w:val="20"/>
      <w:szCs w:val="20"/>
    </w:rPr>
  </w:style>
  <w:style w:type="character" w:customStyle="1" w:styleId="FootnoteTextChar1">
    <w:name w:val="Footnote Text Char1"/>
    <w:basedOn w:val="DefaultParagraphFont"/>
    <w:link w:val="FootnoteText"/>
    <w:uiPriority w:val="99"/>
    <w:rsid w:val="00E75A5A"/>
    <w:rPr>
      <w:rFonts w:ascii="Times New Roman" w:eastAsia="Times New Roman" w:hAnsi="Times New Roman" w:cs="Calibri"/>
      <w:sz w:val="20"/>
      <w:szCs w:val="20"/>
    </w:rPr>
  </w:style>
  <w:style w:type="paragraph" w:styleId="Revision">
    <w:name w:val="Revision"/>
    <w:hidden/>
    <w:uiPriority w:val="99"/>
    <w:semiHidden/>
    <w:rsid w:val="00460639"/>
    <w:pPr>
      <w:spacing w:after="0" w:line="240" w:lineRule="auto"/>
    </w:pPr>
  </w:style>
  <w:style w:type="character" w:customStyle="1" w:styleId="Heading1Char">
    <w:name w:val="Heading 1 Char"/>
    <w:basedOn w:val="DefaultParagraphFont"/>
    <w:link w:val="Heading1"/>
    <w:uiPriority w:val="9"/>
    <w:rsid w:val="000C30FD"/>
    <w:rPr>
      <w:rFonts w:asciiTheme="majorHAnsi" w:eastAsiaTheme="majorEastAsia" w:hAnsiTheme="majorHAnsi" w:cstheme="majorBidi"/>
      <w:b/>
      <w:bCs/>
      <w:color w:val="365F91" w:themeColor="accent1" w:themeShade="BF"/>
      <w:sz w:val="28"/>
      <w:szCs w:val="28"/>
    </w:rPr>
  </w:style>
  <w:style w:type="character" w:styleId="PageNumber">
    <w:name w:val="page number"/>
    <w:basedOn w:val="DefaultParagraphFont"/>
    <w:uiPriority w:val="99"/>
    <w:semiHidden/>
    <w:unhideWhenUsed/>
    <w:rsid w:val="003B64A4"/>
  </w:style>
  <w:style w:type="character" w:customStyle="1" w:styleId="ListParagraphChar">
    <w:name w:val="List Paragraph Char"/>
    <w:link w:val="ListParagraph"/>
    <w:uiPriority w:val="34"/>
    <w:rsid w:val="001427A5"/>
  </w:style>
  <w:style w:type="paragraph" w:styleId="NoSpacing">
    <w:name w:val="No Spacing"/>
    <w:uiPriority w:val="1"/>
    <w:qFormat/>
    <w:rsid w:val="00FA6245"/>
    <w:pPr>
      <w:widowControl w:val="0"/>
      <w:suppressAutoHyphens/>
      <w:spacing w:after="0" w:line="240" w:lineRule="auto"/>
    </w:pPr>
    <w:rPr>
      <w:rFonts w:ascii="Calibri" w:eastAsia="Times New Roman" w:hAnsi="Calibri" w:cs="Calibri"/>
    </w:rPr>
  </w:style>
  <w:style w:type="character" w:customStyle="1" w:styleId="shorttext">
    <w:name w:val="short_text"/>
    <w:basedOn w:val="DefaultParagraphFont"/>
    <w:rsid w:val="003B48A7"/>
  </w:style>
  <w:style w:type="paragraph" w:customStyle="1" w:styleId="m-9122321016640388389p1">
    <w:name w:val="m_-9122321016640388389p1"/>
    <w:basedOn w:val="Normal"/>
    <w:rsid w:val="003F30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9122321016640388389s1">
    <w:name w:val="m_-9122321016640388389s1"/>
    <w:basedOn w:val="DefaultParagraphFont"/>
    <w:rsid w:val="003F30F3"/>
  </w:style>
  <w:style w:type="paragraph" w:customStyle="1" w:styleId="story-body-text">
    <w:name w:val="story-body-text"/>
    <w:basedOn w:val="Normal"/>
    <w:rsid w:val="00D7200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09234">
      <w:bodyDiv w:val="1"/>
      <w:marLeft w:val="0"/>
      <w:marRight w:val="0"/>
      <w:marTop w:val="0"/>
      <w:marBottom w:val="0"/>
      <w:divBdr>
        <w:top w:val="none" w:sz="0" w:space="0" w:color="auto"/>
        <w:left w:val="none" w:sz="0" w:space="0" w:color="auto"/>
        <w:bottom w:val="none" w:sz="0" w:space="0" w:color="auto"/>
        <w:right w:val="none" w:sz="0" w:space="0" w:color="auto"/>
      </w:divBdr>
    </w:div>
    <w:div w:id="22176336">
      <w:bodyDiv w:val="1"/>
      <w:marLeft w:val="0"/>
      <w:marRight w:val="0"/>
      <w:marTop w:val="0"/>
      <w:marBottom w:val="0"/>
      <w:divBdr>
        <w:top w:val="none" w:sz="0" w:space="0" w:color="auto"/>
        <w:left w:val="none" w:sz="0" w:space="0" w:color="auto"/>
        <w:bottom w:val="none" w:sz="0" w:space="0" w:color="auto"/>
        <w:right w:val="none" w:sz="0" w:space="0" w:color="auto"/>
      </w:divBdr>
    </w:div>
    <w:div w:id="36514742">
      <w:bodyDiv w:val="1"/>
      <w:marLeft w:val="0"/>
      <w:marRight w:val="0"/>
      <w:marTop w:val="0"/>
      <w:marBottom w:val="0"/>
      <w:divBdr>
        <w:top w:val="none" w:sz="0" w:space="0" w:color="auto"/>
        <w:left w:val="none" w:sz="0" w:space="0" w:color="auto"/>
        <w:bottom w:val="none" w:sz="0" w:space="0" w:color="auto"/>
        <w:right w:val="none" w:sz="0" w:space="0" w:color="auto"/>
      </w:divBdr>
    </w:div>
    <w:div w:id="168328353">
      <w:bodyDiv w:val="1"/>
      <w:marLeft w:val="0"/>
      <w:marRight w:val="0"/>
      <w:marTop w:val="0"/>
      <w:marBottom w:val="0"/>
      <w:divBdr>
        <w:top w:val="none" w:sz="0" w:space="0" w:color="auto"/>
        <w:left w:val="none" w:sz="0" w:space="0" w:color="auto"/>
        <w:bottom w:val="none" w:sz="0" w:space="0" w:color="auto"/>
        <w:right w:val="none" w:sz="0" w:space="0" w:color="auto"/>
      </w:divBdr>
    </w:div>
    <w:div w:id="195584596">
      <w:bodyDiv w:val="1"/>
      <w:marLeft w:val="0"/>
      <w:marRight w:val="0"/>
      <w:marTop w:val="0"/>
      <w:marBottom w:val="0"/>
      <w:divBdr>
        <w:top w:val="none" w:sz="0" w:space="0" w:color="auto"/>
        <w:left w:val="none" w:sz="0" w:space="0" w:color="auto"/>
        <w:bottom w:val="none" w:sz="0" w:space="0" w:color="auto"/>
        <w:right w:val="none" w:sz="0" w:space="0" w:color="auto"/>
      </w:divBdr>
    </w:div>
    <w:div w:id="206989505">
      <w:bodyDiv w:val="1"/>
      <w:marLeft w:val="0"/>
      <w:marRight w:val="0"/>
      <w:marTop w:val="0"/>
      <w:marBottom w:val="0"/>
      <w:divBdr>
        <w:top w:val="none" w:sz="0" w:space="0" w:color="auto"/>
        <w:left w:val="none" w:sz="0" w:space="0" w:color="auto"/>
        <w:bottom w:val="none" w:sz="0" w:space="0" w:color="auto"/>
        <w:right w:val="none" w:sz="0" w:space="0" w:color="auto"/>
      </w:divBdr>
    </w:div>
    <w:div w:id="286204864">
      <w:bodyDiv w:val="1"/>
      <w:marLeft w:val="0"/>
      <w:marRight w:val="0"/>
      <w:marTop w:val="0"/>
      <w:marBottom w:val="0"/>
      <w:divBdr>
        <w:top w:val="none" w:sz="0" w:space="0" w:color="auto"/>
        <w:left w:val="none" w:sz="0" w:space="0" w:color="auto"/>
        <w:bottom w:val="none" w:sz="0" w:space="0" w:color="auto"/>
        <w:right w:val="none" w:sz="0" w:space="0" w:color="auto"/>
      </w:divBdr>
    </w:div>
    <w:div w:id="437875059">
      <w:bodyDiv w:val="1"/>
      <w:marLeft w:val="0"/>
      <w:marRight w:val="0"/>
      <w:marTop w:val="0"/>
      <w:marBottom w:val="0"/>
      <w:divBdr>
        <w:top w:val="none" w:sz="0" w:space="0" w:color="auto"/>
        <w:left w:val="none" w:sz="0" w:space="0" w:color="auto"/>
        <w:bottom w:val="none" w:sz="0" w:space="0" w:color="auto"/>
        <w:right w:val="none" w:sz="0" w:space="0" w:color="auto"/>
      </w:divBdr>
    </w:div>
    <w:div w:id="467629010">
      <w:bodyDiv w:val="1"/>
      <w:marLeft w:val="0"/>
      <w:marRight w:val="0"/>
      <w:marTop w:val="0"/>
      <w:marBottom w:val="0"/>
      <w:divBdr>
        <w:top w:val="none" w:sz="0" w:space="0" w:color="auto"/>
        <w:left w:val="none" w:sz="0" w:space="0" w:color="auto"/>
        <w:bottom w:val="none" w:sz="0" w:space="0" w:color="auto"/>
        <w:right w:val="none" w:sz="0" w:space="0" w:color="auto"/>
      </w:divBdr>
    </w:div>
    <w:div w:id="498471303">
      <w:bodyDiv w:val="1"/>
      <w:marLeft w:val="0"/>
      <w:marRight w:val="0"/>
      <w:marTop w:val="0"/>
      <w:marBottom w:val="0"/>
      <w:divBdr>
        <w:top w:val="none" w:sz="0" w:space="0" w:color="auto"/>
        <w:left w:val="none" w:sz="0" w:space="0" w:color="auto"/>
        <w:bottom w:val="none" w:sz="0" w:space="0" w:color="auto"/>
        <w:right w:val="none" w:sz="0" w:space="0" w:color="auto"/>
      </w:divBdr>
      <w:divsChild>
        <w:div w:id="2010522873">
          <w:marLeft w:val="0"/>
          <w:marRight w:val="0"/>
          <w:marTop w:val="0"/>
          <w:marBottom w:val="0"/>
          <w:divBdr>
            <w:top w:val="none" w:sz="0" w:space="0" w:color="auto"/>
            <w:left w:val="none" w:sz="0" w:space="0" w:color="auto"/>
            <w:bottom w:val="none" w:sz="0" w:space="0" w:color="auto"/>
            <w:right w:val="none" w:sz="0" w:space="0" w:color="auto"/>
          </w:divBdr>
        </w:div>
        <w:div w:id="2093579666">
          <w:marLeft w:val="0"/>
          <w:marRight w:val="0"/>
          <w:marTop w:val="0"/>
          <w:marBottom w:val="0"/>
          <w:divBdr>
            <w:top w:val="none" w:sz="0" w:space="0" w:color="auto"/>
            <w:left w:val="none" w:sz="0" w:space="0" w:color="auto"/>
            <w:bottom w:val="none" w:sz="0" w:space="0" w:color="auto"/>
            <w:right w:val="none" w:sz="0" w:space="0" w:color="auto"/>
          </w:divBdr>
        </w:div>
        <w:div w:id="117799375">
          <w:marLeft w:val="0"/>
          <w:marRight w:val="0"/>
          <w:marTop w:val="0"/>
          <w:marBottom w:val="0"/>
          <w:divBdr>
            <w:top w:val="none" w:sz="0" w:space="0" w:color="auto"/>
            <w:left w:val="none" w:sz="0" w:space="0" w:color="auto"/>
            <w:bottom w:val="none" w:sz="0" w:space="0" w:color="auto"/>
            <w:right w:val="none" w:sz="0" w:space="0" w:color="auto"/>
          </w:divBdr>
        </w:div>
      </w:divsChild>
    </w:div>
    <w:div w:id="507212817">
      <w:bodyDiv w:val="1"/>
      <w:marLeft w:val="0"/>
      <w:marRight w:val="0"/>
      <w:marTop w:val="0"/>
      <w:marBottom w:val="0"/>
      <w:divBdr>
        <w:top w:val="none" w:sz="0" w:space="0" w:color="auto"/>
        <w:left w:val="none" w:sz="0" w:space="0" w:color="auto"/>
        <w:bottom w:val="none" w:sz="0" w:space="0" w:color="auto"/>
        <w:right w:val="none" w:sz="0" w:space="0" w:color="auto"/>
      </w:divBdr>
    </w:div>
    <w:div w:id="545531217">
      <w:bodyDiv w:val="1"/>
      <w:marLeft w:val="0"/>
      <w:marRight w:val="0"/>
      <w:marTop w:val="0"/>
      <w:marBottom w:val="0"/>
      <w:divBdr>
        <w:top w:val="none" w:sz="0" w:space="0" w:color="auto"/>
        <w:left w:val="none" w:sz="0" w:space="0" w:color="auto"/>
        <w:bottom w:val="none" w:sz="0" w:space="0" w:color="auto"/>
        <w:right w:val="none" w:sz="0" w:space="0" w:color="auto"/>
      </w:divBdr>
      <w:divsChild>
        <w:div w:id="637107203">
          <w:marLeft w:val="0"/>
          <w:marRight w:val="0"/>
          <w:marTop w:val="0"/>
          <w:marBottom w:val="0"/>
          <w:divBdr>
            <w:top w:val="none" w:sz="0" w:space="0" w:color="auto"/>
            <w:left w:val="none" w:sz="0" w:space="0" w:color="auto"/>
            <w:bottom w:val="none" w:sz="0" w:space="0" w:color="auto"/>
            <w:right w:val="none" w:sz="0" w:space="0" w:color="auto"/>
          </w:divBdr>
          <w:divsChild>
            <w:div w:id="1154568565">
              <w:marLeft w:val="0"/>
              <w:marRight w:val="0"/>
              <w:marTop w:val="0"/>
              <w:marBottom w:val="0"/>
              <w:divBdr>
                <w:top w:val="none" w:sz="0" w:space="0" w:color="auto"/>
                <w:left w:val="none" w:sz="0" w:space="0" w:color="auto"/>
                <w:bottom w:val="none" w:sz="0" w:space="0" w:color="auto"/>
                <w:right w:val="none" w:sz="0" w:space="0" w:color="auto"/>
              </w:divBdr>
            </w:div>
          </w:divsChild>
        </w:div>
        <w:div w:id="881400547">
          <w:marLeft w:val="0"/>
          <w:marRight w:val="0"/>
          <w:marTop w:val="0"/>
          <w:marBottom w:val="0"/>
          <w:divBdr>
            <w:top w:val="none" w:sz="0" w:space="0" w:color="auto"/>
            <w:left w:val="none" w:sz="0" w:space="0" w:color="auto"/>
            <w:bottom w:val="none" w:sz="0" w:space="0" w:color="auto"/>
            <w:right w:val="none" w:sz="0" w:space="0" w:color="auto"/>
          </w:divBdr>
        </w:div>
        <w:div w:id="316157516">
          <w:marLeft w:val="0"/>
          <w:marRight w:val="0"/>
          <w:marTop w:val="0"/>
          <w:marBottom w:val="0"/>
          <w:divBdr>
            <w:top w:val="none" w:sz="0" w:space="0" w:color="auto"/>
            <w:left w:val="none" w:sz="0" w:space="0" w:color="auto"/>
            <w:bottom w:val="none" w:sz="0" w:space="0" w:color="auto"/>
            <w:right w:val="none" w:sz="0" w:space="0" w:color="auto"/>
          </w:divBdr>
        </w:div>
      </w:divsChild>
    </w:div>
    <w:div w:id="569461676">
      <w:bodyDiv w:val="1"/>
      <w:marLeft w:val="0"/>
      <w:marRight w:val="0"/>
      <w:marTop w:val="0"/>
      <w:marBottom w:val="0"/>
      <w:divBdr>
        <w:top w:val="none" w:sz="0" w:space="0" w:color="auto"/>
        <w:left w:val="none" w:sz="0" w:space="0" w:color="auto"/>
        <w:bottom w:val="none" w:sz="0" w:space="0" w:color="auto"/>
        <w:right w:val="none" w:sz="0" w:space="0" w:color="auto"/>
      </w:divBdr>
    </w:div>
    <w:div w:id="577790470">
      <w:bodyDiv w:val="1"/>
      <w:marLeft w:val="0"/>
      <w:marRight w:val="0"/>
      <w:marTop w:val="0"/>
      <w:marBottom w:val="0"/>
      <w:divBdr>
        <w:top w:val="none" w:sz="0" w:space="0" w:color="auto"/>
        <w:left w:val="none" w:sz="0" w:space="0" w:color="auto"/>
        <w:bottom w:val="none" w:sz="0" w:space="0" w:color="auto"/>
        <w:right w:val="none" w:sz="0" w:space="0" w:color="auto"/>
      </w:divBdr>
    </w:div>
    <w:div w:id="588586863">
      <w:bodyDiv w:val="1"/>
      <w:marLeft w:val="0"/>
      <w:marRight w:val="0"/>
      <w:marTop w:val="0"/>
      <w:marBottom w:val="0"/>
      <w:divBdr>
        <w:top w:val="none" w:sz="0" w:space="0" w:color="auto"/>
        <w:left w:val="none" w:sz="0" w:space="0" w:color="auto"/>
        <w:bottom w:val="none" w:sz="0" w:space="0" w:color="auto"/>
        <w:right w:val="none" w:sz="0" w:space="0" w:color="auto"/>
      </w:divBdr>
    </w:div>
    <w:div w:id="600796831">
      <w:bodyDiv w:val="1"/>
      <w:marLeft w:val="0"/>
      <w:marRight w:val="0"/>
      <w:marTop w:val="0"/>
      <w:marBottom w:val="0"/>
      <w:divBdr>
        <w:top w:val="none" w:sz="0" w:space="0" w:color="auto"/>
        <w:left w:val="none" w:sz="0" w:space="0" w:color="auto"/>
        <w:bottom w:val="none" w:sz="0" w:space="0" w:color="auto"/>
        <w:right w:val="none" w:sz="0" w:space="0" w:color="auto"/>
      </w:divBdr>
    </w:div>
    <w:div w:id="646132157">
      <w:bodyDiv w:val="1"/>
      <w:marLeft w:val="0"/>
      <w:marRight w:val="0"/>
      <w:marTop w:val="0"/>
      <w:marBottom w:val="0"/>
      <w:divBdr>
        <w:top w:val="none" w:sz="0" w:space="0" w:color="auto"/>
        <w:left w:val="none" w:sz="0" w:space="0" w:color="auto"/>
        <w:bottom w:val="none" w:sz="0" w:space="0" w:color="auto"/>
        <w:right w:val="none" w:sz="0" w:space="0" w:color="auto"/>
      </w:divBdr>
    </w:div>
    <w:div w:id="650059167">
      <w:bodyDiv w:val="1"/>
      <w:marLeft w:val="0"/>
      <w:marRight w:val="0"/>
      <w:marTop w:val="0"/>
      <w:marBottom w:val="0"/>
      <w:divBdr>
        <w:top w:val="none" w:sz="0" w:space="0" w:color="auto"/>
        <w:left w:val="none" w:sz="0" w:space="0" w:color="auto"/>
        <w:bottom w:val="none" w:sz="0" w:space="0" w:color="auto"/>
        <w:right w:val="none" w:sz="0" w:space="0" w:color="auto"/>
      </w:divBdr>
    </w:div>
    <w:div w:id="659887875">
      <w:bodyDiv w:val="1"/>
      <w:marLeft w:val="0"/>
      <w:marRight w:val="0"/>
      <w:marTop w:val="0"/>
      <w:marBottom w:val="0"/>
      <w:divBdr>
        <w:top w:val="none" w:sz="0" w:space="0" w:color="auto"/>
        <w:left w:val="none" w:sz="0" w:space="0" w:color="auto"/>
        <w:bottom w:val="none" w:sz="0" w:space="0" w:color="auto"/>
        <w:right w:val="none" w:sz="0" w:space="0" w:color="auto"/>
      </w:divBdr>
    </w:div>
    <w:div w:id="668482189">
      <w:bodyDiv w:val="1"/>
      <w:marLeft w:val="0"/>
      <w:marRight w:val="0"/>
      <w:marTop w:val="0"/>
      <w:marBottom w:val="0"/>
      <w:divBdr>
        <w:top w:val="none" w:sz="0" w:space="0" w:color="auto"/>
        <w:left w:val="none" w:sz="0" w:space="0" w:color="auto"/>
        <w:bottom w:val="none" w:sz="0" w:space="0" w:color="auto"/>
        <w:right w:val="none" w:sz="0" w:space="0" w:color="auto"/>
      </w:divBdr>
    </w:div>
    <w:div w:id="720133656">
      <w:bodyDiv w:val="1"/>
      <w:marLeft w:val="0"/>
      <w:marRight w:val="0"/>
      <w:marTop w:val="0"/>
      <w:marBottom w:val="0"/>
      <w:divBdr>
        <w:top w:val="none" w:sz="0" w:space="0" w:color="auto"/>
        <w:left w:val="none" w:sz="0" w:space="0" w:color="auto"/>
        <w:bottom w:val="none" w:sz="0" w:space="0" w:color="auto"/>
        <w:right w:val="none" w:sz="0" w:space="0" w:color="auto"/>
      </w:divBdr>
    </w:div>
    <w:div w:id="776369541">
      <w:bodyDiv w:val="1"/>
      <w:marLeft w:val="0"/>
      <w:marRight w:val="0"/>
      <w:marTop w:val="0"/>
      <w:marBottom w:val="0"/>
      <w:divBdr>
        <w:top w:val="none" w:sz="0" w:space="0" w:color="auto"/>
        <w:left w:val="none" w:sz="0" w:space="0" w:color="auto"/>
        <w:bottom w:val="none" w:sz="0" w:space="0" w:color="auto"/>
        <w:right w:val="none" w:sz="0" w:space="0" w:color="auto"/>
      </w:divBdr>
    </w:div>
    <w:div w:id="798839205">
      <w:bodyDiv w:val="1"/>
      <w:marLeft w:val="0"/>
      <w:marRight w:val="0"/>
      <w:marTop w:val="0"/>
      <w:marBottom w:val="0"/>
      <w:divBdr>
        <w:top w:val="none" w:sz="0" w:space="0" w:color="auto"/>
        <w:left w:val="none" w:sz="0" w:space="0" w:color="auto"/>
        <w:bottom w:val="none" w:sz="0" w:space="0" w:color="auto"/>
        <w:right w:val="none" w:sz="0" w:space="0" w:color="auto"/>
      </w:divBdr>
    </w:div>
    <w:div w:id="827526315">
      <w:bodyDiv w:val="1"/>
      <w:marLeft w:val="0"/>
      <w:marRight w:val="0"/>
      <w:marTop w:val="0"/>
      <w:marBottom w:val="0"/>
      <w:divBdr>
        <w:top w:val="none" w:sz="0" w:space="0" w:color="auto"/>
        <w:left w:val="none" w:sz="0" w:space="0" w:color="auto"/>
        <w:bottom w:val="none" w:sz="0" w:space="0" w:color="auto"/>
        <w:right w:val="none" w:sz="0" w:space="0" w:color="auto"/>
      </w:divBdr>
    </w:div>
    <w:div w:id="931085301">
      <w:bodyDiv w:val="1"/>
      <w:marLeft w:val="0"/>
      <w:marRight w:val="0"/>
      <w:marTop w:val="0"/>
      <w:marBottom w:val="0"/>
      <w:divBdr>
        <w:top w:val="none" w:sz="0" w:space="0" w:color="auto"/>
        <w:left w:val="none" w:sz="0" w:space="0" w:color="auto"/>
        <w:bottom w:val="none" w:sz="0" w:space="0" w:color="auto"/>
        <w:right w:val="none" w:sz="0" w:space="0" w:color="auto"/>
      </w:divBdr>
    </w:div>
    <w:div w:id="974067848">
      <w:bodyDiv w:val="1"/>
      <w:marLeft w:val="0"/>
      <w:marRight w:val="0"/>
      <w:marTop w:val="0"/>
      <w:marBottom w:val="0"/>
      <w:divBdr>
        <w:top w:val="none" w:sz="0" w:space="0" w:color="auto"/>
        <w:left w:val="none" w:sz="0" w:space="0" w:color="auto"/>
        <w:bottom w:val="none" w:sz="0" w:space="0" w:color="auto"/>
        <w:right w:val="none" w:sz="0" w:space="0" w:color="auto"/>
      </w:divBdr>
    </w:div>
    <w:div w:id="1051423701">
      <w:bodyDiv w:val="1"/>
      <w:marLeft w:val="0"/>
      <w:marRight w:val="0"/>
      <w:marTop w:val="0"/>
      <w:marBottom w:val="0"/>
      <w:divBdr>
        <w:top w:val="none" w:sz="0" w:space="0" w:color="auto"/>
        <w:left w:val="none" w:sz="0" w:space="0" w:color="auto"/>
        <w:bottom w:val="none" w:sz="0" w:space="0" w:color="auto"/>
        <w:right w:val="none" w:sz="0" w:space="0" w:color="auto"/>
      </w:divBdr>
    </w:div>
    <w:div w:id="1056126720">
      <w:bodyDiv w:val="1"/>
      <w:marLeft w:val="0"/>
      <w:marRight w:val="0"/>
      <w:marTop w:val="0"/>
      <w:marBottom w:val="0"/>
      <w:divBdr>
        <w:top w:val="none" w:sz="0" w:space="0" w:color="auto"/>
        <w:left w:val="none" w:sz="0" w:space="0" w:color="auto"/>
        <w:bottom w:val="none" w:sz="0" w:space="0" w:color="auto"/>
        <w:right w:val="none" w:sz="0" w:space="0" w:color="auto"/>
      </w:divBdr>
    </w:div>
    <w:div w:id="1094059106">
      <w:bodyDiv w:val="1"/>
      <w:marLeft w:val="0"/>
      <w:marRight w:val="0"/>
      <w:marTop w:val="0"/>
      <w:marBottom w:val="0"/>
      <w:divBdr>
        <w:top w:val="none" w:sz="0" w:space="0" w:color="auto"/>
        <w:left w:val="none" w:sz="0" w:space="0" w:color="auto"/>
        <w:bottom w:val="none" w:sz="0" w:space="0" w:color="auto"/>
        <w:right w:val="none" w:sz="0" w:space="0" w:color="auto"/>
      </w:divBdr>
    </w:div>
    <w:div w:id="1096561134">
      <w:bodyDiv w:val="1"/>
      <w:marLeft w:val="0"/>
      <w:marRight w:val="0"/>
      <w:marTop w:val="0"/>
      <w:marBottom w:val="0"/>
      <w:divBdr>
        <w:top w:val="none" w:sz="0" w:space="0" w:color="auto"/>
        <w:left w:val="none" w:sz="0" w:space="0" w:color="auto"/>
        <w:bottom w:val="none" w:sz="0" w:space="0" w:color="auto"/>
        <w:right w:val="none" w:sz="0" w:space="0" w:color="auto"/>
      </w:divBdr>
    </w:div>
    <w:div w:id="1208642598">
      <w:bodyDiv w:val="1"/>
      <w:marLeft w:val="0"/>
      <w:marRight w:val="0"/>
      <w:marTop w:val="0"/>
      <w:marBottom w:val="0"/>
      <w:divBdr>
        <w:top w:val="none" w:sz="0" w:space="0" w:color="auto"/>
        <w:left w:val="none" w:sz="0" w:space="0" w:color="auto"/>
        <w:bottom w:val="none" w:sz="0" w:space="0" w:color="auto"/>
        <w:right w:val="none" w:sz="0" w:space="0" w:color="auto"/>
      </w:divBdr>
    </w:div>
    <w:div w:id="1238704987">
      <w:bodyDiv w:val="1"/>
      <w:marLeft w:val="0"/>
      <w:marRight w:val="0"/>
      <w:marTop w:val="0"/>
      <w:marBottom w:val="0"/>
      <w:divBdr>
        <w:top w:val="none" w:sz="0" w:space="0" w:color="auto"/>
        <w:left w:val="none" w:sz="0" w:space="0" w:color="auto"/>
        <w:bottom w:val="none" w:sz="0" w:space="0" w:color="auto"/>
        <w:right w:val="none" w:sz="0" w:space="0" w:color="auto"/>
      </w:divBdr>
    </w:div>
    <w:div w:id="1272516533">
      <w:bodyDiv w:val="1"/>
      <w:marLeft w:val="0"/>
      <w:marRight w:val="0"/>
      <w:marTop w:val="0"/>
      <w:marBottom w:val="0"/>
      <w:divBdr>
        <w:top w:val="none" w:sz="0" w:space="0" w:color="auto"/>
        <w:left w:val="none" w:sz="0" w:space="0" w:color="auto"/>
        <w:bottom w:val="none" w:sz="0" w:space="0" w:color="auto"/>
        <w:right w:val="none" w:sz="0" w:space="0" w:color="auto"/>
      </w:divBdr>
    </w:div>
    <w:div w:id="1289169869">
      <w:bodyDiv w:val="1"/>
      <w:marLeft w:val="0"/>
      <w:marRight w:val="0"/>
      <w:marTop w:val="0"/>
      <w:marBottom w:val="0"/>
      <w:divBdr>
        <w:top w:val="none" w:sz="0" w:space="0" w:color="auto"/>
        <w:left w:val="none" w:sz="0" w:space="0" w:color="auto"/>
        <w:bottom w:val="none" w:sz="0" w:space="0" w:color="auto"/>
        <w:right w:val="none" w:sz="0" w:space="0" w:color="auto"/>
      </w:divBdr>
    </w:div>
    <w:div w:id="1313173291">
      <w:bodyDiv w:val="1"/>
      <w:marLeft w:val="0"/>
      <w:marRight w:val="0"/>
      <w:marTop w:val="0"/>
      <w:marBottom w:val="0"/>
      <w:divBdr>
        <w:top w:val="none" w:sz="0" w:space="0" w:color="auto"/>
        <w:left w:val="none" w:sz="0" w:space="0" w:color="auto"/>
        <w:bottom w:val="none" w:sz="0" w:space="0" w:color="auto"/>
        <w:right w:val="none" w:sz="0" w:space="0" w:color="auto"/>
      </w:divBdr>
    </w:div>
    <w:div w:id="1483810027">
      <w:bodyDiv w:val="1"/>
      <w:marLeft w:val="0"/>
      <w:marRight w:val="0"/>
      <w:marTop w:val="0"/>
      <w:marBottom w:val="0"/>
      <w:divBdr>
        <w:top w:val="none" w:sz="0" w:space="0" w:color="auto"/>
        <w:left w:val="none" w:sz="0" w:space="0" w:color="auto"/>
        <w:bottom w:val="none" w:sz="0" w:space="0" w:color="auto"/>
        <w:right w:val="none" w:sz="0" w:space="0" w:color="auto"/>
      </w:divBdr>
    </w:div>
    <w:div w:id="1516534570">
      <w:bodyDiv w:val="1"/>
      <w:marLeft w:val="0"/>
      <w:marRight w:val="0"/>
      <w:marTop w:val="0"/>
      <w:marBottom w:val="0"/>
      <w:divBdr>
        <w:top w:val="none" w:sz="0" w:space="0" w:color="auto"/>
        <w:left w:val="none" w:sz="0" w:space="0" w:color="auto"/>
        <w:bottom w:val="none" w:sz="0" w:space="0" w:color="auto"/>
        <w:right w:val="none" w:sz="0" w:space="0" w:color="auto"/>
      </w:divBdr>
    </w:div>
    <w:div w:id="1516924361">
      <w:bodyDiv w:val="1"/>
      <w:marLeft w:val="0"/>
      <w:marRight w:val="0"/>
      <w:marTop w:val="0"/>
      <w:marBottom w:val="0"/>
      <w:divBdr>
        <w:top w:val="none" w:sz="0" w:space="0" w:color="auto"/>
        <w:left w:val="none" w:sz="0" w:space="0" w:color="auto"/>
        <w:bottom w:val="none" w:sz="0" w:space="0" w:color="auto"/>
        <w:right w:val="none" w:sz="0" w:space="0" w:color="auto"/>
      </w:divBdr>
    </w:div>
    <w:div w:id="1548227209">
      <w:bodyDiv w:val="1"/>
      <w:marLeft w:val="0"/>
      <w:marRight w:val="0"/>
      <w:marTop w:val="0"/>
      <w:marBottom w:val="0"/>
      <w:divBdr>
        <w:top w:val="none" w:sz="0" w:space="0" w:color="auto"/>
        <w:left w:val="none" w:sz="0" w:space="0" w:color="auto"/>
        <w:bottom w:val="none" w:sz="0" w:space="0" w:color="auto"/>
        <w:right w:val="none" w:sz="0" w:space="0" w:color="auto"/>
      </w:divBdr>
    </w:div>
    <w:div w:id="1772969192">
      <w:bodyDiv w:val="1"/>
      <w:marLeft w:val="0"/>
      <w:marRight w:val="0"/>
      <w:marTop w:val="0"/>
      <w:marBottom w:val="0"/>
      <w:divBdr>
        <w:top w:val="none" w:sz="0" w:space="0" w:color="auto"/>
        <w:left w:val="none" w:sz="0" w:space="0" w:color="auto"/>
        <w:bottom w:val="none" w:sz="0" w:space="0" w:color="auto"/>
        <w:right w:val="none" w:sz="0" w:space="0" w:color="auto"/>
      </w:divBdr>
    </w:div>
    <w:div w:id="1809082600">
      <w:bodyDiv w:val="1"/>
      <w:marLeft w:val="0"/>
      <w:marRight w:val="0"/>
      <w:marTop w:val="0"/>
      <w:marBottom w:val="0"/>
      <w:divBdr>
        <w:top w:val="none" w:sz="0" w:space="0" w:color="auto"/>
        <w:left w:val="none" w:sz="0" w:space="0" w:color="auto"/>
        <w:bottom w:val="none" w:sz="0" w:space="0" w:color="auto"/>
        <w:right w:val="none" w:sz="0" w:space="0" w:color="auto"/>
      </w:divBdr>
    </w:div>
    <w:div w:id="1848858553">
      <w:bodyDiv w:val="1"/>
      <w:marLeft w:val="0"/>
      <w:marRight w:val="0"/>
      <w:marTop w:val="0"/>
      <w:marBottom w:val="0"/>
      <w:divBdr>
        <w:top w:val="none" w:sz="0" w:space="0" w:color="auto"/>
        <w:left w:val="none" w:sz="0" w:space="0" w:color="auto"/>
        <w:bottom w:val="none" w:sz="0" w:space="0" w:color="auto"/>
        <w:right w:val="none" w:sz="0" w:space="0" w:color="auto"/>
      </w:divBdr>
    </w:div>
    <w:div w:id="1885214717">
      <w:bodyDiv w:val="1"/>
      <w:marLeft w:val="0"/>
      <w:marRight w:val="0"/>
      <w:marTop w:val="0"/>
      <w:marBottom w:val="0"/>
      <w:divBdr>
        <w:top w:val="none" w:sz="0" w:space="0" w:color="auto"/>
        <w:left w:val="none" w:sz="0" w:space="0" w:color="auto"/>
        <w:bottom w:val="none" w:sz="0" w:space="0" w:color="auto"/>
        <w:right w:val="none" w:sz="0" w:space="0" w:color="auto"/>
      </w:divBdr>
    </w:div>
    <w:div w:id="1917085243">
      <w:bodyDiv w:val="1"/>
      <w:marLeft w:val="0"/>
      <w:marRight w:val="0"/>
      <w:marTop w:val="0"/>
      <w:marBottom w:val="0"/>
      <w:divBdr>
        <w:top w:val="none" w:sz="0" w:space="0" w:color="auto"/>
        <w:left w:val="none" w:sz="0" w:space="0" w:color="auto"/>
        <w:bottom w:val="none" w:sz="0" w:space="0" w:color="auto"/>
        <w:right w:val="none" w:sz="0" w:space="0" w:color="auto"/>
      </w:divBdr>
    </w:div>
    <w:div w:id="2030718790">
      <w:bodyDiv w:val="1"/>
      <w:marLeft w:val="0"/>
      <w:marRight w:val="0"/>
      <w:marTop w:val="0"/>
      <w:marBottom w:val="0"/>
      <w:divBdr>
        <w:top w:val="none" w:sz="0" w:space="0" w:color="auto"/>
        <w:left w:val="none" w:sz="0" w:space="0" w:color="auto"/>
        <w:bottom w:val="none" w:sz="0" w:space="0" w:color="auto"/>
        <w:right w:val="none" w:sz="0" w:space="0" w:color="auto"/>
      </w:divBdr>
    </w:div>
    <w:div w:id="204972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imf.org/external/pubs/ft/scr/2014/cr14224.pdf" TargetMode="External"/><Relationship Id="rId2" Type="http://schemas.openxmlformats.org/officeDocument/2006/relationships/hyperlink" Target="https://eiti.org/sites/default/files/documents/rapport-itie-togo_2014.pdf" TargetMode="External"/><Relationship Id="rId1" Type="http://schemas.openxmlformats.org/officeDocument/2006/relationships/hyperlink" Target="http://www.worldbank.org/en/country/togo/over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PHE1642</b:Tag>
    <b:SourceType>InternetSite</b:SourceType>
    <b:Guid>{E8E924D0-C9BB-D84E-9CFD-8C05DEEE256F}</b:Guid>
    <b:Author>
      <b:Author>
        <b:Corporate>PH-EITI</b:Corporate>
      </b:Author>
    </b:Author>
    <b:Title>PH-EITI Presentation to the 63rd Annual National Mine Safety and Environment Conference Minerals Industry Symposium</b:Title>
    <b:Year>2016</b:Year>
    <b:URL>unpublished, provided the PH-EITI Secretariat</b:URL>
    <b:Month>November</b:Month>
    <b:Day>17</b:Day>
    <b:YearAccessed>2017</b:YearAccessed>
    <b:MonthAccessed>February</b:MonthAccessed>
    <b:RefOrder>1</b:RefOrder>
  </b:Source>
  <b:Source>
    <b:Tag>Bus16</b:Tag>
    <b:SourceType>InternetSite</b:SourceType>
    <b:Guid>{CC3ADAC9-7692-234A-9035-C65F1E25CBF6}</b:Guid>
    <b:Author>
      <b:Author>
        <b:Corporate>BusinessWorld</b:Corporate>
      </b:Author>
    </b:Author>
    <b:Title>PHL sees oil, gas potential as EITI efforts lauded</b:Title>
    <b:URL>http://www.bworldonline.com/content.php?section=Economy&amp;title=phl-sees-oil-gas-potential-as-eiti-efforts-lauded&amp;id=123663</b:URL>
    <b:Year>2016</b:Year>
    <b:Month>February</b:Month>
    <b:Day>26</b:Day>
    <b:YearAccessed>2017</b:YearAccessed>
    <b:MonthAccessed>February</b:MonthAccessed>
    <b:RefOrder>2</b:RefOrder>
  </b:Source>
  <b:Source>
    <b:Tag>Min161</b:Tag>
    <b:SourceType>InternetSite</b:SourceType>
    <b:Guid>{E852BD1C-4913-F046-A42C-1310A47013CD}</b:Guid>
    <b:Author>
      <b:Author>
        <b:Corporate>Mines and Geosciences Bureau</b:Corporate>
      </b:Author>
    </b:Author>
    <b:Title>Mineral Resource Inventory</b:Title>
    <b:URL>http://www.mgb.gov.ph/2015-05-13-01-44-56/2015-05-13-01-47-51#</b:URL>
    <b:Year>2016</b:Year>
    <b:YearAccessed>2016</b:YearAccessed>
    <b:MonthAccessed>October</b:MonthAccessed>
    <b:RefOrder>3</b:RefOrder>
  </b:Source>
  <b:Source>
    <b:Tag>PHE156</b:Tag>
    <b:SourceType>DocumentFromInternetSite</b:SourceType>
    <b:Guid>{B6460EE1-35AF-7546-83B5-07FBDDF8FE7E}</b:Guid>
    <b:Author>
      <b:Author>
        <b:Corporate>PH-EITI</b:Corporate>
      </b:Author>
    </b:Author>
    <b:Title>The 2nd PH-EITI Country Report (FY2013) - Executive Summary</b:Title>
    <b:URL>http://ph-eiti.org/document/EITI-Report/Second-Country-Report/Executive%20Summary_2015.pdf</b:URL>
    <b:Year>2015</b:Year>
    <b:Month>December</b:Month>
    <b:YearAccessed>2016</b:YearAccessed>
    <b:MonthAccessed>September</b:MonthAccessed>
    <b:RefOrder>4</b:RefOrder>
  </b:Source>
  <b:Source>
    <b:Tag>Reu16</b:Tag>
    <b:SourceType>DocumentFromInternetSite</b:SourceType>
    <b:Guid>{BDD6010E-B972-354A-8F58-0E1CAD3ABAB3}</b:Guid>
    <b:Author>
      <b:Author>
        <b:Corporate>Reuters</b:Corporate>
      </b:Author>
    </b:Author>
    <b:Title>The Philippines Will Suspend More Mines Over Environmental Violations</b:Title>
    <b:Year>2016</b:Year>
    <b:URL>http://fortune.com/2016/09/05/philippines-mines-suspend/</b:URL>
    <b:Month>September</b:Month>
    <b:Day>5</b:Day>
    <b:YearAccessed>2016</b:YearAccessed>
    <b:MonthAccessed>September</b:MonthAccessed>
    <b:RefOrder>5</b:RefOrder>
  </b:Source>
  <b:Source>
    <b:Tag>EIT162</b:Tag>
    <b:SourceType>InternetSite</b:SourceType>
    <b:Guid>{4E21543C-9CAF-134D-A132-629099C36A65}</b:Guid>
    <b:Author>
      <b:Author>
        <b:Corporate>EITI</b:Corporate>
      </b:Author>
    </b:Author>
    <b:Title>Philippines country page</b:Title>
    <b:URL>https://eiti.org/implementing_country/2</b:URL>
    <b:YearAccessed>2016</b:YearAccessed>
    <b:MonthAccessed>November</b:MonthAccessed>
    <b:Year>2016</b:Year>
    <b:RefOrder>6</b:RefOrder>
  </b:Source>
</b:Sources>
</file>

<file path=customXml/itemProps1.xml><?xml version="1.0" encoding="utf-8"?>
<ds:datastoreItem xmlns:ds="http://schemas.openxmlformats.org/officeDocument/2006/customXml" ds:itemID="{DEA0FF78-B77B-46D4-9C85-EE20A2104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3146</Words>
  <Characters>16676</Characters>
  <Application>Microsoft Office Word</Application>
  <DocSecurity>0</DocSecurity>
  <Lines>138</Lines>
  <Paragraphs>39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19783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Irwin</dc:creator>
  <cp:lastModifiedBy>Dylan Gélard</cp:lastModifiedBy>
  <cp:revision>6</cp:revision>
  <dcterms:created xsi:type="dcterms:W3CDTF">2018-01-09T18:02:00Z</dcterms:created>
  <dcterms:modified xsi:type="dcterms:W3CDTF">2018-01-11T09:07:00Z</dcterms:modified>
</cp:coreProperties>
</file>