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75" w:rsidRPr="000E4BC0" w:rsidRDefault="0073066B" w:rsidP="00113075">
      <w:pPr>
        <w:pStyle w:val="Header"/>
      </w:pPr>
      <w:bookmarkStart w:id="0" w:name="_Toc439883219"/>
      <w:permStart w:id="539184320" w:edGrp="everyone"/>
      <w:r>
        <w:rPr>
          <w:noProof/>
          <w:lang w:val="nb-NO" w:eastAsia="nb-NO" w:bidi="ar-SA"/>
        </w:rPr>
        <w:drawing>
          <wp:anchor distT="0" distB="0" distL="114935" distR="114935" simplePos="0" relativeHeight="251657728" behindDoc="1" locked="0" layoutInCell="1" allowOverlap="1">
            <wp:simplePos x="0" y="0"/>
            <wp:positionH relativeFrom="page">
              <wp:posOffset>720090</wp:posOffset>
            </wp:positionH>
            <wp:positionV relativeFrom="page">
              <wp:posOffset>360045</wp:posOffset>
            </wp:positionV>
            <wp:extent cx="2466340" cy="504190"/>
            <wp:effectExtent l="0" t="0" r="0"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6340" cy="504190"/>
                    </a:xfrm>
                    <a:prstGeom prst="rect">
                      <a:avLst/>
                    </a:prstGeom>
                    <a:solidFill>
                      <a:srgbClr val="FFFFFF"/>
                    </a:solidFill>
                    <a:ln>
                      <a:noFill/>
                    </a:ln>
                  </pic:spPr>
                </pic:pic>
              </a:graphicData>
            </a:graphic>
          </wp:anchor>
        </w:drawing>
      </w:r>
      <w:permEnd w:id="539184320"/>
    </w:p>
    <w:p w:rsidR="00113075" w:rsidRPr="000E4BC0" w:rsidRDefault="00113075" w:rsidP="00113075"/>
    <w:p w:rsidR="00113075" w:rsidRPr="000E4BC0" w:rsidRDefault="00113075" w:rsidP="00113075"/>
    <w:p w:rsidR="00113075" w:rsidRPr="000E4BC0" w:rsidRDefault="00113075" w:rsidP="00113075"/>
    <w:p w:rsidR="00113075" w:rsidRPr="000E4BC0" w:rsidRDefault="00113075" w:rsidP="00113075"/>
    <w:p w:rsidR="00113075" w:rsidRPr="000E4BC0" w:rsidRDefault="001C0D4C" w:rsidP="00113075">
      <w:pPr>
        <w:tabs>
          <w:tab w:val="left" w:pos="6530"/>
        </w:tabs>
      </w:pPr>
      <w:r>
        <w:rPr>
          <w:noProof/>
        </w:rPr>
        <w:pict>
          <v:rect id="Rectangle 6" o:spid="_x0000_s1026" style="position:absolute;margin-left:-75.4pt;margin-top:17.4pt;width:654.15pt;height:3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" fillcolor="black"/>
        </w:pict>
      </w:r>
    </w:p>
    <w:p w:rsidR="00113075" w:rsidRPr="000E4BC0" w:rsidRDefault="004350BD" w:rsidP="00113075">
      <w:pPr>
        <w:rPr>
          <w:caps/>
          <w:color w:val="FFFFFF"/>
          <w:sz w:val="28"/>
          <w:szCs w:val="28"/>
        </w:rPr>
      </w:pPr>
      <w:r>
        <w:rPr>
          <w:color w:val="FFFFFF" w:themeColor="background1"/>
          <w:sz w:val="32"/>
        </w:rPr>
        <w:t>36</w:t>
      </w:r>
      <w:r>
        <w:rPr>
          <w:color w:val="FFFFFF" w:themeColor="background1"/>
          <w:sz w:val="32"/>
          <w:vertAlign w:val="superscript"/>
        </w:rPr>
        <w:t>E</w:t>
      </w:r>
      <w:r w:rsidR="00080381">
        <w:rPr>
          <w:color w:val="FFFFFF" w:themeColor="background1"/>
          <w:sz w:val="32"/>
          <w:vertAlign w:val="superscript"/>
        </w:rPr>
        <w:t xml:space="preserve"> </w:t>
      </w:r>
      <w:r>
        <w:rPr>
          <w:color w:val="FFFFFF" w:themeColor="background1"/>
          <w:sz w:val="32"/>
        </w:rPr>
        <w:t>RÉUNION DU CONSEIL D</w:t>
      </w:r>
      <w:r w:rsidR="00080381">
        <w:rPr>
          <w:color w:val="FFFFFF" w:themeColor="background1"/>
          <w:sz w:val="32"/>
        </w:rPr>
        <w:t>’</w:t>
      </w:r>
      <w:r>
        <w:rPr>
          <w:color w:val="FFFFFF" w:themeColor="background1"/>
          <w:sz w:val="32"/>
        </w:rPr>
        <w:t>ADMINISTRATION DE l</w:t>
      </w:r>
      <w:r w:rsidR="00080381">
        <w:rPr>
          <w:color w:val="FFFFFF" w:themeColor="background1"/>
          <w:sz w:val="32"/>
        </w:rPr>
        <w:t>’</w:t>
      </w:r>
      <w:r>
        <w:rPr>
          <w:color w:val="FFFFFF" w:themeColor="background1"/>
          <w:sz w:val="32"/>
        </w:rPr>
        <w:t>ITIE</w:t>
      </w:r>
      <w:r>
        <w:tab/>
      </w:r>
      <w:r>
        <w:rPr>
          <w:color w:val="FFFFFF" w:themeColor="background1"/>
          <w:sz w:val="32"/>
        </w:rPr>
        <w:t>8-9 MARS</w:t>
      </w:r>
      <w:r w:rsidR="00930F66">
        <w:rPr>
          <w:color w:val="FFFFFF" w:themeColor="background1"/>
          <w:sz w:val="32"/>
        </w:rPr>
        <w:t xml:space="preserve"> 2016 À</w:t>
      </w:r>
      <w:r>
        <w:rPr>
          <w:color w:val="FFFFFF" w:themeColor="background1"/>
          <w:sz w:val="32"/>
        </w:rPr>
        <w:t xml:space="preserve"> </w:t>
      </w:r>
      <w:r>
        <w:rPr>
          <w:noProof/>
          <w:lang w:val="nb-NO" w:eastAsia="nb-NO" w:bidi="ar-SA"/>
        </w:rPr>
        <w:drawing>
          <wp:anchor distT="0" distB="0" distL="114935" distR="114935" simplePos="0" relativeHeight="251656704" behindDoc="1" locked="0" layoutInCell="1" allowOverlap="1">
            <wp:simplePos x="0" y="0"/>
            <wp:positionH relativeFrom="column">
              <wp:posOffset>-1374140</wp:posOffset>
            </wp:positionH>
            <wp:positionV relativeFrom="paragraph">
              <wp:posOffset>251460</wp:posOffset>
            </wp:positionV>
            <wp:extent cx="8517890" cy="415925"/>
            <wp:effectExtent l="0" t="0" r="0" b="3175"/>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17890" cy="415925"/>
                    </a:xfrm>
                    <a:prstGeom prst="rect">
                      <a:avLst/>
                    </a:prstGeom>
                    <a:solidFill>
                      <a:srgbClr val="FFFFFF"/>
                    </a:solidFill>
                    <a:ln>
                      <a:noFill/>
                    </a:ln>
                  </pic:spPr>
                </pic:pic>
              </a:graphicData>
            </a:graphic>
          </wp:anchor>
        </w:drawing>
      </w:r>
      <w:r>
        <w:rPr>
          <w:color w:val="FFFFFF" w:themeColor="background1"/>
          <w:sz w:val="32"/>
        </w:rPr>
        <w:t>BOGOTA</w:t>
      </w:r>
    </w:p>
    <w:p w:rsidR="00113075" w:rsidRPr="00245742" w:rsidRDefault="006A2BFE" w:rsidP="00113075">
      <w:pPr>
        <w:tabs>
          <w:tab w:val="left" w:pos="720"/>
          <w:tab w:val="left" w:pos="2535"/>
        </w:tabs>
        <w:spacing w:before="240"/>
        <w:rPr>
          <w:caps/>
          <w:sz w:val="28"/>
          <w:szCs w:val="32"/>
        </w:rPr>
      </w:pPr>
      <w:r w:rsidRPr="00B83E5C">
        <w:rPr>
          <w:sz w:val="32"/>
          <w:szCs w:val="32"/>
        </w:rPr>
        <w:t xml:space="preserve">Comité de </w:t>
      </w:r>
      <w:r w:rsidR="00092916">
        <w:rPr>
          <w:sz w:val="32"/>
          <w:szCs w:val="32"/>
        </w:rPr>
        <w:t>M</w:t>
      </w:r>
      <w:r w:rsidRPr="00B83E5C">
        <w:rPr>
          <w:sz w:val="32"/>
          <w:szCs w:val="32"/>
        </w:rPr>
        <w:t>ise en œuvre</w:t>
      </w:r>
      <w:r w:rsidRPr="00B83E5C">
        <w:rPr>
          <w:sz w:val="32"/>
          <w:szCs w:val="32"/>
        </w:rPr>
        <w:tab/>
      </w:r>
      <w:r>
        <w:tab/>
      </w:r>
      <w:r>
        <w:rPr>
          <w:sz w:val="32"/>
        </w:rPr>
        <w:t>11 Janvier 2016</w:t>
      </w:r>
    </w:p>
    <w:p w:rsidR="005841F1" w:rsidRDefault="005841F1" w:rsidP="00EA5BCD">
      <w:pPr>
        <w:pStyle w:val="TOCHeading"/>
        <w:rPr>
          <w:rFonts w:ascii="Calibri" w:hAnsi="Calibri"/>
          <w:b w:val="0"/>
          <w:color w:val="auto"/>
          <w:sz w:val="80"/>
          <w:szCs w:val="80"/>
        </w:rPr>
      </w:pPr>
      <w:bookmarkStart w:id="1" w:name="_Toc322966170"/>
      <w:bookmarkStart w:id="2" w:name="_Toc322966171"/>
      <w:bookmarkEnd w:id="0"/>
      <w:r>
        <w:rPr>
          <w:rFonts w:ascii="Calibri" w:hAnsi="Calibri"/>
          <w:b w:val="0"/>
          <w:color w:val="auto"/>
          <w:sz w:val="32"/>
        </w:rPr>
        <w:t xml:space="preserve">Document du Comité de </w:t>
      </w:r>
      <w:r w:rsidR="00092916">
        <w:rPr>
          <w:rFonts w:ascii="Calibri" w:hAnsi="Calibri"/>
          <w:b w:val="0"/>
          <w:color w:val="auto"/>
          <w:sz w:val="32"/>
        </w:rPr>
        <w:t>M</w:t>
      </w:r>
      <w:r>
        <w:rPr>
          <w:rFonts w:ascii="Calibri" w:hAnsi="Calibri"/>
          <w:b w:val="0"/>
          <w:color w:val="auto"/>
          <w:sz w:val="32"/>
        </w:rPr>
        <w:t>ise en œuvre</w:t>
      </w:r>
      <w:r w:rsidR="00662766">
        <w:rPr>
          <w:rFonts w:ascii="Calibri" w:hAnsi="Calibri"/>
          <w:b w:val="0"/>
          <w:color w:val="auto"/>
          <w:sz w:val="32"/>
        </w:rPr>
        <w:t> </w:t>
      </w:r>
      <w:r>
        <w:rPr>
          <w:rFonts w:ascii="Calibri" w:hAnsi="Calibri"/>
          <w:b w:val="0"/>
          <w:color w:val="auto"/>
          <w:sz w:val="32"/>
        </w:rPr>
        <w:t>10-3</w:t>
      </w:r>
    </w:p>
    <w:p w:rsidR="00EA5BCD" w:rsidRPr="00080381" w:rsidRDefault="002025F3" w:rsidP="00EA5BCD">
      <w:pPr>
        <w:pStyle w:val="TOCHeading"/>
        <w:rPr>
          <w:rFonts w:ascii="Calibri" w:hAnsi="Calibri"/>
          <w:b w:val="0"/>
          <w:color w:val="auto"/>
          <w:sz w:val="72"/>
          <w:szCs w:val="72"/>
        </w:rPr>
      </w:pPr>
      <w:r w:rsidRPr="00080381">
        <w:rPr>
          <w:rFonts w:ascii="Calibri" w:hAnsi="Calibri"/>
          <w:b w:val="0"/>
          <w:color w:val="auto"/>
          <w:sz w:val="72"/>
          <w:szCs w:val="72"/>
        </w:rPr>
        <w:t>Analyse du projet de feuille de route sur la propriété réelle</w:t>
      </w:r>
    </w:p>
    <w:p w:rsidR="005841F1" w:rsidRPr="005841F1" w:rsidRDefault="005841F1" w:rsidP="005841F1">
      <w:pPr>
        <w:rPr>
          <w:i/>
          <w:sz w:val="36"/>
          <w:szCs w:val="36"/>
        </w:rPr>
      </w:pPr>
      <w:r>
        <w:rPr>
          <w:i/>
          <w:sz w:val="36"/>
        </w:rPr>
        <w:t>Pour examen</w:t>
      </w:r>
    </w:p>
    <w:p w:rsidR="00945F75" w:rsidRDefault="00945F75" w:rsidP="00945F75"/>
    <w:p w:rsidR="00945F75" w:rsidRDefault="00FB60B9" w:rsidP="00FB60B9">
      <w:pPr>
        <w:shd w:val="clear" w:color="auto" w:fill="D9D9D9" w:themeFill="background1" w:themeFillShade="D9"/>
      </w:pPr>
      <w:r>
        <w:t>Les pays mettant en œuvre l</w:t>
      </w:r>
      <w:r w:rsidR="00080381">
        <w:t>’</w:t>
      </w:r>
      <w:r>
        <w:t>ITIE ont jusqu</w:t>
      </w:r>
      <w:r w:rsidR="00080381">
        <w:t>’</w:t>
      </w:r>
      <w:r>
        <w:t>au 1er janvier 2017 pour publier les feuilles de route présentant en détail les plans visant à parvenir à la transparence de la propriété réelle d</w:t>
      </w:r>
      <w:r w:rsidR="00080381">
        <w:t>’</w:t>
      </w:r>
      <w:r>
        <w:t>ici à 2020. Au 11 janvier</w:t>
      </w:r>
      <w:r w:rsidR="00E20F31">
        <w:t xml:space="preserve"> 2017</w:t>
      </w:r>
      <w:r>
        <w:t xml:space="preserve">, 42 pays </w:t>
      </w:r>
      <w:r w:rsidR="00E20F31">
        <w:t>avaie</w:t>
      </w:r>
      <w:r>
        <w:t xml:space="preserve">nt publié </w:t>
      </w:r>
      <w:r w:rsidR="00E20F31">
        <w:t>une</w:t>
      </w:r>
      <w:r>
        <w:t xml:space="preserve"> feuille de route sur la propriété réelle. Dans vingt d</w:t>
      </w:r>
      <w:r w:rsidR="00080381">
        <w:t>’</w:t>
      </w:r>
      <w:r>
        <w:t>entre elles est envisagée la création de registres publics d</w:t>
      </w:r>
      <w:r w:rsidR="00080381">
        <w:t>’</w:t>
      </w:r>
      <w:r>
        <w:t>ici à 2020.</w:t>
      </w:r>
      <w:r w:rsidR="00080381">
        <w:t xml:space="preserve"> </w:t>
      </w:r>
      <w:r>
        <w:t>La plupart des feuilles de route traitent de tous les aspects de l</w:t>
      </w:r>
      <w:r w:rsidR="00080381">
        <w:t>’</w:t>
      </w:r>
      <w:r>
        <w:t>Exigence</w:t>
      </w:r>
      <w:r w:rsidR="00662766">
        <w:t> </w:t>
      </w:r>
      <w:r>
        <w:t>2.5</w:t>
      </w:r>
      <w:r w:rsidR="00092916">
        <w:t xml:space="preserve"> (</w:t>
      </w:r>
      <w:r>
        <w:t>b.ii</w:t>
      </w:r>
      <w:r w:rsidR="00092916">
        <w:t>)</w:t>
      </w:r>
      <w:r>
        <w:t>, qui fixe les orientations du contenu d</w:t>
      </w:r>
      <w:r w:rsidR="00080381">
        <w:t>’</w:t>
      </w:r>
      <w:r>
        <w:t xml:space="preserve">une feuille de route. Cinq pays ont soumis </w:t>
      </w:r>
      <w:r w:rsidR="00E20F31">
        <w:t>un</w:t>
      </w:r>
      <w:r>
        <w:t xml:space="preserve"> projet de feuille de route et devraient bientôt publier leur feuille de route finale. Quatre pays doivent encore faire </w:t>
      </w:r>
      <w:r w:rsidR="00092916">
        <w:t xml:space="preserve">des </w:t>
      </w:r>
      <w:r>
        <w:t>progrès significatifs dans ce domaine. Ce projet de document fournit une analyse des feuilles de route soumises à ce jour et met en évidence les questions à examiner ainsi que les prochaines étapes recommandées.</w:t>
      </w:r>
    </w:p>
    <w:p w:rsidR="00EA5BCD" w:rsidRPr="000E4BC0" w:rsidRDefault="009352B3" w:rsidP="00EA5BCD">
      <w:pPr>
        <w:pStyle w:val="Title"/>
      </w:pPr>
      <w:r>
        <w:br w:type="page"/>
      </w:r>
      <w:r>
        <w:lastRenderedPageBreak/>
        <w:t>Analyse du projet de</w:t>
      </w:r>
      <w:r w:rsidR="00080381">
        <w:t xml:space="preserve"> feuille de route sur la propriÉtÉ rÉ</w:t>
      </w:r>
      <w:r>
        <w:t>elle</w:t>
      </w:r>
    </w:p>
    <w:p w:rsidR="00113075" w:rsidRPr="00FD4836" w:rsidRDefault="00113075" w:rsidP="00113075">
      <w:pPr>
        <w:pStyle w:val="TOCHeading"/>
        <w:rPr>
          <w:rFonts w:ascii="Calibri" w:hAnsi="Calibri"/>
          <w:sz w:val="28"/>
        </w:rPr>
      </w:pPr>
      <w:r>
        <w:rPr>
          <w:rFonts w:ascii="Calibri" w:hAnsi="Calibri"/>
          <w:sz w:val="28"/>
        </w:rPr>
        <w:t>Sommaire</w:t>
      </w:r>
    </w:p>
    <w:p w:rsidR="00080381" w:rsidRDefault="00E92DFE">
      <w:pPr>
        <w:pStyle w:val="TOC1"/>
        <w:tabs>
          <w:tab w:val="left" w:pos="440"/>
          <w:tab w:val="right" w:leader="dot" w:pos="9061"/>
        </w:tabs>
        <w:rPr>
          <w:rFonts w:asciiTheme="minorHAnsi" w:eastAsiaTheme="minorEastAsia" w:hAnsiTheme="minorHAnsi" w:cstheme="minorBidi"/>
          <w:noProof/>
          <w:lang w:val="en-US" w:eastAsia="en-US" w:bidi="ar-SA"/>
        </w:rPr>
      </w:pPr>
      <w:r w:rsidRPr="000E4BC0">
        <w:rPr>
          <w:b/>
        </w:rPr>
        <w:fldChar w:fldCharType="begin"/>
      </w:r>
      <w:r w:rsidR="00113075" w:rsidRPr="000E4BC0">
        <w:instrText xml:space="preserve"> TOC \o "1-3" \h \z \u </w:instrText>
      </w:r>
      <w:r w:rsidRPr="000E4BC0">
        <w:rPr>
          <w:b/>
          <w:szCs w:val="24"/>
        </w:rPr>
        <w:fldChar w:fldCharType="separate"/>
      </w:r>
      <w:hyperlink w:anchor="_Toc472131093" w:history="1">
        <w:r w:rsidR="00080381" w:rsidRPr="008E5E54">
          <w:rPr>
            <w:rStyle w:val="Hyperlink"/>
            <w:noProof/>
          </w:rPr>
          <w:t>1</w:t>
        </w:r>
        <w:r w:rsidR="00080381">
          <w:rPr>
            <w:rFonts w:asciiTheme="minorHAnsi" w:eastAsiaTheme="minorEastAsia" w:hAnsiTheme="minorHAnsi" w:cstheme="minorBidi"/>
            <w:noProof/>
            <w:lang w:val="en-US" w:eastAsia="en-US" w:bidi="ar-SA"/>
          </w:rPr>
          <w:tab/>
        </w:r>
        <w:r w:rsidR="00080381" w:rsidRPr="008E5E54">
          <w:rPr>
            <w:rStyle w:val="Hyperlink"/>
            <w:noProof/>
          </w:rPr>
          <w:t>Synthèse</w:t>
        </w:r>
        <w:r w:rsidR="00080381">
          <w:rPr>
            <w:noProof/>
            <w:webHidden/>
          </w:rPr>
          <w:tab/>
        </w:r>
        <w:r>
          <w:rPr>
            <w:noProof/>
            <w:webHidden/>
          </w:rPr>
          <w:fldChar w:fldCharType="begin"/>
        </w:r>
        <w:r w:rsidR="00080381">
          <w:rPr>
            <w:noProof/>
            <w:webHidden/>
          </w:rPr>
          <w:instrText xml:space="preserve"> PAGEREF _Toc472131093 \h </w:instrText>
        </w:r>
        <w:r>
          <w:rPr>
            <w:noProof/>
            <w:webHidden/>
          </w:rPr>
        </w:r>
        <w:r>
          <w:rPr>
            <w:noProof/>
            <w:webHidden/>
          </w:rPr>
          <w:fldChar w:fldCharType="separate"/>
        </w:r>
        <w:r w:rsidR="00080381">
          <w:rPr>
            <w:noProof/>
            <w:webHidden/>
          </w:rPr>
          <w:t>2</w:t>
        </w:r>
        <w:r>
          <w:rPr>
            <w:noProof/>
            <w:webHidden/>
          </w:rPr>
          <w:fldChar w:fldCharType="end"/>
        </w:r>
      </w:hyperlink>
    </w:p>
    <w:p w:rsidR="00080381" w:rsidRDefault="001C0D4C">
      <w:pPr>
        <w:pStyle w:val="TOC1"/>
        <w:tabs>
          <w:tab w:val="left" w:pos="440"/>
          <w:tab w:val="right" w:leader="dot" w:pos="9061"/>
        </w:tabs>
        <w:rPr>
          <w:rFonts w:asciiTheme="minorHAnsi" w:eastAsiaTheme="minorEastAsia" w:hAnsiTheme="minorHAnsi" w:cstheme="minorBidi"/>
          <w:noProof/>
          <w:lang w:val="en-US" w:eastAsia="en-US" w:bidi="ar-SA"/>
        </w:rPr>
      </w:pPr>
      <w:hyperlink w:anchor="_Toc472131094" w:history="1">
        <w:r w:rsidR="00080381" w:rsidRPr="008E5E54">
          <w:rPr>
            <w:rStyle w:val="Hyperlink"/>
            <w:noProof/>
          </w:rPr>
          <w:t>2</w:t>
        </w:r>
        <w:r w:rsidR="00080381">
          <w:rPr>
            <w:rFonts w:asciiTheme="minorHAnsi" w:eastAsiaTheme="minorEastAsia" w:hAnsiTheme="minorHAnsi" w:cstheme="minorBidi"/>
            <w:noProof/>
            <w:lang w:val="en-US" w:eastAsia="en-US" w:bidi="ar-SA"/>
          </w:rPr>
          <w:tab/>
        </w:r>
        <w:r w:rsidR="00080381" w:rsidRPr="008E5E54">
          <w:rPr>
            <w:rStyle w:val="Hyperlink"/>
            <w:noProof/>
          </w:rPr>
          <w:t>Contexte</w:t>
        </w:r>
        <w:r w:rsidR="00080381">
          <w:rPr>
            <w:noProof/>
            <w:webHidden/>
          </w:rPr>
          <w:tab/>
        </w:r>
        <w:r w:rsidR="00E92DFE">
          <w:rPr>
            <w:noProof/>
            <w:webHidden/>
          </w:rPr>
          <w:fldChar w:fldCharType="begin"/>
        </w:r>
        <w:r w:rsidR="00080381">
          <w:rPr>
            <w:noProof/>
            <w:webHidden/>
          </w:rPr>
          <w:instrText xml:space="preserve"> PAGEREF _Toc472131094 \h </w:instrText>
        </w:r>
        <w:r w:rsidR="00E92DFE">
          <w:rPr>
            <w:noProof/>
            <w:webHidden/>
          </w:rPr>
        </w:r>
        <w:r w:rsidR="00E92DFE">
          <w:rPr>
            <w:noProof/>
            <w:webHidden/>
          </w:rPr>
          <w:fldChar w:fldCharType="separate"/>
        </w:r>
        <w:r w:rsidR="00080381">
          <w:rPr>
            <w:noProof/>
            <w:webHidden/>
          </w:rPr>
          <w:t>2</w:t>
        </w:r>
        <w:r w:rsidR="00E92DFE">
          <w:rPr>
            <w:noProof/>
            <w:webHidden/>
          </w:rPr>
          <w:fldChar w:fldCharType="end"/>
        </w:r>
      </w:hyperlink>
    </w:p>
    <w:p w:rsidR="00080381" w:rsidRDefault="001C0D4C">
      <w:pPr>
        <w:pStyle w:val="TOC1"/>
        <w:tabs>
          <w:tab w:val="left" w:pos="440"/>
          <w:tab w:val="right" w:leader="dot" w:pos="9061"/>
        </w:tabs>
        <w:rPr>
          <w:rFonts w:asciiTheme="minorHAnsi" w:eastAsiaTheme="minorEastAsia" w:hAnsiTheme="minorHAnsi" w:cstheme="minorBidi"/>
          <w:noProof/>
          <w:lang w:val="en-US" w:eastAsia="en-US" w:bidi="ar-SA"/>
        </w:rPr>
      </w:pPr>
      <w:hyperlink w:anchor="_Toc472131095" w:history="1">
        <w:r w:rsidR="00080381" w:rsidRPr="008E5E54">
          <w:rPr>
            <w:rStyle w:val="Hyperlink"/>
            <w:noProof/>
          </w:rPr>
          <w:t>3</w:t>
        </w:r>
        <w:r w:rsidR="00080381">
          <w:rPr>
            <w:rFonts w:asciiTheme="minorHAnsi" w:eastAsiaTheme="minorEastAsia" w:hAnsiTheme="minorHAnsi" w:cstheme="minorBidi"/>
            <w:noProof/>
            <w:lang w:val="en-US" w:eastAsia="en-US" w:bidi="ar-SA"/>
          </w:rPr>
          <w:tab/>
        </w:r>
        <w:r w:rsidR="00080381" w:rsidRPr="008E5E54">
          <w:rPr>
            <w:rStyle w:val="Hyperlink"/>
            <w:noProof/>
          </w:rPr>
          <w:t>Analyse des feuilles de route sur la propriété réelle</w:t>
        </w:r>
        <w:r w:rsidR="00080381">
          <w:rPr>
            <w:noProof/>
            <w:webHidden/>
          </w:rPr>
          <w:tab/>
        </w:r>
        <w:r w:rsidR="00E92DFE">
          <w:rPr>
            <w:noProof/>
            <w:webHidden/>
          </w:rPr>
          <w:fldChar w:fldCharType="begin"/>
        </w:r>
        <w:r w:rsidR="00080381">
          <w:rPr>
            <w:noProof/>
            <w:webHidden/>
          </w:rPr>
          <w:instrText xml:space="preserve"> PAGEREF _Toc472131095 \h </w:instrText>
        </w:r>
        <w:r w:rsidR="00E92DFE">
          <w:rPr>
            <w:noProof/>
            <w:webHidden/>
          </w:rPr>
        </w:r>
        <w:r w:rsidR="00E92DFE">
          <w:rPr>
            <w:noProof/>
            <w:webHidden/>
          </w:rPr>
          <w:fldChar w:fldCharType="separate"/>
        </w:r>
        <w:r w:rsidR="00080381">
          <w:rPr>
            <w:noProof/>
            <w:webHidden/>
          </w:rPr>
          <w:t>3</w:t>
        </w:r>
        <w:r w:rsidR="00E92DFE">
          <w:rPr>
            <w:noProof/>
            <w:webHidden/>
          </w:rPr>
          <w:fldChar w:fldCharType="end"/>
        </w:r>
      </w:hyperlink>
    </w:p>
    <w:p w:rsidR="00080381" w:rsidRDefault="001C0D4C">
      <w:pPr>
        <w:pStyle w:val="TOC2"/>
        <w:tabs>
          <w:tab w:val="left" w:pos="880"/>
          <w:tab w:val="right" w:leader="dot" w:pos="9061"/>
        </w:tabs>
        <w:rPr>
          <w:rFonts w:asciiTheme="minorHAnsi" w:eastAsiaTheme="minorEastAsia" w:hAnsiTheme="minorHAnsi" w:cstheme="minorBidi"/>
          <w:noProof/>
          <w:lang w:val="en-US" w:eastAsia="en-US" w:bidi="ar-SA"/>
        </w:rPr>
      </w:pPr>
      <w:hyperlink w:anchor="_Toc472131096" w:history="1">
        <w:r w:rsidR="00080381" w:rsidRPr="008E5E54">
          <w:rPr>
            <w:rStyle w:val="Hyperlink"/>
            <w:noProof/>
          </w:rPr>
          <w:t>3.1</w:t>
        </w:r>
        <w:r w:rsidR="00080381">
          <w:rPr>
            <w:rFonts w:asciiTheme="minorHAnsi" w:eastAsiaTheme="minorEastAsia" w:hAnsiTheme="minorHAnsi" w:cstheme="minorBidi"/>
            <w:noProof/>
            <w:lang w:val="en-US" w:eastAsia="en-US" w:bidi="ar-SA"/>
          </w:rPr>
          <w:tab/>
        </w:r>
        <w:r w:rsidR="00080381" w:rsidRPr="008E5E54">
          <w:rPr>
            <w:rStyle w:val="Hyperlink"/>
            <w:noProof/>
          </w:rPr>
          <w:t>Soumission des feuilles de route – situation au 11 janvier</w:t>
        </w:r>
        <w:r w:rsidR="00092916">
          <w:rPr>
            <w:rStyle w:val="Hyperlink"/>
            <w:noProof/>
          </w:rPr>
          <w:t xml:space="preserve"> 2016</w:t>
        </w:r>
        <w:r w:rsidR="00080381">
          <w:rPr>
            <w:noProof/>
            <w:webHidden/>
          </w:rPr>
          <w:tab/>
        </w:r>
        <w:r w:rsidR="00E92DFE">
          <w:rPr>
            <w:noProof/>
            <w:webHidden/>
          </w:rPr>
          <w:fldChar w:fldCharType="begin"/>
        </w:r>
        <w:r w:rsidR="00080381">
          <w:rPr>
            <w:noProof/>
            <w:webHidden/>
          </w:rPr>
          <w:instrText xml:space="preserve"> PAGEREF _Toc472131096 \h </w:instrText>
        </w:r>
        <w:r w:rsidR="00E92DFE">
          <w:rPr>
            <w:noProof/>
            <w:webHidden/>
          </w:rPr>
        </w:r>
        <w:r w:rsidR="00E92DFE">
          <w:rPr>
            <w:noProof/>
            <w:webHidden/>
          </w:rPr>
          <w:fldChar w:fldCharType="separate"/>
        </w:r>
        <w:r w:rsidR="00080381">
          <w:rPr>
            <w:noProof/>
            <w:webHidden/>
          </w:rPr>
          <w:t>3</w:t>
        </w:r>
        <w:r w:rsidR="00E92DFE">
          <w:rPr>
            <w:noProof/>
            <w:webHidden/>
          </w:rPr>
          <w:fldChar w:fldCharType="end"/>
        </w:r>
      </w:hyperlink>
    </w:p>
    <w:p w:rsidR="00080381" w:rsidRDefault="001C0D4C">
      <w:pPr>
        <w:pStyle w:val="TOC2"/>
        <w:tabs>
          <w:tab w:val="left" w:pos="880"/>
          <w:tab w:val="right" w:leader="dot" w:pos="9061"/>
        </w:tabs>
        <w:rPr>
          <w:rFonts w:asciiTheme="minorHAnsi" w:eastAsiaTheme="minorEastAsia" w:hAnsiTheme="minorHAnsi" w:cstheme="minorBidi"/>
          <w:noProof/>
          <w:lang w:val="en-US" w:eastAsia="en-US" w:bidi="ar-SA"/>
        </w:rPr>
      </w:pPr>
      <w:hyperlink w:anchor="_Toc472131097" w:history="1">
        <w:r w:rsidR="00080381" w:rsidRPr="008E5E54">
          <w:rPr>
            <w:rStyle w:val="Hyperlink"/>
            <w:noProof/>
          </w:rPr>
          <w:t>3.2</w:t>
        </w:r>
        <w:r w:rsidR="00080381">
          <w:rPr>
            <w:rFonts w:asciiTheme="minorHAnsi" w:eastAsiaTheme="minorEastAsia" w:hAnsiTheme="minorHAnsi" w:cstheme="minorBidi"/>
            <w:noProof/>
            <w:lang w:val="en-US" w:eastAsia="en-US" w:bidi="ar-SA"/>
          </w:rPr>
          <w:tab/>
        </w:r>
        <w:r w:rsidR="00080381" w:rsidRPr="008E5E54">
          <w:rPr>
            <w:rStyle w:val="Hyperlink"/>
            <w:noProof/>
          </w:rPr>
          <w:t>Caractéristiques essentielles des feuilles de route ayant été publiées</w:t>
        </w:r>
        <w:r w:rsidR="00080381">
          <w:rPr>
            <w:noProof/>
            <w:webHidden/>
          </w:rPr>
          <w:tab/>
        </w:r>
        <w:r w:rsidR="00E92DFE">
          <w:rPr>
            <w:noProof/>
            <w:webHidden/>
          </w:rPr>
          <w:fldChar w:fldCharType="begin"/>
        </w:r>
        <w:r w:rsidR="00080381">
          <w:rPr>
            <w:noProof/>
            <w:webHidden/>
          </w:rPr>
          <w:instrText xml:space="preserve"> PAGEREF _Toc472131097 \h </w:instrText>
        </w:r>
        <w:r w:rsidR="00E92DFE">
          <w:rPr>
            <w:noProof/>
            <w:webHidden/>
          </w:rPr>
        </w:r>
        <w:r w:rsidR="00E92DFE">
          <w:rPr>
            <w:noProof/>
            <w:webHidden/>
          </w:rPr>
          <w:fldChar w:fldCharType="separate"/>
        </w:r>
        <w:r w:rsidR="00080381">
          <w:rPr>
            <w:noProof/>
            <w:webHidden/>
          </w:rPr>
          <w:t>4</w:t>
        </w:r>
        <w:r w:rsidR="00E92DFE">
          <w:rPr>
            <w:noProof/>
            <w:webHidden/>
          </w:rPr>
          <w:fldChar w:fldCharType="end"/>
        </w:r>
      </w:hyperlink>
    </w:p>
    <w:p w:rsidR="00080381" w:rsidRDefault="001C0D4C">
      <w:pPr>
        <w:pStyle w:val="TOC2"/>
        <w:tabs>
          <w:tab w:val="left" w:pos="880"/>
          <w:tab w:val="right" w:leader="dot" w:pos="9061"/>
        </w:tabs>
        <w:rPr>
          <w:rFonts w:asciiTheme="minorHAnsi" w:eastAsiaTheme="minorEastAsia" w:hAnsiTheme="minorHAnsi" w:cstheme="minorBidi"/>
          <w:noProof/>
          <w:lang w:val="en-US" w:eastAsia="en-US" w:bidi="ar-SA"/>
        </w:rPr>
      </w:pPr>
      <w:hyperlink w:anchor="_Toc472131098" w:history="1">
        <w:r w:rsidR="00080381" w:rsidRPr="008E5E54">
          <w:rPr>
            <w:rStyle w:val="Hyperlink"/>
            <w:noProof/>
          </w:rPr>
          <w:t>3.3</w:t>
        </w:r>
        <w:r w:rsidR="00080381">
          <w:rPr>
            <w:rFonts w:asciiTheme="minorHAnsi" w:eastAsiaTheme="minorEastAsia" w:hAnsiTheme="minorHAnsi" w:cstheme="minorBidi"/>
            <w:noProof/>
            <w:lang w:val="en-US" w:eastAsia="en-US" w:bidi="ar-SA"/>
          </w:rPr>
          <w:tab/>
        </w:r>
        <w:r w:rsidR="00080381" w:rsidRPr="008E5E54">
          <w:rPr>
            <w:rStyle w:val="Hyperlink"/>
            <w:noProof/>
          </w:rPr>
          <w:t>Évaluation de la conformité à l</w:t>
        </w:r>
        <w:r w:rsidR="00080381">
          <w:rPr>
            <w:rStyle w:val="Hyperlink"/>
            <w:noProof/>
          </w:rPr>
          <w:t>’</w:t>
        </w:r>
        <w:r w:rsidR="00080381" w:rsidRPr="008E5E54">
          <w:rPr>
            <w:rStyle w:val="Hyperlink"/>
            <w:noProof/>
          </w:rPr>
          <w:t>Exigence 2.5</w:t>
        </w:r>
        <w:r w:rsidR="003B7178">
          <w:rPr>
            <w:rStyle w:val="Hyperlink"/>
            <w:noProof/>
          </w:rPr>
          <w:t xml:space="preserve"> (</w:t>
        </w:r>
        <w:r w:rsidR="00080381" w:rsidRPr="008E5E54">
          <w:rPr>
            <w:rStyle w:val="Hyperlink"/>
            <w:noProof/>
          </w:rPr>
          <w:t>b.ii</w:t>
        </w:r>
        <w:r w:rsidR="003B7178">
          <w:rPr>
            <w:rStyle w:val="Hyperlink"/>
            <w:noProof/>
          </w:rPr>
          <w:t>)</w:t>
        </w:r>
        <w:r w:rsidR="00080381">
          <w:rPr>
            <w:noProof/>
            <w:webHidden/>
          </w:rPr>
          <w:tab/>
        </w:r>
        <w:r w:rsidR="00E92DFE">
          <w:rPr>
            <w:noProof/>
            <w:webHidden/>
          </w:rPr>
          <w:fldChar w:fldCharType="begin"/>
        </w:r>
        <w:r w:rsidR="00080381">
          <w:rPr>
            <w:noProof/>
            <w:webHidden/>
          </w:rPr>
          <w:instrText xml:space="preserve"> PAGEREF _Toc472131098 \h </w:instrText>
        </w:r>
        <w:r w:rsidR="00E92DFE">
          <w:rPr>
            <w:noProof/>
            <w:webHidden/>
          </w:rPr>
        </w:r>
        <w:r w:rsidR="00E92DFE">
          <w:rPr>
            <w:noProof/>
            <w:webHidden/>
          </w:rPr>
          <w:fldChar w:fldCharType="separate"/>
        </w:r>
        <w:r w:rsidR="00080381">
          <w:rPr>
            <w:noProof/>
            <w:webHidden/>
          </w:rPr>
          <w:t>8</w:t>
        </w:r>
        <w:r w:rsidR="00E92DFE">
          <w:rPr>
            <w:noProof/>
            <w:webHidden/>
          </w:rPr>
          <w:fldChar w:fldCharType="end"/>
        </w:r>
      </w:hyperlink>
    </w:p>
    <w:p w:rsidR="00080381" w:rsidRDefault="001C0D4C">
      <w:pPr>
        <w:pStyle w:val="TOC1"/>
        <w:tabs>
          <w:tab w:val="left" w:pos="440"/>
          <w:tab w:val="right" w:leader="dot" w:pos="9061"/>
        </w:tabs>
        <w:rPr>
          <w:rFonts w:asciiTheme="minorHAnsi" w:eastAsiaTheme="minorEastAsia" w:hAnsiTheme="minorHAnsi" w:cstheme="minorBidi"/>
          <w:noProof/>
          <w:lang w:val="en-US" w:eastAsia="en-US" w:bidi="ar-SA"/>
        </w:rPr>
      </w:pPr>
      <w:hyperlink w:anchor="_Toc472131099" w:history="1">
        <w:r w:rsidR="00080381" w:rsidRPr="008E5E54">
          <w:rPr>
            <w:rStyle w:val="Hyperlink"/>
            <w:noProof/>
          </w:rPr>
          <w:t>4</w:t>
        </w:r>
        <w:r w:rsidR="00080381">
          <w:rPr>
            <w:rFonts w:asciiTheme="minorHAnsi" w:eastAsiaTheme="minorEastAsia" w:hAnsiTheme="minorHAnsi" w:cstheme="minorBidi"/>
            <w:noProof/>
            <w:lang w:val="en-US" w:eastAsia="en-US" w:bidi="ar-SA"/>
          </w:rPr>
          <w:tab/>
        </w:r>
        <w:r w:rsidR="00080381" w:rsidRPr="008E5E54">
          <w:rPr>
            <w:rStyle w:val="Hyperlink"/>
            <w:noProof/>
          </w:rPr>
          <w:t>Questions à examiner et prochaines étapes recommandées</w:t>
        </w:r>
        <w:r w:rsidR="00080381">
          <w:rPr>
            <w:noProof/>
            <w:webHidden/>
          </w:rPr>
          <w:tab/>
        </w:r>
        <w:r w:rsidR="00E92DFE">
          <w:rPr>
            <w:noProof/>
            <w:webHidden/>
          </w:rPr>
          <w:fldChar w:fldCharType="begin"/>
        </w:r>
        <w:r w:rsidR="00080381">
          <w:rPr>
            <w:noProof/>
            <w:webHidden/>
          </w:rPr>
          <w:instrText xml:space="preserve"> PAGEREF _Toc472131099 \h </w:instrText>
        </w:r>
        <w:r w:rsidR="00E92DFE">
          <w:rPr>
            <w:noProof/>
            <w:webHidden/>
          </w:rPr>
        </w:r>
        <w:r w:rsidR="00E92DFE">
          <w:rPr>
            <w:noProof/>
            <w:webHidden/>
          </w:rPr>
          <w:fldChar w:fldCharType="separate"/>
        </w:r>
        <w:r w:rsidR="00080381">
          <w:rPr>
            <w:noProof/>
            <w:webHidden/>
          </w:rPr>
          <w:t>9</w:t>
        </w:r>
        <w:r w:rsidR="00E92DFE">
          <w:rPr>
            <w:noProof/>
            <w:webHidden/>
          </w:rPr>
          <w:fldChar w:fldCharType="end"/>
        </w:r>
      </w:hyperlink>
    </w:p>
    <w:p w:rsidR="00BF22B3" w:rsidRDefault="00E92DFE">
      <w:pPr>
        <w:pStyle w:val="TOC1"/>
        <w:tabs>
          <w:tab w:val="left" w:pos="440"/>
          <w:tab w:val="right" w:leader="dot" w:pos="9061"/>
        </w:tabs>
        <w:rPr>
          <w:rFonts w:asciiTheme="minorHAnsi" w:eastAsiaTheme="minorEastAsia" w:hAnsiTheme="minorHAnsi" w:cstheme="minorBidi"/>
          <w:noProof/>
        </w:rPr>
      </w:pPr>
      <w:r w:rsidRPr="000E4BC0">
        <w:rPr>
          <w:bCs/>
        </w:rPr>
        <w:fldChar w:fldCharType="end"/>
      </w:r>
      <w:bookmarkStart w:id="3" w:name="_Toc440444557"/>
      <w:bookmarkEnd w:id="1"/>
      <w:bookmarkEnd w:id="2"/>
      <w:bookmarkEnd w:id="3"/>
    </w:p>
    <w:p w:rsidR="00113075" w:rsidRPr="0091177D" w:rsidRDefault="00945F75" w:rsidP="00117A96">
      <w:pPr>
        <w:pStyle w:val="Heading1"/>
        <w:rPr>
          <w:sz w:val="28"/>
        </w:rPr>
      </w:pPr>
      <w:bookmarkStart w:id="4" w:name="_Toc471924486"/>
      <w:bookmarkStart w:id="5" w:name="_Toc472131093"/>
      <w:r>
        <w:rPr>
          <w:sz w:val="28"/>
        </w:rPr>
        <w:t>Synthèse</w:t>
      </w:r>
      <w:bookmarkEnd w:id="4"/>
      <w:bookmarkEnd w:id="5"/>
    </w:p>
    <w:p w:rsidR="00BF22B3" w:rsidRPr="003A0B58" w:rsidRDefault="00BF22B3" w:rsidP="00E57BF8">
      <w:pPr>
        <w:pStyle w:val="NormalWeb"/>
        <w:spacing w:before="0" w:beforeAutospacing="0" w:after="200" w:afterAutospacing="0"/>
        <w:rPr>
          <w:rFonts w:ascii="Calibri" w:hAnsi="Calibri"/>
          <w:color w:val="000000"/>
          <w:sz w:val="22"/>
          <w:szCs w:val="22"/>
        </w:rPr>
      </w:pPr>
      <w:r>
        <w:rPr>
          <w:rFonts w:ascii="Calibri" w:hAnsi="Calibri"/>
          <w:color w:val="000000"/>
          <w:sz w:val="22"/>
        </w:rPr>
        <w:t>Les pays mettant en œuvre l</w:t>
      </w:r>
      <w:r w:rsidR="00080381">
        <w:rPr>
          <w:rFonts w:ascii="Calibri" w:hAnsi="Calibri"/>
          <w:color w:val="000000"/>
          <w:sz w:val="22"/>
        </w:rPr>
        <w:t>’</w:t>
      </w:r>
      <w:r>
        <w:rPr>
          <w:rFonts w:ascii="Calibri" w:hAnsi="Calibri"/>
          <w:color w:val="000000"/>
          <w:sz w:val="22"/>
        </w:rPr>
        <w:t>ITIE ont jusqu</w:t>
      </w:r>
      <w:r w:rsidR="00080381">
        <w:rPr>
          <w:rFonts w:ascii="Calibri" w:hAnsi="Calibri"/>
          <w:color w:val="000000"/>
          <w:sz w:val="22"/>
        </w:rPr>
        <w:t>’</w:t>
      </w:r>
      <w:r>
        <w:rPr>
          <w:rFonts w:ascii="Calibri" w:hAnsi="Calibri"/>
          <w:color w:val="000000"/>
          <w:sz w:val="22"/>
        </w:rPr>
        <w:t>au 1er janvier 2017 pour publier les feuilles de route présentant en détail les plans visant à parvenir à la transparence de la propriété réelle d</w:t>
      </w:r>
      <w:r w:rsidR="00080381">
        <w:rPr>
          <w:rFonts w:ascii="Calibri" w:hAnsi="Calibri"/>
          <w:color w:val="000000"/>
          <w:sz w:val="22"/>
        </w:rPr>
        <w:t>’</w:t>
      </w:r>
      <w:r>
        <w:rPr>
          <w:rFonts w:ascii="Calibri" w:hAnsi="Calibri"/>
          <w:color w:val="000000"/>
          <w:sz w:val="22"/>
        </w:rPr>
        <w:t>ici à 2020. Au 11 janvier</w:t>
      </w:r>
      <w:r w:rsidR="003B7178">
        <w:rPr>
          <w:rFonts w:ascii="Calibri" w:hAnsi="Calibri"/>
          <w:color w:val="000000"/>
          <w:sz w:val="22"/>
        </w:rPr>
        <w:t xml:space="preserve"> 2017</w:t>
      </w:r>
      <w:r>
        <w:rPr>
          <w:rFonts w:ascii="Calibri" w:hAnsi="Calibri"/>
          <w:color w:val="000000"/>
          <w:sz w:val="22"/>
        </w:rPr>
        <w:t xml:space="preserve">, 42 pays </w:t>
      </w:r>
      <w:r w:rsidR="003B7178">
        <w:rPr>
          <w:rFonts w:ascii="Calibri" w:hAnsi="Calibri"/>
          <w:color w:val="000000"/>
          <w:sz w:val="22"/>
        </w:rPr>
        <w:t>avaie</w:t>
      </w:r>
      <w:r>
        <w:rPr>
          <w:rFonts w:ascii="Calibri" w:hAnsi="Calibri"/>
          <w:color w:val="000000"/>
          <w:sz w:val="22"/>
        </w:rPr>
        <w:t xml:space="preserve">nt publié </w:t>
      </w:r>
      <w:r w:rsidR="003B7178">
        <w:rPr>
          <w:rFonts w:ascii="Calibri" w:hAnsi="Calibri"/>
          <w:color w:val="000000"/>
          <w:sz w:val="22"/>
        </w:rPr>
        <w:t>une</w:t>
      </w:r>
      <w:r>
        <w:rPr>
          <w:rFonts w:ascii="Calibri" w:hAnsi="Calibri"/>
          <w:color w:val="000000"/>
          <w:sz w:val="22"/>
        </w:rPr>
        <w:t xml:space="preserve"> feuille de route sur la propriété réelle. Dans vingt d</w:t>
      </w:r>
      <w:r w:rsidR="00080381">
        <w:rPr>
          <w:rFonts w:ascii="Calibri" w:hAnsi="Calibri"/>
          <w:color w:val="000000"/>
          <w:sz w:val="22"/>
        </w:rPr>
        <w:t>’</w:t>
      </w:r>
      <w:r>
        <w:rPr>
          <w:rFonts w:ascii="Calibri" w:hAnsi="Calibri"/>
          <w:color w:val="000000"/>
          <w:sz w:val="22"/>
        </w:rPr>
        <w:t>entre elles est envisagée la création de registres publics d</w:t>
      </w:r>
      <w:r w:rsidR="00080381">
        <w:rPr>
          <w:rFonts w:ascii="Calibri" w:hAnsi="Calibri"/>
          <w:color w:val="000000"/>
          <w:sz w:val="22"/>
        </w:rPr>
        <w:t>’</w:t>
      </w:r>
      <w:r>
        <w:rPr>
          <w:rFonts w:ascii="Calibri" w:hAnsi="Calibri"/>
          <w:color w:val="000000"/>
          <w:sz w:val="22"/>
        </w:rPr>
        <w:t>ici à 2020.</w:t>
      </w:r>
      <w:r w:rsidR="00080381">
        <w:rPr>
          <w:rFonts w:ascii="Calibri" w:hAnsi="Calibri"/>
          <w:color w:val="000000"/>
          <w:sz w:val="22"/>
        </w:rPr>
        <w:t xml:space="preserve"> </w:t>
      </w:r>
      <w:r>
        <w:rPr>
          <w:rFonts w:ascii="Calibri" w:hAnsi="Calibri"/>
          <w:color w:val="000000"/>
          <w:sz w:val="22"/>
        </w:rPr>
        <w:t>La plupart des feuilles de route traitent de tous les aspects de l</w:t>
      </w:r>
      <w:r w:rsidR="00080381">
        <w:rPr>
          <w:rFonts w:ascii="Calibri" w:hAnsi="Calibri"/>
          <w:color w:val="000000"/>
          <w:sz w:val="22"/>
        </w:rPr>
        <w:t>’</w:t>
      </w:r>
      <w:r>
        <w:rPr>
          <w:rFonts w:ascii="Calibri" w:hAnsi="Calibri"/>
          <w:color w:val="000000"/>
          <w:sz w:val="22"/>
        </w:rPr>
        <w:t>Exigence</w:t>
      </w:r>
      <w:r w:rsidR="00662766">
        <w:rPr>
          <w:rFonts w:ascii="Calibri" w:hAnsi="Calibri"/>
          <w:color w:val="000000"/>
          <w:sz w:val="22"/>
        </w:rPr>
        <w:t> </w:t>
      </w:r>
      <w:r>
        <w:rPr>
          <w:rFonts w:ascii="Calibri" w:hAnsi="Calibri"/>
          <w:color w:val="000000"/>
          <w:sz w:val="22"/>
        </w:rPr>
        <w:t>2.5</w:t>
      </w:r>
      <w:r w:rsidR="003B7178">
        <w:rPr>
          <w:rFonts w:ascii="Calibri" w:hAnsi="Calibri"/>
          <w:color w:val="000000"/>
          <w:sz w:val="22"/>
        </w:rPr>
        <w:t xml:space="preserve"> (</w:t>
      </w:r>
      <w:r>
        <w:rPr>
          <w:rFonts w:ascii="Calibri" w:hAnsi="Calibri"/>
          <w:color w:val="000000"/>
          <w:sz w:val="22"/>
        </w:rPr>
        <w:t>b.ii</w:t>
      </w:r>
      <w:r w:rsidR="003B7178">
        <w:rPr>
          <w:rFonts w:ascii="Calibri" w:hAnsi="Calibri"/>
          <w:color w:val="000000"/>
          <w:sz w:val="22"/>
        </w:rPr>
        <w:t>)</w:t>
      </w:r>
      <w:r>
        <w:rPr>
          <w:rFonts w:ascii="Calibri" w:hAnsi="Calibri"/>
          <w:color w:val="000000"/>
          <w:sz w:val="22"/>
        </w:rPr>
        <w:t>, qui fixe les orientations du contenu d</w:t>
      </w:r>
      <w:r w:rsidR="00080381">
        <w:rPr>
          <w:rFonts w:ascii="Calibri" w:hAnsi="Calibri"/>
          <w:color w:val="000000"/>
          <w:sz w:val="22"/>
        </w:rPr>
        <w:t>’</w:t>
      </w:r>
      <w:r>
        <w:rPr>
          <w:rFonts w:ascii="Calibri" w:hAnsi="Calibri"/>
          <w:color w:val="000000"/>
          <w:sz w:val="22"/>
        </w:rPr>
        <w:t xml:space="preserve">une feuille de route. Cinq pays ont soumis </w:t>
      </w:r>
      <w:r w:rsidR="003B7178">
        <w:rPr>
          <w:rFonts w:ascii="Calibri" w:hAnsi="Calibri"/>
          <w:color w:val="000000"/>
          <w:sz w:val="22"/>
        </w:rPr>
        <w:t>un</w:t>
      </w:r>
      <w:r>
        <w:rPr>
          <w:rFonts w:ascii="Calibri" w:hAnsi="Calibri"/>
          <w:color w:val="000000"/>
          <w:sz w:val="22"/>
        </w:rPr>
        <w:t xml:space="preserve"> projet de feuille de route et devraient bientôt publier leur feuille de route finale. Quatre pays doivent encore faire progrès significatifs dans ce domaine. </w:t>
      </w:r>
    </w:p>
    <w:p w:rsidR="003A0B58" w:rsidRDefault="00E57BF8" w:rsidP="00E57BF8">
      <w:pPr>
        <w:pStyle w:val="NormalWeb"/>
        <w:spacing w:before="0" w:beforeAutospacing="0" w:after="200" w:afterAutospacing="0"/>
        <w:rPr>
          <w:rFonts w:ascii="Calibri" w:hAnsi="Calibri"/>
          <w:color w:val="000000"/>
          <w:sz w:val="22"/>
          <w:szCs w:val="22"/>
        </w:rPr>
      </w:pPr>
      <w:r>
        <w:rPr>
          <w:rFonts w:ascii="Calibri" w:hAnsi="Calibri"/>
          <w:color w:val="000000"/>
          <w:sz w:val="22"/>
        </w:rPr>
        <w:t>Ce projet de document fournit une analyse des feuilles de route soumises à ce jour. La Section</w:t>
      </w:r>
      <w:r w:rsidR="00662766">
        <w:rPr>
          <w:rFonts w:ascii="Calibri" w:hAnsi="Calibri"/>
          <w:color w:val="000000"/>
          <w:sz w:val="22"/>
        </w:rPr>
        <w:t> </w:t>
      </w:r>
      <w:r>
        <w:rPr>
          <w:rFonts w:ascii="Calibri" w:hAnsi="Calibri"/>
          <w:color w:val="000000"/>
          <w:sz w:val="22"/>
        </w:rPr>
        <w:t xml:space="preserve">3 ci-après </w:t>
      </w:r>
      <w:r w:rsidR="00DD1150">
        <w:rPr>
          <w:rFonts w:ascii="Calibri" w:hAnsi="Calibri"/>
          <w:color w:val="000000"/>
          <w:sz w:val="22"/>
        </w:rPr>
        <w:t>passe en revue</w:t>
      </w:r>
      <w:r>
        <w:rPr>
          <w:rFonts w:ascii="Calibri" w:hAnsi="Calibri"/>
          <w:color w:val="000000"/>
          <w:sz w:val="22"/>
        </w:rPr>
        <w:t xml:space="preserve"> la conformité aux échéances, met en relief les caractéristiques essentielles des feuilles de route et évalue le contenu des feuilles de route par rapport aux exigences de la Norme ITIE. Les détails relatifs à chaque pays sont présentés à l</w:t>
      </w:r>
      <w:r w:rsidR="00080381">
        <w:rPr>
          <w:rFonts w:ascii="Calibri" w:hAnsi="Calibri"/>
          <w:color w:val="000000"/>
          <w:sz w:val="22"/>
        </w:rPr>
        <w:t>’</w:t>
      </w:r>
      <w:r>
        <w:rPr>
          <w:rFonts w:ascii="Calibri" w:hAnsi="Calibri"/>
          <w:color w:val="000000"/>
          <w:sz w:val="22"/>
        </w:rPr>
        <w:t xml:space="preserve">annexe A. </w:t>
      </w:r>
    </w:p>
    <w:p w:rsidR="0091177D" w:rsidRDefault="003A0B58" w:rsidP="003A0B58">
      <w:pPr>
        <w:pStyle w:val="NormalWeb"/>
        <w:spacing w:before="0" w:beforeAutospacing="0" w:after="200" w:afterAutospacing="0"/>
        <w:rPr>
          <w:rFonts w:ascii="Calibri" w:hAnsi="Calibri"/>
          <w:color w:val="000000"/>
          <w:sz w:val="22"/>
          <w:szCs w:val="22"/>
        </w:rPr>
      </w:pPr>
      <w:r>
        <w:rPr>
          <w:rFonts w:ascii="Calibri" w:hAnsi="Calibri"/>
          <w:color w:val="000000"/>
          <w:sz w:val="22"/>
        </w:rPr>
        <w:t>La Section</w:t>
      </w:r>
      <w:r w:rsidR="00662766">
        <w:rPr>
          <w:rFonts w:ascii="Calibri" w:hAnsi="Calibri"/>
          <w:color w:val="000000"/>
          <w:sz w:val="22"/>
        </w:rPr>
        <w:t> </w:t>
      </w:r>
      <w:r>
        <w:rPr>
          <w:rFonts w:ascii="Calibri" w:hAnsi="Calibri"/>
          <w:color w:val="000000"/>
          <w:sz w:val="22"/>
        </w:rPr>
        <w:t>4 du document met en évidence les questions à examiner et les prochaines étapes recommandées. Ce</w:t>
      </w:r>
      <w:r w:rsidR="00FB6D6A">
        <w:rPr>
          <w:rFonts w:ascii="Calibri" w:hAnsi="Calibri"/>
          <w:color w:val="000000"/>
          <w:sz w:val="22"/>
        </w:rPr>
        <w:t>lles-ci comprennent</w:t>
      </w:r>
      <w:r>
        <w:rPr>
          <w:rFonts w:ascii="Calibri" w:hAnsi="Calibri"/>
          <w:color w:val="000000"/>
          <w:sz w:val="22"/>
        </w:rPr>
        <w:t xml:space="preserve"> les recommandations suggérées par le Comité de </w:t>
      </w:r>
      <w:r w:rsidR="00FB6D6A">
        <w:rPr>
          <w:rFonts w:ascii="Calibri" w:hAnsi="Calibri"/>
          <w:color w:val="000000"/>
          <w:sz w:val="22"/>
        </w:rPr>
        <w:t>M</w:t>
      </w:r>
      <w:r>
        <w:rPr>
          <w:rFonts w:ascii="Calibri" w:hAnsi="Calibri"/>
          <w:color w:val="000000"/>
          <w:sz w:val="22"/>
        </w:rPr>
        <w:t>ise en œuvre au Conseil d</w:t>
      </w:r>
      <w:r w:rsidR="00080381">
        <w:rPr>
          <w:rFonts w:ascii="Calibri" w:hAnsi="Calibri"/>
          <w:color w:val="000000"/>
          <w:sz w:val="22"/>
        </w:rPr>
        <w:t>’</w:t>
      </w:r>
      <w:r>
        <w:rPr>
          <w:rFonts w:ascii="Calibri" w:hAnsi="Calibri"/>
          <w:color w:val="000000"/>
          <w:sz w:val="22"/>
        </w:rPr>
        <w:t>administration pour les pays qui n</w:t>
      </w:r>
      <w:r w:rsidR="00080381">
        <w:rPr>
          <w:rFonts w:ascii="Calibri" w:hAnsi="Calibri"/>
          <w:color w:val="000000"/>
          <w:sz w:val="22"/>
        </w:rPr>
        <w:t>’</w:t>
      </w:r>
      <w:r>
        <w:rPr>
          <w:rFonts w:ascii="Calibri" w:hAnsi="Calibri"/>
          <w:color w:val="000000"/>
          <w:sz w:val="22"/>
        </w:rPr>
        <w:t>ont pas encore respecté l</w:t>
      </w:r>
      <w:r w:rsidR="00080381">
        <w:rPr>
          <w:rFonts w:ascii="Calibri" w:hAnsi="Calibri"/>
          <w:color w:val="000000"/>
          <w:sz w:val="22"/>
        </w:rPr>
        <w:t>’</w:t>
      </w:r>
      <w:r>
        <w:rPr>
          <w:rFonts w:ascii="Calibri" w:hAnsi="Calibri"/>
          <w:color w:val="000000"/>
          <w:sz w:val="22"/>
        </w:rPr>
        <w:t>échéance ou ont soumis des feuilles de route qui ne satisfont pas à la norme établie, ainsi que des suggestions pour lever les ambiguïtés de l</w:t>
      </w:r>
      <w:r w:rsidR="00080381">
        <w:rPr>
          <w:rFonts w:ascii="Calibri" w:hAnsi="Calibri"/>
          <w:color w:val="000000"/>
          <w:sz w:val="22"/>
        </w:rPr>
        <w:t>’</w:t>
      </w:r>
      <w:r w:rsidR="00FB6D6A">
        <w:rPr>
          <w:rFonts w:ascii="Calibri" w:hAnsi="Calibri"/>
          <w:color w:val="000000"/>
          <w:sz w:val="22"/>
        </w:rPr>
        <w:t>E</w:t>
      </w:r>
      <w:r>
        <w:rPr>
          <w:rFonts w:ascii="Calibri" w:hAnsi="Calibri"/>
          <w:color w:val="000000"/>
          <w:sz w:val="22"/>
        </w:rPr>
        <w:t>xigence</w:t>
      </w:r>
      <w:r w:rsidR="00662766">
        <w:rPr>
          <w:rFonts w:ascii="Calibri" w:hAnsi="Calibri"/>
          <w:color w:val="000000"/>
          <w:sz w:val="22"/>
        </w:rPr>
        <w:t> </w:t>
      </w:r>
      <w:r>
        <w:rPr>
          <w:rFonts w:ascii="Calibri" w:hAnsi="Calibri"/>
          <w:color w:val="000000"/>
          <w:sz w:val="22"/>
        </w:rPr>
        <w:t xml:space="preserve">2.5 sur la transparence de la propriété réelle. </w:t>
      </w:r>
      <w:bookmarkStart w:id="6" w:name="_Toc448498422"/>
      <w:bookmarkStart w:id="7" w:name="_Toc448494075"/>
      <w:bookmarkStart w:id="8" w:name="_Toc448494076"/>
      <w:bookmarkStart w:id="9" w:name="_Toc448498423"/>
      <w:bookmarkStart w:id="10" w:name="_Toc448498424"/>
      <w:bookmarkStart w:id="11" w:name="_Toc471924487"/>
      <w:bookmarkEnd w:id="6"/>
      <w:bookmarkEnd w:id="7"/>
      <w:bookmarkEnd w:id="8"/>
      <w:bookmarkEnd w:id="9"/>
      <w:bookmarkEnd w:id="10"/>
    </w:p>
    <w:p w:rsidR="0054180D" w:rsidRPr="0091177D" w:rsidRDefault="0054180D" w:rsidP="0091177D">
      <w:pPr>
        <w:pStyle w:val="Heading1"/>
        <w:rPr>
          <w:sz w:val="28"/>
        </w:rPr>
      </w:pPr>
      <w:bookmarkStart w:id="12" w:name="_Toc472131094"/>
      <w:r>
        <w:rPr>
          <w:sz w:val="28"/>
        </w:rPr>
        <w:t>Contexte</w:t>
      </w:r>
      <w:bookmarkEnd w:id="11"/>
      <w:bookmarkEnd w:id="12"/>
    </w:p>
    <w:p w:rsidR="00C852A5" w:rsidRDefault="00117A96" w:rsidP="00117A96">
      <w:pPr>
        <w:pStyle w:val="NormalWeb"/>
        <w:spacing w:before="0" w:beforeAutospacing="0" w:after="200" w:afterAutospacing="0"/>
        <w:rPr>
          <w:rFonts w:ascii="Calibri" w:hAnsi="Calibri"/>
          <w:color w:val="000000"/>
          <w:sz w:val="22"/>
          <w:szCs w:val="22"/>
        </w:rPr>
      </w:pPr>
      <w:r>
        <w:rPr>
          <w:rFonts w:ascii="Calibri" w:hAnsi="Calibri"/>
          <w:color w:val="000000"/>
          <w:sz w:val="22"/>
        </w:rPr>
        <w:t>Le Conseil d</w:t>
      </w:r>
      <w:r w:rsidR="00080381">
        <w:rPr>
          <w:rFonts w:ascii="Calibri" w:hAnsi="Calibri"/>
          <w:color w:val="000000"/>
          <w:sz w:val="22"/>
        </w:rPr>
        <w:t>’</w:t>
      </w:r>
      <w:r>
        <w:rPr>
          <w:rFonts w:ascii="Calibri" w:hAnsi="Calibri"/>
          <w:color w:val="000000"/>
          <w:sz w:val="22"/>
        </w:rPr>
        <w:t>administration de l</w:t>
      </w:r>
      <w:r w:rsidR="00080381">
        <w:rPr>
          <w:rFonts w:ascii="Calibri" w:hAnsi="Calibri"/>
          <w:color w:val="000000"/>
          <w:sz w:val="22"/>
        </w:rPr>
        <w:t>’</w:t>
      </w:r>
      <w:r>
        <w:rPr>
          <w:rFonts w:ascii="Calibri" w:hAnsi="Calibri"/>
          <w:color w:val="000000"/>
          <w:sz w:val="22"/>
        </w:rPr>
        <w:t xml:space="preserve">ITIE a convenu que les pays </w:t>
      </w:r>
      <w:r w:rsidR="00FB6D6A">
        <w:rPr>
          <w:rFonts w:ascii="Calibri" w:hAnsi="Calibri"/>
          <w:color w:val="000000"/>
          <w:sz w:val="22"/>
        </w:rPr>
        <w:t xml:space="preserve">individuels </w:t>
      </w:r>
      <w:r>
        <w:rPr>
          <w:rFonts w:ascii="Calibri" w:hAnsi="Calibri"/>
          <w:color w:val="000000"/>
          <w:sz w:val="22"/>
        </w:rPr>
        <w:t>mettant en œuvre l</w:t>
      </w:r>
      <w:r w:rsidR="00080381">
        <w:rPr>
          <w:rFonts w:ascii="Calibri" w:hAnsi="Calibri"/>
          <w:color w:val="000000"/>
          <w:sz w:val="22"/>
        </w:rPr>
        <w:t>’</w:t>
      </w:r>
      <w:r>
        <w:rPr>
          <w:rFonts w:ascii="Calibri" w:hAnsi="Calibri"/>
          <w:color w:val="000000"/>
          <w:sz w:val="22"/>
        </w:rPr>
        <w:t xml:space="preserve">ITIE devraient, avant le 1er janvier 2017, convenir et publier </w:t>
      </w:r>
      <w:r w:rsidR="00FB6D6A">
        <w:rPr>
          <w:rFonts w:ascii="Calibri" w:hAnsi="Calibri"/>
          <w:color w:val="000000"/>
          <w:sz w:val="22"/>
        </w:rPr>
        <w:t>une</w:t>
      </w:r>
      <w:r>
        <w:rPr>
          <w:rFonts w:ascii="Calibri" w:hAnsi="Calibri"/>
          <w:color w:val="000000"/>
          <w:sz w:val="22"/>
        </w:rPr>
        <w:t xml:space="preserve"> feuille de route relative à la façon </w:t>
      </w:r>
      <w:r>
        <w:rPr>
          <w:rFonts w:ascii="Calibri" w:hAnsi="Calibri"/>
          <w:color w:val="000000"/>
          <w:sz w:val="22"/>
        </w:rPr>
        <w:lastRenderedPageBreak/>
        <w:t>d</w:t>
      </w:r>
      <w:r w:rsidR="00080381">
        <w:rPr>
          <w:rFonts w:ascii="Calibri" w:hAnsi="Calibri"/>
          <w:color w:val="000000"/>
          <w:sz w:val="22"/>
        </w:rPr>
        <w:t>’</w:t>
      </w:r>
      <w:r>
        <w:rPr>
          <w:rFonts w:ascii="Calibri" w:hAnsi="Calibri"/>
          <w:color w:val="000000"/>
          <w:sz w:val="22"/>
        </w:rPr>
        <w:t>assurer la transparence de la propriété réelle d</w:t>
      </w:r>
      <w:r w:rsidR="00080381">
        <w:rPr>
          <w:rFonts w:ascii="Calibri" w:hAnsi="Calibri"/>
          <w:color w:val="000000"/>
          <w:sz w:val="22"/>
        </w:rPr>
        <w:t>’</w:t>
      </w:r>
      <w:r>
        <w:rPr>
          <w:rFonts w:ascii="Calibri" w:hAnsi="Calibri"/>
          <w:color w:val="000000"/>
          <w:sz w:val="22"/>
        </w:rPr>
        <w:t>ici à 2020. L</w:t>
      </w:r>
      <w:r w:rsidR="00080381">
        <w:rPr>
          <w:rFonts w:ascii="Calibri" w:hAnsi="Calibri"/>
          <w:color w:val="000000"/>
          <w:sz w:val="22"/>
        </w:rPr>
        <w:t>’</w:t>
      </w:r>
      <w:r>
        <w:rPr>
          <w:rFonts w:ascii="Calibri" w:hAnsi="Calibri"/>
          <w:color w:val="000000"/>
          <w:sz w:val="22"/>
        </w:rPr>
        <w:t xml:space="preserve">élaboration de feuilles de route </w:t>
      </w:r>
      <w:r w:rsidR="00FB6D6A">
        <w:rPr>
          <w:rFonts w:ascii="Calibri" w:hAnsi="Calibri"/>
          <w:color w:val="000000"/>
          <w:sz w:val="22"/>
        </w:rPr>
        <w:t>solides</w:t>
      </w:r>
      <w:r>
        <w:rPr>
          <w:rFonts w:ascii="Calibri" w:hAnsi="Calibri"/>
          <w:color w:val="000000"/>
          <w:sz w:val="22"/>
        </w:rPr>
        <w:t xml:space="preserve"> </w:t>
      </w:r>
      <w:r w:rsidR="00EC0E53">
        <w:rPr>
          <w:rFonts w:ascii="Calibri" w:hAnsi="Calibri"/>
          <w:color w:val="000000"/>
          <w:sz w:val="22"/>
        </w:rPr>
        <w:t xml:space="preserve">et </w:t>
      </w:r>
      <w:r>
        <w:rPr>
          <w:rFonts w:ascii="Calibri" w:hAnsi="Calibri"/>
          <w:color w:val="000000"/>
          <w:sz w:val="22"/>
        </w:rPr>
        <w:t>fiables bénéficiant d</w:t>
      </w:r>
      <w:r w:rsidR="00080381">
        <w:rPr>
          <w:rFonts w:ascii="Calibri" w:hAnsi="Calibri"/>
          <w:color w:val="000000"/>
          <w:sz w:val="22"/>
        </w:rPr>
        <w:t>’</w:t>
      </w:r>
      <w:r>
        <w:rPr>
          <w:rFonts w:ascii="Calibri" w:hAnsi="Calibri"/>
          <w:color w:val="000000"/>
          <w:sz w:val="22"/>
        </w:rPr>
        <w:t>un large soutien semble cruciale pour la mise en œuvre réussie de l</w:t>
      </w:r>
      <w:r w:rsidR="00080381">
        <w:rPr>
          <w:rFonts w:ascii="Calibri" w:hAnsi="Calibri"/>
          <w:color w:val="000000"/>
          <w:sz w:val="22"/>
        </w:rPr>
        <w:t>’</w:t>
      </w:r>
      <w:r>
        <w:rPr>
          <w:rFonts w:ascii="Calibri" w:hAnsi="Calibri"/>
          <w:color w:val="000000"/>
          <w:sz w:val="22"/>
        </w:rPr>
        <w:t>exigence de l</w:t>
      </w:r>
      <w:r w:rsidR="00080381">
        <w:rPr>
          <w:rFonts w:ascii="Calibri" w:hAnsi="Calibri"/>
          <w:color w:val="000000"/>
          <w:sz w:val="22"/>
        </w:rPr>
        <w:t>’</w:t>
      </w:r>
      <w:r>
        <w:rPr>
          <w:rFonts w:ascii="Calibri" w:hAnsi="Calibri"/>
          <w:color w:val="000000"/>
          <w:sz w:val="22"/>
        </w:rPr>
        <w:t xml:space="preserve">ITIE sur la propriété réelle, et </w:t>
      </w:r>
      <w:r w:rsidR="00EC0E53">
        <w:rPr>
          <w:rFonts w:ascii="Calibri" w:hAnsi="Calibri"/>
          <w:color w:val="000000"/>
          <w:sz w:val="22"/>
        </w:rPr>
        <w:t xml:space="preserve">ceci </w:t>
      </w:r>
      <w:r>
        <w:rPr>
          <w:rFonts w:ascii="Calibri" w:hAnsi="Calibri"/>
          <w:color w:val="000000"/>
          <w:sz w:val="22"/>
        </w:rPr>
        <w:t>nécessite d</w:t>
      </w:r>
      <w:r w:rsidR="00080381">
        <w:rPr>
          <w:rFonts w:ascii="Calibri" w:hAnsi="Calibri"/>
          <w:color w:val="000000"/>
          <w:sz w:val="22"/>
        </w:rPr>
        <w:t>’</w:t>
      </w:r>
      <w:r>
        <w:rPr>
          <w:rFonts w:ascii="Calibri" w:hAnsi="Calibri"/>
          <w:color w:val="000000"/>
          <w:sz w:val="22"/>
        </w:rPr>
        <w:t>importantes consultations avec les</w:t>
      </w:r>
      <w:r w:rsidR="00080381">
        <w:rPr>
          <w:rFonts w:ascii="Calibri" w:hAnsi="Calibri"/>
          <w:color w:val="000000"/>
          <w:sz w:val="22"/>
        </w:rPr>
        <w:t xml:space="preserve"> </w:t>
      </w:r>
      <w:r>
        <w:rPr>
          <w:rFonts w:ascii="Calibri" w:hAnsi="Calibri"/>
          <w:color w:val="000000"/>
          <w:sz w:val="22"/>
        </w:rPr>
        <w:t>organismes publics, les entreprises, la société civile et d</w:t>
      </w:r>
      <w:r w:rsidR="00080381">
        <w:rPr>
          <w:rFonts w:ascii="Calibri" w:hAnsi="Calibri"/>
          <w:color w:val="000000"/>
          <w:sz w:val="22"/>
        </w:rPr>
        <w:t>’</w:t>
      </w:r>
      <w:r>
        <w:rPr>
          <w:rFonts w:ascii="Calibri" w:hAnsi="Calibri"/>
          <w:color w:val="000000"/>
          <w:sz w:val="22"/>
        </w:rPr>
        <w:t xml:space="preserve">autres parties prenantes. </w:t>
      </w:r>
    </w:p>
    <w:p w:rsidR="00117A96" w:rsidRPr="00C852A5" w:rsidRDefault="00C852A5" w:rsidP="00C852A5">
      <w:pPr>
        <w:pStyle w:val="NormalWeb"/>
        <w:rPr>
          <w:rFonts w:ascii="Calibri" w:hAnsi="Calibri"/>
          <w:color w:val="000000"/>
          <w:sz w:val="22"/>
          <w:szCs w:val="22"/>
        </w:rPr>
      </w:pPr>
      <w:r>
        <w:rPr>
          <w:rFonts w:ascii="Calibri" w:hAnsi="Calibri"/>
          <w:color w:val="000000"/>
          <w:sz w:val="22"/>
        </w:rPr>
        <w:t>À la 35e réunion du Conseil d</w:t>
      </w:r>
      <w:r w:rsidR="00080381">
        <w:rPr>
          <w:rFonts w:ascii="Calibri" w:hAnsi="Calibri"/>
          <w:color w:val="000000"/>
          <w:sz w:val="22"/>
        </w:rPr>
        <w:t>’</w:t>
      </w:r>
      <w:r>
        <w:rPr>
          <w:rFonts w:ascii="Calibri" w:hAnsi="Calibri"/>
          <w:color w:val="000000"/>
          <w:sz w:val="22"/>
        </w:rPr>
        <w:t>administration de l</w:t>
      </w:r>
      <w:r w:rsidR="00080381">
        <w:rPr>
          <w:rFonts w:ascii="Calibri" w:hAnsi="Calibri"/>
          <w:color w:val="000000"/>
          <w:sz w:val="22"/>
        </w:rPr>
        <w:t>’</w:t>
      </w:r>
      <w:r>
        <w:rPr>
          <w:rFonts w:ascii="Calibri" w:hAnsi="Calibri"/>
          <w:color w:val="000000"/>
          <w:sz w:val="22"/>
        </w:rPr>
        <w:t>ITIE tenue à Astana, le Conseil d</w:t>
      </w:r>
      <w:r w:rsidR="00080381">
        <w:rPr>
          <w:rFonts w:ascii="Calibri" w:hAnsi="Calibri"/>
          <w:color w:val="000000"/>
          <w:sz w:val="22"/>
        </w:rPr>
        <w:t>’</w:t>
      </w:r>
      <w:r>
        <w:rPr>
          <w:rFonts w:ascii="Calibri" w:hAnsi="Calibri"/>
          <w:color w:val="000000"/>
          <w:sz w:val="22"/>
        </w:rPr>
        <w:t>administration de l</w:t>
      </w:r>
      <w:r w:rsidR="00080381">
        <w:rPr>
          <w:rFonts w:ascii="Calibri" w:hAnsi="Calibri"/>
          <w:color w:val="000000"/>
          <w:sz w:val="22"/>
        </w:rPr>
        <w:t>’</w:t>
      </w:r>
      <w:r>
        <w:rPr>
          <w:rFonts w:ascii="Calibri" w:hAnsi="Calibri"/>
          <w:color w:val="000000"/>
          <w:sz w:val="22"/>
        </w:rPr>
        <w:t>ITIE a passé en revue les progrès effectués dans les feuilles de route sur la propriété réelle. Il a été convenu que le Conseil d</w:t>
      </w:r>
      <w:r w:rsidR="00080381">
        <w:rPr>
          <w:rFonts w:ascii="Calibri" w:hAnsi="Calibri"/>
          <w:color w:val="000000"/>
          <w:sz w:val="22"/>
        </w:rPr>
        <w:t>’</w:t>
      </w:r>
      <w:r>
        <w:rPr>
          <w:rFonts w:ascii="Calibri" w:hAnsi="Calibri"/>
          <w:color w:val="000000"/>
          <w:sz w:val="22"/>
        </w:rPr>
        <w:t>administration examinerait tout cas de non-conformité à l</w:t>
      </w:r>
      <w:r w:rsidR="00080381">
        <w:rPr>
          <w:rFonts w:ascii="Calibri" w:hAnsi="Calibri"/>
          <w:color w:val="000000"/>
          <w:sz w:val="22"/>
        </w:rPr>
        <w:t>’</w:t>
      </w:r>
      <w:r>
        <w:rPr>
          <w:rFonts w:ascii="Calibri" w:hAnsi="Calibri"/>
          <w:color w:val="000000"/>
          <w:sz w:val="22"/>
        </w:rPr>
        <w:t>échéance fixée pour la feuille de route lors de sa prochaine réunion, à partir de l</w:t>
      </w:r>
      <w:r w:rsidR="00080381">
        <w:rPr>
          <w:rFonts w:ascii="Calibri" w:hAnsi="Calibri"/>
          <w:color w:val="000000"/>
          <w:sz w:val="22"/>
        </w:rPr>
        <w:t>’</w:t>
      </w:r>
      <w:r>
        <w:rPr>
          <w:rFonts w:ascii="Calibri" w:hAnsi="Calibri"/>
          <w:color w:val="000000"/>
          <w:sz w:val="22"/>
        </w:rPr>
        <w:t>analyse de</w:t>
      </w:r>
      <w:r w:rsidR="00EC0E53">
        <w:rPr>
          <w:rFonts w:ascii="Calibri" w:hAnsi="Calibri"/>
          <w:color w:val="000000"/>
          <w:sz w:val="22"/>
        </w:rPr>
        <w:t>s</w:t>
      </w:r>
      <w:r>
        <w:rPr>
          <w:rFonts w:ascii="Calibri" w:hAnsi="Calibri"/>
          <w:color w:val="000000"/>
          <w:sz w:val="22"/>
        </w:rPr>
        <w:t xml:space="preserve"> feuille</w:t>
      </w:r>
      <w:r w:rsidR="00EC0E53">
        <w:rPr>
          <w:rFonts w:ascii="Calibri" w:hAnsi="Calibri"/>
          <w:color w:val="000000"/>
          <w:sz w:val="22"/>
        </w:rPr>
        <w:t>s</w:t>
      </w:r>
      <w:r>
        <w:rPr>
          <w:rFonts w:ascii="Calibri" w:hAnsi="Calibri"/>
          <w:color w:val="000000"/>
          <w:sz w:val="22"/>
        </w:rPr>
        <w:t xml:space="preserve"> de route et des suggestions élaborées par le Comité de </w:t>
      </w:r>
      <w:r w:rsidR="00EC0E53">
        <w:rPr>
          <w:rFonts w:ascii="Calibri" w:hAnsi="Calibri"/>
          <w:color w:val="000000"/>
          <w:sz w:val="22"/>
        </w:rPr>
        <w:t>M</w:t>
      </w:r>
      <w:r>
        <w:rPr>
          <w:rFonts w:ascii="Calibri" w:hAnsi="Calibri"/>
          <w:color w:val="000000"/>
          <w:sz w:val="22"/>
        </w:rPr>
        <w:t xml:space="preserve">ise en œuvre. Ce document comporte une analyse des feuilles de route soumises à ce jour et </w:t>
      </w:r>
      <w:r w:rsidR="00EC0E53">
        <w:rPr>
          <w:rFonts w:ascii="Calibri" w:hAnsi="Calibri"/>
          <w:color w:val="000000"/>
          <w:sz w:val="22"/>
        </w:rPr>
        <w:t>formule des propositions à propos</w:t>
      </w:r>
      <w:r>
        <w:rPr>
          <w:rFonts w:ascii="Calibri" w:hAnsi="Calibri"/>
          <w:color w:val="000000"/>
          <w:sz w:val="22"/>
        </w:rPr>
        <w:t xml:space="preserve"> </w:t>
      </w:r>
      <w:r w:rsidR="00EC0E53">
        <w:rPr>
          <w:rFonts w:ascii="Calibri" w:hAnsi="Calibri"/>
          <w:color w:val="000000"/>
          <w:sz w:val="22"/>
        </w:rPr>
        <w:t>d</w:t>
      </w:r>
      <w:r>
        <w:rPr>
          <w:rFonts w:ascii="Calibri" w:hAnsi="Calibri"/>
          <w:color w:val="000000"/>
          <w:sz w:val="22"/>
        </w:rPr>
        <w:t xml:space="preserve">es étapes suivantes. </w:t>
      </w:r>
    </w:p>
    <w:p w:rsidR="00117A96" w:rsidRPr="0091177D" w:rsidRDefault="0029726F" w:rsidP="00117A96">
      <w:pPr>
        <w:pStyle w:val="Heading1"/>
        <w:rPr>
          <w:sz w:val="28"/>
        </w:rPr>
      </w:pPr>
      <w:bookmarkStart w:id="13" w:name="_Toc471924488"/>
      <w:bookmarkStart w:id="14" w:name="_Toc472131095"/>
      <w:r>
        <w:rPr>
          <w:sz w:val="28"/>
        </w:rPr>
        <w:t>Analyse des feuilles de route sur la propriété réelle</w:t>
      </w:r>
      <w:bookmarkEnd w:id="13"/>
      <w:bookmarkEnd w:id="14"/>
    </w:p>
    <w:p w:rsidR="009E6E3C" w:rsidRPr="00A81B2A" w:rsidRDefault="00A81B2A" w:rsidP="007C002A">
      <w:pPr>
        <w:pStyle w:val="Heading2"/>
        <w:spacing w:after="0"/>
        <w:rPr>
          <w:rFonts w:asciiTheme="minorHAnsi" w:hAnsiTheme="minorHAnsi"/>
          <w:b w:val="0"/>
          <w:color w:val="1F497D" w:themeColor="text2"/>
          <w:sz w:val="24"/>
          <w:szCs w:val="24"/>
        </w:rPr>
      </w:pPr>
      <w:bookmarkStart w:id="15" w:name="_Toc471924489"/>
      <w:bookmarkStart w:id="16" w:name="_Toc472131096"/>
      <w:r>
        <w:rPr>
          <w:rFonts w:asciiTheme="minorHAnsi" w:hAnsiTheme="minorHAnsi"/>
          <w:b w:val="0"/>
          <w:color w:val="1F497D" w:themeColor="text2"/>
          <w:sz w:val="24"/>
        </w:rPr>
        <w:t>3.1</w:t>
      </w:r>
      <w:r>
        <w:tab/>
      </w:r>
      <w:r>
        <w:rPr>
          <w:rFonts w:asciiTheme="minorHAnsi" w:hAnsiTheme="minorHAnsi"/>
          <w:b w:val="0"/>
          <w:color w:val="1F497D" w:themeColor="text2"/>
          <w:sz w:val="24"/>
        </w:rPr>
        <w:t>Soumission des feuilles de route – situation au 11 janvier</w:t>
      </w:r>
      <w:bookmarkEnd w:id="15"/>
      <w:bookmarkEnd w:id="16"/>
      <w:r w:rsidR="00B4477F">
        <w:rPr>
          <w:rFonts w:asciiTheme="minorHAnsi" w:hAnsiTheme="minorHAnsi"/>
          <w:b w:val="0"/>
          <w:color w:val="1F497D" w:themeColor="text2"/>
          <w:sz w:val="24"/>
        </w:rPr>
        <w:t xml:space="preserve"> 2017</w:t>
      </w:r>
    </w:p>
    <w:p w:rsidR="009E6E3C" w:rsidRDefault="00BD0766" w:rsidP="00880ECA">
      <w:r>
        <w:t xml:space="preserve">42 pays ont publié </w:t>
      </w:r>
      <w:r w:rsidR="00B4477F">
        <w:t>une</w:t>
      </w:r>
      <w:r>
        <w:t xml:space="preserve"> feuille de route sur la propriété réelle. Ces feuilles de route sont accessibles à la page </w:t>
      </w:r>
      <w:hyperlink r:id="rId15">
        <w:r>
          <w:rPr>
            <w:rStyle w:val="Hyperlink"/>
          </w:rPr>
          <w:t>https://eiti.org/publication-types-public/beneficial-ownership-roadmaps</w:t>
        </w:r>
      </w:hyperlink>
      <w:r>
        <w:t>. Les caractéristiques essentielles de</w:t>
      </w:r>
      <w:r w:rsidR="00D33025">
        <w:t xml:space="preserve"> ce</w:t>
      </w:r>
      <w:r>
        <w:t xml:space="preserve">s feuilles de route sont </w:t>
      </w:r>
      <w:r w:rsidR="00D33025">
        <w:t>relev</w:t>
      </w:r>
      <w:r>
        <w:t>ées à la section</w:t>
      </w:r>
      <w:r w:rsidR="00662766">
        <w:t> </w:t>
      </w:r>
      <w:r>
        <w:t xml:space="preserve">3.2 ci-après. </w:t>
      </w:r>
    </w:p>
    <w:p w:rsidR="009E6E3C" w:rsidRDefault="00BD0766" w:rsidP="00880ECA">
      <w:r>
        <w:t>Cinq pays – l</w:t>
      </w:r>
      <w:r w:rsidR="00080381">
        <w:t>’</w:t>
      </w:r>
      <w:r>
        <w:t>Afghanistan, l</w:t>
      </w:r>
      <w:r w:rsidR="00080381">
        <w:t>’</w:t>
      </w:r>
      <w:r>
        <w:t>Irak, le Myanmar, les Seychelles et Timor-Leste - ont des projets de feuilles de route partagés</w:t>
      </w:r>
      <w:r w:rsidR="00662766">
        <w:t> </w:t>
      </w:r>
      <w:r>
        <w:t xml:space="preserve">: </w:t>
      </w:r>
    </w:p>
    <w:p w:rsidR="00880ECA" w:rsidRDefault="00880ECA" w:rsidP="00880ECA">
      <w:pPr>
        <w:pStyle w:val="ListParagraph"/>
        <w:numPr>
          <w:ilvl w:val="0"/>
          <w:numId w:val="27"/>
        </w:numPr>
      </w:pPr>
      <w:r>
        <w:t>L</w:t>
      </w:r>
      <w:r w:rsidR="00080381">
        <w:t>’</w:t>
      </w:r>
      <w:r>
        <w:rPr>
          <w:b/>
        </w:rPr>
        <w:t>Afghanistan</w:t>
      </w:r>
      <w:r>
        <w:t xml:space="preserve"> a demandé que le délai de soumission de sa feuille de route soit prorogé d</w:t>
      </w:r>
      <w:r w:rsidR="00080381">
        <w:t>’</w:t>
      </w:r>
      <w:r>
        <w:t xml:space="preserve">un mois, </w:t>
      </w:r>
      <w:r w:rsidR="00D33025">
        <w:t>en faisant ressortir</w:t>
      </w:r>
      <w:r>
        <w:t xml:space="preserve"> que l</w:t>
      </w:r>
      <w:r w:rsidR="00080381">
        <w:t>’</w:t>
      </w:r>
      <w:r>
        <w:t xml:space="preserve">année dernière, le GMP avait </w:t>
      </w:r>
      <w:r w:rsidR="00D33025">
        <w:t xml:space="preserve">beaucoup </w:t>
      </w:r>
      <w:r>
        <w:t>travaillé sur la propriété réelle. Un projet de feuille de route a été élaboré par le comité technique du GMP et a été examiné en détail par le GMP lors d</w:t>
      </w:r>
      <w:r w:rsidR="00080381">
        <w:t>’</w:t>
      </w:r>
      <w:r>
        <w:t>un atelier organisé par la GIZ avec la participation du Secrétariat international en octobre 2016. Suite à ces discussions, le GMP s</w:t>
      </w:r>
      <w:r w:rsidR="00080381">
        <w:t>’</w:t>
      </w:r>
      <w:r>
        <w:t>est employé à recruter un expert sur la propriété réelle pour poursuivre les travaux. Bien que la GIZ ait accepté de fournir le financement, il a été difficile de trouver un consultant pouvant travailler en Afghanistan dans les circonstances actuelles. Un consultant a été identifié et devrait arriver à Kaboul en janvier 2017. Le Secrétariat international prévoit la soumission d</w:t>
      </w:r>
      <w:r w:rsidR="00080381">
        <w:t>’</w:t>
      </w:r>
      <w:r>
        <w:t>une feuille de route finale dans les deux prochains mois.</w:t>
      </w:r>
    </w:p>
    <w:p w:rsidR="00880ECA" w:rsidRDefault="00880ECA" w:rsidP="00880ECA">
      <w:pPr>
        <w:pStyle w:val="ListParagraph"/>
        <w:numPr>
          <w:ilvl w:val="0"/>
          <w:numId w:val="27"/>
        </w:numPr>
      </w:pPr>
      <w:r>
        <w:t>L</w:t>
      </w:r>
      <w:r w:rsidR="00080381">
        <w:t>’</w:t>
      </w:r>
      <w:r>
        <w:rPr>
          <w:b/>
        </w:rPr>
        <w:t>Irak</w:t>
      </w:r>
      <w:r>
        <w:t xml:space="preserve"> a communiqué une version préliminaire de sa feuille de route au Secrétariat international en novembre mais, à la connaissance du Secrétariat, n</w:t>
      </w:r>
      <w:r w:rsidR="00080381">
        <w:t>’</w:t>
      </w:r>
      <w:r>
        <w:t>a pas publié de version finale de la feuille de route. On ne sait pas encore quan</w:t>
      </w:r>
      <w:r w:rsidR="00A708C9">
        <w:t>d</w:t>
      </w:r>
      <w:r>
        <w:t xml:space="preserve"> l</w:t>
      </w:r>
      <w:r w:rsidR="00080381">
        <w:t>’</w:t>
      </w:r>
      <w:r>
        <w:t xml:space="preserve">Irak prévoit de publier </w:t>
      </w:r>
      <w:r w:rsidR="00A708C9">
        <w:t>cette</w:t>
      </w:r>
      <w:r>
        <w:t xml:space="preserve"> feuille de route. Le Secrétariat a demandé au GMP de lui fournir des informations supplémentaires</w:t>
      </w:r>
      <w:r w:rsidR="00A708C9">
        <w:t xml:space="preserve"> à ce sujet</w:t>
      </w:r>
      <w:r>
        <w:t xml:space="preserve">. </w:t>
      </w:r>
    </w:p>
    <w:p w:rsidR="00880ECA" w:rsidRDefault="00880ECA" w:rsidP="00880ECA">
      <w:pPr>
        <w:pStyle w:val="ListParagraph"/>
        <w:numPr>
          <w:ilvl w:val="0"/>
          <w:numId w:val="27"/>
        </w:numPr>
      </w:pPr>
      <w:r>
        <w:t xml:space="preserve">En dépit du ralentissement de la mise en œuvre résultant de la transition et des </w:t>
      </w:r>
      <w:r w:rsidR="00A708C9">
        <w:t>faibless</w:t>
      </w:r>
      <w:r>
        <w:t>es d</w:t>
      </w:r>
      <w:r w:rsidR="00A708C9">
        <w:t>ans le</w:t>
      </w:r>
      <w:r>
        <w:t xml:space="preserve"> fonctionnement du GMP, le</w:t>
      </w:r>
      <w:r>
        <w:rPr>
          <w:b/>
        </w:rPr>
        <w:t xml:space="preserve"> Myanmar</w:t>
      </w:r>
      <w:r>
        <w:t xml:space="preserve"> a soumis un projet de feuille de route avalisé par le Président par intérim et par le GMP en décembre 2016. Ce projet a été fondé sur une série de discussions sur la propriété réelle qui ont eu lieu en mai et en décembre 2016. Avec la nomination récente d</w:t>
      </w:r>
      <w:r w:rsidR="00080381">
        <w:t>’</w:t>
      </w:r>
      <w:r>
        <w:t xml:space="preserve">un nouveau Champion ITIE au Myanmar, il est prévu que la feuille de route soit achevée dans les deux prochains mois. </w:t>
      </w:r>
    </w:p>
    <w:p w:rsidR="002E1362" w:rsidRDefault="002E1362" w:rsidP="00880ECA">
      <w:pPr>
        <w:pStyle w:val="ListParagraph"/>
        <w:numPr>
          <w:ilvl w:val="0"/>
          <w:numId w:val="27"/>
        </w:numPr>
      </w:pPr>
      <w:r>
        <w:t xml:space="preserve">Les </w:t>
      </w:r>
      <w:r>
        <w:rPr>
          <w:b/>
        </w:rPr>
        <w:t>Seychelles</w:t>
      </w:r>
      <w:r>
        <w:t xml:space="preserve"> ont achevé un projet final de feuille de route sur la propriété réelle. La version </w:t>
      </w:r>
      <w:r>
        <w:lastRenderedPageBreak/>
        <w:t>finale est en instance d</w:t>
      </w:r>
      <w:r w:rsidR="00080381">
        <w:t>’</w:t>
      </w:r>
      <w:r>
        <w:t>approbation par le cabinet et est attendue le 20 janvier.</w:t>
      </w:r>
    </w:p>
    <w:p w:rsidR="001948CB" w:rsidRDefault="001948CB" w:rsidP="00880ECA">
      <w:pPr>
        <w:pStyle w:val="ListParagraph"/>
        <w:numPr>
          <w:ilvl w:val="0"/>
          <w:numId w:val="27"/>
        </w:numPr>
      </w:pPr>
      <w:r>
        <w:t xml:space="preserve">Le </w:t>
      </w:r>
      <w:r>
        <w:rPr>
          <w:b/>
        </w:rPr>
        <w:t>Timor-Leste</w:t>
      </w:r>
      <w:r>
        <w:t xml:space="preserve"> a soumis un projet final de feuille de route sur la propriété réelle. La version finale est attendue, sous réserve de contributions supplémentaires </w:t>
      </w:r>
      <w:r w:rsidR="007C3CFD">
        <w:t xml:space="preserve">de la part </w:t>
      </w:r>
      <w:r>
        <w:t>des membres du GMP et de leur approbation. Le Secrétariat international prévoit la publication de la version finale dans le courant du mois prochain.</w:t>
      </w:r>
      <w:r w:rsidR="00080381">
        <w:t xml:space="preserve"> </w:t>
      </w:r>
    </w:p>
    <w:p w:rsidR="00BD0766" w:rsidRDefault="009E6E3C" w:rsidP="005C23A0">
      <w:pPr>
        <w:ind w:left="360"/>
      </w:pPr>
      <w:r>
        <w:t>Quatre pays – la République centrafricaine, le Guatemala, la Norvège et le Yémen – n</w:t>
      </w:r>
      <w:r w:rsidR="00080381">
        <w:t>’</w:t>
      </w:r>
      <w:r>
        <w:t>ont pas publié ni communiqué de projets de feuille de route ou de versions finales</w:t>
      </w:r>
      <w:r w:rsidR="00662766">
        <w:t> </w:t>
      </w:r>
      <w:r>
        <w:t xml:space="preserve">: </w:t>
      </w:r>
    </w:p>
    <w:p w:rsidR="005C23A0" w:rsidRDefault="005C23A0" w:rsidP="005C23A0">
      <w:pPr>
        <w:pStyle w:val="ListParagraph"/>
        <w:numPr>
          <w:ilvl w:val="0"/>
          <w:numId w:val="28"/>
        </w:numPr>
      </w:pPr>
      <w:r>
        <w:t xml:space="preserve">La </w:t>
      </w:r>
      <w:r>
        <w:rPr>
          <w:b/>
        </w:rPr>
        <w:t>République centrafricaine</w:t>
      </w:r>
      <w:r>
        <w:t xml:space="preserve"> et le </w:t>
      </w:r>
      <w:r>
        <w:rPr>
          <w:b/>
        </w:rPr>
        <w:t>Yémen</w:t>
      </w:r>
      <w:r>
        <w:t xml:space="preserve"> sont suspendus en raison des conflits politiques et de l</w:t>
      </w:r>
      <w:r w:rsidR="00080381">
        <w:t>’</w:t>
      </w:r>
      <w:r>
        <w:t xml:space="preserve">instabilité </w:t>
      </w:r>
      <w:r w:rsidR="007C3CFD">
        <w:t xml:space="preserve">qui règne dans ces pays </w:t>
      </w:r>
      <w:r>
        <w:t xml:space="preserve">et en conséquence </w:t>
      </w:r>
      <w:r w:rsidR="007C3CFD">
        <w:t xml:space="preserve">ils </w:t>
      </w:r>
      <w:r>
        <w:t>n</w:t>
      </w:r>
      <w:r w:rsidR="00080381">
        <w:t>’</w:t>
      </w:r>
      <w:r>
        <w:t xml:space="preserve">ont pas soumis de feuille de route. </w:t>
      </w:r>
    </w:p>
    <w:p w:rsidR="005C23A0" w:rsidRPr="005C23A0" w:rsidRDefault="005C23A0" w:rsidP="006A7261">
      <w:pPr>
        <w:pStyle w:val="ListParagraph"/>
        <w:numPr>
          <w:ilvl w:val="0"/>
          <w:numId w:val="27"/>
        </w:numPr>
      </w:pPr>
      <w:r>
        <w:t xml:space="preserve">Le </w:t>
      </w:r>
      <w:r>
        <w:rPr>
          <w:b/>
        </w:rPr>
        <w:t xml:space="preserve">Guatemala </w:t>
      </w:r>
      <w:r>
        <w:t>n</w:t>
      </w:r>
      <w:r w:rsidR="00080381">
        <w:t>’</w:t>
      </w:r>
      <w:r>
        <w:t xml:space="preserve">a pas encore communiqué de projet </w:t>
      </w:r>
      <w:r w:rsidR="007C3CFD">
        <w:t xml:space="preserve">ou de version finale </w:t>
      </w:r>
      <w:r>
        <w:t>de feuille de route, et le Secrétariat international n</w:t>
      </w:r>
      <w:r w:rsidR="00080381">
        <w:t>’</w:t>
      </w:r>
      <w:r>
        <w:t>est pas au courant des raisons expliquant les retards</w:t>
      </w:r>
      <w:r w:rsidR="00AB4B97">
        <w:t>. Il</w:t>
      </w:r>
      <w:r>
        <w:t xml:space="preserve"> ne sait pas</w:t>
      </w:r>
      <w:r w:rsidR="00AB4B97">
        <w:t xml:space="preserve"> non plus</w:t>
      </w:r>
      <w:r>
        <w:t xml:space="preserve"> quand il est prévu que la feuille de route soit achevée. Le Secrétariat a demandé au GMP de lui fournir des informations supplémentaires</w:t>
      </w:r>
      <w:r w:rsidR="00AB4B97">
        <w:t xml:space="preserve"> à ce sujet</w:t>
      </w:r>
      <w:r>
        <w:t xml:space="preserve">. </w:t>
      </w:r>
    </w:p>
    <w:p w:rsidR="005C23A0" w:rsidRDefault="005C23A0" w:rsidP="005C23A0">
      <w:pPr>
        <w:pStyle w:val="ListParagraph"/>
        <w:numPr>
          <w:ilvl w:val="0"/>
          <w:numId w:val="27"/>
        </w:numPr>
      </w:pPr>
      <w:r>
        <w:t xml:space="preserve">La </w:t>
      </w:r>
      <w:r>
        <w:rPr>
          <w:b/>
        </w:rPr>
        <w:t xml:space="preserve">Norvège </w:t>
      </w:r>
      <w:r>
        <w:t>n</w:t>
      </w:r>
      <w:r w:rsidR="00080381">
        <w:t>’</w:t>
      </w:r>
      <w:r>
        <w:t xml:space="preserve">a pas communiqué de projet de feuille </w:t>
      </w:r>
      <w:r w:rsidR="00080381">
        <w:t xml:space="preserve">de route ou de version finale. </w:t>
      </w:r>
      <w:r>
        <w:t>La Norvège est tenue de transposer la 4e Directive de l</w:t>
      </w:r>
      <w:r w:rsidR="00080381">
        <w:t>’</w:t>
      </w:r>
      <w:r>
        <w:t>UE sur le blanchiment d</w:t>
      </w:r>
      <w:r w:rsidR="00080381">
        <w:t>’</w:t>
      </w:r>
      <w:r>
        <w:t>argent dans sa législation nationale d</w:t>
      </w:r>
      <w:r w:rsidR="00080381">
        <w:t>’</w:t>
      </w:r>
      <w:r>
        <w:t>ici à juin 2017, ce qui comprend la création d</w:t>
      </w:r>
      <w:r w:rsidR="00080381">
        <w:t>’</w:t>
      </w:r>
      <w:r>
        <w:t>un registre central des propriétaires réels. Le 16 décembre</w:t>
      </w:r>
      <w:r w:rsidR="00AB4B97">
        <w:t xml:space="preserve"> 2016</w:t>
      </w:r>
      <w:r>
        <w:t xml:space="preserve">, la Commission chargée de ce travail a publié </w:t>
      </w:r>
      <w:hyperlink r:id="rId16">
        <w:r>
          <w:rPr>
            <w:rStyle w:val="Hyperlink"/>
          </w:rPr>
          <w:t>un rapport</w:t>
        </w:r>
      </w:hyperlink>
      <w:r>
        <w:t xml:space="preserve"> incluant un chapitre détaillé sur la création d</w:t>
      </w:r>
      <w:r w:rsidR="00080381">
        <w:t>’</w:t>
      </w:r>
      <w:r>
        <w:t>un registre de propriété réelle.</w:t>
      </w:r>
      <w:r w:rsidR="00080381">
        <w:t xml:space="preserve"> </w:t>
      </w:r>
      <w:r>
        <w:t>Le rapport ne recommande pas de registre ouvert.</w:t>
      </w:r>
      <w:r w:rsidR="00080381">
        <w:t xml:space="preserve"> </w:t>
      </w:r>
      <w:r>
        <w:t>Le Secrétariat a demandé au GMP de lui fournir des informations supplémentaires</w:t>
      </w:r>
      <w:r w:rsidR="00AB4B97">
        <w:t xml:space="preserve"> à ce sujet</w:t>
      </w:r>
      <w:r>
        <w:t xml:space="preserve">. </w:t>
      </w:r>
    </w:p>
    <w:p w:rsidR="00084397" w:rsidRPr="00A81B2A" w:rsidRDefault="00A81B2A" w:rsidP="00A81B2A">
      <w:pPr>
        <w:pStyle w:val="Heading2"/>
        <w:spacing w:after="240"/>
        <w:rPr>
          <w:rFonts w:asciiTheme="minorHAnsi" w:hAnsiTheme="minorHAnsi"/>
          <w:b w:val="0"/>
          <w:color w:val="1F497D" w:themeColor="text2"/>
          <w:sz w:val="24"/>
          <w:szCs w:val="24"/>
        </w:rPr>
      </w:pPr>
      <w:bookmarkStart w:id="17" w:name="_Toc471924490"/>
      <w:bookmarkStart w:id="18" w:name="_Toc472131097"/>
      <w:r>
        <w:rPr>
          <w:rFonts w:asciiTheme="minorHAnsi" w:hAnsiTheme="minorHAnsi"/>
          <w:b w:val="0"/>
          <w:color w:val="1F497D" w:themeColor="text2"/>
          <w:sz w:val="24"/>
        </w:rPr>
        <w:t>3.2</w:t>
      </w:r>
      <w:r>
        <w:tab/>
      </w:r>
      <w:r>
        <w:rPr>
          <w:rFonts w:asciiTheme="minorHAnsi" w:hAnsiTheme="minorHAnsi"/>
          <w:b w:val="0"/>
          <w:color w:val="1F497D" w:themeColor="text2"/>
          <w:sz w:val="24"/>
        </w:rPr>
        <w:t>Caractéristiques essentielles des feuilles de route ayant été publiées</w:t>
      </w:r>
      <w:bookmarkEnd w:id="17"/>
      <w:bookmarkEnd w:id="18"/>
    </w:p>
    <w:p w:rsidR="00272F80" w:rsidRDefault="00272F80" w:rsidP="0029726F">
      <w:r>
        <w:t>Le Secrétariat international a extrait quelques-unes des caractéristiques essentielles des feuilles de route qui pourraient intéresser le Conseil d</w:t>
      </w:r>
      <w:r w:rsidR="00080381">
        <w:t>’</w:t>
      </w:r>
      <w:r>
        <w:t>administration et d</w:t>
      </w:r>
      <w:r w:rsidR="00080381">
        <w:t>’</w:t>
      </w:r>
      <w:r>
        <w:t>autres parties prenantes. Des détails supplémentaires sont disponibles à l</w:t>
      </w:r>
      <w:r w:rsidR="00080381">
        <w:t>’</w:t>
      </w:r>
      <w:r>
        <w:t>Annexe A. La Section</w:t>
      </w:r>
      <w:r w:rsidR="00662766">
        <w:t> </w:t>
      </w:r>
      <w:r>
        <w:t>3.3 ci-après examine la conformité aux exigences de contenu de</w:t>
      </w:r>
      <w:r w:rsidR="0024385B">
        <w:t>s</w:t>
      </w:r>
      <w:r>
        <w:t xml:space="preserve"> feuille</w:t>
      </w:r>
      <w:r w:rsidR="0024385B">
        <w:t>s</w:t>
      </w:r>
      <w:r>
        <w:t xml:space="preserve"> de route.</w:t>
      </w:r>
    </w:p>
    <w:p w:rsidR="00272F80" w:rsidRDefault="00272F80" w:rsidP="00272F80">
      <w:pPr>
        <w:pStyle w:val="ListParagraph"/>
        <w:numPr>
          <w:ilvl w:val="0"/>
          <w:numId w:val="31"/>
        </w:numPr>
      </w:pPr>
      <w:r>
        <w:rPr>
          <w:b/>
        </w:rPr>
        <w:t>Objectifs de la transparence de la propriété réelle</w:t>
      </w:r>
      <w:r w:rsidR="00080381">
        <w:t xml:space="preserve">. </w:t>
      </w:r>
      <w:r>
        <w:t xml:space="preserve">La Norme ITIE stipule que le </w:t>
      </w:r>
      <w:r w:rsidR="00B37714">
        <w:t>g</w:t>
      </w:r>
      <w:r>
        <w:t>roupe multipartite doit fixer «</w:t>
      </w:r>
      <w:r w:rsidR="00662766">
        <w:t> </w:t>
      </w:r>
      <w:r>
        <w:t>des objectifs de mise en œuvre de l</w:t>
      </w:r>
      <w:r w:rsidR="00080381">
        <w:t>’</w:t>
      </w:r>
      <w:r>
        <w:t>ITIE compatibles avec les Principes de l</w:t>
      </w:r>
      <w:r w:rsidR="00080381">
        <w:t>’</w:t>
      </w:r>
      <w:r>
        <w:t>ITIE et reflétant les priorités nationales des industries extractives</w:t>
      </w:r>
      <w:r w:rsidR="00662766">
        <w:t> </w:t>
      </w:r>
      <w:r>
        <w:t>» (Exigence</w:t>
      </w:r>
      <w:r w:rsidR="00662766">
        <w:t> </w:t>
      </w:r>
      <w:r>
        <w:t>1.5</w:t>
      </w:r>
      <w:r w:rsidR="0024385B">
        <w:t xml:space="preserve"> (</w:t>
      </w:r>
      <w:r>
        <w:t>a)</w:t>
      </w:r>
      <w:r w:rsidR="0024385B">
        <w:t>)</w:t>
      </w:r>
      <w:r>
        <w:t>. Bien que les objectifs spécifiques pour la transparence de la propriété réelle ne soient pas exigés par la Norme ITIE, déterminer la pertinence de la divulgation de la propriété réelle</w:t>
      </w:r>
      <w:r w:rsidR="00080381">
        <w:t xml:space="preserve"> </w:t>
      </w:r>
      <w:r>
        <w:t>aux débats nationaux et aux priorités nationales peut contribuer à mieux comprendre comment la transparence à propos de la propriété réelle peut être bénéfique au pays, renforcer le soutien des parties prenantes à ce travail et garantir que les</w:t>
      </w:r>
      <w:r w:rsidR="00080381">
        <w:t xml:space="preserve"> </w:t>
      </w:r>
      <w:r>
        <w:t xml:space="preserve">activités faisant partie de la feuille de route du GMP sont liées aux </w:t>
      </w:r>
      <w:r w:rsidR="006A3EEE">
        <w:t>grand</w:t>
      </w:r>
      <w:r>
        <w:t>es priorités de l</w:t>
      </w:r>
      <w:r w:rsidR="00080381">
        <w:t>’</w:t>
      </w:r>
      <w:r>
        <w:t xml:space="preserve">État. </w:t>
      </w:r>
    </w:p>
    <w:p w:rsidR="00272F80" w:rsidRDefault="00272F80" w:rsidP="00272F80">
      <w:pPr>
        <w:pStyle w:val="ListParagraph"/>
      </w:pPr>
      <w:r>
        <w:lastRenderedPageBreak/>
        <w:t>23 pays ont déjà identifié de tels objectifs dans leurs feuilles de route</w:t>
      </w:r>
      <w:r>
        <w:rPr>
          <w:rStyle w:val="FootnoteReference"/>
        </w:rPr>
        <w:footnoteReference w:id="2"/>
      </w:r>
      <w:r>
        <w:t xml:space="preserve">. Parmi </w:t>
      </w:r>
      <w:r w:rsidR="008006EA">
        <w:t>l</w:t>
      </w:r>
      <w:r>
        <w:t>es objectifs figurent notamment la nécessité de lutter contre la corruption, l</w:t>
      </w:r>
      <w:r w:rsidR="00080381">
        <w:t>’</w:t>
      </w:r>
      <w:r>
        <w:t>évasion fiscale et le blanchiment d</w:t>
      </w:r>
      <w:r w:rsidR="00080381">
        <w:t>’</w:t>
      </w:r>
      <w:r>
        <w:t xml:space="preserve">argent, </w:t>
      </w:r>
      <w:r w:rsidR="008006EA">
        <w:t>l</w:t>
      </w:r>
      <w:r w:rsidR="00080381">
        <w:t>’</w:t>
      </w:r>
      <w:r>
        <w:t>atténu</w:t>
      </w:r>
      <w:r w:rsidR="008006EA">
        <w:t>ation d</w:t>
      </w:r>
      <w:r>
        <w:t>es risques de conflits d</w:t>
      </w:r>
      <w:r w:rsidR="00080381">
        <w:t>’</w:t>
      </w:r>
      <w:r>
        <w:t xml:space="preserve">intérêts, </w:t>
      </w:r>
      <w:r w:rsidR="008006EA">
        <w:t>la</w:t>
      </w:r>
      <w:r>
        <w:t xml:space="preserve"> préven</w:t>
      </w:r>
      <w:r w:rsidR="008006EA">
        <w:t>tion</w:t>
      </w:r>
      <w:r>
        <w:t xml:space="preserve"> </w:t>
      </w:r>
      <w:r w:rsidR="008006EA">
        <w:t>d</w:t>
      </w:r>
      <w:r>
        <w:t xml:space="preserve">es flux financiers illicites, </w:t>
      </w:r>
      <w:r w:rsidR="008006EA">
        <w:t>l</w:t>
      </w:r>
      <w:r w:rsidR="00080381">
        <w:t>’</w:t>
      </w:r>
      <w:r>
        <w:t>accro</w:t>
      </w:r>
      <w:r w:rsidR="008006EA">
        <w:t>issement</w:t>
      </w:r>
      <w:r>
        <w:t xml:space="preserve"> </w:t>
      </w:r>
      <w:r w:rsidR="008006EA">
        <w:t>d</w:t>
      </w:r>
      <w:r>
        <w:t>es revenus de l</w:t>
      </w:r>
      <w:r w:rsidR="00080381">
        <w:t>’</w:t>
      </w:r>
      <w:r>
        <w:t xml:space="preserve">État et </w:t>
      </w:r>
      <w:r w:rsidR="008006EA">
        <w:t>le maintien de</w:t>
      </w:r>
      <w:r>
        <w:t xml:space="preserve"> l</w:t>
      </w:r>
      <w:r w:rsidR="00080381">
        <w:t>’</w:t>
      </w:r>
      <w:r>
        <w:t xml:space="preserve">intégrité des responsables élus par la population. </w:t>
      </w:r>
    </w:p>
    <w:p w:rsidR="005A56C1" w:rsidRDefault="005A56C1" w:rsidP="005A56C1">
      <w:pPr>
        <w:pStyle w:val="ListParagraph"/>
        <w:shd w:val="clear" w:color="auto" w:fill="D9D9D9" w:themeFill="background1" w:themeFillShade="D9"/>
        <w:rPr>
          <w:i/>
        </w:rPr>
      </w:pPr>
      <w:r>
        <w:rPr>
          <w:i/>
        </w:rPr>
        <w:t>Exemples</w:t>
      </w:r>
    </w:p>
    <w:p w:rsidR="005A56C1" w:rsidRDefault="005A56C1" w:rsidP="005A56C1">
      <w:pPr>
        <w:pStyle w:val="ListParagraph"/>
        <w:shd w:val="clear" w:color="auto" w:fill="D9D9D9" w:themeFill="background1" w:themeFillShade="D9"/>
        <w:rPr>
          <w:i/>
        </w:rPr>
      </w:pPr>
      <w:r>
        <w:rPr>
          <w:i/>
        </w:rPr>
        <w:t xml:space="preserve">Objectifs de la transparence de la propriété réelle en </w:t>
      </w:r>
      <w:r>
        <w:rPr>
          <w:b/>
          <w:i/>
        </w:rPr>
        <w:t>Côte d</w:t>
      </w:r>
      <w:r w:rsidR="00080381">
        <w:rPr>
          <w:b/>
          <w:i/>
        </w:rPr>
        <w:t>’</w:t>
      </w:r>
      <w:r>
        <w:rPr>
          <w:b/>
          <w:i/>
        </w:rPr>
        <w:t>Ivoire</w:t>
      </w:r>
      <w:r w:rsidR="00662766">
        <w:rPr>
          <w:i/>
        </w:rPr>
        <w:t> </w:t>
      </w:r>
      <w:r>
        <w:rPr>
          <w:i/>
        </w:rPr>
        <w:t>: compléter les systèmes existants de lutte contre le blanchiment d</w:t>
      </w:r>
      <w:r w:rsidR="00080381">
        <w:rPr>
          <w:i/>
        </w:rPr>
        <w:t>’</w:t>
      </w:r>
      <w:r>
        <w:rPr>
          <w:i/>
        </w:rPr>
        <w:t>argent et les risques de conflit d</w:t>
      </w:r>
      <w:r w:rsidR="00080381">
        <w:rPr>
          <w:i/>
        </w:rPr>
        <w:t>’</w:t>
      </w:r>
      <w:r>
        <w:rPr>
          <w:i/>
        </w:rPr>
        <w:t>intérêt</w:t>
      </w:r>
      <w:r w:rsidR="009A1E16">
        <w:rPr>
          <w:i/>
        </w:rPr>
        <w:t>s</w:t>
      </w:r>
      <w:r w:rsidR="00662766">
        <w:rPr>
          <w:i/>
        </w:rPr>
        <w:t> </w:t>
      </w:r>
      <w:r>
        <w:rPr>
          <w:i/>
        </w:rPr>
        <w:t>; lutter contre l</w:t>
      </w:r>
      <w:r w:rsidR="00080381">
        <w:rPr>
          <w:i/>
        </w:rPr>
        <w:t>’</w:t>
      </w:r>
      <w:r>
        <w:rPr>
          <w:i/>
        </w:rPr>
        <w:t>évasion fiscale et l</w:t>
      </w:r>
      <w:r w:rsidR="00892AB5">
        <w:rPr>
          <w:i/>
        </w:rPr>
        <w:t>’</w:t>
      </w:r>
      <w:r>
        <w:rPr>
          <w:i/>
        </w:rPr>
        <w:t>ét</w:t>
      </w:r>
      <w:r w:rsidR="00892AB5">
        <w:rPr>
          <w:i/>
        </w:rPr>
        <w:t>ablissement</w:t>
      </w:r>
      <w:r>
        <w:rPr>
          <w:i/>
        </w:rPr>
        <w:t xml:space="preserve"> de prix de transfert</w:t>
      </w:r>
      <w:r w:rsidR="00892AB5">
        <w:rPr>
          <w:i/>
        </w:rPr>
        <w:t xml:space="preserve"> arrangés</w:t>
      </w:r>
      <w:r w:rsidR="00662766">
        <w:rPr>
          <w:i/>
        </w:rPr>
        <w:t> </w:t>
      </w:r>
      <w:r>
        <w:rPr>
          <w:i/>
        </w:rPr>
        <w:t>; mieux évaluer la crédibilité et la fiabilité des entreprises en concurrence pour l</w:t>
      </w:r>
      <w:r w:rsidR="00080381">
        <w:rPr>
          <w:i/>
        </w:rPr>
        <w:t>’</w:t>
      </w:r>
      <w:r>
        <w:rPr>
          <w:i/>
        </w:rPr>
        <w:t>octroi de droits minéraux ou pétroliers.</w:t>
      </w:r>
    </w:p>
    <w:p w:rsidR="005A56C1" w:rsidRPr="005A56C1" w:rsidRDefault="005A56C1" w:rsidP="005A56C1">
      <w:pPr>
        <w:pStyle w:val="ListParagraph"/>
        <w:shd w:val="clear" w:color="auto" w:fill="D9D9D9" w:themeFill="background1" w:themeFillShade="D9"/>
        <w:rPr>
          <w:i/>
        </w:rPr>
      </w:pPr>
      <w:r>
        <w:rPr>
          <w:i/>
        </w:rPr>
        <w:t xml:space="preserve">Objectifs de la transparence de la propriété réelle en </w:t>
      </w:r>
      <w:r>
        <w:rPr>
          <w:b/>
          <w:i/>
        </w:rPr>
        <w:t>Indonésie</w:t>
      </w:r>
      <w:r w:rsidR="00662766">
        <w:rPr>
          <w:i/>
        </w:rPr>
        <w:t> </w:t>
      </w:r>
      <w:r>
        <w:rPr>
          <w:i/>
        </w:rPr>
        <w:t>:</w:t>
      </w:r>
      <w:r>
        <w:t xml:space="preserve"> </w:t>
      </w:r>
      <w:r>
        <w:rPr>
          <w:i/>
        </w:rPr>
        <w:t>prévenir et éradiquer la corruption</w:t>
      </w:r>
      <w:r w:rsidR="00662766">
        <w:rPr>
          <w:i/>
        </w:rPr>
        <w:t> </w:t>
      </w:r>
      <w:r>
        <w:rPr>
          <w:i/>
        </w:rPr>
        <w:t>; accroître les revenus de l</w:t>
      </w:r>
      <w:r w:rsidR="00080381">
        <w:rPr>
          <w:i/>
        </w:rPr>
        <w:t>’</w:t>
      </w:r>
      <w:r>
        <w:rPr>
          <w:i/>
        </w:rPr>
        <w:t>État en empêchant les pratiques anticoncurrentielles et en réduisant l</w:t>
      </w:r>
      <w:r w:rsidR="00080381">
        <w:rPr>
          <w:i/>
        </w:rPr>
        <w:t>’</w:t>
      </w:r>
      <w:r>
        <w:rPr>
          <w:i/>
        </w:rPr>
        <w:t>évasion fiscale</w:t>
      </w:r>
      <w:r w:rsidR="00662766">
        <w:rPr>
          <w:i/>
        </w:rPr>
        <w:t> </w:t>
      </w:r>
      <w:r>
        <w:rPr>
          <w:i/>
        </w:rPr>
        <w:t>; lutter contre les activités de blanchiment d</w:t>
      </w:r>
      <w:r w:rsidR="00080381">
        <w:rPr>
          <w:i/>
        </w:rPr>
        <w:t>’</w:t>
      </w:r>
      <w:r>
        <w:rPr>
          <w:i/>
        </w:rPr>
        <w:t>argent.</w:t>
      </w:r>
    </w:p>
    <w:p w:rsidR="005A56C1" w:rsidRPr="001F4570" w:rsidRDefault="005A56C1" w:rsidP="001F4570">
      <w:pPr>
        <w:pStyle w:val="ListParagraph"/>
        <w:numPr>
          <w:ilvl w:val="0"/>
          <w:numId w:val="31"/>
        </w:numPr>
      </w:pPr>
      <w:r>
        <w:rPr>
          <w:b/>
        </w:rPr>
        <w:t>Structure institutionnelle</w:t>
      </w:r>
      <w:r>
        <w:t>.</w:t>
      </w:r>
      <w:r w:rsidR="00080381">
        <w:t xml:space="preserve"> </w:t>
      </w:r>
      <w:r>
        <w:t>La Norme ITIE exige que les «</w:t>
      </w:r>
      <w:r w:rsidR="00662766">
        <w:t> </w:t>
      </w:r>
      <w:r>
        <w:t>entreprises qui soumissionnent, opèrent ou investissent dans les actifs extractifs</w:t>
      </w:r>
      <w:r w:rsidR="00662766">
        <w:t> </w:t>
      </w:r>
      <w:r>
        <w:t>» divulguent l</w:t>
      </w:r>
      <w:r w:rsidR="00080381">
        <w:t>’</w:t>
      </w:r>
      <w:r>
        <w:t xml:space="preserve">identité de leurs propriétaires réels. Pour y parvenir, il est recommandé que la feuille de route </w:t>
      </w:r>
      <w:r w:rsidR="001D0094">
        <w:t>fasse mention d</w:t>
      </w:r>
      <w:r>
        <w:t>es activités orientées vers de larges consultations avec les organismes publics et d</w:t>
      </w:r>
      <w:r w:rsidR="00080381">
        <w:t>’</w:t>
      </w:r>
      <w:r>
        <w:t>autres parties prenantes</w:t>
      </w:r>
      <w:r w:rsidR="001D0094">
        <w:t>,</w:t>
      </w:r>
      <w:r>
        <w:t xml:space="preserve"> afin </w:t>
      </w:r>
      <w:r w:rsidR="001D0094">
        <w:t xml:space="preserve">qu’il soit possible </w:t>
      </w:r>
      <w:r>
        <w:t>d</w:t>
      </w:r>
      <w:r w:rsidR="00080381">
        <w:t>’</w:t>
      </w:r>
      <w:r>
        <w:t>identifier l</w:t>
      </w:r>
      <w:r w:rsidR="00080381">
        <w:t>’</w:t>
      </w:r>
      <w:r>
        <w:t>/les organisme(s) qui est/sont responsable</w:t>
      </w:r>
      <w:r w:rsidR="00E40756">
        <w:t>(</w:t>
      </w:r>
      <w:r>
        <w:t>s</w:t>
      </w:r>
      <w:r w:rsidR="00E40756">
        <w:t>)</w:t>
      </w:r>
      <w:r>
        <w:t xml:space="preserve"> ou pourrait/pou</w:t>
      </w:r>
      <w:r w:rsidR="00E40756">
        <w:t>rraient être le(s) mieux adapté</w:t>
      </w:r>
      <w:r>
        <w:t xml:space="preserve">(s) à superviser, regrouper et conserver les informations sur la propriété réelle, ainsi que tous </w:t>
      </w:r>
      <w:r w:rsidR="00B37714">
        <w:t xml:space="preserve">les </w:t>
      </w:r>
      <w:r>
        <w:t>processus existants de dépôt public</w:t>
      </w:r>
      <w:r w:rsidR="00080381">
        <w:t xml:space="preserve"> </w:t>
      </w:r>
      <w:r>
        <w:t>qui pourraient aisément permettre la divulgation de la propriété réelle. Bien qu</w:t>
      </w:r>
      <w:r w:rsidR="00080381">
        <w:t>’</w:t>
      </w:r>
      <w:r>
        <w:t>une législation habilitante ne soit pas nécessairement essentielle, le groupe multipartite pourrait e</w:t>
      </w:r>
      <w:r w:rsidR="00B37714">
        <w:t>xamin</w:t>
      </w:r>
      <w:r>
        <w:t>er</w:t>
      </w:r>
      <w:r w:rsidR="00B37714">
        <w:t xml:space="preserve"> la possibilité</w:t>
      </w:r>
      <w:r>
        <w:t xml:space="preserve"> que la feuille de route incorpore des examens juridiques</w:t>
      </w:r>
      <w:r w:rsidR="00B37714">
        <w:t>,</w:t>
      </w:r>
      <w:r>
        <w:t xml:space="preserve"> notamment en vue</w:t>
      </w:r>
      <w:r w:rsidR="00B37714">
        <w:t xml:space="preserve"> de</w:t>
      </w:r>
      <w:r>
        <w:t xml:space="preserve"> </w:t>
      </w:r>
      <w:r w:rsidR="00B37714">
        <w:t>l</w:t>
      </w:r>
      <w:r w:rsidR="00080381">
        <w:t>’</w:t>
      </w:r>
      <w:r>
        <w:t>identifi</w:t>
      </w:r>
      <w:r w:rsidR="0000272A">
        <w:t>cation d</w:t>
      </w:r>
      <w:r>
        <w:t>e possibilités d</w:t>
      </w:r>
      <w:r w:rsidR="00080381">
        <w:t>’</w:t>
      </w:r>
      <w:r>
        <w:t>intégrer les exigences relatives à la divulgation de la propriété réelle dans les instruments juridiques nationaux, en particulier lorsque les réformes juridiques et réglementaires pertinentes sont déjà planifiées ou engagées.</w:t>
      </w:r>
    </w:p>
    <w:p w:rsidR="005232AD" w:rsidRDefault="005232AD" w:rsidP="005232AD">
      <w:pPr>
        <w:ind w:left="720"/>
      </w:pPr>
      <w:r>
        <w:t>Les feuilles de route de la RDC, du Ghana, de la Guinée, de la République kirg</w:t>
      </w:r>
      <w:r w:rsidR="0000272A">
        <w:t>h</w:t>
      </w:r>
      <w:r>
        <w:t>ize, de Madagascar, du Mali, du Nigéria, de l</w:t>
      </w:r>
      <w:r w:rsidR="00080381">
        <w:t>’</w:t>
      </w:r>
      <w:r>
        <w:t>Ukraine et du Royaume-Uni précisent déjà l</w:t>
      </w:r>
      <w:r w:rsidR="00080381">
        <w:t>’</w:t>
      </w:r>
      <w:r>
        <w:t>institution étatique qui sera chargée de la transparence de la propriété réelle. En RDC et en Ukraine, c</w:t>
      </w:r>
      <w:r w:rsidR="00080381">
        <w:t>’</w:t>
      </w:r>
      <w:r>
        <w:t>est le ministère de la Justice qui s</w:t>
      </w:r>
      <w:r w:rsidR="00080381">
        <w:t>’</w:t>
      </w:r>
      <w:r>
        <w:t>occupe</w:t>
      </w:r>
      <w:r w:rsidR="0000272A">
        <w:t>ra</w:t>
      </w:r>
      <w:r>
        <w:t xml:space="preserve"> de l</w:t>
      </w:r>
      <w:r w:rsidR="00080381">
        <w:t>’</w:t>
      </w:r>
      <w:r>
        <w:t>enregistrement des entreprises et qui par conséquent supervise</w:t>
      </w:r>
      <w:r w:rsidR="0000272A">
        <w:t>ra</w:t>
      </w:r>
      <w:r>
        <w:t xml:space="preserve"> également la mise en œuvre des exigences de l</w:t>
      </w:r>
      <w:r w:rsidR="00080381">
        <w:t>’</w:t>
      </w:r>
      <w:r>
        <w:t xml:space="preserve">ITIE en matière de propriété réelle. Au Ghana, au Nigéria et au Royaume-Uni, cette fonction </w:t>
      </w:r>
      <w:r w:rsidR="0000272A">
        <w:t>sera</w:t>
      </w:r>
      <w:r>
        <w:t xml:space="preserve"> exercée par le Registrar General (directeur général de l</w:t>
      </w:r>
      <w:r w:rsidR="00080381">
        <w:t>’</w:t>
      </w:r>
      <w:r>
        <w:t xml:space="preserve">état civil), la Corporate Affairs Commission </w:t>
      </w:r>
      <w:r>
        <w:lastRenderedPageBreak/>
        <w:t xml:space="preserve">(Commission des </w:t>
      </w:r>
      <w:r w:rsidR="00C216CB">
        <w:t xml:space="preserve">activités </w:t>
      </w:r>
      <w:r>
        <w:t>pri</w:t>
      </w:r>
      <w:r w:rsidR="00C216CB">
        <w:t>vé</w:t>
      </w:r>
      <w:r>
        <w:t>es) et la Companies House, respectivement. En Guinée, en République kirg</w:t>
      </w:r>
      <w:r w:rsidR="00C216CB">
        <w:t>h</w:t>
      </w:r>
      <w:r>
        <w:t>ize, à Madagascar et au Mali, il est envisagé que les institutions étatiques chargées du secteur minier et des cadastres soient responsables de l</w:t>
      </w:r>
      <w:r w:rsidR="00080381">
        <w:t>’</w:t>
      </w:r>
      <w:r>
        <w:t>application des exigences en matière de propriété réelle. La plupart des feuilles de route n</w:t>
      </w:r>
      <w:r w:rsidR="00080381">
        <w:t>’</w:t>
      </w:r>
      <w:r>
        <w:t>identifient pas encore quelle institution étatique serait responsable de la collecte et de la conservation des données sur la propriété réelle. Elles précisent plutôt que celles-ci sont indiquées comme activités que la mise en œuvre de la feuille de route s</w:t>
      </w:r>
      <w:r w:rsidR="00080381">
        <w:t>’</w:t>
      </w:r>
      <w:r>
        <w:t>emploiera à réaliser. Certaines feuilles de route identifient des hôtes possibles.</w:t>
      </w:r>
    </w:p>
    <w:p w:rsidR="00317549" w:rsidRDefault="00317549" w:rsidP="005232AD">
      <w:pPr>
        <w:ind w:left="720"/>
      </w:pPr>
      <w:r>
        <w:t>Dans leur grande majorité, les feuilles de route envisagent de s</w:t>
      </w:r>
      <w:r w:rsidR="00080381">
        <w:t>’</w:t>
      </w:r>
      <w:r>
        <w:t xml:space="preserve">employer à </w:t>
      </w:r>
      <w:r w:rsidR="006D22D0">
        <w:t>favoriser</w:t>
      </w:r>
      <w:r>
        <w:t xml:space="preserve"> la transparence de la propriété réelle par le biais de la législation. De nombreux pays, dont l</w:t>
      </w:r>
      <w:r w:rsidR="00080381">
        <w:t>’</w:t>
      </w:r>
      <w:r>
        <w:t>Albanie, la Colombie, la Côte d</w:t>
      </w:r>
      <w:r w:rsidR="00080381">
        <w:t>’</w:t>
      </w:r>
      <w:r>
        <w:t>Ivoire, le Honduras, le Kazakhstan, la Mauritanie, le Mozambique, Sao Tomé-et-Principe, le Sénégal, la Sierra Leone, les Îles Salomon, la Tanzanie ainsi que Trinité</w:t>
      </w:r>
      <w:r w:rsidR="006D22D0">
        <w:t>-</w:t>
      </w:r>
      <w:r>
        <w:t>et</w:t>
      </w:r>
      <w:r w:rsidR="006D22D0">
        <w:t>-</w:t>
      </w:r>
      <w:r>
        <w:t>Tobago projettent de</w:t>
      </w:r>
      <w:r w:rsidR="006D22D0">
        <w:t xml:space="preserve"> se livrer à</w:t>
      </w:r>
      <w:r>
        <w:t xml:space="preserve"> des </w:t>
      </w:r>
      <w:r w:rsidR="006D22D0">
        <w:t>réforme</w:t>
      </w:r>
      <w:r>
        <w:t>s juridiques. Plusieurs autres pays précisent déjà dans leurs feuilles de route les lois et réglementations qui nécessiteront des amendements et un calendrier p</w:t>
      </w:r>
      <w:r w:rsidR="00453A34">
        <w:t>e</w:t>
      </w:r>
      <w:r>
        <w:t>r</w:t>
      </w:r>
      <w:r w:rsidR="00453A34">
        <w:t>mettant de</w:t>
      </w:r>
      <w:r>
        <w:t xml:space="preserve"> réaliser ce</w:t>
      </w:r>
      <w:r w:rsidR="00453A34">
        <w:t>s</w:t>
      </w:r>
      <w:r>
        <w:t xml:space="preserve"> objectifs. Il semble que la plupart des pays projettent de modifier la législation </w:t>
      </w:r>
      <w:r w:rsidR="00453A34">
        <w:t>afférente a</w:t>
      </w:r>
      <w:r>
        <w:t>u secteur, par ex., les lois minières ou pétrolières, alors que d</w:t>
      </w:r>
      <w:r w:rsidR="00080381">
        <w:t>’</w:t>
      </w:r>
      <w:r>
        <w:t>autres prévoient d</w:t>
      </w:r>
      <w:r w:rsidR="00080381">
        <w:t>’</w:t>
      </w:r>
      <w:r>
        <w:t>introduire la transparence de la propriété réelle par le biais d</w:t>
      </w:r>
      <w:r w:rsidR="00080381">
        <w:t>’</w:t>
      </w:r>
      <w:r>
        <w:t>amendements à la législation sur les entreprises ou d</w:t>
      </w:r>
      <w:r w:rsidR="00080381">
        <w:t>’</w:t>
      </w:r>
      <w:r>
        <w:t>autres instruments juridiques p</w:t>
      </w:r>
      <w:r w:rsidR="00453A34">
        <w:t>r</w:t>
      </w:r>
      <w:r>
        <w:t>éci</w:t>
      </w:r>
      <w:r w:rsidR="00453A34">
        <w:t>s</w:t>
      </w:r>
      <w:r>
        <w:t>.</w:t>
      </w:r>
    </w:p>
    <w:p w:rsidR="0085489A" w:rsidRDefault="001F6667" w:rsidP="0085489A">
      <w:pPr>
        <w:pStyle w:val="ListParagraph"/>
        <w:shd w:val="clear" w:color="auto" w:fill="D9D9D9" w:themeFill="background1" w:themeFillShade="D9"/>
      </w:pPr>
      <w:r>
        <w:rPr>
          <w:i/>
        </w:rPr>
        <w:t xml:space="preserve">Exemple de plans liés aux structures institutionnelles et au cadre juridique au </w:t>
      </w:r>
      <w:r>
        <w:rPr>
          <w:b/>
          <w:i/>
        </w:rPr>
        <w:t>Nigéria</w:t>
      </w:r>
      <w:r w:rsidR="00662766">
        <w:rPr>
          <w:b/>
          <w:i/>
        </w:rPr>
        <w:t> </w:t>
      </w:r>
      <w:r>
        <w:rPr>
          <w:i/>
        </w:rPr>
        <w:t xml:space="preserve">: Le Nigéria a pour objectif de rendre obligatoire la divulgation de la propriété réelle pour chaque entreprise présente au Nigéria. </w:t>
      </w:r>
      <w:r w:rsidR="008A45AE">
        <w:rPr>
          <w:i/>
        </w:rPr>
        <w:t>L</w:t>
      </w:r>
      <w:r>
        <w:rPr>
          <w:i/>
        </w:rPr>
        <w:t xml:space="preserve">a feuille de route </w:t>
      </w:r>
      <w:r w:rsidR="008A45AE">
        <w:rPr>
          <w:i/>
        </w:rPr>
        <w:t>fait ressortir</w:t>
      </w:r>
      <w:r>
        <w:rPr>
          <w:i/>
        </w:rPr>
        <w:t xml:space="preserve"> l</w:t>
      </w:r>
      <w:r w:rsidR="00080381">
        <w:rPr>
          <w:i/>
        </w:rPr>
        <w:t>’</w:t>
      </w:r>
      <w:r>
        <w:rPr>
          <w:i/>
        </w:rPr>
        <w:t xml:space="preserve">absence de dispositions </w:t>
      </w:r>
      <w:r w:rsidR="00D935A9">
        <w:rPr>
          <w:i/>
        </w:rPr>
        <w:t>oblige</w:t>
      </w:r>
      <w:r>
        <w:rPr>
          <w:i/>
        </w:rPr>
        <w:t xml:space="preserve">ant les entreprises exerçant une activité dans le pays de divulguer </w:t>
      </w:r>
      <w:r w:rsidR="00D935A9">
        <w:rPr>
          <w:i/>
        </w:rPr>
        <w:t xml:space="preserve">l’identité de </w:t>
      </w:r>
      <w:r>
        <w:rPr>
          <w:i/>
        </w:rPr>
        <w:t>leurs propriétaires réels. L</w:t>
      </w:r>
      <w:r w:rsidR="00080381">
        <w:rPr>
          <w:i/>
        </w:rPr>
        <w:t>’</w:t>
      </w:r>
      <w:r>
        <w:rPr>
          <w:i/>
        </w:rPr>
        <w:t>ITIE Nigéria examinera, en consultation avec les législateurs, la nécessité d</w:t>
      </w:r>
      <w:r w:rsidR="00080381">
        <w:rPr>
          <w:i/>
        </w:rPr>
        <w:t>’</w:t>
      </w:r>
      <w:r>
        <w:rPr>
          <w:i/>
        </w:rPr>
        <w:t>amender la loi Corporate and Allied Matters Act (CAMA) (loi sur les entreprises et les affaires connexes) et d</w:t>
      </w:r>
      <w:r w:rsidR="00080381">
        <w:rPr>
          <w:i/>
        </w:rPr>
        <w:t>’</w:t>
      </w:r>
      <w:r>
        <w:rPr>
          <w:i/>
        </w:rPr>
        <w:t>autres lois pertinentes, en vue d</w:t>
      </w:r>
      <w:r w:rsidR="00D935A9">
        <w:rPr>
          <w:i/>
        </w:rPr>
        <w:t>e l</w:t>
      </w:r>
      <w:r w:rsidR="00080381">
        <w:rPr>
          <w:i/>
        </w:rPr>
        <w:t>’</w:t>
      </w:r>
      <w:r>
        <w:rPr>
          <w:i/>
        </w:rPr>
        <w:t>établi</w:t>
      </w:r>
      <w:r w:rsidR="00D935A9">
        <w:rPr>
          <w:i/>
        </w:rPr>
        <w:t>ssement</w:t>
      </w:r>
      <w:r>
        <w:rPr>
          <w:i/>
        </w:rPr>
        <w:t xml:space="preserve"> </w:t>
      </w:r>
      <w:r w:rsidR="00D935A9">
        <w:rPr>
          <w:i/>
        </w:rPr>
        <w:t>d’</w:t>
      </w:r>
      <w:r>
        <w:rPr>
          <w:i/>
        </w:rPr>
        <w:t xml:space="preserve">un registre </w:t>
      </w:r>
      <w:r w:rsidR="00D935A9">
        <w:rPr>
          <w:i/>
        </w:rPr>
        <w:t>tenu</w:t>
      </w:r>
      <w:r>
        <w:rPr>
          <w:i/>
        </w:rPr>
        <w:t xml:space="preserve"> par la Corporate Affairs Commission (CAC). Parallèlement, l</w:t>
      </w:r>
      <w:r w:rsidR="00080381">
        <w:rPr>
          <w:i/>
        </w:rPr>
        <w:t>’</w:t>
      </w:r>
      <w:r>
        <w:rPr>
          <w:i/>
        </w:rPr>
        <w:t>ITIE Nigéria s</w:t>
      </w:r>
      <w:r w:rsidR="00080381">
        <w:rPr>
          <w:i/>
        </w:rPr>
        <w:t>’</w:t>
      </w:r>
      <w:r>
        <w:rPr>
          <w:i/>
        </w:rPr>
        <w:t>emploiera à amender les cadres législatifs pétroliers et miniers pour exiger que le Département des ressources pétrolières et le Bureau du cadastre minier enregistrent les données sur la propriété réelle provenant des entreprises exerçant leurs activités dans ces secteurs.</w:t>
      </w:r>
    </w:p>
    <w:p w:rsidR="007A77D8" w:rsidRDefault="004954E0" w:rsidP="005E0801">
      <w:pPr>
        <w:pStyle w:val="ListParagraph"/>
        <w:numPr>
          <w:ilvl w:val="0"/>
          <w:numId w:val="31"/>
        </w:numPr>
        <w:rPr>
          <w:b/>
        </w:rPr>
      </w:pPr>
      <w:r>
        <w:rPr>
          <w:b/>
        </w:rPr>
        <w:t>Définitions de la propriété réelle.</w:t>
      </w:r>
      <w:r>
        <w:t xml:space="preserve"> La Norme ITIE définit un (les) propriétaire(s) réel(s) d</w:t>
      </w:r>
      <w:r w:rsidR="00080381">
        <w:t>’</w:t>
      </w:r>
      <w:r>
        <w:t>une entreprise [comme étant] la (ou les) personne(s) physique(s) qui, directement ou indirectement, possède(nt) ou exerce(nt) en dernier ressort le droit de propriété ou le contrôle de l</w:t>
      </w:r>
      <w:r w:rsidR="00080381">
        <w:t>’</w:t>
      </w:r>
      <w:r>
        <w:t>entité juridique</w:t>
      </w:r>
      <w:r w:rsidR="00662766">
        <w:t> </w:t>
      </w:r>
      <w:r>
        <w:t>» (Exigence</w:t>
      </w:r>
      <w:r w:rsidR="00662766">
        <w:t> </w:t>
      </w:r>
      <w:r>
        <w:t>2.5</w:t>
      </w:r>
      <w:r w:rsidR="00673A9B">
        <w:t xml:space="preserve"> (</w:t>
      </w:r>
      <w:r>
        <w:t>f.i</w:t>
      </w:r>
      <w:r w:rsidR="00673A9B">
        <w:t>)</w:t>
      </w:r>
      <w:r>
        <w:t>). La Norme ITIE précise également que «</w:t>
      </w:r>
      <w:r w:rsidR="00662766">
        <w:t> </w:t>
      </w:r>
      <w:r>
        <w:t>le Groupe multipartite devra convenir d</w:t>
      </w:r>
      <w:r w:rsidR="00080381">
        <w:t>’</w:t>
      </w:r>
      <w:r>
        <w:t>une définition adéquate du terme «</w:t>
      </w:r>
      <w:r w:rsidR="00662766">
        <w:t> </w:t>
      </w:r>
      <w:r>
        <w:t>propriétaire réel</w:t>
      </w:r>
      <w:r w:rsidR="00662766">
        <w:t> </w:t>
      </w:r>
      <w:r>
        <w:t>». Afin d</w:t>
      </w:r>
      <w:r w:rsidR="00080381">
        <w:t>’</w:t>
      </w:r>
      <w:r>
        <w:t xml:space="preserve">élaborer une définition appropriée des propriétaires réels, il est recommandé que la feuille de route </w:t>
      </w:r>
      <w:r w:rsidR="00673A9B">
        <w:t>comprenne une référence à</w:t>
      </w:r>
      <w:r>
        <w:t xml:space="preserve"> des activités telles qu</w:t>
      </w:r>
      <w:r w:rsidR="00673A9B">
        <w:t>e l</w:t>
      </w:r>
      <w:r w:rsidR="00080381">
        <w:t>’</w:t>
      </w:r>
      <w:r w:rsidR="00673A9B">
        <w:t>étude d</w:t>
      </w:r>
      <w:r>
        <w:t xml:space="preserve">es définitions internationales et nationales existantes et </w:t>
      </w:r>
      <w:r w:rsidR="00710D29">
        <w:t>l’acceptation commune</w:t>
      </w:r>
      <w:r>
        <w:t xml:space="preserve"> d</w:t>
      </w:r>
      <w:r w:rsidR="00080381">
        <w:t>’</w:t>
      </w:r>
      <w:r>
        <w:t xml:space="preserve">une définition appropriée </w:t>
      </w:r>
      <w:r w:rsidR="00710D29">
        <w:t xml:space="preserve">de la propriété </w:t>
      </w:r>
      <w:r>
        <w:t xml:space="preserve">et de </w:t>
      </w:r>
      <w:r w:rsidR="00710D29">
        <w:t xml:space="preserve">ses </w:t>
      </w:r>
      <w:r>
        <w:t>seuils</w:t>
      </w:r>
      <w:r w:rsidR="00710D29">
        <w:t>,</w:t>
      </w:r>
      <w:r>
        <w:t xml:space="preserve"> afin </w:t>
      </w:r>
      <w:r w:rsidR="00710D29">
        <w:t xml:space="preserve">que </w:t>
      </w:r>
      <w:r>
        <w:t>la déclaration de propriété réelle</w:t>
      </w:r>
      <w:r w:rsidR="00710D29" w:rsidRPr="00710D29">
        <w:t xml:space="preserve"> </w:t>
      </w:r>
      <w:r w:rsidR="00710D29">
        <w:t>soit activée</w:t>
      </w:r>
      <w:r w:rsidR="00001553">
        <w:t>.</w:t>
      </w:r>
    </w:p>
    <w:p w:rsidR="00940CB6" w:rsidRDefault="00940CB6" w:rsidP="00940CB6">
      <w:pPr>
        <w:pStyle w:val="ListParagraph"/>
      </w:pPr>
      <w:r>
        <w:t>Les feuilles de route de neuf pays – le Burkina Faso, le Ghana, la République kirg</w:t>
      </w:r>
      <w:r w:rsidR="00710D29">
        <w:t>h</w:t>
      </w:r>
      <w:r>
        <w:t>ize, le Liberia, le Mozambique, le Niger, le Sénégal, l</w:t>
      </w:r>
      <w:r w:rsidR="00080381">
        <w:t>’</w:t>
      </w:r>
      <w:r>
        <w:t xml:space="preserve">Ukraine et le Royaume-Uni – présentent déjà </w:t>
      </w:r>
      <w:r>
        <w:lastRenderedPageBreak/>
        <w:t>des définitions de propriété réelle qui ont été convenues par le GMP ou sont actuellement utilisées. D</w:t>
      </w:r>
      <w:r w:rsidR="00080381">
        <w:t>’</w:t>
      </w:r>
      <w:r>
        <w:t xml:space="preserve">autres pays ne retiennent pas </w:t>
      </w:r>
      <w:r w:rsidR="009C2503">
        <w:t>d</w:t>
      </w:r>
      <w:r>
        <w:t>e définition précise, mais précisent plutôt que celle-ci est indiquée comme une activité que la mise en œuvre de la feuille de route s</w:t>
      </w:r>
      <w:r w:rsidR="00080381">
        <w:t>’</w:t>
      </w:r>
      <w:r>
        <w:t xml:space="preserve">emploiera à réaliser. </w:t>
      </w:r>
    </w:p>
    <w:p w:rsidR="00EA5E4B" w:rsidRDefault="00EA5E4B" w:rsidP="00EA5E4B">
      <w:pPr>
        <w:pStyle w:val="ListParagraph"/>
        <w:shd w:val="clear" w:color="auto" w:fill="D9D9D9" w:themeFill="background1" w:themeFillShade="D9"/>
        <w:rPr>
          <w:i/>
        </w:rPr>
      </w:pPr>
      <w:r>
        <w:rPr>
          <w:i/>
        </w:rPr>
        <w:t xml:space="preserve">Exemple de définitions de propriété réelle en </w:t>
      </w:r>
      <w:r>
        <w:rPr>
          <w:b/>
          <w:i/>
        </w:rPr>
        <w:t>République kirg</w:t>
      </w:r>
      <w:r w:rsidR="009C2503">
        <w:rPr>
          <w:b/>
          <w:i/>
        </w:rPr>
        <w:t>h</w:t>
      </w:r>
      <w:r>
        <w:rPr>
          <w:b/>
          <w:i/>
        </w:rPr>
        <w:t>ize</w:t>
      </w:r>
      <w:r w:rsidR="00662766">
        <w:rPr>
          <w:b/>
          <w:i/>
        </w:rPr>
        <w:t> </w:t>
      </w:r>
      <w:r>
        <w:rPr>
          <w:i/>
        </w:rPr>
        <w:t>: «</w:t>
      </w:r>
      <w:r w:rsidR="00662766">
        <w:rPr>
          <w:i/>
        </w:rPr>
        <w:t> </w:t>
      </w:r>
      <w:r>
        <w:rPr>
          <w:i/>
        </w:rPr>
        <w:t xml:space="preserve">Un propriétaire réel est une personne </w:t>
      </w:r>
      <w:r w:rsidR="009C2503">
        <w:rPr>
          <w:i/>
        </w:rPr>
        <w:t>physique</w:t>
      </w:r>
      <w:r>
        <w:rPr>
          <w:i/>
        </w:rPr>
        <w:t xml:space="preserve"> qui contrôle l</w:t>
      </w:r>
      <w:r w:rsidR="008A2E85">
        <w:rPr>
          <w:i/>
        </w:rPr>
        <w:t xml:space="preserve">a partie </w:t>
      </w:r>
      <w:r w:rsidR="00D230BC">
        <w:rPr>
          <w:i/>
        </w:rPr>
        <w:t>exploitant</w:t>
      </w:r>
      <w:r>
        <w:rPr>
          <w:i/>
        </w:rPr>
        <w:t xml:space="preserve"> </w:t>
      </w:r>
      <w:r w:rsidR="008A2E85">
        <w:rPr>
          <w:i/>
        </w:rPr>
        <w:t>le</w:t>
      </w:r>
      <w:r>
        <w:rPr>
          <w:i/>
        </w:rPr>
        <w:t xml:space="preserve"> sous-sol et la</w:t>
      </w:r>
      <w:r w:rsidR="00730FF7">
        <w:rPr>
          <w:i/>
        </w:rPr>
        <w:t xml:space="preserve"> partie demandant l’autorisation</w:t>
      </w:r>
      <w:r>
        <w:rPr>
          <w:i/>
        </w:rPr>
        <w:t xml:space="preserve"> d</w:t>
      </w:r>
      <w:r w:rsidR="00080381">
        <w:rPr>
          <w:i/>
        </w:rPr>
        <w:t>’</w:t>
      </w:r>
      <w:r w:rsidR="008A2E85">
        <w:rPr>
          <w:i/>
        </w:rPr>
        <w:t>exploi</w:t>
      </w:r>
      <w:r>
        <w:rPr>
          <w:i/>
        </w:rPr>
        <w:t>ter les ressources</w:t>
      </w:r>
      <w:r w:rsidR="00730FF7">
        <w:rPr>
          <w:i/>
        </w:rPr>
        <w:t xml:space="preserve"> qui s’y trouvent</w:t>
      </w:r>
      <w:r w:rsidR="00E37916">
        <w:rPr>
          <w:i/>
        </w:rPr>
        <w:t>, ce</w:t>
      </w:r>
      <w:r>
        <w:rPr>
          <w:i/>
        </w:rPr>
        <w:t xml:space="preserve"> </w:t>
      </w:r>
      <w:r w:rsidR="009C2503">
        <w:rPr>
          <w:i/>
        </w:rPr>
        <w:t>par le biais de</w:t>
      </w:r>
      <w:r w:rsidR="00662766">
        <w:rPr>
          <w:i/>
        </w:rPr>
        <w:t> </w:t>
      </w:r>
      <w:r>
        <w:rPr>
          <w:i/>
        </w:rPr>
        <w:t>: (i) la propriété directe ou indirecte de 10</w:t>
      </w:r>
      <w:r w:rsidR="00662766">
        <w:rPr>
          <w:i/>
        </w:rPr>
        <w:t> </w:t>
      </w:r>
      <w:r>
        <w:rPr>
          <w:i/>
        </w:rPr>
        <w:t>% ou davantage des parts du capital</w:t>
      </w:r>
      <w:r w:rsidR="00730FF7">
        <w:rPr>
          <w:i/>
        </w:rPr>
        <w:t xml:space="preserve"> investi</w:t>
      </w:r>
      <w:r>
        <w:rPr>
          <w:i/>
        </w:rPr>
        <w:t xml:space="preserve"> et/ou (ii)</w:t>
      </w:r>
      <w:r w:rsidR="00080381">
        <w:rPr>
          <w:i/>
        </w:rPr>
        <w:t xml:space="preserve"> </w:t>
      </w:r>
      <w:r>
        <w:rPr>
          <w:i/>
        </w:rPr>
        <w:t>la propriété directe ou indirecte de 10</w:t>
      </w:r>
      <w:r w:rsidR="00662766">
        <w:rPr>
          <w:i/>
        </w:rPr>
        <w:t> </w:t>
      </w:r>
      <w:r>
        <w:rPr>
          <w:i/>
        </w:rPr>
        <w:t>% ou davantage des votes</w:t>
      </w:r>
      <w:r w:rsidR="00730FF7">
        <w:rPr>
          <w:i/>
        </w:rPr>
        <w:t xml:space="preserve"> des actionnaires de la société</w:t>
      </w:r>
      <w:r w:rsidR="00641CD9">
        <w:rPr>
          <w:i/>
        </w:rPr>
        <w:t xml:space="preserve"> exploitant</w:t>
      </w:r>
      <w:r w:rsidR="008A2E85">
        <w:rPr>
          <w:i/>
        </w:rPr>
        <w:t>e</w:t>
      </w:r>
      <w:r w:rsidR="00662766">
        <w:rPr>
          <w:i/>
        </w:rPr>
        <w:t> </w:t>
      </w:r>
      <w:r>
        <w:rPr>
          <w:i/>
        </w:rPr>
        <w:t>; et/ou (iii) la capacité directe ou indirecte de nommer/congédier les membres de la direction</w:t>
      </w:r>
      <w:r w:rsidR="008A2E85">
        <w:rPr>
          <w:i/>
        </w:rPr>
        <w:t xml:space="preserve"> de cette société</w:t>
      </w:r>
      <w:r w:rsidR="00662766">
        <w:rPr>
          <w:i/>
        </w:rPr>
        <w:t> </w:t>
      </w:r>
      <w:r>
        <w:rPr>
          <w:i/>
        </w:rPr>
        <w:t>»</w:t>
      </w:r>
      <w:r w:rsidR="008A2E85">
        <w:rPr>
          <w:i/>
        </w:rPr>
        <w:t>.</w:t>
      </w:r>
    </w:p>
    <w:p w:rsidR="004954E0" w:rsidRDefault="004954E0" w:rsidP="00C51E0B">
      <w:pPr>
        <w:pStyle w:val="ListParagraph"/>
        <w:numPr>
          <w:ilvl w:val="0"/>
          <w:numId w:val="31"/>
        </w:numPr>
      </w:pPr>
      <w:r>
        <w:rPr>
          <w:b/>
        </w:rPr>
        <w:t xml:space="preserve">Registres publics des propriétaires réels. </w:t>
      </w:r>
      <w:r>
        <w:t>L</w:t>
      </w:r>
      <w:r w:rsidR="00080381">
        <w:t>’</w:t>
      </w:r>
      <w:r>
        <w:t>Exigence</w:t>
      </w:r>
      <w:r w:rsidR="00662766">
        <w:t> </w:t>
      </w:r>
      <w:r>
        <w:t>2.5</w:t>
      </w:r>
      <w:r w:rsidR="00E37916">
        <w:t xml:space="preserve"> (</w:t>
      </w:r>
      <w:r>
        <w:t>c</w:t>
      </w:r>
      <w:r w:rsidR="00E37916">
        <w:t>)</w:t>
      </w:r>
      <w:r>
        <w:t xml:space="preserve"> stipule que, «</w:t>
      </w:r>
      <w:r w:rsidR="00662766">
        <w:t> </w:t>
      </w:r>
      <w:r>
        <w:t>à compter du 1er janvier 2020, il est exigé que les pays mettant en œuvre l</w:t>
      </w:r>
      <w:r w:rsidR="00080381">
        <w:t>’</w:t>
      </w:r>
      <w:r>
        <w:t>ITIE demandent – et que les entreprises divulguent – les informations relatives à la propriété réelle en vue de leur inclusion d</w:t>
      </w:r>
      <w:r w:rsidR="00E6556C">
        <w:t>ans le Rapport ITIE</w:t>
      </w:r>
      <w:r w:rsidR="00662766">
        <w:t> </w:t>
      </w:r>
      <w:r w:rsidR="00E6556C">
        <w:t>» (soulign</w:t>
      </w:r>
      <w:r w:rsidR="00E37916">
        <w:t>ement ajouté</w:t>
      </w:r>
      <w:r>
        <w:t>). L</w:t>
      </w:r>
      <w:r w:rsidR="00080381">
        <w:t>’</w:t>
      </w:r>
      <w:r>
        <w:t>Exigence</w:t>
      </w:r>
      <w:r w:rsidR="00662766">
        <w:t> </w:t>
      </w:r>
      <w:r>
        <w:t>2.5</w:t>
      </w:r>
      <w:r w:rsidR="00E37916">
        <w:t xml:space="preserve"> (</w:t>
      </w:r>
      <w:r>
        <w:t>a</w:t>
      </w:r>
      <w:r w:rsidR="00E37916">
        <w:t>)</w:t>
      </w:r>
      <w:r>
        <w:t xml:space="preserve"> stipule également </w:t>
      </w:r>
      <w:r w:rsidR="008029EA">
        <w:t>qu’</w:t>
      </w:r>
      <w:r>
        <w:t>«</w:t>
      </w:r>
      <w:r w:rsidR="00662766">
        <w:t> </w:t>
      </w:r>
      <w:r>
        <w:t>Il est recommandé que les pays mettant en œuvre l</w:t>
      </w:r>
      <w:r w:rsidR="00080381">
        <w:t>’</w:t>
      </w:r>
      <w:r>
        <w:t>ITIE tiennent un registre public des propriétaires réels des entreprises qui soumissionnent, opèrent, ou investissent dans les actifs extractifs, incluant l</w:t>
      </w:r>
      <w:r w:rsidR="00080381">
        <w:t>’</w:t>
      </w:r>
      <w:r>
        <w:t xml:space="preserve">identité de leur(s) propriétaire(s) réel(s), le </w:t>
      </w:r>
      <w:r w:rsidR="008029EA">
        <w:t>niveau</w:t>
      </w:r>
      <w:r>
        <w:t xml:space="preserve"> de participation</w:t>
      </w:r>
      <w:r w:rsidR="008029EA">
        <w:t xml:space="preserve"> de ceux-ci</w:t>
      </w:r>
      <w:r>
        <w:t xml:space="preserve"> et les modalités d</w:t>
      </w:r>
      <w:r w:rsidR="00080381">
        <w:t>’</w:t>
      </w:r>
      <w:r>
        <w:t>exercice de cette participation ou du contrôle desdites entreprises.</w:t>
      </w:r>
      <w:r w:rsidR="00080381">
        <w:t xml:space="preserve"> </w:t>
      </w:r>
      <w:r>
        <w:t xml:space="preserve">Dans la mesure du possible, les informations concernant la propriété réelle devront être intégrées dans la documentation à déposer par les entreprises auprès des </w:t>
      </w:r>
      <w:r w:rsidR="008029EA">
        <w:t xml:space="preserve">instances de </w:t>
      </w:r>
      <w:r>
        <w:t>régl</w:t>
      </w:r>
      <w:r w:rsidR="008029EA">
        <w:t>emen</w:t>
      </w:r>
      <w:r>
        <w:t>t</w:t>
      </w:r>
      <w:r w:rsidR="008029EA">
        <w:t>ation</w:t>
      </w:r>
      <w:r>
        <w:t xml:space="preserve"> des sociétés, des administrations boursières ou des organismes chargés de l</w:t>
      </w:r>
      <w:r w:rsidR="00080381">
        <w:t>’</w:t>
      </w:r>
      <w:r>
        <w:t>octroi de licences dans le secteur extractif.</w:t>
      </w:r>
      <w:r w:rsidR="00080381">
        <w:t xml:space="preserve"> </w:t>
      </w:r>
      <w:r>
        <w:t>Si ces informations sont déjà publiques, le Rapport ITIE devra indiquer la manière d</w:t>
      </w:r>
      <w:r w:rsidR="00080381">
        <w:t>’</w:t>
      </w:r>
      <w:r>
        <w:t>y accéder</w:t>
      </w:r>
      <w:r w:rsidR="00CC0497">
        <w:t> »</w:t>
      </w:r>
      <w:r>
        <w:t>.</w:t>
      </w:r>
    </w:p>
    <w:p w:rsidR="00F27C61" w:rsidRPr="00F27C61" w:rsidRDefault="00C51E0B" w:rsidP="00FC2E3C">
      <w:pPr>
        <w:pStyle w:val="ListParagraph"/>
        <w:rPr>
          <w:b/>
        </w:rPr>
      </w:pPr>
      <w:r>
        <w:t>Les feuilles de route de 20 pays précisent que les données sur la propriété réelle seront mises à disposition au moyen d</w:t>
      </w:r>
      <w:r w:rsidR="00080381">
        <w:t>’</w:t>
      </w:r>
      <w:r>
        <w:t>un</w:t>
      </w:r>
      <w:r w:rsidR="00080381">
        <w:t xml:space="preserve"> </w:t>
      </w:r>
      <w:r>
        <w:t>registre public</w:t>
      </w:r>
      <w:r>
        <w:rPr>
          <w:rStyle w:val="FootnoteReference"/>
        </w:rPr>
        <w:footnoteReference w:id="3"/>
      </w:r>
      <w:r>
        <w:t>. Plusieurs autres feuilles de route mentionnent que les données sur la propriété réelle doivent être conservées dans un registre, et que l</w:t>
      </w:r>
      <w:r w:rsidR="00080381">
        <w:t>’</w:t>
      </w:r>
      <w:r>
        <w:t>acc</w:t>
      </w:r>
      <w:r w:rsidR="00515544">
        <w:t>ès</w:t>
      </w:r>
      <w:r>
        <w:t xml:space="preserve"> publi</w:t>
      </w:r>
      <w:r w:rsidR="00515544">
        <w:t>c à ce registre</w:t>
      </w:r>
      <w:r>
        <w:t xml:space="preserve"> doit être envisagé parallèlement à d</w:t>
      </w:r>
      <w:r w:rsidR="00080381">
        <w:t>’</w:t>
      </w:r>
      <w:r>
        <w:t>autres possibilités de d</w:t>
      </w:r>
      <w:r w:rsidR="00515544">
        <w:t>ivulg</w:t>
      </w:r>
      <w:r>
        <w:t>ation publique de l</w:t>
      </w:r>
      <w:r w:rsidR="00080381">
        <w:t>’</w:t>
      </w:r>
      <w:r>
        <w:t xml:space="preserve">information. </w:t>
      </w:r>
      <w:r>
        <w:rPr>
          <w:b/>
        </w:rPr>
        <w:t xml:space="preserve">Coût de la mise en œuvre de la feuille de route. </w:t>
      </w:r>
      <w:r>
        <w:t>Seule la moitié environ des feuilles de route comportent des estimations de coût. Parmi les feuilles de travail qui sont entièrement chiffrées, les estimations de coût vont de 73</w:t>
      </w:r>
      <w:r w:rsidR="005E771B">
        <w:t> </w:t>
      </w:r>
      <w:r>
        <w:t>000 USD à 1,3 million d</w:t>
      </w:r>
      <w:r w:rsidR="00080381">
        <w:t>’</w:t>
      </w:r>
      <w:r>
        <w:t>USD pour la mise en œuvre des activités de la feuille de route.</w:t>
      </w:r>
      <w:r w:rsidR="00080381">
        <w:t xml:space="preserve"> </w:t>
      </w:r>
      <w:r>
        <w:t>Au Ghana, par exemple, on estime que le financement doit être de 1 million d</w:t>
      </w:r>
      <w:r w:rsidR="00080381">
        <w:t>’</w:t>
      </w:r>
      <w:r>
        <w:t>USD pour la réforme et la création d</w:t>
      </w:r>
      <w:r w:rsidR="00080381">
        <w:t>’</w:t>
      </w:r>
      <w:r>
        <w:t>un registre de propriété réelle (non spécifique à un secteur), et de 300</w:t>
      </w:r>
      <w:r w:rsidR="005E771B">
        <w:t> </w:t>
      </w:r>
      <w:r>
        <w:t>000 USD pour d</w:t>
      </w:r>
      <w:r w:rsidR="00080381">
        <w:t>’</w:t>
      </w:r>
      <w:r>
        <w:t>autres travaux préparatoires. La plupart des autres feuilles de route chiffrées se situent dans une fourchette allant de 100</w:t>
      </w:r>
      <w:r w:rsidR="005E771B">
        <w:t> </w:t>
      </w:r>
      <w:r>
        <w:t>000 à 300</w:t>
      </w:r>
      <w:r w:rsidR="005E771B">
        <w:t> </w:t>
      </w:r>
      <w:r>
        <w:t>000 USD.</w:t>
      </w:r>
    </w:p>
    <w:p w:rsidR="004954E0" w:rsidRPr="00277C39" w:rsidRDefault="00C226EC" w:rsidP="00F27C61">
      <w:pPr>
        <w:pStyle w:val="ListParagraph"/>
        <w:numPr>
          <w:ilvl w:val="0"/>
          <w:numId w:val="31"/>
        </w:numPr>
        <w:spacing w:after="0"/>
        <w:rPr>
          <w:b/>
        </w:rPr>
      </w:pPr>
      <w:r>
        <w:rPr>
          <w:b/>
        </w:rPr>
        <w:lastRenderedPageBreak/>
        <w:t>Autres innovations et plans de mise en œuvre</w:t>
      </w:r>
      <w:r w:rsidR="00662766">
        <w:rPr>
          <w:b/>
        </w:rPr>
        <w:t> </w:t>
      </w:r>
      <w:r>
        <w:rPr>
          <w:b/>
        </w:rPr>
        <w:t>:</w:t>
      </w:r>
    </w:p>
    <w:p w:rsidR="00683A0D" w:rsidRPr="00683A0D" w:rsidRDefault="00683A0D" w:rsidP="00C226EC">
      <w:pPr>
        <w:pStyle w:val="ListParagraph"/>
        <w:numPr>
          <w:ilvl w:val="0"/>
          <w:numId w:val="40"/>
        </w:numPr>
        <w:spacing w:after="120"/>
        <w:ind w:left="1434" w:hanging="357"/>
      </w:pPr>
      <w:r>
        <w:t xml:space="preserve">En </w:t>
      </w:r>
      <w:r>
        <w:rPr>
          <w:b/>
        </w:rPr>
        <w:t>Papouasie-Nouvelle-Guinée</w:t>
      </w:r>
      <w:r>
        <w:t>, les exigences de divulgation de la propriété réelle doivent également s</w:t>
      </w:r>
      <w:r w:rsidR="00080381">
        <w:t>’</w:t>
      </w:r>
      <w:r>
        <w:t>appliquer aux entreprises propriétaires</w:t>
      </w:r>
      <w:r w:rsidR="00AF3AF5">
        <w:t xml:space="preserve"> de biens</w:t>
      </w:r>
      <w:r>
        <w:t xml:space="preserve"> foncie</w:t>
      </w:r>
      <w:r w:rsidR="00AF3AF5">
        <w:t>r</w:t>
      </w:r>
      <w:r>
        <w:t xml:space="preserve">s </w:t>
      </w:r>
      <w:r w:rsidR="008F595C">
        <w:t>se livr</w:t>
      </w:r>
      <w:r>
        <w:t xml:space="preserve">ant </w:t>
      </w:r>
      <w:r w:rsidR="008F595C">
        <w:t xml:space="preserve">à </w:t>
      </w:r>
      <w:r>
        <w:t>des activités extractives.</w:t>
      </w:r>
    </w:p>
    <w:p w:rsidR="00DA0BDA" w:rsidRDefault="00DA0BDA" w:rsidP="00C226EC">
      <w:pPr>
        <w:pStyle w:val="ListParagraph"/>
        <w:numPr>
          <w:ilvl w:val="0"/>
          <w:numId w:val="40"/>
        </w:numPr>
        <w:spacing w:after="120"/>
        <w:ind w:left="1434" w:hanging="357"/>
      </w:pPr>
      <w:r>
        <w:t xml:space="preserve">En </w:t>
      </w:r>
      <w:r>
        <w:rPr>
          <w:b/>
        </w:rPr>
        <w:t>Sierra Leone</w:t>
      </w:r>
      <w:r>
        <w:t>, un groupe de travail informel interinstitutionnel composé d</w:t>
      </w:r>
      <w:r w:rsidR="00080381">
        <w:t>’</w:t>
      </w:r>
      <w:r>
        <w:t>organismes pertinents tels que la Corporate Affairs Commission, la Financial Intelligence Unit et les régulateurs spécifiques au secteur a été établi et a permis de faire des progrès quant à l</w:t>
      </w:r>
      <w:r w:rsidR="00080381">
        <w:t>’</w:t>
      </w:r>
      <w:r>
        <w:t>identification des amendements juridiques nécessaires et des possibilités de réforme. Ces progrès ont été indiqués sur la feuille de route.</w:t>
      </w:r>
    </w:p>
    <w:p w:rsidR="00F27C61" w:rsidRPr="00F27C61" w:rsidRDefault="00F27C61" w:rsidP="00C226EC">
      <w:pPr>
        <w:pStyle w:val="ListParagraph"/>
        <w:numPr>
          <w:ilvl w:val="0"/>
          <w:numId w:val="40"/>
        </w:numPr>
        <w:spacing w:after="120"/>
        <w:ind w:left="1434" w:hanging="357"/>
        <w:rPr>
          <w:b/>
        </w:rPr>
      </w:pPr>
      <w:r>
        <w:t xml:space="preserve">La </w:t>
      </w:r>
      <w:r>
        <w:rPr>
          <w:b/>
        </w:rPr>
        <w:t>Mongolie</w:t>
      </w:r>
      <w:r>
        <w:t xml:space="preserve"> projette d</w:t>
      </w:r>
      <w:r w:rsidR="00080381">
        <w:t>’</w:t>
      </w:r>
      <w:r>
        <w:t>établir un réseau de journalistes d</w:t>
      </w:r>
      <w:r w:rsidR="00080381">
        <w:t>’</w:t>
      </w:r>
      <w:r>
        <w:t>investigation chargé</w:t>
      </w:r>
      <w:r w:rsidR="00D56E31">
        <w:t>s</w:t>
      </w:r>
      <w:r>
        <w:t xml:space="preserve"> d</w:t>
      </w:r>
      <w:r w:rsidR="00080381">
        <w:t>’</w:t>
      </w:r>
      <w:r>
        <w:t xml:space="preserve">exploiter les informations liées à la propriété réelle </w:t>
      </w:r>
      <w:r w:rsidR="00D56E31">
        <w:t>proven</w:t>
      </w:r>
      <w:r>
        <w:t>ant des déclarations.</w:t>
      </w:r>
    </w:p>
    <w:p w:rsidR="00F27C61" w:rsidRDefault="00683A0D" w:rsidP="00C226EC">
      <w:pPr>
        <w:pStyle w:val="ListParagraph"/>
        <w:numPr>
          <w:ilvl w:val="0"/>
          <w:numId w:val="40"/>
        </w:numPr>
        <w:spacing w:after="120"/>
        <w:ind w:left="1434" w:hanging="357"/>
      </w:pPr>
      <w:r>
        <w:t xml:space="preserve">Au </w:t>
      </w:r>
      <w:r>
        <w:rPr>
          <w:b/>
        </w:rPr>
        <w:t>Malawi</w:t>
      </w:r>
      <w:r>
        <w:t>, la sensibilisation à la propriété réelle sera axée sur les entreprises, et la feuille de route propose de désigner la Chamber of Mines pour servir de cadre d</w:t>
      </w:r>
      <w:r w:rsidR="00080381">
        <w:t>’</w:t>
      </w:r>
      <w:r>
        <w:t>échanges propice au renforcement des capacités des entreprises et éventuellement pour élaborer une feuille de route sur la propriété réelle spécifique à l</w:t>
      </w:r>
      <w:r w:rsidR="00080381">
        <w:t>’</w:t>
      </w:r>
      <w:r>
        <w:t>entreprise, afin d</w:t>
      </w:r>
      <w:r w:rsidR="00080381">
        <w:t>’</w:t>
      </w:r>
      <w:r>
        <w:t>obtenir la participation de l</w:t>
      </w:r>
      <w:r w:rsidR="00080381">
        <w:t>’</w:t>
      </w:r>
      <w:r>
        <w:t>ensemble du secteur.</w:t>
      </w:r>
    </w:p>
    <w:p w:rsidR="00683A0D" w:rsidRDefault="00683A0D" w:rsidP="00C226EC">
      <w:pPr>
        <w:pStyle w:val="ListParagraph"/>
        <w:numPr>
          <w:ilvl w:val="0"/>
          <w:numId w:val="40"/>
        </w:numPr>
        <w:spacing w:after="120"/>
      </w:pPr>
      <w:r>
        <w:t xml:space="preserve"> Plusieurs pays dont le </w:t>
      </w:r>
      <w:r>
        <w:rPr>
          <w:b/>
        </w:rPr>
        <w:t>Malawi</w:t>
      </w:r>
      <w:r>
        <w:t xml:space="preserve">, le </w:t>
      </w:r>
      <w:r>
        <w:rPr>
          <w:b/>
        </w:rPr>
        <w:t>Nigéria</w:t>
      </w:r>
      <w:r w:rsidR="00080381">
        <w:t xml:space="preserve"> </w:t>
      </w:r>
      <w:r>
        <w:t xml:space="preserve">et la </w:t>
      </w:r>
      <w:r>
        <w:rPr>
          <w:b/>
        </w:rPr>
        <w:t>Zambie</w:t>
      </w:r>
      <w:r>
        <w:t xml:space="preserve"> constitueront des fichiers de données sur la propriété réelle</w:t>
      </w:r>
      <w:r w:rsidR="00080381">
        <w:t xml:space="preserve"> </w:t>
      </w:r>
      <w:r>
        <w:t>codés ou étiquetés de telle sorte que l</w:t>
      </w:r>
      <w:r w:rsidR="00080381">
        <w:t>’</w:t>
      </w:r>
      <w:r>
        <w:t xml:space="preserve">information puisse être comparée </w:t>
      </w:r>
      <w:r w:rsidR="00D86F3E">
        <w:t>à</w:t>
      </w:r>
      <w:r>
        <w:t xml:space="preserve"> d</w:t>
      </w:r>
      <w:r w:rsidR="00080381">
        <w:t>’</w:t>
      </w:r>
      <w:r>
        <w:t>autres données publiquement disponibles.</w:t>
      </w:r>
      <w:r>
        <w:cr/>
      </w:r>
    </w:p>
    <w:p w:rsidR="00084397" w:rsidRPr="00A81B2A" w:rsidRDefault="00843553" w:rsidP="007C002A">
      <w:pPr>
        <w:pStyle w:val="Heading2"/>
        <w:spacing w:after="0"/>
        <w:rPr>
          <w:rFonts w:asciiTheme="minorHAnsi" w:hAnsiTheme="minorHAnsi"/>
          <w:b w:val="0"/>
          <w:color w:val="1F497D" w:themeColor="text2"/>
          <w:sz w:val="24"/>
          <w:szCs w:val="24"/>
        </w:rPr>
      </w:pPr>
      <w:bookmarkStart w:id="19" w:name="_Toc471924491"/>
      <w:bookmarkStart w:id="20" w:name="_Toc472131098"/>
      <w:r>
        <w:rPr>
          <w:rFonts w:asciiTheme="minorHAnsi" w:hAnsiTheme="minorHAnsi"/>
          <w:b w:val="0"/>
          <w:color w:val="1F497D" w:themeColor="text2"/>
          <w:sz w:val="24"/>
        </w:rPr>
        <w:t>3.3</w:t>
      </w:r>
      <w:r>
        <w:tab/>
      </w:r>
      <w:r>
        <w:rPr>
          <w:rFonts w:asciiTheme="minorHAnsi" w:hAnsiTheme="minorHAnsi"/>
          <w:b w:val="0"/>
          <w:color w:val="1F497D" w:themeColor="text2"/>
          <w:sz w:val="24"/>
        </w:rPr>
        <w:t>Évaluation de la conformité à l</w:t>
      </w:r>
      <w:r w:rsidR="00080381">
        <w:rPr>
          <w:rFonts w:asciiTheme="minorHAnsi" w:hAnsiTheme="minorHAnsi"/>
          <w:b w:val="0"/>
          <w:color w:val="1F497D" w:themeColor="text2"/>
          <w:sz w:val="24"/>
        </w:rPr>
        <w:t>’</w:t>
      </w:r>
      <w:r>
        <w:rPr>
          <w:rFonts w:asciiTheme="minorHAnsi" w:hAnsiTheme="minorHAnsi"/>
          <w:b w:val="0"/>
          <w:color w:val="1F497D" w:themeColor="text2"/>
          <w:sz w:val="24"/>
        </w:rPr>
        <w:t>Exigence</w:t>
      </w:r>
      <w:r w:rsidR="00662766">
        <w:rPr>
          <w:rFonts w:asciiTheme="minorHAnsi" w:hAnsiTheme="minorHAnsi"/>
          <w:b w:val="0"/>
          <w:color w:val="1F497D" w:themeColor="text2"/>
          <w:sz w:val="24"/>
        </w:rPr>
        <w:t> </w:t>
      </w:r>
      <w:r>
        <w:rPr>
          <w:rFonts w:asciiTheme="minorHAnsi" w:hAnsiTheme="minorHAnsi"/>
          <w:b w:val="0"/>
          <w:color w:val="1F497D" w:themeColor="text2"/>
          <w:sz w:val="24"/>
        </w:rPr>
        <w:t>2.5</w:t>
      </w:r>
      <w:r w:rsidR="00D86F3E">
        <w:rPr>
          <w:rFonts w:asciiTheme="minorHAnsi" w:hAnsiTheme="minorHAnsi"/>
          <w:b w:val="0"/>
          <w:color w:val="1F497D" w:themeColor="text2"/>
          <w:sz w:val="24"/>
        </w:rPr>
        <w:t xml:space="preserve"> (</w:t>
      </w:r>
      <w:r>
        <w:rPr>
          <w:rFonts w:asciiTheme="minorHAnsi" w:hAnsiTheme="minorHAnsi"/>
          <w:b w:val="0"/>
          <w:color w:val="1F497D" w:themeColor="text2"/>
          <w:sz w:val="24"/>
        </w:rPr>
        <w:t>b.ii</w:t>
      </w:r>
      <w:bookmarkEnd w:id="19"/>
      <w:bookmarkEnd w:id="20"/>
      <w:r w:rsidR="00D86F3E">
        <w:rPr>
          <w:rFonts w:asciiTheme="minorHAnsi" w:hAnsiTheme="minorHAnsi"/>
          <w:b w:val="0"/>
          <w:color w:val="1F497D" w:themeColor="text2"/>
          <w:sz w:val="24"/>
        </w:rPr>
        <w:t>)</w:t>
      </w:r>
    </w:p>
    <w:p w:rsidR="008404DB" w:rsidRPr="008404DB" w:rsidRDefault="008404DB" w:rsidP="008404DB">
      <w:pPr>
        <w:rPr>
          <w:color w:val="000000" w:themeColor="text1"/>
        </w:rPr>
      </w:pPr>
      <w:r>
        <w:rPr>
          <w:color w:val="000000" w:themeColor="text1"/>
        </w:rPr>
        <w:t xml:space="preserve">La Norme ITIE stipule que </w:t>
      </w:r>
      <w:r>
        <w:rPr>
          <w:rStyle w:val="Emphasis"/>
          <w:color w:val="000000" w:themeColor="text1"/>
        </w:rPr>
        <w:t>«</w:t>
      </w:r>
      <w:r w:rsidR="00662766">
        <w:rPr>
          <w:rStyle w:val="Emphasis"/>
          <w:color w:val="000000" w:themeColor="text1"/>
        </w:rPr>
        <w:t> </w:t>
      </w:r>
      <w:r>
        <w:rPr>
          <w:rStyle w:val="Emphasis"/>
          <w:color w:val="000000" w:themeColor="text1"/>
        </w:rPr>
        <w:t>D</w:t>
      </w:r>
      <w:r w:rsidR="00080381">
        <w:rPr>
          <w:rStyle w:val="Emphasis"/>
          <w:color w:val="000000" w:themeColor="text1"/>
        </w:rPr>
        <w:t>’</w:t>
      </w:r>
      <w:r>
        <w:rPr>
          <w:rStyle w:val="Emphasis"/>
          <w:color w:val="000000" w:themeColor="text1"/>
        </w:rPr>
        <w:t>ici au 1er janvier 2017, le Groupe multipartite devra publier une feuille de route relative à la divulgation des informations de propriété réelle conformément aux clauses (c) à (f) ci-dessous. Le Groupe multipartite établira les jalons et les échéances à inscrire dans sa feuille de route, et évaluera la mise en œuvre de cette feuille de route dans le cadre de son rapport annuel d</w:t>
      </w:r>
      <w:r w:rsidR="00080381">
        <w:rPr>
          <w:rStyle w:val="Emphasis"/>
          <w:color w:val="000000" w:themeColor="text1"/>
        </w:rPr>
        <w:t>’</w:t>
      </w:r>
      <w:r>
        <w:rPr>
          <w:rStyle w:val="Emphasis"/>
          <w:color w:val="000000" w:themeColor="text1"/>
        </w:rPr>
        <w:t>avancement</w:t>
      </w:r>
      <w:r w:rsidR="00662766">
        <w:rPr>
          <w:rStyle w:val="Emphasis"/>
          <w:color w:val="000000" w:themeColor="text1"/>
        </w:rPr>
        <w:t> </w:t>
      </w:r>
      <w:r>
        <w:rPr>
          <w:rStyle w:val="Emphasis"/>
          <w:color w:val="000000" w:themeColor="text1"/>
        </w:rPr>
        <w:t xml:space="preserve">» </w:t>
      </w:r>
      <w:r>
        <w:rPr>
          <w:color w:val="000000" w:themeColor="text1"/>
        </w:rPr>
        <w:t>(Exigence</w:t>
      </w:r>
      <w:r w:rsidR="00662766">
        <w:rPr>
          <w:color w:val="000000" w:themeColor="text1"/>
        </w:rPr>
        <w:t> </w:t>
      </w:r>
      <w:r>
        <w:rPr>
          <w:color w:val="000000" w:themeColor="text1"/>
        </w:rPr>
        <w:t>2.5</w:t>
      </w:r>
      <w:r w:rsidR="00D45BE6">
        <w:rPr>
          <w:color w:val="000000" w:themeColor="text1"/>
        </w:rPr>
        <w:t xml:space="preserve"> (</w:t>
      </w:r>
      <w:r>
        <w:rPr>
          <w:color w:val="000000" w:themeColor="text1"/>
        </w:rPr>
        <w:t>b.ii</w:t>
      </w:r>
      <w:r w:rsidR="00D45BE6">
        <w:rPr>
          <w:color w:val="000000" w:themeColor="text1"/>
        </w:rPr>
        <w:t>)</w:t>
      </w:r>
      <w:r>
        <w:rPr>
          <w:color w:val="000000" w:themeColor="text1"/>
        </w:rPr>
        <w:t>). Cela signifie qu</w:t>
      </w:r>
      <w:r w:rsidR="00080381">
        <w:rPr>
          <w:color w:val="000000" w:themeColor="text1"/>
        </w:rPr>
        <w:t>’</w:t>
      </w:r>
      <w:r>
        <w:rPr>
          <w:color w:val="000000" w:themeColor="text1"/>
        </w:rPr>
        <w:t>au minimum, la feuille de route doit contenir les éléments suivants</w:t>
      </w:r>
      <w:r w:rsidR="00662766">
        <w:rPr>
          <w:color w:val="000000" w:themeColor="text1"/>
        </w:rPr>
        <w:t> </w:t>
      </w:r>
      <w:r>
        <w:rPr>
          <w:color w:val="000000" w:themeColor="text1"/>
        </w:rPr>
        <w:t>:</w:t>
      </w:r>
    </w:p>
    <w:p w:rsidR="008404DB" w:rsidRDefault="008404DB" w:rsidP="008404DB">
      <w:pPr>
        <w:pStyle w:val="ListParagraph"/>
        <w:numPr>
          <w:ilvl w:val="0"/>
          <w:numId w:val="29"/>
        </w:numPr>
        <w:spacing w:before="120" w:after="120"/>
        <w:rPr>
          <w:color w:val="000000" w:themeColor="text1"/>
        </w:rPr>
      </w:pPr>
      <w:r>
        <w:rPr>
          <w:color w:val="000000" w:themeColor="text1"/>
        </w:rPr>
        <w:t xml:space="preserve">Des plans et des activités portant sur la manière dont le gouvernement veillera à ce que les </w:t>
      </w:r>
      <w:r>
        <w:rPr>
          <w:color w:val="000000" w:themeColor="text1"/>
        </w:rPr>
        <w:br/>
        <w:t>«</w:t>
      </w:r>
      <w:r w:rsidR="00662766">
        <w:rPr>
          <w:color w:val="000000" w:themeColor="text1"/>
        </w:rPr>
        <w:t> </w:t>
      </w:r>
      <w:r>
        <w:rPr>
          <w:color w:val="000000" w:themeColor="text1"/>
        </w:rPr>
        <w:t>entreprises qui soumissionnent, opèrent ou investissent dans des actifs extractifs divulguent l</w:t>
      </w:r>
      <w:r w:rsidR="00080381">
        <w:rPr>
          <w:color w:val="000000" w:themeColor="text1"/>
        </w:rPr>
        <w:t>’</w:t>
      </w:r>
      <w:r>
        <w:rPr>
          <w:color w:val="000000" w:themeColor="text1"/>
        </w:rPr>
        <w:t xml:space="preserve">identité de leurs propriétaires réels, leur </w:t>
      </w:r>
      <w:r w:rsidR="00D45BE6">
        <w:rPr>
          <w:color w:val="000000" w:themeColor="text1"/>
        </w:rPr>
        <w:t>niveau</w:t>
      </w:r>
      <w:r>
        <w:rPr>
          <w:color w:val="000000" w:themeColor="text1"/>
        </w:rPr>
        <w:t xml:space="preserve"> de participation et les modalités d</w:t>
      </w:r>
      <w:r w:rsidR="00080381">
        <w:rPr>
          <w:color w:val="000000" w:themeColor="text1"/>
        </w:rPr>
        <w:t>’</w:t>
      </w:r>
      <w:r>
        <w:rPr>
          <w:color w:val="000000" w:themeColor="text1"/>
        </w:rPr>
        <w:t>exercice de cette participation ou du contrôle desdites entreprises</w:t>
      </w:r>
      <w:r w:rsidR="00662766">
        <w:rPr>
          <w:color w:val="000000" w:themeColor="text1"/>
        </w:rPr>
        <w:t> </w:t>
      </w:r>
      <w:r>
        <w:rPr>
          <w:color w:val="000000" w:themeColor="text1"/>
        </w:rPr>
        <w:t>». (Exigence</w:t>
      </w:r>
      <w:r w:rsidR="00662766">
        <w:rPr>
          <w:color w:val="000000" w:themeColor="text1"/>
        </w:rPr>
        <w:t> </w:t>
      </w:r>
      <w:r>
        <w:rPr>
          <w:color w:val="000000" w:themeColor="text1"/>
        </w:rPr>
        <w:t>2.5</w:t>
      </w:r>
      <w:r w:rsidR="00D45BE6">
        <w:rPr>
          <w:color w:val="000000" w:themeColor="text1"/>
        </w:rPr>
        <w:t xml:space="preserve"> (</w:t>
      </w:r>
      <w:r>
        <w:rPr>
          <w:color w:val="000000" w:themeColor="text1"/>
        </w:rPr>
        <w:t>c</w:t>
      </w:r>
      <w:r w:rsidR="00D45BE6">
        <w:rPr>
          <w:color w:val="000000" w:themeColor="text1"/>
        </w:rPr>
        <w:t>)</w:t>
      </w:r>
      <w:r>
        <w:rPr>
          <w:color w:val="000000" w:themeColor="text1"/>
        </w:rPr>
        <w:t>).</w:t>
      </w:r>
    </w:p>
    <w:p w:rsidR="008404DB" w:rsidRDefault="008404DB" w:rsidP="008404DB">
      <w:pPr>
        <w:pStyle w:val="ListParagraph"/>
        <w:numPr>
          <w:ilvl w:val="0"/>
          <w:numId w:val="29"/>
        </w:numPr>
        <w:spacing w:before="120" w:after="120"/>
        <w:rPr>
          <w:color w:val="000000" w:themeColor="text1"/>
        </w:rPr>
      </w:pPr>
      <w:r>
        <w:rPr>
          <w:color w:val="000000" w:themeColor="text1"/>
        </w:rPr>
        <w:t>Les actions requises pour que «</w:t>
      </w:r>
      <w:r w:rsidR="00662766">
        <w:rPr>
          <w:color w:val="000000" w:themeColor="text1"/>
        </w:rPr>
        <w:t> </w:t>
      </w:r>
      <w:r>
        <w:rPr>
          <w:color w:val="000000" w:themeColor="text1"/>
        </w:rPr>
        <w:t>les informations relatives à l</w:t>
      </w:r>
      <w:r w:rsidR="00080381">
        <w:rPr>
          <w:color w:val="000000" w:themeColor="text1"/>
        </w:rPr>
        <w:t>’</w:t>
      </w:r>
      <w:r>
        <w:rPr>
          <w:color w:val="000000" w:themeColor="text1"/>
        </w:rPr>
        <w:t>identité des propriétaires réels comprennent le nom, la nationalité et le pays de résidence de ces personnes, et qu</w:t>
      </w:r>
      <w:r w:rsidR="00080381">
        <w:rPr>
          <w:color w:val="000000" w:themeColor="text1"/>
        </w:rPr>
        <w:t>’</w:t>
      </w:r>
      <w:r>
        <w:rPr>
          <w:color w:val="000000" w:themeColor="text1"/>
        </w:rPr>
        <w:t xml:space="preserve">elles </w:t>
      </w:r>
      <w:r>
        <w:rPr>
          <w:color w:val="000000" w:themeColor="text1"/>
        </w:rPr>
        <w:br/>
        <w:t>permettent d</w:t>
      </w:r>
      <w:r w:rsidR="00080381">
        <w:rPr>
          <w:color w:val="000000" w:themeColor="text1"/>
        </w:rPr>
        <w:t>’</w:t>
      </w:r>
      <w:r>
        <w:rPr>
          <w:color w:val="000000" w:themeColor="text1"/>
        </w:rPr>
        <w:t>identifier toute personne politiquement exposée</w:t>
      </w:r>
      <w:r w:rsidR="00662766">
        <w:rPr>
          <w:color w:val="000000" w:themeColor="text1"/>
        </w:rPr>
        <w:t> </w:t>
      </w:r>
      <w:r>
        <w:rPr>
          <w:color w:val="000000" w:themeColor="text1"/>
        </w:rPr>
        <w:t>». (Exigence</w:t>
      </w:r>
      <w:r w:rsidR="00662766">
        <w:rPr>
          <w:color w:val="000000" w:themeColor="text1"/>
        </w:rPr>
        <w:t> </w:t>
      </w:r>
      <w:r>
        <w:rPr>
          <w:color w:val="000000" w:themeColor="text1"/>
        </w:rPr>
        <w:t>2.5</w:t>
      </w:r>
      <w:r w:rsidR="00D45BE6">
        <w:rPr>
          <w:color w:val="000000" w:themeColor="text1"/>
        </w:rPr>
        <w:t xml:space="preserve"> (</w:t>
      </w:r>
      <w:r>
        <w:rPr>
          <w:color w:val="000000" w:themeColor="text1"/>
        </w:rPr>
        <w:t>d</w:t>
      </w:r>
      <w:r w:rsidR="00D45BE6">
        <w:rPr>
          <w:color w:val="000000" w:themeColor="text1"/>
        </w:rPr>
        <w:t>)</w:t>
      </w:r>
      <w:r>
        <w:rPr>
          <w:color w:val="000000" w:themeColor="text1"/>
        </w:rPr>
        <w:t>).</w:t>
      </w:r>
      <w:r w:rsidR="00080381">
        <w:rPr>
          <w:color w:val="000000" w:themeColor="text1"/>
        </w:rPr>
        <w:t xml:space="preserve"> </w:t>
      </w:r>
    </w:p>
    <w:p w:rsidR="008404DB" w:rsidRDefault="008404DB" w:rsidP="008404DB">
      <w:pPr>
        <w:pStyle w:val="ListParagraph"/>
        <w:numPr>
          <w:ilvl w:val="0"/>
          <w:numId w:val="29"/>
        </w:numPr>
        <w:spacing w:before="120" w:after="120"/>
        <w:rPr>
          <w:color w:val="000000" w:themeColor="text1"/>
        </w:rPr>
      </w:pPr>
      <w:r>
        <w:rPr>
          <w:color w:val="000000" w:themeColor="text1"/>
        </w:rPr>
        <w:t>Les démarches que le Groupe multipartite entreprendra pour «</w:t>
      </w:r>
      <w:r w:rsidR="00662766">
        <w:rPr>
          <w:color w:val="000000" w:themeColor="text1"/>
        </w:rPr>
        <w:t> </w:t>
      </w:r>
      <w:r>
        <w:rPr>
          <w:color w:val="000000" w:themeColor="text1"/>
        </w:rPr>
        <w:t xml:space="preserve">convenir des moyens dont disposeront les entreprises participantes </w:t>
      </w:r>
      <w:r w:rsidR="00572C74">
        <w:rPr>
          <w:color w:val="000000" w:themeColor="text1"/>
        </w:rPr>
        <w:t>pour</w:t>
      </w:r>
      <w:r>
        <w:rPr>
          <w:color w:val="000000" w:themeColor="text1"/>
        </w:rPr>
        <w:t xml:space="preserve"> garantir l</w:t>
      </w:r>
      <w:r w:rsidR="00080381">
        <w:rPr>
          <w:color w:val="000000" w:themeColor="text1"/>
        </w:rPr>
        <w:t>’</w:t>
      </w:r>
      <w:r>
        <w:rPr>
          <w:color w:val="000000" w:themeColor="text1"/>
        </w:rPr>
        <w:t>exactitude des informations de propriété réelle qu</w:t>
      </w:r>
      <w:r w:rsidR="00080381">
        <w:rPr>
          <w:color w:val="000000" w:themeColor="text1"/>
        </w:rPr>
        <w:t>’</w:t>
      </w:r>
      <w:r>
        <w:rPr>
          <w:color w:val="000000" w:themeColor="text1"/>
        </w:rPr>
        <w:t>elles fournissent</w:t>
      </w:r>
      <w:r w:rsidR="00662766">
        <w:rPr>
          <w:color w:val="000000" w:themeColor="text1"/>
        </w:rPr>
        <w:t> </w:t>
      </w:r>
      <w:r>
        <w:rPr>
          <w:color w:val="000000" w:themeColor="text1"/>
        </w:rPr>
        <w:t>». (Exigence</w:t>
      </w:r>
      <w:r w:rsidR="00662766">
        <w:rPr>
          <w:color w:val="000000" w:themeColor="text1"/>
        </w:rPr>
        <w:t> </w:t>
      </w:r>
      <w:r>
        <w:rPr>
          <w:color w:val="000000" w:themeColor="text1"/>
        </w:rPr>
        <w:t>2.5</w:t>
      </w:r>
      <w:r w:rsidR="00572C74">
        <w:rPr>
          <w:color w:val="000000" w:themeColor="text1"/>
        </w:rPr>
        <w:t xml:space="preserve"> (</w:t>
      </w:r>
      <w:r>
        <w:rPr>
          <w:color w:val="000000" w:themeColor="text1"/>
        </w:rPr>
        <w:t>e</w:t>
      </w:r>
      <w:r w:rsidR="00572C74">
        <w:rPr>
          <w:color w:val="000000" w:themeColor="text1"/>
        </w:rPr>
        <w:t>)</w:t>
      </w:r>
      <w:r>
        <w:rPr>
          <w:color w:val="000000" w:themeColor="text1"/>
        </w:rPr>
        <w:t>).</w:t>
      </w:r>
    </w:p>
    <w:p w:rsidR="008404DB" w:rsidRDefault="008404DB" w:rsidP="008404DB">
      <w:pPr>
        <w:pStyle w:val="ListParagraph"/>
        <w:numPr>
          <w:ilvl w:val="0"/>
          <w:numId w:val="29"/>
        </w:numPr>
        <w:spacing w:before="120" w:after="120"/>
        <w:rPr>
          <w:color w:val="000000" w:themeColor="text1"/>
        </w:rPr>
      </w:pPr>
      <w:r>
        <w:rPr>
          <w:color w:val="000000" w:themeColor="text1"/>
        </w:rPr>
        <w:t>Toute action nécessaire pour renseigner les discussions et les décisions du Groupe multipartite sur une définition de la propriété réelle, sur le niveau des seuils de déclaration, sur les divulgations de coentreprises et sur les obligations de déclaration de personnes politiquement exposées. (Exigence</w:t>
      </w:r>
      <w:r w:rsidR="00662766">
        <w:rPr>
          <w:color w:val="000000" w:themeColor="text1"/>
        </w:rPr>
        <w:t> </w:t>
      </w:r>
      <w:r>
        <w:rPr>
          <w:color w:val="000000" w:themeColor="text1"/>
        </w:rPr>
        <w:t>2.5</w:t>
      </w:r>
      <w:r w:rsidR="00572C74">
        <w:rPr>
          <w:color w:val="000000" w:themeColor="text1"/>
        </w:rPr>
        <w:t xml:space="preserve"> (</w:t>
      </w:r>
      <w:r>
        <w:rPr>
          <w:color w:val="000000" w:themeColor="text1"/>
        </w:rPr>
        <w:t>f</w:t>
      </w:r>
      <w:r w:rsidR="00572C74">
        <w:rPr>
          <w:color w:val="000000" w:themeColor="text1"/>
        </w:rPr>
        <w:t>)</w:t>
      </w:r>
      <w:r>
        <w:rPr>
          <w:color w:val="000000" w:themeColor="text1"/>
        </w:rPr>
        <w:t>).</w:t>
      </w:r>
    </w:p>
    <w:p w:rsidR="008404DB" w:rsidRPr="008404DB" w:rsidRDefault="008404DB" w:rsidP="008404DB">
      <w:pPr>
        <w:pStyle w:val="ListParagraph"/>
        <w:numPr>
          <w:ilvl w:val="0"/>
          <w:numId w:val="29"/>
        </w:numPr>
        <w:spacing w:before="120" w:after="120"/>
        <w:rPr>
          <w:color w:val="000000" w:themeColor="text1"/>
        </w:rPr>
      </w:pPr>
      <w:r>
        <w:rPr>
          <w:color w:val="000000" w:themeColor="text1"/>
        </w:rPr>
        <w:lastRenderedPageBreak/>
        <w:t xml:space="preserve">Les </w:t>
      </w:r>
      <w:r w:rsidR="009D311A">
        <w:rPr>
          <w:color w:val="000000" w:themeColor="text1"/>
        </w:rPr>
        <w:t>étape</w:t>
      </w:r>
      <w:r>
        <w:rPr>
          <w:color w:val="000000" w:themeColor="text1"/>
        </w:rPr>
        <w:t>s et les échéances à observer dans la mise en œuvre des activités de la feuille de route, ainsi que les plans pour l</w:t>
      </w:r>
      <w:r w:rsidR="00080381">
        <w:rPr>
          <w:color w:val="000000" w:themeColor="text1"/>
        </w:rPr>
        <w:t>’</w:t>
      </w:r>
      <w:r>
        <w:rPr>
          <w:color w:val="000000" w:themeColor="text1"/>
        </w:rPr>
        <w:t>évaluation de la mise en œuvre de cette feuille de route dans le cadre de son rapport annuel d</w:t>
      </w:r>
      <w:r w:rsidR="00080381">
        <w:rPr>
          <w:color w:val="000000" w:themeColor="text1"/>
        </w:rPr>
        <w:t>’</w:t>
      </w:r>
      <w:r>
        <w:rPr>
          <w:color w:val="000000" w:themeColor="text1"/>
        </w:rPr>
        <w:t>avancement. (Exigence</w:t>
      </w:r>
      <w:r w:rsidR="00662766">
        <w:rPr>
          <w:color w:val="000000" w:themeColor="text1"/>
        </w:rPr>
        <w:t> </w:t>
      </w:r>
      <w:r>
        <w:rPr>
          <w:color w:val="000000" w:themeColor="text1"/>
        </w:rPr>
        <w:t>2.5</w:t>
      </w:r>
      <w:r w:rsidR="009D311A">
        <w:rPr>
          <w:color w:val="000000" w:themeColor="text1"/>
        </w:rPr>
        <w:t xml:space="preserve"> (</w:t>
      </w:r>
      <w:r>
        <w:rPr>
          <w:color w:val="000000" w:themeColor="text1"/>
        </w:rPr>
        <w:t>b.ii</w:t>
      </w:r>
      <w:r w:rsidR="009D311A">
        <w:rPr>
          <w:color w:val="000000" w:themeColor="text1"/>
        </w:rPr>
        <w:t>)</w:t>
      </w:r>
      <w:r>
        <w:rPr>
          <w:color w:val="000000" w:themeColor="text1"/>
        </w:rPr>
        <w:t>).</w:t>
      </w:r>
    </w:p>
    <w:p w:rsidR="00013897" w:rsidRDefault="008404DB" w:rsidP="00AD0741">
      <w:pPr>
        <w:rPr>
          <w:color w:val="000000" w:themeColor="text1"/>
        </w:rPr>
      </w:pPr>
      <w:r>
        <w:rPr>
          <w:color w:val="000000" w:themeColor="text1"/>
        </w:rPr>
        <w:t>Le Secrétariat international a évalué les 42 feuilles de route par rapport à ces points.</w:t>
      </w:r>
      <w:r w:rsidR="00080381">
        <w:rPr>
          <w:color w:val="000000" w:themeColor="text1"/>
        </w:rPr>
        <w:t xml:space="preserve"> </w:t>
      </w:r>
      <w:r>
        <w:rPr>
          <w:color w:val="000000" w:themeColor="text1"/>
        </w:rPr>
        <w:t>Dans leur majorité, les feuilles de route sont considérées comme étant de qualité suffisante, en ce sens qu</w:t>
      </w:r>
      <w:r w:rsidR="00080381">
        <w:rPr>
          <w:color w:val="000000" w:themeColor="text1"/>
        </w:rPr>
        <w:t>’</w:t>
      </w:r>
      <w:r>
        <w:rPr>
          <w:color w:val="000000" w:themeColor="text1"/>
        </w:rPr>
        <w:t>au minimum elles c</w:t>
      </w:r>
      <w:r w:rsidR="001940B5">
        <w:rPr>
          <w:color w:val="000000" w:themeColor="text1"/>
        </w:rPr>
        <w:t>omprenn</w:t>
      </w:r>
      <w:r>
        <w:rPr>
          <w:color w:val="000000" w:themeColor="text1"/>
        </w:rPr>
        <w:t>ent des plans et des activités visant à répondre aux points précités. Néanmoins, il existe de grande</w:t>
      </w:r>
      <w:r w:rsidR="001940B5">
        <w:rPr>
          <w:color w:val="000000" w:themeColor="text1"/>
        </w:rPr>
        <w:t>s</w:t>
      </w:r>
      <w:r>
        <w:rPr>
          <w:color w:val="000000" w:themeColor="text1"/>
        </w:rPr>
        <w:t xml:space="preserve"> différences entre les feuilles de route qui sont considérées comme étant de qualité suffisante </w:t>
      </w:r>
      <w:r w:rsidR="001940B5">
        <w:rPr>
          <w:color w:val="000000" w:themeColor="text1"/>
        </w:rPr>
        <w:t>par rapport aux</w:t>
      </w:r>
      <w:r>
        <w:rPr>
          <w:color w:val="000000" w:themeColor="text1"/>
        </w:rPr>
        <w:t xml:space="preserve"> Exigences ITIE.</w:t>
      </w:r>
      <w:r w:rsidR="00080381">
        <w:rPr>
          <w:color w:val="000000" w:themeColor="text1"/>
        </w:rPr>
        <w:t xml:space="preserve"> </w:t>
      </w:r>
      <w:r>
        <w:rPr>
          <w:color w:val="000000" w:themeColor="text1"/>
        </w:rPr>
        <w:t>Par exemple, les feuilles de route de la Côte d</w:t>
      </w:r>
      <w:r w:rsidR="00080381">
        <w:rPr>
          <w:color w:val="000000" w:themeColor="text1"/>
        </w:rPr>
        <w:t>’</w:t>
      </w:r>
      <w:r>
        <w:rPr>
          <w:color w:val="000000" w:themeColor="text1"/>
        </w:rPr>
        <w:t>Ivoire, de la Guinée, de la République kirg</w:t>
      </w:r>
      <w:r w:rsidR="001940B5">
        <w:rPr>
          <w:color w:val="000000" w:themeColor="text1"/>
        </w:rPr>
        <w:t>h</w:t>
      </w:r>
      <w:r>
        <w:rPr>
          <w:color w:val="000000" w:themeColor="text1"/>
        </w:rPr>
        <w:t>ize, du Malawi, du Nigéria, de la Sierra Leone et du Tadjikistan sont considérablement plus détaillées et ont fait l</w:t>
      </w:r>
      <w:r w:rsidR="00080381">
        <w:rPr>
          <w:color w:val="000000" w:themeColor="text1"/>
        </w:rPr>
        <w:t>’</w:t>
      </w:r>
      <w:r>
        <w:rPr>
          <w:color w:val="000000" w:themeColor="text1"/>
        </w:rPr>
        <w:t xml:space="preserve">objet de plus larges consultations que les feuilles de route de certains autres pays. Dans certains pays, dont le Kazakhstan et les Seychelles, les feuilles de route </w:t>
      </w:r>
      <w:r w:rsidR="001940B5">
        <w:rPr>
          <w:color w:val="000000" w:themeColor="text1"/>
        </w:rPr>
        <w:t>ont nécessité</w:t>
      </w:r>
      <w:r>
        <w:rPr>
          <w:color w:val="000000" w:themeColor="text1"/>
        </w:rPr>
        <w:t xml:space="preserve"> l</w:t>
      </w:r>
      <w:r w:rsidR="00080381">
        <w:rPr>
          <w:color w:val="000000" w:themeColor="text1"/>
        </w:rPr>
        <w:t>’</w:t>
      </w:r>
      <w:r>
        <w:rPr>
          <w:color w:val="000000" w:themeColor="text1"/>
        </w:rPr>
        <w:t>approbation du cabinet et/ou un niveau élevé d</w:t>
      </w:r>
      <w:r w:rsidR="00080381">
        <w:rPr>
          <w:color w:val="000000" w:themeColor="text1"/>
        </w:rPr>
        <w:t>’</w:t>
      </w:r>
      <w:r>
        <w:rPr>
          <w:color w:val="000000" w:themeColor="text1"/>
        </w:rPr>
        <w:t xml:space="preserve">autorisations ministérielles. </w:t>
      </w:r>
    </w:p>
    <w:p w:rsidR="00AD0741" w:rsidRDefault="008C6782" w:rsidP="00AD0741">
      <w:pPr>
        <w:rPr>
          <w:color w:val="000000" w:themeColor="text1"/>
        </w:rPr>
      </w:pPr>
      <w:r>
        <w:rPr>
          <w:color w:val="000000" w:themeColor="text1"/>
        </w:rPr>
        <w:t>Il est considéré que h</w:t>
      </w:r>
      <w:r w:rsidR="00013897">
        <w:rPr>
          <w:color w:val="000000" w:themeColor="text1"/>
        </w:rPr>
        <w:t xml:space="preserve">uit </w:t>
      </w:r>
      <w:r w:rsidR="00013897" w:rsidRPr="00D17C06">
        <w:rPr>
          <w:color w:val="000000" w:themeColor="text1"/>
        </w:rPr>
        <w:t>pays – l</w:t>
      </w:r>
      <w:r w:rsidR="00080381" w:rsidRPr="00D17C06">
        <w:rPr>
          <w:color w:val="000000" w:themeColor="text1"/>
        </w:rPr>
        <w:t>’</w:t>
      </w:r>
      <w:r w:rsidR="00013897" w:rsidRPr="00D17C06">
        <w:rPr>
          <w:color w:val="000000" w:themeColor="text1"/>
        </w:rPr>
        <w:t xml:space="preserve">Allemagne, le Honduras, la Mauritanie, le Niger, la République du Congo et les Îles Salomon </w:t>
      </w:r>
      <w:r w:rsidR="001775EC" w:rsidRPr="00D17C06">
        <w:rPr>
          <w:color w:val="000000" w:themeColor="text1"/>
        </w:rPr>
        <w:t>–</w:t>
      </w:r>
      <w:r w:rsidR="00D17C06">
        <w:rPr>
          <w:b/>
          <w:color w:val="FF0000"/>
          <w:u w:val="single"/>
        </w:rPr>
        <w:t xml:space="preserve"> </w:t>
      </w:r>
      <w:bookmarkStart w:id="21" w:name="_GoBack"/>
      <w:bookmarkEnd w:id="21"/>
      <w:r w:rsidRPr="00D17C06">
        <w:rPr>
          <w:color w:val="000000" w:themeColor="text1"/>
        </w:rPr>
        <w:t>n’</w:t>
      </w:r>
      <w:r w:rsidR="00013897" w:rsidRPr="00D17C06">
        <w:rPr>
          <w:color w:val="000000" w:themeColor="text1"/>
        </w:rPr>
        <w:t>ont</w:t>
      </w:r>
      <w:r>
        <w:rPr>
          <w:color w:val="000000" w:themeColor="text1"/>
        </w:rPr>
        <w:t xml:space="preserve"> pas</w:t>
      </w:r>
      <w:r w:rsidR="00013897">
        <w:rPr>
          <w:color w:val="000000" w:themeColor="text1"/>
        </w:rPr>
        <w:t xml:space="preserve"> soumis de feuille de route satisf</w:t>
      </w:r>
      <w:r>
        <w:rPr>
          <w:color w:val="000000" w:themeColor="text1"/>
        </w:rPr>
        <w:t>aisa</w:t>
      </w:r>
      <w:r w:rsidR="00013897">
        <w:rPr>
          <w:color w:val="000000" w:themeColor="text1"/>
        </w:rPr>
        <w:t xml:space="preserve">nt entièrement </w:t>
      </w:r>
      <w:r>
        <w:rPr>
          <w:color w:val="000000" w:themeColor="text1"/>
        </w:rPr>
        <w:t>aux</w:t>
      </w:r>
      <w:r w:rsidR="00013897">
        <w:rPr>
          <w:color w:val="000000" w:themeColor="text1"/>
        </w:rPr>
        <w:t xml:space="preserve"> </w:t>
      </w:r>
      <w:r>
        <w:rPr>
          <w:color w:val="000000" w:themeColor="text1"/>
        </w:rPr>
        <w:t>E</w:t>
      </w:r>
      <w:r w:rsidR="00013897">
        <w:rPr>
          <w:color w:val="000000" w:themeColor="text1"/>
        </w:rPr>
        <w:t>xigences ITIE. Dans la plupart des cas, il n</w:t>
      </w:r>
      <w:r w:rsidR="00080381">
        <w:rPr>
          <w:color w:val="000000" w:themeColor="text1"/>
        </w:rPr>
        <w:t>’</w:t>
      </w:r>
      <w:r w:rsidR="00013897">
        <w:rPr>
          <w:color w:val="000000" w:themeColor="text1"/>
        </w:rPr>
        <w:t xml:space="preserve">y a que des omissions mineures. Le Secrétariat international suggère </w:t>
      </w:r>
      <w:r w:rsidR="00601454">
        <w:rPr>
          <w:color w:val="000000" w:themeColor="text1"/>
        </w:rPr>
        <w:t>que l</w:t>
      </w:r>
      <w:r w:rsidR="00013897">
        <w:rPr>
          <w:color w:val="000000" w:themeColor="text1"/>
        </w:rPr>
        <w:t xml:space="preserve">es </w:t>
      </w:r>
      <w:r w:rsidR="00601454">
        <w:rPr>
          <w:color w:val="000000" w:themeColor="text1"/>
        </w:rPr>
        <w:t xml:space="preserve">faiblesses de ces feuilles de route soient signalées </w:t>
      </w:r>
      <w:r w:rsidR="00013897">
        <w:rPr>
          <w:color w:val="000000" w:themeColor="text1"/>
        </w:rPr>
        <w:t xml:space="preserve">aux pays concernés, et </w:t>
      </w:r>
      <w:r w:rsidR="00601454">
        <w:rPr>
          <w:color w:val="000000" w:themeColor="text1"/>
        </w:rPr>
        <w:t>que</w:t>
      </w:r>
      <w:r w:rsidR="00013897">
        <w:rPr>
          <w:color w:val="000000" w:themeColor="text1"/>
        </w:rPr>
        <w:t xml:space="preserve"> le GMP </w:t>
      </w:r>
      <w:r w:rsidR="00601454">
        <w:rPr>
          <w:color w:val="000000" w:themeColor="text1"/>
        </w:rPr>
        <w:t xml:space="preserve">soit encouragé </w:t>
      </w:r>
      <w:r w:rsidR="00013897">
        <w:rPr>
          <w:color w:val="000000" w:themeColor="text1"/>
        </w:rPr>
        <w:t xml:space="preserve">à traiter les questions soulevées dans les prochaines révisions des feuilles de route. </w:t>
      </w:r>
    </w:p>
    <w:p w:rsidR="00EE4476" w:rsidRDefault="007A77D8" w:rsidP="007A77D8">
      <w:pPr>
        <w:rPr>
          <w:color w:val="000000" w:themeColor="text1"/>
        </w:rPr>
      </w:pPr>
      <w:r>
        <w:rPr>
          <w:color w:val="000000" w:themeColor="text1"/>
        </w:rPr>
        <w:t>L</w:t>
      </w:r>
      <w:r w:rsidR="00080381">
        <w:rPr>
          <w:color w:val="000000" w:themeColor="text1"/>
        </w:rPr>
        <w:t>’</w:t>
      </w:r>
      <w:r>
        <w:rPr>
          <w:color w:val="000000" w:themeColor="text1"/>
        </w:rPr>
        <w:t>Exigence</w:t>
      </w:r>
      <w:r w:rsidR="00662766">
        <w:rPr>
          <w:color w:val="000000" w:themeColor="text1"/>
        </w:rPr>
        <w:t> </w:t>
      </w:r>
      <w:r>
        <w:rPr>
          <w:color w:val="000000" w:themeColor="text1"/>
        </w:rPr>
        <w:t>2.5 stipule également que «</w:t>
      </w:r>
      <w:r w:rsidR="00662766">
        <w:rPr>
          <w:color w:val="000000" w:themeColor="text1"/>
        </w:rPr>
        <w:t> </w:t>
      </w:r>
      <w:r>
        <w:rPr>
          <w:color w:val="000000" w:themeColor="text1"/>
        </w:rPr>
        <w:t>lorsqu</w:t>
      </w:r>
      <w:r w:rsidR="00080381">
        <w:rPr>
          <w:color w:val="000000" w:themeColor="text1"/>
        </w:rPr>
        <w:t>’</w:t>
      </w:r>
      <w:r>
        <w:rPr>
          <w:color w:val="000000" w:themeColor="text1"/>
        </w:rPr>
        <w:t>un pays fait face à des difficultés constitutionnelles ou à des obstacles pratiques significatifs à la mise en œuvre de cette exigence au 1er janvier 2020, le pays pourra faire une demande de mise en œuvre adaptée conformément à l</w:t>
      </w:r>
      <w:r w:rsidR="00080381">
        <w:rPr>
          <w:color w:val="000000" w:themeColor="text1"/>
        </w:rPr>
        <w:t>’</w:t>
      </w:r>
      <w:r>
        <w:rPr>
          <w:color w:val="000000" w:themeColor="text1"/>
        </w:rPr>
        <w:t>Exigence</w:t>
      </w:r>
      <w:r w:rsidR="00662766">
        <w:rPr>
          <w:color w:val="000000" w:themeColor="text1"/>
        </w:rPr>
        <w:t> </w:t>
      </w:r>
      <w:r>
        <w:rPr>
          <w:color w:val="000000" w:themeColor="text1"/>
        </w:rPr>
        <w:t>8.1</w:t>
      </w:r>
      <w:r w:rsidR="00662766">
        <w:rPr>
          <w:color w:val="000000" w:themeColor="text1"/>
        </w:rPr>
        <w:t> </w:t>
      </w:r>
      <w:r>
        <w:rPr>
          <w:color w:val="000000" w:themeColor="text1"/>
        </w:rPr>
        <w:t>». Le Secrétariat international n</w:t>
      </w:r>
      <w:r w:rsidR="00080381">
        <w:rPr>
          <w:color w:val="000000" w:themeColor="text1"/>
        </w:rPr>
        <w:t>’</w:t>
      </w:r>
      <w:r>
        <w:rPr>
          <w:color w:val="000000" w:themeColor="text1"/>
        </w:rPr>
        <w:t>a pas connaissance qu</w:t>
      </w:r>
      <w:r w:rsidR="00080381">
        <w:rPr>
          <w:color w:val="000000" w:themeColor="text1"/>
        </w:rPr>
        <w:t>’</w:t>
      </w:r>
      <w:r>
        <w:rPr>
          <w:color w:val="000000" w:themeColor="text1"/>
        </w:rPr>
        <w:t>il y ait des feuilles de route mentionnant la nécessité d</w:t>
      </w:r>
      <w:r w:rsidR="00080381">
        <w:rPr>
          <w:color w:val="000000" w:themeColor="text1"/>
        </w:rPr>
        <w:t>’</w:t>
      </w:r>
      <w:r>
        <w:rPr>
          <w:color w:val="000000" w:themeColor="text1"/>
        </w:rPr>
        <w:t>une mise en œuvre adaptée.</w:t>
      </w:r>
    </w:p>
    <w:p w:rsidR="009C4E7D" w:rsidRPr="0091177D" w:rsidRDefault="002F2D35" w:rsidP="00491177">
      <w:pPr>
        <w:pStyle w:val="Heading1"/>
        <w:rPr>
          <w:sz w:val="28"/>
        </w:rPr>
      </w:pPr>
      <w:bookmarkStart w:id="22" w:name="_Toc471924492"/>
      <w:bookmarkStart w:id="23" w:name="_Toc472131099"/>
      <w:r>
        <w:rPr>
          <w:sz w:val="28"/>
        </w:rPr>
        <w:t>Questions à examiner et prochaines étapes recommandées</w:t>
      </w:r>
      <w:bookmarkEnd w:id="22"/>
      <w:bookmarkEnd w:id="23"/>
    </w:p>
    <w:p w:rsidR="00117A96" w:rsidRDefault="001D4508" w:rsidP="00117A96">
      <w:r>
        <w:rPr>
          <w:color w:val="000000"/>
        </w:rPr>
        <w:t>À la 35e réunion du Conseil d</w:t>
      </w:r>
      <w:r w:rsidR="00080381">
        <w:rPr>
          <w:color w:val="000000"/>
        </w:rPr>
        <w:t>’</w:t>
      </w:r>
      <w:r>
        <w:rPr>
          <w:color w:val="000000"/>
        </w:rPr>
        <w:t>administration de l</w:t>
      </w:r>
      <w:r w:rsidR="00080381">
        <w:rPr>
          <w:color w:val="000000"/>
        </w:rPr>
        <w:t>’</w:t>
      </w:r>
      <w:r>
        <w:rPr>
          <w:color w:val="000000"/>
        </w:rPr>
        <w:t>ITIE tenue à Astana, il a été convenu que le Conseil d</w:t>
      </w:r>
      <w:r w:rsidR="00080381">
        <w:rPr>
          <w:color w:val="000000"/>
        </w:rPr>
        <w:t>’</w:t>
      </w:r>
      <w:r>
        <w:rPr>
          <w:color w:val="000000"/>
        </w:rPr>
        <w:t>administration examinerait tout cas de non-conformité à l</w:t>
      </w:r>
      <w:r w:rsidR="00080381">
        <w:rPr>
          <w:color w:val="000000"/>
        </w:rPr>
        <w:t>’</w:t>
      </w:r>
      <w:r>
        <w:rPr>
          <w:color w:val="000000"/>
        </w:rPr>
        <w:t>échéance fixée pour l</w:t>
      </w:r>
      <w:r w:rsidR="004A3BD1">
        <w:rPr>
          <w:color w:val="000000"/>
        </w:rPr>
        <w:t>es</w:t>
      </w:r>
      <w:r>
        <w:rPr>
          <w:color w:val="000000"/>
        </w:rPr>
        <w:t xml:space="preserve"> feuille</w:t>
      </w:r>
      <w:r w:rsidR="004A3BD1">
        <w:rPr>
          <w:color w:val="000000"/>
        </w:rPr>
        <w:t>s</w:t>
      </w:r>
      <w:r>
        <w:rPr>
          <w:color w:val="000000"/>
        </w:rPr>
        <w:t xml:space="preserve"> de route lors de sa prochaine réunion, </w:t>
      </w:r>
      <w:r w:rsidR="004A3BD1">
        <w:rPr>
          <w:color w:val="000000"/>
        </w:rPr>
        <w:t>en se basant sur</w:t>
      </w:r>
      <w:r>
        <w:rPr>
          <w:color w:val="000000"/>
        </w:rPr>
        <w:t xml:space="preserve"> l</w:t>
      </w:r>
      <w:r w:rsidR="00080381">
        <w:rPr>
          <w:color w:val="000000"/>
        </w:rPr>
        <w:t>’</w:t>
      </w:r>
      <w:r>
        <w:rPr>
          <w:color w:val="000000"/>
        </w:rPr>
        <w:t>analyse de</w:t>
      </w:r>
      <w:r w:rsidR="004A3BD1">
        <w:rPr>
          <w:color w:val="000000"/>
        </w:rPr>
        <w:t>s</w:t>
      </w:r>
      <w:r>
        <w:rPr>
          <w:color w:val="000000"/>
        </w:rPr>
        <w:t xml:space="preserve"> feuille</w:t>
      </w:r>
      <w:r w:rsidR="004A3BD1">
        <w:rPr>
          <w:color w:val="000000"/>
        </w:rPr>
        <w:t>s</w:t>
      </w:r>
      <w:r>
        <w:rPr>
          <w:color w:val="000000"/>
        </w:rPr>
        <w:t xml:space="preserve"> de route </w:t>
      </w:r>
      <w:r w:rsidR="004A3BD1">
        <w:rPr>
          <w:color w:val="000000"/>
        </w:rPr>
        <w:t xml:space="preserve">individuelles </w:t>
      </w:r>
      <w:r>
        <w:rPr>
          <w:color w:val="000000"/>
        </w:rPr>
        <w:t xml:space="preserve">et des suggestions élaborées par le Comité de </w:t>
      </w:r>
      <w:r w:rsidR="004A3BD1">
        <w:rPr>
          <w:color w:val="000000"/>
        </w:rPr>
        <w:t>M</w:t>
      </w:r>
      <w:r>
        <w:rPr>
          <w:color w:val="000000"/>
        </w:rPr>
        <w:t>ise en œuvre.</w:t>
      </w:r>
      <w:r w:rsidR="00080381">
        <w:rPr>
          <w:color w:val="000000"/>
        </w:rPr>
        <w:t xml:space="preserve"> </w:t>
      </w:r>
      <w:r>
        <w:t>Le document du Conseil d</w:t>
      </w:r>
      <w:r w:rsidR="00080381">
        <w:t>’</w:t>
      </w:r>
      <w:r>
        <w:t>administration</w:t>
      </w:r>
      <w:r w:rsidR="00662766">
        <w:t> </w:t>
      </w:r>
      <w:r>
        <w:t>35-4-A stipule également que «</w:t>
      </w:r>
      <w:r w:rsidR="00662766">
        <w:t> </w:t>
      </w:r>
      <w:r>
        <w:t>le Conseil d</w:t>
      </w:r>
      <w:r w:rsidR="00080381">
        <w:t>’</w:t>
      </w:r>
      <w:r>
        <w:t>administration est invité à considérer la façon d</w:t>
      </w:r>
      <w:r w:rsidR="00080381">
        <w:t>’</w:t>
      </w:r>
      <w:r>
        <w:t>appliquer les exigences concernant le contenu de la feuille de route et la façon de traiter les cas des feuilles de route dont la qualité est significativement en</w:t>
      </w:r>
      <w:r w:rsidR="00470348">
        <w:t xml:space="preserve"> </w:t>
      </w:r>
      <w:r>
        <w:t>deçà de celle escomptée. Il faudra également considérer s</w:t>
      </w:r>
      <w:r w:rsidR="00080381">
        <w:t>’</w:t>
      </w:r>
      <w:r>
        <w:t>il convient d</w:t>
      </w:r>
      <w:r w:rsidR="00080381">
        <w:t>’</w:t>
      </w:r>
      <w:r>
        <w:t>appliquer l</w:t>
      </w:r>
      <w:r w:rsidR="00080381">
        <w:t>’</w:t>
      </w:r>
      <w:r>
        <w:t>exigence relative à la feuille de route aux futurs pays candidats à l</w:t>
      </w:r>
      <w:r w:rsidR="00080381">
        <w:t>’</w:t>
      </w:r>
      <w:r>
        <w:t>ITIE, et comment soutenir la mise en œuvre des feuilles de route sur le plan technique et financier pour assurer la pleine</w:t>
      </w:r>
      <w:r w:rsidR="00080381">
        <w:t xml:space="preserve"> </w:t>
      </w:r>
      <w:r>
        <w:t>transparence de la propriété réelle d</w:t>
      </w:r>
      <w:r w:rsidR="00080381">
        <w:t>’</w:t>
      </w:r>
      <w:r>
        <w:t>ici à 2020</w:t>
      </w:r>
      <w:r w:rsidR="00662766">
        <w:t> </w:t>
      </w:r>
      <w:r>
        <w:t>».</w:t>
      </w:r>
    </w:p>
    <w:p w:rsidR="003F3968" w:rsidRPr="003F3968" w:rsidRDefault="00E9099C" w:rsidP="00E9099C">
      <w:pPr>
        <w:pStyle w:val="ListParagraph"/>
        <w:numPr>
          <w:ilvl w:val="0"/>
          <w:numId w:val="32"/>
        </w:numPr>
        <w:rPr>
          <w:b/>
          <w:color w:val="000000"/>
        </w:rPr>
      </w:pPr>
      <w:r>
        <w:rPr>
          <w:b/>
        </w:rPr>
        <w:t>Non-conformité à l</w:t>
      </w:r>
      <w:r w:rsidR="00080381">
        <w:rPr>
          <w:b/>
        </w:rPr>
        <w:t>’</w:t>
      </w:r>
      <w:r>
        <w:rPr>
          <w:b/>
        </w:rPr>
        <w:t>échéance de la feuille de route.</w:t>
      </w:r>
      <w:r w:rsidR="00080381">
        <w:rPr>
          <w:b/>
        </w:rPr>
        <w:t xml:space="preserve"> </w:t>
      </w:r>
      <w:r>
        <w:t>Comme indiqué plus haut, il reste encore à neuf pays à publier leur feuille de route finale sur la propriété réelle. La plupart de ces pays devraient publier leur feuille de route dans les prochains mois.</w:t>
      </w:r>
      <w:r>
        <w:rPr>
          <w:b/>
        </w:rPr>
        <w:t xml:space="preserve"> </w:t>
      </w:r>
      <w:r>
        <w:t>La Norme ITIE ne spécifie pas les conséquences du non-respect de l</w:t>
      </w:r>
      <w:r w:rsidR="00080381">
        <w:t>’</w:t>
      </w:r>
      <w:r>
        <w:t xml:space="preserve">échéance fixée </w:t>
      </w:r>
      <w:r w:rsidR="00B8715B">
        <w:t>pour</w:t>
      </w:r>
      <w:r>
        <w:t xml:space="preserve"> la publication de la feuille de route. Toutefois, il est possible d</w:t>
      </w:r>
      <w:r w:rsidR="00080381">
        <w:t>’</w:t>
      </w:r>
      <w:r>
        <w:t xml:space="preserve">être guidé par les procédures et les conséquences </w:t>
      </w:r>
      <w:r>
        <w:lastRenderedPageBreak/>
        <w:t>liées à la publication d</w:t>
      </w:r>
      <w:r w:rsidR="00080381">
        <w:t>’</w:t>
      </w:r>
      <w:r>
        <w:t xml:space="preserve">autres documents tels que les Rapports ITIE. </w:t>
      </w:r>
      <w:r>
        <w:rPr>
          <w:u w:val="single"/>
        </w:rPr>
        <w:t xml:space="preserve">Le Secrétariat international a identifié les options suivantes à considérer par le Comité de </w:t>
      </w:r>
      <w:r w:rsidR="00B8715B">
        <w:rPr>
          <w:u w:val="single"/>
        </w:rPr>
        <w:t>M</w:t>
      </w:r>
      <w:r>
        <w:rPr>
          <w:u w:val="single"/>
        </w:rPr>
        <w:t>ise en œuvre. Compte tenu de la probabilité que les feuilles de route en instance d</w:t>
      </w:r>
      <w:r w:rsidR="00080381">
        <w:rPr>
          <w:u w:val="single"/>
        </w:rPr>
        <w:t>’</w:t>
      </w:r>
      <w:r>
        <w:rPr>
          <w:u w:val="single"/>
        </w:rPr>
        <w:t>être publiées le seront au moment de la réunion du Conseil d</w:t>
      </w:r>
      <w:r w:rsidR="00080381">
        <w:rPr>
          <w:u w:val="single"/>
        </w:rPr>
        <w:t>’</w:t>
      </w:r>
      <w:r>
        <w:rPr>
          <w:u w:val="single"/>
        </w:rPr>
        <w:t xml:space="preserve">administration en mars, il est proposé que le Comité de </w:t>
      </w:r>
      <w:r w:rsidR="00B8715B">
        <w:rPr>
          <w:u w:val="single"/>
        </w:rPr>
        <w:t>M</w:t>
      </w:r>
      <w:r>
        <w:rPr>
          <w:u w:val="single"/>
        </w:rPr>
        <w:t>ise en œuvre recommande que le Conseil d</w:t>
      </w:r>
      <w:r w:rsidR="00080381">
        <w:rPr>
          <w:u w:val="single"/>
        </w:rPr>
        <w:t>’</w:t>
      </w:r>
      <w:r>
        <w:rPr>
          <w:u w:val="single"/>
        </w:rPr>
        <w:t>administration adopte l</w:t>
      </w:r>
      <w:r w:rsidR="00080381">
        <w:rPr>
          <w:u w:val="single"/>
        </w:rPr>
        <w:t>’</w:t>
      </w:r>
      <w:r>
        <w:rPr>
          <w:u w:val="single"/>
        </w:rPr>
        <w:t xml:space="preserve">option </w:t>
      </w:r>
      <w:r w:rsidR="00B8715B">
        <w:rPr>
          <w:u w:val="single"/>
        </w:rPr>
        <w:t xml:space="preserve">c </w:t>
      </w:r>
      <w:r>
        <w:rPr>
          <w:u w:val="single"/>
        </w:rPr>
        <w:t xml:space="preserve">pour tous </w:t>
      </w:r>
      <w:r w:rsidR="00B8715B">
        <w:rPr>
          <w:u w:val="single"/>
        </w:rPr>
        <w:t xml:space="preserve">les </w:t>
      </w:r>
      <w:r>
        <w:rPr>
          <w:u w:val="single"/>
        </w:rPr>
        <w:t>pays qui n</w:t>
      </w:r>
      <w:r w:rsidR="00080381">
        <w:rPr>
          <w:u w:val="single"/>
        </w:rPr>
        <w:t>’</w:t>
      </w:r>
      <w:r>
        <w:rPr>
          <w:u w:val="single"/>
        </w:rPr>
        <w:t>aur</w:t>
      </w:r>
      <w:r w:rsidR="00B8715B">
        <w:rPr>
          <w:u w:val="single"/>
        </w:rPr>
        <w:t>o</w:t>
      </w:r>
      <w:r>
        <w:rPr>
          <w:u w:val="single"/>
        </w:rPr>
        <w:t>nt pas encore publié leur feuille de route à cette date</w:t>
      </w:r>
      <w:r>
        <w:t xml:space="preserve">. </w:t>
      </w:r>
    </w:p>
    <w:p w:rsidR="00E9099C" w:rsidRPr="00271EA2" w:rsidRDefault="003F3968" w:rsidP="003F3968">
      <w:pPr>
        <w:pStyle w:val="ListParagraph"/>
        <w:numPr>
          <w:ilvl w:val="0"/>
          <w:numId w:val="34"/>
        </w:numPr>
        <w:rPr>
          <w:b/>
          <w:color w:val="000000"/>
        </w:rPr>
      </w:pPr>
      <w:r>
        <w:rPr>
          <w:b/>
        </w:rPr>
        <w:t>Suspension</w:t>
      </w:r>
      <w:r>
        <w:t xml:space="preserve"> </w:t>
      </w:r>
      <w:r>
        <w:rPr>
          <w:b/>
        </w:rPr>
        <w:t>si la feuille de route n</w:t>
      </w:r>
      <w:r w:rsidR="00080381">
        <w:rPr>
          <w:b/>
        </w:rPr>
        <w:t>’</w:t>
      </w:r>
      <w:r>
        <w:rPr>
          <w:b/>
        </w:rPr>
        <w:t>est pas soumise dans les six mois à compter de la date d</w:t>
      </w:r>
      <w:r w:rsidR="00080381">
        <w:rPr>
          <w:b/>
        </w:rPr>
        <w:t>’</w:t>
      </w:r>
      <w:r>
        <w:rPr>
          <w:b/>
        </w:rPr>
        <w:t xml:space="preserve">échéance, c.-à-d. </w:t>
      </w:r>
      <w:r w:rsidR="0067373C">
        <w:rPr>
          <w:b/>
        </w:rPr>
        <w:t>d’ici</w:t>
      </w:r>
      <w:r>
        <w:rPr>
          <w:b/>
        </w:rPr>
        <w:t xml:space="preserve"> le 1er juillet 2017. </w:t>
      </w:r>
      <w:r>
        <w:t>Ceci concorderait avec la procédure utilisée pour la publication tardive des rapports annuels d</w:t>
      </w:r>
      <w:r w:rsidR="00080381">
        <w:t>’</w:t>
      </w:r>
      <w:r>
        <w:t>avancement (Exigence</w:t>
      </w:r>
      <w:r w:rsidR="00662766">
        <w:t> </w:t>
      </w:r>
      <w:r>
        <w:t xml:space="preserve">8.4). </w:t>
      </w:r>
    </w:p>
    <w:p w:rsidR="0071410E" w:rsidRPr="0071410E" w:rsidRDefault="00093CE7" w:rsidP="0071410E">
      <w:pPr>
        <w:pStyle w:val="ListParagraph"/>
        <w:numPr>
          <w:ilvl w:val="0"/>
          <w:numId w:val="34"/>
        </w:numPr>
        <w:rPr>
          <w:b/>
          <w:color w:val="000000"/>
        </w:rPr>
      </w:pPr>
      <w:r>
        <w:rPr>
          <w:b/>
        </w:rPr>
        <w:t xml:space="preserve">Suspension immédiate avec levée automatique de la suspension si la feuille de route est publiée dans les six mois suivants. </w:t>
      </w:r>
      <w:r>
        <w:t>Ceci concorderait avec la procédure utilisée pour la publication tardive des Rapports ITIE (Exigence</w:t>
      </w:r>
      <w:r w:rsidR="00662766">
        <w:t> </w:t>
      </w:r>
      <w:r>
        <w:t>8.2). Toutefois, il est important de noter que, même si les pays ont la possibilité de demander une prorogation de l</w:t>
      </w:r>
      <w:r w:rsidR="00080381">
        <w:t>’</w:t>
      </w:r>
      <w:r>
        <w:t xml:space="preserve">échéance des déclarations ITIE, la Norme </w:t>
      </w:r>
      <w:r w:rsidR="0067373C">
        <w:t>n</w:t>
      </w:r>
      <w:r>
        <w:t>e permet pas aux pays de demander une prorogation de l</w:t>
      </w:r>
      <w:r w:rsidR="00080381">
        <w:t>’</w:t>
      </w:r>
      <w:r>
        <w:t xml:space="preserve">échéance fixée pour la publication de la feuille de route sur la propriété réelle. </w:t>
      </w:r>
    </w:p>
    <w:p w:rsidR="00BD0AA6" w:rsidRDefault="0071410E" w:rsidP="0071410E">
      <w:pPr>
        <w:pStyle w:val="ListParagraph"/>
        <w:numPr>
          <w:ilvl w:val="0"/>
          <w:numId w:val="34"/>
        </w:numPr>
        <w:rPr>
          <w:b/>
          <w:color w:val="000000"/>
        </w:rPr>
      </w:pPr>
      <w:r>
        <w:rPr>
          <w:b/>
          <w:color w:val="000000"/>
        </w:rPr>
        <w:t>L</w:t>
      </w:r>
      <w:r w:rsidR="0067373C">
        <w:rPr>
          <w:b/>
          <w:color w:val="000000"/>
        </w:rPr>
        <w:t>e</w:t>
      </w:r>
      <w:r>
        <w:rPr>
          <w:b/>
          <w:color w:val="000000"/>
        </w:rPr>
        <w:t xml:space="preserve"> Président de l</w:t>
      </w:r>
      <w:r w:rsidR="00080381">
        <w:rPr>
          <w:b/>
          <w:color w:val="000000"/>
        </w:rPr>
        <w:t>’</w:t>
      </w:r>
      <w:r>
        <w:rPr>
          <w:b/>
          <w:color w:val="000000"/>
        </w:rPr>
        <w:t>ITIE va écrire au</w:t>
      </w:r>
      <w:r w:rsidR="00D61CDC">
        <w:rPr>
          <w:b/>
          <w:color w:val="000000"/>
        </w:rPr>
        <w:t>x</w:t>
      </w:r>
      <w:r>
        <w:rPr>
          <w:b/>
          <w:color w:val="000000"/>
        </w:rPr>
        <w:t xml:space="preserve"> Champion</w:t>
      </w:r>
      <w:r w:rsidR="00D61CDC">
        <w:rPr>
          <w:b/>
          <w:color w:val="000000"/>
        </w:rPr>
        <w:t>s</w:t>
      </w:r>
      <w:r>
        <w:rPr>
          <w:b/>
          <w:color w:val="000000"/>
        </w:rPr>
        <w:t xml:space="preserve"> ITIE, rappelant au</w:t>
      </w:r>
      <w:r w:rsidR="00D61CDC">
        <w:rPr>
          <w:b/>
          <w:color w:val="000000"/>
        </w:rPr>
        <w:t>x</w:t>
      </w:r>
      <w:r>
        <w:rPr>
          <w:b/>
          <w:color w:val="000000"/>
        </w:rPr>
        <w:t xml:space="preserve"> pays l</w:t>
      </w:r>
      <w:r w:rsidR="00080381">
        <w:rPr>
          <w:b/>
          <w:color w:val="000000"/>
        </w:rPr>
        <w:t>’</w:t>
      </w:r>
      <w:r>
        <w:rPr>
          <w:b/>
          <w:color w:val="000000"/>
        </w:rPr>
        <w:t xml:space="preserve">exigence de </w:t>
      </w:r>
      <w:r w:rsidR="00D61CDC">
        <w:rPr>
          <w:b/>
          <w:color w:val="000000"/>
        </w:rPr>
        <w:t xml:space="preserve">la </w:t>
      </w:r>
      <w:r>
        <w:rPr>
          <w:b/>
          <w:color w:val="000000"/>
        </w:rPr>
        <w:t>publi</w:t>
      </w:r>
      <w:r w:rsidR="00D61CDC">
        <w:rPr>
          <w:b/>
          <w:color w:val="000000"/>
        </w:rPr>
        <w:t>cation d’</w:t>
      </w:r>
      <w:r>
        <w:rPr>
          <w:b/>
          <w:color w:val="000000"/>
        </w:rPr>
        <w:t>une feuille de route sur la propriété réelle et demandant au</w:t>
      </w:r>
      <w:r w:rsidR="00D61CDC">
        <w:rPr>
          <w:b/>
          <w:color w:val="000000"/>
        </w:rPr>
        <w:t>x</w:t>
      </w:r>
      <w:r>
        <w:rPr>
          <w:b/>
          <w:color w:val="000000"/>
        </w:rPr>
        <w:t xml:space="preserve"> gouvernement</w:t>
      </w:r>
      <w:r w:rsidR="00D61CDC">
        <w:rPr>
          <w:b/>
          <w:color w:val="000000"/>
        </w:rPr>
        <w:t>s</w:t>
      </w:r>
      <w:r>
        <w:rPr>
          <w:b/>
          <w:color w:val="000000"/>
        </w:rPr>
        <w:t xml:space="preserve"> de présenter un calendrier pour la publication de la feuille de route non encore publiée. </w:t>
      </w:r>
    </w:p>
    <w:p w:rsidR="00616326" w:rsidRPr="00171361" w:rsidRDefault="00786CAC" w:rsidP="00786CAC">
      <w:pPr>
        <w:pStyle w:val="ListParagraph"/>
        <w:numPr>
          <w:ilvl w:val="0"/>
          <w:numId w:val="32"/>
        </w:numPr>
        <w:rPr>
          <w:b/>
          <w:color w:val="000000"/>
        </w:rPr>
      </w:pPr>
      <w:r>
        <w:rPr>
          <w:b/>
        </w:rPr>
        <w:t>Non-conformité au contenu d</w:t>
      </w:r>
      <w:r w:rsidR="00080381">
        <w:rPr>
          <w:b/>
        </w:rPr>
        <w:t>’</w:t>
      </w:r>
      <w:r>
        <w:rPr>
          <w:b/>
        </w:rPr>
        <w:t xml:space="preserve">une feuille de route. </w:t>
      </w:r>
      <w:r>
        <w:t>Comme indiqué plus haut, l</w:t>
      </w:r>
      <w:r w:rsidR="00080381">
        <w:t>’</w:t>
      </w:r>
      <w:r>
        <w:t xml:space="preserve">évaluation des feuilles de route en fonction des exigences relatives au contenu de </w:t>
      </w:r>
      <w:r w:rsidR="00D61CDC">
        <w:t>celles-ci</w:t>
      </w:r>
      <w:r>
        <w:t xml:space="preserve"> montre que dans leur majorité, les feuilles de route soumises à ce jour répondent aux exigences minimales en termes de contenu spécifiées par la Norme ITIE. Huit pays ont des feuilles de route comportant quelques </w:t>
      </w:r>
      <w:r w:rsidR="00D61CDC">
        <w:t>faibless</w:t>
      </w:r>
      <w:r>
        <w:t>es mineures. L</w:t>
      </w:r>
      <w:r w:rsidR="00A3746A">
        <w:t>e</w:t>
      </w:r>
      <w:r>
        <w:t xml:space="preserve"> Secrétariat international est</w:t>
      </w:r>
      <w:r w:rsidR="00A3746A">
        <w:t>ime</w:t>
      </w:r>
      <w:r>
        <w:t xml:space="preserve"> que les </w:t>
      </w:r>
      <w:r w:rsidR="00A3746A">
        <w:t>faibless</w:t>
      </w:r>
      <w:r>
        <w:t xml:space="preserve">es ne sont pas de nature à nécessiter la soumission de nouvelles feuilles de route </w:t>
      </w:r>
      <w:r w:rsidR="00A3746A">
        <w:t>dans l’immédiat</w:t>
      </w:r>
      <w:r>
        <w:t xml:space="preserve">, une procédure qui probablement ralentirait encore davantage la mise en œuvre des feuilles de route. </w:t>
      </w:r>
      <w:r>
        <w:rPr>
          <w:u w:val="single"/>
        </w:rPr>
        <w:t xml:space="preserve">Le Secrétariat international suggère plutôt </w:t>
      </w:r>
      <w:r w:rsidR="00A3746A">
        <w:rPr>
          <w:u w:val="single"/>
        </w:rPr>
        <w:t>que</w:t>
      </w:r>
      <w:r>
        <w:rPr>
          <w:u w:val="single"/>
        </w:rPr>
        <w:t xml:space="preserve"> des cons</w:t>
      </w:r>
      <w:r w:rsidR="00C263E9">
        <w:rPr>
          <w:u w:val="single"/>
        </w:rPr>
        <w:t>eils</w:t>
      </w:r>
      <w:r>
        <w:rPr>
          <w:u w:val="single"/>
        </w:rPr>
        <w:t xml:space="preserve"> </w:t>
      </w:r>
      <w:r w:rsidR="00A3746A">
        <w:rPr>
          <w:u w:val="single"/>
        </w:rPr>
        <w:t xml:space="preserve">soient formulés </w:t>
      </w:r>
      <w:r>
        <w:rPr>
          <w:u w:val="single"/>
        </w:rPr>
        <w:t>à ces pays sur la manière de traiter les f</w:t>
      </w:r>
      <w:r w:rsidR="00C263E9">
        <w:rPr>
          <w:u w:val="single"/>
        </w:rPr>
        <w:t>aibless</w:t>
      </w:r>
      <w:r>
        <w:rPr>
          <w:u w:val="single"/>
        </w:rPr>
        <w:t>es et d</w:t>
      </w:r>
      <w:r w:rsidR="00080381">
        <w:rPr>
          <w:u w:val="single"/>
        </w:rPr>
        <w:t>’</w:t>
      </w:r>
      <w:r>
        <w:rPr>
          <w:u w:val="single"/>
        </w:rPr>
        <w:t xml:space="preserve">encourager les pays à aborder ces questions lors de la mise à jour ultérieure de la feuille de route. </w:t>
      </w:r>
    </w:p>
    <w:p w:rsidR="00171361" w:rsidRPr="00DA0BDA" w:rsidRDefault="00171361" w:rsidP="00786CAC">
      <w:pPr>
        <w:pStyle w:val="ListParagraph"/>
        <w:numPr>
          <w:ilvl w:val="0"/>
          <w:numId w:val="32"/>
        </w:numPr>
        <w:rPr>
          <w:b/>
          <w:color w:val="000000"/>
        </w:rPr>
      </w:pPr>
      <w:r>
        <w:rPr>
          <w:b/>
          <w:color w:val="000000"/>
        </w:rPr>
        <w:t>Application de l</w:t>
      </w:r>
      <w:r w:rsidR="00080381">
        <w:rPr>
          <w:b/>
          <w:color w:val="000000"/>
        </w:rPr>
        <w:t>’</w:t>
      </w:r>
      <w:r>
        <w:rPr>
          <w:b/>
          <w:color w:val="000000"/>
        </w:rPr>
        <w:t>exigence de la feuille de route aux futurs pays candidats à l</w:t>
      </w:r>
      <w:r w:rsidR="00080381">
        <w:rPr>
          <w:b/>
          <w:color w:val="000000"/>
        </w:rPr>
        <w:t>’</w:t>
      </w:r>
      <w:r>
        <w:rPr>
          <w:b/>
          <w:color w:val="000000"/>
        </w:rPr>
        <w:t xml:space="preserve">ITIE. </w:t>
      </w:r>
      <w:r>
        <w:rPr>
          <w:color w:val="000000"/>
        </w:rPr>
        <w:t>Le Conseil d</w:t>
      </w:r>
      <w:r w:rsidR="00080381">
        <w:rPr>
          <w:color w:val="000000"/>
        </w:rPr>
        <w:t>’</w:t>
      </w:r>
      <w:r>
        <w:rPr>
          <w:color w:val="000000"/>
        </w:rPr>
        <w:t>administration de l</w:t>
      </w:r>
      <w:r w:rsidR="00080381">
        <w:rPr>
          <w:color w:val="000000"/>
        </w:rPr>
        <w:t>’</w:t>
      </w:r>
      <w:r>
        <w:rPr>
          <w:color w:val="000000"/>
        </w:rPr>
        <w:t>ITIE a convenu lors de sa réunion tenue à Oslo que les pays déposant une demande de candidature à l</w:t>
      </w:r>
      <w:r w:rsidR="00080381">
        <w:rPr>
          <w:color w:val="000000"/>
        </w:rPr>
        <w:t>’</w:t>
      </w:r>
      <w:r>
        <w:rPr>
          <w:color w:val="000000"/>
        </w:rPr>
        <w:t xml:space="preserve">ITIE après le 1er janvier 2017 </w:t>
      </w:r>
      <w:r w:rsidR="002401E9">
        <w:rPr>
          <w:color w:val="000000"/>
        </w:rPr>
        <w:t>soient tenus d’</w:t>
      </w:r>
      <w:r>
        <w:rPr>
          <w:color w:val="000000"/>
        </w:rPr>
        <w:t>aborde</w:t>
      </w:r>
      <w:r w:rsidR="002401E9">
        <w:rPr>
          <w:color w:val="000000"/>
        </w:rPr>
        <w:t>r</w:t>
      </w:r>
      <w:r>
        <w:rPr>
          <w:color w:val="000000"/>
        </w:rPr>
        <w:t xml:space="preserve"> l</w:t>
      </w:r>
      <w:r w:rsidR="00080381">
        <w:rPr>
          <w:color w:val="000000"/>
        </w:rPr>
        <w:t>’</w:t>
      </w:r>
      <w:r>
        <w:rPr>
          <w:color w:val="000000"/>
        </w:rPr>
        <w:t xml:space="preserve">exigence </w:t>
      </w:r>
      <w:r w:rsidR="007063D0">
        <w:rPr>
          <w:color w:val="000000"/>
        </w:rPr>
        <w:t>relative à la</w:t>
      </w:r>
      <w:r>
        <w:rPr>
          <w:color w:val="000000"/>
        </w:rPr>
        <w:t xml:space="preserve"> feuille de route dans le cadre du plan de travail du GMP</w:t>
      </w:r>
      <w:r>
        <w:rPr>
          <w:rStyle w:val="FootnoteReference"/>
          <w:color w:val="000000"/>
        </w:rPr>
        <w:footnoteReference w:id="4"/>
      </w:r>
      <w:r>
        <w:rPr>
          <w:color w:val="000000"/>
        </w:rPr>
        <w:t>. Le Secrétariat international a déjà reçu une demande de candidature de l</w:t>
      </w:r>
      <w:r w:rsidR="00080381">
        <w:rPr>
          <w:color w:val="000000"/>
        </w:rPr>
        <w:t>’</w:t>
      </w:r>
      <w:r>
        <w:rPr>
          <w:color w:val="000000"/>
        </w:rPr>
        <w:t xml:space="preserve">Arménie </w:t>
      </w:r>
      <w:r w:rsidR="002401E9">
        <w:rPr>
          <w:color w:val="000000"/>
        </w:rPr>
        <w:t>où figurent</w:t>
      </w:r>
      <w:r>
        <w:rPr>
          <w:color w:val="000000"/>
        </w:rPr>
        <w:t xml:space="preserve"> les exigences en matière de propriété réelle dans le cadre du plan de travail. </w:t>
      </w:r>
      <w:r>
        <w:rPr>
          <w:color w:val="000000"/>
          <w:u w:val="single"/>
        </w:rPr>
        <w:t xml:space="preserve">Pour lever toute ambiguïté, il est proposé que le Comité de </w:t>
      </w:r>
      <w:r w:rsidR="002401E9">
        <w:rPr>
          <w:color w:val="000000"/>
          <w:u w:val="single"/>
        </w:rPr>
        <w:t>M</w:t>
      </w:r>
      <w:r>
        <w:rPr>
          <w:color w:val="000000"/>
          <w:u w:val="single"/>
        </w:rPr>
        <w:t xml:space="preserve">ise en œuvre recommande les amendements </w:t>
      </w:r>
      <w:r>
        <w:rPr>
          <w:color w:val="000000"/>
          <w:u w:val="single"/>
        </w:rPr>
        <w:lastRenderedPageBreak/>
        <w:t>suivants à la Norme ITIE</w:t>
      </w:r>
      <w:r w:rsidR="00662766">
        <w:rPr>
          <w:color w:val="000000"/>
          <w:u w:val="single"/>
        </w:rPr>
        <w:t> </w:t>
      </w:r>
      <w:r>
        <w:rPr>
          <w:color w:val="000000"/>
        </w:rPr>
        <w:t>:</w:t>
      </w:r>
    </w:p>
    <w:p w:rsidR="00F96432" w:rsidRPr="00C226EC" w:rsidRDefault="00F96432" w:rsidP="00C226EC">
      <w:pPr>
        <w:pStyle w:val="ListParagraph"/>
        <w:numPr>
          <w:ilvl w:val="0"/>
          <w:numId w:val="36"/>
        </w:numPr>
        <w:rPr>
          <w:b/>
          <w:color w:val="000000"/>
        </w:rPr>
      </w:pPr>
      <w:r>
        <w:rPr>
          <w:b/>
          <w:color w:val="000000"/>
        </w:rPr>
        <w:t>Suppression de la disposition</w:t>
      </w:r>
      <w:r w:rsidR="00662766">
        <w:rPr>
          <w:b/>
          <w:color w:val="000000"/>
        </w:rPr>
        <w:t> </w:t>
      </w:r>
      <w:r>
        <w:rPr>
          <w:b/>
          <w:color w:val="000000"/>
        </w:rPr>
        <w:t>2.5</w:t>
      </w:r>
      <w:r w:rsidR="009F76E7">
        <w:rPr>
          <w:b/>
          <w:color w:val="000000"/>
        </w:rPr>
        <w:t xml:space="preserve"> (</w:t>
      </w:r>
      <w:r>
        <w:rPr>
          <w:b/>
          <w:color w:val="000000"/>
        </w:rPr>
        <w:t>b.ii</w:t>
      </w:r>
      <w:r w:rsidR="009F76E7">
        <w:rPr>
          <w:b/>
          <w:color w:val="000000"/>
        </w:rPr>
        <w:t>)</w:t>
      </w:r>
      <w:r>
        <w:rPr>
          <w:b/>
          <w:color w:val="000000"/>
        </w:rPr>
        <w:t>, actuellement libellée comme suit</w:t>
      </w:r>
      <w:r w:rsidR="00662766">
        <w:rPr>
          <w:b/>
          <w:color w:val="000000"/>
        </w:rPr>
        <w:t> </w:t>
      </w:r>
      <w:r>
        <w:rPr>
          <w:b/>
          <w:color w:val="000000"/>
        </w:rPr>
        <w:t xml:space="preserve">: </w:t>
      </w:r>
      <w:r>
        <w:t>«</w:t>
      </w:r>
      <w:r w:rsidR="00662766">
        <w:t> </w:t>
      </w:r>
      <w:r>
        <w:rPr>
          <w:color w:val="000000"/>
        </w:rPr>
        <w:t>D</w:t>
      </w:r>
      <w:r w:rsidR="00080381">
        <w:rPr>
          <w:color w:val="000000"/>
        </w:rPr>
        <w:t>’</w:t>
      </w:r>
      <w:r>
        <w:rPr>
          <w:color w:val="000000"/>
        </w:rPr>
        <w:t xml:space="preserve">ici au 1er janvier 2017, le Groupe multipartite devra publier une feuille de route relative à la divulgation des informations de propriété réelle conformément aux clauses (c) à (f) ci-dessous. Le Groupe multipartite établira les jalons et les échéances à inscrire dans sa feuille de route, et </w:t>
      </w:r>
      <w:r w:rsidR="009F76E7">
        <w:rPr>
          <w:color w:val="000000"/>
        </w:rPr>
        <w:t xml:space="preserve">il </w:t>
      </w:r>
      <w:r>
        <w:rPr>
          <w:color w:val="000000"/>
        </w:rPr>
        <w:t>évaluera la mise en œuvre de cette feuille de route dans le cadre de son rapport annuel d</w:t>
      </w:r>
      <w:r w:rsidR="00080381">
        <w:rPr>
          <w:color w:val="000000"/>
        </w:rPr>
        <w:t>’</w:t>
      </w:r>
      <w:r>
        <w:rPr>
          <w:color w:val="000000"/>
        </w:rPr>
        <w:t>avancement</w:t>
      </w:r>
      <w:r w:rsidR="00662766">
        <w:rPr>
          <w:color w:val="000000"/>
        </w:rPr>
        <w:t> </w:t>
      </w:r>
      <w:r>
        <w:rPr>
          <w:color w:val="000000"/>
        </w:rPr>
        <w:t>»</w:t>
      </w:r>
      <w:r w:rsidR="009F76E7">
        <w:rPr>
          <w:color w:val="000000"/>
        </w:rPr>
        <w:t>.</w:t>
      </w:r>
    </w:p>
    <w:p w:rsidR="00F96432" w:rsidRDefault="00F96432" w:rsidP="00C226EC">
      <w:pPr>
        <w:pStyle w:val="ListParagraph"/>
        <w:widowControl/>
        <w:numPr>
          <w:ilvl w:val="0"/>
          <w:numId w:val="36"/>
        </w:numPr>
        <w:suppressAutoHyphens w:val="0"/>
        <w:autoSpaceDE w:val="0"/>
        <w:autoSpaceDN w:val="0"/>
        <w:adjustRightInd w:val="0"/>
        <w:spacing w:after="0" w:line="240" w:lineRule="auto"/>
        <w:rPr>
          <w:rFonts w:asciiTheme="minorHAnsi" w:eastAsia="Calibri" w:hAnsiTheme="minorHAnsi" w:cs="MyriadPro-Regular"/>
        </w:rPr>
      </w:pPr>
      <w:r>
        <w:rPr>
          <w:rFonts w:asciiTheme="minorHAnsi" w:hAnsiTheme="minorHAnsi"/>
          <w:b/>
          <w:color w:val="000000"/>
        </w:rPr>
        <w:t>Amendement à la disposition</w:t>
      </w:r>
      <w:r w:rsidR="00662766">
        <w:rPr>
          <w:rFonts w:asciiTheme="minorHAnsi" w:hAnsiTheme="minorHAnsi"/>
          <w:b/>
          <w:color w:val="000000"/>
        </w:rPr>
        <w:t> </w:t>
      </w:r>
      <w:r>
        <w:rPr>
          <w:rFonts w:asciiTheme="minorHAnsi" w:hAnsiTheme="minorHAnsi"/>
          <w:b/>
          <w:color w:val="000000"/>
        </w:rPr>
        <w:t>1.5</w:t>
      </w:r>
      <w:r w:rsidR="009F76E7">
        <w:rPr>
          <w:rFonts w:asciiTheme="minorHAnsi" w:hAnsiTheme="minorHAnsi"/>
          <w:b/>
          <w:color w:val="000000"/>
        </w:rPr>
        <w:t xml:space="preserve"> (</w:t>
      </w:r>
      <w:r>
        <w:rPr>
          <w:rFonts w:asciiTheme="minorHAnsi" w:hAnsiTheme="minorHAnsi"/>
          <w:b/>
          <w:color w:val="000000"/>
        </w:rPr>
        <w:t>c</w:t>
      </w:r>
      <w:r w:rsidR="009F76E7">
        <w:rPr>
          <w:rFonts w:asciiTheme="minorHAnsi" w:hAnsiTheme="minorHAnsi"/>
          <w:b/>
          <w:color w:val="000000"/>
        </w:rPr>
        <w:t>)</w:t>
      </w:r>
      <w:r>
        <w:rPr>
          <w:rFonts w:asciiTheme="minorHAnsi" w:hAnsiTheme="minorHAnsi"/>
          <w:b/>
          <w:color w:val="000000"/>
        </w:rPr>
        <w:t xml:space="preserve">, qui devient </w:t>
      </w:r>
      <w:r>
        <w:t>«</w:t>
      </w:r>
      <w:r w:rsidR="00662766">
        <w:t> </w:t>
      </w:r>
      <w:r>
        <w:t xml:space="preserve">Le </w:t>
      </w:r>
      <w:r>
        <w:rPr>
          <w:rFonts w:asciiTheme="minorHAnsi" w:hAnsiTheme="minorHAnsi"/>
        </w:rPr>
        <w:t>plan de travail doit</w:t>
      </w:r>
      <w:r w:rsidR="00662766">
        <w:rPr>
          <w:rFonts w:asciiTheme="minorHAnsi" w:hAnsiTheme="minorHAnsi"/>
        </w:rPr>
        <w:t> </w:t>
      </w:r>
      <w:r>
        <w:rPr>
          <w:rFonts w:asciiTheme="minorHAnsi" w:hAnsiTheme="minorHAnsi"/>
        </w:rPr>
        <w:t xml:space="preserve">: </w:t>
      </w:r>
    </w:p>
    <w:p w:rsidR="00F96432" w:rsidRPr="00C226EC" w:rsidRDefault="00F96432" w:rsidP="00C226EC">
      <w:pPr>
        <w:pStyle w:val="ListParagraph"/>
        <w:widowControl/>
        <w:suppressAutoHyphens w:val="0"/>
        <w:autoSpaceDE w:val="0"/>
        <w:autoSpaceDN w:val="0"/>
        <w:adjustRightInd w:val="0"/>
        <w:spacing w:after="0" w:line="240" w:lineRule="auto"/>
        <w:ind w:left="1080"/>
        <w:rPr>
          <w:rFonts w:asciiTheme="minorHAnsi" w:eastAsia="Calibri" w:hAnsiTheme="minorHAnsi" w:cs="MyriadPro-Regular"/>
        </w:rPr>
      </w:pPr>
      <w:r>
        <w:rPr>
          <w:rFonts w:asciiTheme="minorHAnsi" w:hAnsiTheme="minorHAnsi"/>
          <w:b/>
          <w:color w:val="000000"/>
        </w:rPr>
        <w:t>…</w:t>
      </w:r>
    </w:p>
    <w:p w:rsidR="00F96432" w:rsidRDefault="00F96432" w:rsidP="00C226EC">
      <w:pPr>
        <w:widowControl/>
        <w:suppressAutoHyphens w:val="0"/>
        <w:autoSpaceDE w:val="0"/>
        <w:autoSpaceDN w:val="0"/>
        <w:adjustRightInd w:val="0"/>
        <w:spacing w:after="120" w:line="240" w:lineRule="auto"/>
        <w:ind w:left="1077"/>
        <w:rPr>
          <w:color w:val="FF0000"/>
        </w:rPr>
      </w:pPr>
      <w:r>
        <w:rPr>
          <w:rFonts w:asciiTheme="minorHAnsi" w:hAnsiTheme="minorHAnsi"/>
          <w:color w:val="FF0000"/>
        </w:rPr>
        <w:t xml:space="preserve">v. Présenter une feuille de route pour </w:t>
      </w:r>
      <w:r>
        <w:rPr>
          <w:color w:val="FF0000"/>
        </w:rPr>
        <w:t>la divulgation des informations de propriété réelle conformément aux clauses</w:t>
      </w:r>
      <w:r w:rsidR="00662766">
        <w:rPr>
          <w:color w:val="FF0000"/>
        </w:rPr>
        <w:t> </w:t>
      </w:r>
      <w:r>
        <w:rPr>
          <w:color w:val="FF0000"/>
        </w:rPr>
        <w:t xml:space="preserve">2.5(c)-(f), y compris les </w:t>
      </w:r>
      <w:r w:rsidR="009F76E7">
        <w:rPr>
          <w:color w:val="FF0000"/>
        </w:rPr>
        <w:t>étape</w:t>
      </w:r>
      <w:r>
        <w:rPr>
          <w:color w:val="FF0000"/>
        </w:rPr>
        <w:t>s et les échéances.</w:t>
      </w:r>
      <w:r w:rsidR="00080381">
        <w:rPr>
          <w:color w:val="FF0000"/>
        </w:rPr>
        <w:t xml:space="preserve"> </w:t>
      </w:r>
    </w:p>
    <w:p w:rsidR="00F96432" w:rsidRDefault="00F96432" w:rsidP="00C226EC">
      <w:pPr>
        <w:pStyle w:val="ListParagraph"/>
        <w:widowControl/>
        <w:numPr>
          <w:ilvl w:val="0"/>
          <w:numId w:val="39"/>
        </w:numPr>
        <w:suppressAutoHyphens w:val="0"/>
        <w:autoSpaceDE w:val="0"/>
        <w:autoSpaceDN w:val="0"/>
        <w:adjustRightInd w:val="0"/>
        <w:spacing w:after="120" w:line="240" w:lineRule="auto"/>
        <w:rPr>
          <w:color w:val="000000" w:themeColor="text1"/>
        </w:rPr>
      </w:pPr>
      <w:r>
        <w:rPr>
          <w:b/>
          <w:color w:val="000000" w:themeColor="text1"/>
        </w:rPr>
        <w:t>Amendements à la disposition</w:t>
      </w:r>
      <w:r w:rsidR="00662766">
        <w:rPr>
          <w:b/>
          <w:color w:val="000000" w:themeColor="text1"/>
        </w:rPr>
        <w:t> </w:t>
      </w:r>
      <w:r>
        <w:rPr>
          <w:b/>
          <w:color w:val="000000" w:themeColor="text1"/>
        </w:rPr>
        <w:t>7.4</w:t>
      </w:r>
      <w:r w:rsidR="009F76E7">
        <w:rPr>
          <w:b/>
          <w:color w:val="000000" w:themeColor="text1"/>
        </w:rPr>
        <w:t xml:space="preserve"> (</w:t>
      </w:r>
      <w:r>
        <w:rPr>
          <w:b/>
          <w:color w:val="000000" w:themeColor="text1"/>
        </w:rPr>
        <w:t>a</w:t>
      </w:r>
      <w:r w:rsidR="009F76E7">
        <w:rPr>
          <w:b/>
          <w:color w:val="000000" w:themeColor="text1"/>
        </w:rPr>
        <w:t>)</w:t>
      </w:r>
      <w:r>
        <w:rPr>
          <w:b/>
          <w:color w:val="000000" w:themeColor="text1"/>
        </w:rPr>
        <w:t>, qui devient</w:t>
      </w:r>
      <w:r>
        <w:rPr>
          <w:color w:val="000000" w:themeColor="text1"/>
        </w:rPr>
        <w:t xml:space="preserve"> «</w:t>
      </w:r>
      <w:r w:rsidR="00662766">
        <w:rPr>
          <w:color w:val="000000" w:themeColor="text1"/>
        </w:rPr>
        <w:t> </w:t>
      </w:r>
      <w:r>
        <w:rPr>
          <w:color w:val="000000" w:themeColor="text1"/>
        </w:rPr>
        <w:t>Le</w:t>
      </w:r>
      <w:r w:rsidR="00080381">
        <w:rPr>
          <w:color w:val="000000" w:themeColor="text1"/>
        </w:rPr>
        <w:t xml:space="preserve"> </w:t>
      </w:r>
      <w:r>
        <w:rPr>
          <w:color w:val="000000" w:themeColor="text1"/>
        </w:rPr>
        <w:t>rapport annuel d</w:t>
      </w:r>
      <w:r w:rsidR="00080381">
        <w:rPr>
          <w:color w:val="000000" w:themeColor="text1"/>
        </w:rPr>
        <w:t>’</w:t>
      </w:r>
      <w:r>
        <w:rPr>
          <w:color w:val="000000" w:themeColor="text1"/>
        </w:rPr>
        <w:t>avancement doit inclure</w:t>
      </w:r>
      <w:r w:rsidR="00662766">
        <w:rPr>
          <w:color w:val="000000" w:themeColor="text1"/>
        </w:rPr>
        <w:t> </w:t>
      </w:r>
      <w:r>
        <w:rPr>
          <w:color w:val="000000" w:themeColor="text1"/>
        </w:rPr>
        <w:t>:</w:t>
      </w:r>
    </w:p>
    <w:p w:rsidR="00F96432" w:rsidRPr="00C226EC" w:rsidRDefault="00F96432" w:rsidP="00C226EC">
      <w:pPr>
        <w:pStyle w:val="ListParagraph"/>
        <w:widowControl/>
        <w:suppressAutoHyphens w:val="0"/>
        <w:autoSpaceDE w:val="0"/>
        <w:autoSpaceDN w:val="0"/>
        <w:adjustRightInd w:val="0"/>
        <w:spacing w:after="120" w:line="240" w:lineRule="auto"/>
        <w:ind w:left="1080"/>
        <w:rPr>
          <w:color w:val="000000" w:themeColor="text1"/>
        </w:rPr>
      </w:pPr>
      <w:r>
        <w:rPr>
          <w:color w:val="000000" w:themeColor="text1"/>
        </w:rPr>
        <w:t>…</w:t>
      </w:r>
    </w:p>
    <w:p w:rsidR="00F96432" w:rsidRDefault="00F96432" w:rsidP="00C226EC">
      <w:pPr>
        <w:pStyle w:val="ListParagraph"/>
        <w:widowControl/>
        <w:suppressAutoHyphens w:val="0"/>
        <w:autoSpaceDE w:val="0"/>
        <w:autoSpaceDN w:val="0"/>
        <w:adjustRightInd w:val="0"/>
        <w:spacing w:after="120" w:line="240" w:lineRule="auto"/>
        <w:ind w:firstLine="357"/>
        <w:rPr>
          <w:color w:val="FF0000"/>
        </w:rPr>
      </w:pPr>
      <w:r>
        <w:rPr>
          <w:color w:val="FF0000"/>
        </w:rPr>
        <w:t xml:space="preserve">vi. Une évaluation de la mise en œuvre de la feuille de route sur la propriété réelle </w:t>
      </w:r>
    </w:p>
    <w:p w:rsidR="00C3403A" w:rsidRPr="00C226EC" w:rsidRDefault="00C3403A" w:rsidP="00C226EC">
      <w:pPr>
        <w:widowControl/>
        <w:suppressAutoHyphens w:val="0"/>
        <w:autoSpaceDE w:val="0"/>
        <w:autoSpaceDN w:val="0"/>
        <w:adjustRightInd w:val="0"/>
        <w:spacing w:after="120" w:line="240" w:lineRule="auto"/>
        <w:rPr>
          <w:color w:val="FF0000"/>
        </w:rPr>
      </w:pPr>
    </w:p>
    <w:p w:rsidR="00171361" w:rsidRDefault="00F77522" w:rsidP="00E46BA0">
      <w:pPr>
        <w:pStyle w:val="ListParagraph"/>
        <w:numPr>
          <w:ilvl w:val="0"/>
          <w:numId w:val="32"/>
        </w:numPr>
        <w:rPr>
          <w:color w:val="000000"/>
        </w:rPr>
      </w:pPr>
      <w:r>
        <w:rPr>
          <w:b/>
          <w:color w:val="000000"/>
        </w:rPr>
        <w:t>Périmètre d</w:t>
      </w:r>
      <w:r w:rsidR="00080381">
        <w:rPr>
          <w:b/>
          <w:color w:val="000000"/>
        </w:rPr>
        <w:t>’</w:t>
      </w:r>
      <w:r>
        <w:rPr>
          <w:b/>
          <w:color w:val="000000"/>
        </w:rPr>
        <w:t>application des exigences en matière de propriété réelle</w:t>
      </w:r>
      <w:r w:rsidR="00E40756">
        <w:rPr>
          <w:b/>
          <w:color w:val="000000"/>
        </w:rPr>
        <w:t>.</w:t>
      </w:r>
      <w:r>
        <w:rPr>
          <w:color w:val="000000"/>
        </w:rPr>
        <w:t xml:space="preserve"> Les activités de soutien à la mise en œuvre et de renforcement des capacités en 2016 ont soulevé certaines questions concernant le périmètre d</w:t>
      </w:r>
      <w:r w:rsidR="00080381">
        <w:rPr>
          <w:color w:val="000000"/>
        </w:rPr>
        <w:t>’</w:t>
      </w:r>
      <w:r>
        <w:rPr>
          <w:color w:val="000000"/>
        </w:rPr>
        <w:t>application des exigences en matière de propriété réelle.</w:t>
      </w:r>
      <w:r w:rsidR="00080381">
        <w:rPr>
          <w:color w:val="000000"/>
        </w:rPr>
        <w:t xml:space="preserve"> </w:t>
      </w:r>
      <w:r>
        <w:rPr>
          <w:color w:val="000000"/>
        </w:rPr>
        <w:t>L</w:t>
      </w:r>
      <w:r w:rsidR="00080381">
        <w:rPr>
          <w:color w:val="000000"/>
        </w:rPr>
        <w:t>’</w:t>
      </w:r>
      <w:r>
        <w:rPr>
          <w:color w:val="000000"/>
        </w:rPr>
        <w:t>Exigence</w:t>
      </w:r>
      <w:r w:rsidR="00662766">
        <w:rPr>
          <w:color w:val="000000"/>
        </w:rPr>
        <w:t> </w:t>
      </w:r>
      <w:r>
        <w:rPr>
          <w:color w:val="000000"/>
        </w:rPr>
        <w:t>2.5</w:t>
      </w:r>
      <w:r w:rsidR="00261BE6">
        <w:rPr>
          <w:color w:val="000000"/>
        </w:rPr>
        <w:t xml:space="preserve"> (</w:t>
      </w:r>
      <w:r>
        <w:rPr>
          <w:color w:val="000000"/>
        </w:rPr>
        <w:t>c</w:t>
      </w:r>
      <w:r w:rsidR="00261BE6">
        <w:rPr>
          <w:color w:val="000000"/>
        </w:rPr>
        <w:t>)</w:t>
      </w:r>
      <w:r>
        <w:rPr>
          <w:color w:val="000000"/>
        </w:rPr>
        <w:t xml:space="preserve"> stipule que l</w:t>
      </w:r>
      <w:r w:rsidR="00080381">
        <w:rPr>
          <w:color w:val="000000"/>
        </w:rPr>
        <w:t>’</w:t>
      </w:r>
      <w:r>
        <w:rPr>
          <w:color w:val="000000"/>
        </w:rPr>
        <w:t>exigence en matière de divulgation de la propriété réelle «</w:t>
      </w:r>
      <w:r w:rsidR="00662766">
        <w:rPr>
          <w:color w:val="000000"/>
        </w:rPr>
        <w:t> </w:t>
      </w:r>
      <w:r>
        <w:rPr>
          <w:color w:val="000000"/>
        </w:rPr>
        <w:t>s</w:t>
      </w:r>
      <w:r w:rsidR="00080381">
        <w:rPr>
          <w:color w:val="000000"/>
        </w:rPr>
        <w:t>’</w:t>
      </w:r>
      <w:r>
        <w:rPr>
          <w:color w:val="000000"/>
        </w:rPr>
        <w:t>applique aux entreprises qui soumissionnent, opèrent, ou investissent dans des actifs extractifs</w:t>
      </w:r>
      <w:r w:rsidR="00662766">
        <w:rPr>
          <w:color w:val="000000"/>
        </w:rPr>
        <w:t> </w:t>
      </w:r>
      <w:r>
        <w:rPr>
          <w:color w:val="000000"/>
        </w:rPr>
        <w:t>». En conséquence, il est important de noter que l</w:t>
      </w:r>
      <w:r w:rsidR="00080381">
        <w:rPr>
          <w:color w:val="000000"/>
        </w:rPr>
        <w:t>’</w:t>
      </w:r>
      <w:r>
        <w:rPr>
          <w:color w:val="000000"/>
        </w:rPr>
        <w:t>exigence s</w:t>
      </w:r>
      <w:r w:rsidR="00080381">
        <w:rPr>
          <w:color w:val="000000"/>
        </w:rPr>
        <w:t>’</w:t>
      </w:r>
      <w:r>
        <w:rPr>
          <w:color w:val="000000"/>
        </w:rPr>
        <w:t xml:space="preserve">étend au-delà des entreprises qui sont incluses dans le </w:t>
      </w:r>
      <w:r w:rsidR="00261BE6">
        <w:rPr>
          <w:color w:val="000000"/>
        </w:rPr>
        <w:t xml:space="preserve">périmètre du </w:t>
      </w:r>
      <w:r>
        <w:rPr>
          <w:color w:val="000000"/>
        </w:rPr>
        <w:t>Rapport ITIE.</w:t>
      </w:r>
      <w:r w:rsidR="00080381">
        <w:rPr>
          <w:color w:val="000000"/>
        </w:rPr>
        <w:t xml:space="preserve"> </w:t>
      </w:r>
      <w:r>
        <w:rPr>
          <w:color w:val="000000"/>
        </w:rPr>
        <w:t>La formulation actuelle soulève les questions suivantes</w:t>
      </w:r>
      <w:r w:rsidR="00662766">
        <w:rPr>
          <w:color w:val="000000"/>
        </w:rPr>
        <w:t> </w:t>
      </w:r>
      <w:r>
        <w:rPr>
          <w:color w:val="000000"/>
        </w:rPr>
        <w:t>:</w:t>
      </w:r>
    </w:p>
    <w:p w:rsidR="007E04C3" w:rsidRDefault="00DD3FB6" w:rsidP="00DD3FB6">
      <w:pPr>
        <w:pStyle w:val="ListParagraph"/>
        <w:numPr>
          <w:ilvl w:val="0"/>
          <w:numId w:val="39"/>
        </w:numPr>
        <w:rPr>
          <w:color w:val="000000"/>
        </w:rPr>
      </w:pPr>
      <w:r>
        <w:rPr>
          <w:b/>
          <w:color w:val="000000"/>
        </w:rPr>
        <w:t>Entreprises qui «</w:t>
      </w:r>
      <w:r w:rsidR="00662766">
        <w:rPr>
          <w:b/>
          <w:color w:val="000000"/>
        </w:rPr>
        <w:t> </w:t>
      </w:r>
      <w:r>
        <w:rPr>
          <w:b/>
          <w:color w:val="000000"/>
        </w:rPr>
        <w:t>soumissionnent</w:t>
      </w:r>
      <w:r w:rsidR="00662766">
        <w:rPr>
          <w:b/>
          <w:color w:val="000000"/>
        </w:rPr>
        <w:t> </w:t>
      </w:r>
      <w:r>
        <w:rPr>
          <w:b/>
          <w:color w:val="000000"/>
        </w:rPr>
        <w:t>» dans des actifs extractifs.</w:t>
      </w:r>
      <w:r>
        <w:rPr>
          <w:color w:val="000000"/>
        </w:rPr>
        <w:t xml:space="preserve"> Faut-il interpréter cette action comme incluant des entreprises qui sont candidates à des droits d</w:t>
      </w:r>
      <w:r w:rsidR="00080381">
        <w:rPr>
          <w:color w:val="000000"/>
        </w:rPr>
        <w:t>’</w:t>
      </w:r>
      <w:r>
        <w:rPr>
          <w:color w:val="000000"/>
        </w:rPr>
        <w:t>exploration et/ou d</w:t>
      </w:r>
      <w:r w:rsidR="00080381">
        <w:rPr>
          <w:color w:val="000000"/>
        </w:rPr>
        <w:t>’</w:t>
      </w:r>
      <w:r>
        <w:rPr>
          <w:color w:val="000000"/>
        </w:rPr>
        <w:t>exploitation du pétrole, du gaz et des minéraux, indépendamment du processus de demande de candidature (par ex., négociation directe, enchères, soumission)</w:t>
      </w:r>
      <w:r w:rsidR="00662766">
        <w:rPr>
          <w:color w:val="000000"/>
        </w:rPr>
        <w:t> </w:t>
      </w:r>
      <w:r>
        <w:rPr>
          <w:color w:val="000000"/>
        </w:rPr>
        <w:t>? Ou doit-on uniquement l</w:t>
      </w:r>
      <w:r w:rsidR="00080381">
        <w:rPr>
          <w:color w:val="000000"/>
        </w:rPr>
        <w:t>’</w:t>
      </w:r>
      <w:r>
        <w:rPr>
          <w:color w:val="000000"/>
        </w:rPr>
        <w:t>appliquer à des entreprises qui sont candidates à de tels droits par le biais d</w:t>
      </w:r>
      <w:r w:rsidR="00080381">
        <w:rPr>
          <w:color w:val="000000"/>
        </w:rPr>
        <w:t>’</w:t>
      </w:r>
      <w:r>
        <w:rPr>
          <w:color w:val="000000"/>
        </w:rPr>
        <w:t>appels d</w:t>
      </w:r>
      <w:r w:rsidR="00080381">
        <w:rPr>
          <w:color w:val="000000"/>
        </w:rPr>
        <w:t>’</w:t>
      </w:r>
      <w:r>
        <w:rPr>
          <w:color w:val="000000"/>
        </w:rPr>
        <w:t>offres</w:t>
      </w:r>
      <w:r w:rsidR="00662766">
        <w:rPr>
          <w:color w:val="000000"/>
        </w:rPr>
        <w:t> </w:t>
      </w:r>
      <w:r>
        <w:rPr>
          <w:color w:val="000000"/>
        </w:rPr>
        <w:t xml:space="preserve">? </w:t>
      </w:r>
      <w:r>
        <w:rPr>
          <w:color w:val="000000"/>
          <w:u w:val="single"/>
        </w:rPr>
        <w:t>Le Secrétariat international entend par là que la plupart des parties prenantes dans les pays mettant en œuvre l</w:t>
      </w:r>
      <w:r w:rsidR="00080381">
        <w:rPr>
          <w:color w:val="000000"/>
          <w:u w:val="single"/>
        </w:rPr>
        <w:t>’</w:t>
      </w:r>
      <w:r>
        <w:rPr>
          <w:color w:val="000000"/>
          <w:u w:val="single"/>
        </w:rPr>
        <w:t>ITIE semblent interpréter cette exigence comme s</w:t>
      </w:r>
      <w:r w:rsidR="00080381">
        <w:rPr>
          <w:color w:val="000000"/>
          <w:u w:val="single"/>
        </w:rPr>
        <w:t>’</w:t>
      </w:r>
      <w:r>
        <w:rPr>
          <w:color w:val="000000"/>
          <w:u w:val="single"/>
        </w:rPr>
        <w:t>appliquant à toute personne morale candidate à l</w:t>
      </w:r>
      <w:r w:rsidR="00080381">
        <w:rPr>
          <w:color w:val="000000"/>
          <w:u w:val="single"/>
        </w:rPr>
        <w:t>’</w:t>
      </w:r>
      <w:r>
        <w:rPr>
          <w:color w:val="000000"/>
          <w:u w:val="single"/>
        </w:rPr>
        <w:t>ob</w:t>
      </w:r>
      <w:r w:rsidR="00E40756">
        <w:rPr>
          <w:color w:val="000000"/>
          <w:u w:val="single"/>
        </w:rPr>
        <w:t>t</w:t>
      </w:r>
      <w:r>
        <w:rPr>
          <w:color w:val="000000"/>
          <w:u w:val="single"/>
        </w:rPr>
        <w:t>ention de licences d</w:t>
      </w:r>
      <w:r w:rsidR="00080381">
        <w:rPr>
          <w:color w:val="000000"/>
          <w:u w:val="single"/>
        </w:rPr>
        <w:t>’</w:t>
      </w:r>
      <w:r>
        <w:rPr>
          <w:color w:val="000000"/>
          <w:u w:val="single"/>
        </w:rPr>
        <w:t>exploration et/ou de production</w:t>
      </w:r>
      <w:r>
        <w:rPr>
          <w:color w:val="000000"/>
        </w:rPr>
        <w:t xml:space="preserve">. </w:t>
      </w:r>
    </w:p>
    <w:p w:rsidR="00DD3FB6" w:rsidRDefault="002C303A" w:rsidP="0037549F">
      <w:pPr>
        <w:pStyle w:val="ListParagraph"/>
        <w:numPr>
          <w:ilvl w:val="0"/>
          <w:numId w:val="39"/>
        </w:numPr>
        <w:rPr>
          <w:color w:val="000000"/>
        </w:rPr>
      </w:pPr>
      <w:r>
        <w:rPr>
          <w:b/>
          <w:color w:val="000000"/>
        </w:rPr>
        <w:t>Entreprises qui «</w:t>
      </w:r>
      <w:r w:rsidR="00662766">
        <w:rPr>
          <w:b/>
          <w:color w:val="000000"/>
        </w:rPr>
        <w:t> </w:t>
      </w:r>
      <w:r>
        <w:rPr>
          <w:b/>
          <w:color w:val="000000"/>
        </w:rPr>
        <w:t>opèrent</w:t>
      </w:r>
      <w:r w:rsidR="00662766">
        <w:rPr>
          <w:b/>
          <w:color w:val="000000"/>
        </w:rPr>
        <w:t> </w:t>
      </w:r>
      <w:r>
        <w:rPr>
          <w:b/>
          <w:color w:val="000000"/>
        </w:rPr>
        <w:t>» dans des actifs extractifs.</w:t>
      </w:r>
      <w:r>
        <w:rPr>
          <w:color w:val="000000"/>
        </w:rPr>
        <w:t xml:space="preserve"> Faut-il interpréter cette action comme incluant toute entreprise qui détient des droits valides d</w:t>
      </w:r>
      <w:r w:rsidR="00080381">
        <w:rPr>
          <w:color w:val="000000"/>
        </w:rPr>
        <w:t>’</w:t>
      </w:r>
      <w:r>
        <w:rPr>
          <w:color w:val="000000"/>
        </w:rPr>
        <w:t>exploration ou de production de pétrole, de gaz et de minéraux</w:t>
      </w:r>
      <w:r w:rsidR="00662766">
        <w:rPr>
          <w:color w:val="000000"/>
        </w:rPr>
        <w:t> </w:t>
      </w:r>
      <w:r>
        <w:rPr>
          <w:color w:val="000000"/>
        </w:rPr>
        <w:t>? Ceci doit-il englober l</w:t>
      </w:r>
      <w:r w:rsidR="00080381">
        <w:rPr>
          <w:color w:val="000000"/>
        </w:rPr>
        <w:t>’</w:t>
      </w:r>
      <w:r>
        <w:rPr>
          <w:color w:val="000000"/>
        </w:rPr>
        <w:t>exploitation minière artisanale ou à petite échelle</w:t>
      </w:r>
      <w:r w:rsidR="00662766">
        <w:rPr>
          <w:color w:val="000000"/>
        </w:rPr>
        <w:t> </w:t>
      </w:r>
      <w:r>
        <w:rPr>
          <w:color w:val="000000"/>
        </w:rPr>
        <w:t xml:space="preserve">? </w:t>
      </w:r>
      <w:r>
        <w:rPr>
          <w:color w:val="000000"/>
          <w:u w:val="single"/>
        </w:rPr>
        <w:t>Le Secrétariat international entend par là que la plupart des parties prenantes dans les pays mettant en œuvre l</w:t>
      </w:r>
      <w:r w:rsidR="00080381">
        <w:rPr>
          <w:color w:val="000000"/>
          <w:u w:val="single"/>
        </w:rPr>
        <w:t>’</w:t>
      </w:r>
      <w:r>
        <w:rPr>
          <w:color w:val="000000"/>
          <w:u w:val="single"/>
        </w:rPr>
        <w:t>ITIE interprètent cette exigence comme s</w:t>
      </w:r>
      <w:r w:rsidR="00080381">
        <w:rPr>
          <w:color w:val="000000"/>
          <w:u w:val="single"/>
        </w:rPr>
        <w:t>’</w:t>
      </w:r>
      <w:r>
        <w:rPr>
          <w:color w:val="000000"/>
          <w:u w:val="single"/>
        </w:rPr>
        <w:t xml:space="preserve">appliquant à toute personne morale qui détient à </w:t>
      </w:r>
      <w:r w:rsidR="00CF5BDB">
        <w:rPr>
          <w:color w:val="000000"/>
          <w:u w:val="single"/>
        </w:rPr>
        <w:t>un</w:t>
      </w:r>
      <w:r>
        <w:rPr>
          <w:color w:val="000000"/>
          <w:u w:val="single"/>
        </w:rPr>
        <w:t xml:space="preserve"> moment</w:t>
      </w:r>
      <w:r w:rsidR="00CF5BDB">
        <w:rPr>
          <w:color w:val="000000"/>
          <w:u w:val="single"/>
        </w:rPr>
        <w:t xml:space="preserve"> donné</w:t>
      </w:r>
      <w:r>
        <w:rPr>
          <w:color w:val="000000"/>
          <w:u w:val="single"/>
        </w:rPr>
        <w:t xml:space="preserve"> des licences d</w:t>
      </w:r>
      <w:r w:rsidR="00080381">
        <w:rPr>
          <w:color w:val="000000"/>
          <w:u w:val="single"/>
        </w:rPr>
        <w:t>’</w:t>
      </w:r>
      <w:r>
        <w:rPr>
          <w:color w:val="000000"/>
          <w:u w:val="single"/>
        </w:rPr>
        <w:t>exploration et/ou de production</w:t>
      </w:r>
      <w:r>
        <w:rPr>
          <w:color w:val="000000"/>
        </w:rPr>
        <w:t>.</w:t>
      </w:r>
    </w:p>
    <w:p w:rsidR="000E3E45" w:rsidRPr="000E3E45" w:rsidRDefault="002C303A" w:rsidP="00E40756">
      <w:pPr>
        <w:pStyle w:val="ListParagraph"/>
        <w:numPr>
          <w:ilvl w:val="0"/>
          <w:numId w:val="39"/>
        </w:numPr>
        <w:rPr>
          <w:b/>
          <w:color w:val="000000"/>
        </w:rPr>
      </w:pPr>
      <w:r>
        <w:rPr>
          <w:b/>
          <w:color w:val="000000"/>
        </w:rPr>
        <w:t>Entreprises qui «</w:t>
      </w:r>
      <w:r w:rsidR="00662766">
        <w:rPr>
          <w:b/>
          <w:color w:val="000000"/>
        </w:rPr>
        <w:t> </w:t>
      </w:r>
      <w:r>
        <w:rPr>
          <w:b/>
          <w:color w:val="000000"/>
        </w:rPr>
        <w:t>investissent dans</w:t>
      </w:r>
      <w:r w:rsidR="00662766">
        <w:rPr>
          <w:b/>
          <w:color w:val="000000"/>
        </w:rPr>
        <w:t> </w:t>
      </w:r>
      <w:r>
        <w:rPr>
          <w:b/>
          <w:color w:val="000000"/>
        </w:rPr>
        <w:t xml:space="preserve">» dans des actifs extractifs. </w:t>
      </w:r>
      <w:r>
        <w:rPr>
          <w:color w:val="000000"/>
        </w:rPr>
        <w:t xml:space="preserve">Faut-il interpréter cette </w:t>
      </w:r>
      <w:r>
        <w:rPr>
          <w:color w:val="000000"/>
        </w:rPr>
        <w:lastRenderedPageBreak/>
        <w:t xml:space="preserve">action comme incluant des entreprises qui détiennent une participation directe dans un projet extractif, telles que des </w:t>
      </w:r>
      <w:r w:rsidR="00936866">
        <w:rPr>
          <w:color w:val="000000"/>
        </w:rPr>
        <w:t xml:space="preserve">consortiums </w:t>
      </w:r>
      <w:r>
        <w:rPr>
          <w:color w:val="000000"/>
        </w:rPr>
        <w:t>partenaires non</w:t>
      </w:r>
      <w:r w:rsidR="00662766">
        <w:rPr>
          <w:color w:val="000000"/>
        </w:rPr>
        <w:t xml:space="preserve"> </w:t>
      </w:r>
      <w:r>
        <w:rPr>
          <w:color w:val="000000"/>
        </w:rPr>
        <w:t>exploitants</w:t>
      </w:r>
      <w:r w:rsidR="00662766">
        <w:rPr>
          <w:color w:val="000000"/>
        </w:rPr>
        <w:t> </w:t>
      </w:r>
      <w:r>
        <w:rPr>
          <w:color w:val="000000"/>
        </w:rPr>
        <w:t xml:space="preserve">? Ceci inclut-il également </w:t>
      </w:r>
      <w:r w:rsidR="007B6C35">
        <w:rPr>
          <w:color w:val="000000"/>
        </w:rPr>
        <w:t>l</w:t>
      </w:r>
      <w:r>
        <w:rPr>
          <w:color w:val="000000"/>
        </w:rPr>
        <w:t>es entreprises qui investissent dans des entreprises déten</w:t>
      </w:r>
      <w:r w:rsidR="007B6C35">
        <w:rPr>
          <w:color w:val="000000"/>
        </w:rPr>
        <w:t>a</w:t>
      </w:r>
      <w:r>
        <w:rPr>
          <w:color w:val="000000"/>
        </w:rPr>
        <w:t>nt une licence d</w:t>
      </w:r>
      <w:r w:rsidR="00080381">
        <w:rPr>
          <w:color w:val="000000"/>
        </w:rPr>
        <w:t>’</w:t>
      </w:r>
      <w:r>
        <w:rPr>
          <w:color w:val="000000"/>
        </w:rPr>
        <w:t>extraction, que ce soit à travers des actions, des prêts ou d</w:t>
      </w:r>
      <w:r w:rsidR="00080381">
        <w:rPr>
          <w:color w:val="000000"/>
        </w:rPr>
        <w:t>’</w:t>
      </w:r>
      <w:r>
        <w:rPr>
          <w:color w:val="000000"/>
        </w:rPr>
        <w:t>autres moyens</w:t>
      </w:r>
      <w:r w:rsidR="00662766">
        <w:rPr>
          <w:color w:val="000000"/>
        </w:rPr>
        <w:t> </w:t>
      </w:r>
      <w:r>
        <w:rPr>
          <w:color w:val="000000"/>
        </w:rPr>
        <w:t xml:space="preserve">? </w:t>
      </w:r>
      <w:r>
        <w:rPr>
          <w:color w:val="000000"/>
          <w:u w:val="single"/>
        </w:rPr>
        <w:t>Le Secrétariat international entend par là qu</w:t>
      </w:r>
      <w:r w:rsidR="00080381">
        <w:rPr>
          <w:color w:val="000000"/>
          <w:u w:val="single"/>
        </w:rPr>
        <w:t>’</w:t>
      </w:r>
      <w:r>
        <w:rPr>
          <w:color w:val="000000"/>
          <w:u w:val="single"/>
        </w:rPr>
        <w:t>il pourrait être difficile d</w:t>
      </w:r>
      <w:r w:rsidR="00080381">
        <w:rPr>
          <w:color w:val="000000"/>
          <w:u w:val="single"/>
        </w:rPr>
        <w:t>’</w:t>
      </w:r>
      <w:r>
        <w:rPr>
          <w:color w:val="000000"/>
          <w:u w:val="single"/>
        </w:rPr>
        <w:t>obtenir des données sur la propriété réelle provenant d</w:t>
      </w:r>
      <w:r w:rsidR="00080381">
        <w:rPr>
          <w:color w:val="000000"/>
          <w:u w:val="single"/>
        </w:rPr>
        <w:t>’</w:t>
      </w:r>
      <w:r>
        <w:rPr>
          <w:color w:val="000000"/>
          <w:u w:val="single"/>
        </w:rPr>
        <w:t>entreprises qui investissent dans des entreprises détenant des droits extractifs, car les États mettant en œuvre l</w:t>
      </w:r>
      <w:r w:rsidR="00080381">
        <w:rPr>
          <w:color w:val="000000"/>
          <w:u w:val="single"/>
        </w:rPr>
        <w:t>’</w:t>
      </w:r>
      <w:r>
        <w:rPr>
          <w:color w:val="000000"/>
          <w:u w:val="single"/>
        </w:rPr>
        <w:t>ITIE ne sont pas susceptibles d</w:t>
      </w:r>
      <w:r w:rsidR="00080381">
        <w:rPr>
          <w:color w:val="000000"/>
          <w:u w:val="single"/>
        </w:rPr>
        <w:t>’</w:t>
      </w:r>
      <w:r>
        <w:rPr>
          <w:color w:val="000000"/>
          <w:u w:val="single"/>
        </w:rPr>
        <w:t>avoir une compétence quelconque à l</w:t>
      </w:r>
      <w:r w:rsidR="00080381">
        <w:rPr>
          <w:color w:val="000000"/>
          <w:u w:val="single"/>
        </w:rPr>
        <w:t>’</w:t>
      </w:r>
      <w:r>
        <w:rPr>
          <w:color w:val="000000"/>
          <w:u w:val="single"/>
        </w:rPr>
        <w:t>égard d</w:t>
      </w:r>
      <w:r w:rsidR="00080381">
        <w:rPr>
          <w:color w:val="000000"/>
          <w:u w:val="single"/>
        </w:rPr>
        <w:t>’</w:t>
      </w:r>
      <w:r>
        <w:rPr>
          <w:color w:val="000000"/>
          <w:u w:val="single"/>
        </w:rPr>
        <w:t>investisseurs enregistrés à l</w:t>
      </w:r>
      <w:r w:rsidR="00080381">
        <w:rPr>
          <w:color w:val="000000"/>
          <w:u w:val="single"/>
        </w:rPr>
        <w:t>’</w:t>
      </w:r>
      <w:r>
        <w:rPr>
          <w:color w:val="000000"/>
          <w:u w:val="single"/>
        </w:rPr>
        <w:t xml:space="preserve">étranger. </w:t>
      </w:r>
    </w:p>
    <w:p w:rsidR="009E278F" w:rsidRPr="000E3E45" w:rsidRDefault="00DD3FB6" w:rsidP="000E3E45">
      <w:pPr>
        <w:rPr>
          <w:b/>
          <w:color w:val="000000"/>
        </w:rPr>
      </w:pPr>
      <w:r>
        <w:rPr>
          <w:color w:val="000000"/>
          <w:u w:val="single"/>
        </w:rPr>
        <w:t>Il est proposé que le Comité de mise en œuvre fasse une recommandation au Conseil d</w:t>
      </w:r>
      <w:r w:rsidR="00080381">
        <w:rPr>
          <w:color w:val="000000"/>
          <w:u w:val="single"/>
        </w:rPr>
        <w:t>’</w:t>
      </w:r>
      <w:r>
        <w:rPr>
          <w:color w:val="000000"/>
          <w:u w:val="single"/>
        </w:rPr>
        <w:t xml:space="preserve">administration sur la façon dont ces exigences seront évaluées </w:t>
      </w:r>
      <w:r w:rsidR="007B6C35">
        <w:rPr>
          <w:color w:val="000000"/>
          <w:u w:val="single"/>
        </w:rPr>
        <w:t>au moment de</w:t>
      </w:r>
      <w:r>
        <w:rPr>
          <w:color w:val="000000"/>
          <w:u w:val="single"/>
        </w:rPr>
        <w:t xml:space="preserve"> la Validation, y compris tous amendements potentiels à l</w:t>
      </w:r>
      <w:r w:rsidR="00080381">
        <w:rPr>
          <w:color w:val="000000"/>
          <w:u w:val="single"/>
        </w:rPr>
        <w:t>’</w:t>
      </w:r>
      <w:r>
        <w:rPr>
          <w:color w:val="000000"/>
          <w:u w:val="single"/>
        </w:rPr>
        <w:t>exigence</w:t>
      </w:r>
      <w:r w:rsidR="00662766">
        <w:rPr>
          <w:color w:val="000000"/>
          <w:u w:val="single"/>
        </w:rPr>
        <w:t> </w:t>
      </w:r>
      <w:r>
        <w:rPr>
          <w:color w:val="000000"/>
          <w:u w:val="single"/>
        </w:rPr>
        <w:t>2.5</w:t>
      </w:r>
      <w:r w:rsidR="007B6C35">
        <w:rPr>
          <w:color w:val="000000"/>
          <w:u w:val="single"/>
        </w:rPr>
        <w:t xml:space="preserve"> (</w:t>
      </w:r>
      <w:r>
        <w:rPr>
          <w:color w:val="000000"/>
          <w:u w:val="single"/>
        </w:rPr>
        <w:t>c</w:t>
      </w:r>
      <w:r w:rsidR="007B6C35">
        <w:rPr>
          <w:color w:val="000000"/>
          <w:u w:val="single"/>
        </w:rPr>
        <w:t>)</w:t>
      </w:r>
      <w:r>
        <w:rPr>
          <w:color w:val="000000"/>
          <w:u w:val="single"/>
        </w:rPr>
        <w:t xml:space="preserve"> </w:t>
      </w:r>
      <w:r w:rsidR="007B6C35">
        <w:rPr>
          <w:color w:val="000000"/>
          <w:u w:val="single"/>
        </w:rPr>
        <w:t>permettant</w:t>
      </w:r>
      <w:r>
        <w:rPr>
          <w:color w:val="000000"/>
          <w:u w:val="single"/>
        </w:rPr>
        <w:t xml:space="preserve"> de lever l</w:t>
      </w:r>
      <w:r w:rsidR="00080381">
        <w:rPr>
          <w:color w:val="000000"/>
          <w:u w:val="single"/>
        </w:rPr>
        <w:t>’</w:t>
      </w:r>
      <w:r>
        <w:rPr>
          <w:color w:val="000000"/>
          <w:u w:val="single"/>
        </w:rPr>
        <w:t>ambiguïté actuelle.</w:t>
      </w:r>
    </w:p>
    <w:p w:rsidR="0069615F" w:rsidRPr="00BA09DA" w:rsidRDefault="00CC39D4" w:rsidP="00E40756">
      <w:pPr>
        <w:pStyle w:val="ListParagraph"/>
        <w:numPr>
          <w:ilvl w:val="0"/>
          <w:numId w:val="32"/>
        </w:numPr>
        <w:rPr>
          <w:b/>
          <w:color w:val="000000"/>
          <w:u w:val="single"/>
        </w:rPr>
      </w:pPr>
      <w:r>
        <w:rPr>
          <w:b/>
          <w:color w:val="000000"/>
        </w:rPr>
        <w:t xml:space="preserve">Soutien technique et financier. </w:t>
      </w:r>
      <w:r>
        <w:t>À l</w:t>
      </w:r>
      <w:r w:rsidR="00080381">
        <w:t>’</w:t>
      </w:r>
      <w:r>
        <w:t xml:space="preserve">évidence, les activités de grande envergure </w:t>
      </w:r>
      <w:r w:rsidR="00CD7611">
        <w:t>afférentes à la</w:t>
      </w:r>
      <w:r>
        <w:t xml:space="preserve"> sensibilisation, </w:t>
      </w:r>
      <w:r w:rsidR="000B1C24">
        <w:t>la</w:t>
      </w:r>
      <w:r>
        <w:t xml:space="preserve"> formation et </w:t>
      </w:r>
      <w:r w:rsidR="000B1C24">
        <w:t>l</w:t>
      </w:r>
      <w:r>
        <w:t xml:space="preserve">e renforcement des capacités qui se sont déroulées en 2017 ont porté leurs fruits quant </w:t>
      </w:r>
      <w:r w:rsidR="000B1C24">
        <w:t>aux efforts faits pour</w:t>
      </w:r>
      <w:r>
        <w:t xml:space="preserve"> </w:t>
      </w:r>
      <w:r w:rsidR="000B1C24">
        <w:t>s</w:t>
      </w:r>
      <w:r w:rsidR="00080381">
        <w:t>’</w:t>
      </w:r>
      <w:r>
        <w:t>assure</w:t>
      </w:r>
      <w:r w:rsidR="000B1C24">
        <w:t>r</w:t>
      </w:r>
      <w:r>
        <w:t xml:space="preserve"> que les pays tirent des enseignements mutuels et renforcent l</w:t>
      </w:r>
      <w:r w:rsidR="00080381">
        <w:t>’</w:t>
      </w:r>
      <w:r>
        <w:t>information et les connaissances sur la transparence de la propriété réelle. Toutes les feuilles de route c</w:t>
      </w:r>
      <w:r w:rsidR="00D17DF2">
        <w:t>omprenn</w:t>
      </w:r>
      <w:r>
        <w:t>ent des activités complémentaires liées au renforcement des capacités. Il existe également de grandes attentes concernant le soutien technique et financier à la mise en œuvre des feuilles de route, et l</w:t>
      </w:r>
      <w:r w:rsidR="00080381">
        <w:t>’</w:t>
      </w:r>
      <w:r>
        <w:t>éventualité de ne pas parvenir à fournir un tel soutien est vraisemblablement l</w:t>
      </w:r>
      <w:r w:rsidR="00080381">
        <w:t>’</w:t>
      </w:r>
      <w:r>
        <w:t>un des risques les plus sérieux affectant l</w:t>
      </w:r>
      <w:r w:rsidR="00080381">
        <w:t>’</w:t>
      </w:r>
      <w:r>
        <w:t>engagement de l</w:t>
      </w:r>
      <w:r w:rsidR="00080381">
        <w:t>’</w:t>
      </w:r>
      <w:r>
        <w:t>ITIE à l</w:t>
      </w:r>
      <w:r w:rsidR="00080381">
        <w:t>’</w:t>
      </w:r>
      <w:r>
        <w:t>égard de la transparence de la propriété réelle d</w:t>
      </w:r>
      <w:r w:rsidR="00080381">
        <w:t>’</w:t>
      </w:r>
      <w:r>
        <w:t>ici à 2020. Le Secrétariat international est reconnaissant pour le soutien considérable apporté par le DFID et la BERD à l</w:t>
      </w:r>
      <w:r w:rsidR="00080381">
        <w:t>’</w:t>
      </w:r>
      <w:r>
        <w:t xml:space="preserve">appui du travail effectué sur la propriété réelle dans les pays sélectionnés. </w:t>
      </w:r>
      <w:r>
        <w:rPr>
          <w:u w:val="single"/>
        </w:rPr>
        <w:t>Le Comité de mise en œuvre</w:t>
      </w:r>
      <w:r w:rsidR="00080381">
        <w:rPr>
          <w:u w:val="single"/>
        </w:rPr>
        <w:t xml:space="preserve"> </w:t>
      </w:r>
      <w:r>
        <w:rPr>
          <w:u w:val="single"/>
        </w:rPr>
        <w:t>souhaiter</w:t>
      </w:r>
      <w:r w:rsidR="00D17DF2">
        <w:rPr>
          <w:u w:val="single"/>
        </w:rPr>
        <w:t>a peut-être</w:t>
      </w:r>
      <w:r>
        <w:rPr>
          <w:u w:val="single"/>
        </w:rPr>
        <w:t xml:space="preserve"> envisager </w:t>
      </w:r>
      <w:r w:rsidR="00D17DF2">
        <w:rPr>
          <w:u w:val="single"/>
        </w:rPr>
        <w:t>la</w:t>
      </w:r>
      <w:r>
        <w:rPr>
          <w:u w:val="single"/>
        </w:rPr>
        <w:t xml:space="preserve"> possibilité d</w:t>
      </w:r>
      <w:r w:rsidR="00080381">
        <w:rPr>
          <w:u w:val="single"/>
        </w:rPr>
        <w:t>’</w:t>
      </w:r>
      <w:r>
        <w:rPr>
          <w:u w:val="single"/>
        </w:rPr>
        <w:t>encourager un renforcement de ce soutien dans le but d</w:t>
      </w:r>
      <w:r w:rsidR="00080381">
        <w:rPr>
          <w:u w:val="single"/>
        </w:rPr>
        <w:t>’</w:t>
      </w:r>
      <w:r>
        <w:rPr>
          <w:u w:val="single"/>
        </w:rPr>
        <w:t xml:space="preserve">assurer la mise en œuvre des feuilles de route. </w:t>
      </w:r>
    </w:p>
    <w:p w:rsidR="00786CAC" w:rsidRDefault="00786CAC" w:rsidP="0069615F">
      <w:pPr>
        <w:rPr>
          <w:b/>
          <w:color w:val="000000"/>
        </w:rPr>
      </w:pPr>
    </w:p>
    <w:p w:rsidR="0069615F" w:rsidRPr="0069615F" w:rsidRDefault="0069615F" w:rsidP="0069615F">
      <w:pPr>
        <w:rPr>
          <w:b/>
          <w:color w:val="000000"/>
        </w:rPr>
        <w:sectPr w:rsidR="0069615F" w:rsidRPr="0069615F" w:rsidSect="00BD0766">
          <w:headerReference w:type="even" r:id="rId17"/>
          <w:headerReference w:type="default" r:id="rId18"/>
          <w:footerReference w:type="even" r:id="rId19"/>
          <w:footerReference w:type="default" r:id="rId20"/>
          <w:headerReference w:type="first" r:id="rId21"/>
          <w:footerReference w:type="first" r:id="rId22"/>
          <w:pgSz w:w="11905" w:h="16837"/>
          <w:pgMar w:top="1417" w:right="1417" w:bottom="1417" w:left="1417" w:header="567" w:footer="737" w:gutter="0"/>
          <w:pgNumType w:start="1"/>
          <w:cols w:space="708"/>
          <w:titlePg/>
          <w:docGrid w:linePitch="326"/>
        </w:sectPr>
      </w:pPr>
    </w:p>
    <w:p w:rsidR="0013284C" w:rsidRPr="0013284C" w:rsidRDefault="0013284C" w:rsidP="00117A96">
      <w:pPr>
        <w:pStyle w:val="Heading1"/>
        <w:numPr>
          <w:ilvl w:val="0"/>
          <w:numId w:val="0"/>
        </w:numPr>
      </w:pPr>
    </w:p>
    <w:sectPr w:rsidR="0013284C" w:rsidRPr="0013284C" w:rsidSect="00A534B0">
      <w:pgSz w:w="11905" w:h="16837"/>
      <w:pgMar w:top="851" w:right="1134" w:bottom="1134" w:left="1134" w:header="567" w:footer="73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D4C" w:rsidRDefault="001C0D4C" w:rsidP="00AB49BF">
      <w:r>
        <w:separator/>
      </w:r>
    </w:p>
  </w:endnote>
  <w:endnote w:type="continuationSeparator" w:id="0">
    <w:p w:rsidR="001C0D4C" w:rsidRDefault="001C0D4C" w:rsidP="00AB49BF">
      <w:r>
        <w:continuationSeparator/>
      </w:r>
    </w:p>
  </w:endnote>
  <w:endnote w:type="continuationNotice" w:id="1">
    <w:p w:rsidR="001C0D4C" w:rsidRDefault="001C0D4C" w:rsidP="00AB4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yriad Pro SemiCond">
    <w:panose1 w:val="00000000000000000000"/>
    <w:charset w:val="00"/>
    <w:family w:val="swiss"/>
    <w:notTrueType/>
    <w:pitch w:val="variable"/>
    <w:sig w:usb0="A00002AF" w:usb1="5000204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yriad Pro Light SemiCond">
    <w:altName w:val="Corbel"/>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48" w:rsidRDefault="00470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48" w:rsidRDefault="00470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503" w:rsidRDefault="009C2503" w:rsidP="00AB49BF">
    <w:pPr>
      <w:pStyle w:val="Footer"/>
    </w:pPr>
    <w:r>
      <w:rPr>
        <w:noProof/>
        <w:lang w:val="nb-NO" w:eastAsia="nb-NO" w:bidi="ar-SA"/>
      </w:rPr>
      <w:drawing>
        <wp:anchor distT="0" distB="0" distL="114300" distR="114300" simplePos="0" relativeHeight="251660288" behindDoc="0" locked="0" layoutInCell="1" allowOverlap="1">
          <wp:simplePos x="0" y="0"/>
          <wp:positionH relativeFrom="column">
            <wp:posOffset>-733425</wp:posOffset>
          </wp:positionH>
          <wp:positionV relativeFrom="paragraph">
            <wp:posOffset>276225</wp:posOffset>
          </wp:positionV>
          <wp:extent cx="7604760" cy="473710"/>
          <wp:effectExtent l="0" t="0" r="0" b="2540"/>
          <wp:wrapNone/>
          <wp:docPr id="6" name="Picture 6" descr="FOOTE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760" cy="4737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D4C" w:rsidRDefault="001C0D4C" w:rsidP="00AB49BF">
      <w:r>
        <w:separator/>
      </w:r>
    </w:p>
  </w:footnote>
  <w:footnote w:type="continuationSeparator" w:id="0">
    <w:p w:rsidR="001C0D4C" w:rsidRDefault="001C0D4C" w:rsidP="00AB49BF">
      <w:r>
        <w:continuationSeparator/>
      </w:r>
    </w:p>
  </w:footnote>
  <w:footnote w:type="continuationNotice" w:id="1">
    <w:p w:rsidR="001C0D4C" w:rsidRDefault="001C0D4C" w:rsidP="00AB49BF"/>
  </w:footnote>
  <w:footnote w:id="2">
    <w:p w:rsidR="009C2503" w:rsidRPr="004145F4" w:rsidRDefault="009C2503">
      <w:pPr>
        <w:pStyle w:val="FootnoteText"/>
      </w:pPr>
      <w:r>
        <w:rPr>
          <w:rStyle w:val="FootnoteReference"/>
        </w:rPr>
        <w:footnoteRef/>
      </w:r>
      <w:r>
        <w:t xml:space="preserve"> L’Azerbaïdjan, le Burkina Faso, le Tchad, la Côte d’Ivoire, l’Éthiopie, le Ghana, l’Indonésie, Madagascar, le Malawi, le Mali, la Mauritanie, le Mozambique, le Niger, le Nigéria, la Papouasie-Nouvelle-Guinée, le Pérou, Sao Tomé-et-Principe, la Sierra Leone, le Tadjikistan, le Togo, l’Ukraine, les États-Unis et la Zambie.</w:t>
      </w:r>
    </w:p>
  </w:footnote>
  <w:footnote w:id="3">
    <w:p w:rsidR="009C2503" w:rsidRPr="00C51E0B" w:rsidRDefault="009C2503">
      <w:pPr>
        <w:pStyle w:val="FootnoteText"/>
      </w:pPr>
      <w:r>
        <w:rPr>
          <w:rStyle w:val="FootnoteReference"/>
        </w:rPr>
        <w:footnoteRef/>
      </w:r>
      <w:r>
        <w:t xml:space="preserve"> L’Azerbaïdjan, le Cameroun, le Tchad, la Côte d’Ivoire, la RDC, l’Allemagne, le Ghana, la Guinée, l’Indonésie, la République kirg</w:t>
      </w:r>
      <w:r w:rsidR="000F0B47">
        <w:t>h</w:t>
      </w:r>
      <w:r>
        <w:t xml:space="preserve">ize, le Mali, la Mauritanie, la Mongolie, le Nigéria, la Papouasie-Nouvelle-Guinée, Sao Tomé-et-Principe, le Togo, Trinidad et Tobago, l’Ukraine et le Royaume-Uni. </w:t>
      </w:r>
    </w:p>
  </w:footnote>
  <w:footnote w:id="4">
    <w:p w:rsidR="009C2503" w:rsidRPr="008F35A4" w:rsidRDefault="009C2503">
      <w:pPr>
        <w:pStyle w:val="FootnoteText"/>
        <w:rPr>
          <w:lang w:val="nb-NO"/>
        </w:rPr>
      </w:pPr>
      <w:r>
        <w:rPr>
          <w:rStyle w:val="FootnoteReference"/>
        </w:rPr>
        <w:footnoteRef/>
      </w:r>
      <w:r>
        <w:t xml:space="preserve"> Document du Conseil d’administration</w:t>
      </w:r>
      <w:r w:rsidR="00662766">
        <w:t> </w:t>
      </w:r>
      <w:r>
        <w:t>34-4-A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48" w:rsidRDefault="00470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503" w:rsidRPr="00FD4836" w:rsidRDefault="009C2503" w:rsidP="00FD4836">
    <w:pPr>
      <w:pStyle w:val="Header"/>
      <w:ind w:right="136"/>
      <w:contextualSpacing/>
      <w:jc w:val="right"/>
      <w:rPr>
        <w:sz w:val="18"/>
      </w:rPr>
    </w:pPr>
    <w:r>
      <w:rPr>
        <w:sz w:val="18"/>
      </w:rPr>
      <w:t>Document du Comité de mise en œuvre</w:t>
    </w:r>
    <w:r w:rsidR="00662766">
      <w:rPr>
        <w:sz w:val="18"/>
      </w:rPr>
      <w:t> </w:t>
    </w:r>
    <w:r>
      <w:rPr>
        <w:sz w:val="18"/>
      </w:rPr>
      <w:t>10-3</w:t>
    </w:r>
    <w:r>
      <w:rPr>
        <w:sz w:val="18"/>
      </w:rPr>
      <w:br/>
      <w:t xml:space="preserve">Analyse du projet de feuille de route sur la propriété réelle </w:t>
    </w:r>
    <w:r w:rsidR="001C0D4C">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81.5pt;margin-top:-1.05pt;width:64.9pt;height:20.8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" fillcolor="#4f81bd" stroked="f">
          <v:textbox inset="0,.4mm,17mm,0">
            <w:txbxContent>
              <w:p w:rsidR="009C2503" w:rsidRPr="00F87865" w:rsidRDefault="009C2503" w:rsidP="00EA5BCD">
                <w:pPr>
                  <w:jc w:val="right"/>
                  <w:rPr>
                    <w:color w:val="FFFFFF"/>
                  </w:rPr>
                </w:pPr>
                <w:r>
                  <w:fldChar w:fldCharType="begin"/>
                </w:r>
                <w:r>
                  <w:instrText xml:space="preserve"> PAGE   \* MERGEFORMAT </w:instrText>
                </w:r>
                <w:r>
                  <w:fldChar w:fldCharType="separate"/>
                </w:r>
                <w:r w:rsidR="00D17C06" w:rsidRPr="00D17C06">
                  <w:rPr>
                    <w:noProof/>
                    <w:color w:val="FFFFFF"/>
                  </w:rPr>
                  <w:t>2</w:t>
                </w:r>
                <w:r>
                  <w:rPr>
                    <w:noProof/>
                    <w:color w:val="FFFFFF"/>
                  </w:rPr>
                  <w:fldChar w:fldCharType="end"/>
                </w:r>
              </w:p>
              <w:p w:rsidR="009C2503" w:rsidRPr="00117D77" w:rsidRDefault="009C2503" w:rsidP="00EA5BCD">
                <w:pPr>
                  <w:jc w:val="right"/>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48" w:rsidRDefault="00470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7C28772"/>
    <w:lvl w:ilvl="0">
      <w:start w:val="1"/>
      <w:numFmt w:val="decimal"/>
      <w:pStyle w:val="Heading1"/>
      <w:lvlText w:val="%1"/>
      <w:lvlJc w:val="left"/>
      <w:pPr>
        <w:tabs>
          <w:tab w:val="num" w:pos="0"/>
        </w:tabs>
      </w:pPr>
      <w:rPr>
        <w:sz w:val="28"/>
        <w:szCs w:val="28"/>
      </w:rPr>
    </w:lvl>
    <w:lvl w:ilvl="1">
      <w:start w:val="1"/>
      <w:numFmt w:val="decimal"/>
      <w:lvlText w:val="%1.%2"/>
      <w:lvlJc w:val="left"/>
      <w:pPr>
        <w:tabs>
          <w:tab w:val="num" w:pos="1135"/>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007958A0"/>
    <w:multiLevelType w:val="multilevel"/>
    <w:tmpl w:val="99082C22"/>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F1F543E"/>
    <w:multiLevelType w:val="multilevel"/>
    <w:tmpl w:val="32EAB97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10344D6D"/>
    <w:multiLevelType w:val="multilevel"/>
    <w:tmpl w:val="22A4551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133F0E54"/>
    <w:multiLevelType w:val="multilevel"/>
    <w:tmpl w:val="9940D20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13E158B6"/>
    <w:multiLevelType w:val="hybridMultilevel"/>
    <w:tmpl w:val="001C7C2A"/>
    <w:lvl w:ilvl="0" w:tplc="04140001">
      <w:start w:val="1"/>
      <w:numFmt w:val="bullet"/>
      <w:lvlText w:val=""/>
      <w:lvlJc w:val="left"/>
      <w:pPr>
        <w:ind w:left="1437" w:hanging="360"/>
      </w:pPr>
      <w:rPr>
        <w:rFonts w:ascii="Symbol" w:hAnsi="Symbol" w:hint="default"/>
      </w:rPr>
    </w:lvl>
    <w:lvl w:ilvl="1" w:tplc="04140003" w:tentative="1">
      <w:start w:val="1"/>
      <w:numFmt w:val="bullet"/>
      <w:lvlText w:val="o"/>
      <w:lvlJc w:val="left"/>
      <w:pPr>
        <w:ind w:left="2157" w:hanging="360"/>
      </w:pPr>
      <w:rPr>
        <w:rFonts w:ascii="Courier New" w:hAnsi="Courier New" w:cs="Courier New" w:hint="default"/>
      </w:rPr>
    </w:lvl>
    <w:lvl w:ilvl="2" w:tplc="04140005" w:tentative="1">
      <w:start w:val="1"/>
      <w:numFmt w:val="bullet"/>
      <w:lvlText w:val=""/>
      <w:lvlJc w:val="left"/>
      <w:pPr>
        <w:ind w:left="2877" w:hanging="360"/>
      </w:pPr>
      <w:rPr>
        <w:rFonts w:ascii="Wingdings" w:hAnsi="Wingdings" w:hint="default"/>
      </w:rPr>
    </w:lvl>
    <w:lvl w:ilvl="3" w:tplc="04140001" w:tentative="1">
      <w:start w:val="1"/>
      <w:numFmt w:val="bullet"/>
      <w:lvlText w:val=""/>
      <w:lvlJc w:val="left"/>
      <w:pPr>
        <w:ind w:left="3597" w:hanging="360"/>
      </w:pPr>
      <w:rPr>
        <w:rFonts w:ascii="Symbol" w:hAnsi="Symbol" w:hint="default"/>
      </w:rPr>
    </w:lvl>
    <w:lvl w:ilvl="4" w:tplc="04140003" w:tentative="1">
      <w:start w:val="1"/>
      <w:numFmt w:val="bullet"/>
      <w:lvlText w:val="o"/>
      <w:lvlJc w:val="left"/>
      <w:pPr>
        <w:ind w:left="4317" w:hanging="360"/>
      </w:pPr>
      <w:rPr>
        <w:rFonts w:ascii="Courier New" w:hAnsi="Courier New" w:cs="Courier New" w:hint="default"/>
      </w:rPr>
    </w:lvl>
    <w:lvl w:ilvl="5" w:tplc="04140005" w:tentative="1">
      <w:start w:val="1"/>
      <w:numFmt w:val="bullet"/>
      <w:lvlText w:val=""/>
      <w:lvlJc w:val="left"/>
      <w:pPr>
        <w:ind w:left="5037" w:hanging="360"/>
      </w:pPr>
      <w:rPr>
        <w:rFonts w:ascii="Wingdings" w:hAnsi="Wingdings" w:hint="default"/>
      </w:rPr>
    </w:lvl>
    <w:lvl w:ilvl="6" w:tplc="04140001" w:tentative="1">
      <w:start w:val="1"/>
      <w:numFmt w:val="bullet"/>
      <w:lvlText w:val=""/>
      <w:lvlJc w:val="left"/>
      <w:pPr>
        <w:ind w:left="5757" w:hanging="360"/>
      </w:pPr>
      <w:rPr>
        <w:rFonts w:ascii="Symbol" w:hAnsi="Symbol" w:hint="default"/>
      </w:rPr>
    </w:lvl>
    <w:lvl w:ilvl="7" w:tplc="04140003" w:tentative="1">
      <w:start w:val="1"/>
      <w:numFmt w:val="bullet"/>
      <w:lvlText w:val="o"/>
      <w:lvlJc w:val="left"/>
      <w:pPr>
        <w:ind w:left="6477" w:hanging="360"/>
      </w:pPr>
      <w:rPr>
        <w:rFonts w:ascii="Courier New" w:hAnsi="Courier New" w:cs="Courier New" w:hint="default"/>
      </w:rPr>
    </w:lvl>
    <w:lvl w:ilvl="8" w:tplc="04140005" w:tentative="1">
      <w:start w:val="1"/>
      <w:numFmt w:val="bullet"/>
      <w:lvlText w:val=""/>
      <w:lvlJc w:val="left"/>
      <w:pPr>
        <w:ind w:left="7197" w:hanging="360"/>
      </w:pPr>
      <w:rPr>
        <w:rFonts w:ascii="Wingdings" w:hAnsi="Wingdings" w:hint="default"/>
      </w:rPr>
    </w:lvl>
  </w:abstractNum>
  <w:abstractNum w:abstractNumId="6" w15:restartNumberingAfterBreak="0">
    <w:nsid w:val="1704351B"/>
    <w:multiLevelType w:val="multilevel"/>
    <w:tmpl w:val="F2042CA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15:restartNumberingAfterBreak="0">
    <w:nsid w:val="18483183"/>
    <w:multiLevelType w:val="hybridMultilevel"/>
    <w:tmpl w:val="277C350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22A14574"/>
    <w:multiLevelType w:val="hybridMultilevel"/>
    <w:tmpl w:val="D096A2C0"/>
    <w:lvl w:ilvl="0" w:tplc="EA3EDAE4">
      <w:start w:val="1"/>
      <w:numFmt w:val="lowerRoman"/>
      <w:lvlText w:val="(%1)"/>
      <w:lvlJc w:val="left"/>
      <w:pPr>
        <w:ind w:left="720" w:hanging="72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24760E2C"/>
    <w:multiLevelType w:val="multilevel"/>
    <w:tmpl w:val="E2E6107E"/>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72436E9"/>
    <w:multiLevelType w:val="hybridMultilevel"/>
    <w:tmpl w:val="76F621AC"/>
    <w:lvl w:ilvl="0" w:tplc="04140001">
      <w:start w:val="1"/>
      <w:numFmt w:val="bullet"/>
      <w:lvlText w:val=""/>
      <w:lvlJc w:val="left"/>
      <w:pPr>
        <w:ind w:left="1797" w:hanging="360"/>
      </w:pPr>
      <w:rPr>
        <w:rFonts w:ascii="Symbol" w:hAnsi="Symbol" w:hint="default"/>
      </w:rPr>
    </w:lvl>
    <w:lvl w:ilvl="1" w:tplc="04140003" w:tentative="1">
      <w:start w:val="1"/>
      <w:numFmt w:val="bullet"/>
      <w:lvlText w:val="o"/>
      <w:lvlJc w:val="left"/>
      <w:pPr>
        <w:ind w:left="2517" w:hanging="360"/>
      </w:pPr>
      <w:rPr>
        <w:rFonts w:ascii="Courier New" w:hAnsi="Courier New" w:cs="Courier New" w:hint="default"/>
      </w:rPr>
    </w:lvl>
    <w:lvl w:ilvl="2" w:tplc="04140005" w:tentative="1">
      <w:start w:val="1"/>
      <w:numFmt w:val="bullet"/>
      <w:lvlText w:val=""/>
      <w:lvlJc w:val="left"/>
      <w:pPr>
        <w:ind w:left="3237" w:hanging="360"/>
      </w:pPr>
      <w:rPr>
        <w:rFonts w:ascii="Wingdings" w:hAnsi="Wingdings" w:hint="default"/>
      </w:rPr>
    </w:lvl>
    <w:lvl w:ilvl="3" w:tplc="04140001" w:tentative="1">
      <w:start w:val="1"/>
      <w:numFmt w:val="bullet"/>
      <w:lvlText w:val=""/>
      <w:lvlJc w:val="left"/>
      <w:pPr>
        <w:ind w:left="3957" w:hanging="360"/>
      </w:pPr>
      <w:rPr>
        <w:rFonts w:ascii="Symbol" w:hAnsi="Symbol" w:hint="default"/>
      </w:rPr>
    </w:lvl>
    <w:lvl w:ilvl="4" w:tplc="04140003" w:tentative="1">
      <w:start w:val="1"/>
      <w:numFmt w:val="bullet"/>
      <w:lvlText w:val="o"/>
      <w:lvlJc w:val="left"/>
      <w:pPr>
        <w:ind w:left="4677" w:hanging="360"/>
      </w:pPr>
      <w:rPr>
        <w:rFonts w:ascii="Courier New" w:hAnsi="Courier New" w:cs="Courier New" w:hint="default"/>
      </w:rPr>
    </w:lvl>
    <w:lvl w:ilvl="5" w:tplc="04140005" w:tentative="1">
      <w:start w:val="1"/>
      <w:numFmt w:val="bullet"/>
      <w:lvlText w:val=""/>
      <w:lvlJc w:val="left"/>
      <w:pPr>
        <w:ind w:left="5397" w:hanging="360"/>
      </w:pPr>
      <w:rPr>
        <w:rFonts w:ascii="Wingdings" w:hAnsi="Wingdings" w:hint="default"/>
      </w:rPr>
    </w:lvl>
    <w:lvl w:ilvl="6" w:tplc="04140001" w:tentative="1">
      <w:start w:val="1"/>
      <w:numFmt w:val="bullet"/>
      <w:lvlText w:val=""/>
      <w:lvlJc w:val="left"/>
      <w:pPr>
        <w:ind w:left="6117" w:hanging="360"/>
      </w:pPr>
      <w:rPr>
        <w:rFonts w:ascii="Symbol" w:hAnsi="Symbol" w:hint="default"/>
      </w:rPr>
    </w:lvl>
    <w:lvl w:ilvl="7" w:tplc="04140003" w:tentative="1">
      <w:start w:val="1"/>
      <w:numFmt w:val="bullet"/>
      <w:lvlText w:val="o"/>
      <w:lvlJc w:val="left"/>
      <w:pPr>
        <w:ind w:left="6837" w:hanging="360"/>
      </w:pPr>
      <w:rPr>
        <w:rFonts w:ascii="Courier New" w:hAnsi="Courier New" w:cs="Courier New" w:hint="default"/>
      </w:rPr>
    </w:lvl>
    <w:lvl w:ilvl="8" w:tplc="04140005" w:tentative="1">
      <w:start w:val="1"/>
      <w:numFmt w:val="bullet"/>
      <w:lvlText w:val=""/>
      <w:lvlJc w:val="left"/>
      <w:pPr>
        <w:ind w:left="7557" w:hanging="360"/>
      </w:pPr>
      <w:rPr>
        <w:rFonts w:ascii="Wingdings" w:hAnsi="Wingdings" w:hint="default"/>
      </w:rPr>
    </w:lvl>
  </w:abstractNum>
  <w:abstractNum w:abstractNumId="11" w15:restartNumberingAfterBreak="0">
    <w:nsid w:val="28446858"/>
    <w:multiLevelType w:val="hybridMultilevel"/>
    <w:tmpl w:val="915611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AF372A1"/>
    <w:multiLevelType w:val="multilevel"/>
    <w:tmpl w:val="914A46B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2C30562E"/>
    <w:multiLevelType w:val="hybridMultilevel"/>
    <w:tmpl w:val="CE9243E8"/>
    <w:lvl w:ilvl="0" w:tplc="04140001">
      <w:start w:val="1"/>
      <w:numFmt w:val="bullet"/>
      <w:lvlText w:val=""/>
      <w:lvlJc w:val="left"/>
      <w:pPr>
        <w:ind w:left="773" w:hanging="360"/>
      </w:pPr>
      <w:rPr>
        <w:rFonts w:ascii="Symbol" w:hAnsi="Symbol" w:hint="default"/>
      </w:rPr>
    </w:lvl>
    <w:lvl w:ilvl="1" w:tplc="04140003" w:tentative="1">
      <w:start w:val="1"/>
      <w:numFmt w:val="bullet"/>
      <w:lvlText w:val="o"/>
      <w:lvlJc w:val="left"/>
      <w:pPr>
        <w:ind w:left="1493" w:hanging="360"/>
      </w:pPr>
      <w:rPr>
        <w:rFonts w:ascii="Courier New" w:hAnsi="Courier New" w:cs="Courier New" w:hint="default"/>
      </w:rPr>
    </w:lvl>
    <w:lvl w:ilvl="2" w:tplc="04140005" w:tentative="1">
      <w:start w:val="1"/>
      <w:numFmt w:val="bullet"/>
      <w:lvlText w:val=""/>
      <w:lvlJc w:val="left"/>
      <w:pPr>
        <w:ind w:left="2213" w:hanging="360"/>
      </w:pPr>
      <w:rPr>
        <w:rFonts w:ascii="Wingdings" w:hAnsi="Wingdings" w:hint="default"/>
      </w:rPr>
    </w:lvl>
    <w:lvl w:ilvl="3" w:tplc="04140001" w:tentative="1">
      <w:start w:val="1"/>
      <w:numFmt w:val="bullet"/>
      <w:lvlText w:val=""/>
      <w:lvlJc w:val="left"/>
      <w:pPr>
        <w:ind w:left="2933" w:hanging="360"/>
      </w:pPr>
      <w:rPr>
        <w:rFonts w:ascii="Symbol" w:hAnsi="Symbol" w:hint="default"/>
      </w:rPr>
    </w:lvl>
    <w:lvl w:ilvl="4" w:tplc="04140003" w:tentative="1">
      <w:start w:val="1"/>
      <w:numFmt w:val="bullet"/>
      <w:lvlText w:val="o"/>
      <w:lvlJc w:val="left"/>
      <w:pPr>
        <w:ind w:left="3653" w:hanging="360"/>
      </w:pPr>
      <w:rPr>
        <w:rFonts w:ascii="Courier New" w:hAnsi="Courier New" w:cs="Courier New" w:hint="default"/>
      </w:rPr>
    </w:lvl>
    <w:lvl w:ilvl="5" w:tplc="04140005" w:tentative="1">
      <w:start w:val="1"/>
      <w:numFmt w:val="bullet"/>
      <w:lvlText w:val=""/>
      <w:lvlJc w:val="left"/>
      <w:pPr>
        <w:ind w:left="4373" w:hanging="360"/>
      </w:pPr>
      <w:rPr>
        <w:rFonts w:ascii="Wingdings" w:hAnsi="Wingdings" w:hint="default"/>
      </w:rPr>
    </w:lvl>
    <w:lvl w:ilvl="6" w:tplc="04140001" w:tentative="1">
      <w:start w:val="1"/>
      <w:numFmt w:val="bullet"/>
      <w:lvlText w:val=""/>
      <w:lvlJc w:val="left"/>
      <w:pPr>
        <w:ind w:left="5093" w:hanging="360"/>
      </w:pPr>
      <w:rPr>
        <w:rFonts w:ascii="Symbol" w:hAnsi="Symbol" w:hint="default"/>
      </w:rPr>
    </w:lvl>
    <w:lvl w:ilvl="7" w:tplc="04140003" w:tentative="1">
      <w:start w:val="1"/>
      <w:numFmt w:val="bullet"/>
      <w:lvlText w:val="o"/>
      <w:lvlJc w:val="left"/>
      <w:pPr>
        <w:ind w:left="5813" w:hanging="360"/>
      </w:pPr>
      <w:rPr>
        <w:rFonts w:ascii="Courier New" w:hAnsi="Courier New" w:cs="Courier New" w:hint="default"/>
      </w:rPr>
    </w:lvl>
    <w:lvl w:ilvl="8" w:tplc="04140005" w:tentative="1">
      <w:start w:val="1"/>
      <w:numFmt w:val="bullet"/>
      <w:lvlText w:val=""/>
      <w:lvlJc w:val="left"/>
      <w:pPr>
        <w:ind w:left="6533" w:hanging="360"/>
      </w:pPr>
      <w:rPr>
        <w:rFonts w:ascii="Wingdings" w:hAnsi="Wingdings" w:hint="default"/>
      </w:rPr>
    </w:lvl>
  </w:abstractNum>
  <w:abstractNum w:abstractNumId="14" w15:restartNumberingAfterBreak="0">
    <w:nsid w:val="2D315D00"/>
    <w:multiLevelType w:val="multilevel"/>
    <w:tmpl w:val="0C021F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2E12215"/>
    <w:multiLevelType w:val="multilevel"/>
    <w:tmpl w:val="585E7DA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 w15:restartNumberingAfterBreak="0">
    <w:nsid w:val="338E0A82"/>
    <w:multiLevelType w:val="multilevel"/>
    <w:tmpl w:val="B7A488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6120B66"/>
    <w:multiLevelType w:val="hybridMultilevel"/>
    <w:tmpl w:val="A9EC5D92"/>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8" w15:restartNumberingAfterBreak="0">
    <w:nsid w:val="44930CA3"/>
    <w:multiLevelType w:val="hybridMultilevel"/>
    <w:tmpl w:val="0600735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7A66A25"/>
    <w:multiLevelType w:val="hybridMultilevel"/>
    <w:tmpl w:val="D5BC253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58865967"/>
    <w:multiLevelType w:val="multilevel"/>
    <w:tmpl w:val="23B08D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589A4EC7"/>
    <w:multiLevelType w:val="hybridMultilevel"/>
    <w:tmpl w:val="DA1E72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9863528"/>
    <w:multiLevelType w:val="hybridMultilevel"/>
    <w:tmpl w:val="84E254A6"/>
    <w:lvl w:ilvl="0" w:tplc="E21CCFCC">
      <w:start w:val="1"/>
      <w:numFmt w:val="lowerRoman"/>
      <w:lvlText w:val="(%1)"/>
      <w:lvlJc w:val="left"/>
      <w:pPr>
        <w:ind w:left="720" w:hanging="72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5C394282"/>
    <w:multiLevelType w:val="multilevel"/>
    <w:tmpl w:val="90D027E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4" w15:restartNumberingAfterBreak="0">
    <w:nsid w:val="5EC6287F"/>
    <w:multiLevelType w:val="multilevel"/>
    <w:tmpl w:val="91F0446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 w15:restartNumberingAfterBreak="0">
    <w:nsid w:val="61CD473C"/>
    <w:multiLevelType w:val="hybridMultilevel"/>
    <w:tmpl w:val="1340FB12"/>
    <w:lvl w:ilvl="0" w:tplc="97C86408">
      <w:start w:val="1"/>
      <w:numFmt w:val="lowerLetter"/>
      <w:lvlText w:val="%1)"/>
      <w:lvlJc w:val="left"/>
      <w:pPr>
        <w:ind w:left="1080" w:hanging="360"/>
      </w:pPr>
      <w:rPr>
        <w:rFonts w:hint="default"/>
        <w:color w:val="auto"/>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6" w15:restartNumberingAfterBreak="0">
    <w:nsid w:val="62703057"/>
    <w:multiLevelType w:val="hybridMultilevel"/>
    <w:tmpl w:val="9544DE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2BF0D96"/>
    <w:multiLevelType w:val="multilevel"/>
    <w:tmpl w:val="EEE0B72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8" w15:restartNumberingAfterBreak="0">
    <w:nsid w:val="64B95401"/>
    <w:multiLevelType w:val="multilevel"/>
    <w:tmpl w:val="E46EE9D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9" w15:restartNumberingAfterBreak="0">
    <w:nsid w:val="64FD1C71"/>
    <w:multiLevelType w:val="multilevel"/>
    <w:tmpl w:val="C10EA6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67EF05BB"/>
    <w:multiLevelType w:val="multilevel"/>
    <w:tmpl w:val="FE942C5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1" w15:restartNumberingAfterBreak="0">
    <w:nsid w:val="6D8E36CF"/>
    <w:multiLevelType w:val="hybridMultilevel"/>
    <w:tmpl w:val="B758271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2881487"/>
    <w:multiLevelType w:val="multilevel"/>
    <w:tmpl w:val="45F8C39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3" w15:restartNumberingAfterBreak="0">
    <w:nsid w:val="72A327E2"/>
    <w:multiLevelType w:val="hybridMultilevel"/>
    <w:tmpl w:val="F9D4D3F4"/>
    <w:lvl w:ilvl="0" w:tplc="C14E6BB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4" w15:restartNumberingAfterBreak="0">
    <w:nsid w:val="72D35FAD"/>
    <w:multiLevelType w:val="multilevel"/>
    <w:tmpl w:val="551C81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77F6624A"/>
    <w:multiLevelType w:val="multilevel"/>
    <w:tmpl w:val="FBF816E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6" w15:restartNumberingAfterBreak="0">
    <w:nsid w:val="7937050F"/>
    <w:multiLevelType w:val="multilevel"/>
    <w:tmpl w:val="9BFEE9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7A5975D7"/>
    <w:multiLevelType w:val="hybridMultilevel"/>
    <w:tmpl w:val="8D2C60D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8" w15:restartNumberingAfterBreak="0">
    <w:nsid w:val="7C2D2EEE"/>
    <w:multiLevelType w:val="multilevel"/>
    <w:tmpl w:val="5058C0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7F81392D"/>
    <w:multiLevelType w:val="multilevel"/>
    <w:tmpl w:val="7EA4D5B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0"/>
  </w:num>
  <w:num w:numId="2">
    <w:abstractNumId w:val="13"/>
  </w:num>
  <w:num w:numId="3">
    <w:abstractNumId w:val="28"/>
  </w:num>
  <w:num w:numId="4">
    <w:abstractNumId w:val="6"/>
  </w:num>
  <w:num w:numId="5">
    <w:abstractNumId w:val="2"/>
  </w:num>
  <w:num w:numId="6">
    <w:abstractNumId w:val="36"/>
  </w:num>
  <w:num w:numId="7">
    <w:abstractNumId w:val="32"/>
  </w:num>
  <w:num w:numId="8">
    <w:abstractNumId w:val="27"/>
  </w:num>
  <w:num w:numId="9">
    <w:abstractNumId w:val="29"/>
  </w:num>
  <w:num w:numId="10">
    <w:abstractNumId w:val="16"/>
  </w:num>
  <w:num w:numId="11">
    <w:abstractNumId w:val="35"/>
  </w:num>
  <w:num w:numId="12">
    <w:abstractNumId w:val="12"/>
  </w:num>
  <w:num w:numId="13">
    <w:abstractNumId w:val="38"/>
  </w:num>
  <w:num w:numId="14">
    <w:abstractNumId w:val="24"/>
  </w:num>
  <w:num w:numId="15">
    <w:abstractNumId w:val="23"/>
  </w:num>
  <w:num w:numId="16">
    <w:abstractNumId w:val="9"/>
  </w:num>
  <w:num w:numId="17">
    <w:abstractNumId w:val="1"/>
  </w:num>
  <w:num w:numId="18">
    <w:abstractNumId w:val="15"/>
  </w:num>
  <w:num w:numId="19">
    <w:abstractNumId w:val="3"/>
  </w:num>
  <w:num w:numId="20">
    <w:abstractNumId w:val="30"/>
  </w:num>
  <w:num w:numId="21">
    <w:abstractNumId w:val="14"/>
  </w:num>
  <w:num w:numId="22">
    <w:abstractNumId w:val="4"/>
  </w:num>
  <w:num w:numId="23">
    <w:abstractNumId w:val="20"/>
  </w:num>
  <w:num w:numId="24">
    <w:abstractNumId w:val="34"/>
  </w:num>
  <w:num w:numId="25">
    <w:abstractNumId w:val="39"/>
  </w:num>
  <w:num w:numId="26">
    <w:abstractNumId w:val="5"/>
  </w:num>
  <w:num w:numId="27">
    <w:abstractNumId w:val="26"/>
  </w:num>
  <w:num w:numId="28">
    <w:abstractNumId w:val="21"/>
  </w:num>
  <w:num w:numId="29">
    <w:abstractNumId w:val="31"/>
  </w:num>
  <w:num w:numId="30">
    <w:abstractNumId w:val="11"/>
  </w:num>
  <w:num w:numId="31">
    <w:abstractNumId w:val="8"/>
  </w:num>
  <w:num w:numId="32">
    <w:abstractNumId w:val="22"/>
  </w:num>
  <w:num w:numId="33">
    <w:abstractNumId w:val="25"/>
  </w:num>
  <w:num w:numId="34">
    <w:abstractNumId w:val="17"/>
  </w:num>
  <w:num w:numId="35">
    <w:abstractNumId w:val="33"/>
  </w:num>
  <w:num w:numId="36">
    <w:abstractNumId w:val="37"/>
  </w:num>
  <w:num w:numId="37">
    <w:abstractNumId w:val="18"/>
  </w:num>
  <w:num w:numId="38">
    <w:abstractNumId w:val="10"/>
  </w:num>
  <w:num w:numId="39">
    <w:abstractNumId w:val="19"/>
  </w:num>
  <w:num w:numId="4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nb-NO" w:vendorID="64" w:dllVersion="0" w:nlCheck="1" w:checkStyle="0"/>
  <w:activeWritingStyle w:appName="MSWord" w:lang="en-GB" w:vendorID="64" w:dllVersion="0" w:nlCheck="1" w:checkStyle="0"/>
  <w:activeWritingStyle w:appName="MSWord" w:lang="en-US" w:vendorID="64" w:dllVersion="0" w:nlCheck="1" w:checkStyle="0"/>
  <w:activeWritingStyle w:appName="MSWord" w:lang="es-AR" w:vendorID="64" w:dllVersion="0" w:nlCheck="1" w:checkStyle="1"/>
  <w:activeWritingStyle w:appName="MSWord" w:lang="es-CO" w:vendorID="64" w:dllVersion="0" w:nlCheck="1" w:checkStyle="1"/>
  <w:activeWritingStyle w:appName="MSWord" w:lang="en-AU" w:vendorID="64" w:dllVersion="0" w:nlCheck="1" w:checkStyle="0"/>
  <w:activeWritingStyle w:appName="MSWord" w:lang="fr-FR" w:vendorID="64" w:dllVersion="0" w:nlCheck="1" w:checkStyle="0"/>
  <w:activeWritingStyle w:appName="MSWord" w:lang="fr-FR" w:vendorID="64" w:dllVersion="131078" w:nlCheck="1" w:checkStyle="0"/>
  <w:defaultTabStop w:val="1077"/>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903BC0"/>
    <w:rsid w:val="00001553"/>
    <w:rsid w:val="0000272A"/>
    <w:rsid w:val="00003C47"/>
    <w:rsid w:val="0000423E"/>
    <w:rsid w:val="00006B14"/>
    <w:rsid w:val="0001176B"/>
    <w:rsid w:val="00013897"/>
    <w:rsid w:val="000218A5"/>
    <w:rsid w:val="00022EE5"/>
    <w:rsid w:val="000245CD"/>
    <w:rsid w:val="00026174"/>
    <w:rsid w:val="00027D36"/>
    <w:rsid w:val="00030AA2"/>
    <w:rsid w:val="00032C84"/>
    <w:rsid w:val="00032FC8"/>
    <w:rsid w:val="00033054"/>
    <w:rsid w:val="00033A12"/>
    <w:rsid w:val="00033AEF"/>
    <w:rsid w:val="00033EDF"/>
    <w:rsid w:val="00035136"/>
    <w:rsid w:val="0003568A"/>
    <w:rsid w:val="00036578"/>
    <w:rsid w:val="000433AF"/>
    <w:rsid w:val="000456AB"/>
    <w:rsid w:val="000463A3"/>
    <w:rsid w:val="00046DB7"/>
    <w:rsid w:val="00050467"/>
    <w:rsid w:val="00053883"/>
    <w:rsid w:val="00057917"/>
    <w:rsid w:val="00061586"/>
    <w:rsid w:val="000621DB"/>
    <w:rsid w:val="00063600"/>
    <w:rsid w:val="0006411F"/>
    <w:rsid w:val="00065807"/>
    <w:rsid w:val="00072CCA"/>
    <w:rsid w:val="00073A50"/>
    <w:rsid w:val="00073CC0"/>
    <w:rsid w:val="00073FFA"/>
    <w:rsid w:val="00076113"/>
    <w:rsid w:val="0007690F"/>
    <w:rsid w:val="00076A93"/>
    <w:rsid w:val="0007755E"/>
    <w:rsid w:val="00080381"/>
    <w:rsid w:val="00082979"/>
    <w:rsid w:val="00082A3C"/>
    <w:rsid w:val="00083E83"/>
    <w:rsid w:val="00084397"/>
    <w:rsid w:val="0009049F"/>
    <w:rsid w:val="000904C3"/>
    <w:rsid w:val="00090CB7"/>
    <w:rsid w:val="000910D1"/>
    <w:rsid w:val="00091308"/>
    <w:rsid w:val="00092916"/>
    <w:rsid w:val="00093CE7"/>
    <w:rsid w:val="00096642"/>
    <w:rsid w:val="00097845"/>
    <w:rsid w:val="00097D23"/>
    <w:rsid w:val="000A1303"/>
    <w:rsid w:val="000A3179"/>
    <w:rsid w:val="000A3A2B"/>
    <w:rsid w:val="000A5D51"/>
    <w:rsid w:val="000B1C24"/>
    <w:rsid w:val="000B59AB"/>
    <w:rsid w:val="000C2822"/>
    <w:rsid w:val="000C2F4C"/>
    <w:rsid w:val="000C5E1A"/>
    <w:rsid w:val="000D1CA9"/>
    <w:rsid w:val="000D1F07"/>
    <w:rsid w:val="000D35C9"/>
    <w:rsid w:val="000D5187"/>
    <w:rsid w:val="000D7F05"/>
    <w:rsid w:val="000E34F5"/>
    <w:rsid w:val="000E38BA"/>
    <w:rsid w:val="000E3E45"/>
    <w:rsid w:val="000E4BC0"/>
    <w:rsid w:val="000F03E8"/>
    <w:rsid w:val="000F0B47"/>
    <w:rsid w:val="000F5230"/>
    <w:rsid w:val="000F5918"/>
    <w:rsid w:val="0010064E"/>
    <w:rsid w:val="00100F75"/>
    <w:rsid w:val="00101BD3"/>
    <w:rsid w:val="00102882"/>
    <w:rsid w:val="001107F6"/>
    <w:rsid w:val="00113075"/>
    <w:rsid w:val="001145EC"/>
    <w:rsid w:val="001166BC"/>
    <w:rsid w:val="001167EC"/>
    <w:rsid w:val="00116A1A"/>
    <w:rsid w:val="00117A96"/>
    <w:rsid w:val="0012031F"/>
    <w:rsid w:val="00126375"/>
    <w:rsid w:val="001271BE"/>
    <w:rsid w:val="0012782E"/>
    <w:rsid w:val="00130026"/>
    <w:rsid w:val="00131024"/>
    <w:rsid w:val="0013284C"/>
    <w:rsid w:val="00137470"/>
    <w:rsid w:val="001434BE"/>
    <w:rsid w:val="00144679"/>
    <w:rsid w:val="00151433"/>
    <w:rsid w:val="0015314C"/>
    <w:rsid w:val="001556F7"/>
    <w:rsid w:val="001562F6"/>
    <w:rsid w:val="00156FCD"/>
    <w:rsid w:val="0016469B"/>
    <w:rsid w:val="00171361"/>
    <w:rsid w:val="00172452"/>
    <w:rsid w:val="00175904"/>
    <w:rsid w:val="001775EC"/>
    <w:rsid w:val="00181E9D"/>
    <w:rsid w:val="001845B0"/>
    <w:rsid w:val="001848F5"/>
    <w:rsid w:val="001940B5"/>
    <w:rsid w:val="001948CB"/>
    <w:rsid w:val="00197730"/>
    <w:rsid w:val="001A7DCA"/>
    <w:rsid w:val="001B2B51"/>
    <w:rsid w:val="001B3091"/>
    <w:rsid w:val="001B3E09"/>
    <w:rsid w:val="001B6B46"/>
    <w:rsid w:val="001B7BD9"/>
    <w:rsid w:val="001B7CCA"/>
    <w:rsid w:val="001C0862"/>
    <w:rsid w:val="001C0D4C"/>
    <w:rsid w:val="001C1252"/>
    <w:rsid w:val="001D0094"/>
    <w:rsid w:val="001D4508"/>
    <w:rsid w:val="001D63F7"/>
    <w:rsid w:val="001E0D4F"/>
    <w:rsid w:val="001E5F4F"/>
    <w:rsid w:val="001E6095"/>
    <w:rsid w:val="001E7F1A"/>
    <w:rsid w:val="001F1DDC"/>
    <w:rsid w:val="001F4570"/>
    <w:rsid w:val="001F6667"/>
    <w:rsid w:val="002025F3"/>
    <w:rsid w:val="002032FE"/>
    <w:rsid w:val="00205854"/>
    <w:rsid w:val="002067BF"/>
    <w:rsid w:val="002137DA"/>
    <w:rsid w:val="0021547C"/>
    <w:rsid w:val="00221A52"/>
    <w:rsid w:val="00222267"/>
    <w:rsid w:val="00222D62"/>
    <w:rsid w:val="00231EFB"/>
    <w:rsid w:val="00233889"/>
    <w:rsid w:val="002401E9"/>
    <w:rsid w:val="002406EB"/>
    <w:rsid w:val="0024082E"/>
    <w:rsid w:val="0024385B"/>
    <w:rsid w:val="002455A1"/>
    <w:rsid w:val="00245742"/>
    <w:rsid w:val="00246878"/>
    <w:rsid w:val="00246893"/>
    <w:rsid w:val="0025011B"/>
    <w:rsid w:val="00251491"/>
    <w:rsid w:val="002556FC"/>
    <w:rsid w:val="002561D9"/>
    <w:rsid w:val="00257C2B"/>
    <w:rsid w:val="002604F7"/>
    <w:rsid w:val="00260E47"/>
    <w:rsid w:val="002612D4"/>
    <w:rsid w:val="00261BE6"/>
    <w:rsid w:val="002662A3"/>
    <w:rsid w:val="00267BCA"/>
    <w:rsid w:val="00267F4C"/>
    <w:rsid w:val="002702B0"/>
    <w:rsid w:val="00271048"/>
    <w:rsid w:val="00271CA1"/>
    <w:rsid w:val="00271EA2"/>
    <w:rsid w:val="00272F80"/>
    <w:rsid w:val="0027331D"/>
    <w:rsid w:val="00276C91"/>
    <w:rsid w:val="00277C39"/>
    <w:rsid w:val="00280212"/>
    <w:rsid w:val="00282E6C"/>
    <w:rsid w:val="00285485"/>
    <w:rsid w:val="002900FA"/>
    <w:rsid w:val="00290A20"/>
    <w:rsid w:val="00290D0E"/>
    <w:rsid w:val="00290D10"/>
    <w:rsid w:val="00293A0A"/>
    <w:rsid w:val="00293B50"/>
    <w:rsid w:val="0029726F"/>
    <w:rsid w:val="002A14E1"/>
    <w:rsid w:val="002A340D"/>
    <w:rsid w:val="002A6B5C"/>
    <w:rsid w:val="002B14AD"/>
    <w:rsid w:val="002B5162"/>
    <w:rsid w:val="002B5C64"/>
    <w:rsid w:val="002B659E"/>
    <w:rsid w:val="002B6A28"/>
    <w:rsid w:val="002C010D"/>
    <w:rsid w:val="002C09F0"/>
    <w:rsid w:val="002C27A0"/>
    <w:rsid w:val="002C303A"/>
    <w:rsid w:val="002C4229"/>
    <w:rsid w:val="002C6E75"/>
    <w:rsid w:val="002D0E6C"/>
    <w:rsid w:val="002D5F7B"/>
    <w:rsid w:val="002D7CD9"/>
    <w:rsid w:val="002E1362"/>
    <w:rsid w:val="002E1855"/>
    <w:rsid w:val="002E4B53"/>
    <w:rsid w:val="002E6704"/>
    <w:rsid w:val="002F2D35"/>
    <w:rsid w:val="002F4295"/>
    <w:rsid w:val="003004C0"/>
    <w:rsid w:val="003006DA"/>
    <w:rsid w:val="0030075E"/>
    <w:rsid w:val="003033D8"/>
    <w:rsid w:val="00307F19"/>
    <w:rsid w:val="00310612"/>
    <w:rsid w:val="0031175E"/>
    <w:rsid w:val="00317549"/>
    <w:rsid w:val="003204CA"/>
    <w:rsid w:val="003208FE"/>
    <w:rsid w:val="0032282B"/>
    <w:rsid w:val="00324B9D"/>
    <w:rsid w:val="0033000F"/>
    <w:rsid w:val="00331A97"/>
    <w:rsid w:val="00335ED2"/>
    <w:rsid w:val="003407CA"/>
    <w:rsid w:val="00340AF6"/>
    <w:rsid w:val="00340BAC"/>
    <w:rsid w:val="00340EF7"/>
    <w:rsid w:val="003454A0"/>
    <w:rsid w:val="003543A9"/>
    <w:rsid w:val="0035498F"/>
    <w:rsid w:val="003553FB"/>
    <w:rsid w:val="00355442"/>
    <w:rsid w:val="00357177"/>
    <w:rsid w:val="00361C64"/>
    <w:rsid w:val="00362F96"/>
    <w:rsid w:val="003677DC"/>
    <w:rsid w:val="00367ABD"/>
    <w:rsid w:val="00372A09"/>
    <w:rsid w:val="0037423E"/>
    <w:rsid w:val="003749EA"/>
    <w:rsid w:val="0037549F"/>
    <w:rsid w:val="00375B0B"/>
    <w:rsid w:val="00376A03"/>
    <w:rsid w:val="00376CA0"/>
    <w:rsid w:val="0037739C"/>
    <w:rsid w:val="00377E92"/>
    <w:rsid w:val="003822D9"/>
    <w:rsid w:val="00382FBF"/>
    <w:rsid w:val="003861FA"/>
    <w:rsid w:val="00387959"/>
    <w:rsid w:val="003936CC"/>
    <w:rsid w:val="00395F9D"/>
    <w:rsid w:val="003A0B58"/>
    <w:rsid w:val="003A36EC"/>
    <w:rsid w:val="003A3903"/>
    <w:rsid w:val="003A3BAA"/>
    <w:rsid w:val="003A4737"/>
    <w:rsid w:val="003B1C64"/>
    <w:rsid w:val="003B615F"/>
    <w:rsid w:val="003B7178"/>
    <w:rsid w:val="003B7399"/>
    <w:rsid w:val="003B7FAE"/>
    <w:rsid w:val="003C0DCA"/>
    <w:rsid w:val="003C477E"/>
    <w:rsid w:val="003C4F5C"/>
    <w:rsid w:val="003C59A9"/>
    <w:rsid w:val="003C79B6"/>
    <w:rsid w:val="003C7FE3"/>
    <w:rsid w:val="003D0EEA"/>
    <w:rsid w:val="003D14B7"/>
    <w:rsid w:val="003D2053"/>
    <w:rsid w:val="003D6146"/>
    <w:rsid w:val="003D6498"/>
    <w:rsid w:val="003E5745"/>
    <w:rsid w:val="003E5797"/>
    <w:rsid w:val="003E7A7A"/>
    <w:rsid w:val="003F04AF"/>
    <w:rsid w:val="003F0A11"/>
    <w:rsid w:val="003F3968"/>
    <w:rsid w:val="003F3DBB"/>
    <w:rsid w:val="003F5CE1"/>
    <w:rsid w:val="003F6F0F"/>
    <w:rsid w:val="004013D5"/>
    <w:rsid w:val="004030A9"/>
    <w:rsid w:val="004049B6"/>
    <w:rsid w:val="00404F59"/>
    <w:rsid w:val="00405373"/>
    <w:rsid w:val="004056A3"/>
    <w:rsid w:val="00407BB4"/>
    <w:rsid w:val="004137D7"/>
    <w:rsid w:val="004145F4"/>
    <w:rsid w:val="00417284"/>
    <w:rsid w:val="004216BB"/>
    <w:rsid w:val="0042219A"/>
    <w:rsid w:val="004230CE"/>
    <w:rsid w:val="00423525"/>
    <w:rsid w:val="004265FF"/>
    <w:rsid w:val="00432324"/>
    <w:rsid w:val="00432A4F"/>
    <w:rsid w:val="00432B38"/>
    <w:rsid w:val="0043486E"/>
    <w:rsid w:val="004350BD"/>
    <w:rsid w:val="00435DC9"/>
    <w:rsid w:val="00440B4E"/>
    <w:rsid w:val="00440C14"/>
    <w:rsid w:val="00440E3F"/>
    <w:rsid w:val="00442E97"/>
    <w:rsid w:val="00445B7B"/>
    <w:rsid w:val="00451D47"/>
    <w:rsid w:val="00452EA1"/>
    <w:rsid w:val="00453A34"/>
    <w:rsid w:val="004616A0"/>
    <w:rsid w:val="00461C26"/>
    <w:rsid w:val="00470348"/>
    <w:rsid w:val="004714CC"/>
    <w:rsid w:val="00473818"/>
    <w:rsid w:val="00473AFF"/>
    <w:rsid w:val="004743FE"/>
    <w:rsid w:val="00474858"/>
    <w:rsid w:val="00475832"/>
    <w:rsid w:val="004803E2"/>
    <w:rsid w:val="00486E33"/>
    <w:rsid w:val="00487151"/>
    <w:rsid w:val="004900B6"/>
    <w:rsid w:val="0049096C"/>
    <w:rsid w:val="00491177"/>
    <w:rsid w:val="00491569"/>
    <w:rsid w:val="004926D2"/>
    <w:rsid w:val="004943B2"/>
    <w:rsid w:val="004954E0"/>
    <w:rsid w:val="00496BFC"/>
    <w:rsid w:val="004970F0"/>
    <w:rsid w:val="004A0E31"/>
    <w:rsid w:val="004A2193"/>
    <w:rsid w:val="004A3BD1"/>
    <w:rsid w:val="004A4BE1"/>
    <w:rsid w:val="004A5518"/>
    <w:rsid w:val="004A5D31"/>
    <w:rsid w:val="004A6D12"/>
    <w:rsid w:val="004B12E6"/>
    <w:rsid w:val="004B33CA"/>
    <w:rsid w:val="004B4E4E"/>
    <w:rsid w:val="004B5535"/>
    <w:rsid w:val="004B6CF3"/>
    <w:rsid w:val="004C527B"/>
    <w:rsid w:val="004C7D53"/>
    <w:rsid w:val="004D1353"/>
    <w:rsid w:val="004D3149"/>
    <w:rsid w:val="004D3155"/>
    <w:rsid w:val="004D445E"/>
    <w:rsid w:val="004D4A91"/>
    <w:rsid w:val="004D75CB"/>
    <w:rsid w:val="004D7926"/>
    <w:rsid w:val="004E2D5F"/>
    <w:rsid w:val="004E3B44"/>
    <w:rsid w:val="004E7513"/>
    <w:rsid w:val="004F1064"/>
    <w:rsid w:val="00502421"/>
    <w:rsid w:val="0050334A"/>
    <w:rsid w:val="00503A4A"/>
    <w:rsid w:val="00504B85"/>
    <w:rsid w:val="00505057"/>
    <w:rsid w:val="00512437"/>
    <w:rsid w:val="00514454"/>
    <w:rsid w:val="00515544"/>
    <w:rsid w:val="005232AD"/>
    <w:rsid w:val="0052479B"/>
    <w:rsid w:val="005249F0"/>
    <w:rsid w:val="005265D0"/>
    <w:rsid w:val="00526E6F"/>
    <w:rsid w:val="00527A69"/>
    <w:rsid w:val="0053007C"/>
    <w:rsid w:val="005338A6"/>
    <w:rsid w:val="0053581D"/>
    <w:rsid w:val="00537AE7"/>
    <w:rsid w:val="00537C8D"/>
    <w:rsid w:val="00540038"/>
    <w:rsid w:val="0054180D"/>
    <w:rsid w:val="005418FF"/>
    <w:rsid w:val="0054282E"/>
    <w:rsid w:val="00546F56"/>
    <w:rsid w:val="0054756E"/>
    <w:rsid w:val="00550173"/>
    <w:rsid w:val="00551C39"/>
    <w:rsid w:val="00555F97"/>
    <w:rsid w:val="00556969"/>
    <w:rsid w:val="005577D3"/>
    <w:rsid w:val="0056453A"/>
    <w:rsid w:val="00565E51"/>
    <w:rsid w:val="005664C6"/>
    <w:rsid w:val="005717C3"/>
    <w:rsid w:val="00571F65"/>
    <w:rsid w:val="00572C74"/>
    <w:rsid w:val="005740D7"/>
    <w:rsid w:val="00574237"/>
    <w:rsid w:val="00576060"/>
    <w:rsid w:val="005773D5"/>
    <w:rsid w:val="005822FC"/>
    <w:rsid w:val="00583AE3"/>
    <w:rsid w:val="005841F1"/>
    <w:rsid w:val="00585E98"/>
    <w:rsid w:val="0058682B"/>
    <w:rsid w:val="0059099D"/>
    <w:rsid w:val="00591CE6"/>
    <w:rsid w:val="00593923"/>
    <w:rsid w:val="005A0B2F"/>
    <w:rsid w:val="005A173D"/>
    <w:rsid w:val="005A17C4"/>
    <w:rsid w:val="005A1E5D"/>
    <w:rsid w:val="005A277F"/>
    <w:rsid w:val="005A3337"/>
    <w:rsid w:val="005A36A9"/>
    <w:rsid w:val="005A3D7E"/>
    <w:rsid w:val="005A4254"/>
    <w:rsid w:val="005A56C1"/>
    <w:rsid w:val="005A67ED"/>
    <w:rsid w:val="005A722D"/>
    <w:rsid w:val="005A7422"/>
    <w:rsid w:val="005B3C91"/>
    <w:rsid w:val="005B5364"/>
    <w:rsid w:val="005B54D9"/>
    <w:rsid w:val="005B61FA"/>
    <w:rsid w:val="005B63EE"/>
    <w:rsid w:val="005C23A0"/>
    <w:rsid w:val="005C2E64"/>
    <w:rsid w:val="005C636A"/>
    <w:rsid w:val="005C7158"/>
    <w:rsid w:val="005C7A87"/>
    <w:rsid w:val="005D0932"/>
    <w:rsid w:val="005D26BF"/>
    <w:rsid w:val="005D4E99"/>
    <w:rsid w:val="005E0801"/>
    <w:rsid w:val="005E3353"/>
    <w:rsid w:val="005E6011"/>
    <w:rsid w:val="005E771B"/>
    <w:rsid w:val="005F17BF"/>
    <w:rsid w:val="005F1E32"/>
    <w:rsid w:val="005F3EE0"/>
    <w:rsid w:val="005F4001"/>
    <w:rsid w:val="005F572B"/>
    <w:rsid w:val="005F5C7E"/>
    <w:rsid w:val="005F65A0"/>
    <w:rsid w:val="00601454"/>
    <w:rsid w:val="00601A18"/>
    <w:rsid w:val="00601B45"/>
    <w:rsid w:val="00604240"/>
    <w:rsid w:val="0060449A"/>
    <w:rsid w:val="0060496E"/>
    <w:rsid w:val="006050D1"/>
    <w:rsid w:val="006116B2"/>
    <w:rsid w:val="00616326"/>
    <w:rsid w:val="00616727"/>
    <w:rsid w:val="006167C2"/>
    <w:rsid w:val="00617D5A"/>
    <w:rsid w:val="00624186"/>
    <w:rsid w:val="00625276"/>
    <w:rsid w:val="00625A83"/>
    <w:rsid w:val="006312E5"/>
    <w:rsid w:val="006318CF"/>
    <w:rsid w:val="0063224C"/>
    <w:rsid w:val="00634251"/>
    <w:rsid w:val="00637F93"/>
    <w:rsid w:val="00641CD9"/>
    <w:rsid w:val="00646A3F"/>
    <w:rsid w:val="006477CA"/>
    <w:rsid w:val="006505B4"/>
    <w:rsid w:val="006539EF"/>
    <w:rsid w:val="00655B67"/>
    <w:rsid w:val="00655EB7"/>
    <w:rsid w:val="00662766"/>
    <w:rsid w:val="00663444"/>
    <w:rsid w:val="00667592"/>
    <w:rsid w:val="006702A7"/>
    <w:rsid w:val="0067072D"/>
    <w:rsid w:val="0067246F"/>
    <w:rsid w:val="0067373C"/>
    <w:rsid w:val="00673A9B"/>
    <w:rsid w:val="0067548E"/>
    <w:rsid w:val="006761EC"/>
    <w:rsid w:val="0067646F"/>
    <w:rsid w:val="00677CE8"/>
    <w:rsid w:val="0068013B"/>
    <w:rsid w:val="00682347"/>
    <w:rsid w:val="00683A0D"/>
    <w:rsid w:val="0068557A"/>
    <w:rsid w:val="006913A2"/>
    <w:rsid w:val="0069312E"/>
    <w:rsid w:val="0069615F"/>
    <w:rsid w:val="00696251"/>
    <w:rsid w:val="006A1A4F"/>
    <w:rsid w:val="006A25F1"/>
    <w:rsid w:val="006A2BFE"/>
    <w:rsid w:val="006A3DAB"/>
    <w:rsid w:val="006A3EEE"/>
    <w:rsid w:val="006A4819"/>
    <w:rsid w:val="006A4AD8"/>
    <w:rsid w:val="006A4DBD"/>
    <w:rsid w:val="006A7261"/>
    <w:rsid w:val="006B1523"/>
    <w:rsid w:val="006B1E23"/>
    <w:rsid w:val="006B2543"/>
    <w:rsid w:val="006B6152"/>
    <w:rsid w:val="006B7134"/>
    <w:rsid w:val="006C0591"/>
    <w:rsid w:val="006C05F8"/>
    <w:rsid w:val="006C3D21"/>
    <w:rsid w:val="006C5BA4"/>
    <w:rsid w:val="006C752A"/>
    <w:rsid w:val="006D0EB9"/>
    <w:rsid w:val="006D1C81"/>
    <w:rsid w:val="006D22D0"/>
    <w:rsid w:val="006D46B2"/>
    <w:rsid w:val="006D4C15"/>
    <w:rsid w:val="006D5691"/>
    <w:rsid w:val="006E0B84"/>
    <w:rsid w:val="006E140A"/>
    <w:rsid w:val="006E28AC"/>
    <w:rsid w:val="006E383C"/>
    <w:rsid w:val="006E536A"/>
    <w:rsid w:val="006F0710"/>
    <w:rsid w:val="006F498C"/>
    <w:rsid w:val="006F5459"/>
    <w:rsid w:val="00701117"/>
    <w:rsid w:val="00701658"/>
    <w:rsid w:val="00701C11"/>
    <w:rsid w:val="00703A63"/>
    <w:rsid w:val="0070421B"/>
    <w:rsid w:val="007051C2"/>
    <w:rsid w:val="007061F3"/>
    <w:rsid w:val="007062C3"/>
    <w:rsid w:val="007063D0"/>
    <w:rsid w:val="00707751"/>
    <w:rsid w:val="0070782F"/>
    <w:rsid w:val="00710D29"/>
    <w:rsid w:val="0071410E"/>
    <w:rsid w:val="00715CC9"/>
    <w:rsid w:val="00716583"/>
    <w:rsid w:val="007173DC"/>
    <w:rsid w:val="007208EC"/>
    <w:rsid w:val="00721A95"/>
    <w:rsid w:val="00722240"/>
    <w:rsid w:val="0073066B"/>
    <w:rsid w:val="007308E0"/>
    <w:rsid w:val="00730FF7"/>
    <w:rsid w:val="00733292"/>
    <w:rsid w:val="007346EF"/>
    <w:rsid w:val="00734965"/>
    <w:rsid w:val="0073792B"/>
    <w:rsid w:val="00742303"/>
    <w:rsid w:val="00743564"/>
    <w:rsid w:val="00743A88"/>
    <w:rsid w:val="007444F7"/>
    <w:rsid w:val="0074608D"/>
    <w:rsid w:val="00746769"/>
    <w:rsid w:val="007472B1"/>
    <w:rsid w:val="00752442"/>
    <w:rsid w:val="00753895"/>
    <w:rsid w:val="00754FDE"/>
    <w:rsid w:val="00757FBD"/>
    <w:rsid w:val="00760398"/>
    <w:rsid w:val="00760439"/>
    <w:rsid w:val="007609EF"/>
    <w:rsid w:val="00761141"/>
    <w:rsid w:val="007632EF"/>
    <w:rsid w:val="007634BB"/>
    <w:rsid w:val="0076558A"/>
    <w:rsid w:val="0077457E"/>
    <w:rsid w:val="00774778"/>
    <w:rsid w:val="0077590C"/>
    <w:rsid w:val="00777534"/>
    <w:rsid w:val="007826DA"/>
    <w:rsid w:val="0078354A"/>
    <w:rsid w:val="00786C5B"/>
    <w:rsid w:val="00786CAC"/>
    <w:rsid w:val="00786E1B"/>
    <w:rsid w:val="007900D6"/>
    <w:rsid w:val="007907D6"/>
    <w:rsid w:val="00790E30"/>
    <w:rsid w:val="007942E2"/>
    <w:rsid w:val="00796C30"/>
    <w:rsid w:val="007A4F23"/>
    <w:rsid w:val="007A77D8"/>
    <w:rsid w:val="007B0A11"/>
    <w:rsid w:val="007B1C92"/>
    <w:rsid w:val="007B4ABF"/>
    <w:rsid w:val="007B4FBB"/>
    <w:rsid w:val="007B6C35"/>
    <w:rsid w:val="007B7329"/>
    <w:rsid w:val="007C002A"/>
    <w:rsid w:val="007C0A60"/>
    <w:rsid w:val="007C3CFD"/>
    <w:rsid w:val="007C45EE"/>
    <w:rsid w:val="007C59D5"/>
    <w:rsid w:val="007C71FF"/>
    <w:rsid w:val="007C77C8"/>
    <w:rsid w:val="007D2219"/>
    <w:rsid w:val="007D4D6F"/>
    <w:rsid w:val="007D7973"/>
    <w:rsid w:val="007E04C3"/>
    <w:rsid w:val="007F1BA2"/>
    <w:rsid w:val="007F1F7A"/>
    <w:rsid w:val="007F6945"/>
    <w:rsid w:val="008006EA"/>
    <w:rsid w:val="00801732"/>
    <w:rsid w:val="008029EA"/>
    <w:rsid w:val="00804ED4"/>
    <w:rsid w:val="0081130F"/>
    <w:rsid w:val="00812D23"/>
    <w:rsid w:val="008140D9"/>
    <w:rsid w:val="0082048F"/>
    <w:rsid w:val="0082076E"/>
    <w:rsid w:val="0082240C"/>
    <w:rsid w:val="00822686"/>
    <w:rsid w:val="008233A7"/>
    <w:rsid w:val="00823CE4"/>
    <w:rsid w:val="00825702"/>
    <w:rsid w:val="0082734E"/>
    <w:rsid w:val="008273D2"/>
    <w:rsid w:val="00832E85"/>
    <w:rsid w:val="0083452A"/>
    <w:rsid w:val="00836706"/>
    <w:rsid w:val="008370B4"/>
    <w:rsid w:val="00837F62"/>
    <w:rsid w:val="008404DB"/>
    <w:rsid w:val="008405DE"/>
    <w:rsid w:val="00842E1C"/>
    <w:rsid w:val="00843553"/>
    <w:rsid w:val="00843BB6"/>
    <w:rsid w:val="00843F64"/>
    <w:rsid w:val="00844E16"/>
    <w:rsid w:val="008452B3"/>
    <w:rsid w:val="00845AC8"/>
    <w:rsid w:val="00850C41"/>
    <w:rsid w:val="00854202"/>
    <w:rsid w:val="0085489A"/>
    <w:rsid w:val="00856CF4"/>
    <w:rsid w:val="00856E42"/>
    <w:rsid w:val="00861483"/>
    <w:rsid w:val="008659C8"/>
    <w:rsid w:val="00865F7A"/>
    <w:rsid w:val="0087079B"/>
    <w:rsid w:val="008751E3"/>
    <w:rsid w:val="008802C7"/>
    <w:rsid w:val="00880970"/>
    <w:rsid w:val="00880ECA"/>
    <w:rsid w:val="00882252"/>
    <w:rsid w:val="00882421"/>
    <w:rsid w:val="0088348A"/>
    <w:rsid w:val="00884BE8"/>
    <w:rsid w:val="00887B71"/>
    <w:rsid w:val="0089003D"/>
    <w:rsid w:val="00890B1A"/>
    <w:rsid w:val="00892965"/>
    <w:rsid w:val="00892AB5"/>
    <w:rsid w:val="00894250"/>
    <w:rsid w:val="008A1448"/>
    <w:rsid w:val="008A26B7"/>
    <w:rsid w:val="008A2E85"/>
    <w:rsid w:val="008A43AE"/>
    <w:rsid w:val="008A44FF"/>
    <w:rsid w:val="008A45AE"/>
    <w:rsid w:val="008A4DD9"/>
    <w:rsid w:val="008A59EC"/>
    <w:rsid w:val="008B138B"/>
    <w:rsid w:val="008B17AD"/>
    <w:rsid w:val="008B279E"/>
    <w:rsid w:val="008B7705"/>
    <w:rsid w:val="008C2BFC"/>
    <w:rsid w:val="008C3F3B"/>
    <w:rsid w:val="008C5EC8"/>
    <w:rsid w:val="008C6782"/>
    <w:rsid w:val="008D2211"/>
    <w:rsid w:val="008D4DB6"/>
    <w:rsid w:val="008E32CE"/>
    <w:rsid w:val="008E414F"/>
    <w:rsid w:val="008E431C"/>
    <w:rsid w:val="008E6DC9"/>
    <w:rsid w:val="008F0B8D"/>
    <w:rsid w:val="008F23E0"/>
    <w:rsid w:val="008F35A4"/>
    <w:rsid w:val="008F5456"/>
    <w:rsid w:val="008F595C"/>
    <w:rsid w:val="00903BC0"/>
    <w:rsid w:val="00907A14"/>
    <w:rsid w:val="00907E5E"/>
    <w:rsid w:val="0091177D"/>
    <w:rsid w:val="009128DC"/>
    <w:rsid w:val="00914BB7"/>
    <w:rsid w:val="00914E02"/>
    <w:rsid w:val="00915325"/>
    <w:rsid w:val="009158A0"/>
    <w:rsid w:val="00915E5E"/>
    <w:rsid w:val="00916146"/>
    <w:rsid w:val="00916DF0"/>
    <w:rsid w:val="009206B4"/>
    <w:rsid w:val="00920EE9"/>
    <w:rsid w:val="00922A5B"/>
    <w:rsid w:val="00923761"/>
    <w:rsid w:val="009242EB"/>
    <w:rsid w:val="009259BD"/>
    <w:rsid w:val="00926CD2"/>
    <w:rsid w:val="00930F66"/>
    <w:rsid w:val="00931F08"/>
    <w:rsid w:val="009352B3"/>
    <w:rsid w:val="00936866"/>
    <w:rsid w:val="009402BE"/>
    <w:rsid w:val="00940CB6"/>
    <w:rsid w:val="00941456"/>
    <w:rsid w:val="009417B1"/>
    <w:rsid w:val="00941888"/>
    <w:rsid w:val="00945F75"/>
    <w:rsid w:val="00950942"/>
    <w:rsid w:val="00950B4C"/>
    <w:rsid w:val="00951F02"/>
    <w:rsid w:val="00952E96"/>
    <w:rsid w:val="009543F7"/>
    <w:rsid w:val="00954D8A"/>
    <w:rsid w:val="00955E22"/>
    <w:rsid w:val="00955F5A"/>
    <w:rsid w:val="00956ADE"/>
    <w:rsid w:val="00956BA6"/>
    <w:rsid w:val="0095756F"/>
    <w:rsid w:val="00963D6C"/>
    <w:rsid w:val="009645F1"/>
    <w:rsid w:val="00971384"/>
    <w:rsid w:val="00972226"/>
    <w:rsid w:val="009733CA"/>
    <w:rsid w:val="0097699E"/>
    <w:rsid w:val="00976D63"/>
    <w:rsid w:val="00980C56"/>
    <w:rsid w:val="009817C3"/>
    <w:rsid w:val="00983B5C"/>
    <w:rsid w:val="00991BC7"/>
    <w:rsid w:val="00992E62"/>
    <w:rsid w:val="0099578C"/>
    <w:rsid w:val="00997C9D"/>
    <w:rsid w:val="009A03BD"/>
    <w:rsid w:val="009A1E16"/>
    <w:rsid w:val="009A7B9F"/>
    <w:rsid w:val="009B1DCF"/>
    <w:rsid w:val="009B1F83"/>
    <w:rsid w:val="009B3643"/>
    <w:rsid w:val="009B4955"/>
    <w:rsid w:val="009B58F3"/>
    <w:rsid w:val="009B5CF2"/>
    <w:rsid w:val="009B7DA1"/>
    <w:rsid w:val="009C2503"/>
    <w:rsid w:val="009C4E7D"/>
    <w:rsid w:val="009D311A"/>
    <w:rsid w:val="009D4540"/>
    <w:rsid w:val="009D52F2"/>
    <w:rsid w:val="009D5A79"/>
    <w:rsid w:val="009D6A3A"/>
    <w:rsid w:val="009E278F"/>
    <w:rsid w:val="009E28DF"/>
    <w:rsid w:val="009E31DA"/>
    <w:rsid w:val="009E3351"/>
    <w:rsid w:val="009E6E3C"/>
    <w:rsid w:val="009F0995"/>
    <w:rsid w:val="009F682F"/>
    <w:rsid w:val="009F76E7"/>
    <w:rsid w:val="00A01BE5"/>
    <w:rsid w:val="00A02113"/>
    <w:rsid w:val="00A02BBC"/>
    <w:rsid w:val="00A11639"/>
    <w:rsid w:val="00A1266B"/>
    <w:rsid w:val="00A146B5"/>
    <w:rsid w:val="00A1494C"/>
    <w:rsid w:val="00A24539"/>
    <w:rsid w:val="00A26013"/>
    <w:rsid w:val="00A301CE"/>
    <w:rsid w:val="00A32465"/>
    <w:rsid w:val="00A349F3"/>
    <w:rsid w:val="00A356B4"/>
    <w:rsid w:val="00A3746A"/>
    <w:rsid w:val="00A4127B"/>
    <w:rsid w:val="00A4419C"/>
    <w:rsid w:val="00A44CF5"/>
    <w:rsid w:val="00A471EC"/>
    <w:rsid w:val="00A50F89"/>
    <w:rsid w:val="00A51C06"/>
    <w:rsid w:val="00A534B0"/>
    <w:rsid w:val="00A55987"/>
    <w:rsid w:val="00A55F6B"/>
    <w:rsid w:val="00A5690B"/>
    <w:rsid w:val="00A57E04"/>
    <w:rsid w:val="00A57EA7"/>
    <w:rsid w:val="00A61FEE"/>
    <w:rsid w:val="00A62289"/>
    <w:rsid w:val="00A66C59"/>
    <w:rsid w:val="00A67013"/>
    <w:rsid w:val="00A703A6"/>
    <w:rsid w:val="00A708C9"/>
    <w:rsid w:val="00A72750"/>
    <w:rsid w:val="00A7743B"/>
    <w:rsid w:val="00A816A6"/>
    <w:rsid w:val="00A81B2A"/>
    <w:rsid w:val="00A8547A"/>
    <w:rsid w:val="00A856F7"/>
    <w:rsid w:val="00A869EF"/>
    <w:rsid w:val="00A86F00"/>
    <w:rsid w:val="00A913DF"/>
    <w:rsid w:val="00A91772"/>
    <w:rsid w:val="00A91E7F"/>
    <w:rsid w:val="00A97CB6"/>
    <w:rsid w:val="00AA111B"/>
    <w:rsid w:val="00AA1161"/>
    <w:rsid w:val="00AA36CF"/>
    <w:rsid w:val="00AA72E6"/>
    <w:rsid w:val="00AB0567"/>
    <w:rsid w:val="00AB0798"/>
    <w:rsid w:val="00AB07BB"/>
    <w:rsid w:val="00AB33FC"/>
    <w:rsid w:val="00AB3C54"/>
    <w:rsid w:val="00AB49BF"/>
    <w:rsid w:val="00AB4B97"/>
    <w:rsid w:val="00AB7F45"/>
    <w:rsid w:val="00AC025D"/>
    <w:rsid w:val="00AC1617"/>
    <w:rsid w:val="00AC2A05"/>
    <w:rsid w:val="00AC351B"/>
    <w:rsid w:val="00AC6836"/>
    <w:rsid w:val="00AD0741"/>
    <w:rsid w:val="00AD0E02"/>
    <w:rsid w:val="00AD1B7F"/>
    <w:rsid w:val="00AD44D1"/>
    <w:rsid w:val="00AE7B2F"/>
    <w:rsid w:val="00AF0E22"/>
    <w:rsid w:val="00AF2123"/>
    <w:rsid w:val="00AF3AF5"/>
    <w:rsid w:val="00AF3CD3"/>
    <w:rsid w:val="00AF78B2"/>
    <w:rsid w:val="00AF7C3D"/>
    <w:rsid w:val="00B03072"/>
    <w:rsid w:val="00B03594"/>
    <w:rsid w:val="00B0476C"/>
    <w:rsid w:val="00B04BFB"/>
    <w:rsid w:val="00B123FB"/>
    <w:rsid w:val="00B1317D"/>
    <w:rsid w:val="00B134C7"/>
    <w:rsid w:val="00B1358E"/>
    <w:rsid w:val="00B138D0"/>
    <w:rsid w:val="00B16F37"/>
    <w:rsid w:val="00B20D88"/>
    <w:rsid w:val="00B22315"/>
    <w:rsid w:val="00B2710D"/>
    <w:rsid w:val="00B272BD"/>
    <w:rsid w:val="00B301E6"/>
    <w:rsid w:val="00B3384D"/>
    <w:rsid w:val="00B348D6"/>
    <w:rsid w:val="00B36CDB"/>
    <w:rsid w:val="00B37714"/>
    <w:rsid w:val="00B37A37"/>
    <w:rsid w:val="00B411C1"/>
    <w:rsid w:val="00B446A4"/>
    <w:rsid w:val="00B4477F"/>
    <w:rsid w:val="00B45778"/>
    <w:rsid w:val="00B50267"/>
    <w:rsid w:val="00B503A7"/>
    <w:rsid w:val="00B5168D"/>
    <w:rsid w:val="00B523EC"/>
    <w:rsid w:val="00B546E2"/>
    <w:rsid w:val="00B5510B"/>
    <w:rsid w:val="00B6793C"/>
    <w:rsid w:val="00B727ED"/>
    <w:rsid w:val="00B80BA4"/>
    <w:rsid w:val="00B80C16"/>
    <w:rsid w:val="00B81FD7"/>
    <w:rsid w:val="00B83E5C"/>
    <w:rsid w:val="00B848EE"/>
    <w:rsid w:val="00B86D8A"/>
    <w:rsid w:val="00B8715B"/>
    <w:rsid w:val="00B90D51"/>
    <w:rsid w:val="00B9117C"/>
    <w:rsid w:val="00B94552"/>
    <w:rsid w:val="00B9622F"/>
    <w:rsid w:val="00B97610"/>
    <w:rsid w:val="00BA09DA"/>
    <w:rsid w:val="00BA1456"/>
    <w:rsid w:val="00BA3689"/>
    <w:rsid w:val="00BA3700"/>
    <w:rsid w:val="00BA3B1A"/>
    <w:rsid w:val="00BA4639"/>
    <w:rsid w:val="00BB1D67"/>
    <w:rsid w:val="00BC48B3"/>
    <w:rsid w:val="00BC504F"/>
    <w:rsid w:val="00BC5D55"/>
    <w:rsid w:val="00BD0766"/>
    <w:rsid w:val="00BD0AA6"/>
    <w:rsid w:val="00BD0EF7"/>
    <w:rsid w:val="00BD0FC0"/>
    <w:rsid w:val="00BD1138"/>
    <w:rsid w:val="00BD4C49"/>
    <w:rsid w:val="00BD5AD5"/>
    <w:rsid w:val="00BD5B69"/>
    <w:rsid w:val="00BD66A4"/>
    <w:rsid w:val="00BD6776"/>
    <w:rsid w:val="00BD71AC"/>
    <w:rsid w:val="00BE0556"/>
    <w:rsid w:val="00BE1F6E"/>
    <w:rsid w:val="00BE3D02"/>
    <w:rsid w:val="00BE3DC0"/>
    <w:rsid w:val="00BE49D7"/>
    <w:rsid w:val="00BE7F44"/>
    <w:rsid w:val="00BF0ED2"/>
    <w:rsid w:val="00BF22B3"/>
    <w:rsid w:val="00BF4801"/>
    <w:rsid w:val="00BF79BC"/>
    <w:rsid w:val="00BF7DF9"/>
    <w:rsid w:val="00C009BE"/>
    <w:rsid w:val="00C0331C"/>
    <w:rsid w:val="00C0467C"/>
    <w:rsid w:val="00C07F22"/>
    <w:rsid w:val="00C07FB6"/>
    <w:rsid w:val="00C1122F"/>
    <w:rsid w:val="00C11322"/>
    <w:rsid w:val="00C150E6"/>
    <w:rsid w:val="00C20718"/>
    <w:rsid w:val="00C216CB"/>
    <w:rsid w:val="00C226EC"/>
    <w:rsid w:val="00C263E9"/>
    <w:rsid w:val="00C2657E"/>
    <w:rsid w:val="00C27B56"/>
    <w:rsid w:val="00C309D4"/>
    <w:rsid w:val="00C31EDF"/>
    <w:rsid w:val="00C32879"/>
    <w:rsid w:val="00C33982"/>
    <w:rsid w:val="00C3403A"/>
    <w:rsid w:val="00C340BC"/>
    <w:rsid w:val="00C36438"/>
    <w:rsid w:val="00C4134A"/>
    <w:rsid w:val="00C42745"/>
    <w:rsid w:val="00C43761"/>
    <w:rsid w:val="00C44B24"/>
    <w:rsid w:val="00C44D03"/>
    <w:rsid w:val="00C45531"/>
    <w:rsid w:val="00C50919"/>
    <w:rsid w:val="00C50FCD"/>
    <w:rsid w:val="00C51E0B"/>
    <w:rsid w:val="00C52CC7"/>
    <w:rsid w:val="00C54E0B"/>
    <w:rsid w:val="00C5770A"/>
    <w:rsid w:val="00C57DA7"/>
    <w:rsid w:val="00C60223"/>
    <w:rsid w:val="00C627A6"/>
    <w:rsid w:val="00C63739"/>
    <w:rsid w:val="00C63F53"/>
    <w:rsid w:val="00C6474A"/>
    <w:rsid w:val="00C66ED0"/>
    <w:rsid w:val="00C676B0"/>
    <w:rsid w:val="00C760ED"/>
    <w:rsid w:val="00C776E2"/>
    <w:rsid w:val="00C810A8"/>
    <w:rsid w:val="00C829A1"/>
    <w:rsid w:val="00C852A5"/>
    <w:rsid w:val="00C8625C"/>
    <w:rsid w:val="00C958B5"/>
    <w:rsid w:val="00CA09A4"/>
    <w:rsid w:val="00CA4143"/>
    <w:rsid w:val="00CA61DF"/>
    <w:rsid w:val="00CA6391"/>
    <w:rsid w:val="00CA6704"/>
    <w:rsid w:val="00CB6699"/>
    <w:rsid w:val="00CB734B"/>
    <w:rsid w:val="00CC0018"/>
    <w:rsid w:val="00CC0497"/>
    <w:rsid w:val="00CC39D4"/>
    <w:rsid w:val="00CC535F"/>
    <w:rsid w:val="00CC7091"/>
    <w:rsid w:val="00CD060B"/>
    <w:rsid w:val="00CD1A09"/>
    <w:rsid w:val="00CD1BC7"/>
    <w:rsid w:val="00CD2BC6"/>
    <w:rsid w:val="00CD4C01"/>
    <w:rsid w:val="00CD519C"/>
    <w:rsid w:val="00CD51ED"/>
    <w:rsid w:val="00CD5E61"/>
    <w:rsid w:val="00CD7611"/>
    <w:rsid w:val="00CE1188"/>
    <w:rsid w:val="00CE291C"/>
    <w:rsid w:val="00CE4DE2"/>
    <w:rsid w:val="00CE6DFD"/>
    <w:rsid w:val="00CF4EB6"/>
    <w:rsid w:val="00CF5BDB"/>
    <w:rsid w:val="00CF6236"/>
    <w:rsid w:val="00CF62C5"/>
    <w:rsid w:val="00D10300"/>
    <w:rsid w:val="00D129EC"/>
    <w:rsid w:val="00D141D9"/>
    <w:rsid w:val="00D14621"/>
    <w:rsid w:val="00D159EF"/>
    <w:rsid w:val="00D15A74"/>
    <w:rsid w:val="00D17C06"/>
    <w:rsid w:val="00D17DF2"/>
    <w:rsid w:val="00D201FA"/>
    <w:rsid w:val="00D21C4C"/>
    <w:rsid w:val="00D230BC"/>
    <w:rsid w:val="00D23BF7"/>
    <w:rsid w:val="00D24BCC"/>
    <w:rsid w:val="00D265FA"/>
    <w:rsid w:val="00D2689D"/>
    <w:rsid w:val="00D31229"/>
    <w:rsid w:val="00D33025"/>
    <w:rsid w:val="00D3322C"/>
    <w:rsid w:val="00D33750"/>
    <w:rsid w:val="00D3465D"/>
    <w:rsid w:val="00D349AC"/>
    <w:rsid w:val="00D36479"/>
    <w:rsid w:val="00D36D87"/>
    <w:rsid w:val="00D41F01"/>
    <w:rsid w:val="00D44CC1"/>
    <w:rsid w:val="00D45BE6"/>
    <w:rsid w:val="00D47D10"/>
    <w:rsid w:val="00D538E7"/>
    <w:rsid w:val="00D53B30"/>
    <w:rsid w:val="00D556F5"/>
    <w:rsid w:val="00D56581"/>
    <w:rsid w:val="00D56E31"/>
    <w:rsid w:val="00D606C3"/>
    <w:rsid w:val="00D61CDC"/>
    <w:rsid w:val="00D62AED"/>
    <w:rsid w:val="00D64BA8"/>
    <w:rsid w:val="00D66B05"/>
    <w:rsid w:val="00D72CFC"/>
    <w:rsid w:val="00D7309F"/>
    <w:rsid w:val="00D73522"/>
    <w:rsid w:val="00D7417D"/>
    <w:rsid w:val="00D76776"/>
    <w:rsid w:val="00D85693"/>
    <w:rsid w:val="00D86F3E"/>
    <w:rsid w:val="00D879FA"/>
    <w:rsid w:val="00D9119C"/>
    <w:rsid w:val="00D926DB"/>
    <w:rsid w:val="00D935A9"/>
    <w:rsid w:val="00D93D4B"/>
    <w:rsid w:val="00D95490"/>
    <w:rsid w:val="00D97668"/>
    <w:rsid w:val="00DA03C8"/>
    <w:rsid w:val="00DA0BDA"/>
    <w:rsid w:val="00DA1828"/>
    <w:rsid w:val="00DA6104"/>
    <w:rsid w:val="00DA750D"/>
    <w:rsid w:val="00DA7BE2"/>
    <w:rsid w:val="00DA7E8C"/>
    <w:rsid w:val="00DB1073"/>
    <w:rsid w:val="00DB3046"/>
    <w:rsid w:val="00DB4C71"/>
    <w:rsid w:val="00DB6713"/>
    <w:rsid w:val="00DB6D7C"/>
    <w:rsid w:val="00DC03C3"/>
    <w:rsid w:val="00DC089F"/>
    <w:rsid w:val="00DC152C"/>
    <w:rsid w:val="00DC2E2F"/>
    <w:rsid w:val="00DD03F8"/>
    <w:rsid w:val="00DD1150"/>
    <w:rsid w:val="00DD252D"/>
    <w:rsid w:val="00DD29E6"/>
    <w:rsid w:val="00DD3FB6"/>
    <w:rsid w:val="00DD6379"/>
    <w:rsid w:val="00DE14E2"/>
    <w:rsid w:val="00DE3964"/>
    <w:rsid w:val="00DF26FF"/>
    <w:rsid w:val="00DF426E"/>
    <w:rsid w:val="00DF507C"/>
    <w:rsid w:val="00DF530A"/>
    <w:rsid w:val="00DF65BC"/>
    <w:rsid w:val="00DF7A23"/>
    <w:rsid w:val="00E027ED"/>
    <w:rsid w:val="00E03A8C"/>
    <w:rsid w:val="00E05904"/>
    <w:rsid w:val="00E0724D"/>
    <w:rsid w:val="00E0727D"/>
    <w:rsid w:val="00E1009D"/>
    <w:rsid w:val="00E10BE8"/>
    <w:rsid w:val="00E15055"/>
    <w:rsid w:val="00E17A51"/>
    <w:rsid w:val="00E17E3B"/>
    <w:rsid w:val="00E20F31"/>
    <w:rsid w:val="00E3011E"/>
    <w:rsid w:val="00E32381"/>
    <w:rsid w:val="00E33FE1"/>
    <w:rsid w:val="00E37916"/>
    <w:rsid w:val="00E40756"/>
    <w:rsid w:val="00E44EFD"/>
    <w:rsid w:val="00E454D7"/>
    <w:rsid w:val="00E45E71"/>
    <w:rsid w:val="00E46BA0"/>
    <w:rsid w:val="00E4729C"/>
    <w:rsid w:val="00E51494"/>
    <w:rsid w:val="00E51DF5"/>
    <w:rsid w:val="00E52483"/>
    <w:rsid w:val="00E54BF9"/>
    <w:rsid w:val="00E55BB0"/>
    <w:rsid w:val="00E57BF8"/>
    <w:rsid w:val="00E65269"/>
    <w:rsid w:val="00E6556C"/>
    <w:rsid w:val="00E659CE"/>
    <w:rsid w:val="00E65D64"/>
    <w:rsid w:val="00E67092"/>
    <w:rsid w:val="00E6760F"/>
    <w:rsid w:val="00E735CA"/>
    <w:rsid w:val="00E756E1"/>
    <w:rsid w:val="00E75C36"/>
    <w:rsid w:val="00E76CDF"/>
    <w:rsid w:val="00E81160"/>
    <w:rsid w:val="00E84AE3"/>
    <w:rsid w:val="00E9099C"/>
    <w:rsid w:val="00E912F3"/>
    <w:rsid w:val="00E92862"/>
    <w:rsid w:val="00E92D66"/>
    <w:rsid w:val="00E92DFE"/>
    <w:rsid w:val="00E96B0D"/>
    <w:rsid w:val="00EA142F"/>
    <w:rsid w:val="00EA1AD2"/>
    <w:rsid w:val="00EA28E0"/>
    <w:rsid w:val="00EA53E2"/>
    <w:rsid w:val="00EA5B9B"/>
    <w:rsid w:val="00EA5BCD"/>
    <w:rsid w:val="00EA5E4B"/>
    <w:rsid w:val="00EA6F98"/>
    <w:rsid w:val="00EA71F8"/>
    <w:rsid w:val="00EA7AED"/>
    <w:rsid w:val="00EB2ED3"/>
    <w:rsid w:val="00EB7848"/>
    <w:rsid w:val="00EB7E59"/>
    <w:rsid w:val="00EC0851"/>
    <w:rsid w:val="00EC0C62"/>
    <w:rsid w:val="00EC0E53"/>
    <w:rsid w:val="00EC1BF1"/>
    <w:rsid w:val="00EC228C"/>
    <w:rsid w:val="00EC2550"/>
    <w:rsid w:val="00EC6602"/>
    <w:rsid w:val="00EC6CBD"/>
    <w:rsid w:val="00ED205B"/>
    <w:rsid w:val="00ED2162"/>
    <w:rsid w:val="00ED388E"/>
    <w:rsid w:val="00ED4A78"/>
    <w:rsid w:val="00ED567C"/>
    <w:rsid w:val="00ED5754"/>
    <w:rsid w:val="00ED5A24"/>
    <w:rsid w:val="00ED7AB3"/>
    <w:rsid w:val="00EE1D44"/>
    <w:rsid w:val="00EE365D"/>
    <w:rsid w:val="00EE3CE8"/>
    <w:rsid w:val="00EE4476"/>
    <w:rsid w:val="00EE44BC"/>
    <w:rsid w:val="00EE4686"/>
    <w:rsid w:val="00EE7B7C"/>
    <w:rsid w:val="00EF08E2"/>
    <w:rsid w:val="00EF2F2D"/>
    <w:rsid w:val="00EF4716"/>
    <w:rsid w:val="00EF63E7"/>
    <w:rsid w:val="00EF69C4"/>
    <w:rsid w:val="00F00B69"/>
    <w:rsid w:val="00F01BD6"/>
    <w:rsid w:val="00F03694"/>
    <w:rsid w:val="00F044FC"/>
    <w:rsid w:val="00F07279"/>
    <w:rsid w:val="00F160DA"/>
    <w:rsid w:val="00F16CDB"/>
    <w:rsid w:val="00F17DDA"/>
    <w:rsid w:val="00F22013"/>
    <w:rsid w:val="00F22E3C"/>
    <w:rsid w:val="00F24AED"/>
    <w:rsid w:val="00F27C61"/>
    <w:rsid w:val="00F31723"/>
    <w:rsid w:val="00F3400C"/>
    <w:rsid w:val="00F4179C"/>
    <w:rsid w:val="00F459F0"/>
    <w:rsid w:val="00F47120"/>
    <w:rsid w:val="00F47FBC"/>
    <w:rsid w:val="00F50098"/>
    <w:rsid w:val="00F52DF5"/>
    <w:rsid w:val="00F5309B"/>
    <w:rsid w:val="00F53923"/>
    <w:rsid w:val="00F539C2"/>
    <w:rsid w:val="00F53B90"/>
    <w:rsid w:val="00F54B1D"/>
    <w:rsid w:val="00F55BB6"/>
    <w:rsid w:val="00F60046"/>
    <w:rsid w:val="00F6642A"/>
    <w:rsid w:val="00F66917"/>
    <w:rsid w:val="00F66A99"/>
    <w:rsid w:val="00F67BF7"/>
    <w:rsid w:val="00F67C03"/>
    <w:rsid w:val="00F70134"/>
    <w:rsid w:val="00F703A6"/>
    <w:rsid w:val="00F706E5"/>
    <w:rsid w:val="00F71AE6"/>
    <w:rsid w:val="00F72298"/>
    <w:rsid w:val="00F72535"/>
    <w:rsid w:val="00F75E41"/>
    <w:rsid w:val="00F76100"/>
    <w:rsid w:val="00F77522"/>
    <w:rsid w:val="00F85243"/>
    <w:rsid w:val="00F868C4"/>
    <w:rsid w:val="00F912B1"/>
    <w:rsid w:val="00F92896"/>
    <w:rsid w:val="00F94768"/>
    <w:rsid w:val="00F95819"/>
    <w:rsid w:val="00F95F47"/>
    <w:rsid w:val="00F96432"/>
    <w:rsid w:val="00FA0C5B"/>
    <w:rsid w:val="00FB3F9E"/>
    <w:rsid w:val="00FB4B7F"/>
    <w:rsid w:val="00FB60B9"/>
    <w:rsid w:val="00FB6D6A"/>
    <w:rsid w:val="00FB6EBF"/>
    <w:rsid w:val="00FB6FBB"/>
    <w:rsid w:val="00FC17DD"/>
    <w:rsid w:val="00FC1D4D"/>
    <w:rsid w:val="00FC27A9"/>
    <w:rsid w:val="00FC2E3C"/>
    <w:rsid w:val="00FC58CA"/>
    <w:rsid w:val="00FD4836"/>
    <w:rsid w:val="00FD6D8E"/>
    <w:rsid w:val="00FD718A"/>
    <w:rsid w:val="00FE07C8"/>
    <w:rsid w:val="00FE1AA9"/>
    <w:rsid w:val="00FE65FC"/>
    <w:rsid w:val="00FE67E1"/>
    <w:rsid w:val="00FE6D83"/>
    <w:rsid w:val="00FF1A7D"/>
    <w:rsid w:val="00FF26E7"/>
    <w:rsid w:val="00FF2CF5"/>
    <w:rsid w:val="00FF55CD"/>
    <w:rsid w:val="00FF6413"/>
    <w:rsid w:val="00FF72AD"/>
    <w:rsid w:val="00FF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09BB55"/>
  <w15:docId w15:val="{D830D690-43E9-4552-8FD9-0A0AFB18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fr-FR"/>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0423E"/>
    <w:pPr>
      <w:widowControl w:val="0"/>
      <w:suppressAutoHyphens/>
      <w:spacing w:after="200" w:line="276" w:lineRule="auto"/>
    </w:pPr>
    <w:rPr>
      <w:rFonts w:eastAsia="Times New Roman" w:cs="Calibri"/>
      <w:sz w:val="22"/>
      <w:szCs w:val="22"/>
    </w:rPr>
  </w:style>
  <w:style w:type="paragraph" w:styleId="Heading1">
    <w:name w:val="heading 1"/>
    <w:basedOn w:val="Normal"/>
    <w:next w:val="Normal"/>
    <w:link w:val="Heading1Char"/>
    <w:qFormat/>
    <w:rsid w:val="00B6793C"/>
    <w:pPr>
      <w:keepNext/>
      <w:keepLines/>
      <w:numPr>
        <w:numId w:val="1"/>
      </w:numPr>
      <w:spacing w:before="480" w:after="240"/>
      <w:outlineLvl w:val="0"/>
    </w:pPr>
    <w:rPr>
      <w:b/>
      <w:bCs/>
      <w:color w:val="365F91"/>
      <w:sz w:val="44"/>
      <w:szCs w:val="28"/>
    </w:rPr>
  </w:style>
  <w:style w:type="paragraph" w:styleId="Heading2">
    <w:name w:val="heading 2"/>
    <w:basedOn w:val="Normal"/>
    <w:next w:val="Normal"/>
    <w:link w:val="Heading2Char"/>
    <w:uiPriority w:val="9"/>
    <w:qFormat/>
    <w:rsid w:val="00B80C16"/>
    <w:pPr>
      <w:keepNext/>
      <w:spacing w:before="240" w:after="60"/>
      <w:outlineLvl w:val="1"/>
    </w:pPr>
    <w:rPr>
      <w:rFonts w:ascii="Myriad Pro" w:hAnsi="Myriad Pro" w:cs="Times New Roman"/>
      <w:b/>
      <w:bCs/>
      <w:iCs/>
      <w:color w:val="548DD4"/>
      <w:sz w:val="32"/>
      <w:szCs w:val="28"/>
    </w:rPr>
  </w:style>
  <w:style w:type="paragraph" w:styleId="Heading3">
    <w:name w:val="heading 3"/>
    <w:basedOn w:val="Normal"/>
    <w:next w:val="Normal"/>
    <w:link w:val="Heading3Char"/>
    <w:uiPriority w:val="9"/>
    <w:semiHidden/>
    <w:unhideWhenUsed/>
    <w:qFormat/>
    <w:rsid w:val="00B411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793C"/>
    <w:rPr>
      <w:rFonts w:eastAsia="Times New Roman" w:cs="Calibri"/>
      <w:b/>
      <w:bCs/>
      <w:color w:val="365F91"/>
      <w:sz w:val="44"/>
      <w:szCs w:val="28"/>
      <w:lang w:bidi="fr-FR"/>
    </w:rPr>
  </w:style>
  <w:style w:type="character" w:styleId="Hyperlink">
    <w:name w:val="Hyperlink"/>
    <w:uiPriority w:val="99"/>
    <w:rsid w:val="00903BC0"/>
    <w:rPr>
      <w:color w:val="0000FF"/>
      <w:u w:val="single"/>
    </w:rPr>
  </w:style>
  <w:style w:type="paragraph" w:styleId="Header">
    <w:name w:val="header"/>
    <w:basedOn w:val="Normal"/>
    <w:link w:val="HeaderChar"/>
    <w:rsid w:val="00903BC0"/>
    <w:pPr>
      <w:tabs>
        <w:tab w:val="center" w:pos="4320"/>
        <w:tab w:val="right" w:pos="8640"/>
      </w:tabs>
    </w:pPr>
    <w:rPr>
      <w:szCs w:val="20"/>
    </w:rPr>
  </w:style>
  <w:style w:type="character" w:customStyle="1" w:styleId="HeaderChar">
    <w:name w:val="Header Char"/>
    <w:link w:val="Header"/>
    <w:uiPriority w:val="99"/>
    <w:rsid w:val="00903BC0"/>
    <w:rPr>
      <w:rFonts w:ascii="Myriad Pro SemiCond" w:eastAsia="Times New Roman" w:hAnsi="Myriad Pro SemiCond" w:cs="Calibri"/>
      <w:lang w:val="fr-FR" w:bidi="fr-FR"/>
    </w:rPr>
  </w:style>
  <w:style w:type="paragraph" w:styleId="Footer">
    <w:name w:val="footer"/>
    <w:basedOn w:val="Normal"/>
    <w:link w:val="FooterChar"/>
    <w:rsid w:val="00903BC0"/>
    <w:pPr>
      <w:tabs>
        <w:tab w:val="center" w:pos="4320"/>
        <w:tab w:val="right" w:pos="8640"/>
      </w:tabs>
    </w:pPr>
    <w:rPr>
      <w:szCs w:val="20"/>
    </w:rPr>
  </w:style>
  <w:style w:type="character" w:customStyle="1" w:styleId="FooterChar">
    <w:name w:val="Footer Char"/>
    <w:link w:val="Footer"/>
    <w:rsid w:val="00903BC0"/>
    <w:rPr>
      <w:rFonts w:ascii="Myriad Pro SemiCond" w:eastAsia="Times New Roman" w:hAnsi="Myriad Pro SemiCond" w:cs="Calibri"/>
      <w:lang w:val="fr-FR" w:bidi="fr-FR"/>
    </w:rPr>
  </w:style>
  <w:style w:type="paragraph" w:styleId="Title">
    <w:name w:val="Title"/>
    <w:basedOn w:val="Normal"/>
    <w:next w:val="Normal"/>
    <w:link w:val="TitleChar"/>
    <w:uiPriority w:val="10"/>
    <w:qFormat/>
    <w:rsid w:val="00903BC0"/>
    <w:pPr>
      <w:pBdr>
        <w:bottom w:val="single" w:sz="8" w:space="4" w:color="808080"/>
      </w:pBdr>
      <w:spacing w:after="300" w:line="240" w:lineRule="auto"/>
    </w:pPr>
    <w:rPr>
      <w:caps/>
      <w:color w:val="17365D"/>
      <w:spacing w:val="5"/>
      <w:kern w:val="1"/>
      <w:sz w:val="52"/>
      <w:szCs w:val="52"/>
    </w:rPr>
  </w:style>
  <w:style w:type="character" w:customStyle="1" w:styleId="TitleChar">
    <w:name w:val="Title Char"/>
    <w:link w:val="Title"/>
    <w:uiPriority w:val="10"/>
    <w:rsid w:val="00903BC0"/>
    <w:rPr>
      <w:rFonts w:ascii="Myriad Pro SemiCond" w:eastAsia="Times New Roman" w:hAnsi="Myriad Pro SemiCond" w:cs="Calibri"/>
      <w:caps/>
      <w:color w:val="17365D"/>
      <w:spacing w:val="5"/>
      <w:kern w:val="1"/>
      <w:sz w:val="52"/>
      <w:szCs w:val="52"/>
      <w:lang w:val="fr-FR" w:bidi="fr-FR"/>
    </w:rPr>
  </w:style>
  <w:style w:type="paragraph" w:customStyle="1" w:styleId="MediumGrid21">
    <w:name w:val="Medium Grid 21"/>
    <w:link w:val="MediumGrid2Char"/>
    <w:uiPriority w:val="1"/>
    <w:qFormat/>
    <w:rsid w:val="00903BC0"/>
    <w:pPr>
      <w:widowControl w:val="0"/>
      <w:suppressAutoHyphens/>
    </w:pPr>
    <w:rPr>
      <w:rFonts w:eastAsia="Arial" w:cs="Calibri"/>
      <w:sz w:val="22"/>
      <w:szCs w:val="22"/>
    </w:rPr>
  </w:style>
  <w:style w:type="paragraph" w:styleId="FootnoteText">
    <w:name w:val="footnote text"/>
    <w:basedOn w:val="Normal"/>
    <w:link w:val="FootnoteTextChar"/>
    <w:uiPriority w:val="99"/>
    <w:rsid w:val="00903BC0"/>
    <w:rPr>
      <w:szCs w:val="20"/>
    </w:rPr>
  </w:style>
  <w:style w:type="character" w:customStyle="1" w:styleId="FootnoteTextChar">
    <w:name w:val="Footnote Text Char"/>
    <w:link w:val="FootnoteText"/>
    <w:uiPriority w:val="99"/>
    <w:rsid w:val="00903BC0"/>
    <w:rPr>
      <w:rFonts w:ascii="Myriad Pro SemiCond" w:eastAsia="Times New Roman" w:hAnsi="Myriad Pro SemiCond" w:cs="Calibri"/>
      <w:sz w:val="20"/>
      <w:szCs w:val="20"/>
      <w:lang w:val="fr-FR" w:bidi="fr-FR"/>
    </w:rPr>
  </w:style>
  <w:style w:type="character" w:styleId="FootnoteReference">
    <w:name w:val="footnote reference"/>
    <w:uiPriority w:val="99"/>
    <w:semiHidden/>
    <w:rsid w:val="00903BC0"/>
    <w:rPr>
      <w:vertAlign w:val="superscript"/>
    </w:rPr>
  </w:style>
  <w:style w:type="character" w:styleId="CommentReference">
    <w:name w:val="annotation reference"/>
    <w:uiPriority w:val="99"/>
    <w:unhideWhenUsed/>
    <w:rsid w:val="002C09F0"/>
    <w:rPr>
      <w:sz w:val="16"/>
      <w:szCs w:val="16"/>
    </w:rPr>
  </w:style>
  <w:style w:type="paragraph" w:styleId="CommentText">
    <w:name w:val="annotation text"/>
    <w:basedOn w:val="Normal"/>
    <w:link w:val="CommentTextChar"/>
    <w:uiPriority w:val="99"/>
    <w:unhideWhenUsed/>
    <w:rsid w:val="002C09F0"/>
    <w:rPr>
      <w:szCs w:val="20"/>
    </w:rPr>
  </w:style>
  <w:style w:type="character" w:customStyle="1" w:styleId="CommentTextChar">
    <w:name w:val="Comment Text Char"/>
    <w:link w:val="CommentText"/>
    <w:uiPriority w:val="99"/>
    <w:rsid w:val="002C09F0"/>
    <w:rPr>
      <w:rFonts w:ascii="Myriad Pro SemiCond" w:eastAsia="Times New Roman" w:hAnsi="Myriad Pro SemiCond" w:cs="Calibri"/>
      <w:lang w:val="fr-FR" w:eastAsia="fr-FR" w:bidi="fr-FR"/>
    </w:rPr>
  </w:style>
  <w:style w:type="paragraph" w:styleId="CommentSubject">
    <w:name w:val="annotation subject"/>
    <w:basedOn w:val="CommentText"/>
    <w:next w:val="CommentText"/>
    <w:link w:val="CommentSubjectChar"/>
    <w:uiPriority w:val="99"/>
    <w:semiHidden/>
    <w:unhideWhenUsed/>
    <w:rsid w:val="002C09F0"/>
    <w:rPr>
      <w:b/>
      <w:bCs/>
    </w:rPr>
  </w:style>
  <w:style w:type="character" w:customStyle="1" w:styleId="CommentSubjectChar">
    <w:name w:val="Comment Subject Char"/>
    <w:link w:val="CommentSubject"/>
    <w:uiPriority w:val="99"/>
    <w:semiHidden/>
    <w:rsid w:val="002C09F0"/>
    <w:rPr>
      <w:rFonts w:ascii="Myriad Pro SemiCond" w:eastAsia="Times New Roman" w:hAnsi="Myriad Pro SemiCond" w:cs="Calibri"/>
      <w:b/>
      <w:bCs/>
      <w:lang w:val="fr-FR" w:eastAsia="fr-FR" w:bidi="fr-FR"/>
    </w:rPr>
  </w:style>
  <w:style w:type="paragraph" w:styleId="BalloonText">
    <w:name w:val="Balloon Text"/>
    <w:basedOn w:val="Normal"/>
    <w:link w:val="BalloonTextChar"/>
    <w:uiPriority w:val="99"/>
    <w:semiHidden/>
    <w:unhideWhenUsed/>
    <w:rsid w:val="002C09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09F0"/>
    <w:rPr>
      <w:rFonts w:ascii="Tahoma" w:eastAsia="Times New Roman" w:hAnsi="Tahoma" w:cs="Tahoma"/>
      <w:sz w:val="16"/>
      <w:szCs w:val="16"/>
      <w:lang w:val="fr-FR" w:eastAsia="fr-FR" w:bidi="fr-FR"/>
    </w:rPr>
  </w:style>
  <w:style w:type="paragraph" w:styleId="Subtitle">
    <w:name w:val="Subtitle"/>
    <w:basedOn w:val="Normal"/>
    <w:next w:val="Normal"/>
    <w:link w:val="SubtitleChar"/>
    <w:uiPriority w:val="11"/>
    <w:qFormat/>
    <w:rsid w:val="007826DA"/>
    <w:rPr>
      <w:rFonts w:ascii="Myriad Pro Light SemiCond" w:hAnsi="Myriad Pro Light SemiCond"/>
      <w:color w:val="FFFFFF"/>
      <w:sz w:val="36"/>
      <w:szCs w:val="36"/>
    </w:rPr>
  </w:style>
  <w:style w:type="character" w:customStyle="1" w:styleId="SubtitleChar">
    <w:name w:val="Subtitle Char"/>
    <w:link w:val="Subtitle"/>
    <w:uiPriority w:val="11"/>
    <w:rsid w:val="007826DA"/>
    <w:rPr>
      <w:rFonts w:ascii="Myriad Pro Light SemiCond" w:eastAsia="Times New Roman" w:hAnsi="Myriad Pro Light SemiCond" w:cs="Calibri"/>
      <w:color w:val="FFFFFF"/>
      <w:sz w:val="36"/>
      <w:szCs w:val="36"/>
      <w:lang w:val="fr-FR" w:eastAsia="fr-FR" w:bidi="fr-FR"/>
    </w:rPr>
  </w:style>
  <w:style w:type="paragraph" w:customStyle="1" w:styleId="Default">
    <w:name w:val="Default"/>
    <w:rsid w:val="003A3BAA"/>
    <w:pPr>
      <w:autoSpaceDE w:val="0"/>
      <w:autoSpaceDN w:val="0"/>
      <w:adjustRightInd w:val="0"/>
    </w:pPr>
    <w:rPr>
      <w:rFonts w:ascii="Myriad Pro SemiCond" w:hAnsi="Myriad Pro SemiCond" w:cs="Myriad Pro SemiCond"/>
      <w:color w:val="000000"/>
      <w:sz w:val="24"/>
      <w:szCs w:val="24"/>
    </w:rPr>
  </w:style>
  <w:style w:type="paragraph" w:customStyle="1" w:styleId="Pa5">
    <w:name w:val="Pa5"/>
    <w:basedOn w:val="Default"/>
    <w:next w:val="Default"/>
    <w:uiPriority w:val="99"/>
    <w:rsid w:val="003A3BAA"/>
    <w:pPr>
      <w:spacing w:line="201" w:lineRule="atLeast"/>
    </w:pPr>
    <w:rPr>
      <w:rFonts w:cs="Times New Roman"/>
      <w:color w:val="auto"/>
    </w:rPr>
  </w:style>
  <w:style w:type="character" w:customStyle="1" w:styleId="A2">
    <w:name w:val="A2"/>
    <w:uiPriority w:val="99"/>
    <w:rsid w:val="00790E30"/>
    <w:rPr>
      <w:rFonts w:cs="Myriad Pro SemiCond"/>
      <w:color w:val="000000"/>
      <w:sz w:val="22"/>
      <w:szCs w:val="22"/>
    </w:rPr>
  </w:style>
  <w:style w:type="paragraph" w:customStyle="1" w:styleId="Pa7">
    <w:name w:val="Pa7"/>
    <w:basedOn w:val="Default"/>
    <w:next w:val="Default"/>
    <w:uiPriority w:val="99"/>
    <w:rsid w:val="00790E30"/>
    <w:pPr>
      <w:spacing w:line="201" w:lineRule="atLeast"/>
    </w:pPr>
    <w:rPr>
      <w:rFonts w:cs="Times New Roman"/>
      <w:color w:val="auto"/>
    </w:rPr>
  </w:style>
  <w:style w:type="table" w:styleId="LightList-Accent2">
    <w:name w:val="Light List Accent 2"/>
    <w:basedOn w:val="TableNormal"/>
    <w:uiPriority w:val="66"/>
    <w:rsid w:val="001E0D4F"/>
    <w:rPr>
      <w:rFonts w:ascii="Cambria" w:eastAsia="MS Gothic"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Grid">
    <w:name w:val="Table Grid"/>
    <w:basedOn w:val="TableNormal"/>
    <w:uiPriority w:val="59"/>
    <w:rsid w:val="001E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0"/>
    <w:rsid w:val="001E0D4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Shading-Accent5">
    <w:name w:val="Colorful Shading Accent 5"/>
    <w:basedOn w:val="TableNormal"/>
    <w:uiPriority w:val="62"/>
    <w:rsid w:val="00954D8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MediumGrid2Char">
    <w:name w:val="Medium Grid 2 Char"/>
    <w:link w:val="MediumGrid21"/>
    <w:uiPriority w:val="1"/>
    <w:rsid w:val="00DE3964"/>
    <w:rPr>
      <w:rFonts w:eastAsia="Arial" w:cs="Calibri"/>
      <w:sz w:val="22"/>
      <w:szCs w:val="22"/>
      <w:lang w:val="fr-FR" w:eastAsia="fr-FR" w:bidi="fr-FR"/>
    </w:rPr>
  </w:style>
  <w:style w:type="table" w:customStyle="1" w:styleId="TableGrid1">
    <w:name w:val="Table Grid1"/>
    <w:basedOn w:val="TableNormal"/>
    <w:next w:val="TableGrid"/>
    <w:uiPriority w:val="59"/>
    <w:rsid w:val="006C75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A4143"/>
    <w:pPr>
      <w:widowControl/>
      <w:suppressAutoHyphens w:val="0"/>
      <w:ind w:left="720"/>
      <w:contextualSpacing/>
    </w:pPr>
    <w:rPr>
      <w:rFonts w:eastAsia="Calibri" w:cs="Times New Roman"/>
    </w:rPr>
  </w:style>
  <w:style w:type="paragraph" w:customStyle="1" w:styleId="ColorfulShading-Accent11">
    <w:name w:val="Colorful Shading - Accent 11"/>
    <w:hidden/>
    <w:uiPriority w:val="99"/>
    <w:semiHidden/>
    <w:rsid w:val="00B1317D"/>
    <w:rPr>
      <w:rFonts w:ascii="Myriad Pro SemiCond" w:eastAsia="Times New Roman" w:hAnsi="Myriad Pro SemiCond" w:cs="Calibri"/>
      <w:szCs w:val="22"/>
    </w:rPr>
  </w:style>
  <w:style w:type="paragraph" w:styleId="TOCHeading">
    <w:name w:val="TOC Heading"/>
    <w:basedOn w:val="Heading1"/>
    <w:next w:val="Normal"/>
    <w:uiPriority w:val="39"/>
    <w:unhideWhenUsed/>
    <w:qFormat/>
    <w:rsid w:val="00B80C16"/>
    <w:pPr>
      <w:widowControl/>
      <w:numPr>
        <w:numId w:val="0"/>
      </w:numPr>
      <w:suppressAutoHyphens w:val="0"/>
      <w:outlineLvl w:val="9"/>
    </w:pPr>
    <w:rPr>
      <w:rFonts w:ascii="Cambria" w:eastAsia="MS Gothic" w:hAnsi="Cambria" w:cs="Times New Roman"/>
    </w:rPr>
  </w:style>
  <w:style w:type="paragraph" w:styleId="TOC1">
    <w:name w:val="toc 1"/>
    <w:basedOn w:val="Normal"/>
    <w:next w:val="Normal"/>
    <w:autoRedefine/>
    <w:uiPriority w:val="39"/>
    <w:unhideWhenUsed/>
    <w:rsid w:val="00B80C16"/>
  </w:style>
  <w:style w:type="character" w:customStyle="1" w:styleId="Heading2Char">
    <w:name w:val="Heading 2 Char"/>
    <w:link w:val="Heading2"/>
    <w:uiPriority w:val="9"/>
    <w:rsid w:val="00B80C16"/>
    <w:rPr>
      <w:rFonts w:ascii="Myriad Pro" w:eastAsia="Times New Roman" w:hAnsi="Myriad Pro" w:cs="Times New Roman"/>
      <w:b/>
      <w:bCs/>
      <w:iCs/>
      <w:color w:val="548DD4"/>
      <w:sz w:val="32"/>
      <w:szCs w:val="28"/>
      <w:lang w:val="fr-FR" w:bidi="fr-FR"/>
    </w:rPr>
  </w:style>
  <w:style w:type="paragraph" w:styleId="TOC2">
    <w:name w:val="toc 2"/>
    <w:basedOn w:val="Normal"/>
    <w:next w:val="Normal"/>
    <w:autoRedefine/>
    <w:uiPriority w:val="39"/>
    <w:unhideWhenUsed/>
    <w:rsid w:val="00B80C16"/>
    <w:pPr>
      <w:ind w:left="200"/>
    </w:pPr>
  </w:style>
  <w:style w:type="paragraph" w:styleId="NormalWeb">
    <w:name w:val="Normal (Web)"/>
    <w:basedOn w:val="Normal"/>
    <w:uiPriority w:val="99"/>
    <w:unhideWhenUsed/>
    <w:rsid w:val="00D15A74"/>
    <w:pPr>
      <w:widowControl/>
      <w:suppressAutoHyphens w:val="0"/>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uiPriority w:val="99"/>
    <w:semiHidden/>
    <w:unhideWhenUsed/>
    <w:rsid w:val="00AB0798"/>
    <w:rPr>
      <w:color w:val="954F72"/>
      <w:u w:val="single"/>
    </w:rPr>
  </w:style>
  <w:style w:type="paragraph" w:styleId="Revision">
    <w:name w:val="Revision"/>
    <w:hidden/>
    <w:uiPriority w:val="99"/>
    <w:semiHidden/>
    <w:rsid w:val="00D129EC"/>
    <w:rPr>
      <w:rFonts w:eastAsia="Times New Roman" w:cs="Calibri"/>
      <w:sz w:val="22"/>
      <w:szCs w:val="22"/>
    </w:rPr>
  </w:style>
  <w:style w:type="character" w:customStyle="1" w:styleId="HeaderChar1">
    <w:name w:val="Header Char1"/>
    <w:rsid w:val="009352B3"/>
    <w:rPr>
      <w:rFonts w:ascii="Myriad Pro SemiCond" w:hAnsi="Myriad Pro SemiCond" w:cs="Calibri"/>
      <w:sz w:val="22"/>
      <w:szCs w:val="22"/>
    </w:rPr>
  </w:style>
  <w:style w:type="table" w:customStyle="1" w:styleId="TableGrid2">
    <w:name w:val="Table Grid2"/>
    <w:basedOn w:val="TableNormal"/>
    <w:next w:val="TableGrid"/>
    <w:uiPriority w:val="59"/>
    <w:rsid w:val="009F099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F59"/>
    <w:pPr>
      <w:ind w:left="720"/>
    </w:pPr>
  </w:style>
  <w:style w:type="character" w:customStyle="1" w:styleId="spelle">
    <w:name w:val="spelle"/>
    <w:basedOn w:val="DefaultParagraphFont"/>
    <w:rsid w:val="008F0B8D"/>
  </w:style>
  <w:style w:type="paragraph" w:customStyle="1" w:styleId="CM81">
    <w:name w:val="CM81"/>
    <w:basedOn w:val="Default"/>
    <w:next w:val="Default"/>
    <w:uiPriority w:val="99"/>
    <w:rsid w:val="00842E1C"/>
    <w:rPr>
      <w:rFonts w:ascii="Times New Roman" w:hAnsi="Times New Roman" w:cs="Times New Roman"/>
      <w:color w:val="auto"/>
    </w:rPr>
  </w:style>
  <w:style w:type="character" w:customStyle="1" w:styleId="Heading3Char">
    <w:name w:val="Heading 3 Char"/>
    <w:basedOn w:val="DefaultParagraphFont"/>
    <w:link w:val="Heading3"/>
    <w:uiPriority w:val="9"/>
    <w:semiHidden/>
    <w:rsid w:val="00B411C1"/>
    <w:rPr>
      <w:rFonts w:asciiTheme="majorHAnsi" w:eastAsiaTheme="majorEastAsia" w:hAnsiTheme="majorHAnsi" w:cstheme="majorBidi"/>
      <w:color w:val="243F60" w:themeColor="accent1" w:themeShade="7F"/>
      <w:sz w:val="24"/>
      <w:szCs w:val="24"/>
      <w:lang w:bidi="fr-FR"/>
    </w:rPr>
  </w:style>
  <w:style w:type="character" w:styleId="Emphasis">
    <w:name w:val="Emphasis"/>
    <w:uiPriority w:val="20"/>
    <w:qFormat/>
    <w:rsid w:val="008404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2260">
      <w:bodyDiv w:val="1"/>
      <w:marLeft w:val="0"/>
      <w:marRight w:val="0"/>
      <w:marTop w:val="0"/>
      <w:marBottom w:val="0"/>
      <w:divBdr>
        <w:top w:val="none" w:sz="0" w:space="0" w:color="auto"/>
        <w:left w:val="none" w:sz="0" w:space="0" w:color="auto"/>
        <w:bottom w:val="none" w:sz="0" w:space="0" w:color="auto"/>
        <w:right w:val="none" w:sz="0" w:space="0" w:color="auto"/>
      </w:divBdr>
    </w:div>
    <w:div w:id="119230571">
      <w:bodyDiv w:val="1"/>
      <w:marLeft w:val="0"/>
      <w:marRight w:val="0"/>
      <w:marTop w:val="0"/>
      <w:marBottom w:val="0"/>
      <w:divBdr>
        <w:top w:val="none" w:sz="0" w:space="0" w:color="auto"/>
        <w:left w:val="none" w:sz="0" w:space="0" w:color="auto"/>
        <w:bottom w:val="none" w:sz="0" w:space="0" w:color="auto"/>
        <w:right w:val="none" w:sz="0" w:space="0" w:color="auto"/>
      </w:divBdr>
    </w:div>
    <w:div w:id="134952956">
      <w:bodyDiv w:val="1"/>
      <w:marLeft w:val="0"/>
      <w:marRight w:val="0"/>
      <w:marTop w:val="0"/>
      <w:marBottom w:val="0"/>
      <w:divBdr>
        <w:top w:val="none" w:sz="0" w:space="0" w:color="auto"/>
        <w:left w:val="none" w:sz="0" w:space="0" w:color="auto"/>
        <w:bottom w:val="none" w:sz="0" w:space="0" w:color="auto"/>
        <w:right w:val="none" w:sz="0" w:space="0" w:color="auto"/>
      </w:divBdr>
    </w:div>
    <w:div w:id="233781005">
      <w:bodyDiv w:val="1"/>
      <w:marLeft w:val="0"/>
      <w:marRight w:val="0"/>
      <w:marTop w:val="0"/>
      <w:marBottom w:val="0"/>
      <w:divBdr>
        <w:top w:val="none" w:sz="0" w:space="0" w:color="auto"/>
        <w:left w:val="none" w:sz="0" w:space="0" w:color="auto"/>
        <w:bottom w:val="none" w:sz="0" w:space="0" w:color="auto"/>
        <w:right w:val="none" w:sz="0" w:space="0" w:color="auto"/>
      </w:divBdr>
    </w:div>
    <w:div w:id="236137054">
      <w:bodyDiv w:val="1"/>
      <w:marLeft w:val="0"/>
      <w:marRight w:val="0"/>
      <w:marTop w:val="0"/>
      <w:marBottom w:val="0"/>
      <w:divBdr>
        <w:top w:val="none" w:sz="0" w:space="0" w:color="auto"/>
        <w:left w:val="none" w:sz="0" w:space="0" w:color="auto"/>
        <w:bottom w:val="none" w:sz="0" w:space="0" w:color="auto"/>
        <w:right w:val="none" w:sz="0" w:space="0" w:color="auto"/>
      </w:divBdr>
    </w:div>
    <w:div w:id="245112866">
      <w:bodyDiv w:val="1"/>
      <w:marLeft w:val="0"/>
      <w:marRight w:val="0"/>
      <w:marTop w:val="0"/>
      <w:marBottom w:val="0"/>
      <w:divBdr>
        <w:top w:val="none" w:sz="0" w:space="0" w:color="auto"/>
        <w:left w:val="none" w:sz="0" w:space="0" w:color="auto"/>
        <w:bottom w:val="none" w:sz="0" w:space="0" w:color="auto"/>
        <w:right w:val="none" w:sz="0" w:space="0" w:color="auto"/>
      </w:divBdr>
    </w:div>
    <w:div w:id="256327703">
      <w:bodyDiv w:val="1"/>
      <w:marLeft w:val="0"/>
      <w:marRight w:val="0"/>
      <w:marTop w:val="0"/>
      <w:marBottom w:val="0"/>
      <w:divBdr>
        <w:top w:val="none" w:sz="0" w:space="0" w:color="auto"/>
        <w:left w:val="none" w:sz="0" w:space="0" w:color="auto"/>
        <w:bottom w:val="none" w:sz="0" w:space="0" w:color="auto"/>
        <w:right w:val="none" w:sz="0" w:space="0" w:color="auto"/>
      </w:divBdr>
    </w:div>
    <w:div w:id="259021702">
      <w:bodyDiv w:val="1"/>
      <w:marLeft w:val="0"/>
      <w:marRight w:val="0"/>
      <w:marTop w:val="0"/>
      <w:marBottom w:val="0"/>
      <w:divBdr>
        <w:top w:val="none" w:sz="0" w:space="0" w:color="auto"/>
        <w:left w:val="none" w:sz="0" w:space="0" w:color="auto"/>
        <w:bottom w:val="none" w:sz="0" w:space="0" w:color="auto"/>
        <w:right w:val="none" w:sz="0" w:space="0" w:color="auto"/>
      </w:divBdr>
    </w:div>
    <w:div w:id="292715470">
      <w:bodyDiv w:val="1"/>
      <w:marLeft w:val="0"/>
      <w:marRight w:val="0"/>
      <w:marTop w:val="0"/>
      <w:marBottom w:val="0"/>
      <w:divBdr>
        <w:top w:val="none" w:sz="0" w:space="0" w:color="auto"/>
        <w:left w:val="none" w:sz="0" w:space="0" w:color="auto"/>
        <w:bottom w:val="none" w:sz="0" w:space="0" w:color="auto"/>
        <w:right w:val="none" w:sz="0" w:space="0" w:color="auto"/>
      </w:divBdr>
    </w:div>
    <w:div w:id="361135369">
      <w:bodyDiv w:val="1"/>
      <w:marLeft w:val="0"/>
      <w:marRight w:val="0"/>
      <w:marTop w:val="0"/>
      <w:marBottom w:val="0"/>
      <w:divBdr>
        <w:top w:val="none" w:sz="0" w:space="0" w:color="auto"/>
        <w:left w:val="none" w:sz="0" w:space="0" w:color="auto"/>
        <w:bottom w:val="none" w:sz="0" w:space="0" w:color="auto"/>
        <w:right w:val="none" w:sz="0" w:space="0" w:color="auto"/>
      </w:divBdr>
    </w:div>
    <w:div w:id="441385912">
      <w:bodyDiv w:val="1"/>
      <w:marLeft w:val="0"/>
      <w:marRight w:val="0"/>
      <w:marTop w:val="0"/>
      <w:marBottom w:val="0"/>
      <w:divBdr>
        <w:top w:val="none" w:sz="0" w:space="0" w:color="auto"/>
        <w:left w:val="none" w:sz="0" w:space="0" w:color="auto"/>
        <w:bottom w:val="none" w:sz="0" w:space="0" w:color="auto"/>
        <w:right w:val="none" w:sz="0" w:space="0" w:color="auto"/>
      </w:divBdr>
    </w:div>
    <w:div w:id="449863974">
      <w:bodyDiv w:val="1"/>
      <w:marLeft w:val="0"/>
      <w:marRight w:val="0"/>
      <w:marTop w:val="0"/>
      <w:marBottom w:val="0"/>
      <w:divBdr>
        <w:top w:val="none" w:sz="0" w:space="0" w:color="auto"/>
        <w:left w:val="none" w:sz="0" w:space="0" w:color="auto"/>
        <w:bottom w:val="none" w:sz="0" w:space="0" w:color="auto"/>
        <w:right w:val="none" w:sz="0" w:space="0" w:color="auto"/>
      </w:divBdr>
    </w:div>
    <w:div w:id="480659621">
      <w:bodyDiv w:val="1"/>
      <w:marLeft w:val="0"/>
      <w:marRight w:val="0"/>
      <w:marTop w:val="0"/>
      <w:marBottom w:val="0"/>
      <w:divBdr>
        <w:top w:val="none" w:sz="0" w:space="0" w:color="auto"/>
        <w:left w:val="none" w:sz="0" w:space="0" w:color="auto"/>
        <w:bottom w:val="none" w:sz="0" w:space="0" w:color="auto"/>
        <w:right w:val="none" w:sz="0" w:space="0" w:color="auto"/>
      </w:divBdr>
    </w:div>
    <w:div w:id="502744566">
      <w:bodyDiv w:val="1"/>
      <w:marLeft w:val="0"/>
      <w:marRight w:val="0"/>
      <w:marTop w:val="0"/>
      <w:marBottom w:val="0"/>
      <w:divBdr>
        <w:top w:val="none" w:sz="0" w:space="0" w:color="auto"/>
        <w:left w:val="none" w:sz="0" w:space="0" w:color="auto"/>
        <w:bottom w:val="none" w:sz="0" w:space="0" w:color="auto"/>
        <w:right w:val="none" w:sz="0" w:space="0" w:color="auto"/>
      </w:divBdr>
    </w:div>
    <w:div w:id="516893944">
      <w:bodyDiv w:val="1"/>
      <w:marLeft w:val="0"/>
      <w:marRight w:val="0"/>
      <w:marTop w:val="0"/>
      <w:marBottom w:val="0"/>
      <w:divBdr>
        <w:top w:val="none" w:sz="0" w:space="0" w:color="auto"/>
        <w:left w:val="none" w:sz="0" w:space="0" w:color="auto"/>
        <w:bottom w:val="none" w:sz="0" w:space="0" w:color="auto"/>
        <w:right w:val="none" w:sz="0" w:space="0" w:color="auto"/>
      </w:divBdr>
    </w:div>
    <w:div w:id="534924735">
      <w:bodyDiv w:val="1"/>
      <w:marLeft w:val="0"/>
      <w:marRight w:val="0"/>
      <w:marTop w:val="0"/>
      <w:marBottom w:val="0"/>
      <w:divBdr>
        <w:top w:val="none" w:sz="0" w:space="0" w:color="auto"/>
        <w:left w:val="none" w:sz="0" w:space="0" w:color="auto"/>
        <w:bottom w:val="none" w:sz="0" w:space="0" w:color="auto"/>
        <w:right w:val="none" w:sz="0" w:space="0" w:color="auto"/>
      </w:divBdr>
    </w:div>
    <w:div w:id="608437270">
      <w:bodyDiv w:val="1"/>
      <w:marLeft w:val="0"/>
      <w:marRight w:val="0"/>
      <w:marTop w:val="0"/>
      <w:marBottom w:val="0"/>
      <w:divBdr>
        <w:top w:val="none" w:sz="0" w:space="0" w:color="auto"/>
        <w:left w:val="none" w:sz="0" w:space="0" w:color="auto"/>
        <w:bottom w:val="none" w:sz="0" w:space="0" w:color="auto"/>
        <w:right w:val="none" w:sz="0" w:space="0" w:color="auto"/>
      </w:divBdr>
    </w:div>
    <w:div w:id="620578808">
      <w:bodyDiv w:val="1"/>
      <w:marLeft w:val="0"/>
      <w:marRight w:val="0"/>
      <w:marTop w:val="0"/>
      <w:marBottom w:val="0"/>
      <w:divBdr>
        <w:top w:val="none" w:sz="0" w:space="0" w:color="auto"/>
        <w:left w:val="none" w:sz="0" w:space="0" w:color="auto"/>
        <w:bottom w:val="none" w:sz="0" w:space="0" w:color="auto"/>
        <w:right w:val="none" w:sz="0" w:space="0" w:color="auto"/>
      </w:divBdr>
    </w:div>
    <w:div w:id="744376715">
      <w:bodyDiv w:val="1"/>
      <w:marLeft w:val="0"/>
      <w:marRight w:val="0"/>
      <w:marTop w:val="0"/>
      <w:marBottom w:val="0"/>
      <w:divBdr>
        <w:top w:val="none" w:sz="0" w:space="0" w:color="auto"/>
        <w:left w:val="none" w:sz="0" w:space="0" w:color="auto"/>
        <w:bottom w:val="none" w:sz="0" w:space="0" w:color="auto"/>
        <w:right w:val="none" w:sz="0" w:space="0" w:color="auto"/>
      </w:divBdr>
    </w:div>
    <w:div w:id="822166083">
      <w:bodyDiv w:val="1"/>
      <w:marLeft w:val="0"/>
      <w:marRight w:val="0"/>
      <w:marTop w:val="0"/>
      <w:marBottom w:val="0"/>
      <w:divBdr>
        <w:top w:val="none" w:sz="0" w:space="0" w:color="auto"/>
        <w:left w:val="none" w:sz="0" w:space="0" w:color="auto"/>
        <w:bottom w:val="none" w:sz="0" w:space="0" w:color="auto"/>
        <w:right w:val="none" w:sz="0" w:space="0" w:color="auto"/>
      </w:divBdr>
    </w:div>
    <w:div w:id="982465956">
      <w:bodyDiv w:val="1"/>
      <w:marLeft w:val="0"/>
      <w:marRight w:val="0"/>
      <w:marTop w:val="0"/>
      <w:marBottom w:val="0"/>
      <w:divBdr>
        <w:top w:val="none" w:sz="0" w:space="0" w:color="auto"/>
        <w:left w:val="none" w:sz="0" w:space="0" w:color="auto"/>
        <w:bottom w:val="none" w:sz="0" w:space="0" w:color="auto"/>
        <w:right w:val="none" w:sz="0" w:space="0" w:color="auto"/>
      </w:divBdr>
    </w:div>
    <w:div w:id="988486754">
      <w:bodyDiv w:val="1"/>
      <w:marLeft w:val="0"/>
      <w:marRight w:val="0"/>
      <w:marTop w:val="0"/>
      <w:marBottom w:val="0"/>
      <w:divBdr>
        <w:top w:val="none" w:sz="0" w:space="0" w:color="auto"/>
        <w:left w:val="none" w:sz="0" w:space="0" w:color="auto"/>
        <w:bottom w:val="none" w:sz="0" w:space="0" w:color="auto"/>
        <w:right w:val="none" w:sz="0" w:space="0" w:color="auto"/>
      </w:divBdr>
    </w:div>
    <w:div w:id="1020816923">
      <w:bodyDiv w:val="1"/>
      <w:marLeft w:val="0"/>
      <w:marRight w:val="0"/>
      <w:marTop w:val="0"/>
      <w:marBottom w:val="0"/>
      <w:divBdr>
        <w:top w:val="none" w:sz="0" w:space="0" w:color="auto"/>
        <w:left w:val="none" w:sz="0" w:space="0" w:color="auto"/>
        <w:bottom w:val="none" w:sz="0" w:space="0" w:color="auto"/>
        <w:right w:val="none" w:sz="0" w:space="0" w:color="auto"/>
      </w:divBdr>
    </w:div>
    <w:div w:id="1066028052">
      <w:bodyDiv w:val="1"/>
      <w:marLeft w:val="0"/>
      <w:marRight w:val="0"/>
      <w:marTop w:val="0"/>
      <w:marBottom w:val="0"/>
      <w:divBdr>
        <w:top w:val="none" w:sz="0" w:space="0" w:color="auto"/>
        <w:left w:val="none" w:sz="0" w:space="0" w:color="auto"/>
        <w:bottom w:val="none" w:sz="0" w:space="0" w:color="auto"/>
        <w:right w:val="none" w:sz="0" w:space="0" w:color="auto"/>
      </w:divBdr>
    </w:div>
    <w:div w:id="1109156937">
      <w:bodyDiv w:val="1"/>
      <w:marLeft w:val="0"/>
      <w:marRight w:val="0"/>
      <w:marTop w:val="0"/>
      <w:marBottom w:val="0"/>
      <w:divBdr>
        <w:top w:val="none" w:sz="0" w:space="0" w:color="auto"/>
        <w:left w:val="none" w:sz="0" w:space="0" w:color="auto"/>
        <w:bottom w:val="none" w:sz="0" w:space="0" w:color="auto"/>
        <w:right w:val="none" w:sz="0" w:space="0" w:color="auto"/>
      </w:divBdr>
    </w:div>
    <w:div w:id="1129081577">
      <w:bodyDiv w:val="1"/>
      <w:marLeft w:val="0"/>
      <w:marRight w:val="0"/>
      <w:marTop w:val="0"/>
      <w:marBottom w:val="0"/>
      <w:divBdr>
        <w:top w:val="none" w:sz="0" w:space="0" w:color="auto"/>
        <w:left w:val="none" w:sz="0" w:space="0" w:color="auto"/>
        <w:bottom w:val="none" w:sz="0" w:space="0" w:color="auto"/>
        <w:right w:val="none" w:sz="0" w:space="0" w:color="auto"/>
      </w:divBdr>
    </w:div>
    <w:div w:id="1142385401">
      <w:bodyDiv w:val="1"/>
      <w:marLeft w:val="0"/>
      <w:marRight w:val="0"/>
      <w:marTop w:val="0"/>
      <w:marBottom w:val="0"/>
      <w:divBdr>
        <w:top w:val="none" w:sz="0" w:space="0" w:color="auto"/>
        <w:left w:val="none" w:sz="0" w:space="0" w:color="auto"/>
        <w:bottom w:val="none" w:sz="0" w:space="0" w:color="auto"/>
        <w:right w:val="none" w:sz="0" w:space="0" w:color="auto"/>
      </w:divBdr>
    </w:div>
    <w:div w:id="1204102686">
      <w:bodyDiv w:val="1"/>
      <w:marLeft w:val="0"/>
      <w:marRight w:val="0"/>
      <w:marTop w:val="0"/>
      <w:marBottom w:val="0"/>
      <w:divBdr>
        <w:top w:val="none" w:sz="0" w:space="0" w:color="auto"/>
        <w:left w:val="none" w:sz="0" w:space="0" w:color="auto"/>
        <w:bottom w:val="none" w:sz="0" w:space="0" w:color="auto"/>
        <w:right w:val="none" w:sz="0" w:space="0" w:color="auto"/>
      </w:divBdr>
    </w:div>
    <w:div w:id="1207524754">
      <w:bodyDiv w:val="1"/>
      <w:marLeft w:val="0"/>
      <w:marRight w:val="0"/>
      <w:marTop w:val="0"/>
      <w:marBottom w:val="0"/>
      <w:divBdr>
        <w:top w:val="none" w:sz="0" w:space="0" w:color="auto"/>
        <w:left w:val="none" w:sz="0" w:space="0" w:color="auto"/>
        <w:bottom w:val="none" w:sz="0" w:space="0" w:color="auto"/>
        <w:right w:val="none" w:sz="0" w:space="0" w:color="auto"/>
      </w:divBdr>
    </w:div>
    <w:div w:id="1293629590">
      <w:bodyDiv w:val="1"/>
      <w:marLeft w:val="0"/>
      <w:marRight w:val="0"/>
      <w:marTop w:val="0"/>
      <w:marBottom w:val="0"/>
      <w:divBdr>
        <w:top w:val="none" w:sz="0" w:space="0" w:color="auto"/>
        <w:left w:val="none" w:sz="0" w:space="0" w:color="auto"/>
        <w:bottom w:val="none" w:sz="0" w:space="0" w:color="auto"/>
        <w:right w:val="none" w:sz="0" w:space="0" w:color="auto"/>
      </w:divBdr>
    </w:div>
    <w:div w:id="1311130837">
      <w:bodyDiv w:val="1"/>
      <w:marLeft w:val="0"/>
      <w:marRight w:val="0"/>
      <w:marTop w:val="0"/>
      <w:marBottom w:val="0"/>
      <w:divBdr>
        <w:top w:val="none" w:sz="0" w:space="0" w:color="auto"/>
        <w:left w:val="none" w:sz="0" w:space="0" w:color="auto"/>
        <w:bottom w:val="none" w:sz="0" w:space="0" w:color="auto"/>
        <w:right w:val="none" w:sz="0" w:space="0" w:color="auto"/>
      </w:divBdr>
    </w:div>
    <w:div w:id="1317297118">
      <w:bodyDiv w:val="1"/>
      <w:marLeft w:val="0"/>
      <w:marRight w:val="0"/>
      <w:marTop w:val="0"/>
      <w:marBottom w:val="0"/>
      <w:divBdr>
        <w:top w:val="none" w:sz="0" w:space="0" w:color="auto"/>
        <w:left w:val="none" w:sz="0" w:space="0" w:color="auto"/>
        <w:bottom w:val="none" w:sz="0" w:space="0" w:color="auto"/>
        <w:right w:val="none" w:sz="0" w:space="0" w:color="auto"/>
      </w:divBdr>
    </w:div>
    <w:div w:id="1338993721">
      <w:bodyDiv w:val="1"/>
      <w:marLeft w:val="0"/>
      <w:marRight w:val="0"/>
      <w:marTop w:val="0"/>
      <w:marBottom w:val="0"/>
      <w:divBdr>
        <w:top w:val="none" w:sz="0" w:space="0" w:color="auto"/>
        <w:left w:val="none" w:sz="0" w:space="0" w:color="auto"/>
        <w:bottom w:val="none" w:sz="0" w:space="0" w:color="auto"/>
        <w:right w:val="none" w:sz="0" w:space="0" w:color="auto"/>
      </w:divBdr>
    </w:div>
    <w:div w:id="1391613759">
      <w:bodyDiv w:val="1"/>
      <w:marLeft w:val="0"/>
      <w:marRight w:val="0"/>
      <w:marTop w:val="0"/>
      <w:marBottom w:val="0"/>
      <w:divBdr>
        <w:top w:val="none" w:sz="0" w:space="0" w:color="auto"/>
        <w:left w:val="none" w:sz="0" w:space="0" w:color="auto"/>
        <w:bottom w:val="none" w:sz="0" w:space="0" w:color="auto"/>
        <w:right w:val="none" w:sz="0" w:space="0" w:color="auto"/>
      </w:divBdr>
    </w:div>
    <w:div w:id="1401245135">
      <w:bodyDiv w:val="1"/>
      <w:marLeft w:val="0"/>
      <w:marRight w:val="0"/>
      <w:marTop w:val="0"/>
      <w:marBottom w:val="0"/>
      <w:divBdr>
        <w:top w:val="none" w:sz="0" w:space="0" w:color="auto"/>
        <w:left w:val="none" w:sz="0" w:space="0" w:color="auto"/>
        <w:bottom w:val="none" w:sz="0" w:space="0" w:color="auto"/>
        <w:right w:val="none" w:sz="0" w:space="0" w:color="auto"/>
      </w:divBdr>
    </w:div>
    <w:div w:id="1450976721">
      <w:bodyDiv w:val="1"/>
      <w:marLeft w:val="0"/>
      <w:marRight w:val="0"/>
      <w:marTop w:val="0"/>
      <w:marBottom w:val="0"/>
      <w:divBdr>
        <w:top w:val="none" w:sz="0" w:space="0" w:color="auto"/>
        <w:left w:val="none" w:sz="0" w:space="0" w:color="auto"/>
        <w:bottom w:val="none" w:sz="0" w:space="0" w:color="auto"/>
        <w:right w:val="none" w:sz="0" w:space="0" w:color="auto"/>
      </w:divBdr>
    </w:div>
    <w:div w:id="1460227514">
      <w:bodyDiv w:val="1"/>
      <w:marLeft w:val="0"/>
      <w:marRight w:val="0"/>
      <w:marTop w:val="0"/>
      <w:marBottom w:val="0"/>
      <w:divBdr>
        <w:top w:val="none" w:sz="0" w:space="0" w:color="auto"/>
        <w:left w:val="none" w:sz="0" w:space="0" w:color="auto"/>
        <w:bottom w:val="none" w:sz="0" w:space="0" w:color="auto"/>
        <w:right w:val="none" w:sz="0" w:space="0" w:color="auto"/>
      </w:divBdr>
    </w:div>
    <w:div w:id="1678733425">
      <w:bodyDiv w:val="1"/>
      <w:marLeft w:val="0"/>
      <w:marRight w:val="0"/>
      <w:marTop w:val="0"/>
      <w:marBottom w:val="0"/>
      <w:divBdr>
        <w:top w:val="none" w:sz="0" w:space="0" w:color="auto"/>
        <w:left w:val="none" w:sz="0" w:space="0" w:color="auto"/>
        <w:bottom w:val="none" w:sz="0" w:space="0" w:color="auto"/>
        <w:right w:val="none" w:sz="0" w:space="0" w:color="auto"/>
      </w:divBdr>
    </w:div>
    <w:div w:id="1750035878">
      <w:bodyDiv w:val="1"/>
      <w:marLeft w:val="0"/>
      <w:marRight w:val="0"/>
      <w:marTop w:val="0"/>
      <w:marBottom w:val="0"/>
      <w:divBdr>
        <w:top w:val="none" w:sz="0" w:space="0" w:color="auto"/>
        <w:left w:val="none" w:sz="0" w:space="0" w:color="auto"/>
        <w:bottom w:val="none" w:sz="0" w:space="0" w:color="auto"/>
        <w:right w:val="none" w:sz="0" w:space="0" w:color="auto"/>
      </w:divBdr>
    </w:div>
    <w:div w:id="1904173912">
      <w:bodyDiv w:val="1"/>
      <w:marLeft w:val="0"/>
      <w:marRight w:val="0"/>
      <w:marTop w:val="0"/>
      <w:marBottom w:val="0"/>
      <w:divBdr>
        <w:top w:val="none" w:sz="0" w:space="0" w:color="auto"/>
        <w:left w:val="none" w:sz="0" w:space="0" w:color="auto"/>
        <w:bottom w:val="none" w:sz="0" w:space="0" w:color="auto"/>
        <w:right w:val="none" w:sz="0" w:space="0" w:color="auto"/>
      </w:divBdr>
      <w:divsChild>
        <w:div w:id="864251">
          <w:marLeft w:val="0"/>
          <w:marRight w:val="0"/>
          <w:marTop w:val="0"/>
          <w:marBottom w:val="0"/>
          <w:divBdr>
            <w:top w:val="none" w:sz="0" w:space="0" w:color="auto"/>
            <w:left w:val="none" w:sz="0" w:space="0" w:color="auto"/>
            <w:bottom w:val="none" w:sz="0" w:space="0" w:color="auto"/>
            <w:right w:val="none" w:sz="0" w:space="0" w:color="auto"/>
          </w:divBdr>
        </w:div>
        <w:div w:id="27024743">
          <w:marLeft w:val="0"/>
          <w:marRight w:val="0"/>
          <w:marTop w:val="0"/>
          <w:marBottom w:val="0"/>
          <w:divBdr>
            <w:top w:val="none" w:sz="0" w:space="0" w:color="auto"/>
            <w:left w:val="none" w:sz="0" w:space="0" w:color="auto"/>
            <w:bottom w:val="none" w:sz="0" w:space="0" w:color="auto"/>
            <w:right w:val="none" w:sz="0" w:space="0" w:color="auto"/>
          </w:divBdr>
        </w:div>
        <w:div w:id="35669083">
          <w:marLeft w:val="0"/>
          <w:marRight w:val="0"/>
          <w:marTop w:val="0"/>
          <w:marBottom w:val="0"/>
          <w:divBdr>
            <w:top w:val="none" w:sz="0" w:space="0" w:color="auto"/>
            <w:left w:val="none" w:sz="0" w:space="0" w:color="auto"/>
            <w:bottom w:val="none" w:sz="0" w:space="0" w:color="auto"/>
            <w:right w:val="none" w:sz="0" w:space="0" w:color="auto"/>
          </w:divBdr>
        </w:div>
        <w:div w:id="49306289">
          <w:marLeft w:val="0"/>
          <w:marRight w:val="0"/>
          <w:marTop w:val="0"/>
          <w:marBottom w:val="0"/>
          <w:divBdr>
            <w:top w:val="none" w:sz="0" w:space="0" w:color="auto"/>
            <w:left w:val="none" w:sz="0" w:space="0" w:color="auto"/>
            <w:bottom w:val="none" w:sz="0" w:space="0" w:color="auto"/>
            <w:right w:val="none" w:sz="0" w:space="0" w:color="auto"/>
          </w:divBdr>
        </w:div>
        <w:div w:id="74787231">
          <w:marLeft w:val="0"/>
          <w:marRight w:val="0"/>
          <w:marTop w:val="0"/>
          <w:marBottom w:val="0"/>
          <w:divBdr>
            <w:top w:val="none" w:sz="0" w:space="0" w:color="auto"/>
            <w:left w:val="none" w:sz="0" w:space="0" w:color="auto"/>
            <w:bottom w:val="none" w:sz="0" w:space="0" w:color="auto"/>
            <w:right w:val="none" w:sz="0" w:space="0" w:color="auto"/>
          </w:divBdr>
        </w:div>
        <w:div w:id="81143638">
          <w:marLeft w:val="0"/>
          <w:marRight w:val="0"/>
          <w:marTop w:val="0"/>
          <w:marBottom w:val="0"/>
          <w:divBdr>
            <w:top w:val="none" w:sz="0" w:space="0" w:color="auto"/>
            <w:left w:val="none" w:sz="0" w:space="0" w:color="auto"/>
            <w:bottom w:val="none" w:sz="0" w:space="0" w:color="auto"/>
            <w:right w:val="none" w:sz="0" w:space="0" w:color="auto"/>
          </w:divBdr>
        </w:div>
        <w:div w:id="94715368">
          <w:marLeft w:val="0"/>
          <w:marRight w:val="0"/>
          <w:marTop w:val="0"/>
          <w:marBottom w:val="0"/>
          <w:divBdr>
            <w:top w:val="none" w:sz="0" w:space="0" w:color="auto"/>
            <w:left w:val="none" w:sz="0" w:space="0" w:color="auto"/>
            <w:bottom w:val="none" w:sz="0" w:space="0" w:color="auto"/>
            <w:right w:val="none" w:sz="0" w:space="0" w:color="auto"/>
          </w:divBdr>
        </w:div>
        <w:div w:id="109398802">
          <w:marLeft w:val="0"/>
          <w:marRight w:val="0"/>
          <w:marTop w:val="0"/>
          <w:marBottom w:val="0"/>
          <w:divBdr>
            <w:top w:val="none" w:sz="0" w:space="0" w:color="auto"/>
            <w:left w:val="none" w:sz="0" w:space="0" w:color="auto"/>
            <w:bottom w:val="none" w:sz="0" w:space="0" w:color="auto"/>
            <w:right w:val="none" w:sz="0" w:space="0" w:color="auto"/>
          </w:divBdr>
        </w:div>
        <w:div w:id="121307696">
          <w:marLeft w:val="0"/>
          <w:marRight w:val="0"/>
          <w:marTop w:val="0"/>
          <w:marBottom w:val="0"/>
          <w:divBdr>
            <w:top w:val="none" w:sz="0" w:space="0" w:color="auto"/>
            <w:left w:val="none" w:sz="0" w:space="0" w:color="auto"/>
            <w:bottom w:val="none" w:sz="0" w:space="0" w:color="auto"/>
            <w:right w:val="none" w:sz="0" w:space="0" w:color="auto"/>
          </w:divBdr>
        </w:div>
        <w:div w:id="163933695">
          <w:marLeft w:val="0"/>
          <w:marRight w:val="0"/>
          <w:marTop w:val="0"/>
          <w:marBottom w:val="0"/>
          <w:divBdr>
            <w:top w:val="none" w:sz="0" w:space="0" w:color="auto"/>
            <w:left w:val="none" w:sz="0" w:space="0" w:color="auto"/>
            <w:bottom w:val="none" w:sz="0" w:space="0" w:color="auto"/>
            <w:right w:val="none" w:sz="0" w:space="0" w:color="auto"/>
          </w:divBdr>
        </w:div>
        <w:div w:id="187837565">
          <w:marLeft w:val="0"/>
          <w:marRight w:val="0"/>
          <w:marTop w:val="0"/>
          <w:marBottom w:val="0"/>
          <w:divBdr>
            <w:top w:val="none" w:sz="0" w:space="0" w:color="auto"/>
            <w:left w:val="none" w:sz="0" w:space="0" w:color="auto"/>
            <w:bottom w:val="none" w:sz="0" w:space="0" w:color="auto"/>
            <w:right w:val="none" w:sz="0" w:space="0" w:color="auto"/>
          </w:divBdr>
        </w:div>
        <w:div w:id="188613822">
          <w:marLeft w:val="0"/>
          <w:marRight w:val="0"/>
          <w:marTop w:val="0"/>
          <w:marBottom w:val="0"/>
          <w:divBdr>
            <w:top w:val="none" w:sz="0" w:space="0" w:color="auto"/>
            <w:left w:val="none" w:sz="0" w:space="0" w:color="auto"/>
            <w:bottom w:val="none" w:sz="0" w:space="0" w:color="auto"/>
            <w:right w:val="none" w:sz="0" w:space="0" w:color="auto"/>
          </w:divBdr>
        </w:div>
        <w:div w:id="210655147">
          <w:marLeft w:val="0"/>
          <w:marRight w:val="0"/>
          <w:marTop w:val="0"/>
          <w:marBottom w:val="0"/>
          <w:divBdr>
            <w:top w:val="none" w:sz="0" w:space="0" w:color="auto"/>
            <w:left w:val="none" w:sz="0" w:space="0" w:color="auto"/>
            <w:bottom w:val="none" w:sz="0" w:space="0" w:color="auto"/>
            <w:right w:val="none" w:sz="0" w:space="0" w:color="auto"/>
          </w:divBdr>
        </w:div>
        <w:div w:id="232205382">
          <w:marLeft w:val="0"/>
          <w:marRight w:val="0"/>
          <w:marTop w:val="0"/>
          <w:marBottom w:val="0"/>
          <w:divBdr>
            <w:top w:val="none" w:sz="0" w:space="0" w:color="auto"/>
            <w:left w:val="none" w:sz="0" w:space="0" w:color="auto"/>
            <w:bottom w:val="none" w:sz="0" w:space="0" w:color="auto"/>
            <w:right w:val="none" w:sz="0" w:space="0" w:color="auto"/>
          </w:divBdr>
        </w:div>
        <w:div w:id="327446614">
          <w:marLeft w:val="0"/>
          <w:marRight w:val="0"/>
          <w:marTop w:val="0"/>
          <w:marBottom w:val="0"/>
          <w:divBdr>
            <w:top w:val="none" w:sz="0" w:space="0" w:color="auto"/>
            <w:left w:val="none" w:sz="0" w:space="0" w:color="auto"/>
            <w:bottom w:val="none" w:sz="0" w:space="0" w:color="auto"/>
            <w:right w:val="none" w:sz="0" w:space="0" w:color="auto"/>
          </w:divBdr>
        </w:div>
        <w:div w:id="340357022">
          <w:marLeft w:val="0"/>
          <w:marRight w:val="0"/>
          <w:marTop w:val="0"/>
          <w:marBottom w:val="0"/>
          <w:divBdr>
            <w:top w:val="none" w:sz="0" w:space="0" w:color="auto"/>
            <w:left w:val="none" w:sz="0" w:space="0" w:color="auto"/>
            <w:bottom w:val="none" w:sz="0" w:space="0" w:color="auto"/>
            <w:right w:val="none" w:sz="0" w:space="0" w:color="auto"/>
          </w:divBdr>
        </w:div>
        <w:div w:id="379475287">
          <w:marLeft w:val="0"/>
          <w:marRight w:val="0"/>
          <w:marTop w:val="0"/>
          <w:marBottom w:val="0"/>
          <w:divBdr>
            <w:top w:val="none" w:sz="0" w:space="0" w:color="auto"/>
            <w:left w:val="none" w:sz="0" w:space="0" w:color="auto"/>
            <w:bottom w:val="none" w:sz="0" w:space="0" w:color="auto"/>
            <w:right w:val="none" w:sz="0" w:space="0" w:color="auto"/>
          </w:divBdr>
        </w:div>
        <w:div w:id="383212963">
          <w:marLeft w:val="0"/>
          <w:marRight w:val="0"/>
          <w:marTop w:val="0"/>
          <w:marBottom w:val="0"/>
          <w:divBdr>
            <w:top w:val="none" w:sz="0" w:space="0" w:color="auto"/>
            <w:left w:val="none" w:sz="0" w:space="0" w:color="auto"/>
            <w:bottom w:val="none" w:sz="0" w:space="0" w:color="auto"/>
            <w:right w:val="none" w:sz="0" w:space="0" w:color="auto"/>
          </w:divBdr>
        </w:div>
        <w:div w:id="387412734">
          <w:marLeft w:val="0"/>
          <w:marRight w:val="0"/>
          <w:marTop w:val="0"/>
          <w:marBottom w:val="0"/>
          <w:divBdr>
            <w:top w:val="none" w:sz="0" w:space="0" w:color="auto"/>
            <w:left w:val="none" w:sz="0" w:space="0" w:color="auto"/>
            <w:bottom w:val="none" w:sz="0" w:space="0" w:color="auto"/>
            <w:right w:val="none" w:sz="0" w:space="0" w:color="auto"/>
          </w:divBdr>
        </w:div>
        <w:div w:id="412245381">
          <w:marLeft w:val="0"/>
          <w:marRight w:val="0"/>
          <w:marTop w:val="0"/>
          <w:marBottom w:val="0"/>
          <w:divBdr>
            <w:top w:val="none" w:sz="0" w:space="0" w:color="auto"/>
            <w:left w:val="none" w:sz="0" w:space="0" w:color="auto"/>
            <w:bottom w:val="none" w:sz="0" w:space="0" w:color="auto"/>
            <w:right w:val="none" w:sz="0" w:space="0" w:color="auto"/>
          </w:divBdr>
        </w:div>
        <w:div w:id="445085166">
          <w:marLeft w:val="0"/>
          <w:marRight w:val="0"/>
          <w:marTop w:val="0"/>
          <w:marBottom w:val="0"/>
          <w:divBdr>
            <w:top w:val="none" w:sz="0" w:space="0" w:color="auto"/>
            <w:left w:val="none" w:sz="0" w:space="0" w:color="auto"/>
            <w:bottom w:val="none" w:sz="0" w:space="0" w:color="auto"/>
            <w:right w:val="none" w:sz="0" w:space="0" w:color="auto"/>
          </w:divBdr>
        </w:div>
        <w:div w:id="457070282">
          <w:marLeft w:val="0"/>
          <w:marRight w:val="0"/>
          <w:marTop w:val="0"/>
          <w:marBottom w:val="0"/>
          <w:divBdr>
            <w:top w:val="none" w:sz="0" w:space="0" w:color="auto"/>
            <w:left w:val="none" w:sz="0" w:space="0" w:color="auto"/>
            <w:bottom w:val="none" w:sz="0" w:space="0" w:color="auto"/>
            <w:right w:val="none" w:sz="0" w:space="0" w:color="auto"/>
          </w:divBdr>
        </w:div>
        <w:div w:id="469400909">
          <w:marLeft w:val="0"/>
          <w:marRight w:val="0"/>
          <w:marTop w:val="0"/>
          <w:marBottom w:val="0"/>
          <w:divBdr>
            <w:top w:val="none" w:sz="0" w:space="0" w:color="auto"/>
            <w:left w:val="none" w:sz="0" w:space="0" w:color="auto"/>
            <w:bottom w:val="none" w:sz="0" w:space="0" w:color="auto"/>
            <w:right w:val="none" w:sz="0" w:space="0" w:color="auto"/>
          </w:divBdr>
        </w:div>
        <w:div w:id="476580637">
          <w:marLeft w:val="0"/>
          <w:marRight w:val="0"/>
          <w:marTop w:val="0"/>
          <w:marBottom w:val="0"/>
          <w:divBdr>
            <w:top w:val="none" w:sz="0" w:space="0" w:color="auto"/>
            <w:left w:val="none" w:sz="0" w:space="0" w:color="auto"/>
            <w:bottom w:val="none" w:sz="0" w:space="0" w:color="auto"/>
            <w:right w:val="none" w:sz="0" w:space="0" w:color="auto"/>
          </w:divBdr>
        </w:div>
        <w:div w:id="481968523">
          <w:marLeft w:val="0"/>
          <w:marRight w:val="0"/>
          <w:marTop w:val="0"/>
          <w:marBottom w:val="0"/>
          <w:divBdr>
            <w:top w:val="none" w:sz="0" w:space="0" w:color="auto"/>
            <w:left w:val="none" w:sz="0" w:space="0" w:color="auto"/>
            <w:bottom w:val="none" w:sz="0" w:space="0" w:color="auto"/>
            <w:right w:val="none" w:sz="0" w:space="0" w:color="auto"/>
          </w:divBdr>
        </w:div>
        <w:div w:id="502743413">
          <w:marLeft w:val="0"/>
          <w:marRight w:val="0"/>
          <w:marTop w:val="0"/>
          <w:marBottom w:val="0"/>
          <w:divBdr>
            <w:top w:val="none" w:sz="0" w:space="0" w:color="auto"/>
            <w:left w:val="none" w:sz="0" w:space="0" w:color="auto"/>
            <w:bottom w:val="none" w:sz="0" w:space="0" w:color="auto"/>
            <w:right w:val="none" w:sz="0" w:space="0" w:color="auto"/>
          </w:divBdr>
        </w:div>
        <w:div w:id="513229569">
          <w:marLeft w:val="0"/>
          <w:marRight w:val="0"/>
          <w:marTop w:val="0"/>
          <w:marBottom w:val="0"/>
          <w:divBdr>
            <w:top w:val="none" w:sz="0" w:space="0" w:color="auto"/>
            <w:left w:val="none" w:sz="0" w:space="0" w:color="auto"/>
            <w:bottom w:val="none" w:sz="0" w:space="0" w:color="auto"/>
            <w:right w:val="none" w:sz="0" w:space="0" w:color="auto"/>
          </w:divBdr>
        </w:div>
        <w:div w:id="566959557">
          <w:marLeft w:val="0"/>
          <w:marRight w:val="0"/>
          <w:marTop w:val="0"/>
          <w:marBottom w:val="0"/>
          <w:divBdr>
            <w:top w:val="none" w:sz="0" w:space="0" w:color="auto"/>
            <w:left w:val="none" w:sz="0" w:space="0" w:color="auto"/>
            <w:bottom w:val="none" w:sz="0" w:space="0" w:color="auto"/>
            <w:right w:val="none" w:sz="0" w:space="0" w:color="auto"/>
          </w:divBdr>
        </w:div>
        <w:div w:id="567805969">
          <w:marLeft w:val="0"/>
          <w:marRight w:val="0"/>
          <w:marTop w:val="0"/>
          <w:marBottom w:val="0"/>
          <w:divBdr>
            <w:top w:val="none" w:sz="0" w:space="0" w:color="auto"/>
            <w:left w:val="none" w:sz="0" w:space="0" w:color="auto"/>
            <w:bottom w:val="none" w:sz="0" w:space="0" w:color="auto"/>
            <w:right w:val="none" w:sz="0" w:space="0" w:color="auto"/>
          </w:divBdr>
        </w:div>
        <w:div w:id="599874351">
          <w:marLeft w:val="0"/>
          <w:marRight w:val="0"/>
          <w:marTop w:val="0"/>
          <w:marBottom w:val="0"/>
          <w:divBdr>
            <w:top w:val="none" w:sz="0" w:space="0" w:color="auto"/>
            <w:left w:val="none" w:sz="0" w:space="0" w:color="auto"/>
            <w:bottom w:val="none" w:sz="0" w:space="0" w:color="auto"/>
            <w:right w:val="none" w:sz="0" w:space="0" w:color="auto"/>
          </w:divBdr>
        </w:div>
        <w:div w:id="617373366">
          <w:marLeft w:val="0"/>
          <w:marRight w:val="0"/>
          <w:marTop w:val="0"/>
          <w:marBottom w:val="0"/>
          <w:divBdr>
            <w:top w:val="none" w:sz="0" w:space="0" w:color="auto"/>
            <w:left w:val="none" w:sz="0" w:space="0" w:color="auto"/>
            <w:bottom w:val="none" w:sz="0" w:space="0" w:color="auto"/>
            <w:right w:val="none" w:sz="0" w:space="0" w:color="auto"/>
          </w:divBdr>
        </w:div>
        <w:div w:id="640768234">
          <w:marLeft w:val="0"/>
          <w:marRight w:val="0"/>
          <w:marTop w:val="0"/>
          <w:marBottom w:val="0"/>
          <w:divBdr>
            <w:top w:val="none" w:sz="0" w:space="0" w:color="auto"/>
            <w:left w:val="none" w:sz="0" w:space="0" w:color="auto"/>
            <w:bottom w:val="none" w:sz="0" w:space="0" w:color="auto"/>
            <w:right w:val="none" w:sz="0" w:space="0" w:color="auto"/>
          </w:divBdr>
        </w:div>
        <w:div w:id="643268331">
          <w:marLeft w:val="0"/>
          <w:marRight w:val="0"/>
          <w:marTop w:val="0"/>
          <w:marBottom w:val="0"/>
          <w:divBdr>
            <w:top w:val="none" w:sz="0" w:space="0" w:color="auto"/>
            <w:left w:val="none" w:sz="0" w:space="0" w:color="auto"/>
            <w:bottom w:val="none" w:sz="0" w:space="0" w:color="auto"/>
            <w:right w:val="none" w:sz="0" w:space="0" w:color="auto"/>
          </w:divBdr>
        </w:div>
        <w:div w:id="666440961">
          <w:marLeft w:val="0"/>
          <w:marRight w:val="0"/>
          <w:marTop w:val="0"/>
          <w:marBottom w:val="0"/>
          <w:divBdr>
            <w:top w:val="none" w:sz="0" w:space="0" w:color="auto"/>
            <w:left w:val="none" w:sz="0" w:space="0" w:color="auto"/>
            <w:bottom w:val="none" w:sz="0" w:space="0" w:color="auto"/>
            <w:right w:val="none" w:sz="0" w:space="0" w:color="auto"/>
          </w:divBdr>
        </w:div>
        <w:div w:id="668102332">
          <w:marLeft w:val="0"/>
          <w:marRight w:val="0"/>
          <w:marTop w:val="0"/>
          <w:marBottom w:val="0"/>
          <w:divBdr>
            <w:top w:val="none" w:sz="0" w:space="0" w:color="auto"/>
            <w:left w:val="none" w:sz="0" w:space="0" w:color="auto"/>
            <w:bottom w:val="none" w:sz="0" w:space="0" w:color="auto"/>
            <w:right w:val="none" w:sz="0" w:space="0" w:color="auto"/>
          </w:divBdr>
        </w:div>
        <w:div w:id="681082698">
          <w:marLeft w:val="0"/>
          <w:marRight w:val="0"/>
          <w:marTop w:val="0"/>
          <w:marBottom w:val="0"/>
          <w:divBdr>
            <w:top w:val="none" w:sz="0" w:space="0" w:color="auto"/>
            <w:left w:val="none" w:sz="0" w:space="0" w:color="auto"/>
            <w:bottom w:val="none" w:sz="0" w:space="0" w:color="auto"/>
            <w:right w:val="none" w:sz="0" w:space="0" w:color="auto"/>
          </w:divBdr>
        </w:div>
        <w:div w:id="690108922">
          <w:marLeft w:val="0"/>
          <w:marRight w:val="0"/>
          <w:marTop w:val="0"/>
          <w:marBottom w:val="0"/>
          <w:divBdr>
            <w:top w:val="none" w:sz="0" w:space="0" w:color="auto"/>
            <w:left w:val="none" w:sz="0" w:space="0" w:color="auto"/>
            <w:bottom w:val="none" w:sz="0" w:space="0" w:color="auto"/>
            <w:right w:val="none" w:sz="0" w:space="0" w:color="auto"/>
          </w:divBdr>
        </w:div>
        <w:div w:id="705056776">
          <w:marLeft w:val="0"/>
          <w:marRight w:val="0"/>
          <w:marTop w:val="0"/>
          <w:marBottom w:val="0"/>
          <w:divBdr>
            <w:top w:val="none" w:sz="0" w:space="0" w:color="auto"/>
            <w:left w:val="none" w:sz="0" w:space="0" w:color="auto"/>
            <w:bottom w:val="none" w:sz="0" w:space="0" w:color="auto"/>
            <w:right w:val="none" w:sz="0" w:space="0" w:color="auto"/>
          </w:divBdr>
        </w:div>
        <w:div w:id="722631624">
          <w:marLeft w:val="0"/>
          <w:marRight w:val="0"/>
          <w:marTop w:val="0"/>
          <w:marBottom w:val="0"/>
          <w:divBdr>
            <w:top w:val="none" w:sz="0" w:space="0" w:color="auto"/>
            <w:left w:val="none" w:sz="0" w:space="0" w:color="auto"/>
            <w:bottom w:val="none" w:sz="0" w:space="0" w:color="auto"/>
            <w:right w:val="none" w:sz="0" w:space="0" w:color="auto"/>
          </w:divBdr>
        </w:div>
        <w:div w:id="746879958">
          <w:marLeft w:val="0"/>
          <w:marRight w:val="0"/>
          <w:marTop w:val="0"/>
          <w:marBottom w:val="0"/>
          <w:divBdr>
            <w:top w:val="none" w:sz="0" w:space="0" w:color="auto"/>
            <w:left w:val="none" w:sz="0" w:space="0" w:color="auto"/>
            <w:bottom w:val="none" w:sz="0" w:space="0" w:color="auto"/>
            <w:right w:val="none" w:sz="0" w:space="0" w:color="auto"/>
          </w:divBdr>
        </w:div>
        <w:div w:id="752974168">
          <w:marLeft w:val="0"/>
          <w:marRight w:val="0"/>
          <w:marTop w:val="0"/>
          <w:marBottom w:val="0"/>
          <w:divBdr>
            <w:top w:val="none" w:sz="0" w:space="0" w:color="auto"/>
            <w:left w:val="none" w:sz="0" w:space="0" w:color="auto"/>
            <w:bottom w:val="none" w:sz="0" w:space="0" w:color="auto"/>
            <w:right w:val="none" w:sz="0" w:space="0" w:color="auto"/>
          </w:divBdr>
        </w:div>
        <w:div w:id="761343543">
          <w:marLeft w:val="0"/>
          <w:marRight w:val="0"/>
          <w:marTop w:val="0"/>
          <w:marBottom w:val="0"/>
          <w:divBdr>
            <w:top w:val="none" w:sz="0" w:space="0" w:color="auto"/>
            <w:left w:val="none" w:sz="0" w:space="0" w:color="auto"/>
            <w:bottom w:val="none" w:sz="0" w:space="0" w:color="auto"/>
            <w:right w:val="none" w:sz="0" w:space="0" w:color="auto"/>
          </w:divBdr>
        </w:div>
        <w:div w:id="769350003">
          <w:marLeft w:val="0"/>
          <w:marRight w:val="0"/>
          <w:marTop w:val="0"/>
          <w:marBottom w:val="0"/>
          <w:divBdr>
            <w:top w:val="none" w:sz="0" w:space="0" w:color="auto"/>
            <w:left w:val="none" w:sz="0" w:space="0" w:color="auto"/>
            <w:bottom w:val="none" w:sz="0" w:space="0" w:color="auto"/>
            <w:right w:val="none" w:sz="0" w:space="0" w:color="auto"/>
          </w:divBdr>
        </w:div>
        <w:div w:id="777333898">
          <w:marLeft w:val="0"/>
          <w:marRight w:val="0"/>
          <w:marTop w:val="0"/>
          <w:marBottom w:val="0"/>
          <w:divBdr>
            <w:top w:val="none" w:sz="0" w:space="0" w:color="auto"/>
            <w:left w:val="none" w:sz="0" w:space="0" w:color="auto"/>
            <w:bottom w:val="none" w:sz="0" w:space="0" w:color="auto"/>
            <w:right w:val="none" w:sz="0" w:space="0" w:color="auto"/>
          </w:divBdr>
        </w:div>
        <w:div w:id="783384278">
          <w:marLeft w:val="0"/>
          <w:marRight w:val="0"/>
          <w:marTop w:val="0"/>
          <w:marBottom w:val="0"/>
          <w:divBdr>
            <w:top w:val="none" w:sz="0" w:space="0" w:color="auto"/>
            <w:left w:val="none" w:sz="0" w:space="0" w:color="auto"/>
            <w:bottom w:val="none" w:sz="0" w:space="0" w:color="auto"/>
            <w:right w:val="none" w:sz="0" w:space="0" w:color="auto"/>
          </w:divBdr>
        </w:div>
        <w:div w:id="786587718">
          <w:marLeft w:val="0"/>
          <w:marRight w:val="0"/>
          <w:marTop w:val="0"/>
          <w:marBottom w:val="0"/>
          <w:divBdr>
            <w:top w:val="none" w:sz="0" w:space="0" w:color="auto"/>
            <w:left w:val="none" w:sz="0" w:space="0" w:color="auto"/>
            <w:bottom w:val="none" w:sz="0" w:space="0" w:color="auto"/>
            <w:right w:val="none" w:sz="0" w:space="0" w:color="auto"/>
          </w:divBdr>
        </w:div>
        <w:div w:id="802574628">
          <w:marLeft w:val="0"/>
          <w:marRight w:val="0"/>
          <w:marTop w:val="0"/>
          <w:marBottom w:val="0"/>
          <w:divBdr>
            <w:top w:val="none" w:sz="0" w:space="0" w:color="auto"/>
            <w:left w:val="none" w:sz="0" w:space="0" w:color="auto"/>
            <w:bottom w:val="none" w:sz="0" w:space="0" w:color="auto"/>
            <w:right w:val="none" w:sz="0" w:space="0" w:color="auto"/>
          </w:divBdr>
        </w:div>
        <w:div w:id="825244835">
          <w:marLeft w:val="0"/>
          <w:marRight w:val="0"/>
          <w:marTop w:val="0"/>
          <w:marBottom w:val="0"/>
          <w:divBdr>
            <w:top w:val="none" w:sz="0" w:space="0" w:color="auto"/>
            <w:left w:val="none" w:sz="0" w:space="0" w:color="auto"/>
            <w:bottom w:val="none" w:sz="0" w:space="0" w:color="auto"/>
            <w:right w:val="none" w:sz="0" w:space="0" w:color="auto"/>
          </w:divBdr>
        </w:div>
        <w:div w:id="827942401">
          <w:marLeft w:val="0"/>
          <w:marRight w:val="0"/>
          <w:marTop w:val="0"/>
          <w:marBottom w:val="0"/>
          <w:divBdr>
            <w:top w:val="none" w:sz="0" w:space="0" w:color="auto"/>
            <w:left w:val="none" w:sz="0" w:space="0" w:color="auto"/>
            <w:bottom w:val="none" w:sz="0" w:space="0" w:color="auto"/>
            <w:right w:val="none" w:sz="0" w:space="0" w:color="auto"/>
          </w:divBdr>
        </w:div>
        <w:div w:id="838034734">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
        <w:div w:id="855653168">
          <w:marLeft w:val="0"/>
          <w:marRight w:val="0"/>
          <w:marTop w:val="0"/>
          <w:marBottom w:val="0"/>
          <w:divBdr>
            <w:top w:val="none" w:sz="0" w:space="0" w:color="auto"/>
            <w:left w:val="none" w:sz="0" w:space="0" w:color="auto"/>
            <w:bottom w:val="none" w:sz="0" w:space="0" w:color="auto"/>
            <w:right w:val="none" w:sz="0" w:space="0" w:color="auto"/>
          </w:divBdr>
        </w:div>
        <w:div w:id="873152691">
          <w:marLeft w:val="0"/>
          <w:marRight w:val="0"/>
          <w:marTop w:val="0"/>
          <w:marBottom w:val="0"/>
          <w:divBdr>
            <w:top w:val="none" w:sz="0" w:space="0" w:color="auto"/>
            <w:left w:val="none" w:sz="0" w:space="0" w:color="auto"/>
            <w:bottom w:val="none" w:sz="0" w:space="0" w:color="auto"/>
            <w:right w:val="none" w:sz="0" w:space="0" w:color="auto"/>
          </w:divBdr>
        </w:div>
        <w:div w:id="894896622">
          <w:marLeft w:val="0"/>
          <w:marRight w:val="0"/>
          <w:marTop w:val="0"/>
          <w:marBottom w:val="0"/>
          <w:divBdr>
            <w:top w:val="none" w:sz="0" w:space="0" w:color="auto"/>
            <w:left w:val="none" w:sz="0" w:space="0" w:color="auto"/>
            <w:bottom w:val="none" w:sz="0" w:space="0" w:color="auto"/>
            <w:right w:val="none" w:sz="0" w:space="0" w:color="auto"/>
          </w:divBdr>
        </w:div>
        <w:div w:id="914361355">
          <w:marLeft w:val="0"/>
          <w:marRight w:val="0"/>
          <w:marTop w:val="0"/>
          <w:marBottom w:val="0"/>
          <w:divBdr>
            <w:top w:val="none" w:sz="0" w:space="0" w:color="auto"/>
            <w:left w:val="none" w:sz="0" w:space="0" w:color="auto"/>
            <w:bottom w:val="none" w:sz="0" w:space="0" w:color="auto"/>
            <w:right w:val="none" w:sz="0" w:space="0" w:color="auto"/>
          </w:divBdr>
        </w:div>
        <w:div w:id="916399014">
          <w:marLeft w:val="0"/>
          <w:marRight w:val="0"/>
          <w:marTop w:val="0"/>
          <w:marBottom w:val="0"/>
          <w:divBdr>
            <w:top w:val="none" w:sz="0" w:space="0" w:color="auto"/>
            <w:left w:val="none" w:sz="0" w:space="0" w:color="auto"/>
            <w:bottom w:val="none" w:sz="0" w:space="0" w:color="auto"/>
            <w:right w:val="none" w:sz="0" w:space="0" w:color="auto"/>
          </w:divBdr>
        </w:div>
        <w:div w:id="927424599">
          <w:marLeft w:val="0"/>
          <w:marRight w:val="0"/>
          <w:marTop w:val="0"/>
          <w:marBottom w:val="0"/>
          <w:divBdr>
            <w:top w:val="none" w:sz="0" w:space="0" w:color="auto"/>
            <w:left w:val="none" w:sz="0" w:space="0" w:color="auto"/>
            <w:bottom w:val="none" w:sz="0" w:space="0" w:color="auto"/>
            <w:right w:val="none" w:sz="0" w:space="0" w:color="auto"/>
          </w:divBdr>
        </w:div>
        <w:div w:id="927544418">
          <w:marLeft w:val="0"/>
          <w:marRight w:val="0"/>
          <w:marTop w:val="0"/>
          <w:marBottom w:val="0"/>
          <w:divBdr>
            <w:top w:val="none" w:sz="0" w:space="0" w:color="auto"/>
            <w:left w:val="none" w:sz="0" w:space="0" w:color="auto"/>
            <w:bottom w:val="none" w:sz="0" w:space="0" w:color="auto"/>
            <w:right w:val="none" w:sz="0" w:space="0" w:color="auto"/>
          </w:divBdr>
        </w:div>
        <w:div w:id="944964716">
          <w:marLeft w:val="0"/>
          <w:marRight w:val="0"/>
          <w:marTop w:val="0"/>
          <w:marBottom w:val="0"/>
          <w:divBdr>
            <w:top w:val="none" w:sz="0" w:space="0" w:color="auto"/>
            <w:left w:val="none" w:sz="0" w:space="0" w:color="auto"/>
            <w:bottom w:val="none" w:sz="0" w:space="0" w:color="auto"/>
            <w:right w:val="none" w:sz="0" w:space="0" w:color="auto"/>
          </w:divBdr>
        </w:div>
        <w:div w:id="968391783">
          <w:marLeft w:val="0"/>
          <w:marRight w:val="0"/>
          <w:marTop w:val="0"/>
          <w:marBottom w:val="0"/>
          <w:divBdr>
            <w:top w:val="none" w:sz="0" w:space="0" w:color="auto"/>
            <w:left w:val="none" w:sz="0" w:space="0" w:color="auto"/>
            <w:bottom w:val="none" w:sz="0" w:space="0" w:color="auto"/>
            <w:right w:val="none" w:sz="0" w:space="0" w:color="auto"/>
          </w:divBdr>
        </w:div>
        <w:div w:id="983046312">
          <w:marLeft w:val="0"/>
          <w:marRight w:val="0"/>
          <w:marTop w:val="0"/>
          <w:marBottom w:val="0"/>
          <w:divBdr>
            <w:top w:val="none" w:sz="0" w:space="0" w:color="auto"/>
            <w:left w:val="none" w:sz="0" w:space="0" w:color="auto"/>
            <w:bottom w:val="none" w:sz="0" w:space="0" w:color="auto"/>
            <w:right w:val="none" w:sz="0" w:space="0" w:color="auto"/>
          </w:divBdr>
        </w:div>
        <w:div w:id="987249624">
          <w:marLeft w:val="0"/>
          <w:marRight w:val="0"/>
          <w:marTop w:val="0"/>
          <w:marBottom w:val="0"/>
          <w:divBdr>
            <w:top w:val="none" w:sz="0" w:space="0" w:color="auto"/>
            <w:left w:val="none" w:sz="0" w:space="0" w:color="auto"/>
            <w:bottom w:val="none" w:sz="0" w:space="0" w:color="auto"/>
            <w:right w:val="none" w:sz="0" w:space="0" w:color="auto"/>
          </w:divBdr>
        </w:div>
        <w:div w:id="1005791880">
          <w:marLeft w:val="0"/>
          <w:marRight w:val="0"/>
          <w:marTop w:val="0"/>
          <w:marBottom w:val="0"/>
          <w:divBdr>
            <w:top w:val="none" w:sz="0" w:space="0" w:color="auto"/>
            <w:left w:val="none" w:sz="0" w:space="0" w:color="auto"/>
            <w:bottom w:val="none" w:sz="0" w:space="0" w:color="auto"/>
            <w:right w:val="none" w:sz="0" w:space="0" w:color="auto"/>
          </w:divBdr>
        </w:div>
        <w:div w:id="1009260196">
          <w:marLeft w:val="0"/>
          <w:marRight w:val="0"/>
          <w:marTop w:val="0"/>
          <w:marBottom w:val="0"/>
          <w:divBdr>
            <w:top w:val="none" w:sz="0" w:space="0" w:color="auto"/>
            <w:left w:val="none" w:sz="0" w:space="0" w:color="auto"/>
            <w:bottom w:val="none" w:sz="0" w:space="0" w:color="auto"/>
            <w:right w:val="none" w:sz="0" w:space="0" w:color="auto"/>
          </w:divBdr>
        </w:div>
        <w:div w:id="1064336073">
          <w:marLeft w:val="0"/>
          <w:marRight w:val="0"/>
          <w:marTop w:val="0"/>
          <w:marBottom w:val="0"/>
          <w:divBdr>
            <w:top w:val="none" w:sz="0" w:space="0" w:color="auto"/>
            <w:left w:val="none" w:sz="0" w:space="0" w:color="auto"/>
            <w:bottom w:val="none" w:sz="0" w:space="0" w:color="auto"/>
            <w:right w:val="none" w:sz="0" w:space="0" w:color="auto"/>
          </w:divBdr>
        </w:div>
        <w:div w:id="1077093299">
          <w:marLeft w:val="0"/>
          <w:marRight w:val="0"/>
          <w:marTop w:val="0"/>
          <w:marBottom w:val="0"/>
          <w:divBdr>
            <w:top w:val="none" w:sz="0" w:space="0" w:color="auto"/>
            <w:left w:val="none" w:sz="0" w:space="0" w:color="auto"/>
            <w:bottom w:val="none" w:sz="0" w:space="0" w:color="auto"/>
            <w:right w:val="none" w:sz="0" w:space="0" w:color="auto"/>
          </w:divBdr>
        </w:div>
        <w:div w:id="1089152764">
          <w:marLeft w:val="0"/>
          <w:marRight w:val="0"/>
          <w:marTop w:val="0"/>
          <w:marBottom w:val="0"/>
          <w:divBdr>
            <w:top w:val="none" w:sz="0" w:space="0" w:color="auto"/>
            <w:left w:val="none" w:sz="0" w:space="0" w:color="auto"/>
            <w:bottom w:val="none" w:sz="0" w:space="0" w:color="auto"/>
            <w:right w:val="none" w:sz="0" w:space="0" w:color="auto"/>
          </w:divBdr>
        </w:div>
        <w:div w:id="1089346007">
          <w:marLeft w:val="0"/>
          <w:marRight w:val="0"/>
          <w:marTop w:val="0"/>
          <w:marBottom w:val="0"/>
          <w:divBdr>
            <w:top w:val="none" w:sz="0" w:space="0" w:color="auto"/>
            <w:left w:val="none" w:sz="0" w:space="0" w:color="auto"/>
            <w:bottom w:val="none" w:sz="0" w:space="0" w:color="auto"/>
            <w:right w:val="none" w:sz="0" w:space="0" w:color="auto"/>
          </w:divBdr>
        </w:div>
        <w:div w:id="1095790059">
          <w:marLeft w:val="0"/>
          <w:marRight w:val="0"/>
          <w:marTop w:val="0"/>
          <w:marBottom w:val="0"/>
          <w:divBdr>
            <w:top w:val="none" w:sz="0" w:space="0" w:color="auto"/>
            <w:left w:val="none" w:sz="0" w:space="0" w:color="auto"/>
            <w:bottom w:val="none" w:sz="0" w:space="0" w:color="auto"/>
            <w:right w:val="none" w:sz="0" w:space="0" w:color="auto"/>
          </w:divBdr>
        </w:div>
        <w:div w:id="1126511257">
          <w:marLeft w:val="0"/>
          <w:marRight w:val="0"/>
          <w:marTop w:val="0"/>
          <w:marBottom w:val="0"/>
          <w:divBdr>
            <w:top w:val="none" w:sz="0" w:space="0" w:color="auto"/>
            <w:left w:val="none" w:sz="0" w:space="0" w:color="auto"/>
            <w:bottom w:val="none" w:sz="0" w:space="0" w:color="auto"/>
            <w:right w:val="none" w:sz="0" w:space="0" w:color="auto"/>
          </w:divBdr>
        </w:div>
        <w:div w:id="1129662811">
          <w:marLeft w:val="0"/>
          <w:marRight w:val="0"/>
          <w:marTop w:val="0"/>
          <w:marBottom w:val="0"/>
          <w:divBdr>
            <w:top w:val="none" w:sz="0" w:space="0" w:color="auto"/>
            <w:left w:val="none" w:sz="0" w:space="0" w:color="auto"/>
            <w:bottom w:val="none" w:sz="0" w:space="0" w:color="auto"/>
            <w:right w:val="none" w:sz="0" w:space="0" w:color="auto"/>
          </w:divBdr>
        </w:div>
        <w:div w:id="1153986038">
          <w:marLeft w:val="0"/>
          <w:marRight w:val="0"/>
          <w:marTop w:val="0"/>
          <w:marBottom w:val="0"/>
          <w:divBdr>
            <w:top w:val="none" w:sz="0" w:space="0" w:color="auto"/>
            <w:left w:val="none" w:sz="0" w:space="0" w:color="auto"/>
            <w:bottom w:val="none" w:sz="0" w:space="0" w:color="auto"/>
            <w:right w:val="none" w:sz="0" w:space="0" w:color="auto"/>
          </w:divBdr>
        </w:div>
        <w:div w:id="1183278511">
          <w:marLeft w:val="0"/>
          <w:marRight w:val="0"/>
          <w:marTop w:val="0"/>
          <w:marBottom w:val="0"/>
          <w:divBdr>
            <w:top w:val="none" w:sz="0" w:space="0" w:color="auto"/>
            <w:left w:val="none" w:sz="0" w:space="0" w:color="auto"/>
            <w:bottom w:val="none" w:sz="0" w:space="0" w:color="auto"/>
            <w:right w:val="none" w:sz="0" w:space="0" w:color="auto"/>
          </w:divBdr>
        </w:div>
        <w:div w:id="1214122313">
          <w:marLeft w:val="0"/>
          <w:marRight w:val="0"/>
          <w:marTop w:val="0"/>
          <w:marBottom w:val="0"/>
          <w:divBdr>
            <w:top w:val="none" w:sz="0" w:space="0" w:color="auto"/>
            <w:left w:val="none" w:sz="0" w:space="0" w:color="auto"/>
            <w:bottom w:val="none" w:sz="0" w:space="0" w:color="auto"/>
            <w:right w:val="none" w:sz="0" w:space="0" w:color="auto"/>
          </w:divBdr>
        </w:div>
        <w:div w:id="1222710279">
          <w:marLeft w:val="0"/>
          <w:marRight w:val="0"/>
          <w:marTop w:val="0"/>
          <w:marBottom w:val="0"/>
          <w:divBdr>
            <w:top w:val="none" w:sz="0" w:space="0" w:color="auto"/>
            <w:left w:val="none" w:sz="0" w:space="0" w:color="auto"/>
            <w:bottom w:val="none" w:sz="0" w:space="0" w:color="auto"/>
            <w:right w:val="none" w:sz="0" w:space="0" w:color="auto"/>
          </w:divBdr>
        </w:div>
        <w:div w:id="1238201644">
          <w:marLeft w:val="0"/>
          <w:marRight w:val="0"/>
          <w:marTop w:val="0"/>
          <w:marBottom w:val="0"/>
          <w:divBdr>
            <w:top w:val="none" w:sz="0" w:space="0" w:color="auto"/>
            <w:left w:val="none" w:sz="0" w:space="0" w:color="auto"/>
            <w:bottom w:val="none" w:sz="0" w:space="0" w:color="auto"/>
            <w:right w:val="none" w:sz="0" w:space="0" w:color="auto"/>
          </w:divBdr>
        </w:div>
        <w:div w:id="1240603280">
          <w:marLeft w:val="0"/>
          <w:marRight w:val="0"/>
          <w:marTop w:val="0"/>
          <w:marBottom w:val="0"/>
          <w:divBdr>
            <w:top w:val="none" w:sz="0" w:space="0" w:color="auto"/>
            <w:left w:val="none" w:sz="0" w:space="0" w:color="auto"/>
            <w:bottom w:val="none" w:sz="0" w:space="0" w:color="auto"/>
            <w:right w:val="none" w:sz="0" w:space="0" w:color="auto"/>
          </w:divBdr>
        </w:div>
        <w:div w:id="1247688129">
          <w:marLeft w:val="0"/>
          <w:marRight w:val="0"/>
          <w:marTop w:val="0"/>
          <w:marBottom w:val="0"/>
          <w:divBdr>
            <w:top w:val="none" w:sz="0" w:space="0" w:color="auto"/>
            <w:left w:val="none" w:sz="0" w:space="0" w:color="auto"/>
            <w:bottom w:val="none" w:sz="0" w:space="0" w:color="auto"/>
            <w:right w:val="none" w:sz="0" w:space="0" w:color="auto"/>
          </w:divBdr>
        </w:div>
        <w:div w:id="1251694324">
          <w:marLeft w:val="0"/>
          <w:marRight w:val="0"/>
          <w:marTop w:val="0"/>
          <w:marBottom w:val="0"/>
          <w:divBdr>
            <w:top w:val="none" w:sz="0" w:space="0" w:color="auto"/>
            <w:left w:val="none" w:sz="0" w:space="0" w:color="auto"/>
            <w:bottom w:val="none" w:sz="0" w:space="0" w:color="auto"/>
            <w:right w:val="none" w:sz="0" w:space="0" w:color="auto"/>
          </w:divBdr>
        </w:div>
        <w:div w:id="1264534455">
          <w:marLeft w:val="0"/>
          <w:marRight w:val="0"/>
          <w:marTop w:val="0"/>
          <w:marBottom w:val="0"/>
          <w:divBdr>
            <w:top w:val="none" w:sz="0" w:space="0" w:color="auto"/>
            <w:left w:val="none" w:sz="0" w:space="0" w:color="auto"/>
            <w:bottom w:val="none" w:sz="0" w:space="0" w:color="auto"/>
            <w:right w:val="none" w:sz="0" w:space="0" w:color="auto"/>
          </w:divBdr>
        </w:div>
        <w:div w:id="1269238681">
          <w:marLeft w:val="0"/>
          <w:marRight w:val="0"/>
          <w:marTop w:val="0"/>
          <w:marBottom w:val="0"/>
          <w:divBdr>
            <w:top w:val="none" w:sz="0" w:space="0" w:color="auto"/>
            <w:left w:val="none" w:sz="0" w:space="0" w:color="auto"/>
            <w:bottom w:val="none" w:sz="0" w:space="0" w:color="auto"/>
            <w:right w:val="none" w:sz="0" w:space="0" w:color="auto"/>
          </w:divBdr>
        </w:div>
        <w:div w:id="1271861449">
          <w:marLeft w:val="0"/>
          <w:marRight w:val="0"/>
          <w:marTop w:val="0"/>
          <w:marBottom w:val="0"/>
          <w:divBdr>
            <w:top w:val="none" w:sz="0" w:space="0" w:color="auto"/>
            <w:left w:val="none" w:sz="0" w:space="0" w:color="auto"/>
            <w:bottom w:val="none" w:sz="0" w:space="0" w:color="auto"/>
            <w:right w:val="none" w:sz="0" w:space="0" w:color="auto"/>
          </w:divBdr>
        </w:div>
        <w:div w:id="1292596815">
          <w:marLeft w:val="0"/>
          <w:marRight w:val="0"/>
          <w:marTop w:val="0"/>
          <w:marBottom w:val="0"/>
          <w:divBdr>
            <w:top w:val="none" w:sz="0" w:space="0" w:color="auto"/>
            <w:left w:val="none" w:sz="0" w:space="0" w:color="auto"/>
            <w:bottom w:val="none" w:sz="0" w:space="0" w:color="auto"/>
            <w:right w:val="none" w:sz="0" w:space="0" w:color="auto"/>
          </w:divBdr>
        </w:div>
        <w:div w:id="1300183886">
          <w:marLeft w:val="0"/>
          <w:marRight w:val="0"/>
          <w:marTop w:val="0"/>
          <w:marBottom w:val="0"/>
          <w:divBdr>
            <w:top w:val="none" w:sz="0" w:space="0" w:color="auto"/>
            <w:left w:val="none" w:sz="0" w:space="0" w:color="auto"/>
            <w:bottom w:val="none" w:sz="0" w:space="0" w:color="auto"/>
            <w:right w:val="none" w:sz="0" w:space="0" w:color="auto"/>
          </w:divBdr>
        </w:div>
        <w:div w:id="1340540901">
          <w:marLeft w:val="0"/>
          <w:marRight w:val="0"/>
          <w:marTop w:val="0"/>
          <w:marBottom w:val="0"/>
          <w:divBdr>
            <w:top w:val="none" w:sz="0" w:space="0" w:color="auto"/>
            <w:left w:val="none" w:sz="0" w:space="0" w:color="auto"/>
            <w:bottom w:val="none" w:sz="0" w:space="0" w:color="auto"/>
            <w:right w:val="none" w:sz="0" w:space="0" w:color="auto"/>
          </w:divBdr>
        </w:div>
        <w:div w:id="1346009956">
          <w:marLeft w:val="0"/>
          <w:marRight w:val="0"/>
          <w:marTop w:val="0"/>
          <w:marBottom w:val="0"/>
          <w:divBdr>
            <w:top w:val="none" w:sz="0" w:space="0" w:color="auto"/>
            <w:left w:val="none" w:sz="0" w:space="0" w:color="auto"/>
            <w:bottom w:val="none" w:sz="0" w:space="0" w:color="auto"/>
            <w:right w:val="none" w:sz="0" w:space="0" w:color="auto"/>
          </w:divBdr>
        </w:div>
        <w:div w:id="1350373221">
          <w:marLeft w:val="0"/>
          <w:marRight w:val="0"/>
          <w:marTop w:val="0"/>
          <w:marBottom w:val="0"/>
          <w:divBdr>
            <w:top w:val="none" w:sz="0" w:space="0" w:color="auto"/>
            <w:left w:val="none" w:sz="0" w:space="0" w:color="auto"/>
            <w:bottom w:val="none" w:sz="0" w:space="0" w:color="auto"/>
            <w:right w:val="none" w:sz="0" w:space="0" w:color="auto"/>
          </w:divBdr>
        </w:div>
        <w:div w:id="1376081072">
          <w:marLeft w:val="0"/>
          <w:marRight w:val="0"/>
          <w:marTop w:val="0"/>
          <w:marBottom w:val="0"/>
          <w:divBdr>
            <w:top w:val="none" w:sz="0" w:space="0" w:color="auto"/>
            <w:left w:val="none" w:sz="0" w:space="0" w:color="auto"/>
            <w:bottom w:val="none" w:sz="0" w:space="0" w:color="auto"/>
            <w:right w:val="none" w:sz="0" w:space="0" w:color="auto"/>
          </w:divBdr>
        </w:div>
        <w:div w:id="1377008283">
          <w:marLeft w:val="0"/>
          <w:marRight w:val="0"/>
          <w:marTop w:val="0"/>
          <w:marBottom w:val="0"/>
          <w:divBdr>
            <w:top w:val="none" w:sz="0" w:space="0" w:color="auto"/>
            <w:left w:val="none" w:sz="0" w:space="0" w:color="auto"/>
            <w:bottom w:val="none" w:sz="0" w:space="0" w:color="auto"/>
            <w:right w:val="none" w:sz="0" w:space="0" w:color="auto"/>
          </w:divBdr>
        </w:div>
        <w:div w:id="1419716248">
          <w:marLeft w:val="0"/>
          <w:marRight w:val="0"/>
          <w:marTop w:val="0"/>
          <w:marBottom w:val="0"/>
          <w:divBdr>
            <w:top w:val="none" w:sz="0" w:space="0" w:color="auto"/>
            <w:left w:val="none" w:sz="0" w:space="0" w:color="auto"/>
            <w:bottom w:val="none" w:sz="0" w:space="0" w:color="auto"/>
            <w:right w:val="none" w:sz="0" w:space="0" w:color="auto"/>
          </w:divBdr>
        </w:div>
        <w:div w:id="1434518229">
          <w:marLeft w:val="0"/>
          <w:marRight w:val="0"/>
          <w:marTop w:val="0"/>
          <w:marBottom w:val="0"/>
          <w:divBdr>
            <w:top w:val="none" w:sz="0" w:space="0" w:color="auto"/>
            <w:left w:val="none" w:sz="0" w:space="0" w:color="auto"/>
            <w:bottom w:val="none" w:sz="0" w:space="0" w:color="auto"/>
            <w:right w:val="none" w:sz="0" w:space="0" w:color="auto"/>
          </w:divBdr>
        </w:div>
        <w:div w:id="1436292454">
          <w:marLeft w:val="0"/>
          <w:marRight w:val="0"/>
          <w:marTop w:val="0"/>
          <w:marBottom w:val="0"/>
          <w:divBdr>
            <w:top w:val="none" w:sz="0" w:space="0" w:color="auto"/>
            <w:left w:val="none" w:sz="0" w:space="0" w:color="auto"/>
            <w:bottom w:val="none" w:sz="0" w:space="0" w:color="auto"/>
            <w:right w:val="none" w:sz="0" w:space="0" w:color="auto"/>
          </w:divBdr>
        </w:div>
        <w:div w:id="1442529464">
          <w:marLeft w:val="0"/>
          <w:marRight w:val="0"/>
          <w:marTop w:val="0"/>
          <w:marBottom w:val="0"/>
          <w:divBdr>
            <w:top w:val="none" w:sz="0" w:space="0" w:color="auto"/>
            <w:left w:val="none" w:sz="0" w:space="0" w:color="auto"/>
            <w:bottom w:val="none" w:sz="0" w:space="0" w:color="auto"/>
            <w:right w:val="none" w:sz="0" w:space="0" w:color="auto"/>
          </w:divBdr>
        </w:div>
        <w:div w:id="1448624650">
          <w:marLeft w:val="0"/>
          <w:marRight w:val="0"/>
          <w:marTop w:val="0"/>
          <w:marBottom w:val="0"/>
          <w:divBdr>
            <w:top w:val="none" w:sz="0" w:space="0" w:color="auto"/>
            <w:left w:val="none" w:sz="0" w:space="0" w:color="auto"/>
            <w:bottom w:val="none" w:sz="0" w:space="0" w:color="auto"/>
            <w:right w:val="none" w:sz="0" w:space="0" w:color="auto"/>
          </w:divBdr>
        </w:div>
        <w:div w:id="1455900622">
          <w:marLeft w:val="0"/>
          <w:marRight w:val="0"/>
          <w:marTop w:val="0"/>
          <w:marBottom w:val="0"/>
          <w:divBdr>
            <w:top w:val="none" w:sz="0" w:space="0" w:color="auto"/>
            <w:left w:val="none" w:sz="0" w:space="0" w:color="auto"/>
            <w:bottom w:val="none" w:sz="0" w:space="0" w:color="auto"/>
            <w:right w:val="none" w:sz="0" w:space="0" w:color="auto"/>
          </w:divBdr>
        </w:div>
        <w:div w:id="1461878705">
          <w:marLeft w:val="0"/>
          <w:marRight w:val="0"/>
          <w:marTop w:val="0"/>
          <w:marBottom w:val="0"/>
          <w:divBdr>
            <w:top w:val="none" w:sz="0" w:space="0" w:color="auto"/>
            <w:left w:val="none" w:sz="0" w:space="0" w:color="auto"/>
            <w:bottom w:val="none" w:sz="0" w:space="0" w:color="auto"/>
            <w:right w:val="none" w:sz="0" w:space="0" w:color="auto"/>
          </w:divBdr>
        </w:div>
        <w:div w:id="1466041780">
          <w:marLeft w:val="0"/>
          <w:marRight w:val="0"/>
          <w:marTop w:val="0"/>
          <w:marBottom w:val="0"/>
          <w:divBdr>
            <w:top w:val="none" w:sz="0" w:space="0" w:color="auto"/>
            <w:left w:val="none" w:sz="0" w:space="0" w:color="auto"/>
            <w:bottom w:val="none" w:sz="0" w:space="0" w:color="auto"/>
            <w:right w:val="none" w:sz="0" w:space="0" w:color="auto"/>
          </w:divBdr>
        </w:div>
        <w:div w:id="1477988049">
          <w:marLeft w:val="0"/>
          <w:marRight w:val="0"/>
          <w:marTop w:val="0"/>
          <w:marBottom w:val="0"/>
          <w:divBdr>
            <w:top w:val="none" w:sz="0" w:space="0" w:color="auto"/>
            <w:left w:val="none" w:sz="0" w:space="0" w:color="auto"/>
            <w:bottom w:val="none" w:sz="0" w:space="0" w:color="auto"/>
            <w:right w:val="none" w:sz="0" w:space="0" w:color="auto"/>
          </w:divBdr>
        </w:div>
        <w:div w:id="1487939187">
          <w:marLeft w:val="0"/>
          <w:marRight w:val="0"/>
          <w:marTop w:val="0"/>
          <w:marBottom w:val="0"/>
          <w:divBdr>
            <w:top w:val="none" w:sz="0" w:space="0" w:color="auto"/>
            <w:left w:val="none" w:sz="0" w:space="0" w:color="auto"/>
            <w:bottom w:val="none" w:sz="0" w:space="0" w:color="auto"/>
            <w:right w:val="none" w:sz="0" w:space="0" w:color="auto"/>
          </w:divBdr>
        </w:div>
        <w:div w:id="1490320137">
          <w:marLeft w:val="0"/>
          <w:marRight w:val="0"/>
          <w:marTop w:val="0"/>
          <w:marBottom w:val="0"/>
          <w:divBdr>
            <w:top w:val="none" w:sz="0" w:space="0" w:color="auto"/>
            <w:left w:val="none" w:sz="0" w:space="0" w:color="auto"/>
            <w:bottom w:val="none" w:sz="0" w:space="0" w:color="auto"/>
            <w:right w:val="none" w:sz="0" w:space="0" w:color="auto"/>
          </w:divBdr>
        </w:div>
        <w:div w:id="1504904024">
          <w:marLeft w:val="0"/>
          <w:marRight w:val="0"/>
          <w:marTop w:val="0"/>
          <w:marBottom w:val="0"/>
          <w:divBdr>
            <w:top w:val="none" w:sz="0" w:space="0" w:color="auto"/>
            <w:left w:val="none" w:sz="0" w:space="0" w:color="auto"/>
            <w:bottom w:val="none" w:sz="0" w:space="0" w:color="auto"/>
            <w:right w:val="none" w:sz="0" w:space="0" w:color="auto"/>
          </w:divBdr>
        </w:div>
        <w:div w:id="1517888152">
          <w:marLeft w:val="0"/>
          <w:marRight w:val="0"/>
          <w:marTop w:val="0"/>
          <w:marBottom w:val="0"/>
          <w:divBdr>
            <w:top w:val="none" w:sz="0" w:space="0" w:color="auto"/>
            <w:left w:val="none" w:sz="0" w:space="0" w:color="auto"/>
            <w:bottom w:val="none" w:sz="0" w:space="0" w:color="auto"/>
            <w:right w:val="none" w:sz="0" w:space="0" w:color="auto"/>
          </w:divBdr>
        </w:div>
        <w:div w:id="1525826971">
          <w:marLeft w:val="0"/>
          <w:marRight w:val="0"/>
          <w:marTop w:val="0"/>
          <w:marBottom w:val="0"/>
          <w:divBdr>
            <w:top w:val="none" w:sz="0" w:space="0" w:color="auto"/>
            <w:left w:val="none" w:sz="0" w:space="0" w:color="auto"/>
            <w:bottom w:val="none" w:sz="0" w:space="0" w:color="auto"/>
            <w:right w:val="none" w:sz="0" w:space="0" w:color="auto"/>
          </w:divBdr>
        </w:div>
        <w:div w:id="1537228855">
          <w:marLeft w:val="0"/>
          <w:marRight w:val="0"/>
          <w:marTop w:val="0"/>
          <w:marBottom w:val="0"/>
          <w:divBdr>
            <w:top w:val="none" w:sz="0" w:space="0" w:color="auto"/>
            <w:left w:val="none" w:sz="0" w:space="0" w:color="auto"/>
            <w:bottom w:val="none" w:sz="0" w:space="0" w:color="auto"/>
            <w:right w:val="none" w:sz="0" w:space="0" w:color="auto"/>
          </w:divBdr>
        </w:div>
        <w:div w:id="1538853269">
          <w:marLeft w:val="0"/>
          <w:marRight w:val="0"/>
          <w:marTop w:val="0"/>
          <w:marBottom w:val="0"/>
          <w:divBdr>
            <w:top w:val="none" w:sz="0" w:space="0" w:color="auto"/>
            <w:left w:val="none" w:sz="0" w:space="0" w:color="auto"/>
            <w:bottom w:val="none" w:sz="0" w:space="0" w:color="auto"/>
            <w:right w:val="none" w:sz="0" w:space="0" w:color="auto"/>
          </w:divBdr>
        </w:div>
        <w:div w:id="1554846227">
          <w:marLeft w:val="0"/>
          <w:marRight w:val="0"/>
          <w:marTop w:val="0"/>
          <w:marBottom w:val="0"/>
          <w:divBdr>
            <w:top w:val="none" w:sz="0" w:space="0" w:color="auto"/>
            <w:left w:val="none" w:sz="0" w:space="0" w:color="auto"/>
            <w:bottom w:val="none" w:sz="0" w:space="0" w:color="auto"/>
            <w:right w:val="none" w:sz="0" w:space="0" w:color="auto"/>
          </w:divBdr>
        </w:div>
        <w:div w:id="1564834790">
          <w:marLeft w:val="0"/>
          <w:marRight w:val="0"/>
          <w:marTop w:val="0"/>
          <w:marBottom w:val="0"/>
          <w:divBdr>
            <w:top w:val="none" w:sz="0" w:space="0" w:color="auto"/>
            <w:left w:val="none" w:sz="0" w:space="0" w:color="auto"/>
            <w:bottom w:val="none" w:sz="0" w:space="0" w:color="auto"/>
            <w:right w:val="none" w:sz="0" w:space="0" w:color="auto"/>
          </w:divBdr>
        </w:div>
        <w:div w:id="1582645026">
          <w:marLeft w:val="0"/>
          <w:marRight w:val="0"/>
          <w:marTop w:val="0"/>
          <w:marBottom w:val="0"/>
          <w:divBdr>
            <w:top w:val="none" w:sz="0" w:space="0" w:color="auto"/>
            <w:left w:val="none" w:sz="0" w:space="0" w:color="auto"/>
            <w:bottom w:val="none" w:sz="0" w:space="0" w:color="auto"/>
            <w:right w:val="none" w:sz="0" w:space="0" w:color="auto"/>
          </w:divBdr>
        </w:div>
        <w:div w:id="1643464014">
          <w:marLeft w:val="0"/>
          <w:marRight w:val="0"/>
          <w:marTop w:val="0"/>
          <w:marBottom w:val="0"/>
          <w:divBdr>
            <w:top w:val="none" w:sz="0" w:space="0" w:color="auto"/>
            <w:left w:val="none" w:sz="0" w:space="0" w:color="auto"/>
            <w:bottom w:val="none" w:sz="0" w:space="0" w:color="auto"/>
            <w:right w:val="none" w:sz="0" w:space="0" w:color="auto"/>
          </w:divBdr>
        </w:div>
        <w:div w:id="1645039278">
          <w:marLeft w:val="0"/>
          <w:marRight w:val="0"/>
          <w:marTop w:val="0"/>
          <w:marBottom w:val="0"/>
          <w:divBdr>
            <w:top w:val="none" w:sz="0" w:space="0" w:color="auto"/>
            <w:left w:val="none" w:sz="0" w:space="0" w:color="auto"/>
            <w:bottom w:val="none" w:sz="0" w:space="0" w:color="auto"/>
            <w:right w:val="none" w:sz="0" w:space="0" w:color="auto"/>
          </w:divBdr>
        </w:div>
        <w:div w:id="1652250232">
          <w:marLeft w:val="0"/>
          <w:marRight w:val="0"/>
          <w:marTop w:val="0"/>
          <w:marBottom w:val="0"/>
          <w:divBdr>
            <w:top w:val="none" w:sz="0" w:space="0" w:color="auto"/>
            <w:left w:val="none" w:sz="0" w:space="0" w:color="auto"/>
            <w:bottom w:val="none" w:sz="0" w:space="0" w:color="auto"/>
            <w:right w:val="none" w:sz="0" w:space="0" w:color="auto"/>
          </w:divBdr>
        </w:div>
        <w:div w:id="1666397285">
          <w:marLeft w:val="0"/>
          <w:marRight w:val="0"/>
          <w:marTop w:val="0"/>
          <w:marBottom w:val="0"/>
          <w:divBdr>
            <w:top w:val="none" w:sz="0" w:space="0" w:color="auto"/>
            <w:left w:val="none" w:sz="0" w:space="0" w:color="auto"/>
            <w:bottom w:val="none" w:sz="0" w:space="0" w:color="auto"/>
            <w:right w:val="none" w:sz="0" w:space="0" w:color="auto"/>
          </w:divBdr>
        </w:div>
        <w:div w:id="1670015456">
          <w:marLeft w:val="0"/>
          <w:marRight w:val="0"/>
          <w:marTop w:val="0"/>
          <w:marBottom w:val="0"/>
          <w:divBdr>
            <w:top w:val="none" w:sz="0" w:space="0" w:color="auto"/>
            <w:left w:val="none" w:sz="0" w:space="0" w:color="auto"/>
            <w:bottom w:val="none" w:sz="0" w:space="0" w:color="auto"/>
            <w:right w:val="none" w:sz="0" w:space="0" w:color="auto"/>
          </w:divBdr>
        </w:div>
        <w:div w:id="1670475852">
          <w:marLeft w:val="0"/>
          <w:marRight w:val="0"/>
          <w:marTop w:val="0"/>
          <w:marBottom w:val="0"/>
          <w:divBdr>
            <w:top w:val="none" w:sz="0" w:space="0" w:color="auto"/>
            <w:left w:val="none" w:sz="0" w:space="0" w:color="auto"/>
            <w:bottom w:val="none" w:sz="0" w:space="0" w:color="auto"/>
            <w:right w:val="none" w:sz="0" w:space="0" w:color="auto"/>
          </w:divBdr>
        </w:div>
        <w:div w:id="1692761055">
          <w:marLeft w:val="0"/>
          <w:marRight w:val="0"/>
          <w:marTop w:val="0"/>
          <w:marBottom w:val="0"/>
          <w:divBdr>
            <w:top w:val="none" w:sz="0" w:space="0" w:color="auto"/>
            <w:left w:val="none" w:sz="0" w:space="0" w:color="auto"/>
            <w:bottom w:val="none" w:sz="0" w:space="0" w:color="auto"/>
            <w:right w:val="none" w:sz="0" w:space="0" w:color="auto"/>
          </w:divBdr>
        </w:div>
        <w:div w:id="1700546559">
          <w:marLeft w:val="0"/>
          <w:marRight w:val="0"/>
          <w:marTop w:val="0"/>
          <w:marBottom w:val="0"/>
          <w:divBdr>
            <w:top w:val="none" w:sz="0" w:space="0" w:color="auto"/>
            <w:left w:val="none" w:sz="0" w:space="0" w:color="auto"/>
            <w:bottom w:val="none" w:sz="0" w:space="0" w:color="auto"/>
            <w:right w:val="none" w:sz="0" w:space="0" w:color="auto"/>
          </w:divBdr>
        </w:div>
        <w:div w:id="1714690051">
          <w:marLeft w:val="0"/>
          <w:marRight w:val="0"/>
          <w:marTop w:val="0"/>
          <w:marBottom w:val="0"/>
          <w:divBdr>
            <w:top w:val="none" w:sz="0" w:space="0" w:color="auto"/>
            <w:left w:val="none" w:sz="0" w:space="0" w:color="auto"/>
            <w:bottom w:val="none" w:sz="0" w:space="0" w:color="auto"/>
            <w:right w:val="none" w:sz="0" w:space="0" w:color="auto"/>
          </w:divBdr>
        </w:div>
        <w:div w:id="1784156785">
          <w:marLeft w:val="0"/>
          <w:marRight w:val="0"/>
          <w:marTop w:val="0"/>
          <w:marBottom w:val="0"/>
          <w:divBdr>
            <w:top w:val="none" w:sz="0" w:space="0" w:color="auto"/>
            <w:left w:val="none" w:sz="0" w:space="0" w:color="auto"/>
            <w:bottom w:val="none" w:sz="0" w:space="0" w:color="auto"/>
            <w:right w:val="none" w:sz="0" w:space="0" w:color="auto"/>
          </w:divBdr>
        </w:div>
        <w:div w:id="1832409713">
          <w:marLeft w:val="0"/>
          <w:marRight w:val="0"/>
          <w:marTop w:val="0"/>
          <w:marBottom w:val="0"/>
          <w:divBdr>
            <w:top w:val="none" w:sz="0" w:space="0" w:color="auto"/>
            <w:left w:val="none" w:sz="0" w:space="0" w:color="auto"/>
            <w:bottom w:val="none" w:sz="0" w:space="0" w:color="auto"/>
            <w:right w:val="none" w:sz="0" w:space="0" w:color="auto"/>
          </w:divBdr>
        </w:div>
        <w:div w:id="1844975713">
          <w:marLeft w:val="0"/>
          <w:marRight w:val="0"/>
          <w:marTop w:val="0"/>
          <w:marBottom w:val="0"/>
          <w:divBdr>
            <w:top w:val="none" w:sz="0" w:space="0" w:color="auto"/>
            <w:left w:val="none" w:sz="0" w:space="0" w:color="auto"/>
            <w:bottom w:val="none" w:sz="0" w:space="0" w:color="auto"/>
            <w:right w:val="none" w:sz="0" w:space="0" w:color="auto"/>
          </w:divBdr>
        </w:div>
        <w:div w:id="1855654206">
          <w:marLeft w:val="0"/>
          <w:marRight w:val="0"/>
          <w:marTop w:val="0"/>
          <w:marBottom w:val="0"/>
          <w:divBdr>
            <w:top w:val="none" w:sz="0" w:space="0" w:color="auto"/>
            <w:left w:val="none" w:sz="0" w:space="0" w:color="auto"/>
            <w:bottom w:val="none" w:sz="0" w:space="0" w:color="auto"/>
            <w:right w:val="none" w:sz="0" w:space="0" w:color="auto"/>
          </w:divBdr>
        </w:div>
        <w:div w:id="1896233876">
          <w:marLeft w:val="0"/>
          <w:marRight w:val="0"/>
          <w:marTop w:val="0"/>
          <w:marBottom w:val="0"/>
          <w:divBdr>
            <w:top w:val="none" w:sz="0" w:space="0" w:color="auto"/>
            <w:left w:val="none" w:sz="0" w:space="0" w:color="auto"/>
            <w:bottom w:val="none" w:sz="0" w:space="0" w:color="auto"/>
            <w:right w:val="none" w:sz="0" w:space="0" w:color="auto"/>
          </w:divBdr>
        </w:div>
        <w:div w:id="1905330708">
          <w:marLeft w:val="0"/>
          <w:marRight w:val="0"/>
          <w:marTop w:val="0"/>
          <w:marBottom w:val="0"/>
          <w:divBdr>
            <w:top w:val="none" w:sz="0" w:space="0" w:color="auto"/>
            <w:left w:val="none" w:sz="0" w:space="0" w:color="auto"/>
            <w:bottom w:val="none" w:sz="0" w:space="0" w:color="auto"/>
            <w:right w:val="none" w:sz="0" w:space="0" w:color="auto"/>
          </w:divBdr>
        </w:div>
        <w:div w:id="1909029134">
          <w:marLeft w:val="0"/>
          <w:marRight w:val="0"/>
          <w:marTop w:val="0"/>
          <w:marBottom w:val="0"/>
          <w:divBdr>
            <w:top w:val="none" w:sz="0" w:space="0" w:color="auto"/>
            <w:left w:val="none" w:sz="0" w:space="0" w:color="auto"/>
            <w:bottom w:val="none" w:sz="0" w:space="0" w:color="auto"/>
            <w:right w:val="none" w:sz="0" w:space="0" w:color="auto"/>
          </w:divBdr>
        </w:div>
        <w:div w:id="1968270163">
          <w:marLeft w:val="0"/>
          <w:marRight w:val="0"/>
          <w:marTop w:val="0"/>
          <w:marBottom w:val="0"/>
          <w:divBdr>
            <w:top w:val="none" w:sz="0" w:space="0" w:color="auto"/>
            <w:left w:val="none" w:sz="0" w:space="0" w:color="auto"/>
            <w:bottom w:val="none" w:sz="0" w:space="0" w:color="auto"/>
            <w:right w:val="none" w:sz="0" w:space="0" w:color="auto"/>
          </w:divBdr>
        </w:div>
        <w:div w:id="2015109375">
          <w:marLeft w:val="0"/>
          <w:marRight w:val="0"/>
          <w:marTop w:val="0"/>
          <w:marBottom w:val="0"/>
          <w:divBdr>
            <w:top w:val="none" w:sz="0" w:space="0" w:color="auto"/>
            <w:left w:val="none" w:sz="0" w:space="0" w:color="auto"/>
            <w:bottom w:val="none" w:sz="0" w:space="0" w:color="auto"/>
            <w:right w:val="none" w:sz="0" w:space="0" w:color="auto"/>
          </w:divBdr>
        </w:div>
        <w:div w:id="2036882614">
          <w:marLeft w:val="0"/>
          <w:marRight w:val="0"/>
          <w:marTop w:val="0"/>
          <w:marBottom w:val="0"/>
          <w:divBdr>
            <w:top w:val="none" w:sz="0" w:space="0" w:color="auto"/>
            <w:left w:val="none" w:sz="0" w:space="0" w:color="auto"/>
            <w:bottom w:val="none" w:sz="0" w:space="0" w:color="auto"/>
            <w:right w:val="none" w:sz="0" w:space="0" w:color="auto"/>
          </w:divBdr>
        </w:div>
        <w:div w:id="2049256864">
          <w:marLeft w:val="0"/>
          <w:marRight w:val="0"/>
          <w:marTop w:val="0"/>
          <w:marBottom w:val="0"/>
          <w:divBdr>
            <w:top w:val="none" w:sz="0" w:space="0" w:color="auto"/>
            <w:left w:val="none" w:sz="0" w:space="0" w:color="auto"/>
            <w:bottom w:val="none" w:sz="0" w:space="0" w:color="auto"/>
            <w:right w:val="none" w:sz="0" w:space="0" w:color="auto"/>
          </w:divBdr>
        </w:div>
        <w:div w:id="2053310948">
          <w:marLeft w:val="0"/>
          <w:marRight w:val="0"/>
          <w:marTop w:val="0"/>
          <w:marBottom w:val="0"/>
          <w:divBdr>
            <w:top w:val="none" w:sz="0" w:space="0" w:color="auto"/>
            <w:left w:val="none" w:sz="0" w:space="0" w:color="auto"/>
            <w:bottom w:val="none" w:sz="0" w:space="0" w:color="auto"/>
            <w:right w:val="none" w:sz="0" w:space="0" w:color="auto"/>
          </w:divBdr>
        </w:div>
        <w:div w:id="2072998950">
          <w:marLeft w:val="0"/>
          <w:marRight w:val="0"/>
          <w:marTop w:val="0"/>
          <w:marBottom w:val="0"/>
          <w:divBdr>
            <w:top w:val="none" w:sz="0" w:space="0" w:color="auto"/>
            <w:left w:val="none" w:sz="0" w:space="0" w:color="auto"/>
            <w:bottom w:val="none" w:sz="0" w:space="0" w:color="auto"/>
            <w:right w:val="none" w:sz="0" w:space="0" w:color="auto"/>
          </w:divBdr>
        </w:div>
        <w:div w:id="2094664151">
          <w:marLeft w:val="0"/>
          <w:marRight w:val="0"/>
          <w:marTop w:val="0"/>
          <w:marBottom w:val="0"/>
          <w:divBdr>
            <w:top w:val="none" w:sz="0" w:space="0" w:color="auto"/>
            <w:left w:val="none" w:sz="0" w:space="0" w:color="auto"/>
            <w:bottom w:val="none" w:sz="0" w:space="0" w:color="auto"/>
            <w:right w:val="none" w:sz="0" w:space="0" w:color="auto"/>
          </w:divBdr>
        </w:div>
        <w:div w:id="2119251831">
          <w:marLeft w:val="0"/>
          <w:marRight w:val="0"/>
          <w:marTop w:val="0"/>
          <w:marBottom w:val="0"/>
          <w:divBdr>
            <w:top w:val="none" w:sz="0" w:space="0" w:color="auto"/>
            <w:left w:val="none" w:sz="0" w:space="0" w:color="auto"/>
            <w:bottom w:val="none" w:sz="0" w:space="0" w:color="auto"/>
            <w:right w:val="none" w:sz="0" w:space="0" w:color="auto"/>
          </w:divBdr>
        </w:div>
        <w:div w:id="2121021969">
          <w:marLeft w:val="0"/>
          <w:marRight w:val="0"/>
          <w:marTop w:val="0"/>
          <w:marBottom w:val="0"/>
          <w:divBdr>
            <w:top w:val="none" w:sz="0" w:space="0" w:color="auto"/>
            <w:left w:val="none" w:sz="0" w:space="0" w:color="auto"/>
            <w:bottom w:val="none" w:sz="0" w:space="0" w:color="auto"/>
            <w:right w:val="none" w:sz="0" w:space="0" w:color="auto"/>
          </w:divBdr>
        </w:div>
        <w:div w:id="2138840200">
          <w:marLeft w:val="0"/>
          <w:marRight w:val="0"/>
          <w:marTop w:val="0"/>
          <w:marBottom w:val="0"/>
          <w:divBdr>
            <w:top w:val="none" w:sz="0" w:space="0" w:color="auto"/>
            <w:left w:val="none" w:sz="0" w:space="0" w:color="auto"/>
            <w:bottom w:val="none" w:sz="0" w:space="0" w:color="auto"/>
            <w:right w:val="none" w:sz="0" w:space="0" w:color="auto"/>
          </w:divBdr>
        </w:div>
      </w:divsChild>
    </w:div>
    <w:div w:id="1910113934">
      <w:bodyDiv w:val="1"/>
      <w:marLeft w:val="0"/>
      <w:marRight w:val="0"/>
      <w:marTop w:val="0"/>
      <w:marBottom w:val="0"/>
      <w:divBdr>
        <w:top w:val="none" w:sz="0" w:space="0" w:color="auto"/>
        <w:left w:val="none" w:sz="0" w:space="0" w:color="auto"/>
        <w:bottom w:val="none" w:sz="0" w:space="0" w:color="auto"/>
        <w:right w:val="none" w:sz="0" w:space="0" w:color="auto"/>
      </w:divBdr>
      <w:divsChild>
        <w:div w:id="1216622642">
          <w:marLeft w:val="0"/>
          <w:marRight w:val="0"/>
          <w:marTop w:val="0"/>
          <w:marBottom w:val="0"/>
          <w:divBdr>
            <w:top w:val="none" w:sz="0" w:space="0" w:color="auto"/>
            <w:left w:val="none" w:sz="0" w:space="0" w:color="auto"/>
            <w:bottom w:val="none" w:sz="0" w:space="0" w:color="auto"/>
            <w:right w:val="none" w:sz="0" w:space="0" w:color="auto"/>
          </w:divBdr>
          <w:divsChild>
            <w:div w:id="716197708">
              <w:marLeft w:val="0"/>
              <w:marRight w:val="0"/>
              <w:marTop w:val="0"/>
              <w:marBottom w:val="0"/>
              <w:divBdr>
                <w:top w:val="none" w:sz="0" w:space="0" w:color="auto"/>
                <w:left w:val="none" w:sz="0" w:space="0" w:color="auto"/>
                <w:bottom w:val="none" w:sz="0" w:space="0" w:color="auto"/>
                <w:right w:val="none" w:sz="0" w:space="0" w:color="auto"/>
              </w:divBdr>
              <w:divsChild>
                <w:div w:id="2120491442">
                  <w:marLeft w:val="1"/>
                  <w:marRight w:val="1"/>
                  <w:marTop w:val="0"/>
                  <w:marBottom w:val="0"/>
                  <w:divBdr>
                    <w:top w:val="none" w:sz="0" w:space="0" w:color="auto"/>
                    <w:left w:val="none" w:sz="0" w:space="0" w:color="auto"/>
                    <w:bottom w:val="none" w:sz="0" w:space="0" w:color="auto"/>
                    <w:right w:val="none" w:sz="0" w:space="0" w:color="auto"/>
                  </w:divBdr>
                  <w:divsChild>
                    <w:div w:id="1391417850">
                      <w:marLeft w:val="0"/>
                      <w:marRight w:val="0"/>
                      <w:marTop w:val="0"/>
                      <w:marBottom w:val="0"/>
                      <w:divBdr>
                        <w:top w:val="none" w:sz="0" w:space="0" w:color="auto"/>
                        <w:left w:val="none" w:sz="0" w:space="0" w:color="auto"/>
                        <w:bottom w:val="none" w:sz="0" w:space="0" w:color="auto"/>
                        <w:right w:val="none" w:sz="0" w:space="0" w:color="auto"/>
                      </w:divBdr>
                      <w:divsChild>
                        <w:div w:id="1841694819">
                          <w:marLeft w:val="0"/>
                          <w:marRight w:val="0"/>
                          <w:marTop w:val="0"/>
                          <w:marBottom w:val="0"/>
                          <w:divBdr>
                            <w:top w:val="none" w:sz="0" w:space="0" w:color="auto"/>
                            <w:left w:val="none" w:sz="0" w:space="0" w:color="auto"/>
                            <w:bottom w:val="none" w:sz="0" w:space="0" w:color="auto"/>
                            <w:right w:val="none" w:sz="0" w:space="0" w:color="auto"/>
                          </w:divBdr>
                          <w:divsChild>
                            <w:div w:id="715201350">
                              <w:marLeft w:val="0"/>
                              <w:marRight w:val="0"/>
                              <w:marTop w:val="0"/>
                              <w:marBottom w:val="0"/>
                              <w:divBdr>
                                <w:top w:val="none" w:sz="0" w:space="0" w:color="auto"/>
                                <w:left w:val="none" w:sz="0" w:space="0" w:color="auto"/>
                                <w:bottom w:val="none" w:sz="0" w:space="0" w:color="auto"/>
                                <w:right w:val="none" w:sz="0" w:space="0" w:color="auto"/>
                              </w:divBdr>
                              <w:divsChild>
                                <w:div w:id="1721201873">
                                  <w:marLeft w:val="0"/>
                                  <w:marRight w:val="0"/>
                                  <w:marTop w:val="0"/>
                                  <w:marBottom w:val="0"/>
                                  <w:divBdr>
                                    <w:top w:val="none" w:sz="0" w:space="0" w:color="auto"/>
                                    <w:left w:val="none" w:sz="0" w:space="0" w:color="auto"/>
                                    <w:bottom w:val="none" w:sz="0" w:space="0" w:color="auto"/>
                                    <w:right w:val="none" w:sz="0" w:space="0" w:color="auto"/>
                                  </w:divBdr>
                                  <w:divsChild>
                                    <w:div w:id="1301614696">
                                      <w:marLeft w:val="0"/>
                                      <w:marRight w:val="0"/>
                                      <w:marTop w:val="0"/>
                                      <w:marBottom w:val="0"/>
                                      <w:divBdr>
                                        <w:top w:val="none" w:sz="0" w:space="0" w:color="auto"/>
                                        <w:left w:val="none" w:sz="0" w:space="0" w:color="auto"/>
                                        <w:bottom w:val="none" w:sz="0" w:space="0" w:color="auto"/>
                                        <w:right w:val="none" w:sz="0" w:space="0" w:color="auto"/>
                                      </w:divBdr>
                                      <w:divsChild>
                                        <w:div w:id="1743525815">
                                          <w:marLeft w:val="0"/>
                                          <w:marRight w:val="0"/>
                                          <w:marTop w:val="0"/>
                                          <w:marBottom w:val="0"/>
                                          <w:divBdr>
                                            <w:top w:val="none" w:sz="0" w:space="0" w:color="auto"/>
                                            <w:left w:val="none" w:sz="0" w:space="0" w:color="auto"/>
                                            <w:bottom w:val="none" w:sz="0" w:space="0" w:color="auto"/>
                                            <w:right w:val="none" w:sz="0" w:space="0" w:color="auto"/>
                                          </w:divBdr>
                                          <w:divsChild>
                                            <w:div w:id="1318847434">
                                              <w:marLeft w:val="0"/>
                                              <w:marRight w:val="0"/>
                                              <w:marTop w:val="0"/>
                                              <w:marBottom w:val="0"/>
                                              <w:divBdr>
                                                <w:top w:val="none" w:sz="0" w:space="0" w:color="auto"/>
                                                <w:left w:val="none" w:sz="0" w:space="0" w:color="auto"/>
                                                <w:bottom w:val="none" w:sz="0" w:space="0" w:color="auto"/>
                                                <w:right w:val="none" w:sz="0" w:space="0" w:color="auto"/>
                                              </w:divBdr>
                                              <w:divsChild>
                                                <w:div w:id="62143124">
                                                  <w:marLeft w:val="0"/>
                                                  <w:marRight w:val="0"/>
                                                  <w:marTop w:val="0"/>
                                                  <w:marBottom w:val="0"/>
                                                  <w:divBdr>
                                                    <w:top w:val="none" w:sz="0" w:space="0" w:color="auto"/>
                                                    <w:left w:val="none" w:sz="0" w:space="0" w:color="auto"/>
                                                    <w:bottom w:val="none" w:sz="0" w:space="0" w:color="auto"/>
                                                    <w:right w:val="none" w:sz="0" w:space="0" w:color="auto"/>
                                                  </w:divBdr>
                                                  <w:divsChild>
                                                    <w:div w:id="1877304197">
                                                      <w:marLeft w:val="0"/>
                                                      <w:marRight w:val="0"/>
                                                      <w:marTop w:val="0"/>
                                                      <w:marBottom w:val="0"/>
                                                      <w:divBdr>
                                                        <w:top w:val="none" w:sz="0" w:space="0" w:color="auto"/>
                                                        <w:left w:val="none" w:sz="0" w:space="0" w:color="auto"/>
                                                        <w:bottom w:val="none" w:sz="0" w:space="0" w:color="auto"/>
                                                        <w:right w:val="none" w:sz="0" w:space="0" w:color="auto"/>
                                                      </w:divBdr>
                                                      <w:divsChild>
                                                        <w:div w:id="314188548">
                                                          <w:marLeft w:val="0"/>
                                                          <w:marRight w:val="0"/>
                                                          <w:marTop w:val="0"/>
                                                          <w:marBottom w:val="0"/>
                                                          <w:divBdr>
                                                            <w:top w:val="none" w:sz="0" w:space="0" w:color="auto"/>
                                                            <w:left w:val="none" w:sz="0" w:space="0" w:color="auto"/>
                                                            <w:bottom w:val="none" w:sz="0" w:space="0" w:color="auto"/>
                                                            <w:right w:val="none" w:sz="0" w:space="0" w:color="auto"/>
                                                          </w:divBdr>
                                                          <w:divsChild>
                                                            <w:div w:id="1731146492">
                                                              <w:marLeft w:val="0"/>
                                                              <w:marRight w:val="0"/>
                                                              <w:marTop w:val="0"/>
                                                              <w:marBottom w:val="0"/>
                                                              <w:divBdr>
                                                                <w:top w:val="none" w:sz="0" w:space="0" w:color="auto"/>
                                                                <w:left w:val="none" w:sz="0" w:space="0" w:color="auto"/>
                                                                <w:bottom w:val="none" w:sz="0" w:space="0" w:color="auto"/>
                                                                <w:right w:val="none" w:sz="0" w:space="0" w:color="auto"/>
                                                              </w:divBdr>
                                                              <w:divsChild>
                                                                <w:div w:id="207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645972">
      <w:bodyDiv w:val="1"/>
      <w:marLeft w:val="0"/>
      <w:marRight w:val="0"/>
      <w:marTop w:val="0"/>
      <w:marBottom w:val="0"/>
      <w:divBdr>
        <w:top w:val="none" w:sz="0" w:space="0" w:color="auto"/>
        <w:left w:val="none" w:sz="0" w:space="0" w:color="auto"/>
        <w:bottom w:val="none" w:sz="0" w:space="0" w:color="auto"/>
        <w:right w:val="none" w:sz="0" w:space="0" w:color="auto"/>
      </w:divBdr>
    </w:div>
    <w:div w:id="199656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gjeringen.no/contentassets/135de8ebfaad4579b0bcbbc14e3748bd/no/pdfs/nou201620160027000dddpdf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iti.org/publication-types-public/beneficial-ownership-roadmap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D88A8-DCF7-4D25-9AA5-D68782614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0F651F-ADC3-45F3-AA33-761D7B68B77C}">
  <ds:schemaRefs>
    <ds:schemaRef ds:uri="http://schemas.microsoft.com/sharepoint/v3/contenttype/forms"/>
  </ds:schemaRefs>
</ds:datastoreItem>
</file>

<file path=customXml/itemProps3.xml><?xml version="1.0" encoding="utf-8"?>
<ds:datastoreItem xmlns:ds="http://schemas.openxmlformats.org/officeDocument/2006/customXml" ds:itemID="{9C19750E-40D8-4383-ACDA-B30190CA2B58}">
  <ds:schemaRefs>
    <ds:schemaRef ds:uri="http://schemas.microsoft.com/office/2006/metadata/longProperties"/>
  </ds:schemaRefs>
</ds:datastoreItem>
</file>

<file path=customXml/itemProps4.xml><?xml version="1.0" encoding="utf-8"?>
<ds:datastoreItem xmlns:ds="http://schemas.openxmlformats.org/officeDocument/2006/customXml" ds:itemID="{EC22ACE3-133C-49B7-B1A0-833D13429F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102EBFF-11F0-4916-9707-C6492D5A28C6}">
  <ds:schemaRefs>
    <ds:schemaRef ds:uri="http://schemas.openxmlformats.org/officeDocument/2006/bibliography"/>
  </ds:schemaRefs>
</ds:datastoreItem>
</file>

<file path=customXml/itemProps6.xml><?xml version="1.0" encoding="utf-8"?>
<ds:datastoreItem xmlns:ds="http://schemas.openxmlformats.org/officeDocument/2006/customXml" ds:itemID="{CA014C2D-EC99-4CD5-8AA9-5D3709D1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5580</Words>
  <Characters>29578</Characters>
  <Application>Microsoft Office Word</Application>
  <DocSecurity>0</DocSecurity>
  <Lines>246</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Extractive Industries Transparency Initiative</Company>
  <LinksUpToDate>false</LinksUpToDate>
  <CharactersWithSpaces>35088</CharactersWithSpaces>
  <SharedDoc>false</SharedDoc>
  <HLinks>
    <vt:vector size="54" baseType="variant">
      <vt:variant>
        <vt:i4>5767277</vt:i4>
      </vt:variant>
      <vt:variant>
        <vt:i4>30</vt:i4>
      </vt:variant>
      <vt:variant>
        <vt:i4>0</vt:i4>
      </vt:variant>
      <vt:variant>
        <vt:i4>5</vt:i4>
      </vt:variant>
      <vt:variant>
        <vt:lpwstr>mailto:sbartlett@eiti.org</vt:lpwstr>
      </vt:variant>
      <vt:variant>
        <vt:lpwstr/>
      </vt:variant>
      <vt:variant>
        <vt:i4>5767277</vt:i4>
      </vt:variant>
      <vt:variant>
        <vt:i4>27</vt:i4>
      </vt:variant>
      <vt:variant>
        <vt:i4>0</vt:i4>
      </vt:variant>
      <vt:variant>
        <vt:i4>5</vt:i4>
      </vt:variant>
      <vt:variant>
        <vt:lpwstr>mailto:sbartlett@eiti.org</vt:lpwstr>
      </vt:variant>
      <vt:variant>
        <vt:lpwstr/>
      </vt:variant>
      <vt:variant>
        <vt:i4>1703986</vt:i4>
      </vt:variant>
      <vt:variant>
        <vt:i4>20</vt:i4>
      </vt:variant>
      <vt:variant>
        <vt:i4>0</vt:i4>
      </vt:variant>
      <vt:variant>
        <vt:i4>5</vt:i4>
      </vt:variant>
      <vt:variant>
        <vt:lpwstr/>
      </vt:variant>
      <vt:variant>
        <vt:lpwstr>_Toc443568346</vt:lpwstr>
      </vt:variant>
      <vt:variant>
        <vt:i4>1703986</vt:i4>
      </vt:variant>
      <vt:variant>
        <vt:i4>14</vt:i4>
      </vt:variant>
      <vt:variant>
        <vt:i4>0</vt:i4>
      </vt:variant>
      <vt:variant>
        <vt:i4>5</vt:i4>
      </vt:variant>
      <vt:variant>
        <vt:lpwstr/>
      </vt:variant>
      <vt:variant>
        <vt:lpwstr>_Toc443568345</vt:lpwstr>
      </vt:variant>
      <vt:variant>
        <vt:i4>1703986</vt:i4>
      </vt:variant>
      <vt:variant>
        <vt:i4>8</vt:i4>
      </vt:variant>
      <vt:variant>
        <vt:i4>0</vt:i4>
      </vt:variant>
      <vt:variant>
        <vt:i4>5</vt:i4>
      </vt:variant>
      <vt:variant>
        <vt:lpwstr/>
      </vt:variant>
      <vt:variant>
        <vt:lpwstr>_Toc443568344</vt:lpwstr>
      </vt:variant>
      <vt:variant>
        <vt:i4>1703986</vt:i4>
      </vt:variant>
      <vt:variant>
        <vt:i4>2</vt:i4>
      </vt:variant>
      <vt:variant>
        <vt:i4>0</vt:i4>
      </vt:variant>
      <vt:variant>
        <vt:i4>5</vt:i4>
      </vt:variant>
      <vt:variant>
        <vt:lpwstr/>
      </vt:variant>
      <vt:variant>
        <vt:lpwstr>_Toc443568343</vt:lpwstr>
      </vt:variant>
      <vt:variant>
        <vt:i4>1966083</vt:i4>
      </vt:variant>
      <vt:variant>
        <vt:i4>6</vt:i4>
      </vt:variant>
      <vt:variant>
        <vt:i4>0</vt:i4>
      </vt:variant>
      <vt:variant>
        <vt:i4>5</vt:i4>
      </vt:variant>
      <vt:variant>
        <vt:lpwstr>http://siteresources.worldbank.org/INTPROCUREMENT/Resources/278019-1308067833011/Consultant_GLs_English_Final_Jan2011.pdf</vt:lpwstr>
      </vt:variant>
      <vt:variant>
        <vt:lpwstr/>
      </vt:variant>
      <vt:variant>
        <vt:i4>2359393</vt:i4>
      </vt:variant>
      <vt:variant>
        <vt:i4>3</vt:i4>
      </vt:variant>
      <vt:variant>
        <vt:i4>0</vt:i4>
      </vt:variant>
      <vt:variant>
        <vt:i4>5</vt:i4>
      </vt:variant>
      <vt:variant>
        <vt:lpwstr>https://eiti.org/files/English_EITI_STANDARD.pdf</vt:lpwstr>
      </vt:variant>
      <vt:variant>
        <vt:lpwstr/>
      </vt:variant>
      <vt:variant>
        <vt:i4>4784216</vt:i4>
      </vt:variant>
      <vt:variant>
        <vt:i4>0</vt:i4>
      </vt:variant>
      <vt:variant>
        <vt:i4>0</vt:i4>
      </vt:variant>
      <vt:variant>
        <vt:i4>5</vt:i4>
      </vt:variant>
      <vt:variant>
        <vt:lpwstr>http://www.eiti.org/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Bittiger</dc:creator>
  <cp:lastModifiedBy>Anna Herbert de la Portbarré</cp:lastModifiedBy>
  <cp:revision>2</cp:revision>
  <cp:lastPrinted>2016-08-26T14:35:00Z</cp:lastPrinted>
  <dcterms:created xsi:type="dcterms:W3CDTF">2017-01-16T09:41:00Z</dcterms:created>
  <dcterms:modified xsi:type="dcterms:W3CDTF">2017-01-16T09:41:00Z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0x0101004FDACE739233BB499185E9201691D117</vt:lpwstr>
  </property>
</Properties>
</file>