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2B32" w14:textId="77777777" w:rsidR="00FE67CC" w:rsidRPr="00475842" w:rsidRDefault="00FE67CC" w:rsidP="00FE67CC">
      <w:pPr>
        <w:spacing w:after="0"/>
        <w:rPr>
          <w:rFonts w:cs="Arial"/>
          <w:b/>
          <w:bCs/>
          <w:szCs w:val="20"/>
          <w:lang w:val="en-GB"/>
        </w:rPr>
      </w:pPr>
    </w:p>
    <w:p w14:paraId="71BC0084" w14:textId="77777777" w:rsidR="00FE67CC" w:rsidRPr="00475842" w:rsidRDefault="00FE67CC" w:rsidP="00EB2084">
      <w:pPr>
        <w:pStyle w:val="Heading2"/>
        <w:rPr>
          <w:lang w:val="en-GB"/>
        </w:rPr>
      </w:pPr>
      <w:r w:rsidRPr="00475842">
        <w:rPr>
          <w:lang w:val="en-GB"/>
        </w:rPr>
        <w:t>2.5 – Beneficial ownership</w:t>
      </w:r>
    </w:p>
    <w:p w14:paraId="2D471609" w14:textId="1B2524AD" w:rsidR="00FE67CC" w:rsidRPr="00475842" w:rsidRDefault="00FE67CC" w:rsidP="00FE67CC">
      <w:pPr>
        <w:spacing w:after="0"/>
        <w:rPr>
          <w:rFonts w:cs="Arial"/>
          <w:szCs w:val="20"/>
          <w:lang w:val="en-GB"/>
        </w:rPr>
      </w:pPr>
    </w:p>
    <w:p w14:paraId="601DE7F9" w14:textId="72CD4AF6" w:rsidR="00FE67CC" w:rsidRPr="00283A51" w:rsidRDefault="00EA1564" w:rsidP="00283A51">
      <w:pPr>
        <w:pStyle w:val="ListParagraph"/>
        <w:numPr>
          <w:ilvl w:val="0"/>
          <w:numId w:val="9"/>
        </w:numPr>
        <w:spacing w:after="0"/>
        <w:rPr>
          <w:rFonts w:cs="Arial"/>
          <w:i/>
          <w:iCs/>
          <w:lang w:val="en-GB"/>
        </w:rPr>
      </w:pPr>
      <w:r w:rsidRPr="00283A51">
        <w:rPr>
          <w:rFonts w:cs="Arial"/>
          <w:b/>
          <w:bCs/>
          <w:lang w:val="en-GB"/>
        </w:rPr>
        <w:t>Validation Report</w:t>
      </w:r>
      <w:r w:rsidR="0095313D" w:rsidRPr="00283A51">
        <w:rPr>
          <w:rFonts w:cs="Arial"/>
          <w:lang w:val="en-GB"/>
        </w:rPr>
        <w:t xml:space="preserve"> (pages </w:t>
      </w:r>
      <w:r w:rsidR="006E0DFD" w:rsidRPr="00283A51">
        <w:rPr>
          <w:rFonts w:cs="Arial"/>
          <w:lang w:val="uk-UA"/>
        </w:rPr>
        <w:t>30</w:t>
      </w:r>
      <w:r w:rsidR="0095313D" w:rsidRPr="00283A51">
        <w:rPr>
          <w:rFonts w:cs="Arial"/>
          <w:lang w:val="en-GB"/>
        </w:rPr>
        <w:t>-</w:t>
      </w:r>
      <w:r w:rsidR="00A93D59" w:rsidRPr="00283A51">
        <w:rPr>
          <w:rFonts w:cs="Arial"/>
          <w:lang w:val="uk-UA"/>
        </w:rPr>
        <w:t>31, 3</w:t>
      </w:r>
      <w:r w:rsidR="00B41619" w:rsidRPr="00283A51">
        <w:rPr>
          <w:rFonts w:cs="Arial"/>
          <w:lang w:val="uk-UA"/>
        </w:rPr>
        <w:t>8-3</w:t>
      </w:r>
      <w:r w:rsidR="00A93D59" w:rsidRPr="00283A51">
        <w:rPr>
          <w:rFonts w:cs="Arial"/>
          <w:lang w:val="uk-UA"/>
        </w:rPr>
        <w:t>9</w:t>
      </w:r>
      <w:r w:rsidR="0095313D" w:rsidRPr="00283A51">
        <w:rPr>
          <w:rFonts w:cs="Arial"/>
          <w:lang w:val="en-GB"/>
        </w:rPr>
        <w:t>)</w:t>
      </w:r>
      <w:r w:rsidRPr="00283A51">
        <w:rPr>
          <w:rFonts w:cs="Arial"/>
          <w:lang w:val="en-GB"/>
        </w:rPr>
        <w:t xml:space="preserve">: </w:t>
      </w:r>
      <w:r w:rsidRPr="00283A51">
        <w:rPr>
          <w:rFonts w:cs="Arial"/>
          <w:i/>
          <w:iCs/>
          <w:lang w:val="en-GB"/>
        </w:rPr>
        <w:t>"</w:t>
      </w:r>
      <w:r w:rsidR="00FE67CC" w:rsidRPr="00283A51">
        <w:rPr>
          <w:rFonts w:cs="Arial"/>
          <w:i/>
          <w:iCs/>
          <w:lang w:val="en-GB"/>
        </w:rPr>
        <w:t>Moreover, it appears that there are some inconsistencies in beneficial ownership information of SOEs. For example, there might be cases where data states that there are no beneficial owners, whereas other cases do not contain any information. In addition, the register does not clearly differentiate whether a company is directly or indirectly state-owned.</w:t>
      </w:r>
    </w:p>
    <w:p w14:paraId="5DA62354" w14:textId="32FF31A2" w:rsidR="003420C4" w:rsidRPr="00475842" w:rsidRDefault="003420C4" w:rsidP="00283A51">
      <w:pPr>
        <w:spacing w:after="0"/>
        <w:ind w:left="720"/>
        <w:rPr>
          <w:rFonts w:cs="Arial"/>
          <w:i/>
          <w:lang w:val="en-GB"/>
        </w:rPr>
      </w:pPr>
      <w:r w:rsidRPr="00475842">
        <w:rPr>
          <w:rFonts w:cs="Arial"/>
          <w:i/>
          <w:iCs/>
          <w:lang w:val="en-GB"/>
        </w:rPr>
        <w:t>…</w:t>
      </w:r>
    </w:p>
    <w:p w14:paraId="3250A57D" w14:textId="77777777" w:rsidR="003420C4" w:rsidRPr="00475842" w:rsidRDefault="003420C4" w:rsidP="00283A51">
      <w:pPr>
        <w:spacing w:after="0"/>
        <w:ind w:left="720"/>
        <w:rPr>
          <w:rFonts w:cs="Arial"/>
          <w:i/>
          <w:iCs/>
          <w:szCs w:val="20"/>
          <w:lang w:val="en-GB"/>
        </w:rPr>
      </w:pPr>
      <w:r w:rsidRPr="00475842">
        <w:rPr>
          <w:rFonts w:cs="Arial"/>
          <w:i/>
          <w:iCs/>
          <w:szCs w:val="20"/>
          <w:lang w:val="en-GB"/>
        </w:rPr>
        <w:t>Annex A</w:t>
      </w:r>
    </w:p>
    <w:p w14:paraId="22807899" w14:textId="77777777" w:rsidR="003420C4" w:rsidRPr="00475842" w:rsidRDefault="003420C4" w:rsidP="00283A51">
      <w:pPr>
        <w:spacing w:after="0"/>
        <w:ind w:left="720"/>
        <w:rPr>
          <w:rFonts w:cs="Arial"/>
          <w:i/>
          <w:iCs/>
          <w:szCs w:val="20"/>
          <w:lang w:val="en-GB"/>
        </w:rPr>
      </w:pPr>
      <w:r w:rsidRPr="00475842">
        <w:rPr>
          <w:rFonts w:cs="Arial"/>
          <w:i/>
          <w:iCs/>
          <w:szCs w:val="20"/>
          <w:lang w:val="en-GB"/>
        </w:rPr>
        <w:t xml:space="preserve">The 2017 EITI Report includes an overview of various gaps in the USR. For example, it is noted that “The USR [Unified state register] does not provide information about ultimate beneficial owners of state and municipal enterprises. Instead, the USR provides information on founders (participants) of </w:t>
      </w:r>
    </w:p>
    <w:p w14:paraId="7AC352E9" w14:textId="0947B08C" w:rsidR="003420C4" w:rsidRPr="00475842" w:rsidRDefault="003420C4" w:rsidP="00283A51">
      <w:pPr>
        <w:spacing w:after="0"/>
        <w:ind w:left="720"/>
        <w:rPr>
          <w:rFonts w:cs="Arial"/>
          <w:szCs w:val="20"/>
          <w:lang w:val="en-GB"/>
        </w:rPr>
      </w:pPr>
      <w:r w:rsidRPr="00475842">
        <w:rPr>
          <w:rFonts w:cs="Arial"/>
          <w:i/>
          <w:iCs/>
          <w:szCs w:val="20"/>
          <w:lang w:val="en-GB"/>
        </w:rPr>
        <w:t>such legal entities, including state executive bodies managing those.</w:t>
      </w:r>
      <w:r w:rsidRPr="00475842">
        <w:rPr>
          <w:rFonts w:cs="Arial"/>
          <w:szCs w:val="20"/>
          <w:lang w:val="en-GB"/>
        </w:rPr>
        <w:t xml:space="preserve">”  </w:t>
      </w:r>
    </w:p>
    <w:p w14:paraId="7AFCB1CF" w14:textId="77777777" w:rsidR="00FE67CC" w:rsidRPr="00475842" w:rsidRDefault="00FE67CC" w:rsidP="00FE67CC">
      <w:pPr>
        <w:spacing w:after="0"/>
        <w:rPr>
          <w:rFonts w:cs="Arial"/>
          <w:szCs w:val="20"/>
          <w:lang w:val="en-GB"/>
        </w:rPr>
      </w:pPr>
    </w:p>
    <w:p w14:paraId="2CC74002" w14:textId="693C2F3B" w:rsidR="00B94895" w:rsidRPr="00475842" w:rsidRDefault="00610B30" w:rsidP="00A15209">
      <w:pPr>
        <w:spacing w:after="0" w:line="256" w:lineRule="auto"/>
        <w:rPr>
          <w:lang w:val="en-GB"/>
        </w:rPr>
      </w:pPr>
      <w:r>
        <w:rPr>
          <w:b/>
        </w:rPr>
        <w:t>MSG</w:t>
      </w:r>
      <w:r w:rsidR="003163F0" w:rsidRPr="00475842">
        <w:rPr>
          <w:lang w:val="en-GB"/>
        </w:rPr>
        <w:t>:</w:t>
      </w:r>
      <w:r w:rsidR="00B94895" w:rsidRPr="00475842">
        <w:rPr>
          <w:lang w:val="en-GB"/>
        </w:rPr>
        <w:t xml:space="preserve"> </w:t>
      </w:r>
      <w:r w:rsidR="00E623AC" w:rsidRPr="00475842">
        <w:rPr>
          <w:lang w:val="en-GB"/>
        </w:rPr>
        <w:t xml:space="preserve">Please note </w:t>
      </w:r>
      <w:r w:rsidR="00B94895" w:rsidRPr="00475842">
        <w:rPr>
          <w:lang w:val="en-GB"/>
        </w:rPr>
        <w:t xml:space="preserve">SOEs </w:t>
      </w:r>
      <w:r w:rsidR="00E623AC" w:rsidRPr="00475842">
        <w:rPr>
          <w:lang w:val="en-GB"/>
        </w:rPr>
        <w:t>cannot have a beneficial owner by definition under the law</w:t>
      </w:r>
      <w:r w:rsidR="00E743C2" w:rsidRPr="00475842">
        <w:rPr>
          <w:lang w:val="en-GB"/>
        </w:rPr>
        <w:t xml:space="preserve">, as there are no individuals </w:t>
      </w:r>
      <w:r w:rsidR="00411E08" w:rsidRPr="00475842">
        <w:rPr>
          <w:lang w:val="en-GB"/>
        </w:rPr>
        <w:t>controlling them</w:t>
      </w:r>
      <w:r w:rsidR="00E623AC" w:rsidRPr="00475842">
        <w:rPr>
          <w:lang w:val="en-GB"/>
        </w:rPr>
        <w:t>.</w:t>
      </w:r>
    </w:p>
    <w:p w14:paraId="60988FE3" w14:textId="77777777" w:rsidR="00B94895" w:rsidRPr="00475842" w:rsidRDefault="00B94895" w:rsidP="00A15209">
      <w:pPr>
        <w:spacing w:after="0" w:line="256" w:lineRule="auto"/>
        <w:rPr>
          <w:lang w:val="en-GB"/>
        </w:rPr>
      </w:pPr>
    </w:p>
    <w:p w14:paraId="69008489" w14:textId="39134F20" w:rsidR="006A1767" w:rsidRPr="00475842" w:rsidRDefault="00B52A61" w:rsidP="00A15209">
      <w:pPr>
        <w:spacing w:after="0" w:line="256" w:lineRule="auto"/>
        <w:rPr>
          <w:lang w:val="en-GB"/>
        </w:rPr>
      </w:pPr>
      <w:r w:rsidRPr="00475842">
        <w:rPr>
          <w:lang w:val="en-GB"/>
        </w:rPr>
        <w:t>A</w:t>
      </w:r>
      <w:r w:rsidR="00E623AC" w:rsidRPr="00475842">
        <w:rPr>
          <w:lang w:val="en-GB"/>
        </w:rPr>
        <w:t xml:space="preserve">s noted in Annex 4 to the Report, under the Law of Ukraine "On State Registration of Legal Entities, Individual Entrepreneurs and Public Organizations" the state register </w:t>
      </w:r>
      <w:r w:rsidR="003C6AF5" w:rsidRPr="00475842">
        <w:rPr>
          <w:lang w:val="en-GB"/>
        </w:rPr>
        <w:t>is not</w:t>
      </w:r>
      <w:r w:rsidR="00411E08" w:rsidRPr="00475842">
        <w:rPr>
          <w:lang w:val="en-GB"/>
        </w:rPr>
        <w:t xml:space="preserve"> expected to </w:t>
      </w:r>
      <w:r w:rsidR="00E623AC" w:rsidRPr="00475842">
        <w:rPr>
          <w:lang w:val="en-GB"/>
        </w:rPr>
        <w:t>include information on beneficial owners of state and municipal enterprises</w:t>
      </w:r>
      <w:r w:rsidR="00411E08" w:rsidRPr="00475842">
        <w:rPr>
          <w:lang w:val="en-GB"/>
        </w:rPr>
        <w:t xml:space="preserve"> at all. So</w:t>
      </w:r>
      <w:r w:rsidR="0019700C" w:rsidRPr="00475842">
        <w:rPr>
          <w:lang w:val="en-GB"/>
        </w:rPr>
        <w:t>,</w:t>
      </w:r>
      <w:r w:rsidR="00C51D27" w:rsidRPr="00475842">
        <w:rPr>
          <w:lang w:val="en-GB"/>
        </w:rPr>
        <w:t xml:space="preserve"> for SOEs directly owned by the State the different technical approaches to reflecting the absence of UBOs</w:t>
      </w:r>
      <w:r w:rsidR="00C05208" w:rsidRPr="00475842">
        <w:rPr>
          <w:lang w:val="en-GB"/>
        </w:rPr>
        <w:t xml:space="preserve"> </w:t>
      </w:r>
      <w:r w:rsidR="000B579B" w:rsidRPr="00475842">
        <w:rPr>
          <w:lang w:val="en-GB"/>
        </w:rPr>
        <w:t xml:space="preserve">in the register </w:t>
      </w:r>
      <w:r w:rsidR="00C05208" w:rsidRPr="00475842">
        <w:rPr>
          <w:lang w:val="en-GB"/>
        </w:rPr>
        <w:t>ha</w:t>
      </w:r>
      <w:r w:rsidR="00CF6CA7" w:rsidRPr="00475842">
        <w:rPr>
          <w:lang w:val="en-GB"/>
        </w:rPr>
        <w:t>ve</w:t>
      </w:r>
      <w:r w:rsidR="00C05208" w:rsidRPr="00475842">
        <w:rPr>
          <w:lang w:val="en-GB"/>
        </w:rPr>
        <w:t xml:space="preserve"> no practical impa</w:t>
      </w:r>
      <w:r w:rsidR="00664167" w:rsidRPr="00475842">
        <w:rPr>
          <w:lang w:val="en-GB"/>
        </w:rPr>
        <w:t>c</w:t>
      </w:r>
      <w:r w:rsidR="00CF6CA7" w:rsidRPr="00475842">
        <w:rPr>
          <w:lang w:val="en-GB"/>
        </w:rPr>
        <w:t>t</w:t>
      </w:r>
      <w:r w:rsidR="006A1767" w:rsidRPr="00475842">
        <w:rPr>
          <w:lang w:val="en-GB"/>
        </w:rPr>
        <w:t xml:space="preserve">. </w:t>
      </w:r>
    </w:p>
    <w:p w14:paraId="25660FAD" w14:textId="44FB294A" w:rsidR="00A15209" w:rsidRPr="00475842" w:rsidRDefault="00411E08" w:rsidP="00A15209">
      <w:pPr>
        <w:spacing w:after="0" w:line="256" w:lineRule="auto"/>
        <w:rPr>
          <w:lang w:val="en-GB"/>
        </w:rPr>
      </w:pPr>
      <w:r w:rsidRPr="00475842">
        <w:rPr>
          <w:lang w:val="en-GB"/>
        </w:rPr>
        <w:t xml:space="preserve"> </w:t>
      </w:r>
    </w:p>
    <w:p w14:paraId="5C3CD011" w14:textId="3CBD917D" w:rsidR="00160558" w:rsidRPr="00475842" w:rsidRDefault="0084075D" w:rsidP="00160558">
      <w:pPr>
        <w:spacing w:after="0" w:line="256" w:lineRule="auto"/>
        <w:rPr>
          <w:lang w:val="en-GB"/>
        </w:rPr>
      </w:pPr>
      <w:r w:rsidRPr="00475842">
        <w:rPr>
          <w:lang w:val="en-GB"/>
        </w:rPr>
        <w:t>Thus</w:t>
      </w:r>
      <w:r w:rsidR="0011603F" w:rsidRPr="00475842">
        <w:rPr>
          <w:lang w:val="en-GB"/>
        </w:rPr>
        <w:t>,</w:t>
      </w:r>
      <w:r w:rsidR="00740A86" w:rsidRPr="00475842">
        <w:rPr>
          <w:lang w:val="en-GB"/>
        </w:rPr>
        <w:t xml:space="preserve"> th</w:t>
      </w:r>
      <w:r w:rsidR="00DA7ABA" w:rsidRPr="00475842">
        <w:rPr>
          <w:lang w:val="en-GB"/>
        </w:rPr>
        <w:t xml:space="preserve">e absence </w:t>
      </w:r>
      <w:r w:rsidR="00CB7EDC" w:rsidRPr="00475842">
        <w:rPr>
          <w:lang w:val="en-GB"/>
        </w:rPr>
        <w:t xml:space="preserve">of references to UBO of state and municipal </w:t>
      </w:r>
      <w:r w:rsidR="00E150B1" w:rsidRPr="00475842">
        <w:rPr>
          <w:lang w:val="en-GB"/>
        </w:rPr>
        <w:t xml:space="preserve">enterprises </w:t>
      </w:r>
      <w:r w:rsidR="00D12BA5" w:rsidRPr="00475842">
        <w:rPr>
          <w:lang w:val="en-GB"/>
        </w:rPr>
        <w:t xml:space="preserve">in USR </w:t>
      </w:r>
      <w:r w:rsidR="00CB7EDC" w:rsidRPr="00475842">
        <w:rPr>
          <w:lang w:val="en-GB"/>
        </w:rPr>
        <w:t>should not be considered a gap.</w:t>
      </w:r>
      <w:r w:rsidR="00740A86" w:rsidRPr="00475842">
        <w:rPr>
          <w:lang w:val="en-GB"/>
        </w:rPr>
        <w:t xml:space="preserve"> </w:t>
      </w:r>
    </w:p>
    <w:p w14:paraId="16BE84CA" w14:textId="77777777" w:rsidR="007220CC" w:rsidRPr="00475842" w:rsidRDefault="007220CC" w:rsidP="00A15209">
      <w:pPr>
        <w:spacing w:after="0" w:line="256" w:lineRule="auto"/>
        <w:rPr>
          <w:lang w:val="en-GB"/>
        </w:rPr>
      </w:pPr>
    </w:p>
    <w:p w14:paraId="57742E39" w14:textId="2CB4EE3F" w:rsidR="00A15209" w:rsidRPr="00475842" w:rsidRDefault="007220CC" w:rsidP="00A15209">
      <w:pPr>
        <w:spacing w:after="0" w:line="256" w:lineRule="auto"/>
        <w:rPr>
          <w:rFonts w:eastAsia="Arial"/>
          <w:color w:val="000000"/>
          <w:lang w:val="en-GB"/>
        </w:rPr>
      </w:pPr>
      <w:r w:rsidRPr="00475842">
        <w:rPr>
          <w:lang w:val="en-GB"/>
        </w:rPr>
        <w:t>P</w:t>
      </w:r>
      <w:r w:rsidR="00A15209" w:rsidRPr="00475842">
        <w:rPr>
          <w:lang w:val="en-GB"/>
        </w:rPr>
        <w:t xml:space="preserve">lease </w:t>
      </w:r>
      <w:r w:rsidRPr="00475842">
        <w:rPr>
          <w:lang w:val="en-GB"/>
        </w:rPr>
        <w:t>also</w:t>
      </w:r>
      <w:r w:rsidR="00A15209" w:rsidRPr="00475842">
        <w:rPr>
          <w:lang w:val="en-GB"/>
        </w:rPr>
        <w:t xml:space="preserve"> note that the Unified State Register always contains information on who the direct legal owner of any company is. If the company is legally owned by another company (for example, a fully state-owned company), it is possible to check who the legal owner of such other company is via the register (e.g., the state represented by the respective ministry).</w:t>
      </w:r>
      <w:r w:rsidR="00A827EF" w:rsidRPr="00475842">
        <w:rPr>
          <w:lang w:val="en-GB"/>
        </w:rPr>
        <w:t xml:space="preserve"> Therefore, it is possible to identify whether the company is directly or indirectly state-owned in all cases.</w:t>
      </w:r>
    </w:p>
    <w:p w14:paraId="69421059" w14:textId="77777777" w:rsidR="00A15209" w:rsidRPr="00475842" w:rsidRDefault="00A15209" w:rsidP="00FE67CC">
      <w:pPr>
        <w:spacing w:after="0"/>
        <w:rPr>
          <w:rFonts w:cs="Arial"/>
          <w:szCs w:val="20"/>
          <w:lang w:val="en-GB"/>
        </w:rPr>
      </w:pPr>
    </w:p>
    <w:p w14:paraId="352FE3EC" w14:textId="63CFED46" w:rsidR="004B4ED4" w:rsidRPr="00283A51" w:rsidRDefault="00BC3B72" w:rsidP="00283A51">
      <w:pPr>
        <w:pStyle w:val="ListParagraph"/>
        <w:numPr>
          <w:ilvl w:val="0"/>
          <w:numId w:val="9"/>
        </w:numPr>
        <w:spacing w:after="0"/>
        <w:rPr>
          <w:rFonts w:cs="Arial"/>
          <w:szCs w:val="20"/>
          <w:lang w:val="en-GB"/>
        </w:rPr>
      </w:pPr>
      <w:r w:rsidRPr="00283A51">
        <w:rPr>
          <w:rFonts w:cs="Arial"/>
          <w:b/>
          <w:bCs/>
          <w:szCs w:val="20"/>
        </w:rPr>
        <w:t>Validation Report</w:t>
      </w:r>
      <w:r w:rsidRPr="00283A51">
        <w:rPr>
          <w:rFonts w:cs="Arial"/>
          <w:szCs w:val="20"/>
        </w:rPr>
        <w:t xml:space="preserve"> (page</w:t>
      </w:r>
      <w:r w:rsidR="0086181A" w:rsidRPr="00283A51">
        <w:rPr>
          <w:rFonts w:cs="Arial"/>
          <w:szCs w:val="20"/>
        </w:rPr>
        <w:t xml:space="preserve"> 41</w:t>
      </w:r>
      <w:r w:rsidRPr="00283A51">
        <w:rPr>
          <w:rFonts w:cs="Arial"/>
          <w:szCs w:val="20"/>
        </w:rPr>
        <w:t>)</w:t>
      </w:r>
      <w:r w:rsidR="00DA36DB" w:rsidRPr="00283A51">
        <w:rPr>
          <w:rFonts w:cs="Arial"/>
          <w:szCs w:val="20"/>
        </w:rPr>
        <w:t>:</w:t>
      </w:r>
      <w:r w:rsidRPr="00283A51">
        <w:rPr>
          <w:rFonts w:cs="Arial"/>
          <w:szCs w:val="20"/>
        </w:rPr>
        <w:t xml:space="preserve"> </w:t>
      </w:r>
      <w:r w:rsidR="00DA36DB" w:rsidRPr="00283A51">
        <w:rPr>
          <w:rFonts w:cs="Arial"/>
          <w:szCs w:val="20"/>
        </w:rPr>
        <w:t>“</w:t>
      </w:r>
      <w:r w:rsidR="00C6432C" w:rsidRPr="00283A51">
        <w:rPr>
          <w:rFonts w:cs="Arial"/>
          <w:szCs w:val="20"/>
          <w:lang w:val="en-GB"/>
        </w:rPr>
        <w:t xml:space="preserve">The 2017 EITI Report notes that the information about the owners of 5% or more of the shares in joint-stock companies is available in the database to the Stock market infrastructure development agency of Ukraine (SMIDA) (p.215). </w:t>
      </w:r>
      <w:r w:rsidR="00C6432C" w:rsidRPr="00283A51">
        <w:rPr>
          <w:rFonts w:cs="Arial"/>
          <w:szCs w:val="20"/>
          <w:u w:val="single"/>
          <w:lang w:val="en-GB"/>
        </w:rPr>
        <w:t>The report does not comment on publicly listed companies registered abroad</w:t>
      </w:r>
      <w:r w:rsidR="009041E8" w:rsidRPr="00283A51">
        <w:rPr>
          <w:rFonts w:cs="Arial"/>
          <w:szCs w:val="20"/>
          <w:u w:val="single"/>
        </w:rPr>
        <w:t>.</w:t>
      </w:r>
      <w:r w:rsidR="00DA36DB" w:rsidRPr="00283A51">
        <w:rPr>
          <w:rFonts w:cs="Arial"/>
          <w:szCs w:val="20"/>
          <w:u w:val="single"/>
          <w:lang w:val="en-GB"/>
        </w:rPr>
        <w:t>”</w:t>
      </w:r>
    </w:p>
    <w:p w14:paraId="3F3C0F9F" w14:textId="5777AA52" w:rsidR="004B4ED4" w:rsidRPr="00475842" w:rsidRDefault="004B4ED4" w:rsidP="004B4ED4">
      <w:pPr>
        <w:spacing w:after="0"/>
        <w:rPr>
          <w:rFonts w:cs="Arial"/>
          <w:szCs w:val="20"/>
          <w:u w:val="single"/>
        </w:rPr>
      </w:pPr>
    </w:p>
    <w:p w14:paraId="0C8256B4" w14:textId="76ADD50F" w:rsidR="00306E67" w:rsidRPr="00820F8C" w:rsidRDefault="00610B30" w:rsidP="004B4ED4">
      <w:pPr>
        <w:spacing w:after="0"/>
        <w:rPr>
          <w:rFonts w:cs="Arial"/>
          <w:szCs w:val="20"/>
        </w:rPr>
      </w:pPr>
      <w:r>
        <w:rPr>
          <w:b/>
          <w:bCs/>
          <w:lang w:val="en-GB"/>
        </w:rPr>
        <w:t>MSG</w:t>
      </w:r>
      <w:r w:rsidR="003163F0" w:rsidRPr="00475842">
        <w:rPr>
          <w:lang w:val="en-GB"/>
        </w:rPr>
        <w:t xml:space="preserve">: </w:t>
      </w:r>
      <w:r w:rsidR="001664E3" w:rsidRPr="00475842">
        <w:rPr>
          <w:lang w:val="en-GB"/>
        </w:rPr>
        <w:t xml:space="preserve">Please note that </w:t>
      </w:r>
      <w:r w:rsidR="001358C5" w:rsidRPr="00475842">
        <w:rPr>
          <w:lang w:val="en-GB"/>
        </w:rPr>
        <w:t xml:space="preserve">the entities subject to EITI reporting in 2017 </w:t>
      </w:r>
      <w:r w:rsidR="00311B16" w:rsidRPr="00475842">
        <w:rPr>
          <w:lang w:val="en-GB"/>
        </w:rPr>
        <w:t xml:space="preserve">did not include any public listed companies registered abroad. Therefore, this issue was not specifically addressed in the </w:t>
      </w:r>
      <w:r w:rsidR="00697DF9" w:rsidRPr="00475842">
        <w:rPr>
          <w:lang w:val="en-GB"/>
        </w:rPr>
        <w:t>R</w:t>
      </w:r>
      <w:r w:rsidR="00311B16" w:rsidRPr="00475842">
        <w:rPr>
          <w:lang w:val="en-GB"/>
        </w:rPr>
        <w:t>eport.</w:t>
      </w:r>
      <w:r w:rsidR="007678CF" w:rsidRPr="00475842">
        <w:rPr>
          <w:lang w:val="en-GB"/>
        </w:rPr>
        <w:t xml:space="preserve"> As for non-resident owners of extracting companies, information on such owners is accessible via SMIDA </w:t>
      </w:r>
      <w:r w:rsidR="002B61CE" w:rsidRPr="00475842">
        <w:rPr>
          <w:lang w:val="en-GB"/>
        </w:rPr>
        <w:t xml:space="preserve">and the </w:t>
      </w:r>
      <w:r w:rsidR="007678CF" w:rsidRPr="00475842">
        <w:rPr>
          <w:lang w:val="en-GB"/>
        </w:rPr>
        <w:t>state register of legal entities</w:t>
      </w:r>
      <w:r w:rsidR="002B61CE" w:rsidRPr="00475842">
        <w:rPr>
          <w:lang w:val="en-GB"/>
        </w:rPr>
        <w:t xml:space="preserve"> as discussed in the EITI Report.</w:t>
      </w:r>
      <w:r w:rsidR="00311B16" w:rsidRPr="00475842">
        <w:rPr>
          <w:lang w:val="en-GB"/>
        </w:rPr>
        <w:t xml:space="preserve"> </w:t>
      </w:r>
    </w:p>
    <w:p w14:paraId="190EB239" w14:textId="43B396ED" w:rsidR="004B4ED4" w:rsidRPr="00475842" w:rsidRDefault="004B4ED4" w:rsidP="004B4ED4">
      <w:pPr>
        <w:spacing w:after="0"/>
        <w:rPr>
          <w:rFonts w:cs="Arial"/>
          <w:szCs w:val="20"/>
          <w:u w:val="single"/>
          <w:lang w:val="en-GB"/>
        </w:rPr>
      </w:pPr>
    </w:p>
    <w:p w14:paraId="00FCA794" w14:textId="77777777" w:rsidR="00C6432C" w:rsidRPr="00475842" w:rsidRDefault="00C6432C" w:rsidP="00FE67CC">
      <w:pPr>
        <w:spacing w:after="0"/>
        <w:rPr>
          <w:rFonts w:cs="Arial"/>
          <w:b/>
          <w:bCs/>
          <w:szCs w:val="20"/>
          <w:lang w:val="en-GB"/>
        </w:rPr>
      </w:pPr>
    </w:p>
    <w:p w14:paraId="4BDB9F44" w14:textId="323902E8" w:rsidR="00FE67CC" w:rsidRPr="00475842" w:rsidRDefault="00FE67CC" w:rsidP="00EB2084">
      <w:pPr>
        <w:pStyle w:val="Heading2"/>
        <w:rPr>
          <w:lang w:val="en-GB"/>
        </w:rPr>
      </w:pPr>
      <w:r w:rsidRPr="00475842">
        <w:rPr>
          <w:lang w:val="en-GB"/>
        </w:rPr>
        <w:t xml:space="preserve">2.6 – </w:t>
      </w:r>
      <w:r w:rsidR="009E5F39" w:rsidRPr="00475842">
        <w:rPr>
          <w:lang w:val="en-GB"/>
        </w:rPr>
        <w:t>S</w:t>
      </w:r>
      <w:r w:rsidRPr="00475842">
        <w:rPr>
          <w:lang w:val="en-GB"/>
        </w:rPr>
        <w:t>tate participation</w:t>
      </w:r>
    </w:p>
    <w:p w14:paraId="5E41CBA0" w14:textId="77777777" w:rsidR="00FE67CC" w:rsidRPr="00475842" w:rsidRDefault="00FE67CC" w:rsidP="00FE67CC">
      <w:pPr>
        <w:spacing w:after="0"/>
        <w:rPr>
          <w:rFonts w:cs="Arial"/>
          <w:szCs w:val="20"/>
          <w:lang w:val="en-GB"/>
        </w:rPr>
      </w:pPr>
    </w:p>
    <w:p w14:paraId="589F9AD3" w14:textId="39E7C53A" w:rsidR="00FE67CC" w:rsidRPr="00283A51" w:rsidRDefault="0095313D" w:rsidP="00283A51">
      <w:pPr>
        <w:pStyle w:val="ListParagraph"/>
        <w:numPr>
          <w:ilvl w:val="0"/>
          <w:numId w:val="9"/>
        </w:numPr>
        <w:spacing w:after="0"/>
        <w:rPr>
          <w:rFonts w:cs="Arial"/>
          <w:szCs w:val="20"/>
          <w:lang w:val="en-GB"/>
        </w:rPr>
      </w:pPr>
      <w:r w:rsidRPr="00283A51">
        <w:rPr>
          <w:rFonts w:cs="Arial"/>
          <w:b/>
          <w:bCs/>
          <w:lang w:val="en-GB"/>
        </w:rPr>
        <w:t>Validation Report</w:t>
      </w:r>
      <w:r w:rsidRPr="00283A51">
        <w:rPr>
          <w:rFonts w:cs="Arial"/>
          <w:lang w:val="en-GB"/>
        </w:rPr>
        <w:t xml:space="preserve"> (page </w:t>
      </w:r>
      <w:r w:rsidR="00AD6D15" w:rsidRPr="00283A51">
        <w:rPr>
          <w:rFonts w:cs="Arial"/>
          <w:lang w:val="uk-UA"/>
        </w:rPr>
        <w:t>12</w:t>
      </w:r>
      <w:r w:rsidRPr="00283A51">
        <w:rPr>
          <w:rFonts w:cs="Arial"/>
          <w:lang w:val="en-GB"/>
        </w:rPr>
        <w:t xml:space="preserve">): </w:t>
      </w:r>
      <w:r w:rsidR="00CF52D7" w:rsidRPr="00283A51">
        <w:rPr>
          <w:rFonts w:cs="Arial"/>
          <w:lang w:val="en-GB"/>
        </w:rPr>
        <w:t>"</w:t>
      </w:r>
      <w:r w:rsidR="00FE67CC" w:rsidRPr="00283A51">
        <w:rPr>
          <w:rFonts w:cs="Arial"/>
          <w:i/>
          <w:iCs/>
          <w:szCs w:val="20"/>
          <w:lang w:val="en-GB"/>
        </w:rPr>
        <w:t>The report details how the state participates in the extractive industries, through three types of incorporation: Joint-stock companies (JSCs), State (unitary) enterprises (SEs), and National joint-stock companies (NJSCs).</w:t>
      </w:r>
      <w:r w:rsidR="00CF52D7" w:rsidRPr="00283A51">
        <w:rPr>
          <w:rFonts w:cs="Arial"/>
          <w:szCs w:val="20"/>
          <w:lang w:val="en-GB"/>
        </w:rPr>
        <w:t>"</w:t>
      </w:r>
    </w:p>
    <w:p w14:paraId="0287DB6D" w14:textId="77777777" w:rsidR="002A0A51" w:rsidRPr="00475842" w:rsidRDefault="002A0A51" w:rsidP="0021470C">
      <w:pPr>
        <w:spacing w:after="0" w:line="240" w:lineRule="auto"/>
        <w:rPr>
          <w:lang w:val="en-GB"/>
        </w:rPr>
      </w:pPr>
    </w:p>
    <w:p w14:paraId="0D012BCF" w14:textId="07FAB883" w:rsidR="0021470C" w:rsidRPr="00475842" w:rsidRDefault="00610B30" w:rsidP="0021470C">
      <w:pPr>
        <w:spacing w:after="0" w:line="240" w:lineRule="auto"/>
      </w:pPr>
      <w:r>
        <w:rPr>
          <w:b/>
          <w:bCs/>
          <w:lang w:val="en-GB"/>
        </w:rPr>
        <w:t>MSG</w:t>
      </w:r>
      <w:r w:rsidR="003163F0" w:rsidRPr="00475842">
        <w:rPr>
          <w:lang w:val="en-GB"/>
        </w:rPr>
        <w:t xml:space="preserve">: </w:t>
      </w:r>
      <w:r w:rsidR="00107DCF" w:rsidRPr="00475842">
        <w:rPr>
          <w:lang w:val="en-GB"/>
        </w:rPr>
        <w:t xml:space="preserve">Just to clarify, </w:t>
      </w:r>
      <w:r w:rsidR="001F0409" w:rsidRPr="00475842">
        <w:rPr>
          <w:lang w:val="en-GB"/>
        </w:rPr>
        <w:t>NJSCs are not a separate type of legal entity</w:t>
      </w:r>
      <w:r w:rsidR="00434F5F" w:rsidRPr="00475842">
        <w:rPr>
          <w:lang w:val="en-GB"/>
        </w:rPr>
        <w:t xml:space="preserve"> since </w:t>
      </w:r>
      <w:r w:rsidR="00434F5F" w:rsidRPr="00475842">
        <w:rPr>
          <w:i/>
          <w:iCs/>
          <w:lang w:val="en-GB"/>
        </w:rPr>
        <w:t>de jure</w:t>
      </w:r>
      <w:r w:rsidR="00434F5F" w:rsidRPr="00475842">
        <w:rPr>
          <w:lang w:val="en-GB"/>
        </w:rPr>
        <w:t xml:space="preserve"> they are </w:t>
      </w:r>
      <w:r w:rsidR="001F0409" w:rsidRPr="00475842">
        <w:rPr>
          <w:lang w:val="en-GB"/>
        </w:rPr>
        <w:t xml:space="preserve">ordinary </w:t>
      </w:r>
      <w:r w:rsidR="00434F5F" w:rsidRPr="00475842">
        <w:rPr>
          <w:lang w:val="en-GB"/>
        </w:rPr>
        <w:t>joint-stock companies</w:t>
      </w:r>
      <w:r w:rsidR="001F0409" w:rsidRPr="00475842">
        <w:rPr>
          <w:lang w:val="en-GB"/>
        </w:rPr>
        <w:t xml:space="preserve">. </w:t>
      </w:r>
      <w:r w:rsidR="002A0A51" w:rsidRPr="00475842">
        <w:rPr>
          <w:lang w:val="en-GB"/>
        </w:rPr>
        <w:t>The "</w:t>
      </w:r>
      <w:r w:rsidR="001F0409" w:rsidRPr="00475842">
        <w:rPr>
          <w:lang w:val="en-GB"/>
        </w:rPr>
        <w:t xml:space="preserve">national” </w:t>
      </w:r>
      <w:r w:rsidR="002A0A51" w:rsidRPr="00475842">
        <w:rPr>
          <w:lang w:val="en-GB"/>
        </w:rPr>
        <w:t xml:space="preserve">status of such companies is a historical addition, which has no impact on their legal status. Special legal status of public-sector entities is determined by state participation in their capital (please see </w:t>
      </w:r>
      <w:r w:rsidR="0021470C" w:rsidRPr="00475842">
        <w:rPr>
          <w:lang w:val="en-GB"/>
        </w:rPr>
        <w:t>page 167 of the EITI Report</w:t>
      </w:r>
      <w:r w:rsidR="002A0A51" w:rsidRPr="00475842">
        <w:rPr>
          <w:lang w:val="en-GB"/>
        </w:rPr>
        <w:t>).</w:t>
      </w:r>
      <w:r w:rsidR="0021470C" w:rsidRPr="00475842">
        <w:rPr>
          <w:lang w:val="en-GB"/>
        </w:rPr>
        <w:t xml:space="preserve"> </w:t>
      </w:r>
    </w:p>
    <w:p w14:paraId="7E036D56" w14:textId="77777777" w:rsidR="00FE67CC" w:rsidRPr="00475842" w:rsidRDefault="00FE67CC" w:rsidP="00FE67CC">
      <w:pPr>
        <w:spacing w:after="0"/>
        <w:rPr>
          <w:rFonts w:cs="Arial"/>
          <w:szCs w:val="20"/>
          <w:lang w:val="en-GB"/>
        </w:rPr>
      </w:pPr>
    </w:p>
    <w:p w14:paraId="4F6876D2" w14:textId="0F2398C7" w:rsidR="00FE67CC" w:rsidRPr="00283A51" w:rsidRDefault="00A0576E" w:rsidP="00283A51">
      <w:pPr>
        <w:pStyle w:val="ListParagraph"/>
        <w:numPr>
          <w:ilvl w:val="0"/>
          <w:numId w:val="9"/>
        </w:numPr>
        <w:spacing w:after="0"/>
        <w:rPr>
          <w:rFonts w:cs="Arial"/>
          <w:b/>
          <w:szCs w:val="20"/>
          <w:u w:val="single"/>
          <w:lang w:val="en-GB"/>
        </w:rPr>
      </w:pPr>
      <w:r w:rsidRPr="00283A51">
        <w:rPr>
          <w:rFonts w:cs="Arial"/>
          <w:b/>
          <w:bCs/>
          <w:lang w:val="en-GB"/>
        </w:rPr>
        <w:t>Validation Report</w:t>
      </w:r>
      <w:r w:rsidRPr="00283A51">
        <w:rPr>
          <w:rFonts w:cs="Arial"/>
          <w:lang w:val="en-GB"/>
        </w:rPr>
        <w:t xml:space="preserve"> (pages </w:t>
      </w:r>
      <w:r w:rsidR="00B54F12" w:rsidRPr="00283A51">
        <w:rPr>
          <w:rFonts w:cs="Arial"/>
          <w:lang w:val="uk-UA"/>
        </w:rPr>
        <w:t>13</w:t>
      </w:r>
      <w:r w:rsidR="00FC6AF9" w:rsidRPr="00283A51">
        <w:rPr>
          <w:rFonts w:cs="Arial"/>
          <w:lang w:val="uk-UA"/>
        </w:rPr>
        <w:t>, 45, 47</w:t>
      </w:r>
      <w:r w:rsidRPr="00283A51">
        <w:rPr>
          <w:rFonts w:cs="Arial"/>
          <w:lang w:val="en-GB"/>
        </w:rPr>
        <w:t xml:space="preserve">): </w:t>
      </w:r>
    </w:p>
    <w:p w14:paraId="75A329FB" w14:textId="58472726" w:rsidR="00FE67CC" w:rsidRPr="00475842" w:rsidRDefault="00A0576E" w:rsidP="00283A51">
      <w:pPr>
        <w:spacing w:after="0"/>
        <w:ind w:left="720"/>
        <w:rPr>
          <w:rFonts w:cs="Arial"/>
          <w:i/>
          <w:iCs/>
          <w:szCs w:val="20"/>
          <w:lang w:val="en-GB"/>
        </w:rPr>
      </w:pPr>
      <w:r w:rsidRPr="00475842">
        <w:rPr>
          <w:rFonts w:cs="Arial"/>
          <w:szCs w:val="20"/>
          <w:lang w:val="en-GB"/>
        </w:rPr>
        <w:lastRenderedPageBreak/>
        <w:t>"</w:t>
      </w:r>
      <w:r w:rsidR="00FE67CC" w:rsidRPr="00475842">
        <w:rPr>
          <w:rFonts w:cs="Arial"/>
          <w:i/>
          <w:iCs/>
          <w:szCs w:val="20"/>
          <w:lang w:val="en-GB"/>
        </w:rPr>
        <w:t xml:space="preserve">SOEs are subject to general rules on their financial relationship with the state, </w:t>
      </w:r>
      <w:r w:rsidR="00FE67CC" w:rsidRPr="00475842">
        <w:rPr>
          <w:rFonts w:cs="Arial"/>
          <w:i/>
          <w:iCs/>
          <w:szCs w:val="20"/>
          <w:u w:val="single"/>
          <w:lang w:val="en-GB"/>
        </w:rPr>
        <w:t>although specifics are subject to state approval of financial plans</w:t>
      </w:r>
      <w:r w:rsidR="00FE67CC" w:rsidRPr="00475842">
        <w:rPr>
          <w:rFonts w:cs="Arial"/>
          <w:i/>
          <w:iCs/>
          <w:szCs w:val="20"/>
          <w:lang w:val="en-GB"/>
        </w:rPr>
        <w:t xml:space="preserve">. </w:t>
      </w:r>
      <w:r w:rsidR="00FE67CC" w:rsidRPr="00475842">
        <w:rPr>
          <w:rFonts w:cs="Arial"/>
          <w:i/>
          <w:iCs/>
          <w:szCs w:val="20"/>
          <w:u w:val="single"/>
          <w:lang w:val="en-GB"/>
        </w:rPr>
        <w:t>These contain details regarding the rules for each SOEs’ dividend payments to government</w:t>
      </w:r>
      <w:r w:rsidR="00FE67CC" w:rsidRPr="00475842">
        <w:rPr>
          <w:rFonts w:cs="Arial"/>
          <w:i/>
          <w:iCs/>
          <w:szCs w:val="20"/>
          <w:lang w:val="en-GB"/>
        </w:rPr>
        <w:t>, the precise values of transfers from government, and the percentages of earnings that SOEs can retain or reinvest in its own operations. SOEs are also able to seek third-party financing, both debt and equity, with precise details contained in financial plans.</w:t>
      </w:r>
    </w:p>
    <w:p w14:paraId="0F8E7E45" w14:textId="77777777" w:rsidR="00FE67CC" w:rsidRPr="00475842" w:rsidRDefault="00FE67CC" w:rsidP="00283A51">
      <w:pPr>
        <w:spacing w:after="0"/>
        <w:ind w:left="720"/>
        <w:rPr>
          <w:rFonts w:cs="Arial"/>
          <w:i/>
          <w:iCs/>
          <w:szCs w:val="20"/>
          <w:lang w:val="en-GB"/>
        </w:rPr>
      </w:pPr>
      <w:r w:rsidRPr="00475842">
        <w:rPr>
          <w:rFonts w:cs="Arial"/>
          <w:i/>
          <w:iCs/>
          <w:szCs w:val="20"/>
          <w:lang w:val="en-GB"/>
        </w:rPr>
        <w:t>…</w:t>
      </w:r>
    </w:p>
    <w:p w14:paraId="688EC8BF" w14:textId="77777777" w:rsidR="00FE67CC" w:rsidRPr="00475842" w:rsidRDefault="00FE67CC" w:rsidP="00283A51">
      <w:pPr>
        <w:pStyle w:val="Default"/>
        <w:ind w:left="720"/>
        <w:rPr>
          <w:rFonts w:ascii="Arial" w:hAnsi="Arial" w:cs="Arial"/>
          <w:i/>
          <w:iCs/>
          <w:sz w:val="20"/>
          <w:szCs w:val="20"/>
          <w:lang w:val="en-GB"/>
        </w:rPr>
      </w:pPr>
      <w:r w:rsidRPr="00475842">
        <w:rPr>
          <w:rFonts w:ascii="Arial" w:hAnsi="Arial" w:cs="Arial"/>
          <w:i/>
          <w:iCs/>
          <w:color w:val="auto"/>
          <w:sz w:val="20"/>
          <w:szCs w:val="20"/>
          <w:lang w:val="en-GB"/>
        </w:rPr>
        <w:t xml:space="preserve">While not required by the EITI Standard, it is worth noting that </w:t>
      </w:r>
      <w:r w:rsidRPr="00475842">
        <w:rPr>
          <w:rFonts w:ascii="Arial" w:hAnsi="Arial" w:cs="Arial"/>
          <w:i/>
          <w:iCs/>
          <w:color w:val="auto"/>
          <w:sz w:val="20"/>
          <w:szCs w:val="20"/>
          <w:u w:val="single"/>
          <w:lang w:val="en-GB"/>
        </w:rPr>
        <w:t xml:space="preserve">the report falls short of specifying what decisions were made for specific SOEs through financial plans. </w:t>
      </w:r>
      <w:r w:rsidRPr="00475842">
        <w:rPr>
          <w:rFonts w:ascii="Arial" w:hAnsi="Arial" w:cs="Arial"/>
          <w:b/>
          <w:bCs/>
          <w:i/>
          <w:iCs/>
          <w:color w:val="auto"/>
          <w:sz w:val="20"/>
          <w:szCs w:val="20"/>
          <w:u w:val="single"/>
          <w:lang w:val="en-GB"/>
        </w:rPr>
        <w:t>Therefore, the rules relating to each of the above financial elements (and each SOE) are not publicly accessible.</w:t>
      </w:r>
      <w:r w:rsidRPr="00475842">
        <w:rPr>
          <w:rFonts w:ascii="Arial" w:hAnsi="Arial" w:cs="Arial"/>
          <w:i/>
          <w:iCs/>
          <w:sz w:val="20"/>
          <w:szCs w:val="20"/>
          <w:lang w:val="en-GB"/>
        </w:rPr>
        <w:t xml:space="preserve"> </w:t>
      </w:r>
    </w:p>
    <w:p w14:paraId="48B8439E" w14:textId="77777777" w:rsidR="00FE67CC" w:rsidRPr="00475842" w:rsidRDefault="00FE67CC" w:rsidP="00283A51">
      <w:pPr>
        <w:spacing w:after="0"/>
        <w:ind w:left="720"/>
        <w:rPr>
          <w:rFonts w:cs="Arial"/>
          <w:i/>
          <w:iCs/>
          <w:szCs w:val="20"/>
          <w:lang w:val="en-GB"/>
        </w:rPr>
      </w:pPr>
      <w:r w:rsidRPr="00475842">
        <w:rPr>
          <w:rFonts w:cs="Arial"/>
          <w:i/>
          <w:iCs/>
          <w:szCs w:val="20"/>
          <w:lang w:val="en-GB"/>
        </w:rPr>
        <w:t>Corporate or ministerial decrees, shareholders meeting minutes or other documents that include such information do not appear to be publicly available. As the detailed rules applicable to each SOEs’ retained earnings, dividends, reinvestments and third-party financing, it is not currently possible for UAEITI to assess whether SOEs adhere or deviate from individual policies, only general rules.</w:t>
      </w:r>
    </w:p>
    <w:p w14:paraId="0374513B" w14:textId="07D5A30C" w:rsidR="00FE67CC" w:rsidRPr="00475842" w:rsidRDefault="00A0576E" w:rsidP="00283A51">
      <w:pPr>
        <w:spacing w:after="0"/>
        <w:ind w:left="720"/>
        <w:rPr>
          <w:rFonts w:cs="Arial"/>
          <w:b/>
          <w:bCs/>
          <w:i/>
          <w:iCs/>
          <w:szCs w:val="20"/>
          <w:u w:val="single"/>
          <w:lang w:val="en-GB"/>
        </w:rPr>
      </w:pPr>
      <w:r w:rsidRPr="00475842">
        <w:rPr>
          <w:rFonts w:cs="Arial"/>
          <w:i/>
          <w:iCs/>
          <w:szCs w:val="20"/>
          <w:lang w:val="en-GB"/>
        </w:rPr>
        <w:t>…</w:t>
      </w:r>
    </w:p>
    <w:p w14:paraId="205CFECE" w14:textId="77777777" w:rsidR="00FE67CC" w:rsidRPr="00475842" w:rsidRDefault="00FE67CC" w:rsidP="00283A51">
      <w:pPr>
        <w:spacing w:after="0"/>
        <w:ind w:left="720"/>
        <w:rPr>
          <w:rFonts w:cs="Arial"/>
          <w:i/>
          <w:iCs/>
          <w:szCs w:val="20"/>
          <w:lang w:val="en-GB"/>
        </w:rPr>
      </w:pPr>
      <w:r w:rsidRPr="00475842">
        <w:rPr>
          <w:rFonts w:cs="Arial"/>
          <w:i/>
          <w:iCs/>
          <w:szCs w:val="20"/>
          <w:u w:val="single"/>
          <w:lang w:val="en-GB"/>
        </w:rPr>
        <w:t>To determine the precise rules for each SE</w:t>
      </w:r>
      <w:r w:rsidRPr="00475842">
        <w:rPr>
          <w:rFonts w:cs="Arial"/>
          <w:i/>
          <w:iCs/>
          <w:szCs w:val="20"/>
          <w:lang w:val="en-GB"/>
        </w:rPr>
        <w:t>, they are required to submit financial plans to line ministries for approval that stipulating the values and percentages of each of the above, unless they are natural monopolies or net profits exceed UAH 50m (normally incorporated as JSCs).</w:t>
      </w:r>
    </w:p>
    <w:p w14:paraId="2AA7EB6C" w14:textId="77777777" w:rsidR="00FE67CC" w:rsidRPr="00475842" w:rsidRDefault="00FE67CC" w:rsidP="00283A51">
      <w:pPr>
        <w:spacing w:after="0"/>
        <w:ind w:left="720"/>
        <w:rPr>
          <w:rFonts w:cs="Arial"/>
          <w:i/>
          <w:iCs/>
          <w:szCs w:val="20"/>
          <w:lang w:val="en-GB"/>
        </w:rPr>
      </w:pPr>
      <w:r w:rsidRPr="00475842">
        <w:rPr>
          <w:rFonts w:cs="Arial"/>
          <w:i/>
          <w:iCs/>
          <w:szCs w:val="20"/>
          <w:lang w:val="en-GB"/>
        </w:rPr>
        <w:t>…</w:t>
      </w:r>
    </w:p>
    <w:p w14:paraId="06FF45C3" w14:textId="4B00BDE0" w:rsidR="00FE67CC" w:rsidRPr="00475842" w:rsidRDefault="00FE67CC" w:rsidP="00283A51">
      <w:pPr>
        <w:spacing w:after="0"/>
        <w:ind w:left="720"/>
        <w:rPr>
          <w:rFonts w:cs="Arial"/>
          <w:szCs w:val="20"/>
          <w:lang w:val="en-GB"/>
        </w:rPr>
      </w:pPr>
      <w:r w:rsidRPr="00475842">
        <w:rPr>
          <w:rFonts w:cs="Arial"/>
          <w:i/>
          <w:iCs/>
          <w:szCs w:val="20"/>
          <w:lang w:val="en-GB"/>
        </w:rPr>
        <w:t>There are no references to the individual plans or budgets or financial plans for each SOE in 2017, and the report does not indicate what rules were approved for each SOE as the financial plans are not publicly accessible.</w:t>
      </w:r>
      <w:r w:rsidR="00A0576E" w:rsidRPr="00475842">
        <w:rPr>
          <w:rFonts w:cs="Arial"/>
          <w:szCs w:val="20"/>
          <w:lang w:val="en-GB"/>
        </w:rPr>
        <w:t>"</w:t>
      </w:r>
    </w:p>
    <w:p w14:paraId="0A23EDCF" w14:textId="77777777" w:rsidR="00FE67CC" w:rsidRPr="00475842" w:rsidRDefault="00FE67CC" w:rsidP="00FE67CC">
      <w:pPr>
        <w:spacing w:after="0"/>
        <w:rPr>
          <w:rFonts w:cs="Arial"/>
          <w:szCs w:val="20"/>
          <w:lang w:val="en-GB"/>
        </w:rPr>
      </w:pPr>
    </w:p>
    <w:p w14:paraId="038EF3B2" w14:textId="10330C2C" w:rsidR="00311B16" w:rsidRPr="00475842" w:rsidRDefault="00610B30" w:rsidP="00311B16">
      <w:pPr>
        <w:autoSpaceDE w:val="0"/>
        <w:autoSpaceDN w:val="0"/>
        <w:adjustRightInd w:val="0"/>
        <w:spacing w:after="0" w:line="240" w:lineRule="auto"/>
        <w:rPr>
          <w:rFonts w:cs="Arial"/>
          <w:color w:val="000000"/>
          <w:szCs w:val="20"/>
        </w:rPr>
      </w:pPr>
      <w:r>
        <w:rPr>
          <w:b/>
          <w:bCs/>
          <w:lang w:val="en-GB"/>
        </w:rPr>
        <w:t>MSG</w:t>
      </w:r>
      <w:r w:rsidR="00C57592" w:rsidRPr="00475842">
        <w:rPr>
          <w:lang w:val="en-GB"/>
        </w:rPr>
        <w:t>:</w:t>
      </w:r>
      <w:r w:rsidR="00CE125E" w:rsidRPr="00475842">
        <w:rPr>
          <w:lang w:val="en-GB"/>
        </w:rPr>
        <w:t xml:space="preserve"> </w:t>
      </w:r>
      <w:r w:rsidR="00781AC2" w:rsidRPr="00475842">
        <w:rPr>
          <w:lang w:val="en-GB"/>
        </w:rPr>
        <w:t xml:space="preserve">Please note that financial plans </w:t>
      </w:r>
      <w:r w:rsidR="00781AC2" w:rsidRPr="00475842" w:rsidDel="00731DC4">
        <w:rPr>
          <w:lang w:val="en-GB"/>
        </w:rPr>
        <w:t>do not</w:t>
      </w:r>
      <w:r>
        <w:rPr>
          <w:lang w:val="en-GB"/>
        </w:rPr>
        <w:t xml:space="preserve"> </w:t>
      </w:r>
      <w:r w:rsidR="00781AC2" w:rsidRPr="00475842">
        <w:rPr>
          <w:lang w:val="en-GB"/>
        </w:rPr>
        <w:t xml:space="preserve">contain any </w:t>
      </w:r>
      <w:r w:rsidR="00F1508E" w:rsidRPr="00475842">
        <w:rPr>
          <w:lang w:val="en-GB"/>
        </w:rPr>
        <w:t xml:space="preserve">legal </w:t>
      </w:r>
      <w:r w:rsidR="00781AC2" w:rsidRPr="00475842">
        <w:rPr>
          <w:lang w:val="en-GB"/>
        </w:rPr>
        <w:t>rules that govern the relationships between the state and the SOE.</w:t>
      </w:r>
      <w:r w:rsidR="00E4137C" w:rsidRPr="00475842">
        <w:rPr>
          <w:lang w:val="en-GB"/>
        </w:rPr>
        <w:t xml:space="preserve"> Instead, </w:t>
      </w:r>
      <w:r w:rsidR="009110F6" w:rsidRPr="00475842">
        <w:rPr>
          <w:rFonts w:cs="Arial"/>
          <w:color w:val="000000"/>
          <w:szCs w:val="20"/>
          <w:lang w:val="en-GB"/>
        </w:rPr>
        <w:t xml:space="preserve">they contain information about </w:t>
      </w:r>
      <w:r w:rsidR="007B13B1" w:rsidRPr="00475842">
        <w:rPr>
          <w:rFonts w:cs="Arial"/>
          <w:color w:val="000000"/>
          <w:szCs w:val="20"/>
        </w:rPr>
        <w:t xml:space="preserve">projected </w:t>
      </w:r>
      <w:r w:rsidR="009110F6" w:rsidRPr="00475842">
        <w:rPr>
          <w:rFonts w:cs="Arial"/>
          <w:color w:val="000000"/>
          <w:szCs w:val="20"/>
          <w:lang w:val="en-GB"/>
        </w:rPr>
        <w:t xml:space="preserve">financial indicators (all within the framework of the rules established by </w:t>
      </w:r>
      <w:r w:rsidR="005D40A4" w:rsidRPr="00475842">
        <w:rPr>
          <w:rFonts w:cs="Arial"/>
          <w:color w:val="000000"/>
          <w:szCs w:val="20"/>
          <w:lang w:val="en-GB"/>
        </w:rPr>
        <w:t>Ukrainian legislation and in some cases – charters or other constituent documents of such SOEs</w:t>
      </w:r>
      <w:r w:rsidR="009110F6" w:rsidRPr="00475842">
        <w:rPr>
          <w:rFonts w:cs="Arial"/>
          <w:color w:val="000000"/>
          <w:szCs w:val="20"/>
          <w:lang w:val="en-GB"/>
        </w:rPr>
        <w:t>).</w:t>
      </w:r>
      <w:r w:rsidR="005D40A4" w:rsidRPr="00475842">
        <w:rPr>
          <w:rFonts w:cs="Arial"/>
          <w:color w:val="000000"/>
          <w:szCs w:val="20"/>
          <w:lang w:val="en-GB"/>
        </w:rPr>
        <w:t xml:space="preserve"> </w:t>
      </w:r>
      <w:r w:rsidR="007B13B1" w:rsidRPr="00475842">
        <w:rPr>
          <w:rFonts w:cs="Arial"/>
          <w:color w:val="000000"/>
          <w:szCs w:val="20"/>
          <w:lang w:val="en-GB"/>
        </w:rPr>
        <w:t xml:space="preserve">This mechanism is essentially aimed to </w:t>
      </w:r>
      <w:r w:rsidR="002577AE" w:rsidRPr="00475842">
        <w:rPr>
          <w:rFonts w:cs="Arial"/>
          <w:color w:val="000000"/>
          <w:szCs w:val="20"/>
          <w:lang w:val="en-GB"/>
        </w:rPr>
        <w:t xml:space="preserve">keep </w:t>
      </w:r>
      <w:r w:rsidR="00CB4E4C" w:rsidRPr="00475842">
        <w:rPr>
          <w:rFonts w:cs="Arial"/>
          <w:color w:val="000000"/>
          <w:szCs w:val="20"/>
          <w:lang w:val="en-GB"/>
        </w:rPr>
        <w:t xml:space="preserve">business activity of SOEs </w:t>
      </w:r>
      <w:r w:rsidR="002577AE" w:rsidRPr="00475842">
        <w:rPr>
          <w:rFonts w:cs="Arial"/>
          <w:color w:val="000000"/>
          <w:szCs w:val="20"/>
          <w:lang w:val="en-GB"/>
        </w:rPr>
        <w:t xml:space="preserve">within </w:t>
      </w:r>
      <w:r w:rsidR="00CB4E4C" w:rsidRPr="00475842">
        <w:rPr>
          <w:rFonts w:cs="Arial"/>
          <w:color w:val="000000"/>
          <w:szCs w:val="20"/>
          <w:lang w:val="en-GB"/>
        </w:rPr>
        <w:t>state oversight</w:t>
      </w:r>
      <w:r w:rsidR="00CB4E4C" w:rsidRPr="00475842">
        <w:rPr>
          <w:rFonts w:cs="Arial"/>
          <w:color w:val="000000"/>
          <w:szCs w:val="20"/>
        </w:rPr>
        <w:t>.</w:t>
      </w:r>
    </w:p>
    <w:p w14:paraId="02D6B6A7" w14:textId="77777777" w:rsidR="00040718" w:rsidRPr="00475842" w:rsidRDefault="00040718" w:rsidP="00C57592">
      <w:pPr>
        <w:autoSpaceDE w:val="0"/>
        <w:autoSpaceDN w:val="0"/>
        <w:adjustRightInd w:val="0"/>
        <w:spacing w:after="0" w:line="240" w:lineRule="auto"/>
        <w:rPr>
          <w:rFonts w:cs="Arial"/>
          <w:color w:val="000000"/>
          <w:szCs w:val="20"/>
          <w:lang w:val="en-GB"/>
        </w:rPr>
      </w:pPr>
    </w:p>
    <w:p w14:paraId="50A23D23" w14:textId="2DF34058" w:rsidR="00C57592" w:rsidRPr="00475842" w:rsidRDefault="005D40A4" w:rsidP="00C57592">
      <w:pPr>
        <w:autoSpaceDE w:val="0"/>
        <w:autoSpaceDN w:val="0"/>
        <w:adjustRightInd w:val="0"/>
        <w:spacing w:after="0" w:line="240" w:lineRule="auto"/>
        <w:rPr>
          <w:lang w:val="en-GB"/>
        </w:rPr>
      </w:pPr>
      <w:r w:rsidRPr="00475842">
        <w:rPr>
          <w:rFonts w:cs="Arial"/>
          <w:color w:val="000000"/>
          <w:szCs w:val="20"/>
          <w:lang w:val="en-GB"/>
        </w:rPr>
        <w:t xml:space="preserve">Moreover, while financial plans contain </w:t>
      </w:r>
      <w:r w:rsidR="000C626D" w:rsidRPr="00475842">
        <w:rPr>
          <w:rFonts w:cs="Arial"/>
          <w:color w:val="000000"/>
          <w:szCs w:val="20"/>
          <w:lang w:val="en-GB"/>
        </w:rPr>
        <w:t>projected data</w:t>
      </w:r>
      <w:r w:rsidR="00945C8B" w:rsidRPr="00475842">
        <w:rPr>
          <w:rFonts w:cs="Arial"/>
          <w:color w:val="000000"/>
          <w:szCs w:val="20"/>
          <w:lang w:val="en-GB"/>
        </w:rPr>
        <w:t xml:space="preserve">, the actual information may be found in financial statements, </w:t>
      </w:r>
      <w:r w:rsidR="00894DA2" w:rsidRPr="00475842">
        <w:rPr>
          <w:rFonts w:cs="Arial"/>
          <w:color w:val="000000"/>
          <w:szCs w:val="20"/>
          <w:lang w:val="en-GB"/>
        </w:rPr>
        <w:t xml:space="preserve">which </w:t>
      </w:r>
      <w:r w:rsidR="00945C8B" w:rsidRPr="00475842">
        <w:rPr>
          <w:rFonts w:cs="Arial"/>
          <w:color w:val="000000"/>
          <w:szCs w:val="20"/>
          <w:lang w:val="en-GB"/>
        </w:rPr>
        <w:t xml:space="preserve">the Independent Administrator used to </w:t>
      </w:r>
      <w:r w:rsidR="00ED27C8" w:rsidRPr="00475842">
        <w:rPr>
          <w:rFonts w:cs="Arial"/>
          <w:color w:val="000000"/>
          <w:szCs w:val="20"/>
          <w:lang w:val="en-GB"/>
        </w:rPr>
        <w:t>retrieve actual financial information</w:t>
      </w:r>
      <w:r w:rsidR="00A238F8" w:rsidRPr="00475842">
        <w:rPr>
          <w:rFonts w:cs="Arial"/>
          <w:color w:val="000000"/>
          <w:szCs w:val="20"/>
          <w:lang w:val="en-GB"/>
        </w:rPr>
        <w:t xml:space="preserve"> to the extent </w:t>
      </w:r>
      <w:r w:rsidR="00610B30" w:rsidRPr="00475842">
        <w:rPr>
          <w:rFonts w:cs="Arial"/>
          <w:color w:val="000000"/>
          <w:szCs w:val="20"/>
          <w:lang w:val="en-GB"/>
        </w:rPr>
        <w:t>possible.</w:t>
      </w:r>
      <w:r w:rsidR="00894DA2" w:rsidRPr="00475842">
        <w:rPr>
          <w:rFonts w:cs="Arial"/>
          <w:color w:val="000000"/>
          <w:szCs w:val="20"/>
          <w:lang w:val="en-GB"/>
        </w:rPr>
        <w:t xml:space="preserve"> </w:t>
      </w:r>
    </w:p>
    <w:p w14:paraId="02DF91A3" w14:textId="77777777" w:rsidR="00C57592" w:rsidRPr="00475842" w:rsidRDefault="00C57592" w:rsidP="00FE67CC">
      <w:pPr>
        <w:spacing w:after="0"/>
        <w:rPr>
          <w:rFonts w:cs="Arial"/>
          <w:szCs w:val="20"/>
          <w:lang w:val="en-GB"/>
        </w:rPr>
      </w:pPr>
    </w:p>
    <w:p w14:paraId="11D69C36" w14:textId="6616CBC4" w:rsidR="00FE67CC" w:rsidRPr="00283A51" w:rsidRDefault="00F60703" w:rsidP="00283A51">
      <w:pPr>
        <w:pStyle w:val="ListParagraph"/>
        <w:numPr>
          <w:ilvl w:val="0"/>
          <w:numId w:val="9"/>
        </w:numPr>
        <w:spacing w:after="0"/>
        <w:rPr>
          <w:rFonts w:cs="Arial"/>
          <w:szCs w:val="20"/>
          <w:lang w:val="en-GB"/>
        </w:rPr>
      </w:pPr>
      <w:r w:rsidRPr="00283A51">
        <w:rPr>
          <w:rFonts w:cs="Arial"/>
          <w:b/>
          <w:bCs/>
          <w:lang w:val="en-GB"/>
        </w:rPr>
        <w:t>Validation Report</w:t>
      </w:r>
      <w:r w:rsidRPr="00283A51">
        <w:rPr>
          <w:rFonts w:cs="Arial"/>
          <w:lang w:val="en-GB"/>
        </w:rPr>
        <w:t xml:space="preserve"> (page</w:t>
      </w:r>
      <w:r w:rsidR="00F61BCC" w:rsidRPr="00283A51">
        <w:rPr>
          <w:rFonts w:cs="Arial"/>
          <w:lang w:val="uk-UA"/>
        </w:rPr>
        <w:t xml:space="preserve"> 13</w:t>
      </w:r>
      <w:r w:rsidRPr="00283A51">
        <w:rPr>
          <w:rFonts w:cs="Arial"/>
          <w:lang w:val="en-GB"/>
        </w:rPr>
        <w:t>): "</w:t>
      </w:r>
      <w:r w:rsidR="00FE67CC" w:rsidRPr="00283A51">
        <w:rPr>
          <w:rFonts w:cs="Arial"/>
          <w:i/>
          <w:iCs/>
          <w:szCs w:val="20"/>
          <w:lang w:val="en-GB"/>
        </w:rPr>
        <w:t xml:space="preserve">Additionally, the report describes some aspect of actual practices of SOEs’ financial relations in 2017. Firstly, for each sector, the report states there were no deviations from financial policies, </w:t>
      </w:r>
      <w:r w:rsidR="00FE67CC" w:rsidRPr="00283A51">
        <w:rPr>
          <w:rFonts w:cs="Arial"/>
          <w:i/>
          <w:iCs/>
          <w:szCs w:val="20"/>
          <w:u w:val="single"/>
          <w:lang w:val="en-GB"/>
        </w:rPr>
        <w:t>though lacking precise references to the rules</w:t>
      </w:r>
      <w:r w:rsidR="00FE67CC" w:rsidRPr="00283A51">
        <w:rPr>
          <w:rFonts w:cs="Arial"/>
          <w:i/>
          <w:iCs/>
          <w:szCs w:val="20"/>
          <w:lang w:val="en-GB"/>
        </w:rPr>
        <w:t>; each SOEs’ financial plan for 2017.</w:t>
      </w:r>
      <w:r w:rsidRPr="00283A51">
        <w:rPr>
          <w:rFonts w:cs="Arial"/>
          <w:szCs w:val="20"/>
          <w:lang w:val="en-GB"/>
        </w:rPr>
        <w:t>"</w:t>
      </w:r>
    </w:p>
    <w:p w14:paraId="0F6C154D" w14:textId="77777777" w:rsidR="00894DA2" w:rsidRPr="00475842" w:rsidRDefault="00894DA2" w:rsidP="00FE67CC">
      <w:pPr>
        <w:spacing w:after="0"/>
        <w:rPr>
          <w:rFonts w:cs="Arial"/>
          <w:szCs w:val="20"/>
          <w:lang w:val="en-GB"/>
        </w:rPr>
      </w:pPr>
    </w:p>
    <w:p w14:paraId="62A6D7E3" w14:textId="3AC28422" w:rsidR="00E25C22" w:rsidRPr="00475842" w:rsidRDefault="00610B30" w:rsidP="00F31E23">
      <w:pPr>
        <w:autoSpaceDE w:val="0"/>
        <w:autoSpaceDN w:val="0"/>
        <w:adjustRightInd w:val="0"/>
        <w:spacing w:after="0" w:line="240" w:lineRule="auto"/>
        <w:rPr>
          <w:rFonts w:cs="Arial"/>
          <w:color w:val="000000"/>
          <w:szCs w:val="20"/>
          <w:lang w:val="en-GB"/>
        </w:rPr>
      </w:pPr>
      <w:r>
        <w:rPr>
          <w:b/>
          <w:bCs/>
          <w:lang w:val="en-GB"/>
        </w:rPr>
        <w:t>MSG</w:t>
      </w:r>
      <w:r w:rsidR="008179D2" w:rsidRPr="00475842">
        <w:rPr>
          <w:lang w:val="en-GB"/>
        </w:rPr>
        <w:t xml:space="preserve">: </w:t>
      </w:r>
      <w:r w:rsidR="00894DA2" w:rsidRPr="00475842">
        <w:rPr>
          <w:rFonts w:cs="Arial"/>
          <w:color w:val="000000"/>
          <w:szCs w:val="20"/>
          <w:lang w:val="en-GB"/>
        </w:rPr>
        <w:t>Please note that the rules are described in section 6.4.1.3 of the EITI Report.</w:t>
      </w:r>
      <w:r w:rsidR="007A0389" w:rsidRPr="00475842">
        <w:rPr>
          <w:rFonts w:cs="Arial"/>
          <w:color w:val="000000"/>
          <w:szCs w:val="20"/>
          <w:lang w:val="en-GB"/>
        </w:rPr>
        <w:t xml:space="preserve"> </w:t>
      </w:r>
      <w:r w:rsidR="00F12E6F" w:rsidRPr="00475842">
        <w:rPr>
          <w:rFonts w:cs="Arial"/>
          <w:color w:val="000000"/>
          <w:szCs w:val="20"/>
          <w:lang w:val="en-GB"/>
        </w:rPr>
        <w:t xml:space="preserve">Financial relations between the </w:t>
      </w:r>
      <w:r w:rsidR="00F31E23" w:rsidRPr="00475842">
        <w:rPr>
          <w:rFonts w:cs="Arial"/>
          <w:color w:val="000000"/>
          <w:szCs w:val="20"/>
          <w:lang w:val="en-GB"/>
        </w:rPr>
        <w:t xml:space="preserve">entity </w:t>
      </w:r>
      <w:r w:rsidR="00F12E6F" w:rsidRPr="00475842">
        <w:rPr>
          <w:rFonts w:cs="Arial"/>
          <w:color w:val="000000"/>
          <w:szCs w:val="20"/>
          <w:lang w:val="en-GB"/>
        </w:rPr>
        <w:t xml:space="preserve">and its legal owner is mostly determined by the </w:t>
      </w:r>
      <w:r w:rsidR="00F31E23" w:rsidRPr="00475842">
        <w:rPr>
          <w:rFonts w:cs="Arial"/>
          <w:color w:val="000000"/>
          <w:szCs w:val="20"/>
          <w:lang w:val="en-GB"/>
        </w:rPr>
        <w:t xml:space="preserve">legal form of the respective entity as noted in the Report. </w:t>
      </w:r>
    </w:p>
    <w:p w14:paraId="26BF9B0F" w14:textId="77777777" w:rsidR="00F31E23" w:rsidRPr="00475842" w:rsidRDefault="00F31E23" w:rsidP="00F31E23">
      <w:pPr>
        <w:autoSpaceDE w:val="0"/>
        <w:autoSpaceDN w:val="0"/>
        <w:adjustRightInd w:val="0"/>
        <w:spacing w:after="0" w:line="240" w:lineRule="auto"/>
        <w:rPr>
          <w:rFonts w:cs="Arial"/>
          <w:color w:val="000000"/>
          <w:szCs w:val="20"/>
          <w:lang w:val="en-GB"/>
        </w:rPr>
      </w:pPr>
    </w:p>
    <w:p w14:paraId="6212DB5C" w14:textId="3F5E9B52" w:rsidR="00FE67CC" w:rsidRPr="00283A51" w:rsidRDefault="00F60703" w:rsidP="00283A51">
      <w:pPr>
        <w:pStyle w:val="ListParagraph"/>
        <w:numPr>
          <w:ilvl w:val="0"/>
          <w:numId w:val="9"/>
        </w:numPr>
        <w:spacing w:after="0"/>
        <w:rPr>
          <w:rFonts w:cs="Arial"/>
          <w:szCs w:val="20"/>
          <w:lang w:val="en-GB"/>
        </w:rPr>
      </w:pPr>
      <w:r w:rsidRPr="00283A51">
        <w:rPr>
          <w:rFonts w:cs="Arial"/>
          <w:b/>
          <w:bCs/>
          <w:lang w:val="en-GB"/>
        </w:rPr>
        <w:t>Validation Report</w:t>
      </w:r>
      <w:r w:rsidRPr="00283A51">
        <w:rPr>
          <w:rFonts w:cs="Arial"/>
          <w:lang w:val="en-GB"/>
        </w:rPr>
        <w:t xml:space="preserve"> (pages </w:t>
      </w:r>
      <w:r w:rsidR="006F2CFA" w:rsidRPr="00283A51">
        <w:rPr>
          <w:rFonts w:cs="Arial"/>
          <w:lang w:val="uk-UA"/>
        </w:rPr>
        <w:t>44</w:t>
      </w:r>
      <w:r w:rsidRPr="00283A51">
        <w:rPr>
          <w:rFonts w:cs="Arial"/>
          <w:lang w:val="en-GB"/>
        </w:rPr>
        <w:t>-</w:t>
      </w:r>
      <w:r w:rsidR="006F2CFA" w:rsidRPr="00283A51">
        <w:rPr>
          <w:rFonts w:cs="Arial"/>
          <w:lang w:val="uk-UA"/>
        </w:rPr>
        <w:t>45</w:t>
      </w:r>
      <w:r w:rsidRPr="00283A51">
        <w:rPr>
          <w:rFonts w:cs="Arial"/>
          <w:lang w:val="en-GB"/>
        </w:rPr>
        <w:t>): "</w:t>
      </w:r>
      <w:r w:rsidR="00FE67CC" w:rsidRPr="00283A51">
        <w:rPr>
          <w:rFonts w:cs="Arial"/>
          <w:i/>
          <w:iCs/>
          <w:szCs w:val="20"/>
          <w:lang w:val="en-GB"/>
        </w:rPr>
        <w:t>The IA explains that Section 6.4.2 of the EITI report presents the Accounting Chambers’ findings for the oil and gas sector, and that there were multiple deficiencies and delays in approval of the financial plans. However, most of details contained in financial plans and the reports on their performance are publicly available, and the Ukraine EITI was not able to compare policy to practice</w:t>
      </w:r>
      <w:r w:rsidRPr="00283A51">
        <w:rPr>
          <w:rFonts w:cs="Arial"/>
          <w:i/>
          <w:iCs/>
          <w:szCs w:val="20"/>
          <w:lang w:val="en-GB"/>
        </w:rPr>
        <w:t>.</w:t>
      </w:r>
      <w:r w:rsidRPr="00283A51">
        <w:rPr>
          <w:rFonts w:cs="Arial"/>
          <w:szCs w:val="20"/>
          <w:lang w:val="en-GB"/>
        </w:rPr>
        <w:t>"</w:t>
      </w:r>
    </w:p>
    <w:p w14:paraId="08763543" w14:textId="77777777" w:rsidR="00FE67CC" w:rsidRPr="00475842" w:rsidRDefault="00FE67CC" w:rsidP="00FE67CC">
      <w:pPr>
        <w:spacing w:after="0"/>
        <w:rPr>
          <w:rFonts w:cs="Arial"/>
          <w:szCs w:val="20"/>
          <w:lang w:val="en-GB"/>
        </w:rPr>
      </w:pPr>
    </w:p>
    <w:p w14:paraId="60319358" w14:textId="550C1F2D" w:rsidR="00F31E23" w:rsidRPr="00475842" w:rsidRDefault="00610B30" w:rsidP="00F31E23">
      <w:pPr>
        <w:spacing w:after="0"/>
        <w:rPr>
          <w:rFonts w:cs="Arial"/>
          <w:szCs w:val="20"/>
          <w:lang w:val="en-GB"/>
        </w:rPr>
      </w:pPr>
      <w:r>
        <w:rPr>
          <w:b/>
          <w:bCs/>
          <w:lang w:val="en-GB"/>
        </w:rPr>
        <w:t>MSG</w:t>
      </w:r>
      <w:r w:rsidR="008179D2" w:rsidRPr="00475842">
        <w:rPr>
          <w:lang w:val="en-GB"/>
        </w:rPr>
        <w:t xml:space="preserve">: </w:t>
      </w:r>
      <w:r w:rsidR="00F31E23" w:rsidRPr="00475842">
        <w:rPr>
          <w:rFonts w:cs="Arial"/>
          <w:szCs w:val="20"/>
          <w:lang w:val="en-GB"/>
        </w:rPr>
        <w:t xml:space="preserve">The data for each financial plan is not publicly available. </w:t>
      </w:r>
    </w:p>
    <w:p w14:paraId="3246C648" w14:textId="77777777" w:rsidR="00F31E23" w:rsidRPr="00475842" w:rsidRDefault="00F31E23" w:rsidP="00FE67CC">
      <w:pPr>
        <w:spacing w:after="0"/>
        <w:rPr>
          <w:rFonts w:cs="Arial"/>
          <w:szCs w:val="20"/>
          <w:lang w:val="en-GB"/>
        </w:rPr>
      </w:pPr>
    </w:p>
    <w:p w14:paraId="38EB4EE5" w14:textId="2B388A4F" w:rsidR="006A25D1" w:rsidRPr="00475842" w:rsidRDefault="00524E3B" w:rsidP="006A25D1">
      <w:pPr>
        <w:widowControl w:val="0"/>
        <w:rPr>
          <w:rFonts w:cs="Times New Roman"/>
          <w:szCs w:val="20"/>
          <w:lang w:val="en-GB"/>
        </w:rPr>
      </w:pPr>
      <w:r w:rsidRPr="00475842">
        <w:rPr>
          <w:rFonts w:cs="Times New Roman"/>
          <w:szCs w:val="20"/>
          <w:lang w:val="en-GB"/>
        </w:rPr>
        <w:t xml:space="preserve">Control over </w:t>
      </w:r>
      <w:r w:rsidR="007710F0" w:rsidRPr="00475842">
        <w:rPr>
          <w:rFonts w:cs="Times New Roman"/>
          <w:szCs w:val="20"/>
          <w:lang w:val="en-GB"/>
        </w:rPr>
        <w:t>(1) </w:t>
      </w:r>
      <w:r w:rsidRPr="00475842">
        <w:rPr>
          <w:rFonts w:cs="Times New Roman"/>
          <w:szCs w:val="20"/>
          <w:lang w:val="en-GB"/>
        </w:rPr>
        <w:t xml:space="preserve">timely preparation of financial plans and </w:t>
      </w:r>
      <w:r w:rsidR="007710F0" w:rsidRPr="00475842">
        <w:rPr>
          <w:rFonts w:cs="Times New Roman"/>
          <w:szCs w:val="20"/>
          <w:lang w:val="en-GB"/>
        </w:rPr>
        <w:t>(2) </w:t>
      </w:r>
      <w:r w:rsidRPr="00475842">
        <w:rPr>
          <w:rFonts w:cs="Times New Roman"/>
          <w:szCs w:val="20"/>
          <w:lang w:val="en-GB"/>
        </w:rPr>
        <w:t xml:space="preserve">implementation of indicators </w:t>
      </w:r>
      <w:r w:rsidR="007710F0" w:rsidRPr="00475842">
        <w:rPr>
          <w:rFonts w:cs="Times New Roman"/>
          <w:szCs w:val="20"/>
          <w:lang w:val="en-GB"/>
        </w:rPr>
        <w:t xml:space="preserve">in </w:t>
      </w:r>
      <w:r w:rsidRPr="00475842">
        <w:rPr>
          <w:rFonts w:cs="Times New Roman"/>
          <w:szCs w:val="20"/>
          <w:lang w:val="en-GB"/>
        </w:rPr>
        <w:t xml:space="preserve">approved financial plans is carried out by </w:t>
      </w:r>
      <w:r w:rsidR="007710F0" w:rsidRPr="00475842">
        <w:rPr>
          <w:rFonts w:cs="Times New Roman"/>
          <w:szCs w:val="20"/>
          <w:lang w:val="en-GB"/>
        </w:rPr>
        <w:t xml:space="preserve">their </w:t>
      </w:r>
      <w:r w:rsidRPr="00475842">
        <w:rPr>
          <w:rFonts w:cs="Times New Roman"/>
          <w:szCs w:val="20"/>
          <w:lang w:val="en-GB"/>
        </w:rPr>
        <w:t>manag</w:t>
      </w:r>
      <w:r w:rsidR="007710F0" w:rsidRPr="00475842">
        <w:rPr>
          <w:rFonts w:cs="Times New Roman"/>
          <w:szCs w:val="20"/>
          <w:lang w:val="en-GB"/>
        </w:rPr>
        <w:t>ing subjects</w:t>
      </w:r>
      <w:r w:rsidR="006A25D1" w:rsidRPr="00475842">
        <w:rPr>
          <w:rStyle w:val="FootnoteReference"/>
          <w:rFonts w:cs="Times New Roman"/>
          <w:iCs/>
          <w:szCs w:val="20"/>
          <w:lang w:val="en-GB"/>
        </w:rPr>
        <w:footnoteReference w:id="2"/>
      </w:r>
      <w:r w:rsidR="006A25D1" w:rsidRPr="00475842">
        <w:rPr>
          <w:rFonts w:cs="Times New Roman"/>
          <w:iCs/>
          <w:szCs w:val="20"/>
          <w:lang w:val="en-GB"/>
        </w:rPr>
        <w:t xml:space="preserve">, </w:t>
      </w:r>
      <w:r w:rsidR="007710F0" w:rsidRPr="00475842">
        <w:rPr>
          <w:rFonts w:cs="Times New Roman"/>
          <w:iCs/>
          <w:szCs w:val="20"/>
          <w:lang w:val="en-GB"/>
        </w:rPr>
        <w:t xml:space="preserve">which </w:t>
      </w:r>
      <w:r w:rsidR="00DC06B4" w:rsidRPr="00475842">
        <w:rPr>
          <w:rFonts w:cs="Times New Roman"/>
          <w:iCs/>
          <w:szCs w:val="20"/>
          <w:lang w:val="en-GB"/>
        </w:rPr>
        <w:t xml:space="preserve">submit information on approval and </w:t>
      </w:r>
      <w:r w:rsidR="00DC06B4" w:rsidRPr="00475842">
        <w:rPr>
          <w:rFonts w:cs="Times New Roman"/>
          <w:iCs/>
          <w:szCs w:val="20"/>
          <w:lang w:val="en-GB"/>
        </w:rPr>
        <w:lastRenderedPageBreak/>
        <w:t>implementation of financial plans to the Ministry of Economy.</w:t>
      </w:r>
      <w:r w:rsidR="006A25D1" w:rsidRPr="00475842">
        <w:rPr>
          <w:rFonts w:cs="Times New Roman"/>
          <w:iCs/>
          <w:szCs w:val="20"/>
          <w:lang w:val="en-GB"/>
        </w:rPr>
        <w:t xml:space="preserve"> </w:t>
      </w:r>
      <w:r w:rsidR="00C54C4D" w:rsidRPr="00475842">
        <w:rPr>
          <w:rFonts w:cs="Times New Roman"/>
          <w:iCs/>
          <w:szCs w:val="20"/>
          <w:lang w:val="en-GB"/>
        </w:rPr>
        <w:t xml:space="preserve">In turn, the Ministry of Economy </w:t>
      </w:r>
      <w:proofErr w:type="spellStart"/>
      <w:r w:rsidR="00C54C4D" w:rsidRPr="00475842">
        <w:rPr>
          <w:rFonts w:cs="Times New Roman"/>
          <w:iCs/>
          <w:szCs w:val="20"/>
          <w:lang w:val="en-GB"/>
        </w:rPr>
        <w:t>analyzes</w:t>
      </w:r>
      <w:proofErr w:type="spellEnd"/>
      <w:r w:rsidR="00C54C4D" w:rsidRPr="00475842">
        <w:rPr>
          <w:rFonts w:cs="Times New Roman"/>
          <w:iCs/>
          <w:szCs w:val="20"/>
          <w:lang w:val="en-GB"/>
        </w:rPr>
        <w:t xml:space="preserve"> and summarizes the information received and publishes summar</w:t>
      </w:r>
      <w:r w:rsidR="005A0432" w:rsidRPr="00475842">
        <w:rPr>
          <w:rFonts w:cs="Times New Roman"/>
          <w:iCs/>
          <w:szCs w:val="20"/>
          <w:lang w:val="en-GB"/>
        </w:rPr>
        <w:t>ized</w:t>
      </w:r>
      <w:r w:rsidR="00C54C4D" w:rsidRPr="00475842">
        <w:rPr>
          <w:rFonts w:cs="Times New Roman"/>
          <w:iCs/>
          <w:szCs w:val="20"/>
          <w:lang w:val="en-GB"/>
        </w:rPr>
        <w:t xml:space="preserve"> </w:t>
      </w:r>
      <w:r w:rsidR="005A0432" w:rsidRPr="00475842">
        <w:rPr>
          <w:rFonts w:cs="Times New Roman"/>
          <w:iCs/>
          <w:szCs w:val="20"/>
          <w:lang w:val="en-GB"/>
        </w:rPr>
        <w:t xml:space="preserve">data on </w:t>
      </w:r>
      <w:r w:rsidR="00C54C4D" w:rsidRPr="00475842">
        <w:rPr>
          <w:rFonts w:cs="Times New Roman"/>
          <w:iCs/>
          <w:szCs w:val="20"/>
          <w:lang w:val="en-GB"/>
        </w:rPr>
        <w:t xml:space="preserve">implementation of financial plans </w:t>
      </w:r>
      <w:r w:rsidR="005A0432" w:rsidRPr="00475842">
        <w:rPr>
          <w:rFonts w:cs="Times New Roman"/>
          <w:iCs/>
          <w:szCs w:val="20"/>
          <w:lang w:val="en-GB"/>
        </w:rPr>
        <w:t xml:space="preserve">at its </w:t>
      </w:r>
      <w:r w:rsidR="00C54C4D" w:rsidRPr="00475842">
        <w:rPr>
          <w:rFonts w:cs="Times New Roman"/>
          <w:iCs/>
          <w:szCs w:val="20"/>
          <w:lang w:val="en-GB"/>
        </w:rPr>
        <w:t>official website</w:t>
      </w:r>
      <w:r w:rsidR="006A25D1" w:rsidRPr="00475842">
        <w:rPr>
          <w:rStyle w:val="FootnoteReference"/>
          <w:rFonts w:cs="Times New Roman"/>
          <w:iCs/>
          <w:szCs w:val="20"/>
          <w:lang w:val="en-GB"/>
        </w:rPr>
        <w:footnoteReference w:id="3"/>
      </w:r>
      <w:r w:rsidR="006A25D1" w:rsidRPr="00475842">
        <w:rPr>
          <w:rFonts w:cs="Times New Roman"/>
          <w:iCs/>
          <w:szCs w:val="20"/>
          <w:lang w:val="en-GB"/>
        </w:rPr>
        <w:t xml:space="preserve">. </w:t>
      </w:r>
    </w:p>
    <w:p w14:paraId="39E600D7" w14:textId="221257EB" w:rsidR="00FE67CC" w:rsidRPr="00475842" w:rsidRDefault="005A0432" w:rsidP="00FE67CC">
      <w:pPr>
        <w:spacing w:after="0"/>
        <w:rPr>
          <w:rFonts w:cs="Arial"/>
          <w:color w:val="FF0000"/>
          <w:szCs w:val="20"/>
          <w:lang w:val="en-GB"/>
        </w:rPr>
      </w:pPr>
      <w:r w:rsidRPr="00475842">
        <w:rPr>
          <w:rFonts w:cs="Arial"/>
          <w:szCs w:val="20"/>
          <w:lang w:val="en-GB"/>
        </w:rPr>
        <w:t>Hence, a</w:t>
      </w:r>
      <w:r w:rsidR="002624E5" w:rsidRPr="00475842">
        <w:rPr>
          <w:rFonts w:cs="Arial"/>
          <w:szCs w:val="20"/>
          <w:lang w:val="en-GB"/>
        </w:rPr>
        <w:t xml:space="preserve">s </w:t>
      </w:r>
      <w:r w:rsidR="00447939" w:rsidRPr="00475842">
        <w:rPr>
          <w:rFonts w:cs="Arial"/>
          <w:szCs w:val="20"/>
          <w:lang w:val="en-GB"/>
        </w:rPr>
        <w:t xml:space="preserve">financial plans are not available in public sources and </w:t>
      </w:r>
      <w:r w:rsidR="002624E5" w:rsidRPr="00475842">
        <w:rPr>
          <w:rFonts w:cs="Arial"/>
          <w:szCs w:val="20"/>
          <w:lang w:val="en-GB"/>
        </w:rPr>
        <w:t xml:space="preserve">there is only generalized information </w:t>
      </w:r>
      <w:r w:rsidR="00A43170" w:rsidRPr="00475842">
        <w:rPr>
          <w:rFonts w:cs="Arial"/>
          <w:szCs w:val="20"/>
          <w:lang w:val="en-GB"/>
        </w:rPr>
        <w:t>on their</w:t>
      </w:r>
      <w:r w:rsidR="00AD320D" w:rsidRPr="00475842">
        <w:rPr>
          <w:rFonts w:cs="Arial"/>
          <w:szCs w:val="20"/>
          <w:lang w:val="en-GB"/>
        </w:rPr>
        <w:t xml:space="preserve"> indicators and implementation </w:t>
      </w:r>
      <w:r w:rsidR="002624E5" w:rsidRPr="00475842">
        <w:rPr>
          <w:rFonts w:cs="Arial"/>
          <w:szCs w:val="20"/>
          <w:lang w:val="en-GB"/>
        </w:rPr>
        <w:t xml:space="preserve">from the Ministry of Economy, it is impossible to compare such information with </w:t>
      </w:r>
      <w:r w:rsidR="00FE78E2" w:rsidRPr="00475842">
        <w:rPr>
          <w:rFonts w:cs="Arial"/>
          <w:szCs w:val="20"/>
          <w:lang w:val="en-GB"/>
        </w:rPr>
        <w:t xml:space="preserve">actual financial </w:t>
      </w:r>
      <w:r w:rsidR="0084307E" w:rsidRPr="00475842">
        <w:rPr>
          <w:rFonts w:cs="Arial"/>
          <w:szCs w:val="20"/>
          <w:lang w:val="en-GB"/>
        </w:rPr>
        <w:t>statements (if at all feasible)</w:t>
      </w:r>
      <w:r w:rsidR="002624E5" w:rsidRPr="00475842">
        <w:rPr>
          <w:rFonts w:cs="Arial"/>
          <w:szCs w:val="20"/>
          <w:lang w:val="en-GB"/>
        </w:rPr>
        <w:t xml:space="preserve">. </w:t>
      </w:r>
      <w:r w:rsidR="002624E5" w:rsidRPr="00475842">
        <w:rPr>
          <w:rFonts w:cs="Arial"/>
          <w:color w:val="FF0000"/>
          <w:szCs w:val="20"/>
          <w:lang w:val="en-GB"/>
        </w:rPr>
        <w:t xml:space="preserve"> </w:t>
      </w:r>
    </w:p>
    <w:p w14:paraId="6CE61704" w14:textId="77777777" w:rsidR="00FE67CC" w:rsidRPr="00475842" w:rsidRDefault="00FE67CC" w:rsidP="00FE67CC">
      <w:pPr>
        <w:autoSpaceDE w:val="0"/>
        <w:autoSpaceDN w:val="0"/>
        <w:adjustRightInd w:val="0"/>
        <w:spacing w:after="0" w:line="240" w:lineRule="auto"/>
        <w:rPr>
          <w:rFonts w:cs="Arial"/>
          <w:color w:val="000000"/>
          <w:szCs w:val="20"/>
          <w:lang w:val="en-GB"/>
        </w:rPr>
      </w:pPr>
    </w:p>
    <w:p w14:paraId="7C36255C" w14:textId="380C7A08" w:rsidR="00FE67CC" w:rsidRPr="00283A51" w:rsidRDefault="00DD1071" w:rsidP="00283A51">
      <w:pPr>
        <w:pStyle w:val="ListParagraph"/>
        <w:numPr>
          <w:ilvl w:val="0"/>
          <w:numId w:val="9"/>
        </w:numPr>
        <w:autoSpaceDE w:val="0"/>
        <w:autoSpaceDN w:val="0"/>
        <w:adjustRightInd w:val="0"/>
        <w:spacing w:after="0" w:line="240" w:lineRule="auto"/>
        <w:rPr>
          <w:rFonts w:cs="Arial"/>
          <w:szCs w:val="20"/>
          <w:lang w:val="en-GB"/>
        </w:rPr>
      </w:pPr>
      <w:r w:rsidRPr="00283A51">
        <w:rPr>
          <w:rFonts w:cs="Arial"/>
          <w:b/>
          <w:bCs/>
          <w:lang w:val="en-GB"/>
        </w:rPr>
        <w:t>Validation Report</w:t>
      </w:r>
      <w:r w:rsidRPr="00283A51">
        <w:rPr>
          <w:rFonts w:cs="Arial"/>
          <w:lang w:val="en-GB"/>
        </w:rPr>
        <w:t xml:space="preserve"> (page</w:t>
      </w:r>
      <w:r w:rsidR="00282D8F" w:rsidRPr="00283A51">
        <w:rPr>
          <w:rFonts w:cs="Arial"/>
          <w:lang w:val="uk-UA"/>
        </w:rPr>
        <w:t xml:space="preserve"> 14</w:t>
      </w:r>
      <w:r w:rsidRPr="00283A51">
        <w:rPr>
          <w:rFonts w:cs="Arial"/>
          <w:lang w:val="en-GB"/>
        </w:rPr>
        <w:t xml:space="preserve">): </w:t>
      </w:r>
      <w:r w:rsidRPr="00283A51">
        <w:rPr>
          <w:rFonts w:cs="Arial"/>
        </w:rPr>
        <w:t>"</w:t>
      </w:r>
      <w:r w:rsidR="00FE67CC" w:rsidRPr="00283A51">
        <w:rPr>
          <w:rFonts w:cs="Arial"/>
          <w:i/>
          <w:iCs/>
          <w:szCs w:val="20"/>
          <w:lang w:val="en-GB"/>
        </w:rPr>
        <w:t>Additionally, neither form of disclosure appears to clarify the terms of ownership for each SOE interest; whether full-paid equity, carried interest, or free equity. As an example, there is lacking information regarding Ukrnafta PJSC’s responsibilities towards JV Ukrkarpatoil LTC LLC, another material company that participated in Ukraine’s 2017 EITI reporting.</w:t>
      </w:r>
      <w:r w:rsidRPr="00283A51">
        <w:rPr>
          <w:rFonts w:cs="Arial"/>
          <w:szCs w:val="20"/>
          <w:lang w:val="en-GB"/>
        </w:rPr>
        <w:t>"</w:t>
      </w:r>
      <w:r w:rsidR="00FE67CC" w:rsidRPr="00283A51">
        <w:rPr>
          <w:rFonts w:cs="Arial"/>
          <w:szCs w:val="20"/>
          <w:lang w:val="en-GB"/>
        </w:rPr>
        <w:t xml:space="preserve"> </w:t>
      </w:r>
    </w:p>
    <w:p w14:paraId="444446D6" w14:textId="77777777" w:rsidR="00FE67CC" w:rsidRPr="00820F8C" w:rsidRDefault="00FE67CC" w:rsidP="00FE67CC">
      <w:pPr>
        <w:spacing w:after="0"/>
        <w:rPr>
          <w:rFonts w:cs="Arial"/>
          <w:szCs w:val="20"/>
        </w:rPr>
      </w:pPr>
    </w:p>
    <w:p w14:paraId="5CB496E8" w14:textId="251362AA" w:rsidR="00031327" w:rsidRPr="00475842" w:rsidRDefault="00610B30" w:rsidP="006C431C">
      <w:pPr>
        <w:autoSpaceDE w:val="0"/>
        <w:autoSpaceDN w:val="0"/>
        <w:adjustRightInd w:val="0"/>
        <w:spacing w:after="0" w:line="240" w:lineRule="auto"/>
        <w:rPr>
          <w:rFonts w:cs="Arial"/>
          <w:szCs w:val="20"/>
          <w:lang w:val="en-GB"/>
        </w:rPr>
      </w:pPr>
      <w:r>
        <w:rPr>
          <w:b/>
          <w:bCs/>
        </w:rPr>
        <w:t>MSG</w:t>
      </w:r>
      <w:r w:rsidR="008179D2" w:rsidRPr="00475842">
        <w:rPr>
          <w:lang w:val="en-GB"/>
        </w:rPr>
        <w:t xml:space="preserve">: Please note that the specifics of state equity are mostly defined by the legal form of the respective entity. </w:t>
      </w:r>
      <w:r w:rsidR="00C61AE1" w:rsidRPr="00475842">
        <w:rPr>
          <w:lang w:val="en-GB"/>
        </w:rPr>
        <w:t xml:space="preserve">Generally, all </w:t>
      </w:r>
      <w:r w:rsidR="00A2257D" w:rsidRPr="00475842">
        <w:rPr>
          <w:lang w:val="en-GB"/>
        </w:rPr>
        <w:t>Ukrainian legal entities</w:t>
      </w:r>
      <w:r w:rsidR="00C61AE1" w:rsidRPr="00475842">
        <w:rPr>
          <w:lang w:val="en-GB"/>
        </w:rPr>
        <w:t xml:space="preserve"> are owned by the </w:t>
      </w:r>
      <w:r w:rsidR="0053483B" w:rsidRPr="00475842">
        <w:rPr>
          <w:lang w:val="en-GB"/>
        </w:rPr>
        <w:t xml:space="preserve">state in its shareholding capacity </w:t>
      </w:r>
      <w:r w:rsidR="006C431C" w:rsidRPr="00475842">
        <w:rPr>
          <w:rFonts w:cs="Arial"/>
          <w:szCs w:val="20"/>
          <w:lang w:val="en-GB"/>
        </w:rPr>
        <w:t xml:space="preserve">(i.e., </w:t>
      </w:r>
      <w:r w:rsidR="0076045A" w:rsidRPr="00475842">
        <w:rPr>
          <w:rFonts w:cs="Arial"/>
          <w:szCs w:val="20"/>
          <w:lang w:val="en-GB"/>
        </w:rPr>
        <w:t>full-paid equity terms</w:t>
      </w:r>
      <w:r w:rsidR="006C431C" w:rsidRPr="00475842">
        <w:rPr>
          <w:rFonts w:cs="Arial"/>
          <w:szCs w:val="20"/>
          <w:lang w:val="en-GB"/>
        </w:rPr>
        <w:t>)</w:t>
      </w:r>
      <w:r w:rsidR="0076045A" w:rsidRPr="00475842">
        <w:rPr>
          <w:rFonts w:cs="Arial"/>
          <w:szCs w:val="20"/>
          <w:lang w:val="en-GB"/>
        </w:rPr>
        <w:t xml:space="preserve">. Other types of </w:t>
      </w:r>
      <w:r w:rsidR="006C431C" w:rsidRPr="00475842">
        <w:rPr>
          <w:rFonts w:cs="Arial"/>
          <w:szCs w:val="20"/>
          <w:lang w:val="en-GB"/>
        </w:rPr>
        <w:t xml:space="preserve">state equity </w:t>
      </w:r>
      <w:r w:rsidR="0076045A" w:rsidRPr="00475842">
        <w:rPr>
          <w:rFonts w:cs="Arial"/>
          <w:szCs w:val="20"/>
          <w:lang w:val="en-GB"/>
        </w:rPr>
        <w:t>are applicable only in certain cases</w:t>
      </w:r>
      <w:r w:rsidR="0076045A" w:rsidRPr="00475842" w:rsidDel="004D727F">
        <w:rPr>
          <w:rFonts w:cs="Arial"/>
          <w:szCs w:val="20"/>
          <w:lang w:val="en-GB"/>
        </w:rPr>
        <w:t xml:space="preserve"> </w:t>
      </w:r>
      <w:r w:rsidR="0076045A" w:rsidRPr="00475842">
        <w:rPr>
          <w:rFonts w:cs="Arial"/>
          <w:szCs w:val="20"/>
          <w:lang w:val="en-GB"/>
        </w:rPr>
        <w:t>(</w:t>
      </w:r>
      <w:r w:rsidR="006C431C" w:rsidRPr="00475842">
        <w:rPr>
          <w:rFonts w:cs="Arial"/>
          <w:szCs w:val="20"/>
          <w:lang w:val="en-GB"/>
        </w:rPr>
        <w:t xml:space="preserve">e.g., carried interest is possible, but is not necessarily in place, </w:t>
      </w:r>
      <w:r w:rsidR="0076045A" w:rsidRPr="00475842">
        <w:rPr>
          <w:rFonts w:cs="Arial"/>
          <w:szCs w:val="20"/>
          <w:lang w:val="en-GB"/>
        </w:rPr>
        <w:t xml:space="preserve">for </w:t>
      </w:r>
      <w:r w:rsidR="006C431C" w:rsidRPr="00475842">
        <w:rPr>
          <w:rFonts w:cs="Arial"/>
          <w:szCs w:val="20"/>
          <w:lang w:val="en-GB"/>
        </w:rPr>
        <w:t xml:space="preserve">specific </w:t>
      </w:r>
      <w:r w:rsidR="0076045A" w:rsidRPr="00475842">
        <w:rPr>
          <w:rFonts w:cs="Arial"/>
          <w:szCs w:val="20"/>
          <w:lang w:val="en-GB"/>
        </w:rPr>
        <w:t>PSA</w:t>
      </w:r>
      <w:r w:rsidR="006C431C" w:rsidRPr="00475842">
        <w:rPr>
          <w:rFonts w:cs="Arial"/>
          <w:szCs w:val="20"/>
          <w:lang w:val="en-GB"/>
        </w:rPr>
        <w:t xml:space="preserve">s; </w:t>
      </w:r>
      <w:r w:rsidR="00031327" w:rsidRPr="00475842">
        <w:rPr>
          <w:rFonts w:cs="Arial"/>
          <w:szCs w:val="20"/>
          <w:lang w:val="en-GB"/>
        </w:rPr>
        <w:t xml:space="preserve">free equity is possible in </w:t>
      </w:r>
      <w:r w:rsidR="0076045A" w:rsidRPr="00475842">
        <w:rPr>
          <w:rFonts w:cs="Arial"/>
          <w:szCs w:val="20"/>
          <w:lang w:val="en-GB"/>
        </w:rPr>
        <w:t>concession</w:t>
      </w:r>
      <w:r w:rsidR="00031327" w:rsidRPr="00475842">
        <w:rPr>
          <w:rFonts w:cs="Arial"/>
          <w:szCs w:val="20"/>
          <w:lang w:val="en-GB"/>
        </w:rPr>
        <w:t xml:space="preserve"> agreements</w:t>
      </w:r>
      <w:r w:rsidR="0076045A" w:rsidRPr="00475842">
        <w:rPr>
          <w:rFonts w:cs="Arial"/>
          <w:szCs w:val="20"/>
          <w:lang w:val="en-GB"/>
        </w:rPr>
        <w:t>)</w:t>
      </w:r>
      <w:r w:rsidR="00031327" w:rsidRPr="00475842">
        <w:rPr>
          <w:rFonts w:cs="Arial"/>
          <w:szCs w:val="20"/>
          <w:lang w:val="en-GB"/>
        </w:rPr>
        <w:t xml:space="preserve">. Hence, </w:t>
      </w:r>
      <w:r w:rsidR="0076045A" w:rsidRPr="00475842">
        <w:rPr>
          <w:rFonts w:cs="Arial"/>
          <w:szCs w:val="20"/>
          <w:lang w:val="en-GB"/>
        </w:rPr>
        <w:t xml:space="preserve">they are not applicable for ordinary legal entities. </w:t>
      </w:r>
    </w:p>
    <w:p w14:paraId="13D25D81" w14:textId="77777777" w:rsidR="00031327" w:rsidRPr="00475842" w:rsidRDefault="00031327" w:rsidP="006C431C">
      <w:pPr>
        <w:autoSpaceDE w:val="0"/>
        <w:autoSpaceDN w:val="0"/>
        <w:adjustRightInd w:val="0"/>
        <w:spacing w:after="0" w:line="240" w:lineRule="auto"/>
        <w:rPr>
          <w:rFonts w:cs="Arial"/>
          <w:szCs w:val="20"/>
          <w:lang w:val="en-GB"/>
        </w:rPr>
      </w:pPr>
    </w:p>
    <w:p w14:paraId="01EF1CBD" w14:textId="0E2128CF" w:rsidR="0076045A" w:rsidRDefault="0076045A" w:rsidP="006C431C">
      <w:pPr>
        <w:autoSpaceDE w:val="0"/>
        <w:autoSpaceDN w:val="0"/>
        <w:adjustRightInd w:val="0"/>
        <w:spacing w:after="0" w:line="240" w:lineRule="auto"/>
        <w:rPr>
          <w:rFonts w:cs="Arial"/>
          <w:szCs w:val="20"/>
          <w:lang w:val="en-GB"/>
        </w:rPr>
      </w:pPr>
      <w:r w:rsidRPr="00475842">
        <w:rPr>
          <w:rFonts w:cs="Arial"/>
          <w:szCs w:val="20"/>
          <w:lang w:val="en-GB"/>
        </w:rPr>
        <w:t>JV Ukrkarpatoil LTC is a limited liability company</w:t>
      </w:r>
      <w:r w:rsidR="00031327" w:rsidRPr="00475842">
        <w:rPr>
          <w:rFonts w:cs="Arial"/>
          <w:szCs w:val="20"/>
          <w:lang w:val="en-GB"/>
        </w:rPr>
        <w:t xml:space="preserve"> (LLC)</w:t>
      </w:r>
      <w:r w:rsidRPr="00475842">
        <w:rPr>
          <w:rFonts w:cs="Arial"/>
          <w:szCs w:val="20"/>
          <w:lang w:val="en-GB"/>
        </w:rPr>
        <w:t xml:space="preserve">, </w:t>
      </w:r>
      <w:r w:rsidR="00031327" w:rsidRPr="00475842">
        <w:rPr>
          <w:rFonts w:cs="Arial"/>
          <w:szCs w:val="20"/>
          <w:lang w:val="en-GB"/>
        </w:rPr>
        <w:t xml:space="preserve">which is </w:t>
      </w:r>
      <w:r w:rsidRPr="00475842">
        <w:rPr>
          <w:rFonts w:cs="Arial"/>
          <w:szCs w:val="20"/>
          <w:lang w:val="en-GB"/>
        </w:rPr>
        <w:t xml:space="preserve">why </w:t>
      </w:r>
      <w:r w:rsidR="00031327" w:rsidRPr="00475842">
        <w:rPr>
          <w:rFonts w:cs="Arial"/>
          <w:szCs w:val="20"/>
          <w:lang w:val="en-GB"/>
        </w:rPr>
        <w:t xml:space="preserve">it is owned by </w:t>
      </w:r>
      <w:r w:rsidRPr="00475842">
        <w:rPr>
          <w:rFonts w:cs="Arial"/>
          <w:szCs w:val="20"/>
          <w:lang w:val="en-GB"/>
        </w:rPr>
        <w:t>Ukrnafta</w:t>
      </w:r>
      <w:r w:rsidR="00031327" w:rsidRPr="00475842">
        <w:rPr>
          <w:rFonts w:cs="Arial"/>
          <w:szCs w:val="20"/>
          <w:lang w:val="en-GB"/>
        </w:rPr>
        <w:t xml:space="preserve"> in its shareholding capacity</w:t>
      </w:r>
      <w:r w:rsidR="00666BAD" w:rsidRPr="00475842">
        <w:rPr>
          <w:rFonts w:cs="Arial"/>
          <w:szCs w:val="20"/>
          <w:lang w:val="en-GB"/>
        </w:rPr>
        <w:t xml:space="preserve">, i.e., </w:t>
      </w:r>
      <w:r w:rsidR="00031327" w:rsidRPr="00475842">
        <w:rPr>
          <w:rFonts w:cs="Arial"/>
          <w:szCs w:val="20"/>
          <w:lang w:val="en-GB"/>
        </w:rPr>
        <w:t>exercising full-paid equity</w:t>
      </w:r>
      <w:r w:rsidRPr="00475842">
        <w:rPr>
          <w:rFonts w:cs="Arial"/>
          <w:szCs w:val="20"/>
          <w:lang w:val="en-GB"/>
        </w:rPr>
        <w:t>.</w:t>
      </w:r>
    </w:p>
    <w:p w14:paraId="29273AAF" w14:textId="610308DD" w:rsidR="00820F8C" w:rsidRDefault="00820F8C" w:rsidP="006C431C">
      <w:pPr>
        <w:autoSpaceDE w:val="0"/>
        <w:autoSpaceDN w:val="0"/>
        <w:adjustRightInd w:val="0"/>
        <w:spacing w:after="0" w:line="240" w:lineRule="auto"/>
        <w:rPr>
          <w:rFonts w:cs="Arial"/>
          <w:szCs w:val="20"/>
          <w:lang w:val="en-GB"/>
        </w:rPr>
      </w:pPr>
    </w:p>
    <w:p w14:paraId="4C77F674" w14:textId="1499DCC9" w:rsidR="00820F8C" w:rsidRDefault="00820F8C" w:rsidP="006C431C">
      <w:pPr>
        <w:autoSpaceDE w:val="0"/>
        <w:autoSpaceDN w:val="0"/>
        <w:adjustRightInd w:val="0"/>
        <w:spacing w:after="0" w:line="240" w:lineRule="auto"/>
        <w:rPr>
          <w:rFonts w:cs="Arial"/>
          <w:szCs w:val="20"/>
          <w:lang w:val="en-GB"/>
        </w:rPr>
      </w:pPr>
    </w:p>
    <w:p w14:paraId="40699966" w14:textId="7618FD87" w:rsidR="00820F8C" w:rsidRPr="00820F8C" w:rsidRDefault="00820F8C" w:rsidP="00A468C3">
      <w:pPr>
        <w:pStyle w:val="ListParagraph"/>
        <w:numPr>
          <w:ilvl w:val="0"/>
          <w:numId w:val="9"/>
        </w:numPr>
        <w:autoSpaceDE w:val="0"/>
        <w:autoSpaceDN w:val="0"/>
        <w:adjustRightInd w:val="0"/>
        <w:spacing w:after="0" w:line="240" w:lineRule="auto"/>
        <w:rPr>
          <w:rFonts w:cs="Arial"/>
          <w:szCs w:val="20"/>
          <w:lang w:val="en-GB"/>
        </w:rPr>
      </w:pPr>
      <w:r w:rsidRPr="00820F8C">
        <w:rPr>
          <w:rFonts w:cs="Arial"/>
          <w:b/>
          <w:bCs/>
          <w:lang w:val="en-GB"/>
        </w:rPr>
        <w:t>Validation Report</w:t>
      </w:r>
      <w:r w:rsidRPr="00820F8C">
        <w:rPr>
          <w:rFonts w:cs="Arial"/>
          <w:lang w:val="en-GB"/>
        </w:rPr>
        <w:t xml:space="preserve"> (page</w:t>
      </w:r>
      <w:r w:rsidRPr="00820F8C">
        <w:rPr>
          <w:rFonts w:cs="Arial"/>
          <w:lang w:val="uk-UA"/>
        </w:rPr>
        <w:t xml:space="preserve"> 14</w:t>
      </w:r>
      <w:r w:rsidRPr="00820F8C">
        <w:rPr>
          <w:rFonts w:cs="Arial"/>
          <w:lang w:val="en-GB"/>
        </w:rPr>
        <w:t xml:space="preserve">): </w:t>
      </w:r>
      <w:r w:rsidRPr="00820F8C">
        <w:rPr>
          <w:rFonts w:cs="Arial"/>
        </w:rPr>
        <w:t>"</w:t>
      </w:r>
      <w:r w:rsidRPr="00820F8C">
        <w:rPr>
          <w:rFonts w:cs="Arial"/>
          <w:i/>
          <w:iCs/>
          <w:szCs w:val="20"/>
          <w:lang w:val="en-GB"/>
        </w:rPr>
        <w:t xml:space="preserve"> The EITI Report claims Ukrtransnafta JSC holds 50% equity in Transmunai LLC, however, the company is not included in any of the company’s financial statements.</w:t>
      </w:r>
      <w:r w:rsidRPr="00820F8C">
        <w:rPr>
          <w:rFonts w:cs="Arial"/>
          <w:szCs w:val="20"/>
          <w:lang w:val="en-GB"/>
        </w:rPr>
        <w:t xml:space="preserve">" </w:t>
      </w:r>
    </w:p>
    <w:p w14:paraId="7AF3AA11" w14:textId="516C875D" w:rsidR="00820F8C" w:rsidRDefault="00610B30" w:rsidP="00820F8C">
      <w:r>
        <w:rPr>
          <w:b/>
          <w:bCs/>
          <w:lang w:val="en-GB"/>
        </w:rPr>
        <w:t>MSG</w:t>
      </w:r>
      <w:r w:rsidR="00820F8C" w:rsidRPr="00820F8C">
        <w:rPr>
          <w:lang w:val="en-GB"/>
        </w:rPr>
        <w:t xml:space="preserve">: </w:t>
      </w:r>
      <w:r w:rsidR="00820F8C" w:rsidRPr="00820F8C">
        <w:t>Information on the participation of Ukrtransnafta</w:t>
      </w:r>
      <w:r w:rsidR="00820F8C" w:rsidRPr="00820F8C">
        <w:rPr>
          <w:lang w:val="uk-UA"/>
        </w:rPr>
        <w:t xml:space="preserve"> </w:t>
      </w:r>
      <w:r w:rsidR="00820F8C" w:rsidRPr="00820F8C">
        <w:t>JSC in the authorized capital of Transmunai</w:t>
      </w:r>
      <w:r w:rsidR="00820F8C" w:rsidRPr="00820F8C">
        <w:rPr>
          <w:lang w:val="uk-UA"/>
        </w:rPr>
        <w:t xml:space="preserve"> </w:t>
      </w:r>
      <w:r w:rsidR="00820F8C" w:rsidRPr="00820F8C">
        <w:t>LLC  was provided</w:t>
      </w:r>
      <w:r w:rsidR="00820F8C" w:rsidRPr="00820F8C">
        <w:rPr>
          <w:lang w:val="uk-UA"/>
        </w:rPr>
        <w:t xml:space="preserve"> </w:t>
      </w:r>
      <w:r w:rsidR="00820F8C">
        <w:t xml:space="preserve">by </w:t>
      </w:r>
      <w:r w:rsidR="00820F8C" w:rsidRPr="00820F8C">
        <w:t>Ukrtransnafta</w:t>
      </w:r>
      <w:r w:rsidR="00820F8C" w:rsidRPr="00820F8C">
        <w:rPr>
          <w:lang w:val="uk-UA"/>
        </w:rPr>
        <w:t xml:space="preserve"> </w:t>
      </w:r>
      <w:r w:rsidR="00820F8C" w:rsidRPr="00820F8C">
        <w:t>JSC in the</w:t>
      </w:r>
      <w:r w:rsidR="00820F8C">
        <w:t>ir</w:t>
      </w:r>
      <w:r w:rsidR="00820F8C" w:rsidRPr="00820F8C">
        <w:t xml:space="preserve"> reporting forms.</w:t>
      </w:r>
    </w:p>
    <w:p w14:paraId="436BC51D" w14:textId="0223C9E8" w:rsidR="00820F8C" w:rsidRDefault="00820F8C" w:rsidP="00820F8C">
      <w:r w:rsidRPr="00820F8C">
        <w:t>The accuracy of the information can be checked in the register on the website of the Ministry of Justice</w:t>
      </w:r>
      <w:r w:rsidRPr="00820F8C">
        <w:rPr>
          <w:lang w:val="uk-UA"/>
        </w:rPr>
        <w:t xml:space="preserve"> (</w:t>
      </w:r>
      <w:hyperlink r:id="rId10" w:history="1">
        <w:r w:rsidRPr="00820F8C">
          <w:rPr>
            <w:rStyle w:val="Hyperlink"/>
            <w:lang w:val="uk-UA"/>
          </w:rPr>
          <w:t>https://usr.minjust.gov.ua/content/free-search</w:t>
        </w:r>
      </w:hyperlink>
      <w:r w:rsidRPr="00820F8C">
        <w:rPr>
          <w:lang w:val="uk-UA"/>
        </w:rPr>
        <w:t>)</w:t>
      </w:r>
      <w:r>
        <w:t>.</w:t>
      </w:r>
    </w:p>
    <w:p w14:paraId="3205806E" w14:textId="77777777" w:rsidR="00820F8C" w:rsidRPr="00820F8C" w:rsidRDefault="00820F8C" w:rsidP="00820F8C">
      <w:pPr>
        <w:pStyle w:val="ListParagraph"/>
        <w:rPr>
          <w:rFonts w:cs="Arial"/>
          <w:szCs w:val="20"/>
        </w:rPr>
      </w:pPr>
    </w:p>
    <w:p w14:paraId="35A4657D" w14:textId="493352DC" w:rsidR="00820F8C" w:rsidRDefault="00820F8C" w:rsidP="00820F8C">
      <w:pPr>
        <w:rPr>
          <w:rFonts w:cs="Arial"/>
          <w:b/>
          <w:bCs/>
          <w:color w:val="00335C"/>
          <w:sz w:val="18"/>
          <w:szCs w:val="18"/>
          <w:shd w:val="clear" w:color="auto" w:fill="FFFFFF"/>
          <w:lang w:val="ru-RU"/>
        </w:rPr>
      </w:pPr>
      <w:r>
        <w:rPr>
          <w:rFonts w:cs="Arial"/>
          <w:b/>
          <w:bCs/>
          <w:noProof/>
          <w:color w:val="00335C"/>
          <w:sz w:val="18"/>
          <w:szCs w:val="18"/>
          <w:shd w:val="clear" w:color="auto" w:fill="FFFFFF"/>
          <w:lang w:val="ru-RU"/>
        </w:rPr>
        <w:drawing>
          <wp:inline distT="0" distB="0" distL="0" distR="0" wp14:anchorId="2C6BF5E5" wp14:editId="20E7FFAC">
            <wp:extent cx="562356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23560" cy="2362200"/>
                    </a:xfrm>
                    <a:prstGeom prst="rect">
                      <a:avLst/>
                    </a:prstGeom>
                    <a:noFill/>
                    <a:ln>
                      <a:noFill/>
                    </a:ln>
                  </pic:spPr>
                </pic:pic>
              </a:graphicData>
            </a:graphic>
          </wp:inline>
        </w:drawing>
      </w:r>
    </w:p>
    <w:p w14:paraId="50FE94A4" w14:textId="77777777" w:rsidR="00970329" w:rsidRDefault="00970329" w:rsidP="00820F8C">
      <w:pPr>
        <w:rPr>
          <w:rFonts w:cs="Arial"/>
          <w:b/>
          <w:bCs/>
          <w:color w:val="00335C"/>
          <w:sz w:val="18"/>
          <w:szCs w:val="18"/>
          <w:shd w:val="clear" w:color="auto" w:fill="FFFFFF"/>
          <w:lang w:val="ru-RU"/>
        </w:rPr>
      </w:pPr>
    </w:p>
    <w:p w14:paraId="369E1A2D" w14:textId="46C153AD" w:rsidR="00820F8C" w:rsidRPr="00820F8C" w:rsidRDefault="00820F8C" w:rsidP="00323788">
      <w:pPr>
        <w:pStyle w:val="ListParagraph"/>
        <w:numPr>
          <w:ilvl w:val="0"/>
          <w:numId w:val="9"/>
        </w:numPr>
        <w:autoSpaceDE w:val="0"/>
        <w:autoSpaceDN w:val="0"/>
        <w:adjustRightInd w:val="0"/>
        <w:spacing w:after="0" w:line="240" w:lineRule="auto"/>
        <w:rPr>
          <w:rFonts w:cs="Arial"/>
          <w:szCs w:val="20"/>
          <w:lang w:val="en-GB"/>
        </w:rPr>
      </w:pPr>
      <w:r w:rsidRPr="00820F8C">
        <w:rPr>
          <w:rFonts w:cs="Arial"/>
          <w:b/>
          <w:bCs/>
          <w:lang w:val="en-GB"/>
        </w:rPr>
        <w:t>Validation Report</w:t>
      </w:r>
      <w:r w:rsidRPr="00820F8C">
        <w:rPr>
          <w:rFonts w:cs="Arial"/>
          <w:lang w:val="en-GB"/>
        </w:rPr>
        <w:t xml:space="preserve"> (page</w:t>
      </w:r>
      <w:r w:rsidRPr="00820F8C">
        <w:rPr>
          <w:rFonts w:cs="Arial"/>
          <w:lang w:val="uk-UA"/>
        </w:rPr>
        <w:t xml:space="preserve"> 14</w:t>
      </w:r>
      <w:r w:rsidRPr="00820F8C">
        <w:rPr>
          <w:rFonts w:cs="Arial"/>
          <w:lang w:val="en-GB"/>
        </w:rPr>
        <w:t xml:space="preserve">): </w:t>
      </w:r>
      <w:r w:rsidRPr="00820F8C">
        <w:rPr>
          <w:rFonts w:cs="Arial"/>
        </w:rPr>
        <w:t>"</w:t>
      </w:r>
      <w:r w:rsidRPr="00820F8C">
        <w:rPr>
          <w:rFonts w:cs="Arial"/>
          <w:i/>
          <w:iCs/>
          <w:szCs w:val="20"/>
          <w:lang w:val="en-GB"/>
        </w:rPr>
        <w:t>However, the main issue remains that no information is available for subsidiaries of subsidiaries</w:t>
      </w:r>
      <w:r w:rsidRPr="00820F8C">
        <w:rPr>
          <w:rFonts w:cs="Arial"/>
          <w:i/>
          <w:iCs/>
          <w:szCs w:val="20"/>
          <w:lang w:val="uk-UA"/>
        </w:rPr>
        <w:t>.</w:t>
      </w:r>
      <w:r w:rsidRPr="00820F8C">
        <w:rPr>
          <w:rFonts w:cs="Arial"/>
          <w:szCs w:val="20"/>
          <w:lang w:val="en-GB"/>
        </w:rPr>
        <w:t xml:space="preserve">" </w:t>
      </w:r>
    </w:p>
    <w:p w14:paraId="6AF96D4E" w14:textId="77777777" w:rsidR="00820F8C" w:rsidRDefault="00820F8C" w:rsidP="00820F8C">
      <w:pPr>
        <w:autoSpaceDE w:val="0"/>
        <w:autoSpaceDN w:val="0"/>
        <w:adjustRightInd w:val="0"/>
        <w:spacing w:after="0" w:line="240" w:lineRule="auto"/>
        <w:rPr>
          <w:b/>
          <w:bCs/>
          <w:lang w:val="en-GB"/>
        </w:rPr>
      </w:pPr>
    </w:p>
    <w:p w14:paraId="6F4862C1" w14:textId="5400EAE1" w:rsidR="00820F8C" w:rsidRPr="00820F8C" w:rsidRDefault="00610B30" w:rsidP="00BF066E">
      <w:pPr>
        <w:autoSpaceDE w:val="0"/>
        <w:autoSpaceDN w:val="0"/>
        <w:adjustRightInd w:val="0"/>
        <w:spacing w:after="60" w:line="240" w:lineRule="auto"/>
        <w:rPr>
          <w:lang w:val="en-GB"/>
        </w:rPr>
      </w:pPr>
      <w:r>
        <w:rPr>
          <w:b/>
          <w:bCs/>
          <w:lang w:val="en-GB"/>
        </w:rPr>
        <w:lastRenderedPageBreak/>
        <w:t>MSG</w:t>
      </w:r>
      <w:r w:rsidR="00820F8C" w:rsidRPr="00820F8C">
        <w:rPr>
          <w:lang w:val="en-GB"/>
        </w:rPr>
        <w:t xml:space="preserve">: </w:t>
      </w:r>
      <w:r w:rsidR="00BF066E" w:rsidRPr="00BF066E">
        <w:rPr>
          <w:i/>
          <w:iCs/>
          <w:lang w:val="en-GB"/>
        </w:rPr>
        <w:t>Table 5.10: The list of companies in which the subsidiaries of Naftogaz of Ukraine NJSC hold 50% and more the shares</w:t>
      </w:r>
      <w:r w:rsidR="00820F8C" w:rsidRPr="00820F8C">
        <w:rPr>
          <w:lang w:val="en-GB"/>
        </w:rPr>
        <w:t xml:space="preserve"> in the</w:t>
      </w:r>
      <w:r w:rsidR="00820F8C">
        <w:rPr>
          <w:lang w:val="uk-UA"/>
        </w:rPr>
        <w:t xml:space="preserve"> </w:t>
      </w:r>
      <w:r w:rsidR="00820F8C">
        <w:t xml:space="preserve">EITI </w:t>
      </w:r>
      <w:r w:rsidR="00820F8C" w:rsidRPr="00820F8C">
        <w:rPr>
          <w:lang w:val="en-GB"/>
        </w:rPr>
        <w:t xml:space="preserve">Report of </w:t>
      </w:r>
      <w:r w:rsidR="00820F8C">
        <w:rPr>
          <w:lang w:val="en-GB"/>
        </w:rPr>
        <w:t xml:space="preserve">Ukraine </w:t>
      </w:r>
      <w:r w:rsidR="00820F8C" w:rsidRPr="00820F8C">
        <w:rPr>
          <w:lang w:val="en-GB"/>
        </w:rPr>
        <w:t xml:space="preserve">for 2017 provides a list of subsidiaries </w:t>
      </w:r>
      <w:r w:rsidR="00BF066E">
        <w:rPr>
          <w:lang w:val="en-GB"/>
        </w:rPr>
        <w:t xml:space="preserve">of subsidiaries </w:t>
      </w:r>
      <w:r w:rsidR="00820F8C" w:rsidRPr="00820F8C">
        <w:rPr>
          <w:lang w:val="en-GB"/>
        </w:rPr>
        <w:t>of Naftogaz of Ukraine</w:t>
      </w:r>
      <w:r w:rsidR="00820F8C">
        <w:rPr>
          <w:lang w:val="en-GB"/>
        </w:rPr>
        <w:t xml:space="preserve"> </w:t>
      </w:r>
      <w:r w:rsidR="00820F8C" w:rsidRPr="00820F8C">
        <w:rPr>
          <w:lang w:val="en-GB"/>
        </w:rPr>
        <w:t>NJSC, which was reported by companies in t</w:t>
      </w:r>
      <w:r w:rsidR="00BF066E">
        <w:rPr>
          <w:lang w:val="en-GB"/>
        </w:rPr>
        <w:t>he</w:t>
      </w:r>
      <w:r w:rsidR="00820F8C" w:rsidRPr="00820F8C">
        <w:rPr>
          <w:lang w:val="en-GB"/>
        </w:rPr>
        <w:t xml:space="preserve"> reporting</w:t>
      </w:r>
      <w:r w:rsidR="00BF066E">
        <w:rPr>
          <w:lang w:val="en-GB"/>
        </w:rPr>
        <w:t xml:space="preserve"> </w:t>
      </w:r>
      <w:r w:rsidR="00BF066E" w:rsidRPr="00820F8C">
        <w:rPr>
          <w:lang w:val="en-GB"/>
        </w:rPr>
        <w:t>forms</w:t>
      </w:r>
      <w:r w:rsidR="00820F8C" w:rsidRPr="00820F8C">
        <w:rPr>
          <w:lang w:val="en-GB"/>
        </w:rPr>
        <w:t>.</w:t>
      </w:r>
    </w:p>
    <w:p w14:paraId="4701814C" w14:textId="4546EEEA" w:rsidR="00820F8C" w:rsidRPr="00820F8C" w:rsidRDefault="00820F8C" w:rsidP="00BF066E">
      <w:pPr>
        <w:autoSpaceDE w:val="0"/>
        <w:autoSpaceDN w:val="0"/>
        <w:adjustRightInd w:val="0"/>
        <w:spacing w:after="60" w:line="240" w:lineRule="auto"/>
        <w:rPr>
          <w:lang w:val="en-GB"/>
        </w:rPr>
      </w:pPr>
      <w:r w:rsidRPr="00820F8C">
        <w:rPr>
          <w:lang w:val="en-GB"/>
        </w:rPr>
        <w:t>The question remains what is considered "subsidiaries of subsidiaries"</w:t>
      </w:r>
      <w:r w:rsidR="00BF066E">
        <w:rPr>
          <w:lang w:val="en-GB"/>
        </w:rPr>
        <w:t xml:space="preserve"> in the comment in validation report, whether it is a second, third or fourth circle of ownership</w:t>
      </w:r>
      <w:r w:rsidRPr="00820F8C">
        <w:rPr>
          <w:lang w:val="en-GB"/>
        </w:rPr>
        <w:t>. The state owns 100% of the authorized capital of Naftogaz of Ukraine</w:t>
      </w:r>
      <w:r w:rsidR="00BF066E">
        <w:rPr>
          <w:lang w:val="en-GB"/>
        </w:rPr>
        <w:t xml:space="preserve"> </w:t>
      </w:r>
      <w:r w:rsidR="00BF066E" w:rsidRPr="00820F8C">
        <w:rPr>
          <w:lang w:val="en-GB"/>
        </w:rPr>
        <w:t>NJSC</w:t>
      </w:r>
      <w:r w:rsidRPr="00820F8C">
        <w:rPr>
          <w:lang w:val="en-GB"/>
        </w:rPr>
        <w:t xml:space="preserve"> (first </w:t>
      </w:r>
      <w:r w:rsidR="00BF066E">
        <w:rPr>
          <w:lang w:val="en-GB"/>
        </w:rPr>
        <w:t>circle</w:t>
      </w:r>
      <w:r w:rsidRPr="00820F8C">
        <w:rPr>
          <w:lang w:val="en-GB"/>
        </w:rPr>
        <w:t>), Naftogaz of Ukraine</w:t>
      </w:r>
      <w:r w:rsidR="00BF066E">
        <w:rPr>
          <w:lang w:val="en-GB"/>
        </w:rPr>
        <w:t xml:space="preserve"> </w:t>
      </w:r>
      <w:r w:rsidR="00BF066E" w:rsidRPr="00820F8C">
        <w:rPr>
          <w:lang w:val="en-GB"/>
        </w:rPr>
        <w:t>NJSC</w:t>
      </w:r>
      <w:r w:rsidRPr="00820F8C">
        <w:rPr>
          <w:lang w:val="en-GB"/>
        </w:rPr>
        <w:t xml:space="preserve"> participates in other enterprises (second </w:t>
      </w:r>
      <w:r w:rsidR="00BF066E">
        <w:rPr>
          <w:lang w:val="en-GB"/>
        </w:rPr>
        <w:t>circle</w:t>
      </w:r>
      <w:r w:rsidRPr="00820F8C">
        <w:rPr>
          <w:lang w:val="en-GB"/>
        </w:rPr>
        <w:t xml:space="preserve">), which in turn participate in other enterprises (third </w:t>
      </w:r>
      <w:r w:rsidR="00BF066E">
        <w:rPr>
          <w:lang w:val="en-GB"/>
        </w:rPr>
        <w:t>circle</w:t>
      </w:r>
      <w:r w:rsidRPr="00820F8C">
        <w:rPr>
          <w:lang w:val="en-GB"/>
        </w:rPr>
        <w:t xml:space="preserve">). Table 5-10 contains information about the third circle of ownership. The source of information was the responses of companies in reporting forms and </w:t>
      </w:r>
      <w:r w:rsidR="00BF066E">
        <w:rPr>
          <w:lang w:val="en-GB"/>
        </w:rPr>
        <w:t xml:space="preserve">included </w:t>
      </w:r>
      <w:r w:rsidRPr="00820F8C">
        <w:rPr>
          <w:lang w:val="en-GB"/>
        </w:rPr>
        <w:t xml:space="preserve">majority </w:t>
      </w:r>
      <w:r w:rsidR="00BF066E">
        <w:rPr>
          <w:lang w:val="en-GB"/>
        </w:rPr>
        <w:t>ownership</w:t>
      </w:r>
      <w:r w:rsidRPr="00820F8C">
        <w:rPr>
          <w:lang w:val="en-GB"/>
        </w:rPr>
        <w:t>.</w:t>
      </w:r>
    </w:p>
    <w:p w14:paraId="79172892" w14:textId="096DDC91" w:rsidR="00820F8C" w:rsidRDefault="00BF066E" w:rsidP="006C431C">
      <w:pPr>
        <w:autoSpaceDE w:val="0"/>
        <w:autoSpaceDN w:val="0"/>
        <w:adjustRightInd w:val="0"/>
        <w:spacing w:after="0" w:line="240" w:lineRule="auto"/>
        <w:rPr>
          <w:lang w:val="en-GB"/>
        </w:rPr>
      </w:pPr>
      <w:r>
        <w:rPr>
          <w:lang w:val="en-GB"/>
        </w:rPr>
        <w:t>F</w:t>
      </w:r>
      <w:r w:rsidR="00820F8C" w:rsidRPr="00820F8C">
        <w:rPr>
          <w:lang w:val="en-GB"/>
        </w:rPr>
        <w:t xml:space="preserve">urther </w:t>
      </w:r>
      <w:r>
        <w:rPr>
          <w:lang w:val="en-GB"/>
        </w:rPr>
        <w:t>EITI R</w:t>
      </w:r>
      <w:r w:rsidR="00820F8C" w:rsidRPr="00820F8C">
        <w:rPr>
          <w:lang w:val="en-GB"/>
        </w:rPr>
        <w:t>eports will also consider information from open sources</w:t>
      </w:r>
      <w:r>
        <w:rPr>
          <w:lang w:val="en-GB"/>
        </w:rPr>
        <w:t xml:space="preserve"> including</w:t>
      </w:r>
      <w:r w:rsidR="00820F8C" w:rsidRPr="00820F8C">
        <w:rPr>
          <w:lang w:val="en-GB"/>
        </w:rPr>
        <w:t xml:space="preserve"> the majority and minority </w:t>
      </w:r>
      <w:r>
        <w:rPr>
          <w:lang w:val="en-GB"/>
        </w:rPr>
        <w:t>ownership</w:t>
      </w:r>
      <w:r w:rsidR="00820F8C" w:rsidRPr="00820F8C">
        <w:rPr>
          <w:lang w:val="en-GB"/>
        </w:rPr>
        <w:t xml:space="preserve">, to ensure the completeness of the information. </w:t>
      </w:r>
      <w:r>
        <w:rPr>
          <w:lang w:val="en-GB"/>
        </w:rPr>
        <w:t xml:space="preserve">Now it </w:t>
      </w:r>
      <w:r w:rsidR="00820F8C" w:rsidRPr="00820F8C">
        <w:rPr>
          <w:lang w:val="en-GB"/>
        </w:rPr>
        <w:t xml:space="preserve">is </w:t>
      </w:r>
      <w:r>
        <w:rPr>
          <w:lang w:val="en-GB"/>
        </w:rPr>
        <w:t xml:space="preserve">getting </w:t>
      </w:r>
      <w:r w:rsidR="00820F8C" w:rsidRPr="00820F8C">
        <w:rPr>
          <w:lang w:val="en-GB"/>
        </w:rPr>
        <w:t xml:space="preserve">clear from open sources that the subsidiaries of </w:t>
      </w:r>
      <w:r w:rsidR="00970329" w:rsidRPr="00820F8C">
        <w:rPr>
          <w:lang w:val="en-GB"/>
        </w:rPr>
        <w:t xml:space="preserve">subsidiaries </w:t>
      </w:r>
      <w:r w:rsidR="00970329">
        <w:rPr>
          <w:lang w:val="en-GB"/>
        </w:rPr>
        <w:t xml:space="preserve">of </w:t>
      </w:r>
      <w:r w:rsidR="00970329" w:rsidRPr="00820F8C">
        <w:rPr>
          <w:lang w:val="en-GB"/>
        </w:rPr>
        <w:t>Naftogaz of Ukraine</w:t>
      </w:r>
      <w:r w:rsidR="00970329">
        <w:rPr>
          <w:lang w:val="en-GB"/>
        </w:rPr>
        <w:t xml:space="preserve"> </w:t>
      </w:r>
      <w:r w:rsidR="00970329" w:rsidRPr="00820F8C">
        <w:rPr>
          <w:lang w:val="en-GB"/>
        </w:rPr>
        <w:t xml:space="preserve">NJSC </w:t>
      </w:r>
      <w:r w:rsidR="00820F8C" w:rsidRPr="00820F8C">
        <w:rPr>
          <w:lang w:val="en-GB"/>
        </w:rPr>
        <w:t xml:space="preserve">do not participate in other enterprises (fourth </w:t>
      </w:r>
      <w:r w:rsidR="00970329">
        <w:rPr>
          <w:lang w:val="en-GB"/>
        </w:rPr>
        <w:t>circle</w:t>
      </w:r>
      <w:r w:rsidR="00820F8C" w:rsidRPr="00820F8C">
        <w:rPr>
          <w:lang w:val="en-GB"/>
        </w:rPr>
        <w:t>).</w:t>
      </w:r>
    </w:p>
    <w:p w14:paraId="56B36CA8" w14:textId="3C5C5BE6" w:rsidR="000F4A2E" w:rsidRDefault="000F4A2E" w:rsidP="006C431C">
      <w:pPr>
        <w:autoSpaceDE w:val="0"/>
        <w:autoSpaceDN w:val="0"/>
        <w:adjustRightInd w:val="0"/>
        <w:spacing w:after="0" w:line="240" w:lineRule="auto"/>
        <w:rPr>
          <w:lang w:val="en-GB"/>
        </w:rPr>
      </w:pPr>
    </w:p>
    <w:p w14:paraId="678497C5" w14:textId="77777777" w:rsidR="000F4A2E" w:rsidRPr="000F4A2E" w:rsidRDefault="000F4A2E" w:rsidP="000F4A2E">
      <w:pPr>
        <w:spacing w:after="0" w:line="360" w:lineRule="auto"/>
        <w:ind w:left="-567"/>
        <w:jc w:val="both"/>
        <w:rPr>
          <w:rFonts w:eastAsia="Times New Roman" w:cs="Arial"/>
          <w:color w:val="000000"/>
          <w:szCs w:val="20"/>
          <w:lang w:val="uk-UA"/>
        </w:rPr>
      </w:pPr>
      <w:r w:rsidRPr="000F4A2E">
        <w:rPr>
          <w:rFonts w:eastAsia="Times New Roman" w:cs="Arial"/>
          <w:color w:val="000000"/>
          <w:szCs w:val="20"/>
          <w:lang w:val="uk-UA"/>
        </w:rPr>
        <w:t xml:space="preserve"> Коментар щодо вимоги №2.5. </w:t>
      </w:r>
    </w:p>
    <w:p w14:paraId="64BF47D1" w14:textId="77777777" w:rsidR="000F4A2E" w:rsidRPr="000F4A2E" w:rsidRDefault="000F4A2E" w:rsidP="000F4A2E">
      <w:pPr>
        <w:pStyle w:val="ListParagraph"/>
        <w:numPr>
          <w:ilvl w:val="0"/>
          <w:numId w:val="11"/>
        </w:numPr>
        <w:spacing w:after="0" w:line="360" w:lineRule="auto"/>
        <w:jc w:val="both"/>
        <w:rPr>
          <w:rFonts w:eastAsia="Times New Roman" w:cs="Arial"/>
          <w:color w:val="000000"/>
          <w:szCs w:val="20"/>
          <w:lang w:val="uk-UA"/>
        </w:rPr>
      </w:pPr>
      <w:r w:rsidRPr="000F4A2E">
        <w:rPr>
          <w:rFonts w:eastAsia="Times New Roman" w:cs="Arial"/>
          <w:color w:val="000000"/>
          <w:szCs w:val="20"/>
          <w:lang w:val="uk-UA"/>
        </w:rPr>
        <w:t>Я пропоную звернути увагу Секретаріату на те, що оцінка у порівнянні із попередньою валідацією, незрозуміло чому була змінена на гіршу. Якщо раніше Україна за цим пунктом оцінювалася блакитним кольором, тепер, колір змінився на темно-зелений. При цьому, Секретаріат зазначає, що оцінка не зазнала змін. Це неправильно. Більш того, Україна, на моє глибоке переконання</w:t>
      </w:r>
      <w:r w:rsidRPr="000F4A2E">
        <w:rPr>
          <w:rFonts w:eastAsia="Times New Roman" w:cs="Arial"/>
          <w:color w:val="000000"/>
          <w:szCs w:val="20"/>
          <w:lang w:val="ru-RU"/>
        </w:rPr>
        <w:t>,</w:t>
      </w:r>
      <w:r w:rsidRPr="000F4A2E">
        <w:rPr>
          <w:rFonts w:eastAsia="Times New Roman" w:cs="Arial"/>
          <w:color w:val="000000"/>
          <w:szCs w:val="20"/>
          <w:lang w:val="uk-UA"/>
        </w:rPr>
        <w:t xml:space="preserve"> продовжує залишатися найбільш просунутою серед країн ЕІТІ щодо ВО. Тому, пропоную наполягати на залишенні попередньої оцінки.</w:t>
      </w:r>
    </w:p>
    <w:p w14:paraId="1933024E" w14:textId="77777777" w:rsidR="000F4A2E" w:rsidRPr="000F4A2E" w:rsidRDefault="000F4A2E" w:rsidP="000F4A2E">
      <w:pPr>
        <w:pStyle w:val="ListParagraph"/>
        <w:numPr>
          <w:ilvl w:val="0"/>
          <w:numId w:val="11"/>
        </w:numPr>
        <w:spacing w:after="0" w:line="360" w:lineRule="auto"/>
        <w:jc w:val="both"/>
        <w:rPr>
          <w:rFonts w:eastAsia="Times New Roman" w:cs="Arial"/>
          <w:color w:val="000000"/>
          <w:szCs w:val="20"/>
          <w:lang w:val="uk-UA"/>
        </w:rPr>
      </w:pPr>
      <w:r w:rsidRPr="000F4A2E">
        <w:rPr>
          <w:rFonts w:eastAsia="Times New Roman" w:cs="Arial"/>
          <w:color w:val="000000"/>
          <w:szCs w:val="20"/>
          <w:lang w:val="uk-UA"/>
        </w:rPr>
        <w:t>У документі я жодним чином не побачив посилання на те, що наша країна працює над питаннями верифікації бенефіціарних власників. Фактично, ми єдині, хто системно працює із цим питанням. Ми, навіть, маємо відповідні зобов'язання у плані дій по OGP. Добре було б про це зазначили у валідаційному Звіті.</w:t>
      </w:r>
    </w:p>
    <w:p w14:paraId="54EC3AF5" w14:textId="77777777" w:rsidR="000F4A2E" w:rsidRPr="000F4A2E" w:rsidRDefault="000F4A2E" w:rsidP="000F4A2E">
      <w:pPr>
        <w:pStyle w:val="ListParagraph"/>
        <w:numPr>
          <w:ilvl w:val="0"/>
          <w:numId w:val="11"/>
        </w:numPr>
        <w:spacing w:after="0" w:line="360" w:lineRule="auto"/>
        <w:jc w:val="both"/>
        <w:rPr>
          <w:rFonts w:eastAsia="Times New Roman" w:cs="Arial"/>
          <w:color w:val="000000"/>
          <w:szCs w:val="20"/>
          <w:lang w:val="uk-UA"/>
        </w:rPr>
      </w:pPr>
      <w:r w:rsidRPr="000F4A2E">
        <w:rPr>
          <w:rFonts w:eastAsia="Times New Roman" w:cs="Arial"/>
          <w:color w:val="000000"/>
          <w:szCs w:val="20"/>
          <w:lang w:val="uk-UA"/>
        </w:rPr>
        <w:t>Для мене дуже дивним виглядають коментарі про те, що у нас немає системи звірки інформації по різних реєстрах щодо бенефіціарних власниках. Уповноважені державою особи (НАЗК, суб'єкти первинного фінансового моніторингу, тощо) мають відповідні механізми перевірки інформації із різних реєстрів щодо ВО. Зокрема, ними співставляється інформація із єдиного державного реєстру юридичних осіб та інформація із реєстру електронних декларацій, які заповнюють політично значущі особи, уповноважені на виконання функцій держави. Більш того, ці реєстри є відкритими та безкоштовними для будь-кого. Нарешті, існують, навіть, комерційні платформи, які підтягують та співставляють інформацію із різних реєстрів (біля 150 українських та міжнародних реєстрів). Яскравим прикладом тут є Youcontrol.</w:t>
      </w:r>
    </w:p>
    <w:p w14:paraId="059EB3EE" w14:textId="77777777" w:rsidR="000F4A2E" w:rsidRPr="000F4A2E" w:rsidRDefault="000F4A2E" w:rsidP="000F4A2E">
      <w:pPr>
        <w:shd w:val="clear" w:color="auto" w:fill="FFFFFF"/>
        <w:spacing w:after="0" w:line="360" w:lineRule="auto"/>
        <w:ind w:left="-567"/>
        <w:jc w:val="both"/>
        <w:rPr>
          <w:rFonts w:eastAsia="Times New Roman" w:cs="Arial"/>
          <w:color w:val="000000"/>
          <w:szCs w:val="20"/>
          <w:lang w:val="uk-UA"/>
        </w:rPr>
      </w:pPr>
      <w:r w:rsidRPr="000F4A2E">
        <w:rPr>
          <w:rFonts w:eastAsia="Times New Roman" w:cs="Arial"/>
          <w:color w:val="000000"/>
          <w:szCs w:val="20"/>
          <w:lang w:val="uk-UA"/>
        </w:rPr>
        <w:t xml:space="preserve">Також у валідаційному звіт не було посилання на нашу кращу практику щодо моніторингу та оцінки. Такі речі слід обов'язково відображати у валідаційних звітах. Тим більше, що Правління та Секретаріат зараз активно просувають цю тему. </w:t>
      </w:r>
    </w:p>
    <w:p w14:paraId="34696CA8" w14:textId="77777777" w:rsidR="000F4A2E" w:rsidRPr="000F4A2E" w:rsidRDefault="000F4A2E" w:rsidP="000F4A2E">
      <w:pPr>
        <w:rPr>
          <w:rFonts w:eastAsiaTheme="minorHAnsi" w:cs="Arial"/>
          <w:szCs w:val="20"/>
          <w:lang w:val="uk-UA" w:eastAsia="en-US"/>
        </w:rPr>
      </w:pPr>
    </w:p>
    <w:p w14:paraId="4B7A2F8A" w14:textId="77777777" w:rsidR="000F4A2E" w:rsidRPr="000F4A2E" w:rsidRDefault="000F4A2E" w:rsidP="000F4A2E">
      <w:pPr>
        <w:ind w:left="-567"/>
        <w:rPr>
          <w:rFonts w:cs="Arial"/>
          <w:szCs w:val="20"/>
          <w:lang w:val="uk-UA"/>
        </w:rPr>
      </w:pPr>
      <w:r w:rsidRPr="000F4A2E">
        <w:rPr>
          <w:rFonts w:cs="Arial"/>
          <w:szCs w:val="20"/>
          <w:lang w:val="uk-UA"/>
        </w:rPr>
        <w:t>Технічні коментарі:</w:t>
      </w:r>
    </w:p>
    <w:p w14:paraId="297E980D" w14:textId="77777777" w:rsidR="000F4A2E" w:rsidRPr="000F4A2E" w:rsidRDefault="000F4A2E" w:rsidP="000F4A2E">
      <w:pPr>
        <w:ind w:left="-567"/>
        <w:rPr>
          <w:rFonts w:cs="Arial"/>
          <w:szCs w:val="20"/>
          <w:lang w:val="uk-UA"/>
        </w:rPr>
      </w:pPr>
      <w:r w:rsidRPr="000F4A2E">
        <w:rPr>
          <w:rFonts w:cs="Arial"/>
          <w:szCs w:val="20"/>
          <w:lang w:val="uk-UA"/>
        </w:rPr>
        <w:t>Ст. 10 – Асоціація виробників газу в Україні – перейменуйте на Асоціація газовидобувних компаній України і далі по тексту також</w:t>
      </w:r>
    </w:p>
    <w:p w14:paraId="789BF92B" w14:textId="77777777" w:rsidR="000F4A2E" w:rsidRPr="000F4A2E" w:rsidRDefault="000F4A2E" w:rsidP="000F4A2E">
      <w:pPr>
        <w:ind w:left="-567"/>
        <w:rPr>
          <w:rFonts w:cs="Arial"/>
          <w:szCs w:val="20"/>
          <w:lang w:val="uk-UA"/>
        </w:rPr>
      </w:pPr>
      <w:r w:rsidRPr="000F4A2E">
        <w:rPr>
          <w:rFonts w:cs="Arial"/>
          <w:szCs w:val="20"/>
          <w:lang w:val="uk-UA"/>
        </w:rPr>
        <w:t xml:space="preserve">Ст 29 – по вимозі 6.3 </w:t>
      </w:r>
      <w:r w:rsidRPr="000F4A2E">
        <w:rPr>
          <w:rFonts w:cs="Arial"/>
          <w:szCs w:val="20"/>
          <w:lang w:val="ru-RU"/>
        </w:rPr>
        <w:t xml:space="preserve">у висновку – </w:t>
      </w:r>
      <w:r w:rsidRPr="000F4A2E">
        <w:rPr>
          <w:rFonts w:cs="Arial"/>
          <w:szCs w:val="20"/>
          <w:lang w:val="uk-UA"/>
        </w:rPr>
        <w:t>Міжнародний секретаріат вважає ступінь розкриття не достатнім</w:t>
      </w:r>
      <w:r w:rsidRPr="000F4A2E">
        <w:rPr>
          <w:rFonts w:cs="Arial"/>
          <w:szCs w:val="20"/>
          <w:lang w:val="ru-RU"/>
        </w:rPr>
        <w:t xml:space="preserve">, </w:t>
      </w:r>
      <w:r w:rsidRPr="000F4A2E">
        <w:rPr>
          <w:rFonts w:cs="Arial"/>
          <w:szCs w:val="20"/>
          <w:lang w:val="uk-UA"/>
        </w:rPr>
        <w:t>а далі йде висновок</w:t>
      </w:r>
      <w:r w:rsidRPr="000F4A2E">
        <w:rPr>
          <w:rFonts w:cs="Arial"/>
          <w:szCs w:val="20"/>
          <w:lang w:val="ru-RU"/>
        </w:rPr>
        <w:t xml:space="preserve">, </w:t>
      </w:r>
      <w:r w:rsidRPr="000F4A2E">
        <w:rPr>
          <w:rFonts w:cs="Arial"/>
          <w:szCs w:val="20"/>
          <w:lang w:val="uk-UA"/>
        </w:rPr>
        <w:t>що Україна виконала вимогу</w:t>
      </w:r>
    </w:p>
    <w:p w14:paraId="3E3E4B7D" w14:textId="77777777" w:rsidR="000F4A2E" w:rsidRPr="000F4A2E" w:rsidRDefault="000F4A2E" w:rsidP="006C431C">
      <w:pPr>
        <w:autoSpaceDE w:val="0"/>
        <w:autoSpaceDN w:val="0"/>
        <w:adjustRightInd w:val="0"/>
        <w:spacing w:after="0" w:line="240" w:lineRule="auto"/>
        <w:rPr>
          <w:lang w:val="uk-UA"/>
        </w:rPr>
      </w:pPr>
    </w:p>
    <w:p w14:paraId="07166A0D" w14:textId="77777777" w:rsidR="0076045A" w:rsidRPr="000F4A2E" w:rsidRDefault="0076045A" w:rsidP="00FE67CC">
      <w:pPr>
        <w:spacing w:after="0"/>
        <w:rPr>
          <w:rFonts w:cs="Arial"/>
          <w:szCs w:val="20"/>
          <w:lang w:val="ru-RU"/>
        </w:rPr>
      </w:pPr>
    </w:p>
    <w:p w14:paraId="5B4534B8" w14:textId="77777777" w:rsidR="0076045A" w:rsidRPr="000F4A2E" w:rsidRDefault="0076045A" w:rsidP="00FE67CC">
      <w:pPr>
        <w:spacing w:after="0"/>
        <w:rPr>
          <w:rFonts w:cs="Arial"/>
          <w:szCs w:val="20"/>
          <w:lang w:val="ru-RU"/>
        </w:rPr>
      </w:pPr>
    </w:p>
    <w:p w14:paraId="0E434AD7" w14:textId="2E6246ED" w:rsidR="00FE67CC" w:rsidRPr="000F4A2E" w:rsidRDefault="00FE67CC" w:rsidP="006F6DAA">
      <w:pPr>
        <w:rPr>
          <w:rFonts w:cs="Arial"/>
          <w:szCs w:val="20"/>
          <w:lang w:val="ru-RU"/>
        </w:rPr>
      </w:pPr>
    </w:p>
    <w:p w14:paraId="469AE1B2" w14:textId="77777777" w:rsidR="00FE67CC" w:rsidRPr="000F4A2E" w:rsidRDefault="00FE67CC" w:rsidP="00FE67CC">
      <w:pPr>
        <w:rPr>
          <w:rFonts w:cs="Arial"/>
          <w:b/>
          <w:bCs/>
          <w:szCs w:val="20"/>
          <w:lang w:val="ru-RU"/>
        </w:rPr>
      </w:pPr>
    </w:p>
    <w:p w14:paraId="3ED13E17" w14:textId="77777777" w:rsidR="00FE67CC" w:rsidRPr="000F4A2E" w:rsidRDefault="00FE67CC">
      <w:pPr>
        <w:rPr>
          <w:rFonts w:cs="Arial"/>
          <w:szCs w:val="20"/>
          <w:lang w:val="ru-RU"/>
        </w:rPr>
      </w:pPr>
    </w:p>
    <w:sectPr w:rsidR="00FE67CC" w:rsidRPr="000F4A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BC4B" w14:textId="77777777" w:rsidR="00076B82" w:rsidRDefault="00076B82" w:rsidP="00945C8B">
      <w:pPr>
        <w:spacing w:after="0" w:line="240" w:lineRule="auto"/>
      </w:pPr>
      <w:r>
        <w:separator/>
      </w:r>
    </w:p>
  </w:endnote>
  <w:endnote w:type="continuationSeparator" w:id="0">
    <w:p w14:paraId="47B84559" w14:textId="77777777" w:rsidR="00076B82" w:rsidRDefault="00076B82" w:rsidP="00945C8B">
      <w:pPr>
        <w:spacing w:after="0" w:line="240" w:lineRule="auto"/>
      </w:pPr>
      <w:r>
        <w:continuationSeparator/>
      </w:r>
    </w:p>
  </w:endnote>
  <w:endnote w:type="continuationNotice" w:id="1">
    <w:p w14:paraId="2B75D0BF" w14:textId="77777777" w:rsidR="00076B82" w:rsidRDefault="00076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D78B" w14:textId="77777777" w:rsidR="00076B82" w:rsidRDefault="00076B82" w:rsidP="00945C8B">
      <w:pPr>
        <w:spacing w:after="0" w:line="240" w:lineRule="auto"/>
      </w:pPr>
      <w:r>
        <w:separator/>
      </w:r>
    </w:p>
  </w:footnote>
  <w:footnote w:type="continuationSeparator" w:id="0">
    <w:p w14:paraId="4BDD4E17" w14:textId="77777777" w:rsidR="00076B82" w:rsidRDefault="00076B82" w:rsidP="00945C8B">
      <w:pPr>
        <w:spacing w:after="0" w:line="240" w:lineRule="auto"/>
      </w:pPr>
      <w:r>
        <w:continuationSeparator/>
      </w:r>
    </w:p>
  </w:footnote>
  <w:footnote w:type="continuationNotice" w:id="1">
    <w:p w14:paraId="7F2A7AA5" w14:textId="77777777" w:rsidR="00076B82" w:rsidRDefault="00076B82">
      <w:pPr>
        <w:spacing w:after="0" w:line="240" w:lineRule="auto"/>
      </w:pPr>
    </w:p>
  </w:footnote>
  <w:footnote w:id="2">
    <w:p w14:paraId="363E6ED3" w14:textId="616279BD" w:rsidR="006A25D1" w:rsidRPr="00796781" w:rsidRDefault="006A25D1" w:rsidP="006A25D1">
      <w:pPr>
        <w:pStyle w:val="FootnoteText"/>
        <w:rPr>
          <w:rFonts w:cs="Times New Roman"/>
          <w:sz w:val="16"/>
          <w:szCs w:val="16"/>
        </w:rPr>
      </w:pPr>
      <w:r w:rsidRPr="002E1D13">
        <w:rPr>
          <w:rStyle w:val="FootnoteReference"/>
          <w:rFonts w:cs="Times New Roman"/>
          <w:sz w:val="16"/>
          <w:szCs w:val="16"/>
        </w:rPr>
        <w:footnoteRef/>
      </w:r>
      <w:r w:rsidRPr="00796781">
        <w:rPr>
          <w:rFonts w:cs="Times New Roman"/>
          <w:sz w:val="16"/>
          <w:szCs w:val="16"/>
        </w:rPr>
        <w:t xml:space="preserve"> </w:t>
      </w:r>
      <w:r w:rsidR="008A49EB">
        <w:rPr>
          <w:rFonts w:cs="Times New Roman"/>
          <w:sz w:val="16"/>
          <w:szCs w:val="16"/>
        </w:rPr>
        <w:t>A</w:t>
      </w:r>
      <w:r w:rsidR="008A49EB" w:rsidRPr="00FE0838">
        <w:rPr>
          <w:rFonts w:cs="Times New Roman"/>
          <w:sz w:val="16"/>
          <w:szCs w:val="16"/>
        </w:rPr>
        <w:t xml:space="preserve">rt. </w:t>
      </w:r>
      <w:r w:rsidRPr="00796781">
        <w:rPr>
          <w:rFonts w:cs="Times New Roman"/>
          <w:sz w:val="16"/>
          <w:szCs w:val="16"/>
        </w:rPr>
        <w:t xml:space="preserve">10-13 </w:t>
      </w:r>
      <w:r w:rsidR="008A49EB" w:rsidRPr="00FE0838">
        <w:rPr>
          <w:rFonts w:cs="Times New Roman"/>
          <w:sz w:val="16"/>
          <w:szCs w:val="16"/>
        </w:rPr>
        <w:t xml:space="preserve">of the Decision of </w:t>
      </w:r>
      <w:r w:rsidR="00FD4B36" w:rsidRPr="00FE0838">
        <w:rPr>
          <w:rFonts w:cs="Times New Roman"/>
          <w:sz w:val="16"/>
          <w:szCs w:val="16"/>
        </w:rPr>
        <w:t>the Ministry of Economic Development and Trade of Ukraine</w:t>
      </w:r>
      <w:r w:rsidR="00F372ED" w:rsidRPr="00FE0838">
        <w:rPr>
          <w:rFonts w:cs="Times New Roman"/>
          <w:sz w:val="16"/>
          <w:szCs w:val="16"/>
        </w:rPr>
        <w:t xml:space="preserve"> </w:t>
      </w:r>
      <w:r w:rsidR="008600E9" w:rsidRPr="00FE0838">
        <w:rPr>
          <w:rFonts w:cs="Times New Roman"/>
          <w:sz w:val="16"/>
          <w:szCs w:val="16"/>
        </w:rPr>
        <w:t xml:space="preserve">“On approval of the Order </w:t>
      </w:r>
      <w:r w:rsidR="00AA19C0">
        <w:rPr>
          <w:rFonts w:cs="Times New Roman"/>
          <w:sz w:val="16"/>
          <w:szCs w:val="16"/>
        </w:rPr>
        <w:t xml:space="preserve">on </w:t>
      </w:r>
      <w:r w:rsidR="008600E9" w:rsidRPr="00FE0838">
        <w:rPr>
          <w:rFonts w:cs="Times New Roman"/>
          <w:sz w:val="16"/>
          <w:szCs w:val="16"/>
        </w:rPr>
        <w:t xml:space="preserve">drawing up, </w:t>
      </w:r>
      <w:r w:rsidR="00871613">
        <w:rPr>
          <w:rFonts w:cs="Times New Roman"/>
          <w:sz w:val="16"/>
          <w:szCs w:val="16"/>
        </w:rPr>
        <w:t xml:space="preserve">approving </w:t>
      </w:r>
      <w:r w:rsidR="008600E9" w:rsidRPr="00FE0838">
        <w:rPr>
          <w:rFonts w:cs="Times New Roman"/>
          <w:sz w:val="16"/>
          <w:szCs w:val="16"/>
        </w:rPr>
        <w:t xml:space="preserve">and </w:t>
      </w:r>
      <w:r w:rsidR="00871613">
        <w:rPr>
          <w:rFonts w:cs="Times New Roman"/>
          <w:sz w:val="16"/>
          <w:szCs w:val="16"/>
        </w:rPr>
        <w:t xml:space="preserve">controlling </w:t>
      </w:r>
      <w:r w:rsidR="008600E9" w:rsidRPr="00FE0838">
        <w:rPr>
          <w:rFonts w:cs="Times New Roman"/>
          <w:sz w:val="16"/>
          <w:szCs w:val="16"/>
        </w:rPr>
        <w:t xml:space="preserve">execution of the financial plan of </w:t>
      </w:r>
      <w:r w:rsidR="000C583C">
        <w:rPr>
          <w:rFonts w:cs="Times New Roman"/>
          <w:sz w:val="16"/>
          <w:szCs w:val="16"/>
        </w:rPr>
        <w:t>public sector entities</w:t>
      </w:r>
      <w:r w:rsidR="00C557CA">
        <w:rPr>
          <w:rFonts w:cs="Times New Roman"/>
          <w:sz w:val="16"/>
          <w:szCs w:val="16"/>
        </w:rPr>
        <w:t>"</w:t>
      </w:r>
      <w:r w:rsidR="008600E9" w:rsidRPr="00FE0838">
        <w:rPr>
          <w:rFonts w:cs="Times New Roman"/>
          <w:sz w:val="16"/>
          <w:szCs w:val="16"/>
        </w:rPr>
        <w:t xml:space="preserve"> </w:t>
      </w:r>
      <w:r w:rsidR="00F372ED" w:rsidRPr="00FE0838">
        <w:rPr>
          <w:rFonts w:cs="Times New Roman"/>
          <w:sz w:val="16"/>
          <w:szCs w:val="16"/>
        </w:rPr>
        <w:t>No. 2</w:t>
      </w:r>
      <w:r w:rsidRPr="00796781">
        <w:rPr>
          <w:rFonts w:cs="Times New Roman"/>
          <w:sz w:val="16"/>
          <w:szCs w:val="16"/>
        </w:rPr>
        <w:t xml:space="preserve">05 </w:t>
      </w:r>
      <w:r w:rsidR="00F372ED" w:rsidRPr="00FE0838">
        <w:rPr>
          <w:rFonts w:cs="Times New Roman"/>
          <w:sz w:val="16"/>
          <w:szCs w:val="16"/>
        </w:rPr>
        <w:t xml:space="preserve">dated </w:t>
      </w:r>
      <w:r w:rsidRPr="00796781">
        <w:rPr>
          <w:rFonts w:cs="Times New Roman"/>
          <w:sz w:val="16"/>
          <w:szCs w:val="16"/>
        </w:rPr>
        <w:t>02</w:t>
      </w:r>
      <w:r w:rsidR="00F372ED" w:rsidRPr="00FE0838">
        <w:rPr>
          <w:rFonts w:cs="Times New Roman"/>
          <w:sz w:val="16"/>
          <w:szCs w:val="16"/>
        </w:rPr>
        <w:t>.03.</w:t>
      </w:r>
      <w:r w:rsidRPr="00796781">
        <w:rPr>
          <w:rFonts w:cs="Times New Roman"/>
          <w:sz w:val="16"/>
          <w:szCs w:val="16"/>
        </w:rPr>
        <w:t>2015</w:t>
      </w:r>
      <w:r w:rsidR="00F372ED" w:rsidRPr="00FE0838">
        <w:rPr>
          <w:rFonts w:cs="Times New Roman"/>
          <w:sz w:val="16"/>
          <w:szCs w:val="16"/>
        </w:rPr>
        <w:t>,</w:t>
      </w:r>
      <w:r w:rsidRPr="00796781">
        <w:rPr>
          <w:rFonts w:cs="Times New Roman"/>
          <w:sz w:val="16"/>
          <w:szCs w:val="16"/>
        </w:rPr>
        <w:t xml:space="preserve"> </w:t>
      </w:r>
      <w:hyperlink r:id="rId1" w:anchor="Text" w:history="1">
        <w:r w:rsidRPr="00FE0838">
          <w:rPr>
            <w:rStyle w:val="Hyperlink"/>
            <w:rFonts w:cs="Times New Roman"/>
            <w:sz w:val="16"/>
            <w:szCs w:val="16"/>
          </w:rPr>
          <w:t>https</w:t>
        </w:r>
        <w:r w:rsidRPr="00796781">
          <w:rPr>
            <w:rStyle w:val="Hyperlink"/>
            <w:rFonts w:cs="Times New Roman"/>
            <w:sz w:val="16"/>
            <w:szCs w:val="16"/>
          </w:rPr>
          <w:t>://</w:t>
        </w:r>
        <w:r w:rsidRPr="00FE0838">
          <w:rPr>
            <w:rStyle w:val="Hyperlink"/>
            <w:rFonts w:cs="Times New Roman"/>
            <w:sz w:val="16"/>
            <w:szCs w:val="16"/>
          </w:rPr>
          <w:t>zakon</w:t>
        </w:r>
        <w:r w:rsidRPr="00796781">
          <w:rPr>
            <w:rStyle w:val="Hyperlink"/>
            <w:rFonts w:cs="Times New Roman"/>
            <w:sz w:val="16"/>
            <w:szCs w:val="16"/>
          </w:rPr>
          <w:t>.</w:t>
        </w:r>
        <w:r w:rsidRPr="00FE0838">
          <w:rPr>
            <w:rStyle w:val="Hyperlink"/>
            <w:rFonts w:cs="Times New Roman"/>
            <w:sz w:val="16"/>
            <w:szCs w:val="16"/>
          </w:rPr>
          <w:t>rada</w:t>
        </w:r>
        <w:r w:rsidRPr="00796781">
          <w:rPr>
            <w:rStyle w:val="Hyperlink"/>
            <w:rFonts w:cs="Times New Roman"/>
            <w:sz w:val="16"/>
            <w:szCs w:val="16"/>
          </w:rPr>
          <w:t>.</w:t>
        </w:r>
        <w:r w:rsidRPr="00FE0838">
          <w:rPr>
            <w:rStyle w:val="Hyperlink"/>
            <w:rFonts w:cs="Times New Roman"/>
            <w:sz w:val="16"/>
            <w:szCs w:val="16"/>
          </w:rPr>
          <w:t>gov</w:t>
        </w:r>
        <w:r w:rsidRPr="00796781">
          <w:rPr>
            <w:rStyle w:val="Hyperlink"/>
            <w:rFonts w:cs="Times New Roman"/>
            <w:sz w:val="16"/>
            <w:szCs w:val="16"/>
          </w:rPr>
          <w:t>.</w:t>
        </w:r>
        <w:r w:rsidRPr="00FE0838">
          <w:rPr>
            <w:rStyle w:val="Hyperlink"/>
            <w:rFonts w:cs="Times New Roman"/>
            <w:sz w:val="16"/>
            <w:szCs w:val="16"/>
          </w:rPr>
          <w:t>ua</w:t>
        </w:r>
        <w:r w:rsidRPr="00796781">
          <w:rPr>
            <w:rStyle w:val="Hyperlink"/>
            <w:rFonts w:cs="Times New Roman"/>
            <w:sz w:val="16"/>
            <w:szCs w:val="16"/>
          </w:rPr>
          <w:t>/</w:t>
        </w:r>
        <w:r w:rsidRPr="00FE0838">
          <w:rPr>
            <w:rStyle w:val="Hyperlink"/>
            <w:rFonts w:cs="Times New Roman"/>
            <w:sz w:val="16"/>
            <w:szCs w:val="16"/>
          </w:rPr>
          <w:t>laws</w:t>
        </w:r>
        <w:r w:rsidRPr="00796781">
          <w:rPr>
            <w:rStyle w:val="Hyperlink"/>
            <w:rFonts w:cs="Times New Roman"/>
            <w:sz w:val="16"/>
            <w:szCs w:val="16"/>
          </w:rPr>
          <w:t>/</w:t>
        </w:r>
        <w:r w:rsidRPr="00FE0838">
          <w:rPr>
            <w:rStyle w:val="Hyperlink"/>
            <w:rFonts w:cs="Times New Roman"/>
            <w:sz w:val="16"/>
            <w:szCs w:val="16"/>
          </w:rPr>
          <w:t>show</w:t>
        </w:r>
        <w:r w:rsidRPr="00796781">
          <w:rPr>
            <w:rStyle w:val="Hyperlink"/>
            <w:rFonts w:cs="Times New Roman"/>
            <w:sz w:val="16"/>
            <w:szCs w:val="16"/>
          </w:rPr>
          <w:t>/</w:t>
        </w:r>
        <w:r w:rsidRPr="00FE0838">
          <w:rPr>
            <w:rStyle w:val="Hyperlink"/>
            <w:rFonts w:cs="Times New Roman"/>
            <w:sz w:val="16"/>
            <w:szCs w:val="16"/>
          </w:rPr>
          <w:t>z</w:t>
        </w:r>
        <w:r w:rsidRPr="00796781">
          <w:rPr>
            <w:rStyle w:val="Hyperlink"/>
            <w:rFonts w:cs="Times New Roman"/>
            <w:sz w:val="16"/>
            <w:szCs w:val="16"/>
          </w:rPr>
          <w:t>0300-15#</w:t>
        </w:r>
        <w:r w:rsidRPr="00FE0838">
          <w:rPr>
            <w:rStyle w:val="Hyperlink"/>
            <w:rFonts w:cs="Times New Roman"/>
            <w:sz w:val="16"/>
            <w:szCs w:val="16"/>
          </w:rPr>
          <w:t>Text</w:t>
        </w:r>
      </w:hyperlink>
      <w:r w:rsidRPr="00796781">
        <w:rPr>
          <w:rFonts w:cs="Times New Roman"/>
          <w:sz w:val="16"/>
          <w:szCs w:val="16"/>
        </w:rPr>
        <w:t xml:space="preserve">  </w:t>
      </w:r>
    </w:p>
  </w:footnote>
  <w:footnote w:id="3">
    <w:p w14:paraId="142E6102" w14:textId="4C4BC89A" w:rsidR="006A25D1" w:rsidRPr="00796781" w:rsidRDefault="006A25D1" w:rsidP="00C257F4">
      <w:pPr>
        <w:pStyle w:val="FootnoteText"/>
        <w:rPr>
          <w:rFonts w:cs="Times New Roman"/>
          <w:sz w:val="16"/>
          <w:szCs w:val="16"/>
        </w:rPr>
      </w:pPr>
      <w:r w:rsidRPr="00FE0838">
        <w:rPr>
          <w:rStyle w:val="FootnoteReference"/>
          <w:rFonts w:cs="Times New Roman"/>
          <w:sz w:val="16"/>
          <w:szCs w:val="16"/>
        </w:rPr>
        <w:footnoteRef/>
      </w:r>
      <w:r w:rsidRPr="00796781">
        <w:rPr>
          <w:rFonts w:cs="Times New Roman"/>
          <w:sz w:val="16"/>
          <w:szCs w:val="16"/>
        </w:rPr>
        <w:t xml:space="preserve"> </w:t>
      </w:r>
      <w:r w:rsidR="00C557CA">
        <w:rPr>
          <w:rFonts w:cs="Times New Roman"/>
          <w:sz w:val="16"/>
          <w:szCs w:val="16"/>
        </w:rPr>
        <w:t>Available at</w:t>
      </w:r>
      <w:r w:rsidRPr="00796781">
        <w:rPr>
          <w:rFonts w:cs="Times New Roman"/>
          <w:sz w:val="16"/>
          <w:szCs w:val="16"/>
        </w:rPr>
        <w:t xml:space="preserve">: </w:t>
      </w:r>
      <w:hyperlink r:id="rId2" w:history="1">
        <w:r w:rsidRPr="00FE0838">
          <w:rPr>
            <w:rStyle w:val="Hyperlink"/>
            <w:rFonts w:cs="Times New Roman"/>
            <w:sz w:val="16"/>
            <w:szCs w:val="16"/>
          </w:rPr>
          <w:t>https</w:t>
        </w:r>
        <w:r w:rsidRPr="00796781">
          <w:rPr>
            <w:rStyle w:val="Hyperlink"/>
            <w:rFonts w:cs="Times New Roman"/>
            <w:sz w:val="16"/>
            <w:szCs w:val="16"/>
          </w:rPr>
          <w:t>://</w:t>
        </w:r>
        <w:r w:rsidRPr="00FE0838">
          <w:rPr>
            <w:rStyle w:val="Hyperlink"/>
            <w:rFonts w:cs="Times New Roman"/>
            <w:sz w:val="16"/>
            <w:szCs w:val="16"/>
          </w:rPr>
          <w:t>www</w:t>
        </w:r>
        <w:r w:rsidRPr="00796781">
          <w:rPr>
            <w:rStyle w:val="Hyperlink"/>
            <w:rFonts w:cs="Times New Roman"/>
            <w:sz w:val="16"/>
            <w:szCs w:val="16"/>
          </w:rPr>
          <w:t>.</w:t>
        </w:r>
        <w:r w:rsidRPr="00FE0838">
          <w:rPr>
            <w:rStyle w:val="Hyperlink"/>
            <w:rFonts w:cs="Times New Roman"/>
            <w:sz w:val="16"/>
            <w:szCs w:val="16"/>
          </w:rPr>
          <w:t>me</w:t>
        </w:r>
        <w:r w:rsidRPr="00796781">
          <w:rPr>
            <w:rStyle w:val="Hyperlink"/>
            <w:rFonts w:cs="Times New Roman"/>
            <w:sz w:val="16"/>
            <w:szCs w:val="16"/>
          </w:rPr>
          <w:t>.</w:t>
        </w:r>
        <w:r w:rsidRPr="00FE0838">
          <w:rPr>
            <w:rStyle w:val="Hyperlink"/>
            <w:rFonts w:cs="Times New Roman"/>
            <w:sz w:val="16"/>
            <w:szCs w:val="16"/>
          </w:rPr>
          <w:t>gov</w:t>
        </w:r>
        <w:r w:rsidRPr="00796781">
          <w:rPr>
            <w:rStyle w:val="Hyperlink"/>
            <w:rFonts w:cs="Times New Roman"/>
            <w:sz w:val="16"/>
            <w:szCs w:val="16"/>
          </w:rPr>
          <w:t>.</w:t>
        </w:r>
        <w:r w:rsidRPr="00FE0838">
          <w:rPr>
            <w:rStyle w:val="Hyperlink"/>
            <w:rFonts w:cs="Times New Roman"/>
            <w:sz w:val="16"/>
            <w:szCs w:val="16"/>
          </w:rPr>
          <w:t>ua</w:t>
        </w:r>
        <w:r w:rsidRPr="00796781">
          <w:rPr>
            <w:rStyle w:val="Hyperlink"/>
            <w:rFonts w:cs="Times New Roman"/>
            <w:sz w:val="16"/>
            <w:szCs w:val="16"/>
          </w:rPr>
          <w:t>/</w:t>
        </w:r>
        <w:r w:rsidRPr="00FE0838">
          <w:rPr>
            <w:rStyle w:val="Hyperlink"/>
            <w:rFonts w:cs="Times New Roman"/>
            <w:sz w:val="16"/>
            <w:szCs w:val="16"/>
          </w:rPr>
          <w:t>Documents</w:t>
        </w:r>
        <w:r w:rsidRPr="00796781">
          <w:rPr>
            <w:rStyle w:val="Hyperlink"/>
            <w:rFonts w:cs="Times New Roman"/>
            <w:sz w:val="16"/>
            <w:szCs w:val="16"/>
          </w:rPr>
          <w:t>/</w:t>
        </w:r>
        <w:r w:rsidRPr="00FE0838">
          <w:rPr>
            <w:rStyle w:val="Hyperlink"/>
            <w:rFonts w:cs="Times New Roman"/>
            <w:sz w:val="16"/>
            <w:szCs w:val="16"/>
          </w:rPr>
          <w:t>List</w:t>
        </w:r>
        <w:r w:rsidRPr="00796781">
          <w:rPr>
            <w:rStyle w:val="Hyperlink"/>
            <w:rFonts w:cs="Times New Roman"/>
            <w:sz w:val="16"/>
            <w:szCs w:val="16"/>
          </w:rPr>
          <w:t>?</w:t>
        </w:r>
        <w:r w:rsidRPr="00FE0838">
          <w:rPr>
            <w:rStyle w:val="Hyperlink"/>
            <w:rFonts w:cs="Times New Roman"/>
            <w:sz w:val="16"/>
            <w:szCs w:val="16"/>
          </w:rPr>
          <w:t>lang</w:t>
        </w:r>
        <w:r w:rsidRPr="00796781">
          <w:rPr>
            <w:rStyle w:val="Hyperlink"/>
            <w:rFonts w:cs="Times New Roman"/>
            <w:sz w:val="16"/>
            <w:szCs w:val="16"/>
          </w:rPr>
          <w:t>=</w:t>
        </w:r>
        <w:r w:rsidRPr="00FE0838">
          <w:rPr>
            <w:rStyle w:val="Hyperlink"/>
            <w:rFonts w:cs="Times New Roman"/>
            <w:sz w:val="16"/>
            <w:szCs w:val="16"/>
          </w:rPr>
          <w:t>uk</w:t>
        </w:r>
        <w:r w:rsidRPr="00796781">
          <w:rPr>
            <w:rStyle w:val="Hyperlink"/>
            <w:rFonts w:cs="Times New Roman"/>
            <w:sz w:val="16"/>
            <w:szCs w:val="16"/>
          </w:rPr>
          <w:t>-</w:t>
        </w:r>
        <w:r w:rsidRPr="00FE0838">
          <w:rPr>
            <w:rStyle w:val="Hyperlink"/>
            <w:rFonts w:cs="Times New Roman"/>
            <w:sz w:val="16"/>
            <w:szCs w:val="16"/>
          </w:rPr>
          <w:t>UA</w:t>
        </w:r>
        <w:r w:rsidRPr="00796781">
          <w:rPr>
            <w:rStyle w:val="Hyperlink"/>
            <w:rFonts w:cs="Times New Roman"/>
            <w:sz w:val="16"/>
            <w:szCs w:val="16"/>
          </w:rPr>
          <w:t>&amp;</w:t>
        </w:r>
        <w:r w:rsidRPr="00FE0838">
          <w:rPr>
            <w:rStyle w:val="Hyperlink"/>
            <w:rFonts w:cs="Times New Roman"/>
            <w:sz w:val="16"/>
            <w:szCs w:val="16"/>
          </w:rPr>
          <w:t>id</w:t>
        </w:r>
        <w:r w:rsidRPr="00796781">
          <w:rPr>
            <w:rStyle w:val="Hyperlink"/>
            <w:rFonts w:cs="Times New Roman"/>
            <w:sz w:val="16"/>
            <w:szCs w:val="16"/>
          </w:rPr>
          <w:t>=00</w:t>
        </w:r>
        <w:r w:rsidRPr="00FE0838">
          <w:rPr>
            <w:rStyle w:val="Hyperlink"/>
            <w:rFonts w:cs="Times New Roman"/>
            <w:sz w:val="16"/>
            <w:szCs w:val="16"/>
          </w:rPr>
          <w:t>bbbf</w:t>
        </w:r>
        <w:r w:rsidRPr="00796781">
          <w:rPr>
            <w:rStyle w:val="Hyperlink"/>
            <w:rFonts w:cs="Times New Roman"/>
            <w:sz w:val="16"/>
            <w:szCs w:val="16"/>
          </w:rPr>
          <w:t>50-</w:t>
        </w:r>
        <w:r w:rsidRPr="00FE0838">
          <w:rPr>
            <w:rStyle w:val="Hyperlink"/>
            <w:rFonts w:cs="Times New Roman"/>
            <w:sz w:val="16"/>
            <w:szCs w:val="16"/>
          </w:rPr>
          <w:t>cea</w:t>
        </w:r>
        <w:r w:rsidRPr="00796781">
          <w:rPr>
            <w:rStyle w:val="Hyperlink"/>
            <w:rFonts w:cs="Times New Roman"/>
            <w:sz w:val="16"/>
            <w:szCs w:val="16"/>
          </w:rPr>
          <w:t>4-4438-</w:t>
        </w:r>
        <w:r w:rsidRPr="00FE0838">
          <w:rPr>
            <w:rStyle w:val="Hyperlink"/>
            <w:rFonts w:cs="Times New Roman"/>
            <w:sz w:val="16"/>
            <w:szCs w:val="16"/>
          </w:rPr>
          <w:t>ab</w:t>
        </w:r>
        <w:r w:rsidRPr="00796781">
          <w:rPr>
            <w:rStyle w:val="Hyperlink"/>
            <w:rFonts w:cs="Times New Roman"/>
            <w:sz w:val="16"/>
            <w:szCs w:val="16"/>
          </w:rPr>
          <w:t>49-3</w:t>
        </w:r>
        <w:r w:rsidRPr="00FE0838">
          <w:rPr>
            <w:rStyle w:val="Hyperlink"/>
            <w:rFonts w:cs="Times New Roman"/>
            <w:sz w:val="16"/>
            <w:szCs w:val="16"/>
          </w:rPr>
          <w:t>e</w:t>
        </w:r>
        <w:r w:rsidRPr="00796781">
          <w:rPr>
            <w:rStyle w:val="Hyperlink"/>
            <w:rFonts w:cs="Times New Roman"/>
            <w:sz w:val="16"/>
            <w:szCs w:val="16"/>
          </w:rPr>
          <w:t>1</w:t>
        </w:r>
        <w:r w:rsidRPr="00FE0838">
          <w:rPr>
            <w:rStyle w:val="Hyperlink"/>
            <w:rFonts w:cs="Times New Roman"/>
            <w:sz w:val="16"/>
            <w:szCs w:val="16"/>
          </w:rPr>
          <w:t>cef</w:t>
        </w:r>
        <w:r w:rsidRPr="00796781">
          <w:rPr>
            <w:rStyle w:val="Hyperlink"/>
            <w:rFonts w:cs="Times New Roman"/>
            <w:sz w:val="16"/>
            <w:szCs w:val="16"/>
          </w:rPr>
          <w:t>452</w:t>
        </w:r>
        <w:r w:rsidRPr="00FE0838">
          <w:rPr>
            <w:rStyle w:val="Hyperlink"/>
            <w:rFonts w:cs="Times New Roman"/>
            <w:sz w:val="16"/>
            <w:szCs w:val="16"/>
          </w:rPr>
          <w:t>d</w:t>
        </w:r>
        <w:r w:rsidRPr="00796781">
          <w:rPr>
            <w:rStyle w:val="Hyperlink"/>
            <w:rFonts w:cs="Times New Roman"/>
            <w:sz w:val="16"/>
            <w:szCs w:val="16"/>
          </w:rPr>
          <w:t>14&amp;</w:t>
        </w:r>
        <w:r w:rsidRPr="00FE0838">
          <w:rPr>
            <w:rStyle w:val="Hyperlink"/>
            <w:rFonts w:cs="Times New Roman"/>
            <w:sz w:val="16"/>
            <w:szCs w:val="16"/>
          </w:rPr>
          <w:t>tag</w:t>
        </w:r>
        <w:r w:rsidRPr="00796781">
          <w:rPr>
            <w:rStyle w:val="Hyperlink"/>
            <w:rFonts w:cs="Times New Roman"/>
            <w:sz w:val="16"/>
            <w:szCs w:val="16"/>
          </w:rPr>
          <w:t>=</w:t>
        </w:r>
        <w:r w:rsidRPr="00FE0838">
          <w:rPr>
            <w:rStyle w:val="Hyperlink"/>
            <w:rFonts w:cs="Times New Roman"/>
            <w:sz w:val="16"/>
            <w:szCs w:val="16"/>
          </w:rPr>
          <w:t>FinansovePlanuvannia</w:t>
        </w:r>
      </w:hyperlink>
      <w:r w:rsidRPr="00796781">
        <w:rPr>
          <w:rFonts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BBC"/>
    <w:multiLevelType w:val="hybridMultilevel"/>
    <w:tmpl w:val="1FD0EA68"/>
    <w:lvl w:ilvl="0" w:tplc="B1F6A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04933"/>
    <w:multiLevelType w:val="hybridMultilevel"/>
    <w:tmpl w:val="2E8E6106"/>
    <w:lvl w:ilvl="0" w:tplc="EB42C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E95329"/>
    <w:multiLevelType w:val="hybridMultilevel"/>
    <w:tmpl w:val="BE50A644"/>
    <w:lvl w:ilvl="0" w:tplc="DE864D38">
      <w:start w:val="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C7644E"/>
    <w:multiLevelType w:val="hybridMultilevel"/>
    <w:tmpl w:val="5D561AD4"/>
    <w:lvl w:ilvl="0" w:tplc="F9EC7086">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B37C4"/>
    <w:multiLevelType w:val="multilevel"/>
    <w:tmpl w:val="45AAFC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C14926"/>
    <w:multiLevelType w:val="hybridMultilevel"/>
    <w:tmpl w:val="000E9A6A"/>
    <w:lvl w:ilvl="0" w:tplc="4A2ABD34">
      <w:start w:val="2"/>
      <w:numFmt w:val="bullet"/>
      <w:lvlText w:val=""/>
      <w:lvlJc w:val="left"/>
      <w:pPr>
        <w:ind w:left="720" w:hanging="360"/>
      </w:pPr>
      <w:rPr>
        <w:rFonts w:ascii="Symbol" w:eastAsiaTheme="minorEastAsia"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120E3"/>
    <w:multiLevelType w:val="multilevel"/>
    <w:tmpl w:val="A00EE592"/>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A366C68"/>
    <w:multiLevelType w:val="hybridMultilevel"/>
    <w:tmpl w:val="D710020C"/>
    <w:lvl w:ilvl="0" w:tplc="F6C6ABC4">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45B9A"/>
    <w:multiLevelType w:val="multilevel"/>
    <w:tmpl w:val="EA766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180744"/>
    <w:multiLevelType w:val="hybridMultilevel"/>
    <w:tmpl w:val="CE0A00CC"/>
    <w:lvl w:ilvl="0" w:tplc="9F06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C"/>
    <w:rsid w:val="000078E0"/>
    <w:rsid w:val="00010505"/>
    <w:rsid w:val="000144AD"/>
    <w:rsid w:val="000147FE"/>
    <w:rsid w:val="00020E50"/>
    <w:rsid w:val="00031327"/>
    <w:rsid w:val="00032F84"/>
    <w:rsid w:val="00033452"/>
    <w:rsid w:val="0003507C"/>
    <w:rsid w:val="000369D9"/>
    <w:rsid w:val="00040718"/>
    <w:rsid w:val="00040C4B"/>
    <w:rsid w:val="00043613"/>
    <w:rsid w:val="0004654D"/>
    <w:rsid w:val="0005246E"/>
    <w:rsid w:val="00052CB2"/>
    <w:rsid w:val="000536CF"/>
    <w:rsid w:val="00053D49"/>
    <w:rsid w:val="00063493"/>
    <w:rsid w:val="000634C3"/>
    <w:rsid w:val="00070CCE"/>
    <w:rsid w:val="0007523F"/>
    <w:rsid w:val="000769DF"/>
    <w:rsid w:val="00076B82"/>
    <w:rsid w:val="00076D00"/>
    <w:rsid w:val="000822D4"/>
    <w:rsid w:val="00083A79"/>
    <w:rsid w:val="00084394"/>
    <w:rsid w:val="00090437"/>
    <w:rsid w:val="00091620"/>
    <w:rsid w:val="00097135"/>
    <w:rsid w:val="000A54D3"/>
    <w:rsid w:val="000A57D2"/>
    <w:rsid w:val="000B18E5"/>
    <w:rsid w:val="000B2203"/>
    <w:rsid w:val="000B579B"/>
    <w:rsid w:val="000C165E"/>
    <w:rsid w:val="000C583C"/>
    <w:rsid w:val="000C626D"/>
    <w:rsid w:val="000C6317"/>
    <w:rsid w:val="000D346C"/>
    <w:rsid w:val="000D727A"/>
    <w:rsid w:val="000E2D9B"/>
    <w:rsid w:val="000E2E85"/>
    <w:rsid w:val="000F4A2E"/>
    <w:rsid w:val="0010478E"/>
    <w:rsid w:val="00105EAC"/>
    <w:rsid w:val="00107DCF"/>
    <w:rsid w:val="00114151"/>
    <w:rsid w:val="0011603F"/>
    <w:rsid w:val="00116F41"/>
    <w:rsid w:val="0012037A"/>
    <w:rsid w:val="001207B3"/>
    <w:rsid w:val="00123B61"/>
    <w:rsid w:val="00124A2C"/>
    <w:rsid w:val="001264B7"/>
    <w:rsid w:val="001264BC"/>
    <w:rsid w:val="00126E31"/>
    <w:rsid w:val="001358C5"/>
    <w:rsid w:val="00136467"/>
    <w:rsid w:val="001413BE"/>
    <w:rsid w:val="00143317"/>
    <w:rsid w:val="00144CD0"/>
    <w:rsid w:val="00146376"/>
    <w:rsid w:val="00151E15"/>
    <w:rsid w:val="001548D2"/>
    <w:rsid w:val="00160558"/>
    <w:rsid w:val="00162CCA"/>
    <w:rsid w:val="00162D94"/>
    <w:rsid w:val="001664E3"/>
    <w:rsid w:val="0016677C"/>
    <w:rsid w:val="00166B5F"/>
    <w:rsid w:val="0017383C"/>
    <w:rsid w:val="00180C08"/>
    <w:rsid w:val="001833C3"/>
    <w:rsid w:val="0018481D"/>
    <w:rsid w:val="00184E15"/>
    <w:rsid w:val="00187D59"/>
    <w:rsid w:val="0019228D"/>
    <w:rsid w:val="00192D58"/>
    <w:rsid w:val="001934C9"/>
    <w:rsid w:val="001953E5"/>
    <w:rsid w:val="0019700C"/>
    <w:rsid w:val="001A7A12"/>
    <w:rsid w:val="001B3505"/>
    <w:rsid w:val="001B560C"/>
    <w:rsid w:val="001C09F8"/>
    <w:rsid w:val="001C2251"/>
    <w:rsid w:val="001C674B"/>
    <w:rsid w:val="001D0337"/>
    <w:rsid w:val="001D207F"/>
    <w:rsid w:val="001D2398"/>
    <w:rsid w:val="001D305F"/>
    <w:rsid w:val="001D6DFB"/>
    <w:rsid w:val="001F00D3"/>
    <w:rsid w:val="001F0409"/>
    <w:rsid w:val="001F3A92"/>
    <w:rsid w:val="001F4F3F"/>
    <w:rsid w:val="001F4FC7"/>
    <w:rsid w:val="001F7967"/>
    <w:rsid w:val="002060DF"/>
    <w:rsid w:val="00213A6F"/>
    <w:rsid w:val="0021470C"/>
    <w:rsid w:val="002171B0"/>
    <w:rsid w:val="00230B24"/>
    <w:rsid w:val="00231DAE"/>
    <w:rsid w:val="002327BA"/>
    <w:rsid w:val="00243B59"/>
    <w:rsid w:val="0025135E"/>
    <w:rsid w:val="002516AF"/>
    <w:rsid w:val="002577AE"/>
    <w:rsid w:val="002624E5"/>
    <w:rsid w:val="0026383F"/>
    <w:rsid w:val="00264E42"/>
    <w:rsid w:val="0027016C"/>
    <w:rsid w:val="00272197"/>
    <w:rsid w:val="00273231"/>
    <w:rsid w:val="00282D8F"/>
    <w:rsid w:val="00283A51"/>
    <w:rsid w:val="00292696"/>
    <w:rsid w:val="00294788"/>
    <w:rsid w:val="00294FC6"/>
    <w:rsid w:val="002950BA"/>
    <w:rsid w:val="002A05B5"/>
    <w:rsid w:val="002A0A51"/>
    <w:rsid w:val="002A423C"/>
    <w:rsid w:val="002A6BB3"/>
    <w:rsid w:val="002A7957"/>
    <w:rsid w:val="002B1549"/>
    <w:rsid w:val="002B5951"/>
    <w:rsid w:val="002B61CE"/>
    <w:rsid w:val="002C0916"/>
    <w:rsid w:val="002C247C"/>
    <w:rsid w:val="002C33BA"/>
    <w:rsid w:val="002E0680"/>
    <w:rsid w:val="002E1D13"/>
    <w:rsid w:val="002E65D4"/>
    <w:rsid w:val="002E668F"/>
    <w:rsid w:val="002E79BC"/>
    <w:rsid w:val="002E7AD5"/>
    <w:rsid w:val="002F027D"/>
    <w:rsid w:val="002F16CF"/>
    <w:rsid w:val="002F21F1"/>
    <w:rsid w:val="002F358A"/>
    <w:rsid w:val="002F5FF2"/>
    <w:rsid w:val="002F7B1D"/>
    <w:rsid w:val="00301C6D"/>
    <w:rsid w:val="00306E67"/>
    <w:rsid w:val="0030733C"/>
    <w:rsid w:val="00307E05"/>
    <w:rsid w:val="00311B16"/>
    <w:rsid w:val="003126A6"/>
    <w:rsid w:val="00313221"/>
    <w:rsid w:val="00314353"/>
    <w:rsid w:val="00314D8D"/>
    <w:rsid w:val="003150D0"/>
    <w:rsid w:val="003163F0"/>
    <w:rsid w:val="00317EAA"/>
    <w:rsid w:val="00326F7A"/>
    <w:rsid w:val="00331C90"/>
    <w:rsid w:val="00335094"/>
    <w:rsid w:val="003420C4"/>
    <w:rsid w:val="00342B5E"/>
    <w:rsid w:val="003432D4"/>
    <w:rsid w:val="003446B6"/>
    <w:rsid w:val="00352DED"/>
    <w:rsid w:val="00355B7A"/>
    <w:rsid w:val="0036057A"/>
    <w:rsid w:val="003610D8"/>
    <w:rsid w:val="003618EB"/>
    <w:rsid w:val="00362037"/>
    <w:rsid w:val="00362B35"/>
    <w:rsid w:val="00362F41"/>
    <w:rsid w:val="003631D3"/>
    <w:rsid w:val="003818E5"/>
    <w:rsid w:val="00383FCA"/>
    <w:rsid w:val="003853FC"/>
    <w:rsid w:val="0038645D"/>
    <w:rsid w:val="00390C0A"/>
    <w:rsid w:val="00392300"/>
    <w:rsid w:val="003A0B81"/>
    <w:rsid w:val="003A36D0"/>
    <w:rsid w:val="003A408B"/>
    <w:rsid w:val="003A5718"/>
    <w:rsid w:val="003A7FD3"/>
    <w:rsid w:val="003B1629"/>
    <w:rsid w:val="003B452F"/>
    <w:rsid w:val="003B46DC"/>
    <w:rsid w:val="003B4F2F"/>
    <w:rsid w:val="003C1B3D"/>
    <w:rsid w:val="003C28AD"/>
    <w:rsid w:val="003C57DA"/>
    <w:rsid w:val="003C6AF5"/>
    <w:rsid w:val="003D120C"/>
    <w:rsid w:val="003D14F6"/>
    <w:rsid w:val="003D4D9A"/>
    <w:rsid w:val="003D5A75"/>
    <w:rsid w:val="003E245E"/>
    <w:rsid w:val="003E72B7"/>
    <w:rsid w:val="003E7F8C"/>
    <w:rsid w:val="003F541C"/>
    <w:rsid w:val="004029D8"/>
    <w:rsid w:val="00411E08"/>
    <w:rsid w:val="0041253A"/>
    <w:rsid w:val="004131C8"/>
    <w:rsid w:val="0042039F"/>
    <w:rsid w:val="004206B6"/>
    <w:rsid w:val="004239EB"/>
    <w:rsid w:val="00426530"/>
    <w:rsid w:val="00430805"/>
    <w:rsid w:val="00434F5F"/>
    <w:rsid w:val="004400DE"/>
    <w:rsid w:val="00440DE1"/>
    <w:rsid w:val="004427DA"/>
    <w:rsid w:val="00443A7A"/>
    <w:rsid w:val="00447939"/>
    <w:rsid w:val="00450C7B"/>
    <w:rsid w:val="00451252"/>
    <w:rsid w:val="00460F64"/>
    <w:rsid w:val="0046189C"/>
    <w:rsid w:val="00461A9B"/>
    <w:rsid w:val="0046792C"/>
    <w:rsid w:val="00471C4C"/>
    <w:rsid w:val="00474C61"/>
    <w:rsid w:val="00475842"/>
    <w:rsid w:val="00484423"/>
    <w:rsid w:val="0049238D"/>
    <w:rsid w:val="00494872"/>
    <w:rsid w:val="00494CDD"/>
    <w:rsid w:val="004A04A9"/>
    <w:rsid w:val="004A0917"/>
    <w:rsid w:val="004B4ED4"/>
    <w:rsid w:val="004C1EB9"/>
    <w:rsid w:val="004C3184"/>
    <w:rsid w:val="004C3F74"/>
    <w:rsid w:val="004C56E3"/>
    <w:rsid w:val="004D727F"/>
    <w:rsid w:val="004D75F8"/>
    <w:rsid w:val="004E28B0"/>
    <w:rsid w:val="004E37B4"/>
    <w:rsid w:val="004E512A"/>
    <w:rsid w:val="004F0A20"/>
    <w:rsid w:val="004F2704"/>
    <w:rsid w:val="004F2D3D"/>
    <w:rsid w:val="0050079E"/>
    <w:rsid w:val="00500D86"/>
    <w:rsid w:val="005028DF"/>
    <w:rsid w:val="00504EB9"/>
    <w:rsid w:val="0050564F"/>
    <w:rsid w:val="00505DD7"/>
    <w:rsid w:val="00507831"/>
    <w:rsid w:val="00513F99"/>
    <w:rsid w:val="0051527B"/>
    <w:rsid w:val="00520439"/>
    <w:rsid w:val="005230A1"/>
    <w:rsid w:val="0052478B"/>
    <w:rsid w:val="00524E3B"/>
    <w:rsid w:val="00526D3F"/>
    <w:rsid w:val="00532655"/>
    <w:rsid w:val="0053483B"/>
    <w:rsid w:val="00542A70"/>
    <w:rsid w:val="0054349B"/>
    <w:rsid w:val="00544750"/>
    <w:rsid w:val="00545C6D"/>
    <w:rsid w:val="0055402A"/>
    <w:rsid w:val="00555419"/>
    <w:rsid w:val="0055614A"/>
    <w:rsid w:val="00556216"/>
    <w:rsid w:val="00561EC0"/>
    <w:rsid w:val="00564302"/>
    <w:rsid w:val="00567C91"/>
    <w:rsid w:val="00567EBF"/>
    <w:rsid w:val="00571A3C"/>
    <w:rsid w:val="00581F19"/>
    <w:rsid w:val="00586C6B"/>
    <w:rsid w:val="00594712"/>
    <w:rsid w:val="00596570"/>
    <w:rsid w:val="005975DB"/>
    <w:rsid w:val="00597B85"/>
    <w:rsid w:val="005A0432"/>
    <w:rsid w:val="005A0807"/>
    <w:rsid w:val="005A091D"/>
    <w:rsid w:val="005A0C21"/>
    <w:rsid w:val="005A1483"/>
    <w:rsid w:val="005A40A3"/>
    <w:rsid w:val="005B1F43"/>
    <w:rsid w:val="005B46BC"/>
    <w:rsid w:val="005B5A92"/>
    <w:rsid w:val="005B7BC6"/>
    <w:rsid w:val="005C1FB6"/>
    <w:rsid w:val="005D40A4"/>
    <w:rsid w:val="005D4ADA"/>
    <w:rsid w:val="005D5C77"/>
    <w:rsid w:val="005E255A"/>
    <w:rsid w:val="005E26DD"/>
    <w:rsid w:val="005E4692"/>
    <w:rsid w:val="005E4DDE"/>
    <w:rsid w:val="005E70B5"/>
    <w:rsid w:val="005F3424"/>
    <w:rsid w:val="00600C58"/>
    <w:rsid w:val="00610B30"/>
    <w:rsid w:val="00622866"/>
    <w:rsid w:val="00623BD7"/>
    <w:rsid w:val="00624090"/>
    <w:rsid w:val="00627B67"/>
    <w:rsid w:val="00633D6F"/>
    <w:rsid w:val="006402D3"/>
    <w:rsid w:val="0064077C"/>
    <w:rsid w:val="00642457"/>
    <w:rsid w:val="0064367F"/>
    <w:rsid w:val="00645739"/>
    <w:rsid w:val="006457D4"/>
    <w:rsid w:val="00650CAE"/>
    <w:rsid w:val="0065254B"/>
    <w:rsid w:val="00653120"/>
    <w:rsid w:val="0065405D"/>
    <w:rsid w:val="006640BE"/>
    <w:rsid w:val="00664167"/>
    <w:rsid w:val="00666BAD"/>
    <w:rsid w:val="00670FEC"/>
    <w:rsid w:val="006740E4"/>
    <w:rsid w:val="0068008D"/>
    <w:rsid w:val="006814D9"/>
    <w:rsid w:val="00687FC9"/>
    <w:rsid w:val="006912CB"/>
    <w:rsid w:val="006929AC"/>
    <w:rsid w:val="00696A7D"/>
    <w:rsid w:val="0069731C"/>
    <w:rsid w:val="00697DF9"/>
    <w:rsid w:val="006A140D"/>
    <w:rsid w:val="006A1767"/>
    <w:rsid w:val="006A25D1"/>
    <w:rsid w:val="006A2EDF"/>
    <w:rsid w:val="006A5079"/>
    <w:rsid w:val="006A5366"/>
    <w:rsid w:val="006B1EFA"/>
    <w:rsid w:val="006B5273"/>
    <w:rsid w:val="006C1A2F"/>
    <w:rsid w:val="006C431C"/>
    <w:rsid w:val="006E0B40"/>
    <w:rsid w:val="006E0DFD"/>
    <w:rsid w:val="006E776D"/>
    <w:rsid w:val="006F2CFA"/>
    <w:rsid w:val="006F6DAA"/>
    <w:rsid w:val="007029B8"/>
    <w:rsid w:val="00704A1E"/>
    <w:rsid w:val="007147FD"/>
    <w:rsid w:val="007200E6"/>
    <w:rsid w:val="007220A2"/>
    <w:rsid w:val="007220CC"/>
    <w:rsid w:val="00723471"/>
    <w:rsid w:val="0072347A"/>
    <w:rsid w:val="00731DC4"/>
    <w:rsid w:val="00734DC1"/>
    <w:rsid w:val="0074078F"/>
    <w:rsid w:val="00740A86"/>
    <w:rsid w:val="00752F7A"/>
    <w:rsid w:val="00757380"/>
    <w:rsid w:val="00760295"/>
    <w:rsid w:val="0076045A"/>
    <w:rsid w:val="00764887"/>
    <w:rsid w:val="007678CF"/>
    <w:rsid w:val="00767AD3"/>
    <w:rsid w:val="007710F0"/>
    <w:rsid w:val="00776BC2"/>
    <w:rsid w:val="00776DA1"/>
    <w:rsid w:val="00780221"/>
    <w:rsid w:val="00781AC2"/>
    <w:rsid w:val="007865C6"/>
    <w:rsid w:val="007868CD"/>
    <w:rsid w:val="00790CBB"/>
    <w:rsid w:val="00793EC2"/>
    <w:rsid w:val="00796781"/>
    <w:rsid w:val="00796920"/>
    <w:rsid w:val="007A0389"/>
    <w:rsid w:val="007A3E6E"/>
    <w:rsid w:val="007B13B1"/>
    <w:rsid w:val="007B3CBB"/>
    <w:rsid w:val="007C56A6"/>
    <w:rsid w:val="007C598E"/>
    <w:rsid w:val="007D0D19"/>
    <w:rsid w:val="007D71A0"/>
    <w:rsid w:val="007E03D0"/>
    <w:rsid w:val="007E1FBF"/>
    <w:rsid w:val="007E42C3"/>
    <w:rsid w:val="007E4C43"/>
    <w:rsid w:val="007F1584"/>
    <w:rsid w:val="007F23C9"/>
    <w:rsid w:val="00807B41"/>
    <w:rsid w:val="0081002D"/>
    <w:rsid w:val="008158C0"/>
    <w:rsid w:val="00816179"/>
    <w:rsid w:val="008179D2"/>
    <w:rsid w:val="00820EC8"/>
    <w:rsid w:val="00820F8C"/>
    <w:rsid w:val="00822AF4"/>
    <w:rsid w:val="0082308E"/>
    <w:rsid w:val="0082488E"/>
    <w:rsid w:val="00831F4F"/>
    <w:rsid w:val="0083381B"/>
    <w:rsid w:val="00834772"/>
    <w:rsid w:val="008370CD"/>
    <w:rsid w:val="008375FF"/>
    <w:rsid w:val="008377AD"/>
    <w:rsid w:val="0084075D"/>
    <w:rsid w:val="0084084A"/>
    <w:rsid w:val="0084307E"/>
    <w:rsid w:val="00847FA9"/>
    <w:rsid w:val="008600E9"/>
    <w:rsid w:val="008616EE"/>
    <w:rsid w:val="0086181A"/>
    <w:rsid w:val="00864EF6"/>
    <w:rsid w:val="00871613"/>
    <w:rsid w:val="00873475"/>
    <w:rsid w:val="008753D1"/>
    <w:rsid w:val="008815DD"/>
    <w:rsid w:val="00882572"/>
    <w:rsid w:val="00891628"/>
    <w:rsid w:val="00894DA2"/>
    <w:rsid w:val="008A4578"/>
    <w:rsid w:val="008A4796"/>
    <w:rsid w:val="008A49EB"/>
    <w:rsid w:val="008A6712"/>
    <w:rsid w:val="008B1826"/>
    <w:rsid w:val="008B44D6"/>
    <w:rsid w:val="008B4CEC"/>
    <w:rsid w:val="008B6251"/>
    <w:rsid w:val="008C07B1"/>
    <w:rsid w:val="008C1012"/>
    <w:rsid w:val="008C72CE"/>
    <w:rsid w:val="008D1405"/>
    <w:rsid w:val="008D5CC9"/>
    <w:rsid w:val="008D6A37"/>
    <w:rsid w:val="008F3AF1"/>
    <w:rsid w:val="00900C82"/>
    <w:rsid w:val="009041E8"/>
    <w:rsid w:val="0090445F"/>
    <w:rsid w:val="00906FFE"/>
    <w:rsid w:val="009110F6"/>
    <w:rsid w:val="009117EE"/>
    <w:rsid w:val="00913705"/>
    <w:rsid w:val="00914C82"/>
    <w:rsid w:val="00914CA6"/>
    <w:rsid w:val="00917C37"/>
    <w:rsid w:val="009206AC"/>
    <w:rsid w:val="00922F75"/>
    <w:rsid w:val="009267BF"/>
    <w:rsid w:val="0093033E"/>
    <w:rsid w:val="00931569"/>
    <w:rsid w:val="00931CF8"/>
    <w:rsid w:val="00936602"/>
    <w:rsid w:val="00942EAF"/>
    <w:rsid w:val="00945C8B"/>
    <w:rsid w:val="0095313D"/>
    <w:rsid w:val="00953A18"/>
    <w:rsid w:val="00962AC8"/>
    <w:rsid w:val="00963579"/>
    <w:rsid w:val="009641AD"/>
    <w:rsid w:val="00967087"/>
    <w:rsid w:val="00970329"/>
    <w:rsid w:val="00986DEA"/>
    <w:rsid w:val="0098752C"/>
    <w:rsid w:val="00991E61"/>
    <w:rsid w:val="00992C72"/>
    <w:rsid w:val="009A2A48"/>
    <w:rsid w:val="009A2A86"/>
    <w:rsid w:val="009A5C5E"/>
    <w:rsid w:val="009A5EE3"/>
    <w:rsid w:val="009B0031"/>
    <w:rsid w:val="009B34F1"/>
    <w:rsid w:val="009B4A0F"/>
    <w:rsid w:val="009B4D10"/>
    <w:rsid w:val="009C3976"/>
    <w:rsid w:val="009C50D5"/>
    <w:rsid w:val="009C51EA"/>
    <w:rsid w:val="009C5A60"/>
    <w:rsid w:val="009D5237"/>
    <w:rsid w:val="009D6678"/>
    <w:rsid w:val="009E3790"/>
    <w:rsid w:val="009E5585"/>
    <w:rsid w:val="009E5F39"/>
    <w:rsid w:val="009E672E"/>
    <w:rsid w:val="009E7820"/>
    <w:rsid w:val="009F6F37"/>
    <w:rsid w:val="00A023DE"/>
    <w:rsid w:val="00A0576E"/>
    <w:rsid w:val="00A11B6A"/>
    <w:rsid w:val="00A1305F"/>
    <w:rsid w:val="00A15209"/>
    <w:rsid w:val="00A2057C"/>
    <w:rsid w:val="00A2257D"/>
    <w:rsid w:val="00A238F8"/>
    <w:rsid w:val="00A251EB"/>
    <w:rsid w:val="00A27249"/>
    <w:rsid w:val="00A31E62"/>
    <w:rsid w:val="00A337D4"/>
    <w:rsid w:val="00A34B02"/>
    <w:rsid w:val="00A376BA"/>
    <w:rsid w:val="00A43170"/>
    <w:rsid w:val="00A47F76"/>
    <w:rsid w:val="00A50108"/>
    <w:rsid w:val="00A53C51"/>
    <w:rsid w:val="00A54535"/>
    <w:rsid w:val="00A54CA0"/>
    <w:rsid w:val="00A601F6"/>
    <w:rsid w:val="00A6607F"/>
    <w:rsid w:val="00A66174"/>
    <w:rsid w:val="00A7016D"/>
    <w:rsid w:val="00A70D73"/>
    <w:rsid w:val="00A76769"/>
    <w:rsid w:val="00A77FA8"/>
    <w:rsid w:val="00A81C38"/>
    <w:rsid w:val="00A827EF"/>
    <w:rsid w:val="00A86EB6"/>
    <w:rsid w:val="00A93D59"/>
    <w:rsid w:val="00A95A0A"/>
    <w:rsid w:val="00A96AF2"/>
    <w:rsid w:val="00AA19C0"/>
    <w:rsid w:val="00AA1F72"/>
    <w:rsid w:val="00AA30E5"/>
    <w:rsid w:val="00AA3664"/>
    <w:rsid w:val="00AB4995"/>
    <w:rsid w:val="00AB63BB"/>
    <w:rsid w:val="00AB76D6"/>
    <w:rsid w:val="00AC1B2C"/>
    <w:rsid w:val="00AC330A"/>
    <w:rsid w:val="00AD320D"/>
    <w:rsid w:val="00AD6D15"/>
    <w:rsid w:val="00AE0E45"/>
    <w:rsid w:val="00AE2DFE"/>
    <w:rsid w:val="00B04772"/>
    <w:rsid w:val="00B0484B"/>
    <w:rsid w:val="00B06FD6"/>
    <w:rsid w:val="00B118A9"/>
    <w:rsid w:val="00B17E76"/>
    <w:rsid w:val="00B25805"/>
    <w:rsid w:val="00B25C9A"/>
    <w:rsid w:val="00B335B2"/>
    <w:rsid w:val="00B40E7E"/>
    <w:rsid w:val="00B41619"/>
    <w:rsid w:val="00B47171"/>
    <w:rsid w:val="00B52A61"/>
    <w:rsid w:val="00B52F90"/>
    <w:rsid w:val="00B54F12"/>
    <w:rsid w:val="00B555C2"/>
    <w:rsid w:val="00B62C56"/>
    <w:rsid w:val="00B66FF8"/>
    <w:rsid w:val="00B70D36"/>
    <w:rsid w:val="00B834AB"/>
    <w:rsid w:val="00B87C74"/>
    <w:rsid w:val="00B90819"/>
    <w:rsid w:val="00B9313C"/>
    <w:rsid w:val="00B93A34"/>
    <w:rsid w:val="00B94895"/>
    <w:rsid w:val="00B9681F"/>
    <w:rsid w:val="00BB427C"/>
    <w:rsid w:val="00BB78FA"/>
    <w:rsid w:val="00BC0934"/>
    <w:rsid w:val="00BC3B72"/>
    <w:rsid w:val="00BE0538"/>
    <w:rsid w:val="00BE2D1A"/>
    <w:rsid w:val="00BF066E"/>
    <w:rsid w:val="00BF2D0D"/>
    <w:rsid w:val="00C04E67"/>
    <w:rsid w:val="00C05208"/>
    <w:rsid w:val="00C2481E"/>
    <w:rsid w:val="00C255E1"/>
    <w:rsid w:val="00C257F4"/>
    <w:rsid w:val="00C2775A"/>
    <w:rsid w:val="00C277CC"/>
    <w:rsid w:val="00C31B1D"/>
    <w:rsid w:val="00C335F1"/>
    <w:rsid w:val="00C35F41"/>
    <w:rsid w:val="00C40F0C"/>
    <w:rsid w:val="00C41A34"/>
    <w:rsid w:val="00C4341B"/>
    <w:rsid w:val="00C45E16"/>
    <w:rsid w:val="00C51D27"/>
    <w:rsid w:val="00C53112"/>
    <w:rsid w:val="00C54C4D"/>
    <w:rsid w:val="00C557CA"/>
    <w:rsid w:val="00C57592"/>
    <w:rsid w:val="00C61AE1"/>
    <w:rsid w:val="00C62768"/>
    <w:rsid w:val="00C6432C"/>
    <w:rsid w:val="00C64BB6"/>
    <w:rsid w:val="00C6717A"/>
    <w:rsid w:val="00C702F3"/>
    <w:rsid w:val="00C80BE0"/>
    <w:rsid w:val="00C80D4E"/>
    <w:rsid w:val="00C8134B"/>
    <w:rsid w:val="00C915E1"/>
    <w:rsid w:val="00C93DBB"/>
    <w:rsid w:val="00C974FC"/>
    <w:rsid w:val="00C97A82"/>
    <w:rsid w:val="00CA27A0"/>
    <w:rsid w:val="00CB4E4C"/>
    <w:rsid w:val="00CB7EDC"/>
    <w:rsid w:val="00CC09BB"/>
    <w:rsid w:val="00CC535D"/>
    <w:rsid w:val="00CC6086"/>
    <w:rsid w:val="00CC6A3D"/>
    <w:rsid w:val="00CD7A79"/>
    <w:rsid w:val="00CE125E"/>
    <w:rsid w:val="00CE5F79"/>
    <w:rsid w:val="00CE7612"/>
    <w:rsid w:val="00CE78E1"/>
    <w:rsid w:val="00CF2E8E"/>
    <w:rsid w:val="00CF5227"/>
    <w:rsid w:val="00CF52D7"/>
    <w:rsid w:val="00CF6CA7"/>
    <w:rsid w:val="00CF7075"/>
    <w:rsid w:val="00CF7CFD"/>
    <w:rsid w:val="00D0451E"/>
    <w:rsid w:val="00D04E3C"/>
    <w:rsid w:val="00D11003"/>
    <w:rsid w:val="00D12BA5"/>
    <w:rsid w:val="00D12F7A"/>
    <w:rsid w:val="00D14734"/>
    <w:rsid w:val="00D14C5E"/>
    <w:rsid w:val="00D158D2"/>
    <w:rsid w:val="00D21D69"/>
    <w:rsid w:val="00D224C6"/>
    <w:rsid w:val="00D252DC"/>
    <w:rsid w:val="00D31B60"/>
    <w:rsid w:val="00D342D3"/>
    <w:rsid w:val="00D404B3"/>
    <w:rsid w:val="00D44409"/>
    <w:rsid w:val="00D44E38"/>
    <w:rsid w:val="00D44FAE"/>
    <w:rsid w:val="00D50B81"/>
    <w:rsid w:val="00D5216F"/>
    <w:rsid w:val="00D53247"/>
    <w:rsid w:val="00D540EA"/>
    <w:rsid w:val="00D56BDD"/>
    <w:rsid w:val="00D57231"/>
    <w:rsid w:val="00D625CA"/>
    <w:rsid w:val="00D63EB7"/>
    <w:rsid w:val="00D70746"/>
    <w:rsid w:val="00D73381"/>
    <w:rsid w:val="00D735C4"/>
    <w:rsid w:val="00D73C1B"/>
    <w:rsid w:val="00D74628"/>
    <w:rsid w:val="00D77601"/>
    <w:rsid w:val="00D86DC9"/>
    <w:rsid w:val="00D9018D"/>
    <w:rsid w:val="00D91E69"/>
    <w:rsid w:val="00D96C00"/>
    <w:rsid w:val="00DA0275"/>
    <w:rsid w:val="00DA1E07"/>
    <w:rsid w:val="00DA36DB"/>
    <w:rsid w:val="00DA5801"/>
    <w:rsid w:val="00DA7ABA"/>
    <w:rsid w:val="00DB2337"/>
    <w:rsid w:val="00DB49AD"/>
    <w:rsid w:val="00DC06B4"/>
    <w:rsid w:val="00DC49BE"/>
    <w:rsid w:val="00DD1071"/>
    <w:rsid w:val="00DD347E"/>
    <w:rsid w:val="00DD41EF"/>
    <w:rsid w:val="00DD555B"/>
    <w:rsid w:val="00DD5D82"/>
    <w:rsid w:val="00DD6DB0"/>
    <w:rsid w:val="00DE045E"/>
    <w:rsid w:val="00DE057C"/>
    <w:rsid w:val="00DE0A68"/>
    <w:rsid w:val="00DE2151"/>
    <w:rsid w:val="00DE25DC"/>
    <w:rsid w:val="00DE3E11"/>
    <w:rsid w:val="00DE5433"/>
    <w:rsid w:val="00DE5A35"/>
    <w:rsid w:val="00DE7E26"/>
    <w:rsid w:val="00DF1F68"/>
    <w:rsid w:val="00DF431B"/>
    <w:rsid w:val="00E02A03"/>
    <w:rsid w:val="00E033D5"/>
    <w:rsid w:val="00E03453"/>
    <w:rsid w:val="00E04A20"/>
    <w:rsid w:val="00E150B1"/>
    <w:rsid w:val="00E15798"/>
    <w:rsid w:val="00E168C2"/>
    <w:rsid w:val="00E20EEF"/>
    <w:rsid w:val="00E2176A"/>
    <w:rsid w:val="00E249B2"/>
    <w:rsid w:val="00E25C22"/>
    <w:rsid w:val="00E264C7"/>
    <w:rsid w:val="00E31B5C"/>
    <w:rsid w:val="00E3211A"/>
    <w:rsid w:val="00E32266"/>
    <w:rsid w:val="00E4137C"/>
    <w:rsid w:val="00E43FFC"/>
    <w:rsid w:val="00E57586"/>
    <w:rsid w:val="00E623AC"/>
    <w:rsid w:val="00E62E94"/>
    <w:rsid w:val="00E7083E"/>
    <w:rsid w:val="00E708A7"/>
    <w:rsid w:val="00E743C2"/>
    <w:rsid w:val="00E877E4"/>
    <w:rsid w:val="00E90814"/>
    <w:rsid w:val="00E96D76"/>
    <w:rsid w:val="00EA060E"/>
    <w:rsid w:val="00EA1564"/>
    <w:rsid w:val="00EA21CB"/>
    <w:rsid w:val="00EB1FEF"/>
    <w:rsid w:val="00EB2084"/>
    <w:rsid w:val="00EB2E1E"/>
    <w:rsid w:val="00EC7519"/>
    <w:rsid w:val="00ED27C8"/>
    <w:rsid w:val="00ED3946"/>
    <w:rsid w:val="00ED61E4"/>
    <w:rsid w:val="00EE2DAA"/>
    <w:rsid w:val="00EE496D"/>
    <w:rsid w:val="00EF11DA"/>
    <w:rsid w:val="00EF1650"/>
    <w:rsid w:val="00EF437A"/>
    <w:rsid w:val="00F111CD"/>
    <w:rsid w:val="00F11EF8"/>
    <w:rsid w:val="00F12367"/>
    <w:rsid w:val="00F12C5E"/>
    <w:rsid w:val="00F12E6F"/>
    <w:rsid w:val="00F1508E"/>
    <w:rsid w:val="00F17CA4"/>
    <w:rsid w:val="00F2270F"/>
    <w:rsid w:val="00F22D5C"/>
    <w:rsid w:val="00F26951"/>
    <w:rsid w:val="00F31E23"/>
    <w:rsid w:val="00F33B0C"/>
    <w:rsid w:val="00F34033"/>
    <w:rsid w:val="00F36192"/>
    <w:rsid w:val="00F372ED"/>
    <w:rsid w:val="00F37398"/>
    <w:rsid w:val="00F415E0"/>
    <w:rsid w:val="00F44161"/>
    <w:rsid w:val="00F4521A"/>
    <w:rsid w:val="00F46E1D"/>
    <w:rsid w:val="00F50EF1"/>
    <w:rsid w:val="00F53629"/>
    <w:rsid w:val="00F60703"/>
    <w:rsid w:val="00F61BCC"/>
    <w:rsid w:val="00F62DEC"/>
    <w:rsid w:val="00F6401B"/>
    <w:rsid w:val="00F64D80"/>
    <w:rsid w:val="00F6606D"/>
    <w:rsid w:val="00F664B0"/>
    <w:rsid w:val="00F66A47"/>
    <w:rsid w:val="00F711D1"/>
    <w:rsid w:val="00F75212"/>
    <w:rsid w:val="00F779CE"/>
    <w:rsid w:val="00F80436"/>
    <w:rsid w:val="00F8373C"/>
    <w:rsid w:val="00F86C00"/>
    <w:rsid w:val="00F90B9F"/>
    <w:rsid w:val="00F93E55"/>
    <w:rsid w:val="00F9543C"/>
    <w:rsid w:val="00FA0918"/>
    <w:rsid w:val="00FA1C4D"/>
    <w:rsid w:val="00FA3106"/>
    <w:rsid w:val="00FA5C09"/>
    <w:rsid w:val="00FA6434"/>
    <w:rsid w:val="00FA7B97"/>
    <w:rsid w:val="00FB5CD3"/>
    <w:rsid w:val="00FC542E"/>
    <w:rsid w:val="00FC6AF9"/>
    <w:rsid w:val="00FC7AF0"/>
    <w:rsid w:val="00FD4B36"/>
    <w:rsid w:val="00FD516A"/>
    <w:rsid w:val="00FD67AF"/>
    <w:rsid w:val="00FE0838"/>
    <w:rsid w:val="00FE2399"/>
    <w:rsid w:val="00FE3AB4"/>
    <w:rsid w:val="00FE4203"/>
    <w:rsid w:val="00FE67CC"/>
    <w:rsid w:val="00FE78E2"/>
    <w:rsid w:val="00FF33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C032"/>
  <w15:chartTrackingRefBased/>
  <w15:docId w15:val="{312BDD80-2F53-4696-9B2F-BD3DFF8E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084"/>
    <w:rPr>
      <w:rFonts w:ascii="Arial" w:hAnsi="Arial"/>
      <w:sz w:val="20"/>
    </w:rPr>
  </w:style>
  <w:style w:type="paragraph" w:styleId="Heading1">
    <w:name w:val="heading 1"/>
    <w:basedOn w:val="Normal"/>
    <w:next w:val="Normal"/>
    <w:link w:val="Heading1Char"/>
    <w:uiPriority w:val="9"/>
    <w:qFormat/>
    <w:rsid w:val="00FE67CC"/>
    <w:pPr>
      <w:keepNext/>
      <w:keepLines/>
      <w:spacing w:before="240" w:after="0"/>
      <w:outlineLvl w:val="0"/>
    </w:pPr>
    <w:rPr>
      <w:rFonts w:eastAsiaTheme="majorEastAsia" w:cs="Arial"/>
      <w:b/>
      <w:bCs/>
      <w:color w:val="2F5496" w:themeColor="accent1" w:themeShade="BF"/>
      <w:sz w:val="24"/>
      <w:szCs w:val="24"/>
    </w:rPr>
  </w:style>
  <w:style w:type="paragraph" w:styleId="Heading2">
    <w:name w:val="heading 2"/>
    <w:basedOn w:val="Normal"/>
    <w:next w:val="Normal"/>
    <w:link w:val="Heading2Char"/>
    <w:uiPriority w:val="9"/>
    <w:unhideWhenUsed/>
    <w:qFormat/>
    <w:rsid w:val="00FE67CC"/>
    <w:pPr>
      <w:keepNext/>
      <w:keepLines/>
      <w:spacing w:before="40" w:after="0"/>
      <w:outlineLvl w:val="1"/>
    </w:pPr>
    <w:rPr>
      <w:rFonts w:eastAsiaTheme="majorEastAsia" w:cs="Arial"/>
      <w:b/>
      <w:bCs/>
      <w:color w:val="2F5496" w:themeColor="accent1" w:themeShade="BF"/>
    </w:rPr>
  </w:style>
  <w:style w:type="paragraph" w:styleId="Heading3">
    <w:name w:val="heading 3"/>
    <w:basedOn w:val="Normal"/>
    <w:next w:val="Normal"/>
    <w:link w:val="Heading3Char"/>
    <w:uiPriority w:val="9"/>
    <w:unhideWhenUsed/>
    <w:qFormat/>
    <w:rsid w:val="00FE67CC"/>
    <w:pPr>
      <w:keepNext/>
      <w:keepLines/>
      <w:numPr>
        <w:numId w:val="1"/>
      </w:numPr>
      <w:spacing w:before="40" w:after="0"/>
      <w:outlineLvl w:val="2"/>
    </w:pPr>
    <w:rPr>
      <w:rFonts w:eastAsiaTheme="majorEastAsia" w:cs="Arial"/>
      <w:i/>
      <w:iCs/>
      <w:color w:val="1F3763" w:themeColor="accent1" w:themeShade="7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7CC"/>
    <w:rPr>
      <w:rFonts w:ascii="Arial" w:eastAsiaTheme="majorEastAsia" w:hAnsi="Arial" w:cs="Arial"/>
      <w:b/>
      <w:bCs/>
      <w:color w:val="2F5496" w:themeColor="accent1" w:themeShade="BF"/>
      <w:sz w:val="24"/>
      <w:szCs w:val="24"/>
    </w:rPr>
  </w:style>
  <w:style w:type="character" w:customStyle="1" w:styleId="Heading2Char">
    <w:name w:val="Heading 2 Char"/>
    <w:basedOn w:val="DefaultParagraphFont"/>
    <w:link w:val="Heading2"/>
    <w:uiPriority w:val="9"/>
    <w:rsid w:val="00FE67CC"/>
    <w:rPr>
      <w:rFonts w:ascii="Arial" w:eastAsiaTheme="majorEastAsia" w:hAnsi="Arial" w:cs="Arial"/>
      <w:b/>
      <w:bCs/>
      <w:color w:val="2F5496" w:themeColor="accent1" w:themeShade="BF"/>
    </w:rPr>
  </w:style>
  <w:style w:type="character" w:customStyle="1" w:styleId="Heading3Char">
    <w:name w:val="Heading 3 Char"/>
    <w:basedOn w:val="DefaultParagraphFont"/>
    <w:link w:val="Heading3"/>
    <w:uiPriority w:val="9"/>
    <w:rsid w:val="00FE67CC"/>
    <w:rPr>
      <w:rFonts w:ascii="Arial" w:eastAsiaTheme="majorEastAsia" w:hAnsi="Arial" w:cs="Arial"/>
      <w:i/>
      <w:iCs/>
      <w:color w:val="1F3763" w:themeColor="accent1" w:themeShade="7F"/>
      <w:sz w:val="20"/>
      <w:szCs w:val="20"/>
      <w:lang w:val="ru-RU"/>
    </w:rPr>
  </w:style>
  <w:style w:type="paragraph" w:customStyle="1" w:styleId="Default">
    <w:name w:val="Default"/>
    <w:rsid w:val="00FE67C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FE67CC"/>
    <w:pPr>
      <w:ind w:left="720"/>
      <w:contextualSpacing/>
    </w:pPr>
  </w:style>
  <w:style w:type="character" w:styleId="CommentReference">
    <w:name w:val="annotation reference"/>
    <w:basedOn w:val="DefaultParagraphFont"/>
    <w:uiPriority w:val="99"/>
    <w:semiHidden/>
    <w:unhideWhenUsed/>
    <w:rsid w:val="00FE67CC"/>
    <w:rPr>
      <w:sz w:val="16"/>
      <w:szCs w:val="16"/>
    </w:rPr>
  </w:style>
  <w:style w:type="paragraph" w:styleId="CommentText">
    <w:name w:val="annotation text"/>
    <w:basedOn w:val="Normal"/>
    <w:link w:val="CommentTextChar"/>
    <w:uiPriority w:val="99"/>
    <w:semiHidden/>
    <w:unhideWhenUsed/>
    <w:rsid w:val="00FE67CC"/>
    <w:pPr>
      <w:spacing w:line="240" w:lineRule="auto"/>
    </w:pPr>
    <w:rPr>
      <w:szCs w:val="20"/>
    </w:rPr>
  </w:style>
  <w:style w:type="character" w:customStyle="1" w:styleId="CommentTextChar">
    <w:name w:val="Comment Text Char"/>
    <w:basedOn w:val="DefaultParagraphFont"/>
    <w:link w:val="CommentText"/>
    <w:uiPriority w:val="99"/>
    <w:semiHidden/>
    <w:rsid w:val="00FE67CC"/>
    <w:rPr>
      <w:sz w:val="20"/>
      <w:szCs w:val="20"/>
    </w:rPr>
  </w:style>
  <w:style w:type="paragraph" w:styleId="CommentSubject">
    <w:name w:val="annotation subject"/>
    <w:basedOn w:val="CommentText"/>
    <w:next w:val="CommentText"/>
    <w:link w:val="CommentSubjectChar"/>
    <w:uiPriority w:val="99"/>
    <w:semiHidden/>
    <w:unhideWhenUsed/>
    <w:rsid w:val="00FE67CC"/>
    <w:rPr>
      <w:b/>
      <w:bCs/>
    </w:rPr>
  </w:style>
  <w:style w:type="character" w:customStyle="1" w:styleId="CommentSubjectChar">
    <w:name w:val="Comment Subject Char"/>
    <w:basedOn w:val="CommentTextChar"/>
    <w:link w:val="CommentSubject"/>
    <w:uiPriority w:val="99"/>
    <w:semiHidden/>
    <w:rsid w:val="00FE67CC"/>
    <w:rPr>
      <w:b/>
      <w:bCs/>
      <w:sz w:val="20"/>
      <w:szCs w:val="20"/>
    </w:rPr>
  </w:style>
  <w:style w:type="paragraph" w:styleId="BalloonText">
    <w:name w:val="Balloon Text"/>
    <w:basedOn w:val="Normal"/>
    <w:link w:val="BalloonTextChar"/>
    <w:uiPriority w:val="99"/>
    <w:semiHidden/>
    <w:unhideWhenUsed/>
    <w:rsid w:val="00FE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CC"/>
    <w:rPr>
      <w:rFonts w:ascii="Segoe UI" w:hAnsi="Segoe UI" w:cs="Segoe UI"/>
      <w:sz w:val="18"/>
      <w:szCs w:val="18"/>
    </w:rPr>
  </w:style>
  <w:style w:type="paragraph" w:styleId="FootnoteText">
    <w:name w:val="footnote text"/>
    <w:aliases w:val="single space,footnote text,Текст виноски1,Текст виноски11,f,fn,Footnote Text Char2 Char,Footnote Text Char1 Char Char,Footnote Text Char2 Char Char Char,Footnote Text Char1 Char Char Char Char,Footnote Text Char2 Char Char Char Char Char"/>
    <w:basedOn w:val="Normal"/>
    <w:link w:val="FootnoteTextChar"/>
    <w:uiPriority w:val="99"/>
    <w:unhideWhenUsed/>
    <w:rsid w:val="00945C8B"/>
    <w:pPr>
      <w:spacing w:after="0" w:line="240" w:lineRule="auto"/>
    </w:pPr>
    <w:rPr>
      <w:szCs w:val="20"/>
    </w:rPr>
  </w:style>
  <w:style w:type="character" w:customStyle="1" w:styleId="FootnoteTextChar">
    <w:name w:val="Footnote Text Char"/>
    <w:aliases w:val="single space Char,footnote text Char,Текст виноски1 Char,Текст виноски11 Char,f Char,fn Char,Footnote Text Char2 Char Char,Footnote Text Char1 Char Char Char,Footnote Text Char2 Char Char Char Char"/>
    <w:basedOn w:val="DefaultParagraphFont"/>
    <w:link w:val="FootnoteText"/>
    <w:uiPriority w:val="99"/>
    <w:rsid w:val="00945C8B"/>
    <w:rPr>
      <w:rFonts w:ascii="Arial" w:hAnsi="Arial"/>
      <w:sz w:val="20"/>
      <w:szCs w:val="20"/>
    </w:rPr>
  </w:style>
  <w:style w:type="character" w:styleId="FootnoteReference">
    <w:name w:val="footnote reference"/>
    <w:aliases w:val="ftref,Normal + Font:9 Point,Superscript 3 Point Times,Ref,de nota al pie,16 Point,Superscript 6 Point,BVI fnr,Footnote Reference Number"/>
    <w:basedOn w:val="DefaultParagraphFont"/>
    <w:uiPriority w:val="99"/>
    <w:unhideWhenUsed/>
    <w:rsid w:val="00945C8B"/>
    <w:rPr>
      <w:vertAlign w:val="superscript"/>
    </w:rPr>
  </w:style>
  <w:style w:type="character" w:styleId="Hyperlink">
    <w:name w:val="Hyperlink"/>
    <w:basedOn w:val="DefaultParagraphFont"/>
    <w:uiPriority w:val="99"/>
    <w:unhideWhenUsed/>
    <w:rsid w:val="00986DEA"/>
    <w:rPr>
      <w:color w:val="0000FF"/>
      <w:u w:val="single"/>
    </w:rPr>
  </w:style>
  <w:style w:type="character" w:customStyle="1" w:styleId="rvts9">
    <w:name w:val="rvts9"/>
    <w:basedOn w:val="DefaultParagraphFont"/>
    <w:rsid w:val="00986DEA"/>
  </w:style>
  <w:style w:type="paragraph" w:styleId="Header">
    <w:name w:val="header"/>
    <w:basedOn w:val="Normal"/>
    <w:link w:val="HeaderChar"/>
    <w:uiPriority w:val="99"/>
    <w:semiHidden/>
    <w:unhideWhenUsed/>
    <w:rsid w:val="000B220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B2203"/>
    <w:rPr>
      <w:rFonts w:ascii="Arial" w:hAnsi="Arial"/>
      <w:sz w:val="20"/>
    </w:rPr>
  </w:style>
  <w:style w:type="paragraph" w:styleId="Footer">
    <w:name w:val="footer"/>
    <w:basedOn w:val="Normal"/>
    <w:link w:val="FooterChar"/>
    <w:uiPriority w:val="99"/>
    <w:semiHidden/>
    <w:unhideWhenUsed/>
    <w:rsid w:val="000B2203"/>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0B2203"/>
    <w:rPr>
      <w:rFonts w:ascii="Arial" w:hAnsi="Arial"/>
      <w:sz w:val="20"/>
    </w:rPr>
  </w:style>
  <w:style w:type="character" w:styleId="FollowedHyperlink">
    <w:name w:val="FollowedHyperlink"/>
    <w:basedOn w:val="DefaultParagraphFont"/>
    <w:uiPriority w:val="99"/>
    <w:semiHidden/>
    <w:unhideWhenUsed/>
    <w:rsid w:val="003B46DC"/>
    <w:rPr>
      <w:color w:val="954F72" w:themeColor="followedHyperlink"/>
      <w:u w:val="single"/>
    </w:rPr>
  </w:style>
  <w:style w:type="character" w:styleId="UnresolvedMention">
    <w:name w:val="Unresolved Mention"/>
    <w:basedOn w:val="DefaultParagraphFont"/>
    <w:uiPriority w:val="99"/>
    <w:semiHidden/>
    <w:unhideWhenUsed/>
    <w:rsid w:val="0082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785">
      <w:bodyDiv w:val="1"/>
      <w:marLeft w:val="0"/>
      <w:marRight w:val="0"/>
      <w:marTop w:val="0"/>
      <w:marBottom w:val="0"/>
      <w:divBdr>
        <w:top w:val="none" w:sz="0" w:space="0" w:color="auto"/>
        <w:left w:val="none" w:sz="0" w:space="0" w:color="auto"/>
        <w:bottom w:val="none" w:sz="0" w:space="0" w:color="auto"/>
        <w:right w:val="none" w:sz="0" w:space="0" w:color="auto"/>
      </w:divBdr>
    </w:div>
    <w:div w:id="151725267">
      <w:bodyDiv w:val="1"/>
      <w:marLeft w:val="0"/>
      <w:marRight w:val="0"/>
      <w:marTop w:val="0"/>
      <w:marBottom w:val="0"/>
      <w:divBdr>
        <w:top w:val="none" w:sz="0" w:space="0" w:color="auto"/>
        <w:left w:val="none" w:sz="0" w:space="0" w:color="auto"/>
        <w:bottom w:val="none" w:sz="0" w:space="0" w:color="auto"/>
        <w:right w:val="none" w:sz="0" w:space="0" w:color="auto"/>
      </w:divBdr>
    </w:div>
    <w:div w:id="328102735">
      <w:bodyDiv w:val="1"/>
      <w:marLeft w:val="0"/>
      <w:marRight w:val="0"/>
      <w:marTop w:val="0"/>
      <w:marBottom w:val="0"/>
      <w:divBdr>
        <w:top w:val="none" w:sz="0" w:space="0" w:color="auto"/>
        <w:left w:val="none" w:sz="0" w:space="0" w:color="auto"/>
        <w:bottom w:val="none" w:sz="0" w:space="0" w:color="auto"/>
        <w:right w:val="none" w:sz="0" w:space="0" w:color="auto"/>
      </w:divBdr>
    </w:div>
    <w:div w:id="328750068">
      <w:bodyDiv w:val="1"/>
      <w:marLeft w:val="0"/>
      <w:marRight w:val="0"/>
      <w:marTop w:val="0"/>
      <w:marBottom w:val="0"/>
      <w:divBdr>
        <w:top w:val="none" w:sz="0" w:space="0" w:color="auto"/>
        <w:left w:val="none" w:sz="0" w:space="0" w:color="auto"/>
        <w:bottom w:val="none" w:sz="0" w:space="0" w:color="auto"/>
        <w:right w:val="none" w:sz="0" w:space="0" w:color="auto"/>
      </w:divBdr>
    </w:div>
    <w:div w:id="386878144">
      <w:bodyDiv w:val="1"/>
      <w:marLeft w:val="0"/>
      <w:marRight w:val="0"/>
      <w:marTop w:val="0"/>
      <w:marBottom w:val="0"/>
      <w:divBdr>
        <w:top w:val="none" w:sz="0" w:space="0" w:color="auto"/>
        <w:left w:val="none" w:sz="0" w:space="0" w:color="auto"/>
        <w:bottom w:val="none" w:sz="0" w:space="0" w:color="auto"/>
        <w:right w:val="none" w:sz="0" w:space="0" w:color="auto"/>
      </w:divBdr>
    </w:div>
    <w:div w:id="439684402">
      <w:bodyDiv w:val="1"/>
      <w:marLeft w:val="0"/>
      <w:marRight w:val="0"/>
      <w:marTop w:val="0"/>
      <w:marBottom w:val="0"/>
      <w:divBdr>
        <w:top w:val="none" w:sz="0" w:space="0" w:color="auto"/>
        <w:left w:val="none" w:sz="0" w:space="0" w:color="auto"/>
        <w:bottom w:val="none" w:sz="0" w:space="0" w:color="auto"/>
        <w:right w:val="none" w:sz="0" w:space="0" w:color="auto"/>
      </w:divBdr>
    </w:div>
    <w:div w:id="471942910">
      <w:bodyDiv w:val="1"/>
      <w:marLeft w:val="0"/>
      <w:marRight w:val="0"/>
      <w:marTop w:val="0"/>
      <w:marBottom w:val="0"/>
      <w:divBdr>
        <w:top w:val="none" w:sz="0" w:space="0" w:color="auto"/>
        <w:left w:val="none" w:sz="0" w:space="0" w:color="auto"/>
        <w:bottom w:val="none" w:sz="0" w:space="0" w:color="auto"/>
        <w:right w:val="none" w:sz="0" w:space="0" w:color="auto"/>
      </w:divBdr>
    </w:div>
    <w:div w:id="685257698">
      <w:bodyDiv w:val="1"/>
      <w:marLeft w:val="0"/>
      <w:marRight w:val="0"/>
      <w:marTop w:val="0"/>
      <w:marBottom w:val="0"/>
      <w:divBdr>
        <w:top w:val="none" w:sz="0" w:space="0" w:color="auto"/>
        <w:left w:val="none" w:sz="0" w:space="0" w:color="auto"/>
        <w:bottom w:val="none" w:sz="0" w:space="0" w:color="auto"/>
        <w:right w:val="none" w:sz="0" w:space="0" w:color="auto"/>
      </w:divBdr>
    </w:div>
    <w:div w:id="811215804">
      <w:bodyDiv w:val="1"/>
      <w:marLeft w:val="0"/>
      <w:marRight w:val="0"/>
      <w:marTop w:val="0"/>
      <w:marBottom w:val="0"/>
      <w:divBdr>
        <w:top w:val="none" w:sz="0" w:space="0" w:color="auto"/>
        <w:left w:val="none" w:sz="0" w:space="0" w:color="auto"/>
        <w:bottom w:val="none" w:sz="0" w:space="0" w:color="auto"/>
        <w:right w:val="none" w:sz="0" w:space="0" w:color="auto"/>
      </w:divBdr>
    </w:div>
    <w:div w:id="869954574">
      <w:bodyDiv w:val="1"/>
      <w:marLeft w:val="0"/>
      <w:marRight w:val="0"/>
      <w:marTop w:val="0"/>
      <w:marBottom w:val="0"/>
      <w:divBdr>
        <w:top w:val="none" w:sz="0" w:space="0" w:color="auto"/>
        <w:left w:val="none" w:sz="0" w:space="0" w:color="auto"/>
        <w:bottom w:val="none" w:sz="0" w:space="0" w:color="auto"/>
        <w:right w:val="none" w:sz="0" w:space="0" w:color="auto"/>
      </w:divBdr>
    </w:div>
    <w:div w:id="1053234241">
      <w:bodyDiv w:val="1"/>
      <w:marLeft w:val="0"/>
      <w:marRight w:val="0"/>
      <w:marTop w:val="0"/>
      <w:marBottom w:val="0"/>
      <w:divBdr>
        <w:top w:val="none" w:sz="0" w:space="0" w:color="auto"/>
        <w:left w:val="none" w:sz="0" w:space="0" w:color="auto"/>
        <w:bottom w:val="none" w:sz="0" w:space="0" w:color="auto"/>
        <w:right w:val="none" w:sz="0" w:space="0" w:color="auto"/>
      </w:divBdr>
    </w:div>
    <w:div w:id="1110517198">
      <w:bodyDiv w:val="1"/>
      <w:marLeft w:val="0"/>
      <w:marRight w:val="0"/>
      <w:marTop w:val="0"/>
      <w:marBottom w:val="0"/>
      <w:divBdr>
        <w:top w:val="none" w:sz="0" w:space="0" w:color="auto"/>
        <w:left w:val="none" w:sz="0" w:space="0" w:color="auto"/>
        <w:bottom w:val="none" w:sz="0" w:space="0" w:color="auto"/>
        <w:right w:val="none" w:sz="0" w:space="0" w:color="auto"/>
      </w:divBdr>
    </w:div>
    <w:div w:id="1356348729">
      <w:bodyDiv w:val="1"/>
      <w:marLeft w:val="0"/>
      <w:marRight w:val="0"/>
      <w:marTop w:val="0"/>
      <w:marBottom w:val="0"/>
      <w:divBdr>
        <w:top w:val="none" w:sz="0" w:space="0" w:color="auto"/>
        <w:left w:val="none" w:sz="0" w:space="0" w:color="auto"/>
        <w:bottom w:val="none" w:sz="0" w:space="0" w:color="auto"/>
        <w:right w:val="none" w:sz="0" w:space="0" w:color="auto"/>
      </w:divBdr>
    </w:div>
    <w:div w:id="1455783142">
      <w:bodyDiv w:val="1"/>
      <w:marLeft w:val="0"/>
      <w:marRight w:val="0"/>
      <w:marTop w:val="0"/>
      <w:marBottom w:val="0"/>
      <w:divBdr>
        <w:top w:val="none" w:sz="0" w:space="0" w:color="auto"/>
        <w:left w:val="none" w:sz="0" w:space="0" w:color="auto"/>
        <w:bottom w:val="none" w:sz="0" w:space="0" w:color="auto"/>
        <w:right w:val="none" w:sz="0" w:space="0" w:color="auto"/>
      </w:divBdr>
    </w:div>
    <w:div w:id="1470324512">
      <w:bodyDiv w:val="1"/>
      <w:marLeft w:val="0"/>
      <w:marRight w:val="0"/>
      <w:marTop w:val="0"/>
      <w:marBottom w:val="0"/>
      <w:divBdr>
        <w:top w:val="none" w:sz="0" w:space="0" w:color="auto"/>
        <w:left w:val="none" w:sz="0" w:space="0" w:color="auto"/>
        <w:bottom w:val="none" w:sz="0" w:space="0" w:color="auto"/>
        <w:right w:val="none" w:sz="0" w:space="0" w:color="auto"/>
      </w:divBdr>
    </w:div>
    <w:div w:id="1963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6F3D6.813B5A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usr.minjust.gov.ua/content/fre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gov.ua/Documents/List?lang=uk-UA&amp;id=00bbbf50-cea4-4438-ab49-3e1cef452d14&amp;tag=FinansovePlanuvannia" TargetMode="External"/><Relationship Id="rId1" Type="http://schemas.openxmlformats.org/officeDocument/2006/relationships/hyperlink" Target="https://zakon.rada.gov.ua/laws/show/z03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8EEC2D989934383CF611736323C0E" ma:contentTypeVersion="7" ma:contentTypeDescription="Create a new document." ma:contentTypeScope="" ma:versionID="686b8e2812cda333e2b704279582f47e">
  <xsd:schema xmlns:xsd="http://www.w3.org/2001/XMLSchema" xmlns:xs="http://www.w3.org/2001/XMLSchema" xmlns:p="http://schemas.microsoft.com/office/2006/metadata/properties" xmlns:ns3="78676971-aa34-4a8f-bcaa-ba661b973afc" xmlns:ns4="340db5d2-0794-452f-afe7-e07f92b7312e" targetNamespace="http://schemas.microsoft.com/office/2006/metadata/properties" ma:root="true" ma:fieldsID="358e19e366dbb65c603d6b7dd4fff18c" ns3:_="" ns4:_="">
    <xsd:import namespace="78676971-aa34-4a8f-bcaa-ba661b973afc"/>
    <xsd:import namespace="340db5d2-0794-452f-afe7-e07f92b73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971-aa34-4a8f-bcaa-ba661b973a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db5d2-0794-452f-afe7-e07f92b731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DF3A9-6208-4EAB-85F6-6708F07B9E99}">
  <ds:schemaRefs>
    <ds:schemaRef ds:uri="http://schemas.microsoft.com/sharepoint/v3/contenttype/forms"/>
  </ds:schemaRefs>
</ds:datastoreItem>
</file>

<file path=customXml/itemProps2.xml><?xml version="1.0" encoding="utf-8"?>
<ds:datastoreItem xmlns:ds="http://schemas.openxmlformats.org/officeDocument/2006/customXml" ds:itemID="{93622BA8-B80F-4917-974B-696FDD0E0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E07D0-9898-4E0A-81F8-2094D126F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971-aa34-4a8f-bcaa-ba661b973afc"/>
    <ds:schemaRef ds:uri="340db5d2-0794-452f-afe7-e07f92b7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Links>
    <vt:vector size="12" baseType="variant">
      <vt:variant>
        <vt:i4>1638473</vt:i4>
      </vt:variant>
      <vt:variant>
        <vt:i4>3</vt:i4>
      </vt:variant>
      <vt:variant>
        <vt:i4>0</vt:i4>
      </vt:variant>
      <vt:variant>
        <vt:i4>5</vt:i4>
      </vt:variant>
      <vt:variant>
        <vt:lpwstr>https://www.me.gov.ua/Documents/List?lang=uk-UA&amp;id=00bbbf50-cea4-4438-ab49-3e1cef452d14&amp;tag=FinansovePlanuvannia</vt:lpwstr>
      </vt:variant>
      <vt:variant>
        <vt:lpwstr/>
      </vt:variant>
      <vt:variant>
        <vt:i4>5374024</vt:i4>
      </vt:variant>
      <vt:variant>
        <vt:i4>0</vt:i4>
      </vt:variant>
      <vt:variant>
        <vt:i4>0</vt:i4>
      </vt:variant>
      <vt:variant>
        <vt:i4>5</vt:i4>
      </vt:variant>
      <vt:variant>
        <vt:lpwstr>https://zakon.rada.gov.ua/laws/show/z0300-15</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Ukraine</dc:creator>
  <cp:keywords/>
  <dc:description/>
  <cp:lastModifiedBy>CC_EITI International Secretariat</cp:lastModifiedBy>
  <cp:revision>2</cp:revision>
  <dcterms:created xsi:type="dcterms:W3CDTF">2021-02-23T08:38:00Z</dcterms:created>
  <dcterms:modified xsi:type="dcterms:W3CDTF">2021-02-23T08:38:00Z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0x0101009F68EEC2D989934383CF611736323C0E</vt:lpwstr>
  </property>
</Properties>
</file>