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922ED" w14:textId="6243C12A" w:rsidR="00D61594" w:rsidRPr="00D61594" w:rsidRDefault="00D61594" w:rsidP="00D61594">
      <w:pPr>
        <w:pStyle w:val="Quote"/>
        <w:rPr>
          <w:color w:val="FF0000"/>
        </w:rPr>
      </w:pPr>
      <w:r w:rsidRPr="00D61594">
        <w:rPr>
          <w:color w:val="FF0000"/>
        </w:rPr>
        <w:t>Por favor tome em conta que estas notas de orientação se referem ao Padrão de 2013. Na maioria dos casos, os requisitos são os mesmos e a orientação se mantem válida. U</w:t>
      </w:r>
      <w:bookmarkStart w:id="0" w:name="_GoBack"/>
      <w:bookmarkEnd w:id="0"/>
      <w:r w:rsidRPr="00D61594">
        <w:rPr>
          <w:color w:val="FF0000"/>
        </w:rPr>
        <w:t>ma versão atualizada reflectindo o Padrão de 2016 estará disponível brevemente.</w:t>
      </w:r>
    </w:p>
    <w:p w14:paraId="5C564CE3" w14:textId="77777777" w:rsidR="00D61594" w:rsidRPr="00D61594" w:rsidRDefault="00D61594" w:rsidP="00D61594">
      <w:pPr>
        <w:pStyle w:val="Quote"/>
        <w:rPr>
          <w:color w:val="FF0000"/>
        </w:rPr>
      </w:pPr>
    </w:p>
    <w:p w14:paraId="65C7E851" w14:textId="13C828FD" w:rsidR="007913CA" w:rsidRPr="004061CD" w:rsidRDefault="004061CD" w:rsidP="00552735">
      <w:pPr>
        <w:pStyle w:val="Title"/>
        <w:rPr>
          <w:rFonts w:asciiTheme="minorHAnsi" w:eastAsia="Times New Roman" w:hAnsiTheme="minorHAnsi"/>
          <w:szCs w:val="24"/>
          <w:lang w:val="pt-PT"/>
        </w:rPr>
      </w:pPr>
      <w:r>
        <w:rPr>
          <w:rFonts w:asciiTheme="minorHAnsi" w:eastAsia="Times New Roman" w:hAnsiTheme="minorHAnsi"/>
          <w:szCs w:val="24"/>
          <w:lang w:val="pt-PT"/>
        </w:rPr>
        <w:t xml:space="preserve">Termos de </w:t>
      </w:r>
      <w:r w:rsidR="003B6ECE" w:rsidRPr="004061CD">
        <w:rPr>
          <w:rFonts w:asciiTheme="minorHAnsi" w:eastAsia="Times New Roman" w:hAnsiTheme="minorHAnsi"/>
          <w:szCs w:val="24"/>
          <w:lang w:val="pt-PT"/>
        </w:rPr>
        <w:t xml:space="preserve">Referência </w:t>
      </w:r>
      <w:r w:rsidR="0024746C">
        <w:rPr>
          <w:rFonts w:asciiTheme="minorHAnsi" w:eastAsia="Times New Roman" w:hAnsiTheme="minorHAnsi"/>
          <w:szCs w:val="24"/>
          <w:lang w:val="pt-PT"/>
        </w:rPr>
        <w:t>d</w:t>
      </w:r>
      <w:r w:rsidR="00430104">
        <w:rPr>
          <w:rFonts w:asciiTheme="minorHAnsi" w:eastAsia="Times New Roman" w:hAnsiTheme="minorHAnsi"/>
          <w:szCs w:val="24"/>
          <w:lang w:val="pt-PT"/>
        </w:rPr>
        <w:t>o</w:t>
      </w:r>
      <w:r w:rsidR="007913CA" w:rsidRPr="004061CD">
        <w:rPr>
          <w:rFonts w:asciiTheme="minorHAnsi" w:eastAsia="Times New Roman" w:hAnsiTheme="minorHAnsi"/>
          <w:szCs w:val="24"/>
          <w:lang w:val="pt-PT"/>
        </w:rPr>
        <w:t xml:space="preserve"> estudo de âmbito </w:t>
      </w:r>
      <w:r w:rsidR="0024746C">
        <w:rPr>
          <w:rFonts w:asciiTheme="minorHAnsi" w:eastAsia="Times New Roman" w:hAnsiTheme="minorHAnsi"/>
          <w:szCs w:val="24"/>
          <w:lang w:val="pt-PT"/>
        </w:rPr>
        <w:t xml:space="preserve">para </w:t>
      </w:r>
      <w:r w:rsidR="007913CA" w:rsidRPr="004061CD">
        <w:rPr>
          <w:rFonts w:asciiTheme="minorHAnsi" w:eastAsia="Times New Roman" w:hAnsiTheme="minorHAnsi"/>
          <w:szCs w:val="24"/>
          <w:lang w:val="pt-PT"/>
        </w:rPr>
        <w:t xml:space="preserve">o Relatório </w:t>
      </w:r>
      <w:r w:rsidR="003B6ECE" w:rsidRPr="004061CD">
        <w:rPr>
          <w:rFonts w:asciiTheme="minorHAnsi" w:eastAsia="Times New Roman" w:hAnsiTheme="minorHAnsi"/>
          <w:szCs w:val="24"/>
          <w:lang w:val="pt-PT"/>
        </w:rPr>
        <w:t xml:space="preserve">da </w:t>
      </w:r>
      <w:r w:rsidR="007913CA" w:rsidRPr="004061CD">
        <w:rPr>
          <w:rFonts w:asciiTheme="minorHAnsi" w:eastAsia="Times New Roman" w:hAnsiTheme="minorHAnsi"/>
          <w:szCs w:val="24"/>
          <w:lang w:val="pt-PT"/>
        </w:rPr>
        <w:t xml:space="preserve">EITI </w:t>
      </w:r>
      <w:r w:rsidR="007913CA" w:rsidRPr="004061CD">
        <w:rPr>
          <w:rFonts w:asciiTheme="minorHAnsi" w:eastAsia="Times New Roman" w:hAnsiTheme="minorHAnsi"/>
          <w:color w:val="0070C0"/>
          <w:szCs w:val="24"/>
          <w:lang w:val="pt-PT"/>
        </w:rPr>
        <w:t>[ano]</w:t>
      </w:r>
      <w:r w:rsidR="007913CA" w:rsidRPr="004061CD">
        <w:rPr>
          <w:rFonts w:asciiTheme="minorHAnsi" w:eastAsia="Times New Roman" w:hAnsiTheme="minorHAnsi"/>
          <w:szCs w:val="24"/>
          <w:lang w:val="pt-PT"/>
        </w:rPr>
        <w:t xml:space="preserve">, </w:t>
      </w:r>
      <w:r w:rsidR="007913CA" w:rsidRPr="004061CD">
        <w:rPr>
          <w:rFonts w:asciiTheme="minorHAnsi" w:eastAsia="Times New Roman" w:hAnsiTheme="minorHAnsi"/>
          <w:color w:val="0070C0"/>
          <w:szCs w:val="24"/>
          <w:lang w:val="pt-PT"/>
        </w:rPr>
        <w:t>[país]</w:t>
      </w:r>
      <w:r w:rsidR="007913CA" w:rsidRPr="004061CD">
        <w:rPr>
          <w:rFonts w:asciiTheme="minorHAnsi" w:eastAsia="Times New Roman" w:hAnsiTheme="minorHAnsi"/>
          <w:szCs w:val="24"/>
          <w:lang w:val="pt-PT"/>
        </w:rPr>
        <w:t xml:space="preserve">, </w:t>
      </w:r>
      <w:r w:rsidR="007913CA" w:rsidRPr="004061CD">
        <w:rPr>
          <w:rFonts w:asciiTheme="minorHAnsi" w:eastAsia="Times New Roman" w:hAnsiTheme="minorHAnsi"/>
          <w:color w:val="0070C0"/>
          <w:szCs w:val="24"/>
          <w:lang w:val="pt-PT"/>
        </w:rPr>
        <w:t>[data]</w:t>
      </w:r>
    </w:p>
    <w:p w14:paraId="13147687" w14:textId="77777777" w:rsidR="00A31002" w:rsidRDefault="000E1517">
      <w:pPr>
        <w:pStyle w:val="TOC1"/>
        <w:tabs>
          <w:tab w:val="left" w:pos="440"/>
          <w:tab w:val="right" w:leader="dot" w:pos="9060"/>
        </w:tabs>
        <w:rPr>
          <w:rFonts w:asciiTheme="minorHAnsi" w:eastAsiaTheme="minorEastAsia" w:hAnsiTheme="minorHAnsi"/>
          <w:noProof/>
          <w:lang w:val="pt-PT" w:eastAsia="pt-PT"/>
        </w:rPr>
      </w:pPr>
      <w:r>
        <w:rPr>
          <w:rFonts w:asciiTheme="minorHAnsi" w:hAnsiTheme="minorHAnsi"/>
        </w:rPr>
        <w:fldChar w:fldCharType="begin"/>
      </w:r>
      <w:r>
        <w:rPr>
          <w:rFonts w:asciiTheme="minorHAnsi" w:hAnsiTheme="minorHAnsi"/>
        </w:rPr>
        <w:instrText xml:space="preserve"> TOC \o "1-3" \h \z \u </w:instrText>
      </w:r>
      <w:r>
        <w:rPr>
          <w:rFonts w:asciiTheme="minorHAnsi" w:hAnsiTheme="minorHAnsi"/>
        </w:rPr>
        <w:fldChar w:fldCharType="separate"/>
      </w:r>
      <w:hyperlink w:anchor="_Toc427850151" w:history="1">
        <w:r w:rsidR="00A31002" w:rsidRPr="00D351CE">
          <w:rPr>
            <w:rStyle w:val="Hyperlink"/>
            <w:rFonts w:eastAsia="Times New Roman"/>
            <w:noProof/>
            <w:lang w:val="pt-PT"/>
          </w:rPr>
          <w:t>1.</w:t>
        </w:r>
        <w:r w:rsidR="00A31002">
          <w:rPr>
            <w:rFonts w:asciiTheme="minorHAnsi" w:eastAsiaTheme="minorEastAsia" w:hAnsiTheme="minorHAnsi"/>
            <w:noProof/>
            <w:lang w:val="pt-PT" w:eastAsia="pt-PT"/>
          </w:rPr>
          <w:tab/>
        </w:r>
        <w:r w:rsidR="00A31002" w:rsidRPr="00D351CE">
          <w:rPr>
            <w:rStyle w:val="Hyperlink"/>
            <w:rFonts w:eastAsia="Times New Roman"/>
            <w:noProof/>
            <w:lang w:val="pt-PT"/>
          </w:rPr>
          <w:t>História</w:t>
        </w:r>
        <w:r w:rsidR="00A31002">
          <w:rPr>
            <w:noProof/>
            <w:webHidden/>
          </w:rPr>
          <w:tab/>
        </w:r>
        <w:r w:rsidR="00A31002">
          <w:rPr>
            <w:noProof/>
            <w:webHidden/>
          </w:rPr>
          <w:fldChar w:fldCharType="begin"/>
        </w:r>
        <w:r w:rsidR="00A31002">
          <w:rPr>
            <w:noProof/>
            <w:webHidden/>
          </w:rPr>
          <w:instrText xml:space="preserve"> PAGEREF _Toc427850151 \h </w:instrText>
        </w:r>
        <w:r w:rsidR="00A31002">
          <w:rPr>
            <w:noProof/>
            <w:webHidden/>
          </w:rPr>
        </w:r>
        <w:r w:rsidR="00A31002">
          <w:rPr>
            <w:noProof/>
            <w:webHidden/>
          </w:rPr>
          <w:fldChar w:fldCharType="separate"/>
        </w:r>
        <w:r w:rsidR="0066743B">
          <w:rPr>
            <w:noProof/>
            <w:webHidden/>
          </w:rPr>
          <w:t>1</w:t>
        </w:r>
        <w:r w:rsidR="00A31002">
          <w:rPr>
            <w:noProof/>
            <w:webHidden/>
          </w:rPr>
          <w:fldChar w:fldCharType="end"/>
        </w:r>
      </w:hyperlink>
    </w:p>
    <w:p w14:paraId="1313D091" w14:textId="77777777" w:rsidR="00A31002" w:rsidRDefault="00D61594">
      <w:pPr>
        <w:pStyle w:val="TOC1"/>
        <w:tabs>
          <w:tab w:val="left" w:pos="440"/>
          <w:tab w:val="right" w:leader="dot" w:pos="9060"/>
        </w:tabs>
        <w:rPr>
          <w:rFonts w:asciiTheme="minorHAnsi" w:eastAsiaTheme="minorEastAsia" w:hAnsiTheme="minorHAnsi"/>
          <w:noProof/>
          <w:lang w:val="pt-PT" w:eastAsia="pt-PT"/>
        </w:rPr>
      </w:pPr>
      <w:hyperlink w:anchor="_Toc427850152" w:history="1">
        <w:r w:rsidR="00A31002" w:rsidRPr="00D351CE">
          <w:rPr>
            <w:rStyle w:val="Hyperlink"/>
            <w:rFonts w:eastAsia="Times New Roman"/>
            <w:noProof/>
          </w:rPr>
          <w:t>2.</w:t>
        </w:r>
        <w:r w:rsidR="00A31002">
          <w:rPr>
            <w:rFonts w:asciiTheme="minorHAnsi" w:eastAsiaTheme="minorEastAsia" w:hAnsiTheme="minorHAnsi"/>
            <w:noProof/>
            <w:lang w:val="pt-PT" w:eastAsia="pt-PT"/>
          </w:rPr>
          <w:tab/>
        </w:r>
        <w:r w:rsidR="00A31002" w:rsidRPr="00D351CE">
          <w:rPr>
            <w:rStyle w:val="Hyperlink"/>
            <w:rFonts w:eastAsia="Times New Roman"/>
            <w:noProof/>
            <w:lang w:val="pt-PT"/>
          </w:rPr>
          <w:t>Objetivo da adjudicação</w:t>
        </w:r>
        <w:r w:rsidR="00A31002">
          <w:rPr>
            <w:noProof/>
            <w:webHidden/>
          </w:rPr>
          <w:tab/>
        </w:r>
        <w:r w:rsidR="00A31002">
          <w:rPr>
            <w:noProof/>
            <w:webHidden/>
          </w:rPr>
          <w:fldChar w:fldCharType="begin"/>
        </w:r>
        <w:r w:rsidR="00A31002">
          <w:rPr>
            <w:noProof/>
            <w:webHidden/>
          </w:rPr>
          <w:instrText xml:space="preserve"> PAGEREF _Toc427850152 \h </w:instrText>
        </w:r>
        <w:r w:rsidR="00A31002">
          <w:rPr>
            <w:noProof/>
            <w:webHidden/>
          </w:rPr>
        </w:r>
        <w:r w:rsidR="00A31002">
          <w:rPr>
            <w:noProof/>
            <w:webHidden/>
          </w:rPr>
          <w:fldChar w:fldCharType="separate"/>
        </w:r>
        <w:r w:rsidR="0066743B">
          <w:rPr>
            <w:noProof/>
            <w:webHidden/>
          </w:rPr>
          <w:t>2</w:t>
        </w:r>
        <w:r w:rsidR="00A31002">
          <w:rPr>
            <w:noProof/>
            <w:webHidden/>
          </w:rPr>
          <w:fldChar w:fldCharType="end"/>
        </w:r>
      </w:hyperlink>
    </w:p>
    <w:p w14:paraId="7A351500" w14:textId="77777777" w:rsidR="00A31002" w:rsidRDefault="00D61594">
      <w:pPr>
        <w:pStyle w:val="TOC1"/>
        <w:tabs>
          <w:tab w:val="left" w:pos="440"/>
          <w:tab w:val="right" w:leader="dot" w:pos="9060"/>
        </w:tabs>
        <w:rPr>
          <w:rFonts w:asciiTheme="minorHAnsi" w:eastAsiaTheme="minorEastAsia" w:hAnsiTheme="minorHAnsi"/>
          <w:noProof/>
          <w:lang w:val="pt-PT" w:eastAsia="pt-PT"/>
        </w:rPr>
      </w:pPr>
      <w:hyperlink w:anchor="_Toc427850153" w:history="1">
        <w:r w:rsidR="00A31002" w:rsidRPr="00D351CE">
          <w:rPr>
            <w:rStyle w:val="Hyperlink"/>
            <w:rFonts w:eastAsia="Times New Roman"/>
            <w:noProof/>
          </w:rPr>
          <w:t>3.</w:t>
        </w:r>
        <w:r w:rsidR="00A31002">
          <w:rPr>
            <w:rFonts w:asciiTheme="minorHAnsi" w:eastAsiaTheme="minorEastAsia" w:hAnsiTheme="minorHAnsi"/>
            <w:noProof/>
            <w:lang w:val="pt-PT" w:eastAsia="pt-PT"/>
          </w:rPr>
          <w:tab/>
        </w:r>
        <w:r w:rsidR="00A31002" w:rsidRPr="00D351CE">
          <w:rPr>
            <w:rStyle w:val="Hyperlink"/>
            <w:rFonts w:eastAsia="Times New Roman"/>
            <w:noProof/>
            <w:lang w:val="pt-PT"/>
          </w:rPr>
          <w:t>Âmbito do trabalho</w:t>
        </w:r>
        <w:r w:rsidR="00A31002">
          <w:rPr>
            <w:noProof/>
            <w:webHidden/>
          </w:rPr>
          <w:tab/>
        </w:r>
        <w:r w:rsidR="00A31002">
          <w:rPr>
            <w:noProof/>
            <w:webHidden/>
          </w:rPr>
          <w:fldChar w:fldCharType="begin"/>
        </w:r>
        <w:r w:rsidR="00A31002">
          <w:rPr>
            <w:noProof/>
            <w:webHidden/>
          </w:rPr>
          <w:instrText xml:space="preserve"> PAGEREF _Toc427850153 \h </w:instrText>
        </w:r>
        <w:r w:rsidR="00A31002">
          <w:rPr>
            <w:noProof/>
            <w:webHidden/>
          </w:rPr>
        </w:r>
        <w:r w:rsidR="00A31002">
          <w:rPr>
            <w:noProof/>
            <w:webHidden/>
          </w:rPr>
          <w:fldChar w:fldCharType="separate"/>
        </w:r>
        <w:r w:rsidR="0066743B">
          <w:rPr>
            <w:noProof/>
            <w:webHidden/>
          </w:rPr>
          <w:t>3</w:t>
        </w:r>
        <w:r w:rsidR="00A31002">
          <w:rPr>
            <w:noProof/>
            <w:webHidden/>
          </w:rPr>
          <w:fldChar w:fldCharType="end"/>
        </w:r>
      </w:hyperlink>
    </w:p>
    <w:p w14:paraId="6173A865" w14:textId="77777777" w:rsidR="00A31002" w:rsidRDefault="00D61594">
      <w:pPr>
        <w:pStyle w:val="TOC1"/>
        <w:tabs>
          <w:tab w:val="left" w:pos="440"/>
          <w:tab w:val="right" w:leader="dot" w:pos="9060"/>
        </w:tabs>
        <w:rPr>
          <w:rFonts w:asciiTheme="minorHAnsi" w:eastAsiaTheme="minorEastAsia" w:hAnsiTheme="minorHAnsi"/>
          <w:noProof/>
          <w:lang w:val="pt-PT" w:eastAsia="pt-PT"/>
        </w:rPr>
      </w:pPr>
      <w:hyperlink w:anchor="_Toc427850154" w:history="1">
        <w:r w:rsidR="00A31002" w:rsidRPr="00D351CE">
          <w:rPr>
            <w:rStyle w:val="Hyperlink"/>
            <w:rFonts w:eastAsia="Times New Roman"/>
            <w:noProof/>
          </w:rPr>
          <w:t>4.</w:t>
        </w:r>
        <w:r w:rsidR="00A31002">
          <w:rPr>
            <w:rFonts w:asciiTheme="minorHAnsi" w:eastAsiaTheme="minorEastAsia" w:hAnsiTheme="minorHAnsi"/>
            <w:noProof/>
            <w:lang w:val="pt-PT" w:eastAsia="pt-PT"/>
          </w:rPr>
          <w:tab/>
        </w:r>
        <w:r w:rsidR="00A31002" w:rsidRPr="00D351CE">
          <w:rPr>
            <w:rStyle w:val="Hyperlink"/>
            <w:rFonts w:eastAsia="Times New Roman"/>
            <w:noProof/>
            <w:lang w:val="pt-PT"/>
          </w:rPr>
          <w:t>Materiais a entregar</w:t>
        </w:r>
        <w:r w:rsidR="00A31002">
          <w:rPr>
            <w:noProof/>
            <w:webHidden/>
          </w:rPr>
          <w:tab/>
        </w:r>
        <w:r w:rsidR="00A31002">
          <w:rPr>
            <w:noProof/>
            <w:webHidden/>
          </w:rPr>
          <w:fldChar w:fldCharType="begin"/>
        </w:r>
        <w:r w:rsidR="00A31002">
          <w:rPr>
            <w:noProof/>
            <w:webHidden/>
          </w:rPr>
          <w:instrText xml:space="preserve"> PAGEREF _Toc427850154 \h </w:instrText>
        </w:r>
        <w:r w:rsidR="00A31002">
          <w:rPr>
            <w:noProof/>
            <w:webHidden/>
          </w:rPr>
        </w:r>
        <w:r w:rsidR="00A31002">
          <w:rPr>
            <w:noProof/>
            <w:webHidden/>
          </w:rPr>
          <w:fldChar w:fldCharType="separate"/>
        </w:r>
        <w:r w:rsidR="0066743B">
          <w:rPr>
            <w:noProof/>
            <w:webHidden/>
          </w:rPr>
          <w:t>7</w:t>
        </w:r>
        <w:r w:rsidR="00A31002">
          <w:rPr>
            <w:noProof/>
            <w:webHidden/>
          </w:rPr>
          <w:fldChar w:fldCharType="end"/>
        </w:r>
      </w:hyperlink>
    </w:p>
    <w:p w14:paraId="2D100D39" w14:textId="77777777" w:rsidR="00A31002" w:rsidRDefault="00D61594">
      <w:pPr>
        <w:pStyle w:val="TOC1"/>
        <w:tabs>
          <w:tab w:val="left" w:pos="440"/>
          <w:tab w:val="right" w:leader="dot" w:pos="9060"/>
        </w:tabs>
        <w:rPr>
          <w:rFonts w:asciiTheme="minorHAnsi" w:eastAsiaTheme="minorEastAsia" w:hAnsiTheme="minorHAnsi"/>
          <w:noProof/>
          <w:lang w:val="pt-PT" w:eastAsia="pt-PT"/>
        </w:rPr>
      </w:pPr>
      <w:hyperlink w:anchor="_Toc427850155" w:history="1">
        <w:r w:rsidR="00A31002" w:rsidRPr="00D351CE">
          <w:rPr>
            <w:rStyle w:val="Hyperlink"/>
            <w:rFonts w:eastAsia="Times New Roman"/>
            <w:noProof/>
          </w:rPr>
          <w:t>5.</w:t>
        </w:r>
        <w:r w:rsidR="00A31002">
          <w:rPr>
            <w:rFonts w:asciiTheme="minorHAnsi" w:eastAsiaTheme="minorEastAsia" w:hAnsiTheme="minorHAnsi"/>
            <w:noProof/>
            <w:lang w:val="pt-PT" w:eastAsia="pt-PT"/>
          </w:rPr>
          <w:tab/>
        </w:r>
        <w:r w:rsidR="00A31002" w:rsidRPr="00D351CE">
          <w:rPr>
            <w:rStyle w:val="Hyperlink"/>
            <w:rFonts w:eastAsia="Times New Roman"/>
            <w:noProof/>
            <w:lang w:val="pt-PT"/>
          </w:rPr>
          <w:t>Requisitos relativos ao consultor</w:t>
        </w:r>
        <w:r w:rsidR="00A31002">
          <w:rPr>
            <w:noProof/>
            <w:webHidden/>
          </w:rPr>
          <w:tab/>
        </w:r>
        <w:r w:rsidR="00A31002">
          <w:rPr>
            <w:noProof/>
            <w:webHidden/>
          </w:rPr>
          <w:fldChar w:fldCharType="begin"/>
        </w:r>
        <w:r w:rsidR="00A31002">
          <w:rPr>
            <w:noProof/>
            <w:webHidden/>
          </w:rPr>
          <w:instrText xml:space="preserve"> PAGEREF _Toc427850155 \h </w:instrText>
        </w:r>
        <w:r w:rsidR="00A31002">
          <w:rPr>
            <w:noProof/>
            <w:webHidden/>
          </w:rPr>
        </w:r>
        <w:r w:rsidR="00A31002">
          <w:rPr>
            <w:noProof/>
            <w:webHidden/>
          </w:rPr>
          <w:fldChar w:fldCharType="separate"/>
        </w:r>
        <w:r w:rsidR="0066743B">
          <w:rPr>
            <w:noProof/>
            <w:webHidden/>
          </w:rPr>
          <w:t>7</w:t>
        </w:r>
        <w:r w:rsidR="00A31002">
          <w:rPr>
            <w:noProof/>
            <w:webHidden/>
          </w:rPr>
          <w:fldChar w:fldCharType="end"/>
        </w:r>
      </w:hyperlink>
    </w:p>
    <w:p w14:paraId="5BD81813" w14:textId="77777777" w:rsidR="00A31002" w:rsidRDefault="00D61594">
      <w:pPr>
        <w:pStyle w:val="TOC1"/>
        <w:tabs>
          <w:tab w:val="left" w:pos="440"/>
          <w:tab w:val="right" w:leader="dot" w:pos="9060"/>
        </w:tabs>
        <w:rPr>
          <w:rFonts w:asciiTheme="minorHAnsi" w:eastAsiaTheme="minorEastAsia" w:hAnsiTheme="minorHAnsi"/>
          <w:noProof/>
          <w:lang w:val="pt-PT" w:eastAsia="pt-PT"/>
        </w:rPr>
      </w:pPr>
      <w:hyperlink w:anchor="_Toc427850156" w:history="1">
        <w:r w:rsidR="00A31002" w:rsidRPr="00D351CE">
          <w:rPr>
            <w:rStyle w:val="Hyperlink"/>
            <w:rFonts w:eastAsia="Times New Roman"/>
            <w:noProof/>
          </w:rPr>
          <w:t>6.</w:t>
        </w:r>
        <w:r w:rsidR="00A31002">
          <w:rPr>
            <w:rFonts w:asciiTheme="minorHAnsi" w:eastAsiaTheme="minorEastAsia" w:hAnsiTheme="minorHAnsi"/>
            <w:noProof/>
            <w:lang w:val="pt-PT" w:eastAsia="pt-PT"/>
          </w:rPr>
          <w:tab/>
        </w:r>
        <w:r w:rsidR="00A31002" w:rsidRPr="00D351CE">
          <w:rPr>
            <w:rStyle w:val="Hyperlink"/>
            <w:rFonts w:eastAsia="Times New Roman"/>
            <w:noProof/>
            <w:lang w:val="pt-PT"/>
          </w:rPr>
          <w:t>Organização administrativa</w:t>
        </w:r>
        <w:r w:rsidR="00A31002">
          <w:rPr>
            <w:noProof/>
            <w:webHidden/>
          </w:rPr>
          <w:tab/>
        </w:r>
        <w:r w:rsidR="00A31002">
          <w:rPr>
            <w:noProof/>
            <w:webHidden/>
          </w:rPr>
          <w:fldChar w:fldCharType="begin"/>
        </w:r>
        <w:r w:rsidR="00A31002">
          <w:rPr>
            <w:noProof/>
            <w:webHidden/>
          </w:rPr>
          <w:instrText xml:space="preserve"> PAGEREF _Toc427850156 \h </w:instrText>
        </w:r>
        <w:r w:rsidR="00A31002">
          <w:rPr>
            <w:noProof/>
            <w:webHidden/>
          </w:rPr>
        </w:r>
        <w:r w:rsidR="00A31002">
          <w:rPr>
            <w:noProof/>
            <w:webHidden/>
          </w:rPr>
          <w:fldChar w:fldCharType="separate"/>
        </w:r>
        <w:r w:rsidR="0066743B">
          <w:rPr>
            <w:noProof/>
            <w:webHidden/>
          </w:rPr>
          <w:t>7</w:t>
        </w:r>
        <w:r w:rsidR="00A31002">
          <w:rPr>
            <w:noProof/>
            <w:webHidden/>
          </w:rPr>
          <w:fldChar w:fldCharType="end"/>
        </w:r>
      </w:hyperlink>
    </w:p>
    <w:p w14:paraId="0C207EFA" w14:textId="77777777" w:rsidR="00A31002" w:rsidRDefault="00D61594">
      <w:pPr>
        <w:pStyle w:val="TOC1"/>
        <w:tabs>
          <w:tab w:val="left" w:pos="440"/>
          <w:tab w:val="right" w:leader="dot" w:pos="9060"/>
        </w:tabs>
        <w:rPr>
          <w:rFonts w:asciiTheme="minorHAnsi" w:eastAsiaTheme="minorEastAsia" w:hAnsiTheme="minorHAnsi"/>
          <w:noProof/>
          <w:lang w:val="pt-PT" w:eastAsia="pt-PT"/>
        </w:rPr>
      </w:pPr>
      <w:hyperlink w:anchor="_Toc427850157" w:history="1">
        <w:r w:rsidR="00A31002" w:rsidRPr="00D351CE">
          <w:rPr>
            <w:rStyle w:val="Hyperlink"/>
            <w:rFonts w:eastAsia="Times New Roman"/>
            <w:noProof/>
          </w:rPr>
          <w:t>7.</w:t>
        </w:r>
        <w:r w:rsidR="00A31002">
          <w:rPr>
            <w:rFonts w:asciiTheme="minorHAnsi" w:eastAsiaTheme="minorEastAsia" w:hAnsiTheme="minorHAnsi"/>
            <w:noProof/>
            <w:lang w:val="pt-PT" w:eastAsia="pt-PT"/>
          </w:rPr>
          <w:tab/>
        </w:r>
        <w:r w:rsidR="00A31002" w:rsidRPr="00D351CE">
          <w:rPr>
            <w:rStyle w:val="Hyperlink"/>
            <w:rFonts w:eastAsia="Times New Roman"/>
            <w:noProof/>
            <w:lang w:val="pt-PT"/>
          </w:rPr>
          <w:t>Materiais de referência</w:t>
        </w:r>
        <w:r w:rsidR="00A31002">
          <w:rPr>
            <w:noProof/>
            <w:webHidden/>
          </w:rPr>
          <w:tab/>
        </w:r>
        <w:r w:rsidR="00A31002">
          <w:rPr>
            <w:noProof/>
            <w:webHidden/>
          </w:rPr>
          <w:fldChar w:fldCharType="begin"/>
        </w:r>
        <w:r w:rsidR="00A31002">
          <w:rPr>
            <w:noProof/>
            <w:webHidden/>
          </w:rPr>
          <w:instrText xml:space="preserve"> PAGEREF _Toc427850157 \h </w:instrText>
        </w:r>
        <w:r w:rsidR="00A31002">
          <w:rPr>
            <w:noProof/>
            <w:webHidden/>
          </w:rPr>
        </w:r>
        <w:r w:rsidR="00A31002">
          <w:rPr>
            <w:noProof/>
            <w:webHidden/>
          </w:rPr>
          <w:fldChar w:fldCharType="separate"/>
        </w:r>
        <w:r w:rsidR="0066743B">
          <w:rPr>
            <w:noProof/>
            <w:webHidden/>
          </w:rPr>
          <w:t>7</w:t>
        </w:r>
        <w:r w:rsidR="00A31002">
          <w:rPr>
            <w:noProof/>
            <w:webHidden/>
          </w:rPr>
          <w:fldChar w:fldCharType="end"/>
        </w:r>
      </w:hyperlink>
    </w:p>
    <w:p w14:paraId="404B59D2" w14:textId="77777777" w:rsidR="000E1517" w:rsidRDefault="000E1517" w:rsidP="00DC75B4">
      <w:pPr>
        <w:pStyle w:val="Heading1"/>
        <w:spacing w:after="120"/>
        <w:rPr>
          <w:rFonts w:asciiTheme="minorHAnsi" w:hAnsiTheme="minorHAnsi"/>
        </w:rPr>
      </w:pPr>
      <w:r>
        <w:rPr>
          <w:rFonts w:asciiTheme="minorHAnsi" w:hAnsiTheme="minorHAnsi"/>
        </w:rPr>
        <w:fldChar w:fldCharType="end"/>
      </w:r>
    </w:p>
    <w:p w14:paraId="07950BE3" w14:textId="4EA5F32C" w:rsidR="007913CA" w:rsidRDefault="007913CA" w:rsidP="004061CD">
      <w:pPr>
        <w:pStyle w:val="Heading1"/>
        <w:numPr>
          <w:ilvl w:val="0"/>
          <w:numId w:val="19"/>
        </w:numPr>
        <w:spacing w:before="240" w:after="120"/>
        <w:ind w:left="357" w:hanging="357"/>
        <w:rPr>
          <w:rFonts w:asciiTheme="minorHAnsi" w:eastAsia="Times New Roman" w:hAnsiTheme="minorHAnsi" w:cstheme="minorBidi"/>
          <w:bCs w:val="0"/>
          <w:szCs w:val="24"/>
          <w:lang w:val="pt-PT"/>
        </w:rPr>
      </w:pPr>
      <w:bookmarkStart w:id="1" w:name="_Toc427850151"/>
      <w:r w:rsidRPr="003A7E91">
        <w:rPr>
          <w:rFonts w:asciiTheme="minorHAnsi" w:eastAsia="Times New Roman" w:hAnsiTheme="minorHAnsi" w:cstheme="minorBidi"/>
          <w:bCs w:val="0"/>
          <w:szCs w:val="24"/>
          <w:lang w:val="pt-PT"/>
        </w:rPr>
        <w:t>História</w:t>
      </w:r>
      <w:bookmarkEnd w:id="1"/>
    </w:p>
    <w:p w14:paraId="5C6373BB" w14:textId="3B056A26" w:rsidR="001A02C8" w:rsidRPr="003A7E91" w:rsidRDefault="001A02C8" w:rsidP="001A02C8">
      <w:pPr>
        <w:autoSpaceDE w:val="0"/>
        <w:autoSpaceDN w:val="0"/>
        <w:adjustRightInd w:val="0"/>
        <w:spacing w:after="240" w:line="280" w:lineRule="auto"/>
        <w:rPr>
          <w:szCs w:val="24"/>
          <w:lang w:val="pt-PT"/>
        </w:rPr>
      </w:pPr>
      <w:r>
        <w:rPr>
          <w:szCs w:val="24"/>
          <w:lang w:val="pt-PT"/>
        </w:rPr>
        <w:t>A Iniciativa para a Transparência das Indústrias Extrativas (EITI) é um</w:t>
      </w:r>
      <w:r w:rsidR="004061CD">
        <w:rPr>
          <w:szCs w:val="24"/>
          <w:lang w:val="pt-PT"/>
        </w:rPr>
        <w:t xml:space="preserve"> padrão</w:t>
      </w:r>
      <w:r>
        <w:rPr>
          <w:szCs w:val="24"/>
          <w:lang w:val="pt-PT"/>
        </w:rPr>
        <w:t xml:space="preserve"> global que promove a transparência e a responsabilidade no setor extrativo. </w:t>
      </w:r>
      <w:r w:rsidR="008B07C7">
        <w:rPr>
          <w:szCs w:val="24"/>
          <w:lang w:val="pt-PT"/>
        </w:rPr>
        <w:t>Emprega uma metodologia robusta, porém</w:t>
      </w:r>
      <w:r>
        <w:rPr>
          <w:szCs w:val="24"/>
          <w:lang w:val="pt-PT"/>
        </w:rPr>
        <w:t xml:space="preserve"> flexível</w:t>
      </w:r>
      <w:r w:rsidR="008B07C7">
        <w:rPr>
          <w:szCs w:val="24"/>
          <w:lang w:val="pt-PT"/>
        </w:rPr>
        <w:t>,</w:t>
      </w:r>
      <w:r>
        <w:rPr>
          <w:szCs w:val="24"/>
          <w:lang w:val="pt-PT"/>
        </w:rPr>
        <w:t xml:space="preserve"> para </w:t>
      </w:r>
      <w:r w:rsidR="008B07C7">
        <w:rPr>
          <w:szCs w:val="24"/>
          <w:lang w:val="pt-PT"/>
        </w:rPr>
        <w:t xml:space="preserve">a </w:t>
      </w:r>
      <w:r>
        <w:rPr>
          <w:szCs w:val="24"/>
          <w:lang w:val="pt-PT"/>
        </w:rPr>
        <w:t xml:space="preserve">monitorização e reconciliação dos pagamentos das empresas e receitas governamentais provenientes do petróleo, gás e mineração ao nível nacional, e para </w:t>
      </w:r>
      <w:r w:rsidR="008B07C7">
        <w:rPr>
          <w:szCs w:val="24"/>
          <w:lang w:val="pt-PT"/>
        </w:rPr>
        <w:t>a divulgação das informações</w:t>
      </w:r>
      <w:r>
        <w:rPr>
          <w:szCs w:val="24"/>
          <w:lang w:val="pt-PT"/>
        </w:rPr>
        <w:t xml:space="preserve"> pela cadeia de valor do setor extrativo. Os países </w:t>
      </w:r>
      <w:r w:rsidR="008B07C7">
        <w:rPr>
          <w:szCs w:val="24"/>
          <w:lang w:val="pt-PT"/>
        </w:rPr>
        <w:t>implementadores</w:t>
      </w:r>
      <w:r>
        <w:rPr>
          <w:szCs w:val="24"/>
          <w:lang w:val="pt-PT"/>
        </w:rPr>
        <w:t xml:space="preserve"> criam o seu próprio processo </w:t>
      </w:r>
      <w:r w:rsidR="008B07C7">
        <w:rPr>
          <w:szCs w:val="24"/>
          <w:lang w:val="pt-PT"/>
        </w:rPr>
        <w:t xml:space="preserve">de </w:t>
      </w:r>
      <w:r>
        <w:rPr>
          <w:szCs w:val="24"/>
          <w:lang w:val="pt-PT"/>
        </w:rPr>
        <w:t xml:space="preserve">EITI adaptado às necessidades específicas de cada país. Este processo envolve a definição do âmbito da informação a ser publicada e a investigação da forma como a divulgação da </w:t>
      </w:r>
      <w:r>
        <w:rPr>
          <w:szCs w:val="24"/>
          <w:lang w:val="pt-PT"/>
        </w:rPr>
        <w:lastRenderedPageBreak/>
        <w:t>informação pode ser integrada nos portais dos governos e das empresas, como complemento e reforço de esforços mais amplos no sentido de melhorar a governação do setor extrativo. A implementação da EITI compreende dois component</w:t>
      </w:r>
      <w:r w:rsidR="008C6C80">
        <w:rPr>
          <w:szCs w:val="24"/>
          <w:lang w:val="pt-PT"/>
        </w:rPr>
        <w:t>e</w:t>
      </w:r>
      <w:r>
        <w:rPr>
          <w:szCs w:val="24"/>
          <w:lang w:val="pt-PT"/>
        </w:rPr>
        <w:t>s nucleares:</w:t>
      </w:r>
    </w:p>
    <w:p w14:paraId="74BEA137" w14:textId="082D8052" w:rsidR="0078041D" w:rsidRDefault="0078041D" w:rsidP="0078041D">
      <w:pPr>
        <w:pStyle w:val="ListParagraph"/>
        <w:numPr>
          <w:ilvl w:val="0"/>
          <w:numId w:val="1"/>
        </w:numPr>
        <w:autoSpaceDE w:val="0"/>
        <w:autoSpaceDN w:val="0"/>
        <w:adjustRightInd w:val="0"/>
        <w:spacing w:after="240" w:line="240" w:lineRule="auto"/>
        <w:contextualSpacing w:val="0"/>
        <w:rPr>
          <w:szCs w:val="24"/>
          <w:lang w:val="pt-PT"/>
        </w:rPr>
      </w:pPr>
      <w:r>
        <w:rPr>
          <w:szCs w:val="24"/>
          <w:lang w:val="pt-PT"/>
        </w:rPr>
        <w:t>Transparência: as empresas do setor do petróleo, gás e mineração divulgam os seus pagamentos ao governo e o governo divulga as suas receitas. Os números são reconciliados e publicados em relatórios anuais da EITI acompanhados de informações contextuais acerca do setor extrativo.</w:t>
      </w:r>
    </w:p>
    <w:p w14:paraId="4CA6A911" w14:textId="5FCB9618" w:rsidR="000C1003" w:rsidRDefault="000C1003" w:rsidP="000C1003">
      <w:pPr>
        <w:pStyle w:val="ListParagraph"/>
        <w:numPr>
          <w:ilvl w:val="0"/>
          <w:numId w:val="1"/>
        </w:numPr>
        <w:autoSpaceDE w:val="0"/>
        <w:autoSpaceDN w:val="0"/>
        <w:adjustRightInd w:val="0"/>
        <w:spacing w:after="0" w:line="240" w:lineRule="auto"/>
        <w:contextualSpacing w:val="0"/>
        <w:rPr>
          <w:szCs w:val="24"/>
          <w:lang w:val="pt-PT"/>
        </w:rPr>
      </w:pPr>
      <w:r w:rsidRPr="000C1003">
        <w:rPr>
          <w:szCs w:val="24"/>
          <w:lang w:val="pt-PT"/>
        </w:rPr>
        <w:t xml:space="preserve">Responsabilização: </w:t>
      </w:r>
      <w:r>
        <w:rPr>
          <w:szCs w:val="24"/>
          <w:lang w:val="pt-PT"/>
        </w:rPr>
        <w:t>é reunido um grupo composto p</w:t>
      </w:r>
      <w:r w:rsidR="008B07C7">
        <w:rPr>
          <w:szCs w:val="24"/>
          <w:lang w:val="pt-PT"/>
        </w:rPr>
        <w:t>or diversas partes interessadas (o grupo de intervenientes ou MSG),</w:t>
      </w:r>
      <w:r>
        <w:rPr>
          <w:szCs w:val="24"/>
          <w:lang w:val="pt-PT"/>
        </w:rPr>
        <w:t xml:space="preserve"> com representantes do governo, das empresas e da sociedade civil, para supervisionar o processo e comunicar os resultados do relatório</w:t>
      </w:r>
      <w:r w:rsidR="008B07C7">
        <w:rPr>
          <w:szCs w:val="24"/>
          <w:lang w:val="pt-PT"/>
        </w:rPr>
        <w:t xml:space="preserve"> da</w:t>
      </w:r>
      <w:r>
        <w:rPr>
          <w:szCs w:val="24"/>
          <w:lang w:val="pt-PT"/>
        </w:rPr>
        <w:t xml:space="preserve"> EITI</w:t>
      </w:r>
      <w:r w:rsidR="008B07C7">
        <w:rPr>
          <w:szCs w:val="24"/>
          <w:lang w:val="pt-PT"/>
        </w:rPr>
        <w:t>,</w:t>
      </w:r>
      <w:r>
        <w:rPr>
          <w:szCs w:val="24"/>
          <w:lang w:val="pt-PT"/>
        </w:rPr>
        <w:t xml:space="preserve"> e promover a integração da EITI em esforços mais amplos no sentido da transparência nesse país.</w:t>
      </w:r>
    </w:p>
    <w:p w14:paraId="0B1CC9A7" w14:textId="77777777" w:rsidR="00943B90" w:rsidRPr="0078041D" w:rsidRDefault="00943B90" w:rsidP="00943B90">
      <w:pPr>
        <w:pStyle w:val="ListParagraph"/>
        <w:autoSpaceDE w:val="0"/>
        <w:autoSpaceDN w:val="0"/>
        <w:adjustRightInd w:val="0"/>
        <w:spacing w:after="0" w:line="240" w:lineRule="auto"/>
        <w:contextualSpacing w:val="0"/>
        <w:rPr>
          <w:rFonts w:asciiTheme="minorHAnsi" w:hAnsiTheme="minorHAnsi" w:cs="Calibri"/>
          <w:lang w:val="pt-PT"/>
        </w:rPr>
      </w:pPr>
    </w:p>
    <w:p w14:paraId="2B7DB378" w14:textId="4FDE36C1" w:rsidR="000C1003" w:rsidRPr="00384A7F" w:rsidRDefault="000C1003" w:rsidP="000C1003">
      <w:pPr>
        <w:autoSpaceDE w:val="0"/>
        <w:autoSpaceDN w:val="0"/>
        <w:adjustRightInd w:val="0"/>
        <w:spacing w:line="280" w:lineRule="auto"/>
        <w:rPr>
          <w:szCs w:val="24"/>
          <w:lang w:val="pt-PT"/>
        </w:rPr>
      </w:pPr>
      <w:r>
        <w:rPr>
          <w:szCs w:val="24"/>
          <w:lang w:val="pt-PT"/>
        </w:rPr>
        <w:t>Os requisitos para os países implementadores estão definidos n</w:t>
      </w:r>
      <w:r w:rsidR="004061CD">
        <w:rPr>
          <w:szCs w:val="24"/>
          <w:lang w:val="pt-PT"/>
        </w:rPr>
        <w:t>o Padrão</w:t>
      </w:r>
      <w:r w:rsidR="008B07C7">
        <w:rPr>
          <w:szCs w:val="24"/>
          <w:lang w:val="pt-PT"/>
        </w:rPr>
        <w:t xml:space="preserve"> da</w:t>
      </w:r>
      <w:r>
        <w:rPr>
          <w:szCs w:val="24"/>
          <w:lang w:val="pt-PT"/>
        </w:rPr>
        <w:t xml:space="preserve"> EITI</w:t>
      </w:r>
      <w:r w:rsidR="00A16865">
        <w:rPr>
          <w:rStyle w:val="FootnoteReference"/>
          <w:szCs w:val="24"/>
          <w:lang w:val="pt-PT"/>
        </w:rPr>
        <w:footnoteReference w:id="2"/>
      </w:r>
      <w:r>
        <w:rPr>
          <w:szCs w:val="24"/>
          <w:lang w:val="pt-PT"/>
        </w:rPr>
        <w:t xml:space="preserve">. </w:t>
      </w:r>
      <w:r w:rsidRPr="00384A7F">
        <w:rPr>
          <w:szCs w:val="24"/>
          <w:lang w:val="pt-PT"/>
        </w:rPr>
        <w:t xml:space="preserve">Para mais informações, consulte </w:t>
      </w:r>
      <w:hyperlink r:id="rId12" w:history="1">
        <w:r w:rsidRPr="00384A7F">
          <w:rPr>
            <w:rStyle w:val="Hyperlink"/>
            <w:szCs w:val="24"/>
            <w:lang w:val="pt-PT"/>
          </w:rPr>
          <w:t>www.eiti.org</w:t>
        </w:r>
      </w:hyperlink>
      <w:r w:rsidRPr="00384A7F">
        <w:rPr>
          <w:szCs w:val="24"/>
          <w:lang w:val="pt-PT"/>
        </w:rPr>
        <w:t>.</w:t>
      </w:r>
    </w:p>
    <w:p w14:paraId="238DDF89" w14:textId="6C463422" w:rsidR="00E0670C" w:rsidRDefault="00E0670C" w:rsidP="00E0670C">
      <w:pPr>
        <w:autoSpaceDE w:val="0"/>
        <w:autoSpaceDN w:val="0"/>
        <w:adjustRightInd w:val="0"/>
        <w:spacing w:line="280" w:lineRule="auto"/>
        <w:rPr>
          <w:szCs w:val="24"/>
          <w:lang w:val="pt-PT"/>
        </w:rPr>
      </w:pPr>
      <w:r>
        <w:rPr>
          <w:color w:val="0070C0"/>
          <w:szCs w:val="24"/>
          <w:lang w:val="pt-PT"/>
        </w:rPr>
        <w:t>[Esta s</w:t>
      </w:r>
      <w:r w:rsidR="008B07C7">
        <w:rPr>
          <w:color w:val="0070C0"/>
          <w:szCs w:val="24"/>
          <w:lang w:val="pt-PT"/>
        </w:rPr>
        <w:t xml:space="preserve">ecção deverá fornecer informações adicionais </w:t>
      </w:r>
      <w:r>
        <w:rPr>
          <w:color w:val="0070C0"/>
          <w:szCs w:val="24"/>
          <w:lang w:val="pt-PT"/>
        </w:rPr>
        <w:t xml:space="preserve">sobre os antecedentes gerais da implementação da EITI no país. Essa informação deverá incluir a especificação clara dos objetivos da EITI, conforme acordados pelo grupo de intervenientes e </w:t>
      </w:r>
      <w:r w:rsidR="008B07C7">
        <w:rPr>
          <w:color w:val="0070C0"/>
          <w:szCs w:val="24"/>
          <w:lang w:val="pt-PT"/>
        </w:rPr>
        <w:t>descritos</w:t>
      </w:r>
      <w:r>
        <w:rPr>
          <w:color w:val="0070C0"/>
          <w:szCs w:val="24"/>
          <w:lang w:val="pt-PT"/>
        </w:rPr>
        <w:t xml:space="preserve"> no plano de trabalho da EITI. Deverá ser fornecida uma ligação para o pl</w:t>
      </w:r>
      <w:r w:rsidR="008B07C7">
        <w:rPr>
          <w:color w:val="0070C0"/>
          <w:szCs w:val="24"/>
          <w:lang w:val="pt-PT"/>
        </w:rPr>
        <w:t xml:space="preserve">ano de trabalho da EITI, com </w:t>
      </w:r>
      <w:r>
        <w:rPr>
          <w:color w:val="0070C0"/>
          <w:szCs w:val="24"/>
          <w:lang w:val="pt-PT"/>
        </w:rPr>
        <w:t xml:space="preserve">comentários </w:t>
      </w:r>
      <w:r w:rsidR="008B07C7">
        <w:rPr>
          <w:color w:val="0070C0"/>
          <w:szCs w:val="24"/>
          <w:lang w:val="pt-PT"/>
        </w:rPr>
        <w:t xml:space="preserve">adicionais </w:t>
      </w:r>
      <w:r w:rsidR="00DD04D2">
        <w:rPr>
          <w:color w:val="0070C0"/>
          <w:szCs w:val="24"/>
          <w:lang w:val="pt-PT"/>
        </w:rPr>
        <w:t>conforme necessário</w:t>
      </w:r>
      <w:r>
        <w:rPr>
          <w:color w:val="0070C0"/>
          <w:szCs w:val="24"/>
          <w:lang w:val="pt-PT"/>
        </w:rPr>
        <w:t xml:space="preserve"> sobre</w:t>
      </w:r>
      <w:r w:rsidR="00DD04D2">
        <w:rPr>
          <w:color w:val="0070C0"/>
          <w:szCs w:val="24"/>
          <w:lang w:val="pt-PT"/>
        </w:rPr>
        <w:t xml:space="preserve"> o estado atual do relatório da EITI e </w:t>
      </w:r>
      <w:r>
        <w:rPr>
          <w:color w:val="0070C0"/>
          <w:szCs w:val="24"/>
          <w:lang w:val="pt-PT"/>
        </w:rPr>
        <w:t xml:space="preserve">os objetivos do grupo de intervenientes </w:t>
      </w:r>
      <w:r w:rsidR="00DD04D2">
        <w:rPr>
          <w:color w:val="0070C0"/>
          <w:szCs w:val="24"/>
          <w:lang w:val="pt-PT"/>
        </w:rPr>
        <w:t>relativos à integração</w:t>
      </w:r>
      <w:r>
        <w:rPr>
          <w:color w:val="0070C0"/>
          <w:szCs w:val="24"/>
          <w:lang w:val="pt-PT"/>
        </w:rPr>
        <w:t xml:space="preserve"> </w:t>
      </w:r>
      <w:r w:rsidR="00DD04D2">
        <w:rPr>
          <w:color w:val="0070C0"/>
          <w:szCs w:val="24"/>
          <w:lang w:val="pt-PT"/>
        </w:rPr>
        <w:t>d</w:t>
      </w:r>
      <w:r>
        <w:rPr>
          <w:color w:val="0070C0"/>
          <w:szCs w:val="24"/>
          <w:lang w:val="pt-PT"/>
        </w:rPr>
        <w:t>os relatórios da EITI noutros portais do governo e das empresas.</w:t>
      </w:r>
      <w:r w:rsidR="00DD04D2">
        <w:rPr>
          <w:color w:val="0070C0"/>
          <w:szCs w:val="24"/>
          <w:lang w:val="pt-PT"/>
        </w:rPr>
        <w:t>]</w:t>
      </w:r>
    </w:p>
    <w:p w14:paraId="62AF8E47" w14:textId="3F6697C5" w:rsidR="00313995" w:rsidRPr="00313995" w:rsidRDefault="00313995" w:rsidP="00313995">
      <w:pPr>
        <w:spacing w:line="280" w:lineRule="auto"/>
        <w:rPr>
          <w:szCs w:val="24"/>
          <w:lang w:val="pt-PT"/>
        </w:rPr>
      </w:pPr>
      <w:r>
        <w:rPr>
          <w:szCs w:val="24"/>
          <w:lang w:val="pt-PT"/>
        </w:rPr>
        <w:t xml:space="preserve">Para este efeito, a </w:t>
      </w:r>
      <w:r>
        <w:rPr>
          <w:color w:val="0070C0"/>
          <w:szCs w:val="24"/>
          <w:lang w:val="pt-PT"/>
        </w:rPr>
        <w:t>[parte contratante</w:t>
      </w:r>
      <w:r>
        <w:rPr>
          <w:szCs w:val="24"/>
          <w:lang w:val="pt-PT"/>
        </w:rPr>
        <w:t xml:space="preserve">] procura uma empresa ou indivíduo competente e credível para realizar o estudo de âmbito </w:t>
      </w:r>
      <w:r w:rsidR="00DD04D2">
        <w:rPr>
          <w:szCs w:val="24"/>
          <w:lang w:val="pt-PT"/>
        </w:rPr>
        <w:t>em conformidade</w:t>
      </w:r>
      <w:r>
        <w:rPr>
          <w:szCs w:val="24"/>
          <w:lang w:val="pt-PT"/>
        </w:rPr>
        <w:t xml:space="preserve"> com estes Termos de Referência.</w:t>
      </w:r>
    </w:p>
    <w:p w14:paraId="756CAF0E" w14:textId="7201552F" w:rsidR="00313995" w:rsidRPr="00A31002" w:rsidRDefault="00313995" w:rsidP="00313995">
      <w:pPr>
        <w:pStyle w:val="Heading1"/>
        <w:numPr>
          <w:ilvl w:val="0"/>
          <w:numId w:val="19"/>
        </w:numPr>
        <w:spacing w:after="120"/>
        <w:rPr>
          <w:rFonts w:asciiTheme="minorHAnsi" w:eastAsia="Times New Roman" w:hAnsiTheme="minorHAnsi" w:cstheme="minorBidi"/>
          <w:bCs w:val="0"/>
          <w:szCs w:val="24"/>
        </w:rPr>
      </w:pPr>
      <w:bookmarkStart w:id="2" w:name="_Toc427850152"/>
      <w:r w:rsidRPr="00A31002">
        <w:rPr>
          <w:rFonts w:asciiTheme="minorHAnsi" w:eastAsia="Times New Roman" w:hAnsiTheme="minorHAnsi" w:cstheme="minorBidi"/>
          <w:bCs w:val="0"/>
          <w:szCs w:val="24"/>
          <w:lang w:val="pt-PT"/>
        </w:rPr>
        <w:t>Objetivo d</w:t>
      </w:r>
      <w:r w:rsidR="003B6ECE" w:rsidRPr="00A31002">
        <w:rPr>
          <w:rFonts w:asciiTheme="minorHAnsi" w:eastAsia="Times New Roman" w:hAnsiTheme="minorHAnsi" w:cstheme="minorBidi"/>
          <w:bCs w:val="0"/>
          <w:szCs w:val="24"/>
          <w:lang w:val="pt-PT"/>
        </w:rPr>
        <w:t>a adjudicação</w:t>
      </w:r>
      <w:bookmarkEnd w:id="2"/>
    </w:p>
    <w:p w14:paraId="7E1048AC" w14:textId="519AF652" w:rsidR="00E54919" w:rsidRDefault="00E54919" w:rsidP="00E54919">
      <w:pPr>
        <w:pStyle w:val="NoSpacing"/>
        <w:rPr>
          <w:rFonts w:asciiTheme="minorHAnsi" w:hAnsiTheme="minorHAnsi"/>
          <w:lang w:val="pt-PT"/>
        </w:rPr>
      </w:pPr>
      <w:r>
        <w:rPr>
          <w:rFonts w:asciiTheme="minorHAnsi" w:hAnsiTheme="minorHAnsi"/>
          <w:sz w:val="22"/>
          <w:lang w:val="pt-PT"/>
        </w:rPr>
        <w:t>O objetivo d</w:t>
      </w:r>
      <w:r w:rsidR="003B6ECE">
        <w:rPr>
          <w:rFonts w:asciiTheme="minorHAnsi" w:hAnsiTheme="minorHAnsi"/>
          <w:sz w:val="22"/>
          <w:lang w:val="pt-PT"/>
        </w:rPr>
        <w:t>a adjudicação</w:t>
      </w:r>
      <w:r>
        <w:rPr>
          <w:rFonts w:asciiTheme="minorHAnsi" w:hAnsiTheme="minorHAnsi"/>
          <w:sz w:val="22"/>
          <w:lang w:val="pt-PT"/>
        </w:rPr>
        <w:t xml:space="preserve"> é a produção de um relatório que informará o debate do grupo de intervenientes relativamente ao âmbito das informações a serem publicadas ao abrigo da EITI e ao modo mais adequado de a</w:t>
      </w:r>
      <w:r w:rsidR="00DD04D2">
        <w:rPr>
          <w:rFonts w:asciiTheme="minorHAnsi" w:hAnsiTheme="minorHAnsi"/>
          <w:sz w:val="22"/>
          <w:lang w:val="pt-PT"/>
        </w:rPr>
        <w:t>s</w:t>
      </w:r>
      <w:r>
        <w:rPr>
          <w:rFonts w:asciiTheme="minorHAnsi" w:hAnsiTheme="minorHAnsi"/>
          <w:sz w:val="22"/>
          <w:lang w:val="pt-PT"/>
        </w:rPr>
        <w:t xml:space="preserve"> publicar, incluindo recomendações quanto a: </w:t>
      </w:r>
    </w:p>
    <w:p w14:paraId="2B36D91E" w14:textId="77777777" w:rsidR="00740A52" w:rsidRPr="00313995" w:rsidRDefault="00740A52" w:rsidP="00740A52">
      <w:pPr>
        <w:pStyle w:val="NoSpacing"/>
        <w:rPr>
          <w:rFonts w:asciiTheme="minorHAnsi" w:hAnsiTheme="minorHAnsi" w:cs="Calibri"/>
          <w:sz w:val="22"/>
          <w:szCs w:val="22"/>
          <w:lang w:val="pt-PT"/>
        </w:rPr>
      </w:pPr>
    </w:p>
    <w:p w14:paraId="1F97AB6D" w14:textId="363A0733" w:rsidR="00174D76" w:rsidRPr="00174D76" w:rsidRDefault="00DD04D2" w:rsidP="00174D76">
      <w:pPr>
        <w:pStyle w:val="ListParagraph"/>
        <w:numPr>
          <w:ilvl w:val="0"/>
          <w:numId w:val="15"/>
        </w:numPr>
        <w:spacing w:after="120" w:line="240" w:lineRule="auto"/>
        <w:contextualSpacing w:val="0"/>
        <w:rPr>
          <w:szCs w:val="24"/>
          <w:lang w:val="pt-PT"/>
        </w:rPr>
      </w:pPr>
      <w:r>
        <w:rPr>
          <w:szCs w:val="24"/>
          <w:lang w:val="pt-PT"/>
        </w:rPr>
        <w:t>fortalecimento da divulgação das informações</w:t>
      </w:r>
      <w:r w:rsidR="00174D76">
        <w:rPr>
          <w:szCs w:val="24"/>
          <w:lang w:val="pt-PT"/>
        </w:rPr>
        <w:t xml:space="preserve"> para garantir a acessibilidade, fiabilidade e complementaridade relativamente aos sistemas existentes do governo e </w:t>
      </w:r>
      <w:r>
        <w:rPr>
          <w:szCs w:val="24"/>
          <w:lang w:val="pt-PT"/>
        </w:rPr>
        <w:t xml:space="preserve">das </w:t>
      </w:r>
      <w:r w:rsidR="00174D76">
        <w:rPr>
          <w:szCs w:val="24"/>
          <w:lang w:val="pt-PT"/>
        </w:rPr>
        <w:t>empresas;</w:t>
      </w:r>
    </w:p>
    <w:p w14:paraId="6D3101AF" w14:textId="1ECD5A67" w:rsidR="00051E1F" w:rsidRPr="00051E1F" w:rsidRDefault="00051E1F" w:rsidP="00051E1F">
      <w:pPr>
        <w:pStyle w:val="ListParagraph"/>
        <w:numPr>
          <w:ilvl w:val="0"/>
          <w:numId w:val="15"/>
        </w:numPr>
        <w:spacing w:after="120" w:line="240" w:lineRule="auto"/>
        <w:contextualSpacing w:val="0"/>
        <w:rPr>
          <w:szCs w:val="24"/>
          <w:lang w:val="pt-PT"/>
        </w:rPr>
      </w:pPr>
      <w:r>
        <w:rPr>
          <w:szCs w:val="24"/>
          <w:lang w:val="pt-PT"/>
        </w:rPr>
        <w:t>opções para incorporar os dados da EITI nos portais e relatórios do governo já existentes;</w:t>
      </w:r>
    </w:p>
    <w:p w14:paraId="19C2B371" w14:textId="13ADD505" w:rsidR="00E0670C" w:rsidRDefault="00E0670C" w:rsidP="00E0670C">
      <w:pPr>
        <w:pStyle w:val="ListParagraph"/>
        <w:numPr>
          <w:ilvl w:val="0"/>
          <w:numId w:val="15"/>
        </w:numPr>
        <w:spacing w:after="120" w:line="240" w:lineRule="auto"/>
        <w:contextualSpacing w:val="0"/>
        <w:rPr>
          <w:szCs w:val="24"/>
          <w:lang w:val="pt-PT"/>
        </w:rPr>
      </w:pPr>
      <w:r>
        <w:rPr>
          <w:szCs w:val="24"/>
          <w:lang w:val="pt-PT"/>
        </w:rPr>
        <w:t>compilação das informações contextuais necessárias em consequência dos objetivos e plano de trabalho do grupo de intervenie</w:t>
      </w:r>
      <w:r w:rsidR="000C3EEB">
        <w:rPr>
          <w:szCs w:val="24"/>
          <w:lang w:val="pt-PT"/>
        </w:rPr>
        <w:t>ntes e dos requisitos da EITI (r</w:t>
      </w:r>
      <w:r>
        <w:rPr>
          <w:szCs w:val="24"/>
          <w:lang w:val="pt-PT"/>
        </w:rPr>
        <w:t>equisito 3 da EITI);</w:t>
      </w:r>
    </w:p>
    <w:p w14:paraId="34C37E38" w14:textId="23BB880E" w:rsidR="00E0670C" w:rsidRDefault="00E0670C" w:rsidP="00E0670C">
      <w:pPr>
        <w:pStyle w:val="ListParagraph"/>
        <w:numPr>
          <w:ilvl w:val="0"/>
          <w:numId w:val="15"/>
        </w:numPr>
        <w:spacing w:after="120" w:line="240" w:lineRule="auto"/>
        <w:contextualSpacing w:val="0"/>
        <w:rPr>
          <w:szCs w:val="24"/>
          <w:lang w:val="pt-PT"/>
        </w:rPr>
      </w:pPr>
      <w:r>
        <w:rPr>
          <w:szCs w:val="24"/>
          <w:lang w:val="pt-PT"/>
        </w:rPr>
        <w:t>fluxos de pagamentos e receitas a ser</w:t>
      </w:r>
      <w:r w:rsidR="00DD04D2">
        <w:rPr>
          <w:szCs w:val="24"/>
          <w:lang w:val="pt-PT"/>
        </w:rPr>
        <w:t>em</w:t>
      </w:r>
      <w:r>
        <w:rPr>
          <w:szCs w:val="24"/>
          <w:lang w:val="pt-PT"/>
        </w:rPr>
        <w:t xml:space="preserve"> reportados, incluindo o</w:t>
      </w:r>
      <w:r w:rsidR="004C6643">
        <w:rPr>
          <w:szCs w:val="24"/>
          <w:lang w:val="pt-PT"/>
        </w:rPr>
        <w:t>s</w:t>
      </w:r>
      <w:r>
        <w:rPr>
          <w:szCs w:val="24"/>
          <w:lang w:val="pt-PT"/>
        </w:rPr>
        <w:t xml:space="preserve"> limiar</w:t>
      </w:r>
      <w:r w:rsidR="004C6643">
        <w:rPr>
          <w:szCs w:val="24"/>
          <w:lang w:val="pt-PT"/>
        </w:rPr>
        <w:t>es</w:t>
      </w:r>
      <w:r>
        <w:rPr>
          <w:szCs w:val="24"/>
          <w:lang w:val="pt-PT"/>
        </w:rPr>
        <w:t xml:space="preserve"> de</w:t>
      </w:r>
      <w:r w:rsidR="000C3EEB">
        <w:rPr>
          <w:szCs w:val="24"/>
          <w:lang w:val="pt-PT"/>
        </w:rPr>
        <w:t xml:space="preserve"> materialidade</w:t>
      </w:r>
      <w:r w:rsidR="004C6643">
        <w:rPr>
          <w:szCs w:val="24"/>
          <w:lang w:val="pt-PT"/>
        </w:rPr>
        <w:t xml:space="preserve"> adequados,</w:t>
      </w:r>
      <w:r w:rsidR="000C3EEB">
        <w:rPr>
          <w:szCs w:val="24"/>
          <w:lang w:val="pt-PT"/>
        </w:rPr>
        <w:t xml:space="preserve"> </w:t>
      </w:r>
      <w:r w:rsidR="004C6643">
        <w:rPr>
          <w:szCs w:val="24"/>
          <w:lang w:val="pt-PT"/>
        </w:rPr>
        <w:t>quando</w:t>
      </w:r>
      <w:r w:rsidR="000C3EEB">
        <w:rPr>
          <w:szCs w:val="24"/>
          <w:lang w:val="pt-PT"/>
        </w:rPr>
        <w:t xml:space="preserve"> aplicável (r</w:t>
      </w:r>
      <w:r>
        <w:rPr>
          <w:szCs w:val="24"/>
          <w:lang w:val="pt-PT"/>
        </w:rPr>
        <w:t>equisito 4.1 da EITI);</w:t>
      </w:r>
    </w:p>
    <w:p w14:paraId="6E5C9750" w14:textId="20FC4A19" w:rsidR="00E0670C" w:rsidRDefault="00E0670C" w:rsidP="00E0670C">
      <w:pPr>
        <w:pStyle w:val="ListParagraph"/>
        <w:numPr>
          <w:ilvl w:val="0"/>
          <w:numId w:val="15"/>
        </w:numPr>
        <w:spacing w:after="120" w:line="240" w:lineRule="auto"/>
        <w:contextualSpacing w:val="0"/>
        <w:rPr>
          <w:szCs w:val="24"/>
          <w:lang w:val="pt-PT"/>
        </w:rPr>
      </w:pPr>
      <w:r>
        <w:rPr>
          <w:szCs w:val="24"/>
          <w:lang w:val="pt-PT"/>
        </w:rPr>
        <w:lastRenderedPageBreak/>
        <w:t>fluxos de benefícios adicionais provenientes do setor</w:t>
      </w:r>
      <w:r w:rsidR="000C3EEB">
        <w:rPr>
          <w:szCs w:val="24"/>
          <w:lang w:val="pt-PT"/>
        </w:rPr>
        <w:t xml:space="preserve"> extrativo a serem reportados (r</w:t>
      </w:r>
      <w:r>
        <w:rPr>
          <w:szCs w:val="24"/>
          <w:lang w:val="pt-PT"/>
        </w:rPr>
        <w:t>equisito 4.2 da EITI);</w:t>
      </w:r>
    </w:p>
    <w:p w14:paraId="31B72ED6" w14:textId="450C8694" w:rsidR="00E0670C" w:rsidRDefault="00E0670C" w:rsidP="00E0670C">
      <w:pPr>
        <w:pStyle w:val="ListParagraph"/>
        <w:numPr>
          <w:ilvl w:val="0"/>
          <w:numId w:val="15"/>
        </w:numPr>
        <w:spacing w:after="120" w:line="240" w:lineRule="auto"/>
        <w:contextualSpacing w:val="0"/>
        <w:rPr>
          <w:szCs w:val="24"/>
          <w:lang w:val="pt-PT"/>
        </w:rPr>
      </w:pPr>
      <w:r>
        <w:rPr>
          <w:szCs w:val="24"/>
          <w:lang w:val="pt-PT"/>
        </w:rPr>
        <w:t>empresas, empresas estatais e entidades govern</w:t>
      </w:r>
      <w:r w:rsidR="000C3EEB">
        <w:rPr>
          <w:szCs w:val="24"/>
          <w:lang w:val="pt-PT"/>
        </w:rPr>
        <w:t>amentais que deverão reportar (r</w:t>
      </w:r>
      <w:r>
        <w:rPr>
          <w:szCs w:val="24"/>
          <w:lang w:val="pt-PT"/>
        </w:rPr>
        <w:t>equisito 4.3 da EITI);</w:t>
      </w:r>
    </w:p>
    <w:p w14:paraId="6B34064F" w14:textId="1B4E7A1A" w:rsidR="00E54919" w:rsidRPr="00E54919" w:rsidRDefault="00E54919" w:rsidP="00E54919">
      <w:pPr>
        <w:pStyle w:val="ListParagraph"/>
        <w:numPr>
          <w:ilvl w:val="0"/>
          <w:numId w:val="15"/>
        </w:numPr>
        <w:spacing w:after="120" w:line="240" w:lineRule="auto"/>
        <w:contextualSpacing w:val="0"/>
        <w:rPr>
          <w:szCs w:val="24"/>
          <w:lang w:val="pt-PT"/>
        </w:rPr>
      </w:pPr>
      <w:r>
        <w:rPr>
          <w:szCs w:val="24"/>
          <w:lang w:val="pt-PT"/>
        </w:rPr>
        <w:t>fiabilidade dos dados disponíveis, incluindo a revisão das práticas atuais de auditoria, e garantias dadas pelas entidades que integram o relatório</w:t>
      </w:r>
      <w:r w:rsidR="000C3EEB">
        <w:rPr>
          <w:szCs w:val="24"/>
          <w:lang w:val="pt-PT"/>
        </w:rPr>
        <w:t xml:space="preserve"> (r</w:t>
      </w:r>
      <w:r>
        <w:rPr>
          <w:szCs w:val="24"/>
          <w:lang w:val="pt-PT"/>
        </w:rPr>
        <w:t>equisito 5 da EITI);</w:t>
      </w:r>
    </w:p>
    <w:p w14:paraId="74A04F1D" w14:textId="4F379D3B" w:rsidR="00E54919" w:rsidRDefault="00E54919" w:rsidP="00E54919">
      <w:pPr>
        <w:pStyle w:val="ListParagraph"/>
        <w:numPr>
          <w:ilvl w:val="0"/>
          <w:numId w:val="15"/>
        </w:numPr>
        <w:spacing w:after="120" w:line="240" w:lineRule="auto"/>
        <w:contextualSpacing w:val="0"/>
        <w:rPr>
          <w:szCs w:val="24"/>
          <w:lang w:val="pt-PT"/>
        </w:rPr>
      </w:pPr>
      <w:r>
        <w:rPr>
          <w:szCs w:val="24"/>
          <w:lang w:val="pt-PT"/>
        </w:rPr>
        <w:t xml:space="preserve">soluções para eventuais </w:t>
      </w:r>
      <w:r w:rsidR="004C6643">
        <w:rPr>
          <w:szCs w:val="24"/>
          <w:lang w:val="pt-PT"/>
        </w:rPr>
        <w:t>obstáculos</w:t>
      </w:r>
      <w:r>
        <w:rPr>
          <w:szCs w:val="24"/>
          <w:lang w:val="pt-PT"/>
        </w:rPr>
        <w:t xml:space="preserve"> à divulgação das informações necessárias. </w:t>
      </w:r>
    </w:p>
    <w:p w14:paraId="5EE755B2" w14:textId="7E55A6C4" w:rsidR="00494099" w:rsidRDefault="00494099" w:rsidP="00494099">
      <w:pPr>
        <w:pStyle w:val="NoSpacing"/>
        <w:spacing w:after="240"/>
        <w:rPr>
          <w:rFonts w:asciiTheme="minorHAnsi" w:hAnsiTheme="minorHAnsi"/>
          <w:lang w:val="pt-PT"/>
        </w:rPr>
      </w:pPr>
      <w:r>
        <w:rPr>
          <w:rFonts w:asciiTheme="minorHAnsi" w:hAnsiTheme="minorHAnsi"/>
          <w:sz w:val="22"/>
          <w:lang w:val="pt-PT"/>
        </w:rPr>
        <w:t xml:space="preserve">Ao incidir nestes pontos, o consultor deverá definir as opções ao dispor do grupo de intervenientes, tendo em consideração os objetivos gerais, os requisitos da EITI, o contexto local e os recursos disponíveis. O grupo de intervenientes e o administrador independente irão basear-se no estudo de âmbito para acordarem o âmbito do processo de relatório, em cumprimento do “procedimento acordado para os relatórios da EITI” (requisito 5.2). Poderão aqui ser incluídos modificações e ajustes ao âmbito do processo de relatório recomendados pelo consultor. </w:t>
      </w:r>
    </w:p>
    <w:p w14:paraId="289A8556" w14:textId="0A17C427" w:rsidR="00F55A82" w:rsidRPr="00F55A82" w:rsidRDefault="00F55A82" w:rsidP="00F55A82">
      <w:pPr>
        <w:pStyle w:val="NoSpacing"/>
        <w:spacing w:after="240"/>
        <w:rPr>
          <w:rFonts w:asciiTheme="minorHAnsi" w:hAnsiTheme="minorHAnsi"/>
          <w:sz w:val="22"/>
          <w:lang w:val="pt-PT"/>
        </w:rPr>
      </w:pPr>
      <w:r>
        <w:rPr>
          <w:rFonts w:asciiTheme="minorHAnsi" w:hAnsiTheme="minorHAnsi"/>
          <w:sz w:val="22"/>
          <w:lang w:val="pt-PT"/>
        </w:rPr>
        <w:t>O relatório do consultor será submetido ao grupo de intervenientes e disponibilizado para consulta pública.</w:t>
      </w:r>
    </w:p>
    <w:p w14:paraId="41DD7C6E" w14:textId="66E682D8" w:rsidR="00E0670C" w:rsidRPr="00A31002" w:rsidRDefault="00E0670C" w:rsidP="00E0670C">
      <w:pPr>
        <w:pStyle w:val="Heading1"/>
        <w:numPr>
          <w:ilvl w:val="0"/>
          <w:numId w:val="19"/>
        </w:numPr>
        <w:spacing w:after="120"/>
        <w:rPr>
          <w:rFonts w:asciiTheme="minorHAnsi" w:eastAsia="Times New Roman" w:hAnsiTheme="minorHAnsi" w:cstheme="minorBidi"/>
          <w:bCs w:val="0"/>
          <w:szCs w:val="24"/>
        </w:rPr>
      </w:pPr>
      <w:bookmarkStart w:id="3" w:name="_Toc427850153"/>
      <w:r w:rsidRPr="00A31002">
        <w:rPr>
          <w:rFonts w:asciiTheme="minorHAnsi" w:eastAsia="Times New Roman" w:hAnsiTheme="minorHAnsi" w:cstheme="minorBidi"/>
          <w:bCs w:val="0"/>
          <w:szCs w:val="24"/>
          <w:lang w:val="pt-PT"/>
        </w:rPr>
        <w:t>Âmbito do trabalho</w:t>
      </w:r>
      <w:bookmarkEnd w:id="3"/>
    </w:p>
    <w:p w14:paraId="4047E1B5" w14:textId="29056447" w:rsidR="005C6C66" w:rsidRPr="005C6C66" w:rsidRDefault="005C6C66" w:rsidP="005C6C66">
      <w:pPr>
        <w:pStyle w:val="NormalWeb"/>
        <w:tabs>
          <w:tab w:val="left" w:pos="426"/>
          <w:tab w:val="left" w:pos="709"/>
        </w:tabs>
        <w:spacing w:before="0" w:beforeAutospacing="0" w:after="120" w:afterAutospacing="0"/>
        <w:rPr>
          <w:rFonts w:asciiTheme="minorHAnsi" w:eastAsia="Times New Roman" w:hAnsiTheme="minorHAnsi"/>
          <w:sz w:val="22"/>
          <w:szCs w:val="24"/>
          <w:lang w:val="pt-PT"/>
        </w:rPr>
      </w:pPr>
      <w:r>
        <w:rPr>
          <w:rFonts w:asciiTheme="minorHAnsi" w:eastAsia="Times New Roman" w:hAnsiTheme="minorHAnsi"/>
          <w:sz w:val="22"/>
          <w:szCs w:val="24"/>
          <w:lang w:val="pt-PT"/>
        </w:rPr>
        <w:t>O consultor deverá executar as seguintes tarefas:</w:t>
      </w:r>
    </w:p>
    <w:p w14:paraId="5DB0DFE9" w14:textId="43F248F2" w:rsidR="00BE5314" w:rsidRDefault="00BE5314" w:rsidP="00BE5314">
      <w:pPr>
        <w:pStyle w:val="ListParagraph"/>
        <w:numPr>
          <w:ilvl w:val="0"/>
          <w:numId w:val="5"/>
        </w:numPr>
        <w:spacing w:after="120" w:line="240" w:lineRule="auto"/>
        <w:ind w:left="714" w:hanging="357"/>
        <w:contextualSpacing w:val="0"/>
        <w:rPr>
          <w:szCs w:val="24"/>
          <w:lang w:val="pt-PT"/>
        </w:rPr>
      </w:pPr>
      <w:bookmarkStart w:id="4" w:name="_Toc414833400"/>
      <w:bookmarkStart w:id="5" w:name="_Toc415059318"/>
      <w:r>
        <w:rPr>
          <w:szCs w:val="24"/>
          <w:lang w:val="pt-PT"/>
        </w:rPr>
        <w:t xml:space="preserve">Analisar o plano de trabalho do grupo de intervenientes a fim de obter um claro entendimento dos objetivos e âmbito da implementação da EITI em </w:t>
      </w:r>
      <w:r w:rsidRPr="00494099">
        <w:rPr>
          <w:color w:val="0070C0"/>
          <w:szCs w:val="24"/>
          <w:lang w:val="pt-PT"/>
        </w:rPr>
        <w:t>[país]</w:t>
      </w:r>
      <w:r>
        <w:rPr>
          <w:szCs w:val="24"/>
          <w:lang w:val="pt-PT"/>
        </w:rPr>
        <w:t xml:space="preserve">. O consultor deverá também rever os relatórios de atividade anuais que tenham sido elaborados pelo grupo de intervenientes, a fim de verificar o progresso alcançado na realização dos objetivos, e rever as ações desenvolvidas pelo grupo de intervenientes </w:t>
      </w:r>
      <w:r w:rsidR="002926DC">
        <w:rPr>
          <w:szCs w:val="24"/>
          <w:lang w:val="pt-PT"/>
        </w:rPr>
        <w:t>no sentido de</w:t>
      </w:r>
      <w:r>
        <w:rPr>
          <w:szCs w:val="24"/>
          <w:lang w:val="pt-PT"/>
        </w:rPr>
        <w:t xml:space="preserve"> aplicar as recomendações constantes em exercícios de relatórios da EITI e validações anteriores. </w:t>
      </w:r>
    </w:p>
    <w:bookmarkEnd w:id="4"/>
    <w:bookmarkEnd w:id="5"/>
    <w:p w14:paraId="40FF51BB" w14:textId="33DA8F81" w:rsidR="00BE5314" w:rsidRDefault="002926DC" w:rsidP="00BE5314">
      <w:pPr>
        <w:pStyle w:val="ListParagraph"/>
        <w:numPr>
          <w:ilvl w:val="0"/>
          <w:numId w:val="5"/>
        </w:numPr>
        <w:spacing w:after="120" w:line="240" w:lineRule="auto"/>
        <w:ind w:left="714" w:hanging="357"/>
        <w:contextualSpacing w:val="0"/>
        <w:rPr>
          <w:szCs w:val="24"/>
          <w:lang w:val="pt-PT"/>
        </w:rPr>
      </w:pPr>
      <w:r>
        <w:rPr>
          <w:szCs w:val="24"/>
          <w:lang w:val="pt-PT"/>
        </w:rPr>
        <w:t>Quando</w:t>
      </w:r>
      <w:r w:rsidR="00BE5314">
        <w:rPr>
          <w:szCs w:val="24"/>
          <w:lang w:val="pt-PT"/>
        </w:rPr>
        <w:t xml:space="preserve"> aplicável, analisar todos os relatórios da EITI e relatório(s) de validação para </w:t>
      </w:r>
      <w:r>
        <w:rPr>
          <w:szCs w:val="24"/>
          <w:lang w:val="pt-PT"/>
        </w:rPr>
        <w:t xml:space="preserve">a </w:t>
      </w:r>
      <w:r w:rsidR="00BE5314">
        <w:rPr>
          <w:szCs w:val="24"/>
          <w:lang w:val="pt-PT"/>
        </w:rPr>
        <w:t xml:space="preserve">compreensão do âmbito atual e </w:t>
      </w:r>
      <w:r>
        <w:rPr>
          <w:szCs w:val="24"/>
          <w:lang w:val="pt-PT"/>
        </w:rPr>
        <w:t xml:space="preserve">do </w:t>
      </w:r>
      <w:r w:rsidR="00BE5314">
        <w:rPr>
          <w:szCs w:val="24"/>
          <w:lang w:val="pt-PT"/>
        </w:rPr>
        <w:t xml:space="preserve">estado do processo de relatório da EITI em [país] e avaliar as áreas onde </w:t>
      </w:r>
      <w:r>
        <w:rPr>
          <w:szCs w:val="24"/>
          <w:lang w:val="pt-PT"/>
        </w:rPr>
        <w:t>são necessárias</w:t>
      </w:r>
      <w:r w:rsidR="00BE5314">
        <w:rPr>
          <w:szCs w:val="24"/>
          <w:lang w:val="pt-PT"/>
        </w:rPr>
        <w:t xml:space="preserve"> mais melhorias.</w:t>
      </w:r>
    </w:p>
    <w:p w14:paraId="5A5C9F95" w14:textId="2DF5255A" w:rsidR="007B3846" w:rsidRDefault="007B3846" w:rsidP="007B3846">
      <w:pPr>
        <w:pStyle w:val="ListParagraph"/>
        <w:numPr>
          <w:ilvl w:val="0"/>
          <w:numId w:val="5"/>
        </w:numPr>
        <w:spacing w:after="120" w:line="240" w:lineRule="auto"/>
        <w:ind w:left="714" w:hanging="357"/>
        <w:contextualSpacing w:val="0"/>
        <w:rPr>
          <w:szCs w:val="24"/>
          <w:lang w:val="pt-PT"/>
        </w:rPr>
      </w:pPr>
      <w:r>
        <w:rPr>
          <w:szCs w:val="24"/>
          <w:lang w:val="pt-PT"/>
        </w:rPr>
        <w:t>Avaliar em que medid</w:t>
      </w:r>
      <w:r w:rsidR="00AD2A7D">
        <w:rPr>
          <w:szCs w:val="24"/>
          <w:lang w:val="pt-PT"/>
        </w:rPr>
        <w:t>a as informações exigidas pel</w:t>
      </w:r>
      <w:r w:rsidR="002926DC">
        <w:rPr>
          <w:szCs w:val="24"/>
          <w:lang w:val="pt-PT"/>
        </w:rPr>
        <w:t>o Padrão da</w:t>
      </w:r>
      <w:r>
        <w:rPr>
          <w:szCs w:val="24"/>
          <w:lang w:val="pt-PT"/>
        </w:rPr>
        <w:t xml:space="preserve"> EITI, descrita no ponto 4 e 6 seguintes, ou que sejam de qualquer outro modo relevantes para realizar os objetivos descritos no plano de trabalho do grupo de intervenientes</w:t>
      </w:r>
      <w:r w:rsidR="002926DC">
        <w:rPr>
          <w:szCs w:val="24"/>
          <w:lang w:val="pt-PT"/>
        </w:rPr>
        <w:t>,</w:t>
      </w:r>
      <w:r>
        <w:rPr>
          <w:szCs w:val="24"/>
          <w:lang w:val="pt-PT"/>
        </w:rPr>
        <w:t xml:space="preserve"> já se encontram publicamente disponíveis. Avaliar a atualidade, exaustividade e fiabilidade destas informações e fornecer recomendações sobre a forma como os dados públicos podem ser melhorados ou complementados de modo a satisfazerem os requisitos da EITI e os objetivos do grupo de intervenientes.</w:t>
      </w:r>
    </w:p>
    <w:p w14:paraId="3D20956E" w14:textId="09FF5BE9" w:rsidR="00081BB5" w:rsidRDefault="00081BB5" w:rsidP="00081BB5">
      <w:pPr>
        <w:spacing w:before="240" w:after="120" w:line="280" w:lineRule="auto"/>
        <w:rPr>
          <w:b/>
          <w:sz w:val="26"/>
          <w:szCs w:val="24"/>
        </w:rPr>
      </w:pPr>
      <w:r>
        <w:rPr>
          <w:b/>
          <w:sz w:val="26"/>
          <w:szCs w:val="24"/>
          <w:lang w:val="pt-PT"/>
        </w:rPr>
        <w:t>Informações contextuais</w:t>
      </w:r>
    </w:p>
    <w:p w14:paraId="429E5436" w14:textId="74C68AA9" w:rsidR="00E82CED" w:rsidRDefault="0051148F" w:rsidP="00E82CED">
      <w:pPr>
        <w:pStyle w:val="ListParagraph"/>
        <w:numPr>
          <w:ilvl w:val="0"/>
          <w:numId w:val="5"/>
        </w:numPr>
        <w:spacing w:line="280" w:lineRule="auto"/>
        <w:rPr>
          <w:szCs w:val="24"/>
          <w:lang w:val="pt-PT"/>
        </w:rPr>
      </w:pPr>
      <w:r>
        <w:rPr>
          <w:szCs w:val="24"/>
          <w:lang w:val="pt-PT"/>
        </w:rPr>
        <w:t>O Padrão da</w:t>
      </w:r>
      <w:r w:rsidR="00E82CED">
        <w:rPr>
          <w:szCs w:val="24"/>
          <w:lang w:val="pt-PT"/>
        </w:rPr>
        <w:t xml:space="preserve"> EITI </w:t>
      </w:r>
      <w:r>
        <w:rPr>
          <w:szCs w:val="24"/>
          <w:lang w:val="pt-PT"/>
        </w:rPr>
        <w:t>determina</w:t>
      </w:r>
      <w:r w:rsidR="00E82CED">
        <w:rPr>
          <w:szCs w:val="24"/>
          <w:lang w:val="pt-PT"/>
        </w:rPr>
        <w:t xml:space="preserve"> a divulgação das informações contextuais ace</w:t>
      </w:r>
      <w:r>
        <w:rPr>
          <w:szCs w:val="24"/>
          <w:lang w:val="pt-PT"/>
        </w:rPr>
        <w:t>rca das indústrias extrativas (r</w:t>
      </w:r>
      <w:r w:rsidR="00E82CED">
        <w:rPr>
          <w:szCs w:val="24"/>
          <w:lang w:val="pt-PT"/>
        </w:rPr>
        <w:t>equisito 3). O consultor deverá identificar as fontes e opções de divulgação das seguintes informações:</w:t>
      </w:r>
    </w:p>
    <w:p w14:paraId="6D713068" w14:textId="77777777" w:rsidR="00602346" w:rsidRPr="00081BB5" w:rsidRDefault="00602346" w:rsidP="0063635D">
      <w:pPr>
        <w:pStyle w:val="ListParagraph"/>
        <w:rPr>
          <w:rFonts w:asciiTheme="minorHAnsi" w:hAnsiTheme="minorHAnsi"/>
          <w:lang w:val="pt-PT"/>
        </w:rPr>
      </w:pPr>
    </w:p>
    <w:p w14:paraId="2D0DD53C" w14:textId="5EBC67A4" w:rsidR="00E82CED" w:rsidRDefault="00E82CED" w:rsidP="00E82CED">
      <w:pPr>
        <w:pStyle w:val="ListParagraph"/>
        <w:numPr>
          <w:ilvl w:val="0"/>
          <w:numId w:val="15"/>
        </w:numPr>
        <w:spacing w:after="120" w:line="240" w:lineRule="auto"/>
        <w:contextualSpacing w:val="0"/>
        <w:rPr>
          <w:szCs w:val="24"/>
          <w:lang w:val="pt-PT"/>
        </w:rPr>
      </w:pPr>
      <w:r>
        <w:rPr>
          <w:szCs w:val="24"/>
          <w:lang w:val="pt-PT"/>
        </w:rPr>
        <w:t>o enquadramento legal e o regime fiscal que r</w:t>
      </w:r>
      <w:r w:rsidR="000C3EEB">
        <w:rPr>
          <w:szCs w:val="24"/>
          <w:lang w:val="pt-PT"/>
        </w:rPr>
        <w:t>egem as indústrias extrativas (r</w:t>
      </w:r>
      <w:r>
        <w:rPr>
          <w:szCs w:val="24"/>
          <w:lang w:val="pt-PT"/>
        </w:rPr>
        <w:t>equisito 3.2 da EITI);</w:t>
      </w:r>
    </w:p>
    <w:p w14:paraId="57B74AB4" w14:textId="5D9E1BB5" w:rsidR="000C3EEB" w:rsidRPr="000C3EEB" w:rsidRDefault="000C3EEB" w:rsidP="000C3EEB">
      <w:pPr>
        <w:pStyle w:val="ListParagraph"/>
        <w:numPr>
          <w:ilvl w:val="0"/>
          <w:numId w:val="15"/>
        </w:numPr>
        <w:spacing w:after="120" w:line="240" w:lineRule="auto"/>
        <w:contextualSpacing w:val="0"/>
        <w:rPr>
          <w:szCs w:val="24"/>
          <w:lang w:val="pt-PT"/>
        </w:rPr>
      </w:pPr>
      <w:r>
        <w:rPr>
          <w:szCs w:val="24"/>
          <w:lang w:val="pt-PT"/>
        </w:rPr>
        <w:lastRenderedPageBreak/>
        <w:t>as características principai</w:t>
      </w:r>
      <w:r w:rsidR="0051148F">
        <w:rPr>
          <w:szCs w:val="24"/>
          <w:lang w:val="pt-PT"/>
        </w:rPr>
        <w:t>s do setor extrativo, incluindo</w:t>
      </w:r>
      <w:r>
        <w:rPr>
          <w:szCs w:val="24"/>
          <w:lang w:val="pt-PT"/>
        </w:rPr>
        <w:t xml:space="preserve"> atividades </w:t>
      </w:r>
      <w:r w:rsidR="0051148F">
        <w:rPr>
          <w:szCs w:val="24"/>
          <w:lang w:val="pt-PT"/>
        </w:rPr>
        <w:t>de exploração</w:t>
      </w:r>
      <w:r>
        <w:rPr>
          <w:szCs w:val="24"/>
          <w:lang w:val="pt-PT"/>
        </w:rPr>
        <w:t xml:space="preserve"> significativas (requisito 3.3 da EITI);</w:t>
      </w:r>
    </w:p>
    <w:p w14:paraId="751FFFD9" w14:textId="4A3AE3AA" w:rsidR="000C3EEB" w:rsidRPr="000C3EEB" w:rsidRDefault="000C3EEB" w:rsidP="000C3EEB">
      <w:pPr>
        <w:pStyle w:val="ListParagraph"/>
        <w:numPr>
          <w:ilvl w:val="0"/>
          <w:numId w:val="15"/>
        </w:numPr>
        <w:spacing w:after="120" w:line="240" w:lineRule="auto"/>
        <w:contextualSpacing w:val="0"/>
        <w:rPr>
          <w:szCs w:val="24"/>
          <w:lang w:val="pt-PT"/>
        </w:rPr>
      </w:pPr>
      <w:r>
        <w:rPr>
          <w:szCs w:val="24"/>
          <w:lang w:val="pt-PT"/>
        </w:rPr>
        <w:t xml:space="preserve">dados sobre a contribuição das indústrias extrativas para a economia no ano de [ano] </w:t>
      </w:r>
      <w:r w:rsidR="0051148F">
        <w:rPr>
          <w:szCs w:val="24"/>
          <w:lang w:val="pt-PT"/>
        </w:rPr>
        <w:t>em cumprimento d</w:t>
      </w:r>
      <w:r>
        <w:rPr>
          <w:szCs w:val="24"/>
          <w:lang w:val="pt-PT"/>
        </w:rPr>
        <w:t>o requisito 3.4 da EITI;</w:t>
      </w:r>
    </w:p>
    <w:p w14:paraId="12D4EB1B" w14:textId="458BB465" w:rsidR="00BE5314" w:rsidRPr="00BE5314" w:rsidRDefault="00BE5314" w:rsidP="00BE5314">
      <w:pPr>
        <w:pStyle w:val="ListParagraph"/>
        <w:numPr>
          <w:ilvl w:val="0"/>
          <w:numId w:val="15"/>
        </w:numPr>
        <w:spacing w:after="120" w:line="240" w:lineRule="auto"/>
        <w:contextualSpacing w:val="0"/>
        <w:rPr>
          <w:szCs w:val="24"/>
          <w:lang w:val="pt-PT"/>
        </w:rPr>
      </w:pPr>
      <w:r>
        <w:rPr>
          <w:szCs w:val="24"/>
          <w:lang w:val="pt-PT"/>
        </w:rPr>
        <w:t>dados da produção e das exportações (requisito 3.5 da EITI);</w:t>
      </w:r>
    </w:p>
    <w:p w14:paraId="0A406717" w14:textId="25A15A95" w:rsidR="00BE5314" w:rsidRDefault="0051148F" w:rsidP="00BE5314">
      <w:pPr>
        <w:pStyle w:val="ListParagraph"/>
        <w:numPr>
          <w:ilvl w:val="0"/>
          <w:numId w:val="15"/>
        </w:numPr>
        <w:spacing w:after="120" w:line="240" w:lineRule="auto"/>
        <w:contextualSpacing w:val="0"/>
        <w:rPr>
          <w:szCs w:val="24"/>
          <w:lang w:val="pt-PT"/>
        </w:rPr>
      </w:pPr>
      <w:r>
        <w:rPr>
          <w:szCs w:val="24"/>
          <w:lang w:val="pt-PT"/>
        </w:rPr>
        <w:t>quando</w:t>
      </w:r>
      <w:r w:rsidR="00BE5314">
        <w:rPr>
          <w:szCs w:val="24"/>
          <w:lang w:val="pt-PT"/>
        </w:rPr>
        <w:t xml:space="preserve"> aplicável, as informações acerca do papel das empresas estatais no setor extrativo e as relações financeiras entre o governo e as empresas estatais, as despesas parafiscais e a participação estatal nas empresas de petróleo, gás e mineiras a operarem em </w:t>
      </w:r>
      <w:r w:rsidR="00BE5314">
        <w:rPr>
          <w:color w:val="0070C0"/>
          <w:szCs w:val="24"/>
          <w:lang w:val="pt-PT"/>
        </w:rPr>
        <w:t xml:space="preserve">[país] </w:t>
      </w:r>
      <w:r w:rsidR="00BE5314">
        <w:rPr>
          <w:szCs w:val="24"/>
          <w:lang w:val="pt-PT"/>
        </w:rPr>
        <w:t xml:space="preserve">(requisito 3.6 da EITI); </w:t>
      </w:r>
    </w:p>
    <w:p w14:paraId="2DEB1324" w14:textId="7C4B327E" w:rsidR="00BE5314" w:rsidRPr="00BE5314" w:rsidRDefault="0051148F" w:rsidP="00BE5314">
      <w:pPr>
        <w:pStyle w:val="ListParagraph"/>
        <w:numPr>
          <w:ilvl w:val="0"/>
          <w:numId w:val="15"/>
        </w:numPr>
        <w:spacing w:after="120" w:line="240" w:lineRule="auto"/>
        <w:contextualSpacing w:val="0"/>
        <w:rPr>
          <w:szCs w:val="24"/>
          <w:lang w:val="pt-PT"/>
        </w:rPr>
      </w:pPr>
      <w:r>
        <w:rPr>
          <w:szCs w:val="24"/>
          <w:lang w:val="pt-PT"/>
        </w:rPr>
        <w:t xml:space="preserve">dados sobre a atribuição </w:t>
      </w:r>
      <w:r w:rsidR="00BE5314">
        <w:rPr>
          <w:szCs w:val="24"/>
          <w:lang w:val="pt-PT"/>
        </w:rPr>
        <w:t xml:space="preserve">de </w:t>
      </w:r>
      <w:r>
        <w:rPr>
          <w:szCs w:val="24"/>
          <w:lang w:val="pt-PT"/>
        </w:rPr>
        <w:t>receitas e distribuição de</w:t>
      </w:r>
      <w:r w:rsidR="00BE5314">
        <w:rPr>
          <w:szCs w:val="24"/>
          <w:lang w:val="pt-PT"/>
        </w:rPr>
        <w:t xml:space="preserve"> rendimentos </w:t>
      </w:r>
      <w:r>
        <w:rPr>
          <w:szCs w:val="24"/>
          <w:lang w:val="pt-PT"/>
        </w:rPr>
        <w:t>em cumprimento d</w:t>
      </w:r>
      <w:r w:rsidR="00BE5314">
        <w:rPr>
          <w:szCs w:val="24"/>
          <w:lang w:val="pt-PT"/>
        </w:rPr>
        <w:t>os requisitos 3.7 e 3.8 da EITI;</w:t>
      </w:r>
    </w:p>
    <w:p w14:paraId="2900D38B" w14:textId="19E20A6A" w:rsidR="00BE5314" w:rsidRPr="00BE5314" w:rsidRDefault="00BE5314" w:rsidP="00BE5314">
      <w:pPr>
        <w:pStyle w:val="ListParagraph"/>
        <w:numPr>
          <w:ilvl w:val="0"/>
          <w:numId w:val="15"/>
        </w:numPr>
        <w:spacing w:after="120" w:line="240" w:lineRule="auto"/>
        <w:contextualSpacing w:val="0"/>
        <w:rPr>
          <w:szCs w:val="24"/>
          <w:lang w:val="pt-PT"/>
        </w:rPr>
      </w:pPr>
      <w:r>
        <w:rPr>
          <w:szCs w:val="24"/>
          <w:lang w:val="pt-PT"/>
        </w:rPr>
        <w:t>a existência e exaustividade de um registo público de licenças e dados sobre a atribuição de licenças (requisitos 3.9 e 3.10 da EITI);</w:t>
      </w:r>
    </w:p>
    <w:p w14:paraId="12A87341" w14:textId="5FA22CC8" w:rsidR="007B3846" w:rsidRDefault="007B3846" w:rsidP="007B3846">
      <w:pPr>
        <w:pStyle w:val="ListParagraph"/>
        <w:numPr>
          <w:ilvl w:val="0"/>
          <w:numId w:val="15"/>
        </w:numPr>
        <w:spacing w:after="120" w:line="240" w:lineRule="auto"/>
        <w:contextualSpacing w:val="0"/>
        <w:rPr>
          <w:szCs w:val="24"/>
          <w:lang w:val="pt-PT"/>
        </w:rPr>
      </w:pPr>
      <w:r>
        <w:rPr>
          <w:szCs w:val="24"/>
          <w:lang w:val="pt-PT"/>
        </w:rPr>
        <w:t>a existência de um registo público dos proprietários beneficiários das empresas extratoras (requisito 3.11 da EITI);</w:t>
      </w:r>
    </w:p>
    <w:p w14:paraId="6B77B9B9" w14:textId="7CDB0B14" w:rsidR="00384A7F" w:rsidRDefault="00384A7F" w:rsidP="00384A7F">
      <w:pPr>
        <w:pStyle w:val="ListParagraph"/>
        <w:numPr>
          <w:ilvl w:val="0"/>
          <w:numId w:val="15"/>
        </w:numPr>
        <w:spacing w:after="120" w:line="240" w:lineRule="auto"/>
        <w:contextualSpacing w:val="0"/>
        <w:rPr>
          <w:szCs w:val="24"/>
          <w:lang w:val="pt-PT"/>
        </w:rPr>
      </w:pPr>
      <w:r>
        <w:rPr>
          <w:szCs w:val="24"/>
          <w:lang w:val="pt-PT"/>
        </w:rPr>
        <w:t xml:space="preserve">políticas e práticas do </w:t>
      </w:r>
      <w:r>
        <w:rPr>
          <w:color w:val="0070C0"/>
          <w:szCs w:val="24"/>
          <w:lang w:val="pt-PT"/>
        </w:rPr>
        <w:t>[país]</w:t>
      </w:r>
      <w:r>
        <w:rPr>
          <w:szCs w:val="24"/>
          <w:lang w:val="pt-PT"/>
        </w:rPr>
        <w:t xml:space="preserve"> relativas à divulgação de contratos e licenças que regem a exploração e extração de petróleo, gás e minério</w:t>
      </w:r>
      <w:r w:rsidR="0051148F">
        <w:rPr>
          <w:szCs w:val="24"/>
          <w:lang w:val="pt-PT"/>
        </w:rPr>
        <w:t>s</w:t>
      </w:r>
      <w:r>
        <w:rPr>
          <w:szCs w:val="24"/>
          <w:lang w:val="pt-PT"/>
        </w:rPr>
        <w:t xml:space="preserve"> e quaisquer reformas em curso (requisito 3.12 da EITI); </w:t>
      </w:r>
    </w:p>
    <w:p w14:paraId="58FCCE13" w14:textId="40E675BE" w:rsidR="00937436" w:rsidRDefault="00937436" w:rsidP="00937436">
      <w:pPr>
        <w:pStyle w:val="ListParagraph"/>
        <w:numPr>
          <w:ilvl w:val="0"/>
          <w:numId w:val="15"/>
        </w:numPr>
        <w:spacing w:after="120" w:line="240" w:lineRule="auto"/>
        <w:contextualSpacing w:val="0"/>
        <w:rPr>
          <w:szCs w:val="24"/>
          <w:lang w:val="pt-PT"/>
        </w:rPr>
      </w:pPr>
      <w:r>
        <w:rPr>
          <w:color w:val="0070C0"/>
          <w:szCs w:val="24"/>
          <w:lang w:val="pt-PT"/>
        </w:rPr>
        <w:t>[quando os objetivos do grupo de intervenientes e o plano de trabalho exija</w:t>
      </w:r>
      <w:r w:rsidR="0051148F">
        <w:rPr>
          <w:color w:val="0070C0"/>
          <w:szCs w:val="24"/>
          <w:lang w:val="pt-PT"/>
        </w:rPr>
        <w:t>m</w:t>
      </w:r>
      <w:r>
        <w:rPr>
          <w:color w:val="0070C0"/>
          <w:szCs w:val="24"/>
          <w:lang w:val="pt-PT"/>
        </w:rPr>
        <w:t xml:space="preserve"> a avaliação de informações contextuais adicionais, estas devem ser especificadas aqui.] </w:t>
      </w:r>
    </w:p>
    <w:p w14:paraId="35ADC880" w14:textId="01BBA8C6" w:rsidR="00937436" w:rsidRDefault="00937436" w:rsidP="00937436">
      <w:pPr>
        <w:pStyle w:val="ListParagraph"/>
        <w:numPr>
          <w:ilvl w:val="0"/>
          <w:numId w:val="5"/>
        </w:numPr>
        <w:spacing w:after="120" w:line="240" w:lineRule="auto"/>
        <w:rPr>
          <w:szCs w:val="24"/>
          <w:lang w:val="pt-PT"/>
        </w:rPr>
      </w:pPr>
      <w:r>
        <w:rPr>
          <w:szCs w:val="24"/>
          <w:lang w:val="pt-PT"/>
        </w:rPr>
        <w:t>O consultor deverá fornecer opções e recomendações ao grupo de intervenientes sobre a forma de fortalecer as práticas de divulgação referidas em cada um dos pontos acima, em primeiro lugar através da integração das informações nos portais do governo e das empresas</w:t>
      </w:r>
      <w:r w:rsidR="00D9273C">
        <w:rPr>
          <w:szCs w:val="24"/>
          <w:lang w:val="pt-PT"/>
        </w:rPr>
        <w:t xml:space="preserve"> e</w:t>
      </w:r>
      <w:r>
        <w:rPr>
          <w:szCs w:val="24"/>
          <w:lang w:val="pt-PT"/>
        </w:rPr>
        <w:t xml:space="preserve">, em segundo </w:t>
      </w:r>
      <w:r w:rsidR="00D9273C">
        <w:rPr>
          <w:szCs w:val="24"/>
          <w:lang w:val="pt-PT"/>
        </w:rPr>
        <w:t xml:space="preserve">lugar, </w:t>
      </w:r>
      <w:r>
        <w:rPr>
          <w:szCs w:val="24"/>
          <w:lang w:val="pt-PT"/>
        </w:rPr>
        <w:t xml:space="preserve">através da publicação </w:t>
      </w:r>
      <w:r w:rsidR="00D9273C">
        <w:rPr>
          <w:szCs w:val="24"/>
          <w:lang w:val="pt-PT"/>
        </w:rPr>
        <w:t xml:space="preserve">dessas informações </w:t>
      </w:r>
      <w:r>
        <w:rPr>
          <w:szCs w:val="24"/>
          <w:lang w:val="pt-PT"/>
        </w:rPr>
        <w:t>no relatório da EITI. O consultor deverá ter em conta as circunstâncias locais (por exemplo, o nível de acesso à Internet) e as melhores práticas internacionais.</w:t>
      </w:r>
      <w:r w:rsidR="00260E37">
        <w:rPr>
          <w:szCs w:val="24"/>
          <w:lang w:val="pt-PT"/>
        </w:rPr>
        <w:t xml:space="preserve"> </w:t>
      </w:r>
      <w:r>
        <w:rPr>
          <w:szCs w:val="24"/>
          <w:lang w:val="pt-PT"/>
        </w:rPr>
        <w:t xml:space="preserve">Com base na avaliação, o consultor deverá sugerir um enquadramento do relatório da EITI adequado à situação do país e em harmonia com </w:t>
      </w:r>
      <w:r w:rsidR="00D9273C">
        <w:rPr>
          <w:szCs w:val="24"/>
          <w:lang w:val="pt-PT"/>
        </w:rPr>
        <w:t>o Padrão da</w:t>
      </w:r>
      <w:r>
        <w:rPr>
          <w:szCs w:val="24"/>
          <w:lang w:val="pt-PT"/>
        </w:rPr>
        <w:t xml:space="preserve"> EITI. Para informar as opções e recomendações a serem apresentadas ao grupo de intervenientes, o consultor deverá:</w:t>
      </w:r>
    </w:p>
    <w:p w14:paraId="6E6C163E" w14:textId="77777777" w:rsidR="00B17A6B" w:rsidRPr="00881514" w:rsidRDefault="00B17A6B" w:rsidP="0063635D">
      <w:pPr>
        <w:pStyle w:val="ListParagraph"/>
        <w:spacing w:after="120" w:line="240" w:lineRule="auto"/>
        <w:rPr>
          <w:rFonts w:asciiTheme="minorHAnsi" w:hAnsiTheme="minorHAnsi"/>
          <w:lang w:val="pt-PT"/>
        </w:rPr>
      </w:pPr>
    </w:p>
    <w:p w14:paraId="5CEF9EF1" w14:textId="05165124" w:rsidR="00881514" w:rsidRDefault="00613883" w:rsidP="00881514">
      <w:pPr>
        <w:pStyle w:val="ListParagraph"/>
        <w:numPr>
          <w:ilvl w:val="0"/>
          <w:numId w:val="17"/>
        </w:numPr>
        <w:spacing w:after="120" w:line="240" w:lineRule="auto"/>
        <w:contextualSpacing w:val="0"/>
        <w:rPr>
          <w:szCs w:val="24"/>
          <w:lang w:val="pt-PT"/>
        </w:rPr>
      </w:pPr>
      <w:r>
        <w:rPr>
          <w:szCs w:val="24"/>
          <w:lang w:val="pt-PT"/>
        </w:rPr>
        <w:t>investig</w:t>
      </w:r>
      <w:r w:rsidR="00881514">
        <w:rPr>
          <w:szCs w:val="24"/>
          <w:lang w:val="pt-PT"/>
        </w:rPr>
        <w:t>ar em que medida as informações definidas acima estão disponíveis nos sistemas gover</w:t>
      </w:r>
      <w:r w:rsidR="00D9273C">
        <w:rPr>
          <w:szCs w:val="24"/>
          <w:lang w:val="pt-PT"/>
        </w:rPr>
        <w:t>namentais e/ou nos relatórios das</w:t>
      </w:r>
      <w:r w:rsidR="00881514">
        <w:rPr>
          <w:szCs w:val="24"/>
          <w:lang w:val="pt-PT"/>
        </w:rPr>
        <w:t xml:space="preserve"> empresas e se estão disponíveis online, bem como </w:t>
      </w:r>
      <w:r w:rsidR="00D9273C">
        <w:rPr>
          <w:szCs w:val="24"/>
          <w:lang w:val="pt-PT"/>
        </w:rPr>
        <w:t xml:space="preserve">se estão </w:t>
      </w:r>
      <w:r w:rsidR="00881514">
        <w:rPr>
          <w:szCs w:val="24"/>
          <w:lang w:val="pt-PT"/>
        </w:rPr>
        <w:t xml:space="preserve">completas e acessíveis a uma proporção </w:t>
      </w:r>
      <w:r w:rsidR="00D9273C">
        <w:rPr>
          <w:szCs w:val="24"/>
          <w:lang w:val="pt-PT"/>
        </w:rPr>
        <w:t xml:space="preserve">significativa </w:t>
      </w:r>
      <w:r w:rsidR="00881514">
        <w:rPr>
          <w:szCs w:val="24"/>
          <w:lang w:val="pt-PT"/>
        </w:rPr>
        <w:t>da população do país</w:t>
      </w:r>
      <w:r w:rsidR="00D9273C">
        <w:rPr>
          <w:szCs w:val="24"/>
          <w:lang w:val="pt-PT"/>
        </w:rPr>
        <w:t>;</w:t>
      </w:r>
      <w:r w:rsidR="00881514">
        <w:rPr>
          <w:szCs w:val="24"/>
          <w:lang w:val="pt-PT"/>
        </w:rPr>
        <w:t xml:space="preserve"> </w:t>
      </w:r>
    </w:p>
    <w:p w14:paraId="19F585C3" w14:textId="23EF7891" w:rsidR="00D9273C" w:rsidRPr="00D9273C" w:rsidRDefault="00D9273C" w:rsidP="00D9273C">
      <w:pPr>
        <w:pStyle w:val="ListParagraph"/>
        <w:numPr>
          <w:ilvl w:val="0"/>
          <w:numId w:val="17"/>
        </w:numPr>
        <w:spacing w:after="120" w:line="240" w:lineRule="auto"/>
        <w:contextualSpacing w:val="0"/>
        <w:rPr>
          <w:szCs w:val="24"/>
          <w:lang w:val="pt-PT"/>
        </w:rPr>
      </w:pPr>
      <w:r>
        <w:rPr>
          <w:szCs w:val="24"/>
          <w:lang w:val="pt-PT"/>
        </w:rPr>
        <w:t>avaliar a atualidade e fiabilidade dos dados disponíveis. Se existirem várias fontes públicas dos dados, analisar se são consistentes;</w:t>
      </w:r>
    </w:p>
    <w:p w14:paraId="7953C1E2" w14:textId="307F0DE7" w:rsidR="00613883" w:rsidRPr="00613883" w:rsidRDefault="00613883" w:rsidP="00613883">
      <w:pPr>
        <w:pStyle w:val="ListParagraph"/>
        <w:numPr>
          <w:ilvl w:val="0"/>
          <w:numId w:val="17"/>
        </w:numPr>
        <w:spacing w:after="120" w:line="240" w:lineRule="auto"/>
        <w:contextualSpacing w:val="0"/>
        <w:rPr>
          <w:szCs w:val="24"/>
          <w:lang w:val="pt-PT"/>
        </w:rPr>
      </w:pPr>
      <w:r>
        <w:rPr>
          <w:szCs w:val="24"/>
          <w:lang w:val="pt-PT"/>
        </w:rPr>
        <w:t xml:space="preserve">avaliar se existem </w:t>
      </w:r>
      <w:r w:rsidR="00D9273C">
        <w:rPr>
          <w:szCs w:val="24"/>
          <w:lang w:val="pt-PT"/>
        </w:rPr>
        <w:t>obstáculos</w:t>
      </w:r>
      <w:r>
        <w:rPr>
          <w:szCs w:val="24"/>
          <w:lang w:val="pt-PT"/>
        </w:rPr>
        <w:t xml:space="preserve"> à divulgação e recomendar a melhor forma de resolver as lacunas nas informações patentes ao público. O consultor deverá investigar se existem dados disponíveis nos sistemas governamentais que não estejam disponíveis ao público e que possam ser facilmente publicados online. Caso exista um cadastro de licenças online, o consultor deverá avaliar em que medida os dados podem ser integrados no mesmo;</w:t>
      </w:r>
    </w:p>
    <w:p w14:paraId="4F2E11F2" w14:textId="16DFFD05" w:rsidR="00D513E7" w:rsidRPr="00D513E7" w:rsidRDefault="00D513E7" w:rsidP="00D513E7">
      <w:pPr>
        <w:pStyle w:val="ListParagraph"/>
        <w:numPr>
          <w:ilvl w:val="0"/>
          <w:numId w:val="17"/>
        </w:numPr>
        <w:spacing w:after="120" w:line="240" w:lineRule="auto"/>
        <w:contextualSpacing w:val="0"/>
        <w:rPr>
          <w:szCs w:val="24"/>
          <w:lang w:val="pt-PT"/>
        </w:rPr>
      </w:pPr>
      <w:r>
        <w:rPr>
          <w:szCs w:val="24"/>
          <w:lang w:val="pt-PT"/>
        </w:rPr>
        <w:t>avaliar se é possível incluir no relatório da EITI informações contextuais que sejam mais recentes do que os dados de receitas incluídos no relatório;</w:t>
      </w:r>
    </w:p>
    <w:p w14:paraId="67D711C1" w14:textId="65D9FA2B" w:rsidR="00F75047" w:rsidRDefault="00F75047" w:rsidP="00F75047">
      <w:pPr>
        <w:pStyle w:val="ListParagraph"/>
        <w:numPr>
          <w:ilvl w:val="0"/>
          <w:numId w:val="17"/>
        </w:numPr>
        <w:spacing w:after="120" w:line="240" w:lineRule="auto"/>
        <w:contextualSpacing w:val="0"/>
        <w:rPr>
          <w:szCs w:val="24"/>
          <w:lang w:val="pt-PT"/>
        </w:rPr>
      </w:pPr>
      <w:r>
        <w:rPr>
          <w:szCs w:val="24"/>
          <w:lang w:val="pt-PT"/>
        </w:rPr>
        <w:lastRenderedPageBreak/>
        <w:t>com base no exposto acima, apresentar uma recomendação sobre a forma como as informações deverão ser elaboradas no relatório da EITI: se será suficiente incluir uma ligação</w:t>
      </w:r>
      <w:r w:rsidR="00611A9F">
        <w:rPr>
          <w:szCs w:val="24"/>
          <w:lang w:val="pt-PT"/>
        </w:rPr>
        <w:t xml:space="preserve"> no relatório da EITI</w:t>
      </w:r>
      <w:r>
        <w:rPr>
          <w:szCs w:val="24"/>
          <w:lang w:val="pt-PT"/>
        </w:rPr>
        <w:t xml:space="preserve"> para as informações existente</w:t>
      </w:r>
      <w:r w:rsidR="00611A9F">
        <w:rPr>
          <w:szCs w:val="24"/>
          <w:lang w:val="pt-PT"/>
        </w:rPr>
        <w:t>s</w:t>
      </w:r>
      <w:r>
        <w:rPr>
          <w:szCs w:val="24"/>
          <w:lang w:val="pt-PT"/>
        </w:rPr>
        <w:t xml:space="preserve"> ou se o relatório da EITI deverá incluir uma descrição parcial ou total das informações, que informações o administrador independente deverá reunir e o que pode ser extraído diretamente da fonte e que pontos fracos e dificuldades deverão ser resolvidos no relatório da EITI; </w:t>
      </w:r>
    </w:p>
    <w:p w14:paraId="031A3147" w14:textId="3E4F979F" w:rsidR="00F75047" w:rsidRDefault="00F75047" w:rsidP="00F75047">
      <w:pPr>
        <w:pStyle w:val="ListParagraph"/>
        <w:numPr>
          <w:ilvl w:val="0"/>
          <w:numId w:val="17"/>
        </w:numPr>
        <w:spacing w:after="120" w:line="240" w:lineRule="auto"/>
        <w:contextualSpacing w:val="0"/>
        <w:rPr>
          <w:szCs w:val="24"/>
          <w:lang w:val="pt-PT"/>
        </w:rPr>
      </w:pPr>
      <w:bookmarkStart w:id="6" w:name="_Toc414833401"/>
      <w:bookmarkStart w:id="7" w:name="_Toc415059319"/>
      <w:r>
        <w:rPr>
          <w:szCs w:val="24"/>
          <w:lang w:val="pt-PT"/>
        </w:rPr>
        <w:t>documentar cuidadosamente no relatório de âmbito todas as informações recolhidas e a base das avaliações efetuadas.</w:t>
      </w:r>
    </w:p>
    <w:bookmarkEnd w:id="6"/>
    <w:bookmarkEnd w:id="7"/>
    <w:p w14:paraId="16210B72" w14:textId="77777777" w:rsidR="00A31002" w:rsidRDefault="00A31002" w:rsidP="00A31002">
      <w:pPr>
        <w:rPr>
          <w:b/>
          <w:sz w:val="26"/>
          <w:szCs w:val="24"/>
          <w:lang w:val="pt-PT"/>
        </w:rPr>
      </w:pPr>
    </w:p>
    <w:p w14:paraId="716AC852" w14:textId="434A580F" w:rsidR="00937436" w:rsidRDefault="00937436" w:rsidP="00A31002">
      <w:pPr>
        <w:rPr>
          <w:b/>
          <w:sz w:val="26"/>
          <w:szCs w:val="24"/>
        </w:rPr>
      </w:pPr>
      <w:r>
        <w:rPr>
          <w:b/>
          <w:sz w:val="26"/>
          <w:szCs w:val="24"/>
          <w:lang w:val="pt-PT"/>
        </w:rPr>
        <w:t>Reconciliação da EITI</w:t>
      </w:r>
    </w:p>
    <w:p w14:paraId="23812D04" w14:textId="38209B88" w:rsidR="00761ECD" w:rsidRDefault="00611A9F" w:rsidP="00761ECD">
      <w:pPr>
        <w:pStyle w:val="ListParagraph"/>
        <w:numPr>
          <w:ilvl w:val="0"/>
          <w:numId w:val="5"/>
        </w:numPr>
        <w:spacing w:line="280" w:lineRule="auto"/>
        <w:rPr>
          <w:szCs w:val="24"/>
          <w:lang w:val="pt-PT"/>
        </w:rPr>
      </w:pPr>
      <w:r>
        <w:rPr>
          <w:szCs w:val="24"/>
          <w:lang w:val="pt-PT"/>
        </w:rPr>
        <w:t>O Padrão da</w:t>
      </w:r>
      <w:r w:rsidR="00761ECD">
        <w:rPr>
          <w:szCs w:val="24"/>
          <w:lang w:val="pt-PT"/>
        </w:rPr>
        <w:t xml:space="preserve"> EITI exige a divulgação total das receitas governamentais provenientes do setor extrativo e a divulgação dos pagamentos materiais efetuados pelas empresas de petróleo, gás e mineiras (requisito 4). O consultor deverá avaliar a disponibilidade e fiabilidade dos dados relativos às receitas e pagamentos, e explorar as melhores formas de estes dados serem publicados. Para este efeito, o consultor deverá realizar uma análise completa dos fluxos de pagamentos e receitas governamen</w:t>
      </w:r>
      <w:r>
        <w:rPr>
          <w:szCs w:val="24"/>
          <w:lang w:val="pt-PT"/>
        </w:rPr>
        <w:t>tais relacionado</w:t>
      </w:r>
      <w:r w:rsidR="00761ECD">
        <w:rPr>
          <w:szCs w:val="24"/>
          <w:lang w:val="pt-PT"/>
        </w:rPr>
        <w:t xml:space="preserve">s com o setor extrativo, anotando em particular os fluxos de receitas que devem ser abrangidos </w:t>
      </w:r>
      <w:r>
        <w:rPr>
          <w:szCs w:val="24"/>
          <w:lang w:val="pt-PT"/>
        </w:rPr>
        <w:t>em cumprimento d</w:t>
      </w:r>
      <w:r w:rsidR="00761ECD">
        <w:rPr>
          <w:szCs w:val="24"/>
          <w:lang w:val="pt-PT"/>
        </w:rPr>
        <w:t xml:space="preserve">o requisito 4.1(b) da EITI. A análise deverá também abranger as receitas relacionadas com a venda da parte estatal da produção ou outras receitas pagas em </w:t>
      </w:r>
      <w:r>
        <w:rPr>
          <w:szCs w:val="24"/>
          <w:lang w:val="pt-PT"/>
        </w:rPr>
        <w:t>espécie</w:t>
      </w:r>
      <w:r w:rsidR="00761ECD">
        <w:rPr>
          <w:szCs w:val="24"/>
          <w:lang w:val="pt-PT"/>
        </w:rPr>
        <w:t xml:space="preserve"> (4.1.c), provisões de infraestruturas e outros acordos de permuta (4.1.d), despesas sociais obrigatórias ou voluntárias (4.1.e) e pagamentos de transportes (4.1.f).</w:t>
      </w:r>
    </w:p>
    <w:p w14:paraId="66503180" w14:textId="77777777" w:rsidR="00584FD7" w:rsidRPr="00937436" w:rsidRDefault="00584FD7" w:rsidP="0063635D">
      <w:pPr>
        <w:pStyle w:val="ListParagraph"/>
        <w:ind w:left="363"/>
        <w:rPr>
          <w:rFonts w:asciiTheme="minorHAnsi" w:hAnsiTheme="minorHAnsi" w:cs="Calibri"/>
          <w:lang w:val="pt-PT"/>
        </w:rPr>
      </w:pPr>
    </w:p>
    <w:p w14:paraId="2E68B00A" w14:textId="6E74FF75" w:rsidR="00A71BCC" w:rsidRDefault="00A71BCC" w:rsidP="00A71BCC">
      <w:pPr>
        <w:pStyle w:val="ListParagraph"/>
        <w:numPr>
          <w:ilvl w:val="0"/>
          <w:numId w:val="5"/>
        </w:numPr>
        <w:spacing w:after="120" w:line="240" w:lineRule="auto"/>
        <w:contextualSpacing w:val="0"/>
        <w:rPr>
          <w:szCs w:val="24"/>
          <w:lang w:val="pt-PT"/>
        </w:rPr>
      </w:pPr>
      <w:r>
        <w:rPr>
          <w:szCs w:val="24"/>
          <w:lang w:val="pt-PT"/>
        </w:rPr>
        <w:t>O consultor deverá descrever que dados de receitas e pagamentos indicados no ponto 6 acima estão publicam</w:t>
      </w:r>
      <w:r w:rsidR="003E334C">
        <w:rPr>
          <w:szCs w:val="24"/>
          <w:lang w:val="pt-PT"/>
        </w:rPr>
        <w:t>ente disponíveis, quer online quer</w:t>
      </w:r>
      <w:r>
        <w:rPr>
          <w:szCs w:val="24"/>
          <w:lang w:val="pt-PT"/>
        </w:rPr>
        <w:t xml:space="preserve"> através de outras fontes do governo ou das empresas. O consultor deverá avaliar a atualidade, exaustividade e fiabilidade dos dados. Quando a divulgação estiver concluída, o consultor deverá fazer recomendações sobre a forma como os dados das receitas e pagamentos podem ser publicados através de outros canais além do relatório da EITI; por exemplo, incorporando os dados em cadastros de licenças ou incluindo uma base de dados e/ou modelos de relatórios nos </w:t>
      </w:r>
      <w:r w:rsidR="003E334C">
        <w:rPr>
          <w:szCs w:val="24"/>
          <w:lang w:val="pt-PT"/>
        </w:rPr>
        <w:t>sites</w:t>
      </w:r>
      <w:r>
        <w:rPr>
          <w:szCs w:val="24"/>
          <w:lang w:val="pt-PT"/>
        </w:rPr>
        <w:t xml:space="preserve"> do governo, das empresas e/ou da EITI nacional. </w:t>
      </w:r>
      <w:r w:rsidR="003E334C">
        <w:rPr>
          <w:szCs w:val="24"/>
          <w:lang w:val="pt-PT"/>
        </w:rPr>
        <w:t>Quando</w:t>
      </w:r>
      <w:r>
        <w:rPr>
          <w:szCs w:val="24"/>
          <w:lang w:val="pt-PT"/>
        </w:rPr>
        <w:t xml:space="preserve"> existam lacunas na informação, o consultor deverá fazer recomendações sobre a forma de solucionar aquelas, com vista a incorporar o relatório da EITI</w:t>
      </w:r>
      <w:r w:rsidR="003E334C">
        <w:rPr>
          <w:szCs w:val="24"/>
          <w:lang w:val="pt-PT"/>
        </w:rPr>
        <w:t>,</w:t>
      </w:r>
      <w:r>
        <w:rPr>
          <w:szCs w:val="24"/>
          <w:lang w:val="pt-PT"/>
        </w:rPr>
        <w:t xml:space="preserve"> no futuro. </w:t>
      </w:r>
    </w:p>
    <w:p w14:paraId="0E2BF24A" w14:textId="57AE5A96" w:rsidR="0003781C" w:rsidRDefault="0003781C" w:rsidP="0003781C">
      <w:pPr>
        <w:pStyle w:val="ListParagraph"/>
        <w:numPr>
          <w:ilvl w:val="0"/>
          <w:numId w:val="5"/>
        </w:numPr>
        <w:spacing w:after="120" w:line="240" w:lineRule="auto"/>
        <w:rPr>
          <w:szCs w:val="24"/>
          <w:lang w:val="pt-PT"/>
        </w:rPr>
      </w:pPr>
      <w:r>
        <w:rPr>
          <w:szCs w:val="24"/>
          <w:lang w:val="pt-PT"/>
        </w:rPr>
        <w:t>Em seguimento à análise dos fluxos de receitas e dos pagamentos, o consultor deverá:</w:t>
      </w:r>
    </w:p>
    <w:p w14:paraId="2DE05F2C" w14:textId="77777777" w:rsidR="00012475" w:rsidRPr="0003781C" w:rsidRDefault="00012475" w:rsidP="00012475">
      <w:pPr>
        <w:pStyle w:val="ListParagraph"/>
        <w:spacing w:after="120" w:line="240" w:lineRule="auto"/>
        <w:rPr>
          <w:rFonts w:asciiTheme="minorHAnsi" w:hAnsiTheme="minorHAnsi" w:cs="Calibri"/>
          <w:lang w:val="pt-PT"/>
        </w:rPr>
      </w:pPr>
    </w:p>
    <w:p w14:paraId="3DCF1BAA" w14:textId="2A2ED8CF" w:rsidR="00DC5641" w:rsidRDefault="00DC5641" w:rsidP="00DC5641">
      <w:pPr>
        <w:pStyle w:val="ListParagraph"/>
        <w:numPr>
          <w:ilvl w:val="0"/>
          <w:numId w:val="18"/>
        </w:numPr>
        <w:spacing w:after="120" w:line="240" w:lineRule="auto"/>
        <w:contextualSpacing w:val="0"/>
        <w:rPr>
          <w:szCs w:val="24"/>
          <w:lang w:val="pt-PT"/>
        </w:rPr>
      </w:pPr>
      <w:r>
        <w:rPr>
          <w:szCs w:val="24"/>
          <w:lang w:val="pt-PT"/>
        </w:rPr>
        <w:t xml:space="preserve">rever os dados de cadastro e de receitas do ano de </w:t>
      </w:r>
      <w:r>
        <w:rPr>
          <w:color w:val="0070C0"/>
          <w:szCs w:val="24"/>
          <w:lang w:val="pt-PT"/>
        </w:rPr>
        <w:t>[ano]</w:t>
      </w:r>
      <w:r>
        <w:rPr>
          <w:szCs w:val="24"/>
          <w:lang w:val="pt-PT"/>
        </w:rPr>
        <w:t xml:space="preserve"> e fornecer recomendações </w:t>
      </w:r>
      <w:r w:rsidR="003E334C">
        <w:rPr>
          <w:szCs w:val="24"/>
          <w:lang w:val="pt-PT"/>
        </w:rPr>
        <w:t xml:space="preserve">sobre </w:t>
      </w:r>
      <w:r>
        <w:rPr>
          <w:szCs w:val="24"/>
          <w:lang w:val="pt-PT"/>
        </w:rPr>
        <w:t>quais destes fluxos de pagamentos de impostos e de receitas governamentais deverão ser considerados materiais, incluindo sugestões de limiar</w:t>
      </w:r>
      <w:r w:rsidR="003E334C">
        <w:rPr>
          <w:szCs w:val="24"/>
          <w:lang w:val="pt-PT"/>
        </w:rPr>
        <w:t>es</w:t>
      </w:r>
      <w:r>
        <w:rPr>
          <w:szCs w:val="24"/>
          <w:lang w:val="pt-PT"/>
        </w:rPr>
        <w:t xml:space="preserve"> de materialidade para a divulgação das empresas, caso necessário (com </w:t>
      </w:r>
      <w:r w:rsidR="002362BB">
        <w:rPr>
          <w:szCs w:val="24"/>
          <w:lang w:val="pt-PT"/>
        </w:rPr>
        <w:t>referência à nota de orientação</w:t>
      </w:r>
      <w:r w:rsidR="00A31002">
        <w:rPr>
          <w:rStyle w:val="FootnoteReference"/>
          <w:szCs w:val="24"/>
          <w:lang w:val="pt-PT"/>
        </w:rPr>
        <w:footnoteReference w:id="3"/>
      </w:r>
      <w:r>
        <w:rPr>
          <w:szCs w:val="24"/>
          <w:lang w:val="pt-PT"/>
        </w:rPr>
        <w:t xml:space="preserve"> ao requisito 4.1 da EITI)</w:t>
      </w:r>
      <w:r w:rsidR="00216165">
        <w:rPr>
          <w:szCs w:val="24"/>
          <w:lang w:val="pt-PT"/>
        </w:rPr>
        <w:t>;</w:t>
      </w:r>
      <w:r>
        <w:rPr>
          <w:szCs w:val="24"/>
          <w:lang w:val="pt-PT"/>
        </w:rPr>
        <w:t xml:space="preserve"> </w:t>
      </w:r>
    </w:p>
    <w:p w14:paraId="4AEE3B0B" w14:textId="3F7298AD" w:rsidR="003E334C" w:rsidRDefault="003E334C" w:rsidP="003E334C">
      <w:pPr>
        <w:pStyle w:val="ListParagraph"/>
        <w:numPr>
          <w:ilvl w:val="0"/>
          <w:numId w:val="18"/>
        </w:numPr>
        <w:spacing w:after="120" w:line="240" w:lineRule="auto"/>
        <w:contextualSpacing w:val="0"/>
        <w:rPr>
          <w:szCs w:val="24"/>
          <w:lang w:val="pt-PT"/>
        </w:rPr>
      </w:pPr>
      <w:r>
        <w:rPr>
          <w:szCs w:val="24"/>
          <w:lang w:val="pt-PT"/>
        </w:rPr>
        <w:t xml:space="preserve">com base na definição de materialidade proposta, desenvolver uma lista preliminar das empresas que efetuam pagamentos materiais e que devem constar do relatório da EITI </w:t>
      </w:r>
      <w:r>
        <w:rPr>
          <w:szCs w:val="24"/>
          <w:lang w:val="pt-PT"/>
        </w:rPr>
        <w:lastRenderedPageBreak/>
        <w:t>(requisito 4.2.a</w:t>
      </w:r>
      <w:r w:rsidR="002362BB">
        <w:rPr>
          <w:szCs w:val="24"/>
          <w:lang w:val="pt-PT"/>
        </w:rPr>
        <w:t xml:space="preserve"> da EITI</w:t>
      </w:r>
      <w:r>
        <w:rPr>
          <w:szCs w:val="24"/>
          <w:lang w:val="pt-PT"/>
        </w:rPr>
        <w:t>). Quando são propostos limiares de materialidade, estes devem incluir uma estimativa da abrangência dos pagamentos das empresas que serão divulgados relativamente às receitas governamentais totais provenientes do setor. Deverá também identificar a contribuição total das empresas isentas de reportar (ou seja, daquelas que não atingem o limiar de materialidade), com uma clara indicação da dimensão relativa de cada empresa (estes dados vão informar a avaliação da exaus</w:t>
      </w:r>
      <w:r w:rsidR="002362BB">
        <w:rPr>
          <w:szCs w:val="24"/>
          <w:lang w:val="pt-PT"/>
        </w:rPr>
        <w:t>tividade do relatório da EITI, em cumprimento d</w:t>
      </w:r>
      <w:r>
        <w:rPr>
          <w:szCs w:val="24"/>
          <w:lang w:val="pt-PT"/>
        </w:rPr>
        <w:t>o requisito 5.3.c);</w:t>
      </w:r>
    </w:p>
    <w:p w14:paraId="687983AE" w14:textId="0DDAEBB7" w:rsidR="00B20A2B" w:rsidRDefault="00260E37" w:rsidP="00B20A2B">
      <w:pPr>
        <w:pStyle w:val="ListParagraph"/>
        <w:numPr>
          <w:ilvl w:val="0"/>
          <w:numId w:val="18"/>
        </w:numPr>
        <w:spacing w:after="120" w:line="240" w:lineRule="auto"/>
        <w:contextualSpacing w:val="0"/>
        <w:rPr>
          <w:szCs w:val="24"/>
          <w:lang w:val="pt-PT"/>
        </w:rPr>
      </w:pPr>
      <w:r>
        <w:rPr>
          <w:szCs w:val="24"/>
          <w:lang w:val="pt-PT"/>
        </w:rPr>
        <w:t xml:space="preserve">em </w:t>
      </w:r>
      <w:r w:rsidR="00B20A2B">
        <w:rPr>
          <w:szCs w:val="24"/>
          <w:lang w:val="pt-PT"/>
        </w:rPr>
        <w:t>cada empresa, identificar quando possível:</w:t>
      </w:r>
    </w:p>
    <w:p w14:paraId="092D24E3" w14:textId="10C8A9D6" w:rsidR="00384A7F" w:rsidRPr="00BC17F4" w:rsidRDefault="00A16865" w:rsidP="00384A7F">
      <w:pPr>
        <w:pStyle w:val="ListParagraph"/>
        <w:numPr>
          <w:ilvl w:val="2"/>
          <w:numId w:val="6"/>
        </w:numPr>
        <w:spacing w:after="120" w:line="240" w:lineRule="auto"/>
        <w:contextualSpacing w:val="0"/>
        <w:rPr>
          <w:szCs w:val="24"/>
          <w:lang w:val="pt-PT"/>
        </w:rPr>
      </w:pPr>
      <w:r>
        <w:rPr>
          <w:szCs w:val="24"/>
          <w:lang w:val="pt-PT"/>
        </w:rPr>
        <w:t>o número de identificação fiscal;</w:t>
      </w:r>
    </w:p>
    <w:p w14:paraId="49133BCA" w14:textId="5013D9FE" w:rsidR="00BC17F4" w:rsidRDefault="00BC17F4" w:rsidP="00BC17F4">
      <w:pPr>
        <w:pStyle w:val="ListParagraph"/>
        <w:numPr>
          <w:ilvl w:val="2"/>
          <w:numId w:val="6"/>
        </w:numPr>
        <w:spacing w:after="120" w:line="240" w:lineRule="auto"/>
        <w:contextualSpacing w:val="0"/>
        <w:rPr>
          <w:szCs w:val="24"/>
          <w:lang w:val="pt-PT"/>
        </w:rPr>
      </w:pPr>
      <w:r>
        <w:rPr>
          <w:szCs w:val="24"/>
          <w:lang w:val="pt-PT"/>
        </w:rPr>
        <w:t>setor e fase de operação, ou seja, exploração, produção</w:t>
      </w:r>
      <w:r w:rsidR="00A16865">
        <w:rPr>
          <w:szCs w:val="24"/>
          <w:lang w:val="pt-PT"/>
        </w:rPr>
        <w:t>, petróleo, gás, mineração, etc.;</w:t>
      </w:r>
    </w:p>
    <w:p w14:paraId="7F9D8965" w14:textId="7C6286C4" w:rsidR="00B20A2B" w:rsidRDefault="00B20A2B" w:rsidP="00B20A2B">
      <w:pPr>
        <w:pStyle w:val="ListParagraph"/>
        <w:numPr>
          <w:ilvl w:val="2"/>
          <w:numId w:val="6"/>
        </w:numPr>
        <w:spacing w:after="120" w:line="240" w:lineRule="auto"/>
        <w:contextualSpacing w:val="0"/>
        <w:rPr>
          <w:szCs w:val="24"/>
          <w:lang w:val="pt-PT"/>
        </w:rPr>
      </w:pPr>
      <w:r>
        <w:rPr>
          <w:szCs w:val="24"/>
          <w:lang w:val="pt-PT"/>
        </w:rPr>
        <w:t xml:space="preserve">tipo de licenças </w:t>
      </w:r>
      <w:r w:rsidR="008717D9">
        <w:rPr>
          <w:szCs w:val="24"/>
          <w:lang w:val="pt-PT"/>
        </w:rPr>
        <w:t>concedid</w:t>
      </w:r>
      <w:r>
        <w:rPr>
          <w:szCs w:val="24"/>
          <w:lang w:val="pt-PT"/>
        </w:rPr>
        <w:t>as e os respetivos números;</w:t>
      </w:r>
    </w:p>
    <w:p w14:paraId="733ECD05" w14:textId="3B68730A" w:rsidR="00EF43C3" w:rsidRDefault="00EF43C3" w:rsidP="00EF43C3">
      <w:pPr>
        <w:pStyle w:val="ListParagraph"/>
        <w:numPr>
          <w:ilvl w:val="0"/>
          <w:numId w:val="18"/>
        </w:numPr>
        <w:spacing w:after="120" w:line="240" w:lineRule="auto"/>
        <w:contextualSpacing w:val="0"/>
        <w:rPr>
          <w:szCs w:val="24"/>
          <w:lang w:val="pt-PT"/>
        </w:rPr>
      </w:pPr>
      <w:r>
        <w:rPr>
          <w:szCs w:val="24"/>
          <w:lang w:val="pt-PT"/>
        </w:rPr>
        <w:t>com base na definição de materialidade proposta, identificar que entidades governamentais devem ter a obrigação de reportar. De notar que o governo deve divulgar todas as receitas, não obstante a materialidade (requisito 4.2.b da EITI). Assim, quando existam limiares de materialidade estabelecidos para a divulgação por parte das empresas, seria adequado efetuar uma reconciliação entre os pagamentos das empresas e as receitas do governo, de acordo com o limiar de materialidade. No relatório da EITI, será também necessário divulgar quaisquer receitas governamentais adicionais (ou seja, provenientes de empresas abaixo do limiar de materialidade), ao abrigo do requisito 4.2.b;</w:t>
      </w:r>
    </w:p>
    <w:p w14:paraId="3B728E83" w14:textId="1BD9DD25" w:rsidR="00B20A2B" w:rsidRPr="00B20A2B" w:rsidRDefault="00B20A2B" w:rsidP="00B20A2B">
      <w:pPr>
        <w:pStyle w:val="ListParagraph"/>
        <w:numPr>
          <w:ilvl w:val="0"/>
          <w:numId w:val="18"/>
        </w:numPr>
        <w:spacing w:after="120" w:line="240" w:lineRule="auto"/>
        <w:contextualSpacing w:val="0"/>
        <w:rPr>
          <w:szCs w:val="24"/>
          <w:lang w:val="pt-PT"/>
        </w:rPr>
      </w:pPr>
      <w:r>
        <w:rPr>
          <w:szCs w:val="24"/>
          <w:lang w:val="pt-PT"/>
        </w:rPr>
        <w:t>ao considerar que entidades governamentais deverão estar sujeitas à divulgação, o consultor deverá identificar se existem entidades governamentais subnacionais a receber receitas diretas ou indiretas provenientes do setor extrativo, em cumprimento do requisito 4.2(d) e do requisito 4.2(e);</w:t>
      </w:r>
    </w:p>
    <w:p w14:paraId="0CD5D144" w14:textId="41F0D4E0" w:rsidR="00B20A2B" w:rsidRDefault="00B20A2B" w:rsidP="00B20A2B">
      <w:pPr>
        <w:pStyle w:val="ListParagraph"/>
        <w:numPr>
          <w:ilvl w:val="0"/>
          <w:numId w:val="18"/>
        </w:numPr>
        <w:spacing w:after="120" w:line="240" w:lineRule="auto"/>
        <w:contextualSpacing w:val="0"/>
        <w:rPr>
          <w:szCs w:val="24"/>
          <w:lang w:val="pt-PT"/>
        </w:rPr>
      </w:pPr>
      <w:bookmarkStart w:id="8" w:name="_Toc414833402"/>
      <w:bookmarkStart w:id="9" w:name="_Toc415059320"/>
      <w:r>
        <w:rPr>
          <w:szCs w:val="24"/>
          <w:lang w:val="pt-PT"/>
        </w:rPr>
        <w:t xml:space="preserve">identificar eventuais </w:t>
      </w:r>
      <w:r w:rsidR="008717D9">
        <w:rPr>
          <w:szCs w:val="24"/>
          <w:lang w:val="pt-PT"/>
        </w:rPr>
        <w:t>obstáculos</w:t>
      </w:r>
      <w:r>
        <w:rPr>
          <w:szCs w:val="24"/>
          <w:lang w:val="pt-PT"/>
        </w:rPr>
        <w:t xml:space="preserve"> legais, regulamentares, administrativas ou de natureza prática que impeçam a total divulgação e, se necessário, delinear opções e apresentar recomen</w:t>
      </w:r>
      <w:r w:rsidR="008717D9">
        <w:rPr>
          <w:szCs w:val="24"/>
          <w:lang w:val="pt-PT"/>
        </w:rPr>
        <w:t>dações para a remoção desse</w:t>
      </w:r>
      <w:r>
        <w:rPr>
          <w:szCs w:val="24"/>
          <w:lang w:val="pt-PT"/>
        </w:rPr>
        <w:t xml:space="preserve">s </w:t>
      </w:r>
      <w:r w:rsidR="008717D9">
        <w:rPr>
          <w:szCs w:val="24"/>
          <w:lang w:val="pt-PT"/>
        </w:rPr>
        <w:t>obstáculos</w:t>
      </w:r>
      <w:r>
        <w:rPr>
          <w:szCs w:val="24"/>
          <w:lang w:val="pt-PT"/>
        </w:rPr>
        <w:t>.</w:t>
      </w:r>
    </w:p>
    <w:bookmarkEnd w:id="8"/>
    <w:bookmarkEnd w:id="9"/>
    <w:p w14:paraId="4182C034" w14:textId="77777777" w:rsidR="003C352A" w:rsidRPr="00B20A2B" w:rsidRDefault="003C352A" w:rsidP="003C352A">
      <w:pPr>
        <w:rPr>
          <w:b/>
          <w:sz w:val="26"/>
          <w:szCs w:val="26"/>
          <w:lang w:val="pt-PT"/>
        </w:rPr>
      </w:pPr>
    </w:p>
    <w:p w14:paraId="038429E9" w14:textId="1E00FC0F" w:rsidR="00825955" w:rsidRPr="00825955" w:rsidRDefault="00EF43C3" w:rsidP="00825955">
      <w:pPr>
        <w:spacing w:line="280" w:lineRule="auto"/>
        <w:rPr>
          <w:b/>
          <w:sz w:val="26"/>
          <w:szCs w:val="24"/>
          <w:lang w:val="pt-PT"/>
        </w:rPr>
      </w:pPr>
      <w:r>
        <w:rPr>
          <w:b/>
          <w:sz w:val="26"/>
          <w:szCs w:val="24"/>
          <w:lang w:val="pt-PT"/>
        </w:rPr>
        <w:t>Aspetos que exija</w:t>
      </w:r>
      <w:r w:rsidR="00825955">
        <w:rPr>
          <w:b/>
          <w:sz w:val="26"/>
          <w:szCs w:val="24"/>
          <w:lang w:val="pt-PT"/>
        </w:rPr>
        <w:t>m especial atenção</w:t>
      </w:r>
    </w:p>
    <w:p w14:paraId="2E302214" w14:textId="774A5A03" w:rsidR="00825955" w:rsidRDefault="00825955" w:rsidP="00825955">
      <w:pPr>
        <w:spacing w:after="120" w:line="280" w:lineRule="auto"/>
        <w:rPr>
          <w:color w:val="0070C0"/>
          <w:szCs w:val="24"/>
          <w:lang w:val="pt-PT"/>
        </w:rPr>
      </w:pPr>
      <w:r>
        <w:rPr>
          <w:color w:val="0070C0"/>
          <w:szCs w:val="24"/>
          <w:lang w:val="pt-PT"/>
        </w:rPr>
        <w:t>[Se existirem questões específicas no processo do relatório da EITI que reque</w:t>
      </w:r>
      <w:r w:rsidR="00EF43C3">
        <w:rPr>
          <w:color w:val="0070C0"/>
          <w:szCs w:val="24"/>
          <w:lang w:val="pt-PT"/>
        </w:rPr>
        <w:t>ira</w:t>
      </w:r>
      <w:r>
        <w:rPr>
          <w:color w:val="0070C0"/>
          <w:szCs w:val="24"/>
          <w:lang w:val="pt-PT"/>
        </w:rPr>
        <w:t>m um âmbito mais detalhado como, por exemplo, vendas de petróleo, trânsito, etc., as respetivas tarefas deverão ser incluídas aqui, fazendo referência à documentação de apoio relevante.]</w:t>
      </w:r>
    </w:p>
    <w:p w14:paraId="37D688C5" w14:textId="77777777" w:rsidR="003C352A" w:rsidRPr="00825955" w:rsidRDefault="003C352A" w:rsidP="00740A52">
      <w:pPr>
        <w:spacing w:after="120"/>
        <w:rPr>
          <w:rFonts w:asciiTheme="minorHAnsi" w:hAnsiTheme="minorHAnsi" w:cs="Calibri"/>
          <w:color w:val="0070C0"/>
          <w:lang w:val="pt-PT"/>
        </w:rPr>
      </w:pPr>
    </w:p>
    <w:p w14:paraId="5B2F174B" w14:textId="2197A327" w:rsidR="00825955" w:rsidRDefault="00825955" w:rsidP="00825955">
      <w:pPr>
        <w:spacing w:line="280" w:lineRule="auto"/>
        <w:rPr>
          <w:szCs w:val="24"/>
        </w:rPr>
      </w:pPr>
      <w:bookmarkStart w:id="10" w:name="_Toc414833403"/>
      <w:bookmarkStart w:id="11" w:name="_Toc415059321"/>
      <w:r>
        <w:rPr>
          <w:b/>
          <w:sz w:val="26"/>
          <w:szCs w:val="24"/>
          <w:lang w:val="pt-PT"/>
        </w:rPr>
        <w:t>Qualidade dos dados</w:t>
      </w:r>
      <w:r>
        <w:rPr>
          <w:b/>
          <w:sz w:val="26"/>
          <w:szCs w:val="24"/>
        </w:rPr>
        <w:t xml:space="preserve"> </w:t>
      </w:r>
    </w:p>
    <w:bookmarkEnd w:id="10"/>
    <w:bookmarkEnd w:id="11"/>
    <w:p w14:paraId="48935599" w14:textId="742756FA" w:rsidR="002813A8" w:rsidRPr="002813A8" w:rsidRDefault="002813A8" w:rsidP="002813A8">
      <w:pPr>
        <w:pStyle w:val="ListParagraph"/>
        <w:numPr>
          <w:ilvl w:val="0"/>
          <w:numId w:val="5"/>
        </w:numPr>
        <w:spacing w:after="120" w:line="240" w:lineRule="auto"/>
        <w:contextualSpacing w:val="0"/>
        <w:rPr>
          <w:szCs w:val="24"/>
          <w:lang w:val="pt-PT"/>
        </w:rPr>
      </w:pPr>
      <w:r>
        <w:rPr>
          <w:szCs w:val="24"/>
          <w:lang w:val="pt-PT"/>
        </w:rPr>
        <w:t>Quando já existam outros relatórios da EITI, rever os métodos anteriores de avaliação da qualidade dos dados, incluindo eventuais recomendações do administrador independente ou validador para o fortalecimento do processo.</w:t>
      </w:r>
      <w:r>
        <w:rPr>
          <w:color w:val="0070C0"/>
          <w:szCs w:val="24"/>
          <w:lang w:val="pt-PT"/>
        </w:rPr>
        <w:t xml:space="preserve"> [Juntar referências a discussões do grupo de intervenientes e ações acordadas relativamente a estas questões.]</w:t>
      </w:r>
    </w:p>
    <w:p w14:paraId="1AEEDD7F" w14:textId="2969313A" w:rsidR="00DA3C36" w:rsidRDefault="00DA3C36" w:rsidP="00DA3C36">
      <w:pPr>
        <w:pStyle w:val="ListParagraph"/>
        <w:numPr>
          <w:ilvl w:val="0"/>
          <w:numId w:val="5"/>
        </w:numPr>
        <w:spacing w:after="120" w:line="240" w:lineRule="auto"/>
        <w:contextualSpacing w:val="0"/>
        <w:rPr>
          <w:szCs w:val="24"/>
          <w:lang w:val="pt-PT"/>
        </w:rPr>
      </w:pPr>
      <w:bookmarkStart w:id="12" w:name="_Toc414833404"/>
      <w:bookmarkStart w:id="13" w:name="_Toc415059322"/>
      <w:r>
        <w:rPr>
          <w:szCs w:val="24"/>
          <w:lang w:val="pt-PT"/>
        </w:rPr>
        <w:lastRenderedPageBreak/>
        <w:t>Em cumprimento do requisito 5.2(b) da EITI, analisar os procedimentos de auditoria e garantias nas empresas e entidades governamentais que irão potencialmente participar no processo de relatório da EITI, incluindo as leis e regulamentos relevantes, reformas planeadas ou em curso e se estes procedimentos estão em harmonia com as normas internacionais. Rever a fiabilidade dos dados que já estejam disponíveis em fontes públicas e recomendar formas de melhorar a fiabilidade.</w:t>
      </w:r>
    </w:p>
    <w:bookmarkEnd w:id="12"/>
    <w:bookmarkEnd w:id="13"/>
    <w:p w14:paraId="44393FD7" w14:textId="5E8B8B1A" w:rsidR="00DA3C36" w:rsidRDefault="00DA3C36" w:rsidP="00DA3C36">
      <w:pPr>
        <w:pStyle w:val="ListParagraph"/>
        <w:numPr>
          <w:ilvl w:val="0"/>
          <w:numId w:val="5"/>
        </w:numPr>
        <w:spacing w:after="120" w:line="240" w:lineRule="auto"/>
        <w:rPr>
          <w:szCs w:val="24"/>
          <w:lang w:val="pt-PT"/>
        </w:rPr>
      </w:pPr>
      <w:r>
        <w:rPr>
          <w:szCs w:val="24"/>
          <w:lang w:val="pt-PT"/>
        </w:rPr>
        <w:t>Em cumprimento do requisito 5.2(c) da EITI, propor garantias a serem fornecidas pelas entidades que participam no relatório ao administrador independente.</w:t>
      </w:r>
    </w:p>
    <w:p w14:paraId="60F03418" w14:textId="77777777" w:rsidR="003C352A" w:rsidRPr="00DA3C36" w:rsidRDefault="003C352A" w:rsidP="003C352A">
      <w:pPr>
        <w:rPr>
          <w:b/>
          <w:sz w:val="26"/>
          <w:szCs w:val="26"/>
          <w:lang w:val="pt-PT"/>
        </w:rPr>
      </w:pPr>
    </w:p>
    <w:p w14:paraId="28887A18" w14:textId="65260C20" w:rsidR="00DA3C36" w:rsidRDefault="00DA3C36" w:rsidP="00DA3C36">
      <w:pPr>
        <w:spacing w:line="280" w:lineRule="auto"/>
        <w:rPr>
          <w:b/>
          <w:sz w:val="26"/>
          <w:szCs w:val="24"/>
        </w:rPr>
      </w:pPr>
      <w:r>
        <w:rPr>
          <w:b/>
          <w:sz w:val="26"/>
          <w:szCs w:val="24"/>
          <w:lang w:val="pt-PT"/>
        </w:rPr>
        <w:t>Apresentação</w:t>
      </w:r>
    </w:p>
    <w:p w14:paraId="1FB226BC" w14:textId="08A67708" w:rsidR="00DA3C36" w:rsidRPr="00DA3C36" w:rsidRDefault="00DA3C36" w:rsidP="00DA3C36">
      <w:pPr>
        <w:pStyle w:val="ListParagraph"/>
        <w:numPr>
          <w:ilvl w:val="0"/>
          <w:numId w:val="5"/>
        </w:numPr>
        <w:spacing w:after="120" w:line="240" w:lineRule="auto"/>
        <w:contextualSpacing w:val="0"/>
        <w:rPr>
          <w:szCs w:val="24"/>
          <w:lang w:val="pt-PT"/>
        </w:rPr>
      </w:pPr>
      <w:r>
        <w:rPr>
          <w:szCs w:val="24"/>
          <w:lang w:val="pt-PT"/>
        </w:rPr>
        <w:t xml:space="preserve">Preparar e apresentar o estudo de âmbito preliminar ao grupo de intervenientes, a </w:t>
      </w:r>
      <w:r>
        <w:rPr>
          <w:color w:val="0070C0"/>
          <w:szCs w:val="24"/>
          <w:lang w:val="pt-PT"/>
        </w:rPr>
        <w:t>[parte contratante]</w:t>
      </w:r>
      <w:r>
        <w:rPr>
          <w:szCs w:val="24"/>
          <w:lang w:val="pt-PT"/>
        </w:rPr>
        <w:t>, e ao Secretariado Internacional para revisão e comentário;</w:t>
      </w:r>
    </w:p>
    <w:p w14:paraId="2180684B" w14:textId="7736D127" w:rsidR="00CA3C31" w:rsidRPr="00CA3C31" w:rsidRDefault="00CA3C31" w:rsidP="00CA3C31">
      <w:pPr>
        <w:pStyle w:val="ListParagraph"/>
        <w:numPr>
          <w:ilvl w:val="0"/>
          <w:numId w:val="5"/>
        </w:numPr>
        <w:spacing w:after="120" w:line="240" w:lineRule="auto"/>
        <w:contextualSpacing w:val="0"/>
        <w:rPr>
          <w:szCs w:val="24"/>
          <w:lang w:val="pt-PT"/>
        </w:rPr>
      </w:pPr>
      <w:r>
        <w:rPr>
          <w:szCs w:val="24"/>
          <w:lang w:val="pt-PT"/>
        </w:rPr>
        <w:t xml:space="preserve">Preparar um estudo de âmbito final para o grupo de intervenientes e apresentar recomendações para o relatório da EITI de </w:t>
      </w:r>
      <w:r>
        <w:rPr>
          <w:color w:val="0070C0"/>
          <w:szCs w:val="24"/>
          <w:lang w:val="pt-PT"/>
        </w:rPr>
        <w:t>[ano]</w:t>
      </w:r>
      <w:r>
        <w:rPr>
          <w:szCs w:val="24"/>
          <w:lang w:val="pt-PT"/>
        </w:rPr>
        <w:t>.</w:t>
      </w:r>
    </w:p>
    <w:p w14:paraId="3E2F3C73" w14:textId="3C77B4FC" w:rsidR="00CA3C31" w:rsidRDefault="00CA3C31" w:rsidP="00CA3C31">
      <w:pPr>
        <w:pStyle w:val="ListParagraph"/>
        <w:numPr>
          <w:ilvl w:val="0"/>
          <w:numId w:val="5"/>
        </w:numPr>
        <w:spacing w:after="120" w:line="240" w:lineRule="auto"/>
        <w:contextualSpacing w:val="0"/>
        <w:rPr>
          <w:szCs w:val="24"/>
          <w:lang w:val="pt-PT"/>
        </w:rPr>
      </w:pPr>
      <w:r>
        <w:rPr>
          <w:szCs w:val="24"/>
          <w:lang w:val="pt-PT"/>
        </w:rPr>
        <w:t>Recomendar melhorias para os futuros relatório de âmbito.</w:t>
      </w:r>
    </w:p>
    <w:p w14:paraId="6CCB38E2" w14:textId="77777777" w:rsidR="00A63001" w:rsidRPr="00CA3C31" w:rsidRDefault="00A63001" w:rsidP="00A63001">
      <w:pPr>
        <w:pStyle w:val="ListParagraph"/>
        <w:spacing w:after="120" w:line="240" w:lineRule="auto"/>
        <w:ind w:left="363"/>
        <w:contextualSpacing w:val="0"/>
        <w:rPr>
          <w:szCs w:val="24"/>
          <w:lang w:val="pt-PT"/>
        </w:rPr>
      </w:pPr>
    </w:p>
    <w:p w14:paraId="42DBE913" w14:textId="26EC1649" w:rsidR="00EF43C3" w:rsidRPr="00A31002" w:rsidRDefault="00EF43C3" w:rsidP="00EF43C3">
      <w:pPr>
        <w:pStyle w:val="Heading1"/>
        <w:numPr>
          <w:ilvl w:val="0"/>
          <w:numId w:val="19"/>
        </w:numPr>
        <w:spacing w:after="120"/>
        <w:rPr>
          <w:rFonts w:asciiTheme="minorHAnsi" w:eastAsia="Times New Roman" w:hAnsiTheme="minorHAnsi" w:cstheme="minorBidi"/>
          <w:bCs w:val="0"/>
          <w:szCs w:val="24"/>
        </w:rPr>
      </w:pPr>
      <w:bookmarkStart w:id="14" w:name="_Toc427850154"/>
      <w:r w:rsidRPr="00A31002">
        <w:rPr>
          <w:rFonts w:asciiTheme="minorHAnsi" w:eastAsia="Times New Roman" w:hAnsiTheme="minorHAnsi" w:cstheme="minorBidi"/>
          <w:bCs w:val="0"/>
          <w:szCs w:val="24"/>
          <w:lang w:val="pt-PT"/>
        </w:rPr>
        <w:t>Materiais a entregar</w:t>
      </w:r>
      <w:bookmarkEnd w:id="14"/>
    </w:p>
    <w:p w14:paraId="2C5AFE58" w14:textId="3AF5610B" w:rsidR="00EF43C3" w:rsidRDefault="00EF43C3" w:rsidP="00EF43C3">
      <w:pPr>
        <w:pStyle w:val="NormalWeb"/>
        <w:tabs>
          <w:tab w:val="left" w:pos="426"/>
          <w:tab w:val="left" w:pos="709"/>
        </w:tabs>
        <w:spacing w:before="0" w:beforeAutospacing="0" w:after="0" w:afterAutospacing="0"/>
        <w:rPr>
          <w:rFonts w:asciiTheme="minorHAnsi" w:eastAsia="Times New Roman" w:hAnsiTheme="minorHAnsi"/>
          <w:color w:val="0070C0"/>
          <w:sz w:val="22"/>
          <w:szCs w:val="24"/>
          <w:lang w:val="pt-PT"/>
        </w:rPr>
      </w:pPr>
      <w:r>
        <w:rPr>
          <w:rFonts w:asciiTheme="minorHAnsi" w:eastAsia="Times New Roman" w:hAnsiTheme="minorHAnsi"/>
          <w:color w:val="0070C0"/>
          <w:sz w:val="22"/>
          <w:szCs w:val="24"/>
          <w:lang w:val="pt-PT"/>
        </w:rPr>
        <w:t xml:space="preserve">[Incluir aqui a informação acerca dos materiais a entregar (ou seja, o relatório inicial, o relatório preliminar e o relatório final) e o cronograma.] </w:t>
      </w:r>
    </w:p>
    <w:p w14:paraId="37EF2780" w14:textId="77777777" w:rsidR="00A63001" w:rsidRDefault="00A63001" w:rsidP="00EF43C3">
      <w:pPr>
        <w:pStyle w:val="NormalWeb"/>
        <w:tabs>
          <w:tab w:val="left" w:pos="426"/>
          <w:tab w:val="left" w:pos="709"/>
        </w:tabs>
        <w:spacing w:before="0" w:beforeAutospacing="0" w:after="0" w:afterAutospacing="0"/>
        <w:rPr>
          <w:rFonts w:asciiTheme="minorHAnsi" w:eastAsia="Times New Roman" w:hAnsiTheme="minorHAnsi"/>
          <w:szCs w:val="24"/>
          <w:lang w:val="pt-PT"/>
        </w:rPr>
      </w:pPr>
    </w:p>
    <w:p w14:paraId="01113E6E" w14:textId="655DF445" w:rsidR="007F376C" w:rsidRPr="00A31002" w:rsidRDefault="007F376C" w:rsidP="007F376C">
      <w:pPr>
        <w:pStyle w:val="Heading1"/>
        <w:numPr>
          <w:ilvl w:val="0"/>
          <w:numId w:val="19"/>
        </w:numPr>
        <w:spacing w:after="120"/>
        <w:rPr>
          <w:rFonts w:asciiTheme="minorHAnsi" w:eastAsia="Times New Roman" w:hAnsiTheme="minorHAnsi" w:cstheme="minorBidi"/>
          <w:bCs w:val="0"/>
          <w:szCs w:val="24"/>
        </w:rPr>
      </w:pPr>
      <w:bookmarkStart w:id="15" w:name="_Toc427850155"/>
      <w:r w:rsidRPr="00A31002">
        <w:rPr>
          <w:rFonts w:asciiTheme="minorHAnsi" w:eastAsia="Times New Roman" w:hAnsiTheme="minorHAnsi" w:cstheme="minorBidi"/>
          <w:bCs w:val="0"/>
          <w:szCs w:val="24"/>
          <w:lang w:val="pt-PT"/>
        </w:rPr>
        <w:t>Requisitos relativos ao consultor</w:t>
      </w:r>
      <w:bookmarkEnd w:id="15"/>
    </w:p>
    <w:p w14:paraId="3CE2581D" w14:textId="671FB1DC" w:rsidR="00C14C0E" w:rsidRDefault="00C14C0E" w:rsidP="00C14C0E">
      <w:pPr>
        <w:pStyle w:val="NormalWeb"/>
        <w:tabs>
          <w:tab w:val="left" w:pos="426"/>
          <w:tab w:val="left" w:pos="709"/>
        </w:tabs>
        <w:spacing w:after="120" w:afterAutospacing="0"/>
        <w:rPr>
          <w:rFonts w:asciiTheme="minorHAnsi" w:eastAsia="Times New Roman" w:hAnsiTheme="minorHAnsi"/>
          <w:szCs w:val="24"/>
          <w:lang w:val="pt-PT"/>
        </w:rPr>
      </w:pPr>
      <w:r>
        <w:rPr>
          <w:rFonts w:asciiTheme="minorHAnsi" w:eastAsia="Times New Roman" w:hAnsiTheme="minorHAnsi"/>
          <w:sz w:val="22"/>
          <w:szCs w:val="24"/>
          <w:lang w:val="pt-PT"/>
        </w:rPr>
        <w:t xml:space="preserve">O consultor terá de demonstrar: </w:t>
      </w:r>
    </w:p>
    <w:p w14:paraId="76DBE009" w14:textId="4BB074C8" w:rsidR="00CA3C31" w:rsidRDefault="00CA3C31" w:rsidP="00CA3C31">
      <w:pPr>
        <w:pStyle w:val="NormalWeb"/>
        <w:numPr>
          <w:ilvl w:val="0"/>
          <w:numId w:val="4"/>
        </w:numPr>
        <w:tabs>
          <w:tab w:val="left" w:pos="426"/>
          <w:tab w:val="left" w:pos="709"/>
        </w:tabs>
        <w:spacing w:after="120" w:afterAutospacing="0"/>
        <w:ind w:left="714" w:hanging="357"/>
        <w:rPr>
          <w:rFonts w:asciiTheme="minorHAnsi" w:eastAsia="Times New Roman" w:hAnsiTheme="minorHAnsi"/>
          <w:szCs w:val="24"/>
          <w:lang w:val="pt-PT"/>
        </w:rPr>
      </w:pPr>
      <w:r>
        <w:rPr>
          <w:rFonts w:asciiTheme="minorHAnsi" w:hAnsiTheme="minorHAnsi"/>
          <w:sz w:val="22"/>
          <w:szCs w:val="24"/>
          <w:lang w:val="pt-PT"/>
        </w:rPr>
        <w:t xml:space="preserve">Competências técnicas e financeiras, incluindo conhecimentos e experiência de trabalho em transparência e governação, finanças públicas e responsabilização financeira, e diálogo com as partes interessadas. </w:t>
      </w:r>
      <w:r>
        <w:rPr>
          <w:rFonts w:asciiTheme="minorHAnsi" w:eastAsia="Times New Roman" w:hAnsiTheme="minorHAnsi"/>
          <w:sz w:val="22"/>
          <w:szCs w:val="24"/>
          <w:lang w:val="pt-PT"/>
        </w:rPr>
        <w:t>Preferencialmente com experiência comprovada em temos de EITI.</w:t>
      </w:r>
    </w:p>
    <w:p w14:paraId="623DE6DF" w14:textId="15E0A29A" w:rsidR="00A54E78" w:rsidRPr="00A54E78" w:rsidRDefault="00A54E78" w:rsidP="00A54E78">
      <w:pPr>
        <w:pStyle w:val="NormalWeb"/>
        <w:numPr>
          <w:ilvl w:val="0"/>
          <w:numId w:val="4"/>
        </w:numPr>
        <w:tabs>
          <w:tab w:val="left" w:pos="426"/>
          <w:tab w:val="left" w:pos="709"/>
        </w:tabs>
        <w:spacing w:after="120" w:afterAutospacing="0"/>
        <w:ind w:left="714" w:hanging="357"/>
        <w:rPr>
          <w:rFonts w:asciiTheme="minorHAnsi" w:eastAsia="Times New Roman" w:hAnsiTheme="minorHAnsi"/>
          <w:sz w:val="22"/>
          <w:szCs w:val="24"/>
          <w:lang w:val="pt-PT"/>
        </w:rPr>
      </w:pPr>
      <w:r>
        <w:rPr>
          <w:rFonts w:asciiTheme="minorHAnsi" w:eastAsia="Times New Roman" w:hAnsiTheme="minorHAnsi"/>
          <w:sz w:val="22"/>
          <w:szCs w:val="24"/>
          <w:lang w:val="pt-PT"/>
        </w:rPr>
        <w:t>Conhecimentos dos setores do petróleo, gás e mineração ou outros setores de recursos naturais, de preferência no [país].</w:t>
      </w:r>
    </w:p>
    <w:p w14:paraId="2EAAF79A" w14:textId="2BC1A556" w:rsidR="00A54E78" w:rsidRPr="00A54E78" w:rsidRDefault="00A54E78" w:rsidP="00A54E78">
      <w:pPr>
        <w:pStyle w:val="NormalWeb"/>
        <w:numPr>
          <w:ilvl w:val="0"/>
          <w:numId w:val="4"/>
        </w:numPr>
        <w:tabs>
          <w:tab w:val="left" w:pos="426"/>
          <w:tab w:val="left" w:pos="709"/>
        </w:tabs>
        <w:rPr>
          <w:rFonts w:asciiTheme="minorHAnsi" w:eastAsia="Times New Roman" w:hAnsiTheme="minorHAnsi"/>
          <w:sz w:val="22"/>
          <w:szCs w:val="24"/>
          <w:lang w:val="pt-PT"/>
        </w:rPr>
      </w:pPr>
      <w:r>
        <w:rPr>
          <w:rFonts w:asciiTheme="minorHAnsi" w:eastAsia="Times New Roman" w:hAnsiTheme="minorHAnsi"/>
          <w:sz w:val="22"/>
          <w:szCs w:val="24"/>
          <w:lang w:val="pt-PT"/>
        </w:rPr>
        <w:t>Um registo demonstrável em funções semelhantes.</w:t>
      </w:r>
    </w:p>
    <w:p w14:paraId="7352C7AD" w14:textId="2FE6493D" w:rsidR="00157BE3" w:rsidRDefault="00157BE3" w:rsidP="00157BE3">
      <w:pPr>
        <w:pStyle w:val="NormalWeb"/>
        <w:tabs>
          <w:tab w:val="left" w:pos="426"/>
          <w:tab w:val="left" w:pos="709"/>
        </w:tabs>
        <w:spacing w:before="0" w:beforeAutospacing="0" w:after="0" w:afterAutospacing="0"/>
        <w:rPr>
          <w:rFonts w:asciiTheme="minorHAnsi" w:eastAsia="Times New Roman" w:hAnsiTheme="minorHAnsi"/>
          <w:color w:val="0070C0"/>
          <w:sz w:val="22"/>
          <w:szCs w:val="24"/>
          <w:lang w:val="pt-PT"/>
        </w:rPr>
      </w:pPr>
      <w:r>
        <w:rPr>
          <w:rFonts w:asciiTheme="minorHAnsi" w:eastAsia="Times New Roman" w:hAnsiTheme="minorHAnsi"/>
          <w:color w:val="0070C0"/>
          <w:sz w:val="22"/>
          <w:szCs w:val="24"/>
          <w:lang w:val="pt-PT"/>
        </w:rPr>
        <w:t xml:space="preserve">[Incluir aqui a informação acerca de outras aptidões e competências necessárias, dias de </w:t>
      </w:r>
      <w:r w:rsidR="008717D9">
        <w:rPr>
          <w:rFonts w:asciiTheme="minorHAnsi" w:eastAsia="Times New Roman" w:hAnsiTheme="minorHAnsi"/>
          <w:color w:val="0070C0"/>
          <w:sz w:val="22"/>
          <w:szCs w:val="24"/>
          <w:lang w:val="pt-PT"/>
        </w:rPr>
        <w:t>trabalho</w:t>
      </w:r>
      <w:r>
        <w:rPr>
          <w:rFonts w:asciiTheme="minorHAnsi" w:eastAsia="Times New Roman" w:hAnsiTheme="minorHAnsi"/>
          <w:color w:val="0070C0"/>
          <w:sz w:val="22"/>
          <w:szCs w:val="24"/>
          <w:lang w:val="pt-PT"/>
        </w:rPr>
        <w:t>, etc.]</w:t>
      </w:r>
    </w:p>
    <w:p w14:paraId="4B5218B5" w14:textId="77777777" w:rsidR="00A63001" w:rsidRPr="00157BE3" w:rsidRDefault="00A63001" w:rsidP="00157BE3">
      <w:pPr>
        <w:pStyle w:val="NormalWeb"/>
        <w:tabs>
          <w:tab w:val="left" w:pos="426"/>
          <w:tab w:val="left" w:pos="709"/>
        </w:tabs>
        <w:spacing w:before="0" w:beforeAutospacing="0" w:after="0" w:afterAutospacing="0"/>
        <w:rPr>
          <w:rFonts w:asciiTheme="minorHAnsi" w:eastAsia="Times New Roman" w:hAnsiTheme="minorHAnsi"/>
          <w:b/>
          <w:color w:val="0070C0"/>
          <w:sz w:val="22"/>
          <w:szCs w:val="24"/>
          <w:lang w:val="pt-PT"/>
        </w:rPr>
      </w:pPr>
    </w:p>
    <w:p w14:paraId="70CC097B" w14:textId="47CC5E36" w:rsidR="00157BE3" w:rsidRPr="00A31002" w:rsidRDefault="00157BE3" w:rsidP="00157BE3">
      <w:pPr>
        <w:pStyle w:val="Heading1"/>
        <w:numPr>
          <w:ilvl w:val="0"/>
          <w:numId w:val="19"/>
        </w:numPr>
        <w:spacing w:after="120"/>
        <w:rPr>
          <w:rFonts w:asciiTheme="minorHAnsi" w:eastAsia="Times New Roman" w:hAnsiTheme="minorHAnsi" w:cstheme="minorBidi"/>
          <w:bCs w:val="0"/>
          <w:szCs w:val="24"/>
        </w:rPr>
      </w:pPr>
      <w:bookmarkStart w:id="16" w:name="_Toc427850156"/>
      <w:r w:rsidRPr="00A31002">
        <w:rPr>
          <w:rFonts w:asciiTheme="minorHAnsi" w:eastAsia="Times New Roman" w:hAnsiTheme="minorHAnsi" w:cstheme="minorBidi"/>
          <w:bCs w:val="0"/>
          <w:szCs w:val="24"/>
          <w:lang w:val="pt-PT"/>
        </w:rPr>
        <w:t>Organização administrativa</w:t>
      </w:r>
      <w:bookmarkEnd w:id="16"/>
    </w:p>
    <w:p w14:paraId="51281F03" w14:textId="730216A7" w:rsidR="00157BE3" w:rsidRDefault="00157BE3" w:rsidP="00157BE3">
      <w:pPr>
        <w:pStyle w:val="NormalWeb"/>
        <w:tabs>
          <w:tab w:val="left" w:pos="426"/>
          <w:tab w:val="left" w:pos="709"/>
        </w:tabs>
        <w:spacing w:before="0" w:beforeAutospacing="0" w:after="0" w:afterAutospacing="0"/>
        <w:rPr>
          <w:rFonts w:asciiTheme="minorHAnsi" w:eastAsia="Times New Roman" w:hAnsiTheme="minorHAnsi"/>
          <w:color w:val="0070C0"/>
          <w:sz w:val="22"/>
          <w:szCs w:val="24"/>
          <w:lang w:val="pt-PT"/>
        </w:rPr>
      </w:pPr>
      <w:r>
        <w:rPr>
          <w:rFonts w:asciiTheme="minorHAnsi" w:eastAsia="Times New Roman" w:hAnsiTheme="minorHAnsi"/>
          <w:color w:val="0070C0"/>
          <w:sz w:val="22"/>
          <w:szCs w:val="24"/>
          <w:lang w:val="pt-PT"/>
        </w:rPr>
        <w:t>[Incluir aqui a informação acerca da hierarquia à qual reportar, apoio ao consultor durante o trabalho e outros preparativos logísticos e administrativos.]</w:t>
      </w:r>
    </w:p>
    <w:p w14:paraId="278AB318" w14:textId="77777777" w:rsidR="00A63001" w:rsidRPr="00157BE3" w:rsidRDefault="00A63001" w:rsidP="00157BE3">
      <w:pPr>
        <w:pStyle w:val="NormalWeb"/>
        <w:tabs>
          <w:tab w:val="left" w:pos="426"/>
          <w:tab w:val="left" w:pos="709"/>
        </w:tabs>
        <w:spacing w:before="0" w:beforeAutospacing="0" w:after="0" w:afterAutospacing="0"/>
        <w:rPr>
          <w:rFonts w:asciiTheme="minorHAnsi" w:eastAsia="Times New Roman" w:hAnsiTheme="minorHAnsi"/>
          <w:color w:val="0070C0"/>
          <w:sz w:val="22"/>
          <w:szCs w:val="24"/>
          <w:lang w:val="pt-PT"/>
        </w:rPr>
      </w:pPr>
    </w:p>
    <w:p w14:paraId="5D132CD3" w14:textId="5BAD08D0" w:rsidR="00157BE3" w:rsidRPr="00A31002" w:rsidRDefault="00157BE3" w:rsidP="00157BE3">
      <w:pPr>
        <w:pStyle w:val="Heading1"/>
        <w:numPr>
          <w:ilvl w:val="0"/>
          <w:numId w:val="19"/>
        </w:numPr>
        <w:spacing w:after="120"/>
        <w:rPr>
          <w:rFonts w:asciiTheme="minorHAnsi" w:eastAsia="Times New Roman" w:hAnsiTheme="minorHAnsi" w:cstheme="minorBidi"/>
          <w:bCs w:val="0"/>
          <w:szCs w:val="24"/>
        </w:rPr>
      </w:pPr>
      <w:bookmarkStart w:id="17" w:name="_Toc427850157"/>
      <w:r w:rsidRPr="00A31002">
        <w:rPr>
          <w:rFonts w:asciiTheme="minorHAnsi" w:eastAsia="Times New Roman" w:hAnsiTheme="minorHAnsi" w:cstheme="minorBidi"/>
          <w:bCs w:val="0"/>
          <w:szCs w:val="24"/>
          <w:lang w:val="pt-PT"/>
        </w:rPr>
        <w:lastRenderedPageBreak/>
        <w:t>Materiais de referência</w:t>
      </w:r>
      <w:bookmarkEnd w:id="17"/>
    </w:p>
    <w:p w14:paraId="233B16E1" w14:textId="7209D753" w:rsidR="008717D9" w:rsidRDefault="008717D9" w:rsidP="008717D9">
      <w:pPr>
        <w:pStyle w:val="ListParagraph"/>
        <w:numPr>
          <w:ilvl w:val="0"/>
          <w:numId w:val="2"/>
        </w:numPr>
        <w:spacing w:after="120" w:line="240" w:lineRule="auto"/>
        <w:ind w:left="357" w:hanging="357"/>
        <w:contextualSpacing w:val="0"/>
        <w:rPr>
          <w:szCs w:val="24"/>
          <w:lang w:val="pt-PT"/>
        </w:rPr>
      </w:pPr>
      <w:r>
        <w:rPr>
          <w:b/>
          <w:szCs w:val="24"/>
          <w:lang w:val="pt-PT"/>
        </w:rPr>
        <w:t>O Padrão da EITI</w:t>
      </w:r>
      <w:r>
        <w:rPr>
          <w:szCs w:val="24"/>
          <w:lang w:val="pt-PT"/>
        </w:rPr>
        <w:t xml:space="preserve">, em particular os requisitos 2 a 5, </w:t>
      </w:r>
      <w:hyperlink r:id="rId13" w:history="1">
        <w:r>
          <w:rPr>
            <w:rStyle w:val="Hyperlink"/>
            <w:szCs w:val="24"/>
            <w:lang w:val="pt-PT"/>
          </w:rPr>
          <w:t>http://eiti.org/document/standard</w:t>
        </w:r>
      </w:hyperlink>
      <w:r>
        <w:rPr>
          <w:rStyle w:val="Hyperlink"/>
          <w:color w:val="auto"/>
          <w:szCs w:val="24"/>
          <w:lang w:val="pt-PT"/>
        </w:rPr>
        <w:t>;</w:t>
      </w:r>
    </w:p>
    <w:p w14:paraId="29226ABB" w14:textId="50960CE6" w:rsidR="00823748" w:rsidRPr="00823748" w:rsidRDefault="00823748" w:rsidP="00823748">
      <w:pPr>
        <w:pStyle w:val="ListParagraph"/>
        <w:numPr>
          <w:ilvl w:val="0"/>
          <w:numId w:val="2"/>
        </w:numPr>
        <w:spacing w:after="120" w:line="240" w:lineRule="auto"/>
        <w:ind w:left="357" w:hanging="357"/>
        <w:contextualSpacing w:val="0"/>
        <w:rPr>
          <w:szCs w:val="24"/>
          <w:lang w:val="pt-PT"/>
        </w:rPr>
      </w:pPr>
      <w:r>
        <w:rPr>
          <w:b/>
          <w:szCs w:val="24"/>
          <w:lang w:val="pt-PT"/>
        </w:rPr>
        <w:t>Notas de orientação para implementação da EIT</w:t>
      </w:r>
      <w:r>
        <w:rPr>
          <w:szCs w:val="24"/>
          <w:lang w:val="pt-PT"/>
        </w:rPr>
        <w:t xml:space="preserve"> publicadas pela Secretaria Internacional, </w:t>
      </w:r>
      <w:hyperlink r:id="rId14" w:history="1">
        <w:r>
          <w:rPr>
            <w:rStyle w:val="Hyperlink"/>
            <w:szCs w:val="24"/>
            <w:lang w:val="pt-PT"/>
          </w:rPr>
          <w:t>http://eiti.org/document/guidance-notes</w:t>
        </w:r>
      </w:hyperlink>
      <w:r>
        <w:rPr>
          <w:rStyle w:val="Hyperlink"/>
          <w:szCs w:val="24"/>
          <w:lang w:val="pt-PT"/>
        </w:rPr>
        <w:t>-implementing-countries</w:t>
      </w:r>
      <w:r>
        <w:rPr>
          <w:szCs w:val="24"/>
          <w:lang w:val="pt-PT"/>
        </w:rPr>
        <w:t>, em particular as notas de orientação sobre o âmbito (n.º 9) e sobre a definição de materialidade (n.º 13). Solicita-se que o consultor contacte a Secretaria Internacional da EITI para quaisquer questões ou esclarecimentos relacionados com o Padrão da EITI e implementação dos requisitos da EITI;</w:t>
      </w:r>
    </w:p>
    <w:p w14:paraId="5F0CE786" w14:textId="017F530F" w:rsidR="00260E37" w:rsidRPr="00260E37" w:rsidRDefault="00260E37" w:rsidP="00260E37">
      <w:pPr>
        <w:pStyle w:val="ListParagraph"/>
        <w:numPr>
          <w:ilvl w:val="0"/>
          <w:numId w:val="2"/>
        </w:numPr>
        <w:spacing w:after="120" w:line="240" w:lineRule="auto"/>
        <w:ind w:left="357" w:hanging="357"/>
        <w:contextualSpacing w:val="0"/>
        <w:rPr>
          <w:szCs w:val="24"/>
          <w:lang w:val="pt-PT"/>
        </w:rPr>
      </w:pPr>
      <w:r>
        <w:rPr>
          <w:b/>
          <w:szCs w:val="24"/>
          <w:lang w:val="pt-PT"/>
        </w:rPr>
        <w:t>Procedimentos acordados para administradores independentes</w:t>
      </w:r>
      <w:r>
        <w:rPr>
          <w:szCs w:val="24"/>
          <w:lang w:val="pt-PT"/>
        </w:rPr>
        <w:t>, incluindo modelos padrão para o relatório da EITI, disponíveis junto da Secretaria Internacional;</w:t>
      </w:r>
    </w:p>
    <w:bookmarkStart w:id="18" w:name="_Hlt427838139"/>
    <w:bookmarkStart w:id="19" w:name="_Hlt427838140"/>
    <w:p w14:paraId="21F4F3AF" w14:textId="02E9886D" w:rsidR="00260E37" w:rsidRDefault="00CE2638" w:rsidP="00260E37">
      <w:pPr>
        <w:pStyle w:val="ListParagraph"/>
        <w:numPr>
          <w:ilvl w:val="0"/>
          <w:numId w:val="2"/>
        </w:numPr>
        <w:spacing w:after="120" w:line="240" w:lineRule="auto"/>
        <w:ind w:left="357" w:hanging="357"/>
        <w:contextualSpacing w:val="0"/>
        <w:rPr>
          <w:szCs w:val="24"/>
        </w:rPr>
      </w:pPr>
      <w:r>
        <w:fldChar w:fldCharType="begin"/>
      </w:r>
      <w:r>
        <w:instrText xml:space="preserve"> HYPERLINK "http://web.worldbank.org/WBSITE/EXTERNAL/TOPICS/EXTOGMC/0,,contentMDK:23322952~pagePK:210058~piPK:210062~theSitePK:336930,00.html" </w:instrText>
      </w:r>
      <w:r>
        <w:fldChar w:fldCharType="separate"/>
      </w:r>
      <w:r w:rsidR="00260E37" w:rsidRPr="00260E37">
        <w:rPr>
          <w:rStyle w:val="Hyperlink"/>
          <w:b/>
          <w:szCs w:val="24"/>
          <w:lang w:val="en-US"/>
        </w:rPr>
        <w:t>Implementing EITI for Impact: A Handbook for Policymakers and Stakeholders</w:t>
      </w:r>
      <w:r>
        <w:rPr>
          <w:rStyle w:val="Hyperlink"/>
          <w:b/>
          <w:szCs w:val="24"/>
          <w:lang w:val="en-US"/>
        </w:rPr>
        <w:fldChar w:fldCharType="end"/>
      </w:r>
      <w:r w:rsidR="00260E37" w:rsidRPr="00260E37">
        <w:rPr>
          <w:szCs w:val="24"/>
          <w:lang w:val="en-US"/>
        </w:rPr>
        <w:t>, em particular os capítulos 4 e 5;</w:t>
      </w:r>
      <w:r w:rsidR="00260E37">
        <w:rPr>
          <w:szCs w:val="24"/>
        </w:rPr>
        <w:t xml:space="preserve"> </w:t>
      </w:r>
    </w:p>
    <w:bookmarkEnd w:id="18"/>
    <w:bookmarkEnd w:id="19"/>
    <w:p w14:paraId="71AF4DEC" w14:textId="0DA13C27" w:rsidR="00260E37" w:rsidRPr="00260E37" w:rsidRDefault="00260E37" w:rsidP="00260E37">
      <w:pPr>
        <w:pStyle w:val="ListParagraph"/>
        <w:numPr>
          <w:ilvl w:val="0"/>
          <w:numId w:val="2"/>
        </w:numPr>
        <w:spacing w:after="120" w:line="240" w:lineRule="auto"/>
        <w:ind w:left="357" w:hanging="357"/>
        <w:contextualSpacing w:val="0"/>
        <w:rPr>
          <w:szCs w:val="24"/>
          <w:lang w:val="pt-PT"/>
        </w:rPr>
      </w:pPr>
      <w:r>
        <w:rPr>
          <w:szCs w:val="24"/>
          <w:lang w:val="pt-PT"/>
        </w:rPr>
        <w:t xml:space="preserve">Exemplos de estudos de âmbito, disponíveis em </w:t>
      </w:r>
      <w:hyperlink r:id="rId15" w:history="1">
        <w:r>
          <w:rPr>
            <w:rStyle w:val="Hyperlink"/>
            <w:szCs w:val="24"/>
            <w:lang w:val="pt-PT"/>
          </w:rPr>
          <w:t>http://eiti.org/document/guidance-notes</w:t>
        </w:r>
      </w:hyperlink>
      <w:r>
        <w:rPr>
          <w:rStyle w:val="Hyperlink"/>
          <w:szCs w:val="24"/>
          <w:lang w:val="pt-PT"/>
        </w:rPr>
        <w:t>-implementing-countries</w:t>
      </w:r>
      <w:r>
        <w:rPr>
          <w:szCs w:val="24"/>
          <w:lang w:val="pt-PT"/>
        </w:rPr>
        <w:t xml:space="preserve"> e junto da Secretaria Internacional;</w:t>
      </w:r>
    </w:p>
    <w:p w14:paraId="58EABF8F" w14:textId="30E13834" w:rsidR="00D14FD0" w:rsidRPr="0010086C" w:rsidRDefault="00260E37" w:rsidP="00D14FD0">
      <w:pPr>
        <w:pStyle w:val="ListParagraph"/>
        <w:numPr>
          <w:ilvl w:val="0"/>
          <w:numId w:val="2"/>
        </w:numPr>
        <w:spacing w:after="120" w:line="240" w:lineRule="auto"/>
        <w:ind w:left="357" w:hanging="357"/>
        <w:contextualSpacing w:val="0"/>
        <w:rPr>
          <w:color w:val="0070C0"/>
          <w:szCs w:val="24"/>
          <w:lang w:val="pt-PT"/>
        </w:rPr>
      </w:pPr>
      <w:r>
        <w:rPr>
          <w:color w:val="0070C0"/>
          <w:szCs w:val="24"/>
          <w:lang w:val="pt-PT"/>
        </w:rPr>
        <w:t>[Acrescentar aqui outras fontes de informação relevantes, incluindo ligações para relatórios da EITI, informações acerca de sistemas de licenciamento, etc.]</w:t>
      </w:r>
    </w:p>
    <w:sectPr w:rsidR="00D14FD0" w:rsidRPr="0010086C" w:rsidSect="00B568AF">
      <w:headerReference w:type="default" r:id="rId16"/>
      <w:footerReference w:type="even" r:id="rId17"/>
      <w:footerReference w:type="default" r:id="rId18"/>
      <w:headerReference w:type="first" r:id="rId19"/>
      <w:footerReference w:type="first" r:id="rId20"/>
      <w:pgSz w:w="11906" w:h="16838"/>
      <w:pgMar w:top="1559" w:right="1418" w:bottom="1418" w:left="1418" w:header="567" w:footer="55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9E2D5" w14:textId="77777777" w:rsidR="00CE2638" w:rsidRDefault="00CE2638" w:rsidP="00B53CE2">
      <w:pPr>
        <w:spacing w:after="0" w:line="240" w:lineRule="auto"/>
      </w:pPr>
      <w:r>
        <w:separator/>
      </w:r>
    </w:p>
  </w:endnote>
  <w:endnote w:type="continuationSeparator" w:id="0">
    <w:p w14:paraId="20C68ADD" w14:textId="77777777" w:rsidR="00CE2638" w:rsidRDefault="00CE2638" w:rsidP="00B53CE2">
      <w:pPr>
        <w:spacing w:after="0" w:line="240" w:lineRule="auto"/>
      </w:pPr>
      <w:r>
        <w:continuationSeparator/>
      </w:r>
    </w:p>
  </w:endnote>
  <w:endnote w:type="continuationNotice" w:id="1">
    <w:p w14:paraId="12451BB7" w14:textId="77777777" w:rsidR="00CE2638" w:rsidRDefault="00CE26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yriad Pro Light">
    <w:panose1 w:val="020B0403030403020204"/>
    <w:charset w:val="00"/>
    <w:family w:val="auto"/>
    <w:pitch w:val="variable"/>
    <w:sig w:usb0="A00002AF" w:usb1="5000204B" w:usb2="00000000" w:usb3="00000000" w:csb0="0000019F" w:csb1="00000000"/>
  </w:font>
  <w:font w:name="ＭＳ ゴシック">
    <w:charset w:val="4E"/>
    <w:family w:val="auto"/>
    <w:pitch w:val="variable"/>
    <w:sig w:usb0="E00002FF" w:usb1="6AC7FDFB" w:usb2="00000012" w:usb3="00000000" w:csb0="0002009F" w:csb1="00000000"/>
  </w:font>
  <w:font w:name="Myriad Pro">
    <w:panose1 w:val="020B0503030403020204"/>
    <w:charset w:val="00"/>
    <w:family w:val="auto"/>
    <w:pitch w:val="variable"/>
    <w:sig w:usb0="20000287" w:usb1="00000001" w:usb2="00000000" w:usb3="00000000" w:csb0="0000019F" w:csb1="00000000"/>
  </w:font>
  <w:font w:name="Tahoma">
    <w:panose1 w:val="020B0604030504040204"/>
    <w:charset w:val="00"/>
    <w:family w:val="auto"/>
    <w:pitch w:val="variable"/>
    <w:sig w:usb0="E1002AFF" w:usb1="C000605B" w:usb2="00000029" w:usb3="00000000" w:csb0="000101FF" w:csb1="00000000"/>
  </w:font>
  <w:font w:name="Myriad Pro SemiCond">
    <w:panose1 w:val="020B0503030403020204"/>
    <w:charset w:val="00"/>
    <w:family w:val="auto"/>
    <w:pitch w:val="variable"/>
    <w:sig w:usb0="A00002AF" w:usb1="5000204B"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D5204" w14:textId="77777777" w:rsidR="004E0A83" w:rsidRDefault="004E0A83" w:rsidP="007C2D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AD5205" w14:textId="77777777" w:rsidR="004E0A83" w:rsidRDefault="004E0A83" w:rsidP="001009A9">
    <w:pPr>
      <w:pStyle w:val="Footer"/>
      <w:ind w:right="360"/>
    </w:pPr>
  </w:p>
  <w:p w14:paraId="1D3C898D" w14:textId="77777777" w:rsidR="004E0A83" w:rsidRDefault="004E0A8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8A572" w14:textId="77777777" w:rsidR="00B568AF" w:rsidRPr="0003742A" w:rsidRDefault="00B568AF" w:rsidP="00B568AF">
    <w:pPr>
      <w:pStyle w:val="Footer"/>
      <w:ind w:right="360"/>
    </w:pPr>
  </w:p>
  <w:p w14:paraId="06EFD9F7" w14:textId="13B7BA12" w:rsidR="00B568AF" w:rsidRPr="0010086C" w:rsidRDefault="00B568AF" w:rsidP="00B568AF">
    <w:pPr>
      <w:pBdr>
        <w:top w:val="single" w:sz="4" w:space="1" w:color="0076AF"/>
      </w:pBdr>
      <w:tabs>
        <w:tab w:val="right" w:pos="9639"/>
      </w:tabs>
      <w:spacing w:after="0" w:line="240" w:lineRule="auto"/>
      <w:rPr>
        <w:color w:val="0076AF"/>
        <w:sz w:val="19"/>
        <w:lang w:val="pt-PT"/>
      </w:rPr>
    </w:pPr>
    <w:r w:rsidRPr="0010086C">
      <w:rPr>
        <w:i/>
        <w:sz w:val="6"/>
        <w:szCs w:val="18"/>
        <w:lang w:val="pt-PT"/>
      </w:rPr>
      <w:br/>
    </w:r>
    <w:r w:rsidR="0010086C">
      <w:rPr>
        <w:sz w:val="19"/>
        <w:szCs w:val="18"/>
        <w:lang w:val="pt-PT"/>
      </w:rPr>
      <w:t>S</w:t>
    </w:r>
    <w:r w:rsidRPr="0010086C">
      <w:rPr>
        <w:sz w:val="19"/>
        <w:szCs w:val="18"/>
        <w:lang w:val="pt-PT"/>
      </w:rPr>
      <w:t xml:space="preserve">ite </w:t>
    </w:r>
    <w:r w:rsidRPr="0010086C">
      <w:rPr>
        <w:color w:val="0076AF"/>
        <w:sz w:val="19"/>
        <w:szCs w:val="18"/>
        <w:lang w:val="pt-PT"/>
      </w:rPr>
      <w:t xml:space="preserve">www.eiti.org </w:t>
    </w:r>
    <w:r w:rsidRPr="0010086C">
      <w:rPr>
        <w:sz w:val="19"/>
        <w:szCs w:val="18"/>
        <w:lang w:val="pt-PT"/>
      </w:rPr>
      <w:t xml:space="preserve"> E</w:t>
    </w:r>
    <w:r w:rsidR="0010086C" w:rsidRPr="0010086C">
      <w:rPr>
        <w:sz w:val="19"/>
        <w:szCs w:val="18"/>
        <w:lang w:val="pt-PT"/>
      </w:rPr>
      <w:t>-</w:t>
    </w:r>
    <w:r w:rsidRPr="0010086C">
      <w:rPr>
        <w:sz w:val="19"/>
        <w:szCs w:val="18"/>
        <w:lang w:val="pt-PT"/>
      </w:rPr>
      <w:t xml:space="preserve">mail </w:t>
    </w:r>
    <w:r w:rsidRPr="0010086C">
      <w:rPr>
        <w:color w:val="0076AF"/>
        <w:sz w:val="19"/>
        <w:szCs w:val="18"/>
        <w:lang w:val="pt-PT"/>
      </w:rPr>
      <w:t>secretariat@eiti.org</w:t>
    </w:r>
    <w:r w:rsidR="0010086C" w:rsidRPr="0010086C">
      <w:rPr>
        <w:sz w:val="19"/>
        <w:szCs w:val="18"/>
        <w:lang w:val="pt-PT"/>
      </w:rPr>
      <w:t xml:space="preserve">  Telef</w:t>
    </w:r>
    <w:r w:rsidRPr="0010086C">
      <w:rPr>
        <w:sz w:val="19"/>
        <w:szCs w:val="18"/>
        <w:lang w:val="pt-PT"/>
      </w:rPr>
      <w:t xml:space="preserve">one </w:t>
    </w:r>
    <w:r w:rsidRPr="0010086C">
      <w:rPr>
        <w:color w:val="0076AF"/>
        <w:sz w:val="19"/>
        <w:szCs w:val="18"/>
        <w:lang w:val="pt-PT"/>
      </w:rPr>
      <w:t>+47 22 20 08 00</w:t>
    </w:r>
    <w:r w:rsidRPr="0010086C">
      <w:rPr>
        <w:sz w:val="19"/>
        <w:szCs w:val="18"/>
        <w:lang w:val="pt-PT"/>
      </w:rPr>
      <w:t xml:space="preserve">  Fax </w:t>
    </w:r>
    <w:r w:rsidRPr="0010086C">
      <w:rPr>
        <w:color w:val="0076AF"/>
        <w:sz w:val="19"/>
        <w:szCs w:val="18"/>
        <w:lang w:val="pt-PT"/>
      </w:rPr>
      <w:t>+47 22 83 08 02</w:t>
    </w:r>
  </w:p>
  <w:p w14:paraId="3A897A26" w14:textId="1D87CCB3" w:rsidR="00B568AF" w:rsidRPr="0003742A" w:rsidRDefault="00B568AF" w:rsidP="00B568AF">
    <w:pPr>
      <w:pBdr>
        <w:top w:val="single" w:sz="4" w:space="1" w:color="0076AF"/>
      </w:pBdr>
      <w:tabs>
        <w:tab w:val="right" w:pos="9639"/>
      </w:tabs>
      <w:spacing w:after="0" w:line="240" w:lineRule="auto"/>
      <w:rPr>
        <w:color w:val="0076AF"/>
        <w:sz w:val="19"/>
      </w:rPr>
    </w:pPr>
    <w:r w:rsidRPr="0003742A">
      <w:rPr>
        <w:noProof/>
        <w:sz w:val="19"/>
        <w:szCs w:val="18"/>
        <w:lang w:val="en-US"/>
      </w:rPr>
      <mc:AlternateContent>
        <mc:Choice Requires="wps">
          <w:drawing>
            <wp:anchor distT="0" distB="0" distL="114300" distR="114300" simplePos="0" relativeHeight="251668992" behindDoc="0" locked="0" layoutInCell="1" allowOverlap="1" wp14:anchorId="2C9813D7" wp14:editId="613DDFC4">
              <wp:simplePos x="0" y="0"/>
              <wp:positionH relativeFrom="column">
                <wp:posOffset>4914900</wp:posOffset>
              </wp:positionH>
              <wp:positionV relativeFrom="paragraph">
                <wp:posOffset>12065</wp:posOffset>
              </wp:positionV>
              <wp:extent cx="810260" cy="196850"/>
              <wp:effectExtent l="0" t="0" r="2540" b="6350"/>
              <wp:wrapTight wrapText="bothSides">
                <wp:wrapPolygon edited="0">
                  <wp:start x="0" y="0"/>
                  <wp:lineTo x="0" y="19510"/>
                  <wp:lineTo x="20991" y="19510"/>
                  <wp:lineTo x="20991" y="0"/>
                  <wp:lineTo x="0" y="0"/>
                </wp:wrapPolygon>
              </wp:wrapTight>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670CD" w14:textId="77777777" w:rsidR="00B568AF" w:rsidRPr="0033246F" w:rsidRDefault="00B568AF" w:rsidP="00B568AF">
                          <w:pPr>
                            <w:jc w:val="right"/>
                            <w:rPr>
                              <w:rFonts w:ascii="Myriad Pro" w:hAnsi="Myriad Pro"/>
                              <w:color w:val="008BAB"/>
                            </w:rPr>
                          </w:pPr>
                          <w:r w:rsidRPr="0033246F">
                            <w:rPr>
                              <w:rStyle w:val="PageNumber"/>
                              <w:rFonts w:ascii="Myriad Pro" w:hAnsi="Myriad Pro"/>
                              <w:color w:val="008BAB"/>
                            </w:rPr>
                            <w:fldChar w:fldCharType="begin"/>
                          </w:r>
                          <w:r w:rsidRPr="0033246F">
                            <w:rPr>
                              <w:rStyle w:val="PageNumber"/>
                              <w:rFonts w:ascii="Myriad Pro" w:hAnsi="Myriad Pro"/>
                              <w:color w:val="008BAB"/>
                            </w:rPr>
                            <w:instrText xml:space="preserve">PAGE  </w:instrText>
                          </w:r>
                          <w:r w:rsidRPr="0033246F">
                            <w:rPr>
                              <w:rStyle w:val="PageNumber"/>
                              <w:rFonts w:ascii="Myriad Pro" w:hAnsi="Myriad Pro"/>
                              <w:color w:val="008BAB"/>
                            </w:rPr>
                            <w:fldChar w:fldCharType="separate"/>
                          </w:r>
                          <w:r w:rsidR="00D61594">
                            <w:rPr>
                              <w:rStyle w:val="PageNumber"/>
                              <w:rFonts w:ascii="Myriad Pro" w:hAnsi="Myriad Pro"/>
                              <w:noProof/>
                              <w:color w:val="008BAB"/>
                            </w:rPr>
                            <w:t>2</w:t>
                          </w:r>
                          <w:r w:rsidRPr="0033246F">
                            <w:rPr>
                              <w:rStyle w:val="PageNumber"/>
                              <w:rFonts w:ascii="Myriad Pro" w:hAnsi="Myriad Pro"/>
                              <w:color w:val="008BA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26" type="#_x0000_t202" style="position:absolute;margin-left:387pt;margin-top:.95pt;width:63.8pt;height:1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" stroked="f">
              <v:textbox inset="0,0,0,0">
                <w:txbxContent>
                  <w:p w14:paraId="402670CD" w14:textId="77777777" w:rsidR="00B568AF" w:rsidRPr="0033246F" w:rsidRDefault="00B568AF" w:rsidP="00B568AF">
                    <w:pPr>
                      <w:jc w:val="right"/>
                      <w:rPr>
                        <w:rFonts w:ascii="Myriad Pro" w:hAnsi="Myriad Pro"/>
                        <w:color w:val="008BAB"/>
                      </w:rPr>
                    </w:pPr>
                    <w:r w:rsidRPr="0033246F">
                      <w:rPr>
                        <w:rStyle w:val="PageNumber"/>
                        <w:rFonts w:ascii="Myriad Pro" w:hAnsi="Myriad Pro"/>
                        <w:color w:val="008BAB"/>
                      </w:rPr>
                      <w:fldChar w:fldCharType="begin"/>
                    </w:r>
                    <w:r w:rsidRPr="0033246F">
                      <w:rPr>
                        <w:rStyle w:val="PageNumber"/>
                        <w:rFonts w:ascii="Myriad Pro" w:hAnsi="Myriad Pro"/>
                        <w:color w:val="008BAB"/>
                      </w:rPr>
                      <w:instrText xml:space="preserve">PAGE  </w:instrText>
                    </w:r>
                    <w:r w:rsidRPr="0033246F">
                      <w:rPr>
                        <w:rStyle w:val="PageNumber"/>
                        <w:rFonts w:ascii="Myriad Pro" w:hAnsi="Myriad Pro"/>
                        <w:color w:val="008BAB"/>
                      </w:rPr>
                      <w:fldChar w:fldCharType="separate"/>
                    </w:r>
                    <w:r w:rsidR="00D61594">
                      <w:rPr>
                        <w:rStyle w:val="PageNumber"/>
                        <w:rFonts w:ascii="Myriad Pro" w:hAnsi="Myriad Pro"/>
                        <w:noProof/>
                        <w:color w:val="008BAB"/>
                      </w:rPr>
                      <w:t>2</w:t>
                    </w:r>
                    <w:r w:rsidRPr="0033246F">
                      <w:rPr>
                        <w:rStyle w:val="PageNumber"/>
                        <w:rFonts w:ascii="Myriad Pro" w:hAnsi="Myriad Pro"/>
                        <w:color w:val="008BAB"/>
                      </w:rPr>
                      <w:fldChar w:fldCharType="end"/>
                    </w:r>
                  </w:p>
                </w:txbxContent>
              </v:textbox>
              <w10:wrap type="tight"/>
            </v:shape>
          </w:pict>
        </mc:Fallback>
      </mc:AlternateContent>
    </w:r>
    <w:r w:rsidR="0010086C">
      <w:rPr>
        <w:sz w:val="19"/>
        <w:szCs w:val="18"/>
      </w:rPr>
      <w:t>Endereço</w:t>
    </w:r>
    <w:r w:rsidRPr="0003742A">
      <w:rPr>
        <w:sz w:val="19"/>
        <w:szCs w:val="18"/>
      </w:rPr>
      <w:t xml:space="preserve"> </w:t>
    </w:r>
    <w:r w:rsidRPr="0003742A">
      <w:rPr>
        <w:color w:val="0076AF"/>
        <w:sz w:val="19"/>
        <w:szCs w:val="18"/>
      </w:rPr>
      <w:t>EITI International Secretariat, Ruseløkkveien 26, 0251 Oslo, Norway</w:t>
    </w:r>
  </w:p>
  <w:p w14:paraId="7C876E2E" w14:textId="03827DF2" w:rsidR="004E0A83" w:rsidRPr="00B568AF" w:rsidRDefault="004E0A83" w:rsidP="00B568A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95A00" w14:textId="77777777" w:rsidR="0003742A" w:rsidRPr="0003742A" w:rsidRDefault="0003742A" w:rsidP="0003742A">
    <w:pPr>
      <w:pStyle w:val="Footer"/>
      <w:ind w:right="360"/>
    </w:pPr>
  </w:p>
  <w:p w14:paraId="016E93EF" w14:textId="75CC782A" w:rsidR="0003742A" w:rsidRPr="00430104" w:rsidRDefault="0003742A" w:rsidP="0003742A">
    <w:pPr>
      <w:pBdr>
        <w:top w:val="single" w:sz="4" w:space="1" w:color="0076AF"/>
      </w:pBdr>
      <w:tabs>
        <w:tab w:val="right" w:pos="9639"/>
      </w:tabs>
      <w:spacing w:after="0" w:line="240" w:lineRule="auto"/>
      <w:rPr>
        <w:color w:val="0076AF"/>
        <w:sz w:val="19"/>
        <w:lang w:val="pt-PT"/>
      </w:rPr>
    </w:pPr>
    <w:r w:rsidRPr="00430104">
      <w:rPr>
        <w:i/>
        <w:sz w:val="6"/>
        <w:szCs w:val="18"/>
        <w:lang w:val="pt-PT"/>
      </w:rPr>
      <w:br/>
    </w:r>
    <w:r w:rsidRPr="00430104">
      <w:rPr>
        <w:sz w:val="19"/>
        <w:szCs w:val="18"/>
        <w:lang w:val="pt-PT"/>
      </w:rPr>
      <w:t xml:space="preserve">Website </w:t>
    </w:r>
    <w:r w:rsidRPr="00430104">
      <w:rPr>
        <w:color w:val="0076AF"/>
        <w:sz w:val="19"/>
        <w:szCs w:val="18"/>
        <w:lang w:val="pt-PT"/>
      </w:rPr>
      <w:t xml:space="preserve">www.eiti.org </w:t>
    </w:r>
    <w:r w:rsidRPr="00430104">
      <w:rPr>
        <w:sz w:val="19"/>
        <w:szCs w:val="18"/>
        <w:lang w:val="pt-PT"/>
      </w:rPr>
      <w:t xml:space="preserve"> E</w:t>
    </w:r>
    <w:r w:rsidR="00430104" w:rsidRPr="00430104">
      <w:rPr>
        <w:sz w:val="19"/>
        <w:szCs w:val="18"/>
        <w:lang w:val="pt-PT"/>
      </w:rPr>
      <w:t>-</w:t>
    </w:r>
    <w:r w:rsidRPr="00430104">
      <w:rPr>
        <w:sz w:val="19"/>
        <w:szCs w:val="18"/>
        <w:lang w:val="pt-PT"/>
      </w:rPr>
      <w:t xml:space="preserve">mail </w:t>
    </w:r>
    <w:r w:rsidRPr="00430104">
      <w:rPr>
        <w:color w:val="0076AF"/>
        <w:sz w:val="19"/>
        <w:szCs w:val="18"/>
        <w:lang w:val="pt-PT"/>
      </w:rPr>
      <w:t>secretariat@eiti.org</w:t>
    </w:r>
    <w:r w:rsidR="00430104" w:rsidRPr="00430104">
      <w:rPr>
        <w:sz w:val="19"/>
        <w:szCs w:val="18"/>
        <w:lang w:val="pt-PT"/>
      </w:rPr>
      <w:t xml:space="preserve">  Telef</w:t>
    </w:r>
    <w:r w:rsidRPr="00430104">
      <w:rPr>
        <w:sz w:val="19"/>
        <w:szCs w:val="18"/>
        <w:lang w:val="pt-PT"/>
      </w:rPr>
      <w:t xml:space="preserve">one </w:t>
    </w:r>
    <w:r w:rsidRPr="00430104">
      <w:rPr>
        <w:color w:val="0076AF"/>
        <w:sz w:val="19"/>
        <w:szCs w:val="18"/>
        <w:lang w:val="pt-PT"/>
      </w:rPr>
      <w:t>+47 22 20 08 00</w:t>
    </w:r>
    <w:r w:rsidRPr="00430104">
      <w:rPr>
        <w:sz w:val="19"/>
        <w:szCs w:val="18"/>
        <w:lang w:val="pt-PT"/>
      </w:rPr>
      <w:t xml:space="preserve">  Fax </w:t>
    </w:r>
    <w:r w:rsidRPr="00430104">
      <w:rPr>
        <w:color w:val="0076AF"/>
        <w:sz w:val="19"/>
        <w:szCs w:val="18"/>
        <w:lang w:val="pt-PT"/>
      </w:rPr>
      <w:t>+47 22 83 08 02</w:t>
    </w:r>
  </w:p>
  <w:p w14:paraId="20FBBFE1" w14:textId="47D53E15" w:rsidR="0003742A" w:rsidRPr="0003742A" w:rsidRDefault="0003742A" w:rsidP="0003742A">
    <w:pPr>
      <w:pBdr>
        <w:top w:val="single" w:sz="4" w:space="1" w:color="0076AF"/>
      </w:pBdr>
      <w:tabs>
        <w:tab w:val="right" w:pos="9639"/>
      </w:tabs>
      <w:spacing w:after="0" w:line="240" w:lineRule="auto"/>
      <w:rPr>
        <w:color w:val="0076AF"/>
        <w:sz w:val="19"/>
      </w:rPr>
    </w:pPr>
    <w:r w:rsidRPr="0003742A">
      <w:rPr>
        <w:noProof/>
        <w:sz w:val="19"/>
        <w:szCs w:val="18"/>
        <w:lang w:val="en-US"/>
      </w:rPr>
      <mc:AlternateContent>
        <mc:Choice Requires="wps">
          <w:drawing>
            <wp:anchor distT="0" distB="0" distL="114300" distR="114300" simplePos="0" relativeHeight="251664896" behindDoc="0" locked="0" layoutInCell="1" allowOverlap="1" wp14:anchorId="74FCD032" wp14:editId="21CC123A">
              <wp:simplePos x="0" y="0"/>
              <wp:positionH relativeFrom="column">
                <wp:posOffset>4914900</wp:posOffset>
              </wp:positionH>
              <wp:positionV relativeFrom="paragraph">
                <wp:posOffset>12065</wp:posOffset>
              </wp:positionV>
              <wp:extent cx="810260" cy="196850"/>
              <wp:effectExtent l="0" t="0" r="2540" b="6350"/>
              <wp:wrapTight wrapText="bothSides">
                <wp:wrapPolygon edited="0">
                  <wp:start x="0" y="0"/>
                  <wp:lineTo x="0" y="19510"/>
                  <wp:lineTo x="20991" y="19510"/>
                  <wp:lineTo x="20991" y="0"/>
                  <wp:lineTo x="0" y="0"/>
                </wp:wrapPolygon>
              </wp:wrapTight>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4C899" w14:textId="77777777" w:rsidR="0003742A" w:rsidRPr="0033246F" w:rsidRDefault="0003742A" w:rsidP="0003742A">
                          <w:pPr>
                            <w:jc w:val="right"/>
                            <w:rPr>
                              <w:rFonts w:ascii="Myriad Pro" w:hAnsi="Myriad Pro"/>
                              <w:color w:val="008BAB"/>
                            </w:rPr>
                          </w:pPr>
                          <w:r w:rsidRPr="0033246F">
                            <w:rPr>
                              <w:rStyle w:val="PageNumber"/>
                              <w:rFonts w:ascii="Myriad Pro" w:hAnsi="Myriad Pro"/>
                              <w:color w:val="008BAB"/>
                            </w:rPr>
                            <w:fldChar w:fldCharType="begin"/>
                          </w:r>
                          <w:r w:rsidRPr="0033246F">
                            <w:rPr>
                              <w:rStyle w:val="PageNumber"/>
                              <w:rFonts w:ascii="Myriad Pro" w:hAnsi="Myriad Pro"/>
                              <w:color w:val="008BAB"/>
                            </w:rPr>
                            <w:instrText xml:space="preserve">PAGE  </w:instrText>
                          </w:r>
                          <w:r w:rsidRPr="0033246F">
                            <w:rPr>
                              <w:rStyle w:val="PageNumber"/>
                              <w:rFonts w:ascii="Myriad Pro" w:hAnsi="Myriad Pro"/>
                              <w:color w:val="008BAB"/>
                            </w:rPr>
                            <w:fldChar w:fldCharType="separate"/>
                          </w:r>
                          <w:r w:rsidR="00D61594">
                            <w:rPr>
                              <w:rStyle w:val="PageNumber"/>
                              <w:rFonts w:ascii="Myriad Pro" w:hAnsi="Myriad Pro"/>
                              <w:noProof/>
                              <w:color w:val="008BAB"/>
                            </w:rPr>
                            <w:t>1</w:t>
                          </w:r>
                          <w:r w:rsidRPr="0033246F">
                            <w:rPr>
                              <w:rStyle w:val="PageNumber"/>
                              <w:rFonts w:ascii="Myriad Pro" w:hAnsi="Myriad Pro"/>
                              <w:color w:val="008BA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387pt;margin-top:.95pt;width:63.8pt;height:1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" stroked="f">
              <v:textbox inset="0,0,0,0">
                <w:txbxContent>
                  <w:p w14:paraId="16B4C899" w14:textId="77777777" w:rsidR="0003742A" w:rsidRPr="0033246F" w:rsidRDefault="0003742A" w:rsidP="0003742A">
                    <w:pPr>
                      <w:jc w:val="right"/>
                      <w:rPr>
                        <w:rFonts w:ascii="Myriad Pro" w:hAnsi="Myriad Pro"/>
                        <w:color w:val="008BAB"/>
                      </w:rPr>
                    </w:pPr>
                    <w:r w:rsidRPr="0033246F">
                      <w:rPr>
                        <w:rStyle w:val="PageNumber"/>
                        <w:rFonts w:ascii="Myriad Pro" w:hAnsi="Myriad Pro"/>
                        <w:color w:val="008BAB"/>
                      </w:rPr>
                      <w:fldChar w:fldCharType="begin"/>
                    </w:r>
                    <w:r w:rsidRPr="0033246F">
                      <w:rPr>
                        <w:rStyle w:val="PageNumber"/>
                        <w:rFonts w:ascii="Myriad Pro" w:hAnsi="Myriad Pro"/>
                        <w:color w:val="008BAB"/>
                      </w:rPr>
                      <w:instrText xml:space="preserve">PAGE  </w:instrText>
                    </w:r>
                    <w:r w:rsidRPr="0033246F">
                      <w:rPr>
                        <w:rStyle w:val="PageNumber"/>
                        <w:rFonts w:ascii="Myriad Pro" w:hAnsi="Myriad Pro"/>
                        <w:color w:val="008BAB"/>
                      </w:rPr>
                      <w:fldChar w:fldCharType="separate"/>
                    </w:r>
                    <w:r w:rsidR="00D61594">
                      <w:rPr>
                        <w:rStyle w:val="PageNumber"/>
                        <w:rFonts w:ascii="Myriad Pro" w:hAnsi="Myriad Pro"/>
                        <w:noProof/>
                        <w:color w:val="008BAB"/>
                      </w:rPr>
                      <w:t>1</w:t>
                    </w:r>
                    <w:r w:rsidRPr="0033246F">
                      <w:rPr>
                        <w:rStyle w:val="PageNumber"/>
                        <w:rFonts w:ascii="Myriad Pro" w:hAnsi="Myriad Pro"/>
                        <w:color w:val="008BAB"/>
                      </w:rPr>
                      <w:fldChar w:fldCharType="end"/>
                    </w:r>
                  </w:p>
                </w:txbxContent>
              </v:textbox>
              <w10:wrap type="tight"/>
            </v:shape>
          </w:pict>
        </mc:Fallback>
      </mc:AlternateContent>
    </w:r>
    <w:r w:rsidR="00430104">
      <w:rPr>
        <w:sz w:val="19"/>
        <w:szCs w:val="18"/>
      </w:rPr>
      <w:t>Endereço</w:t>
    </w:r>
    <w:r w:rsidRPr="0003742A">
      <w:rPr>
        <w:sz w:val="19"/>
        <w:szCs w:val="18"/>
      </w:rPr>
      <w:t xml:space="preserve"> </w:t>
    </w:r>
    <w:r w:rsidRPr="0003742A">
      <w:rPr>
        <w:color w:val="0076AF"/>
        <w:sz w:val="19"/>
        <w:szCs w:val="18"/>
      </w:rPr>
      <w:t>EITI International Secretariat, Ruseløkkveien 26, 0251 Oslo, Norway</w:t>
    </w:r>
  </w:p>
  <w:p w14:paraId="7F4A14BB" w14:textId="49F25F3D" w:rsidR="004E0A83" w:rsidRPr="0003742A" w:rsidRDefault="004E0A83" w:rsidP="000374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5BE78" w14:textId="77777777" w:rsidR="00CE2638" w:rsidRDefault="00CE2638" w:rsidP="00B53CE2">
      <w:pPr>
        <w:spacing w:after="0" w:line="240" w:lineRule="auto"/>
      </w:pPr>
      <w:r>
        <w:separator/>
      </w:r>
    </w:p>
  </w:footnote>
  <w:footnote w:type="continuationSeparator" w:id="0">
    <w:p w14:paraId="613D68CD" w14:textId="77777777" w:rsidR="00CE2638" w:rsidRDefault="00CE2638" w:rsidP="00B53CE2">
      <w:pPr>
        <w:spacing w:after="0" w:line="240" w:lineRule="auto"/>
      </w:pPr>
      <w:r>
        <w:continuationSeparator/>
      </w:r>
    </w:p>
  </w:footnote>
  <w:footnote w:type="continuationNotice" w:id="1">
    <w:p w14:paraId="39AE5431" w14:textId="77777777" w:rsidR="00CE2638" w:rsidRDefault="00CE2638">
      <w:pPr>
        <w:spacing w:after="0" w:line="240" w:lineRule="auto"/>
      </w:pPr>
    </w:p>
  </w:footnote>
  <w:footnote w:id="2">
    <w:p w14:paraId="1AE7672D" w14:textId="25F841C5" w:rsidR="00A16865" w:rsidRPr="00A16865" w:rsidRDefault="00A16865">
      <w:pPr>
        <w:pStyle w:val="FootnoteText"/>
      </w:pPr>
      <w:r>
        <w:rPr>
          <w:rStyle w:val="FootnoteReference"/>
        </w:rPr>
        <w:footnoteRef/>
      </w:r>
      <w:r>
        <w:t xml:space="preserve"> </w:t>
      </w:r>
      <w:r w:rsidRPr="004A7077">
        <w:t>http://eiti.org/files/English_EITI%20STANDARD_11July_0.pdf</w:t>
      </w:r>
    </w:p>
  </w:footnote>
  <w:footnote w:id="3">
    <w:p w14:paraId="62404DBF" w14:textId="112CA591" w:rsidR="00A31002" w:rsidRPr="00A31002" w:rsidRDefault="00A31002">
      <w:pPr>
        <w:pStyle w:val="FootnoteText"/>
        <w:rPr>
          <w:lang w:val="pt-PT"/>
        </w:rPr>
      </w:pPr>
      <w:r>
        <w:rPr>
          <w:rStyle w:val="FootnoteReference"/>
        </w:rPr>
        <w:footnoteRef/>
      </w:r>
      <w:r w:rsidRPr="00A31002">
        <w:rPr>
          <w:lang w:val="pt-PT"/>
        </w:rPr>
        <w:t xml:space="preserve">  Notas de orientação sobre a definiç</w:t>
      </w:r>
      <w:r>
        <w:rPr>
          <w:lang w:val="pt-PT"/>
        </w:rPr>
        <w:t>ão de materialidade</w:t>
      </w:r>
      <w:r w:rsidRPr="00A31002">
        <w:rPr>
          <w:lang w:val="pt-PT"/>
        </w:rPr>
        <w:t>: http://eiti.org/document/guidance-notes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73EF7" w14:textId="2D323028" w:rsidR="00DF032D" w:rsidRPr="00206BCB" w:rsidRDefault="00A31002" w:rsidP="00DF032D">
    <w:pPr>
      <w:spacing w:after="120"/>
      <w:jc w:val="right"/>
      <w:rPr>
        <w:rFonts w:ascii="Arial" w:hAnsi="Arial"/>
        <w:color w:val="FF0000"/>
        <w:sz w:val="21"/>
        <w:szCs w:val="21"/>
      </w:rPr>
    </w:pPr>
    <w:r>
      <w:rPr>
        <w:rFonts w:ascii="Arial" w:hAnsi="Arial"/>
        <w:i/>
        <w:noProof/>
        <w:lang w:val="en-US"/>
      </w:rPr>
      <mc:AlternateContent>
        <mc:Choice Requires="wpg">
          <w:drawing>
            <wp:anchor distT="0" distB="0" distL="114300" distR="114300" simplePos="0" relativeHeight="251666944" behindDoc="0" locked="0" layoutInCell="1" allowOverlap="1" wp14:anchorId="11508DC8" wp14:editId="15ECA0EC">
              <wp:simplePos x="0" y="0"/>
              <wp:positionH relativeFrom="column">
                <wp:posOffset>0</wp:posOffset>
              </wp:positionH>
              <wp:positionV relativeFrom="paragraph">
                <wp:posOffset>24765</wp:posOffset>
              </wp:positionV>
              <wp:extent cx="5829300" cy="172085"/>
              <wp:effectExtent l="0" t="0" r="0" b="0"/>
              <wp:wrapNone/>
              <wp:docPr id="3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72085"/>
                        <a:chOff x="1133" y="1230"/>
                        <a:chExt cx="8460" cy="208"/>
                      </a:xfrm>
                    </wpg:grpSpPr>
                    <wps:wsp>
                      <wps:cNvPr id="40" name="Rektangel 2"/>
                      <wps:cNvSpPr>
                        <a:spLocks noChangeArrowheads="1"/>
                      </wps:cNvSpPr>
                      <wps:spPr bwMode="auto">
                        <a:xfrm>
                          <a:off x="1133" y="1230"/>
                          <a:ext cx="8460" cy="208"/>
                        </a:xfrm>
                        <a:prstGeom prst="rect">
                          <a:avLst/>
                        </a:prstGeom>
                        <a:solidFill>
                          <a:srgbClr val="0076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41" name="Rektangel 3"/>
                      <wps:cNvSpPr>
                        <a:spLocks noChangeArrowheads="1"/>
                      </wps:cNvSpPr>
                      <wps:spPr bwMode="auto">
                        <a:xfrm>
                          <a:off x="2346" y="1230"/>
                          <a:ext cx="910" cy="208"/>
                        </a:xfrm>
                        <a:prstGeom prst="rect">
                          <a:avLst/>
                        </a:prstGeom>
                        <a:solidFill>
                          <a:srgbClr val="56ADD6"/>
                        </a:solidFill>
                        <a:ln>
                          <a:noFill/>
                        </a:ln>
                        <a:extLst>
                          <a:ext uri="{91240B29-F687-4f45-9708-019B960494DF}">
                            <a14:hiddenLine xmlns:a14="http://schemas.microsoft.com/office/drawing/2010/main" w="381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0;margin-top:1.95pt;width:459pt;height:13.55pt;z-index:251666944" coordorigin="1133,1230" coordsize="846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">
              <v:rect id="Rektangel 2" o:spid="_x0000_s1027" style="position:absolute;left:1133;top:1230;width:8460;height: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tc8MA&#10;AADbAAAADwAAAGRycy9kb3ducmV2LnhtbERPTWvCQBC9F/wPywheitkoUiTNKiIoBjy0ST30NmSn&#10;SWp2NmTXGPvru4dCj4/3nW5H04qBetdYVrCIYhDEpdUNVwo+isN8DcJ5ZI2tZVLwIAfbzeQpxUTb&#10;O7/TkPtKhBB2CSqove8SKV1Zk0EX2Y44cF+2N+gD7Cupe7yHcNPKZRy/SIMNh4YaO9rXVF7zm1FQ&#10;rG/F2/dz8TOMcXaxx0yfPzut1Gw67l5BeBr9v/jPfdIKVmF9+B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mtc8MAAADbAAAADwAAAAAAAAAAAAAAAACYAgAAZHJzL2Rv&#10;d25yZXYueG1sUEsFBgAAAAAEAAQA9QAAAIgDAAAAAA==&#10;" fillcolor="#0076af" stroked="f"/>
              <v:rect id="Rektangel 3" o:spid="_x0000_s1028" style="position:absolute;left:2346;top:1230;width:910;height: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zOasQA&#10;AADbAAAADwAAAGRycy9kb3ducmV2LnhtbESP3WoCMRSE74W+QziF3tWs0hXdmpUiSEsFxVWQ3h02&#10;Z3/o5mRJUt2+fSMUvBxm5htmuRpMJy7kfGtZwWScgCAurW65VnA6bp7nIHxA1thZJgW/5GGVP4yW&#10;mGl75QNdilCLCGGfoYImhD6T0pcNGfRj2xNHr7LOYIjS1VI7vEa46eQ0SWbSYMtxocGe1g2V38WP&#10;USAr9It6n+7ev9z6rLchZf2ZKvX0OLy9ggg0hHv4v/2hFbxM4PYl/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szmrEAAAA2wAAAA8AAAAAAAAAAAAAAAAAmAIAAGRycy9k&#10;b3ducmV2LnhtbFBLBQYAAAAABAAEAPUAAACJAwAAAAA=&#10;" fillcolor="#56add6" stroked="f" strokeweight="3pt"/>
            </v:group>
          </w:pict>
        </mc:Fallback>
      </mc:AlternateContent>
    </w:r>
    <w:r w:rsidR="00DF032D">
      <w:tab/>
    </w:r>
  </w:p>
  <w:p w14:paraId="73E773C0" w14:textId="4D330BB1" w:rsidR="00DF032D" w:rsidRPr="00A31002" w:rsidRDefault="00A31002" w:rsidP="00DF032D">
    <w:pPr>
      <w:tabs>
        <w:tab w:val="right" w:pos="9072"/>
      </w:tabs>
      <w:rPr>
        <w:rFonts w:eastAsia="Times New Roman"/>
        <w:bCs/>
        <w:iCs/>
        <w:color w:val="808080"/>
        <w:sz w:val="20"/>
        <w:szCs w:val="20"/>
        <w:lang w:val="pt-PT" w:eastAsia="ja-JP"/>
      </w:rPr>
    </w:pPr>
    <w:r w:rsidRPr="00A31002">
      <w:rPr>
        <w:rFonts w:eastAsia="Times New Roman"/>
        <w:bCs/>
        <w:iCs/>
        <w:color w:val="808080"/>
        <w:sz w:val="20"/>
        <w:szCs w:val="20"/>
        <w:lang w:val="pt-PT" w:eastAsia="ja-JP"/>
      </w:rPr>
      <w:t xml:space="preserve">TdR atualizados para um estudo de </w:t>
    </w:r>
    <w:r>
      <w:rPr>
        <w:rFonts w:eastAsia="Times New Roman"/>
        <w:bCs/>
        <w:iCs/>
        <w:color w:val="808080"/>
        <w:sz w:val="20"/>
        <w:szCs w:val="20"/>
        <w:lang w:val="pt-PT" w:eastAsia="ja-JP"/>
      </w:rPr>
      <w:t>âmbito</w:t>
    </w:r>
    <w:r w:rsidR="00DF032D" w:rsidRPr="00A31002">
      <w:rPr>
        <w:rFonts w:eastAsia="Times New Roman"/>
        <w:bCs/>
        <w:iCs/>
        <w:color w:val="808080"/>
        <w:sz w:val="20"/>
        <w:szCs w:val="20"/>
        <w:lang w:val="pt-PT" w:eastAsia="ja-JP"/>
      </w:rPr>
      <w:tab/>
      <w:t xml:space="preserve"> 3 </w:t>
    </w:r>
    <w:r>
      <w:rPr>
        <w:rFonts w:eastAsia="Times New Roman"/>
        <w:bCs/>
        <w:iCs/>
        <w:color w:val="808080"/>
        <w:sz w:val="20"/>
        <w:szCs w:val="20"/>
        <w:lang w:val="pt-PT" w:eastAsia="ja-JP"/>
      </w:rPr>
      <w:t>de julho de</w:t>
    </w:r>
    <w:r w:rsidR="00DF032D" w:rsidRPr="00A31002">
      <w:rPr>
        <w:rFonts w:eastAsia="Times New Roman"/>
        <w:bCs/>
        <w:iCs/>
        <w:color w:val="808080"/>
        <w:sz w:val="20"/>
        <w:szCs w:val="20"/>
        <w:lang w:val="pt-PT" w:eastAsia="ja-JP"/>
      </w:rPr>
      <w:t xml:space="preserve"> 2015</w:t>
    </w:r>
    <w:r w:rsidR="00DF032D" w:rsidRPr="00A31002">
      <w:rPr>
        <w:rFonts w:eastAsia="Times New Roman"/>
        <w:bCs/>
        <w:iCs/>
        <w:color w:val="808080"/>
        <w:sz w:val="20"/>
        <w:szCs w:val="20"/>
        <w:lang w:val="pt-PT" w:eastAsia="ja-JP"/>
      </w:rPr>
      <w:br/>
    </w:r>
  </w:p>
  <w:p w14:paraId="0806593A" w14:textId="4E2E4704" w:rsidR="004E0A83" w:rsidRPr="00A31002" w:rsidRDefault="004E0A83" w:rsidP="00DF032D">
    <w:pPr>
      <w:pStyle w:val="Header"/>
      <w:tabs>
        <w:tab w:val="clear" w:pos="4536"/>
        <w:tab w:val="clear" w:pos="9072"/>
        <w:tab w:val="left" w:pos="1474"/>
      </w:tabs>
      <w:rPr>
        <w:lang w:val="pt-PT"/>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343A3" w14:textId="77777777" w:rsidR="0003742A" w:rsidRPr="0003742A" w:rsidRDefault="0003742A" w:rsidP="0003742A">
    <w:pPr>
      <w:spacing w:after="0"/>
      <w:jc w:val="right"/>
      <w:rPr>
        <w:sz w:val="28"/>
        <w:szCs w:val="28"/>
      </w:rPr>
    </w:pPr>
    <w:r w:rsidRPr="0003742A">
      <w:rPr>
        <w:sz w:val="28"/>
        <w:szCs w:val="28"/>
      </w:rPr>
      <w:tab/>
    </w:r>
  </w:p>
  <w:p w14:paraId="44F69AC2" w14:textId="1AD1E1F1" w:rsidR="0003742A" w:rsidRPr="005D2EE2" w:rsidRDefault="0003742A" w:rsidP="0003742A">
    <w:pPr>
      <w:spacing w:after="0"/>
      <w:ind w:left="708" w:firstLine="708"/>
      <w:jc w:val="right"/>
      <w:rPr>
        <w:sz w:val="28"/>
        <w:szCs w:val="28"/>
        <w:lang w:val="pt-PT"/>
      </w:rPr>
    </w:pPr>
    <w:r w:rsidRPr="0003742A">
      <w:rPr>
        <w:noProof/>
        <w:sz w:val="28"/>
        <w:szCs w:val="28"/>
        <w:lang w:val="en-US"/>
      </w:rPr>
      <w:drawing>
        <wp:anchor distT="0" distB="0" distL="114300" distR="114300" simplePos="0" relativeHeight="251662848" behindDoc="0" locked="0" layoutInCell="1" allowOverlap="1" wp14:anchorId="1C5DF5E5" wp14:editId="5BAF1015">
          <wp:simplePos x="0" y="0"/>
          <wp:positionH relativeFrom="column">
            <wp:posOffset>0</wp:posOffset>
          </wp:positionH>
          <wp:positionV relativeFrom="paragraph">
            <wp:posOffset>58420</wp:posOffset>
          </wp:positionV>
          <wp:extent cx="2286000" cy="476250"/>
          <wp:effectExtent l="0" t="0" r="0" b="6350"/>
          <wp:wrapTight wrapText="bothSides">
            <wp:wrapPolygon edited="0">
              <wp:start x="0" y="0"/>
              <wp:lineTo x="0" y="20736"/>
              <wp:lineTo x="19440" y="20736"/>
              <wp:lineTo x="21360" y="17280"/>
              <wp:lineTo x="21360" y="1152"/>
              <wp:lineTo x="18720" y="0"/>
              <wp:lineTo x="0" y="0"/>
            </wp:wrapPolygon>
          </wp:wrapTight>
          <wp:docPr id="10" name="Picture 10" descr="Macintosh HD:Users:Helene:Documents:EITI publications:EitimyriadProBlue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lene:Documents:EITI publications:EitimyriadProBlue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762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D2EE2">
      <w:rPr>
        <w:sz w:val="28"/>
        <w:szCs w:val="24"/>
        <w:lang w:val="pt-PT"/>
      </w:rPr>
      <w:t>TdR atualizados para um estudo de âmbito</w:t>
    </w:r>
  </w:p>
  <w:p w14:paraId="439BD673" w14:textId="7C001A92" w:rsidR="0003742A" w:rsidRPr="0003742A" w:rsidRDefault="0003742A" w:rsidP="0003742A">
    <w:pPr>
      <w:jc w:val="right"/>
      <w:rPr>
        <w:color w:val="007FBD"/>
        <w:sz w:val="28"/>
        <w:szCs w:val="28"/>
      </w:rPr>
    </w:pPr>
    <w:r w:rsidRPr="0003742A">
      <w:rPr>
        <w:color w:val="007FBD"/>
        <w:sz w:val="28"/>
        <w:szCs w:val="28"/>
      </w:rPr>
      <w:t xml:space="preserve">3 </w:t>
    </w:r>
    <w:r w:rsidR="005D2EE2">
      <w:rPr>
        <w:color w:val="007FBD"/>
        <w:sz w:val="28"/>
        <w:szCs w:val="28"/>
      </w:rPr>
      <w:t>de j</w:t>
    </w:r>
    <w:r w:rsidRPr="0003742A">
      <w:rPr>
        <w:color w:val="007FBD"/>
        <w:sz w:val="28"/>
        <w:szCs w:val="28"/>
      </w:rPr>
      <w:t>ul</w:t>
    </w:r>
    <w:r w:rsidR="005D2EE2">
      <w:rPr>
        <w:color w:val="007FBD"/>
        <w:sz w:val="28"/>
        <w:szCs w:val="28"/>
      </w:rPr>
      <w:t>ho de</w:t>
    </w:r>
    <w:r w:rsidRPr="0003742A">
      <w:rPr>
        <w:color w:val="007FBD"/>
        <w:sz w:val="28"/>
        <w:szCs w:val="28"/>
      </w:rPr>
      <w:t xml:space="preserve"> 2015</w:t>
    </w:r>
  </w:p>
  <w:p w14:paraId="4C7EC8AD" w14:textId="77777777" w:rsidR="0003742A" w:rsidRPr="0003742A" w:rsidRDefault="0003742A" w:rsidP="0003742A">
    <w:pPr>
      <w:pStyle w:val="Header"/>
      <w:rPr>
        <w:sz w:val="16"/>
        <w:szCs w:val="16"/>
      </w:rPr>
    </w:pPr>
  </w:p>
  <w:p w14:paraId="36E578F4" w14:textId="77777777" w:rsidR="0003742A" w:rsidRPr="0003742A" w:rsidRDefault="0003742A" w:rsidP="0003742A">
    <w:pPr>
      <w:pStyle w:val="Header"/>
    </w:pPr>
    <w:r w:rsidRPr="0003742A">
      <w:rPr>
        <w:noProof/>
        <w:lang w:val="en-US"/>
      </w:rPr>
      <w:drawing>
        <wp:inline distT="0" distB="0" distL="0" distR="0" wp14:anchorId="6608D0D1" wp14:editId="7B3FBDEF">
          <wp:extent cx="5760720" cy="15240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760720" cy="152400"/>
                  </a:xfrm>
                  <a:prstGeom prst="rect">
                    <a:avLst/>
                  </a:prstGeom>
                </pic:spPr>
              </pic:pic>
            </a:graphicData>
          </a:graphic>
        </wp:inline>
      </w:drawing>
    </w:r>
  </w:p>
  <w:p w14:paraId="7C08033E" w14:textId="1206D54B" w:rsidR="004E0A83" w:rsidRPr="005D2EE2" w:rsidRDefault="004E0A83">
    <w:pPr>
      <w:rPr>
        <w:rFonts w:asciiTheme="minorHAnsi" w:hAnsiTheme="minorHAnsi"/>
        <w:lang w:val="pt-PT"/>
      </w:rPr>
    </w:pPr>
    <w:r w:rsidRPr="005D2EE2">
      <w:rPr>
        <w:rFonts w:cs="Times New Roman"/>
        <w:i/>
        <w:iCs/>
        <w:color w:val="808080" w:themeColor="background1" w:themeShade="80"/>
        <w:sz w:val="20"/>
        <w:szCs w:val="20"/>
        <w:lang w:val="pt-PT"/>
      </w:rPr>
      <w:br/>
    </w:r>
    <w:r w:rsidR="005D2EE2">
      <w:rPr>
        <w:i/>
        <w:color w:val="808080"/>
        <w:sz w:val="20"/>
        <w:szCs w:val="24"/>
        <w:lang w:val="pt-PT"/>
      </w:rPr>
      <w:t xml:space="preserve">Este documento foi publicado pela Secretaria Internacional da EITI como modelo dos Termos de Referência (TdR) para os países implementadores que desejem realizar um estudo preliminar (estudo de âmbito) para informar as decisões quanto ao âmbito relacionadas com a elaboração dos seus relatórios da EITI. Os países poderão utilizar os TdR, no todo ou em parte, conforme o âmbito de que necessitem. O texto </w:t>
    </w:r>
    <w:r w:rsidR="008B07C7">
      <w:rPr>
        <w:i/>
        <w:color w:val="0070C0"/>
        <w:sz w:val="20"/>
        <w:szCs w:val="24"/>
        <w:lang w:val="pt-PT"/>
      </w:rPr>
      <w:t>[em parent</w:t>
    </w:r>
    <w:r w:rsidR="005D2EE2">
      <w:rPr>
        <w:i/>
        <w:color w:val="0070C0"/>
        <w:sz w:val="20"/>
        <w:szCs w:val="24"/>
        <w:lang w:val="pt-PT"/>
      </w:rPr>
      <w:t xml:space="preserve">eses retos] </w:t>
    </w:r>
    <w:r w:rsidR="005D2EE2">
      <w:rPr>
        <w:i/>
        <w:color w:val="808080"/>
        <w:sz w:val="20"/>
        <w:szCs w:val="24"/>
        <w:lang w:val="pt-PT"/>
      </w:rPr>
      <w:t>deverá ser preenchido pelo grupo de intervenientes (MSG). As perguntas acerca desta nota podem ser dirigidas à Secretaria Internacional.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956"/>
    <w:multiLevelType w:val="hybridMultilevel"/>
    <w:tmpl w:val="077C6F0E"/>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
    <w:nsid w:val="06F5071B"/>
    <w:multiLevelType w:val="hybridMultilevel"/>
    <w:tmpl w:val="9B72107A"/>
    <w:lvl w:ilvl="0" w:tplc="706A0BCA">
      <w:start w:val="1"/>
      <w:numFmt w:val="bullet"/>
      <w:lvlText w:val=""/>
      <w:lvlJc w:val="left"/>
      <w:pPr>
        <w:ind w:left="720" w:hanging="363"/>
      </w:pPr>
      <w:rPr>
        <w:rFonts w:ascii="Symbol" w:hAnsi="Symbol" w:hint="default"/>
      </w:rPr>
    </w:lvl>
    <w:lvl w:ilvl="1" w:tplc="04140019">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2">
    <w:nsid w:val="08B235E9"/>
    <w:multiLevelType w:val="hybridMultilevel"/>
    <w:tmpl w:val="D256BA48"/>
    <w:lvl w:ilvl="0" w:tplc="DE62ED1C">
      <w:start w:val="2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3AF5F41"/>
    <w:multiLevelType w:val="hybridMultilevel"/>
    <w:tmpl w:val="3BA69862"/>
    <w:lvl w:ilvl="0" w:tplc="706A0BCA">
      <w:start w:val="1"/>
      <w:numFmt w:val="bullet"/>
      <w:lvlText w:val=""/>
      <w:lvlJc w:val="left"/>
      <w:pPr>
        <w:ind w:left="1485" w:hanging="363"/>
      </w:pPr>
      <w:rPr>
        <w:rFonts w:ascii="Symbol" w:hAnsi="Symbol" w:hint="default"/>
      </w:rPr>
    </w:lvl>
    <w:lvl w:ilvl="1" w:tplc="04140003" w:tentative="1">
      <w:start w:val="1"/>
      <w:numFmt w:val="bullet"/>
      <w:lvlText w:val="o"/>
      <w:lvlJc w:val="left"/>
      <w:pPr>
        <w:ind w:left="2205" w:hanging="360"/>
      </w:pPr>
      <w:rPr>
        <w:rFonts w:ascii="Courier New" w:hAnsi="Courier New" w:cs="Courier New" w:hint="default"/>
      </w:rPr>
    </w:lvl>
    <w:lvl w:ilvl="2" w:tplc="04140005" w:tentative="1">
      <w:start w:val="1"/>
      <w:numFmt w:val="bullet"/>
      <w:lvlText w:val=""/>
      <w:lvlJc w:val="left"/>
      <w:pPr>
        <w:ind w:left="2925" w:hanging="360"/>
      </w:pPr>
      <w:rPr>
        <w:rFonts w:ascii="Wingdings" w:hAnsi="Wingdings" w:hint="default"/>
      </w:rPr>
    </w:lvl>
    <w:lvl w:ilvl="3" w:tplc="04140001" w:tentative="1">
      <w:start w:val="1"/>
      <w:numFmt w:val="bullet"/>
      <w:lvlText w:val=""/>
      <w:lvlJc w:val="left"/>
      <w:pPr>
        <w:ind w:left="3645" w:hanging="360"/>
      </w:pPr>
      <w:rPr>
        <w:rFonts w:ascii="Symbol" w:hAnsi="Symbol" w:hint="default"/>
      </w:rPr>
    </w:lvl>
    <w:lvl w:ilvl="4" w:tplc="04140003" w:tentative="1">
      <w:start w:val="1"/>
      <w:numFmt w:val="bullet"/>
      <w:lvlText w:val="o"/>
      <w:lvlJc w:val="left"/>
      <w:pPr>
        <w:ind w:left="4365" w:hanging="360"/>
      </w:pPr>
      <w:rPr>
        <w:rFonts w:ascii="Courier New" w:hAnsi="Courier New" w:cs="Courier New" w:hint="default"/>
      </w:rPr>
    </w:lvl>
    <w:lvl w:ilvl="5" w:tplc="04140005" w:tentative="1">
      <w:start w:val="1"/>
      <w:numFmt w:val="bullet"/>
      <w:lvlText w:val=""/>
      <w:lvlJc w:val="left"/>
      <w:pPr>
        <w:ind w:left="5085" w:hanging="360"/>
      </w:pPr>
      <w:rPr>
        <w:rFonts w:ascii="Wingdings" w:hAnsi="Wingdings" w:hint="default"/>
      </w:rPr>
    </w:lvl>
    <w:lvl w:ilvl="6" w:tplc="04140001" w:tentative="1">
      <w:start w:val="1"/>
      <w:numFmt w:val="bullet"/>
      <w:lvlText w:val=""/>
      <w:lvlJc w:val="left"/>
      <w:pPr>
        <w:ind w:left="5805" w:hanging="360"/>
      </w:pPr>
      <w:rPr>
        <w:rFonts w:ascii="Symbol" w:hAnsi="Symbol" w:hint="default"/>
      </w:rPr>
    </w:lvl>
    <w:lvl w:ilvl="7" w:tplc="04140003" w:tentative="1">
      <w:start w:val="1"/>
      <w:numFmt w:val="bullet"/>
      <w:lvlText w:val="o"/>
      <w:lvlJc w:val="left"/>
      <w:pPr>
        <w:ind w:left="6525" w:hanging="360"/>
      </w:pPr>
      <w:rPr>
        <w:rFonts w:ascii="Courier New" w:hAnsi="Courier New" w:cs="Courier New" w:hint="default"/>
      </w:rPr>
    </w:lvl>
    <w:lvl w:ilvl="8" w:tplc="04140005" w:tentative="1">
      <w:start w:val="1"/>
      <w:numFmt w:val="bullet"/>
      <w:lvlText w:val=""/>
      <w:lvlJc w:val="left"/>
      <w:pPr>
        <w:ind w:left="7245" w:hanging="360"/>
      </w:pPr>
      <w:rPr>
        <w:rFonts w:ascii="Wingdings" w:hAnsi="Wingdings" w:hint="default"/>
      </w:rPr>
    </w:lvl>
  </w:abstractNum>
  <w:abstractNum w:abstractNumId="4">
    <w:nsid w:val="1983608C"/>
    <w:multiLevelType w:val="hybridMultilevel"/>
    <w:tmpl w:val="A264792E"/>
    <w:lvl w:ilvl="0" w:tplc="04140001">
      <w:start w:val="1"/>
      <w:numFmt w:val="bullet"/>
      <w:lvlText w:val=""/>
      <w:lvlJc w:val="left"/>
      <w:pPr>
        <w:ind w:left="1072" w:hanging="363"/>
      </w:pPr>
      <w:rPr>
        <w:rFonts w:ascii="Symbol" w:hAnsi="Symbol" w:hint="default"/>
      </w:rPr>
    </w:lvl>
    <w:lvl w:ilvl="1" w:tplc="04140003" w:tentative="1">
      <w:start w:val="1"/>
      <w:numFmt w:val="bullet"/>
      <w:lvlText w:val="o"/>
      <w:lvlJc w:val="left"/>
      <w:pPr>
        <w:ind w:left="1792" w:hanging="360"/>
      </w:pPr>
      <w:rPr>
        <w:rFonts w:ascii="Courier New" w:hAnsi="Courier New" w:cs="Courier New" w:hint="default"/>
      </w:rPr>
    </w:lvl>
    <w:lvl w:ilvl="2" w:tplc="04140005" w:tentative="1">
      <w:start w:val="1"/>
      <w:numFmt w:val="bullet"/>
      <w:lvlText w:val=""/>
      <w:lvlJc w:val="left"/>
      <w:pPr>
        <w:ind w:left="2512" w:hanging="360"/>
      </w:pPr>
      <w:rPr>
        <w:rFonts w:ascii="Wingdings" w:hAnsi="Wingdings" w:hint="default"/>
      </w:rPr>
    </w:lvl>
    <w:lvl w:ilvl="3" w:tplc="04140001" w:tentative="1">
      <w:start w:val="1"/>
      <w:numFmt w:val="bullet"/>
      <w:lvlText w:val=""/>
      <w:lvlJc w:val="left"/>
      <w:pPr>
        <w:ind w:left="3232" w:hanging="360"/>
      </w:pPr>
      <w:rPr>
        <w:rFonts w:ascii="Symbol" w:hAnsi="Symbol" w:hint="default"/>
      </w:rPr>
    </w:lvl>
    <w:lvl w:ilvl="4" w:tplc="04140003" w:tentative="1">
      <w:start w:val="1"/>
      <w:numFmt w:val="bullet"/>
      <w:lvlText w:val="o"/>
      <w:lvlJc w:val="left"/>
      <w:pPr>
        <w:ind w:left="3952" w:hanging="360"/>
      </w:pPr>
      <w:rPr>
        <w:rFonts w:ascii="Courier New" w:hAnsi="Courier New" w:cs="Courier New" w:hint="default"/>
      </w:rPr>
    </w:lvl>
    <w:lvl w:ilvl="5" w:tplc="04140005" w:tentative="1">
      <w:start w:val="1"/>
      <w:numFmt w:val="bullet"/>
      <w:lvlText w:val=""/>
      <w:lvlJc w:val="left"/>
      <w:pPr>
        <w:ind w:left="4672" w:hanging="360"/>
      </w:pPr>
      <w:rPr>
        <w:rFonts w:ascii="Wingdings" w:hAnsi="Wingdings" w:hint="default"/>
      </w:rPr>
    </w:lvl>
    <w:lvl w:ilvl="6" w:tplc="04140001" w:tentative="1">
      <w:start w:val="1"/>
      <w:numFmt w:val="bullet"/>
      <w:lvlText w:val=""/>
      <w:lvlJc w:val="left"/>
      <w:pPr>
        <w:ind w:left="5392" w:hanging="360"/>
      </w:pPr>
      <w:rPr>
        <w:rFonts w:ascii="Symbol" w:hAnsi="Symbol" w:hint="default"/>
      </w:rPr>
    </w:lvl>
    <w:lvl w:ilvl="7" w:tplc="04140003" w:tentative="1">
      <w:start w:val="1"/>
      <w:numFmt w:val="bullet"/>
      <w:lvlText w:val="o"/>
      <w:lvlJc w:val="left"/>
      <w:pPr>
        <w:ind w:left="6112" w:hanging="360"/>
      </w:pPr>
      <w:rPr>
        <w:rFonts w:ascii="Courier New" w:hAnsi="Courier New" w:cs="Courier New" w:hint="default"/>
      </w:rPr>
    </w:lvl>
    <w:lvl w:ilvl="8" w:tplc="04140005" w:tentative="1">
      <w:start w:val="1"/>
      <w:numFmt w:val="bullet"/>
      <w:lvlText w:val=""/>
      <w:lvlJc w:val="left"/>
      <w:pPr>
        <w:ind w:left="6832" w:hanging="360"/>
      </w:pPr>
      <w:rPr>
        <w:rFonts w:ascii="Wingdings" w:hAnsi="Wingdings" w:hint="default"/>
      </w:rPr>
    </w:lvl>
  </w:abstractNum>
  <w:abstractNum w:abstractNumId="5">
    <w:nsid w:val="2A2F052A"/>
    <w:multiLevelType w:val="hybridMultilevel"/>
    <w:tmpl w:val="A8566A8E"/>
    <w:lvl w:ilvl="0" w:tplc="93A46AA8">
      <w:start w:val="13"/>
      <w:numFmt w:val="decimal"/>
      <w:lvlText w:val="%1"/>
      <w:lvlJc w:val="left"/>
      <w:pPr>
        <w:ind w:left="720" w:hanging="360"/>
      </w:pPr>
      <w:rPr>
        <w:rFonts w:hint="default"/>
      </w:rPr>
    </w:lvl>
    <w:lvl w:ilvl="1" w:tplc="D304D9AE">
      <w:start w:val="13"/>
      <w:numFmt w:val="lowerLetter"/>
      <w:lvlText w:val="%2."/>
      <w:lvlJc w:val="left"/>
      <w:pPr>
        <w:ind w:left="1440" w:hanging="360"/>
      </w:pPr>
      <w:rPr>
        <w:rFonts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2ECF6E85"/>
    <w:multiLevelType w:val="hybridMultilevel"/>
    <w:tmpl w:val="9A5E7988"/>
    <w:lvl w:ilvl="0" w:tplc="04140017">
      <w:start w:val="1"/>
      <w:numFmt w:val="lowerLetter"/>
      <w:lvlText w:val="%1)"/>
      <w:lvlJc w:val="left"/>
      <w:pPr>
        <w:ind w:left="1072" w:hanging="363"/>
      </w:pPr>
      <w:rPr>
        <w:rFonts w:hint="default"/>
      </w:rPr>
    </w:lvl>
    <w:lvl w:ilvl="1" w:tplc="04140003" w:tentative="1">
      <w:start w:val="1"/>
      <w:numFmt w:val="bullet"/>
      <w:lvlText w:val="o"/>
      <w:lvlJc w:val="left"/>
      <w:pPr>
        <w:ind w:left="1792" w:hanging="360"/>
      </w:pPr>
      <w:rPr>
        <w:rFonts w:ascii="Courier New" w:hAnsi="Courier New" w:cs="Courier New" w:hint="default"/>
      </w:rPr>
    </w:lvl>
    <w:lvl w:ilvl="2" w:tplc="04140005" w:tentative="1">
      <w:start w:val="1"/>
      <w:numFmt w:val="bullet"/>
      <w:lvlText w:val=""/>
      <w:lvlJc w:val="left"/>
      <w:pPr>
        <w:ind w:left="2512" w:hanging="360"/>
      </w:pPr>
      <w:rPr>
        <w:rFonts w:ascii="Wingdings" w:hAnsi="Wingdings" w:hint="default"/>
      </w:rPr>
    </w:lvl>
    <w:lvl w:ilvl="3" w:tplc="04140001" w:tentative="1">
      <w:start w:val="1"/>
      <w:numFmt w:val="bullet"/>
      <w:lvlText w:val=""/>
      <w:lvlJc w:val="left"/>
      <w:pPr>
        <w:ind w:left="3232" w:hanging="360"/>
      </w:pPr>
      <w:rPr>
        <w:rFonts w:ascii="Symbol" w:hAnsi="Symbol" w:hint="default"/>
      </w:rPr>
    </w:lvl>
    <w:lvl w:ilvl="4" w:tplc="04140003" w:tentative="1">
      <w:start w:val="1"/>
      <w:numFmt w:val="bullet"/>
      <w:lvlText w:val="o"/>
      <w:lvlJc w:val="left"/>
      <w:pPr>
        <w:ind w:left="3952" w:hanging="360"/>
      </w:pPr>
      <w:rPr>
        <w:rFonts w:ascii="Courier New" w:hAnsi="Courier New" w:cs="Courier New" w:hint="default"/>
      </w:rPr>
    </w:lvl>
    <w:lvl w:ilvl="5" w:tplc="04140005" w:tentative="1">
      <w:start w:val="1"/>
      <w:numFmt w:val="bullet"/>
      <w:lvlText w:val=""/>
      <w:lvlJc w:val="left"/>
      <w:pPr>
        <w:ind w:left="4672" w:hanging="360"/>
      </w:pPr>
      <w:rPr>
        <w:rFonts w:ascii="Wingdings" w:hAnsi="Wingdings" w:hint="default"/>
      </w:rPr>
    </w:lvl>
    <w:lvl w:ilvl="6" w:tplc="04140001" w:tentative="1">
      <w:start w:val="1"/>
      <w:numFmt w:val="bullet"/>
      <w:lvlText w:val=""/>
      <w:lvlJc w:val="left"/>
      <w:pPr>
        <w:ind w:left="5392" w:hanging="360"/>
      </w:pPr>
      <w:rPr>
        <w:rFonts w:ascii="Symbol" w:hAnsi="Symbol" w:hint="default"/>
      </w:rPr>
    </w:lvl>
    <w:lvl w:ilvl="7" w:tplc="04140003" w:tentative="1">
      <w:start w:val="1"/>
      <w:numFmt w:val="bullet"/>
      <w:lvlText w:val="o"/>
      <w:lvlJc w:val="left"/>
      <w:pPr>
        <w:ind w:left="6112" w:hanging="360"/>
      </w:pPr>
      <w:rPr>
        <w:rFonts w:ascii="Courier New" w:hAnsi="Courier New" w:cs="Courier New" w:hint="default"/>
      </w:rPr>
    </w:lvl>
    <w:lvl w:ilvl="8" w:tplc="04140005" w:tentative="1">
      <w:start w:val="1"/>
      <w:numFmt w:val="bullet"/>
      <w:lvlText w:val=""/>
      <w:lvlJc w:val="left"/>
      <w:pPr>
        <w:ind w:left="6832" w:hanging="360"/>
      </w:pPr>
      <w:rPr>
        <w:rFonts w:ascii="Wingdings" w:hAnsi="Wingdings" w:hint="default"/>
      </w:rPr>
    </w:lvl>
  </w:abstractNum>
  <w:abstractNum w:abstractNumId="7">
    <w:nsid w:val="33AB6ACE"/>
    <w:multiLevelType w:val="hybridMultilevel"/>
    <w:tmpl w:val="743EE87A"/>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8">
    <w:nsid w:val="3DF52F3F"/>
    <w:multiLevelType w:val="hybridMultilevel"/>
    <w:tmpl w:val="8AE8548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48936608"/>
    <w:multiLevelType w:val="hybridMultilevel"/>
    <w:tmpl w:val="D458B2C6"/>
    <w:lvl w:ilvl="0" w:tplc="0414000F">
      <w:start w:val="1"/>
      <w:numFmt w:val="decimal"/>
      <w:lvlText w:val="%1."/>
      <w:lvlJc w:val="left"/>
      <w:pPr>
        <w:ind w:left="363" w:hanging="360"/>
      </w:pPr>
    </w:lvl>
    <w:lvl w:ilvl="1" w:tplc="04140019" w:tentative="1">
      <w:start w:val="1"/>
      <w:numFmt w:val="lowerLetter"/>
      <w:lvlText w:val="%2."/>
      <w:lvlJc w:val="left"/>
      <w:pPr>
        <w:ind w:left="1083" w:hanging="360"/>
      </w:pPr>
    </w:lvl>
    <w:lvl w:ilvl="2" w:tplc="0414001B" w:tentative="1">
      <w:start w:val="1"/>
      <w:numFmt w:val="lowerRoman"/>
      <w:lvlText w:val="%3."/>
      <w:lvlJc w:val="right"/>
      <w:pPr>
        <w:ind w:left="1803" w:hanging="180"/>
      </w:pPr>
    </w:lvl>
    <w:lvl w:ilvl="3" w:tplc="0414000F" w:tentative="1">
      <w:start w:val="1"/>
      <w:numFmt w:val="decimal"/>
      <w:lvlText w:val="%4."/>
      <w:lvlJc w:val="left"/>
      <w:pPr>
        <w:ind w:left="2523" w:hanging="360"/>
      </w:pPr>
    </w:lvl>
    <w:lvl w:ilvl="4" w:tplc="04140019" w:tentative="1">
      <w:start w:val="1"/>
      <w:numFmt w:val="lowerLetter"/>
      <w:lvlText w:val="%5."/>
      <w:lvlJc w:val="left"/>
      <w:pPr>
        <w:ind w:left="3243" w:hanging="360"/>
      </w:pPr>
    </w:lvl>
    <w:lvl w:ilvl="5" w:tplc="0414001B" w:tentative="1">
      <w:start w:val="1"/>
      <w:numFmt w:val="lowerRoman"/>
      <w:lvlText w:val="%6."/>
      <w:lvlJc w:val="right"/>
      <w:pPr>
        <w:ind w:left="3963" w:hanging="180"/>
      </w:pPr>
    </w:lvl>
    <w:lvl w:ilvl="6" w:tplc="0414000F" w:tentative="1">
      <w:start w:val="1"/>
      <w:numFmt w:val="decimal"/>
      <w:lvlText w:val="%7."/>
      <w:lvlJc w:val="left"/>
      <w:pPr>
        <w:ind w:left="4683" w:hanging="360"/>
      </w:pPr>
    </w:lvl>
    <w:lvl w:ilvl="7" w:tplc="04140019" w:tentative="1">
      <w:start w:val="1"/>
      <w:numFmt w:val="lowerLetter"/>
      <w:lvlText w:val="%8."/>
      <w:lvlJc w:val="left"/>
      <w:pPr>
        <w:ind w:left="5403" w:hanging="360"/>
      </w:pPr>
    </w:lvl>
    <w:lvl w:ilvl="8" w:tplc="0414001B" w:tentative="1">
      <w:start w:val="1"/>
      <w:numFmt w:val="lowerRoman"/>
      <w:lvlText w:val="%9."/>
      <w:lvlJc w:val="right"/>
      <w:pPr>
        <w:ind w:left="6123" w:hanging="180"/>
      </w:pPr>
    </w:lvl>
  </w:abstractNum>
  <w:abstractNum w:abstractNumId="10">
    <w:nsid w:val="4C0C3D6B"/>
    <w:multiLevelType w:val="hybridMultilevel"/>
    <w:tmpl w:val="077C8EFC"/>
    <w:lvl w:ilvl="0" w:tplc="65F4D382">
      <w:start w:val="20"/>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4C6A316C"/>
    <w:multiLevelType w:val="hybridMultilevel"/>
    <w:tmpl w:val="8362E43A"/>
    <w:lvl w:ilvl="0" w:tplc="5C0CD622">
      <w:start w:val="18"/>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51432EF9"/>
    <w:multiLevelType w:val="hybridMultilevel"/>
    <w:tmpl w:val="7EBEBB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646E170F"/>
    <w:multiLevelType w:val="hybridMultilevel"/>
    <w:tmpl w:val="9CE6CDDE"/>
    <w:lvl w:ilvl="0" w:tplc="0DB670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65B003E"/>
    <w:multiLevelType w:val="hybridMultilevel"/>
    <w:tmpl w:val="0F8E38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nsid w:val="69640111"/>
    <w:multiLevelType w:val="hybridMultilevel"/>
    <w:tmpl w:val="9A5E7988"/>
    <w:lvl w:ilvl="0" w:tplc="04140017">
      <w:start w:val="1"/>
      <w:numFmt w:val="lowerLetter"/>
      <w:lvlText w:val="%1)"/>
      <w:lvlJc w:val="left"/>
      <w:pPr>
        <w:ind w:left="1072" w:hanging="363"/>
      </w:pPr>
      <w:rPr>
        <w:rFonts w:hint="default"/>
      </w:rPr>
    </w:lvl>
    <w:lvl w:ilvl="1" w:tplc="04140003" w:tentative="1">
      <w:start w:val="1"/>
      <w:numFmt w:val="bullet"/>
      <w:lvlText w:val="o"/>
      <w:lvlJc w:val="left"/>
      <w:pPr>
        <w:ind w:left="1792" w:hanging="360"/>
      </w:pPr>
      <w:rPr>
        <w:rFonts w:ascii="Courier New" w:hAnsi="Courier New" w:cs="Courier New" w:hint="default"/>
      </w:rPr>
    </w:lvl>
    <w:lvl w:ilvl="2" w:tplc="04140005" w:tentative="1">
      <w:start w:val="1"/>
      <w:numFmt w:val="bullet"/>
      <w:lvlText w:val=""/>
      <w:lvlJc w:val="left"/>
      <w:pPr>
        <w:ind w:left="2512" w:hanging="360"/>
      </w:pPr>
      <w:rPr>
        <w:rFonts w:ascii="Wingdings" w:hAnsi="Wingdings" w:hint="default"/>
      </w:rPr>
    </w:lvl>
    <w:lvl w:ilvl="3" w:tplc="04140001" w:tentative="1">
      <w:start w:val="1"/>
      <w:numFmt w:val="bullet"/>
      <w:lvlText w:val=""/>
      <w:lvlJc w:val="left"/>
      <w:pPr>
        <w:ind w:left="3232" w:hanging="360"/>
      </w:pPr>
      <w:rPr>
        <w:rFonts w:ascii="Symbol" w:hAnsi="Symbol" w:hint="default"/>
      </w:rPr>
    </w:lvl>
    <w:lvl w:ilvl="4" w:tplc="04140003" w:tentative="1">
      <w:start w:val="1"/>
      <w:numFmt w:val="bullet"/>
      <w:lvlText w:val="o"/>
      <w:lvlJc w:val="left"/>
      <w:pPr>
        <w:ind w:left="3952" w:hanging="360"/>
      </w:pPr>
      <w:rPr>
        <w:rFonts w:ascii="Courier New" w:hAnsi="Courier New" w:cs="Courier New" w:hint="default"/>
      </w:rPr>
    </w:lvl>
    <w:lvl w:ilvl="5" w:tplc="04140005" w:tentative="1">
      <w:start w:val="1"/>
      <w:numFmt w:val="bullet"/>
      <w:lvlText w:val=""/>
      <w:lvlJc w:val="left"/>
      <w:pPr>
        <w:ind w:left="4672" w:hanging="360"/>
      </w:pPr>
      <w:rPr>
        <w:rFonts w:ascii="Wingdings" w:hAnsi="Wingdings" w:hint="default"/>
      </w:rPr>
    </w:lvl>
    <w:lvl w:ilvl="6" w:tplc="04140001" w:tentative="1">
      <w:start w:val="1"/>
      <w:numFmt w:val="bullet"/>
      <w:lvlText w:val=""/>
      <w:lvlJc w:val="left"/>
      <w:pPr>
        <w:ind w:left="5392" w:hanging="360"/>
      </w:pPr>
      <w:rPr>
        <w:rFonts w:ascii="Symbol" w:hAnsi="Symbol" w:hint="default"/>
      </w:rPr>
    </w:lvl>
    <w:lvl w:ilvl="7" w:tplc="04140003" w:tentative="1">
      <w:start w:val="1"/>
      <w:numFmt w:val="bullet"/>
      <w:lvlText w:val="o"/>
      <w:lvlJc w:val="left"/>
      <w:pPr>
        <w:ind w:left="6112" w:hanging="360"/>
      </w:pPr>
      <w:rPr>
        <w:rFonts w:ascii="Courier New" w:hAnsi="Courier New" w:cs="Courier New" w:hint="default"/>
      </w:rPr>
    </w:lvl>
    <w:lvl w:ilvl="8" w:tplc="04140005" w:tentative="1">
      <w:start w:val="1"/>
      <w:numFmt w:val="bullet"/>
      <w:lvlText w:val=""/>
      <w:lvlJc w:val="left"/>
      <w:pPr>
        <w:ind w:left="6832" w:hanging="360"/>
      </w:pPr>
      <w:rPr>
        <w:rFonts w:ascii="Wingdings" w:hAnsi="Wingdings" w:hint="default"/>
      </w:rPr>
    </w:lvl>
  </w:abstractNum>
  <w:abstractNum w:abstractNumId="16">
    <w:nsid w:val="72196FE1"/>
    <w:multiLevelType w:val="hybridMultilevel"/>
    <w:tmpl w:val="77E64F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7891334A"/>
    <w:multiLevelType w:val="hybridMultilevel"/>
    <w:tmpl w:val="C0E0F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7C3968C4"/>
    <w:multiLevelType w:val="hybridMultilevel"/>
    <w:tmpl w:val="E79C0B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6"/>
  </w:num>
  <w:num w:numId="4">
    <w:abstractNumId w:val="12"/>
  </w:num>
  <w:num w:numId="5">
    <w:abstractNumId w:val="9"/>
  </w:num>
  <w:num w:numId="6">
    <w:abstractNumId w:val="5"/>
  </w:num>
  <w:num w:numId="7">
    <w:abstractNumId w:val="11"/>
  </w:num>
  <w:num w:numId="8">
    <w:abstractNumId w:val="10"/>
  </w:num>
  <w:num w:numId="9">
    <w:abstractNumId w:val="2"/>
  </w:num>
  <w:num w:numId="10">
    <w:abstractNumId w:val="18"/>
  </w:num>
  <w:num w:numId="11">
    <w:abstractNumId w:val="0"/>
  </w:num>
  <w:num w:numId="12">
    <w:abstractNumId w:val="7"/>
  </w:num>
  <w:num w:numId="13">
    <w:abstractNumId w:val="1"/>
  </w:num>
  <w:num w:numId="14">
    <w:abstractNumId w:val="8"/>
  </w:num>
  <w:num w:numId="15">
    <w:abstractNumId w:val="4"/>
  </w:num>
  <w:num w:numId="16">
    <w:abstractNumId w:val="3"/>
  </w:num>
  <w:num w:numId="17">
    <w:abstractNumId w:val="15"/>
  </w:num>
  <w:num w:numId="18">
    <w:abstractNumId w:val="6"/>
  </w:num>
  <w:num w:numId="1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3D"/>
    <w:rsid w:val="000071D8"/>
    <w:rsid w:val="00011357"/>
    <w:rsid w:val="00012475"/>
    <w:rsid w:val="00013C71"/>
    <w:rsid w:val="000156C5"/>
    <w:rsid w:val="00016359"/>
    <w:rsid w:val="0002007F"/>
    <w:rsid w:val="0003040C"/>
    <w:rsid w:val="0003742A"/>
    <w:rsid w:val="0003781C"/>
    <w:rsid w:val="000508B0"/>
    <w:rsid w:val="00051E1F"/>
    <w:rsid w:val="00054886"/>
    <w:rsid w:val="00056D48"/>
    <w:rsid w:val="00070037"/>
    <w:rsid w:val="00071BBE"/>
    <w:rsid w:val="00072316"/>
    <w:rsid w:val="00073D99"/>
    <w:rsid w:val="00075194"/>
    <w:rsid w:val="000810F6"/>
    <w:rsid w:val="00081BB5"/>
    <w:rsid w:val="00083BE0"/>
    <w:rsid w:val="00086B5F"/>
    <w:rsid w:val="000A2B9B"/>
    <w:rsid w:val="000B6C6A"/>
    <w:rsid w:val="000C1003"/>
    <w:rsid w:val="000C3EEB"/>
    <w:rsid w:val="000D5599"/>
    <w:rsid w:val="000E0D3C"/>
    <w:rsid w:val="000E1517"/>
    <w:rsid w:val="000E6D8E"/>
    <w:rsid w:val="000E714A"/>
    <w:rsid w:val="0010086C"/>
    <w:rsid w:val="001009A9"/>
    <w:rsid w:val="00106F94"/>
    <w:rsid w:val="001167C2"/>
    <w:rsid w:val="00124CC9"/>
    <w:rsid w:val="00126095"/>
    <w:rsid w:val="00144637"/>
    <w:rsid w:val="001510A5"/>
    <w:rsid w:val="00152436"/>
    <w:rsid w:val="00157328"/>
    <w:rsid w:val="00157BE3"/>
    <w:rsid w:val="00174D76"/>
    <w:rsid w:val="001835C3"/>
    <w:rsid w:val="00185C34"/>
    <w:rsid w:val="00194649"/>
    <w:rsid w:val="00196D3D"/>
    <w:rsid w:val="001A02C8"/>
    <w:rsid w:val="001A28CE"/>
    <w:rsid w:val="001A7CF7"/>
    <w:rsid w:val="001B1AF1"/>
    <w:rsid w:val="001C1CEF"/>
    <w:rsid w:val="001C7DF6"/>
    <w:rsid w:val="001D3DBD"/>
    <w:rsid w:val="001D5DEA"/>
    <w:rsid w:val="001E3E0D"/>
    <w:rsid w:val="001E50A7"/>
    <w:rsid w:val="001F05B4"/>
    <w:rsid w:val="00202FAE"/>
    <w:rsid w:val="00203BE0"/>
    <w:rsid w:val="00212EAC"/>
    <w:rsid w:val="00214B8D"/>
    <w:rsid w:val="00216165"/>
    <w:rsid w:val="0021737C"/>
    <w:rsid w:val="002362BB"/>
    <w:rsid w:val="00241ADF"/>
    <w:rsid w:val="002444FB"/>
    <w:rsid w:val="0024746C"/>
    <w:rsid w:val="00254287"/>
    <w:rsid w:val="002548D1"/>
    <w:rsid w:val="00260E37"/>
    <w:rsid w:val="00262ACC"/>
    <w:rsid w:val="002679D0"/>
    <w:rsid w:val="00272E52"/>
    <w:rsid w:val="00275722"/>
    <w:rsid w:val="002813A8"/>
    <w:rsid w:val="00290652"/>
    <w:rsid w:val="00290FDD"/>
    <w:rsid w:val="00291818"/>
    <w:rsid w:val="002926DC"/>
    <w:rsid w:val="002A2D87"/>
    <w:rsid w:val="002C68FA"/>
    <w:rsid w:val="002D3E66"/>
    <w:rsid w:val="002E3F21"/>
    <w:rsid w:val="002E44C7"/>
    <w:rsid w:val="00313995"/>
    <w:rsid w:val="0032079C"/>
    <w:rsid w:val="00321B71"/>
    <w:rsid w:val="00323374"/>
    <w:rsid w:val="003253AD"/>
    <w:rsid w:val="00325FEF"/>
    <w:rsid w:val="0033079D"/>
    <w:rsid w:val="00333A8A"/>
    <w:rsid w:val="00344168"/>
    <w:rsid w:val="0034760A"/>
    <w:rsid w:val="0034780D"/>
    <w:rsid w:val="00363E79"/>
    <w:rsid w:val="00374579"/>
    <w:rsid w:val="00380567"/>
    <w:rsid w:val="00381065"/>
    <w:rsid w:val="00381B09"/>
    <w:rsid w:val="00384A7F"/>
    <w:rsid w:val="0038740E"/>
    <w:rsid w:val="003906F7"/>
    <w:rsid w:val="00395847"/>
    <w:rsid w:val="003A3FAE"/>
    <w:rsid w:val="003A4F70"/>
    <w:rsid w:val="003A7E91"/>
    <w:rsid w:val="003B6BD1"/>
    <w:rsid w:val="003B6ECE"/>
    <w:rsid w:val="003C0F3C"/>
    <w:rsid w:val="003C19AF"/>
    <w:rsid w:val="003C1C26"/>
    <w:rsid w:val="003C352A"/>
    <w:rsid w:val="003C7445"/>
    <w:rsid w:val="003E334C"/>
    <w:rsid w:val="003E6D06"/>
    <w:rsid w:val="003F01FD"/>
    <w:rsid w:val="003F67A1"/>
    <w:rsid w:val="00400F2E"/>
    <w:rsid w:val="004013ED"/>
    <w:rsid w:val="00403643"/>
    <w:rsid w:val="0040432E"/>
    <w:rsid w:val="004061CD"/>
    <w:rsid w:val="00406538"/>
    <w:rsid w:val="004111D3"/>
    <w:rsid w:val="004176CC"/>
    <w:rsid w:val="00430104"/>
    <w:rsid w:val="004363C0"/>
    <w:rsid w:val="00445A3A"/>
    <w:rsid w:val="0045761B"/>
    <w:rsid w:val="00457E26"/>
    <w:rsid w:val="004618B7"/>
    <w:rsid w:val="004675AF"/>
    <w:rsid w:val="0047336C"/>
    <w:rsid w:val="00476C74"/>
    <w:rsid w:val="00492660"/>
    <w:rsid w:val="00494099"/>
    <w:rsid w:val="004A57DA"/>
    <w:rsid w:val="004C6643"/>
    <w:rsid w:val="004D1358"/>
    <w:rsid w:val="004D2436"/>
    <w:rsid w:val="004D62ED"/>
    <w:rsid w:val="004D6588"/>
    <w:rsid w:val="004E0A83"/>
    <w:rsid w:val="004E1321"/>
    <w:rsid w:val="004E151D"/>
    <w:rsid w:val="004F58D1"/>
    <w:rsid w:val="004F6D72"/>
    <w:rsid w:val="00500CD6"/>
    <w:rsid w:val="00503716"/>
    <w:rsid w:val="005056C6"/>
    <w:rsid w:val="0051117D"/>
    <w:rsid w:val="0051148F"/>
    <w:rsid w:val="00520F70"/>
    <w:rsid w:val="00522A02"/>
    <w:rsid w:val="00530908"/>
    <w:rsid w:val="005309FD"/>
    <w:rsid w:val="00535731"/>
    <w:rsid w:val="00536E04"/>
    <w:rsid w:val="0054002D"/>
    <w:rsid w:val="00541C72"/>
    <w:rsid w:val="00544712"/>
    <w:rsid w:val="005525C1"/>
    <w:rsid w:val="00552735"/>
    <w:rsid w:val="0055538F"/>
    <w:rsid w:val="00572A58"/>
    <w:rsid w:val="00583579"/>
    <w:rsid w:val="00584FD7"/>
    <w:rsid w:val="00587772"/>
    <w:rsid w:val="00591A95"/>
    <w:rsid w:val="005A1BF4"/>
    <w:rsid w:val="005A27EA"/>
    <w:rsid w:val="005A2BAC"/>
    <w:rsid w:val="005C6C66"/>
    <w:rsid w:val="005D16DA"/>
    <w:rsid w:val="005D2EE2"/>
    <w:rsid w:val="005D7063"/>
    <w:rsid w:val="005E4E0B"/>
    <w:rsid w:val="005F3544"/>
    <w:rsid w:val="005F4B34"/>
    <w:rsid w:val="00602346"/>
    <w:rsid w:val="00611A9F"/>
    <w:rsid w:val="00613883"/>
    <w:rsid w:val="00625DFD"/>
    <w:rsid w:val="0063635D"/>
    <w:rsid w:val="006517B1"/>
    <w:rsid w:val="00654235"/>
    <w:rsid w:val="00663136"/>
    <w:rsid w:val="00665108"/>
    <w:rsid w:val="006667C9"/>
    <w:rsid w:val="0066743B"/>
    <w:rsid w:val="00673AE9"/>
    <w:rsid w:val="006772DB"/>
    <w:rsid w:val="00681012"/>
    <w:rsid w:val="00684FF7"/>
    <w:rsid w:val="006934DC"/>
    <w:rsid w:val="006C361D"/>
    <w:rsid w:val="006D05EB"/>
    <w:rsid w:val="006D2798"/>
    <w:rsid w:val="006E373F"/>
    <w:rsid w:val="006E5756"/>
    <w:rsid w:val="006E750E"/>
    <w:rsid w:val="006F296F"/>
    <w:rsid w:val="006F31FE"/>
    <w:rsid w:val="006F40BD"/>
    <w:rsid w:val="0070185E"/>
    <w:rsid w:val="00702771"/>
    <w:rsid w:val="007078EB"/>
    <w:rsid w:val="0072387A"/>
    <w:rsid w:val="00732C18"/>
    <w:rsid w:val="00734792"/>
    <w:rsid w:val="00736169"/>
    <w:rsid w:val="00736D1B"/>
    <w:rsid w:val="00740013"/>
    <w:rsid w:val="007407A3"/>
    <w:rsid w:val="00740A52"/>
    <w:rsid w:val="00743B51"/>
    <w:rsid w:val="00743DDA"/>
    <w:rsid w:val="00744937"/>
    <w:rsid w:val="00745957"/>
    <w:rsid w:val="00746B36"/>
    <w:rsid w:val="00747FAF"/>
    <w:rsid w:val="00761ECD"/>
    <w:rsid w:val="007634B0"/>
    <w:rsid w:val="00767BB5"/>
    <w:rsid w:val="007701EE"/>
    <w:rsid w:val="0078041D"/>
    <w:rsid w:val="00782B88"/>
    <w:rsid w:val="007913CA"/>
    <w:rsid w:val="0079489C"/>
    <w:rsid w:val="00795EDC"/>
    <w:rsid w:val="007A377F"/>
    <w:rsid w:val="007B3846"/>
    <w:rsid w:val="007B43CC"/>
    <w:rsid w:val="007B5547"/>
    <w:rsid w:val="007B6423"/>
    <w:rsid w:val="007C2550"/>
    <w:rsid w:val="007C2D22"/>
    <w:rsid w:val="007E2284"/>
    <w:rsid w:val="007E6835"/>
    <w:rsid w:val="007F1C06"/>
    <w:rsid w:val="007F376C"/>
    <w:rsid w:val="00802B1B"/>
    <w:rsid w:val="00803F90"/>
    <w:rsid w:val="0080601F"/>
    <w:rsid w:val="0081631C"/>
    <w:rsid w:val="00820766"/>
    <w:rsid w:val="008232D3"/>
    <w:rsid w:val="00823748"/>
    <w:rsid w:val="0082390C"/>
    <w:rsid w:val="00825955"/>
    <w:rsid w:val="008425CE"/>
    <w:rsid w:val="00843983"/>
    <w:rsid w:val="00854B15"/>
    <w:rsid w:val="008637D1"/>
    <w:rsid w:val="00864DCF"/>
    <w:rsid w:val="008717D9"/>
    <w:rsid w:val="008717E6"/>
    <w:rsid w:val="00874433"/>
    <w:rsid w:val="00881514"/>
    <w:rsid w:val="008A62C4"/>
    <w:rsid w:val="008B07C7"/>
    <w:rsid w:val="008C008F"/>
    <w:rsid w:val="008C04EF"/>
    <w:rsid w:val="008C6C80"/>
    <w:rsid w:val="008C70B6"/>
    <w:rsid w:val="008D013D"/>
    <w:rsid w:val="008D44FC"/>
    <w:rsid w:val="008E0586"/>
    <w:rsid w:val="008F7E29"/>
    <w:rsid w:val="00907CF4"/>
    <w:rsid w:val="00910E1D"/>
    <w:rsid w:val="00921468"/>
    <w:rsid w:val="00927790"/>
    <w:rsid w:val="009349B5"/>
    <w:rsid w:val="00936CFA"/>
    <w:rsid w:val="0093705A"/>
    <w:rsid w:val="00937436"/>
    <w:rsid w:val="00943B90"/>
    <w:rsid w:val="009445E8"/>
    <w:rsid w:val="009557AF"/>
    <w:rsid w:val="0095729D"/>
    <w:rsid w:val="00967F27"/>
    <w:rsid w:val="00972E9B"/>
    <w:rsid w:val="00975938"/>
    <w:rsid w:val="0098104F"/>
    <w:rsid w:val="00983775"/>
    <w:rsid w:val="009915D1"/>
    <w:rsid w:val="0099254B"/>
    <w:rsid w:val="009A045D"/>
    <w:rsid w:val="009B47DB"/>
    <w:rsid w:val="009C0DCA"/>
    <w:rsid w:val="009C4AEF"/>
    <w:rsid w:val="009E0AFE"/>
    <w:rsid w:val="009E6556"/>
    <w:rsid w:val="009E6DA8"/>
    <w:rsid w:val="009E7FEB"/>
    <w:rsid w:val="009F0914"/>
    <w:rsid w:val="009F25D2"/>
    <w:rsid w:val="00A06048"/>
    <w:rsid w:val="00A16865"/>
    <w:rsid w:val="00A22CF8"/>
    <w:rsid w:val="00A247FA"/>
    <w:rsid w:val="00A31002"/>
    <w:rsid w:val="00A311BA"/>
    <w:rsid w:val="00A36186"/>
    <w:rsid w:val="00A4087F"/>
    <w:rsid w:val="00A447AF"/>
    <w:rsid w:val="00A5034C"/>
    <w:rsid w:val="00A51093"/>
    <w:rsid w:val="00A54E78"/>
    <w:rsid w:val="00A62A3E"/>
    <w:rsid w:val="00A63001"/>
    <w:rsid w:val="00A709EC"/>
    <w:rsid w:val="00A716A8"/>
    <w:rsid w:val="00A71BCC"/>
    <w:rsid w:val="00A76F15"/>
    <w:rsid w:val="00A848B3"/>
    <w:rsid w:val="00A9728A"/>
    <w:rsid w:val="00AA49ED"/>
    <w:rsid w:val="00AA6BAB"/>
    <w:rsid w:val="00AC2B5E"/>
    <w:rsid w:val="00AD2A7D"/>
    <w:rsid w:val="00AE4757"/>
    <w:rsid w:val="00AE73F7"/>
    <w:rsid w:val="00AF5586"/>
    <w:rsid w:val="00B0581E"/>
    <w:rsid w:val="00B06A54"/>
    <w:rsid w:val="00B17A6B"/>
    <w:rsid w:val="00B20A2B"/>
    <w:rsid w:val="00B250C3"/>
    <w:rsid w:val="00B25711"/>
    <w:rsid w:val="00B34B49"/>
    <w:rsid w:val="00B46CF6"/>
    <w:rsid w:val="00B509B1"/>
    <w:rsid w:val="00B53CE2"/>
    <w:rsid w:val="00B55B80"/>
    <w:rsid w:val="00B568AF"/>
    <w:rsid w:val="00B62016"/>
    <w:rsid w:val="00B65858"/>
    <w:rsid w:val="00B67D46"/>
    <w:rsid w:val="00B75049"/>
    <w:rsid w:val="00B82BBA"/>
    <w:rsid w:val="00B841BE"/>
    <w:rsid w:val="00B84215"/>
    <w:rsid w:val="00B84453"/>
    <w:rsid w:val="00BA754C"/>
    <w:rsid w:val="00BB341F"/>
    <w:rsid w:val="00BB7E29"/>
    <w:rsid w:val="00BC17F4"/>
    <w:rsid w:val="00BC643F"/>
    <w:rsid w:val="00BC7165"/>
    <w:rsid w:val="00BC78E8"/>
    <w:rsid w:val="00BD2EB4"/>
    <w:rsid w:val="00BE2CB3"/>
    <w:rsid w:val="00BE3CF6"/>
    <w:rsid w:val="00BE5314"/>
    <w:rsid w:val="00BE5D75"/>
    <w:rsid w:val="00C02869"/>
    <w:rsid w:val="00C14C0E"/>
    <w:rsid w:val="00C21494"/>
    <w:rsid w:val="00C2313D"/>
    <w:rsid w:val="00C231B1"/>
    <w:rsid w:val="00C248CA"/>
    <w:rsid w:val="00C302A7"/>
    <w:rsid w:val="00C3086C"/>
    <w:rsid w:val="00C34E8C"/>
    <w:rsid w:val="00C52744"/>
    <w:rsid w:val="00C67CFC"/>
    <w:rsid w:val="00C70FF3"/>
    <w:rsid w:val="00C71ADE"/>
    <w:rsid w:val="00C73229"/>
    <w:rsid w:val="00C74E8E"/>
    <w:rsid w:val="00C77DB5"/>
    <w:rsid w:val="00C80AD6"/>
    <w:rsid w:val="00C8641C"/>
    <w:rsid w:val="00C86D83"/>
    <w:rsid w:val="00C94378"/>
    <w:rsid w:val="00C96673"/>
    <w:rsid w:val="00CA3C31"/>
    <w:rsid w:val="00CB280F"/>
    <w:rsid w:val="00CB2FE3"/>
    <w:rsid w:val="00CB3BAF"/>
    <w:rsid w:val="00CB622E"/>
    <w:rsid w:val="00CD40CE"/>
    <w:rsid w:val="00CE1C75"/>
    <w:rsid w:val="00CE2638"/>
    <w:rsid w:val="00CE4BBD"/>
    <w:rsid w:val="00CE510E"/>
    <w:rsid w:val="00CE61DB"/>
    <w:rsid w:val="00CF6B10"/>
    <w:rsid w:val="00CF7926"/>
    <w:rsid w:val="00D010F8"/>
    <w:rsid w:val="00D04EB4"/>
    <w:rsid w:val="00D1188E"/>
    <w:rsid w:val="00D13586"/>
    <w:rsid w:val="00D1364F"/>
    <w:rsid w:val="00D14686"/>
    <w:rsid w:val="00D14FD0"/>
    <w:rsid w:val="00D22ED0"/>
    <w:rsid w:val="00D31B2B"/>
    <w:rsid w:val="00D33311"/>
    <w:rsid w:val="00D45911"/>
    <w:rsid w:val="00D513E7"/>
    <w:rsid w:val="00D51A26"/>
    <w:rsid w:val="00D51B22"/>
    <w:rsid w:val="00D566DF"/>
    <w:rsid w:val="00D61594"/>
    <w:rsid w:val="00D64C75"/>
    <w:rsid w:val="00D715A8"/>
    <w:rsid w:val="00D726FC"/>
    <w:rsid w:val="00D73B66"/>
    <w:rsid w:val="00D765FB"/>
    <w:rsid w:val="00D87147"/>
    <w:rsid w:val="00D87EC0"/>
    <w:rsid w:val="00D9105E"/>
    <w:rsid w:val="00D91E64"/>
    <w:rsid w:val="00D9273C"/>
    <w:rsid w:val="00DA3C36"/>
    <w:rsid w:val="00DA6FF8"/>
    <w:rsid w:val="00DB6A7A"/>
    <w:rsid w:val="00DB7858"/>
    <w:rsid w:val="00DC5641"/>
    <w:rsid w:val="00DC75B4"/>
    <w:rsid w:val="00DD04D2"/>
    <w:rsid w:val="00DD60AE"/>
    <w:rsid w:val="00DE10CD"/>
    <w:rsid w:val="00DF01E2"/>
    <w:rsid w:val="00DF032D"/>
    <w:rsid w:val="00DF49A0"/>
    <w:rsid w:val="00DF68A8"/>
    <w:rsid w:val="00DF79FF"/>
    <w:rsid w:val="00E01D2E"/>
    <w:rsid w:val="00E04E93"/>
    <w:rsid w:val="00E0670C"/>
    <w:rsid w:val="00E06944"/>
    <w:rsid w:val="00E134CA"/>
    <w:rsid w:val="00E239B6"/>
    <w:rsid w:val="00E2762D"/>
    <w:rsid w:val="00E34636"/>
    <w:rsid w:val="00E54919"/>
    <w:rsid w:val="00E640DA"/>
    <w:rsid w:val="00E66934"/>
    <w:rsid w:val="00E66B13"/>
    <w:rsid w:val="00E67176"/>
    <w:rsid w:val="00E74B8E"/>
    <w:rsid w:val="00E771B0"/>
    <w:rsid w:val="00E8249E"/>
    <w:rsid w:val="00E82CED"/>
    <w:rsid w:val="00E85493"/>
    <w:rsid w:val="00E854DD"/>
    <w:rsid w:val="00E85669"/>
    <w:rsid w:val="00E85ED8"/>
    <w:rsid w:val="00EA51C6"/>
    <w:rsid w:val="00EE530A"/>
    <w:rsid w:val="00EE5750"/>
    <w:rsid w:val="00EF17E0"/>
    <w:rsid w:val="00EF43C3"/>
    <w:rsid w:val="00F02C62"/>
    <w:rsid w:val="00F0640E"/>
    <w:rsid w:val="00F16CB0"/>
    <w:rsid w:val="00F17391"/>
    <w:rsid w:val="00F209F4"/>
    <w:rsid w:val="00F440AB"/>
    <w:rsid w:val="00F55A82"/>
    <w:rsid w:val="00F62AF0"/>
    <w:rsid w:val="00F6509C"/>
    <w:rsid w:val="00F65A06"/>
    <w:rsid w:val="00F75047"/>
    <w:rsid w:val="00F818F6"/>
    <w:rsid w:val="00F916DD"/>
    <w:rsid w:val="00F92137"/>
    <w:rsid w:val="00F95A2A"/>
    <w:rsid w:val="00FA2103"/>
    <w:rsid w:val="00FB5829"/>
    <w:rsid w:val="00FC19C9"/>
    <w:rsid w:val="00FC1AAC"/>
    <w:rsid w:val="00FE672C"/>
    <w:rsid w:val="00FF24AE"/>
    <w:rsid w:val="00FF693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AD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B4"/>
    <w:rPr>
      <w:rFonts w:ascii="Calibri" w:hAnsi="Calibri"/>
      <w:lang w:val="en-GB"/>
    </w:rPr>
  </w:style>
  <w:style w:type="paragraph" w:styleId="Heading1">
    <w:name w:val="heading 1"/>
    <w:basedOn w:val="Heading21"/>
    <w:next w:val="Normal"/>
    <w:link w:val="Heading1Char"/>
    <w:uiPriority w:val="9"/>
    <w:qFormat/>
    <w:rsid w:val="005A27EA"/>
    <w:pPr>
      <w:outlineLvl w:val="0"/>
    </w:pPr>
    <w:rPr>
      <w:rFonts w:ascii="Myriad Pro Light" w:eastAsiaTheme="majorEastAsia" w:hAnsi="Myriad Pro Light" w:cstheme="majorBidi"/>
      <w:b w:val="0"/>
      <w:color w:val="4F81BD" w:themeColor="accent1"/>
      <w:sz w:val="32"/>
      <w:szCs w:val="26"/>
    </w:rPr>
  </w:style>
  <w:style w:type="paragraph" w:styleId="Heading2">
    <w:name w:val="heading 2"/>
    <w:basedOn w:val="Heading21"/>
    <w:next w:val="Normal"/>
    <w:link w:val="Heading2Char"/>
    <w:uiPriority w:val="9"/>
    <w:unhideWhenUsed/>
    <w:qFormat/>
    <w:rsid w:val="00910E1D"/>
    <w:rPr>
      <w:rFonts w:ascii="Myriad Pro Light" w:hAnsi="Myriad Pro Light"/>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432E"/>
    <w:pPr>
      <w:pBdr>
        <w:bottom w:val="single" w:sz="8" w:space="4" w:color="000000" w:themeColor="text1"/>
      </w:pBdr>
      <w:spacing w:after="300" w:line="240" w:lineRule="auto"/>
      <w:contextualSpacing/>
    </w:pPr>
    <w:rPr>
      <w:rFonts w:eastAsiaTheme="majorEastAsia" w:cstheme="majorBidi"/>
      <w:color w:val="000000" w:themeColor="text1"/>
      <w:spacing w:val="5"/>
      <w:kern w:val="28"/>
      <w:sz w:val="56"/>
      <w:szCs w:val="52"/>
    </w:rPr>
  </w:style>
  <w:style w:type="character" w:customStyle="1" w:styleId="TitleChar">
    <w:name w:val="Title Char"/>
    <w:basedOn w:val="DefaultParagraphFont"/>
    <w:link w:val="Title"/>
    <w:uiPriority w:val="10"/>
    <w:rsid w:val="0040432E"/>
    <w:rPr>
      <w:rFonts w:ascii="Myriad Pro" w:eastAsiaTheme="majorEastAsia" w:hAnsi="Myriad Pro" w:cstheme="majorBidi"/>
      <w:color w:val="000000" w:themeColor="text1"/>
      <w:spacing w:val="5"/>
      <w:kern w:val="28"/>
      <w:sz w:val="56"/>
      <w:szCs w:val="52"/>
      <w:lang w:val="en-GB"/>
    </w:rPr>
  </w:style>
  <w:style w:type="paragraph" w:styleId="ListParagraph">
    <w:name w:val="List Paragraph"/>
    <w:basedOn w:val="Normal"/>
    <w:uiPriority w:val="99"/>
    <w:qFormat/>
    <w:rsid w:val="00F95A2A"/>
    <w:pPr>
      <w:ind w:left="720"/>
      <w:contextualSpacing/>
    </w:pPr>
  </w:style>
  <w:style w:type="character" w:customStyle="1" w:styleId="Heading1Char">
    <w:name w:val="Heading 1 Char"/>
    <w:basedOn w:val="DefaultParagraphFont"/>
    <w:link w:val="Heading1"/>
    <w:uiPriority w:val="9"/>
    <w:rsid w:val="005A27EA"/>
    <w:rPr>
      <w:rFonts w:ascii="Myriad Pro Light" w:eastAsiaTheme="majorEastAsia" w:hAnsi="Myriad Pro Light" w:cstheme="majorBidi"/>
      <w:bCs/>
      <w:color w:val="4F81BD" w:themeColor="accent1"/>
      <w:sz w:val="32"/>
      <w:szCs w:val="26"/>
      <w:lang w:val="en-GB"/>
    </w:rPr>
  </w:style>
  <w:style w:type="character" w:customStyle="1" w:styleId="Heading2Char">
    <w:name w:val="Heading 2 Char"/>
    <w:basedOn w:val="DefaultParagraphFont"/>
    <w:link w:val="Heading2"/>
    <w:uiPriority w:val="9"/>
    <w:rsid w:val="00910E1D"/>
    <w:rPr>
      <w:rFonts w:ascii="Myriad Pro Light" w:eastAsia="Times New Roman" w:hAnsi="Myriad Pro Light" w:cs="Times New Roman"/>
      <w:bCs/>
      <w:color w:val="4F81BD"/>
      <w:lang w:val="en-GB"/>
    </w:rPr>
  </w:style>
  <w:style w:type="paragraph" w:styleId="BalloonText">
    <w:name w:val="Balloon Text"/>
    <w:basedOn w:val="Normal"/>
    <w:link w:val="BalloonTextChar"/>
    <w:uiPriority w:val="99"/>
    <w:semiHidden/>
    <w:unhideWhenUsed/>
    <w:rsid w:val="00E8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4DD"/>
    <w:rPr>
      <w:rFonts w:ascii="Tahoma" w:hAnsi="Tahoma" w:cs="Tahoma"/>
      <w:sz w:val="16"/>
      <w:szCs w:val="16"/>
      <w:lang w:val="en-GB"/>
    </w:rPr>
  </w:style>
  <w:style w:type="character" w:styleId="Hyperlink">
    <w:name w:val="Hyperlink"/>
    <w:basedOn w:val="DefaultParagraphFont"/>
    <w:uiPriority w:val="99"/>
    <w:unhideWhenUsed/>
    <w:rsid w:val="00AF5586"/>
    <w:rPr>
      <w:color w:val="0000FF" w:themeColor="hyperlink"/>
      <w:u w:val="single"/>
    </w:rPr>
  </w:style>
  <w:style w:type="paragraph" w:customStyle="1" w:styleId="Heading21">
    <w:name w:val="Heading 21"/>
    <w:basedOn w:val="Normal"/>
    <w:next w:val="Normal"/>
    <w:uiPriority w:val="9"/>
    <w:unhideWhenUsed/>
    <w:rsid w:val="00B67D46"/>
    <w:pPr>
      <w:keepNext/>
      <w:keepLines/>
      <w:spacing w:before="200" w:after="240" w:line="240" w:lineRule="auto"/>
      <w:outlineLvl w:val="1"/>
    </w:pPr>
    <w:rPr>
      <w:rFonts w:ascii="Myriad Pro SemiCond" w:eastAsia="Times New Roman" w:hAnsi="Myriad Pro SemiCond" w:cs="Times New Roman"/>
      <w:b/>
      <w:bCs/>
      <w:color w:val="4F81BD"/>
    </w:rPr>
  </w:style>
  <w:style w:type="character" w:styleId="CommentReference">
    <w:name w:val="annotation reference"/>
    <w:basedOn w:val="DefaultParagraphFont"/>
    <w:uiPriority w:val="99"/>
    <w:semiHidden/>
    <w:unhideWhenUsed/>
    <w:rsid w:val="00086B5F"/>
    <w:rPr>
      <w:sz w:val="16"/>
      <w:szCs w:val="16"/>
    </w:rPr>
  </w:style>
  <w:style w:type="paragraph" w:styleId="CommentText">
    <w:name w:val="annotation text"/>
    <w:basedOn w:val="Normal"/>
    <w:link w:val="CommentTextChar"/>
    <w:uiPriority w:val="99"/>
    <w:semiHidden/>
    <w:unhideWhenUsed/>
    <w:rsid w:val="00086B5F"/>
    <w:pPr>
      <w:spacing w:line="240" w:lineRule="auto"/>
    </w:pPr>
    <w:rPr>
      <w:sz w:val="20"/>
      <w:szCs w:val="20"/>
    </w:rPr>
  </w:style>
  <w:style w:type="character" w:customStyle="1" w:styleId="CommentTextChar">
    <w:name w:val="Comment Text Char"/>
    <w:basedOn w:val="DefaultParagraphFont"/>
    <w:link w:val="CommentText"/>
    <w:uiPriority w:val="99"/>
    <w:semiHidden/>
    <w:rsid w:val="00086B5F"/>
    <w:rPr>
      <w:sz w:val="20"/>
      <w:szCs w:val="20"/>
      <w:lang w:val="en-GB"/>
    </w:rPr>
  </w:style>
  <w:style w:type="paragraph" w:styleId="CommentSubject">
    <w:name w:val="annotation subject"/>
    <w:basedOn w:val="CommentText"/>
    <w:next w:val="CommentText"/>
    <w:link w:val="CommentSubjectChar"/>
    <w:uiPriority w:val="99"/>
    <w:semiHidden/>
    <w:unhideWhenUsed/>
    <w:rsid w:val="00086B5F"/>
    <w:rPr>
      <w:b/>
      <w:bCs/>
    </w:rPr>
  </w:style>
  <w:style w:type="character" w:customStyle="1" w:styleId="CommentSubjectChar">
    <w:name w:val="Comment Subject Char"/>
    <w:basedOn w:val="CommentTextChar"/>
    <w:link w:val="CommentSubject"/>
    <w:uiPriority w:val="99"/>
    <w:semiHidden/>
    <w:rsid w:val="00086B5F"/>
    <w:rPr>
      <w:b/>
      <w:bCs/>
      <w:sz w:val="20"/>
      <w:szCs w:val="20"/>
      <w:lang w:val="en-GB"/>
    </w:rPr>
  </w:style>
  <w:style w:type="paragraph" w:styleId="FootnoteText">
    <w:name w:val="footnote text"/>
    <w:basedOn w:val="Normal"/>
    <w:link w:val="FootnoteTextChar"/>
    <w:uiPriority w:val="99"/>
    <w:unhideWhenUsed/>
    <w:rsid w:val="00B53CE2"/>
    <w:pPr>
      <w:spacing w:after="0" w:line="240" w:lineRule="auto"/>
    </w:pPr>
    <w:rPr>
      <w:sz w:val="20"/>
      <w:szCs w:val="20"/>
    </w:rPr>
  </w:style>
  <w:style w:type="character" w:customStyle="1" w:styleId="FootnoteTextChar">
    <w:name w:val="Footnote Text Char"/>
    <w:basedOn w:val="DefaultParagraphFont"/>
    <w:link w:val="FootnoteText"/>
    <w:uiPriority w:val="99"/>
    <w:rsid w:val="00B53CE2"/>
    <w:rPr>
      <w:sz w:val="20"/>
      <w:szCs w:val="20"/>
      <w:lang w:val="en-GB"/>
    </w:rPr>
  </w:style>
  <w:style w:type="character" w:styleId="FootnoteReference">
    <w:name w:val="footnote reference"/>
    <w:basedOn w:val="DefaultParagraphFont"/>
    <w:uiPriority w:val="99"/>
    <w:unhideWhenUsed/>
    <w:rsid w:val="00B53CE2"/>
    <w:rPr>
      <w:vertAlign w:val="superscript"/>
    </w:rPr>
  </w:style>
  <w:style w:type="paragraph" w:styleId="Revision">
    <w:name w:val="Revision"/>
    <w:hidden/>
    <w:uiPriority w:val="99"/>
    <w:semiHidden/>
    <w:rsid w:val="00B53CE2"/>
    <w:pPr>
      <w:spacing w:after="0" w:line="240" w:lineRule="auto"/>
    </w:pPr>
    <w:rPr>
      <w:lang w:val="en-GB"/>
    </w:rPr>
  </w:style>
  <w:style w:type="paragraph" w:styleId="Header">
    <w:name w:val="header"/>
    <w:basedOn w:val="Normal"/>
    <w:link w:val="HeaderChar"/>
    <w:uiPriority w:val="99"/>
    <w:unhideWhenUsed/>
    <w:rsid w:val="00802B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2B1B"/>
    <w:rPr>
      <w:lang w:val="en-GB"/>
    </w:rPr>
  </w:style>
  <w:style w:type="paragraph" w:styleId="Footer">
    <w:name w:val="footer"/>
    <w:basedOn w:val="Normal"/>
    <w:link w:val="FooterChar"/>
    <w:uiPriority w:val="99"/>
    <w:unhideWhenUsed/>
    <w:rsid w:val="00802B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2B1B"/>
    <w:rPr>
      <w:lang w:val="en-GB"/>
    </w:rPr>
  </w:style>
  <w:style w:type="paragraph" w:styleId="NormalWeb">
    <w:name w:val="Normal (Web)"/>
    <w:basedOn w:val="Normal"/>
    <w:unhideWhenUsed/>
    <w:rsid w:val="003B6BD1"/>
    <w:pPr>
      <w:spacing w:before="100" w:beforeAutospacing="1" w:after="100" w:afterAutospacing="1" w:line="240" w:lineRule="auto"/>
    </w:pPr>
    <w:rPr>
      <w:rFonts w:ascii="Times" w:eastAsiaTheme="minorEastAsia" w:hAnsi="Times" w:cs="Times New Roman"/>
      <w:sz w:val="20"/>
      <w:szCs w:val="20"/>
      <w:lang w:val="nb-NO" w:eastAsia="nb-NO"/>
    </w:rPr>
  </w:style>
  <w:style w:type="character" w:styleId="PageNumber">
    <w:name w:val="page number"/>
    <w:basedOn w:val="DefaultParagraphFont"/>
    <w:uiPriority w:val="99"/>
    <w:semiHidden/>
    <w:unhideWhenUsed/>
    <w:rsid w:val="001510A5"/>
  </w:style>
  <w:style w:type="character" w:customStyle="1" w:styleId="apple-converted-space">
    <w:name w:val="apple-converted-space"/>
    <w:basedOn w:val="DefaultParagraphFont"/>
    <w:rsid w:val="00972E9B"/>
  </w:style>
  <w:style w:type="character" w:styleId="FollowedHyperlink">
    <w:name w:val="FollowedHyperlink"/>
    <w:basedOn w:val="DefaultParagraphFont"/>
    <w:uiPriority w:val="99"/>
    <w:semiHidden/>
    <w:unhideWhenUsed/>
    <w:rsid w:val="00745957"/>
    <w:rPr>
      <w:color w:val="800080" w:themeColor="followedHyperlink"/>
      <w:u w:val="single"/>
    </w:rPr>
  </w:style>
  <w:style w:type="paragraph" w:styleId="Subtitle">
    <w:name w:val="Subtitle"/>
    <w:basedOn w:val="Normal"/>
    <w:next w:val="Normal"/>
    <w:link w:val="SubtitleChar"/>
    <w:uiPriority w:val="11"/>
    <w:qFormat/>
    <w:rsid w:val="000A2B9B"/>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2B9B"/>
    <w:rPr>
      <w:rFonts w:ascii="Myriad Pro" w:eastAsiaTheme="majorEastAsia" w:hAnsi="Myriad Pro" w:cstheme="majorBidi"/>
      <w:i/>
      <w:iCs/>
      <w:color w:val="4F81BD" w:themeColor="accent1"/>
      <w:spacing w:val="15"/>
      <w:sz w:val="24"/>
      <w:szCs w:val="24"/>
      <w:lang w:val="en-GB"/>
    </w:rPr>
  </w:style>
  <w:style w:type="table" w:styleId="TableGrid">
    <w:name w:val="Table Grid"/>
    <w:basedOn w:val="TableNormal"/>
    <w:uiPriority w:val="59"/>
    <w:rsid w:val="00CB6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40A52"/>
    <w:pPr>
      <w:spacing w:after="0" w:line="240" w:lineRule="auto"/>
    </w:pPr>
    <w:rPr>
      <w:rFonts w:ascii="Times New Roman" w:eastAsia="Times New Roman" w:hAnsi="Times New Roman" w:cs="Times New Roman"/>
      <w:sz w:val="24"/>
      <w:szCs w:val="24"/>
      <w:lang w:val="fr-FR" w:eastAsia="fr-FR"/>
    </w:rPr>
  </w:style>
  <w:style w:type="paragraph" w:styleId="TOC1">
    <w:name w:val="toc 1"/>
    <w:basedOn w:val="Normal"/>
    <w:next w:val="Normal"/>
    <w:autoRedefine/>
    <w:uiPriority w:val="39"/>
    <w:unhideWhenUsed/>
    <w:rsid w:val="000E1517"/>
    <w:pPr>
      <w:spacing w:after="100"/>
    </w:pPr>
  </w:style>
  <w:style w:type="character" w:customStyle="1" w:styleId="tw4winMark">
    <w:name w:val="tw4winMark"/>
    <w:uiPriority w:val="99"/>
    <w:rsid w:val="007913CA"/>
    <w:rPr>
      <w:rFonts w:ascii="Courier New" w:hAnsi="Courier New"/>
      <w:vanish/>
      <w:color w:val="800080"/>
      <w:vertAlign w:val="subscript"/>
    </w:rPr>
  </w:style>
  <w:style w:type="paragraph" w:styleId="Quote">
    <w:name w:val="Quote"/>
    <w:basedOn w:val="Normal"/>
    <w:next w:val="Normal"/>
    <w:link w:val="QuoteChar"/>
    <w:uiPriority w:val="29"/>
    <w:qFormat/>
    <w:rsid w:val="00D61594"/>
    <w:rPr>
      <w:i/>
      <w:iCs/>
      <w:color w:val="000000" w:themeColor="text1"/>
      <w:lang w:val="ru-RU" w:eastAsia="ru-RU" w:bidi="ru-RU"/>
    </w:rPr>
  </w:style>
  <w:style w:type="character" w:customStyle="1" w:styleId="QuoteChar">
    <w:name w:val="Quote Char"/>
    <w:basedOn w:val="DefaultParagraphFont"/>
    <w:link w:val="Quote"/>
    <w:uiPriority w:val="29"/>
    <w:rsid w:val="00D61594"/>
    <w:rPr>
      <w:rFonts w:ascii="Calibri" w:hAnsi="Calibri"/>
      <w:i/>
      <w:iCs/>
      <w:color w:val="000000" w:themeColor="text1"/>
      <w:lang w:val="ru-RU" w:eastAsia="ru-RU" w:bidi="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B4"/>
    <w:rPr>
      <w:rFonts w:ascii="Calibri" w:hAnsi="Calibri"/>
      <w:lang w:val="en-GB"/>
    </w:rPr>
  </w:style>
  <w:style w:type="paragraph" w:styleId="Heading1">
    <w:name w:val="heading 1"/>
    <w:basedOn w:val="Heading21"/>
    <w:next w:val="Normal"/>
    <w:link w:val="Heading1Char"/>
    <w:uiPriority w:val="9"/>
    <w:qFormat/>
    <w:rsid w:val="005A27EA"/>
    <w:pPr>
      <w:outlineLvl w:val="0"/>
    </w:pPr>
    <w:rPr>
      <w:rFonts w:ascii="Myriad Pro Light" w:eastAsiaTheme="majorEastAsia" w:hAnsi="Myriad Pro Light" w:cstheme="majorBidi"/>
      <w:b w:val="0"/>
      <w:color w:val="4F81BD" w:themeColor="accent1"/>
      <w:sz w:val="32"/>
      <w:szCs w:val="26"/>
    </w:rPr>
  </w:style>
  <w:style w:type="paragraph" w:styleId="Heading2">
    <w:name w:val="heading 2"/>
    <w:basedOn w:val="Heading21"/>
    <w:next w:val="Normal"/>
    <w:link w:val="Heading2Char"/>
    <w:uiPriority w:val="9"/>
    <w:unhideWhenUsed/>
    <w:qFormat/>
    <w:rsid w:val="00910E1D"/>
    <w:rPr>
      <w:rFonts w:ascii="Myriad Pro Light" w:hAnsi="Myriad Pro Light"/>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432E"/>
    <w:pPr>
      <w:pBdr>
        <w:bottom w:val="single" w:sz="8" w:space="4" w:color="000000" w:themeColor="text1"/>
      </w:pBdr>
      <w:spacing w:after="300" w:line="240" w:lineRule="auto"/>
      <w:contextualSpacing/>
    </w:pPr>
    <w:rPr>
      <w:rFonts w:eastAsiaTheme="majorEastAsia" w:cstheme="majorBidi"/>
      <w:color w:val="000000" w:themeColor="text1"/>
      <w:spacing w:val="5"/>
      <w:kern w:val="28"/>
      <w:sz w:val="56"/>
      <w:szCs w:val="52"/>
    </w:rPr>
  </w:style>
  <w:style w:type="character" w:customStyle="1" w:styleId="TitleChar">
    <w:name w:val="Title Char"/>
    <w:basedOn w:val="DefaultParagraphFont"/>
    <w:link w:val="Title"/>
    <w:uiPriority w:val="10"/>
    <w:rsid w:val="0040432E"/>
    <w:rPr>
      <w:rFonts w:ascii="Myriad Pro" w:eastAsiaTheme="majorEastAsia" w:hAnsi="Myriad Pro" w:cstheme="majorBidi"/>
      <w:color w:val="000000" w:themeColor="text1"/>
      <w:spacing w:val="5"/>
      <w:kern w:val="28"/>
      <w:sz w:val="56"/>
      <w:szCs w:val="52"/>
      <w:lang w:val="en-GB"/>
    </w:rPr>
  </w:style>
  <w:style w:type="paragraph" w:styleId="ListParagraph">
    <w:name w:val="List Paragraph"/>
    <w:basedOn w:val="Normal"/>
    <w:uiPriority w:val="99"/>
    <w:qFormat/>
    <w:rsid w:val="00F95A2A"/>
    <w:pPr>
      <w:ind w:left="720"/>
      <w:contextualSpacing/>
    </w:pPr>
  </w:style>
  <w:style w:type="character" w:customStyle="1" w:styleId="Heading1Char">
    <w:name w:val="Heading 1 Char"/>
    <w:basedOn w:val="DefaultParagraphFont"/>
    <w:link w:val="Heading1"/>
    <w:uiPriority w:val="9"/>
    <w:rsid w:val="005A27EA"/>
    <w:rPr>
      <w:rFonts w:ascii="Myriad Pro Light" w:eastAsiaTheme="majorEastAsia" w:hAnsi="Myriad Pro Light" w:cstheme="majorBidi"/>
      <w:bCs/>
      <w:color w:val="4F81BD" w:themeColor="accent1"/>
      <w:sz w:val="32"/>
      <w:szCs w:val="26"/>
      <w:lang w:val="en-GB"/>
    </w:rPr>
  </w:style>
  <w:style w:type="character" w:customStyle="1" w:styleId="Heading2Char">
    <w:name w:val="Heading 2 Char"/>
    <w:basedOn w:val="DefaultParagraphFont"/>
    <w:link w:val="Heading2"/>
    <w:uiPriority w:val="9"/>
    <w:rsid w:val="00910E1D"/>
    <w:rPr>
      <w:rFonts w:ascii="Myriad Pro Light" w:eastAsia="Times New Roman" w:hAnsi="Myriad Pro Light" w:cs="Times New Roman"/>
      <w:bCs/>
      <w:color w:val="4F81BD"/>
      <w:lang w:val="en-GB"/>
    </w:rPr>
  </w:style>
  <w:style w:type="paragraph" w:styleId="BalloonText">
    <w:name w:val="Balloon Text"/>
    <w:basedOn w:val="Normal"/>
    <w:link w:val="BalloonTextChar"/>
    <w:uiPriority w:val="99"/>
    <w:semiHidden/>
    <w:unhideWhenUsed/>
    <w:rsid w:val="00E8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4DD"/>
    <w:rPr>
      <w:rFonts w:ascii="Tahoma" w:hAnsi="Tahoma" w:cs="Tahoma"/>
      <w:sz w:val="16"/>
      <w:szCs w:val="16"/>
      <w:lang w:val="en-GB"/>
    </w:rPr>
  </w:style>
  <w:style w:type="character" w:styleId="Hyperlink">
    <w:name w:val="Hyperlink"/>
    <w:basedOn w:val="DefaultParagraphFont"/>
    <w:uiPriority w:val="99"/>
    <w:unhideWhenUsed/>
    <w:rsid w:val="00AF5586"/>
    <w:rPr>
      <w:color w:val="0000FF" w:themeColor="hyperlink"/>
      <w:u w:val="single"/>
    </w:rPr>
  </w:style>
  <w:style w:type="paragraph" w:customStyle="1" w:styleId="Heading21">
    <w:name w:val="Heading 21"/>
    <w:basedOn w:val="Normal"/>
    <w:next w:val="Normal"/>
    <w:uiPriority w:val="9"/>
    <w:unhideWhenUsed/>
    <w:rsid w:val="00B67D46"/>
    <w:pPr>
      <w:keepNext/>
      <w:keepLines/>
      <w:spacing w:before="200" w:after="240" w:line="240" w:lineRule="auto"/>
      <w:outlineLvl w:val="1"/>
    </w:pPr>
    <w:rPr>
      <w:rFonts w:ascii="Myriad Pro SemiCond" w:eastAsia="Times New Roman" w:hAnsi="Myriad Pro SemiCond" w:cs="Times New Roman"/>
      <w:b/>
      <w:bCs/>
      <w:color w:val="4F81BD"/>
    </w:rPr>
  </w:style>
  <w:style w:type="character" w:styleId="CommentReference">
    <w:name w:val="annotation reference"/>
    <w:basedOn w:val="DefaultParagraphFont"/>
    <w:uiPriority w:val="99"/>
    <w:semiHidden/>
    <w:unhideWhenUsed/>
    <w:rsid w:val="00086B5F"/>
    <w:rPr>
      <w:sz w:val="16"/>
      <w:szCs w:val="16"/>
    </w:rPr>
  </w:style>
  <w:style w:type="paragraph" w:styleId="CommentText">
    <w:name w:val="annotation text"/>
    <w:basedOn w:val="Normal"/>
    <w:link w:val="CommentTextChar"/>
    <w:uiPriority w:val="99"/>
    <w:semiHidden/>
    <w:unhideWhenUsed/>
    <w:rsid w:val="00086B5F"/>
    <w:pPr>
      <w:spacing w:line="240" w:lineRule="auto"/>
    </w:pPr>
    <w:rPr>
      <w:sz w:val="20"/>
      <w:szCs w:val="20"/>
    </w:rPr>
  </w:style>
  <w:style w:type="character" w:customStyle="1" w:styleId="CommentTextChar">
    <w:name w:val="Comment Text Char"/>
    <w:basedOn w:val="DefaultParagraphFont"/>
    <w:link w:val="CommentText"/>
    <w:uiPriority w:val="99"/>
    <w:semiHidden/>
    <w:rsid w:val="00086B5F"/>
    <w:rPr>
      <w:sz w:val="20"/>
      <w:szCs w:val="20"/>
      <w:lang w:val="en-GB"/>
    </w:rPr>
  </w:style>
  <w:style w:type="paragraph" w:styleId="CommentSubject">
    <w:name w:val="annotation subject"/>
    <w:basedOn w:val="CommentText"/>
    <w:next w:val="CommentText"/>
    <w:link w:val="CommentSubjectChar"/>
    <w:uiPriority w:val="99"/>
    <w:semiHidden/>
    <w:unhideWhenUsed/>
    <w:rsid w:val="00086B5F"/>
    <w:rPr>
      <w:b/>
      <w:bCs/>
    </w:rPr>
  </w:style>
  <w:style w:type="character" w:customStyle="1" w:styleId="CommentSubjectChar">
    <w:name w:val="Comment Subject Char"/>
    <w:basedOn w:val="CommentTextChar"/>
    <w:link w:val="CommentSubject"/>
    <w:uiPriority w:val="99"/>
    <w:semiHidden/>
    <w:rsid w:val="00086B5F"/>
    <w:rPr>
      <w:b/>
      <w:bCs/>
      <w:sz w:val="20"/>
      <w:szCs w:val="20"/>
      <w:lang w:val="en-GB"/>
    </w:rPr>
  </w:style>
  <w:style w:type="paragraph" w:styleId="FootnoteText">
    <w:name w:val="footnote text"/>
    <w:basedOn w:val="Normal"/>
    <w:link w:val="FootnoteTextChar"/>
    <w:uiPriority w:val="99"/>
    <w:unhideWhenUsed/>
    <w:rsid w:val="00B53CE2"/>
    <w:pPr>
      <w:spacing w:after="0" w:line="240" w:lineRule="auto"/>
    </w:pPr>
    <w:rPr>
      <w:sz w:val="20"/>
      <w:szCs w:val="20"/>
    </w:rPr>
  </w:style>
  <w:style w:type="character" w:customStyle="1" w:styleId="FootnoteTextChar">
    <w:name w:val="Footnote Text Char"/>
    <w:basedOn w:val="DefaultParagraphFont"/>
    <w:link w:val="FootnoteText"/>
    <w:uiPriority w:val="99"/>
    <w:rsid w:val="00B53CE2"/>
    <w:rPr>
      <w:sz w:val="20"/>
      <w:szCs w:val="20"/>
      <w:lang w:val="en-GB"/>
    </w:rPr>
  </w:style>
  <w:style w:type="character" w:styleId="FootnoteReference">
    <w:name w:val="footnote reference"/>
    <w:basedOn w:val="DefaultParagraphFont"/>
    <w:uiPriority w:val="99"/>
    <w:unhideWhenUsed/>
    <w:rsid w:val="00B53CE2"/>
    <w:rPr>
      <w:vertAlign w:val="superscript"/>
    </w:rPr>
  </w:style>
  <w:style w:type="paragraph" w:styleId="Revision">
    <w:name w:val="Revision"/>
    <w:hidden/>
    <w:uiPriority w:val="99"/>
    <w:semiHidden/>
    <w:rsid w:val="00B53CE2"/>
    <w:pPr>
      <w:spacing w:after="0" w:line="240" w:lineRule="auto"/>
    </w:pPr>
    <w:rPr>
      <w:lang w:val="en-GB"/>
    </w:rPr>
  </w:style>
  <w:style w:type="paragraph" w:styleId="Header">
    <w:name w:val="header"/>
    <w:basedOn w:val="Normal"/>
    <w:link w:val="HeaderChar"/>
    <w:uiPriority w:val="99"/>
    <w:unhideWhenUsed/>
    <w:rsid w:val="00802B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2B1B"/>
    <w:rPr>
      <w:lang w:val="en-GB"/>
    </w:rPr>
  </w:style>
  <w:style w:type="paragraph" w:styleId="Footer">
    <w:name w:val="footer"/>
    <w:basedOn w:val="Normal"/>
    <w:link w:val="FooterChar"/>
    <w:uiPriority w:val="99"/>
    <w:unhideWhenUsed/>
    <w:rsid w:val="00802B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2B1B"/>
    <w:rPr>
      <w:lang w:val="en-GB"/>
    </w:rPr>
  </w:style>
  <w:style w:type="paragraph" w:styleId="NormalWeb">
    <w:name w:val="Normal (Web)"/>
    <w:basedOn w:val="Normal"/>
    <w:unhideWhenUsed/>
    <w:rsid w:val="003B6BD1"/>
    <w:pPr>
      <w:spacing w:before="100" w:beforeAutospacing="1" w:after="100" w:afterAutospacing="1" w:line="240" w:lineRule="auto"/>
    </w:pPr>
    <w:rPr>
      <w:rFonts w:ascii="Times" w:eastAsiaTheme="minorEastAsia" w:hAnsi="Times" w:cs="Times New Roman"/>
      <w:sz w:val="20"/>
      <w:szCs w:val="20"/>
      <w:lang w:val="nb-NO" w:eastAsia="nb-NO"/>
    </w:rPr>
  </w:style>
  <w:style w:type="character" w:styleId="PageNumber">
    <w:name w:val="page number"/>
    <w:basedOn w:val="DefaultParagraphFont"/>
    <w:uiPriority w:val="99"/>
    <w:semiHidden/>
    <w:unhideWhenUsed/>
    <w:rsid w:val="001510A5"/>
  </w:style>
  <w:style w:type="character" w:customStyle="1" w:styleId="apple-converted-space">
    <w:name w:val="apple-converted-space"/>
    <w:basedOn w:val="DefaultParagraphFont"/>
    <w:rsid w:val="00972E9B"/>
  </w:style>
  <w:style w:type="character" w:styleId="FollowedHyperlink">
    <w:name w:val="FollowedHyperlink"/>
    <w:basedOn w:val="DefaultParagraphFont"/>
    <w:uiPriority w:val="99"/>
    <w:semiHidden/>
    <w:unhideWhenUsed/>
    <w:rsid w:val="00745957"/>
    <w:rPr>
      <w:color w:val="800080" w:themeColor="followedHyperlink"/>
      <w:u w:val="single"/>
    </w:rPr>
  </w:style>
  <w:style w:type="paragraph" w:styleId="Subtitle">
    <w:name w:val="Subtitle"/>
    <w:basedOn w:val="Normal"/>
    <w:next w:val="Normal"/>
    <w:link w:val="SubtitleChar"/>
    <w:uiPriority w:val="11"/>
    <w:qFormat/>
    <w:rsid w:val="000A2B9B"/>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2B9B"/>
    <w:rPr>
      <w:rFonts w:ascii="Myriad Pro" w:eastAsiaTheme="majorEastAsia" w:hAnsi="Myriad Pro" w:cstheme="majorBidi"/>
      <w:i/>
      <w:iCs/>
      <w:color w:val="4F81BD" w:themeColor="accent1"/>
      <w:spacing w:val="15"/>
      <w:sz w:val="24"/>
      <w:szCs w:val="24"/>
      <w:lang w:val="en-GB"/>
    </w:rPr>
  </w:style>
  <w:style w:type="table" w:styleId="TableGrid">
    <w:name w:val="Table Grid"/>
    <w:basedOn w:val="TableNormal"/>
    <w:uiPriority w:val="59"/>
    <w:rsid w:val="00CB6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40A52"/>
    <w:pPr>
      <w:spacing w:after="0" w:line="240" w:lineRule="auto"/>
    </w:pPr>
    <w:rPr>
      <w:rFonts w:ascii="Times New Roman" w:eastAsia="Times New Roman" w:hAnsi="Times New Roman" w:cs="Times New Roman"/>
      <w:sz w:val="24"/>
      <w:szCs w:val="24"/>
      <w:lang w:val="fr-FR" w:eastAsia="fr-FR"/>
    </w:rPr>
  </w:style>
  <w:style w:type="paragraph" w:styleId="TOC1">
    <w:name w:val="toc 1"/>
    <w:basedOn w:val="Normal"/>
    <w:next w:val="Normal"/>
    <w:autoRedefine/>
    <w:uiPriority w:val="39"/>
    <w:unhideWhenUsed/>
    <w:rsid w:val="000E1517"/>
    <w:pPr>
      <w:spacing w:after="100"/>
    </w:pPr>
  </w:style>
  <w:style w:type="character" w:customStyle="1" w:styleId="tw4winMark">
    <w:name w:val="tw4winMark"/>
    <w:uiPriority w:val="99"/>
    <w:rsid w:val="007913CA"/>
    <w:rPr>
      <w:rFonts w:ascii="Courier New" w:hAnsi="Courier New"/>
      <w:vanish/>
      <w:color w:val="800080"/>
      <w:vertAlign w:val="subscript"/>
    </w:rPr>
  </w:style>
  <w:style w:type="paragraph" w:styleId="Quote">
    <w:name w:val="Quote"/>
    <w:basedOn w:val="Normal"/>
    <w:next w:val="Normal"/>
    <w:link w:val="QuoteChar"/>
    <w:uiPriority w:val="29"/>
    <w:qFormat/>
    <w:rsid w:val="00D61594"/>
    <w:rPr>
      <w:i/>
      <w:iCs/>
      <w:color w:val="000000" w:themeColor="text1"/>
      <w:lang w:val="ru-RU" w:eastAsia="ru-RU" w:bidi="ru-RU"/>
    </w:rPr>
  </w:style>
  <w:style w:type="character" w:customStyle="1" w:styleId="QuoteChar">
    <w:name w:val="Quote Char"/>
    <w:basedOn w:val="DefaultParagraphFont"/>
    <w:link w:val="Quote"/>
    <w:uiPriority w:val="29"/>
    <w:rsid w:val="00D61594"/>
    <w:rPr>
      <w:rFonts w:ascii="Calibri" w:hAnsi="Calibri"/>
      <w:i/>
      <w:iCs/>
      <w:color w:val="000000" w:themeColor="text1"/>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9159">
      <w:bodyDiv w:val="1"/>
      <w:marLeft w:val="0"/>
      <w:marRight w:val="0"/>
      <w:marTop w:val="0"/>
      <w:marBottom w:val="0"/>
      <w:divBdr>
        <w:top w:val="none" w:sz="0" w:space="0" w:color="auto"/>
        <w:left w:val="none" w:sz="0" w:space="0" w:color="auto"/>
        <w:bottom w:val="none" w:sz="0" w:space="0" w:color="auto"/>
        <w:right w:val="none" w:sz="0" w:space="0" w:color="auto"/>
      </w:divBdr>
    </w:div>
    <w:div w:id="181672632">
      <w:bodyDiv w:val="1"/>
      <w:marLeft w:val="0"/>
      <w:marRight w:val="0"/>
      <w:marTop w:val="0"/>
      <w:marBottom w:val="0"/>
      <w:divBdr>
        <w:top w:val="none" w:sz="0" w:space="0" w:color="auto"/>
        <w:left w:val="none" w:sz="0" w:space="0" w:color="auto"/>
        <w:bottom w:val="none" w:sz="0" w:space="0" w:color="auto"/>
        <w:right w:val="none" w:sz="0" w:space="0" w:color="auto"/>
      </w:divBdr>
    </w:div>
    <w:div w:id="458300362">
      <w:bodyDiv w:val="1"/>
      <w:marLeft w:val="0"/>
      <w:marRight w:val="0"/>
      <w:marTop w:val="0"/>
      <w:marBottom w:val="0"/>
      <w:divBdr>
        <w:top w:val="none" w:sz="0" w:space="0" w:color="auto"/>
        <w:left w:val="none" w:sz="0" w:space="0" w:color="auto"/>
        <w:bottom w:val="none" w:sz="0" w:space="0" w:color="auto"/>
        <w:right w:val="none" w:sz="0" w:space="0" w:color="auto"/>
      </w:divBdr>
      <w:divsChild>
        <w:div w:id="1883055488">
          <w:marLeft w:val="547"/>
          <w:marRight w:val="0"/>
          <w:marTop w:val="0"/>
          <w:marBottom w:val="0"/>
          <w:divBdr>
            <w:top w:val="none" w:sz="0" w:space="0" w:color="auto"/>
            <w:left w:val="none" w:sz="0" w:space="0" w:color="auto"/>
            <w:bottom w:val="none" w:sz="0" w:space="0" w:color="auto"/>
            <w:right w:val="none" w:sz="0" w:space="0" w:color="auto"/>
          </w:divBdr>
        </w:div>
        <w:div w:id="1374694878">
          <w:marLeft w:val="547"/>
          <w:marRight w:val="0"/>
          <w:marTop w:val="0"/>
          <w:marBottom w:val="0"/>
          <w:divBdr>
            <w:top w:val="none" w:sz="0" w:space="0" w:color="auto"/>
            <w:left w:val="none" w:sz="0" w:space="0" w:color="auto"/>
            <w:bottom w:val="none" w:sz="0" w:space="0" w:color="auto"/>
            <w:right w:val="none" w:sz="0" w:space="0" w:color="auto"/>
          </w:divBdr>
        </w:div>
        <w:div w:id="1252087618">
          <w:marLeft w:val="547"/>
          <w:marRight w:val="0"/>
          <w:marTop w:val="0"/>
          <w:marBottom w:val="0"/>
          <w:divBdr>
            <w:top w:val="none" w:sz="0" w:space="0" w:color="auto"/>
            <w:left w:val="none" w:sz="0" w:space="0" w:color="auto"/>
            <w:bottom w:val="none" w:sz="0" w:space="0" w:color="auto"/>
            <w:right w:val="none" w:sz="0" w:space="0" w:color="auto"/>
          </w:divBdr>
        </w:div>
      </w:divsChild>
    </w:div>
    <w:div w:id="507986443">
      <w:bodyDiv w:val="1"/>
      <w:marLeft w:val="0"/>
      <w:marRight w:val="0"/>
      <w:marTop w:val="0"/>
      <w:marBottom w:val="0"/>
      <w:divBdr>
        <w:top w:val="none" w:sz="0" w:space="0" w:color="auto"/>
        <w:left w:val="none" w:sz="0" w:space="0" w:color="auto"/>
        <w:bottom w:val="none" w:sz="0" w:space="0" w:color="auto"/>
        <w:right w:val="none" w:sz="0" w:space="0" w:color="auto"/>
      </w:divBdr>
      <w:divsChild>
        <w:div w:id="762721078">
          <w:marLeft w:val="547"/>
          <w:marRight w:val="0"/>
          <w:marTop w:val="0"/>
          <w:marBottom w:val="0"/>
          <w:divBdr>
            <w:top w:val="none" w:sz="0" w:space="0" w:color="auto"/>
            <w:left w:val="none" w:sz="0" w:space="0" w:color="auto"/>
            <w:bottom w:val="none" w:sz="0" w:space="0" w:color="auto"/>
            <w:right w:val="none" w:sz="0" w:space="0" w:color="auto"/>
          </w:divBdr>
        </w:div>
        <w:div w:id="1444032762">
          <w:marLeft w:val="547"/>
          <w:marRight w:val="0"/>
          <w:marTop w:val="0"/>
          <w:marBottom w:val="0"/>
          <w:divBdr>
            <w:top w:val="none" w:sz="0" w:space="0" w:color="auto"/>
            <w:left w:val="none" w:sz="0" w:space="0" w:color="auto"/>
            <w:bottom w:val="none" w:sz="0" w:space="0" w:color="auto"/>
            <w:right w:val="none" w:sz="0" w:space="0" w:color="auto"/>
          </w:divBdr>
        </w:div>
        <w:div w:id="1228104448">
          <w:marLeft w:val="547"/>
          <w:marRight w:val="0"/>
          <w:marTop w:val="0"/>
          <w:marBottom w:val="0"/>
          <w:divBdr>
            <w:top w:val="none" w:sz="0" w:space="0" w:color="auto"/>
            <w:left w:val="none" w:sz="0" w:space="0" w:color="auto"/>
            <w:bottom w:val="none" w:sz="0" w:space="0" w:color="auto"/>
            <w:right w:val="none" w:sz="0" w:space="0" w:color="auto"/>
          </w:divBdr>
        </w:div>
      </w:divsChild>
    </w:div>
    <w:div w:id="1359308399">
      <w:bodyDiv w:val="1"/>
      <w:marLeft w:val="0"/>
      <w:marRight w:val="0"/>
      <w:marTop w:val="0"/>
      <w:marBottom w:val="0"/>
      <w:divBdr>
        <w:top w:val="none" w:sz="0" w:space="0" w:color="auto"/>
        <w:left w:val="none" w:sz="0" w:space="0" w:color="auto"/>
        <w:bottom w:val="none" w:sz="0" w:space="0" w:color="auto"/>
        <w:right w:val="none" w:sz="0" w:space="0" w:color="auto"/>
      </w:divBdr>
    </w:div>
    <w:div w:id="1815487257">
      <w:bodyDiv w:val="1"/>
      <w:marLeft w:val="0"/>
      <w:marRight w:val="0"/>
      <w:marTop w:val="0"/>
      <w:marBottom w:val="0"/>
      <w:divBdr>
        <w:top w:val="none" w:sz="0" w:space="0" w:color="auto"/>
        <w:left w:val="none" w:sz="0" w:space="0" w:color="auto"/>
        <w:bottom w:val="none" w:sz="0" w:space="0" w:color="auto"/>
        <w:right w:val="none" w:sz="0" w:space="0" w:color="auto"/>
      </w:divBdr>
    </w:div>
    <w:div w:id="190941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eiti.org" TargetMode="External"/><Relationship Id="rId13" Type="http://schemas.openxmlformats.org/officeDocument/2006/relationships/hyperlink" Target="http://eiti.org/document/standard" TargetMode="External"/><Relationship Id="rId14" Type="http://schemas.openxmlformats.org/officeDocument/2006/relationships/hyperlink" Target="http://eiti.org/document/guidance-notes" TargetMode="External"/><Relationship Id="rId15" Type="http://schemas.openxmlformats.org/officeDocument/2006/relationships/hyperlink" Target="http://eiti.org/document/guidance-notes"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SAM\AppData\Roaming\Microsoft\Modelos\TRADOS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49254-9BD0-4353-82F7-B8048E3B7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9CB0B9-D895-40E8-981F-2F754681F085}">
  <ds:schemaRefs>
    <ds:schemaRef ds:uri="http://schemas.microsoft.com/sharepoint/v3/contenttype/forms"/>
  </ds:schemaRefs>
</ds:datastoreItem>
</file>

<file path=customXml/itemProps3.xml><?xml version="1.0" encoding="utf-8"?>
<ds:datastoreItem xmlns:ds="http://schemas.openxmlformats.org/officeDocument/2006/customXml" ds:itemID="{195CA73E-7184-4AE9-8E48-03DE97010A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E2AC72-8202-CF4C-A70D-58D23175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\Users\Administrator.SAM\AppData\Roaming\Microsoft\Modelos\TRADOS8.dot</Template>
  <TotalTime>1098</TotalTime>
  <Pages>8</Pages>
  <Words>2874</Words>
  <Characters>16387</Characters>
  <Application>Microsoft Macintosh Word</Application>
  <DocSecurity>0</DocSecurity>
  <Lines>136</Lines>
  <Paragraphs>38</Paragraphs>
  <ScaleCrop>false</ScaleCrop>
  <HeadingPairs>
    <vt:vector size="6" baseType="variant">
      <vt:variant>
        <vt:lpstr>Título</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Intility AS</Company>
  <LinksUpToDate>false</LinksUpToDate>
  <CharactersWithSpaces>19223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Dyveke Rogan</dc:creator>
  <cp:lastModifiedBy>Christina Berger</cp:lastModifiedBy>
  <cp:revision>17</cp:revision>
  <cp:lastPrinted>2015-07-27T12:20:00Z</cp:lastPrinted>
  <dcterms:created xsi:type="dcterms:W3CDTF">2015-08-19T10:56:00Z</dcterms:created>
  <dcterms:modified xsi:type="dcterms:W3CDTF">2016-08-05T09:48:00Z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